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D50BC" w:rsidTr="00EB4E9C">
        <w:tc>
          <w:tcPr>
            <w:tcW w:w="6522" w:type="dxa"/>
          </w:tcPr>
          <w:p w:rsidR="00DC3802" w:rsidRPr="009D50BC" w:rsidRDefault="00DC3802" w:rsidP="00AC2883">
            <w:pPr>
              <w:rPr>
                <w:lang w:val="es-ES"/>
              </w:rPr>
            </w:pPr>
            <w:r w:rsidRPr="009D50BC">
              <w:rPr>
                <w:noProof/>
              </w:rPr>
              <w:drawing>
                <wp:inline distT="0" distB="0" distL="0" distR="0" wp14:anchorId="49DEE9BE" wp14:editId="07B9FCF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9D50BC" w:rsidRDefault="00F015D8" w:rsidP="00AC2883">
            <w:pPr>
              <w:pStyle w:val="Lettrine"/>
              <w:rPr>
                <w:lang w:val="es-ES"/>
              </w:rPr>
            </w:pPr>
            <w:r w:rsidRPr="009D50BC">
              <w:rPr>
                <w:lang w:val="es-ES"/>
              </w:rPr>
              <w:t>S</w:t>
            </w:r>
          </w:p>
        </w:tc>
      </w:tr>
      <w:tr w:rsidR="00DC3802" w:rsidRPr="00BD23D1" w:rsidTr="00645CA8">
        <w:trPr>
          <w:trHeight w:val="219"/>
        </w:trPr>
        <w:tc>
          <w:tcPr>
            <w:tcW w:w="6522" w:type="dxa"/>
          </w:tcPr>
          <w:p w:rsidR="00DC3802" w:rsidRPr="009D50BC" w:rsidRDefault="003B5AF4" w:rsidP="005A4942">
            <w:pPr>
              <w:pStyle w:val="upove"/>
              <w:rPr>
                <w:lang w:val="es-ES"/>
              </w:rPr>
            </w:pPr>
            <w:r w:rsidRPr="009D50BC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9D50BC" w:rsidRDefault="00DC3802" w:rsidP="00DA4973">
            <w:pPr>
              <w:rPr>
                <w:lang w:val="es-ES"/>
              </w:rPr>
            </w:pPr>
          </w:p>
        </w:tc>
      </w:tr>
    </w:tbl>
    <w:p w:rsidR="00DC3802" w:rsidRPr="009D50BC" w:rsidRDefault="00DC3802" w:rsidP="00DC3802">
      <w:pPr>
        <w:rPr>
          <w:lang w:val="es-ES"/>
        </w:rPr>
      </w:pPr>
    </w:p>
    <w:p w:rsidR="00DA4973" w:rsidRPr="009D50BC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D23D1" w:rsidTr="00EB4E9C">
        <w:tc>
          <w:tcPr>
            <w:tcW w:w="6512" w:type="dxa"/>
          </w:tcPr>
          <w:p w:rsidR="00EB4E9C" w:rsidRPr="009D50BC" w:rsidRDefault="00766DEB" w:rsidP="007C12F1">
            <w:pPr>
              <w:pStyle w:val="Sessiontc"/>
              <w:spacing w:line="240" w:lineRule="auto"/>
              <w:rPr>
                <w:lang w:val="es-ES"/>
              </w:rPr>
            </w:pPr>
            <w:r w:rsidRPr="009D50BC">
              <w:rPr>
                <w:lang w:val="es-ES"/>
              </w:rPr>
              <w:t>Reunión sobre la elaboración de un formulario electrónico</w:t>
            </w:r>
            <w:r w:rsidR="007C12F1" w:rsidRPr="009D50BC">
              <w:rPr>
                <w:lang w:val="es-ES"/>
              </w:rPr>
              <w:t xml:space="preserve"> de solicitud</w:t>
            </w:r>
          </w:p>
          <w:p w:rsidR="00EB4E9C" w:rsidRPr="009D50BC" w:rsidRDefault="00696F81" w:rsidP="00247BD6">
            <w:pPr>
              <w:pStyle w:val="Sessiontcplacedate"/>
              <w:contextualSpacing w:val="0"/>
              <w:rPr>
                <w:sz w:val="22"/>
                <w:lang w:val="es-ES"/>
              </w:rPr>
            </w:pPr>
            <w:r w:rsidRPr="009D50BC">
              <w:rPr>
                <w:lang w:val="es-ES"/>
              </w:rPr>
              <w:t>Décima</w:t>
            </w:r>
            <w:r w:rsidR="003B5AF4" w:rsidRPr="009D50BC">
              <w:rPr>
                <w:lang w:val="es-ES"/>
              </w:rPr>
              <w:t xml:space="preserve"> </w:t>
            </w:r>
            <w:r w:rsidR="00914E9A" w:rsidRPr="009D50BC">
              <w:rPr>
                <w:lang w:val="es-ES"/>
              </w:rPr>
              <w:t>r</w:t>
            </w:r>
            <w:r w:rsidR="003B5AF4" w:rsidRPr="009D50BC">
              <w:rPr>
                <w:lang w:val="es-ES"/>
              </w:rPr>
              <w:t>e</w:t>
            </w:r>
            <w:r w:rsidR="00914E9A" w:rsidRPr="009D50BC">
              <w:rPr>
                <w:lang w:val="es-ES"/>
              </w:rPr>
              <w:t>uni</w:t>
            </w:r>
            <w:r w:rsidR="003B5AF4" w:rsidRPr="009D50BC">
              <w:rPr>
                <w:lang w:val="es-ES"/>
              </w:rPr>
              <w:t>ó</w:t>
            </w:r>
            <w:r w:rsidR="00914E9A" w:rsidRPr="009D50BC">
              <w:rPr>
                <w:lang w:val="es-ES"/>
              </w:rPr>
              <w:t>n</w:t>
            </w:r>
            <w:r w:rsidR="00EB4E9C" w:rsidRPr="009D50BC">
              <w:rPr>
                <w:lang w:val="es-ES"/>
              </w:rPr>
              <w:br/>
            </w:r>
            <w:r w:rsidR="003B5AF4" w:rsidRPr="009D50BC">
              <w:rPr>
                <w:lang w:val="es-ES"/>
              </w:rPr>
              <w:t>Ginebra</w:t>
            </w:r>
            <w:r w:rsidR="00EB4E9C" w:rsidRPr="009D50BC">
              <w:rPr>
                <w:lang w:val="es-ES"/>
              </w:rPr>
              <w:t xml:space="preserve">, </w:t>
            </w:r>
            <w:r w:rsidR="00247BD6" w:rsidRPr="009D50BC">
              <w:rPr>
                <w:lang w:val="es-ES"/>
              </w:rPr>
              <w:t>2</w:t>
            </w:r>
            <w:r w:rsidR="00766DEB" w:rsidRPr="009D50BC">
              <w:rPr>
                <w:lang w:val="es-ES"/>
              </w:rPr>
              <w:t>7</w:t>
            </w:r>
            <w:r w:rsidR="00914E9A" w:rsidRPr="009D50BC">
              <w:rPr>
                <w:lang w:val="es-ES"/>
              </w:rPr>
              <w:t xml:space="preserve"> </w:t>
            </w:r>
            <w:r w:rsidR="003B5AF4" w:rsidRPr="009D50BC">
              <w:rPr>
                <w:lang w:val="es-ES"/>
              </w:rPr>
              <w:t xml:space="preserve">de </w:t>
            </w:r>
            <w:r w:rsidR="00247BD6" w:rsidRPr="009D50BC">
              <w:rPr>
                <w:lang w:val="es-ES"/>
              </w:rPr>
              <w:t xml:space="preserve">octubre </w:t>
            </w:r>
            <w:r w:rsidR="003B5AF4" w:rsidRPr="009D50BC">
              <w:rPr>
                <w:lang w:val="es-ES"/>
              </w:rPr>
              <w:t xml:space="preserve">de </w:t>
            </w:r>
            <w:r w:rsidR="00EB4E9C" w:rsidRPr="009D50BC">
              <w:rPr>
                <w:lang w:val="es-ES"/>
              </w:rPr>
              <w:t>2017</w:t>
            </w:r>
          </w:p>
        </w:tc>
        <w:tc>
          <w:tcPr>
            <w:tcW w:w="3127" w:type="dxa"/>
          </w:tcPr>
          <w:p w:rsidR="00026953" w:rsidRPr="009D50BC" w:rsidRDefault="006C4F9F" w:rsidP="00026953">
            <w:pPr>
              <w:pStyle w:val="Doccode"/>
              <w:spacing w:before="40"/>
              <w:rPr>
                <w:lang w:val="es-ES"/>
              </w:rPr>
            </w:pPr>
            <w:r w:rsidRPr="009D50BC">
              <w:rPr>
                <w:lang w:val="es-ES"/>
              </w:rPr>
              <w:t>UPOV/</w:t>
            </w:r>
            <w:r w:rsidR="00766DEB" w:rsidRPr="009D50BC">
              <w:rPr>
                <w:lang w:val="es-ES"/>
              </w:rPr>
              <w:t>EAF</w:t>
            </w:r>
            <w:r w:rsidR="00EB4E9C" w:rsidRPr="009D50BC">
              <w:rPr>
                <w:lang w:val="es-ES"/>
              </w:rPr>
              <w:t>/</w:t>
            </w:r>
            <w:r w:rsidR="00026953" w:rsidRPr="009D50BC">
              <w:rPr>
                <w:lang w:val="es-ES"/>
              </w:rPr>
              <w:t>10</w:t>
            </w:r>
            <w:r w:rsidR="00EB4E9C" w:rsidRPr="009D50BC">
              <w:rPr>
                <w:lang w:val="es-ES"/>
              </w:rPr>
              <w:t>/</w:t>
            </w:r>
            <w:r w:rsidR="00913550" w:rsidRPr="009D50BC">
              <w:rPr>
                <w:lang w:val="es-ES"/>
              </w:rPr>
              <w:t>3</w:t>
            </w:r>
          </w:p>
          <w:p w:rsidR="00EB4E9C" w:rsidRPr="009D50BC" w:rsidRDefault="00EB4E9C" w:rsidP="00026953">
            <w:pPr>
              <w:pStyle w:val="Doccode"/>
              <w:spacing w:before="480"/>
              <w:rPr>
                <w:lang w:val="es-ES"/>
              </w:rPr>
            </w:pPr>
            <w:r w:rsidRPr="009D50BC">
              <w:rPr>
                <w:lang w:val="es-ES"/>
              </w:rPr>
              <w:t>Original:</w:t>
            </w:r>
            <w:r w:rsidRPr="009D50BC">
              <w:rPr>
                <w:b w:val="0"/>
                <w:spacing w:val="0"/>
                <w:lang w:val="es-ES"/>
              </w:rPr>
              <w:t xml:space="preserve">  </w:t>
            </w:r>
            <w:r w:rsidR="00913550" w:rsidRPr="009D50BC">
              <w:rPr>
                <w:b w:val="0"/>
                <w:spacing w:val="0"/>
                <w:lang w:val="es-ES"/>
              </w:rPr>
              <w:t>Inglés</w:t>
            </w:r>
          </w:p>
          <w:p w:rsidR="00EB4E9C" w:rsidRPr="009D50BC" w:rsidRDefault="003B5AF4" w:rsidP="007C12F1">
            <w:pPr>
              <w:pStyle w:val="Docoriginal"/>
              <w:spacing w:before="0" w:line="240" w:lineRule="auto"/>
              <w:contextualSpacing w:val="0"/>
              <w:rPr>
                <w:lang w:val="es-ES"/>
              </w:rPr>
            </w:pPr>
            <w:r w:rsidRPr="009D50BC">
              <w:rPr>
                <w:lang w:val="es-ES"/>
              </w:rPr>
              <w:t>Fecha</w:t>
            </w:r>
            <w:r w:rsidR="00EB4E9C" w:rsidRPr="009D50BC">
              <w:rPr>
                <w:lang w:val="es-ES"/>
              </w:rPr>
              <w:t>:</w:t>
            </w:r>
            <w:r w:rsidR="00EB4E9C" w:rsidRPr="009D50BC">
              <w:rPr>
                <w:b w:val="0"/>
                <w:spacing w:val="0"/>
                <w:lang w:val="es-ES"/>
              </w:rPr>
              <w:t xml:space="preserve">  </w:t>
            </w:r>
            <w:r w:rsidR="00913550" w:rsidRPr="009D50BC">
              <w:rPr>
                <w:b w:val="0"/>
                <w:spacing w:val="0"/>
                <w:lang w:val="es-ES"/>
              </w:rPr>
              <w:t>19 de abril de 2018</w:t>
            </w:r>
          </w:p>
        </w:tc>
      </w:tr>
    </w:tbl>
    <w:p w:rsidR="00913550" w:rsidRPr="009D50BC" w:rsidRDefault="008C42F7" w:rsidP="008C42F7">
      <w:pPr>
        <w:pStyle w:val="Titleofdoc0"/>
        <w:rPr>
          <w:lang w:val="es-ES"/>
        </w:rPr>
      </w:pPr>
      <w:bookmarkStart w:id="0" w:name="TitleOfDoc"/>
      <w:bookmarkStart w:id="1" w:name="Prepared"/>
      <w:bookmarkEnd w:id="0"/>
      <w:bookmarkEnd w:id="1"/>
      <w:r w:rsidRPr="009D50BC">
        <w:rPr>
          <w:lang w:val="es-ES_tradnl"/>
        </w:rPr>
        <w:t>INFORME</w:t>
      </w:r>
    </w:p>
    <w:p w:rsidR="006A644A" w:rsidRPr="009D50BC" w:rsidRDefault="00914E9A" w:rsidP="008C42F7">
      <w:pPr>
        <w:pStyle w:val="preparedby1"/>
        <w:jc w:val="left"/>
        <w:rPr>
          <w:lang w:val="es-ES"/>
        </w:rPr>
      </w:pPr>
      <w:r w:rsidRPr="009D50BC">
        <w:rPr>
          <w:lang w:val="es-ES"/>
        </w:rPr>
        <w:t>Document</w:t>
      </w:r>
      <w:r w:rsidR="003B5AF4" w:rsidRPr="009D50BC">
        <w:rPr>
          <w:lang w:val="es-ES"/>
        </w:rPr>
        <w:t>o</w:t>
      </w:r>
      <w:r w:rsidRPr="009D50BC">
        <w:rPr>
          <w:lang w:val="es-ES"/>
        </w:rPr>
        <w:t xml:space="preserve"> </w:t>
      </w:r>
      <w:r w:rsidR="003B5AF4" w:rsidRPr="009D50BC">
        <w:rPr>
          <w:lang w:val="es-ES"/>
        </w:rPr>
        <w:t>preparado por la Oficina de la Unión</w:t>
      </w:r>
    </w:p>
    <w:p w:rsidR="00050E16" w:rsidRPr="009D50BC" w:rsidRDefault="003B5AF4" w:rsidP="006A644A">
      <w:pPr>
        <w:pStyle w:val="Disclaimer"/>
        <w:rPr>
          <w:lang w:val="es-ES"/>
        </w:rPr>
      </w:pPr>
      <w:r w:rsidRPr="009D50BC">
        <w:rPr>
          <w:lang w:val="es-ES"/>
        </w:rPr>
        <w:t xml:space="preserve">Descargo de responsabilidad: </w:t>
      </w:r>
      <w:r w:rsidR="00473AA6" w:rsidRPr="009D50BC">
        <w:rPr>
          <w:lang w:val="es-ES"/>
        </w:rPr>
        <w:t xml:space="preserve"> </w:t>
      </w:r>
      <w:r w:rsidRPr="009D50BC">
        <w:rPr>
          <w:lang w:val="es-ES"/>
        </w:rPr>
        <w:t>el presente documento no constituye un documento de política u orientación de la UPOV</w:t>
      </w:r>
    </w:p>
    <w:p w:rsidR="00913550" w:rsidRPr="00BD23D1" w:rsidRDefault="008C42F7" w:rsidP="00913550">
      <w:pPr>
        <w:pStyle w:val="Heading1"/>
        <w:rPr>
          <w:lang w:val="es-ES_tradnl"/>
        </w:rPr>
      </w:pPr>
      <w:r w:rsidRPr="009D50BC">
        <w:rPr>
          <w:lang w:val="es-ES_tradnl"/>
        </w:rPr>
        <w:t>BIENVENIDA Y DISCURSO DE APERTURA</w:t>
      </w:r>
    </w:p>
    <w:p w:rsidR="00913550" w:rsidRPr="00BD23D1" w:rsidRDefault="00913550" w:rsidP="00913550">
      <w:pPr>
        <w:rPr>
          <w:lang w:val="es-ES_tradnl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8C42F7" w:rsidRPr="009D50BC">
        <w:rPr>
          <w:lang w:val="es-ES_tradnl"/>
        </w:rPr>
        <w:t>La décima reunión sobre la elaboración de un prototipo de formulario electrónico (reunión EAF/10) fue inaugurada y presidida por el Sr. Peter Button, secretario general adjunto de la UPOV, quien dio la bienvenida a los participantes que se encontraban en Ginebra y a los participantes por teleconferencia.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2B3834" w:rsidRPr="009D50BC">
        <w:rPr>
          <w:lang w:val="es-ES_tradnl"/>
        </w:rPr>
        <w:t>La lista de participantes figura en el Anexo I del presente informe.</w:t>
      </w:r>
      <w:r w:rsidR="00913550" w:rsidRPr="00543516">
        <w:rPr>
          <w:lang w:val="es-ES"/>
        </w:rPr>
        <w:t xml:space="preserve">  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E571CE" w:rsidP="00913550">
      <w:pPr>
        <w:pStyle w:val="Heading1"/>
        <w:rPr>
          <w:lang w:val="es-ES"/>
        </w:rPr>
      </w:pPr>
      <w:r w:rsidRPr="009D50BC">
        <w:rPr>
          <w:lang w:val="es-ES_tradnl"/>
        </w:rPr>
        <w:t>APROBACIÓN DEL ORDEN DEL DÍA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E571CE" w:rsidRPr="009D50BC">
        <w:rPr>
          <w:lang w:val="es-ES_tradnl"/>
        </w:rPr>
        <w:t>En la reunión se aprobó el proyecto de orden del día propuesto en el documento UPOV/EAF/10/1 Rev.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E571CE" w:rsidP="00913550">
      <w:pPr>
        <w:pStyle w:val="Heading1"/>
        <w:rPr>
          <w:lang w:val="es-ES"/>
        </w:rPr>
      </w:pPr>
      <w:r w:rsidRPr="009D50BC">
        <w:rPr>
          <w:lang w:val="es-ES_tradnl"/>
        </w:rPr>
        <w:t>NOVEDADES RELATIVAS AL FORMULARIO ELECTRÓNICO DE SOLICITUD</w:t>
      </w:r>
      <w:r w:rsidR="00913550" w:rsidRPr="00543516">
        <w:rPr>
          <w:lang w:val="es-ES"/>
        </w:rPr>
        <w:t xml:space="preserve">  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BC1063" w:rsidRPr="009D50BC">
        <w:rPr>
          <w:lang w:val="es-ES_tradnl"/>
        </w:rPr>
        <w:t xml:space="preserve">En la reunión se examinó el documento UPOV/EAF/10/2 “Novedades relativas al formulario electrónico de solicitud” </w:t>
      </w:r>
      <w:r w:rsidR="00D60EEF" w:rsidRPr="009D50BC">
        <w:rPr>
          <w:lang w:val="es-ES_tradnl"/>
        </w:rPr>
        <w:t xml:space="preserve">y </w:t>
      </w:r>
      <w:r w:rsidR="00B76C4E" w:rsidRPr="009D50BC">
        <w:rPr>
          <w:lang w:val="es-ES_tradnl"/>
        </w:rPr>
        <w:t>la Oficina de la Unión presentó</w:t>
      </w:r>
      <w:r w:rsidR="00D60EEF" w:rsidRPr="009D50BC">
        <w:rPr>
          <w:lang w:val="es-ES_tradnl"/>
        </w:rPr>
        <w:t xml:space="preserve"> una ponencia sobre las últimas novedades relativas a</w:t>
      </w:r>
      <w:r w:rsidR="00EA130F" w:rsidRPr="009D50BC">
        <w:rPr>
          <w:lang w:val="es-ES_tradnl"/>
        </w:rPr>
        <w:t xml:space="preserve"> dicho</w:t>
      </w:r>
      <w:r w:rsidR="00D60EEF" w:rsidRPr="009D50BC">
        <w:rPr>
          <w:lang w:val="es-ES_tradnl"/>
        </w:rPr>
        <w:t xml:space="preserve"> formulario electrónico, de la </w:t>
      </w:r>
      <w:r w:rsidR="00B76C4E" w:rsidRPr="009D50BC">
        <w:rPr>
          <w:lang w:val="es-ES_tradnl"/>
        </w:rPr>
        <w:t>cual</w:t>
      </w:r>
      <w:r w:rsidR="00D60EEF" w:rsidRPr="009D50BC">
        <w:rPr>
          <w:lang w:val="es-ES_tradnl"/>
        </w:rPr>
        <w:t xml:space="preserve"> </w:t>
      </w:r>
      <w:r w:rsidR="00B76C4E" w:rsidRPr="009D50BC">
        <w:rPr>
          <w:lang w:val="es-ES_tradnl"/>
        </w:rPr>
        <w:t xml:space="preserve">figura </w:t>
      </w:r>
      <w:r w:rsidR="00D60EEF" w:rsidRPr="009D50BC">
        <w:rPr>
          <w:lang w:val="es-ES_tradnl"/>
        </w:rPr>
        <w:t>una copia en el Anexo II del presente documento</w:t>
      </w:r>
      <w:r w:rsidR="00BC1063" w:rsidRPr="009D50BC">
        <w:rPr>
          <w:lang w:val="es-ES_tradnl"/>
        </w:rPr>
        <w:t>.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EA130F" w:rsidP="00913550">
      <w:pPr>
        <w:pStyle w:val="Heading2"/>
        <w:rPr>
          <w:lang w:val="es-ES"/>
        </w:rPr>
      </w:pPr>
      <w:r w:rsidRPr="009D50BC">
        <w:rPr>
          <w:lang w:val="es-ES_tradnl"/>
        </w:rPr>
        <w:t>Nombre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keepNext/>
        <w:tabs>
          <w:tab w:val="left" w:pos="567"/>
        </w:tabs>
        <w:rPr>
          <w:lang w:val="es-ES"/>
        </w:rPr>
      </w:pPr>
      <w:r w:rsidRPr="009D50BC">
        <w:rPr>
          <w:color w:val="000000"/>
          <w:spacing w:val="-2"/>
        </w:rPr>
        <w:fldChar w:fldCharType="begin"/>
      </w:r>
      <w:r w:rsidR="00913550" w:rsidRPr="00543516">
        <w:rPr>
          <w:color w:val="000000"/>
          <w:spacing w:val="-2"/>
          <w:lang w:val="es-ES"/>
        </w:rPr>
        <w:instrText xml:space="preserve"> AUTONUM  </w:instrText>
      </w:r>
      <w:r w:rsidRPr="009D50BC">
        <w:rPr>
          <w:color w:val="000000"/>
          <w:spacing w:val="-2"/>
        </w:rPr>
        <w:fldChar w:fldCharType="end"/>
      </w:r>
      <w:r w:rsidR="00913550" w:rsidRPr="00543516">
        <w:rPr>
          <w:color w:val="000000"/>
          <w:spacing w:val="-2"/>
          <w:lang w:val="es-ES"/>
        </w:rPr>
        <w:tab/>
      </w:r>
      <w:r w:rsidR="00EA130F" w:rsidRPr="009D50BC">
        <w:rPr>
          <w:lang w:val="es-ES_tradnl"/>
        </w:rPr>
        <w:t>Los participantes tomaron nota de que</w:t>
      </w:r>
      <w:r w:rsidR="005A5EBB" w:rsidRPr="009D50BC">
        <w:rPr>
          <w:lang w:val="es-ES_tradnl"/>
        </w:rPr>
        <w:t>,</w:t>
      </w:r>
      <w:r w:rsidR="00EA130F" w:rsidRPr="009D50BC">
        <w:rPr>
          <w:lang w:val="es-ES_tradnl"/>
        </w:rPr>
        <w:t xml:space="preserve"> </w:t>
      </w:r>
      <w:r w:rsidR="005A5EBB" w:rsidRPr="009D50BC">
        <w:rPr>
          <w:lang w:val="es-ES_tradnl"/>
        </w:rPr>
        <w:t xml:space="preserve">en su quincuagésima primera sesión ordinaria, celebrada en Ginebra el 26 de octubre de 2017, </w:t>
      </w:r>
      <w:r w:rsidR="00EA130F" w:rsidRPr="009D50BC">
        <w:rPr>
          <w:lang w:val="es-ES_tradnl"/>
        </w:rPr>
        <w:t xml:space="preserve">el Consejo </w:t>
      </w:r>
      <w:r w:rsidR="00A41572" w:rsidRPr="009D50BC">
        <w:rPr>
          <w:lang w:val="es-ES_tradnl"/>
        </w:rPr>
        <w:t xml:space="preserve">había </w:t>
      </w:r>
      <w:r w:rsidR="0005225D" w:rsidRPr="009D50BC">
        <w:rPr>
          <w:lang w:val="es-ES_tradnl"/>
        </w:rPr>
        <w:t>a</w:t>
      </w:r>
      <w:r w:rsidR="00A41572" w:rsidRPr="009D50BC">
        <w:rPr>
          <w:lang w:val="es-ES_tradnl"/>
        </w:rPr>
        <w:t>probado,</w:t>
      </w:r>
      <w:r w:rsidR="00EF065E" w:rsidRPr="009D50BC">
        <w:rPr>
          <w:lang w:val="es-ES_tradnl"/>
        </w:rPr>
        <w:t xml:space="preserve"> </w:t>
      </w:r>
      <w:r w:rsidR="00A41572" w:rsidRPr="009D50BC">
        <w:rPr>
          <w:lang w:val="es-ES_tradnl"/>
        </w:rPr>
        <w:t xml:space="preserve">para el EAF, </w:t>
      </w:r>
      <w:r w:rsidR="00EF065E" w:rsidRPr="009D50BC">
        <w:rPr>
          <w:lang w:val="es-ES_tradnl"/>
        </w:rPr>
        <w:t>el</w:t>
      </w:r>
      <w:r w:rsidR="00EA130F" w:rsidRPr="009D50BC">
        <w:rPr>
          <w:lang w:val="es-ES_tradnl"/>
        </w:rPr>
        <w:t xml:space="preserve"> nuevo nombre </w:t>
      </w:r>
      <w:r w:rsidR="00A41572" w:rsidRPr="009D50BC">
        <w:rPr>
          <w:lang w:val="es-ES_tradnl"/>
        </w:rPr>
        <w:t xml:space="preserve">“UPOV PRISMA” (sigla en inglés de Sistema de información de encaminamiento para datos de variedades vegetales con formularios plurilingües) </w:t>
      </w:r>
      <w:r w:rsidR="00EA130F" w:rsidRPr="009D50BC">
        <w:rPr>
          <w:lang w:val="es-ES_tradnl"/>
        </w:rPr>
        <w:t xml:space="preserve">y </w:t>
      </w:r>
      <w:r w:rsidR="00A41572" w:rsidRPr="009D50BC">
        <w:rPr>
          <w:lang w:val="es-ES_tradnl"/>
        </w:rPr>
        <w:t xml:space="preserve">el </w:t>
      </w:r>
      <w:r w:rsidR="009E5FEC" w:rsidRPr="009D50BC">
        <w:rPr>
          <w:lang w:val="es-ES_tradnl"/>
        </w:rPr>
        <w:t>logo</w:t>
      </w:r>
      <w:r w:rsidR="00A41572" w:rsidRPr="009D50BC">
        <w:rPr>
          <w:lang w:val="es-ES_tradnl"/>
        </w:rPr>
        <w:t xml:space="preserve"> que se muestra a continuación</w:t>
      </w:r>
      <w:r w:rsidR="00EA130F" w:rsidRPr="009D50BC">
        <w:rPr>
          <w:lang w:val="es-ES_tradnl"/>
        </w:rPr>
        <w:t>:</w:t>
      </w:r>
    </w:p>
    <w:p w:rsidR="00913550" w:rsidRPr="009D50BC" w:rsidRDefault="00913550" w:rsidP="00913550">
      <w:pPr>
        <w:ind w:left="567"/>
        <w:jc w:val="center"/>
      </w:pPr>
      <w:r w:rsidRPr="009D50BC">
        <w:rPr>
          <w:noProof/>
        </w:rPr>
        <w:drawing>
          <wp:inline distT="0" distB="0" distL="0" distR="0" wp14:anchorId="052A222B" wp14:editId="3C6D72F6">
            <wp:extent cx="975231" cy="956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ma-color+sha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27" cy="95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50" w:rsidRPr="009D50BC" w:rsidRDefault="00913550" w:rsidP="00913550"/>
    <w:p w:rsidR="00913550" w:rsidRPr="00543516" w:rsidRDefault="00D212AF" w:rsidP="00913550">
      <w:pPr>
        <w:pStyle w:val="Heading2"/>
        <w:rPr>
          <w:lang w:val="es-ES"/>
        </w:rPr>
      </w:pPr>
      <w:r w:rsidRPr="009D50BC">
        <w:rPr>
          <w:lang w:val="es-ES_tradnl"/>
        </w:rPr>
        <w:t>Versiones del EAF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CD5C4A" w:rsidRPr="009D50BC">
        <w:rPr>
          <w:lang w:val="es-ES_tradnl"/>
        </w:rPr>
        <w:t xml:space="preserve">Los participantes tomaron nota de que la </w:t>
      </w:r>
      <w:r w:rsidR="00102DE8" w:rsidRPr="009D50BC">
        <w:rPr>
          <w:lang w:val="es-ES_tradnl"/>
        </w:rPr>
        <w:t>versi</w:t>
      </w:r>
      <w:r w:rsidR="00CD5C4A" w:rsidRPr="009D50BC">
        <w:rPr>
          <w:lang w:val="es-ES_tradnl"/>
        </w:rPr>
        <w:t>ón actual del EAF es la versión </w:t>
      </w:r>
      <w:r w:rsidR="00102DE8" w:rsidRPr="009D50BC">
        <w:rPr>
          <w:lang w:val="es-ES_tradnl"/>
        </w:rPr>
        <w:t>1.1</w:t>
      </w:r>
      <w:r w:rsidR="00CD5C4A" w:rsidRPr="009D50BC">
        <w:rPr>
          <w:lang w:val="es-ES_tradnl"/>
        </w:rPr>
        <w:t>.</w:t>
      </w:r>
      <w:r w:rsidR="00913550" w:rsidRPr="00543516">
        <w:rPr>
          <w:lang w:val="es-ES"/>
        </w:rPr>
        <w:t xml:space="preserve">  </w:t>
      </w:r>
      <w:r w:rsidR="00E63B0E" w:rsidRPr="009D50BC">
        <w:rPr>
          <w:lang w:val="es-ES_tradnl"/>
        </w:rPr>
        <w:t>En la reunión se comunicó que está previsto que la próxima versión (versión 2.0) de UPOV PRISMA (EAF) se pon</w:t>
      </w:r>
      <w:r w:rsidR="00C65D8D" w:rsidRPr="009D50BC">
        <w:rPr>
          <w:lang w:val="es-ES_tradnl"/>
        </w:rPr>
        <w:t>ga</w:t>
      </w:r>
      <w:r w:rsidR="00E63B0E" w:rsidRPr="009D50BC">
        <w:rPr>
          <w:lang w:val="es-ES_tradnl"/>
        </w:rPr>
        <w:t xml:space="preserve"> en funcionamiento a principios de</w:t>
      </w:r>
      <w:r w:rsidR="00186030" w:rsidRPr="009D50BC">
        <w:rPr>
          <w:lang w:val="es-ES_tradnl"/>
        </w:rPr>
        <w:t> </w:t>
      </w:r>
      <w:r w:rsidR="00E63B0E" w:rsidRPr="009D50BC">
        <w:rPr>
          <w:lang w:val="es-ES_tradnl"/>
        </w:rPr>
        <w:t>2018.</w:t>
      </w:r>
    </w:p>
    <w:p w:rsidR="00913550" w:rsidRPr="00543516" w:rsidRDefault="00913550" w:rsidP="00913550">
      <w:pPr>
        <w:spacing w:line="360" w:lineRule="auto"/>
        <w:rPr>
          <w:lang w:val="es-ES"/>
        </w:rPr>
      </w:pPr>
    </w:p>
    <w:p w:rsidR="00913550" w:rsidRPr="00543516" w:rsidRDefault="003049BA" w:rsidP="00913550">
      <w:pPr>
        <w:pStyle w:val="Heading3"/>
        <w:rPr>
          <w:lang w:val="es-ES"/>
        </w:rPr>
      </w:pPr>
      <w:r w:rsidRPr="009D50BC">
        <w:rPr>
          <w:lang w:val="es-ES_tradnl"/>
        </w:rPr>
        <w:lastRenderedPageBreak/>
        <w:t>Versión 1.1</w:t>
      </w:r>
    </w:p>
    <w:p w:rsidR="00913550" w:rsidRPr="00543516" w:rsidRDefault="00913550" w:rsidP="00AE28DE">
      <w:pPr>
        <w:pStyle w:val="Heading4"/>
      </w:pPr>
      <w:bookmarkStart w:id="2" w:name="_Toc477541731"/>
    </w:p>
    <w:bookmarkEnd w:id="2"/>
    <w:p w:rsidR="00913550" w:rsidRPr="00543516" w:rsidRDefault="00EA5C32" w:rsidP="00AE28DE">
      <w:pPr>
        <w:pStyle w:val="Heading4"/>
        <w:rPr>
          <w:lang w:val="es-ES"/>
        </w:rPr>
      </w:pPr>
      <w:r w:rsidRPr="009D50BC">
        <w:t>Miembros de la UPOV participantes</w:t>
      </w:r>
    </w:p>
    <w:p w:rsidR="00913550" w:rsidRPr="00543516" w:rsidRDefault="00913550" w:rsidP="00913550">
      <w:pPr>
        <w:keepNext/>
        <w:rPr>
          <w:sz w:val="18"/>
          <w:lang w:val="es-ES"/>
        </w:rPr>
      </w:pPr>
    </w:p>
    <w:p w:rsidR="00913550" w:rsidRPr="00543516" w:rsidRDefault="00705A08" w:rsidP="00543516">
      <w:pPr>
        <w:keepNext/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EA5C32" w:rsidRPr="009D50BC">
        <w:rPr>
          <w:lang w:val="es-ES_tradnl"/>
        </w:rPr>
        <w:t>Los participantes tomaron nota de que en la versión 1.1 del EAF participan las siguientes oficinas de protección de las obtenciones vegetales</w:t>
      </w:r>
      <w:r w:rsidR="000B25BC" w:rsidRPr="009D50BC">
        <w:rPr>
          <w:lang w:val="es-ES_tradnl"/>
        </w:rPr>
        <w:t>,</w:t>
      </w:r>
      <w:r w:rsidR="00460107" w:rsidRPr="009D50BC">
        <w:rPr>
          <w:lang w:val="es-ES_tradnl"/>
        </w:rPr>
        <w:t xml:space="preserve"> con</w:t>
      </w:r>
      <w:r w:rsidR="00EA5C32" w:rsidRPr="009D50BC">
        <w:rPr>
          <w:lang w:val="es-ES_tradnl"/>
        </w:rPr>
        <w:t xml:space="preserve"> los cultivos</w:t>
      </w:r>
      <w:r w:rsidR="0019640B" w:rsidRPr="009D50BC">
        <w:rPr>
          <w:lang w:val="es-ES_tradnl"/>
        </w:rPr>
        <w:t xml:space="preserve"> que se indican</w:t>
      </w:r>
      <w:r w:rsidR="00EA5C32" w:rsidRPr="009D50BC">
        <w:rPr>
          <w:lang w:val="es-ES_tradnl"/>
        </w:rPr>
        <w:t>:</w:t>
      </w:r>
      <w:r w:rsidR="00913550" w:rsidRPr="00543516">
        <w:rPr>
          <w:lang w:val="es-ES"/>
        </w:rPr>
        <w:t xml:space="preserve"> </w:t>
      </w:r>
    </w:p>
    <w:p w:rsidR="00913550" w:rsidRPr="00543516" w:rsidRDefault="00913550" w:rsidP="00913550">
      <w:pPr>
        <w:rPr>
          <w:lang w:val="es-ES"/>
        </w:rPr>
      </w:pPr>
    </w:p>
    <w:tbl>
      <w:tblPr>
        <w:tblStyle w:val="TableGrid1"/>
        <w:tblW w:w="9202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1239"/>
        <w:gridCol w:w="1170"/>
        <w:gridCol w:w="1276"/>
        <w:gridCol w:w="1134"/>
        <w:gridCol w:w="1134"/>
        <w:gridCol w:w="839"/>
      </w:tblGrid>
      <w:tr w:rsidR="00913550" w:rsidRPr="009D50BC" w:rsidTr="000B25BC">
        <w:trPr>
          <w:cantSplit/>
          <w:trHeight w:val="411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13550" w:rsidRPr="009D50BC" w:rsidRDefault="00D73186" w:rsidP="009D50BC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bookmarkStart w:id="3" w:name="_Toc477541732"/>
            <w:r w:rsidRPr="009D50BC">
              <w:rPr>
                <w:bCs/>
                <w:color w:val="000000"/>
                <w:spacing w:val="-2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1239" w:type="dxa"/>
            <w:shd w:val="clear" w:color="auto" w:fill="F2F2F2" w:themeFill="background1" w:themeFillShade="F2"/>
            <w:noWrap/>
            <w:vAlign w:val="center"/>
          </w:tcPr>
          <w:p w:rsidR="00913550" w:rsidRPr="009D50BC" w:rsidRDefault="00D73186" w:rsidP="009D50BC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Soja</w:t>
            </w:r>
          </w:p>
        </w:tc>
        <w:tc>
          <w:tcPr>
            <w:tcW w:w="1170" w:type="dxa"/>
            <w:shd w:val="clear" w:color="auto" w:fill="F2F2F2" w:themeFill="background1" w:themeFillShade="F2"/>
            <w:noWrap/>
            <w:vAlign w:val="center"/>
          </w:tcPr>
          <w:p w:rsidR="00913550" w:rsidRPr="009D50BC" w:rsidRDefault="00D73186" w:rsidP="009D50BC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Lechuga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:rsidR="00913550" w:rsidRPr="009D50BC" w:rsidRDefault="00D73186" w:rsidP="009D50BC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Variedades frutales de manzano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913550" w:rsidRPr="009D50BC" w:rsidRDefault="00D73186" w:rsidP="009D50BC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Rosal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913550" w:rsidRPr="009D50BC" w:rsidRDefault="00D73186" w:rsidP="009D50BC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Papa/patata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center"/>
            <w:hideMark/>
          </w:tcPr>
          <w:p w:rsidR="00913550" w:rsidRPr="009D50BC" w:rsidRDefault="00D73186" w:rsidP="009D50BC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bCs/>
                <w:color w:val="000000"/>
                <w:spacing w:val="-2"/>
                <w:sz w:val="17"/>
                <w:szCs w:val="17"/>
                <w:lang w:val="es-ES_tradnl"/>
              </w:rPr>
              <w:t>Total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Argentina</w:t>
            </w:r>
          </w:p>
        </w:tc>
        <w:tc>
          <w:tcPr>
            <w:tcW w:w="12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4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Australia</w:t>
            </w:r>
          </w:p>
        </w:tc>
        <w:tc>
          <w:tcPr>
            <w:tcW w:w="12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Chile</w:t>
            </w:r>
          </w:p>
        </w:tc>
        <w:tc>
          <w:tcPr>
            <w:tcW w:w="12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keepNext/>
              <w:jc w:val="left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  <w:lang w:val="es-ES_tradnl"/>
              </w:rPr>
              <w:t>China</w:t>
            </w:r>
          </w:p>
        </w:tc>
        <w:tc>
          <w:tcPr>
            <w:tcW w:w="1239" w:type="dxa"/>
            <w:noWrap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70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aps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839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2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keepNext/>
              <w:jc w:val="left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  <w:lang w:val="es-ES_tradnl"/>
              </w:rPr>
              <w:t>Colombia</w:t>
            </w:r>
          </w:p>
        </w:tc>
        <w:tc>
          <w:tcPr>
            <w:tcW w:w="1239" w:type="dxa"/>
            <w:noWrap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70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aps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839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1</w:t>
            </w:r>
          </w:p>
        </w:tc>
      </w:tr>
      <w:tr w:rsidR="000035F6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0035F6" w:rsidRPr="009D50BC" w:rsidRDefault="000035F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Estados Unidos de América</w:t>
            </w:r>
          </w:p>
        </w:tc>
        <w:tc>
          <w:tcPr>
            <w:tcW w:w="1239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3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Francia</w:t>
            </w:r>
          </w:p>
        </w:tc>
        <w:tc>
          <w:tcPr>
            <w:tcW w:w="12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Kenya</w:t>
            </w:r>
          </w:p>
        </w:tc>
        <w:tc>
          <w:tcPr>
            <w:tcW w:w="12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Nueva Zelandia</w:t>
            </w:r>
          </w:p>
        </w:tc>
        <w:tc>
          <w:tcPr>
            <w:tcW w:w="12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7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4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Noruega</w:t>
            </w:r>
          </w:p>
        </w:tc>
        <w:tc>
          <w:tcPr>
            <w:tcW w:w="12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0035F6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0035F6" w:rsidRPr="009D50BC" w:rsidRDefault="000035F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Países Bajos</w:t>
            </w:r>
          </w:p>
        </w:tc>
        <w:tc>
          <w:tcPr>
            <w:tcW w:w="1239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0035F6" w:rsidRPr="009D50BC" w:rsidRDefault="000035F6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keepNext/>
              <w:jc w:val="left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  <w:lang w:val="es-ES_tradnl"/>
              </w:rPr>
              <w:t>República de Moldova</w:t>
            </w:r>
          </w:p>
        </w:tc>
        <w:tc>
          <w:tcPr>
            <w:tcW w:w="1239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Suiza</w:t>
            </w:r>
          </w:p>
        </w:tc>
        <w:tc>
          <w:tcPr>
            <w:tcW w:w="1239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Túnez</w:t>
            </w:r>
          </w:p>
        </w:tc>
        <w:tc>
          <w:tcPr>
            <w:tcW w:w="12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keepNext/>
              <w:jc w:val="left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  <w:lang w:val="es-ES_tradnl"/>
              </w:rPr>
              <w:t>Turquía</w:t>
            </w:r>
          </w:p>
        </w:tc>
        <w:tc>
          <w:tcPr>
            <w:tcW w:w="1239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D73186" w:rsidP="009D50BC">
            <w:pPr>
              <w:keepNext/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  <w:lang w:val="es-ES_tradnl"/>
              </w:rPr>
              <w:t>Uruguay</w:t>
            </w:r>
          </w:p>
        </w:tc>
        <w:tc>
          <w:tcPr>
            <w:tcW w:w="1239" w:type="dxa"/>
            <w:noWrap/>
            <w:vAlign w:val="center"/>
            <w:hideMark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color w:val="000000"/>
                <w:spacing w:val="-2"/>
                <w:sz w:val="17"/>
                <w:szCs w:val="17"/>
              </w:rPr>
              <w:t>3</w:t>
            </w:r>
          </w:p>
        </w:tc>
      </w:tr>
      <w:tr w:rsidR="00913550" w:rsidRPr="009D50BC" w:rsidTr="002E5FB3">
        <w:trPr>
          <w:cantSplit/>
          <w:jc w:val="center"/>
        </w:trPr>
        <w:tc>
          <w:tcPr>
            <w:tcW w:w="2410" w:type="dxa"/>
            <w:vAlign w:val="center"/>
          </w:tcPr>
          <w:p w:rsidR="00913550" w:rsidRPr="009D50BC" w:rsidRDefault="00913550" w:rsidP="002E5FB3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bCs/>
                <w:color w:val="000000"/>
                <w:spacing w:val="-2"/>
                <w:sz w:val="17"/>
                <w:szCs w:val="17"/>
              </w:rPr>
              <w:t>16</w:t>
            </w:r>
          </w:p>
        </w:tc>
        <w:tc>
          <w:tcPr>
            <w:tcW w:w="1239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bCs/>
                <w:color w:val="000000"/>
                <w:spacing w:val="-2"/>
                <w:sz w:val="17"/>
                <w:szCs w:val="17"/>
              </w:rPr>
              <w:t>13</w:t>
            </w:r>
          </w:p>
        </w:tc>
        <w:tc>
          <w:tcPr>
            <w:tcW w:w="1170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bCs/>
                <w:color w:val="000000"/>
                <w:spacing w:val="-2"/>
                <w:sz w:val="17"/>
                <w:szCs w:val="17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bCs/>
                <w:color w:val="000000"/>
                <w:spacing w:val="-2"/>
                <w:sz w:val="17"/>
                <w:szCs w:val="17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bCs/>
                <w:color w:val="000000"/>
                <w:spacing w:val="-2"/>
                <w:sz w:val="17"/>
                <w:szCs w:val="17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9D50BC">
              <w:rPr>
                <w:bCs/>
                <w:color w:val="000000"/>
                <w:spacing w:val="-2"/>
                <w:sz w:val="17"/>
                <w:szCs w:val="17"/>
              </w:rPr>
              <w:t>14</w:t>
            </w:r>
          </w:p>
        </w:tc>
        <w:tc>
          <w:tcPr>
            <w:tcW w:w="839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</w:p>
        </w:tc>
      </w:tr>
    </w:tbl>
    <w:p w:rsidR="00913550" w:rsidRPr="009D50BC" w:rsidRDefault="00913550" w:rsidP="00913550">
      <w:pPr>
        <w:spacing w:line="360" w:lineRule="auto"/>
      </w:pPr>
    </w:p>
    <w:bookmarkEnd w:id="3"/>
    <w:p w:rsidR="00913550" w:rsidRPr="00AE28DE" w:rsidRDefault="00D73186" w:rsidP="00AE28DE">
      <w:pPr>
        <w:pStyle w:val="Heading4"/>
      </w:pPr>
      <w:r w:rsidRPr="00AE28DE">
        <w:t>Idiomas</w:t>
      </w:r>
    </w:p>
    <w:p w:rsidR="00913550" w:rsidRPr="009D50BC" w:rsidRDefault="00913550" w:rsidP="00913550">
      <w:pPr>
        <w:keepNext/>
        <w:rPr>
          <w:sz w:val="18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C92040" w:rsidRPr="009D50BC">
        <w:rPr>
          <w:lang w:val="es-ES_tradnl"/>
        </w:rPr>
        <w:t>Los participantes tomaron nota de que todas las páginas web y todos los elementos (las preguntas) de todos los formularios de solicitud y cuestionarios técnicos de todas las oficinas de protección de las obtenciones vegetales participantes se presentan en alemán, chino, español, francés e inglés (“idiomas de navegación”).</w:t>
      </w:r>
    </w:p>
    <w:p w:rsidR="00913550" w:rsidRPr="00543516" w:rsidRDefault="00913550" w:rsidP="00913550">
      <w:pPr>
        <w:rPr>
          <w:lang w:val="es-ES"/>
        </w:rPr>
      </w:pPr>
    </w:p>
    <w:p w:rsidR="00913550" w:rsidRPr="00AE28DE" w:rsidRDefault="00705A08" w:rsidP="00543516">
      <w:pPr>
        <w:tabs>
          <w:tab w:val="left" w:pos="567"/>
        </w:tabs>
        <w:rPr>
          <w:spacing w:val="-2"/>
          <w:lang w:val="es-ES"/>
        </w:rPr>
      </w:pPr>
      <w:r w:rsidRPr="00AE28DE">
        <w:rPr>
          <w:spacing w:val="-2"/>
        </w:rPr>
        <w:fldChar w:fldCharType="begin"/>
      </w:r>
      <w:r w:rsidR="00913550" w:rsidRPr="00AE28DE">
        <w:rPr>
          <w:spacing w:val="-2"/>
          <w:lang w:val="es-ES"/>
        </w:rPr>
        <w:instrText xml:space="preserve"> AUTONUM  </w:instrText>
      </w:r>
      <w:r w:rsidRPr="00AE28DE">
        <w:rPr>
          <w:spacing w:val="-2"/>
        </w:rPr>
        <w:fldChar w:fldCharType="end"/>
      </w:r>
      <w:r w:rsidR="00913550" w:rsidRPr="00AE28DE">
        <w:rPr>
          <w:spacing w:val="-2"/>
          <w:lang w:val="es-ES"/>
        </w:rPr>
        <w:tab/>
      </w:r>
      <w:r w:rsidR="00C92040" w:rsidRPr="00AE28DE">
        <w:rPr>
          <w:spacing w:val="-2"/>
          <w:lang w:val="es-ES_tradnl"/>
        </w:rPr>
        <w:t>Los participantes tomaron nota de que la versión 1.1 del EAF genera formularios de solicitud y cuestionarios técnicos en los idiomas especificados por las oficinas de protección de las obtenciones vegetales participantes (“idiomas de los formularios de salida”).</w:t>
      </w:r>
      <w:r w:rsidR="00913550" w:rsidRPr="00AE28DE">
        <w:rPr>
          <w:spacing w:val="-2"/>
          <w:lang w:val="es-ES"/>
        </w:rPr>
        <w:t xml:space="preserve">  </w:t>
      </w:r>
      <w:r w:rsidR="005757A5" w:rsidRPr="00AE28DE">
        <w:rPr>
          <w:spacing w:val="-2"/>
          <w:lang w:val="es-ES_tradnl"/>
        </w:rPr>
        <w:t>En la versión 1.1, los idiomas de los formularios de salida son el alemán, el chino, el español, el francés, el inglés, el noruego, el rumano y el turco.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5757A5" w:rsidRPr="009D50BC">
        <w:rPr>
          <w:lang w:val="es-ES_tradnl"/>
        </w:rPr>
        <w:t xml:space="preserve">Los participantes tomaron nota de que </w:t>
      </w:r>
      <w:r w:rsidR="008D4151" w:rsidRPr="009D50BC">
        <w:rPr>
          <w:lang w:val="es-ES_tradnl"/>
        </w:rPr>
        <w:t xml:space="preserve">la información </w:t>
      </w:r>
      <w:r w:rsidR="00472367" w:rsidRPr="009D50BC">
        <w:rPr>
          <w:lang w:val="es-ES_tradnl"/>
        </w:rPr>
        <w:t>ha de</w:t>
      </w:r>
      <w:r w:rsidR="005757A5" w:rsidRPr="009D50BC">
        <w:rPr>
          <w:lang w:val="es-ES_tradnl"/>
        </w:rPr>
        <w:t xml:space="preserve"> introducir</w:t>
      </w:r>
      <w:r w:rsidR="00472367" w:rsidRPr="009D50BC">
        <w:rPr>
          <w:lang w:val="es-ES_tradnl"/>
        </w:rPr>
        <w:t>se</w:t>
      </w:r>
      <w:r w:rsidR="005757A5" w:rsidRPr="009D50BC">
        <w:rPr>
          <w:lang w:val="es-ES_tradnl"/>
        </w:rPr>
        <w:t xml:space="preserve"> en un idioma admitido por la oficina de protección de las obtenciones vegetales en cuestión, si bien las respuestas que se seleccionen en las listas desplegables (por ejemplo, los caracteres y los niveles de expresión) se traducen automáticamente en el caso de los idiomas de navegación.</w:t>
      </w:r>
      <w:r w:rsidR="00913550" w:rsidRPr="00543516">
        <w:rPr>
          <w:lang w:val="es-ES"/>
        </w:rPr>
        <w:t xml:space="preserve"> 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930E83" w:rsidP="00AE28DE">
      <w:pPr>
        <w:pStyle w:val="Heading4"/>
        <w:rPr>
          <w:lang w:val="es-ES"/>
        </w:rPr>
      </w:pPr>
      <w:r w:rsidRPr="009D50BC">
        <w:t>Hoja de estilo del formulario de solicitud</w:t>
      </w:r>
    </w:p>
    <w:p w:rsidR="00913550" w:rsidRPr="00543516" w:rsidRDefault="00913550" w:rsidP="00913550">
      <w:pPr>
        <w:keepNext/>
        <w:rPr>
          <w:sz w:val="18"/>
          <w:lang w:val="es-ES"/>
        </w:rPr>
      </w:pPr>
    </w:p>
    <w:p w:rsidR="00913550" w:rsidRPr="00543516" w:rsidRDefault="00913550" w:rsidP="00543516">
      <w:pPr>
        <w:tabs>
          <w:tab w:val="left" w:pos="567"/>
        </w:tabs>
        <w:rPr>
          <w:lang w:val="es-ES"/>
        </w:rPr>
      </w:pPr>
      <w:r w:rsidRPr="00543516">
        <w:rPr>
          <w:lang w:val="es-ES"/>
        </w:rPr>
        <w:t>11.</w:t>
      </w:r>
      <w:r w:rsidRPr="00543516">
        <w:rPr>
          <w:lang w:val="es-ES"/>
        </w:rPr>
        <w:tab/>
      </w:r>
      <w:r w:rsidR="00930E83" w:rsidRPr="009D50BC">
        <w:rPr>
          <w:lang w:val="es-ES_tradnl"/>
        </w:rPr>
        <w:t>Los participantes tomaron nota de que</w:t>
      </w:r>
      <w:r w:rsidR="009565FA" w:rsidRPr="009D50BC">
        <w:rPr>
          <w:lang w:val="es-ES_tradnl"/>
        </w:rPr>
        <w:t xml:space="preserve"> las oficinas de protección de las obtenciones vegetales que lo solicit</w:t>
      </w:r>
      <w:r w:rsidR="00403D99" w:rsidRPr="009D50BC">
        <w:rPr>
          <w:lang w:val="es-ES_tradnl"/>
        </w:rPr>
        <w:t>e</w:t>
      </w:r>
      <w:r w:rsidR="009565FA" w:rsidRPr="009D50BC">
        <w:rPr>
          <w:lang w:val="es-ES_tradnl"/>
        </w:rPr>
        <w:t xml:space="preserve">n </w:t>
      </w:r>
      <w:r w:rsidR="008C4E02" w:rsidRPr="009D50BC">
        <w:rPr>
          <w:lang w:val="es-ES_tradnl"/>
        </w:rPr>
        <w:t xml:space="preserve">podrán </w:t>
      </w:r>
      <w:r w:rsidR="009565FA" w:rsidRPr="009D50BC">
        <w:rPr>
          <w:lang w:val="es-ES_tradnl"/>
        </w:rPr>
        <w:t>recibir el formulario de solicitud en un formato adaptado (por ejemplo, con el logo de la oficina en cuestión), siempre que facilit</w:t>
      </w:r>
      <w:r w:rsidR="008C4E02" w:rsidRPr="009D50BC">
        <w:rPr>
          <w:lang w:val="es-ES_tradnl"/>
        </w:rPr>
        <w:t>e</w:t>
      </w:r>
      <w:r w:rsidR="009565FA" w:rsidRPr="009D50BC">
        <w:rPr>
          <w:lang w:val="es-ES_tradnl"/>
        </w:rPr>
        <w:t>n la información pertinente conforme al formato especificado</w:t>
      </w:r>
      <w:r w:rsidR="00930E83" w:rsidRPr="009D50BC">
        <w:rPr>
          <w:lang w:val="es-ES_tradnl"/>
        </w:rPr>
        <w:t>.</w:t>
      </w:r>
    </w:p>
    <w:p w:rsidR="00913550" w:rsidRPr="00543516" w:rsidRDefault="00913550" w:rsidP="00913550">
      <w:pPr>
        <w:spacing w:line="360" w:lineRule="auto"/>
        <w:rPr>
          <w:lang w:val="es-ES"/>
        </w:rPr>
      </w:pPr>
    </w:p>
    <w:p w:rsidR="00913550" w:rsidRPr="00543516" w:rsidRDefault="008448F0" w:rsidP="00913550">
      <w:pPr>
        <w:pStyle w:val="Heading3"/>
        <w:rPr>
          <w:lang w:val="es-ES"/>
        </w:rPr>
      </w:pPr>
      <w:r w:rsidRPr="009D50BC">
        <w:rPr>
          <w:lang w:val="es-ES_tradnl"/>
        </w:rPr>
        <w:lastRenderedPageBreak/>
        <w:t>Versión 2.0</w:t>
      </w:r>
    </w:p>
    <w:p w:rsidR="00913550" w:rsidRPr="00543516" w:rsidRDefault="00913550" w:rsidP="00AE28DE">
      <w:pPr>
        <w:pStyle w:val="Heading4"/>
      </w:pPr>
    </w:p>
    <w:p w:rsidR="00913550" w:rsidRPr="00543516" w:rsidRDefault="008448F0" w:rsidP="00AE28DE">
      <w:pPr>
        <w:pStyle w:val="Heading4"/>
        <w:rPr>
          <w:lang w:val="es-ES"/>
        </w:rPr>
      </w:pPr>
      <w:r w:rsidRPr="009D50BC">
        <w:t>Miembros de la UPOV participantes</w:t>
      </w:r>
    </w:p>
    <w:p w:rsidR="00913550" w:rsidRPr="00543516" w:rsidRDefault="00913550" w:rsidP="00913550">
      <w:pPr>
        <w:keepNext/>
        <w:rPr>
          <w:sz w:val="18"/>
          <w:lang w:val="es-ES"/>
        </w:rPr>
      </w:pPr>
    </w:p>
    <w:p w:rsidR="00913550" w:rsidRPr="00543516" w:rsidRDefault="00705A08" w:rsidP="00543516">
      <w:pPr>
        <w:keepNext/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8448F0" w:rsidRPr="009D50BC">
        <w:rPr>
          <w:lang w:val="es-ES_tradnl"/>
        </w:rPr>
        <w:t>Los participantes tomaron nota de que los siguientes miembros de la Unión han expresado su intención de participar en la versión</w:t>
      </w:r>
      <w:r w:rsidR="004C0F70" w:rsidRPr="009D50BC">
        <w:rPr>
          <w:lang w:val="es-ES_tradnl"/>
        </w:rPr>
        <w:t> </w:t>
      </w:r>
      <w:r w:rsidR="008448F0" w:rsidRPr="009D50BC">
        <w:rPr>
          <w:lang w:val="es-ES_tradnl"/>
        </w:rPr>
        <w:t xml:space="preserve">2.0 </w:t>
      </w:r>
      <w:r w:rsidR="004C0F70" w:rsidRPr="009D50BC">
        <w:rPr>
          <w:lang w:val="es-ES_tradnl"/>
        </w:rPr>
        <w:t>de UPOV PRISMA (</w:t>
      </w:r>
      <w:r w:rsidR="008448F0" w:rsidRPr="009D50BC">
        <w:rPr>
          <w:lang w:val="es-ES_tradnl"/>
        </w:rPr>
        <w:t>EAF</w:t>
      </w:r>
      <w:r w:rsidR="004C0F70" w:rsidRPr="009D50BC">
        <w:rPr>
          <w:lang w:val="es-ES_tradnl"/>
        </w:rPr>
        <w:t>)</w:t>
      </w:r>
      <w:r w:rsidR="008448F0" w:rsidRPr="009D50BC">
        <w:rPr>
          <w:lang w:val="es-ES_tradnl"/>
        </w:rPr>
        <w:t xml:space="preserve"> (circular E</w:t>
      </w:r>
      <w:r w:rsidR="00DB59D2" w:rsidRPr="009D50BC">
        <w:rPr>
          <w:lang w:val="es-ES_tradnl"/>
        </w:rPr>
        <w:noBreakHyphen/>
      </w:r>
      <w:r w:rsidR="008448F0" w:rsidRPr="009D50BC">
        <w:rPr>
          <w:lang w:val="es-ES_tradnl"/>
        </w:rPr>
        <w:t>17/132):</w:t>
      </w:r>
    </w:p>
    <w:p w:rsidR="00913550" w:rsidRPr="00543516" w:rsidRDefault="00913550" w:rsidP="00913550">
      <w:pPr>
        <w:keepNext/>
        <w:rPr>
          <w:lang w:val="es-ES"/>
        </w:rPr>
      </w:pPr>
    </w:p>
    <w:tbl>
      <w:tblPr>
        <w:tblStyle w:val="TableGrid1"/>
        <w:tblW w:w="10008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67"/>
        <w:gridCol w:w="420"/>
        <w:gridCol w:w="1498"/>
        <w:gridCol w:w="1232"/>
        <w:gridCol w:w="4491"/>
      </w:tblGrid>
      <w:tr w:rsidR="00913550" w:rsidRPr="00BD23D1" w:rsidTr="00BD23D1">
        <w:trPr>
          <w:cantSplit/>
          <w:tblHeader/>
        </w:trPr>
        <w:tc>
          <w:tcPr>
            <w:tcW w:w="2787" w:type="dxa"/>
            <w:gridSpan w:val="2"/>
            <w:shd w:val="clear" w:color="auto" w:fill="F2F2F2" w:themeFill="background1" w:themeFillShade="F2"/>
            <w:vAlign w:val="center"/>
          </w:tcPr>
          <w:p w:rsidR="00913550" w:rsidRPr="009D50BC" w:rsidRDefault="00DB59D2" w:rsidP="009D50BC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913550" w:rsidRPr="00543516" w:rsidRDefault="00DB59D2" w:rsidP="009D50BC">
            <w:pPr>
              <w:keepNext/>
              <w:jc w:val="center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Participa actualmente en la versión 1.0 o 1.1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913550" w:rsidRPr="00543516" w:rsidRDefault="00DB59D2" w:rsidP="009D50BC">
            <w:pPr>
              <w:keepNext/>
              <w:jc w:val="center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Tiene intención de participar en la versión 2.0</w:t>
            </w:r>
          </w:p>
        </w:tc>
        <w:tc>
          <w:tcPr>
            <w:tcW w:w="4491" w:type="dxa"/>
            <w:shd w:val="clear" w:color="auto" w:fill="F2F2F2" w:themeFill="background1" w:themeFillShade="F2"/>
            <w:vAlign w:val="center"/>
          </w:tcPr>
          <w:p w:rsidR="00913550" w:rsidRPr="00543516" w:rsidRDefault="00DB59D2" w:rsidP="009D50BC">
            <w:pPr>
              <w:keepNext/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Cultivos que prevé admitir en la versión 2.0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DB59D2" w:rsidP="009D50BC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Argentina</w:t>
            </w:r>
          </w:p>
        </w:tc>
        <w:tc>
          <w:tcPr>
            <w:tcW w:w="420" w:type="dxa"/>
            <w:noWrap/>
            <w:vAlign w:val="center"/>
            <w:hideMark/>
          </w:tcPr>
          <w:p w:rsidR="00913550" w:rsidRPr="009D50BC" w:rsidRDefault="00913550" w:rsidP="00DB59D2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AR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DB59D2" w:rsidP="009D50BC">
            <w:pPr>
              <w:keepNext/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Variedades frutales de manzano, papa/patata, rosal, soja y trigo, cebada, maíz, vid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Australia</w:t>
            </w:r>
          </w:p>
        </w:tc>
        <w:tc>
          <w:tcPr>
            <w:tcW w:w="420" w:type="dxa"/>
            <w:noWrap/>
            <w:vAlign w:val="center"/>
            <w:hideMark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AU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keepNext/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913550" w:rsidRPr="009D50BC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Bolivia (Estado Plurinacional de)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BO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Arroz, trigo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Canadá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 salvo algas, bacterias y hongos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Chile</w:t>
            </w:r>
          </w:p>
        </w:tc>
        <w:tc>
          <w:tcPr>
            <w:tcW w:w="42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CL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913550" w:rsidRPr="009D50BC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keepNext/>
              <w:jc w:val="left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  <w:lang w:val="es-ES_tradnl"/>
              </w:rPr>
              <w:t>China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t>CN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Lechuga, rosal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keepNext/>
              <w:jc w:val="left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  <w:lang w:val="es-ES_tradnl"/>
              </w:rPr>
              <w:t>Colombia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t>CO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 xml:space="preserve">Rosal, clavel, </w:t>
            </w:r>
            <w:r w:rsidRPr="009D50BC">
              <w:rPr>
                <w:i/>
                <w:color w:val="000000"/>
                <w:sz w:val="17"/>
                <w:szCs w:val="17"/>
                <w:lang w:val="es-ES_tradnl"/>
              </w:rPr>
              <w:t>Alstroemeria</w:t>
            </w:r>
            <w:r w:rsidRPr="009D50BC">
              <w:rPr>
                <w:color w:val="000000"/>
                <w:sz w:val="17"/>
                <w:szCs w:val="17"/>
                <w:lang w:val="es-ES_tradnl"/>
              </w:rPr>
              <w:t>, crisantemo, gipsófila</w:t>
            </w:r>
          </w:p>
        </w:tc>
      </w:tr>
      <w:tr w:rsidR="00632CEC" w:rsidRPr="00BD23D1" w:rsidTr="00BD23D1">
        <w:trPr>
          <w:cantSplit/>
        </w:trPr>
        <w:tc>
          <w:tcPr>
            <w:tcW w:w="2367" w:type="dxa"/>
            <w:vAlign w:val="center"/>
          </w:tcPr>
          <w:p w:rsidR="00632CEC" w:rsidRPr="009D50BC" w:rsidRDefault="00632CEC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Estados Unidos de América</w:t>
            </w:r>
          </w:p>
        </w:tc>
        <w:tc>
          <w:tcPr>
            <w:tcW w:w="420" w:type="dxa"/>
            <w:noWrap/>
            <w:vAlign w:val="center"/>
            <w:hideMark/>
          </w:tcPr>
          <w:p w:rsidR="00632CEC" w:rsidRPr="009D50BC" w:rsidRDefault="00632CEC" w:rsidP="004C6EFF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US</w:t>
            </w:r>
          </w:p>
        </w:tc>
        <w:tc>
          <w:tcPr>
            <w:tcW w:w="1498" w:type="dxa"/>
            <w:vAlign w:val="center"/>
          </w:tcPr>
          <w:p w:rsidR="00632CEC" w:rsidRPr="009D50BC" w:rsidRDefault="00632CEC" w:rsidP="004C6EFF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632CEC" w:rsidRPr="009D50BC" w:rsidRDefault="00632CEC" w:rsidP="004C6EFF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632CEC" w:rsidRPr="00543516" w:rsidRDefault="00632CEC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Lechuga, papa/patata, soja y trigo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Francia</w:t>
            </w:r>
          </w:p>
        </w:tc>
        <w:tc>
          <w:tcPr>
            <w:tcW w:w="42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FR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Georgia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GE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Maíz, trigo, haboncillo, alubia, manzano (variedades frutales), peral, cebada, avena, papa/patata, cerezo (cerezo dulce), frambueso, tomate, durazno/melocotonero, avellano, zarzamora, soja, girasol, nogal, arándano, garbanzo, lenteja</w:t>
            </w:r>
          </w:p>
        </w:tc>
      </w:tr>
      <w:tr w:rsidR="00913550" w:rsidRPr="009D50BC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Japón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JP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caps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por confirmar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Kenya</w:t>
            </w:r>
          </w:p>
        </w:tc>
        <w:tc>
          <w:tcPr>
            <w:tcW w:w="42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KE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913550" w:rsidRPr="009D50BC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México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MX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87 cultivos seleccionados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Nueva Zelandia</w:t>
            </w:r>
          </w:p>
        </w:tc>
        <w:tc>
          <w:tcPr>
            <w:tcW w:w="42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NZ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Noruega</w:t>
            </w:r>
          </w:p>
        </w:tc>
        <w:tc>
          <w:tcPr>
            <w:tcW w:w="42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NO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ED4136" w:rsidRPr="00BD23D1" w:rsidTr="00BD23D1">
        <w:trPr>
          <w:cantSplit/>
        </w:trPr>
        <w:tc>
          <w:tcPr>
            <w:tcW w:w="2367" w:type="dxa"/>
            <w:vAlign w:val="center"/>
          </w:tcPr>
          <w:p w:rsidR="00ED4136" w:rsidRPr="009D50BC" w:rsidRDefault="00ED4136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Países Bajos</w:t>
            </w:r>
          </w:p>
        </w:tc>
        <w:tc>
          <w:tcPr>
            <w:tcW w:w="420" w:type="dxa"/>
            <w:noWrap/>
            <w:vAlign w:val="center"/>
            <w:hideMark/>
          </w:tcPr>
          <w:p w:rsidR="00ED4136" w:rsidRPr="009D50BC" w:rsidRDefault="00ED4136" w:rsidP="00372CAE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NL</w:t>
            </w:r>
          </w:p>
        </w:tc>
        <w:tc>
          <w:tcPr>
            <w:tcW w:w="1498" w:type="dxa"/>
            <w:vAlign w:val="center"/>
          </w:tcPr>
          <w:p w:rsidR="00ED4136" w:rsidRPr="009D50BC" w:rsidRDefault="00ED4136" w:rsidP="00372CAE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ED4136" w:rsidRPr="009D50BC" w:rsidRDefault="00ED4136" w:rsidP="00372CAE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ED4136" w:rsidRPr="00543516" w:rsidRDefault="00ED4136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913550" w:rsidRPr="009D50BC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keepNext/>
              <w:jc w:val="left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  <w:lang w:val="es-ES_tradnl"/>
              </w:rPr>
              <w:t>Paraguay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t>PY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Soja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keepNext/>
              <w:jc w:val="left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  <w:lang w:val="es-ES_tradnl"/>
              </w:rPr>
              <w:t>República de Moldova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</w:rPr>
              <w:t>MD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Maíz, trigo, guisante/arveja, cebada, ciruelo europeo, tomate, vid, pimiento, ají, chile, girasol, nogal, variedades frutales de manzano, lechuga, papa/patata, rosal, soja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Suiza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CH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Túnez</w:t>
            </w:r>
          </w:p>
        </w:tc>
        <w:tc>
          <w:tcPr>
            <w:tcW w:w="42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</w:rPr>
              <w:t>TN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keepNext/>
              <w:jc w:val="left"/>
              <w:rPr>
                <w:sz w:val="17"/>
                <w:szCs w:val="17"/>
              </w:rPr>
            </w:pPr>
            <w:r w:rsidRPr="009D50BC">
              <w:rPr>
                <w:sz w:val="17"/>
                <w:szCs w:val="17"/>
                <w:lang w:val="es-ES_tradnl"/>
              </w:rPr>
              <w:t>Turquía</w:t>
            </w:r>
          </w:p>
        </w:tc>
        <w:tc>
          <w:tcPr>
            <w:tcW w:w="420" w:type="dxa"/>
            <w:noWrap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noProof/>
                <w:sz w:val="17"/>
                <w:szCs w:val="17"/>
              </w:rPr>
            </w:pPr>
            <w:r w:rsidRPr="009D50BC">
              <w:rPr>
                <w:noProof/>
                <w:sz w:val="17"/>
                <w:szCs w:val="17"/>
              </w:rPr>
              <w:t>TR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keepNext/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632CEC" w:rsidRPr="00BD23D1" w:rsidTr="00BD23D1">
        <w:trPr>
          <w:cantSplit/>
        </w:trPr>
        <w:tc>
          <w:tcPr>
            <w:tcW w:w="2367" w:type="dxa"/>
            <w:vAlign w:val="center"/>
          </w:tcPr>
          <w:p w:rsidR="00632CEC" w:rsidRPr="009D50BC" w:rsidRDefault="00632CEC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Unión Europea</w:t>
            </w:r>
          </w:p>
        </w:tc>
        <w:tc>
          <w:tcPr>
            <w:tcW w:w="420" w:type="dxa"/>
            <w:noWrap/>
            <w:vAlign w:val="center"/>
          </w:tcPr>
          <w:p w:rsidR="00632CEC" w:rsidRPr="009D50BC" w:rsidRDefault="00632CEC" w:rsidP="004C6EFF">
            <w:pPr>
              <w:jc w:val="center"/>
              <w:rPr>
                <w:noProof/>
                <w:color w:val="000000"/>
                <w:sz w:val="17"/>
                <w:szCs w:val="17"/>
              </w:rPr>
            </w:pPr>
            <w:r w:rsidRPr="009D50BC">
              <w:rPr>
                <w:noProof/>
                <w:color w:val="000000"/>
                <w:sz w:val="17"/>
                <w:szCs w:val="17"/>
              </w:rPr>
              <w:t>QZ</w:t>
            </w:r>
          </w:p>
        </w:tc>
        <w:tc>
          <w:tcPr>
            <w:tcW w:w="1498" w:type="dxa"/>
            <w:vAlign w:val="center"/>
          </w:tcPr>
          <w:p w:rsidR="00632CEC" w:rsidRPr="009D50BC" w:rsidRDefault="00632CEC" w:rsidP="004C6EFF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632CEC" w:rsidRPr="009D50BC" w:rsidRDefault="00632CEC" w:rsidP="004C6EFF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632CEC" w:rsidRPr="00543516" w:rsidRDefault="00632CEC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Variedades frutales de manzano, lechuga, papa/patata, rosal, soja</w:t>
            </w:r>
          </w:p>
        </w:tc>
      </w:tr>
      <w:tr w:rsidR="00913550" w:rsidRPr="00BD23D1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jc w:val="left"/>
              <w:rPr>
                <w:color w:val="000000"/>
                <w:sz w:val="17"/>
                <w:szCs w:val="17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Uruguay</w:t>
            </w:r>
          </w:p>
        </w:tc>
        <w:tc>
          <w:tcPr>
            <w:tcW w:w="42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noProof/>
                <w:color w:val="000000"/>
                <w:sz w:val="17"/>
                <w:szCs w:val="17"/>
              </w:rPr>
            </w:pPr>
            <w:r w:rsidRPr="009D50BC">
              <w:rPr>
                <w:noProof/>
                <w:color w:val="000000"/>
                <w:sz w:val="17"/>
                <w:szCs w:val="17"/>
              </w:rPr>
              <w:t>UY</w:t>
            </w: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color w:val="000000"/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sz w:val="17"/>
                <w:szCs w:val="17"/>
              </w:rPr>
            </w:pPr>
            <w:r w:rsidRPr="009D50BC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913550" w:rsidRPr="00543516" w:rsidRDefault="002E5FB3" w:rsidP="009D50BC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D50B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  <w:tr w:rsidR="00913550" w:rsidRPr="009D50BC" w:rsidTr="00BD23D1">
        <w:trPr>
          <w:cantSplit/>
        </w:trPr>
        <w:tc>
          <w:tcPr>
            <w:tcW w:w="2367" w:type="dxa"/>
            <w:vAlign w:val="center"/>
          </w:tcPr>
          <w:p w:rsidR="00913550" w:rsidRPr="009D50BC" w:rsidRDefault="002E5FB3" w:rsidP="009D50BC">
            <w:pPr>
              <w:ind w:right="167"/>
              <w:jc w:val="right"/>
              <w:rPr>
                <w:bCs/>
                <w:color w:val="000000"/>
                <w:sz w:val="17"/>
                <w:szCs w:val="17"/>
              </w:rPr>
            </w:pPr>
            <w:r w:rsidRPr="009D50BC">
              <w:rPr>
                <w:bCs/>
                <w:color w:val="000000"/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420" w:type="dxa"/>
            <w:noWrap/>
            <w:vAlign w:val="center"/>
            <w:hideMark/>
          </w:tcPr>
          <w:p w:rsidR="00913550" w:rsidRPr="009D50BC" w:rsidRDefault="00913550" w:rsidP="002E5FB3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498" w:type="dxa"/>
            <w:vAlign w:val="center"/>
          </w:tcPr>
          <w:p w:rsidR="00913550" w:rsidRPr="009D50BC" w:rsidRDefault="00913550" w:rsidP="002E5FB3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9D50BC">
              <w:rPr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232" w:type="dxa"/>
            <w:vAlign w:val="center"/>
          </w:tcPr>
          <w:p w:rsidR="00913550" w:rsidRPr="009D50BC" w:rsidRDefault="00913550" w:rsidP="002E5FB3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9D50BC">
              <w:rPr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491" w:type="dxa"/>
            <w:vAlign w:val="center"/>
          </w:tcPr>
          <w:p w:rsidR="00913550" w:rsidRPr="009D50BC" w:rsidRDefault="00913550" w:rsidP="002E5FB3">
            <w:pPr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</w:tr>
    </w:tbl>
    <w:p w:rsidR="00913550" w:rsidRPr="009D50BC" w:rsidRDefault="00913550" w:rsidP="00913550"/>
    <w:p w:rsidR="00913550" w:rsidRPr="009D50BC" w:rsidRDefault="00913550" w:rsidP="00913550"/>
    <w:p w:rsidR="00913550" w:rsidRPr="009D50BC" w:rsidRDefault="002E5FB3" w:rsidP="00913550">
      <w:pPr>
        <w:pStyle w:val="Heading2"/>
      </w:pPr>
      <w:r w:rsidRPr="009D50BC">
        <w:rPr>
          <w:lang w:val="es-ES_tradnl"/>
        </w:rPr>
        <w:t>Cultivos o especies</w:t>
      </w:r>
    </w:p>
    <w:p w:rsidR="00913550" w:rsidRPr="009D50BC" w:rsidRDefault="00913550" w:rsidP="00913550">
      <w:pPr>
        <w:keepNext/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rPr>
          <w:color w:val="000000"/>
          <w:spacing w:val="-2"/>
        </w:rPr>
        <w:fldChar w:fldCharType="begin"/>
      </w:r>
      <w:r w:rsidR="00913550" w:rsidRPr="00543516">
        <w:rPr>
          <w:color w:val="000000"/>
          <w:spacing w:val="-2"/>
          <w:lang w:val="es-ES"/>
        </w:rPr>
        <w:instrText xml:space="preserve"> AUTONUM  </w:instrText>
      </w:r>
      <w:r w:rsidRPr="009D50BC">
        <w:rPr>
          <w:color w:val="000000"/>
          <w:spacing w:val="-2"/>
        </w:rPr>
        <w:fldChar w:fldCharType="end"/>
      </w:r>
      <w:r w:rsidR="00913550" w:rsidRPr="00543516">
        <w:rPr>
          <w:color w:val="000000"/>
          <w:spacing w:val="-2"/>
          <w:lang w:val="es-ES"/>
        </w:rPr>
        <w:tab/>
      </w:r>
      <w:r w:rsidR="002E5FB3" w:rsidRPr="009D50BC">
        <w:rPr>
          <w:lang w:val="es-ES_tradnl"/>
        </w:rPr>
        <w:t>Los participantes tomaron nota de que existen tres métodos posibles para que los miembros de la Unión participantes incorporen nuevos cultivos o especies: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EA7DE9" w:rsidP="00913550">
      <w:pPr>
        <w:pStyle w:val="Heading3"/>
        <w:ind w:left="567" w:right="708"/>
        <w:rPr>
          <w:lang w:val="es-ES"/>
        </w:rPr>
      </w:pPr>
      <w:r w:rsidRPr="009D50BC">
        <w:rPr>
          <w:lang w:val="es-ES_tradnl"/>
        </w:rPr>
        <w:t>Método 1:</w:t>
      </w:r>
      <w:r w:rsidR="00913550" w:rsidRPr="00543516">
        <w:rPr>
          <w:lang w:val="es-ES"/>
        </w:rPr>
        <w:t xml:space="preserve"> </w:t>
      </w:r>
      <w:r w:rsidRPr="00543516">
        <w:rPr>
          <w:lang w:val="es-ES"/>
        </w:rPr>
        <w:t xml:space="preserve"> </w:t>
      </w:r>
      <w:r w:rsidRPr="009D50BC">
        <w:rPr>
          <w:lang w:val="es-ES_tradnl"/>
        </w:rPr>
        <w:t>Cuestionario técnico de la UPOV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EA7DE9" w:rsidP="00913550">
      <w:pPr>
        <w:ind w:left="567" w:right="708"/>
        <w:rPr>
          <w:lang w:val="es-ES"/>
        </w:rPr>
      </w:pPr>
      <w:r w:rsidRPr="009D50BC">
        <w:rPr>
          <w:lang w:val="es-ES_tradnl"/>
        </w:rPr>
        <w:t>El cuestionario técnico de UPOV PRISMA ser</w:t>
      </w:r>
      <w:r w:rsidR="00995FA0" w:rsidRPr="009D50BC">
        <w:rPr>
          <w:lang w:val="es-ES_tradnl"/>
        </w:rPr>
        <w:t>ía</w:t>
      </w:r>
      <w:r w:rsidRPr="009D50BC">
        <w:rPr>
          <w:lang w:val="es-ES_tradnl"/>
        </w:rPr>
        <w:t xml:space="preserve"> idéntico al cuestionario técnico de </w:t>
      </w:r>
      <w:r w:rsidR="00092052" w:rsidRPr="009D50BC">
        <w:rPr>
          <w:lang w:val="es-ES_tradnl"/>
        </w:rPr>
        <w:t>las directrices de examen de la </w:t>
      </w:r>
      <w:r w:rsidRPr="009D50BC">
        <w:rPr>
          <w:lang w:val="es-ES_tradnl"/>
        </w:rPr>
        <w:t>UPOV aprobadas.</w:t>
      </w:r>
      <w:r w:rsidR="00913550" w:rsidRPr="00543516">
        <w:rPr>
          <w:lang w:val="es-ES"/>
        </w:rPr>
        <w:t xml:space="preserve"> </w:t>
      </w:r>
      <w:r w:rsidR="00092052" w:rsidRPr="00543516">
        <w:rPr>
          <w:lang w:val="es-ES"/>
        </w:rPr>
        <w:t xml:space="preserve"> </w:t>
      </w:r>
      <w:r w:rsidR="00092052" w:rsidRPr="009D50BC">
        <w:rPr>
          <w:lang w:val="es-ES_tradnl"/>
        </w:rPr>
        <w:t>En el caso de los cultivos o especies para los que no existan directrices de examen de la UPOV aprobadas, el cuestionario técnico de UPOV PRISMA se basar</w:t>
      </w:r>
      <w:r w:rsidR="00995FA0" w:rsidRPr="009D50BC">
        <w:rPr>
          <w:lang w:val="es-ES_tradnl"/>
        </w:rPr>
        <w:t>ía</w:t>
      </w:r>
      <w:r w:rsidR="00092052" w:rsidRPr="009D50BC">
        <w:rPr>
          <w:lang w:val="es-ES_tradnl"/>
        </w:rPr>
        <w:t xml:space="preserve"> en la estructura del cuestionario técnico que figura en el documento TGP/7 “Elaboración de las directrices de examen”.</w:t>
      </w:r>
      <w:r w:rsidR="00913550" w:rsidRPr="00543516">
        <w:rPr>
          <w:lang w:val="es-ES"/>
        </w:rPr>
        <w:t xml:space="preserve">  </w:t>
      </w:r>
    </w:p>
    <w:p w:rsidR="00913550" w:rsidRPr="00543516" w:rsidRDefault="00913550" w:rsidP="00913550">
      <w:pPr>
        <w:ind w:left="567" w:right="708"/>
        <w:rPr>
          <w:lang w:val="es-ES"/>
        </w:rPr>
      </w:pPr>
    </w:p>
    <w:p w:rsidR="00913550" w:rsidRPr="00543516" w:rsidRDefault="00174872" w:rsidP="00913550">
      <w:pPr>
        <w:pStyle w:val="Heading3"/>
        <w:ind w:left="567" w:right="708"/>
        <w:rPr>
          <w:lang w:val="es-ES"/>
        </w:rPr>
      </w:pPr>
      <w:r w:rsidRPr="009D50BC">
        <w:rPr>
          <w:lang w:val="es-ES_tradnl"/>
        </w:rPr>
        <w:lastRenderedPageBreak/>
        <w:t>Método 2:</w:t>
      </w:r>
      <w:r w:rsidR="00913550" w:rsidRPr="00543516">
        <w:rPr>
          <w:lang w:val="es-ES"/>
        </w:rPr>
        <w:t xml:space="preserve">  </w:t>
      </w:r>
      <w:r w:rsidRPr="009D50BC">
        <w:rPr>
          <w:lang w:val="es-ES_tradnl"/>
        </w:rPr>
        <w:t>Caracteres adaptados</w:t>
      </w:r>
    </w:p>
    <w:p w:rsidR="00913550" w:rsidRPr="00543516" w:rsidRDefault="00913550" w:rsidP="00913550">
      <w:pPr>
        <w:keepNext/>
        <w:rPr>
          <w:lang w:val="es-ES"/>
        </w:rPr>
      </w:pPr>
    </w:p>
    <w:p w:rsidR="00913550" w:rsidRPr="009D50BC" w:rsidRDefault="00174872" w:rsidP="00913550">
      <w:pPr>
        <w:ind w:left="567" w:right="708"/>
      </w:pPr>
      <w:r w:rsidRPr="009D50BC">
        <w:rPr>
          <w:lang w:val="es-ES_tradnl"/>
        </w:rPr>
        <w:t xml:space="preserve">El cuestionario técnico de </w:t>
      </w:r>
      <w:r w:rsidR="0053375A" w:rsidRPr="009D50BC">
        <w:rPr>
          <w:lang w:val="es-ES_tradnl"/>
        </w:rPr>
        <w:t>UPOV PRISMA</w:t>
      </w:r>
      <w:r w:rsidRPr="009D50BC">
        <w:rPr>
          <w:lang w:val="es-ES_tradnl"/>
        </w:rPr>
        <w:t xml:space="preserve"> </w:t>
      </w:r>
      <w:r w:rsidR="00FE71E7" w:rsidRPr="009D50BC">
        <w:rPr>
          <w:lang w:val="es-ES_tradnl"/>
        </w:rPr>
        <w:t>ser</w:t>
      </w:r>
      <w:r w:rsidR="00995FA0" w:rsidRPr="009D50BC">
        <w:rPr>
          <w:lang w:val="es-ES_tradnl"/>
        </w:rPr>
        <w:t>ía</w:t>
      </w:r>
      <w:r w:rsidRPr="009D50BC">
        <w:rPr>
          <w:lang w:val="es-ES_tradnl"/>
        </w:rPr>
        <w:t xml:space="preserve"> igual para todos los cultivos (inespecífico para cada cultivo), salvo en relación con los “caracteres de la variedad” (sección</w:t>
      </w:r>
      <w:r w:rsidR="00926FB7" w:rsidRPr="009D50BC">
        <w:rPr>
          <w:lang w:val="es-ES_tradnl"/>
        </w:rPr>
        <w:t> </w:t>
      </w:r>
      <w:r w:rsidRPr="009D50BC">
        <w:rPr>
          <w:lang w:val="es-ES_tradnl"/>
        </w:rPr>
        <w:t>5 del cuestionario técnico de la</w:t>
      </w:r>
      <w:r w:rsidR="00926FB7" w:rsidRPr="009D50BC">
        <w:rPr>
          <w:lang w:val="es-ES_tradnl"/>
        </w:rPr>
        <w:t> </w:t>
      </w:r>
      <w:r w:rsidRPr="009D50BC">
        <w:rPr>
          <w:lang w:val="es-ES_tradnl"/>
        </w:rPr>
        <w:t>UPOV o equivalente) y las “variedades similares y diferencias con respecto a esas variedades” (sección</w:t>
      </w:r>
      <w:r w:rsidR="00926FB7" w:rsidRPr="009D50BC">
        <w:rPr>
          <w:lang w:val="es-ES_tradnl"/>
        </w:rPr>
        <w:t> </w:t>
      </w:r>
      <w:r w:rsidRPr="009D50BC">
        <w:rPr>
          <w:lang w:val="es-ES_tradnl"/>
        </w:rPr>
        <w:t>6</w:t>
      </w:r>
      <w:r w:rsidR="00943B07" w:rsidRPr="009D50BC">
        <w:rPr>
          <w:lang w:val="es-ES_tradnl"/>
        </w:rPr>
        <w:t xml:space="preserve"> del cuestionario técnico de la </w:t>
      </w:r>
      <w:r w:rsidRPr="009D50BC">
        <w:rPr>
          <w:lang w:val="es-ES_tradnl"/>
        </w:rPr>
        <w:t>UPOV o equivalente).</w:t>
      </w:r>
      <w:r w:rsidR="00913550" w:rsidRPr="00543516">
        <w:rPr>
          <w:lang w:val="es-ES"/>
        </w:rPr>
        <w:t xml:space="preserve"> </w:t>
      </w:r>
      <w:r w:rsidRPr="00543516">
        <w:rPr>
          <w:lang w:val="es-ES"/>
        </w:rPr>
        <w:t xml:space="preserve"> </w:t>
      </w:r>
      <w:r w:rsidR="00995FA0" w:rsidRPr="009D50BC">
        <w:rPr>
          <w:lang w:val="es-ES_tradnl"/>
        </w:rPr>
        <w:t>Los caracteres del cuestionario técnico de UPOV PRISMA serían:</w:t>
      </w:r>
    </w:p>
    <w:p w:rsidR="00913550" w:rsidRPr="009D50BC" w:rsidRDefault="00913550" w:rsidP="00913550">
      <w:pPr>
        <w:ind w:left="567" w:right="708"/>
      </w:pPr>
    </w:p>
    <w:p w:rsidR="00913550" w:rsidRPr="00543516" w:rsidRDefault="00995FA0" w:rsidP="00913550">
      <w:pPr>
        <w:pStyle w:val="ListParagraph"/>
        <w:numPr>
          <w:ilvl w:val="0"/>
          <w:numId w:val="3"/>
        </w:numPr>
        <w:ind w:right="708"/>
        <w:rPr>
          <w:rFonts w:ascii="Arial" w:eastAsia="Times New Roman" w:hAnsi="Arial"/>
          <w:sz w:val="20"/>
          <w:szCs w:val="20"/>
          <w:lang w:val="es-ES" w:eastAsia="en-US"/>
        </w:rPr>
      </w:pPr>
      <w:r w:rsidRPr="009D50BC">
        <w:rPr>
          <w:rFonts w:ascii="Arial" w:eastAsia="Times New Roman" w:hAnsi="Arial"/>
          <w:sz w:val="20"/>
          <w:szCs w:val="20"/>
          <w:lang w:val="es-ES_tradnl" w:eastAsia="en-US"/>
        </w:rPr>
        <w:t>los caracteres de las directrices de examen de la UPOV</w:t>
      </w:r>
      <w:r w:rsidR="00913550" w:rsidRPr="00543516">
        <w:rPr>
          <w:rFonts w:ascii="Arial" w:eastAsia="Times New Roman" w:hAnsi="Arial"/>
          <w:sz w:val="20"/>
          <w:szCs w:val="20"/>
          <w:lang w:val="es-ES" w:eastAsia="en-US"/>
        </w:rPr>
        <w:t xml:space="preserve"> </w:t>
      </w:r>
    </w:p>
    <w:p w:rsidR="00913550" w:rsidRPr="00543516" w:rsidRDefault="00995FA0" w:rsidP="00913550">
      <w:pPr>
        <w:pStyle w:val="ListParagraph"/>
        <w:numPr>
          <w:ilvl w:val="0"/>
          <w:numId w:val="3"/>
        </w:numPr>
        <w:ind w:right="708"/>
        <w:rPr>
          <w:rFonts w:ascii="Arial" w:eastAsia="Times New Roman" w:hAnsi="Arial"/>
          <w:sz w:val="20"/>
          <w:szCs w:val="20"/>
          <w:lang w:val="es-ES" w:eastAsia="en-US"/>
        </w:rPr>
      </w:pPr>
      <w:r w:rsidRPr="009D50BC">
        <w:rPr>
          <w:rFonts w:ascii="Arial" w:eastAsia="Times New Roman" w:hAnsi="Arial"/>
          <w:sz w:val="20"/>
          <w:szCs w:val="20"/>
          <w:lang w:val="es-ES_tradnl" w:eastAsia="en-US"/>
        </w:rPr>
        <w:t>los caracteres específicos de cada autoridad</w:t>
      </w:r>
      <w:r w:rsidR="00913550" w:rsidRPr="00543516">
        <w:rPr>
          <w:rFonts w:ascii="Arial" w:eastAsia="Times New Roman" w:hAnsi="Arial"/>
          <w:sz w:val="20"/>
          <w:szCs w:val="20"/>
          <w:lang w:val="es-ES" w:eastAsia="en-US"/>
        </w:rPr>
        <w:t xml:space="preserve"> </w:t>
      </w:r>
    </w:p>
    <w:p w:rsidR="00913550" w:rsidRPr="009D50BC" w:rsidRDefault="00995FA0" w:rsidP="00913550">
      <w:pPr>
        <w:pStyle w:val="ListParagraph"/>
        <w:numPr>
          <w:ilvl w:val="0"/>
          <w:numId w:val="3"/>
        </w:numPr>
        <w:ind w:right="708"/>
        <w:rPr>
          <w:rFonts w:ascii="Arial" w:eastAsia="Times New Roman" w:hAnsi="Arial"/>
          <w:sz w:val="20"/>
          <w:szCs w:val="20"/>
          <w:lang w:val="en-US" w:eastAsia="en-US"/>
        </w:rPr>
      </w:pPr>
      <w:r w:rsidRPr="009D50BC">
        <w:rPr>
          <w:rFonts w:ascii="Arial" w:eastAsia="Times New Roman" w:hAnsi="Arial"/>
          <w:sz w:val="20"/>
          <w:szCs w:val="20"/>
          <w:lang w:val="es-ES_tradnl" w:eastAsia="en-US"/>
        </w:rPr>
        <w:t>texto libre</w:t>
      </w:r>
    </w:p>
    <w:p w:rsidR="00913550" w:rsidRPr="009D50BC" w:rsidRDefault="00913550" w:rsidP="00913550">
      <w:pPr>
        <w:ind w:left="567" w:right="708"/>
      </w:pPr>
    </w:p>
    <w:p w:rsidR="00913550" w:rsidRPr="009D50BC" w:rsidRDefault="00995FA0" w:rsidP="00913550">
      <w:pPr>
        <w:pStyle w:val="Heading3"/>
        <w:ind w:left="567" w:right="708"/>
      </w:pPr>
      <w:r w:rsidRPr="009D50BC">
        <w:rPr>
          <w:lang w:val="es-ES_tradnl"/>
        </w:rPr>
        <w:t>Método 3:</w:t>
      </w:r>
      <w:r w:rsidR="00913550" w:rsidRPr="009D50BC">
        <w:t xml:space="preserve"> </w:t>
      </w:r>
      <w:r w:rsidR="00EA7DE9" w:rsidRPr="009D50BC">
        <w:t xml:space="preserve"> </w:t>
      </w:r>
      <w:r w:rsidRPr="009D50BC">
        <w:rPr>
          <w:lang w:val="es-ES_tradnl"/>
        </w:rPr>
        <w:t>Cuestionario técnico adaptado</w:t>
      </w:r>
      <w:r w:rsidR="00913550" w:rsidRPr="009D50BC">
        <w:t xml:space="preserve"> </w:t>
      </w:r>
    </w:p>
    <w:p w:rsidR="00913550" w:rsidRPr="009D50BC" w:rsidRDefault="00913550" w:rsidP="00913550"/>
    <w:p w:rsidR="00913550" w:rsidRPr="00543516" w:rsidRDefault="00995FA0" w:rsidP="00913550">
      <w:pPr>
        <w:ind w:left="567" w:right="708"/>
        <w:rPr>
          <w:lang w:val="es-ES"/>
        </w:rPr>
      </w:pPr>
      <w:r w:rsidRPr="009D50BC">
        <w:rPr>
          <w:lang w:val="es-ES_tradnl"/>
        </w:rPr>
        <w:t>El cuestionario técnico de UPOV PRISMA incluiría secciones específicas para cada cultivo, además de las señaladas en el método 2.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rPr>
          <w:color w:val="000000"/>
          <w:spacing w:val="-2"/>
        </w:rPr>
        <w:fldChar w:fldCharType="begin"/>
      </w:r>
      <w:r w:rsidR="00913550" w:rsidRPr="00543516">
        <w:rPr>
          <w:color w:val="000000"/>
          <w:spacing w:val="-2"/>
          <w:lang w:val="es-ES"/>
        </w:rPr>
        <w:instrText xml:space="preserve"> AUTONUM  </w:instrText>
      </w:r>
      <w:r w:rsidRPr="009D50BC">
        <w:rPr>
          <w:color w:val="000000"/>
          <w:spacing w:val="-2"/>
        </w:rPr>
        <w:fldChar w:fldCharType="end"/>
      </w:r>
      <w:r w:rsidR="00913550" w:rsidRPr="00543516">
        <w:rPr>
          <w:color w:val="000000"/>
          <w:spacing w:val="-2"/>
          <w:lang w:val="es-ES"/>
        </w:rPr>
        <w:tab/>
      </w:r>
      <w:r w:rsidR="00212AAD" w:rsidRPr="009D50BC">
        <w:rPr>
          <w:lang w:val="es-ES_tradnl"/>
        </w:rPr>
        <w:t>Los participantes tomaron nota de que, en función del método, el número de cultivos y especies que abar</w:t>
      </w:r>
      <w:r w:rsidR="00566EE4" w:rsidRPr="009D50BC">
        <w:rPr>
          <w:lang w:val="es-ES_tradnl"/>
        </w:rPr>
        <w:t>que</w:t>
      </w:r>
      <w:r w:rsidR="00212AAD" w:rsidRPr="009D50BC">
        <w:rPr>
          <w:lang w:val="es-ES_tradnl"/>
        </w:rPr>
        <w:t xml:space="preserve"> cada autoridad en </w:t>
      </w:r>
      <w:r w:rsidR="00566EE4" w:rsidRPr="009D50BC">
        <w:rPr>
          <w:lang w:val="es-ES_tradnl"/>
        </w:rPr>
        <w:t xml:space="preserve">las </w:t>
      </w:r>
      <w:r w:rsidR="00212AAD" w:rsidRPr="009D50BC">
        <w:rPr>
          <w:lang w:val="es-ES_tradnl"/>
        </w:rPr>
        <w:t xml:space="preserve">futuras versiones de </w:t>
      </w:r>
      <w:r w:rsidR="006578B0" w:rsidRPr="009D50BC">
        <w:rPr>
          <w:lang w:val="es-ES_tradnl"/>
        </w:rPr>
        <w:t xml:space="preserve">UPOV PRISMA </w:t>
      </w:r>
      <w:r w:rsidR="00212AAD" w:rsidRPr="009D50BC">
        <w:rPr>
          <w:lang w:val="es-ES_tradnl"/>
        </w:rPr>
        <w:t>será distinto.</w:t>
      </w:r>
      <w:r w:rsidR="00913550" w:rsidRPr="00543516">
        <w:rPr>
          <w:lang w:val="es-ES"/>
        </w:rPr>
        <w:t xml:space="preserve"> </w:t>
      </w:r>
      <w:r w:rsidR="001730B1" w:rsidRPr="00543516">
        <w:rPr>
          <w:lang w:val="es-ES"/>
        </w:rPr>
        <w:t xml:space="preserve"> </w:t>
      </w:r>
      <w:r w:rsidR="00566EE4" w:rsidRPr="009D50BC">
        <w:rPr>
          <w:lang w:val="es-ES_tradnl"/>
        </w:rPr>
        <w:t xml:space="preserve">En el caso del método 1, </w:t>
      </w:r>
      <w:r w:rsidR="00AE463A" w:rsidRPr="009D50BC">
        <w:rPr>
          <w:lang w:val="es-ES_tradnl"/>
        </w:rPr>
        <w:t xml:space="preserve">se </w:t>
      </w:r>
      <w:r w:rsidR="00566EE4" w:rsidRPr="009D50BC">
        <w:rPr>
          <w:lang w:val="es-ES_tradnl"/>
        </w:rPr>
        <w:t>podr</w:t>
      </w:r>
      <w:r w:rsidR="009978B7" w:rsidRPr="009D50BC">
        <w:rPr>
          <w:lang w:val="es-ES_tradnl"/>
        </w:rPr>
        <w:t>á</w:t>
      </w:r>
      <w:r w:rsidR="00566EE4" w:rsidRPr="009D50BC">
        <w:rPr>
          <w:lang w:val="es-ES_tradnl"/>
        </w:rPr>
        <w:t xml:space="preserve"> abarcar todos los cultivos con facilidad.</w:t>
      </w:r>
      <w:r w:rsidR="00913550" w:rsidRPr="00543516">
        <w:rPr>
          <w:lang w:val="es-ES"/>
        </w:rPr>
        <w:t xml:space="preserve"> </w:t>
      </w:r>
      <w:r w:rsidR="00212AAD" w:rsidRPr="00543516">
        <w:rPr>
          <w:lang w:val="es-ES"/>
        </w:rPr>
        <w:t xml:space="preserve"> </w:t>
      </w:r>
      <w:r w:rsidR="009978B7" w:rsidRPr="009D50BC">
        <w:rPr>
          <w:lang w:val="es-ES_tradnl"/>
        </w:rPr>
        <w:t>En el caso de los métodos 2 y 3, se necesitará un tiempo considerablemente superior y los nuevos cultivos se añadirán conforme a los recursos disponibles y al grado de adaptación que se exija.</w:t>
      </w:r>
      <w:r w:rsidR="00913550" w:rsidRPr="00543516">
        <w:rPr>
          <w:lang w:val="es-ES"/>
        </w:rPr>
        <w:t xml:space="preserve"> 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9978B7" w:rsidP="00913550">
      <w:pPr>
        <w:pStyle w:val="Heading2"/>
        <w:rPr>
          <w:lang w:val="es-ES"/>
        </w:rPr>
      </w:pPr>
      <w:r w:rsidRPr="009D50BC">
        <w:rPr>
          <w:lang w:val="es-ES_tradnl"/>
        </w:rPr>
        <w:t>Funciones</w:t>
      </w:r>
    </w:p>
    <w:p w:rsidR="00913550" w:rsidRPr="00543516" w:rsidRDefault="00913550" w:rsidP="00913550">
      <w:pPr>
        <w:pStyle w:val="Heading3"/>
        <w:rPr>
          <w:lang w:val="es-ES"/>
        </w:rPr>
      </w:pPr>
    </w:p>
    <w:p w:rsidR="00913550" w:rsidRPr="00543516" w:rsidRDefault="009978B7" w:rsidP="00913550">
      <w:pPr>
        <w:pStyle w:val="Heading3"/>
        <w:rPr>
          <w:lang w:val="es-ES"/>
        </w:rPr>
      </w:pPr>
      <w:r w:rsidRPr="009D50BC">
        <w:rPr>
          <w:lang w:val="es-ES_tradnl"/>
        </w:rPr>
        <w:t>Método de obtención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rFonts w:eastAsia="MS Mincho"/>
          <w:lang w:val="es-ES"/>
        </w:rPr>
      </w:pPr>
      <w:r w:rsidRPr="009D50BC">
        <w:rPr>
          <w:color w:val="000000"/>
        </w:rPr>
        <w:fldChar w:fldCharType="begin"/>
      </w:r>
      <w:r w:rsidR="00913550" w:rsidRPr="00543516">
        <w:rPr>
          <w:color w:val="000000"/>
          <w:lang w:val="es-ES"/>
        </w:rPr>
        <w:instrText xml:space="preserve"> AUTONUM  </w:instrText>
      </w:r>
      <w:r w:rsidRPr="009D50BC">
        <w:rPr>
          <w:color w:val="000000"/>
        </w:rPr>
        <w:fldChar w:fldCharType="end"/>
      </w:r>
      <w:r w:rsidR="00913550" w:rsidRPr="00543516">
        <w:rPr>
          <w:color w:val="000000"/>
          <w:lang w:val="es-ES"/>
        </w:rPr>
        <w:tab/>
      </w:r>
      <w:r w:rsidR="009E5FEC" w:rsidRPr="009D50BC">
        <w:rPr>
          <w:lang w:val="es-ES_tradnl"/>
        </w:rPr>
        <w:t xml:space="preserve">Los participantes tomaron nota de que, en </w:t>
      </w:r>
      <w:r w:rsidR="009978B7" w:rsidRPr="009D50BC">
        <w:rPr>
          <w:lang w:val="es-ES_tradnl"/>
        </w:rPr>
        <w:t>la versión 2.0</w:t>
      </w:r>
      <w:r w:rsidR="00465033" w:rsidRPr="009D50BC">
        <w:rPr>
          <w:lang w:val="es-ES_tradnl"/>
        </w:rPr>
        <w:t xml:space="preserve"> de </w:t>
      </w:r>
      <w:r w:rsidR="006578B0" w:rsidRPr="009D50BC">
        <w:rPr>
          <w:lang w:val="es-ES_tradnl"/>
        </w:rPr>
        <w:t>UPOV PRISMA</w:t>
      </w:r>
      <w:r w:rsidR="009978B7" w:rsidRPr="009D50BC">
        <w:rPr>
          <w:lang w:val="es-ES_tradnl"/>
        </w:rPr>
        <w:t>, la sección del método de obtención se presenta</w:t>
      </w:r>
      <w:r w:rsidR="00730DCA" w:rsidRPr="009D50BC">
        <w:rPr>
          <w:lang w:val="es-ES_tradnl"/>
        </w:rPr>
        <w:t>rá</w:t>
      </w:r>
      <w:r w:rsidR="009978B7" w:rsidRPr="009D50BC">
        <w:rPr>
          <w:lang w:val="es-ES_tradnl"/>
        </w:rPr>
        <w:t xml:space="preserve"> como una lista de opciones definidas previamente.</w:t>
      </w:r>
      <w:r w:rsidR="00913550" w:rsidRPr="00543516">
        <w:rPr>
          <w:rFonts w:eastAsia="MS Mincho"/>
          <w:lang w:val="es-ES"/>
        </w:rPr>
        <w:t xml:space="preserve"> </w:t>
      </w:r>
      <w:r w:rsidR="00730DCA" w:rsidRPr="00543516">
        <w:rPr>
          <w:rFonts w:eastAsia="MS Mincho"/>
          <w:lang w:val="es-ES"/>
        </w:rPr>
        <w:t xml:space="preserve"> </w:t>
      </w:r>
      <w:r w:rsidR="00730DCA" w:rsidRPr="009D50BC">
        <w:rPr>
          <w:rFonts w:eastAsia="MS Mincho"/>
          <w:lang w:val="es-ES_tradnl"/>
        </w:rPr>
        <w:t>Podría considerarse la posibilidad de incluir otras opciones en una versión posterior.</w:t>
      </w:r>
    </w:p>
    <w:p w:rsidR="00913550" w:rsidRPr="00543516" w:rsidRDefault="00913550" w:rsidP="00913550">
      <w:pPr>
        <w:spacing w:line="360" w:lineRule="auto"/>
        <w:rPr>
          <w:lang w:val="es-ES"/>
        </w:rPr>
      </w:pPr>
    </w:p>
    <w:p w:rsidR="00913550" w:rsidRPr="00543516" w:rsidRDefault="00730DCA" w:rsidP="00913550">
      <w:pPr>
        <w:pStyle w:val="Heading3"/>
        <w:rPr>
          <w:lang w:val="es-ES"/>
        </w:rPr>
      </w:pPr>
      <w:r w:rsidRPr="009D50BC">
        <w:rPr>
          <w:lang w:val="es-ES_tradnl"/>
        </w:rPr>
        <w:t>Novedad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rPr>
          <w:color w:val="000000"/>
        </w:rPr>
        <w:fldChar w:fldCharType="begin"/>
      </w:r>
      <w:r w:rsidR="00913550" w:rsidRPr="00543516">
        <w:rPr>
          <w:color w:val="000000"/>
          <w:lang w:val="es-ES"/>
        </w:rPr>
        <w:instrText xml:space="preserve"> AUTONUM  </w:instrText>
      </w:r>
      <w:r w:rsidRPr="009D50BC">
        <w:rPr>
          <w:color w:val="000000"/>
        </w:rPr>
        <w:fldChar w:fldCharType="end"/>
      </w:r>
      <w:r w:rsidR="00913550" w:rsidRPr="00543516">
        <w:rPr>
          <w:color w:val="000000"/>
          <w:lang w:val="es-ES"/>
        </w:rPr>
        <w:tab/>
      </w:r>
      <w:r w:rsidR="00730DCA" w:rsidRPr="009D50BC">
        <w:rPr>
          <w:color w:val="000000"/>
          <w:lang w:val="es-ES_tradnl"/>
        </w:rPr>
        <w:t>Los participantes tomaron nota de que, por lo que atañe a los requisitos de novedad, cada autoridad participante deberá indicar, si procede, cuáles de los cultivos admitidos considera vides o árboles en lo que respecta a la novedad.</w:t>
      </w:r>
      <w:r w:rsidR="00913550" w:rsidRPr="00543516">
        <w:rPr>
          <w:color w:val="000000"/>
          <w:lang w:val="es-ES"/>
        </w:rPr>
        <w:t xml:space="preserve"> </w:t>
      </w:r>
      <w:r w:rsidR="00730DCA" w:rsidRPr="00543516">
        <w:rPr>
          <w:color w:val="000000"/>
          <w:lang w:val="es-ES"/>
        </w:rPr>
        <w:t xml:space="preserve"> </w:t>
      </w:r>
      <w:r w:rsidR="00730DCA" w:rsidRPr="009D50BC">
        <w:rPr>
          <w:color w:val="000000"/>
          <w:lang w:val="es-ES_tradnl"/>
        </w:rPr>
        <w:t>Los participantes tomaron nota de que, por defecto, en el sistema se emplea un período de cuatro años</w:t>
      </w:r>
      <w:r w:rsidR="00730DCA" w:rsidRPr="009D50BC">
        <w:rPr>
          <w:lang w:val="es-ES_tradnl"/>
        </w:rPr>
        <w:t>.</w:t>
      </w:r>
    </w:p>
    <w:p w:rsidR="00913550" w:rsidRPr="00543516" w:rsidRDefault="00913550" w:rsidP="00913550">
      <w:pPr>
        <w:spacing w:line="360" w:lineRule="auto"/>
        <w:rPr>
          <w:lang w:val="es-ES"/>
        </w:rPr>
      </w:pPr>
    </w:p>
    <w:p w:rsidR="00913550" w:rsidRPr="00543516" w:rsidRDefault="00317A77" w:rsidP="00913550">
      <w:pPr>
        <w:pStyle w:val="Heading3"/>
        <w:rPr>
          <w:lang w:val="es-ES"/>
        </w:rPr>
      </w:pPr>
      <w:r w:rsidRPr="009D50BC">
        <w:rPr>
          <w:lang w:val="es-ES_tradnl"/>
        </w:rPr>
        <w:t>Clases de plantas</w:t>
      </w:r>
    </w:p>
    <w:p w:rsidR="00913550" w:rsidRPr="00543516" w:rsidRDefault="00913550" w:rsidP="00913550">
      <w:pPr>
        <w:pStyle w:val="Heading3"/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730DCA" w:rsidRPr="009D50BC">
        <w:rPr>
          <w:color w:val="000000"/>
          <w:lang w:val="es-ES_tradnl"/>
        </w:rPr>
        <w:t>Los participantes tomaron nota de que</w:t>
      </w:r>
      <w:r w:rsidR="00347BF0" w:rsidRPr="009D50BC">
        <w:rPr>
          <w:color w:val="000000"/>
          <w:lang w:val="es-ES_tradnl"/>
        </w:rPr>
        <w:t>,</w:t>
      </w:r>
      <w:r w:rsidR="00730DCA" w:rsidRPr="009D50BC">
        <w:rPr>
          <w:lang w:val="es-ES_tradnl"/>
        </w:rPr>
        <w:t xml:space="preserve"> </w:t>
      </w:r>
      <w:r w:rsidR="00347BF0" w:rsidRPr="009D50BC">
        <w:rPr>
          <w:lang w:val="es-ES_tradnl"/>
        </w:rPr>
        <w:t xml:space="preserve">en </w:t>
      </w:r>
      <w:r w:rsidR="005528A4" w:rsidRPr="009D50BC">
        <w:rPr>
          <w:lang w:val="es-ES_tradnl"/>
        </w:rPr>
        <w:t>lo que concierne</w:t>
      </w:r>
      <w:r w:rsidR="00347BF0" w:rsidRPr="009D50BC">
        <w:rPr>
          <w:lang w:val="es-ES_tradnl"/>
        </w:rPr>
        <w:t xml:space="preserve"> a la</w:t>
      </w:r>
      <w:r w:rsidR="00730DCA" w:rsidRPr="009D50BC">
        <w:rPr>
          <w:lang w:val="es-ES_tradnl"/>
        </w:rPr>
        <w:t xml:space="preserve"> definición de </w:t>
      </w:r>
      <w:r w:rsidR="00347BF0" w:rsidRPr="009D50BC">
        <w:rPr>
          <w:lang w:val="es-ES_tradnl"/>
        </w:rPr>
        <w:t xml:space="preserve">lo que se </w:t>
      </w:r>
      <w:r w:rsidR="00730DCA" w:rsidRPr="009D50BC">
        <w:rPr>
          <w:lang w:val="es-ES_tradnl"/>
        </w:rPr>
        <w:t>consider</w:t>
      </w:r>
      <w:r w:rsidR="00347BF0" w:rsidRPr="009D50BC">
        <w:rPr>
          <w:lang w:val="es-ES_tradnl"/>
        </w:rPr>
        <w:t>a</w:t>
      </w:r>
      <w:r w:rsidR="00730DCA" w:rsidRPr="009D50BC">
        <w:rPr>
          <w:lang w:val="es-ES_tradnl"/>
        </w:rPr>
        <w:t xml:space="preserve"> </w:t>
      </w:r>
      <w:r w:rsidR="00347BF0" w:rsidRPr="009D50BC">
        <w:rPr>
          <w:lang w:val="es-ES_tradnl"/>
        </w:rPr>
        <w:t>un</w:t>
      </w:r>
      <w:r w:rsidR="00730DCA" w:rsidRPr="009D50BC">
        <w:rPr>
          <w:lang w:val="es-ES_tradnl"/>
        </w:rPr>
        <w:t>a “planta” (</w:t>
      </w:r>
      <w:r w:rsidR="00347BF0" w:rsidRPr="009D50BC">
        <w:rPr>
          <w:lang w:val="es-ES_tradnl"/>
        </w:rPr>
        <w:t xml:space="preserve">por ejemplo, </w:t>
      </w:r>
      <w:r w:rsidR="00730DCA" w:rsidRPr="009D50BC">
        <w:rPr>
          <w:lang w:val="es-ES_tradnl"/>
        </w:rPr>
        <w:t xml:space="preserve">en relación con </w:t>
      </w:r>
      <w:r w:rsidR="00D3157A" w:rsidRPr="009D50BC">
        <w:rPr>
          <w:lang w:val="es-ES_tradnl"/>
        </w:rPr>
        <w:t xml:space="preserve">los </w:t>
      </w:r>
      <w:r w:rsidR="00730DCA" w:rsidRPr="009D50BC">
        <w:rPr>
          <w:lang w:val="es-ES_tradnl"/>
        </w:rPr>
        <w:t xml:space="preserve">hongos, </w:t>
      </w:r>
      <w:r w:rsidR="00D3157A" w:rsidRPr="009D50BC">
        <w:rPr>
          <w:lang w:val="es-ES_tradnl"/>
        </w:rPr>
        <w:t xml:space="preserve">las </w:t>
      </w:r>
      <w:r w:rsidR="00730DCA" w:rsidRPr="009D50BC">
        <w:rPr>
          <w:lang w:val="es-ES_tradnl"/>
        </w:rPr>
        <w:t>algas</w:t>
      </w:r>
      <w:r w:rsidR="00347BF0" w:rsidRPr="009D50BC">
        <w:rPr>
          <w:lang w:val="es-ES_tradnl"/>
        </w:rPr>
        <w:t xml:space="preserve"> y </w:t>
      </w:r>
      <w:r w:rsidR="00D3157A" w:rsidRPr="009D50BC">
        <w:rPr>
          <w:lang w:val="es-ES_tradnl"/>
        </w:rPr>
        <w:t xml:space="preserve">las </w:t>
      </w:r>
      <w:r w:rsidR="00730DCA" w:rsidRPr="009D50BC">
        <w:rPr>
          <w:lang w:val="es-ES_tradnl"/>
        </w:rPr>
        <w:t xml:space="preserve">bacterias), </w:t>
      </w:r>
      <w:r w:rsidR="00347BF0" w:rsidRPr="009D50BC">
        <w:rPr>
          <w:lang w:val="es-ES_tradnl"/>
        </w:rPr>
        <w:t xml:space="preserve">UPOV PRISMA </w:t>
      </w:r>
      <w:r w:rsidR="00730DCA" w:rsidRPr="009D50BC">
        <w:rPr>
          <w:lang w:val="es-ES_tradnl"/>
        </w:rPr>
        <w:t>refle</w:t>
      </w:r>
      <w:r w:rsidR="00347BF0" w:rsidRPr="009D50BC">
        <w:rPr>
          <w:lang w:val="es-ES_tradnl"/>
        </w:rPr>
        <w:t xml:space="preserve">jará la </w:t>
      </w:r>
      <w:r w:rsidR="00730DCA" w:rsidRPr="009D50BC">
        <w:rPr>
          <w:lang w:val="es-ES_tradnl"/>
        </w:rPr>
        <w:t xml:space="preserve">información </w:t>
      </w:r>
      <w:r w:rsidR="00347BF0" w:rsidRPr="009D50BC">
        <w:rPr>
          <w:lang w:val="es-ES_tradnl"/>
        </w:rPr>
        <w:t xml:space="preserve">que figura </w:t>
      </w:r>
      <w:r w:rsidR="00730DCA" w:rsidRPr="009D50BC">
        <w:rPr>
          <w:lang w:val="es-ES_tradnl"/>
        </w:rPr>
        <w:t xml:space="preserve">en </w:t>
      </w:r>
      <w:r w:rsidR="00347BF0" w:rsidRPr="009D50BC">
        <w:rPr>
          <w:lang w:val="es-ES_tradnl"/>
        </w:rPr>
        <w:t xml:space="preserve">la </w:t>
      </w:r>
      <w:r w:rsidR="00730DCA" w:rsidRPr="009D50BC">
        <w:rPr>
          <w:lang w:val="es-ES_tradnl"/>
        </w:rPr>
        <w:t xml:space="preserve">base de datos </w:t>
      </w:r>
      <w:r w:rsidR="00347BF0" w:rsidRPr="009D50BC">
        <w:rPr>
          <w:lang w:val="es-ES_tradnl"/>
        </w:rPr>
        <w:t>GENIE</w:t>
      </w:r>
      <w:r w:rsidR="00943B07" w:rsidRPr="009D50BC">
        <w:rPr>
          <w:lang w:val="es-ES_tradnl"/>
        </w:rPr>
        <w:t>,</w:t>
      </w:r>
      <w:r w:rsidR="00347BF0" w:rsidRPr="009D50BC">
        <w:rPr>
          <w:lang w:val="es-ES_tradnl"/>
        </w:rPr>
        <w:t xml:space="preserve"> con arreglo a la </w:t>
      </w:r>
      <w:r w:rsidR="00730DCA" w:rsidRPr="009D50BC">
        <w:rPr>
          <w:lang w:val="es-ES_tradnl"/>
        </w:rPr>
        <w:t xml:space="preserve">información </w:t>
      </w:r>
      <w:r w:rsidR="00347BF0" w:rsidRPr="009D50BC">
        <w:rPr>
          <w:lang w:val="es-ES_tradnl"/>
        </w:rPr>
        <w:t xml:space="preserve">que el </w:t>
      </w:r>
      <w:r w:rsidR="001C3631" w:rsidRPr="009D50BC">
        <w:rPr>
          <w:lang w:val="es-ES_tradnl"/>
        </w:rPr>
        <w:t xml:space="preserve">miembro </w:t>
      </w:r>
      <w:r w:rsidR="00347BF0" w:rsidRPr="009D50BC">
        <w:rPr>
          <w:lang w:val="es-ES_tradnl"/>
        </w:rPr>
        <w:t>de la</w:t>
      </w:r>
      <w:r w:rsidR="00D3157A" w:rsidRPr="009D50BC">
        <w:rPr>
          <w:lang w:val="es-ES_tradnl"/>
        </w:rPr>
        <w:t> </w:t>
      </w:r>
      <w:r w:rsidR="00347BF0" w:rsidRPr="009D50BC">
        <w:rPr>
          <w:lang w:val="es-ES_tradnl"/>
        </w:rPr>
        <w:t xml:space="preserve">UPOV </w:t>
      </w:r>
      <w:r w:rsidR="001C3631" w:rsidRPr="009D50BC">
        <w:rPr>
          <w:lang w:val="es-ES_tradnl"/>
        </w:rPr>
        <w:t xml:space="preserve">en cuestión </w:t>
      </w:r>
      <w:r w:rsidR="00347BF0" w:rsidRPr="009D50BC">
        <w:rPr>
          <w:lang w:val="es-ES_tradnl"/>
        </w:rPr>
        <w:t xml:space="preserve">haya facilitado </w:t>
      </w:r>
      <w:r w:rsidR="00730DCA" w:rsidRPr="009D50BC">
        <w:rPr>
          <w:lang w:val="es-ES_tradnl"/>
        </w:rPr>
        <w:t xml:space="preserve">en </w:t>
      </w:r>
      <w:r w:rsidR="00347BF0" w:rsidRPr="009D50BC">
        <w:rPr>
          <w:lang w:val="es-ES_tradnl"/>
        </w:rPr>
        <w:t xml:space="preserve">el </w:t>
      </w:r>
      <w:r w:rsidR="00730DCA" w:rsidRPr="009D50BC">
        <w:rPr>
          <w:lang w:val="es-ES_tradnl"/>
        </w:rPr>
        <w:t>documento C/51/6.</w:t>
      </w:r>
      <w:r w:rsidR="00913550" w:rsidRPr="00543516">
        <w:rPr>
          <w:lang w:val="es-ES"/>
        </w:rPr>
        <w:t xml:space="preserve">  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347BF0" w:rsidP="00913550">
      <w:pPr>
        <w:pStyle w:val="Heading2"/>
        <w:rPr>
          <w:lang w:val="es-ES"/>
        </w:rPr>
      </w:pPr>
      <w:r w:rsidRPr="009D50BC">
        <w:rPr>
          <w:lang w:val="es-ES_tradnl"/>
        </w:rPr>
        <w:t>Financiación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347BF0" w:rsidRPr="009D50BC">
        <w:rPr>
          <w:color w:val="000000"/>
          <w:lang w:val="es-ES_tradnl"/>
        </w:rPr>
        <w:t xml:space="preserve">Los participantes tomaron nota de que, en la nonagésima cuarta sesión del Comité Consultivo, celebrada en Ginebra el 25 de octubre de 2017, se formuló </w:t>
      </w:r>
      <w:r w:rsidR="004105BD" w:rsidRPr="009D50BC">
        <w:rPr>
          <w:color w:val="000000"/>
          <w:lang w:val="es-ES_tradnl"/>
        </w:rPr>
        <w:t>una</w:t>
      </w:r>
      <w:r w:rsidR="00347BF0" w:rsidRPr="009D50BC">
        <w:rPr>
          <w:color w:val="000000"/>
          <w:lang w:val="es-ES_tradnl"/>
        </w:rPr>
        <w:t xml:space="preserve"> propuesta de financiación del EAF que fue posteriormente aprobada por el Consejo en su quincuagésima primera sesión ordinaria, celebrada en Ginebra el 26 de octubre de 2017 (véase el documento C/51/22 “Informe”).</w:t>
      </w:r>
      <w:r w:rsidR="00347BF0" w:rsidRPr="00543516">
        <w:rPr>
          <w:color w:val="000000"/>
          <w:lang w:val="es-ES"/>
        </w:rPr>
        <w:t xml:space="preserve">  </w:t>
      </w:r>
      <w:r w:rsidR="006C50F2" w:rsidRPr="009D50BC">
        <w:rPr>
          <w:color w:val="000000"/>
          <w:lang w:val="es-ES_tradnl"/>
        </w:rPr>
        <w:t>En particular, tomar</w:t>
      </w:r>
      <w:r w:rsidR="00943B07" w:rsidRPr="009D50BC">
        <w:rPr>
          <w:color w:val="000000"/>
          <w:lang w:val="es-ES_tradnl"/>
        </w:rPr>
        <w:t>on nota de que el Consejo de la </w:t>
      </w:r>
      <w:r w:rsidR="006C50F2" w:rsidRPr="009D50BC">
        <w:rPr>
          <w:color w:val="000000"/>
          <w:lang w:val="es-ES_tradnl"/>
        </w:rPr>
        <w:t>UPOV había convenido en que el EAF puede ofrecerse gratuitamente durante un período introductorio.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913550" w:rsidP="00913550">
      <w:pPr>
        <w:rPr>
          <w:lang w:val="es-ES"/>
        </w:rPr>
      </w:pPr>
    </w:p>
    <w:p w:rsidR="00BD23D1" w:rsidRDefault="00BD23D1">
      <w:pPr>
        <w:jc w:val="left"/>
        <w:rPr>
          <w:u w:val="single"/>
          <w:lang w:val="es-ES_tradnl"/>
        </w:rPr>
      </w:pPr>
      <w:r>
        <w:rPr>
          <w:lang w:val="es-ES_tradnl"/>
        </w:rPr>
        <w:br w:type="page"/>
      </w:r>
    </w:p>
    <w:p w:rsidR="00913550" w:rsidRPr="00543516" w:rsidRDefault="003C3019" w:rsidP="00913550">
      <w:pPr>
        <w:pStyle w:val="Heading2"/>
        <w:rPr>
          <w:lang w:val="es-ES"/>
        </w:rPr>
      </w:pPr>
      <w:r w:rsidRPr="009D50BC">
        <w:rPr>
          <w:lang w:val="es-ES_tradnl"/>
        </w:rPr>
        <w:lastRenderedPageBreak/>
        <w:t>Comunicación</w:t>
      </w:r>
    </w:p>
    <w:p w:rsidR="00913550" w:rsidRPr="00543516" w:rsidRDefault="00913550" w:rsidP="00913550">
      <w:pPr>
        <w:pStyle w:val="Heading2"/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rFonts w:eastAsia="MS Mincho"/>
          <w:spacing w:val="-2"/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3C3019" w:rsidRPr="009D50BC">
        <w:rPr>
          <w:lang w:val="es-ES_tradnl"/>
        </w:rPr>
        <w:t>En lo que respecta a la comunicación, los participantes tomaron nota de que</w:t>
      </w:r>
      <w:r w:rsidR="003C3019" w:rsidRPr="009D50BC">
        <w:rPr>
          <w:rFonts w:eastAsia="MS Mincho"/>
          <w:spacing w:val="-2"/>
          <w:lang w:val="es-ES_tradnl"/>
        </w:rPr>
        <w:t>:</w:t>
      </w:r>
    </w:p>
    <w:p w:rsidR="00913550" w:rsidRPr="00543516" w:rsidRDefault="00913550" w:rsidP="00913550">
      <w:pPr>
        <w:rPr>
          <w:rFonts w:eastAsia="MS Mincho"/>
          <w:lang w:val="es-ES"/>
        </w:rPr>
      </w:pPr>
    </w:p>
    <w:p w:rsidR="00913550" w:rsidRPr="00543516" w:rsidRDefault="003C3019" w:rsidP="00B25797">
      <w:pPr>
        <w:pStyle w:val="ListParagraph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sz w:val="20"/>
          <w:szCs w:val="20"/>
          <w:lang w:val="es-ES_tradnl"/>
        </w:rPr>
        <w:t xml:space="preserve">cuando se puso en funcionamiento el EAF, el 9 de enero de 2017, </w:t>
      </w:r>
      <w:r w:rsidR="00B604DE" w:rsidRPr="009D50BC">
        <w:rPr>
          <w:rFonts w:ascii="Arial" w:hAnsi="Arial"/>
          <w:sz w:val="20"/>
          <w:szCs w:val="20"/>
          <w:lang w:val="es-ES_tradnl"/>
        </w:rPr>
        <w:t>se creó una página web propia</w:t>
      </w:r>
      <w:r w:rsidRPr="009D50BC">
        <w:rPr>
          <w:rFonts w:ascii="Arial" w:hAnsi="Arial"/>
          <w:sz w:val="20"/>
          <w:szCs w:val="20"/>
          <w:lang w:val="es-ES_tradnl"/>
        </w:rPr>
        <w:t xml:space="preserve"> </w:t>
      </w:r>
      <w:r w:rsidR="00B604DE" w:rsidRPr="009D50BC">
        <w:rPr>
          <w:rFonts w:ascii="Arial" w:hAnsi="Arial"/>
          <w:sz w:val="20"/>
          <w:szCs w:val="20"/>
          <w:lang w:val="es-ES_tradnl"/>
        </w:rPr>
        <w:t>(</w:t>
      </w:r>
      <w:r w:rsidRPr="009D50BC">
        <w:rPr>
          <w:rFonts w:ascii="Arial" w:hAnsi="Arial"/>
          <w:sz w:val="20"/>
          <w:szCs w:val="20"/>
          <w:lang w:val="es-ES_tradnl"/>
        </w:rPr>
        <w:t>disponible en</w:t>
      </w:r>
      <w:r w:rsidR="00913550" w:rsidRPr="00543516">
        <w:rPr>
          <w:rFonts w:ascii="Arial" w:hAnsi="Arial"/>
          <w:sz w:val="20"/>
          <w:szCs w:val="20"/>
          <w:lang w:val="es-ES"/>
        </w:rPr>
        <w:t xml:space="preserve"> </w:t>
      </w:r>
      <w:hyperlink r:id="rId10" w:history="1">
        <w:r w:rsidR="00B604DE" w:rsidRPr="00543516">
          <w:rPr>
            <w:rStyle w:val="Hyperlink"/>
            <w:sz w:val="20"/>
            <w:szCs w:val="20"/>
            <w:lang w:val="es-ES"/>
          </w:rPr>
          <w:t>http://www.upov.int/upovprisma/es/</w:t>
        </w:r>
      </w:hyperlink>
      <w:r w:rsidR="00B604DE" w:rsidRPr="00543516">
        <w:rPr>
          <w:rFonts w:ascii="Arial" w:hAnsi="Arial"/>
          <w:sz w:val="20"/>
          <w:szCs w:val="20"/>
          <w:lang w:val="es-ES"/>
        </w:rPr>
        <w:t>)</w:t>
      </w:r>
      <w:r w:rsidR="00913550" w:rsidRPr="00543516">
        <w:rPr>
          <w:rFonts w:ascii="Arial" w:hAnsi="Arial"/>
          <w:sz w:val="20"/>
          <w:szCs w:val="20"/>
          <w:lang w:val="es-ES"/>
        </w:rPr>
        <w:t xml:space="preserve"> </w:t>
      </w:r>
      <w:r w:rsidR="00B604DE" w:rsidRPr="009D50BC">
        <w:rPr>
          <w:rFonts w:ascii="Arial" w:hAnsi="Arial"/>
          <w:sz w:val="20"/>
          <w:szCs w:val="20"/>
          <w:lang w:val="es-ES_tradnl"/>
        </w:rPr>
        <w:t>en la que consta toda la información necesaria para acceder a dicho formulario y utilizarlo;</w:t>
      </w:r>
    </w:p>
    <w:p w:rsidR="00913550" w:rsidRPr="00543516" w:rsidRDefault="002C05DA" w:rsidP="00B25797">
      <w:pPr>
        <w:pStyle w:val="ListParagraph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sz w:val="20"/>
          <w:szCs w:val="20"/>
          <w:lang w:val="es-ES_tradnl"/>
        </w:rPr>
        <w:t>cuando se puso en funcionamiento el EAF, la Oficina de la Unión informó sobre la disponibilidad del sistema a las organizaciones de obtentores y las oficinas de protección de las obtenciones vegetales (véanse las circulares E</w:t>
      </w:r>
      <w:r w:rsidRPr="009D50BC">
        <w:rPr>
          <w:rFonts w:ascii="Arial" w:hAnsi="Arial"/>
          <w:sz w:val="20"/>
          <w:szCs w:val="20"/>
          <w:lang w:val="es-ES_tradnl"/>
        </w:rPr>
        <w:noBreakHyphen/>
        <w:t>17/007, E</w:t>
      </w:r>
      <w:r w:rsidRPr="009D50BC">
        <w:rPr>
          <w:rFonts w:ascii="Arial" w:hAnsi="Arial"/>
          <w:sz w:val="20"/>
          <w:szCs w:val="20"/>
          <w:lang w:val="es-ES_tradnl"/>
        </w:rPr>
        <w:noBreakHyphen/>
        <w:t>17/008 y E</w:t>
      </w:r>
      <w:r w:rsidRPr="009D50BC">
        <w:rPr>
          <w:rFonts w:ascii="Arial" w:hAnsi="Arial"/>
          <w:sz w:val="20"/>
          <w:szCs w:val="20"/>
          <w:lang w:val="es-ES_tradnl"/>
        </w:rPr>
        <w:noBreakHyphen/>
        <w:t>17/009) y las invitó a que informaran a todos los sectores interesados pertinentes;</w:t>
      </w:r>
    </w:p>
    <w:p w:rsidR="00913550" w:rsidRPr="00543516" w:rsidRDefault="00A52FDF" w:rsidP="00543516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color w:val="000000"/>
          <w:sz w:val="20"/>
          <w:szCs w:val="20"/>
          <w:lang w:val="es-ES_tradnl"/>
        </w:rPr>
        <w:t xml:space="preserve">se ha </w:t>
      </w:r>
      <w:r w:rsidR="0055446B" w:rsidRPr="009D50BC">
        <w:rPr>
          <w:rFonts w:ascii="Arial" w:hAnsi="Arial"/>
          <w:color w:val="000000"/>
          <w:sz w:val="20"/>
          <w:szCs w:val="20"/>
          <w:lang w:val="es-ES_tradnl"/>
        </w:rPr>
        <w:t xml:space="preserve">elaborado </w:t>
      </w:r>
      <w:r w:rsidRPr="009D50BC">
        <w:rPr>
          <w:rFonts w:ascii="Arial" w:hAnsi="Arial"/>
          <w:color w:val="000000"/>
          <w:sz w:val="20"/>
          <w:szCs w:val="20"/>
          <w:lang w:val="es-ES_tradnl"/>
        </w:rPr>
        <w:t>el siguiente material de comunicación</w:t>
      </w:r>
      <w:r w:rsidR="00A655BC" w:rsidRPr="009D50BC">
        <w:rPr>
          <w:rFonts w:ascii="Arial" w:hAnsi="Arial"/>
          <w:color w:val="000000"/>
          <w:sz w:val="20"/>
          <w:szCs w:val="20"/>
          <w:lang w:val="es-ES_tradnl"/>
        </w:rPr>
        <w:t>,</w:t>
      </w:r>
      <w:r w:rsidRPr="009D50BC">
        <w:rPr>
          <w:rFonts w:ascii="Arial" w:hAnsi="Arial"/>
          <w:color w:val="000000"/>
          <w:sz w:val="20"/>
          <w:szCs w:val="20"/>
          <w:lang w:val="es-ES_tradnl"/>
        </w:rPr>
        <w:t xml:space="preserve"> </w:t>
      </w:r>
      <w:r w:rsidR="00A655BC" w:rsidRPr="009D50BC">
        <w:rPr>
          <w:rFonts w:ascii="Arial" w:hAnsi="Arial"/>
          <w:color w:val="000000"/>
          <w:sz w:val="20"/>
          <w:szCs w:val="20"/>
          <w:lang w:val="es-ES_tradnl"/>
        </w:rPr>
        <w:t>que</w:t>
      </w:r>
      <w:r w:rsidRPr="009D50BC">
        <w:rPr>
          <w:rFonts w:ascii="Arial" w:hAnsi="Arial"/>
          <w:color w:val="000000"/>
          <w:sz w:val="20"/>
          <w:szCs w:val="20"/>
          <w:lang w:val="es-ES_tradnl"/>
        </w:rPr>
        <w:t xml:space="preserve"> se ha enviado a los miembros de la UPOV y las organizaciones de obtentores que lo solicitaron (aún se dispone de ejemplares para facilitarlos previa petición):</w:t>
      </w:r>
    </w:p>
    <w:p w:rsidR="00913550" w:rsidRPr="00B25797" w:rsidRDefault="00913550" w:rsidP="00913550">
      <w:pPr>
        <w:pStyle w:val="ListParagraph"/>
        <w:rPr>
          <w:rFonts w:ascii="Arial" w:hAnsi="Arial"/>
          <w:sz w:val="14"/>
          <w:szCs w:val="20"/>
          <w:lang w:val="es-ES"/>
        </w:rPr>
      </w:pPr>
    </w:p>
    <w:p w:rsidR="00913550" w:rsidRPr="00543516" w:rsidRDefault="00A655BC" w:rsidP="00543516">
      <w:pPr>
        <w:pStyle w:val="ListParagraph"/>
        <w:numPr>
          <w:ilvl w:val="1"/>
          <w:numId w:val="1"/>
        </w:numPr>
        <w:ind w:left="1701" w:hanging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sz w:val="20"/>
          <w:szCs w:val="20"/>
          <w:lang w:val="es-ES_tradnl"/>
        </w:rPr>
        <w:t>carteles y expositores enrollables en chino, español e inglés,</w:t>
      </w:r>
    </w:p>
    <w:p w:rsidR="00913550" w:rsidRPr="00543516" w:rsidRDefault="00A655BC" w:rsidP="00543516">
      <w:pPr>
        <w:pStyle w:val="ListParagraph"/>
        <w:numPr>
          <w:ilvl w:val="1"/>
          <w:numId w:val="1"/>
        </w:numPr>
        <w:ind w:left="1701" w:hanging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sz w:val="20"/>
          <w:szCs w:val="20"/>
          <w:lang w:val="es-ES_tradnl"/>
        </w:rPr>
        <w:t>folletos en chino, español, francés e inglés,</w:t>
      </w:r>
    </w:p>
    <w:p w:rsidR="00913550" w:rsidRPr="00543516" w:rsidRDefault="00A655BC" w:rsidP="00B25797">
      <w:pPr>
        <w:pStyle w:val="ListParagraph"/>
        <w:numPr>
          <w:ilvl w:val="1"/>
          <w:numId w:val="1"/>
        </w:numPr>
        <w:spacing w:after="200"/>
        <w:ind w:left="1701" w:hanging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sz w:val="20"/>
          <w:szCs w:val="20"/>
          <w:lang w:val="es-ES_tradnl"/>
        </w:rPr>
        <w:t>una serie de guías (en inglés), que también se ha publicado en el sitio web de la UPOV, con subtítulos en árabe, chino, coreano, español, francés y japonés;</w:t>
      </w:r>
    </w:p>
    <w:p w:rsidR="00913550" w:rsidRPr="00543516" w:rsidRDefault="00047AFF" w:rsidP="00B25797">
      <w:pPr>
        <w:pStyle w:val="ListParagraph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sz w:val="20"/>
          <w:szCs w:val="20"/>
          <w:lang w:val="es-ES_tradnl"/>
        </w:rPr>
        <w:t>se han organizado cinco reuniones (entre ellas</w:t>
      </w:r>
      <w:r w:rsidR="00943B07" w:rsidRPr="009D50BC">
        <w:rPr>
          <w:rFonts w:ascii="Arial" w:hAnsi="Arial"/>
          <w:sz w:val="20"/>
          <w:szCs w:val="20"/>
          <w:lang w:val="es-ES_tradnl"/>
        </w:rPr>
        <w:t>,</w:t>
      </w:r>
      <w:r w:rsidRPr="009D50BC">
        <w:rPr>
          <w:rFonts w:ascii="Arial" w:hAnsi="Arial"/>
          <w:sz w:val="20"/>
          <w:szCs w:val="20"/>
          <w:lang w:val="es-ES_tradnl"/>
        </w:rPr>
        <w:t xml:space="preserve"> sesiones y seminarios por Internet), previa petición, para solicitantes individuales o grupos de solicitantes;</w:t>
      </w:r>
      <w:r w:rsidR="00913550" w:rsidRPr="00543516">
        <w:rPr>
          <w:rFonts w:ascii="Arial" w:hAnsi="Arial"/>
          <w:sz w:val="20"/>
          <w:szCs w:val="20"/>
          <w:lang w:val="es-ES"/>
        </w:rPr>
        <w:t xml:space="preserve"> </w:t>
      </w:r>
    </w:p>
    <w:p w:rsidR="00913550" w:rsidRPr="00543516" w:rsidRDefault="00047AFF" w:rsidP="00B25797">
      <w:pPr>
        <w:pStyle w:val="ListParagraph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sz w:val="20"/>
          <w:szCs w:val="20"/>
          <w:lang w:val="es-ES_tradnl"/>
        </w:rPr>
        <w:t>se han presentado ponencias en las siguientes reuniones:</w:t>
      </w:r>
      <w:r w:rsidR="00913550" w:rsidRPr="00543516">
        <w:rPr>
          <w:rFonts w:ascii="Arial" w:hAnsi="Arial"/>
          <w:sz w:val="20"/>
          <w:szCs w:val="20"/>
          <w:lang w:val="es-ES"/>
        </w:rPr>
        <w:t xml:space="preserve"> </w:t>
      </w:r>
      <w:r w:rsidRPr="009D50BC">
        <w:rPr>
          <w:rFonts w:ascii="Arial" w:hAnsi="Arial"/>
          <w:sz w:val="20"/>
          <w:szCs w:val="20"/>
          <w:lang w:val="es-ES_tradnl"/>
        </w:rPr>
        <w:t>el congreso de la ISF, el foro EAPVP, el congreso de la ESA, la reunión anual de la AOHE y el congreso de la SAA;</w:t>
      </w:r>
    </w:p>
    <w:p w:rsidR="00913550" w:rsidRPr="00543516" w:rsidRDefault="00047AFF" w:rsidP="00B25797">
      <w:pPr>
        <w:pStyle w:val="ListParagraph"/>
        <w:numPr>
          <w:ilvl w:val="0"/>
          <w:numId w:val="1"/>
        </w:numPr>
        <w:tabs>
          <w:tab w:val="left" w:pos="1134"/>
          <w:tab w:val="left" w:pos="1418"/>
        </w:tabs>
        <w:spacing w:after="200"/>
        <w:ind w:left="0" w:firstLine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sz w:val="20"/>
          <w:szCs w:val="20"/>
          <w:lang w:val="es-ES_tradnl"/>
        </w:rPr>
        <w:t>se ha creado una página en LinkedIn</w:t>
      </w:r>
      <w:r w:rsidR="00913550" w:rsidRPr="00543516">
        <w:rPr>
          <w:rFonts w:ascii="Arial" w:hAnsi="Arial"/>
          <w:sz w:val="20"/>
          <w:szCs w:val="20"/>
          <w:lang w:val="es-ES"/>
        </w:rPr>
        <w:t xml:space="preserve"> (</w:t>
      </w:r>
      <w:hyperlink r:id="rId11" w:history="1">
        <w:r w:rsidR="00913550" w:rsidRPr="00543516">
          <w:rPr>
            <w:rStyle w:val="Hyperlink"/>
            <w:snapToGrid w:val="0"/>
            <w:sz w:val="20"/>
            <w:szCs w:val="20"/>
            <w:lang w:val="es-ES"/>
          </w:rPr>
          <w:t>https://www.linkedin.com/showcase/24973258/</w:t>
        </w:r>
      </w:hyperlink>
      <w:r w:rsidR="00913550" w:rsidRPr="00543516">
        <w:rPr>
          <w:lang w:val="es-ES"/>
        </w:rPr>
        <w:t>)</w:t>
      </w:r>
      <w:r w:rsidR="00913550" w:rsidRPr="00543516">
        <w:rPr>
          <w:rFonts w:ascii="Arial" w:hAnsi="Arial"/>
          <w:sz w:val="20"/>
          <w:szCs w:val="20"/>
          <w:lang w:val="es-ES"/>
        </w:rPr>
        <w:t xml:space="preserve">; </w:t>
      </w:r>
    </w:p>
    <w:p w:rsidR="00913550" w:rsidRPr="00543516" w:rsidRDefault="00047AFF" w:rsidP="00B25797">
      <w:pPr>
        <w:pStyle w:val="ListParagraph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sz w:val="20"/>
          <w:szCs w:val="20"/>
          <w:lang w:val="es-ES_tradnl"/>
        </w:rPr>
        <w:t>la Oficina de la Unión ha invitado a las oficinas de protección de las obtenciones vegetales a difundir la información sobre la disponibilidad del EAF a los posibles usuarios (</w:t>
      </w:r>
      <w:r w:rsidR="005A5061" w:rsidRPr="009D50BC">
        <w:rPr>
          <w:rFonts w:ascii="Arial" w:hAnsi="Arial"/>
          <w:sz w:val="20"/>
          <w:lang w:val="es-ES_tradnl"/>
        </w:rPr>
        <w:t xml:space="preserve">p. ej., </w:t>
      </w:r>
      <w:r w:rsidRPr="009D50BC">
        <w:rPr>
          <w:rFonts w:ascii="Arial" w:hAnsi="Arial"/>
          <w:sz w:val="20"/>
          <w:szCs w:val="20"/>
          <w:lang w:val="es-ES_tradnl"/>
        </w:rPr>
        <w:t>obtentores, representantes, agentes, etc.) y a añadir en sus propios sitios web un enlace que remita al EAF (véase la circular E</w:t>
      </w:r>
      <w:r w:rsidRPr="009D50BC">
        <w:rPr>
          <w:rFonts w:ascii="Arial" w:hAnsi="Arial"/>
          <w:sz w:val="20"/>
          <w:szCs w:val="20"/>
          <w:lang w:val="es-ES_tradnl"/>
        </w:rPr>
        <w:noBreakHyphen/>
        <w:t>17/138);</w:t>
      </w:r>
    </w:p>
    <w:p w:rsidR="00913550" w:rsidRPr="00543516" w:rsidRDefault="009C4A0D" w:rsidP="00543516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/>
          <w:sz w:val="20"/>
          <w:szCs w:val="20"/>
          <w:lang w:val="es-ES"/>
        </w:rPr>
      </w:pPr>
      <w:r w:rsidRPr="009D50BC">
        <w:rPr>
          <w:rFonts w:ascii="Arial" w:hAnsi="Arial"/>
          <w:sz w:val="20"/>
          <w:szCs w:val="20"/>
          <w:lang w:val="es-ES_tradnl"/>
        </w:rPr>
        <w:t>se han organizado</w:t>
      </w:r>
      <w:r w:rsidR="003373EF" w:rsidRPr="009D50BC">
        <w:rPr>
          <w:rFonts w:ascii="Arial" w:hAnsi="Arial"/>
          <w:sz w:val="20"/>
          <w:szCs w:val="20"/>
          <w:lang w:val="es-ES_tradnl"/>
        </w:rPr>
        <w:t xml:space="preserve"> sesiones informativas en español, francés e inglés al margen de las sesiones de la UPOV que se celebrar</w:t>
      </w:r>
      <w:r w:rsidRPr="009D50BC">
        <w:rPr>
          <w:rFonts w:ascii="Arial" w:hAnsi="Arial"/>
          <w:sz w:val="20"/>
          <w:szCs w:val="20"/>
          <w:lang w:val="es-ES_tradnl"/>
        </w:rPr>
        <w:t>o</w:t>
      </w:r>
      <w:r w:rsidR="003373EF" w:rsidRPr="009D50BC">
        <w:rPr>
          <w:rFonts w:ascii="Arial" w:hAnsi="Arial"/>
          <w:sz w:val="20"/>
          <w:szCs w:val="20"/>
          <w:lang w:val="es-ES_tradnl"/>
        </w:rPr>
        <w:t>n en Ginebra en octubre de</w:t>
      </w:r>
      <w:r w:rsidRPr="009D50BC">
        <w:rPr>
          <w:rFonts w:ascii="Arial" w:hAnsi="Arial"/>
          <w:sz w:val="20"/>
          <w:szCs w:val="20"/>
          <w:lang w:val="es-ES_tradnl"/>
        </w:rPr>
        <w:t> </w:t>
      </w:r>
      <w:r w:rsidR="003373EF" w:rsidRPr="009D50BC">
        <w:rPr>
          <w:rFonts w:ascii="Arial" w:hAnsi="Arial"/>
          <w:sz w:val="20"/>
          <w:szCs w:val="20"/>
          <w:lang w:val="es-ES_tradnl"/>
        </w:rPr>
        <w:t>2017 (véase la circular E</w:t>
      </w:r>
      <w:r w:rsidR="003373EF" w:rsidRPr="009D50BC">
        <w:rPr>
          <w:rFonts w:ascii="Arial" w:hAnsi="Arial"/>
          <w:sz w:val="20"/>
          <w:szCs w:val="20"/>
          <w:lang w:val="es-ES_tradnl"/>
        </w:rPr>
        <w:noBreakHyphen/>
        <w:t>17/139).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A90440" w:rsidRPr="009D50BC">
        <w:rPr>
          <w:lang w:val="es-ES_tradnl"/>
        </w:rPr>
        <w:t xml:space="preserve">En </w:t>
      </w:r>
      <w:r w:rsidR="009D0BA2" w:rsidRPr="009D50BC">
        <w:rPr>
          <w:lang w:val="es-ES_tradnl"/>
        </w:rPr>
        <w:t>cuanto al plan de comunicación para 2018</w:t>
      </w:r>
      <w:r w:rsidR="00A90440" w:rsidRPr="009D50BC">
        <w:rPr>
          <w:lang w:val="es-ES_tradnl"/>
        </w:rPr>
        <w:t xml:space="preserve">, </w:t>
      </w:r>
      <w:r w:rsidR="009D0BA2" w:rsidRPr="009D50BC">
        <w:rPr>
          <w:lang w:val="es-ES_tradnl"/>
        </w:rPr>
        <w:t xml:space="preserve">los </w:t>
      </w:r>
      <w:r w:rsidR="00A90440" w:rsidRPr="009D50BC">
        <w:rPr>
          <w:lang w:val="es-ES_tradnl"/>
        </w:rPr>
        <w:t xml:space="preserve">participantes </w:t>
      </w:r>
      <w:r w:rsidR="009D0BA2" w:rsidRPr="009D50BC">
        <w:rPr>
          <w:lang w:val="es-ES_tradnl"/>
        </w:rPr>
        <w:t xml:space="preserve">convinieron en que </w:t>
      </w:r>
      <w:r w:rsidR="00AF07E1" w:rsidRPr="009D50BC">
        <w:rPr>
          <w:lang w:val="es-ES_tradnl"/>
        </w:rPr>
        <w:t xml:space="preserve">deben incorporarse </w:t>
      </w:r>
      <w:r w:rsidR="009D0BA2" w:rsidRPr="009D50BC">
        <w:rPr>
          <w:lang w:val="es-ES_tradnl"/>
        </w:rPr>
        <w:t>los siguientes elementos</w:t>
      </w:r>
      <w:r w:rsidR="00A90440" w:rsidRPr="009D50BC">
        <w:rPr>
          <w:lang w:val="es-ES_tradnl"/>
        </w:rPr>
        <w:t>:</w:t>
      </w:r>
      <w:r w:rsidR="00913550" w:rsidRPr="00543516">
        <w:rPr>
          <w:lang w:val="es-ES"/>
        </w:rPr>
        <w:t xml:space="preserve"> 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5A5061" w:rsidP="00543516">
      <w:pPr>
        <w:pStyle w:val="ListParagraph"/>
        <w:numPr>
          <w:ilvl w:val="0"/>
          <w:numId w:val="2"/>
        </w:numPr>
        <w:ind w:left="1134" w:hanging="567"/>
        <w:rPr>
          <w:rFonts w:ascii="Arial" w:hAnsi="Arial"/>
          <w:sz w:val="20"/>
          <w:lang w:val="es-ES"/>
        </w:rPr>
      </w:pPr>
      <w:r w:rsidRPr="009D50BC">
        <w:rPr>
          <w:rFonts w:ascii="Arial" w:hAnsi="Arial"/>
          <w:sz w:val="20"/>
          <w:lang w:val="es-ES_tradnl"/>
        </w:rPr>
        <w:t>comunicación dirigida a posibles usuarios del EAF de la UPOV (p. ej., agentes, representantes, empresas dedicadas al fitomejoramiento y asociaciones de obtentores);</w:t>
      </w:r>
    </w:p>
    <w:p w:rsidR="00913550" w:rsidRPr="00543516" w:rsidRDefault="007A5CC8" w:rsidP="00543516">
      <w:pPr>
        <w:pStyle w:val="ListParagraph"/>
        <w:numPr>
          <w:ilvl w:val="0"/>
          <w:numId w:val="2"/>
        </w:numPr>
        <w:ind w:left="1134" w:hanging="567"/>
        <w:rPr>
          <w:rFonts w:ascii="Arial" w:hAnsi="Arial"/>
          <w:sz w:val="20"/>
          <w:lang w:val="es-ES"/>
        </w:rPr>
      </w:pPr>
      <w:r w:rsidRPr="009D50BC">
        <w:rPr>
          <w:rFonts w:ascii="Arial" w:hAnsi="Arial"/>
          <w:sz w:val="20"/>
          <w:lang w:val="es-ES_tradnl"/>
        </w:rPr>
        <w:t>sesiones de formación (</w:t>
      </w:r>
      <w:r w:rsidRPr="009D50BC">
        <w:rPr>
          <w:rFonts w:ascii="Arial" w:hAnsi="Arial"/>
          <w:i/>
          <w:sz w:val="20"/>
          <w:lang w:val="es-ES_tradnl"/>
        </w:rPr>
        <w:t>in situ</w:t>
      </w:r>
      <w:r w:rsidRPr="009D50BC">
        <w:rPr>
          <w:rFonts w:ascii="Arial" w:hAnsi="Arial"/>
          <w:sz w:val="20"/>
          <w:lang w:val="es-ES_tradnl"/>
        </w:rPr>
        <w:t xml:space="preserve"> y por Internet);</w:t>
      </w:r>
    </w:p>
    <w:p w:rsidR="00913550" w:rsidRPr="00543516" w:rsidRDefault="007A5CC8" w:rsidP="00543516">
      <w:pPr>
        <w:pStyle w:val="ListParagraph"/>
        <w:numPr>
          <w:ilvl w:val="0"/>
          <w:numId w:val="2"/>
        </w:numPr>
        <w:ind w:left="1134" w:hanging="567"/>
        <w:rPr>
          <w:rFonts w:ascii="Arial" w:hAnsi="Arial"/>
          <w:sz w:val="20"/>
          <w:lang w:val="es-ES"/>
        </w:rPr>
      </w:pPr>
      <w:r w:rsidRPr="009D50BC">
        <w:rPr>
          <w:rFonts w:ascii="Arial" w:hAnsi="Arial"/>
          <w:sz w:val="20"/>
          <w:lang w:val="es-ES_tradnl"/>
        </w:rPr>
        <w:t>participación en actividades internacionales de obtentores (p. ej., ISF, AOHE, CIOPORA, ASTA</w:t>
      </w:r>
      <w:r w:rsidR="00B25797">
        <w:rPr>
          <w:rFonts w:ascii="Arial" w:hAnsi="Arial"/>
          <w:sz w:val="20"/>
          <w:lang w:val="es-ES_tradnl"/>
        </w:rPr>
        <w:t>, …</w:t>
      </w:r>
      <w:r w:rsidRPr="009D50BC">
        <w:rPr>
          <w:rFonts w:ascii="Arial" w:hAnsi="Arial"/>
          <w:sz w:val="20"/>
          <w:lang w:val="es-ES_tradnl"/>
        </w:rPr>
        <w:t>);</w:t>
      </w:r>
    </w:p>
    <w:p w:rsidR="00913550" w:rsidRPr="00543516" w:rsidRDefault="007A5CC8" w:rsidP="00543516">
      <w:pPr>
        <w:pStyle w:val="ListParagraph"/>
        <w:numPr>
          <w:ilvl w:val="0"/>
          <w:numId w:val="2"/>
        </w:numPr>
        <w:ind w:left="1134" w:hanging="567"/>
        <w:rPr>
          <w:rFonts w:ascii="Arial" w:hAnsi="Arial"/>
          <w:sz w:val="20"/>
          <w:lang w:val="es-ES"/>
        </w:rPr>
      </w:pPr>
      <w:r w:rsidRPr="009D50BC">
        <w:rPr>
          <w:rFonts w:ascii="Arial" w:hAnsi="Arial"/>
          <w:sz w:val="20"/>
          <w:lang w:val="es-ES_tradnl"/>
        </w:rPr>
        <w:t>material de comunicación actualizado (carteles, folletos y guías) con el nuevo nombre y el logo y los nuevos cultivos y países que abarca;</w:t>
      </w:r>
    </w:p>
    <w:p w:rsidR="00913550" w:rsidRPr="009D50BC" w:rsidRDefault="00D67726" w:rsidP="00543516">
      <w:pPr>
        <w:pStyle w:val="ListParagraph"/>
        <w:numPr>
          <w:ilvl w:val="0"/>
          <w:numId w:val="2"/>
        </w:numPr>
        <w:ind w:left="1134" w:hanging="567"/>
        <w:rPr>
          <w:rFonts w:ascii="Arial" w:hAnsi="Arial"/>
          <w:sz w:val="20"/>
          <w:lang w:val="en-US"/>
        </w:rPr>
      </w:pPr>
      <w:r w:rsidRPr="009D50BC">
        <w:rPr>
          <w:rFonts w:ascii="Arial" w:hAnsi="Arial"/>
          <w:sz w:val="20"/>
          <w:lang w:val="es-ES_tradnl"/>
        </w:rPr>
        <w:t>artículos de prensa;</w:t>
      </w:r>
    </w:p>
    <w:p w:rsidR="00913550" w:rsidRPr="00543516" w:rsidRDefault="00D67726" w:rsidP="00543516">
      <w:pPr>
        <w:pStyle w:val="ListParagraph"/>
        <w:numPr>
          <w:ilvl w:val="0"/>
          <w:numId w:val="2"/>
        </w:numPr>
        <w:ind w:left="1134" w:hanging="567"/>
        <w:rPr>
          <w:rFonts w:ascii="Arial" w:hAnsi="Arial"/>
          <w:sz w:val="20"/>
          <w:lang w:val="es-ES"/>
        </w:rPr>
      </w:pPr>
      <w:r w:rsidRPr="009D50BC">
        <w:rPr>
          <w:rFonts w:ascii="Arial" w:hAnsi="Arial"/>
          <w:sz w:val="20"/>
          <w:lang w:val="es-ES_tradnl"/>
        </w:rPr>
        <w:t>actualización del sitio web de la herramienta de la UPOV para solicitar derechos de obtentor (EAF) con nuevos testimonios de obtentores y oficinas de protección de las obtenciones vegetales;</w:t>
      </w:r>
    </w:p>
    <w:p w:rsidR="00913550" w:rsidRPr="00543516" w:rsidRDefault="00D67726" w:rsidP="00543516">
      <w:pPr>
        <w:pStyle w:val="ListParagraph"/>
        <w:numPr>
          <w:ilvl w:val="0"/>
          <w:numId w:val="2"/>
        </w:numPr>
        <w:ind w:left="1134" w:hanging="567"/>
        <w:rPr>
          <w:rFonts w:ascii="Arial" w:hAnsi="Arial"/>
          <w:sz w:val="20"/>
          <w:lang w:val="es-ES"/>
        </w:rPr>
      </w:pPr>
      <w:r w:rsidRPr="009D50BC">
        <w:rPr>
          <w:rFonts w:ascii="Arial" w:hAnsi="Arial"/>
          <w:sz w:val="20"/>
          <w:lang w:val="es-ES_tradnl"/>
        </w:rPr>
        <w:t>inclusión de la información en programas de capacitación existentes de la UPOV y de miembros de la UPOV.</w:t>
      </w:r>
      <w:r w:rsidR="00913550" w:rsidRPr="00543516">
        <w:rPr>
          <w:rFonts w:ascii="Arial" w:hAnsi="Arial"/>
          <w:sz w:val="20"/>
          <w:lang w:val="es-ES"/>
        </w:rPr>
        <w:t xml:space="preserve"> 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D67726" w:rsidP="00913550">
      <w:pPr>
        <w:pStyle w:val="Heading1"/>
        <w:rPr>
          <w:lang w:val="es-ES"/>
        </w:rPr>
      </w:pPr>
      <w:r w:rsidRPr="009D50BC">
        <w:rPr>
          <w:caps w:val="0"/>
          <w:lang w:val="es-ES_tradnl"/>
        </w:rPr>
        <w:t>FECHA DE</w:t>
      </w:r>
      <w:r w:rsidRPr="009D50BC">
        <w:rPr>
          <w:lang w:val="es-ES_tradnl"/>
        </w:rPr>
        <w:t xml:space="preserve"> la próxima </w:t>
      </w:r>
      <w:r w:rsidRPr="009D50BC">
        <w:rPr>
          <w:caps w:val="0"/>
          <w:lang w:val="es-ES_tradnl"/>
        </w:rPr>
        <w:t>REUNIÓN</w:t>
      </w:r>
    </w:p>
    <w:p w:rsidR="00913550" w:rsidRPr="00543516" w:rsidRDefault="00913550" w:rsidP="00913550">
      <w:pPr>
        <w:rPr>
          <w:lang w:val="es-ES"/>
        </w:rPr>
      </w:pPr>
    </w:p>
    <w:p w:rsidR="00913550" w:rsidRPr="00543516" w:rsidRDefault="00705A08" w:rsidP="00543516">
      <w:pPr>
        <w:tabs>
          <w:tab w:val="left" w:pos="567"/>
        </w:tabs>
        <w:rPr>
          <w:lang w:val="es-ES"/>
        </w:rPr>
      </w:pPr>
      <w:r w:rsidRPr="009D50BC">
        <w:fldChar w:fldCharType="begin"/>
      </w:r>
      <w:r w:rsidR="00913550" w:rsidRPr="00543516">
        <w:rPr>
          <w:lang w:val="es-ES"/>
        </w:rPr>
        <w:instrText xml:space="preserve"> AUTONUM  </w:instrText>
      </w:r>
      <w:r w:rsidRPr="009D50BC">
        <w:fldChar w:fldCharType="end"/>
      </w:r>
      <w:r w:rsidR="00913550" w:rsidRPr="00543516">
        <w:rPr>
          <w:lang w:val="es-ES"/>
        </w:rPr>
        <w:tab/>
      </w:r>
      <w:r w:rsidR="00D67726" w:rsidRPr="009D50BC">
        <w:rPr>
          <w:lang w:val="es-ES_tradnl"/>
        </w:rPr>
        <w:t>Se decidió que la próxima reunión (reunión EAF/11) se celebre el 28 de marzo de 2018 por la mañana en Ginebra.</w:t>
      </w:r>
    </w:p>
    <w:p w:rsidR="00913550" w:rsidRPr="00543516" w:rsidRDefault="00913550" w:rsidP="00913550">
      <w:pPr>
        <w:rPr>
          <w:lang w:val="es-ES"/>
        </w:rPr>
      </w:pPr>
    </w:p>
    <w:p w:rsidR="00B25797" w:rsidRPr="001B600C" w:rsidRDefault="00B25797" w:rsidP="00B25797">
      <w:pPr>
        <w:tabs>
          <w:tab w:val="left" w:pos="5387"/>
        </w:tabs>
        <w:ind w:left="4820"/>
      </w:pPr>
      <w:r w:rsidRPr="00B25797">
        <w:rPr>
          <w:rFonts w:eastAsiaTheme="minorHAnsi" w:cs="Arial"/>
          <w:i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552399</wp:posOffset>
                </wp:positionV>
                <wp:extent cx="192087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797" w:rsidRPr="009929A5" w:rsidRDefault="00B25797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9D50BC">
                              <w:rPr>
                                <w:lang w:val="es-ES"/>
                              </w:rPr>
                              <w:t>[Siguen los Anexos]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43.5pt;width:151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Vc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woSMAy9azDAq4CwIorlnqXNJMt3upNLvqWiRMVIs&#10;gXmLTo73SptsSDK5mGBc5KxpLPsNv9oAx3EHYsNVc2aysGT+jL14G22j0AmD+dYJvSxz1vkmdOa5&#10;v5hl77LNJvN/mbh+mNSsLCk3YSZh+eGfEXeS+CiJs7SUaFhp4ExKSu53m0aiIwFh5/azPYeTi5t7&#10;nYZtAtTyoiQ/CL27IHbyebRwwjycOfHCixzPj+/iuRfGYZZfl3TPOP33klCf4ngWzEYxXZJ+UZtn&#10;v9e1kaRlGkZHw9oUR2cnkhgJbnlpqdWENaP9rBUm/UsrgO6JaCtYo9FRrXrYDYBiVLwT5RNIVwpQ&#10;FugT5h0YtZA/MOphdqRYfT8QSTFqPnCQvxk0kyEnYzcZhBdwNcUao9Hc6HEgHTrJ9jUgjw+MizU8&#10;kYpZ9V6yOD0smAe2iNPsMgPn+b/1ukzY1W8AAAD//wMAUEsDBBQABgAIAAAAIQCh6CMJ3wAAAAoB&#10;AAAPAAAAZHJzL2Rvd25yZXYueG1sTI/BTsMwEETvSPyDtUjcqN1WStI0TlUhOCEh0nDg6MRuYjVe&#10;h9htw9+znOhxtU8zb4rd7AZ2MVOwHiUsFwKYwdZri52Ez/r1KQMWokKtBo9Gwo8JsCvv7wqVa3/F&#10;ylwOsWMUgiFXEvoYx5zz0PbGqbDwo0H6Hf3kVKRz6rie1JXC3cBXQiTcKYvU0KvRPPemPR3OTsL+&#10;C6sX+/3efFTHytb1RuBbcpLy8WHeb4FFM8d/GP70SR1Kcmr8GXVgg4QkTdaESshS2kTAJs1oS0Pk&#10;ai2AlwW/nVD+AgAA//8DAFBLAQItABQABgAIAAAAIQC2gziS/gAAAOEBAAATAAAAAAAAAAAAAAAA&#10;AAAAAABbQ29udGVudF9UeXBlc10ueG1sUEsBAi0AFAAGAAgAAAAhADj9If/WAAAAlAEAAAsAAAAA&#10;AAAAAAAAAAAALwEAAF9yZWxzLy5yZWxzUEsBAi0AFAAGAAgAAAAhAE4qhVytAgAAqQUAAA4AAAAA&#10;AAAAAAAAAAAALgIAAGRycy9lMm9Eb2MueG1sUEsBAi0AFAAGAAgAAAAhAKHoIwnfAAAACgEAAA8A&#10;AAAAAAAAAAAAAAAABwUAAGRycy9kb3ducmV2LnhtbFBLBQYAAAAABAAEAPMAAAATBgAAAAA=&#10;" o:allowincell="f" filled="f" stroked="f">
                <v:textbox inset="0,0,0,0">
                  <w:txbxContent>
                    <w:p w:rsidR="00B25797" w:rsidRPr="009929A5" w:rsidRDefault="00B25797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9D50BC">
                        <w:rPr>
                          <w:lang w:val="es-ES"/>
                        </w:rPr>
                        <w:t>[Siguen los Anexos]</w:t>
                      </w:r>
                    </w:p>
                  </w:txbxContent>
                </v:textbox>
              </v:shape>
            </w:pict>
          </mc:Fallback>
        </mc:AlternateContent>
      </w:r>
      <w:r w:rsidR="00705A08" w:rsidRPr="009D50BC">
        <w:rPr>
          <w:rFonts w:eastAsiaTheme="minorHAnsi"/>
          <w:i/>
        </w:rPr>
        <w:fldChar w:fldCharType="begin"/>
      </w:r>
      <w:r w:rsidR="00913550" w:rsidRPr="00543516">
        <w:rPr>
          <w:rFonts w:eastAsiaTheme="minorHAnsi"/>
          <w:i/>
          <w:lang w:val="es-ES"/>
        </w:rPr>
        <w:instrText xml:space="preserve"> AUTONUM  </w:instrText>
      </w:r>
      <w:r w:rsidR="00705A08" w:rsidRPr="009D50BC">
        <w:rPr>
          <w:rFonts w:eastAsiaTheme="minorHAnsi"/>
          <w:i/>
        </w:rPr>
        <w:fldChar w:fldCharType="end"/>
      </w:r>
      <w:r w:rsidR="00913550" w:rsidRPr="00543516">
        <w:rPr>
          <w:rFonts w:eastAsiaTheme="minorHAnsi"/>
          <w:i/>
          <w:lang w:val="es-ES"/>
        </w:rPr>
        <w:tab/>
      </w:r>
      <w:r w:rsidR="00D67726" w:rsidRPr="009D50BC">
        <w:rPr>
          <w:rFonts w:eastAsiaTheme="minorHAnsi"/>
          <w:i/>
          <w:lang w:val="es-ES_tradnl"/>
        </w:rPr>
        <w:t xml:space="preserve">El presente informe fue aprobado por </w:t>
      </w:r>
      <w:bookmarkStart w:id="4" w:name="_GoBack"/>
      <w:bookmarkEnd w:id="4"/>
      <w:r w:rsidR="00D67726" w:rsidRPr="009D50BC">
        <w:rPr>
          <w:rFonts w:eastAsiaTheme="minorHAnsi"/>
          <w:i/>
          <w:lang w:val="es-ES_tradnl"/>
        </w:rPr>
        <w:t>correspondencia.</w:t>
      </w:r>
      <w:r>
        <w:rPr>
          <w:rFonts w:eastAsiaTheme="minorHAnsi"/>
          <w:i/>
          <w:lang w:val="es-ES_tradnl"/>
        </w:rPr>
        <w:t xml:space="preserve">  </w:t>
      </w:r>
    </w:p>
    <w:p w:rsidR="00B25797" w:rsidRPr="001B600C" w:rsidRDefault="00B25797" w:rsidP="00B25797">
      <w:pPr>
        <w:sectPr w:rsidR="00B25797" w:rsidRPr="001B600C" w:rsidSect="00D432EC">
          <w:headerReference w:type="defaul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25797" w:rsidRPr="001B600C" w:rsidRDefault="00B25797" w:rsidP="00B25797">
      <w:pPr>
        <w:jc w:val="center"/>
      </w:pPr>
      <w:r>
        <w:lastRenderedPageBreak/>
        <w:t>UPOV/EAF/10/3</w:t>
      </w:r>
    </w:p>
    <w:p w:rsidR="00B25797" w:rsidRPr="001B600C" w:rsidRDefault="00B25797" w:rsidP="00B25797">
      <w:pPr>
        <w:jc w:val="center"/>
      </w:pPr>
    </w:p>
    <w:p w:rsidR="00B25797" w:rsidRPr="00B25797" w:rsidRDefault="00B25797" w:rsidP="00B25797">
      <w:pPr>
        <w:jc w:val="center"/>
      </w:pPr>
      <w:r w:rsidRPr="00B25797">
        <w:t>ANNEXE I / ANNEX I / ANEXO I</w:t>
      </w:r>
    </w:p>
    <w:p w:rsidR="00B25797" w:rsidRPr="00B25797" w:rsidRDefault="00B25797" w:rsidP="00B25797">
      <w:pPr>
        <w:jc w:val="center"/>
      </w:pPr>
    </w:p>
    <w:p w:rsidR="00B25797" w:rsidRPr="00B25797" w:rsidRDefault="00B25797" w:rsidP="00B25797">
      <w:pPr>
        <w:jc w:val="center"/>
      </w:pPr>
    </w:p>
    <w:p w:rsidR="00B25797" w:rsidRPr="00B25797" w:rsidRDefault="00B25797" w:rsidP="00B25797">
      <w:pPr>
        <w:jc w:val="center"/>
      </w:pPr>
      <w:r w:rsidRPr="00B25797">
        <w:t>LISTE DES PARTICIPANTS / LIST OF PARTICIPANTS / LISTA DE PARTICIPANTES</w:t>
      </w:r>
      <w:r w:rsidRPr="00B25797">
        <w:br/>
      </w:r>
      <w:r w:rsidRPr="00B25797">
        <w:br/>
        <w:t xml:space="preserve">(dans l’ordre alphabétique des noms français des membres / </w:t>
      </w:r>
      <w:r w:rsidRPr="00B25797">
        <w:br/>
        <w:t xml:space="preserve">in the alphabetical order of the French names of the Members / </w:t>
      </w:r>
      <w:r w:rsidRPr="00B25797">
        <w:br/>
        <w:t>por orden alfabético de los nombres en francés de los miembros)</w:t>
      </w:r>
    </w:p>
    <w:p w:rsidR="00B25797" w:rsidRPr="00B25797" w:rsidRDefault="00B25797" w:rsidP="00B25797">
      <w:pPr>
        <w:pStyle w:val="plheading"/>
        <w:rPr>
          <w:lang w:val="fr-FR"/>
        </w:rPr>
      </w:pPr>
      <w:r w:rsidRPr="00B25797">
        <w:rPr>
          <w:lang w:val="fr-FR"/>
        </w:rPr>
        <w:t>I. MEMBRES / MEMBERS / MIEMBROS</w:t>
      </w:r>
    </w:p>
    <w:p w:rsidR="00B25797" w:rsidRPr="00514847" w:rsidRDefault="00B25797" w:rsidP="00B25797">
      <w:pPr>
        <w:pStyle w:val="plcountry"/>
        <w:rPr>
          <w:lang w:val="fr-CH"/>
        </w:rPr>
      </w:pPr>
      <w:r w:rsidRPr="00514847">
        <w:rPr>
          <w:lang w:val="fr-CH"/>
        </w:rPr>
        <w:t>AFRIQUE DU SUD / SOUTH AFRICA / SUDÁFRICA</w:t>
      </w:r>
    </w:p>
    <w:p w:rsidR="00B25797" w:rsidRPr="00514847" w:rsidRDefault="00B25797" w:rsidP="00B25797">
      <w:pPr>
        <w:pStyle w:val="pldetails"/>
      </w:pPr>
      <w:r w:rsidRPr="00514847">
        <w:t>Noluthando NETNOU-NKOANA (Ms.), Director, Genetic Resources, Department of Agriculture</w:t>
      </w:r>
      <w:r>
        <w:t>, Forestry &amp; Fisheries</w:t>
      </w:r>
      <w:r w:rsidRPr="00514847">
        <w:t xml:space="preserve">, Pretoria </w:t>
      </w:r>
      <w:r w:rsidRPr="00514847">
        <w:br/>
        <w:t>(e-mail: noluthandon@daff.gov.za)</w:t>
      </w:r>
    </w:p>
    <w:p w:rsidR="00B25797" w:rsidRPr="00323C04" w:rsidRDefault="00B25797" w:rsidP="00B25797">
      <w:pPr>
        <w:pStyle w:val="plcountry"/>
        <w:rPr>
          <w:lang w:val="es-ES_tradnl"/>
        </w:rPr>
      </w:pPr>
      <w:r w:rsidRPr="00323C04">
        <w:rPr>
          <w:lang w:val="es-ES_tradnl"/>
        </w:rPr>
        <w:t>ARGENTINE / ARGENTINA / ARGENTINA</w:t>
      </w:r>
    </w:p>
    <w:p w:rsidR="00B25797" w:rsidRPr="004D23DE" w:rsidRDefault="00B25797" w:rsidP="00B25797">
      <w:pPr>
        <w:pStyle w:val="pldetails"/>
        <w:rPr>
          <w:lang w:val="es-ES_tradnl"/>
        </w:rPr>
      </w:pPr>
      <w:r w:rsidRPr="004D23DE">
        <w:rPr>
          <w:lang w:val="es-ES_tradnl"/>
        </w:rPr>
        <w:t>Raimundo LAVIGNOLLE</w:t>
      </w:r>
      <w:r>
        <w:rPr>
          <w:lang w:val="es-ES_tradnl"/>
        </w:rPr>
        <w:t xml:space="preserve"> (Sr.)</w:t>
      </w:r>
      <w:r w:rsidRPr="004D23DE">
        <w:rPr>
          <w:lang w:val="es-ES_tradnl"/>
        </w:rPr>
        <w:t xml:space="preserve">, Presidente del Directorio, Instituto Nacional de Semillas (INASE), </w:t>
      </w:r>
      <w:r>
        <w:rPr>
          <w:lang w:val="es-ES_tradnl"/>
        </w:rPr>
        <w:br/>
      </w:r>
      <w:r w:rsidRPr="004D23DE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rlavignolle@inase.gov.ar) </w:t>
      </w:r>
    </w:p>
    <w:p w:rsidR="00B25797" w:rsidRDefault="00B25797" w:rsidP="00B25797">
      <w:pPr>
        <w:pStyle w:val="pldetails"/>
        <w:rPr>
          <w:lang w:val="es-ES_tradnl"/>
        </w:rPr>
      </w:pPr>
      <w:r w:rsidRPr="00F26CA1">
        <w:rPr>
          <w:lang w:val="es-ES_tradnl"/>
        </w:rPr>
        <w:t xml:space="preserve">María Laura VILLAMAYOR (Sra.), Abogada, Unidad Presidencia, </w:t>
      </w:r>
      <w:r w:rsidRPr="004D23DE">
        <w:rPr>
          <w:lang w:val="es-ES_tradnl"/>
        </w:rPr>
        <w:t>Instituto Nacional de Semillas (INASE)</w:t>
      </w:r>
      <w:r>
        <w:rPr>
          <w:lang w:val="es-ES_tradnl"/>
        </w:rPr>
        <w:t xml:space="preserve">, </w:t>
      </w:r>
      <w:r w:rsidRPr="00F26CA1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F26CA1">
        <w:rPr>
          <w:lang w:val="es-ES_tradnl"/>
        </w:rPr>
        <w:t xml:space="preserve">(e-mail: </w:t>
      </w:r>
      <w:r w:rsidRPr="003D3CDA">
        <w:rPr>
          <w:lang w:val="es-ES_tradnl"/>
        </w:rPr>
        <w:t xml:space="preserve">mlvillamayor@inase.gov.ar) </w:t>
      </w:r>
    </w:p>
    <w:p w:rsidR="00B25797" w:rsidRPr="004D23DE" w:rsidRDefault="00B25797" w:rsidP="00B25797">
      <w:pPr>
        <w:pStyle w:val="plcountry"/>
      </w:pPr>
      <w:r w:rsidRPr="004D23DE">
        <w:t>AUSTRALIE / AUSTRALIA / AUSTRALIA</w:t>
      </w:r>
    </w:p>
    <w:p w:rsidR="00B25797" w:rsidRPr="004D23DE" w:rsidRDefault="00B25797" w:rsidP="00B25797">
      <w:pPr>
        <w:pStyle w:val="pldetails"/>
      </w:pPr>
      <w:r w:rsidRPr="004D23DE">
        <w:t>Nik HULSE</w:t>
      </w:r>
      <w:r>
        <w:t xml:space="preserve"> (Mr.)</w:t>
      </w:r>
      <w:r w:rsidRPr="004D23DE">
        <w:t xml:space="preserve">, Chief of Plant Breeders' Rights, Plant Breeder's Rights Office, IP Australia, Woden </w:t>
      </w:r>
      <w:r>
        <w:br/>
      </w:r>
      <w:r w:rsidRPr="004D23DE">
        <w:t xml:space="preserve">(e-mail: nik.hulse@ipaustralia.gov.au) </w:t>
      </w:r>
    </w:p>
    <w:p w:rsidR="00B25797" w:rsidRPr="00601689" w:rsidRDefault="00B25797" w:rsidP="00B25797">
      <w:pPr>
        <w:pStyle w:val="plcountry"/>
        <w:rPr>
          <w:lang w:val="es-ES_tradnl"/>
        </w:rPr>
      </w:pPr>
      <w:r w:rsidRPr="00601689">
        <w:rPr>
          <w:lang w:val="es-ES_tradnl"/>
        </w:rPr>
        <w:t xml:space="preserve">BOLIVIE (ÉTAT PLURINATIONAL DE) / BOLIVIA (PLURINATIONAL STATE OF) / </w:t>
      </w:r>
      <w:r>
        <w:rPr>
          <w:lang w:val="es-ES_tradnl"/>
        </w:rPr>
        <w:br/>
      </w:r>
      <w:r w:rsidRPr="00601689">
        <w:rPr>
          <w:lang w:val="es-ES_tradnl"/>
        </w:rPr>
        <w:t>BOLIVIA (ESTADO PLURINACIONAL DE)</w:t>
      </w:r>
    </w:p>
    <w:p w:rsidR="00B25797" w:rsidRDefault="00B25797" w:rsidP="00B25797">
      <w:pPr>
        <w:pStyle w:val="pldetails"/>
        <w:rPr>
          <w:lang w:val="es-ES_tradnl"/>
        </w:rPr>
      </w:pPr>
      <w:r w:rsidRPr="00601689">
        <w:rPr>
          <w:lang w:val="es-ES_tradnl"/>
        </w:rPr>
        <w:t>Sergio Rider ANDRADE CÁCERES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Director Nacional de Semillas,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rideran@yahoo.es</w:t>
      </w:r>
      <w:r w:rsidRPr="00601689">
        <w:rPr>
          <w:lang w:val="es-ES_tradnl"/>
        </w:rPr>
        <w:t xml:space="preserve">) </w:t>
      </w:r>
    </w:p>
    <w:p w:rsidR="00B25797" w:rsidRDefault="00B25797" w:rsidP="00B25797">
      <w:pPr>
        <w:pStyle w:val="pldetails"/>
        <w:rPr>
          <w:lang w:val="es-ES_tradnl"/>
        </w:rPr>
      </w:pPr>
      <w:r w:rsidRPr="00601689">
        <w:rPr>
          <w:lang w:val="es-ES_tradnl"/>
        </w:rPr>
        <w:t>Freddy CABALLERO LEDEZMA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Responsable de la Unidad de Fiscalización y Registro de Semillas, Registros y protección de Variedades Vegetales,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calefred@yahoo.es</w:t>
      </w:r>
      <w:r w:rsidRPr="00601689">
        <w:rPr>
          <w:lang w:val="es-ES_tradnl"/>
        </w:rPr>
        <w:t>)</w:t>
      </w:r>
    </w:p>
    <w:p w:rsidR="00B25797" w:rsidRPr="00C81650" w:rsidRDefault="00B25797" w:rsidP="00B25797">
      <w:pPr>
        <w:pStyle w:val="plcountry"/>
        <w:rPr>
          <w:lang w:val="es-ES"/>
        </w:rPr>
      </w:pPr>
      <w:r w:rsidRPr="00C81650">
        <w:rPr>
          <w:lang w:val="es-ES"/>
        </w:rPr>
        <w:t>BRÉSIL / BRAZIL / BRASIL</w:t>
      </w:r>
    </w:p>
    <w:p w:rsidR="00B25797" w:rsidRPr="00B25797" w:rsidRDefault="00B25797" w:rsidP="00B25797">
      <w:pPr>
        <w:pStyle w:val="pldetails"/>
      </w:pPr>
      <w:r w:rsidRPr="00C81650">
        <w:rPr>
          <w:lang w:val="es-ES"/>
        </w:rPr>
        <w:t>Ricardo ZANATTA MACHADO</w:t>
      </w:r>
      <w:r>
        <w:rPr>
          <w:lang w:val="es-ES"/>
        </w:rPr>
        <w:t xml:space="preserve"> (Sr.)</w:t>
      </w:r>
      <w:r w:rsidRPr="00C81650">
        <w:rPr>
          <w:lang w:val="es-ES"/>
        </w:rPr>
        <w:t>, Fiscal Federal Agropecuário, Coordinador do SNPC, Serviço Nacional de Proteção de Cultivares (SNPC), M</w:t>
      </w:r>
      <w:r w:rsidRPr="004D23DE">
        <w:rPr>
          <w:lang w:val="es-ES_tradnl"/>
        </w:rPr>
        <w:t xml:space="preserve">inistério da Agricultura, Pecuária e Abastecimento, Brasilia , D.F. </w:t>
      </w:r>
      <w:r>
        <w:rPr>
          <w:lang w:val="es-ES_tradnl"/>
        </w:rPr>
        <w:br/>
      </w:r>
      <w:r w:rsidRPr="00B25797">
        <w:t xml:space="preserve">(e-mail: ricardo.machado@agricultura.gov.br) </w:t>
      </w:r>
    </w:p>
    <w:p w:rsidR="00B25797" w:rsidRPr="00B25797" w:rsidRDefault="00B25797" w:rsidP="00B25797">
      <w:pPr>
        <w:pStyle w:val="plcountry"/>
      </w:pPr>
      <w:r w:rsidRPr="00B25797">
        <w:t>CANADA / CANADA / CANADÁ</w:t>
      </w:r>
    </w:p>
    <w:p w:rsidR="00B25797" w:rsidRPr="004D23DE" w:rsidRDefault="00B25797" w:rsidP="00B25797">
      <w:pPr>
        <w:pStyle w:val="pldetails"/>
      </w:pPr>
      <w:r w:rsidRPr="0055763C">
        <w:t xml:space="preserve">Anthony PARKER (Mr.), Commissioner, Plant Breeders' Rights Office, Canadian Food Inspection Agency (CFIA), Ottawa </w:t>
      </w:r>
      <w:r w:rsidRPr="0055763C">
        <w:br/>
        <w:t>(e-mail: anthony.parker@inspection.gc.ca)</w:t>
      </w:r>
      <w:r w:rsidRPr="004D23DE">
        <w:t xml:space="preserve"> </w:t>
      </w:r>
    </w:p>
    <w:p w:rsidR="00B25797" w:rsidRPr="0055763C" w:rsidRDefault="00B25797" w:rsidP="00B25797">
      <w:pPr>
        <w:pStyle w:val="pldetails"/>
      </w:pPr>
      <w:r>
        <w:t>Jennifer ROACH (Ms.), Examiner, Plant Breeders' Rights Office, Canadian Food Inspection Agency (CFIA), Ottawa</w:t>
      </w:r>
      <w:r>
        <w:br/>
        <w:t>(e-</w:t>
      </w:r>
      <w:r w:rsidRPr="0055763C">
        <w:t>mail: Jennifer.Roach@inspection.gc.ca</w:t>
      </w:r>
      <w:r>
        <w:t>)</w:t>
      </w:r>
      <w:r w:rsidRPr="0055763C">
        <w:t xml:space="preserve"> </w:t>
      </w:r>
    </w:p>
    <w:p w:rsidR="00B25797" w:rsidRPr="004D23DE" w:rsidRDefault="00B25797" w:rsidP="00B25797">
      <w:pPr>
        <w:pStyle w:val="plcountry"/>
        <w:rPr>
          <w:lang w:val="es-ES_tradnl"/>
        </w:rPr>
      </w:pPr>
      <w:r w:rsidRPr="004D23DE">
        <w:rPr>
          <w:lang w:val="es-ES_tradnl"/>
        </w:rPr>
        <w:t>CHILI / CHILE / CHILE</w:t>
      </w:r>
    </w:p>
    <w:p w:rsidR="00B25797" w:rsidRPr="00D43CEF" w:rsidRDefault="00B25797" w:rsidP="00B25797">
      <w:pPr>
        <w:pStyle w:val="pldetails"/>
        <w:rPr>
          <w:lang w:val="es-ES_tradnl"/>
        </w:rPr>
      </w:pPr>
      <w:r w:rsidRPr="00D43CEF">
        <w:rPr>
          <w:lang w:val="es-ES_tradnl"/>
        </w:rPr>
        <w:t>Manuel Antonio TORO UGALDE</w:t>
      </w:r>
      <w:r>
        <w:rPr>
          <w:lang w:val="es-ES_tradnl"/>
        </w:rPr>
        <w:t xml:space="preserve"> (Sr.)</w:t>
      </w:r>
      <w:r w:rsidRPr="00D43CEF">
        <w:rPr>
          <w:lang w:val="es-ES_tradnl"/>
        </w:rPr>
        <w:t xml:space="preserve">, Jefe Sub Departamento, Registro de Variedades Protegidas, División Semillas, Servicio Agrícola y Ganadero (SAG), Santiago de Chile </w:t>
      </w:r>
      <w:r>
        <w:rPr>
          <w:lang w:val="es-ES_tradnl"/>
        </w:rPr>
        <w:br/>
      </w:r>
      <w:r w:rsidRPr="00D43CEF">
        <w:rPr>
          <w:lang w:val="es-ES_tradnl"/>
        </w:rPr>
        <w:t>(e-mail: manuel.toro@sag.gob.cl)</w:t>
      </w:r>
    </w:p>
    <w:p w:rsidR="00B25797" w:rsidRPr="004D23DE" w:rsidRDefault="00B25797" w:rsidP="00B25797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Natalia SOTOMAYOR CABRERA (Sra.), Abogado, Departamento de Asesoría Jurídica, Oficina de Estudios y Politicas Agrarias (ODEPA), Santiago de Chile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nsotomayor@odepa.gob.cl) </w:t>
      </w:r>
    </w:p>
    <w:p w:rsidR="00B25797" w:rsidRPr="004D23DE" w:rsidRDefault="00B25797" w:rsidP="00B25797">
      <w:pPr>
        <w:pStyle w:val="plcountry"/>
      </w:pPr>
      <w:r w:rsidRPr="004D23DE">
        <w:lastRenderedPageBreak/>
        <w:t>CHINE / CHINA / CHINA</w:t>
      </w:r>
    </w:p>
    <w:p w:rsidR="00B25797" w:rsidRPr="00F45E2A" w:rsidRDefault="00B25797" w:rsidP="00B25797">
      <w:pPr>
        <w:pStyle w:val="pldetails"/>
      </w:pPr>
      <w:r w:rsidRPr="004D23DE">
        <w:t>Wenjun CHEN</w:t>
      </w:r>
      <w:r>
        <w:t xml:space="preserve"> (Mr.)</w:t>
      </w:r>
      <w:r w:rsidRPr="004D23DE">
        <w:t xml:space="preserve">, Project Officer, State Intellectual Property Office, </w:t>
      </w:r>
      <w:r w:rsidRPr="00F45E2A">
        <w:t xml:space="preserve">Beijing </w:t>
      </w:r>
      <w:r>
        <w:br/>
      </w:r>
      <w:r w:rsidRPr="00F45E2A">
        <w:t xml:space="preserve">(e-mail: chenwenjun@sipo.gov.cn) </w:t>
      </w:r>
    </w:p>
    <w:p w:rsidR="00B25797" w:rsidRPr="004D23DE" w:rsidRDefault="00B25797" w:rsidP="00B25797">
      <w:pPr>
        <w:pStyle w:val="pldetails"/>
      </w:pPr>
      <w:r w:rsidRPr="00107CCB">
        <w:t>Yuanyuan</w:t>
      </w:r>
      <w:r>
        <w:t xml:space="preserve"> </w:t>
      </w:r>
      <w:r w:rsidRPr="00107CCB">
        <w:t>DU</w:t>
      </w:r>
      <w:r>
        <w:t xml:space="preserve"> (Mr.)</w:t>
      </w:r>
      <w:r w:rsidRPr="00107CCB">
        <w:t xml:space="preserve">, Senior Examiner, Division of PVP Examination, Development Center of Science and Technology, Ministry of Agriculture, Beijing </w:t>
      </w:r>
      <w:r>
        <w:br/>
      </w:r>
      <w:r w:rsidRPr="00107CCB">
        <w:t>(e-mail: duyuanyuan8@yahoo.com.cn)</w:t>
      </w:r>
      <w:r w:rsidRPr="004D23DE">
        <w:t xml:space="preserve"> </w:t>
      </w:r>
    </w:p>
    <w:p w:rsidR="00B25797" w:rsidRPr="00B25797" w:rsidRDefault="00B25797" w:rsidP="00B25797">
      <w:pPr>
        <w:pStyle w:val="plcountry"/>
        <w:rPr>
          <w:lang w:val="es-ES_tradnl"/>
        </w:rPr>
      </w:pPr>
      <w:r w:rsidRPr="00B25797">
        <w:rPr>
          <w:lang w:val="es-ES_tradnl"/>
        </w:rPr>
        <w:t>COLOMBIE / COLOMBIA / COLOMBIA</w:t>
      </w:r>
    </w:p>
    <w:p w:rsidR="00B25797" w:rsidRPr="00C81650" w:rsidRDefault="00B25797" w:rsidP="00B25797">
      <w:pPr>
        <w:pStyle w:val="pldetails"/>
        <w:rPr>
          <w:lang w:val="es-ES"/>
        </w:rPr>
      </w:pPr>
      <w:r w:rsidRPr="004D23DE">
        <w:rPr>
          <w:lang w:val="es-ES_tradnl"/>
        </w:rPr>
        <w:t xml:space="preserve">Ana Luisa DÍAZ JIMÉNEZ (Sra.), Directora, Dirección Técnica de Semillas, Instituto Colombiano Agropecuario (ICA), Bogotá D.C. </w:t>
      </w:r>
      <w:r>
        <w:rPr>
          <w:lang w:val="es-ES_tradnl"/>
        </w:rPr>
        <w:br/>
      </w:r>
      <w:r w:rsidRPr="00C81650">
        <w:rPr>
          <w:lang w:val="es-ES"/>
        </w:rPr>
        <w:t xml:space="preserve">(e-mail: </w:t>
      </w:r>
      <w:r w:rsidRPr="0056553C">
        <w:rPr>
          <w:lang w:val="es-ES"/>
        </w:rPr>
        <w:t>analuisadiazj@gmail.com</w:t>
      </w:r>
      <w:r>
        <w:rPr>
          <w:lang w:val="es-ES"/>
        </w:rPr>
        <w:t>; ana.diaz@ica.gov.co)</w:t>
      </w:r>
    </w:p>
    <w:p w:rsidR="00B25797" w:rsidRPr="00104B52" w:rsidRDefault="00B25797" w:rsidP="00B25797">
      <w:pPr>
        <w:pStyle w:val="pldetails"/>
        <w:rPr>
          <w:lang w:val="es-ES_tradnl"/>
        </w:rPr>
      </w:pPr>
      <w:r w:rsidRPr="00E33A67">
        <w:rPr>
          <w:lang w:val="es-ES_tradnl"/>
        </w:rPr>
        <w:t>Alfonso Alberto ROSERO (Sr.), Profesional especializado/Ingeniero agronomo, Dirección Técnica de Semillas, Instituto Colombiano Agropecuario (ICA), Bogotá D.C.</w:t>
      </w:r>
      <w:r w:rsidRPr="00E33A67">
        <w:rPr>
          <w:lang w:val="es-ES_tradnl"/>
        </w:rPr>
        <w:br/>
        <w:t>(e-mail: alberto.rosero@ica.gov.co)</w:t>
      </w:r>
    </w:p>
    <w:p w:rsidR="00B25797" w:rsidRPr="0019003B" w:rsidRDefault="00B25797" w:rsidP="00B25797">
      <w:pPr>
        <w:pStyle w:val="plcountry"/>
      </w:pPr>
      <w:r w:rsidRPr="00912853">
        <w:t>ESTONIE / ESTONIA / ESTONIA</w:t>
      </w:r>
    </w:p>
    <w:p w:rsidR="00B25797" w:rsidRPr="00F45E2A" w:rsidRDefault="00B25797" w:rsidP="00B25797">
      <w:pPr>
        <w:pStyle w:val="pldetails"/>
      </w:pPr>
      <w:r w:rsidRPr="004D23DE">
        <w:t xml:space="preserve">Laima PUUR (Ms.), Head, Variety Department, Estonian Agricultural Board, </w:t>
      </w:r>
      <w:r w:rsidRPr="00F45E2A">
        <w:t xml:space="preserve">Viljandi  </w:t>
      </w:r>
      <w:r w:rsidRPr="00F45E2A">
        <w:br/>
        <w:t xml:space="preserve">(e-mail: laima.puur@pma.agri.ee) </w:t>
      </w:r>
    </w:p>
    <w:p w:rsidR="00B25797" w:rsidRPr="00F45E2A" w:rsidRDefault="00B25797" w:rsidP="00B25797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B25797" w:rsidRDefault="00B25797" w:rsidP="00B25797">
      <w:pPr>
        <w:pStyle w:val="pldetails"/>
      </w:pPr>
      <w:r w:rsidRPr="00DD5893">
        <w:t xml:space="preserve">Anu NEMVALTS (Ms.), Head of Department, Organic Farming and Seed Department, Saku </w:t>
      </w:r>
      <w:r>
        <w:br/>
      </w:r>
      <w:r w:rsidRPr="00DD5893">
        <w:t xml:space="preserve">(e-mail: </w:t>
      </w:r>
      <w:r w:rsidRPr="00146CD2">
        <w:t>anu.nemvalts@pma.agri.ee</w:t>
      </w:r>
      <w:r w:rsidRPr="00DD5893">
        <w:t>)</w:t>
      </w:r>
    </w:p>
    <w:p w:rsidR="00B25797" w:rsidRPr="00F45E2A" w:rsidRDefault="00B25797" w:rsidP="00B25797">
      <w:pPr>
        <w:pStyle w:val="plcountry"/>
      </w:pPr>
      <w:r w:rsidRPr="00F45E2A">
        <w:t>ÉTATS-UNIS D'AMÉRIQUE / UNITED STATES OF AMERICA / ESTADOS UNIDOS DE AMÉRICA</w:t>
      </w:r>
    </w:p>
    <w:p w:rsidR="00B25797" w:rsidRDefault="00B25797" w:rsidP="00B25797">
      <w:pPr>
        <w:pStyle w:val="pldetails"/>
      </w:pPr>
      <w:r>
        <w:t xml:space="preserve">Ruihong GUO (Ms.), Deputy Administrator, AMS, Science &amp; Technology Program, United States Department of Agriculture (USDA), Washington D.C. </w:t>
      </w:r>
      <w:r>
        <w:br/>
        <w:t xml:space="preserve">(e-mail: </w:t>
      </w:r>
      <w:r w:rsidRPr="00B15DD6">
        <w:t>ruihong.guo@ams.usda.gov</w:t>
      </w:r>
      <w:r>
        <w:t>)</w:t>
      </w:r>
    </w:p>
    <w:p w:rsidR="00B25797" w:rsidRPr="006900E0" w:rsidRDefault="00B25797" w:rsidP="00B25797">
      <w:pPr>
        <w:pStyle w:val="pldetails"/>
      </w:pPr>
      <w:r w:rsidRPr="006900E0">
        <w:t>Elaine WU (Ms.), Attorney – Advisor, Office of Policy and International Affairs, U.S. Patent and Trademark Office, U.S. Department of Commerce, Alexandria</w:t>
      </w:r>
      <w:r w:rsidRPr="006900E0">
        <w:br/>
        <w:t>(e-mail: elaine.wu@uspto.gov)</w:t>
      </w:r>
    </w:p>
    <w:p w:rsidR="00B25797" w:rsidRDefault="00B25797" w:rsidP="00B25797">
      <w:pPr>
        <w:pStyle w:val="pldetails"/>
      </w:pPr>
      <w:r w:rsidRPr="006900E0">
        <w:t>Christian HANNON (Mr.), Patent Attorney, Office of Policy and International Affairs (OPIA), U.S. Patent and Trademark Office, U.S. Department of Commerce, Alexandria</w:t>
      </w:r>
      <w:r w:rsidRPr="006900E0">
        <w:br/>
        <w:t>(e-mail: christian.hannon@uspto.gov)</w:t>
      </w:r>
    </w:p>
    <w:p w:rsidR="00B25797" w:rsidRPr="00B25797" w:rsidRDefault="00B25797" w:rsidP="00B25797">
      <w:pPr>
        <w:pStyle w:val="pldetails"/>
        <w:rPr>
          <w:lang w:val="fr-FR"/>
        </w:rPr>
      </w:pPr>
      <w:r>
        <w:t xml:space="preserve">Jeffery HAYNES (Mr.), Acting Commissioner, Plant Variety Protection Office, USDA, AMS, S&amp;T, Washington D.C. </w:t>
      </w:r>
      <w:r>
        <w:br/>
      </w:r>
      <w:r w:rsidRPr="00B25797">
        <w:rPr>
          <w:lang w:val="fr-FR"/>
        </w:rPr>
        <w:t>(e-mail: Jeffery.Haynes@ams.usda.gov)</w:t>
      </w:r>
      <w:r w:rsidRPr="00B25797">
        <w:rPr>
          <w:lang w:val="fr-FR"/>
        </w:rPr>
        <w:br/>
      </w:r>
      <w:r w:rsidRPr="00B25797">
        <w:rPr>
          <w:highlight w:val="lightGray"/>
          <w:lang w:val="fr-FR"/>
        </w:rPr>
        <w:t>[via WebEx]</w:t>
      </w:r>
    </w:p>
    <w:p w:rsidR="00B25797" w:rsidRPr="00B25797" w:rsidRDefault="00B25797" w:rsidP="00B25797">
      <w:pPr>
        <w:pStyle w:val="plcountry"/>
        <w:rPr>
          <w:lang w:val="fr-FR"/>
        </w:rPr>
      </w:pPr>
      <w:r w:rsidRPr="00B25797">
        <w:rPr>
          <w:lang w:val="fr-FR"/>
        </w:rPr>
        <w:t>FÉDÉRATION DE RUSSIE / RUSSIAN FEDERATION / FEDERACIÓN DE RUSIA</w:t>
      </w:r>
    </w:p>
    <w:p w:rsidR="00B25797" w:rsidRPr="00F45E2A" w:rsidRDefault="00B25797" w:rsidP="00B25797">
      <w:pPr>
        <w:pStyle w:val="pldetails"/>
      </w:pPr>
      <w:r w:rsidRPr="004D23DE">
        <w:t>Yur</w:t>
      </w:r>
      <w:r>
        <w:t>ii</w:t>
      </w:r>
      <w:r w:rsidRPr="004D23DE">
        <w:t xml:space="preserve"> A. ROGOVSKI</w:t>
      </w:r>
      <w:r>
        <w:t>I (Mr.)</w:t>
      </w:r>
      <w:r w:rsidRPr="004D23DE">
        <w:t>, Head, Methodology and International Cooperation Department</w:t>
      </w:r>
      <w:r>
        <w:t xml:space="preserve">, </w:t>
      </w:r>
      <w:r w:rsidRPr="004D23DE">
        <w:t xml:space="preserve">Candidate of Agricultural Sciences, State Commission of the Russian Federation for Selection Achievements Test and Protection, Moscow  </w:t>
      </w:r>
      <w:r>
        <w:br/>
      </w:r>
      <w:r w:rsidRPr="004D23DE">
        <w:t xml:space="preserve">(e-mail: </w:t>
      </w:r>
      <w:r w:rsidRPr="00F45E2A">
        <w:t xml:space="preserve">yrogovskij@yandex.ru) </w:t>
      </w:r>
    </w:p>
    <w:p w:rsidR="00B25797" w:rsidRPr="004D23DE" w:rsidRDefault="00B25797" w:rsidP="00B25797">
      <w:pPr>
        <w:pStyle w:val="pldetails"/>
      </w:pPr>
      <w:r w:rsidRPr="00E523BD">
        <w:t xml:space="preserve">Antonina TRETINNIKOVA (Ms.), Deputy Head, Methodology and International Cooperation Department, State Commission of the Russian Federation for Selection Achievements Test and Protection, Moscow </w:t>
      </w:r>
      <w:r>
        <w:br/>
      </w:r>
      <w:r w:rsidRPr="00E523BD">
        <w:t>(e-mail: tretinnikova@mail.ru)</w:t>
      </w:r>
    </w:p>
    <w:p w:rsidR="00B25797" w:rsidRPr="00A959F2" w:rsidRDefault="00B25797" w:rsidP="00B25797">
      <w:pPr>
        <w:pStyle w:val="plcountry"/>
        <w:rPr>
          <w:lang w:val="fr-CH"/>
        </w:rPr>
      </w:pPr>
      <w:r>
        <w:rPr>
          <w:lang w:val="fr-CH"/>
        </w:rPr>
        <w:t xml:space="preserve">France / </w:t>
      </w:r>
      <w:r w:rsidRPr="00A959F2">
        <w:rPr>
          <w:lang w:val="fr-CH"/>
        </w:rPr>
        <w:t>FRANCE / FRANCIA</w:t>
      </w:r>
    </w:p>
    <w:p w:rsidR="00B25797" w:rsidRPr="00DF1E2D" w:rsidRDefault="00B25797" w:rsidP="00B25797">
      <w:pPr>
        <w:pStyle w:val="pldetails"/>
        <w:rPr>
          <w:lang w:val="fr-CH"/>
        </w:rPr>
      </w:pPr>
      <w:r w:rsidRPr="007736B2">
        <w:rPr>
          <w:lang w:val="fr-CH"/>
        </w:rPr>
        <w:t xml:space="preserve">Catherine MALATIER (Mme), Assistante INOV, Groupe d’étude et de contrôle des variétés et des semences (GEVES), Beaucouzé cedex </w:t>
      </w:r>
      <w:r>
        <w:rPr>
          <w:lang w:val="fr-CH"/>
        </w:rPr>
        <w:br/>
      </w:r>
      <w:r w:rsidRPr="007736B2">
        <w:rPr>
          <w:lang w:val="fr-CH"/>
        </w:rPr>
        <w:t>(e-mail: catherine.malatier@geves.fr)</w:t>
      </w:r>
      <w:r w:rsidRPr="00A959F2">
        <w:rPr>
          <w:lang w:val="fr-CH"/>
        </w:rPr>
        <w:t xml:space="preserve"> </w:t>
      </w:r>
      <w:r>
        <w:rPr>
          <w:lang w:val="fr-CH"/>
        </w:rPr>
        <w:br/>
      </w:r>
      <w:r w:rsidRPr="00DF1E2D">
        <w:rPr>
          <w:highlight w:val="lightGray"/>
          <w:lang w:val="fr-CH"/>
        </w:rPr>
        <w:t>[via WebEx]</w:t>
      </w:r>
    </w:p>
    <w:p w:rsidR="00B25797" w:rsidRPr="0032691D" w:rsidRDefault="00B25797" w:rsidP="00B25797">
      <w:pPr>
        <w:pStyle w:val="plcountry"/>
      </w:pPr>
      <w:r w:rsidRPr="003252C0">
        <w:lastRenderedPageBreak/>
        <w:t>GÉORGIE / GEORGIA / GEORGIA</w:t>
      </w:r>
    </w:p>
    <w:p w:rsidR="00B25797" w:rsidRPr="00527BE7" w:rsidRDefault="00B25797" w:rsidP="00B25797">
      <w:pPr>
        <w:pStyle w:val="pldetails"/>
      </w:pPr>
      <w:r w:rsidRPr="003252C0">
        <w:t>Merab KUTSIA</w:t>
      </w:r>
      <w:r>
        <w:t xml:space="preserve"> (Mr.)</w:t>
      </w:r>
      <w:r w:rsidRPr="003252C0">
        <w:t xml:space="preserve">, Head, Department of Inventions and New Plant Varieties and Animal Breeds, National Intellectual Property Center (SAKPATENTI), Mtskheta </w:t>
      </w:r>
      <w:r>
        <w:br/>
      </w:r>
      <w:r w:rsidRPr="003252C0">
        <w:t>(e-mail: mkutsia@sakpatenti.org.ge)</w:t>
      </w:r>
      <w:r>
        <w:rPr>
          <w:caps/>
        </w:rPr>
        <w:br/>
      </w:r>
      <w:r w:rsidRPr="00DF6432">
        <w:rPr>
          <w:highlight w:val="lightGray"/>
        </w:rPr>
        <w:t>[via WebEx]</w:t>
      </w:r>
    </w:p>
    <w:p w:rsidR="00B25797" w:rsidRPr="00B07B7B" w:rsidRDefault="00B25797" w:rsidP="00B25797">
      <w:pPr>
        <w:pStyle w:val="pldetails"/>
      </w:pPr>
      <w:r w:rsidRPr="003252C0">
        <w:t xml:space="preserve">Nana PANTSKHAVA (Ms.), Chief Examiner, Department of Invention and New Varieties and Breeds, National Intellectual Property Centre (SAKPATENTI), Mtskheta </w:t>
      </w:r>
      <w:r>
        <w:br/>
      </w:r>
      <w:r w:rsidRPr="003252C0">
        <w:t>(e-mail: npantskhava@sakpatenti.org.ge)</w:t>
      </w:r>
      <w:r>
        <w:rPr>
          <w:caps/>
        </w:rPr>
        <w:br/>
      </w:r>
      <w:r w:rsidRPr="00DF6432">
        <w:rPr>
          <w:highlight w:val="lightGray"/>
        </w:rPr>
        <w:t>[via WebEx]</w:t>
      </w:r>
    </w:p>
    <w:p w:rsidR="00B25797" w:rsidRPr="00091909" w:rsidRDefault="00B25797" w:rsidP="00B25797">
      <w:pPr>
        <w:pStyle w:val="plcountry"/>
      </w:pPr>
      <w:r w:rsidRPr="00091909">
        <w:t>JAPON / JAPAN / JAPÓN</w:t>
      </w:r>
    </w:p>
    <w:p w:rsidR="00B25797" w:rsidRDefault="00B25797" w:rsidP="00B25797">
      <w:pPr>
        <w:pStyle w:val="pldetails"/>
      </w:pPr>
      <w:r w:rsidRPr="00C61381">
        <w:t>Atsuhiro MENO</w:t>
      </w:r>
      <w:r>
        <w:t xml:space="preserve"> (Mr.)</w:t>
      </w:r>
      <w:r w:rsidRPr="00C61381">
        <w:t xml:space="preserve">, Senior Policy Advisor, Intellectual Property Division, Food Industry Affairs Bureau, Ministry of Agriculture, Forestry and Fisheries (MAFF), Tokyo </w:t>
      </w:r>
      <w:r>
        <w:br/>
        <w:t>(</w:t>
      </w:r>
      <w:r w:rsidRPr="00C61381">
        <w:t>e-mail: atsuhiro_meno150@maff.go.jp)</w:t>
      </w:r>
    </w:p>
    <w:p w:rsidR="00B25797" w:rsidRDefault="00B25797" w:rsidP="00B25797">
      <w:pPr>
        <w:pStyle w:val="pldetails"/>
      </w:pPr>
      <w:r w:rsidRPr="009D0F71">
        <w:t xml:space="preserve">Kenji NUMAGUCHI (Mr.), Chief Examiner, Plant Variety Protection Office, Intellectual Property Division, Food Industry Affairs Bureau, Ministry of Agriculture, Forestry and Fisheries (MAFF), Tokyo  </w:t>
      </w:r>
      <w:r w:rsidRPr="009D0F71">
        <w:br/>
        <w:t>(e-mail: kenji_numaguchi760@maff.go.jp)</w:t>
      </w:r>
      <w:r w:rsidRPr="0001070A">
        <w:t xml:space="preserve"> </w:t>
      </w:r>
    </w:p>
    <w:p w:rsidR="00B25797" w:rsidRPr="009D0F71" w:rsidRDefault="00B25797" w:rsidP="00B25797">
      <w:pPr>
        <w:pStyle w:val="pldetails"/>
      </w:pPr>
      <w:r w:rsidRPr="009D0F71">
        <w:t>Manabu SUZUKI</w:t>
      </w:r>
      <w:r>
        <w:t xml:space="preserve"> (Mr.)</w:t>
      </w:r>
      <w:r w:rsidRPr="009D0F71">
        <w:t xml:space="preserve">, Deputy Director for International Affairs, Intellectual Property Division, Food Industry Affairs Bureau, Ministry of Agriculture, Forestry and Fisheries (MAFF), Tokyo </w:t>
      </w:r>
      <w:r w:rsidRPr="009D0F71">
        <w:br/>
        <w:t>(e-mail: manabu_suzuki410@maff.go.jp)</w:t>
      </w:r>
    </w:p>
    <w:p w:rsidR="00B25797" w:rsidRPr="0001070A" w:rsidRDefault="00B25797" w:rsidP="00B25797">
      <w:pPr>
        <w:pStyle w:val="pldetails"/>
      </w:pPr>
      <w:r w:rsidRPr="00C61381">
        <w:t>Manabu OSAKI</w:t>
      </w:r>
      <w:r>
        <w:t xml:space="preserve"> (Mr.)</w:t>
      </w:r>
      <w:r w:rsidRPr="00C61381">
        <w:t>, Senior Examiner, Intellectual Property Division</w:t>
      </w:r>
      <w:r>
        <w:t xml:space="preserve">, </w:t>
      </w:r>
      <w:r w:rsidRPr="00C61381">
        <w:t xml:space="preserve">Food Industry affairs Bureau, New Business and Intellectual Property Division, Food Industry Affairs Bureau, Ministry of Agriculture, Forestry and Fisheries, Tokyo </w:t>
      </w:r>
      <w:r>
        <w:br/>
      </w:r>
      <w:r w:rsidRPr="00C61381">
        <w:t>(e-mail: manabu_oosaki190@maff.go.jp)</w:t>
      </w:r>
    </w:p>
    <w:p w:rsidR="00B25797" w:rsidRPr="00A959F2" w:rsidRDefault="00B25797" w:rsidP="00B25797">
      <w:pPr>
        <w:pStyle w:val="plcountry"/>
        <w:rPr>
          <w:lang w:val="fr-CH"/>
        </w:rPr>
      </w:pPr>
      <w:r w:rsidRPr="00A959F2">
        <w:rPr>
          <w:lang w:val="fr-CH"/>
        </w:rPr>
        <w:t>MAROC / MOROCCO / MARRUECOS</w:t>
      </w:r>
    </w:p>
    <w:p w:rsidR="00B25797" w:rsidRDefault="00B25797" w:rsidP="00B25797">
      <w:pPr>
        <w:pStyle w:val="pldetails"/>
        <w:rPr>
          <w:lang w:val="fr-CH"/>
        </w:rPr>
      </w:pPr>
      <w:r>
        <w:rPr>
          <w:lang w:val="fr-CH"/>
        </w:rPr>
        <w:t>Zoubida TAOUSSI (M</w:t>
      </w:r>
      <w:r w:rsidRPr="0015583C">
        <w:rPr>
          <w:lang w:val="fr-CH"/>
        </w:rPr>
        <w:t xml:space="preserve">s.), Chargée de la protection des obtentions végétales, Office National de Sécurité de Produits Alimentaires, Rabat  </w:t>
      </w:r>
      <w:r w:rsidRPr="0015583C">
        <w:rPr>
          <w:lang w:val="fr-CH"/>
        </w:rPr>
        <w:br/>
        <w:t xml:space="preserve">(e-mail: ztaoussi67@gmail.com) </w:t>
      </w:r>
    </w:p>
    <w:p w:rsidR="00B25797" w:rsidRPr="002416E8" w:rsidRDefault="00B25797" w:rsidP="00B25797">
      <w:pPr>
        <w:pStyle w:val="plcountry"/>
        <w:rPr>
          <w:lang w:val="es-ES_tradnl"/>
        </w:rPr>
      </w:pPr>
      <w:r w:rsidRPr="002416E8">
        <w:rPr>
          <w:lang w:val="es-ES_tradnl"/>
        </w:rPr>
        <w:t>MEXIQUE / MEXICO / MÉXICO</w:t>
      </w:r>
    </w:p>
    <w:p w:rsidR="00B25797" w:rsidRPr="00436072" w:rsidRDefault="00B25797" w:rsidP="00B25797">
      <w:pPr>
        <w:pStyle w:val="pldetails"/>
        <w:rPr>
          <w:lang w:val="es-ES_tradnl"/>
        </w:rPr>
      </w:pPr>
      <w:r w:rsidRPr="00436072">
        <w:rPr>
          <w:lang w:val="es-ES_tradnl"/>
        </w:rPr>
        <w:t>Eduardo PADILLA VACA</w:t>
      </w:r>
      <w:r>
        <w:rPr>
          <w:lang w:val="es-ES_tradnl"/>
        </w:rPr>
        <w:t xml:space="preserve"> (Sr.)</w:t>
      </w:r>
      <w:r w:rsidRPr="00436072">
        <w:rPr>
          <w:lang w:val="es-ES_tradnl"/>
        </w:rPr>
        <w:t xml:space="preserve">, Director de Registro de Variedades Vegetales, Servicio Nacional de Inspección y Certificación de Semillas (SNICS), Ciudad de México </w:t>
      </w:r>
      <w:r>
        <w:rPr>
          <w:lang w:val="es-ES_tradnl"/>
        </w:rPr>
        <w:br/>
      </w:r>
      <w:r w:rsidRPr="00436072">
        <w:rPr>
          <w:lang w:val="es-ES_tradnl"/>
        </w:rPr>
        <w:t>(e-mail: eduardo.padilla@sagarpa.gob.mx)</w:t>
      </w:r>
    </w:p>
    <w:p w:rsidR="00B25797" w:rsidRPr="00F31FF3" w:rsidRDefault="00B25797" w:rsidP="00B25797">
      <w:pPr>
        <w:pStyle w:val="plcountry"/>
      </w:pPr>
      <w:r w:rsidRPr="00F31FF3">
        <w:t>NOUVELLE-ZÉLANDE / NEW ZEALAND / NUEVA ZELANDIA</w:t>
      </w:r>
    </w:p>
    <w:p w:rsidR="00B25797" w:rsidRDefault="00B25797" w:rsidP="00B25797">
      <w:pPr>
        <w:pStyle w:val="pldetails"/>
      </w:pPr>
      <w:r w:rsidRPr="004D23DE">
        <w:t>Christopher J. BARNABY</w:t>
      </w:r>
      <w:r>
        <w:t xml:space="preserve"> (Mr.)</w:t>
      </w:r>
      <w:r w:rsidRPr="004D23DE">
        <w:t xml:space="preserve">, Assistant Commissioner / Principal Examiner for Plant Variety Rights, Plant Variety Rights Office, Intellectual Property Office of New Zealand, Ministry of Economic Development, Christchurch </w:t>
      </w:r>
      <w:r>
        <w:br/>
      </w:r>
      <w:r w:rsidRPr="004D23DE">
        <w:t xml:space="preserve">(e-mail: </w:t>
      </w:r>
      <w:r w:rsidRPr="00F82057">
        <w:t>Chris.Barnaby@pvr.govt.nz</w:t>
      </w:r>
      <w:r w:rsidRPr="004D23DE">
        <w:t xml:space="preserve">) </w:t>
      </w:r>
    </w:p>
    <w:p w:rsidR="00B25797" w:rsidRPr="000450A7" w:rsidRDefault="00B25797" w:rsidP="00B25797">
      <w:pPr>
        <w:pStyle w:val="plcountry"/>
        <w:rPr>
          <w:lang w:val="fr-FR"/>
        </w:rPr>
      </w:pPr>
      <w:r w:rsidRPr="000450A7">
        <w:rPr>
          <w:lang w:val="fr-FR"/>
        </w:rPr>
        <w:t xml:space="preserve">ORGANISATION AFRICAINE DE LA PROPRIÉTÉ INTELLECTUELLE (OAPI) / </w:t>
      </w:r>
      <w:r w:rsidRPr="000450A7">
        <w:rPr>
          <w:lang w:val="fr-FR"/>
        </w:rPr>
        <w:br/>
        <w:t xml:space="preserve">AFRICAN INTELLECTUAL PROPERTY ORGANIZATION (OAPI) / </w:t>
      </w:r>
      <w:r w:rsidRPr="000450A7">
        <w:rPr>
          <w:lang w:val="fr-FR"/>
        </w:rPr>
        <w:br/>
        <w:t>ORGANIZACIÓN AFRICANA DE LA PROPIEDAD INTELECTUAL (OAPI)</w:t>
      </w:r>
    </w:p>
    <w:p w:rsidR="00B25797" w:rsidRDefault="00B25797" w:rsidP="00B25797">
      <w:pPr>
        <w:pStyle w:val="pldetails"/>
        <w:rPr>
          <w:lang w:val="fr-CH"/>
        </w:rPr>
      </w:pPr>
      <w:r w:rsidRPr="004D23DE">
        <w:rPr>
          <w:lang w:val="fr-CH"/>
        </w:rPr>
        <w:t>Dosso MÉMASSI</w:t>
      </w:r>
      <w:r>
        <w:rPr>
          <w:lang w:val="fr-CH"/>
        </w:rPr>
        <w:t xml:space="preserve"> (M.)</w:t>
      </w:r>
      <w:r w:rsidRPr="004D23DE">
        <w:rPr>
          <w:lang w:val="fr-CH"/>
        </w:rPr>
        <w:t xml:space="preserve">, Directeur, Département de la protection de la propriété industrielle, </w:t>
      </w:r>
      <w:r>
        <w:rPr>
          <w:lang w:val="fr-CH"/>
        </w:rPr>
        <w:br/>
      </w:r>
      <w:r w:rsidRPr="00AA29D9">
        <w:rPr>
          <w:lang w:val="fr-CH"/>
        </w:rPr>
        <w:t>Organisation africaine de la propriété intellectuelle (OAPI)</w:t>
      </w:r>
      <w:r w:rsidRPr="004D23DE">
        <w:rPr>
          <w:lang w:val="fr-CH"/>
        </w:rPr>
        <w:t xml:space="preserve">, Yaoundé  </w:t>
      </w:r>
      <w:r>
        <w:rPr>
          <w:lang w:val="fr-CH"/>
        </w:rPr>
        <w:br/>
      </w:r>
      <w:r w:rsidRPr="004D23DE">
        <w:rPr>
          <w:lang w:val="fr-CH"/>
        </w:rPr>
        <w:t xml:space="preserve">(e-mail: dossomemassi@gmail.com) </w:t>
      </w:r>
    </w:p>
    <w:p w:rsidR="00B25797" w:rsidRPr="00E654CE" w:rsidRDefault="00B25797" w:rsidP="00B25797">
      <w:pPr>
        <w:pStyle w:val="plcountry"/>
      </w:pPr>
      <w:r w:rsidRPr="00E654CE">
        <w:t>PAYS-BAS / NETHERLANDS / PAÍSES BAJOS</w:t>
      </w:r>
    </w:p>
    <w:p w:rsidR="00B25797" w:rsidRPr="00B15DD6" w:rsidRDefault="00B25797" w:rsidP="00B25797">
      <w:pPr>
        <w:pStyle w:val="pldetails"/>
      </w:pPr>
      <w:r w:rsidRPr="00B15DD6">
        <w:t xml:space="preserve">Kees Jan GROENEWOUD (Mr.), Secretary, Dutch Board for Plant Variety (Raad voor Plantenrassen), Naktuinbouw, Roelofarendsveen  </w:t>
      </w:r>
      <w:r w:rsidRPr="00B15DD6">
        <w:br/>
        <w:t xml:space="preserve">(e-mail: c.j.a.groenewoud@naktuinbouw.nl) </w:t>
      </w:r>
    </w:p>
    <w:p w:rsidR="00B25797" w:rsidRPr="00E654CE" w:rsidRDefault="00B25797" w:rsidP="00B25797">
      <w:pPr>
        <w:pStyle w:val="pldetails"/>
      </w:pPr>
      <w:r w:rsidRPr="00E654CE">
        <w:t>Marcel RIJSBERGEN (Mr.), Team DUS vegetables, DUS testing department, Naktuinbouw, Roelofarendsveen</w:t>
      </w:r>
      <w:r w:rsidRPr="00E654CE">
        <w:br/>
        <w:t>(e-mail: m.rijsbergen@naktuinbouw.nl)</w:t>
      </w:r>
      <w:r w:rsidRPr="00E654CE">
        <w:br/>
      </w:r>
      <w:r w:rsidRPr="00E654CE">
        <w:rPr>
          <w:highlight w:val="lightGray"/>
        </w:rPr>
        <w:t>[via WebEx]</w:t>
      </w:r>
    </w:p>
    <w:p w:rsidR="00B25797" w:rsidRPr="00DF1E2D" w:rsidRDefault="00B25797" w:rsidP="00B25797">
      <w:pPr>
        <w:pStyle w:val="pldetails"/>
        <w:rPr>
          <w:lang w:val="de-DE"/>
        </w:rPr>
      </w:pPr>
      <w:r w:rsidRPr="00051AF2">
        <w:rPr>
          <w:lang w:val="de-DE"/>
        </w:rPr>
        <w:lastRenderedPageBreak/>
        <w:t>Wim SANGSTER (Mr.</w:t>
      </w:r>
      <w:r>
        <w:rPr>
          <w:lang w:val="de-DE"/>
        </w:rPr>
        <w:t>)</w:t>
      </w:r>
      <w:r w:rsidRPr="00051AF2">
        <w:rPr>
          <w:lang w:val="de-DE"/>
        </w:rPr>
        <w:t xml:space="preserve">, Team DUS Vegetables, Naktuinbouw, Roelofarendsveen </w:t>
      </w:r>
      <w:r w:rsidRPr="00051AF2">
        <w:rPr>
          <w:lang w:val="de-DE"/>
        </w:rPr>
        <w:br/>
        <w:t>(e-mail: w.sangster@naktuinbouw.nl)</w:t>
      </w:r>
      <w:r>
        <w:rPr>
          <w:lang w:val="de-DE"/>
        </w:rPr>
        <w:br/>
      </w:r>
      <w:r w:rsidRPr="00DF1E2D">
        <w:rPr>
          <w:highlight w:val="lightGray"/>
          <w:lang w:val="de-DE"/>
        </w:rPr>
        <w:t>[via WebEx]</w:t>
      </w:r>
    </w:p>
    <w:p w:rsidR="00B25797" w:rsidRPr="000450A7" w:rsidRDefault="00B25797" w:rsidP="00B25797">
      <w:pPr>
        <w:pStyle w:val="pldetails"/>
        <w:rPr>
          <w:lang w:val="de-DE"/>
        </w:rPr>
      </w:pPr>
      <w:r w:rsidRPr="000450A7">
        <w:rPr>
          <w:lang w:val="de-DE"/>
        </w:rPr>
        <w:t xml:space="preserve">Dita HAGEN (Ms.), Application Specialist, Naktuinbouw, Roelofarendsveen </w:t>
      </w:r>
      <w:r w:rsidRPr="000450A7">
        <w:rPr>
          <w:lang w:val="de-DE"/>
        </w:rPr>
        <w:br/>
        <w:t>(e-mail: d.hagen@naktuinbouw.nl)</w:t>
      </w:r>
      <w:r w:rsidRPr="000450A7">
        <w:rPr>
          <w:lang w:val="de-DE"/>
        </w:rPr>
        <w:br/>
      </w:r>
      <w:r w:rsidRPr="000450A7">
        <w:rPr>
          <w:highlight w:val="lightGray"/>
          <w:lang w:val="de-DE"/>
        </w:rPr>
        <w:t>[via WebEx]</w:t>
      </w:r>
    </w:p>
    <w:p w:rsidR="00B25797" w:rsidRPr="00B25797" w:rsidRDefault="00B25797" w:rsidP="00B25797">
      <w:pPr>
        <w:pStyle w:val="plcountry"/>
        <w:rPr>
          <w:lang w:val="de-DE"/>
        </w:rPr>
      </w:pPr>
      <w:r w:rsidRPr="00B25797">
        <w:rPr>
          <w:lang w:val="de-DE"/>
        </w:rPr>
        <w:t xml:space="preserve">RÉPUBLIQUE-UNIE DE TANZANIE / UNITED REPUBLIC OF TANZANIA / </w:t>
      </w:r>
      <w:r w:rsidRPr="00B25797">
        <w:rPr>
          <w:lang w:val="de-DE"/>
        </w:rPr>
        <w:br/>
        <w:t>REPÚBLICA UNIDA DE TANZANÍA</w:t>
      </w:r>
    </w:p>
    <w:p w:rsidR="00B25797" w:rsidRDefault="00B25797" w:rsidP="00B25797">
      <w:pPr>
        <w:pStyle w:val="pldetails"/>
      </w:pPr>
      <w:r w:rsidRPr="001D29BE">
        <w:t>Patrick NGWEDIAGI</w:t>
      </w:r>
      <w:r>
        <w:t xml:space="preserve"> (Mr.)</w:t>
      </w:r>
      <w:r w:rsidRPr="001D29BE">
        <w:t xml:space="preserve">, Chief Executive Officer/Director General, Tanzania Official Seed Certification Institute (TOSCI), Dar es Salaam </w:t>
      </w:r>
      <w:r>
        <w:br/>
      </w:r>
      <w:r w:rsidRPr="001D29BE">
        <w:t>(e-mail: ngwedi@yahoo.com)</w:t>
      </w:r>
    </w:p>
    <w:p w:rsidR="00B25797" w:rsidRPr="00DF1952" w:rsidRDefault="00B25797" w:rsidP="00B25797">
      <w:pPr>
        <w:pStyle w:val="pldetails"/>
      </w:pPr>
      <w:r w:rsidRPr="001D29BE">
        <w:t xml:space="preserve">Joyce Eligi MOSILE (Ms.), Acting Registrar of Plant Breeders’ Rights, Ministry of Agriculture Livestock and Fisheries, Dodoma </w:t>
      </w:r>
      <w:r>
        <w:br/>
      </w:r>
      <w:r w:rsidRPr="001D29BE">
        <w:t>(e-mail: Joyce.mosile@kilimo.go.tz)</w:t>
      </w:r>
    </w:p>
    <w:p w:rsidR="00B25797" w:rsidRPr="00745E13" w:rsidRDefault="00B25797" w:rsidP="00B25797">
      <w:pPr>
        <w:pStyle w:val="plcountry"/>
      </w:pPr>
      <w:r w:rsidRPr="00745E13">
        <w:t>TURQUIE / TURKEY / TURQUÍA</w:t>
      </w:r>
    </w:p>
    <w:p w:rsidR="00B25797" w:rsidRDefault="00B25797" w:rsidP="00B25797">
      <w:pPr>
        <w:pStyle w:val="pldetails"/>
      </w:pPr>
      <w:r w:rsidRPr="00227FC1">
        <w:t>Mehmet CAKMAK</w:t>
      </w:r>
      <w:r>
        <w:t xml:space="preserve"> (Mr.)</w:t>
      </w:r>
      <w:r w:rsidRPr="00227FC1">
        <w:t xml:space="preserve">, PBR Expert, Seed Department, General Directorate of Plant Production, Ministry of Food, Agriculture and Livestock, Ankara </w:t>
      </w:r>
      <w:r w:rsidRPr="00227FC1">
        <w:br/>
        <w:t>(e-mail: mehmet.cakmak@tarim.gov.tr)</w:t>
      </w:r>
    </w:p>
    <w:p w:rsidR="00B25797" w:rsidRPr="00B25797" w:rsidRDefault="00B25797" w:rsidP="00B25797">
      <w:pPr>
        <w:pStyle w:val="plcountry"/>
        <w:rPr>
          <w:lang w:val="es-ES_tradnl"/>
        </w:rPr>
      </w:pPr>
      <w:r w:rsidRPr="00B25797">
        <w:rPr>
          <w:lang w:val="es-ES_tradnl"/>
        </w:rPr>
        <w:t>UNION EUROPÉENNE / EUROPEAN UNION / UNIÓN EUROPEA</w:t>
      </w:r>
    </w:p>
    <w:p w:rsidR="00B25797" w:rsidRPr="00F45E2A" w:rsidRDefault="00B25797" w:rsidP="00B25797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B25797" w:rsidRDefault="00B25797" w:rsidP="00B25797">
      <w:pPr>
        <w:pStyle w:val="pldetails"/>
      </w:pPr>
      <w:r w:rsidRPr="00FD4D63">
        <w:t>Jean MAISON</w:t>
      </w:r>
      <w:r>
        <w:t xml:space="preserve"> (Mr.)</w:t>
      </w:r>
      <w:r w:rsidRPr="00FD4D63">
        <w:t xml:space="preserve">, Deputy Head, Technical Unit, Community Plant Variety Office (CPVO), Angers </w:t>
      </w:r>
      <w:r>
        <w:br/>
      </w:r>
      <w:r w:rsidRPr="00FD4D63">
        <w:t>(e-mail: maison@cpvo.europa.eu)</w:t>
      </w:r>
    </w:p>
    <w:p w:rsidR="00B25797" w:rsidRPr="000B1CE6" w:rsidRDefault="00B25797" w:rsidP="00B25797">
      <w:pPr>
        <w:pStyle w:val="plheading"/>
      </w:pPr>
      <w:r w:rsidRPr="00A93A3A">
        <w:t>II. OBSERVATEURS / OBSERVERS / OBSERVADORES</w:t>
      </w:r>
    </w:p>
    <w:p w:rsidR="00B25797" w:rsidRPr="004D23DE" w:rsidRDefault="00B25797" w:rsidP="00B25797">
      <w:pPr>
        <w:pStyle w:val="plcountry"/>
      </w:pPr>
      <w:r w:rsidRPr="004D23DE">
        <w:t>THAÏLANDE / THAILAND / TAILANDIA</w:t>
      </w:r>
    </w:p>
    <w:p w:rsidR="00B25797" w:rsidRPr="00C351AB" w:rsidRDefault="00B25797" w:rsidP="00B25797">
      <w:pPr>
        <w:pStyle w:val="pldetails"/>
      </w:pPr>
      <w:r w:rsidRPr="00DE45CD">
        <w:t>Pornthep SRITANATORN</w:t>
      </w:r>
      <w:r>
        <w:t xml:space="preserve"> (Mr.)</w:t>
      </w:r>
      <w:r w:rsidRPr="00DE45CD">
        <w:t xml:space="preserve">, Minister Counsellor, Permanent Mission of Thailand to the WTO, </w:t>
      </w:r>
      <w:r w:rsidRPr="00C351AB">
        <w:t xml:space="preserve">Cointrin </w:t>
      </w:r>
      <w:r w:rsidRPr="00C351AB">
        <w:br/>
        <w:t>(e-mail: pornthep@thaiwto.com)</w:t>
      </w:r>
    </w:p>
    <w:p w:rsidR="00B25797" w:rsidRPr="00B25797" w:rsidRDefault="00B25797" w:rsidP="00B25797">
      <w:pPr>
        <w:pStyle w:val="plheading"/>
      </w:pPr>
      <w:r w:rsidRPr="00B25797">
        <w:t>III. ORGANISATIONS / ORGANIZATIONS / ORGANIZACIONES</w:t>
      </w:r>
    </w:p>
    <w:p w:rsidR="00B25797" w:rsidRPr="00B25797" w:rsidRDefault="00B25797" w:rsidP="00B25797">
      <w:pPr>
        <w:pStyle w:val="plcountry"/>
      </w:pPr>
      <w:r w:rsidRPr="00B25797">
        <w:t xml:space="preserve">ORGANISATION RÉGIONALE AFRICAINE DE LA PROPRIÉTÉ INTELLECTUELLE (ARIPO) / </w:t>
      </w:r>
      <w:r w:rsidRPr="00B25797">
        <w:br/>
        <w:t xml:space="preserve">AFRICAN REGIONAL INTELLECTUAL PROPERTY ORGANIZATION (ARIPO) / </w:t>
      </w:r>
      <w:r w:rsidRPr="00B25797">
        <w:br/>
        <w:t>ORGANIZACIÓN REGIONAL AFRICANA DE LA PROPIEDAD INTELECTUAL (ARIPO)</w:t>
      </w:r>
    </w:p>
    <w:p w:rsidR="00B25797" w:rsidRDefault="00B25797" w:rsidP="00B25797">
      <w:pPr>
        <w:pStyle w:val="pldetails"/>
      </w:pPr>
      <w:r w:rsidRPr="00A42BF1">
        <w:t>Emmanuel SACKEY</w:t>
      </w:r>
      <w:r>
        <w:t xml:space="preserve"> (Mr.)</w:t>
      </w:r>
      <w:r w:rsidRPr="00A42BF1">
        <w:t>, In</w:t>
      </w:r>
      <w:r>
        <w:t>tellectual</w:t>
      </w:r>
      <w:r w:rsidRPr="00A42BF1">
        <w:t xml:space="preserve"> Property Development Executive, Harare, </w:t>
      </w:r>
      <w:r w:rsidRPr="00392402">
        <w:t>Zimbabwe</w:t>
      </w:r>
      <w:r w:rsidRPr="00A42BF1">
        <w:t xml:space="preserve"> </w:t>
      </w:r>
      <w:r>
        <w:br/>
      </w:r>
      <w:r w:rsidRPr="00A42BF1">
        <w:t>(e-mail: esackey@aripo.org)</w:t>
      </w:r>
    </w:p>
    <w:p w:rsidR="00B25797" w:rsidRPr="00B25797" w:rsidRDefault="00B25797" w:rsidP="00B25797">
      <w:pPr>
        <w:pStyle w:val="plcountry"/>
      </w:pPr>
      <w:r w:rsidRPr="00B25797">
        <w:t>COMMUNAUTÉ INTERNATIONALE DES OBTENTEURS DE PLANTES ORNEMENTALES ET FRUITIÈRES À REPRODUCTION ASEXUÉE (CIOPORA) / INTERNATIONAL COMMUNITY OF BREEDERS OF ASEXUALLY REPRODUCED ORNAMENTAL AND FRUIT PLANTS (CIOPORA) / COMUNIDAD INTERNACIONAL DE OBTENTORES DE VARIEDADES ORNAMENTALES Y FRUTALES DE REPRODUCCIÓN ASEXUADA (CIOPORA)</w:t>
      </w:r>
    </w:p>
    <w:p w:rsidR="00B25797" w:rsidRDefault="00B25797" w:rsidP="00B25797">
      <w:pPr>
        <w:pStyle w:val="pldetails"/>
        <w:rPr>
          <w:lang w:val="fr-CH"/>
        </w:rPr>
      </w:pPr>
      <w:r w:rsidRPr="00C4077E">
        <w:rPr>
          <w:lang w:val="fr-CH"/>
        </w:rPr>
        <w:t xml:space="preserve">Hélène JOURDAN (Madame), Secrétaire générale, AOHE, Responsible COV &amp; Marques, Meilland International S.A., Association des Obtenteurs Horticoles Européens (AOHE), Le Luc en Provence </w:t>
      </w:r>
      <w:r>
        <w:rPr>
          <w:lang w:val="fr-CH"/>
        </w:rPr>
        <w:br/>
      </w:r>
      <w:r w:rsidRPr="00C4077E">
        <w:rPr>
          <w:lang w:val="fr-CH"/>
        </w:rPr>
        <w:t xml:space="preserve">(e-mail: </w:t>
      </w:r>
      <w:r w:rsidRPr="00EC16F5">
        <w:rPr>
          <w:lang w:val="fr-CH"/>
        </w:rPr>
        <w:t>licprot@meilland.com</w:t>
      </w:r>
      <w:r w:rsidRPr="00C4077E">
        <w:rPr>
          <w:lang w:val="fr-CH"/>
        </w:rPr>
        <w:t>)</w:t>
      </w:r>
    </w:p>
    <w:p w:rsidR="00B25797" w:rsidRPr="00EC16F5" w:rsidRDefault="00B25797" w:rsidP="00B25797">
      <w:pPr>
        <w:pStyle w:val="pldetails"/>
      </w:pPr>
      <w:r w:rsidRPr="00EC16F5">
        <w:t>Herman SCHOLTEN</w:t>
      </w:r>
      <w:r>
        <w:t xml:space="preserve"> (Mr.), </w:t>
      </w:r>
      <w:r w:rsidRPr="00EC16F5">
        <w:t>Vice Head Technical Expert (THE) for ornamental crops</w:t>
      </w:r>
      <w:r>
        <w:br/>
        <w:t>(e-</w:t>
      </w:r>
      <w:r w:rsidRPr="00EC16F5">
        <w:t>mail: herman@royalty-adm-int.nl</w:t>
      </w:r>
      <w:r>
        <w:t>)</w:t>
      </w:r>
      <w:r>
        <w:br/>
      </w:r>
      <w:r w:rsidRPr="00EC16F5">
        <w:rPr>
          <w:highlight w:val="lightGray"/>
        </w:rPr>
        <w:t>[via WebEx]</w:t>
      </w:r>
    </w:p>
    <w:p w:rsidR="00B25797" w:rsidRPr="00DC6EB7" w:rsidRDefault="00B25797" w:rsidP="00B25797">
      <w:pPr>
        <w:pStyle w:val="plcountry"/>
      </w:pPr>
      <w:r w:rsidRPr="00DC6EB7">
        <w:t>CROPLIFE INTERNATIONAL</w:t>
      </w:r>
    </w:p>
    <w:p w:rsidR="00B25797" w:rsidRPr="00DC6EB7" w:rsidRDefault="00B25797" w:rsidP="00B25797">
      <w:pPr>
        <w:pStyle w:val="pldetails"/>
      </w:pPr>
      <w:r w:rsidRPr="00DC6EB7">
        <w:t>Marcel BRUINS (Mr.), Consultant, CropLife International, Bru</w:t>
      </w:r>
      <w:r>
        <w:t>ssels</w:t>
      </w:r>
      <w:r w:rsidRPr="00DC6EB7">
        <w:t xml:space="preserve"> </w:t>
      </w:r>
      <w:r w:rsidRPr="00DC6EB7">
        <w:br/>
        <w:t xml:space="preserve">(e-mail: mbruins1964@gmail.com) </w:t>
      </w:r>
    </w:p>
    <w:p w:rsidR="00B25797" w:rsidRPr="00AC3B8A" w:rsidRDefault="00B25797" w:rsidP="00B25797">
      <w:pPr>
        <w:pStyle w:val="plcountry"/>
      </w:pPr>
      <w:r w:rsidRPr="00DC6EB7">
        <w:lastRenderedPageBreak/>
        <w:t>INT</w:t>
      </w:r>
      <w:r w:rsidRPr="00AC3B8A">
        <w:t>ERNATIONAL SEED FEDERATION (ISF)</w:t>
      </w:r>
    </w:p>
    <w:p w:rsidR="00B25797" w:rsidRPr="00AC3B8A" w:rsidRDefault="00B25797" w:rsidP="00B25797">
      <w:pPr>
        <w:pStyle w:val="pldetails"/>
      </w:pPr>
      <w:r w:rsidRPr="00AC3B8A">
        <w:t xml:space="preserve">Szabolcs RUTHNER, Regulatory Affairs Executive, International Seed Federation (ISF), Nyon, Suisse </w:t>
      </w:r>
      <w:r w:rsidRPr="00AC3B8A">
        <w:br/>
        <w:t>(e-mail: s.ruthner@worldseed.org)</w:t>
      </w:r>
    </w:p>
    <w:p w:rsidR="00B25797" w:rsidRPr="00C4077E" w:rsidRDefault="00B25797" w:rsidP="00B25797">
      <w:pPr>
        <w:pStyle w:val="pldetails"/>
      </w:pPr>
      <w:r w:rsidRPr="00AC3B8A">
        <w:t xml:space="preserve">Astrid M. SCHENKEVELD (Ms.), Specialist, Variety Registration &amp; Protection, Rijk Zwaan Zaadteelt en Zaadhandel B.V., KX De Lier </w:t>
      </w:r>
      <w:r w:rsidRPr="00AC3B8A">
        <w:br/>
        <w:t>(e-mail: a.schenkeveld@rijkzwaan.nl)</w:t>
      </w:r>
    </w:p>
    <w:p w:rsidR="00B25797" w:rsidRPr="00527BE7" w:rsidRDefault="00B25797" w:rsidP="00B25797">
      <w:pPr>
        <w:pStyle w:val="pldetails"/>
      </w:pPr>
      <w:r w:rsidRPr="00C4077E">
        <w:t>Jan KNOL, Officer, Plant Variety Protection and Registration, Bayer CropScience Vegetable Seeds, Haelen (e-mail: jan.knol@bayer.com)</w:t>
      </w:r>
      <w:r>
        <w:br/>
      </w:r>
      <w:r w:rsidRPr="00DF6432">
        <w:rPr>
          <w:highlight w:val="lightGray"/>
        </w:rPr>
        <w:t>[via WebEx]</w:t>
      </w:r>
    </w:p>
    <w:p w:rsidR="00B25797" w:rsidRPr="00C818F8" w:rsidRDefault="00B25797" w:rsidP="00B25797">
      <w:pPr>
        <w:pStyle w:val="pldetails"/>
      </w:pPr>
      <w:r w:rsidRPr="00C818F8">
        <w:t>Maria José VILLALÓN-ROBLES (Ms.), PVP Specialist EMEA, Monsanto, Wageningen, Netherlands</w:t>
      </w:r>
      <w:r w:rsidRPr="00C818F8">
        <w:br/>
        <w:t>(e-mail: maria.jose.villalon.robles@monsanto.com)</w:t>
      </w:r>
      <w:r w:rsidRPr="00C818F8">
        <w:br/>
      </w:r>
      <w:r w:rsidRPr="00C818F8">
        <w:rPr>
          <w:highlight w:val="lightGray"/>
        </w:rPr>
        <w:t>[via WebEx]</w:t>
      </w:r>
    </w:p>
    <w:p w:rsidR="00B25797" w:rsidRPr="00AF1EBB" w:rsidRDefault="00B25797" w:rsidP="00B25797">
      <w:pPr>
        <w:pStyle w:val="plheading"/>
      </w:pPr>
      <w:r w:rsidRPr="00AF1EBB">
        <w:t>IV. BUREAU / OFFICER / OFICINA</w:t>
      </w:r>
    </w:p>
    <w:p w:rsidR="00B25797" w:rsidRPr="00537D9A" w:rsidRDefault="00B25797" w:rsidP="00B25797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 xml:space="preserve">, </w:t>
      </w:r>
      <w:r>
        <w:t>Chair</w:t>
      </w:r>
    </w:p>
    <w:p w:rsidR="00B25797" w:rsidRPr="004071DD" w:rsidRDefault="00B25797" w:rsidP="00B25797">
      <w:pPr>
        <w:pStyle w:val="plheading"/>
        <w:keepLines/>
      </w:pPr>
      <w:r w:rsidRPr="00C81650">
        <w:t>V. BUREAU DE L’UPOV / OF</w:t>
      </w:r>
      <w:r w:rsidRPr="004071DD">
        <w:t>FICE OF UPOV / OFICINA DE LA UPOV</w:t>
      </w:r>
    </w:p>
    <w:p w:rsidR="00B25797" w:rsidRPr="00841411" w:rsidRDefault="00B25797" w:rsidP="00B25797">
      <w:pPr>
        <w:pStyle w:val="pldetails"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B25797" w:rsidRPr="00841411" w:rsidRDefault="00B25797" w:rsidP="00B25797">
      <w:pPr>
        <w:pStyle w:val="pldetails"/>
      </w:pPr>
      <w:r w:rsidRPr="00841411">
        <w:t>Yolanda HUERTA (Ms.), Legal Counsel</w:t>
      </w:r>
    </w:p>
    <w:p w:rsidR="00B25797" w:rsidRPr="00841411" w:rsidRDefault="00B25797" w:rsidP="00B25797">
      <w:pPr>
        <w:pStyle w:val="pldetails"/>
      </w:pPr>
      <w:r w:rsidRPr="00A479A8">
        <w:t>Tomochika MOTOMURA</w:t>
      </w:r>
      <w:r>
        <w:t xml:space="preserve"> (Mr.)</w:t>
      </w:r>
      <w:r w:rsidRPr="00841411">
        <w:t>, Technical/Regional Officer (Asia)</w:t>
      </w:r>
    </w:p>
    <w:p w:rsidR="00B25797" w:rsidRPr="00841411" w:rsidRDefault="00B25797" w:rsidP="00B25797">
      <w:pPr>
        <w:pStyle w:val="pldetails"/>
      </w:pPr>
      <w:r w:rsidRPr="00841411">
        <w:t>Ben RIVOIRE</w:t>
      </w:r>
      <w:r>
        <w:t xml:space="preserve"> (Mr.)</w:t>
      </w:r>
      <w:r w:rsidRPr="00841411">
        <w:t>, Technical/Regional Officer (Africa, Arab countries)</w:t>
      </w:r>
    </w:p>
    <w:p w:rsidR="00B25797" w:rsidRPr="00841411" w:rsidRDefault="00B25797" w:rsidP="00B25797">
      <w:pPr>
        <w:pStyle w:val="pldetails"/>
      </w:pPr>
      <w:r w:rsidRPr="00841411">
        <w:t>Leontino TAVEIRA</w:t>
      </w:r>
      <w:r>
        <w:t xml:space="preserve"> (Mr.)</w:t>
      </w:r>
      <w:r w:rsidRPr="00841411">
        <w:t>, Technical/Regional Officer (Latin America, Caribbean countries)</w:t>
      </w:r>
    </w:p>
    <w:p w:rsidR="00B25797" w:rsidRPr="00040EC3" w:rsidRDefault="00B25797" w:rsidP="00B25797">
      <w:pPr>
        <w:pStyle w:val="pldetails"/>
      </w:pPr>
      <w:r w:rsidRPr="00040EC3">
        <w:t>Hend MADHOUR (Ms.), Data Modeler and Business Needs Analyst</w:t>
      </w:r>
    </w:p>
    <w:p w:rsidR="00B25797" w:rsidRPr="00143BAA" w:rsidRDefault="00B25797" w:rsidP="00B25797">
      <w:pPr>
        <w:pStyle w:val="pldetails"/>
      </w:pPr>
      <w:r w:rsidRPr="00143BAA">
        <w:t>Caroline ROVERE (Ms.), Administrative Assistant</w:t>
      </w:r>
    </w:p>
    <w:p w:rsidR="00B25797" w:rsidRPr="00143BAA" w:rsidRDefault="00B25797" w:rsidP="00B25797">
      <w:pPr>
        <w:pStyle w:val="pldetails"/>
      </w:pPr>
      <w:r>
        <w:rPr>
          <w:color w:val="000000"/>
        </w:rPr>
        <w:t xml:space="preserve">Chao DENG </w:t>
      </w:r>
      <w:r>
        <w:t>(Mr.)</w:t>
      </w:r>
      <w:r w:rsidRPr="009E6645">
        <w:rPr>
          <w:color w:val="000000"/>
        </w:rPr>
        <w:t xml:space="preserve">, </w:t>
      </w:r>
      <w:r>
        <w:rPr>
          <w:color w:val="000000"/>
        </w:rPr>
        <w:t>Intern</w:t>
      </w:r>
    </w:p>
    <w:p w:rsidR="00B25797" w:rsidRPr="009F4457" w:rsidRDefault="00B25797" w:rsidP="00B25797">
      <w:pPr>
        <w:pStyle w:val="pldetails"/>
      </w:pPr>
    </w:p>
    <w:p w:rsidR="00B25797" w:rsidRPr="009F4457" w:rsidRDefault="00B25797" w:rsidP="00B25797"/>
    <w:p w:rsidR="00B25797" w:rsidRPr="009F4457" w:rsidRDefault="00B25797" w:rsidP="00B25797"/>
    <w:p w:rsidR="00B25797" w:rsidRPr="009F4457" w:rsidRDefault="00B25797" w:rsidP="00B25797"/>
    <w:p w:rsidR="00B25797" w:rsidRPr="00EA4962" w:rsidRDefault="00B25797" w:rsidP="00B25797"/>
    <w:p w:rsidR="00B25797" w:rsidRPr="00EA4962" w:rsidRDefault="00B25797" w:rsidP="00B25797"/>
    <w:p w:rsidR="00B25797" w:rsidRPr="00EA4962" w:rsidRDefault="00B25797" w:rsidP="00B25797"/>
    <w:p w:rsidR="00B25797" w:rsidRDefault="00B25797" w:rsidP="00B25797">
      <w:pPr>
        <w:jc w:val="right"/>
      </w:pPr>
      <w:r w:rsidRPr="001B600C">
        <w:t>[</w:t>
      </w:r>
      <w:r>
        <w:t xml:space="preserve">L’annexe II suit/ </w:t>
      </w:r>
    </w:p>
    <w:p w:rsidR="00B25797" w:rsidRDefault="00B25797" w:rsidP="00B25797">
      <w:pPr>
        <w:jc w:val="right"/>
      </w:pPr>
      <w:r w:rsidRPr="001B600C">
        <w:t>Annex II follows</w:t>
      </w:r>
      <w:r>
        <w:t xml:space="preserve">/ </w:t>
      </w:r>
    </w:p>
    <w:p w:rsidR="00B25797" w:rsidRPr="001B600C" w:rsidRDefault="00B25797" w:rsidP="00B25797">
      <w:pPr>
        <w:jc w:val="right"/>
      </w:pPr>
      <w:r>
        <w:t>Sigue el Anexo II</w:t>
      </w:r>
      <w:r w:rsidRPr="001B600C">
        <w:t>]</w:t>
      </w:r>
    </w:p>
    <w:p w:rsidR="00B25797" w:rsidRPr="001B600C" w:rsidRDefault="00B25797" w:rsidP="00B25797">
      <w:pPr>
        <w:sectPr w:rsidR="00B25797" w:rsidRPr="001B600C" w:rsidSect="003E3020">
          <w:headerReference w:type="defaul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B25797" w:rsidRPr="00B25797" w:rsidRDefault="00B25797" w:rsidP="00B25797">
      <w:pPr>
        <w:jc w:val="center"/>
        <w:rPr>
          <w:lang w:val="fr-FR"/>
        </w:rPr>
      </w:pPr>
      <w:r w:rsidRPr="00B25797">
        <w:rPr>
          <w:lang w:val="fr-FR"/>
        </w:rPr>
        <w:lastRenderedPageBreak/>
        <w:t>UPOV/EAF/10/3</w:t>
      </w:r>
    </w:p>
    <w:p w:rsidR="00B25797" w:rsidRPr="00B25797" w:rsidRDefault="00B25797" w:rsidP="00B25797">
      <w:pPr>
        <w:rPr>
          <w:lang w:val="fr-FR"/>
        </w:rPr>
      </w:pPr>
    </w:p>
    <w:p w:rsidR="00B25797" w:rsidRPr="00B25797" w:rsidRDefault="00B25797" w:rsidP="00B25797">
      <w:pPr>
        <w:jc w:val="center"/>
        <w:rPr>
          <w:lang w:val="fr-FR"/>
        </w:rPr>
      </w:pPr>
      <w:r w:rsidRPr="00B25797">
        <w:rPr>
          <w:lang w:val="fr-FR"/>
        </w:rPr>
        <w:t>ANNEX II / ANNEXE II / ANEXO II</w:t>
      </w:r>
    </w:p>
    <w:p w:rsidR="00B25797" w:rsidRPr="00B25797" w:rsidRDefault="00B25797" w:rsidP="00B25797">
      <w:pPr>
        <w:rPr>
          <w:lang w:val="fr-FR"/>
        </w:rPr>
      </w:pPr>
    </w:p>
    <w:p w:rsidR="00B25797" w:rsidRPr="00B25797" w:rsidRDefault="00B25797" w:rsidP="00B25797">
      <w:pPr>
        <w:rPr>
          <w:lang w:val="fr-FR"/>
        </w:rPr>
      </w:pPr>
    </w:p>
    <w:p w:rsidR="00B25797" w:rsidRPr="00B25797" w:rsidRDefault="00B25797" w:rsidP="00B25797">
      <w:pPr>
        <w:rPr>
          <w:lang w:val="fr-FR"/>
        </w:rPr>
      </w:pPr>
    </w:p>
    <w:p w:rsidR="00B25797" w:rsidRPr="00923250" w:rsidRDefault="00B25797" w:rsidP="00B25797">
      <w:pPr>
        <w:jc w:val="center"/>
        <w:rPr>
          <w:i/>
          <w:lang w:val="fr-FR"/>
        </w:rPr>
      </w:pPr>
      <w:r w:rsidRPr="00923250">
        <w:rPr>
          <w:i/>
          <w:lang w:val="fr-FR"/>
        </w:rPr>
        <w:t>[See the PDF version / Voir la version PDF / Veáse la versi</w:t>
      </w:r>
      <w:r>
        <w:rPr>
          <w:i/>
          <w:lang w:val="fr-FR"/>
        </w:rPr>
        <w:t>ó</w:t>
      </w:r>
      <w:r w:rsidRPr="00923250">
        <w:rPr>
          <w:i/>
          <w:lang w:val="fr-FR"/>
        </w:rPr>
        <w:t>n en PDF]</w:t>
      </w:r>
    </w:p>
    <w:p w:rsidR="00B25797" w:rsidRPr="00923250" w:rsidRDefault="00B25797" w:rsidP="00B25797">
      <w:pPr>
        <w:rPr>
          <w:lang w:val="fr-FR"/>
        </w:rPr>
      </w:pPr>
    </w:p>
    <w:p w:rsidR="00B25797" w:rsidRPr="00923250" w:rsidRDefault="00B25797" w:rsidP="00B25797">
      <w:pPr>
        <w:rPr>
          <w:lang w:val="fr-FR"/>
        </w:rPr>
      </w:pPr>
    </w:p>
    <w:p w:rsidR="00B25797" w:rsidRPr="00923250" w:rsidRDefault="00B25797" w:rsidP="00B25797">
      <w:pPr>
        <w:rPr>
          <w:lang w:val="fr-FR"/>
        </w:rPr>
      </w:pPr>
    </w:p>
    <w:p w:rsidR="00B25797" w:rsidRPr="00923250" w:rsidRDefault="00B25797" w:rsidP="00B25797">
      <w:pPr>
        <w:rPr>
          <w:lang w:val="fr-FR"/>
        </w:rPr>
      </w:pPr>
    </w:p>
    <w:p w:rsidR="00B25797" w:rsidRPr="00923250" w:rsidRDefault="00B25797" w:rsidP="00B25797">
      <w:pPr>
        <w:rPr>
          <w:lang w:val="fr-FR"/>
        </w:rPr>
      </w:pPr>
    </w:p>
    <w:p w:rsidR="00B25797" w:rsidRDefault="00B25797" w:rsidP="00B25797">
      <w:pPr>
        <w:jc w:val="right"/>
      </w:pPr>
      <w:r>
        <w:t>[End of Annex II and of document/</w:t>
      </w:r>
    </w:p>
    <w:p w:rsidR="00B25797" w:rsidRPr="00923250" w:rsidRDefault="00B25797" w:rsidP="00B25797">
      <w:pPr>
        <w:jc w:val="right"/>
        <w:rPr>
          <w:lang w:val="fr-FR"/>
        </w:rPr>
      </w:pPr>
      <w:r w:rsidRPr="00923250">
        <w:rPr>
          <w:lang w:val="fr-FR"/>
        </w:rPr>
        <w:t>Fin de l’Annexe II et du document/</w:t>
      </w:r>
    </w:p>
    <w:p w:rsidR="00B25797" w:rsidRPr="00B25797" w:rsidRDefault="00B25797" w:rsidP="00B25797">
      <w:pPr>
        <w:jc w:val="right"/>
        <w:rPr>
          <w:lang w:val="es-ES_tradnl"/>
        </w:rPr>
      </w:pPr>
      <w:r w:rsidRPr="00B25797">
        <w:rPr>
          <w:lang w:val="es-ES_tradnl"/>
        </w:rPr>
        <w:t>Fin del Anexo II y del documento]</w:t>
      </w:r>
    </w:p>
    <w:p w:rsidR="00B25797" w:rsidRPr="00B25797" w:rsidRDefault="00B25797" w:rsidP="00B25797">
      <w:pPr>
        <w:jc w:val="right"/>
        <w:rPr>
          <w:lang w:val="es-ES_tradnl"/>
        </w:rPr>
      </w:pPr>
    </w:p>
    <w:p w:rsidR="00B25797" w:rsidRPr="00B25797" w:rsidRDefault="00B25797" w:rsidP="00B25797">
      <w:pPr>
        <w:rPr>
          <w:lang w:val="es-ES_tradnl"/>
        </w:rPr>
      </w:pPr>
    </w:p>
    <w:p w:rsidR="00B25797" w:rsidRPr="00B25797" w:rsidRDefault="00B25797" w:rsidP="00B25797">
      <w:pPr>
        <w:rPr>
          <w:lang w:val="es-ES_tradnl"/>
        </w:rPr>
      </w:pPr>
    </w:p>
    <w:p w:rsidR="00913550" w:rsidRPr="00543516" w:rsidRDefault="00913550" w:rsidP="00913550">
      <w:pPr>
        <w:tabs>
          <w:tab w:val="left" w:pos="5387"/>
        </w:tabs>
        <w:ind w:left="4820"/>
        <w:rPr>
          <w:rFonts w:eastAsiaTheme="minorHAnsi"/>
          <w:i/>
          <w:lang w:val="es-ES"/>
        </w:rPr>
      </w:pPr>
    </w:p>
    <w:sectPr w:rsidR="00913550" w:rsidRPr="00543516" w:rsidSect="00906DDC">
      <w:headerReference w:type="default" r:id="rId1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B3" w:rsidRDefault="002E5FB3" w:rsidP="006655D3">
      <w:r>
        <w:separator/>
      </w:r>
    </w:p>
    <w:p w:rsidR="002E5FB3" w:rsidRDefault="002E5FB3" w:rsidP="006655D3"/>
    <w:p w:rsidR="002E5FB3" w:rsidRDefault="002E5FB3" w:rsidP="006655D3"/>
  </w:endnote>
  <w:endnote w:type="continuationSeparator" w:id="0">
    <w:p w:rsidR="002E5FB3" w:rsidRDefault="002E5FB3" w:rsidP="006655D3">
      <w:r>
        <w:separator/>
      </w:r>
    </w:p>
    <w:p w:rsidR="002E5FB3" w:rsidRPr="00294751" w:rsidRDefault="002E5FB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E5FB3" w:rsidRPr="00294751" w:rsidRDefault="002E5FB3" w:rsidP="006655D3">
      <w:pPr>
        <w:rPr>
          <w:lang w:val="fr-FR"/>
        </w:rPr>
      </w:pPr>
    </w:p>
    <w:p w:rsidR="002E5FB3" w:rsidRPr="00294751" w:rsidRDefault="002E5FB3" w:rsidP="006655D3">
      <w:pPr>
        <w:rPr>
          <w:lang w:val="fr-FR"/>
        </w:rPr>
      </w:pPr>
    </w:p>
  </w:endnote>
  <w:endnote w:type="continuationNotice" w:id="1">
    <w:p w:rsidR="002E5FB3" w:rsidRPr="00294751" w:rsidRDefault="002E5FB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E5FB3" w:rsidRPr="00294751" w:rsidRDefault="002E5FB3" w:rsidP="006655D3">
      <w:pPr>
        <w:rPr>
          <w:lang w:val="fr-FR"/>
        </w:rPr>
      </w:pPr>
    </w:p>
    <w:p w:rsidR="002E5FB3" w:rsidRPr="00294751" w:rsidRDefault="002E5FB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7" w:rsidRPr="00C43E4A" w:rsidRDefault="00B25797" w:rsidP="00425B2D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B3" w:rsidRDefault="002E5FB3" w:rsidP="006655D3">
      <w:r>
        <w:separator/>
      </w:r>
    </w:p>
  </w:footnote>
  <w:footnote w:type="continuationSeparator" w:id="0">
    <w:p w:rsidR="002E5FB3" w:rsidRDefault="002E5FB3" w:rsidP="006655D3">
      <w:r>
        <w:separator/>
      </w:r>
    </w:p>
  </w:footnote>
  <w:footnote w:type="continuationNotice" w:id="1">
    <w:p w:rsidR="002E5FB3" w:rsidRPr="00AB530F" w:rsidRDefault="002E5FB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7" w:rsidRPr="00C5280D" w:rsidRDefault="00B2579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UPOV/EAF/10/3</w:t>
    </w:r>
  </w:p>
  <w:p w:rsidR="00B25797" w:rsidRPr="00C5280D" w:rsidRDefault="00B25797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B25797" w:rsidRPr="00C5280D" w:rsidRDefault="00B25797" w:rsidP="00FD02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7" w:rsidRPr="00187D7B" w:rsidRDefault="00B25797">
    <w:pPr>
      <w:pStyle w:val="Header"/>
      <w:rPr>
        <w:lang w:val="en-US"/>
      </w:rPr>
    </w:pPr>
    <w:r>
      <w:rPr>
        <w:lang w:val="en-US"/>
      </w:rPr>
      <w:t>UPOV/EAF/10/3</w:t>
    </w:r>
  </w:p>
  <w:p w:rsidR="00B25797" w:rsidRPr="00187D7B" w:rsidRDefault="00B25797">
    <w:pPr>
      <w:pStyle w:val="Header"/>
      <w:rPr>
        <w:noProof/>
        <w:lang w:val="en-US"/>
      </w:rPr>
    </w:pPr>
    <w:r>
      <w:rPr>
        <w:lang w:val="en-US"/>
      </w:rPr>
      <w:t xml:space="preserve">Annexe I / </w:t>
    </w:r>
    <w:r w:rsidRPr="00187D7B">
      <w:rPr>
        <w:lang w:val="en-US"/>
      </w:rPr>
      <w:t>Annex I</w:t>
    </w:r>
    <w:r>
      <w:rPr>
        <w:lang w:val="en-US"/>
      </w:rPr>
      <w:t xml:space="preserve"> / Anexo I</w:t>
    </w:r>
    <w:r>
      <w:rPr>
        <w:lang w:val="en-US"/>
      </w:rPr>
      <w:br/>
    </w:r>
    <w:r w:rsidRPr="00187D7B">
      <w:rPr>
        <w:lang w:val="en-US"/>
      </w:rPr>
      <w:t xml:space="preserve">page </w:t>
    </w:r>
    <w:r>
      <w:fldChar w:fldCharType="begin"/>
    </w:r>
    <w:r w:rsidRPr="00187D7B">
      <w:rPr>
        <w:lang w:val="en-US"/>
      </w:rPr>
      <w:instrText xml:space="preserve"> PAGE   \* MERGEFORMAT </w:instrText>
    </w:r>
    <w:r>
      <w:fldChar w:fldCharType="separate"/>
    </w:r>
    <w:r>
      <w:rPr>
        <w:noProof/>
        <w:lang w:val="en-US"/>
      </w:rPr>
      <w:t>5</w:t>
    </w:r>
    <w:r>
      <w:rPr>
        <w:noProof/>
      </w:rPr>
      <w:fldChar w:fldCharType="end"/>
    </w:r>
    <w:r w:rsidRPr="00923250">
      <w:rPr>
        <w:noProof/>
        <w:lang w:val="en-US"/>
      </w:rPr>
      <w:t xml:space="preserve"> / página </w:t>
    </w:r>
    <w:r>
      <w:fldChar w:fldCharType="begin"/>
    </w:r>
    <w:r w:rsidRPr="00187D7B">
      <w:rPr>
        <w:lang w:val="en-US"/>
      </w:rPr>
      <w:instrText xml:space="preserve"> PAGE   \* MERGEFORMAT </w:instrText>
    </w:r>
    <w:r>
      <w:fldChar w:fldCharType="separate"/>
    </w:r>
    <w:r>
      <w:rPr>
        <w:noProof/>
        <w:lang w:val="en-US"/>
      </w:rPr>
      <w:t>5</w:t>
    </w:r>
    <w:r>
      <w:rPr>
        <w:noProof/>
      </w:rPr>
      <w:fldChar w:fldCharType="end"/>
    </w:r>
  </w:p>
  <w:p w:rsidR="00B25797" w:rsidRPr="00187D7B" w:rsidRDefault="00B2579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B3" w:rsidRPr="00C5280D" w:rsidRDefault="002E5F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UPOV/EAF/10/3</w:t>
    </w:r>
  </w:p>
  <w:p w:rsidR="002E5FB3" w:rsidRPr="00D16116" w:rsidRDefault="002E5FB3" w:rsidP="00EB048E">
    <w:pPr>
      <w:pStyle w:val="Header"/>
      <w:rPr>
        <w:lang w:val="es-ES_tradnl"/>
      </w:rPr>
    </w:pPr>
    <w:r w:rsidRPr="00D16116">
      <w:rPr>
        <w:lang w:val="es-ES_tradnl"/>
      </w:rPr>
      <w:t xml:space="preserve">página </w:t>
    </w:r>
    <w:r w:rsidR="00705A08" w:rsidRPr="00D16116">
      <w:rPr>
        <w:rStyle w:val="PageNumber"/>
        <w:lang w:val="es-ES_tradnl"/>
      </w:rPr>
      <w:fldChar w:fldCharType="begin"/>
    </w:r>
    <w:r w:rsidRPr="00D16116">
      <w:rPr>
        <w:rStyle w:val="PageNumber"/>
        <w:lang w:val="es-ES_tradnl"/>
      </w:rPr>
      <w:instrText xml:space="preserve"> PAGE </w:instrText>
    </w:r>
    <w:r w:rsidR="00705A08" w:rsidRPr="00D16116">
      <w:rPr>
        <w:rStyle w:val="PageNumber"/>
        <w:lang w:val="es-ES_tradnl"/>
      </w:rPr>
      <w:fldChar w:fldCharType="separate"/>
    </w:r>
    <w:r w:rsidR="00B25797">
      <w:rPr>
        <w:rStyle w:val="PageNumber"/>
        <w:noProof/>
        <w:lang w:val="es-ES_tradnl"/>
      </w:rPr>
      <w:t>4</w:t>
    </w:r>
    <w:r w:rsidR="00705A08" w:rsidRPr="00D16116">
      <w:rPr>
        <w:rStyle w:val="PageNumber"/>
        <w:lang w:val="es-ES_tradnl"/>
      </w:rPr>
      <w:fldChar w:fldCharType="end"/>
    </w:r>
  </w:p>
  <w:p w:rsidR="002E5FB3" w:rsidRPr="00C5280D" w:rsidRDefault="002E5FB3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10C"/>
    <w:multiLevelType w:val="hybridMultilevel"/>
    <w:tmpl w:val="9884A4FA"/>
    <w:lvl w:ilvl="0" w:tplc="6F44F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7CEE"/>
    <w:multiLevelType w:val="hybridMultilevel"/>
    <w:tmpl w:val="4A840EEA"/>
    <w:lvl w:ilvl="0" w:tplc="254AD3B4">
      <w:start w:val="1"/>
      <w:numFmt w:val="lowerRoman"/>
      <w:lvlText w:val="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081083E"/>
    <w:multiLevelType w:val="hybridMultilevel"/>
    <w:tmpl w:val="E32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tBookmark" w:val="00007"/>
  </w:docVars>
  <w:rsids>
    <w:rsidRoot w:val="00E3743C"/>
    <w:rsid w:val="000035F6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AFF"/>
    <w:rsid w:val="00047E21"/>
    <w:rsid w:val="00050E16"/>
    <w:rsid w:val="0005225D"/>
    <w:rsid w:val="00056072"/>
    <w:rsid w:val="0006690B"/>
    <w:rsid w:val="00085505"/>
    <w:rsid w:val="00092052"/>
    <w:rsid w:val="000B25BC"/>
    <w:rsid w:val="000C4E25"/>
    <w:rsid w:val="000C7021"/>
    <w:rsid w:val="000D6BBC"/>
    <w:rsid w:val="000D7780"/>
    <w:rsid w:val="000E4EBC"/>
    <w:rsid w:val="000E636A"/>
    <w:rsid w:val="000F2F11"/>
    <w:rsid w:val="00102DE8"/>
    <w:rsid w:val="00105929"/>
    <w:rsid w:val="00110C36"/>
    <w:rsid w:val="001131D5"/>
    <w:rsid w:val="00141DB8"/>
    <w:rsid w:val="001464B0"/>
    <w:rsid w:val="00172084"/>
    <w:rsid w:val="001730B1"/>
    <w:rsid w:val="0017474A"/>
    <w:rsid w:val="00174872"/>
    <w:rsid w:val="001758C6"/>
    <w:rsid w:val="00182B99"/>
    <w:rsid w:val="00186030"/>
    <w:rsid w:val="00186CE0"/>
    <w:rsid w:val="0019640B"/>
    <w:rsid w:val="001C1525"/>
    <w:rsid w:val="001C3631"/>
    <w:rsid w:val="001C441B"/>
    <w:rsid w:val="00212AAD"/>
    <w:rsid w:val="0021332C"/>
    <w:rsid w:val="00213982"/>
    <w:rsid w:val="0024416D"/>
    <w:rsid w:val="00247BD6"/>
    <w:rsid w:val="00271911"/>
    <w:rsid w:val="002800A0"/>
    <w:rsid w:val="002801B3"/>
    <w:rsid w:val="00281060"/>
    <w:rsid w:val="00283424"/>
    <w:rsid w:val="00287756"/>
    <w:rsid w:val="002940E8"/>
    <w:rsid w:val="00294751"/>
    <w:rsid w:val="002A6E50"/>
    <w:rsid w:val="002B3834"/>
    <w:rsid w:val="002B4298"/>
    <w:rsid w:val="002C05DA"/>
    <w:rsid w:val="002C256A"/>
    <w:rsid w:val="002E5FB3"/>
    <w:rsid w:val="003049BA"/>
    <w:rsid w:val="00305A7F"/>
    <w:rsid w:val="0030789B"/>
    <w:rsid w:val="003152FE"/>
    <w:rsid w:val="00317A77"/>
    <w:rsid w:val="00327436"/>
    <w:rsid w:val="003373EF"/>
    <w:rsid w:val="00344BD6"/>
    <w:rsid w:val="00347BF0"/>
    <w:rsid w:val="0035528D"/>
    <w:rsid w:val="00361821"/>
    <w:rsid w:val="00361E9E"/>
    <w:rsid w:val="003B5AF4"/>
    <w:rsid w:val="003C3019"/>
    <w:rsid w:val="003C7FBE"/>
    <w:rsid w:val="003D227C"/>
    <w:rsid w:val="003D2B4D"/>
    <w:rsid w:val="00403D99"/>
    <w:rsid w:val="004105BD"/>
    <w:rsid w:val="00422032"/>
    <w:rsid w:val="00427608"/>
    <w:rsid w:val="00431D4D"/>
    <w:rsid w:val="00444A88"/>
    <w:rsid w:val="00460107"/>
    <w:rsid w:val="00465033"/>
    <w:rsid w:val="00472367"/>
    <w:rsid w:val="00473AA6"/>
    <w:rsid w:val="00474DA4"/>
    <w:rsid w:val="00476B4D"/>
    <w:rsid w:val="004805FA"/>
    <w:rsid w:val="0048082A"/>
    <w:rsid w:val="004935D2"/>
    <w:rsid w:val="004A17BD"/>
    <w:rsid w:val="004B1215"/>
    <w:rsid w:val="004C0F70"/>
    <w:rsid w:val="004D047D"/>
    <w:rsid w:val="004F052D"/>
    <w:rsid w:val="004F1E9E"/>
    <w:rsid w:val="004F305A"/>
    <w:rsid w:val="0050639E"/>
    <w:rsid w:val="00512164"/>
    <w:rsid w:val="00520297"/>
    <w:rsid w:val="00524F51"/>
    <w:rsid w:val="0053375A"/>
    <w:rsid w:val="005338F9"/>
    <w:rsid w:val="0054281C"/>
    <w:rsid w:val="00543516"/>
    <w:rsid w:val="00544581"/>
    <w:rsid w:val="0055268D"/>
    <w:rsid w:val="005528A4"/>
    <w:rsid w:val="0055446B"/>
    <w:rsid w:val="00566EE4"/>
    <w:rsid w:val="005757A5"/>
    <w:rsid w:val="00576BE4"/>
    <w:rsid w:val="00594595"/>
    <w:rsid w:val="005A400A"/>
    <w:rsid w:val="005A4942"/>
    <w:rsid w:val="005A5061"/>
    <w:rsid w:val="005A5EBB"/>
    <w:rsid w:val="005B75B7"/>
    <w:rsid w:val="005E2B35"/>
    <w:rsid w:val="005F7B92"/>
    <w:rsid w:val="00612379"/>
    <w:rsid w:val="006153B6"/>
    <w:rsid w:val="0061555F"/>
    <w:rsid w:val="00632CEC"/>
    <w:rsid w:val="00636CA6"/>
    <w:rsid w:val="00641200"/>
    <w:rsid w:val="00645CA8"/>
    <w:rsid w:val="006578B0"/>
    <w:rsid w:val="006655D3"/>
    <w:rsid w:val="00667404"/>
    <w:rsid w:val="00674DC3"/>
    <w:rsid w:val="00684BDB"/>
    <w:rsid w:val="00687EB4"/>
    <w:rsid w:val="00695C56"/>
    <w:rsid w:val="00696F81"/>
    <w:rsid w:val="006A5CDE"/>
    <w:rsid w:val="006A644A"/>
    <w:rsid w:val="006B17D2"/>
    <w:rsid w:val="006C224E"/>
    <w:rsid w:val="006C4F9F"/>
    <w:rsid w:val="006C50F2"/>
    <w:rsid w:val="006C7B5C"/>
    <w:rsid w:val="006D780A"/>
    <w:rsid w:val="00705A08"/>
    <w:rsid w:val="0071271E"/>
    <w:rsid w:val="007170E5"/>
    <w:rsid w:val="00730DCA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A574A"/>
    <w:rsid w:val="007A5CC8"/>
    <w:rsid w:val="007C12F1"/>
    <w:rsid w:val="007C1D92"/>
    <w:rsid w:val="007C4CB9"/>
    <w:rsid w:val="007D0B9D"/>
    <w:rsid w:val="007D19B0"/>
    <w:rsid w:val="007D5023"/>
    <w:rsid w:val="007F1727"/>
    <w:rsid w:val="007F498F"/>
    <w:rsid w:val="0080679D"/>
    <w:rsid w:val="008069D8"/>
    <w:rsid w:val="008108B0"/>
    <w:rsid w:val="00811B20"/>
    <w:rsid w:val="008211B5"/>
    <w:rsid w:val="0082296E"/>
    <w:rsid w:val="00824099"/>
    <w:rsid w:val="00832FD5"/>
    <w:rsid w:val="008448F0"/>
    <w:rsid w:val="00846D7C"/>
    <w:rsid w:val="00867AC1"/>
    <w:rsid w:val="008702E1"/>
    <w:rsid w:val="00890DF8"/>
    <w:rsid w:val="008A743F"/>
    <w:rsid w:val="008C0970"/>
    <w:rsid w:val="008C3987"/>
    <w:rsid w:val="008C42F7"/>
    <w:rsid w:val="008C4E02"/>
    <w:rsid w:val="008D0BC5"/>
    <w:rsid w:val="008D2CF7"/>
    <w:rsid w:val="008D4151"/>
    <w:rsid w:val="00900C26"/>
    <w:rsid w:val="0090197F"/>
    <w:rsid w:val="00903264"/>
    <w:rsid w:val="00906DDC"/>
    <w:rsid w:val="00912734"/>
    <w:rsid w:val="00913550"/>
    <w:rsid w:val="00914E9A"/>
    <w:rsid w:val="009230DE"/>
    <w:rsid w:val="00926FB7"/>
    <w:rsid w:val="00930E83"/>
    <w:rsid w:val="00934E09"/>
    <w:rsid w:val="00936253"/>
    <w:rsid w:val="00940D46"/>
    <w:rsid w:val="00943B07"/>
    <w:rsid w:val="00952DD4"/>
    <w:rsid w:val="009565FA"/>
    <w:rsid w:val="00965AE7"/>
    <w:rsid w:val="00970FED"/>
    <w:rsid w:val="00986B10"/>
    <w:rsid w:val="00992D82"/>
    <w:rsid w:val="00993366"/>
    <w:rsid w:val="00995FA0"/>
    <w:rsid w:val="00997029"/>
    <w:rsid w:val="009978B7"/>
    <w:rsid w:val="009A7339"/>
    <w:rsid w:val="009B440E"/>
    <w:rsid w:val="009C4A0D"/>
    <w:rsid w:val="009D0BA2"/>
    <w:rsid w:val="009D211D"/>
    <w:rsid w:val="009D50BC"/>
    <w:rsid w:val="009D690D"/>
    <w:rsid w:val="009E5FEC"/>
    <w:rsid w:val="009E65B6"/>
    <w:rsid w:val="009F77CF"/>
    <w:rsid w:val="00A24C10"/>
    <w:rsid w:val="00A33150"/>
    <w:rsid w:val="00A41572"/>
    <w:rsid w:val="00A42AC3"/>
    <w:rsid w:val="00A430CF"/>
    <w:rsid w:val="00A47800"/>
    <w:rsid w:val="00A52FDF"/>
    <w:rsid w:val="00A54309"/>
    <w:rsid w:val="00A655BC"/>
    <w:rsid w:val="00A90440"/>
    <w:rsid w:val="00AB2B93"/>
    <w:rsid w:val="00AB530F"/>
    <w:rsid w:val="00AB7E5B"/>
    <w:rsid w:val="00AC2883"/>
    <w:rsid w:val="00AE0EF1"/>
    <w:rsid w:val="00AE28DE"/>
    <w:rsid w:val="00AE2937"/>
    <w:rsid w:val="00AE463A"/>
    <w:rsid w:val="00AF07E1"/>
    <w:rsid w:val="00B07301"/>
    <w:rsid w:val="00B11F3E"/>
    <w:rsid w:val="00B17D9A"/>
    <w:rsid w:val="00B224DE"/>
    <w:rsid w:val="00B25797"/>
    <w:rsid w:val="00B324D4"/>
    <w:rsid w:val="00B46575"/>
    <w:rsid w:val="00B604DE"/>
    <w:rsid w:val="00B61777"/>
    <w:rsid w:val="00B67675"/>
    <w:rsid w:val="00B76C4E"/>
    <w:rsid w:val="00B81E0C"/>
    <w:rsid w:val="00B84BBD"/>
    <w:rsid w:val="00B850DE"/>
    <w:rsid w:val="00BA43FB"/>
    <w:rsid w:val="00BC1063"/>
    <w:rsid w:val="00BC127D"/>
    <w:rsid w:val="00BC1FE6"/>
    <w:rsid w:val="00BC4EE0"/>
    <w:rsid w:val="00BD23D1"/>
    <w:rsid w:val="00BE7D56"/>
    <w:rsid w:val="00C061B6"/>
    <w:rsid w:val="00C2446C"/>
    <w:rsid w:val="00C24A8C"/>
    <w:rsid w:val="00C36AE5"/>
    <w:rsid w:val="00C41F17"/>
    <w:rsid w:val="00C527FA"/>
    <w:rsid w:val="00C5280D"/>
    <w:rsid w:val="00C53EB3"/>
    <w:rsid w:val="00C5791C"/>
    <w:rsid w:val="00C65D8D"/>
    <w:rsid w:val="00C66290"/>
    <w:rsid w:val="00C71C8A"/>
    <w:rsid w:val="00C72B7A"/>
    <w:rsid w:val="00C92040"/>
    <w:rsid w:val="00C93046"/>
    <w:rsid w:val="00C939CE"/>
    <w:rsid w:val="00C96351"/>
    <w:rsid w:val="00C96C06"/>
    <w:rsid w:val="00C973F2"/>
    <w:rsid w:val="00CA304C"/>
    <w:rsid w:val="00CA774A"/>
    <w:rsid w:val="00CC11B0"/>
    <w:rsid w:val="00CC2841"/>
    <w:rsid w:val="00CD5C4A"/>
    <w:rsid w:val="00CF1330"/>
    <w:rsid w:val="00CF7E36"/>
    <w:rsid w:val="00D16116"/>
    <w:rsid w:val="00D212AF"/>
    <w:rsid w:val="00D3157A"/>
    <w:rsid w:val="00D3708D"/>
    <w:rsid w:val="00D3763D"/>
    <w:rsid w:val="00D40426"/>
    <w:rsid w:val="00D57C96"/>
    <w:rsid w:val="00D57D18"/>
    <w:rsid w:val="00D60EEF"/>
    <w:rsid w:val="00D67726"/>
    <w:rsid w:val="00D73186"/>
    <w:rsid w:val="00D91203"/>
    <w:rsid w:val="00D95174"/>
    <w:rsid w:val="00DA4973"/>
    <w:rsid w:val="00DA6F36"/>
    <w:rsid w:val="00DB596E"/>
    <w:rsid w:val="00DB59D2"/>
    <w:rsid w:val="00DB7773"/>
    <w:rsid w:val="00DC00EA"/>
    <w:rsid w:val="00DC3802"/>
    <w:rsid w:val="00E07D87"/>
    <w:rsid w:val="00E32F7E"/>
    <w:rsid w:val="00E3743C"/>
    <w:rsid w:val="00E5267B"/>
    <w:rsid w:val="00E571CE"/>
    <w:rsid w:val="00E57245"/>
    <w:rsid w:val="00E63B0E"/>
    <w:rsid w:val="00E63C0E"/>
    <w:rsid w:val="00E72D49"/>
    <w:rsid w:val="00E74A93"/>
    <w:rsid w:val="00E7593C"/>
    <w:rsid w:val="00E7678A"/>
    <w:rsid w:val="00E935F1"/>
    <w:rsid w:val="00E9463D"/>
    <w:rsid w:val="00E94A81"/>
    <w:rsid w:val="00EA130F"/>
    <w:rsid w:val="00EA1FFB"/>
    <w:rsid w:val="00EA5C32"/>
    <w:rsid w:val="00EA7DE9"/>
    <w:rsid w:val="00EB048E"/>
    <w:rsid w:val="00EB4E9C"/>
    <w:rsid w:val="00EC78EA"/>
    <w:rsid w:val="00ED4136"/>
    <w:rsid w:val="00EE34DF"/>
    <w:rsid w:val="00EF065E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77717"/>
    <w:rsid w:val="00FA49AB"/>
    <w:rsid w:val="00FB6D68"/>
    <w:rsid w:val="00FE39C7"/>
    <w:rsid w:val="00FE71E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2DB9A5"/>
  <w15:docId w15:val="{8730F1BC-F330-4480-BB26-18356118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E28DE"/>
    <w:pPr>
      <w:keepNext/>
      <w:ind w:left="567"/>
      <w:jc w:val="both"/>
      <w:outlineLvl w:val="3"/>
    </w:pPr>
    <w:rPr>
      <w:rFonts w:ascii="Arial" w:hAnsi="Arial"/>
      <w:i/>
      <w:lang w:val="es-ES_tradnl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13550"/>
    <w:pPr>
      <w:ind w:left="720"/>
      <w:jc w:val="left"/>
    </w:pPr>
    <w:rPr>
      <w:rFonts w:ascii="Calibri" w:eastAsia="Calibri" w:hAnsi="Calibri" w:cs="Arial"/>
      <w:sz w:val="22"/>
      <w:szCs w:val="2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913550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913550"/>
    <w:rPr>
      <w:rFonts w:ascii="Arial" w:hAnsi="Arial"/>
      <w:i/>
    </w:rPr>
  </w:style>
  <w:style w:type="table" w:customStyle="1" w:styleId="TableGrid1">
    <w:name w:val="Table Grid1"/>
    <w:basedOn w:val="TableNormal"/>
    <w:next w:val="TableGrid"/>
    <w:rsid w:val="00913550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1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604DE"/>
    <w:rPr>
      <w:color w:val="800080" w:themeColor="followedHyperlink"/>
      <w:u w:val="single"/>
    </w:rPr>
  </w:style>
  <w:style w:type="character" w:customStyle="1" w:styleId="FooterChar">
    <w:name w:val="Footer Char"/>
    <w:aliases w:val="doc_path_name Char"/>
    <w:basedOn w:val="DefaultParagraphFont"/>
    <w:link w:val="Footer"/>
    <w:rsid w:val="00B25797"/>
    <w:rPr>
      <w:rFonts w:ascii="Arial" w:hAnsi="Arial"/>
      <w:sz w:val="14"/>
    </w:rPr>
  </w:style>
  <w:style w:type="character" w:customStyle="1" w:styleId="plcountryChar">
    <w:name w:val="plcountry Char"/>
    <w:basedOn w:val="DefaultParagraphFont"/>
    <w:link w:val="plcountry"/>
    <w:rsid w:val="00B25797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B25797"/>
    <w:rPr>
      <w:rFonts w:ascii="Arial" w:hAnsi="Arial"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showcase/24973258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pov.int/upovprisma/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8541A-0408-478E-B128-B581BF15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4973</Words>
  <Characters>20245</Characters>
  <Application>Microsoft Office Word</Application>
  <DocSecurity>0</DocSecurity>
  <Lines>20245</Lines>
  <Paragraphs>900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UPOV/EAF/10/3</vt:lpstr>
    </vt:vector>
  </TitlesOfParts>
  <Company>UPOV</Company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UPOV/EAF/10/3</dc:title>
  <dc:creator/>
  <cp:lastModifiedBy>BESSE Ariane</cp:lastModifiedBy>
  <cp:revision>8</cp:revision>
  <cp:lastPrinted>2016-11-22T15:41:00Z</cp:lastPrinted>
  <dcterms:created xsi:type="dcterms:W3CDTF">2018-04-27T13:07:00Z</dcterms:created>
  <dcterms:modified xsi:type="dcterms:W3CDTF">2018-08-31T14:57:00Z</dcterms:modified>
</cp:coreProperties>
</file>