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A0F8E" w:rsidRPr="00062B38" w:rsidTr="00EA0F8E">
        <w:tc>
          <w:tcPr>
            <w:tcW w:w="6522" w:type="dxa"/>
          </w:tcPr>
          <w:p w:rsidR="00EA0F8E" w:rsidRPr="00062B38" w:rsidRDefault="00EA0F8E" w:rsidP="00EA0F8E">
            <w:bookmarkStart w:id="0" w:name="_GoBack"/>
            <w:bookmarkEnd w:id="0"/>
            <w:r w:rsidRPr="00062B38">
              <w:rPr>
                <w:noProof/>
              </w:rPr>
              <w:drawing>
                <wp:inline distT="0" distB="0" distL="0" distR="0">
                  <wp:extent cx="952031" cy="244054"/>
                  <wp:effectExtent l="0" t="0" r="635" b="381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A0F8E" w:rsidRPr="00062B38" w:rsidRDefault="00EA0F8E" w:rsidP="00EA0F8E">
            <w:pPr>
              <w:pStyle w:val="Lettrine"/>
            </w:pPr>
            <w:r w:rsidRPr="00062B38">
              <w:t>S</w:t>
            </w:r>
          </w:p>
        </w:tc>
      </w:tr>
      <w:tr w:rsidR="00EA0F8E" w:rsidRPr="00062B38" w:rsidTr="00EA0F8E">
        <w:trPr>
          <w:trHeight w:val="219"/>
        </w:trPr>
        <w:tc>
          <w:tcPr>
            <w:tcW w:w="6522" w:type="dxa"/>
          </w:tcPr>
          <w:p w:rsidR="00EA0F8E" w:rsidRPr="00062B38" w:rsidRDefault="00EA0F8E" w:rsidP="00EA0F8E">
            <w:pPr>
              <w:pStyle w:val="upove"/>
            </w:pPr>
            <w:r w:rsidRPr="00062B38">
              <w:t xml:space="preserve">Unión Internacional para la Protección de las Obtenciones Vegetales </w:t>
            </w:r>
          </w:p>
        </w:tc>
        <w:tc>
          <w:tcPr>
            <w:tcW w:w="3117" w:type="dxa"/>
          </w:tcPr>
          <w:p w:rsidR="00EA0F8E" w:rsidRPr="00062B38" w:rsidRDefault="00EA0F8E" w:rsidP="00EA0F8E"/>
        </w:tc>
      </w:tr>
    </w:tbl>
    <w:p w:rsidR="00EA0F8E" w:rsidRPr="00062B38" w:rsidRDefault="00EA0F8E" w:rsidP="00EA0F8E"/>
    <w:p w:rsidR="00EA0F8E" w:rsidRPr="00062B38" w:rsidRDefault="00EA0F8E" w:rsidP="00EA0F8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A0F8E" w:rsidRPr="00062B38" w:rsidTr="00EA0F8E">
        <w:tc>
          <w:tcPr>
            <w:tcW w:w="6512" w:type="dxa"/>
          </w:tcPr>
          <w:p w:rsidR="00EA0F8E" w:rsidRPr="00062B38" w:rsidRDefault="00EA0F8E" w:rsidP="00EA0F8E">
            <w:pPr>
              <w:pStyle w:val="Sessiontc"/>
              <w:spacing w:line="240" w:lineRule="auto"/>
            </w:pPr>
            <w:r w:rsidRPr="00062B38">
              <w:t>Reunión sobre la elaboración de un formulario electrónico de solicitud</w:t>
            </w:r>
          </w:p>
          <w:p w:rsidR="00EA0F8E" w:rsidRPr="00062B38" w:rsidRDefault="00EA0F8E" w:rsidP="00EA0F8E">
            <w:pPr>
              <w:pStyle w:val="Sessiontcplacedate"/>
              <w:contextualSpacing w:val="0"/>
              <w:rPr>
                <w:sz w:val="22"/>
              </w:rPr>
            </w:pPr>
            <w:r w:rsidRPr="00062B38">
              <w:t>Décima reunión</w:t>
            </w:r>
            <w:r w:rsidRPr="00062B38">
              <w:br/>
              <w:t>Ginebra, 27 de octubre de 2017</w:t>
            </w:r>
          </w:p>
        </w:tc>
        <w:tc>
          <w:tcPr>
            <w:tcW w:w="3127" w:type="dxa"/>
          </w:tcPr>
          <w:p w:rsidR="00EA0F8E" w:rsidRPr="00062B38" w:rsidRDefault="00EA0F8E" w:rsidP="00EA0F8E">
            <w:pPr>
              <w:pStyle w:val="Doccode"/>
              <w:spacing w:before="40"/>
            </w:pPr>
            <w:r w:rsidRPr="00062B38">
              <w:t>UPOV/EAF/10/2</w:t>
            </w:r>
          </w:p>
          <w:p w:rsidR="00EA0F8E" w:rsidRPr="00062B38" w:rsidRDefault="00EA0F8E" w:rsidP="00EA0F8E">
            <w:pPr>
              <w:pStyle w:val="Doccode"/>
              <w:spacing w:before="480"/>
            </w:pPr>
            <w:r w:rsidRPr="00062B38">
              <w:t>Original:</w:t>
            </w:r>
            <w:r w:rsidRPr="00062B38">
              <w:rPr>
                <w:b w:val="0"/>
                <w:spacing w:val="0"/>
              </w:rPr>
              <w:t xml:space="preserve">  Inglés</w:t>
            </w:r>
          </w:p>
          <w:p w:rsidR="00EA0F8E" w:rsidRPr="00062B38" w:rsidRDefault="00EA0F8E" w:rsidP="00EA0F8E">
            <w:pPr>
              <w:pStyle w:val="Docoriginal"/>
              <w:spacing w:before="0" w:line="240" w:lineRule="auto"/>
              <w:contextualSpacing w:val="0"/>
            </w:pPr>
            <w:r w:rsidRPr="00062B38">
              <w:t>Fecha:</w:t>
            </w:r>
            <w:r w:rsidRPr="00062B38">
              <w:rPr>
                <w:b w:val="0"/>
                <w:spacing w:val="0"/>
              </w:rPr>
              <w:t xml:space="preserve">  </w:t>
            </w:r>
            <w:r>
              <w:rPr>
                <w:b w:val="0"/>
                <w:spacing w:val="0"/>
              </w:rPr>
              <w:t xml:space="preserve">9 </w:t>
            </w:r>
            <w:r w:rsidRPr="00062B38">
              <w:rPr>
                <w:b w:val="0"/>
                <w:spacing w:val="0"/>
              </w:rPr>
              <w:t>de octubre de 2017</w:t>
            </w:r>
          </w:p>
        </w:tc>
      </w:tr>
    </w:tbl>
    <w:p w:rsidR="00EA0F8E" w:rsidRPr="00062B38" w:rsidRDefault="00EA0F8E" w:rsidP="00EA0F8E">
      <w:pPr>
        <w:pStyle w:val="Titleofdoc0"/>
      </w:pPr>
      <w:bookmarkStart w:id="1" w:name="TitleOfDoc"/>
      <w:bookmarkEnd w:id="1"/>
      <w:r w:rsidRPr="00062B38">
        <w:t>NOVEDADES RELATIVAS AL FORMULARIO ELECTRÓNICO DE SOLICITUD</w:t>
      </w:r>
    </w:p>
    <w:p w:rsidR="00EA0F8E" w:rsidRPr="00062B38" w:rsidRDefault="00EA0F8E" w:rsidP="00EA0F8E">
      <w:pPr>
        <w:pStyle w:val="preparedby0"/>
        <w:jc w:val="left"/>
      </w:pPr>
      <w:bookmarkStart w:id="2" w:name="Prepared"/>
      <w:bookmarkEnd w:id="2"/>
      <w:r w:rsidRPr="00062B38">
        <w:t>Documento preparado por la Oficina de la Unión</w:t>
      </w:r>
    </w:p>
    <w:p w:rsidR="00EA0F8E" w:rsidRPr="00390374" w:rsidRDefault="00EA0F8E" w:rsidP="00EA0F8E">
      <w:pPr>
        <w:pStyle w:val="Disclaimer"/>
      </w:pPr>
      <w:r w:rsidRPr="00390374">
        <w:t>Descargo de responsabilidad:  el presente documento no constituye un documento de política u orientación de la UPOV</w:t>
      </w:r>
    </w:p>
    <w:p w:rsidR="00EA0F8E" w:rsidRPr="00062B38" w:rsidRDefault="00EA0F8E" w:rsidP="00EA0F8E">
      <w:pPr>
        <w:pStyle w:val="Heading1"/>
      </w:pPr>
      <w:bookmarkStart w:id="3" w:name="_Toc496172950"/>
      <w:bookmarkStart w:id="4" w:name="_Toc475955714"/>
      <w:bookmarkStart w:id="5" w:name="_Toc477186291"/>
      <w:bookmarkStart w:id="6" w:name="_Toc495079751"/>
      <w:r w:rsidRPr="00062B38">
        <w:t>RESUMEN</w:t>
      </w:r>
      <w:bookmarkEnd w:id="3"/>
    </w:p>
    <w:bookmarkEnd w:id="4"/>
    <w:bookmarkEnd w:id="5"/>
    <w:bookmarkEnd w:id="6"/>
    <w:p w:rsidR="00EA0F8E" w:rsidRPr="00062B38" w:rsidRDefault="00EA0F8E" w:rsidP="00EA0F8E">
      <w:pPr>
        <w:rPr>
          <w:rFonts w:cs="Arial"/>
        </w:rPr>
      </w:pPr>
    </w:p>
    <w:p w:rsidR="00EA0F8E" w:rsidRPr="00062B38" w:rsidRDefault="00EA0F8E" w:rsidP="00EA0F8E">
      <w:pPr>
        <w:rPr>
          <w:rFonts w:cs="Arial"/>
        </w:rPr>
      </w:pPr>
      <w:r w:rsidRPr="00062B38">
        <w:rPr>
          <w:rFonts w:cs="Arial"/>
        </w:rPr>
        <w:fldChar w:fldCharType="begin"/>
      </w:r>
      <w:r w:rsidRPr="00062B38">
        <w:rPr>
          <w:rFonts w:cs="Arial"/>
        </w:rPr>
        <w:instrText xml:space="preserve"> AUTONUM  </w:instrText>
      </w:r>
      <w:r w:rsidRPr="00062B38">
        <w:rPr>
          <w:rFonts w:cs="Arial"/>
        </w:rPr>
        <w:fldChar w:fldCharType="end"/>
      </w:r>
      <w:r w:rsidRPr="00062B38">
        <w:tab/>
        <w:t>La finalidad del presente documento es informar sobre las novedades que se han producido en relación con la elaboración del formulario electrónico de solicitud (EAF) desde la novena reunión (“reunión EAF/9”), celebrada en Ginebra el 7 de abril de 2017, y presentar propuestas de futuras modificaciones.</w:t>
      </w:r>
    </w:p>
    <w:p w:rsidR="00EA0F8E" w:rsidRPr="00062B38" w:rsidRDefault="00EA0F8E" w:rsidP="00EA0F8E"/>
    <w:p w:rsidR="00EA0F8E" w:rsidRPr="00062B38" w:rsidRDefault="00EA0F8E" w:rsidP="00EA0F8E">
      <w:pPr>
        <w:rPr>
          <w:rFonts w:cs="Arial"/>
        </w:rPr>
      </w:pPr>
      <w:r w:rsidRPr="00062B38">
        <w:rPr>
          <w:rFonts w:cs="Arial"/>
        </w:rPr>
        <w:fldChar w:fldCharType="begin"/>
      </w:r>
      <w:r w:rsidRPr="00062B38">
        <w:rPr>
          <w:rFonts w:cs="Arial"/>
        </w:rPr>
        <w:instrText xml:space="preserve"> AUTONUM  </w:instrText>
      </w:r>
      <w:r w:rsidRPr="00062B38">
        <w:rPr>
          <w:rFonts w:cs="Arial"/>
        </w:rPr>
        <w:fldChar w:fldCharType="end"/>
      </w:r>
      <w:r w:rsidRPr="00062B38">
        <w:tab/>
        <w:t>Se invita a los miembros participantes en la elaboración del formulario electrónico de solicitud a:</w:t>
      </w:r>
    </w:p>
    <w:p w:rsidR="00EA0F8E" w:rsidRPr="00EA0F8E" w:rsidRDefault="00EA0F8E" w:rsidP="00EA0F8E">
      <w:pPr>
        <w:rPr>
          <w:rFonts w:cs="Arial"/>
          <w:sz w:val="16"/>
        </w:rPr>
      </w:pPr>
    </w:p>
    <w:p w:rsidR="00EA0F8E" w:rsidRPr="00062B38" w:rsidRDefault="00EA0F8E" w:rsidP="00EA0F8E">
      <w:pPr>
        <w:ind w:firstLine="567"/>
        <w:rPr>
          <w:snapToGrid w:val="0"/>
        </w:rPr>
      </w:pPr>
      <w:r w:rsidRPr="00062B38">
        <w:t>a)</w:t>
      </w:r>
      <w:r w:rsidRPr="00062B38">
        <w:tab/>
        <w:t xml:space="preserve">tomar nota de las novedades relativas a la versión 1.1 del EAF y de los planes de elaboración de la versión 2.0 que se exponen en el presente documento; </w:t>
      </w:r>
    </w:p>
    <w:p w:rsidR="00EA0F8E" w:rsidRPr="00EA0F8E" w:rsidRDefault="00EA0F8E" w:rsidP="00EA0F8E">
      <w:pPr>
        <w:pStyle w:val="DecisionParagraphs"/>
        <w:keepNext/>
        <w:tabs>
          <w:tab w:val="left" w:pos="4820"/>
          <w:tab w:val="left" w:pos="5954"/>
        </w:tabs>
        <w:ind w:left="0" w:firstLine="567"/>
        <w:rPr>
          <w:snapToGrid w:val="0"/>
          <w:sz w:val="16"/>
        </w:rPr>
      </w:pPr>
    </w:p>
    <w:p w:rsidR="00EA0F8E" w:rsidRPr="00062B38" w:rsidRDefault="00EA0F8E" w:rsidP="00EA0F8E">
      <w:pPr>
        <w:ind w:firstLine="567"/>
        <w:rPr>
          <w:rFonts w:cs="Arial"/>
        </w:rPr>
      </w:pPr>
      <w:r w:rsidRPr="00062B38">
        <w:t>b)</w:t>
      </w:r>
      <w:r w:rsidRPr="00062B38">
        <w:tab/>
        <w:t xml:space="preserve">tomar nota de que la Oficina de la Unión elaborará un informe sobre las decisiones tomadas por el Consejo en su quincuagésima primera sesión ordinaria en relación con la herramienta de solicitudes PBR (EAF) y, en especial, con respecto al nombre y la financiación del EAF; </w:t>
      </w:r>
    </w:p>
    <w:p w:rsidR="00EA0F8E" w:rsidRPr="00EA0F8E" w:rsidRDefault="00EA0F8E" w:rsidP="00EA0F8E">
      <w:pPr>
        <w:ind w:firstLine="567"/>
        <w:rPr>
          <w:rFonts w:cs="Arial"/>
          <w:sz w:val="14"/>
        </w:rPr>
      </w:pPr>
    </w:p>
    <w:p w:rsidR="00EA0F8E" w:rsidRPr="00062B38" w:rsidRDefault="00EA0F8E" w:rsidP="00EA0F8E">
      <w:pPr>
        <w:ind w:firstLine="567"/>
        <w:rPr>
          <w:rFonts w:cs="Arial"/>
        </w:rPr>
      </w:pPr>
      <w:r w:rsidRPr="00062B38">
        <w:t>c)</w:t>
      </w:r>
      <w:r w:rsidRPr="00062B38">
        <w:tab/>
        <w:t xml:space="preserve">tomar nota de las novedades que se han producido en relación con las comunicaciones, según se expone en los párrafos 25 a 27; </w:t>
      </w:r>
    </w:p>
    <w:p w:rsidR="00EA0F8E" w:rsidRPr="00EA0F8E" w:rsidRDefault="00EA0F8E" w:rsidP="00EA0F8E">
      <w:pPr>
        <w:ind w:firstLine="567"/>
        <w:rPr>
          <w:rFonts w:cs="Arial"/>
          <w:sz w:val="14"/>
        </w:rPr>
      </w:pPr>
    </w:p>
    <w:p w:rsidR="00EA0F8E" w:rsidRPr="00062B38" w:rsidRDefault="00EA0F8E" w:rsidP="00EA0F8E">
      <w:pPr>
        <w:ind w:firstLine="567"/>
        <w:rPr>
          <w:rFonts w:cs="Arial"/>
        </w:rPr>
      </w:pPr>
      <w:r w:rsidRPr="00062B38">
        <w:t>d)</w:t>
      </w:r>
      <w:r w:rsidRPr="00062B38">
        <w:tab/>
        <w:t>examinar las propuestas para las futuras modificaciones del EAF, que exponen en los párrafos 28 a 30;</w:t>
      </w:r>
    </w:p>
    <w:p w:rsidR="00EA0F8E" w:rsidRPr="00EA0F8E" w:rsidRDefault="00EA0F8E" w:rsidP="00EA0F8E">
      <w:pPr>
        <w:pStyle w:val="ListParagraph"/>
        <w:ind w:left="0" w:firstLine="567"/>
        <w:rPr>
          <w:snapToGrid w:val="0"/>
          <w:sz w:val="18"/>
        </w:rPr>
      </w:pPr>
    </w:p>
    <w:p w:rsidR="00EA0F8E" w:rsidRPr="00062B38" w:rsidRDefault="00EA0F8E" w:rsidP="00EA0F8E">
      <w:pPr>
        <w:ind w:firstLine="567"/>
        <w:rPr>
          <w:rFonts w:cs="Arial"/>
        </w:rPr>
      </w:pPr>
      <w:r w:rsidRPr="00062B38">
        <w:t>e)</w:t>
      </w:r>
      <w:r w:rsidRPr="00062B38">
        <w:tab/>
        <w:t xml:space="preserve">examinar el calendario propuesto para las próximas versiones del EAF y los requisitos que deben cumplir los miembros de la Unión para participar en el EAF, que se exponen en los párrafos 32 y 33; </w:t>
      </w:r>
    </w:p>
    <w:p w:rsidR="00EA0F8E" w:rsidRPr="00062B38" w:rsidRDefault="00EA0F8E" w:rsidP="00EA0F8E">
      <w:pPr>
        <w:pStyle w:val="ListParagraph"/>
        <w:spacing w:line="360" w:lineRule="auto"/>
        <w:rPr>
          <w:rFonts w:ascii="Arial" w:eastAsia="Times New Roman" w:hAnsi="Arial" w:cs="Arial"/>
          <w:sz w:val="20"/>
          <w:szCs w:val="20"/>
          <w:highlight w:val="yellow"/>
        </w:rPr>
      </w:pPr>
    </w:p>
    <w:p w:rsidR="00EA0F8E" w:rsidRPr="00062B38" w:rsidRDefault="00EA0F8E" w:rsidP="00EA0F8E">
      <w:pPr>
        <w:spacing w:line="360" w:lineRule="auto"/>
      </w:pPr>
      <w:r w:rsidRPr="00062B38">
        <w:fldChar w:fldCharType="begin"/>
      </w:r>
      <w:r w:rsidRPr="00062B38">
        <w:instrText xml:space="preserve"> AUTONUM  </w:instrText>
      </w:r>
      <w:r w:rsidRPr="00062B38">
        <w:fldChar w:fldCharType="end"/>
      </w:r>
      <w:r w:rsidRPr="00062B38">
        <w:tab/>
        <w:t>El presente documento se estructura del modo siguiente:</w:t>
      </w:r>
    </w:p>
    <w:p w:rsidR="00485F1C" w:rsidRDefault="00EA0F8E">
      <w:pPr>
        <w:pStyle w:val="TOC1"/>
        <w:rPr>
          <w:rFonts w:asciiTheme="minorHAnsi" w:eastAsiaTheme="minorEastAsia" w:hAnsiTheme="minorHAnsi" w:cstheme="minorBidi"/>
          <w:bCs w:val="0"/>
          <w:caps w:val="0"/>
          <w:sz w:val="22"/>
          <w:szCs w:val="22"/>
        </w:rPr>
      </w:pPr>
      <w:r w:rsidRPr="00062B38">
        <w:rPr>
          <w:noProof w:val="0"/>
          <w:sz w:val="20"/>
        </w:rPr>
        <w:fldChar w:fldCharType="begin"/>
      </w:r>
      <w:r w:rsidRPr="00062B38">
        <w:instrText xml:space="preserve"> TOC \o "1-3" \h \z \u </w:instrText>
      </w:r>
      <w:r w:rsidRPr="00062B38">
        <w:rPr>
          <w:noProof w:val="0"/>
          <w:sz w:val="20"/>
        </w:rPr>
        <w:fldChar w:fldCharType="separate"/>
      </w:r>
      <w:hyperlink w:anchor="_Toc496172950" w:history="1">
        <w:r w:rsidR="00485F1C" w:rsidRPr="004B62FF">
          <w:rPr>
            <w:rStyle w:val="Hyperlink"/>
          </w:rPr>
          <w:t>RESUMEN</w:t>
        </w:r>
        <w:r w:rsidR="00485F1C">
          <w:rPr>
            <w:webHidden/>
          </w:rPr>
          <w:tab/>
        </w:r>
        <w:r w:rsidR="00485F1C">
          <w:rPr>
            <w:webHidden/>
          </w:rPr>
          <w:fldChar w:fldCharType="begin"/>
        </w:r>
        <w:r w:rsidR="00485F1C">
          <w:rPr>
            <w:webHidden/>
          </w:rPr>
          <w:instrText xml:space="preserve"> PAGEREF _Toc496172950 \h </w:instrText>
        </w:r>
        <w:r w:rsidR="00485F1C">
          <w:rPr>
            <w:webHidden/>
          </w:rPr>
        </w:r>
        <w:r w:rsidR="00485F1C">
          <w:rPr>
            <w:webHidden/>
          </w:rPr>
          <w:fldChar w:fldCharType="separate"/>
        </w:r>
        <w:r w:rsidR="003323E9">
          <w:rPr>
            <w:webHidden/>
          </w:rPr>
          <w:t>1</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1" w:history="1">
        <w:r w:rsidR="00485F1C" w:rsidRPr="004B62FF">
          <w:rPr>
            <w:rStyle w:val="Hyperlink"/>
          </w:rPr>
          <w:t>ANTECEDENTES</w:t>
        </w:r>
        <w:r w:rsidR="00485F1C">
          <w:rPr>
            <w:webHidden/>
          </w:rPr>
          <w:tab/>
        </w:r>
        <w:r w:rsidR="00485F1C">
          <w:rPr>
            <w:webHidden/>
          </w:rPr>
          <w:fldChar w:fldCharType="begin"/>
        </w:r>
        <w:r w:rsidR="00485F1C">
          <w:rPr>
            <w:webHidden/>
          </w:rPr>
          <w:instrText xml:space="preserve"> PAGEREF _Toc496172951 \h </w:instrText>
        </w:r>
        <w:r w:rsidR="00485F1C">
          <w:rPr>
            <w:webHidden/>
          </w:rPr>
        </w:r>
        <w:r w:rsidR="00485F1C">
          <w:rPr>
            <w:webHidden/>
          </w:rPr>
          <w:fldChar w:fldCharType="separate"/>
        </w:r>
        <w:r>
          <w:rPr>
            <w:webHidden/>
          </w:rPr>
          <w:t>2</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2" w:history="1">
        <w:r w:rsidR="00485F1C" w:rsidRPr="004B62FF">
          <w:rPr>
            <w:rStyle w:val="Hyperlink"/>
          </w:rPr>
          <w:t>NOVEDADES QUE SE HAN PRODUCIDO EN LA NOVENA REUNIÓN SOBRE LA ELABORACIÓN DE UN PROTOTIPO DE FORMULARIO ELECTRÓNICO</w:t>
        </w:r>
        <w:r w:rsidR="00485F1C">
          <w:rPr>
            <w:webHidden/>
          </w:rPr>
          <w:tab/>
        </w:r>
        <w:r w:rsidR="00485F1C">
          <w:rPr>
            <w:webHidden/>
          </w:rPr>
          <w:fldChar w:fldCharType="begin"/>
        </w:r>
        <w:r w:rsidR="00485F1C">
          <w:rPr>
            <w:webHidden/>
          </w:rPr>
          <w:instrText xml:space="preserve"> PAGEREF _Toc496172952 \h </w:instrText>
        </w:r>
        <w:r w:rsidR="00485F1C">
          <w:rPr>
            <w:webHidden/>
          </w:rPr>
        </w:r>
        <w:r w:rsidR="00485F1C">
          <w:rPr>
            <w:webHidden/>
          </w:rPr>
          <w:fldChar w:fldCharType="separate"/>
        </w:r>
        <w:r>
          <w:rPr>
            <w:webHidden/>
          </w:rPr>
          <w:t>2</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3" w:history="1">
        <w:r w:rsidR="00485F1C" w:rsidRPr="004B62FF">
          <w:rPr>
            <w:rStyle w:val="Hyperlink"/>
          </w:rPr>
          <w:t>NOVEDADES QUE SE HAN PRODUCIDO DESDE LA REUNIÓN EAF/9</w:t>
        </w:r>
        <w:r w:rsidR="00485F1C">
          <w:rPr>
            <w:webHidden/>
          </w:rPr>
          <w:tab/>
        </w:r>
        <w:r w:rsidR="00485F1C">
          <w:rPr>
            <w:webHidden/>
          </w:rPr>
          <w:fldChar w:fldCharType="begin"/>
        </w:r>
        <w:r w:rsidR="00485F1C">
          <w:rPr>
            <w:webHidden/>
          </w:rPr>
          <w:instrText xml:space="preserve"> PAGEREF _Toc496172953 \h </w:instrText>
        </w:r>
        <w:r w:rsidR="00485F1C">
          <w:rPr>
            <w:webHidden/>
          </w:rPr>
        </w:r>
        <w:r w:rsidR="00485F1C">
          <w:rPr>
            <w:webHidden/>
          </w:rPr>
          <w:fldChar w:fldCharType="separate"/>
        </w:r>
        <w:r>
          <w:rPr>
            <w:webHidden/>
          </w:rPr>
          <w:t>2</w:t>
        </w:r>
        <w:r w:rsidR="00485F1C">
          <w:rPr>
            <w:webHidden/>
          </w:rPr>
          <w:fldChar w:fldCharType="end"/>
        </w:r>
      </w:hyperlink>
    </w:p>
    <w:p w:rsidR="00485F1C" w:rsidRDefault="003323E9">
      <w:pPr>
        <w:pStyle w:val="TOC2"/>
        <w:rPr>
          <w:rFonts w:asciiTheme="minorHAnsi" w:eastAsiaTheme="minorEastAsia" w:hAnsiTheme="minorHAnsi" w:cstheme="minorBidi"/>
          <w:sz w:val="22"/>
          <w:szCs w:val="22"/>
        </w:rPr>
      </w:pPr>
      <w:hyperlink w:anchor="_Toc496172954" w:history="1">
        <w:r w:rsidR="00485F1C" w:rsidRPr="004B62FF">
          <w:rPr>
            <w:rStyle w:val="Hyperlink"/>
          </w:rPr>
          <w:t>Versiones</w:t>
        </w:r>
        <w:r w:rsidR="00485F1C">
          <w:rPr>
            <w:webHidden/>
          </w:rPr>
          <w:tab/>
        </w:r>
        <w:r w:rsidR="00485F1C">
          <w:rPr>
            <w:webHidden/>
          </w:rPr>
          <w:fldChar w:fldCharType="begin"/>
        </w:r>
        <w:r w:rsidR="00485F1C">
          <w:rPr>
            <w:webHidden/>
          </w:rPr>
          <w:instrText xml:space="preserve"> PAGEREF _Toc496172954 \h </w:instrText>
        </w:r>
        <w:r w:rsidR="00485F1C">
          <w:rPr>
            <w:webHidden/>
          </w:rPr>
        </w:r>
        <w:r w:rsidR="00485F1C">
          <w:rPr>
            <w:webHidden/>
          </w:rPr>
          <w:fldChar w:fldCharType="separate"/>
        </w:r>
        <w:r>
          <w:rPr>
            <w:webHidden/>
          </w:rPr>
          <w:t>2</w:t>
        </w:r>
        <w:r w:rsidR="00485F1C">
          <w:rPr>
            <w:webHidden/>
          </w:rPr>
          <w:fldChar w:fldCharType="end"/>
        </w:r>
      </w:hyperlink>
    </w:p>
    <w:p w:rsidR="00485F1C" w:rsidRDefault="003323E9">
      <w:pPr>
        <w:pStyle w:val="TOC3"/>
        <w:rPr>
          <w:rFonts w:asciiTheme="minorHAnsi" w:eastAsiaTheme="minorEastAsia" w:hAnsiTheme="minorHAnsi" w:cstheme="minorBidi"/>
          <w:i w:val="0"/>
          <w:sz w:val="22"/>
          <w:szCs w:val="22"/>
        </w:rPr>
      </w:pPr>
      <w:hyperlink w:anchor="_Toc496172955" w:history="1">
        <w:r w:rsidR="00485F1C" w:rsidRPr="004B62FF">
          <w:rPr>
            <w:rStyle w:val="Hyperlink"/>
          </w:rPr>
          <w:t>Versión 1.1</w:t>
        </w:r>
        <w:r w:rsidR="00485F1C">
          <w:rPr>
            <w:webHidden/>
          </w:rPr>
          <w:tab/>
        </w:r>
        <w:r w:rsidR="00485F1C">
          <w:rPr>
            <w:webHidden/>
          </w:rPr>
          <w:fldChar w:fldCharType="begin"/>
        </w:r>
        <w:r w:rsidR="00485F1C">
          <w:rPr>
            <w:webHidden/>
          </w:rPr>
          <w:instrText xml:space="preserve"> PAGEREF _Toc496172955 \h </w:instrText>
        </w:r>
        <w:r w:rsidR="00485F1C">
          <w:rPr>
            <w:webHidden/>
          </w:rPr>
        </w:r>
        <w:r w:rsidR="00485F1C">
          <w:rPr>
            <w:webHidden/>
          </w:rPr>
          <w:fldChar w:fldCharType="separate"/>
        </w:r>
        <w:r>
          <w:rPr>
            <w:webHidden/>
          </w:rPr>
          <w:t>2</w:t>
        </w:r>
        <w:r w:rsidR="00485F1C">
          <w:rPr>
            <w:webHidden/>
          </w:rPr>
          <w:fldChar w:fldCharType="end"/>
        </w:r>
      </w:hyperlink>
    </w:p>
    <w:p w:rsidR="00485F1C" w:rsidRDefault="003323E9">
      <w:pPr>
        <w:pStyle w:val="TOC3"/>
        <w:rPr>
          <w:rFonts w:asciiTheme="minorHAnsi" w:eastAsiaTheme="minorEastAsia" w:hAnsiTheme="minorHAnsi" w:cstheme="minorBidi"/>
          <w:i w:val="0"/>
          <w:sz w:val="22"/>
          <w:szCs w:val="22"/>
        </w:rPr>
      </w:pPr>
      <w:hyperlink w:anchor="_Toc496172956" w:history="1">
        <w:r w:rsidR="00485F1C" w:rsidRPr="004B62FF">
          <w:rPr>
            <w:rStyle w:val="Hyperlink"/>
          </w:rPr>
          <w:t>Versión 2.0</w:t>
        </w:r>
        <w:r w:rsidR="00485F1C">
          <w:rPr>
            <w:webHidden/>
          </w:rPr>
          <w:tab/>
        </w:r>
        <w:r w:rsidR="00485F1C">
          <w:rPr>
            <w:webHidden/>
          </w:rPr>
          <w:fldChar w:fldCharType="begin"/>
        </w:r>
        <w:r w:rsidR="00485F1C">
          <w:rPr>
            <w:webHidden/>
          </w:rPr>
          <w:instrText xml:space="preserve"> PAGEREF _Toc496172956 \h </w:instrText>
        </w:r>
        <w:r w:rsidR="00485F1C">
          <w:rPr>
            <w:webHidden/>
          </w:rPr>
        </w:r>
        <w:r w:rsidR="00485F1C">
          <w:rPr>
            <w:webHidden/>
          </w:rPr>
          <w:fldChar w:fldCharType="separate"/>
        </w:r>
        <w:r>
          <w:rPr>
            <w:webHidden/>
          </w:rPr>
          <w:t>3</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7" w:history="1">
        <w:r w:rsidR="00485F1C" w:rsidRPr="004B62FF">
          <w:rPr>
            <w:rStyle w:val="Hyperlink"/>
          </w:rPr>
          <w:t>Nombre</w:t>
        </w:r>
        <w:r w:rsidR="00485F1C">
          <w:rPr>
            <w:webHidden/>
          </w:rPr>
          <w:tab/>
        </w:r>
        <w:r w:rsidR="00485F1C">
          <w:rPr>
            <w:webHidden/>
          </w:rPr>
          <w:fldChar w:fldCharType="begin"/>
        </w:r>
        <w:r w:rsidR="00485F1C">
          <w:rPr>
            <w:webHidden/>
          </w:rPr>
          <w:instrText xml:space="preserve"> PAGEREF _Toc496172957 \h </w:instrText>
        </w:r>
        <w:r w:rsidR="00485F1C">
          <w:rPr>
            <w:webHidden/>
          </w:rPr>
        </w:r>
        <w:r w:rsidR="00485F1C">
          <w:rPr>
            <w:webHidden/>
          </w:rPr>
          <w:fldChar w:fldCharType="separate"/>
        </w:r>
        <w:r>
          <w:rPr>
            <w:webHidden/>
          </w:rPr>
          <w:t>5</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8" w:history="1">
        <w:r w:rsidR="00485F1C" w:rsidRPr="004B62FF">
          <w:rPr>
            <w:rStyle w:val="Hyperlink"/>
          </w:rPr>
          <w:t>Comunicación</w:t>
        </w:r>
        <w:r w:rsidR="00485F1C">
          <w:rPr>
            <w:webHidden/>
          </w:rPr>
          <w:tab/>
        </w:r>
        <w:r w:rsidR="00485F1C">
          <w:rPr>
            <w:webHidden/>
          </w:rPr>
          <w:fldChar w:fldCharType="begin"/>
        </w:r>
        <w:r w:rsidR="00485F1C">
          <w:rPr>
            <w:webHidden/>
          </w:rPr>
          <w:instrText xml:space="preserve"> PAGEREF _Toc496172958 \h </w:instrText>
        </w:r>
        <w:r w:rsidR="00485F1C">
          <w:rPr>
            <w:webHidden/>
          </w:rPr>
        </w:r>
        <w:r w:rsidR="00485F1C">
          <w:rPr>
            <w:webHidden/>
          </w:rPr>
          <w:fldChar w:fldCharType="separate"/>
        </w:r>
        <w:r>
          <w:rPr>
            <w:webHidden/>
          </w:rPr>
          <w:t>5</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59" w:history="1">
        <w:r w:rsidR="00485F1C" w:rsidRPr="004B62FF">
          <w:rPr>
            <w:rStyle w:val="Hyperlink"/>
          </w:rPr>
          <w:t>PROPUESTAS DE FUTURAS MODIFICACIONES</w:t>
        </w:r>
        <w:r w:rsidR="00485F1C">
          <w:rPr>
            <w:webHidden/>
          </w:rPr>
          <w:tab/>
        </w:r>
        <w:r w:rsidR="00485F1C">
          <w:rPr>
            <w:webHidden/>
          </w:rPr>
          <w:fldChar w:fldCharType="begin"/>
        </w:r>
        <w:r w:rsidR="00485F1C">
          <w:rPr>
            <w:webHidden/>
          </w:rPr>
          <w:instrText xml:space="preserve"> PAGEREF _Toc496172959 \h </w:instrText>
        </w:r>
        <w:r w:rsidR="00485F1C">
          <w:rPr>
            <w:webHidden/>
          </w:rPr>
        </w:r>
        <w:r w:rsidR="00485F1C">
          <w:rPr>
            <w:webHidden/>
          </w:rPr>
          <w:fldChar w:fldCharType="separate"/>
        </w:r>
        <w:r>
          <w:rPr>
            <w:webHidden/>
          </w:rPr>
          <w:t>6</w:t>
        </w:r>
        <w:r w:rsidR="00485F1C">
          <w:rPr>
            <w:webHidden/>
          </w:rPr>
          <w:fldChar w:fldCharType="end"/>
        </w:r>
      </w:hyperlink>
    </w:p>
    <w:p w:rsidR="00485F1C" w:rsidRDefault="003323E9">
      <w:pPr>
        <w:pStyle w:val="TOC2"/>
        <w:rPr>
          <w:rFonts w:asciiTheme="minorHAnsi" w:eastAsiaTheme="minorEastAsia" w:hAnsiTheme="minorHAnsi" w:cstheme="minorBidi"/>
          <w:sz w:val="22"/>
          <w:szCs w:val="22"/>
        </w:rPr>
      </w:pPr>
      <w:hyperlink w:anchor="_Toc496172960" w:history="1">
        <w:r w:rsidR="00485F1C" w:rsidRPr="004B62FF">
          <w:rPr>
            <w:rStyle w:val="Hyperlink"/>
          </w:rPr>
          <w:t>Funciones</w:t>
        </w:r>
        <w:r w:rsidR="00485F1C">
          <w:rPr>
            <w:webHidden/>
          </w:rPr>
          <w:tab/>
        </w:r>
        <w:r w:rsidR="00485F1C">
          <w:rPr>
            <w:webHidden/>
          </w:rPr>
          <w:fldChar w:fldCharType="begin"/>
        </w:r>
        <w:r w:rsidR="00485F1C">
          <w:rPr>
            <w:webHidden/>
          </w:rPr>
          <w:instrText xml:space="preserve"> PAGEREF _Toc496172960 \h </w:instrText>
        </w:r>
        <w:r w:rsidR="00485F1C">
          <w:rPr>
            <w:webHidden/>
          </w:rPr>
        </w:r>
        <w:r w:rsidR="00485F1C">
          <w:rPr>
            <w:webHidden/>
          </w:rPr>
          <w:fldChar w:fldCharType="separate"/>
        </w:r>
        <w:r>
          <w:rPr>
            <w:webHidden/>
          </w:rPr>
          <w:t>6</w:t>
        </w:r>
        <w:r w:rsidR="00485F1C">
          <w:rPr>
            <w:webHidden/>
          </w:rPr>
          <w:fldChar w:fldCharType="end"/>
        </w:r>
      </w:hyperlink>
    </w:p>
    <w:p w:rsidR="00485F1C" w:rsidRDefault="003323E9">
      <w:pPr>
        <w:pStyle w:val="TOC3"/>
        <w:rPr>
          <w:rFonts w:asciiTheme="minorHAnsi" w:eastAsiaTheme="minorEastAsia" w:hAnsiTheme="minorHAnsi" w:cstheme="minorBidi"/>
          <w:i w:val="0"/>
          <w:sz w:val="22"/>
          <w:szCs w:val="22"/>
        </w:rPr>
      </w:pPr>
      <w:hyperlink w:anchor="_Toc496172961" w:history="1">
        <w:r w:rsidR="00485F1C" w:rsidRPr="004B62FF">
          <w:rPr>
            <w:rStyle w:val="Hyperlink"/>
          </w:rPr>
          <w:t>Pago</w:t>
        </w:r>
        <w:r w:rsidR="00485F1C">
          <w:rPr>
            <w:webHidden/>
          </w:rPr>
          <w:tab/>
        </w:r>
        <w:r w:rsidR="00485F1C">
          <w:rPr>
            <w:webHidden/>
          </w:rPr>
          <w:fldChar w:fldCharType="begin"/>
        </w:r>
        <w:r w:rsidR="00485F1C">
          <w:rPr>
            <w:webHidden/>
          </w:rPr>
          <w:instrText xml:space="preserve"> PAGEREF _Toc496172961 \h </w:instrText>
        </w:r>
        <w:r w:rsidR="00485F1C">
          <w:rPr>
            <w:webHidden/>
          </w:rPr>
        </w:r>
        <w:r w:rsidR="00485F1C">
          <w:rPr>
            <w:webHidden/>
          </w:rPr>
          <w:fldChar w:fldCharType="separate"/>
        </w:r>
        <w:r>
          <w:rPr>
            <w:webHidden/>
          </w:rPr>
          <w:t>6</w:t>
        </w:r>
        <w:r w:rsidR="00485F1C">
          <w:rPr>
            <w:webHidden/>
          </w:rPr>
          <w:fldChar w:fldCharType="end"/>
        </w:r>
      </w:hyperlink>
    </w:p>
    <w:p w:rsidR="00485F1C" w:rsidRDefault="003323E9">
      <w:pPr>
        <w:pStyle w:val="TOC3"/>
        <w:rPr>
          <w:rFonts w:asciiTheme="minorHAnsi" w:eastAsiaTheme="minorEastAsia" w:hAnsiTheme="minorHAnsi" w:cstheme="minorBidi"/>
          <w:i w:val="0"/>
          <w:sz w:val="22"/>
          <w:szCs w:val="22"/>
        </w:rPr>
      </w:pPr>
      <w:hyperlink w:anchor="_Toc496172962" w:history="1">
        <w:r w:rsidR="00485F1C" w:rsidRPr="004B62FF">
          <w:rPr>
            <w:rStyle w:val="Hyperlink"/>
          </w:rPr>
          <w:t>Método de obtención</w:t>
        </w:r>
        <w:r w:rsidR="00485F1C">
          <w:rPr>
            <w:webHidden/>
          </w:rPr>
          <w:tab/>
        </w:r>
        <w:r w:rsidR="00485F1C">
          <w:rPr>
            <w:webHidden/>
          </w:rPr>
          <w:fldChar w:fldCharType="begin"/>
        </w:r>
        <w:r w:rsidR="00485F1C">
          <w:rPr>
            <w:webHidden/>
          </w:rPr>
          <w:instrText xml:space="preserve"> PAGEREF _Toc496172962 \h </w:instrText>
        </w:r>
        <w:r w:rsidR="00485F1C">
          <w:rPr>
            <w:webHidden/>
          </w:rPr>
        </w:r>
        <w:r w:rsidR="00485F1C">
          <w:rPr>
            <w:webHidden/>
          </w:rPr>
          <w:fldChar w:fldCharType="separate"/>
        </w:r>
        <w:r>
          <w:rPr>
            <w:webHidden/>
          </w:rPr>
          <w:t>6</w:t>
        </w:r>
        <w:r w:rsidR="00485F1C">
          <w:rPr>
            <w:webHidden/>
          </w:rPr>
          <w:fldChar w:fldCharType="end"/>
        </w:r>
      </w:hyperlink>
    </w:p>
    <w:p w:rsidR="00485F1C" w:rsidRDefault="003323E9">
      <w:pPr>
        <w:pStyle w:val="TOC1"/>
        <w:rPr>
          <w:rFonts w:asciiTheme="minorHAnsi" w:eastAsiaTheme="minorEastAsia" w:hAnsiTheme="minorHAnsi" w:cstheme="minorBidi"/>
          <w:bCs w:val="0"/>
          <w:caps w:val="0"/>
          <w:sz w:val="22"/>
          <w:szCs w:val="22"/>
        </w:rPr>
      </w:pPr>
      <w:hyperlink w:anchor="_Toc496172963" w:history="1">
        <w:r w:rsidR="00485F1C" w:rsidRPr="004B62FF">
          <w:rPr>
            <w:rStyle w:val="Hyperlink"/>
          </w:rPr>
          <w:t>FINANCIACIÓN DEL EAF</w:t>
        </w:r>
        <w:r w:rsidR="00485F1C">
          <w:rPr>
            <w:webHidden/>
          </w:rPr>
          <w:tab/>
        </w:r>
        <w:r w:rsidR="00485F1C">
          <w:rPr>
            <w:webHidden/>
          </w:rPr>
          <w:fldChar w:fldCharType="begin"/>
        </w:r>
        <w:r w:rsidR="00485F1C">
          <w:rPr>
            <w:webHidden/>
          </w:rPr>
          <w:instrText xml:space="preserve"> PAGEREF _Toc496172963 \h </w:instrText>
        </w:r>
        <w:r w:rsidR="00485F1C">
          <w:rPr>
            <w:webHidden/>
          </w:rPr>
        </w:r>
        <w:r w:rsidR="00485F1C">
          <w:rPr>
            <w:webHidden/>
          </w:rPr>
          <w:fldChar w:fldCharType="separate"/>
        </w:r>
        <w:r>
          <w:rPr>
            <w:webHidden/>
          </w:rPr>
          <w:t>7</w:t>
        </w:r>
        <w:r w:rsidR="00485F1C">
          <w:rPr>
            <w:webHidden/>
          </w:rPr>
          <w:fldChar w:fldCharType="end"/>
        </w:r>
      </w:hyperlink>
    </w:p>
    <w:p w:rsidR="00485F1C" w:rsidRDefault="00EA0F8E" w:rsidP="008F4D75">
      <w:pPr>
        <w:pStyle w:val="TOC1"/>
        <w:rPr>
          <w:b/>
          <w:szCs w:val="18"/>
        </w:rPr>
      </w:pPr>
      <w:r w:rsidRPr="00062B38">
        <w:rPr>
          <w:b/>
          <w:szCs w:val="18"/>
        </w:rPr>
        <w:fldChar w:fldCharType="end"/>
      </w:r>
      <w:bookmarkStart w:id="7" w:name="_Toc495079752"/>
    </w:p>
    <w:p w:rsidR="00485F1C" w:rsidRDefault="00485F1C" w:rsidP="008F4D75">
      <w:pPr>
        <w:pStyle w:val="TOC1"/>
        <w:rPr>
          <w:b/>
          <w:szCs w:val="18"/>
        </w:rPr>
      </w:pPr>
    </w:p>
    <w:p w:rsidR="00EA0F8E" w:rsidRPr="00062B38" w:rsidRDefault="00EA0F8E" w:rsidP="00485F1C">
      <w:pPr>
        <w:pStyle w:val="Heading1"/>
      </w:pPr>
      <w:bookmarkStart w:id="8" w:name="_Toc496172951"/>
      <w:r w:rsidRPr="00062B38">
        <w:lastRenderedPageBreak/>
        <w:t>ANTECEDENTES</w:t>
      </w:r>
      <w:bookmarkEnd w:id="7"/>
      <w:bookmarkEnd w:id="8"/>
    </w:p>
    <w:p w:rsidR="00EA0F8E" w:rsidRPr="006E527E" w:rsidRDefault="00EA0F8E" w:rsidP="00EA0F8E">
      <w:pPr>
        <w:pStyle w:val="Heading1"/>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 xml:space="preserve">Los antecedentes de la elaboración del EAF se facilitan en el documento UPOV/EAF/9/2 Corr.2 “Novedades relativas al formulario electrónico de solicitud”. </w:t>
      </w:r>
    </w:p>
    <w:p w:rsidR="00EA0F8E" w:rsidRPr="00062B38" w:rsidRDefault="00EA0F8E" w:rsidP="006E527E">
      <w:pPr>
        <w:spacing w:line="360" w:lineRule="auto"/>
      </w:pPr>
    </w:p>
    <w:p w:rsidR="00EA0F8E" w:rsidRPr="00062B38" w:rsidRDefault="00EA0F8E" w:rsidP="00EA0F8E"/>
    <w:p w:rsidR="00EA0F8E" w:rsidRPr="00062B38" w:rsidRDefault="00EA0F8E" w:rsidP="00EA0F8E">
      <w:pPr>
        <w:pStyle w:val="Heading1"/>
      </w:pPr>
      <w:bookmarkStart w:id="9" w:name="_Toc496172952"/>
      <w:bookmarkStart w:id="10" w:name="_Toc477541712"/>
      <w:bookmarkStart w:id="11" w:name="_Toc495079753"/>
      <w:r w:rsidRPr="00062B38">
        <w:t>NOVEDADES QUE SE HAN PRODUCIDO EN LA NOVENA REUNIÓN SOBRE LA ELABORACIÓN DE UN PROTOTIPO DE FORMULARIO ELECTRÓNICO</w:t>
      </w:r>
      <w:bookmarkEnd w:id="9"/>
    </w:p>
    <w:p w:rsidR="00EA0F8E" w:rsidRPr="006E527E" w:rsidRDefault="00EA0F8E" w:rsidP="00EA0F8E">
      <w:pPr>
        <w:rPr>
          <w:sz w:val="18"/>
        </w:rPr>
      </w:pPr>
    </w:p>
    <w:bookmarkEnd w:id="10"/>
    <w:bookmarkEnd w:id="11"/>
    <w:p w:rsidR="00EA0F8E" w:rsidRPr="00EA0F8E" w:rsidRDefault="00EA0F8E" w:rsidP="00EA0F8E">
      <w:pPr>
        <w:rPr>
          <w:spacing w:val="-2"/>
        </w:rPr>
      </w:pPr>
      <w:r w:rsidRPr="00EA0F8E">
        <w:rPr>
          <w:spacing w:val="-2"/>
        </w:rPr>
        <w:fldChar w:fldCharType="begin"/>
      </w:r>
      <w:r w:rsidRPr="00EA0F8E">
        <w:rPr>
          <w:spacing w:val="-2"/>
        </w:rPr>
        <w:instrText xml:space="preserve"> AUTONUM  </w:instrText>
      </w:r>
      <w:r w:rsidRPr="00EA0F8E">
        <w:rPr>
          <w:spacing w:val="-2"/>
        </w:rPr>
        <w:fldChar w:fldCharType="end"/>
      </w:r>
      <w:r w:rsidRPr="00EA0F8E">
        <w:rPr>
          <w:spacing w:val="-2"/>
        </w:rPr>
        <w:tab/>
        <w:t>En la novena reunión sobre la elaboración de un prototipo de formulario electrónico (reunión EAF/9) celebrada en Ginebra el 7 de abril de 2017, los miembros participantes examinaron el documento </w:t>
      </w:r>
      <w:hyperlink r:id="rId10">
        <w:r w:rsidRPr="00EA0F8E">
          <w:rPr>
            <w:rStyle w:val="Hyperlink"/>
            <w:spacing w:val="-2"/>
          </w:rPr>
          <w:t>UPOV/EAF/9/2 Corr.2</w:t>
        </w:r>
      </w:hyperlink>
      <w:r w:rsidRPr="00EA0F8E">
        <w:rPr>
          <w:spacing w:val="-2"/>
        </w:rPr>
        <w:t xml:space="preserve"> “Novedades relativas al formulario electrónico de solicitud” y asistieron a una ponencia de la Oficina de la Unión (véanse los párrafos 4 a 30 del documento UPOV/EAF/9/3 “Informe”).</w:t>
      </w:r>
    </w:p>
    <w:p w:rsidR="00EA0F8E" w:rsidRPr="00062B38" w:rsidRDefault="00EA0F8E" w:rsidP="00EA0F8E"/>
    <w:p w:rsidR="00EA0F8E" w:rsidRPr="00062B38" w:rsidRDefault="00EA0F8E" w:rsidP="006E527E">
      <w:pPr>
        <w:spacing w:line="360" w:lineRule="auto"/>
      </w:pPr>
    </w:p>
    <w:p w:rsidR="00EA0F8E" w:rsidRPr="00062B38" w:rsidRDefault="00EA0F8E" w:rsidP="00EA0F8E">
      <w:pPr>
        <w:pStyle w:val="Heading1"/>
      </w:pPr>
      <w:bookmarkStart w:id="12" w:name="_Toc495079754"/>
      <w:bookmarkStart w:id="13" w:name="_Toc496172953"/>
      <w:r w:rsidRPr="00062B38">
        <w:t>NOVEDADES QUE SE HAN PRODUCIDO DESDE LA REUNIÓN EAF/9</w:t>
      </w:r>
      <w:bookmarkEnd w:id="12"/>
      <w:bookmarkEnd w:id="13"/>
      <w:r w:rsidRPr="00062B38">
        <w:t xml:space="preserve"> </w:t>
      </w:r>
    </w:p>
    <w:p w:rsidR="00EA0F8E" w:rsidRPr="00062B38" w:rsidRDefault="00EA0F8E" w:rsidP="00EA0F8E"/>
    <w:p w:rsidR="00EA0F8E" w:rsidRPr="00062B38" w:rsidRDefault="00EA0F8E" w:rsidP="00EA0F8E">
      <w:pPr>
        <w:pStyle w:val="Heading2"/>
      </w:pPr>
      <w:bookmarkStart w:id="14" w:name="_Toc495079755"/>
      <w:bookmarkStart w:id="15" w:name="_Toc496172954"/>
      <w:bookmarkStart w:id="16" w:name="_Toc485110112"/>
      <w:bookmarkStart w:id="17" w:name="_Toc493077452"/>
      <w:r w:rsidRPr="00062B38">
        <w:t>Versiones</w:t>
      </w:r>
      <w:bookmarkEnd w:id="14"/>
      <w:bookmarkEnd w:id="15"/>
      <w:r w:rsidRPr="00062B38">
        <w:t xml:space="preserve"> </w:t>
      </w:r>
      <w:bookmarkEnd w:id="16"/>
      <w:bookmarkEnd w:id="17"/>
    </w:p>
    <w:p w:rsidR="00EA0F8E" w:rsidRPr="006E527E" w:rsidRDefault="00EA0F8E" w:rsidP="00EA0F8E">
      <w:pPr>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La versión actual del EAF es la versión 1.1, que se puso en funcionamiento en julio de 2017.  Se prevé que la versión 2.0 se ponga en funcionamiento a principios de 2018.</w:t>
      </w:r>
    </w:p>
    <w:p w:rsidR="00EA0F8E" w:rsidRPr="00062B38" w:rsidRDefault="00EA0F8E" w:rsidP="00EA0F8E">
      <w:pPr>
        <w:spacing w:line="360" w:lineRule="auto"/>
      </w:pPr>
    </w:p>
    <w:p w:rsidR="00EA0F8E" w:rsidRPr="00062B38" w:rsidRDefault="00EA0F8E" w:rsidP="00EA0F8E">
      <w:pPr>
        <w:pStyle w:val="Heading3"/>
      </w:pPr>
      <w:bookmarkStart w:id="18" w:name="_Toc485110113"/>
      <w:bookmarkStart w:id="19" w:name="_Toc495079756"/>
      <w:bookmarkStart w:id="20" w:name="_Toc496172955"/>
      <w:r w:rsidRPr="00062B38">
        <w:t>Versión 1.1</w:t>
      </w:r>
      <w:bookmarkEnd w:id="18"/>
      <w:bookmarkEnd w:id="19"/>
      <w:bookmarkEnd w:id="20"/>
    </w:p>
    <w:p w:rsidR="00EA0F8E" w:rsidRPr="006E527E" w:rsidRDefault="00EA0F8E" w:rsidP="00EA0F8E">
      <w:pPr>
        <w:pStyle w:val="Heading4"/>
        <w:rPr>
          <w:sz w:val="18"/>
        </w:rPr>
      </w:pPr>
    </w:p>
    <w:p w:rsidR="00EA0F8E" w:rsidRPr="00062B38" w:rsidRDefault="00EA0F8E" w:rsidP="00EA0F8E">
      <w:pPr>
        <w:pStyle w:val="Heading4"/>
      </w:pPr>
      <w:r w:rsidRPr="00062B38">
        <w:t>Miembros de la UPOV participantes y cultivos o especies admitidos</w:t>
      </w:r>
    </w:p>
    <w:p w:rsidR="00EA0F8E" w:rsidRPr="00062B38" w:rsidRDefault="00EA0F8E" w:rsidP="00EA0F8E">
      <w:pPr>
        <w:keepNext/>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 xml:space="preserve">En la tabla siguiente se indican las oficinas de protección de las obtenciones vegetales que participan en la versión 1.1 del EAF y los cultivos que admite: </w:t>
      </w:r>
    </w:p>
    <w:p w:rsidR="00EA0F8E" w:rsidRPr="00062B38" w:rsidRDefault="00EA0F8E" w:rsidP="00EA0F8E"/>
    <w:tbl>
      <w:tblPr>
        <w:tblStyle w:val="TableGrid10"/>
        <w:tblW w:w="9202" w:type="dxa"/>
        <w:jc w:val="center"/>
        <w:tblInd w:w="131" w:type="dxa"/>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342"/>
        <w:gridCol w:w="1068"/>
        <w:gridCol w:w="1134"/>
        <w:gridCol w:w="839"/>
      </w:tblGrid>
      <w:tr w:rsidR="00EA0F8E" w:rsidRPr="00062B38" w:rsidTr="00EA0F8E">
        <w:trPr>
          <w:cantSplit/>
          <w:trHeight w:val="411"/>
          <w:jc w:val="center"/>
        </w:trPr>
        <w:tc>
          <w:tcPr>
            <w:tcW w:w="2410" w:type="dxa"/>
            <w:vAlign w:val="center"/>
          </w:tcPr>
          <w:p w:rsidR="00EA0F8E" w:rsidRPr="00062B38" w:rsidRDefault="00EA0F8E" w:rsidP="00EA0F8E">
            <w:pPr>
              <w:jc w:val="center"/>
              <w:rPr>
                <w:bCs/>
                <w:spacing w:val="-2"/>
                <w:sz w:val="16"/>
                <w:szCs w:val="16"/>
              </w:rPr>
            </w:pPr>
            <w:r w:rsidRPr="00062B38">
              <w:rPr>
                <w:spacing w:val="-2"/>
                <w:sz w:val="16"/>
              </w:rPr>
              <w:t>Autoridad</w:t>
            </w:r>
          </w:p>
        </w:tc>
        <w:tc>
          <w:tcPr>
            <w:tcW w:w="1239" w:type="dxa"/>
            <w:noWrap/>
            <w:vAlign w:val="center"/>
          </w:tcPr>
          <w:p w:rsidR="00EA0F8E" w:rsidRPr="00062B38" w:rsidRDefault="00EA0F8E" w:rsidP="00EA0F8E">
            <w:pPr>
              <w:jc w:val="center"/>
              <w:rPr>
                <w:bCs/>
                <w:spacing w:val="-2"/>
                <w:sz w:val="16"/>
                <w:szCs w:val="16"/>
              </w:rPr>
            </w:pPr>
            <w:r w:rsidRPr="00062B38">
              <w:rPr>
                <w:spacing w:val="-2"/>
                <w:sz w:val="16"/>
              </w:rPr>
              <w:t>Soja</w:t>
            </w:r>
          </w:p>
        </w:tc>
        <w:tc>
          <w:tcPr>
            <w:tcW w:w="1170" w:type="dxa"/>
            <w:noWrap/>
            <w:vAlign w:val="center"/>
          </w:tcPr>
          <w:p w:rsidR="00EA0F8E" w:rsidRPr="00062B38" w:rsidRDefault="00EA0F8E" w:rsidP="00EA0F8E">
            <w:pPr>
              <w:jc w:val="center"/>
              <w:rPr>
                <w:bCs/>
                <w:spacing w:val="-2"/>
                <w:sz w:val="16"/>
                <w:szCs w:val="16"/>
              </w:rPr>
            </w:pPr>
            <w:r w:rsidRPr="00062B38">
              <w:rPr>
                <w:spacing w:val="-2"/>
                <w:sz w:val="16"/>
              </w:rPr>
              <w:t>Lechuga</w:t>
            </w:r>
          </w:p>
        </w:tc>
        <w:tc>
          <w:tcPr>
            <w:tcW w:w="1342" w:type="dxa"/>
            <w:noWrap/>
            <w:vAlign w:val="center"/>
          </w:tcPr>
          <w:p w:rsidR="00EA0F8E" w:rsidRPr="00062B38" w:rsidRDefault="00EA0F8E" w:rsidP="00EA0F8E">
            <w:pPr>
              <w:jc w:val="center"/>
              <w:rPr>
                <w:bCs/>
                <w:spacing w:val="-2"/>
                <w:sz w:val="16"/>
                <w:szCs w:val="16"/>
              </w:rPr>
            </w:pPr>
            <w:r w:rsidRPr="00062B38">
              <w:rPr>
                <w:spacing w:val="-2"/>
                <w:sz w:val="16"/>
              </w:rPr>
              <w:t>Variedades frutales de manzano</w:t>
            </w:r>
          </w:p>
        </w:tc>
        <w:tc>
          <w:tcPr>
            <w:tcW w:w="1068" w:type="dxa"/>
            <w:noWrap/>
            <w:vAlign w:val="center"/>
          </w:tcPr>
          <w:p w:rsidR="00EA0F8E" w:rsidRPr="00062B38" w:rsidRDefault="00EA0F8E" w:rsidP="00EA0F8E">
            <w:pPr>
              <w:jc w:val="center"/>
              <w:rPr>
                <w:bCs/>
                <w:spacing w:val="-2"/>
                <w:sz w:val="16"/>
                <w:szCs w:val="16"/>
              </w:rPr>
            </w:pPr>
            <w:r w:rsidRPr="00062B38">
              <w:rPr>
                <w:spacing w:val="-2"/>
                <w:sz w:val="16"/>
              </w:rPr>
              <w:t>Rosal</w:t>
            </w:r>
          </w:p>
        </w:tc>
        <w:tc>
          <w:tcPr>
            <w:tcW w:w="1134" w:type="dxa"/>
            <w:noWrap/>
            <w:vAlign w:val="center"/>
          </w:tcPr>
          <w:p w:rsidR="00EA0F8E" w:rsidRPr="00062B38" w:rsidRDefault="00EA0F8E" w:rsidP="00EA0F8E">
            <w:pPr>
              <w:jc w:val="center"/>
              <w:rPr>
                <w:bCs/>
                <w:spacing w:val="-2"/>
                <w:sz w:val="16"/>
                <w:szCs w:val="16"/>
              </w:rPr>
            </w:pPr>
            <w:r w:rsidRPr="00062B38">
              <w:rPr>
                <w:spacing w:val="-2"/>
                <w:sz w:val="16"/>
              </w:rPr>
              <w:t>Papa/patata</w:t>
            </w:r>
          </w:p>
        </w:tc>
        <w:tc>
          <w:tcPr>
            <w:tcW w:w="839" w:type="dxa"/>
            <w:noWrap/>
            <w:vAlign w:val="center"/>
            <w:hideMark/>
          </w:tcPr>
          <w:p w:rsidR="00EA0F8E" w:rsidRPr="00062B38" w:rsidRDefault="00EA0F8E" w:rsidP="00EA0F8E">
            <w:pPr>
              <w:jc w:val="center"/>
              <w:rPr>
                <w:bCs/>
                <w:spacing w:val="-2"/>
                <w:sz w:val="16"/>
                <w:szCs w:val="16"/>
              </w:rPr>
            </w:pPr>
            <w:r w:rsidRPr="00062B38">
              <w:rPr>
                <w:spacing w:val="-2"/>
                <w:sz w:val="16"/>
              </w:rPr>
              <w:t>Total</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Argentina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spacing w:val="-2"/>
                <w:sz w:val="16"/>
              </w:rPr>
              <w:t>-</w:t>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4</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Australia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Chile</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keepNext/>
              <w:jc w:val="left"/>
              <w:rPr>
                <w:sz w:val="16"/>
                <w:szCs w:val="16"/>
              </w:rPr>
            </w:pPr>
            <w:r w:rsidRPr="00062B38">
              <w:rPr>
                <w:sz w:val="16"/>
              </w:rPr>
              <w:t>China</w:t>
            </w:r>
          </w:p>
        </w:tc>
        <w:tc>
          <w:tcPr>
            <w:tcW w:w="1239" w:type="dxa"/>
            <w:noWrap/>
          </w:tcPr>
          <w:p w:rsidR="00EA0F8E" w:rsidRPr="00062B38" w:rsidRDefault="00EA0F8E" w:rsidP="00EA0F8E">
            <w:pPr>
              <w:jc w:val="center"/>
              <w:rPr>
                <w:rFonts w:cs="Arial"/>
                <w:sz w:val="16"/>
                <w:szCs w:val="16"/>
              </w:rPr>
            </w:pPr>
            <w:r w:rsidRPr="00062B38">
              <w:rPr>
                <w:spacing w:val="-2"/>
                <w:sz w:val="16"/>
              </w:rPr>
              <w:t>-</w:t>
            </w:r>
          </w:p>
        </w:tc>
        <w:tc>
          <w:tcPr>
            <w:tcW w:w="1170"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342" w:type="dxa"/>
            <w:noWrap/>
            <w:vAlign w:val="center"/>
          </w:tcPr>
          <w:p w:rsidR="00EA0F8E" w:rsidRPr="00062B38" w:rsidRDefault="00EA0F8E" w:rsidP="00EA0F8E">
            <w:pPr>
              <w:keepNext/>
              <w:jc w:val="center"/>
              <w:rPr>
                <w:rFonts w:cs="Arial"/>
                <w:sz w:val="16"/>
                <w:szCs w:val="16"/>
              </w:rPr>
            </w:pPr>
            <w:r w:rsidRPr="00062B38">
              <w:rPr>
                <w:spacing w:val="-2"/>
                <w:sz w:val="16"/>
              </w:rPr>
              <w:t>-</w:t>
            </w:r>
          </w:p>
        </w:tc>
        <w:tc>
          <w:tcPr>
            <w:tcW w:w="1068"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34" w:type="dxa"/>
            <w:noWrap/>
            <w:vAlign w:val="center"/>
          </w:tcPr>
          <w:p w:rsidR="00EA0F8E" w:rsidRPr="00062B38" w:rsidRDefault="00EA0F8E" w:rsidP="00EA0F8E">
            <w:pPr>
              <w:jc w:val="center"/>
              <w:rPr>
                <w:rFonts w:cs="Arial"/>
                <w:caps/>
                <w:sz w:val="16"/>
                <w:szCs w:val="16"/>
              </w:rPr>
            </w:pPr>
            <w:r w:rsidRPr="00062B38">
              <w:rPr>
                <w:spacing w:val="-2"/>
                <w:sz w:val="16"/>
              </w:rPr>
              <w:t>-</w:t>
            </w:r>
          </w:p>
        </w:tc>
        <w:tc>
          <w:tcPr>
            <w:tcW w:w="839" w:type="dxa"/>
            <w:noWrap/>
            <w:vAlign w:val="center"/>
          </w:tcPr>
          <w:p w:rsidR="00EA0F8E" w:rsidRPr="00062B38" w:rsidRDefault="00EA0F8E" w:rsidP="00EA0F8E">
            <w:pPr>
              <w:jc w:val="center"/>
              <w:rPr>
                <w:spacing w:val="-2"/>
                <w:sz w:val="16"/>
                <w:szCs w:val="16"/>
              </w:rPr>
            </w:pPr>
            <w:r w:rsidRPr="00062B38">
              <w:rPr>
                <w:spacing w:val="-2"/>
                <w:sz w:val="16"/>
              </w:rPr>
              <w:t>2</w:t>
            </w:r>
          </w:p>
        </w:tc>
      </w:tr>
      <w:tr w:rsidR="00EA0F8E" w:rsidRPr="00062B38" w:rsidTr="00EA0F8E">
        <w:trPr>
          <w:cantSplit/>
          <w:jc w:val="center"/>
        </w:trPr>
        <w:tc>
          <w:tcPr>
            <w:tcW w:w="2410" w:type="dxa"/>
            <w:vAlign w:val="center"/>
          </w:tcPr>
          <w:p w:rsidR="00EA0F8E" w:rsidRPr="00062B38" w:rsidRDefault="00EA0F8E" w:rsidP="00EA0F8E">
            <w:pPr>
              <w:keepNext/>
              <w:jc w:val="left"/>
              <w:rPr>
                <w:sz w:val="16"/>
                <w:szCs w:val="16"/>
              </w:rPr>
            </w:pPr>
            <w:r w:rsidRPr="00062B38">
              <w:rPr>
                <w:sz w:val="16"/>
              </w:rPr>
              <w:t>Colombia</w:t>
            </w:r>
          </w:p>
        </w:tc>
        <w:tc>
          <w:tcPr>
            <w:tcW w:w="1239" w:type="dxa"/>
            <w:noWrap/>
          </w:tcPr>
          <w:p w:rsidR="00EA0F8E" w:rsidRPr="00062B38" w:rsidRDefault="00EA0F8E" w:rsidP="00EA0F8E">
            <w:pPr>
              <w:jc w:val="center"/>
              <w:rPr>
                <w:rFonts w:cs="Arial"/>
                <w:sz w:val="16"/>
                <w:szCs w:val="16"/>
              </w:rPr>
            </w:pPr>
            <w:r w:rsidRPr="00062B38">
              <w:rPr>
                <w:spacing w:val="-2"/>
                <w:sz w:val="16"/>
              </w:rPr>
              <w:t>-</w:t>
            </w:r>
          </w:p>
        </w:tc>
        <w:tc>
          <w:tcPr>
            <w:tcW w:w="1170" w:type="dxa"/>
            <w:noWrap/>
            <w:vAlign w:val="center"/>
          </w:tcPr>
          <w:p w:rsidR="00EA0F8E" w:rsidRPr="00062B38" w:rsidRDefault="00EA0F8E" w:rsidP="00EA0F8E">
            <w:pPr>
              <w:keepNext/>
              <w:jc w:val="center"/>
              <w:rPr>
                <w:rFonts w:cs="Arial"/>
                <w:sz w:val="16"/>
                <w:szCs w:val="16"/>
              </w:rPr>
            </w:pPr>
            <w:r w:rsidRPr="00062B38">
              <w:rPr>
                <w:spacing w:val="-2"/>
                <w:sz w:val="16"/>
              </w:rPr>
              <w:t>-</w:t>
            </w:r>
          </w:p>
        </w:tc>
        <w:tc>
          <w:tcPr>
            <w:tcW w:w="1342" w:type="dxa"/>
            <w:noWrap/>
            <w:vAlign w:val="center"/>
          </w:tcPr>
          <w:p w:rsidR="00EA0F8E" w:rsidRPr="00062B38" w:rsidRDefault="00EA0F8E" w:rsidP="00EA0F8E">
            <w:pPr>
              <w:keepNext/>
              <w:jc w:val="center"/>
              <w:rPr>
                <w:rFonts w:cs="Arial"/>
                <w:sz w:val="16"/>
                <w:szCs w:val="16"/>
              </w:rPr>
            </w:pPr>
            <w:r w:rsidRPr="00062B38">
              <w:rPr>
                <w:spacing w:val="-2"/>
                <w:sz w:val="16"/>
              </w:rPr>
              <w:t>-</w:t>
            </w:r>
          </w:p>
        </w:tc>
        <w:tc>
          <w:tcPr>
            <w:tcW w:w="1068"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34" w:type="dxa"/>
            <w:noWrap/>
            <w:vAlign w:val="center"/>
          </w:tcPr>
          <w:p w:rsidR="00EA0F8E" w:rsidRPr="00062B38" w:rsidRDefault="00EA0F8E" w:rsidP="00EA0F8E">
            <w:pPr>
              <w:jc w:val="center"/>
              <w:rPr>
                <w:rFonts w:cs="Arial"/>
                <w:caps/>
                <w:sz w:val="16"/>
                <w:szCs w:val="16"/>
              </w:rPr>
            </w:pPr>
            <w:r w:rsidRPr="00062B38">
              <w:rPr>
                <w:spacing w:val="-2"/>
                <w:sz w:val="16"/>
              </w:rPr>
              <w:t>-</w:t>
            </w:r>
          </w:p>
        </w:tc>
        <w:tc>
          <w:tcPr>
            <w:tcW w:w="839" w:type="dxa"/>
            <w:noWrap/>
            <w:vAlign w:val="center"/>
          </w:tcPr>
          <w:p w:rsidR="00EA0F8E" w:rsidRPr="00062B38" w:rsidRDefault="00EA0F8E" w:rsidP="00EA0F8E">
            <w:pPr>
              <w:jc w:val="center"/>
              <w:rPr>
                <w:spacing w:val="-2"/>
                <w:sz w:val="16"/>
                <w:szCs w:val="16"/>
              </w:rPr>
            </w:pPr>
            <w:r w:rsidRPr="00062B38">
              <w:rPr>
                <w:spacing w:val="-2"/>
                <w:sz w:val="16"/>
              </w:rPr>
              <w:t>1</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Estados Unidos de América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spacing w:val="-2"/>
                <w:sz w:val="16"/>
              </w:rPr>
              <w:t>-</w:t>
            </w:r>
          </w:p>
        </w:tc>
        <w:tc>
          <w:tcPr>
            <w:tcW w:w="1068" w:type="dxa"/>
            <w:noWrap/>
            <w:vAlign w:val="center"/>
            <w:hideMark/>
          </w:tcPr>
          <w:p w:rsidR="00EA0F8E" w:rsidRPr="00062B38" w:rsidRDefault="00EA0F8E" w:rsidP="00EA0F8E">
            <w:pPr>
              <w:jc w:val="center"/>
              <w:rPr>
                <w:rFonts w:cs="Arial"/>
                <w:spacing w:val="-2"/>
                <w:sz w:val="16"/>
                <w:szCs w:val="16"/>
              </w:rPr>
            </w:pPr>
            <w:r w:rsidRPr="00062B38">
              <w:rPr>
                <w:spacing w:val="-2"/>
                <w:sz w:val="16"/>
              </w:rPr>
              <w:t>-</w:t>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3</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Francia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Kenya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Noruega</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Nueva Zelandia</w:t>
            </w:r>
          </w:p>
        </w:tc>
        <w:tc>
          <w:tcPr>
            <w:tcW w:w="1239" w:type="dxa"/>
            <w:noWrap/>
            <w:vAlign w:val="center"/>
            <w:hideMark/>
          </w:tcPr>
          <w:p w:rsidR="00EA0F8E" w:rsidRPr="00062B38" w:rsidRDefault="00EA0F8E" w:rsidP="00EA0F8E">
            <w:pPr>
              <w:jc w:val="center"/>
              <w:rPr>
                <w:rFonts w:cs="Arial"/>
                <w:spacing w:val="-2"/>
                <w:sz w:val="16"/>
                <w:szCs w:val="16"/>
              </w:rPr>
            </w:pPr>
            <w:r w:rsidRPr="00062B38">
              <w:rPr>
                <w:spacing w:val="-2"/>
                <w:sz w:val="16"/>
              </w:rPr>
              <w:t>-</w:t>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4</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Países Bajos</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keepNext/>
              <w:jc w:val="left"/>
              <w:rPr>
                <w:sz w:val="16"/>
                <w:szCs w:val="16"/>
              </w:rPr>
            </w:pPr>
            <w:r w:rsidRPr="00062B38">
              <w:rPr>
                <w:sz w:val="16"/>
              </w:rPr>
              <w:t>República de Moldova</w:t>
            </w:r>
          </w:p>
        </w:tc>
        <w:tc>
          <w:tcPr>
            <w:tcW w:w="1239"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70"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342"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068"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34"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839" w:type="dxa"/>
            <w:noWrap/>
            <w:vAlign w:val="center"/>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Suiza</w:t>
            </w:r>
          </w:p>
        </w:tc>
        <w:tc>
          <w:tcPr>
            <w:tcW w:w="1239" w:type="dxa"/>
            <w:noWrap/>
            <w:vAlign w:val="center"/>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jc w:val="left"/>
              <w:rPr>
                <w:spacing w:val="-2"/>
                <w:sz w:val="16"/>
                <w:szCs w:val="16"/>
              </w:rPr>
            </w:pPr>
            <w:r w:rsidRPr="00062B38">
              <w:rPr>
                <w:spacing w:val="-2"/>
                <w:sz w:val="16"/>
              </w:rPr>
              <w:t>Túnez</w:t>
            </w:r>
          </w:p>
        </w:tc>
        <w:tc>
          <w:tcPr>
            <w:tcW w:w="1239"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342"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1134" w:type="dxa"/>
            <w:noWrap/>
            <w:vAlign w:val="center"/>
            <w:hideMark/>
          </w:tcPr>
          <w:p w:rsidR="00EA0F8E" w:rsidRPr="00062B38" w:rsidRDefault="00EA0F8E" w:rsidP="00EA0F8E">
            <w:pPr>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keepNext/>
              <w:jc w:val="left"/>
              <w:rPr>
                <w:sz w:val="16"/>
                <w:szCs w:val="16"/>
              </w:rPr>
            </w:pPr>
            <w:r w:rsidRPr="00062B38">
              <w:rPr>
                <w:sz w:val="16"/>
              </w:rPr>
              <w:t>Turquía</w:t>
            </w:r>
          </w:p>
        </w:tc>
        <w:tc>
          <w:tcPr>
            <w:tcW w:w="1239"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70"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342"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068"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1134" w:type="dxa"/>
            <w:noWrap/>
            <w:vAlign w:val="center"/>
          </w:tcPr>
          <w:p w:rsidR="00EA0F8E" w:rsidRPr="00062B38" w:rsidRDefault="00EA0F8E" w:rsidP="00EA0F8E">
            <w:pPr>
              <w:keepNext/>
              <w:jc w:val="center"/>
              <w:rPr>
                <w:rFonts w:cs="Arial"/>
                <w:spacing w:val="-2"/>
                <w:sz w:val="16"/>
                <w:szCs w:val="16"/>
              </w:rPr>
            </w:pPr>
            <w:r w:rsidRPr="00062B38">
              <w:rPr>
                <w:rFonts w:cs="Arial"/>
                <w:sz w:val="16"/>
                <w:szCs w:val="16"/>
              </w:rPr>
              <w:sym w:font="Wingdings 2" w:char="F050"/>
            </w:r>
          </w:p>
        </w:tc>
        <w:tc>
          <w:tcPr>
            <w:tcW w:w="839" w:type="dxa"/>
            <w:noWrap/>
            <w:vAlign w:val="center"/>
          </w:tcPr>
          <w:p w:rsidR="00EA0F8E" w:rsidRPr="00062B38" w:rsidRDefault="00EA0F8E" w:rsidP="00EA0F8E">
            <w:pPr>
              <w:jc w:val="center"/>
              <w:rPr>
                <w:spacing w:val="-2"/>
                <w:sz w:val="16"/>
                <w:szCs w:val="16"/>
              </w:rPr>
            </w:pPr>
            <w:r w:rsidRPr="00062B38">
              <w:rPr>
                <w:spacing w:val="-2"/>
                <w:sz w:val="16"/>
              </w:rPr>
              <w:t>5</w:t>
            </w:r>
          </w:p>
        </w:tc>
      </w:tr>
      <w:tr w:rsidR="00EA0F8E" w:rsidRPr="00062B38" w:rsidTr="00EA0F8E">
        <w:trPr>
          <w:cantSplit/>
          <w:jc w:val="center"/>
        </w:trPr>
        <w:tc>
          <w:tcPr>
            <w:tcW w:w="2410" w:type="dxa"/>
            <w:vAlign w:val="center"/>
          </w:tcPr>
          <w:p w:rsidR="00EA0F8E" w:rsidRPr="00062B38" w:rsidRDefault="00EA0F8E" w:rsidP="00EA0F8E">
            <w:pPr>
              <w:keepNext/>
              <w:jc w:val="left"/>
              <w:rPr>
                <w:spacing w:val="-2"/>
                <w:sz w:val="16"/>
                <w:szCs w:val="16"/>
              </w:rPr>
            </w:pPr>
            <w:r w:rsidRPr="00062B38">
              <w:rPr>
                <w:spacing w:val="-2"/>
                <w:sz w:val="16"/>
              </w:rPr>
              <w:t>Uruguay</w:t>
            </w:r>
          </w:p>
        </w:tc>
        <w:tc>
          <w:tcPr>
            <w:tcW w:w="1239" w:type="dxa"/>
            <w:noWrap/>
            <w:vAlign w:val="center"/>
            <w:hideMark/>
          </w:tcPr>
          <w:p w:rsidR="00EA0F8E" w:rsidRPr="00062B38" w:rsidRDefault="00EA0F8E" w:rsidP="00EA0F8E">
            <w:pPr>
              <w:keepNext/>
              <w:jc w:val="center"/>
              <w:rPr>
                <w:rFonts w:cs="Arial"/>
                <w:spacing w:val="-2"/>
                <w:sz w:val="16"/>
                <w:szCs w:val="16"/>
              </w:rPr>
            </w:pPr>
            <w:r w:rsidRPr="00062B38">
              <w:rPr>
                <w:rFonts w:cs="Arial"/>
                <w:caps/>
                <w:sz w:val="16"/>
                <w:szCs w:val="16"/>
              </w:rPr>
              <w:sym w:font="Wingdings 2" w:char="F050"/>
            </w:r>
          </w:p>
        </w:tc>
        <w:tc>
          <w:tcPr>
            <w:tcW w:w="1170" w:type="dxa"/>
            <w:noWrap/>
            <w:vAlign w:val="center"/>
            <w:hideMark/>
          </w:tcPr>
          <w:p w:rsidR="00EA0F8E" w:rsidRPr="00062B38" w:rsidRDefault="00EA0F8E" w:rsidP="00EA0F8E">
            <w:pPr>
              <w:keepNext/>
              <w:jc w:val="center"/>
              <w:rPr>
                <w:rFonts w:cs="Arial"/>
                <w:spacing w:val="-2"/>
                <w:sz w:val="16"/>
                <w:szCs w:val="16"/>
              </w:rPr>
            </w:pPr>
            <w:r w:rsidRPr="00062B38">
              <w:rPr>
                <w:spacing w:val="-2"/>
                <w:sz w:val="16"/>
              </w:rPr>
              <w:t>-</w:t>
            </w:r>
          </w:p>
        </w:tc>
        <w:tc>
          <w:tcPr>
            <w:tcW w:w="1342" w:type="dxa"/>
            <w:noWrap/>
            <w:vAlign w:val="center"/>
            <w:hideMark/>
          </w:tcPr>
          <w:p w:rsidR="00EA0F8E" w:rsidRPr="00062B38" w:rsidRDefault="00EA0F8E" w:rsidP="00EA0F8E">
            <w:pPr>
              <w:keepNext/>
              <w:jc w:val="center"/>
              <w:rPr>
                <w:rFonts w:cs="Arial"/>
                <w:spacing w:val="-2"/>
                <w:sz w:val="16"/>
                <w:szCs w:val="16"/>
              </w:rPr>
            </w:pPr>
            <w:r w:rsidRPr="00062B38">
              <w:rPr>
                <w:rFonts w:cs="Arial"/>
                <w:caps/>
                <w:sz w:val="16"/>
                <w:szCs w:val="16"/>
              </w:rPr>
              <w:sym w:font="Wingdings 2" w:char="F050"/>
            </w:r>
          </w:p>
        </w:tc>
        <w:tc>
          <w:tcPr>
            <w:tcW w:w="1068" w:type="dxa"/>
            <w:noWrap/>
            <w:vAlign w:val="center"/>
            <w:hideMark/>
          </w:tcPr>
          <w:p w:rsidR="00EA0F8E" w:rsidRPr="00062B38" w:rsidRDefault="00EA0F8E" w:rsidP="00EA0F8E">
            <w:pPr>
              <w:keepNext/>
              <w:jc w:val="center"/>
              <w:rPr>
                <w:rFonts w:cs="Arial"/>
                <w:spacing w:val="-2"/>
                <w:sz w:val="16"/>
                <w:szCs w:val="16"/>
              </w:rPr>
            </w:pPr>
            <w:r w:rsidRPr="00062B38">
              <w:rPr>
                <w:spacing w:val="-2"/>
                <w:sz w:val="16"/>
              </w:rPr>
              <w:t>-</w:t>
            </w:r>
          </w:p>
        </w:tc>
        <w:tc>
          <w:tcPr>
            <w:tcW w:w="1134" w:type="dxa"/>
            <w:noWrap/>
            <w:vAlign w:val="center"/>
            <w:hideMark/>
          </w:tcPr>
          <w:p w:rsidR="00EA0F8E" w:rsidRPr="00062B38" w:rsidRDefault="00EA0F8E" w:rsidP="00EA0F8E">
            <w:pPr>
              <w:keepNext/>
              <w:jc w:val="center"/>
              <w:rPr>
                <w:rFonts w:cs="Arial"/>
                <w:spacing w:val="-2"/>
                <w:sz w:val="16"/>
                <w:szCs w:val="16"/>
              </w:rPr>
            </w:pPr>
            <w:r w:rsidRPr="00062B38">
              <w:rPr>
                <w:rFonts w:cs="Arial"/>
                <w:caps/>
                <w:sz w:val="16"/>
                <w:szCs w:val="16"/>
              </w:rPr>
              <w:sym w:font="Wingdings 2" w:char="F050"/>
            </w:r>
          </w:p>
        </w:tc>
        <w:tc>
          <w:tcPr>
            <w:tcW w:w="839" w:type="dxa"/>
            <w:noWrap/>
            <w:vAlign w:val="center"/>
            <w:hideMark/>
          </w:tcPr>
          <w:p w:rsidR="00EA0F8E" w:rsidRPr="00062B38" w:rsidRDefault="00EA0F8E" w:rsidP="00EA0F8E">
            <w:pPr>
              <w:keepNext/>
              <w:jc w:val="center"/>
              <w:rPr>
                <w:spacing w:val="-2"/>
                <w:sz w:val="16"/>
                <w:szCs w:val="16"/>
              </w:rPr>
            </w:pPr>
            <w:r w:rsidRPr="00062B38">
              <w:rPr>
                <w:spacing w:val="-2"/>
                <w:sz w:val="16"/>
              </w:rPr>
              <w:t>3</w:t>
            </w:r>
          </w:p>
        </w:tc>
      </w:tr>
      <w:tr w:rsidR="00EA0F8E" w:rsidRPr="00062B38" w:rsidTr="00EA0F8E">
        <w:trPr>
          <w:cantSplit/>
          <w:jc w:val="center"/>
        </w:trPr>
        <w:tc>
          <w:tcPr>
            <w:tcW w:w="2410" w:type="dxa"/>
            <w:vAlign w:val="center"/>
          </w:tcPr>
          <w:p w:rsidR="00EA0F8E" w:rsidRPr="00062B38" w:rsidRDefault="00EA0F8E" w:rsidP="00EA0F8E">
            <w:pPr>
              <w:jc w:val="center"/>
              <w:rPr>
                <w:bCs/>
                <w:spacing w:val="-2"/>
                <w:sz w:val="16"/>
                <w:szCs w:val="16"/>
              </w:rPr>
            </w:pPr>
            <w:r w:rsidRPr="00062B38">
              <w:rPr>
                <w:spacing w:val="-2"/>
                <w:sz w:val="16"/>
              </w:rPr>
              <w:t>16</w:t>
            </w:r>
          </w:p>
        </w:tc>
        <w:tc>
          <w:tcPr>
            <w:tcW w:w="1239" w:type="dxa"/>
            <w:noWrap/>
            <w:vAlign w:val="center"/>
          </w:tcPr>
          <w:p w:rsidR="00EA0F8E" w:rsidRPr="00062B38" w:rsidRDefault="00EA0F8E" w:rsidP="00EA0F8E">
            <w:pPr>
              <w:jc w:val="center"/>
              <w:rPr>
                <w:bCs/>
                <w:spacing w:val="-2"/>
                <w:sz w:val="16"/>
                <w:szCs w:val="16"/>
              </w:rPr>
            </w:pPr>
            <w:r w:rsidRPr="00062B38">
              <w:rPr>
                <w:spacing w:val="-2"/>
                <w:sz w:val="16"/>
              </w:rPr>
              <w:t>13</w:t>
            </w:r>
          </w:p>
        </w:tc>
        <w:tc>
          <w:tcPr>
            <w:tcW w:w="1170" w:type="dxa"/>
            <w:noWrap/>
            <w:vAlign w:val="center"/>
          </w:tcPr>
          <w:p w:rsidR="00EA0F8E" w:rsidRPr="00062B38" w:rsidRDefault="00EA0F8E" w:rsidP="00EA0F8E">
            <w:pPr>
              <w:jc w:val="center"/>
              <w:rPr>
                <w:bCs/>
                <w:spacing w:val="-2"/>
                <w:sz w:val="16"/>
                <w:szCs w:val="16"/>
              </w:rPr>
            </w:pPr>
            <w:r w:rsidRPr="00062B38">
              <w:rPr>
                <w:spacing w:val="-2"/>
                <w:sz w:val="16"/>
              </w:rPr>
              <w:t>13</w:t>
            </w:r>
          </w:p>
        </w:tc>
        <w:tc>
          <w:tcPr>
            <w:tcW w:w="1342" w:type="dxa"/>
            <w:noWrap/>
            <w:vAlign w:val="center"/>
          </w:tcPr>
          <w:p w:rsidR="00EA0F8E" w:rsidRPr="00062B38" w:rsidRDefault="00EA0F8E" w:rsidP="00EA0F8E">
            <w:pPr>
              <w:jc w:val="center"/>
              <w:rPr>
                <w:bCs/>
                <w:spacing w:val="-2"/>
                <w:sz w:val="16"/>
                <w:szCs w:val="16"/>
              </w:rPr>
            </w:pPr>
            <w:r w:rsidRPr="00062B38">
              <w:rPr>
                <w:spacing w:val="-2"/>
                <w:sz w:val="16"/>
              </w:rPr>
              <w:t>13</w:t>
            </w:r>
          </w:p>
        </w:tc>
        <w:tc>
          <w:tcPr>
            <w:tcW w:w="1068" w:type="dxa"/>
            <w:noWrap/>
            <w:vAlign w:val="center"/>
          </w:tcPr>
          <w:p w:rsidR="00EA0F8E" w:rsidRPr="00062B38" w:rsidRDefault="00EA0F8E" w:rsidP="00EA0F8E">
            <w:pPr>
              <w:jc w:val="center"/>
              <w:rPr>
                <w:bCs/>
                <w:spacing w:val="-2"/>
                <w:sz w:val="16"/>
                <w:szCs w:val="16"/>
              </w:rPr>
            </w:pPr>
            <w:r w:rsidRPr="00062B38">
              <w:rPr>
                <w:spacing w:val="-2"/>
                <w:sz w:val="16"/>
              </w:rPr>
              <w:t>14</w:t>
            </w:r>
          </w:p>
        </w:tc>
        <w:tc>
          <w:tcPr>
            <w:tcW w:w="1134" w:type="dxa"/>
            <w:noWrap/>
            <w:vAlign w:val="center"/>
          </w:tcPr>
          <w:p w:rsidR="00EA0F8E" w:rsidRPr="00062B38" w:rsidRDefault="00EA0F8E" w:rsidP="00EA0F8E">
            <w:pPr>
              <w:jc w:val="center"/>
              <w:rPr>
                <w:bCs/>
                <w:spacing w:val="-2"/>
                <w:sz w:val="16"/>
                <w:szCs w:val="16"/>
              </w:rPr>
            </w:pPr>
            <w:r w:rsidRPr="00062B38">
              <w:rPr>
                <w:spacing w:val="-2"/>
                <w:sz w:val="16"/>
              </w:rPr>
              <w:t>14</w:t>
            </w:r>
          </w:p>
        </w:tc>
        <w:tc>
          <w:tcPr>
            <w:tcW w:w="839" w:type="dxa"/>
            <w:noWrap/>
            <w:vAlign w:val="center"/>
            <w:hideMark/>
          </w:tcPr>
          <w:p w:rsidR="00EA0F8E" w:rsidRPr="00062B38" w:rsidRDefault="00EA0F8E" w:rsidP="00EA0F8E">
            <w:pPr>
              <w:jc w:val="center"/>
              <w:rPr>
                <w:bCs/>
                <w:spacing w:val="-2"/>
                <w:sz w:val="16"/>
                <w:szCs w:val="16"/>
              </w:rPr>
            </w:pPr>
          </w:p>
        </w:tc>
      </w:tr>
    </w:tbl>
    <w:p w:rsidR="00EA0F8E" w:rsidRPr="00062B38" w:rsidRDefault="00EA0F8E" w:rsidP="00EA0F8E"/>
    <w:p w:rsidR="00EA0F8E" w:rsidRPr="00062B38" w:rsidRDefault="00EA0F8E" w:rsidP="00EA0F8E">
      <w:pPr>
        <w:pStyle w:val="Heading4"/>
      </w:pPr>
      <w:r w:rsidRPr="00062B38">
        <w:t>Idiomas</w:t>
      </w:r>
    </w:p>
    <w:p w:rsidR="00EA0F8E" w:rsidRPr="006E527E" w:rsidRDefault="00EA0F8E" w:rsidP="00EA0F8E">
      <w:pPr>
        <w:rPr>
          <w:sz w:val="18"/>
        </w:rPr>
      </w:pPr>
    </w:p>
    <w:p w:rsidR="00EA0F8E" w:rsidRPr="00062B38" w:rsidRDefault="00EA0F8E" w:rsidP="00EA0F8E">
      <w:pPr>
        <w:rPr>
          <w:rFonts w:cs="Arial"/>
        </w:rPr>
      </w:pPr>
      <w:r w:rsidRPr="00062B38">
        <w:fldChar w:fldCharType="begin"/>
      </w:r>
      <w:r w:rsidRPr="00062B38">
        <w:instrText xml:space="preserve"> AUTONUM  </w:instrText>
      </w:r>
      <w:r w:rsidRPr="00062B38">
        <w:fldChar w:fldCharType="end"/>
      </w:r>
      <w:r w:rsidRPr="00062B38">
        <w:t xml:space="preserve"> </w:t>
      </w:r>
      <w:r w:rsidRPr="00062B38">
        <w:tab/>
        <w:t>En la versión 1.0 del EAF, todas las páginas web y todos los elementos (las preguntas) de todos los formularios de solicitud y cuestionarios técnicos de todas las oficinas de protección de las obtenciones vegetales participantes se presentaban en alemán, español, francés e inglés (“idiomas de navegación”).  En la versión 1.1 del EAF, se añadió el chino como idioma de navegación.</w:t>
      </w:r>
    </w:p>
    <w:p w:rsidR="00EA0F8E" w:rsidRPr="006E527E" w:rsidRDefault="00EA0F8E" w:rsidP="00EA0F8E">
      <w:pPr>
        <w:rPr>
          <w:rFonts w:cs="Arial"/>
          <w:sz w:val="18"/>
        </w:rPr>
      </w:pPr>
    </w:p>
    <w:p w:rsidR="00EA0F8E" w:rsidRPr="00062B38" w:rsidRDefault="00EA0F8E" w:rsidP="00EA0F8E">
      <w:pPr>
        <w:spacing w:after="240"/>
        <w:rPr>
          <w:rFonts w:cs="Arial"/>
        </w:rPr>
      </w:pPr>
      <w:r w:rsidRPr="00062B38">
        <w:fldChar w:fldCharType="begin"/>
      </w:r>
      <w:r w:rsidRPr="00062B38">
        <w:instrText xml:space="preserve"> AUTONUM  </w:instrText>
      </w:r>
      <w:r w:rsidRPr="00062B38">
        <w:fldChar w:fldCharType="end"/>
      </w:r>
      <w:r w:rsidRPr="00062B38">
        <w:t xml:space="preserve"> </w:t>
      </w:r>
      <w:r w:rsidRPr="00062B38">
        <w:tab/>
        <w:t xml:space="preserve">La versión 1.1 del EAF genera formularios de solicitud y cuestionarios técnicos en los idiomas especificados por las oficinas participantes (“idiomas de los formularios de salida”).  En la versión 1.1, los idiomas de los formularios de salida son el alemán, el chino, el español, el francés, el inglés, el noruego, el rumano y el turco. </w:t>
      </w:r>
    </w:p>
    <w:p w:rsidR="00EA0F8E" w:rsidRPr="00062B38" w:rsidRDefault="00EA0F8E" w:rsidP="00EA0F8E">
      <w:pPr>
        <w:rPr>
          <w:rFonts w:cs="Arial"/>
        </w:rPr>
      </w:pPr>
      <w:r w:rsidRPr="00062B38">
        <w:lastRenderedPageBreak/>
        <w:fldChar w:fldCharType="begin"/>
      </w:r>
      <w:r w:rsidRPr="00062B38">
        <w:instrText xml:space="preserve"> AUTONUM  </w:instrText>
      </w:r>
      <w:r w:rsidRPr="00062B38">
        <w:fldChar w:fldCharType="end"/>
      </w:r>
      <w:r w:rsidRPr="00062B38">
        <w:t xml:space="preserve"> </w:t>
      </w:r>
      <w:r w:rsidRPr="00062B38">
        <w:tab/>
        <w:t>Se recuerda que el solicitante debe introducir la información en un idioma admitido por la oficina de protección de las obtenciones vegetales en cuestión, si bien las respuestas que se seleccionen en las listas desplegables (por ejemplo, los caracteres y los niveles de expresión) se traducen automáticamente en el caso de los idiomas de navegación.</w:t>
      </w:r>
    </w:p>
    <w:p w:rsidR="00EA0F8E" w:rsidRPr="006E527E" w:rsidRDefault="00EA0F8E" w:rsidP="00EA0F8E">
      <w:pPr>
        <w:rPr>
          <w:sz w:val="18"/>
        </w:rPr>
      </w:pPr>
    </w:p>
    <w:p w:rsidR="00EA0F8E" w:rsidRPr="00062B38" w:rsidRDefault="00EA0F8E" w:rsidP="00EA0F8E">
      <w:pPr>
        <w:pStyle w:val="Heading4"/>
      </w:pPr>
      <w:r w:rsidRPr="00062B38">
        <w:t>Hoja de estilo del formulario de solicitud</w:t>
      </w:r>
    </w:p>
    <w:p w:rsidR="00EA0F8E" w:rsidRPr="006E527E" w:rsidRDefault="00EA0F8E" w:rsidP="00EA0F8E">
      <w:pPr>
        <w:keepNext/>
        <w:rPr>
          <w:sz w:val="16"/>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Los participantes en la reunión EAF/9 tomaron nota de que las oficinas de protección de las obtenciones vegetales que lo soliciten podrán recibir el formulario de solicitud en un formato adaptado (p. ej. con la referencia de codificación nacional o el logo de la oficina en cuestión añadidos al formulario), siempre que faciliten la información pertinente conforme al formato especificado.</w:t>
      </w:r>
    </w:p>
    <w:p w:rsidR="00EA0F8E" w:rsidRPr="006E527E" w:rsidRDefault="00EA0F8E" w:rsidP="00EA0F8E">
      <w:pPr>
        <w:spacing w:line="360" w:lineRule="auto"/>
        <w:rPr>
          <w:sz w:val="18"/>
        </w:rPr>
      </w:pPr>
    </w:p>
    <w:p w:rsidR="00EA0F8E" w:rsidRPr="00062B38" w:rsidRDefault="00EA0F8E" w:rsidP="00EA0F8E">
      <w:pPr>
        <w:pStyle w:val="Heading3"/>
      </w:pPr>
      <w:bookmarkStart w:id="21" w:name="_Toc485110114"/>
      <w:bookmarkStart w:id="22" w:name="_Toc495079757"/>
      <w:bookmarkStart w:id="23" w:name="_Toc496172956"/>
      <w:r w:rsidRPr="00062B38">
        <w:t>Versión 2.0</w:t>
      </w:r>
      <w:bookmarkEnd w:id="21"/>
      <w:bookmarkEnd w:id="22"/>
      <w:bookmarkEnd w:id="23"/>
    </w:p>
    <w:p w:rsidR="00EA0F8E" w:rsidRPr="006E527E" w:rsidRDefault="00EA0F8E" w:rsidP="00EA0F8E">
      <w:pPr>
        <w:pStyle w:val="Heading4"/>
        <w:rPr>
          <w:sz w:val="18"/>
        </w:rPr>
      </w:pPr>
    </w:p>
    <w:p w:rsidR="00EA0F8E" w:rsidRPr="00062B38" w:rsidRDefault="00EA0F8E" w:rsidP="00EA0F8E">
      <w:pPr>
        <w:pStyle w:val="Heading4"/>
      </w:pPr>
      <w:r w:rsidRPr="00062B38">
        <w:t>Miembros de la UPOV participantes</w:t>
      </w:r>
    </w:p>
    <w:p w:rsidR="00EA0F8E" w:rsidRPr="00062B38" w:rsidRDefault="00EA0F8E" w:rsidP="00EA0F8E">
      <w:pPr>
        <w:keepNext/>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 xml:space="preserve">Podrán participar en la versión 2.0 del EAF las autoridades que participaron en la elaboración del </w:t>
      </w:r>
      <w:r w:rsidRPr="00062B38">
        <w:rPr>
          <w:spacing w:val="-2"/>
        </w:rPr>
        <w:t>prototipo de formulario electrónico</w:t>
      </w:r>
      <w:r w:rsidRPr="00062B38">
        <w:t xml:space="preserve"> (V2P) y en la elaboración de las versiones 1.0 o 1.1 del formulario electrónico de solicitud (Argentina, Australia, Bolivia (Estado Plurinacional de), Brasil, Canadá, Chile, China, Colombia, Estados Unidos de América, Francia, Georgia, Japón, Kenya, México, Noruega, Nueva Zelandia, Organización Africana de la Propiedad Intelectual (OAPI), Países Bajos, Paraguay, República Checa, República de Corea, República de Moldova, Sudáfrica, Suiza, Túnez, Turquía, Unión Europea, Uruguay y Viet Nam), conforme a los recursos disponibles.</w:t>
      </w:r>
    </w:p>
    <w:p w:rsidR="00EA0F8E" w:rsidRPr="006E527E" w:rsidRDefault="00EA0F8E" w:rsidP="00EA0F8E">
      <w:pPr>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r>
      <w:r w:rsidRPr="00062B38">
        <w:rPr>
          <w:spacing w:val="-2"/>
        </w:rPr>
        <w:t xml:space="preserve">Los miembros de la Unión que no </w:t>
      </w:r>
      <w:r w:rsidRPr="00062B38">
        <w:t xml:space="preserve">participaron </w:t>
      </w:r>
      <w:r w:rsidRPr="00062B38">
        <w:rPr>
          <w:spacing w:val="-2"/>
        </w:rPr>
        <w:t xml:space="preserve">en la elaboración del prototipo de formulario electrónico (V2P) ni en la elaboración de las versiones 1.0 o 1.1 del formulario electrónico de solicitud deberán proporcionar sus formularios para los cultivos pertinentes (formulario de solicitud y cuestionario técnico) en uno de los idiomas de la UPOV y, si procede, facilitar las traducciones de las preguntas de los formularios de solicitud y cuestionarios técnicos de los demás </w:t>
      </w:r>
      <w:r w:rsidRPr="00062B38">
        <w:t>idiomas empleados en el EAF</w:t>
      </w:r>
      <w:r w:rsidRPr="00062B38">
        <w:rPr>
          <w:spacing w:val="-2"/>
        </w:rPr>
        <w:t>.</w:t>
      </w:r>
      <w:r w:rsidRPr="00062B38">
        <w:t xml:space="preserve">  El calendario de la incorporación de nuevos miembros de la Unión se elaborará en función de los recursos disponibles y variará según el contenido de los formularios de solicitud y los cuestionarios técnicos.</w:t>
      </w:r>
    </w:p>
    <w:p w:rsidR="00EA0F8E" w:rsidRPr="006E527E" w:rsidRDefault="00EA0F8E" w:rsidP="00EA0F8E">
      <w:pPr>
        <w:rPr>
          <w:sz w:val="18"/>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En la Circular E17/132, enviada el 26 de julio de 2017, se invitaba a todos los miembros que han participado en la elaboración del formulario electrónico de solicitud (V2P y versiones 1.0 y 1.1) a comunicar a la Oficina de la Unión si desean participar en la versión 2.0 del EAF.  Una vez se haya puesto en funcionamiento la versión 2.0, se invitará a otros miembros de la Unión a indicar si desean participar en ulteriores versiones del EAF.</w:t>
      </w:r>
    </w:p>
    <w:p w:rsidR="00EA0F8E" w:rsidRPr="00062B38" w:rsidRDefault="00EA0F8E" w:rsidP="00EA0F8E"/>
    <w:p w:rsidR="00EA0F8E" w:rsidRPr="00062B38" w:rsidRDefault="00EA0F8E" w:rsidP="00EA0F8E">
      <w:pPr>
        <w:pStyle w:val="Heading4"/>
      </w:pPr>
      <w:bookmarkStart w:id="24" w:name="_Toc485110115"/>
      <w:r w:rsidRPr="00062B38">
        <w:t>Cultivos o especies</w:t>
      </w:r>
      <w:bookmarkEnd w:id="24"/>
    </w:p>
    <w:p w:rsidR="00EA0F8E" w:rsidRPr="006E527E" w:rsidRDefault="00EA0F8E" w:rsidP="00EA0F8E">
      <w:pPr>
        <w:keepNext/>
        <w:rPr>
          <w:sz w:val="18"/>
        </w:rPr>
      </w:pPr>
    </w:p>
    <w:p w:rsidR="00EA0F8E" w:rsidRPr="00062B38" w:rsidRDefault="00EA0F8E" w:rsidP="00EA0F8E">
      <w:pPr>
        <w:rPr>
          <w:spacing w:val="-2"/>
        </w:rPr>
      </w:pPr>
      <w:r w:rsidRPr="00062B38">
        <w:fldChar w:fldCharType="begin"/>
      </w:r>
      <w:r w:rsidRPr="00062B38">
        <w:instrText xml:space="preserve"> AUTONUM  </w:instrText>
      </w:r>
      <w:r w:rsidRPr="00062B38">
        <w:fldChar w:fldCharType="end"/>
      </w:r>
      <w:r w:rsidRPr="00062B38">
        <w:tab/>
      </w:r>
      <w:r w:rsidRPr="00062B38">
        <w:rPr>
          <w:spacing w:val="-2"/>
        </w:rPr>
        <w:t>Existen tres métodos posibles para que los miembros de la Unión participantes incorporen nuevos cultivos o especies:</w:t>
      </w:r>
    </w:p>
    <w:p w:rsidR="00EA0F8E" w:rsidRPr="006E527E" w:rsidRDefault="00EA0F8E" w:rsidP="00EA0F8E">
      <w:pPr>
        <w:rPr>
          <w:sz w:val="18"/>
        </w:rPr>
      </w:pPr>
    </w:p>
    <w:p w:rsidR="00EA0F8E" w:rsidRPr="00062B38" w:rsidRDefault="00EA0F8E" w:rsidP="00EA0F8E">
      <w:pPr>
        <w:ind w:left="567"/>
        <w:rPr>
          <w:rFonts w:cs="Arial"/>
        </w:rPr>
      </w:pPr>
      <w:r w:rsidRPr="00062B38">
        <w:rPr>
          <w:spacing w:val="-2"/>
        </w:rPr>
        <w:t>a)</w:t>
      </w:r>
      <w:r w:rsidRPr="00062B38">
        <w:rPr>
          <w:spacing w:val="-2"/>
        </w:rPr>
        <w:tab/>
        <w:t>Método 1:  Cuestionario técnico de la UPOV</w:t>
      </w:r>
    </w:p>
    <w:p w:rsidR="00EA0F8E" w:rsidRPr="00062B38" w:rsidRDefault="00EA0F8E" w:rsidP="00EA0F8E">
      <w:pPr>
        <w:pStyle w:val="ListParagraph"/>
        <w:ind w:left="1134"/>
        <w:rPr>
          <w:rFonts w:ascii="Arial" w:hAnsi="Arial" w:cs="Arial"/>
          <w:sz w:val="16"/>
          <w:szCs w:val="20"/>
        </w:rPr>
      </w:pPr>
    </w:p>
    <w:p w:rsidR="00EA0F8E" w:rsidRPr="006E527E" w:rsidRDefault="00EA0F8E" w:rsidP="006E527E">
      <w:pPr>
        <w:pStyle w:val="ListParagraph"/>
        <w:ind w:left="1134"/>
        <w:jc w:val="both"/>
        <w:rPr>
          <w:rFonts w:ascii="Arial" w:hAnsi="Arial" w:cs="Arial"/>
          <w:sz w:val="20"/>
          <w:szCs w:val="20"/>
        </w:rPr>
      </w:pPr>
      <w:r w:rsidRPr="006E527E">
        <w:rPr>
          <w:rFonts w:ascii="Arial" w:hAnsi="Arial"/>
          <w:sz w:val="20"/>
        </w:rPr>
        <w:t xml:space="preserve">El cuestionario técnico del EAF es idéntico al cuestionario técnico de las directrices de examen de la UPOV aprobadas.  En el caso de los cultivos o especies para los que no existan directrices de examen de la UPOV aprobadas, el cuestionario técnico de la EAF se basará en la estructura del cuestionario técnico que figura en el documento TGP/7 “Elaboración de las directrices de examen”. </w:t>
      </w:r>
    </w:p>
    <w:p w:rsidR="00EA0F8E" w:rsidRPr="006E527E" w:rsidRDefault="00EA0F8E" w:rsidP="00EA0F8E">
      <w:pPr>
        <w:ind w:left="1418" w:hanging="567"/>
        <w:rPr>
          <w:rFonts w:cs="Arial"/>
          <w:sz w:val="16"/>
        </w:rPr>
      </w:pPr>
    </w:p>
    <w:p w:rsidR="00EA0F8E" w:rsidRPr="00062B38" w:rsidRDefault="00EA0F8E" w:rsidP="00EA0F8E">
      <w:pPr>
        <w:ind w:left="567"/>
        <w:rPr>
          <w:rFonts w:cs="Arial"/>
        </w:rPr>
      </w:pPr>
      <w:r w:rsidRPr="00062B38">
        <w:rPr>
          <w:spacing w:val="-2"/>
        </w:rPr>
        <w:t>b)</w:t>
      </w:r>
      <w:r w:rsidRPr="00062B38">
        <w:rPr>
          <w:spacing w:val="-2"/>
        </w:rPr>
        <w:tab/>
        <w:t>Método 2:  Caracteres adaptados</w:t>
      </w:r>
    </w:p>
    <w:p w:rsidR="00EA0F8E" w:rsidRPr="00062B38" w:rsidRDefault="00EA0F8E" w:rsidP="00EA0F8E">
      <w:pPr>
        <w:pStyle w:val="ListParagraph"/>
        <w:ind w:left="1134"/>
        <w:rPr>
          <w:rFonts w:ascii="Arial" w:hAnsi="Arial" w:cs="Arial"/>
          <w:spacing w:val="-2"/>
          <w:sz w:val="16"/>
          <w:szCs w:val="20"/>
        </w:rPr>
      </w:pPr>
    </w:p>
    <w:p w:rsidR="00EA0F8E" w:rsidRPr="00062B38" w:rsidRDefault="00EA0F8E" w:rsidP="006E527E">
      <w:pPr>
        <w:pStyle w:val="ListParagraph"/>
        <w:ind w:left="1134"/>
        <w:jc w:val="both"/>
        <w:rPr>
          <w:rFonts w:ascii="Arial" w:hAnsi="Arial" w:cs="Arial"/>
          <w:spacing w:val="-2"/>
          <w:sz w:val="20"/>
          <w:szCs w:val="20"/>
        </w:rPr>
      </w:pPr>
      <w:r w:rsidRPr="00062B38">
        <w:rPr>
          <w:rFonts w:ascii="Arial" w:hAnsi="Arial"/>
          <w:spacing w:val="-2"/>
          <w:sz w:val="20"/>
        </w:rPr>
        <w:t>El cuestionario técnico del EAF es igual para todos los cultivos (inespecífico para cada cultivo), salvo en relación con los “caracteres de la variedad” (sección 5 del cuestionario técnico de la UPOV o equivalente) y las “variedades similares y diferencias con respecto a esas variedades” (sección 6 del cuestionario técnico de la UPOV o equivalente).  Los caracteres del cuestionario técnico del EAF serían:</w:t>
      </w:r>
    </w:p>
    <w:p w:rsidR="00EA0F8E" w:rsidRPr="00062B38" w:rsidRDefault="00EA0F8E" w:rsidP="00EA0F8E">
      <w:pPr>
        <w:pStyle w:val="ListParagraph"/>
        <w:ind w:left="1134"/>
        <w:rPr>
          <w:rFonts w:ascii="Arial" w:hAnsi="Arial" w:cs="Arial"/>
          <w:spacing w:val="-2"/>
          <w:sz w:val="16"/>
          <w:szCs w:val="20"/>
        </w:rPr>
      </w:pPr>
    </w:p>
    <w:p w:rsidR="00EA0F8E" w:rsidRPr="00062B38" w:rsidRDefault="00EA0F8E" w:rsidP="00EA0F8E">
      <w:pPr>
        <w:ind w:left="1276"/>
        <w:rPr>
          <w:rFonts w:cs="Arial"/>
        </w:rPr>
      </w:pPr>
      <w:r w:rsidRPr="00062B38">
        <w:rPr>
          <w:spacing w:val="-2"/>
        </w:rPr>
        <w:t>i)</w:t>
      </w:r>
      <w:r w:rsidRPr="00062B38">
        <w:rPr>
          <w:spacing w:val="-2"/>
        </w:rPr>
        <w:tab/>
        <w:t>los caracteres de las directrices de examen de la UPOV</w:t>
      </w:r>
    </w:p>
    <w:p w:rsidR="00EA0F8E" w:rsidRPr="00062B38" w:rsidRDefault="00EA0F8E" w:rsidP="00EA0F8E">
      <w:pPr>
        <w:ind w:left="1276"/>
        <w:rPr>
          <w:rFonts w:cs="Arial"/>
        </w:rPr>
      </w:pPr>
      <w:r w:rsidRPr="00062B38">
        <w:rPr>
          <w:spacing w:val="-2"/>
        </w:rPr>
        <w:t>ii)</w:t>
      </w:r>
      <w:r w:rsidRPr="00062B38">
        <w:rPr>
          <w:spacing w:val="-2"/>
        </w:rPr>
        <w:tab/>
        <w:t xml:space="preserve">los caracteres específicos de cada autoridad </w:t>
      </w:r>
    </w:p>
    <w:p w:rsidR="00EA0F8E" w:rsidRPr="00062B38" w:rsidRDefault="00EA0F8E" w:rsidP="00EA0F8E">
      <w:pPr>
        <w:ind w:left="1276"/>
        <w:rPr>
          <w:rFonts w:cs="Arial"/>
        </w:rPr>
      </w:pPr>
      <w:r w:rsidRPr="00062B38">
        <w:rPr>
          <w:spacing w:val="-2"/>
        </w:rPr>
        <w:t>iii)</w:t>
      </w:r>
      <w:r w:rsidRPr="00062B38">
        <w:rPr>
          <w:spacing w:val="-2"/>
        </w:rPr>
        <w:tab/>
        <w:t>texto libre</w:t>
      </w:r>
    </w:p>
    <w:p w:rsidR="00EA0F8E" w:rsidRPr="00062B38" w:rsidRDefault="00EA0F8E" w:rsidP="00EA0F8E">
      <w:pPr>
        <w:ind w:left="1418" w:hanging="567"/>
        <w:rPr>
          <w:rFonts w:cs="Arial"/>
        </w:rPr>
      </w:pPr>
    </w:p>
    <w:p w:rsidR="00EA0F8E" w:rsidRPr="00062B38" w:rsidRDefault="00EA0F8E" w:rsidP="006E527E">
      <w:pPr>
        <w:keepNext/>
        <w:ind w:left="567"/>
        <w:rPr>
          <w:rFonts w:cs="Arial"/>
        </w:rPr>
      </w:pPr>
      <w:r w:rsidRPr="00062B38">
        <w:rPr>
          <w:spacing w:val="-2"/>
        </w:rPr>
        <w:t>c)</w:t>
      </w:r>
      <w:r w:rsidRPr="00062B38">
        <w:rPr>
          <w:spacing w:val="-2"/>
        </w:rPr>
        <w:tab/>
        <w:t xml:space="preserve">Método 3:  Cuestionario técnico adaptado </w:t>
      </w:r>
    </w:p>
    <w:p w:rsidR="00EA0F8E" w:rsidRPr="00062B38" w:rsidRDefault="00EA0F8E" w:rsidP="00EA0F8E">
      <w:pPr>
        <w:keepNext/>
        <w:rPr>
          <w:sz w:val="16"/>
        </w:rPr>
      </w:pPr>
    </w:p>
    <w:p w:rsidR="00EA0F8E" w:rsidRPr="00062B38" w:rsidRDefault="00EA0F8E" w:rsidP="00EA0F8E">
      <w:pPr>
        <w:pStyle w:val="ListParagraph"/>
        <w:ind w:left="1134"/>
        <w:rPr>
          <w:rFonts w:ascii="Arial" w:hAnsi="Arial" w:cs="Arial"/>
          <w:sz w:val="20"/>
          <w:szCs w:val="20"/>
        </w:rPr>
      </w:pPr>
      <w:r w:rsidRPr="00062B38">
        <w:rPr>
          <w:rFonts w:ascii="Arial" w:hAnsi="Arial"/>
          <w:spacing w:val="-2"/>
          <w:sz w:val="20"/>
        </w:rPr>
        <w:t>El cuestionario técnico del EAF incluirá secciones específicas para cada cultivo, además de las señaladas en el método 2.</w:t>
      </w:r>
    </w:p>
    <w:p w:rsidR="00EA0F8E" w:rsidRPr="00062B38" w:rsidRDefault="00EA0F8E" w:rsidP="00EA0F8E"/>
    <w:p w:rsidR="00EA0F8E" w:rsidRPr="00062B38" w:rsidRDefault="00EA0F8E" w:rsidP="00EA0F8E">
      <w:pPr>
        <w:keepLines/>
        <w:rPr>
          <w:spacing w:val="-2"/>
        </w:rPr>
      </w:pPr>
      <w:r w:rsidRPr="00062B38">
        <w:fldChar w:fldCharType="begin"/>
      </w:r>
      <w:r w:rsidRPr="00062B38">
        <w:instrText xml:space="preserve"> AUTONUM  </w:instrText>
      </w:r>
      <w:r w:rsidRPr="00062B38">
        <w:fldChar w:fldCharType="end"/>
      </w:r>
      <w:r w:rsidRPr="00062B38">
        <w:tab/>
      </w:r>
      <w:r w:rsidRPr="00062B38">
        <w:rPr>
          <w:spacing w:val="-2"/>
        </w:rPr>
        <w:t>En función del método, el número de cultivos y especies que abarca cada autoridad en la versión 2.0 del EAF será distinto.  En el caso del método 1, la versión 2.0 podrá abarcar todos los cultivos si así lo solicita la oficina de protección de las obtenciones vegetales.  En el caso de los métodos 2 y 3, los nuevos cultivos se añadirán a petición de las oficinas de protección de las obtenciones vegetales</w:t>
      </w:r>
      <w:r w:rsidRPr="00062B38">
        <w:t xml:space="preserve"> </w:t>
      </w:r>
      <w:r w:rsidRPr="00062B38">
        <w:rPr>
          <w:spacing w:val="-2"/>
        </w:rPr>
        <w:t>en cuestión, conforme a los recursos disponibles y al grado de adaptación que se exija.</w:t>
      </w:r>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 xml:space="preserve"> </w:t>
      </w:r>
      <w:r w:rsidRPr="00062B38">
        <w:tab/>
        <w:t>En el caso del método 1 (Cuestionario técnico de la UPOV), se propone que la fecha de actualización del EAF tras la revisión de una directriz de examen de la UPOV sea la fecha de publicación de la correspondiente directriz de examen en el sitio web.</w:t>
      </w:r>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 xml:space="preserve"> </w:t>
      </w:r>
      <w:r w:rsidRPr="00062B38">
        <w:tab/>
        <w:t>En el caso del método 3 (Cuestionario técnico adaptado), cada nuevo formulario quedará almacenado en el sistema para ulteriores versiones (dos veces al año), conforme a los recursos asignados.</w:t>
      </w:r>
    </w:p>
    <w:p w:rsidR="00EA0F8E" w:rsidRPr="00062B38" w:rsidRDefault="00EA0F8E" w:rsidP="00EA0F8E"/>
    <w:p w:rsidR="00EA0F8E" w:rsidRPr="00062B38" w:rsidRDefault="00EA0F8E" w:rsidP="00EA0F8E">
      <w:pPr>
        <w:pStyle w:val="Heading4"/>
      </w:pPr>
      <w:r w:rsidRPr="00062B38">
        <w:t>Cobertura prevista de la versión 2.0</w:t>
      </w:r>
    </w:p>
    <w:p w:rsidR="00EA0F8E" w:rsidRPr="00062B38" w:rsidRDefault="00EA0F8E" w:rsidP="00EA0F8E"/>
    <w:p w:rsidR="00EA0F8E" w:rsidRPr="00062B38" w:rsidRDefault="00EA0F8E" w:rsidP="00EA0F8E">
      <w:pPr>
        <w:keepNext/>
      </w:pPr>
      <w:r w:rsidRPr="00062B38">
        <w:fldChar w:fldCharType="begin"/>
      </w:r>
      <w:r w:rsidRPr="00062B38">
        <w:instrText xml:space="preserve"> AUTONUM  </w:instrText>
      </w:r>
      <w:r w:rsidRPr="00062B38">
        <w:fldChar w:fldCharType="end"/>
      </w:r>
      <w:r w:rsidRPr="00062B38">
        <w:tab/>
        <w:t>Al 15 de septiembre de 2017, los siguientes miembros de la Unión habían expresado su intención de participar en la versión 2.0 del EAF (Circular E17/132):</w:t>
      </w:r>
    </w:p>
    <w:p w:rsidR="00EA0F8E" w:rsidRPr="00062B38" w:rsidRDefault="00EA0F8E" w:rsidP="00EA0F8E">
      <w:pPr>
        <w:keepNext/>
      </w:pPr>
    </w:p>
    <w:tbl>
      <w:tblPr>
        <w:tblStyle w:val="TableGrid10"/>
        <w:tblW w:w="10349" w:type="dxa"/>
        <w:tblInd w:w="-199" w:type="dxa"/>
        <w:tblLayout w:type="fixed"/>
        <w:tblCellMar>
          <w:top w:w="28" w:type="dxa"/>
          <w:left w:w="85" w:type="dxa"/>
          <w:bottom w:w="28" w:type="dxa"/>
          <w:right w:w="85" w:type="dxa"/>
        </w:tblCellMar>
        <w:tblLook w:val="04A0" w:firstRow="1" w:lastRow="0" w:firstColumn="1" w:lastColumn="0" w:noHBand="0" w:noVBand="1"/>
      </w:tblPr>
      <w:tblGrid>
        <w:gridCol w:w="2838"/>
        <w:gridCol w:w="568"/>
        <w:gridCol w:w="1134"/>
        <w:gridCol w:w="1414"/>
        <w:gridCol w:w="4395"/>
      </w:tblGrid>
      <w:tr w:rsidR="00EA0F8E" w:rsidRPr="009B46B1" w:rsidTr="009B46B1">
        <w:trPr>
          <w:cantSplit/>
          <w:trHeight w:val="184"/>
          <w:tblHeader/>
        </w:trPr>
        <w:tc>
          <w:tcPr>
            <w:tcW w:w="3406" w:type="dxa"/>
            <w:gridSpan w:val="2"/>
            <w:vAlign w:val="center"/>
          </w:tcPr>
          <w:p w:rsidR="00EA0F8E" w:rsidRPr="009B46B1" w:rsidRDefault="00EA0F8E" w:rsidP="00EA0F8E">
            <w:pPr>
              <w:jc w:val="center"/>
              <w:rPr>
                <w:spacing w:val="-2"/>
                <w:sz w:val="17"/>
                <w:szCs w:val="17"/>
              </w:rPr>
            </w:pPr>
            <w:r w:rsidRPr="009B46B1">
              <w:rPr>
                <w:spacing w:val="-2"/>
                <w:sz w:val="17"/>
                <w:szCs w:val="17"/>
              </w:rPr>
              <w:t>Autoridad</w:t>
            </w:r>
          </w:p>
        </w:tc>
        <w:tc>
          <w:tcPr>
            <w:tcW w:w="1134" w:type="dxa"/>
            <w:vAlign w:val="center"/>
          </w:tcPr>
          <w:p w:rsidR="00EA0F8E" w:rsidRPr="009B46B1" w:rsidRDefault="00EA0F8E" w:rsidP="006E527E">
            <w:pPr>
              <w:jc w:val="center"/>
              <w:rPr>
                <w:spacing w:val="-2"/>
                <w:sz w:val="17"/>
                <w:szCs w:val="17"/>
              </w:rPr>
            </w:pPr>
            <w:r w:rsidRPr="009B46B1">
              <w:rPr>
                <w:spacing w:val="-2"/>
                <w:sz w:val="17"/>
                <w:szCs w:val="17"/>
              </w:rPr>
              <w:t>Participa en la versión 1.0.o 1.1</w:t>
            </w:r>
          </w:p>
        </w:tc>
        <w:tc>
          <w:tcPr>
            <w:tcW w:w="1414" w:type="dxa"/>
            <w:vAlign w:val="center"/>
          </w:tcPr>
          <w:p w:rsidR="00EA0F8E" w:rsidRPr="009B46B1" w:rsidRDefault="00EA0F8E" w:rsidP="006E527E">
            <w:pPr>
              <w:jc w:val="center"/>
              <w:rPr>
                <w:spacing w:val="-2"/>
                <w:sz w:val="17"/>
                <w:szCs w:val="17"/>
              </w:rPr>
            </w:pPr>
            <w:r w:rsidRPr="009B46B1">
              <w:rPr>
                <w:spacing w:val="-2"/>
                <w:sz w:val="17"/>
                <w:szCs w:val="17"/>
              </w:rPr>
              <w:t>Tiene intención de participar</w:t>
            </w:r>
            <w:r w:rsidR="006E527E" w:rsidRPr="009B46B1">
              <w:rPr>
                <w:spacing w:val="-2"/>
                <w:sz w:val="17"/>
                <w:szCs w:val="17"/>
              </w:rPr>
              <w:t xml:space="preserve"> </w:t>
            </w:r>
            <w:r w:rsidRPr="009B46B1">
              <w:rPr>
                <w:spacing w:val="-2"/>
                <w:sz w:val="17"/>
                <w:szCs w:val="17"/>
              </w:rPr>
              <w:t>en la versión 2.0</w:t>
            </w:r>
          </w:p>
        </w:tc>
        <w:tc>
          <w:tcPr>
            <w:tcW w:w="4395" w:type="dxa"/>
            <w:vAlign w:val="center"/>
          </w:tcPr>
          <w:p w:rsidR="00EA0F8E" w:rsidRPr="009B46B1" w:rsidRDefault="00EA0F8E" w:rsidP="00EA0F8E">
            <w:pPr>
              <w:jc w:val="center"/>
              <w:rPr>
                <w:spacing w:val="-2"/>
                <w:sz w:val="17"/>
                <w:szCs w:val="17"/>
              </w:rPr>
            </w:pPr>
            <w:r w:rsidRPr="009B46B1">
              <w:rPr>
                <w:spacing w:val="-2"/>
                <w:sz w:val="17"/>
                <w:szCs w:val="17"/>
              </w:rPr>
              <w:t>Cultivos previstos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Argentina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AR</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Variedades frutales de manzano, papa/patata, rosal, soja y trigo, cebada, maíz, vid</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Australia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AU</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Bolivia (Estado Plurinacional de)</w:t>
            </w:r>
          </w:p>
        </w:tc>
        <w:tc>
          <w:tcPr>
            <w:tcW w:w="568" w:type="dxa"/>
            <w:noWrap/>
          </w:tcPr>
          <w:p w:rsidR="00EA0F8E" w:rsidRPr="009B46B1" w:rsidRDefault="00EA0F8E" w:rsidP="00EA0F8E">
            <w:pPr>
              <w:jc w:val="center"/>
              <w:rPr>
                <w:spacing w:val="-2"/>
                <w:sz w:val="17"/>
                <w:szCs w:val="17"/>
              </w:rPr>
            </w:pPr>
            <w:r w:rsidRPr="009B46B1">
              <w:rPr>
                <w:spacing w:val="-2"/>
                <w:sz w:val="17"/>
                <w:szCs w:val="17"/>
              </w:rPr>
              <w:t>BO</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Arroz, trigo</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Canadá</w:t>
            </w:r>
          </w:p>
        </w:tc>
        <w:tc>
          <w:tcPr>
            <w:tcW w:w="568" w:type="dxa"/>
            <w:noWrap/>
          </w:tcPr>
          <w:p w:rsidR="00EA0F8E" w:rsidRPr="009B46B1" w:rsidRDefault="00EA0F8E" w:rsidP="00EA0F8E">
            <w:pPr>
              <w:jc w:val="center"/>
              <w:rPr>
                <w:spacing w:val="-2"/>
                <w:sz w:val="17"/>
                <w:szCs w:val="17"/>
              </w:rPr>
            </w:pPr>
            <w:r w:rsidRPr="009B46B1">
              <w:rPr>
                <w:spacing w:val="-2"/>
                <w:sz w:val="17"/>
                <w:szCs w:val="17"/>
              </w:rPr>
              <w:t>CA</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 salvo algas, bacterias y hongos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Chile</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CL</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keepNext/>
              <w:jc w:val="left"/>
              <w:rPr>
                <w:sz w:val="17"/>
                <w:szCs w:val="17"/>
              </w:rPr>
            </w:pPr>
            <w:r w:rsidRPr="009B46B1">
              <w:rPr>
                <w:sz w:val="17"/>
                <w:szCs w:val="17"/>
              </w:rPr>
              <w:t>China</w:t>
            </w:r>
          </w:p>
        </w:tc>
        <w:tc>
          <w:tcPr>
            <w:tcW w:w="568" w:type="dxa"/>
            <w:noWrap/>
          </w:tcPr>
          <w:p w:rsidR="00EA0F8E" w:rsidRPr="009B46B1" w:rsidRDefault="00EA0F8E" w:rsidP="00EA0F8E">
            <w:pPr>
              <w:keepNext/>
              <w:jc w:val="center"/>
              <w:rPr>
                <w:sz w:val="17"/>
                <w:szCs w:val="17"/>
              </w:rPr>
            </w:pPr>
            <w:r w:rsidRPr="009B46B1">
              <w:rPr>
                <w:sz w:val="17"/>
                <w:szCs w:val="17"/>
              </w:rPr>
              <w:t>CN</w:t>
            </w:r>
          </w:p>
        </w:tc>
        <w:tc>
          <w:tcPr>
            <w:tcW w:w="1134" w:type="dxa"/>
          </w:tcPr>
          <w:p w:rsidR="00EA0F8E" w:rsidRPr="009B46B1" w:rsidRDefault="00EA0F8E" w:rsidP="00EA0F8E">
            <w:pPr>
              <w:keepNext/>
              <w:jc w:val="center"/>
              <w:rPr>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Lechuga, rosal</w:t>
            </w:r>
          </w:p>
        </w:tc>
      </w:tr>
      <w:tr w:rsidR="00EA0F8E" w:rsidRPr="009B46B1" w:rsidTr="009B46B1">
        <w:trPr>
          <w:cantSplit/>
        </w:trPr>
        <w:tc>
          <w:tcPr>
            <w:tcW w:w="2838" w:type="dxa"/>
          </w:tcPr>
          <w:p w:rsidR="00EA0F8E" w:rsidRPr="009B46B1" w:rsidRDefault="00EA0F8E" w:rsidP="00EA0F8E">
            <w:pPr>
              <w:keepNext/>
              <w:jc w:val="left"/>
              <w:rPr>
                <w:sz w:val="17"/>
                <w:szCs w:val="17"/>
              </w:rPr>
            </w:pPr>
            <w:r w:rsidRPr="009B46B1">
              <w:rPr>
                <w:sz w:val="17"/>
                <w:szCs w:val="17"/>
              </w:rPr>
              <w:t>Colombia</w:t>
            </w:r>
          </w:p>
        </w:tc>
        <w:tc>
          <w:tcPr>
            <w:tcW w:w="568" w:type="dxa"/>
            <w:noWrap/>
          </w:tcPr>
          <w:p w:rsidR="00EA0F8E" w:rsidRPr="009B46B1" w:rsidRDefault="00EA0F8E" w:rsidP="00EA0F8E">
            <w:pPr>
              <w:keepNext/>
              <w:jc w:val="center"/>
              <w:rPr>
                <w:sz w:val="17"/>
                <w:szCs w:val="17"/>
              </w:rPr>
            </w:pPr>
            <w:r w:rsidRPr="009B46B1">
              <w:rPr>
                <w:sz w:val="17"/>
                <w:szCs w:val="17"/>
              </w:rPr>
              <w:t>CO</w:t>
            </w:r>
          </w:p>
        </w:tc>
        <w:tc>
          <w:tcPr>
            <w:tcW w:w="1134" w:type="dxa"/>
          </w:tcPr>
          <w:p w:rsidR="00EA0F8E" w:rsidRPr="009B46B1" w:rsidRDefault="00EA0F8E" w:rsidP="00EA0F8E">
            <w:pPr>
              <w:keepNext/>
              <w:jc w:val="center"/>
              <w:rPr>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 xml:space="preserve">Rosal, clavel, </w:t>
            </w:r>
            <w:r w:rsidRPr="009B46B1">
              <w:rPr>
                <w:i/>
                <w:spacing w:val="-2"/>
                <w:sz w:val="17"/>
                <w:szCs w:val="17"/>
              </w:rPr>
              <w:t>Alstroemeria</w:t>
            </w:r>
            <w:r w:rsidRPr="009B46B1">
              <w:rPr>
                <w:spacing w:val="-2"/>
                <w:sz w:val="17"/>
                <w:szCs w:val="17"/>
              </w:rPr>
              <w:t>, crisantemo, gipsófila</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Estados Unidos de América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US</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Lechuga, papa/patata, soja y trigo</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Francia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FR</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Georgia</w:t>
            </w:r>
          </w:p>
        </w:tc>
        <w:tc>
          <w:tcPr>
            <w:tcW w:w="568" w:type="dxa"/>
            <w:noWrap/>
          </w:tcPr>
          <w:p w:rsidR="00EA0F8E" w:rsidRPr="009B46B1" w:rsidRDefault="00EA0F8E" w:rsidP="00EA0F8E">
            <w:pPr>
              <w:jc w:val="center"/>
              <w:rPr>
                <w:spacing w:val="-2"/>
                <w:sz w:val="17"/>
                <w:szCs w:val="17"/>
              </w:rPr>
            </w:pPr>
            <w:r w:rsidRPr="009B46B1">
              <w:rPr>
                <w:spacing w:val="-2"/>
                <w:sz w:val="17"/>
                <w:szCs w:val="17"/>
              </w:rPr>
              <w:t>GE</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Maíz, trigo, haboncillo, alubia, manzano (variedades frutales), peral, cebada, avena, papa/patata, cerezo (cerezo dulce), frambueso, tomate, durazno/melocotonero, avellano, zarzamora, soja, girasol, nogal, arándano, garbanzo, lenteja</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Japón</w:t>
            </w:r>
          </w:p>
        </w:tc>
        <w:tc>
          <w:tcPr>
            <w:tcW w:w="568" w:type="dxa"/>
            <w:noWrap/>
          </w:tcPr>
          <w:p w:rsidR="00EA0F8E" w:rsidRPr="009B46B1" w:rsidRDefault="00EA0F8E" w:rsidP="00EA0F8E">
            <w:pPr>
              <w:jc w:val="center"/>
              <w:rPr>
                <w:spacing w:val="-2"/>
                <w:sz w:val="17"/>
                <w:szCs w:val="17"/>
              </w:rPr>
            </w:pPr>
            <w:r w:rsidRPr="009B46B1">
              <w:rPr>
                <w:spacing w:val="-2"/>
                <w:sz w:val="17"/>
                <w:szCs w:val="17"/>
              </w:rPr>
              <w:t>JP</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rFonts w:cs="Arial"/>
                <w:caps/>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Por confirmar</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Kenya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KE</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México</w:t>
            </w:r>
          </w:p>
        </w:tc>
        <w:tc>
          <w:tcPr>
            <w:tcW w:w="568" w:type="dxa"/>
            <w:noWrap/>
          </w:tcPr>
          <w:p w:rsidR="00EA0F8E" w:rsidRPr="009B46B1" w:rsidRDefault="00EA0F8E" w:rsidP="00EA0F8E">
            <w:pPr>
              <w:jc w:val="center"/>
              <w:rPr>
                <w:spacing w:val="-2"/>
                <w:sz w:val="17"/>
                <w:szCs w:val="17"/>
              </w:rPr>
            </w:pPr>
            <w:r w:rsidRPr="009B46B1">
              <w:rPr>
                <w:spacing w:val="-2"/>
                <w:sz w:val="17"/>
                <w:szCs w:val="17"/>
              </w:rPr>
              <w:t>MX</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87 cultivos seleccionados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Noruega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NO</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Nueva Zelandia</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NZ</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Países Bajos</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NL</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keepNext/>
              <w:jc w:val="left"/>
              <w:rPr>
                <w:sz w:val="17"/>
                <w:szCs w:val="17"/>
              </w:rPr>
            </w:pPr>
            <w:r w:rsidRPr="009B46B1">
              <w:rPr>
                <w:sz w:val="17"/>
                <w:szCs w:val="17"/>
              </w:rPr>
              <w:t>Paraguay</w:t>
            </w:r>
          </w:p>
        </w:tc>
        <w:tc>
          <w:tcPr>
            <w:tcW w:w="568" w:type="dxa"/>
            <w:noWrap/>
          </w:tcPr>
          <w:p w:rsidR="00EA0F8E" w:rsidRPr="009B46B1" w:rsidRDefault="00EA0F8E" w:rsidP="00EA0F8E">
            <w:pPr>
              <w:keepNext/>
              <w:jc w:val="center"/>
              <w:rPr>
                <w:sz w:val="17"/>
                <w:szCs w:val="17"/>
              </w:rPr>
            </w:pPr>
            <w:r w:rsidRPr="009B46B1">
              <w:rPr>
                <w:sz w:val="17"/>
                <w:szCs w:val="17"/>
              </w:rPr>
              <w:t>PY</w:t>
            </w:r>
          </w:p>
        </w:tc>
        <w:tc>
          <w:tcPr>
            <w:tcW w:w="1134" w:type="dxa"/>
          </w:tcPr>
          <w:p w:rsidR="00EA0F8E" w:rsidRPr="009B46B1" w:rsidRDefault="00EA0F8E" w:rsidP="00EA0F8E">
            <w:pPr>
              <w:keepNext/>
              <w:jc w:val="center"/>
              <w:rPr>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Soja</w:t>
            </w:r>
          </w:p>
        </w:tc>
      </w:tr>
      <w:tr w:rsidR="00EA0F8E" w:rsidRPr="009B46B1" w:rsidTr="009B46B1">
        <w:trPr>
          <w:cantSplit/>
        </w:trPr>
        <w:tc>
          <w:tcPr>
            <w:tcW w:w="2838" w:type="dxa"/>
          </w:tcPr>
          <w:p w:rsidR="00EA0F8E" w:rsidRPr="009B46B1" w:rsidRDefault="00EA0F8E" w:rsidP="00EA0F8E">
            <w:pPr>
              <w:keepNext/>
              <w:jc w:val="left"/>
              <w:rPr>
                <w:sz w:val="17"/>
                <w:szCs w:val="17"/>
              </w:rPr>
            </w:pPr>
            <w:r w:rsidRPr="009B46B1">
              <w:rPr>
                <w:sz w:val="17"/>
                <w:szCs w:val="17"/>
              </w:rPr>
              <w:t>República de Moldova</w:t>
            </w:r>
          </w:p>
        </w:tc>
        <w:tc>
          <w:tcPr>
            <w:tcW w:w="568" w:type="dxa"/>
            <w:noWrap/>
          </w:tcPr>
          <w:p w:rsidR="00EA0F8E" w:rsidRPr="009B46B1" w:rsidRDefault="00EA0F8E" w:rsidP="00EA0F8E">
            <w:pPr>
              <w:keepNext/>
              <w:jc w:val="center"/>
              <w:rPr>
                <w:sz w:val="17"/>
                <w:szCs w:val="17"/>
              </w:rPr>
            </w:pPr>
            <w:r w:rsidRPr="009B46B1">
              <w:rPr>
                <w:sz w:val="17"/>
                <w:szCs w:val="17"/>
              </w:rPr>
              <w:t>MD</w:t>
            </w:r>
          </w:p>
        </w:tc>
        <w:tc>
          <w:tcPr>
            <w:tcW w:w="1134" w:type="dxa"/>
          </w:tcPr>
          <w:p w:rsidR="00EA0F8E" w:rsidRPr="009B46B1" w:rsidRDefault="00EA0F8E" w:rsidP="00EA0F8E">
            <w:pPr>
              <w:keepNext/>
              <w:jc w:val="center"/>
              <w:rPr>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Maíz, trigo, guisante/arveja, cebada, ciruelo europeo, tomate, vid, pimiento, ají, chile, girasol, nogal, variedades frutales de manzano, lechuga, papa/patata, rosal, soja</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Suiza</w:t>
            </w:r>
          </w:p>
        </w:tc>
        <w:tc>
          <w:tcPr>
            <w:tcW w:w="568" w:type="dxa"/>
            <w:noWrap/>
          </w:tcPr>
          <w:p w:rsidR="00EA0F8E" w:rsidRPr="009B46B1" w:rsidRDefault="00EA0F8E" w:rsidP="00EA0F8E">
            <w:pPr>
              <w:jc w:val="center"/>
              <w:rPr>
                <w:spacing w:val="-2"/>
                <w:sz w:val="17"/>
                <w:szCs w:val="17"/>
              </w:rPr>
            </w:pPr>
            <w:r w:rsidRPr="009B46B1">
              <w:rPr>
                <w:spacing w:val="-2"/>
                <w:sz w:val="17"/>
                <w:szCs w:val="17"/>
              </w:rPr>
              <w:t>CH</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Túnez</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TN</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keepNext/>
              <w:jc w:val="left"/>
              <w:rPr>
                <w:sz w:val="17"/>
                <w:szCs w:val="17"/>
              </w:rPr>
            </w:pPr>
            <w:r w:rsidRPr="009B46B1">
              <w:rPr>
                <w:sz w:val="17"/>
                <w:szCs w:val="17"/>
              </w:rPr>
              <w:t>Turquía</w:t>
            </w:r>
          </w:p>
        </w:tc>
        <w:tc>
          <w:tcPr>
            <w:tcW w:w="568" w:type="dxa"/>
            <w:noWrap/>
          </w:tcPr>
          <w:p w:rsidR="00EA0F8E" w:rsidRPr="009B46B1" w:rsidRDefault="00EA0F8E" w:rsidP="00EA0F8E">
            <w:pPr>
              <w:keepNext/>
              <w:jc w:val="center"/>
              <w:rPr>
                <w:sz w:val="17"/>
                <w:szCs w:val="17"/>
              </w:rPr>
            </w:pPr>
            <w:r w:rsidRPr="009B46B1">
              <w:rPr>
                <w:sz w:val="17"/>
                <w:szCs w:val="17"/>
              </w:rPr>
              <w:t>TR</w:t>
            </w:r>
          </w:p>
        </w:tc>
        <w:tc>
          <w:tcPr>
            <w:tcW w:w="1134" w:type="dxa"/>
          </w:tcPr>
          <w:p w:rsidR="00EA0F8E" w:rsidRPr="009B46B1" w:rsidRDefault="00EA0F8E" w:rsidP="00EA0F8E">
            <w:pPr>
              <w:keepNext/>
              <w:jc w:val="center"/>
              <w:rPr>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Unión Europea</w:t>
            </w:r>
          </w:p>
        </w:tc>
        <w:tc>
          <w:tcPr>
            <w:tcW w:w="568" w:type="dxa"/>
            <w:noWrap/>
          </w:tcPr>
          <w:p w:rsidR="00EA0F8E" w:rsidRPr="009B46B1" w:rsidRDefault="00EA0F8E" w:rsidP="00EA0F8E">
            <w:pPr>
              <w:jc w:val="center"/>
              <w:rPr>
                <w:spacing w:val="-2"/>
                <w:sz w:val="17"/>
                <w:szCs w:val="17"/>
              </w:rPr>
            </w:pPr>
            <w:r w:rsidRPr="009B46B1">
              <w:rPr>
                <w:spacing w:val="-2"/>
                <w:sz w:val="17"/>
                <w:szCs w:val="17"/>
              </w:rPr>
              <w:t>QZ</w:t>
            </w:r>
          </w:p>
        </w:tc>
        <w:tc>
          <w:tcPr>
            <w:tcW w:w="1134" w:type="dxa"/>
          </w:tcPr>
          <w:p w:rsidR="00EA0F8E" w:rsidRPr="009B46B1" w:rsidRDefault="00EA0F8E" w:rsidP="00EA0F8E">
            <w:pPr>
              <w:jc w:val="center"/>
              <w:rPr>
                <w:spacing w:val="-2"/>
                <w:sz w:val="17"/>
                <w:szCs w:val="17"/>
              </w:rPr>
            </w:pP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Variedades frutales de manzano, lechuga, papa/patata, rosal, soja</w:t>
            </w:r>
          </w:p>
        </w:tc>
      </w:tr>
      <w:tr w:rsidR="00EA0F8E" w:rsidRPr="009B46B1" w:rsidTr="009B46B1">
        <w:trPr>
          <w:cantSplit/>
        </w:trPr>
        <w:tc>
          <w:tcPr>
            <w:tcW w:w="2838" w:type="dxa"/>
          </w:tcPr>
          <w:p w:rsidR="00EA0F8E" w:rsidRPr="009B46B1" w:rsidRDefault="00EA0F8E" w:rsidP="00EA0F8E">
            <w:pPr>
              <w:jc w:val="left"/>
              <w:rPr>
                <w:spacing w:val="-2"/>
                <w:sz w:val="17"/>
                <w:szCs w:val="17"/>
              </w:rPr>
            </w:pPr>
            <w:r w:rsidRPr="009B46B1">
              <w:rPr>
                <w:spacing w:val="-2"/>
                <w:sz w:val="17"/>
                <w:szCs w:val="17"/>
              </w:rPr>
              <w:t>Uruguay</w:t>
            </w:r>
          </w:p>
        </w:tc>
        <w:tc>
          <w:tcPr>
            <w:tcW w:w="568" w:type="dxa"/>
            <w:noWrap/>
            <w:hideMark/>
          </w:tcPr>
          <w:p w:rsidR="00EA0F8E" w:rsidRPr="009B46B1" w:rsidRDefault="00EA0F8E" w:rsidP="00EA0F8E">
            <w:pPr>
              <w:jc w:val="center"/>
              <w:rPr>
                <w:spacing w:val="-2"/>
                <w:sz w:val="17"/>
                <w:szCs w:val="17"/>
              </w:rPr>
            </w:pPr>
            <w:r w:rsidRPr="009B46B1">
              <w:rPr>
                <w:spacing w:val="-2"/>
                <w:sz w:val="17"/>
                <w:szCs w:val="17"/>
              </w:rPr>
              <w:t>UY</w:t>
            </w:r>
          </w:p>
        </w:tc>
        <w:tc>
          <w:tcPr>
            <w:tcW w:w="1134" w:type="dxa"/>
          </w:tcPr>
          <w:p w:rsidR="00EA0F8E" w:rsidRPr="009B46B1" w:rsidRDefault="00EA0F8E" w:rsidP="00EA0F8E">
            <w:pPr>
              <w:jc w:val="center"/>
              <w:rPr>
                <w:spacing w:val="-2"/>
                <w:sz w:val="17"/>
                <w:szCs w:val="17"/>
              </w:rPr>
            </w:pPr>
            <w:r w:rsidRPr="009B46B1">
              <w:rPr>
                <w:rFonts w:cs="Arial"/>
                <w:caps/>
                <w:sz w:val="17"/>
                <w:szCs w:val="17"/>
              </w:rPr>
              <w:sym w:font="Wingdings 2" w:char="F050"/>
            </w:r>
          </w:p>
        </w:tc>
        <w:tc>
          <w:tcPr>
            <w:tcW w:w="1414" w:type="dxa"/>
          </w:tcPr>
          <w:p w:rsidR="00EA0F8E" w:rsidRPr="009B46B1" w:rsidRDefault="00EA0F8E" w:rsidP="00EA0F8E">
            <w:pPr>
              <w:jc w:val="center"/>
              <w:rPr>
                <w:sz w:val="17"/>
                <w:szCs w:val="17"/>
              </w:rPr>
            </w:pPr>
            <w:r w:rsidRPr="009B46B1">
              <w:rPr>
                <w:rFonts w:cs="Arial"/>
                <w:caps/>
                <w:sz w:val="17"/>
                <w:szCs w:val="17"/>
              </w:rPr>
              <w:sym w:font="Wingdings 2" w:char="F050"/>
            </w:r>
          </w:p>
        </w:tc>
        <w:tc>
          <w:tcPr>
            <w:tcW w:w="4395" w:type="dxa"/>
          </w:tcPr>
          <w:p w:rsidR="00EA0F8E" w:rsidRPr="009B46B1" w:rsidRDefault="00EA0F8E" w:rsidP="00EA0F8E">
            <w:pPr>
              <w:jc w:val="center"/>
              <w:rPr>
                <w:spacing w:val="-2"/>
                <w:sz w:val="17"/>
                <w:szCs w:val="17"/>
              </w:rPr>
            </w:pPr>
            <w:r w:rsidRPr="009B46B1">
              <w:rPr>
                <w:spacing w:val="-2"/>
                <w:sz w:val="17"/>
                <w:szCs w:val="17"/>
              </w:rPr>
              <w:t>Todos los géneros y especies</w:t>
            </w:r>
          </w:p>
        </w:tc>
      </w:tr>
      <w:tr w:rsidR="00EA0F8E" w:rsidRPr="009B46B1" w:rsidTr="009B46B1">
        <w:trPr>
          <w:cantSplit/>
        </w:trPr>
        <w:tc>
          <w:tcPr>
            <w:tcW w:w="2838" w:type="dxa"/>
            <w:vAlign w:val="center"/>
          </w:tcPr>
          <w:p w:rsidR="00EA0F8E" w:rsidRPr="009B46B1" w:rsidRDefault="00EA0F8E" w:rsidP="00EA0F8E">
            <w:pPr>
              <w:jc w:val="center"/>
              <w:rPr>
                <w:bCs/>
                <w:spacing w:val="-2"/>
                <w:sz w:val="17"/>
                <w:szCs w:val="17"/>
              </w:rPr>
            </w:pPr>
            <w:r w:rsidRPr="009B46B1">
              <w:rPr>
                <w:spacing w:val="-2"/>
                <w:sz w:val="17"/>
                <w:szCs w:val="17"/>
              </w:rPr>
              <w:t>Total</w:t>
            </w:r>
          </w:p>
        </w:tc>
        <w:tc>
          <w:tcPr>
            <w:tcW w:w="568" w:type="dxa"/>
            <w:noWrap/>
            <w:hideMark/>
          </w:tcPr>
          <w:p w:rsidR="00EA0F8E" w:rsidRPr="009B46B1" w:rsidRDefault="00EA0F8E" w:rsidP="00EA0F8E">
            <w:pPr>
              <w:jc w:val="center"/>
              <w:rPr>
                <w:bCs/>
                <w:spacing w:val="-2"/>
                <w:sz w:val="17"/>
                <w:szCs w:val="17"/>
              </w:rPr>
            </w:pPr>
          </w:p>
        </w:tc>
        <w:tc>
          <w:tcPr>
            <w:tcW w:w="1134" w:type="dxa"/>
          </w:tcPr>
          <w:p w:rsidR="00EA0F8E" w:rsidRPr="009B46B1" w:rsidRDefault="00EA0F8E" w:rsidP="00EA0F8E">
            <w:pPr>
              <w:jc w:val="center"/>
              <w:rPr>
                <w:bCs/>
                <w:spacing w:val="-2"/>
                <w:sz w:val="17"/>
                <w:szCs w:val="17"/>
              </w:rPr>
            </w:pPr>
            <w:r w:rsidRPr="009B46B1">
              <w:rPr>
                <w:spacing w:val="-2"/>
                <w:sz w:val="17"/>
                <w:szCs w:val="17"/>
              </w:rPr>
              <w:t>16</w:t>
            </w:r>
          </w:p>
        </w:tc>
        <w:tc>
          <w:tcPr>
            <w:tcW w:w="1414" w:type="dxa"/>
          </w:tcPr>
          <w:p w:rsidR="00EA0F8E" w:rsidRPr="009B46B1" w:rsidRDefault="00EA0F8E" w:rsidP="00EA0F8E">
            <w:pPr>
              <w:jc w:val="center"/>
              <w:rPr>
                <w:bCs/>
                <w:spacing w:val="-2"/>
                <w:sz w:val="17"/>
                <w:szCs w:val="17"/>
              </w:rPr>
            </w:pPr>
            <w:r w:rsidRPr="009B46B1">
              <w:rPr>
                <w:spacing w:val="-2"/>
                <w:sz w:val="17"/>
                <w:szCs w:val="17"/>
              </w:rPr>
              <w:t>23</w:t>
            </w:r>
          </w:p>
        </w:tc>
        <w:tc>
          <w:tcPr>
            <w:tcW w:w="4395" w:type="dxa"/>
            <w:vAlign w:val="center"/>
          </w:tcPr>
          <w:p w:rsidR="00EA0F8E" w:rsidRPr="009B46B1" w:rsidRDefault="00EA0F8E" w:rsidP="00EA0F8E">
            <w:pPr>
              <w:jc w:val="center"/>
              <w:rPr>
                <w:bCs/>
                <w:spacing w:val="-2"/>
                <w:sz w:val="17"/>
                <w:szCs w:val="17"/>
              </w:rPr>
            </w:pPr>
          </w:p>
        </w:tc>
      </w:tr>
    </w:tbl>
    <w:p w:rsidR="00EA0F8E" w:rsidRPr="00062B38" w:rsidRDefault="00EA0F8E" w:rsidP="00EA0F8E">
      <w:pPr>
        <w:pStyle w:val="Heading4"/>
      </w:pPr>
      <w:r w:rsidRPr="00062B38">
        <w:t>Idiomas</w:t>
      </w:r>
    </w:p>
    <w:p w:rsidR="00EA0F8E" w:rsidRPr="00062B38" w:rsidRDefault="00EA0F8E" w:rsidP="00EA0F8E">
      <w:pPr>
        <w:keepNext/>
      </w:pPr>
    </w:p>
    <w:p w:rsidR="00EA0F8E" w:rsidRPr="00062B38" w:rsidRDefault="00EA0F8E" w:rsidP="00EA0F8E">
      <w:r w:rsidRPr="00062B38">
        <w:fldChar w:fldCharType="begin"/>
      </w:r>
      <w:r w:rsidRPr="00062B38">
        <w:instrText xml:space="preserve"> AUTONUM  </w:instrText>
      </w:r>
      <w:r w:rsidRPr="00062B38">
        <w:fldChar w:fldCharType="end"/>
      </w:r>
      <w:r w:rsidRPr="00062B38">
        <w:tab/>
        <w:t xml:space="preserve">En la versión 2.0 del EAF, todos los elementos (las preguntas) seguirán presentándose en alemán, español, francés e inglés.  Si los miembros de la Unión participantes las facilitan, se publicarán las traducciones a otros idiomas (por ejemplo, el chino) de los elementos (las preguntas) de las nuevas oficinas de protección de las obtenciones vegetales y de los nuevos cultivos y especies, con el correspondiente descargo de responsabilidad. </w:t>
      </w:r>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ab/>
        <w:t>Se solicitará a los usuarios que proporcionen la información (las respuestas) en uno de los idiomas admitidos por la oficina de protección de las obtenciones vegetales en cuestión, que se indicarán en el formulario.</w:t>
      </w:r>
    </w:p>
    <w:p w:rsidR="00EA0F8E" w:rsidRPr="00062B38" w:rsidRDefault="00EA0F8E" w:rsidP="00EA0F8E"/>
    <w:p w:rsidR="00EA0F8E" w:rsidRPr="00062B38" w:rsidRDefault="00EA0F8E" w:rsidP="00EA0F8E">
      <w:pPr>
        <w:pStyle w:val="Heading4"/>
      </w:pPr>
      <w:bookmarkStart w:id="25" w:name="_Toc461641458"/>
      <w:r w:rsidRPr="00062B38">
        <w:t>Calendario tentativo para la versión 2.0 del EAF</w:t>
      </w:r>
    </w:p>
    <w:p w:rsidR="00EA0F8E" w:rsidRPr="00062B38" w:rsidRDefault="00EA0F8E" w:rsidP="00EA0F8E">
      <w:pPr>
        <w:jc w:val="left"/>
        <w:rPr>
          <w:rFonts w:cs="Arial"/>
        </w:rPr>
      </w:pPr>
    </w:p>
    <w:bookmarkEnd w:id="25"/>
    <w:p w:rsidR="00EA0F8E" w:rsidRPr="00062B38" w:rsidRDefault="00EA0F8E" w:rsidP="00EA0F8E">
      <w:r w:rsidRPr="00062B38">
        <w:rPr>
          <w:rFonts w:cs="Arial"/>
          <w:spacing w:val="-2"/>
        </w:rPr>
        <w:fldChar w:fldCharType="begin"/>
      </w:r>
      <w:r w:rsidRPr="00062B38">
        <w:rPr>
          <w:rFonts w:cs="Arial"/>
          <w:spacing w:val="-2"/>
        </w:rPr>
        <w:instrText xml:space="preserve"> AUTONUM  </w:instrText>
      </w:r>
      <w:r w:rsidRPr="00062B38">
        <w:rPr>
          <w:rFonts w:cs="Arial"/>
          <w:spacing w:val="-2"/>
        </w:rPr>
        <w:fldChar w:fldCharType="end"/>
      </w:r>
      <w:r w:rsidRPr="00062B38">
        <w:tab/>
        <w:t xml:space="preserve">Se invitará a los miembros participantes en la elaboración de la versión 2.0 del EAF a probar la herramienta por medio de las diferentes ediciones que habrá durante la campaña de pruebas en noviembre-diciembre de 2017.  Previa validación, la versión 2.0 se pondrá en funcionamiento en enero de 2018. </w:t>
      </w:r>
    </w:p>
    <w:p w:rsidR="00EA0F8E" w:rsidRPr="00062B38" w:rsidRDefault="00EA0F8E" w:rsidP="00EA0F8E"/>
    <w:p w:rsidR="00EA0F8E" w:rsidRPr="00062B38" w:rsidRDefault="00EA0F8E" w:rsidP="00EA0F8E"/>
    <w:p w:rsidR="00EA0F8E" w:rsidRPr="00062B38" w:rsidRDefault="00EA0F8E" w:rsidP="00EA0F8E"/>
    <w:p w:rsidR="00EA0F8E" w:rsidRPr="00062B38" w:rsidRDefault="00EA0F8E" w:rsidP="00EA0F8E">
      <w:pPr>
        <w:pStyle w:val="Heading1"/>
      </w:pPr>
      <w:bookmarkStart w:id="26" w:name="_Toc493077453"/>
      <w:bookmarkStart w:id="27" w:name="_Toc495079758"/>
      <w:bookmarkStart w:id="28" w:name="_Toc496172957"/>
      <w:r w:rsidRPr="00062B38">
        <w:t>Nombre</w:t>
      </w:r>
      <w:bookmarkEnd w:id="26"/>
      <w:bookmarkEnd w:id="27"/>
      <w:bookmarkEnd w:id="28"/>
      <w:r w:rsidRPr="00062B38">
        <w:t xml:space="preserve"> </w:t>
      </w:r>
    </w:p>
    <w:p w:rsidR="00EA0F8E" w:rsidRPr="00062B38" w:rsidRDefault="00EA0F8E" w:rsidP="00EA0F8E">
      <w:pPr>
        <w:pStyle w:val="Heading2"/>
      </w:pPr>
    </w:p>
    <w:p w:rsidR="00EA0F8E" w:rsidRPr="00062B38" w:rsidRDefault="00EA0F8E" w:rsidP="00EA0F8E">
      <w:pPr>
        <w:keepNext/>
      </w:pPr>
      <w:r w:rsidRPr="00062B38">
        <w:fldChar w:fldCharType="begin"/>
      </w:r>
      <w:r w:rsidRPr="00062B38">
        <w:instrText xml:space="preserve"> AUTONUM  </w:instrText>
      </w:r>
      <w:r w:rsidRPr="00062B38">
        <w:fldChar w:fldCharType="end"/>
      </w:r>
      <w:r w:rsidRPr="00062B38">
        <w:tab/>
        <w:t>Los participantes en reunión EAF/9 acordaron que el nuevo nombre del EAF sea “PRISMA” (sigla en inglés de Sistema de información de encaminamiento para datos de variedades vegetales con formularios plurilingües) y eligieron el siguiente logo, que se presentó en la reunión:</w:t>
      </w:r>
    </w:p>
    <w:p w:rsidR="00EA0F8E" w:rsidRPr="00062B38" w:rsidRDefault="00EA0F8E" w:rsidP="00EA0F8E">
      <w:pPr>
        <w:ind w:left="567"/>
        <w:jc w:val="center"/>
      </w:pPr>
      <w:r w:rsidRPr="00062B38">
        <w:rPr>
          <w:noProof/>
        </w:rPr>
        <w:drawing>
          <wp:inline distT="0" distB="0" distL="0" distR="0">
            <wp:extent cx="1165860" cy="1143127"/>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ab/>
        <w:t>En la reunión EAF/9 se acordó que el nombre “PRISMA” y el logo propuesto se sometan a la aprobación del Consejo en su quincuagésima primera sesión ordinaria, prevista en Ginebra el 26 de octubre de 2017.  Cualquier decisión que tome el Consejo en su quincuagésima primera sesión ordinaria se notificará en la reunión EAF/10.</w:t>
      </w:r>
    </w:p>
    <w:p w:rsidR="00EA0F8E" w:rsidRDefault="00EA0F8E" w:rsidP="00EA0F8E"/>
    <w:p w:rsidR="00EA0F8E" w:rsidRPr="00062B38" w:rsidRDefault="00EA0F8E" w:rsidP="00EA0F8E"/>
    <w:p w:rsidR="00EA0F8E" w:rsidRPr="00062B38" w:rsidRDefault="00EA0F8E" w:rsidP="00EA0F8E"/>
    <w:p w:rsidR="00EA0F8E" w:rsidRPr="00062B38" w:rsidRDefault="00EA0F8E" w:rsidP="00EA0F8E">
      <w:pPr>
        <w:pStyle w:val="Heading1"/>
      </w:pPr>
      <w:bookmarkStart w:id="29" w:name="_Toc485110117"/>
      <w:bookmarkStart w:id="30" w:name="_Toc495079759"/>
      <w:bookmarkStart w:id="31" w:name="_Toc496172958"/>
      <w:r w:rsidRPr="00062B38">
        <w:t>Comunicación</w:t>
      </w:r>
      <w:bookmarkEnd w:id="29"/>
      <w:bookmarkEnd w:id="30"/>
      <w:bookmarkEnd w:id="31"/>
    </w:p>
    <w:p w:rsidR="00EA0F8E" w:rsidRPr="00062B38" w:rsidRDefault="00EA0F8E" w:rsidP="00EA0F8E">
      <w:pPr>
        <w:pStyle w:val="Heading2"/>
      </w:pPr>
    </w:p>
    <w:p w:rsidR="00EA0F8E" w:rsidRPr="00062B38" w:rsidRDefault="00EA0F8E" w:rsidP="00EA0F8E">
      <w:pPr>
        <w:keepNext/>
        <w:rPr>
          <w:rFonts w:eastAsia="MS Mincho"/>
          <w:spacing w:val="-2"/>
        </w:rPr>
      </w:pPr>
      <w:r w:rsidRPr="00062B38">
        <w:fldChar w:fldCharType="begin"/>
      </w:r>
      <w:r w:rsidRPr="00062B38">
        <w:instrText xml:space="preserve"> AUTONUM  </w:instrText>
      </w:r>
      <w:r w:rsidRPr="00062B38">
        <w:fldChar w:fldCharType="end"/>
      </w:r>
      <w:r w:rsidRPr="00062B38">
        <w:tab/>
        <w:t>Se han tomado las siguientes iniciativas:</w:t>
      </w:r>
    </w:p>
    <w:p w:rsidR="00EA0F8E" w:rsidRPr="00062B38" w:rsidRDefault="00EA0F8E" w:rsidP="00EA0F8E">
      <w:pPr>
        <w:rPr>
          <w:rFonts w:eastAsia="MS Mincho"/>
        </w:rPr>
      </w:pPr>
    </w:p>
    <w:p w:rsidR="00EA0F8E" w:rsidRPr="00062B38" w:rsidRDefault="00EA0F8E" w:rsidP="00EA0F8E">
      <w:pPr>
        <w:ind w:firstLine="567"/>
        <w:rPr>
          <w:rFonts w:cs="Arial"/>
        </w:rPr>
      </w:pPr>
      <w:r w:rsidRPr="00062B38">
        <w:t>a)</w:t>
      </w:r>
      <w:r w:rsidRPr="00062B38">
        <w:tab/>
        <w:t xml:space="preserve">cuando se puso en funcionamiento el EAF el 9 de enero de 2017, se creó una página web propia, disponible en: </w:t>
      </w:r>
      <w:hyperlink r:id="rId12">
        <w:r w:rsidRPr="00062B38">
          <w:rPr>
            <w:rStyle w:val="Hyperlink"/>
          </w:rPr>
          <w:t>http://www.upov.int/upoveaf</w:t>
        </w:r>
      </w:hyperlink>
      <w:r w:rsidRPr="00062B38">
        <w:t>, en la que consta toda la información necesaria para acceder y utilizar este formulario.</w:t>
      </w:r>
    </w:p>
    <w:p w:rsidR="00EA0F8E" w:rsidRPr="00062B38" w:rsidRDefault="00EA0F8E" w:rsidP="00EA0F8E">
      <w:pPr>
        <w:pStyle w:val="ListParagraph"/>
        <w:ind w:left="0" w:firstLine="567"/>
        <w:jc w:val="both"/>
        <w:rPr>
          <w:rFonts w:ascii="Arial" w:hAnsi="Arial" w:cs="Arial"/>
          <w:sz w:val="20"/>
          <w:szCs w:val="20"/>
        </w:rPr>
      </w:pPr>
    </w:p>
    <w:p w:rsidR="00EA0F8E" w:rsidRPr="00062B38" w:rsidRDefault="00EA0F8E" w:rsidP="00EA0F8E">
      <w:pPr>
        <w:ind w:firstLine="567"/>
        <w:rPr>
          <w:rFonts w:cs="Arial"/>
        </w:rPr>
      </w:pPr>
      <w:r w:rsidRPr="00062B38">
        <w:t>b)</w:t>
      </w:r>
      <w:r w:rsidRPr="00062B38">
        <w:tab/>
        <w:t>cuando se puso en funcionamiento el EAF, la Oficina de la Unión informó sobre la disponibilidad del sistema a las organizaciones de obtentores y las oficinas de protección de las obtenciones vegetales (véanse las circulares E-17/007, E-17/008 y E-17/009) y las invitó a que informaran a todos los sectores interesados pertinentes;</w:t>
      </w:r>
    </w:p>
    <w:p w:rsidR="00EA0F8E" w:rsidRPr="00062B38" w:rsidRDefault="00EA0F8E" w:rsidP="00EA0F8E">
      <w:pPr>
        <w:ind w:firstLine="567"/>
        <w:rPr>
          <w:rFonts w:cs="Arial"/>
        </w:rPr>
      </w:pPr>
    </w:p>
    <w:p w:rsidR="00EA0F8E" w:rsidRPr="00062B38" w:rsidRDefault="00EA0F8E" w:rsidP="00EA0F8E">
      <w:pPr>
        <w:ind w:firstLine="567"/>
        <w:rPr>
          <w:rFonts w:cs="Arial"/>
        </w:rPr>
      </w:pPr>
      <w:r w:rsidRPr="00062B38">
        <w:t>c)</w:t>
      </w:r>
      <w:r w:rsidRPr="00062B38">
        <w:tab/>
        <w:t>se ha elaborado el siguiente material de comunicación y se lo ha distribuido a los miembros de la UPOV y organizaciones de obtentores que lo solicitaron (aún se dispone de ejemplares para facilitarlos previa petición);</w:t>
      </w:r>
    </w:p>
    <w:p w:rsidR="00EA0F8E" w:rsidRPr="00062B38" w:rsidRDefault="00EA0F8E" w:rsidP="00EA0F8E">
      <w:pPr>
        <w:pStyle w:val="ListParagraph"/>
        <w:rPr>
          <w:rFonts w:ascii="Arial" w:hAnsi="Arial" w:cs="Arial"/>
          <w:sz w:val="20"/>
          <w:szCs w:val="20"/>
        </w:rPr>
      </w:pPr>
    </w:p>
    <w:p w:rsidR="00EA0F8E" w:rsidRPr="00062B38" w:rsidRDefault="00EA0F8E" w:rsidP="00EA0F8E">
      <w:pPr>
        <w:pStyle w:val="ListParagraph"/>
        <w:numPr>
          <w:ilvl w:val="1"/>
          <w:numId w:val="50"/>
        </w:numPr>
        <w:jc w:val="both"/>
        <w:rPr>
          <w:rFonts w:ascii="Arial" w:hAnsi="Arial" w:cs="Arial"/>
          <w:sz w:val="20"/>
          <w:szCs w:val="20"/>
        </w:rPr>
      </w:pPr>
      <w:r w:rsidRPr="00062B38">
        <w:rPr>
          <w:rFonts w:ascii="Arial" w:hAnsi="Arial"/>
          <w:sz w:val="20"/>
        </w:rPr>
        <w:t>carteles y expositores enrollables en chino, español e inglés (reproducidos en el Anexo I del presente documento),</w:t>
      </w:r>
    </w:p>
    <w:p w:rsidR="00EA0F8E" w:rsidRPr="00EA0F8E" w:rsidRDefault="00EA0F8E" w:rsidP="00EA0F8E">
      <w:pPr>
        <w:pStyle w:val="ListParagraph"/>
        <w:numPr>
          <w:ilvl w:val="1"/>
          <w:numId w:val="50"/>
        </w:numPr>
        <w:jc w:val="both"/>
        <w:rPr>
          <w:rFonts w:ascii="Arial" w:hAnsi="Arial" w:cs="Arial"/>
          <w:sz w:val="20"/>
          <w:szCs w:val="20"/>
        </w:rPr>
      </w:pPr>
      <w:r w:rsidRPr="00EA0F8E">
        <w:rPr>
          <w:rFonts w:ascii="Arial" w:hAnsi="Arial"/>
          <w:sz w:val="20"/>
        </w:rPr>
        <w:t>folletos en chino, español, francés e inglés (reproducidos en el Anexo II del presente documento).</w:t>
      </w:r>
    </w:p>
    <w:p w:rsidR="00EA0F8E" w:rsidRPr="00062B38" w:rsidRDefault="00EA0F8E" w:rsidP="00EA0F8E">
      <w:pPr>
        <w:pStyle w:val="ListParagraph"/>
        <w:numPr>
          <w:ilvl w:val="1"/>
          <w:numId w:val="50"/>
        </w:numPr>
        <w:jc w:val="both"/>
        <w:rPr>
          <w:rFonts w:ascii="Arial" w:hAnsi="Arial" w:cs="Arial"/>
          <w:sz w:val="20"/>
          <w:szCs w:val="20"/>
        </w:rPr>
      </w:pPr>
      <w:r w:rsidRPr="00062B38">
        <w:rPr>
          <w:rFonts w:ascii="Arial" w:hAnsi="Arial"/>
          <w:sz w:val="20"/>
        </w:rPr>
        <w:t>se han elaborado una serie de guías (en inglés) y se han publicado en el sitio web de la UPOV con subtítulos en árabe, chino, coreano, español, francés y japonés;</w:t>
      </w:r>
    </w:p>
    <w:p w:rsidR="00EA0F8E" w:rsidRPr="00062B38" w:rsidRDefault="00EA0F8E" w:rsidP="00EA0F8E">
      <w:pPr>
        <w:rPr>
          <w:rFonts w:cs="Arial"/>
        </w:rPr>
      </w:pPr>
    </w:p>
    <w:p w:rsidR="00EA0F8E" w:rsidRPr="00062B38" w:rsidRDefault="00EA0F8E" w:rsidP="00EA0F8E">
      <w:pPr>
        <w:ind w:firstLine="567"/>
        <w:rPr>
          <w:rFonts w:cs="Arial"/>
        </w:rPr>
      </w:pPr>
      <w:r w:rsidRPr="00062B38">
        <w:t>d)</w:t>
      </w:r>
      <w:r w:rsidRPr="00062B38">
        <w:tab/>
        <w:t xml:space="preserve">se han organizado 5 reuniones (entre ellas sesiones y seminarios por Internet), previa petición, para solicitantes individuales o grupos de solicitantes; </w:t>
      </w:r>
    </w:p>
    <w:p w:rsidR="00EA0F8E" w:rsidRPr="00062B38" w:rsidRDefault="00EA0F8E" w:rsidP="00EA0F8E">
      <w:pPr>
        <w:pStyle w:val="ListParagraph"/>
        <w:ind w:left="0" w:firstLine="567"/>
        <w:jc w:val="both"/>
        <w:rPr>
          <w:rFonts w:ascii="Arial" w:hAnsi="Arial" w:cs="Arial"/>
          <w:sz w:val="20"/>
          <w:szCs w:val="20"/>
        </w:rPr>
      </w:pPr>
    </w:p>
    <w:p w:rsidR="00EA0F8E" w:rsidRPr="00062B38" w:rsidRDefault="00EA0F8E" w:rsidP="00EA0F8E">
      <w:pPr>
        <w:ind w:firstLine="567"/>
        <w:rPr>
          <w:rFonts w:cs="Arial"/>
        </w:rPr>
      </w:pPr>
      <w:r w:rsidRPr="00062B38">
        <w:t>e)</w:t>
      </w:r>
      <w:r w:rsidRPr="00062B38">
        <w:tab/>
        <w:t>se han presentado ponencias en las siguientes reuniones:  el congreso de la ISF, el foro EAPVP, el congreso de la ESA, reunión anual de AOHE y el congreso de la SAA;</w:t>
      </w:r>
    </w:p>
    <w:p w:rsidR="00EA0F8E" w:rsidRPr="00062B38" w:rsidRDefault="00EA0F8E" w:rsidP="00EA0F8E">
      <w:pPr>
        <w:ind w:firstLine="567"/>
      </w:pPr>
    </w:p>
    <w:p w:rsidR="00EA0F8E" w:rsidRPr="00062B38" w:rsidRDefault="00EA0F8E" w:rsidP="00EA0F8E">
      <w:pPr>
        <w:ind w:firstLine="567"/>
        <w:rPr>
          <w:rFonts w:cs="Arial"/>
        </w:rPr>
      </w:pPr>
      <w:r w:rsidRPr="00062B38">
        <w:t>f)</w:t>
      </w:r>
      <w:r w:rsidRPr="00062B38">
        <w:tab/>
        <w:t xml:space="preserve">se ha creado una página en LinkedIn, que puede consultarse en la dirección: </w:t>
      </w:r>
      <w:hyperlink r:id="rId13">
        <w:r w:rsidRPr="00062B38">
          <w:rPr>
            <w:rStyle w:val="Hyperlink"/>
            <w:snapToGrid w:val="0"/>
          </w:rPr>
          <w:t>https://www.linkedin.com/showcase/24973258/</w:t>
        </w:r>
      </w:hyperlink>
      <w:r w:rsidRPr="00062B38">
        <w:t xml:space="preserve">; </w:t>
      </w:r>
    </w:p>
    <w:p w:rsidR="00EA0F8E" w:rsidRPr="00062B38" w:rsidRDefault="00EA0F8E" w:rsidP="00EA0F8E">
      <w:pPr>
        <w:pStyle w:val="ListParagraph"/>
        <w:ind w:left="0" w:firstLine="567"/>
        <w:rPr>
          <w:rFonts w:ascii="Arial" w:hAnsi="Arial" w:cs="Arial"/>
          <w:sz w:val="20"/>
          <w:szCs w:val="20"/>
        </w:rPr>
      </w:pPr>
    </w:p>
    <w:p w:rsidR="00EA0F8E" w:rsidRPr="00062B38" w:rsidRDefault="00EA0F8E" w:rsidP="00EA0F8E">
      <w:pPr>
        <w:ind w:firstLine="567"/>
      </w:pPr>
      <w:r w:rsidRPr="00062B38">
        <w:t>g)</w:t>
      </w:r>
      <w:r w:rsidRPr="00062B38">
        <w:tab/>
        <w:t>la Oficina de la Unión ha invitado a las oficinas de protección de las obtenciones vegetales a difundir la información sobre la disponibilidad del EAF a los posibles usuarios (p. ej. obtentores, representantes, agentes, etc.) y a añadir en sus propios sitios web un enlace que remita al EAF (véase la Circular E-17/138).</w:t>
      </w:r>
    </w:p>
    <w:p w:rsidR="00EA0F8E" w:rsidRPr="00062B38" w:rsidRDefault="00EA0F8E" w:rsidP="00EA0F8E">
      <w:pPr>
        <w:pStyle w:val="ListParagraph"/>
        <w:ind w:left="0" w:firstLine="567"/>
        <w:rPr>
          <w:rFonts w:ascii="Arial" w:hAnsi="Arial"/>
          <w:sz w:val="20"/>
          <w:szCs w:val="20"/>
        </w:rPr>
      </w:pPr>
    </w:p>
    <w:p w:rsidR="00EA0F8E" w:rsidRPr="00EA0F8E" w:rsidRDefault="00EA0F8E" w:rsidP="00EA0F8E">
      <w:pPr>
        <w:pStyle w:val="ListParagraph"/>
        <w:numPr>
          <w:ilvl w:val="1"/>
          <w:numId w:val="48"/>
        </w:numPr>
        <w:jc w:val="both"/>
        <w:rPr>
          <w:rFonts w:ascii="Arial" w:hAnsi="Arial"/>
          <w:spacing w:val="-2"/>
          <w:sz w:val="20"/>
          <w:szCs w:val="20"/>
        </w:rPr>
      </w:pPr>
      <w:r w:rsidRPr="00EA0F8E">
        <w:rPr>
          <w:rFonts w:ascii="Arial" w:hAnsi="Arial"/>
          <w:spacing w:val="-2"/>
          <w:sz w:val="20"/>
        </w:rPr>
        <w:t xml:space="preserve">Al 6 de octubre de 2017, los siguientes miembros habían introducido en su página web oficial un enlace a la herramienta de solicitudes PBR (EAF): </w:t>
      </w:r>
      <w:r w:rsidR="00B852CF">
        <w:rPr>
          <w:rFonts w:ascii="Arial" w:hAnsi="Arial"/>
          <w:spacing w:val="-2"/>
          <w:sz w:val="20"/>
        </w:rPr>
        <w:t xml:space="preserve"> Nueva Zelandia,</w:t>
      </w:r>
      <w:r w:rsidRPr="00EA0F8E">
        <w:rPr>
          <w:rFonts w:ascii="Arial" w:hAnsi="Arial"/>
          <w:spacing w:val="-2"/>
          <w:sz w:val="20"/>
        </w:rPr>
        <w:t xml:space="preserve">Países Bajos, República de Moldova, </w:t>
      </w:r>
      <w:r w:rsidR="00B852CF">
        <w:rPr>
          <w:rFonts w:ascii="Arial" w:hAnsi="Arial"/>
          <w:spacing w:val="-2"/>
          <w:sz w:val="20"/>
        </w:rPr>
        <w:t>Turquía</w:t>
      </w:r>
      <w:r w:rsidR="00B307D2">
        <w:rPr>
          <w:rFonts w:ascii="Arial" w:hAnsi="Arial"/>
          <w:spacing w:val="-2"/>
          <w:sz w:val="20"/>
        </w:rPr>
        <w:t>.</w:t>
      </w:r>
    </w:p>
    <w:p w:rsidR="00EA0F8E" w:rsidRPr="00062B38" w:rsidRDefault="00EA0F8E" w:rsidP="00EA0F8E">
      <w:pPr>
        <w:pStyle w:val="ListParagraph"/>
        <w:rPr>
          <w:rFonts w:ascii="Arial" w:hAnsi="Arial"/>
          <w:sz w:val="20"/>
          <w:szCs w:val="20"/>
        </w:rPr>
      </w:pPr>
    </w:p>
    <w:p w:rsidR="00EA0F8E" w:rsidRPr="00062B38" w:rsidRDefault="00EA0F8E" w:rsidP="00EA0F8E">
      <w:r w:rsidRPr="00062B38">
        <w:fldChar w:fldCharType="begin"/>
      </w:r>
      <w:r w:rsidRPr="00062B38">
        <w:instrText xml:space="preserve"> AUTONUM  </w:instrText>
      </w:r>
      <w:r w:rsidRPr="00062B38">
        <w:fldChar w:fldCharType="end"/>
      </w:r>
      <w:r w:rsidRPr="00062B38">
        <w:tab/>
        <w:t>Se organizarán sesiones informativas en español, francés e inglés al margen de las sesiones de la UPOV, que se celebrarán en Ginebra en octubre de 2017 (véase la Circular E-17/139)</w:t>
      </w:r>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ab/>
        <w:t>La Oficina de la Unión está elaborando un plan de comunicación para 2018 que incluye los siguientes elementos:</w:t>
      </w:r>
    </w:p>
    <w:p w:rsidR="00EA0F8E" w:rsidRPr="00062B38" w:rsidRDefault="00EA0F8E" w:rsidP="00EA0F8E"/>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artículos de prensa;</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material de comunicación actualizado (carteles, folletos y guías) con el nuevo nombre y el logo y los nuevos cultivos y países que abarca;</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actualización del sitio web de la herramienta de solicitudes PBR (EAF) de la UPOV con nuevos testimonios de obtentores y oficinas de protección de las obtenciones vegetales;</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comunicación dirigida a posibles usuarios de la herramienta de solicitudes PBR (EAF) de la UPOV (p. ej. agentes, representantes, empresas dedicadas al fitomejoramiento y asociaciones de obtentores)</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sesiones de formación (</w:t>
      </w:r>
      <w:r w:rsidRPr="00062B38">
        <w:rPr>
          <w:rFonts w:ascii="Arial" w:hAnsi="Arial"/>
          <w:i/>
          <w:sz w:val="20"/>
        </w:rPr>
        <w:t>in situ</w:t>
      </w:r>
      <w:r w:rsidRPr="00062B38">
        <w:rPr>
          <w:rFonts w:ascii="Arial" w:hAnsi="Arial"/>
          <w:sz w:val="20"/>
        </w:rPr>
        <w:t xml:space="preserve"> y por Internet)</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participación en actividades internacionales de obtentores (ISF, AOHE, CIOPORA, ASTA…)</w:t>
      </w:r>
    </w:p>
    <w:p w:rsidR="00EA0F8E" w:rsidRPr="00062B38" w:rsidRDefault="00EA0F8E" w:rsidP="00EA0F8E">
      <w:pPr>
        <w:pStyle w:val="ListParagraph"/>
        <w:numPr>
          <w:ilvl w:val="0"/>
          <w:numId w:val="49"/>
        </w:numPr>
        <w:ind w:left="993" w:hanging="426"/>
        <w:rPr>
          <w:rFonts w:ascii="Arial" w:hAnsi="Arial" w:cs="Arial"/>
          <w:sz w:val="20"/>
        </w:rPr>
      </w:pPr>
      <w:r w:rsidRPr="00062B38">
        <w:rPr>
          <w:rFonts w:ascii="Arial" w:hAnsi="Arial"/>
          <w:sz w:val="20"/>
        </w:rPr>
        <w:t>inclusión de la información en programas de capacitación existentes (p. ej. academia de obtentores, formación de funcionarios de protección de las obtenciones vegetales, programas de formación de la UPOV...)</w:t>
      </w:r>
    </w:p>
    <w:p w:rsidR="00EA0F8E" w:rsidRDefault="00EA0F8E" w:rsidP="00EA0F8E"/>
    <w:p w:rsidR="00EA0F8E" w:rsidRPr="00062B38" w:rsidRDefault="00EA0F8E" w:rsidP="00EA0F8E">
      <w:pPr>
        <w:pStyle w:val="Heading1"/>
      </w:pPr>
      <w:bookmarkStart w:id="32" w:name="_Toc496172959"/>
      <w:r w:rsidRPr="00062B38">
        <w:t>PROPUESTAS DE FUTURAS MODIFICACIONES</w:t>
      </w:r>
      <w:bookmarkEnd w:id="32"/>
    </w:p>
    <w:p w:rsidR="00EA0F8E" w:rsidRPr="00062B38" w:rsidRDefault="00EA0F8E" w:rsidP="00EA0F8E">
      <w:pPr>
        <w:keepNext/>
      </w:pPr>
    </w:p>
    <w:p w:rsidR="00EA0F8E" w:rsidRPr="00062B38" w:rsidRDefault="00EA0F8E" w:rsidP="00EA0F8E">
      <w:pPr>
        <w:pStyle w:val="Heading2"/>
      </w:pPr>
      <w:bookmarkStart w:id="33" w:name="_Toc496172960"/>
      <w:r w:rsidRPr="00062B38">
        <w:t>Funciones</w:t>
      </w:r>
      <w:bookmarkEnd w:id="33"/>
    </w:p>
    <w:p w:rsidR="00EA0F8E" w:rsidRPr="00062B38" w:rsidRDefault="00EA0F8E" w:rsidP="00EA0F8E">
      <w:pPr>
        <w:pStyle w:val="Heading3"/>
      </w:pPr>
    </w:p>
    <w:p w:rsidR="00EA0F8E" w:rsidRPr="00062B38" w:rsidRDefault="00EA0F8E" w:rsidP="00EA0F8E">
      <w:pPr>
        <w:pStyle w:val="Heading3"/>
      </w:pPr>
      <w:bookmarkStart w:id="34" w:name="_Toc496172961"/>
      <w:r w:rsidRPr="00062B38">
        <w:t>Pago</w:t>
      </w:r>
      <w:bookmarkEnd w:id="34"/>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ab/>
        <w:t>Actualmente la herramienta de solicitudes PBR (EAF) de la UPOV admite el pago por transferencia bancaria.  El pago mediante tarjeta de crédito estará disponible en la versión 2.0.</w:t>
      </w:r>
    </w:p>
    <w:p w:rsidR="00EA0F8E" w:rsidRPr="00062B38" w:rsidRDefault="00EA0F8E" w:rsidP="00EA0F8E">
      <w:pPr>
        <w:pStyle w:val="Heading3"/>
      </w:pPr>
    </w:p>
    <w:p w:rsidR="00EA0F8E" w:rsidRPr="00062B38" w:rsidRDefault="00EA0F8E" w:rsidP="00EA0F8E">
      <w:pPr>
        <w:rPr>
          <w:rFonts w:eastAsia="MS Mincho"/>
        </w:rPr>
      </w:pPr>
      <w:r w:rsidRPr="00062B38">
        <w:fldChar w:fldCharType="begin"/>
      </w:r>
      <w:r w:rsidRPr="00062B38">
        <w:instrText xml:space="preserve"> AUTONUM  </w:instrText>
      </w:r>
      <w:r w:rsidRPr="00062B38">
        <w:fldChar w:fldCharType="end"/>
      </w:r>
      <w:r w:rsidRPr="00062B38">
        <w:tab/>
        <w:t>En las posteriores versiones de la herramienta se podrá introducir métodos de pago adicionales, p. ej. cuenta corriente o monedero electrónico.  Se propone investigar esas distintas posibilidades e informar sobre las novedades que pudiera haber sobre ellas en una reunión EAF posterior.</w:t>
      </w:r>
    </w:p>
    <w:p w:rsidR="00EA0F8E" w:rsidRPr="00062B38" w:rsidRDefault="00EA0F8E" w:rsidP="00EA0F8E">
      <w:pPr>
        <w:spacing w:line="360" w:lineRule="auto"/>
      </w:pPr>
    </w:p>
    <w:p w:rsidR="00EA0F8E" w:rsidRPr="00062B38" w:rsidRDefault="00EA0F8E" w:rsidP="00EA0F8E">
      <w:pPr>
        <w:pStyle w:val="Heading3"/>
      </w:pPr>
      <w:bookmarkStart w:id="35" w:name="_Toc496172962"/>
      <w:bookmarkStart w:id="36" w:name="_Toc495079763"/>
      <w:r w:rsidRPr="00062B38">
        <w:t>Método de obtención</w:t>
      </w:r>
      <w:bookmarkEnd w:id="35"/>
    </w:p>
    <w:p w:rsidR="00EA0F8E" w:rsidRPr="00062B38" w:rsidRDefault="00EA0F8E" w:rsidP="00EA0F8E"/>
    <w:bookmarkEnd w:id="36"/>
    <w:p w:rsidR="00EA0F8E" w:rsidRPr="00062B38" w:rsidRDefault="00EA0F8E" w:rsidP="00EA0F8E">
      <w:r w:rsidRPr="00062B38">
        <w:fldChar w:fldCharType="begin"/>
      </w:r>
      <w:r w:rsidRPr="00062B38">
        <w:instrText xml:space="preserve"> AUTONUM  </w:instrText>
      </w:r>
      <w:r w:rsidRPr="00062B38">
        <w:fldChar w:fldCharType="end"/>
      </w:r>
      <w:r w:rsidRPr="00062B38">
        <w:tab/>
        <w:t>Se propone indicar la sección del método de obtención en la herramienta con una lista de opciones definidas previamente.  Se presentará esta función y los participantes en la reunión EAF/10  la examinarán.</w:t>
      </w:r>
    </w:p>
    <w:p w:rsidR="00EA0F8E" w:rsidRPr="00062B38" w:rsidRDefault="00EA0F8E" w:rsidP="00EA0F8E"/>
    <w:p w:rsidR="00EA0F8E" w:rsidRPr="00062B38" w:rsidRDefault="00EA0F8E" w:rsidP="00EA0F8E"/>
    <w:p w:rsidR="00EA0F8E" w:rsidRPr="00062B38" w:rsidRDefault="00EA0F8E" w:rsidP="00EA0F8E"/>
    <w:p w:rsidR="00EA0F8E" w:rsidRPr="00062B38" w:rsidRDefault="00EA0F8E" w:rsidP="00EA0F8E">
      <w:pPr>
        <w:pStyle w:val="Heading1"/>
      </w:pPr>
      <w:bookmarkStart w:id="37" w:name="_Toc495079764"/>
      <w:bookmarkStart w:id="38" w:name="_Toc496172963"/>
      <w:r w:rsidRPr="00062B38">
        <w:t>FINANCIACIÓN DEL EAF</w:t>
      </w:r>
      <w:bookmarkEnd w:id="37"/>
      <w:bookmarkEnd w:id="38"/>
    </w:p>
    <w:p w:rsidR="00EA0F8E" w:rsidRPr="00062B38" w:rsidRDefault="00EA0F8E" w:rsidP="00EA0F8E"/>
    <w:p w:rsidR="00EA0F8E" w:rsidRPr="00062B38" w:rsidRDefault="00EA0F8E" w:rsidP="00EA0F8E">
      <w:r w:rsidRPr="00062B38">
        <w:fldChar w:fldCharType="begin"/>
      </w:r>
      <w:r w:rsidRPr="00062B38">
        <w:instrText xml:space="preserve"> AUTONUM  </w:instrText>
      </w:r>
      <w:r w:rsidRPr="00062B38">
        <w:fldChar w:fldCharType="end"/>
      </w:r>
      <w:r w:rsidRPr="00062B38">
        <w:tab/>
        <w:t>Las propuestas relativas a los aspectos financieros del EAF serán examinadas por el Comité Consultivo en su nonagésima cuarta sesión que se celebrará en Ginebra el 25 de octubre de 2017 y, si procede, por el Consejo en su quincuagésima primera sesión ordinaria que se celebrará en Ginebra el 26 de octubre de 2017.  Cualquier decisión tomada se notificará en la reunión EAF/10.</w:t>
      </w:r>
    </w:p>
    <w:p w:rsidR="00EA0F8E" w:rsidRPr="00062B38" w:rsidRDefault="00EA0F8E" w:rsidP="00EA0F8E"/>
    <w:p w:rsidR="00EA0F8E" w:rsidRDefault="00EA0F8E" w:rsidP="00EA0F8E"/>
    <w:p w:rsidR="00EA0F8E" w:rsidRPr="00062B38" w:rsidRDefault="00EA0F8E" w:rsidP="00EA0F8E"/>
    <w:p w:rsidR="00EA0F8E" w:rsidRPr="00062B38" w:rsidRDefault="00EA0F8E" w:rsidP="00EA0F8E">
      <w:r w:rsidRPr="00062B38">
        <w:t>VERSIÓN 2.1</w:t>
      </w:r>
    </w:p>
    <w:p w:rsidR="00EA0F8E" w:rsidRPr="00062B38" w:rsidRDefault="00EA0F8E" w:rsidP="00EA0F8E">
      <w:pPr>
        <w:keepNext/>
      </w:pPr>
    </w:p>
    <w:p w:rsidR="00EA0F8E" w:rsidRPr="00062B38" w:rsidRDefault="00EA0F8E" w:rsidP="00EA0F8E">
      <w:pPr>
        <w:rPr>
          <w:rFonts w:cs="Arial"/>
          <w:spacing w:val="-2"/>
        </w:rPr>
      </w:pPr>
      <w:r w:rsidRPr="00062B38">
        <w:rPr>
          <w:rFonts w:cs="Arial"/>
          <w:spacing w:val="-2"/>
        </w:rPr>
        <w:fldChar w:fldCharType="begin"/>
      </w:r>
      <w:r w:rsidRPr="00062B38">
        <w:rPr>
          <w:rFonts w:cs="Arial"/>
          <w:spacing w:val="-2"/>
        </w:rPr>
        <w:instrText xml:space="preserve"> AUTONUM  </w:instrText>
      </w:r>
      <w:r w:rsidRPr="00062B38">
        <w:rPr>
          <w:rFonts w:cs="Arial"/>
          <w:spacing w:val="-2"/>
        </w:rPr>
        <w:fldChar w:fldCharType="end"/>
      </w:r>
      <w:r w:rsidRPr="00062B38">
        <w:tab/>
        <w:t xml:space="preserve">Se </w:t>
      </w:r>
      <w:r w:rsidRPr="00062B38">
        <w:rPr>
          <w:spacing w:val="-2"/>
        </w:rPr>
        <w:t>propone elaborar una nueva versión de la herramienta de solicitudes PBR (EAF) (versión 2.1) a mediados de 2018.  La versión 2.1 tendrá más funciones y miembros de la UPOV, según los recursos disponibles y la información necesaria con que se cuente de los miembros participantes.</w:t>
      </w:r>
    </w:p>
    <w:p w:rsidR="00EA0F8E" w:rsidRPr="00062B38" w:rsidRDefault="00EA0F8E" w:rsidP="00EA0F8E"/>
    <w:p w:rsidR="00EA0F8E" w:rsidRDefault="00EA0F8E" w:rsidP="00EA0F8E">
      <w:r w:rsidRPr="00062B38">
        <w:fldChar w:fldCharType="begin"/>
      </w:r>
      <w:r w:rsidRPr="00062B38">
        <w:instrText xml:space="preserve"> AUTONUM  </w:instrText>
      </w:r>
      <w:r w:rsidRPr="00062B38">
        <w:fldChar w:fldCharType="end"/>
      </w:r>
      <w:r w:rsidRPr="00062B38">
        <w:tab/>
        <w:t>Los miembros de la Unión que quisieran participar en la herramienta de solicitudes PBR (EAF) y no lo hayan hecho en la V2P o la versión 1.1 serán incluidos en la versión 2.1 o en las posteriores.  Esos miembros deberán proporcionar sus formularios para los cultivos seleccionados (formulario de solicitud y cuestionario técnico) en uno de los idiomas de la UPOV y, si procede, facilitar las traducciones de las preguntas de los formularios de solicitud y los cuestionarios técnicos de los otros miembros de la Unión participantes.  El calendario de la puesta en funcionamiento de la versión 2.1 y la incorporación de nuevos miembros de la Unión estarán sujetos a la disponibilidad de recursos y variarán según el contenido de los formularios de solicitud y los cuestionarios técnicos.</w:t>
      </w:r>
    </w:p>
    <w:p w:rsidR="00EA0F8E" w:rsidRPr="00062B38" w:rsidRDefault="00EA0F8E" w:rsidP="00EA0F8E"/>
    <w:p w:rsidR="00EA0F8E" w:rsidRPr="00062B38" w:rsidRDefault="00EA0F8E" w:rsidP="00EA0F8E">
      <w:pPr>
        <w:pStyle w:val="DecisionParagraphs"/>
        <w:keepNext/>
        <w:tabs>
          <w:tab w:val="left" w:pos="5954"/>
        </w:tabs>
        <w:ind w:left="4824"/>
        <w:rPr>
          <w:snapToGrid w:val="0"/>
        </w:rPr>
      </w:pPr>
      <w:r w:rsidRPr="00062B38">
        <w:rPr>
          <w:snapToGrid w:val="0"/>
        </w:rPr>
        <w:fldChar w:fldCharType="begin"/>
      </w:r>
      <w:r w:rsidRPr="00062B38">
        <w:rPr>
          <w:snapToGrid w:val="0"/>
        </w:rPr>
        <w:instrText xml:space="preserve"> AUTONUM  </w:instrText>
      </w:r>
      <w:r w:rsidRPr="00062B38">
        <w:rPr>
          <w:snapToGrid w:val="0"/>
        </w:rPr>
        <w:fldChar w:fldCharType="end"/>
      </w:r>
      <w:r w:rsidRPr="00062B38">
        <w:tab/>
        <w:t>Se invita a los miembros participantes en la elaboración del formulario electrónico de solicitud a:</w:t>
      </w:r>
    </w:p>
    <w:p w:rsidR="00EA0F8E" w:rsidRPr="00062B38" w:rsidRDefault="00EA0F8E" w:rsidP="00EA0F8E">
      <w:pPr>
        <w:pStyle w:val="DecisionParagraphs"/>
        <w:keepNext/>
        <w:tabs>
          <w:tab w:val="left" w:pos="5954"/>
        </w:tabs>
        <w:ind w:left="4824"/>
        <w:rPr>
          <w:snapToGrid w:val="0"/>
        </w:rPr>
      </w:pP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r w:rsidRPr="00062B38">
        <w:t>a)</w:t>
      </w:r>
      <w:r w:rsidRPr="00062B38">
        <w:tab/>
        <w:t>tomar nota de las novedades relativas a la versión 1.1 del EAF y de los planes de elaboración de la versión 2.0 que se exponen en el presente documento;</w:t>
      </w: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r w:rsidRPr="00062B38">
        <w:t>b)</w:t>
      </w:r>
      <w:r w:rsidRPr="00062B38">
        <w:tab/>
        <w:t xml:space="preserve">tomar nota de que la Oficina de la Unión elaborará un informe sobre las decisiones tomadas por el Consejo en su quincuagésima primera sesión ordinaria en relación con la herramienta de solicitudes PBR (EAF) y, en especial, con respecto al nombre y la financiación del EAF; </w:t>
      </w:r>
    </w:p>
    <w:p w:rsidR="00EA0F8E" w:rsidRPr="00062B38" w:rsidRDefault="00EA0F8E" w:rsidP="00EA0F8E">
      <w:pPr>
        <w:pStyle w:val="ListParagraph"/>
        <w:tabs>
          <w:tab w:val="left" w:pos="5529"/>
          <w:tab w:val="left" w:pos="5954"/>
        </w:tabs>
        <w:ind w:left="4820" w:firstLine="567"/>
        <w:rPr>
          <w:snapToGrid w:val="0"/>
        </w:rPr>
      </w:pP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r w:rsidRPr="00062B38">
        <w:t>c)</w:t>
      </w:r>
      <w:r w:rsidRPr="00062B38">
        <w:tab/>
        <w:t xml:space="preserve">tomar nota de las novedades que se han producido en relación con las comunicaciones, según se expone en los párrafos 25 a 27; </w:t>
      </w: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r w:rsidRPr="00062B38">
        <w:t>d)</w:t>
      </w:r>
      <w:r w:rsidRPr="00062B38">
        <w:tab/>
        <w:t>examinar las propuestas para las futuras modificaciones del EAF, que exponen en los párrafos 28 a 30;</w:t>
      </w:r>
    </w:p>
    <w:p w:rsidR="00EA0F8E" w:rsidRPr="00062B38" w:rsidRDefault="00EA0F8E" w:rsidP="00EA0F8E">
      <w:pPr>
        <w:pStyle w:val="ListParagraph"/>
        <w:tabs>
          <w:tab w:val="left" w:pos="5529"/>
        </w:tabs>
        <w:ind w:left="4820" w:firstLine="567"/>
        <w:rPr>
          <w:snapToGrid w:val="0"/>
        </w:rPr>
      </w:pPr>
    </w:p>
    <w:p w:rsidR="00EA0F8E" w:rsidRPr="00062B38" w:rsidRDefault="00EA0F8E" w:rsidP="00EA0F8E">
      <w:pPr>
        <w:pStyle w:val="DecisionParagraphs"/>
        <w:keepNext/>
        <w:tabs>
          <w:tab w:val="clear" w:pos="5387"/>
          <w:tab w:val="left" w:pos="4820"/>
          <w:tab w:val="left" w:pos="5529"/>
          <w:tab w:val="left" w:pos="5954"/>
        </w:tabs>
        <w:ind w:firstLine="567"/>
        <w:rPr>
          <w:snapToGrid w:val="0"/>
        </w:rPr>
      </w:pPr>
      <w:r w:rsidRPr="00062B38">
        <w:t>e)</w:t>
      </w:r>
      <w:r w:rsidRPr="00062B38">
        <w:tab/>
        <w:t xml:space="preserve">examinar el calendario propuesto para las próximas versiones del EAF y los requisitos que deben cumplir los miembros de la Unión para participar en el EAF, que se exponen en los párrafos 32 y 33; </w:t>
      </w:r>
    </w:p>
    <w:p w:rsidR="00EA0F8E" w:rsidRPr="00062B38" w:rsidRDefault="00EA0F8E" w:rsidP="00EA0F8E"/>
    <w:p w:rsidR="00EA0F8E" w:rsidRPr="00062B38" w:rsidRDefault="00EA0F8E" w:rsidP="00EA0F8E">
      <w:pPr>
        <w:jc w:val="left"/>
      </w:pPr>
    </w:p>
    <w:p w:rsidR="00EA0F8E" w:rsidRPr="00062B38" w:rsidRDefault="00EA0F8E" w:rsidP="00EA0F8E"/>
    <w:p w:rsidR="00EA0F8E" w:rsidRPr="00062B38" w:rsidRDefault="00EA0F8E" w:rsidP="00EA0F8E">
      <w:pPr>
        <w:jc w:val="right"/>
      </w:pPr>
      <w:r w:rsidRPr="00062B38">
        <w:t>[Siguen los Anexos]</w:t>
      </w:r>
    </w:p>
    <w:p w:rsidR="00EA0F8E" w:rsidRPr="00062B38" w:rsidRDefault="00EA0F8E">
      <w:pPr>
        <w:jc w:val="left"/>
        <w:sectPr w:rsidR="00EA0F8E" w:rsidRPr="00062B38" w:rsidSect="00EA0F8E">
          <w:headerReference w:type="default" r:id="rId14"/>
          <w:pgSz w:w="11907" w:h="16840" w:code="9"/>
          <w:pgMar w:top="510" w:right="1134" w:bottom="1134" w:left="1134" w:header="510" w:footer="624" w:gutter="0"/>
          <w:cols w:space="720"/>
          <w:titlePg/>
        </w:sectPr>
      </w:pPr>
    </w:p>
    <w:p w:rsidR="00EA0F8E" w:rsidRPr="00062B38" w:rsidRDefault="00EA0F8E" w:rsidP="00EA0F8E">
      <w:pPr>
        <w:jc w:val="right"/>
      </w:pPr>
    </w:p>
    <w:p w:rsidR="00EA0F8E" w:rsidRPr="00062B38" w:rsidRDefault="00EA0F8E" w:rsidP="00EA0F8E">
      <w:pPr>
        <w:jc w:val="center"/>
      </w:pPr>
      <w:r w:rsidRPr="00062B38">
        <w:rPr>
          <w:noProof/>
        </w:rPr>
        <w:drawing>
          <wp:inline distT="0" distB="0" distL="0" distR="0">
            <wp:extent cx="4572000" cy="662940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0" cy="662940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p w:rsidR="00EA0F8E" w:rsidRPr="00062B38" w:rsidRDefault="00EA0F8E" w:rsidP="00EA0F8E">
      <w:pPr>
        <w:jc w:val="left"/>
      </w:pPr>
    </w:p>
    <w:p w:rsidR="00EA0F8E" w:rsidRPr="00062B38" w:rsidRDefault="00EA0F8E" w:rsidP="00EA0F8E"/>
    <w:p w:rsidR="00EA0F8E" w:rsidRPr="00062B38" w:rsidRDefault="00EA0F8E" w:rsidP="00EA0F8E">
      <w:pPr>
        <w:jc w:val="right"/>
      </w:pPr>
      <w:r w:rsidRPr="00062B38">
        <w:t>[Sigue el Anexo II]</w:t>
      </w:r>
    </w:p>
    <w:p w:rsidR="00EA0F8E" w:rsidRPr="00062B38" w:rsidRDefault="00EA0F8E" w:rsidP="00EA0F8E">
      <w:pPr>
        <w:jc w:val="left"/>
        <w:sectPr w:rsidR="00EA0F8E" w:rsidRPr="00062B38" w:rsidSect="00EA0F8E">
          <w:headerReference w:type="first" r:id="rId16"/>
          <w:pgSz w:w="11907" w:h="16840" w:code="9"/>
          <w:pgMar w:top="510" w:right="1134" w:bottom="1134" w:left="1134" w:header="510" w:footer="680" w:gutter="0"/>
          <w:cols w:space="720"/>
          <w:titlePg/>
        </w:sectPr>
      </w:pPr>
    </w:p>
    <w:p w:rsidR="00EA0F8E" w:rsidRPr="00062B38" w:rsidRDefault="00EA0F8E" w:rsidP="00EA0F8E">
      <w:pPr>
        <w:jc w:val="center"/>
      </w:pPr>
      <w:r w:rsidRPr="00062B38">
        <w:rPr>
          <w:noProof/>
        </w:rPr>
        <w:drawing>
          <wp:inline distT="0" distB="0" distL="0" distR="0">
            <wp:extent cx="5751950" cy="4030667"/>
            <wp:effectExtent l="0" t="0" r="1270" b="825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762514" cy="4038069"/>
                    </a:xfrm>
                    <a:prstGeom prst="rect">
                      <a:avLst/>
                    </a:prstGeom>
                  </pic:spPr>
                </pic:pic>
              </a:graphicData>
            </a:graphic>
          </wp:inline>
        </w:drawing>
      </w:r>
    </w:p>
    <w:p w:rsidR="00EA0F8E" w:rsidRPr="00062B38" w:rsidRDefault="00EA0F8E" w:rsidP="00EA0F8E"/>
    <w:p w:rsidR="00EA0F8E" w:rsidRPr="00062B38" w:rsidRDefault="00EA0F8E" w:rsidP="00EA0F8E">
      <w:pPr>
        <w:jc w:val="center"/>
      </w:pPr>
      <w:r w:rsidRPr="00062B38">
        <w:rPr>
          <w:noProof/>
        </w:rPr>
        <w:drawing>
          <wp:inline distT="0" distB="0" distL="0" distR="0">
            <wp:extent cx="5804752" cy="4114800"/>
            <wp:effectExtent l="0" t="0" r="571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808518" cy="4117470"/>
                    </a:xfrm>
                    <a:prstGeom prst="rect">
                      <a:avLst/>
                    </a:prstGeom>
                  </pic:spPr>
                </pic:pic>
              </a:graphicData>
            </a:graphic>
          </wp:inline>
        </w:drawing>
      </w:r>
    </w:p>
    <w:p w:rsidR="00EA0F8E" w:rsidRPr="007B72FE" w:rsidRDefault="00EA0F8E" w:rsidP="00EA0F8E">
      <w:pPr>
        <w:jc w:val="center"/>
      </w:pPr>
    </w:p>
    <w:p w:rsidR="00F15E56" w:rsidRPr="007E7836" w:rsidRDefault="00EA0F8E" w:rsidP="008F4D75">
      <w:pPr>
        <w:jc w:val="right"/>
      </w:pPr>
      <w:r w:rsidRPr="007B72FE">
        <w:t>[Fin del Anexo II y del documento]</w:t>
      </w:r>
    </w:p>
    <w:sectPr w:rsidR="00F15E56" w:rsidRPr="007E7836" w:rsidSect="00EA0F8E">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27E" w:rsidRDefault="006E527E">
      <w:r>
        <w:separator/>
      </w:r>
    </w:p>
  </w:endnote>
  <w:endnote w:type="continuationSeparator" w:id="0">
    <w:p w:rsidR="006E527E" w:rsidRDefault="006E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27E" w:rsidRDefault="006E527E">
      <w:r>
        <w:separator/>
      </w:r>
    </w:p>
  </w:footnote>
  <w:footnote w:type="continuationSeparator" w:id="0">
    <w:p w:rsidR="006E527E" w:rsidRDefault="006E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E" w:rsidRPr="00C5280D" w:rsidRDefault="006E527E" w:rsidP="00EA0F8E">
    <w:pPr>
      <w:pStyle w:val="Header"/>
      <w:rPr>
        <w:rStyle w:val="PageNumber"/>
      </w:rPr>
    </w:pPr>
    <w:r>
      <w:rPr>
        <w:rStyle w:val="PageNumber"/>
      </w:rPr>
      <w:t>UPOV/EAF/10/2</w:t>
    </w:r>
  </w:p>
  <w:p w:rsidR="006E527E" w:rsidRPr="00C5280D" w:rsidRDefault="006E527E" w:rsidP="00EA0F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323E9">
      <w:rPr>
        <w:rStyle w:val="PageNumber"/>
        <w:noProof/>
      </w:rPr>
      <w:t>6</w:t>
    </w:r>
    <w:r w:rsidRPr="00C5280D">
      <w:rPr>
        <w:rStyle w:val="PageNumber"/>
      </w:rPr>
      <w:fldChar w:fldCharType="end"/>
    </w:r>
  </w:p>
  <w:p w:rsidR="006E527E" w:rsidRPr="00C5280D" w:rsidRDefault="006E527E" w:rsidP="00EA0F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E" w:rsidRPr="00011CC2" w:rsidRDefault="006E527E">
    <w:pPr>
      <w:pStyle w:val="Header"/>
      <w:rPr>
        <w:lang w:val="es-ES"/>
      </w:rPr>
    </w:pPr>
    <w:r w:rsidRPr="00011CC2">
      <w:rPr>
        <w:lang w:val="es-ES"/>
      </w:rPr>
      <w:t>UPOV/EAF/10/2</w:t>
    </w:r>
  </w:p>
  <w:p w:rsidR="006E527E" w:rsidRPr="00011CC2" w:rsidRDefault="006E527E">
    <w:pPr>
      <w:pStyle w:val="Header"/>
      <w:rPr>
        <w:lang w:val="es-ES"/>
      </w:rPr>
    </w:pPr>
  </w:p>
  <w:p w:rsidR="006E527E" w:rsidRPr="0098627F" w:rsidRDefault="006E527E">
    <w:pPr>
      <w:pStyle w:val="Header"/>
    </w:pPr>
    <w:r w:rsidRPr="0098627F">
      <w:t>ANEXO I</w:t>
    </w:r>
  </w:p>
  <w:p w:rsidR="006E527E" w:rsidRPr="00011CC2" w:rsidRDefault="006E527E">
    <w:pPr>
      <w:pStyle w:val="Header"/>
      <w:rPr>
        <w:lang w:val="es-ES"/>
      </w:rPr>
    </w:pPr>
  </w:p>
  <w:p w:rsidR="006E527E" w:rsidRDefault="006E527E" w:rsidP="00EA0F8E">
    <w:pPr>
      <w:pStyle w:val="Header"/>
    </w:pPr>
    <w:r>
      <w:t>Carteles y expositores enrollables sobre la herramienta de la UPOV de solicitudes de derechos de obtentor</w:t>
    </w:r>
  </w:p>
  <w:p w:rsidR="006E527E" w:rsidRPr="00913C66" w:rsidRDefault="006E527E" w:rsidP="00EA0F8E">
    <w:pPr>
      <w:pStyle w:val="Header"/>
    </w:pPr>
    <w:r>
      <w:t>(únicamente en inglés)</w:t>
    </w:r>
  </w:p>
  <w:p w:rsidR="006E527E" w:rsidRDefault="006E5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27E" w:rsidRPr="00011CC2" w:rsidRDefault="006E527E">
    <w:pPr>
      <w:pStyle w:val="Header"/>
      <w:rPr>
        <w:lang w:val="es-ES"/>
      </w:rPr>
    </w:pPr>
    <w:r w:rsidRPr="00011CC2">
      <w:rPr>
        <w:lang w:val="es-ES"/>
      </w:rPr>
      <w:t>UPOV/EAF/10/2</w:t>
    </w:r>
  </w:p>
  <w:p w:rsidR="006E527E" w:rsidRPr="00011CC2" w:rsidRDefault="006E527E">
    <w:pPr>
      <w:pStyle w:val="Header"/>
      <w:rPr>
        <w:lang w:val="es-ES"/>
      </w:rPr>
    </w:pPr>
  </w:p>
  <w:p w:rsidR="006E527E" w:rsidRPr="00011CC2" w:rsidRDefault="006E527E">
    <w:pPr>
      <w:pStyle w:val="Header"/>
      <w:rPr>
        <w:lang w:val="es-ES"/>
      </w:rPr>
    </w:pPr>
    <w:r w:rsidRPr="00011CC2">
      <w:rPr>
        <w:lang w:val="es-ES"/>
      </w:rPr>
      <w:t>ANEXO II</w:t>
    </w:r>
  </w:p>
  <w:p w:rsidR="006E527E" w:rsidRPr="00011CC2" w:rsidRDefault="006E527E">
    <w:pPr>
      <w:pStyle w:val="Header"/>
      <w:rPr>
        <w:lang w:val="es-ES"/>
      </w:rPr>
    </w:pPr>
  </w:p>
  <w:p w:rsidR="006E527E" w:rsidRDefault="006E527E" w:rsidP="00EA0F8E">
    <w:pPr>
      <w:pStyle w:val="Header"/>
    </w:pPr>
    <w:r>
      <w:t>Folleto sobre la herramienta de la UPOV de solicitudes de derechos de obtentor</w:t>
    </w:r>
  </w:p>
  <w:p w:rsidR="006E527E" w:rsidRPr="00913C66" w:rsidRDefault="006E527E" w:rsidP="00EA0F8E">
    <w:pPr>
      <w:pStyle w:val="Header"/>
    </w:pPr>
    <w:r>
      <w:t>(únicamente en inglés)</w:t>
    </w:r>
  </w:p>
  <w:p w:rsidR="006E527E" w:rsidRDefault="006E5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20"/>
  </w:num>
  <w:num w:numId="43">
    <w:abstractNumId w:val="11"/>
  </w:num>
  <w:num w:numId="44">
    <w:abstractNumId w:val="17"/>
  </w:num>
  <w:num w:numId="45">
    <w:abstractNumId w:val="12"/>
  </w:num>
  <w:num w:numId="46">
    <w:abstractNumId w:val="21"/>
  </w:num>
  <w:num w:numId="47">
    <w:abstractNumId w:val="17"/>
  </w:num>
  <w:num w:numId="48">
    <w:abstractNumId w:val="16"/>
  </w:num>
  <w:num w:numId="49">
    <w:abstractNumId w:val="1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8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23E9"/>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5F1C"/>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27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4D75"/>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6B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07D2"/>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2C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0F8E"/>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8F4D75"/>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8F4D75"/>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EA0F8E"/>
    <w:pPr>
      <w:spacing w:after="600"/>
      <w:jc w:val="left"/>
    </w:pPr>
    <w:rPr>
      <w:i/>
      <w:iCs/>
      <w:color w:val="A6A6A6" w:themeColor="background1" w:themeShade="A6"/>
    </w:rPr>
  </w:style>
  <w:style w:type="paragraph" w:customStyle="1" w:styleId="preparedby0">
    <w:name w:val="prepared_by"/>
    <w:basedOn w:val="Normal"/>
    <w:rsid w:val="00EA0F8E"/>
    <w:pPr>
      <w:spacing w:after="240"/>
      <w:jc w:val="center"/>
    </w:pPr>
    <w:rPr>
      <w:i/>
      <w:iCs/>
    </w:rPr>
  </w:style>
  <w:style w:type="paragraph" w:styleId="ListParagraph">
    <w:name w:val="List Paragraph"/>
    <w:basedOn w:val="Normal"/>
    <w:uiPriority w:val="34"/>
    <w:qFormat/>
    <w:rsid w:val="00EA0F8E"/>
    <w:pPr>
      <w:ind w:left="720"/>
      <w:jc w:val="left"/>
    </w:pPr>
    <w:rPr>
      <w:rFonts w:ascii="Calibri" w:eastAsia="Calibri" w:hAnsi="Calibri"/>
      <w:sz w:val="22"/>
      <w:szCs w:val="22"/>
      <w:lang w:val="fr-FR" w:eastAsia="fr-FR"/>
    </w:rPr>
  </w:style>
  <w:style w:type="character" w:customStyle="1" w:styleId="Heading2Char">
    <w:name w:val="Heading 2 Char"/>
    <w:basedOn w:val="DefaultParagraphFont"/>
    <w:link w:val="Heading2"/>
    <w:rsid w:val="00EA0F8E"/>
    <w:rPr>
      <w:u w:val="single"/>
    </w:rPr>
  </w:style>
  <w:style w:type="character" w:customStyle="1" w:styleId="HeaderChar">
    <w:name w:val="Header Char"/>
    <w:basedOn w:val="DefaultParagraphFont"/>
    <w:link w:val="Header"/>
    <w:uiPriority w:val="99"/>
    <w:rsid w:val="00EA0F8E"/>
    <w:rPr>
      <w:lang w:val="fr-FR"/>
    </w:rPr>
  </w:style>
  <w:style w:type="table" w:customStyle="1" w:styleId="TableGrid10">
    <w:name w:val="Table Grid1"/>
    <w:basedOn w:val="TableNormal"/>
    <w:next w:val="TableGrid"/>
    <w:rsid w:val="00EA0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0F8E"/>
    <w:rPr>
      <w:caps/>
    </w:rPr>
  </w:style>
  <w:style w:type="character" w:customStyle="1" w:styleId="Heading3Char">
    <w:name w:val="Heading 3 Char"/>
    <w:basedOn w:val="DefaultParagraphFont"/>
    <w:link w:val="Heading3"/>
    <w:rsid w:val="00EA0F8E"/>
    <w:rPr>
      <w:i/>
    </w:rPr>
  </w:style>
  <w:style w:type="character" w:customStyle="1" w:styleId="Heading4Char">
    <w:name w:val="Heading 4 Char"/>
    <w:basedOn w:val="DefaultParagraphFont"/>
    <w:link w:val="Heading4"/>
    <w:rsid w:val="00EA0F8E"/>
    <w:rPr>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8F4D75"/>
    <w:pPr>
      <w:tabs>
        <w:tab w:val="right" w:leader="dot" w:pos="9639"/>
      </w:tabs>
      <w:spacing w:before="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8F4D75"/>
    <w:pPr>
      <w:tabs>
        <w:tab w:val="right" w:leader="dot" w:pos="9639"/>
      </w:tabs>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EA0F8E"/>
    <w:pPr>
      <w:spacing w:after="600"/>
      <w:jc w:val="left"/>
    </w:pPr>
    <w:rPr>
      <w:i/>
      <w:iCs/>
      <w:color w:val="A6A6A6" w:themeColor="background1" w:themeShade="A6"/>
    </w:rPr>
  </w:style>
  <w:style w:type="paragraph" w:customStyle="1" w:styleId="preparedby0">
    <w:name w:val="prepared_by"/>
    <w:basedOn w:val="Normal"/>
    <w:rsid w:val="00EA0F8E"/>
    <w:pPr>
      <w:spacing w:after="240"/>
      <w:jc w:val="center"/>
    </w:pPr>
    <w:rPr>
      <w:i/>
      <w:iCs/>
    </w:rPr>
  </w:style>
  <w:style w:type="paragraph" w:styleId="ListParagraph">
    <w:name w:val="List Paragraph"/>
    <w:basedOn w:val="Normal"/>
    <w:uiPriority w:val="34"/>
    <w:qFormat/>
    <w:rsid w:val="00EA0F8E"/>
    <w:pPr>
      <w:ind w:left="720"/>
      <w:jc w:val="left"/>
    </w:pPr>
    <w:rPr>
      <w:rFonts w:ascii="Calibri" w:eastAsia="Calibri" w:hAnsi="Calibri"/>
      <w:sz w:val="22"/>
      <w:szCs w:val="22"/>
      <w:lang w:val="fr-FR" w:eastAsia="fr-FR"/>
    </w:rPr>
  </w:style>
  <w:style w:type="character" w:customStyle="1" w:styleId="Heading2Char">
    <w:name w:val="Heading 2 Char"/>
    <w:basedOn w:val="DefaultParagraphFont"/>
    <w:link w:val="Heading2"/>
    <w:rsid w:val="00EA0F8E"/>
    <w:rPr>
      <w:u w:val="single"/>
    </w:rPr>
  </w:style>
  <w:style w:type="character" w:customStyle="1" w:styleId="HeaderChar">
    <w:name w:val="Header Char"/>
    <w:basedOn w:val="DefaultParagraphFont"/>
    <w:link w:val="Header"/>
    <w:uiPriority w:val="99"/>
    <w:rsid w:val="00EA0F8E"/>
    <w:rPr>
      <w:lang w:val="fr-FR"/>
    </w:rPr>
  </w:style>
  <w:style w:type="table" w:customStyle="1" w:styleId="TableGrid10">
    <w:name w:val="Table Grid1"/>
    <w:basedOn w:val="TableNormal"/>
    <w:next w:val="TableGrid"/>
    <w:rsid w:val="00EA0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A0F8E"/>
    <w:rPr>
      <w:caps/>
    </w:rPr>
  </w:style>
  <w:style w:type="character" w:customStyle="1" w:styleId="Heading3Char">
    <w:name w:val="Heading 3 Char"/>
    <w:basedOn w:val="DefaultParagraphFont"/>
    <w:link w:val="Heading3"/>
    <w:rsid w:val="00EA0F8E"/>
    <w:rPr>
      <w:i/>
    </w:rPr>
  </w:style>
  <w:style w:type="character" w:customStyle="1" w:styleId="Heading4Char">
    <w:name w:val="Heading 4 Char"/>
    <w:basedOn w:val="DefaultParagraphFont"/>
    <w:link w:val="Heading4"/>
    <w:rsid w:val="00EA0F8E"/>
    <w:rPr>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showcase/24973258/"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pov.int/upoveaf"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upov.int/meetings/es/details.jsp?meeting_id=42648"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A26C8-1EAA-4B9D-B1AD-4D890D44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3225</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6</cp:revision>
  <cp:lastPrinted>2017-10-19T12:46:00Z</cp:lastPrinted>
  <dcterms:created xsi:type="dcterms:W3CDTF">2017-10-18T09:54:00Z</dcterms:created>
  <dcterms:modified xsi:type="dcterms:W3CDTF">2017-10-19T12:46:00Z</dcterms:modified>
</cp:coreProperties>
</file>