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CE2241" w14:paraId="56F9845B" w14:textId="77777777" w:rsidTr="00EB4E9C">
        <w:tc>
          <w:tcPr>
            <w:tcW w:w="6522" w:type="dxa"/>
          </w:tcPr>
          <w:p w14:paraId="0A54ABAA" w14:textId="77777777" w:rsidR="00DC3802" w:rsidRPr="00CE2241" w:rsidRDefault="00BB15AF" w:rsidP="00AC2883">
            <w:r w:rsidRPr="00CE2241">
              <w:rPr>
                <w:noProof/>
              </w:rPr>
              <w:drawing>
                <wp:inline distT="0" distB="0" distL="0" distR="0" wp14:anchorId="47939FDC" wp14:editId="163444A1">
                  <wp:extent cx="933580" cy="266737"/>
                  <wp:effectExtent l="0" t="0" r="0" b="0"/>
                  <wp:docPr id="205790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0728" name="Picture 2057900728"/>
                          <pic:cNvPicPr/>
                        </pic:nvPicPr>
                        <pic:blipFill>
                          <a:blip r:embed="rId6">
                            <a:extLst>
                              <a:ext uri="{28A0092B-C50C-407E-A947-70E740481C1C}">
                                <a14:useLocalDpi xmlns:a14="http://schemas.microsoft.com/office/drawing/2010/main" val="0"/>
                              </a:ext>
                            </a:extLst>
                          </a:blip>
                          <a:stretch>
                            <a:fillRect/>
                          </a:stretch>
                        </pic:blipFill>
                        <pic:spPr>
                          <a:xfrm>
                            <a:off x="0" y="0"/>
                            <a:ext cx="933580" cy="266737"/>
                          </a:xfrm>
                          <a:prstGeom prst="rect">
                            <a:avLst/>
                          </a:prstGeom>
                        </pic:spPr>
                      </pic:pic>
                    </a:graphicData>
                  </a:graphic>
                </wp:inline>
              </w:drawing>
            </w:r>
          </w:p>
        </w:tc>
        <w:tc>
          <w:tcPr>
            <w:tcW w:w="3117" w:type="dxa"/>
          </w:tcPr>
          <w:p w14:paraId="6D4A505A" w14:textId="179BB024" w:rsidR="00DC3802" w:rsidRPr="00CE2241" w:rsidRDefault="00CE2241" w:rsidP="00AC2883">
            <w:pPr>
              <w:pStyle w:val="Lettrine"/>
            </w:pPr>
            <w:r>
              <w:t>S</w:t>
            </w:r>
          </w:p>
        </w:tc>
      </w:tr>
      <w:tr w:rsidR="00DC3802" w:rsidRPr="00CE2241" w14:paraId="5EFD5EDE" w14:textId="77777777" w:rsidTr="00645CA8">
        <w:trPr>
          <w:trHeight w:val="219"/>
        </w:trPr>
        <w:tc>
          <w:tcPr>
            <w:tcW w:w="6522" w:type="dxa"/>
          </w:tcPr>
          <w:p w14:paraId="3D57740C" w14:textId="4AC11584" w:rsidR="00DC3802" w:rsidRPr="00CE2241" w:rsidRDefault="00DC3802" w:rsidP="00AC2883">
            <w:pPr>
              <w:pStyle w:val="upove"/>
            </w:pPr>
            <w:r w:rsidRPr="00CE2241">
              <w:t>Unión Internacional para la Protección de las Obtenciones Vegetales</w:t>
            </w:r>
          </w:p>
        </w:tc>
        <w:tc>
          <w:tcPr>
            <w:tcW w:w="3117" w:type="dxa"/>
          </w:tcPr>
          <w:p w14:paraId="5F0BB3CB" w14:textId="77777777" w:rsidR="00DC3802" w:rsidRPr="00CE2241" w:rsidRDefault="00DC3802" w:rsidP="00DA4973"/>
        </w:tc>
      </w:tr>
    </w:tbl>
    <w:p w14:paraId="392D489C" w14:textId="77777777" w:rsidR="00DC3802" w:rsidRPr="00CE2241" w:rsidRDefault="00DC3802" w:rsidP="00DC3802"/>
    <w:p w14:paraId="194759F9" w14:textId="77777777" w:rsidR="00DA4973" w:rsidRPr="00CE2241"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CE2241" w14:paraId="31FD17CF" w14:textId="77777777" w:rsidTr="00EB4E9C">
        <w:tc>
          <w:tcPr>
            <w:tcW w:w="6512" w:type="dxa"/>
          </w:tcPr>
          <w:p w14:paraId="61535C01" w14:textId="77777777" w:rsidR="00EB4E9C" w:rsidRPr="00CE2241" w:rsidRDefault="00EB4E9C" w:rsidP="00AC2883">
            <w:pPr>
              <w:pStyle w:val="Sessiontc"/>
              <w:spacing w:line="240" w:lineRule="auto"/>
            </w:pPr>
            <w:r w:rsidRPr="00CE2241">
              <w:t>Comité Técnico</w:t>
            </w:r>
          </w:p>
          <w:p w14:paraId="55FD7531" w14:textId="3BA3CB04" w:rsidR="00296158" w:rsidRPr="00CE2241" w:rsidRDefault="00CE2241" w:rsidP="00CC461C">
            <w:pPr>
              <w:pStyle w:val="Sessiontcplacedate"/>
            </w:pPr>
            <w:r>
              <w:t>Sexagésima segunda</w:t>
            </w:r>
            <w:r w:rsidR="0086579E" w:rsidRPr="00CE2241">
              <w:t xml:space="preserve"> </w:t>
            </w:r>
            <w:r w:rsidR="00EB4E9C" w:rsidRPr="00CE2241">
              <w:t>sesión</w:t>
            </w:r>
          </w:p>
          <w:p w14:paraId="7785C90A" w14:textId="77777777" w:rsidR="00EB4E9C" w:rsidRPr="00CE2241" w:rsidRDefault="00EB4E9C" w:rsidP="00D42AF1">
            <w:pPr>
              <w:pStyle w:val="Sessiontcplacedate"/>
              <w:rPr>
                <w:sz w:val="22"/>
              </w:rPr>
            </w:pPr>
            <w:r w:rsidRPr="00CE2241">
              <w:t>Ginebra,</w:t>
            </w:r>
            <w:r w:rsidR="0086579E" w:rsidRPr="00CE2241">
              <w:t xml:space="preserve"> 19 </w:t>
            </w:r>
            <w:r w:rsidR="008B6E60" w:rsidRPr="00CE2241">
              <w:t>y</w:t>
            </w:r>
            <w:r w:rsidR="0086579E" w:rsidRPr="00CE2241">
              <w:t xml:space="preserve"> 20 </w:t>
            </w:r>
            <w:r w:rsidR="008B6E60" w:rsidRPr="00CE2241">
              <w:t xml:space="preserve">de octubre </w:t>
            </w:r>
            <w:r w:rsidR="0086579E" w:rsidRPr="00CE2241">
              <w:t>de 2026</w:t>
            </w:r>
          </w:p>
        </w:tc>
        <w:tc>
          <w:tcPr>
            <w:tcW w:w="3127" w:type="dxa"/>
          </w:tcPr>
          <w:p w14:paraId="627E8894" w14:textId="2FB123D9" w:rsidR="00EB4E9C" w:rsidRPr="00CE2241" w:rsidRDefault="007278B9" w:rsidP="003C7FBE">
            <w:pPr>
              <w:pStyle w:val="Doccode"/>
              <w:rPr>
                <w:lang w:val="es-ES_tradnl"/>
              </w:rPr>
            </w:pPr>
            <w:r w:rsidRPr="00CE2241">
              <w:rPr>
                <w:lang w:val="es-ES_tradnl"/>
              </w:rPr>
              <w:t>TC/62/1</w:t>
            </w:r>
          </w:p>
          <w:p w14:paraId="2B4A9106" w14:textId="77777777" w:rsidR="00EB4E9C" w:rsidRPr="00CE2241" w:rsidRDefault="00EB4E9C" w:rsidP="003C7FBE">
            <w:pPr>
              <w:pStyle w:val="Docoriginal"/>
            </w:pPr>
            <w:r w:rsidRPr="00CE2241">
              <w:t xml:space="preserve">Original: </w:t>
            </w:r>
            <w:r w:rsidRPr="00CE2241">
              <w:rPr>
                <w:b w:val="0"/>
                <w:spacing w:val="0"/>
              </w:rPr>
              <w:t>inglés</w:t>
            </w:r>
          </w:p>
          <w:p w14:paraId="66AA654D" w14:textId="28E9DCFF" w:rsidR="00EB4E9C" w:rsidRPr="00CE2241" w:rsidRDefault="00EB4E9C" w:rsidP="001F34F7">
            <w:pPr>
              <w:pStyle w:val="Docoriginal"/>
            </w:pPr>
            <w:r w:rsidRPr="00CE2241">
              <w:t>Fecha:</w:t>
            </w:r>
            <w:r w:rsidR="008B6E60" w:rsidRPr="00CE2241">
              <w:rPr>
                <w:b w:val="0"/>
                <w:spacing w:val="0"/>
              </w:rPr>
              <w:t xml:space="preserve">  </w:t>
            </w:r>
            <w:r w:rsidR="00D854A0" w:rsidRPr="0006717D">
              <w:rPr>
                <w:b w:val="0"/>
                <w:spacing w:val="0"/>
              </w:rPr>
              <w:t>1</w:t>
            </w:r>
            <w:r w:rsidR="0006717D" w:rsidRPr="0006717D">
              <w:rPr>
                <w:b w:val="0"/>
                <w:spacing w:val="0"/>
              </w:rPr>
              <w:t>6</w:t>
            </w:r>
            <w:r w:rsidR="00D854A0" w:rsidRPr="0006717D">
              <w:rPr>
                <w:b w:val="0"/>
                <w:spacing w:val="0"/>
              </w:rPr>
              <w:t xml:space="preserve"> </w:t>
            </w:r>
            <w:r w:rsidR="005E779B" w:rsidRPr="0006717D">
              <w:rPr>
                <w:b w:val="0"/>
                <w:spacing w:val="0"/>
              </w:rPr>
              <w:t>de junio de 2026</w:t>
            </w:r>
          </w:p>
        </w:tc>
      </w:tr>
    </w:tbl>
    <w:p w14:paraId="76221CD4" w14:textId="77777777" w:rsidR="00CE2241" w:rsidRPr="00847B72" w:rsidRDefault="00CE2241" w:rsidP="00CE2241">
      <w:pPr>
        <w:pStyle w:val="Titleofdoc0"/>
      </w:pPr>
      <w:r w:rsidRPr="00847B72">
        <w:t>Proyecto de orden del día anotado</w:t>
      </w:r>
    </w:p>
    <w:p w14:paraId="15B8F2DF" w14:textId="77777777" w:rsidR="00CE2241" w:rsidRPr="00847B72" w:rsidRDefault="00CE2241" w:rsidP="00CE2241">
      <w:pPr>
        <w:pStyle w:val="preparedby1"/>
        <w:jc w:val="left"/>
      </w:pPr>
      <w:r>
        <w:t>preparado</w:t>
      </w:r>
      <w:r w:rsidRPr="00847B72">
        <w:t xml:space="preserve"> por la Oficina de la Unión</w:t>
      </w:r>
    </w:p>
    <w:p w14:paraId="734A003E" w14:textId="77777777" w:rsidR="00CE2241" w:rsidRPr="006365CE" w:rsidRDefault="00CE2241" w:rsidP="00CE2241">
      <w:pPr>
        <w:pStyle w:val="Disclaimer"/>
        <w:spacing w:after="480"/>
        <w:rPr>
          <w:lang w:val="es-ES_tradnl"/>
        </w:rPr>
      </w:pPr>
      <w:r w:rsidRPr="006365CE">
        <w:rPr>
          <w:lang w:val="es-ES_tradnl"/>
        </w:rPr>
        <w:t>Descargo de responsabilidad: el presente documento no constituye un documento de política u orientación de la UPOV</w:t>
      </w:r>
      <w:r>
        <w:rPr>
          <w:lang w:val="es-ES_tradnl"/>
        </w:rPr>
        <w:t>.</w:t>
      </w:r>
      <w:r>
        <w:rPr>
          <w:lang w:val="es-ES_tradnl"/>
        </w:rPr>
        <w:br/>
      </w:r>
      <w:r>
        <w:rPr>
          <w:lang w:val="es-ES_tradnl"/>
        </w:rPr>
        <w:br/>
      </w:r>
      <w:r w:rsidRPr="006365CE">
        <w:rPr>
          <w:lang w:val="es-ES_tradnl"/>
        </w:rPr>
        <w:t>Este documento se ha generado mediante traducción automática y no puede garantizarse su exactitud. Por lo tanto, el texto en el idioma original es la única versión auténtica.</w:t>
      </w:r>
    </w:p>
    <w:p w14:paraId="4B5AA355"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Apertura de la sesión</w:t>
      </w:r>
    </w:p>
    <w:p w14:paraId="6F38C686" w14:textId="77777777" w:rsidR="005E779B" w:rsidRPr="00CE2241" w:rsidRDefault="005E779B" w:rsidP="005E779B"/>
    <w:p w14:paraId="7024E9EE" w14:textId="77777777" w:rsidR="005E779B" w:rsidRPr="00CE2241" w:rsidRDefault="005E779B" w:rsidP="005E779B"/>
    <w:p w14:paraId="532F34FD"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Aprobación del orden del día</w:t>
      </w:r>
    </w:p>
    <w:p w14:paraId="5510AC8B" w14:textId="77777777" w:rsidR="005E779B" w:rsidRPr="00CE2241" w:rsidRDefault="005E779B" w:rsidP="005E779B"/>
    <w:p w14:paraId="7BB83A24" w14:textId="77777777" w:rsidR="005E779B" w:rsidRPr="00CE2241" w:rsidRDefault="005E779B" w:rsidP="005E779B"/>
    <w:p w14:paraId="659B7BA0" w14:textId="27F1E0C5" w:rsidR="005E779B" w:rsidRPr="00CE2241" w:rsidRDefault="005E779B" w:rsidP="005E779B">
      <w:pPr>
        <w:pStyle w:val="agendaitemtitle"/>
        <w:rPr>
          <w:snapToGrid w:val="0"/>
        </w:rPr>
      </w:pPr>
      <w:r w:rsidRPr="00CE2241">
        <w:fldChar w:fldCharType="begin"/>
      </w:r>
      <w:r w:rsidRPr="00CE2241">
        <w:instrText xml:space="preserve"> AUTONUM  </w:instrText>
      </w:r>
      <w:r w:rsidRPr="00CE2241">
        <w:fldChar w:fldCharType="end"/>
      </w:r>
      <w:r w:rsidRPr="00CE2241">
        <w:tab/>
      </w:r>
      <w:r w:rsidR="00CE2241" w:rsidRPr="00847B72">
        <w:rPr>
          <w:snapToGrid w:val="0"/>
        </w:rPr>
        <w:t>Novedades</w:t>
      </w:r>
      <w:r w:rsidR="00CE2241">
        <w:rPr>
          <w:snapToGrid w:val="0"/>
        </w:rPr>
        <w:t xml:space="preserve"> acaecidas</w:t>
      </w:r>
      <w:r w:rsidR="00CE2241" w:rsidRPr="00847B72">
        <w:rPr>
          <w:snapToGrid w:val="0"/>
        </w:rPr>
        <w:t xml:space="preserve"> en la UPOV y panorama general de las cuestiones pertinentes para </w:t>
      </w:r>
      <w:r w:rsidRPr="00CE2241">
        <w:rPr>
          <w:snapToGrid w:val="0"/>
        </w:rPr>
        <w:t>el Comité Técnico</w:t>
      </w:r>
      <w:r w:rsidR="00CE2241" w:rsidRPr="00CE2241">
        <w:rPr>
          <w:b w:val="0"/>
          <w:bCs w:val="0"/>
          <w:snapToGrid w:val="0"/>
          <w:color w:val="auto"/>
        </w:rPr>
        <w:t xml:space="preserve"> (documento </w:t>
      </w:r>
      <w:r w:rsidR="00CE2241" w:rsidRPr="00CE2241">
        <w:rPr>
          <w:b w:val="0"/>
          <w:bCs w:val="0"/>
          <w:color w:val="auto"/>
        </w:rPr>
        <w:t>SESSIONS/2026/1</w:t>
      </w:r>
      <w:r w:rsidR="00CE2241" w:rsidRPr="00CE2241">
        <w:rPr>
          <w:b w:val="0"/>
          <w:bCs w:val="0"/>
          <w:snapToGrid w:val="0"/>
          <w:color w:val="auto"/>
        </w:rPr>
        <w:t>)</w:t>
      </w:r>
    </w:p>
    <w:p w14:paraId="46A439EF" w14:textId="77777777" w:rsidR="005E779B" w:rsidRPr="00CE2241" w:rsidRDefault="005E779B" w:rsidP="005E779B">
      <w:pPr>
        <w:ind w:left="567" w:hanging="567"/>
        <w:rPr>
          <w:rFonts w:cs="Arial"/>
          <w:snapToGrid w:val="0"/>
        </w:rPr>
      </w:pPr>
    </w:p>
    <w:p w14:paraId="0BC18E41" w14:textId="77777777" w:rsidR="00CE2241" w:rsidRPr="00847B72" w:rsidRDefault="00CE2241" w:rsidP="00CE2241">
      <w:pPr>
        <w:ind w:left="567"/>
      </w:pPr>
      <w:r w:rsidRPr="00847B72">
        <w:rPr>
          <w:rFonts w:cs="Arial"/>
          <w:snapToGrid w:val="0"/>
        </w:rPr>
        <w:t xml:space="preserve">Se </w:t>
      </w:r>
      <w:r>
        <w:rPr>
          <w:rFonts w:cs="Arial"/>
          <w:snapToGrid w:val="0"/>
        </w:rPr>
        <w:t>hará</w:t>
      </w:r>
      <w:r w:rsidRPr="00847B72">
        <w:rPr>
          <w:rFonts w:cs="Arial"/>
          <w:snapToGrid w:val="0"/>
        </w:rPr>
        <w:t xml:space="preserve"> una presentación sobre </w:t>
      </w:r>
      <w:r>
        <w:rPr>
          <w:rFonts w:cs="Arial"/>
          <w:snapToGrid w:val="0"/>
        </w:rPr>
        <w:t xml:space="preserve">asuntos </w:t>
      </w:r>
      <w:r w:rsidRPr="00847B72">
        <w:rPr>
          <w:rFonts w:cs="Arial"/>
          <w:snapToGrid w:val="0"/>
        </w:rPr>
        <w:t>estratégic</w:t>
      </w:r>
      <w:r>
        <w:rPr>
          <w:rFonts w:cs="Arial"/>
          <w:snapToGrid w:val="0"/>
        </w:rPr>
        <w:t>o</w:t>
      </w:r>
      <w:r w:rsidRPr="00847B72">
        <w:rPr>
          <w:rFonts w:cs="Arial"/>
          <w:snapToGrid w:val="0"/>
        </w:rPr>
        <w:t xml:space="preserve">s, con acceso a un vídeo sobre </w:t>
      </w:r>
      <w:r>
        <w:rPr>
          <w:rFonts w:cs="Arial"/>
          <w:snapToGrid w:val="0"/>
        </w:rPr>
        <w:t xml:space="preserve">las novedades acaecidas en </w:t>
      </w:r>
      <w:r w:rsidRPr="00847B72">
        <w:rPr>
          <w:rFonts w:cs="Arial"/>
          <w:snapToGrid w:val="0"/>
        </w:rPr>
        <w:t>la UPOV.</w:t>
      </w:r>
    </w:p>
    <w:p w14:paraId="71FBC415" w14:textId="77777777" w:rsidR="005E779B" w:rsidRPr="00CE2241" w:rsidRDefault="005E779B" w:rsidP="005E779B"/>
    <w:p w14:paraId="629E429A" w14:textId="77777777" w:rsidR="005E779B" w:rsidRPr="00CE2241" w:rsidRDefault="005E779B" w:rsidP="005E779B"/>
    <w:p w14:paraId="6C6DFA37" w14:textId="37CEE605" w:rsidR="005E779B" w:rsidRPr="00CE2241" w:rsidRDefault="00CE2241" w:rsidP="005E779B">
      <w:pPr>
        <w:pStyle w:val="agendaitemtitle"/>
        <w:ind w:left="1134"/>
        <w:rPr>
          <w:i/>
          <w:iCs/>
        </w:rPr>
      </w:pPr>
      <w:r w:rsidRPr="00CE2241">
        <w:rPr>
          <w:i/>
          <w:iCs/>
        </w:rPr>
        <w:t>Asuntos que considerar:</w:t>
      </w:r>
    </w:p>
    <w:p w14:paraId="5224FBE0" w14:textId="77777777" w:rsidR="005E779B" w:rsidRPr="00CE2241" w:rsidRDefault="005E779B" w:rsidP="005E779B"/>
    <w:p w14:paraId="6FDFAFCA" w14:textId="4C1B0CB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 xml:space="preserve">Informes sobre la </w:t>
      </w:r>
      <w:r w:rsidR="00CE2241">
        <w:t>labor</w:t>
      </w:r>
      <w:r w:rsidRPr="00CE2241">
        <w:t xml:space="preserve"> de los Grupos de Trabajo Técnicos</w:t>
      </w:r>
    </w:p>
    <w:p w14:paraId="7367DC67" w14:textId="77777777" w:rsidR="005E779B" w:rsidRPr="00CD233D" w:rsidRDefault="005E779B" w:rsidP="005E779B">
      <w:pPr>
        <w:ind w:firstLine="567"/>
        <w:rPr>
          <w:lang w:val="en-US"/>
        </w:rPr>
      </w:pPr>
      <w:r w:rsidRPr="00CD233D">
        <w:rPr>
          <w:spacing w:val="-2"/>
          <w:lang w:val="en-US"/>
        </w:rPr>
        <w:t>(</w:t>
      </w:r>
      <w:proofErr w:type="spellStart"/>
      <w:r w:rsidRPr="00CD233D">
        <w:rPr>
          <w:spacing w:val="-2"/>
          <w:lang w:val="en-US"/>
        </w:rPr>
        <w:t>documentos</w:t>
      </w:r>
      <w:proofErr w:type="spellEnd"/>
      <w:r w:rsidRPr="00CD233D">
        <w:rPr>
          <w:spacing w:val="-2"/>
          <w:lang w:val="en-US"/>
        </w:rPr>
        <w:t xml:space="preserve"> TC/62/5, TWA/55/XX, TWF/57/XX, TWM/4/31, TWO/58/XX, TWV/60/8)</w:t>
      </w:r>
    </w:p>
    <w:p w14:paraId="727F5DB7" w14:textId="77777777" w:rsidR="005E779B" w:rsidRPr="00CD233D" w:rsidRDefault="005E779B" w:rsidP="005E779B">
      <w:pPr>
        <w:ind w:left="567"/>
        <w:rPr>
          <w:lang w:val="en-US"/>
        </w:rPr>
      </w:pPr>
    </w:p>
    <w:p w14:paraId="1B3B30E4" w14:textId="49A90905" w:rsidR="005E779B" w:rsidRPr="00CE2241" w:rsidRDefault="005E779B" w:rsidP="005E779B">
      <w:pPr>
        <w:ind w:left="567"/>
      </w:pPr>
      <w:r w:rsidRPr="00CE2241">
        <w:t xml:space="preserve">El TC </w:t>
      </w:r>
      <w:r w:rsidR="00CE2241" w:rsidRPr="00CE2241">
        <w:t>escuchará las ponencias</w:t>
      </w:r>
      <w:r w:rsidRPr="00CE2241">
        <w:t xml:space="preserve"> de los </w:t>
      </w:r>
      <w:proofErr w:type="gramStart"/>
      <w:r w:rsidRPr="00CE2241">
        <w:t>Presidentes</w:t>
      </w:r>
      <w:proofErr w:type="gramEnd"/>
      <w:r w:rsidRPr="00CE2241">
        <w:t xml:space="preserve"> de los TWP y examinará temas de especial relevancia para cada TWP, incluidos los programas de trabajo propuestos y las directrices de examen que se debatirán en 2027. El TC examinará el calendario de sesiones de los TWP en 2027 y años siguientes.</w:t>
      </w:r>
    </w:p>
    <w:p w14:paraId="48CF5499" w14:textId="77777777" w:rsidR="005E779B" w:rsidRPr="00CE2241" w:rsidRDefault="005E779B" w:rsidP="005E779B"/>
    <w:p w14:paraId="54ED4D25" w14:textId="77777777" w:rsidR="005E779B" w:rsidRPr="00CE2241" w:rsidRDefault="005E779B" w:rsidP="005E779B"/>
    <w:p w14:paraId="2EB55CEF" w14:textId="77777777" w:rsidR="005E779B" w:rsidRPr="00CE2241" w:rsidRDefault="005E779B" w:rsidP="005E779B">
      <w:pPr>
        <w:pStyle w:val="agendaitemtitle"/>
        <w:rPr>
          <w:b w:val="0"/>
          <w:bCs w:val="0"/>
          <w:color w:val="auto"/>
        </w:rPr>
      </w:pPr>
      <w:r w:rsidRPr="00CE2241">
        <w:fldChar w:fldCharType="begin"/>
      </w:r>
      <w:r w:rsidRPr="00CE2241">
        <w:instrText xml:space="preserve"> AUTONUM  </w:instrText>
      </w:r>
      <w:r w:rsidRPr="00CE2241">
        <w:fldChar w:fldCharType="end"/>
      </w:r>
      <w:r w:rsidRPr="00CE2241">
        <w:tab/>
        <w:t xml:space="preserve">Cuestiones planteadas por los Grupos de Trabajo Técnicos </w:t>
      </w:r>
      <w:r w:rsidRPr="00CE2241">
        <w:rPr>
          <w:b w:val="0"/>
          <w:bCs w:val="0"/>
          <w:color w:val="auto"/>
        </w:rPr>
        <w:t xml:space="preserve">(documento TC/62/3) </w:t>
      </w:r>
    </w:p>
    <w:p w14:paraId="7EBB0427" w14:textId="77777777" w:rsidR="005E779B" w:rsidRPr="00CE2241" w:rsidRDefault="005E779B" w:rsidP="005E779B"/>
    <w:p w14:paraId="679B495F" w14:textId="77777777" w:rsidR="005E779B" w:rsidRPr="00CE2241" w:rsidRDefault="005E779B" w:rsidP="005E779B">
      <w:pPr>
        <w:ind w:left="567"/>
      </w:pPr>
      <w:r w:rsidRPr="00CE2241">
        <w:t>Se invitará al TC a examinar y/o tomar nota de los asuntos debatidos en los TWP en 2026 que no estén contemplados en puntos específicos del orden del día.</w:t>
      </w:r>
    </w:p>
    <w:p w14:paraId="4B5AAF6E" w14:textId="77777777" w:rsidR="005E779B" w:rsidRPr="00CE2241" w:rsidRDefault="005E779B" w:rsidP="005E779B"/>
    <w:p w14:paraId="7108FAB5" w14:textId="77777777" w:rsidR="005E779B" w:rsidRPr="00CE2241" w:rsidRDefault="005E779B" w:rsidP="005E779B"/>
    <w:bookmarkStart w:id="0" w:name="_Hlk193966668"/>
    <w:p w14:paraId="0086D33D" w14:textId="77777777" w:rsidR="005E779B" w:rsidRPr="00CE2241" w:rsidRDefault="005E779B" w:rsidP="005E779B">
      <w:pPr>
        <w:pStyle w:val="agendaitemtitle"/>
        <w:keepNext/>
      </w:pPr>
      <w:r w:rsidRPr="00CE2241">
        <w:fldChar w:fldCharType="begin"/>
      </w:r>
      <w:r w:rsidRPr="00CE2241">
        <w:instrText xml:space="preserve"> AUTONUM  </w:instrText>
      </w:r>
      <w:r w:rsidRPr="00CE2241">
        <w:fldChar w:fldCharType="end"/>
      </w:r>
      <w:r w:rsidRPr="00CE2241">
        <w:tab/>
        <w:t>Elaboración de orientaciones y documentos propuestos para su adopción por el Consejo</w:t>
      </w:r>
    </w:p>
    <w:p w14:paraId="4F628AC6" w14:textId="77777777" w:rsidR="005E779B" w:rsidRPr="00CE2241" w:rsidRDefault="005E779B" w:rsidP="005E779B">
      <w:pPr>
        <w:keepNext/>
        <w:ind w:left="567"/>
        <w:rPr>
          <w:bCs/>
          <w:snapToGrid w:val="0"/>
          <w:szCs w:val="24"/>
        </w:rPr>
      </w:pPr>
      <w:r w:rsidRPr="00CE2241">
        <w:rPr>
          <w:bCs/>
          <w:snapToGrid w:val="0"/>
          <w:szCs w:val="24"/>
        </w:rPr>
        <w:t>(</w:t>
      </w:r>
      <w:r w:rsidRPr="00CE2241">
        <w:rPr>
          <w:rFonts w:cs="Arial"/>
          <w:snapToGrid w:val="0"/>
        </w:rPr>
        <w:t xml:space="preserve">documento </w:t>
      </w:r>
      <w:r w:rsidRPr="00CE2241">
        <w:t>SESSIONS/2026/2</w:t>
      </w:r>
      <w:r w:rsidRPr="00CE2241">
        <w:rPr>
          <w:bCs/>
          <w:snapToGrid w:val="0"/>
          <w:szCs w:val="24"/>
        </w:rPr>
        <w:t xml:space="preserve">) </w:t>
      </w:r>
    </w:p>
    <w:p w14:paraId="54D45F9B" w14:textId="77777777" w:rsidR="005E779B" w:rsidRPr="00CE2241" w:rsidRDefault="005E779B" w:rsidP="005E779B">
      <w:pPr>
        <w:keepNext/>
        <w:rPr>
          <w:rFonts w:cs="Arial"/>
          <w:snapToGrid w:val="0"/>
        </w:rPr>
      </w:pPr>
    </w:p>
    <w:p w14:paraId="3C8ECBF6" w14:textId="77777777" w:rsidR="00CE2241" w:rsidRPr="00847B72" w:rsidRDefault="00CE2241" w:rsidP="00CE2241">
      <w:pPr>
        <w:keepNext/>
        <w:ind w:left="2127" w:hanging="1560"/>
        <w:jc w:val="left"/>
        <w:rPr>
          <w:rFonts w:eastAsia="Calibri" w:cs="Arial"/>
          <w:bdr w:val="nil"/>
          <w:lang w:eastAsia="nl-NL"/>
        </w:rPr>
      </w:pPr>
      <w:bookmarkStart w:id="1" w:name="_Hlk225776505"/>
      <w:r w:rsidRPr="00847B72">
        <w:rPr>
          <w:rFonts w:eastAsia="Calibri" w:cs="Arial"/>
          <w:color w:val="006600"/>
          <w:bdr w:val="nil"/>
          <w:lang w:eastAsia="nl-NL"/>
        </w:rPr>
        <w:t>UPOV/INF/16</w:t>
      </w:r>
      <w:r w:rsidRPr="00847B72">
        <w:rPr>
          <w:rFonts w:eastAsia="Calibri" w:cs="Arial"/>
          <w:color w:val="006600"/>
          <w:bdr w:val="nil"/>
          <w:lang w:eastAsia="nl-NL"/>
        </w:rPr>
        <w:tab/>
        <w:t>Software intercambiable (</w:t>
      </w:r>
      <w:r>
        <w:rPr>
          <w:rFonts w:eastAsia="Calibri" w:cs="Arial"/>
          <w:color w:val="006600"/>
          <w:bdr w:val="nil"/>
          <w:lang w:eastAsia="nl-NL"/>
        </w:rPr>
        <w:t>r</w:t>
      </w:r>
      <w:r w:rsidRPr="00847B72">
        <w:rPr>
          <w:rFonts w:eastAsia="Calibri" w:cs="Arial"/>
          <w:color w:val="006600"/>
          <w:bdr w:val="nil"/>
          <w:lang w:eastAsia="nl-NL"/>
        </w:rPr>
        <w:t xml:space="preserve">evisión) </w:t>
      </w:r>
      <w:r w:rsidRPr="00847B72">
        <w:rPr>
          <w:rFonts w:eastAsia="Calibri" w:cs="Arial"/>
          <w:bdr w:val="nil"/>
          <w:lang w:eastAsia="nl-NL"/>
        </w:rPr>
        <w:t>(documento UPOV/INF/16/14</w:t>
      </w:r>
      <w:r>
        <w:rPr>
          <w:rFonts w:eastAsia="Calibri" w:cs="Arial"/>
          <w:bdr w:val="nil"/>
          <w:lang w:eastAsia="nl-NL"/>
        </w:rPr>
        <w:t xml:space="preserve"> Draft </w:t>
      </w:r>
      <w:r w:rsidRPr="00847B72">
        <w:rPr>
          <w:rFonts w:eastAsia="Calibri" w:cs="Arial"/>
          <w:bdr w:val="nil"/>
          <w:lang w:eastAsia="nl-NL"/>
        </w:rPr>
        <w:t>1)</w:t>
      </w:r>
    </w:p>
    <w:p w14:paraId="4D336246" w14:textId="77777777" w:rsidR="00CE2241" w:rsidRPr="00847B72" w:rsidRDefault="00CE2241" w:rsidP="00CE2241">
      <w:pPr>
        <w:keepNext/>
        <w:ind w:left="2127"/>
        <w:jc w:val="left"/>
        <w:rPr>
          <w:rFonts w:eastAsia="Calibri" w:cs="Arial"/>
          <w:bdr w:val="nil"/>
          <w:lang w:eastAsia="nl-NL"/>
        </w:rPr>
      </w:pPr>
    </w:p>
    <w:p w14:paraId="474E0354" w14:textId="77777777" w:rsidR="00CE2241" w:rsidRPr="00847B72" w:rsidRDefault="00CE2241" w:rsidP="00CE2241">
      <w:pPr>
        <w:ind w:left="2127"/>
        <w:rPr>
          <w:rFonts w:eastAsia="Calibri" w:cs="Arial"/>
          <w:bdr w:val="nil"/>
          <w:lang w:eastAsia="nl-NL"/>
        </w:rPr>
      </w:pPr>
      <w:r w:rsidRPr="00847B72">
        <w:rPr>
          <w:rFonts w:eastAsia="Calibri" w:cs="Arial"/>
          <w:bdr w:val="nil"/>
          <w:lang w:eastAsia="nl-NL"/>
        </w:rPr>
        <w:t>El software intercambiable se refiere al software desarrollado por los miembros de la</w:t>
      </w:r>
      <w:r>
        <w:rPr>
          <w:rFonts w:eastAsia="Calibri" w:cs="Arial"/>
          <w:bdr w:val="nil"/>
          <w:lang w:eastAsia="nl-NL"/>
        </w:rPr>
        <w:t> </w:t>
      </w:r>
      <w:r w:rsidRPr="00847B72">
        <w:rPr>
          <w:rFonts w:eastAsia="Calibri" w:cs="Arial"/>
          <w:bdr w:val="nil"/>
          <w:lang w:eastAsia="nl-NL"/>
        </w:rPr>
        <w:t>UPOV y puesto a disposición de otros miembros de la UPOV, con sujeción a las condiciones especificadas. Las propuestas para la inclusión de nuevo software se presentan para su examen por el Grupo de Trabajo Técnico sobre Métodos y Técnicas de Examen (TWM). El TWM formula una recomendación al Comité Técnico (TC) sobre la conveniencia de incluir dicho software en el documento UPOV/INF/16.</w:t>
      </w:r>
    </w:p>
    <w:p w14:paraId="3A4F940A" w14:textId="77777777" w:rsidR="005E779B" w:rsidRPr="00CE2241" w:rsidRDefault="005E779B" w:rsidP="008C7DA0">
      <w:pPr>
        <w:ind w:left="2127"/>
        <w:rPr>
          <w:rFonts w:eastAsia="Calibri" w:cs="Arial"/>
          <w:bdr w:val="nil"/>
          <w:lang w:eastAsia="nl-NL"/>
        </w:rPr>
      </w:pPr>
    </w:p>
    <w:p w14:paraId="19EF12E9" w14:textId="4BCB1DAE" w:rsidR="005E779B" w:rsidRPr="00CE2241" w:rsidRDefault="005E779B" w:rsidP="008C7DA0">
      <w:pPr>
        <w:ind w:left="2127"/>
        <w:rPr>
          <w:rFonts w:eastAsia="Calibri" w:cs="Arial"/>
          <w:bdr w:val="nil"/>
          <w:lang w:eastAsia="nl-NL"/>
        </w:rPr>
      </w:pPr>
      <w:r w:rsidRPr="00CE2241">
        <w:rPr>
          <w:rFonts w:eastAsia="Calibri" w:cs="Arial"/>
          <w:bdr w:val="nil"/>
          <w:lang w:eastAsia="nl-NL"/>
        </w:rPr>
        <w:t xml:space="preserve">El TC recibirá un informe sobre </w:t>
      </w:r>
      <w:r w:rsidR="008C7DA0">
        <w:rPr>
          <w:rFonts w:eastAsia="Calibri" w:cs="Arial"/>
          <w:bdr w:val="nil"/>
          <w:lang w:eastAsia="nl-NL"/>
        </w:rPr>
        <w:t>las novedades acaecidas</w:t>
      </w:r>
      <w:r w:rsidRPr="00CE2241">
        <w:rPr>
          <w:rFonts w:eastAsia="Calibri" w:cs="Arial"/>
          <w:bdr w:val="nil"/>
          <w:lang w:eastAsia="nl-NL"/>
        </w:rPr>
        <w:t xml:space="preserve"> y examinará las recomendaciones del TWM, si las hubiera, sobre la inclusión de un nuevo software para intercambio en el documento UPOV/INF/16.</w:t>
      </w:r>
    </w:p>
    <w:p w14:paraId="03B52EDE" w14:textId="77777777" w:rsidR="005E779B" w:rsidRPr="00CE2241" w:rsidRDefault="005E779B" w:rsidP="008C7DA0">
      <w:pPr>
        <w:ind w:left="2127"/>
        <w:rPr>
          <w:rFonts w:eastAsia="Calibri" w:cs="Arial"/>
          <w:bdr w:val="nil"/>
          <w:lang w:eastAsia="nl-NL"/>
        </w:rPr>
      </w:pPr>
    </w:p>
    <w:p w14:paraId="53290478" w14:textId="77777777" w:rsidR="008C7DA0" w:rsidRPr="00847B72" w:rsidRDefault="008C7DA0" w:rsidP="008C7DA0">
      <w:pPr>
        <w:ind w:left="2127"/>
        <w:rPr>
          <w:rFonts w:eastAsia="Calibri" w:cs="Arial"/>
          <w:bdr w:val="nil"/>
          <w:lang w:eastAsia="nl-NL"/>
        </w:rPr>
      </w:pPr>
      <w:r w:rsidRPr="00847B72">
        <w:rPr>
          <w:rFonts w:eastAsia="Calibri" w:cs="Arial"/>
          <w:bdr w:val="nil"/>
          <w:lang w:eastAsia="nl-NL"/>
        </w:rPr>
        <w:t xml:space="preserve">Sobre la base de las recomendaciones del Comité Consultivo en 2025, se invitará al Consejo a modificar el </w:t>
      </w:r>
      <w:r>
        <w:rPr>
          <w:rFonts w:eastAsia="Calibri" w:cs="Arial"/>
          <w:bdr w:val="nil"/>
          <w:lang w:eastAsia="nl-NL"/>
        </w:rPr>
        <w:t>“</w:t>
      </w:r>
      <w:r w:rsidRPr="00847B72">
        <w:rPr>
          <w:rFonts w:eastAsia="Calibri" w:cs="Arial"/>
          <w:bdr w:val="nil"/>
          <w:lang w:eastAsia="nl-NL"/>
        </w:rPr>
        <w:t>Procedimiento para la inclusión del software</w:t>
      </w:r>
      <w:r>
        <w:rPr>
          <w:rFonts w:eastAsia="Calibri" w:cs="Arial"/>
          <w:bdr w:val="nil"/>
          <w:lang w:eastAsia="nl-NL"/>
        </w:rPr>
        <w:t>”</w:t>
      </w:r>
      <w:r w:rsidRPr="00847B72">
        <w:rPr>
          <w:rFonts w:eastAsia="Calibri" w:cs="Arial"/>
          <w:bdr w:val="nil"/>
          <w:lang w:eastAsia="nl-NL"/>
        </w:rPr>
        <w:t xml:space="preserve"> en el documento UPOV/INF/16, de modo que las futuras revisiones de dicho documento se deleguen al Comité Técnico y no requieran la adopción formal por parte del Consejo.</w:t>
      </w:r>
    </w:p>
    <w:p w14:paraId="4C922A5F" w14:textId="77777777" w:rsidR="005E779B" w:rsidRPr="00CE2241" w:rsidRDefault="005E779B" w:rsidP="008C7DA0">
      <w:pPr>
        <w:ind w:left="2127"/>
        <w:rPr>
          <w:rFonts w:eastAsia="Calibri" w:cs="Arial"/>
          <w:bdr w:val="nil"/>
          <w:lang w:eastAsia="nl-NL"/>
        </w:rPr>
      </w:pPr>
    </w:p>
    <w:p w14:paraId="74FFEC1B" w14:textId="77777777" w:rsidR="008C7DA0" w:rsidRPr="00847B72" w:rsidRDefault="008C7DA0" w:rsidP="008C7DA0">
      <w:pPr>
        <w:keepNext/>
        <w:ind w:left="2127" w:hanging="1560"/>
        <w:jc w:val="left"/>
        <w:rPr>
          <w:rFonts w:eastAsia="Calibri" w:cs="Arial"/>
          <w:bdr w:val="nil"/>
          <w:lang w:eastAsia="nl-NL"/>
        </w:rPr>
      </w:pPr>
      <w:r w:rsidRPr="00847B72">
        <w:rPr>
          <w:rFonts w:eastAsia="Calibri" w:cs="Arial"/>
          <w:color w:val="006600"/>
          <w:bdr w:val="nil"/>
          <w:lang w:eastAsia="nl-NL"/>
        </w:rPr>
        <w:t>UPOV/INF/22</w:t>
      </w:r>
      <w:r w:rsidRPr="00847B72">
        <w:rPr>
          <w:rFonts w:eastAsia="Calibri" w:cs="Arial"/>
          <w:color w:val="006600"/>
          <w:bdr w:val="nil"/>
          <w:lang w:eastAsia="nl-NL"/>
        </w:rPr>
        <w:tab/>
      </w:r>
      <w:r w:rsidRPr="007027E8">
        <w:rPr>
          <w:rFonts w:eastAsia="Calibri" w:cs="Arial"/>
          <w:color w:val="006600"/>
          <w:bdr w:val="nil"/>
          <w:lang w:eastAsia="nl-NL"/>
        </w:rPr>
        <w:t xml:space="preserve">Programas informáticos </w:t>
      </w:r>
      <w:r w:rsidRPr="00847B72">
        <w:rPr>
          <w:rFonts w:eastAsia="Calibri" w:cs="Arial"/>
          <w:color w:val="006600"/>
          <w:bdr w:val="nil"/>
          <w:lang w:eastAsia="nl-NL"/>
        </w:rPr>
        <w:t>y equipos utilizados por los miembros de la Unión (</w:t>
      </w:r>
      <w:r>
        <w:rPr>
          <w:rFonts w:eastAsia="Calibri" w:cs="Arial"/>
          <w:color w:val="006600"/>
          <w:bdr w:val="nil"/>
          <w:lang w:eastAsia="nl-NL"/>
        </w:rPr>
        <w:t>r</w:t>
      </w:r>
      <w:r w:rsidRPr="00847B72">
        <w:rPr>
          <w:rFonts w:eastAsia="Calibri" w:cs="Arial"/>
          <w:color w:val="006600"/>
          <w:bdr w:val="nil"/>
          <w:lang w:eastAsia="nl-NL"/>
        </w:rPr>
        <w:t>evisión)</w:t>
      </w:r>
      <w:r w:rsidRPr="00847B72">
        <w:rPr>
          <w:rFonts w:eastAsia="Calibri" w:cs="Arial"/>
          <w:bdr w:val="nil"/>
          <w:lang w:eastAsia="nl-NL"/>
        </w:rPr>
        <w:br/>
        <w:t>(documento UPOV/INF/22/13</w:t>
      </w:r>
      <w:r>
        <w:rPr>
          <w:rFonts w:eastAsia="Calibri" w:cs="Arial"/>
          <w:bdr w:val="nil"/>
          <w:lang w:eastAsia="nl-NL"/>
        </w:rPr>
        <w:t xml:space="preserve"> Draft </w:t>
      </w:r>
      <w:r w:rsidRPr="00847B72">
        <w:rPr>
          <w:rFonts w:eastAsia="Calibri" w:cs="Arial"/>
          <w:bdr w:val="nil"/>
          <w:lang w:eastAsia="nl-NL"/>
        </w:rPr>
        <w:t xml:space="preserve">1) </w:t>
      </w:r>
    </w:p>
    <w:p w14:paraId="1911CAA3" w14:textId="77777777" w:rsidR="008C7DA0" w:rsidRPr="00847B72" w:rsidRDefault="008C7DA0" w:rsidP="008C7DA0">
      <w:pPr>
        <w:keepNext/>
        <w:ind w:left="2127"/>
        <w:jc w:val="left"/>
        <w:rPr>
          <w:rFonts w:eastAsia="Calibri" w:cs="Arial"/>
          <w:bdr w:val="nil"/>
          <w:lang w:eastAsia="nl-NL"/>
        </w:rPr>
      </w:pPr>
    </w:p>
    <w:p w14:paraId="5A978862" w14:textId="77777777" w:rsidR="008C7DA0" w:rsidRPr="00847B72" w:rsidRDefault="008C7DA0" w:rsidP="008C7DA0">
      <w:pPr>
        <w:ind w:left="2127"/>
        <w:rPr>
          <w:rFonts w:eastAsia="Calibri" w:cs="Arial"/>
          <w:bdr w:val="nil"/>
          <w:lang w:eastAsia="nl-NL"/>
        </w:rPr>
      </w:pPr>
      <w:r w:rsidRPr="00847B72">
        <w:rPr>
          <w:rFonts w:eastAsia="Calibri" w:cs="Arial"/>
          <w:bdr w:val="nil"/>
          <w:lang w:eastAsia="nl-NL"/>
        </w:rPr>
        <w:t>El documento UPOV/INF/22 es un catálogo de software y equipos disponibles en el mercado que utilizan los miembros de la UPOV con fines de protección de las variedades vegetales. Abarca herramientas para la gestión de solicitudes de protección de variedades vegetales, sistemas de solicitud en línea, verificación de denominaciones de variedades y diseño de ensayos DHE y análisis de datos. Los miembros de la UPOV informan anualmente sobre su uso del software y los equipos enumerados, y el documento se actualiza de forma continua.</w:t>
      </w:r>
    </w:p>
    <w:p w14:paraId="02580826" w14:textId="77777777" w:rsidR="008C7DA0" w:rsidRPr="00847B72" w:rsidRDefault="008C7DA0" w:rsidP="008C7DA0">
      <w:pPr>
        <w:ind w:left="2127"/>
        <w:rPr>
          <w:rFonts w:eastAsia="Calibri" w:cs="Arial"/>
          <w:bdr w:val="nil"/>
          <w:lang w:eastAsia="nl-NL"/>
        </w:rPr>
      </w:pPr>
    </w:p>
    <w:p w14:paraId="063D468A" w14:textId="77777777" w:rsidR="008C7DA0" w:rsidRPr="00847B72" w:rsidRDefault="008C7DA0" w:rsidP="008C7DA0">
      <w:pPr>
        <w:ind w:left="2127"/>
        <w:rPr>
          <w:rFonts w:eastAsia="Calibri" w:cs="Arial"/>
          <w:bdr w:val="nil"/>
          <w:lang w:eastAsia="nl-NL"/>
        </w:rPr>
      </w:pPr>
      <w:r w:rsidRPr="00847B72">
        <w:rPr>
          <w:rFonts w:eastAsia="Calibri" w:cs="Arial"/>
          <w:bdr w:val="nil"/>
          <w:lang w:eastAsia="nl-NL"/>
        </w:rPr>
        <w:t xml:space="preserve">Sobre la base de las recomendaciones del Comité Consultivo en 2025, se invitará al Consejo a modificar el </w:t>
      </w:r>
      <w:r>
        <w:rPr>
          <w:rFonts w:eastAsia="Calibri" w:cs="Arial"/>
          <w:bdr w:val="nil"/>
          <w:lang w:eastAsia="nl-NL"/>
        </w:rPr>
        <w:t>“</w:t>
      </w:r>
      <w:r w:rsidRPr="00847B72">
        <w:rPr>
          <w:rFonts w:eastAsia="Calibri" w:cs="Arial"/>
          <w:bdr w:val="nil"/>
          <w:lang w:eastAsia="nl-NL"/>
        </w:rPr>
        <w:t>Procedimiento para la inclusión de programas informáticos y equipos</w:t>
      </w:r>
      <w:r>
        <w:rPr>
          <w:rFonts w:eastAsia="Calibri" w:cs="Arial"/>
          <w:bdr w:val="nil"/>
          <w:lang w:eastAsia="nl-NL"/>
        </w:rPr>
        <w:t>”</w:t>
      </w:r>
      <w:r w:rsidRPr="00847B72">
        <w:rPr>
          <w:rFonts w:eastAsia="Calibri" w:cs="Arial"/>
          <w:bdr w:val="nil"/>
          <w:lang w:eastAsia="nl-NL"/>
        </w:rPr>
        <w:t xml:space="preserve"> del documento UPOV/INF/22, de modo que las futuras revisiones de dicho documento no requieran la adopción formal por parte del Consejo. </w:t>
      </w:r>
    </w:p>
    <w:p w14:paraId="6145D198" w14:textId="77777777" w:rsidR="005E779B" w:rsidRPr="00CE2241" w:rsidRDefault="005E779B" w:rsidP="008C7DA0">
      <w:pPr>
        <w:ind w:left="2127"/>
        <w:rPr>
          <w:rFonts w:eastAsia="Calibri" w:cs="Arial"/>
          <w:bdr w:val="nil"/>
          <w:lang w:eastAsia="nl-NL"/>
        </w:rPr>
      </w:pPr>
    </w:p>
    <w:p w14:paraId="08AA30C8" w14:textId="77777777" w:rsidR="008C7DA0" w:rsidRPr="00847B72" w:rsidRDefault="008C7DA0" w:rsidP="008C7DA0">
      <w:pPr>
        <w:keepNext/>
        <w:ind w:left="1134" w:hanging="567"/>
        <w:jc w:val="left"/>
        <w:rPr>
          <w:rFonts w:eastAsia="Calibri" w:cs="Arial"/>
          <w:color w:val="006600"/>
          <w:bdr w:val="nil"/>
          <w:lang w:eastAsia="nl-NL"/>
        </w:rPr>
      </w:pPr>
      <w:r w:rsidRPr="00847B72">
        <w:rPr>
          <w:rFonts w:eastAsia="Calibri" w:cs="Arial"/>
          <w:color w:val="006600"/>
          <w:bdr w:val="nil"/>
          <w:lang w:eastAsia="nl-NL"/>
        </w:rPr>
        <w:t>b)</w:t>
      </w:r>
      <w:r w:rsidRPr="00847B72">
        <w:rPr>
          <w:rFonts w:eastAsia="Calibri" w:cs="Arial"/>
          <w:color w:val="006600"/>
          <w:bdr w:val="nil"/>
          <w:lang w:eastAsia="nl-NL"/>
        </w:rPr>
        <w:tab/>
        <w:t>Documentos TGP:</w:t>
      </w:r>
    </w:p>
    <w:p w14:paraId="041E12C5" w14:textId="77777777" w:rsidR="008C7DA0" w:rsidRPr="00847B72" w:rsidRDefault="008C7DA0" w:rsidP="008C7DA0">
      <w:pPr>
        <w:keepNext/>
        <w:ind w:left="1560" w:hanging="993"/>
        <w:jc w:val="left"/>
        <w:rPr>
          <w:rFonts w:eastAsia="Calibri" w:cs="Arial"/>
          <w:color w:val="006600"/>
          <w:bdr w:val="nil"/>
          <w:lang w:eastAsia="nl-NL"/>
        </w:rPr>
      </w:pPr>
    </w:p>
    <w:p w14:paraId="10C2C631" w14:textId="77777777" w:rsidR="008C7DA0" w:rsidRPr="00847B72" w:rsidRDefault="008C7DA0" w:rsidP="008C7DA0">
      <w:pPr>
        <w:ind w:left="2127" w:hanging="1560"/>
        <w:jc w:val="left"/>
        <w:rPr>
          <w:bCs/>
          <w:snapToGrid w:val="0"/>
          <w:szCs w:val="24"/>
        </w:rPr>
      </w:pPr>
      <w:r w:rsidRPr="00847B72">
        <w:rPr>
          <w:rFonts w:eastAsia="Calibri" w:cs="Arial"/>
          <w:color w:val="006600"/>
          <w:bdr w:val="nil"/>
          <w:lang w:eastAsia="nl-NL"/>
        </w:rPr>
        <w:t>TGP/5</w:t>
      </w:r>
      <w:r w:rsidRPr="00847B72">
        <w:rPr>
          <w:rFonts w:eastAsia="Calibri" w:cs="Arial"/>
          <w:color w:val="006600"/>
          <w:bdr w:val="nil"/>
          <w:lang w:eastAsia="nl-NL"/>
        </w:rPr>
        <w:tab/>
        <w:t xml:space="preserve">Experiencia y cooperación en el examen DHE: Sección 11 </w:t>
      </w:r>
      <w:r>
        <w:rPr>
          <w:rFonts w:eastAsia="Calibri" w:cs="Arial"/>
          <w:color w:val="006600"/>
          <w:bdr w:val="nil"/>
          <w:lang w:eastAsia="nl-NL"/>
        </w:rPr>
        <w:t>“</w:t>
      </w:r>
      <w:r w:rsidRPr="00847B72">
        <w:rPr>
          <w:rFonts w:eastAsia="Calibri" w:cs="Arial"/>
          <w:color w:val="006600"/>
          <w:bdr w:val="nil"/>
          <w:lang w:eastAsia="nl-NL"/>
        </w:rPr>
        <w:t>Ejemplos de políticas y contratos para el material presentado por el obtentor</w:t>
      </w:r>
      <w:r>
        <w:rPr>
          <w:rFonts w:eastAsia="Calibri" w:cs="Arial"/>
          <w:color w:val="006600"/>
          <w:bdr w:val="nil"/>
          <w:lang w:eastAsia="nl-NL"/>
        </w:rPr>
        <w:t>”</w:t>
      </w:r>
      <w:r w:rsidRPr="00847B72">
        <w:rPr>
          <w:rFonts w:eastAsia="Calibri" w:cs="Arial"/>
          <w:color w:val="006600"/>
          <w:bdr w:val="nil"/>
          <w:lang w:eastAsia="nl-NL"/>
        </w:rPr>
        <w:t xml:space="preserve"> (</w:t>
      </w:r>
      <w:r>
        <w:rPr>
          <w:rFonts w:eastAsia="Calibri" w:cs="Arial"/>
          <w:color w:val="006600"/>
          <w:bdr w:val="nil"/>
          <w:lang w:eastAsia="nl-NL"/>
        </w:rPr>
        <w:t>r</w:t>
      </w:r>
      <w:r w:rsidRPr="00847B72">
        <w:rPr>
          <w:rFonts w:eastAsia="Calibri" w:cs="Arial"/>
          <w:color w:val="006600"/>
          <w:bdr w:val="nil"/>
          <w:lang w:eastAsia="nl-NL"/>
        </w:rPr>
        <w:t>evisión)</w:t>
      </w:r>
      <w:r w:rsidRPr="00847B72">
        <w:rPr>
          <w:rFonts w:eastAsia="Calibri" w:cs="Arial"/>
          <w:color w:val="006600"/>
          <w:bdr w:val="nil"/>
          <w:lang w:eastAsia="nl-NL"/>
        </w:rPr>
        <w:br/>
      </w:r>
      <w:r w:rsidRPr="00847B72">
        <w:rPr>
          <w:rFonts w:cs="Arial"/>
          <w:snapToGrid w:val="0"/>
        </w:rPr>
        <w:t xml:space="preserve">(documento </w:t>
      </w:r>
      <w:r w:rsidRPr="00847B72">
        <w:t>TGP/5, sección 11/2</w:t>
      </w:r>
      <w:r>
        <w:t xml:space="preserve"> Draft </w:t>
      </w:r>
      <w:r w:rsidRPr="00847B72">
        <w:t>1</w:t>
      </w:r>
      <w:r w:rsidRPr="00847B72">
        <w:rPr>
          <w:bCs/>
          <w:snapToGrid w:val="0"/>
          <w:szCs w:val="24"/>
        </w:rPr>
        <w:t>)</w:t>
      </w:r>
    </w:p>
    <w:p w14:paraId="1B3A093D" w14:textId="77777777" w:rsidR="008C7DA0" w:rsidRPr="00847B72" w:rsidRDefault="008C7DA0" w:rsidP="008C7DA0"/>
    <w:p w14:paraId="1C812EEC" w14:textId="77777777" w:rsidR="008C7DA0" w:rsidRPr="00847B72" w:rsidRDefault="008C7DA0" w:rsidP="008C7DA0">
      <w:pPr>
        <w:ind w:left="2127"/>
      </w:pPr>
      <w:r w:rsidRPr="00847B72">
        <w:t xml:space="preserve">Se invitará al Consejo a aprobar una revisión de la sección 11 del documento TGP/5 para sustituir la información facilitada anteriormente por la Unión Europea por la política actual sobre la situación del material vegetal presentado para el examen DHE. </w:t>
      </w:r>
    </w:p>
    <w:p w14:paraId="284B1DF7" w14:textId="77777777" w:rsidR="005E779B" w:rsidRPr="00CE2241" w:rsidRDefault="005E779B" w:rsidP="008C7DA0">
      <w:pPr>
        <w:ind w:left="2127"/>
        <w:rPr>
          <w:rFonts w:eastAsia="Calibri" w:cs="Arial"/>
          <w:color w:val="006600"/>
          <w:bdr w:val="nil"/>
          <w:lang w:eastAsia="nl-NL"/>
        </w:rPr>
      </w:pPr>
    </w:p>
    <w:p w14:paraId="64C94453" w14:textId="1D4EADD8" w:rsidR="005E779B" w:rsidRPr="00CE2241" w:rsidRDefault="005E779B" w:rsidP="008C7DA0">
      <w:pPr>
        <w:ind w:left="2127" w:hanging="1560"/>
        <w:jc w:val="left"/>
        <w:rPr>
          <w:rFonts w:eastAsia="Calibri" w:cs="Arial"/>
          <w:bdr w:val="nil"/>
          <w:lang w:eastAsia="nl-NL"/>
        </w:rPr>
      </w:pPr>
      <w:r w:rsidRPr="00CE2241">
        <w:rPr>
          <w:rFonts w:eastAsia="Calibri" w:cs="Arial"/>
          <w:color w:val="006600"/>
          <w:bdr w:val="nil"/>
          <w:lang w:eastAsia="nl-NL"/>
        </w:rPr>
        <w:t>TGP/7</w:t>
      </w:r>
      <w:r w:rsidRPr="00CE2241">
        <w:rPr>
          <w:rFonts w:eastAsia="Calibri" w:cs="Arial"/>
          <w:color w:val="006600"/>
          <w:bdr w:val="nil"/>
          <w:lang w:eastAsia="nl-NL"/>
        </w:rPr>
        <w:tab/>
        <w:t xml:space="preserve">Elaboración de </w:t>
      </w:r>
      <w:r w:rsidR="009C64E3">
        <w:rPr>
          <w:rFonts w:eastAsia="Calibri" w:cs="Arial"/>
          <w:color w:val="006600"/>
          <w:bdr w:val="nil"/>
          <w:lang w:eastAsia="nl-NL"/>
        </w:rPr>
        <w:t xml:space="preserve">las </w:t>
      </w:r>
      <w:r w:rsidRPr="00CE2241">
        <w:rPr>
          <w:rFonts w:eastAsia="Calibri" w:cs="Arial"/>
          <w:color w:val="006600"/>
          <w:bdr w:val="nil"/>
          <w:lang w:eastAsia="nl-NL"/>
        </w:rPr>
        <w:t>directrices de examen (</w:t>
      </w:r>
      <w:r w:rsidR="009C64E3">
        <w:rPr>
          <w:rFonts w:eastAsia="Calibri" w:cs="Arial"/>
          <w:color w:val="006600"/>
          <w:bdr w:val="nil"/>
          <w:lang w:eastAsia="nl-NL"/>
        </w:rPr>
        <w:t>r</w:t>
      </w:r>
      <w:r w:rsidRPr="00CE2241">
        <w:rPr>
          <w:rFonts w:eastAsia="Calibri" w:cs="Arial"/>
          <w:color w:val="006600"/>
          <w:bdr w:val="nil"/>
          <w:lang w:eastAsia="nl-NL"/>
        </w:rPr>
        <w:t>evisión)</w:t>
      </w:r>
      <w:r w:rsidRPr="00CE2241">
        <w:rPr>
          <w:rFonts w:eastAsia="Calibri" w:cs="Arial"/>
          <w:color w:val="006600"/>
          <w:bdr w:val="nil"/>
          <w:lang w:eastAsia="nl-NL"/>
        </w:rPr>
        <w:br/>
      </w:r>
      <w:r w:rsidRPr="00CE2241">
        <w:rPr>
          <w:rFonts w:eastAsia="Calibri" w:cs="Arial"/>
          <w:bdr w:val="nil"/>
          <w:lang w:eastAsia="nl-NL"/>
        </w:rPr>
        <w:t>(documento SESSIONS/2026/2)</w:t>
      </w:r>
    </w:p>
    <w:p w14:paraId="184F1BD1" w14:textId="77777777" w:rsidR="005E779B" w:rsidRPr="00CE2241" w:rsidRDefault="005E779B" w:rsidP="005E779B">
      <w:pPr>
        <w:ind w:left="1560" w:hanging="993"/>
        <w:jc w:val="left"/>
        <w:rPr>
          <w:rFonts w:eastAsia="Calibri" w:cs="Arial"/>
          <w:color w:val="006600"/>
          <w:bdr w:val="nil"/>
          <w:lang w:eastAsia="nl-NL"/>
        </w:rPr>
      </w:pPr>
    </w:p>
    <w:p w14:paraId="2DEAD77A" w14:textId="453CF61C" w:rsidR="005E779B" w:rsidRPr="00CE2241" w:rsidRDefault="005E779B" w:rsidP="008C7DA0">
      <w:pPr>
        <w:ind w:left="2410" w:hanging="283"/>
        <w:jc w:val="left"/>
        <w:rPr>
          <w:rFonts w:eastAsia="Calibri" w:cs="Arial"/>
          <w:color w:val="006600"/>
          <w:bdr w:val="nil"/>
          <w:lang w:eastAsia="nl-NL"/>
        </w:rPr>
      </w:pPr>
      <w:r w:rsidRPr="00CE2241">
        <w:rPr>
          <w:rFonts w:eastAsia="Calibri" w:cs="Arial"/>
          <w:color w:val="006600"/>
          <w:bdr w:val="nil"/>
          <w:lang w:eastAsia="nl-NL"/>
        </w:rPr>
        <w:t>–</w:t>
      </w:r>
      <w:r w:rsidR="008C7DA0">
        <w:rPr>
          <w:rFonts w:eastAsia="Calibri" w:cs="Arial"/>
          <w:color w:val="006600"/>
          <w:bdr w:val="nil"/>
          <w:lang w:eastAsia="nl-NL"/>
        </w:rPr>
        <w:tab/>
        <w:t>Texto</w:t>
      </w:r>
      <w:r w:rsidRPr="00CE2241">
        <w:rPr>
          <w:rFonts w:eastAsia="Calibri" w:cs="Arial"/>
          <w:color w:val="006600"/>
          <w:bdr w:val="nil"/>
          <w:lang w:eastAsia="nl-NL"/>
        </w:rPr>
        <w:t xml:space="preserve"> estándar universal en las directrices de examen para el «número de ciclos de cultivo»; </w:t>
      </w:r>
    </w:p>
    <w:p w14:paraId="25591FCA" w14:textId="67C5E5B0" w:rsidR="005E779B" w:rsidRPr="00CE2241" w:rsidRDefault="005E779B" w:rsidP="008C7DA0">
      <w:pPr>
        <w:ind w:left="2410" w:hanging="283"/>
        <w:jc w:val="left"/>
        <w:rPr>
          <w:rFonts w:eastAsia="Calibri" w:cs="Arial"/>
          <w:color w:val="006600"/>
          <w:bdr w:val="nil"/>
          <w:lang w:eastAsia="nl-NL"/>
        </w:rPr>
      </w:pPr>
      <w:r w:rsidRPr="00CE2241">
        <w:rPr>
          <w:rFonts w:eastAsia="Calibri" w:cs="Arial"/>
          <w:color w:val="006600"/>
          <w:bdr w:val="nil"/>
          <w:lang w:eastAsia="nl-NL"/>
        </w:rPr>
        <w:t>–</w:t>
      </w:r>
      <w:r w:rsidR="008C7DA0">
        <w:rPr>
          <w:rFonts w:eastAsia="Calibri" w:cs="Arial"/>
          <w:color w:val="006600"/>
          <w:bdr w:val="nil"/>
          <w:lang w:eastAsia="nl-NL"/>
        </w:rPr>
        <w:tab/>
        <w:t xml:space="preserve">Texto </w:t>
      </w:r>
      <w:r w:rsidRPr="00CE2241">
        <w:rPr>
          <w:rFonts w:eastAsia="Calibri" w:cs="Arial"/>
          <w:color w:val="006600"/>
          <w:bdr w:val="nil"/>
          <w:lang w:eastAsia="nl-NL"/>
        </w:rPr>
        <w:t>estándar adicional para «número de ciclos de cultivo» (ASW 2)</w:t>
      </w:r>
    </w:p>
    <w:p w14:paraId="67255243" w14:textId="014C36AF" w:rsidR="005E779B" w:rsidRPr="00CE2241" w:rsidRDefault="005E779B" w:rsidP="008C7DA0">
      <w:pPr>
        <w:ind w:left="2410" w:hanging="283"/>
        <w:jc w:val="left"/>
        <w:rPr>
          <w:rFonts w:eastAsia="Calibri" w:cs="Arial"/>
          <w:color w:val="006600"/>
          <w:bdr w:val="nil"/>
          <w:lang w:eastAsia="nl-NL"/>
        </w:rPr>
      </w:pPr>
      <w:r w:rsidRPr="00CE2241">
        <w:rPr>
          <w:rFonts w:eastAsia="Calibri" w:cs="Arial"/>
          <w:color w:val="006600"/>
          <w:bdr w:val="nil"/>
          <w:lang w:eastAsia="nl-NL"/>
        </w:rPr>
        <w:t>–</w:t>
      </w:r>
      <w:r w:rsidR="008C7DA0">
        <w:rPr>
          <w:rFonts w:eastAsia="Calibri" w:cs="Arial"/>
          <w:color w:val="006600"/>
          <w:bdr w:val="nil"/>
          <w:lang w:eastAsia="nl-NL"/>
        </w:rPr>
        <w:tab/>
      </w:r>
      <w:r w:rsidRPr="00CE2241">
        <w:rPr>
          <w:rFonts w:eastAsia="Calibri" w:cs="Arial"/>
          <w:color w:val="006600"/>
          <w:bdr w:val="nil"/>
          <w:lang w:eastAsia="nl-NL"/>
        </w:rPr>
        <w:t>Explicación del ciclo de cultivo: especies frutales (ASW 3)</w:t>
      </w:r>
    </w:p>
    <w:p w14:paraId="1DD1B1ED" w14:textId="77777777" w:rsidR="005E779B" w:rsidRPr="00CE2241" w:rsidRDefault="005E779B" w:rsidP="008C7DA0">
      <w:pPr>
        <w:ind w:left="2127"/>
      </w:pPr>
    </w:p>
    <w:p w14:paraId="10A3A5EB" w14:textId="71E692C8" w:rsidR="005E779B" w:rsidRPr="00CE2241" w:rsidRDefault="005E779B" w:rsidP="008C7DA0">
      <w:pPr>
        <w:ind w:left="2127"/>
      </w:pPr>
      <w:r w:rsidRPr="00CE2241">
        <w:t>Se invitará al Comité Técnico a examinar las modificaciones propuestas a</w:t>
      </w:r>
      <w:r w:rsidR="008C7DA0">
        <w:t>l</w:t>
      </w:r>
      <w:r w:rsidRPr="00CE2241">
        <w:t xml:space="preserve"> </w:t>
      </w:r>
      <w:r w:rsidR="008C7DA0">
        <w:t xml:space="preserve">texto </w:t>
      </w:r>
      <w:r w:rsidRPr="00CE2241">
        <w:t xml:space="preserve">estándar de las </w:t>
      </w:r>
      <w:r w:rsidR="008C7DA0" w:rsidRPr="00CE2241">
        <w:t xml:space="preserve">directrices de examen </w:t>
      </w:r>
      <w:r w:rsidRPr="00CE2241">
        <w:t>en relación con el «número de ciclos de cultivo» para aclarar cuándo puede concluirse el examen de una variedad. Se informará de las observaciones de los grupos de trabajo técnicos (TWP) sobre esta propuesta.</w:t>
      </w:r>
    </w:p>
    <w:p w14:paraId="7120F386" w14:textId="77777777" w:rsidR="005E779B" w:rsidRPr="00CE2241" w:rsidRDefault="005E779B" w:rsidP="009C64E3">
      <w:pPr>
        <w:ind w:left="2127"/>
        <w:rPr>
          <w:rFonts w:eastAsia="Calibri" w:cs="Arial"/>
          <w:color w:val="006600"/>
          <w:bdr w:val="nil"/>
          <w:lang w:eastAsia="nl-NL"/>
        </w:rPr>
      </w:pPr>
    </w:p>
    <w:bookmarkEnd w:id="1"/>
    <w:p w14:paraId="7FA5CB6C" w14:textId="77777777" w:rsidR="009C64E3" w:rsidRPr="00847B72" w:rsidRDefault="009C64E3" w:rsidP="009C64E3">
      <w:pPr>
        <w:ind w:left="2127" w:hanging="1560"/>
        <w:jc w:val="left"/>
        <w:rPr>
          <w:bCs/>
          <w:snapToGrid w:val="0"/>
          <w:szCs w:val="24"/>
        </w:rPr>
      </w:pPr>
      <w:r w:rsidRPr="00847B72">
        <w:rPr>
          <w:rFonts w:eastAsia="Calibri" w:cs="Arial"/>
          <w:color w:val="006600"/>
          <w:bdr w:val="nil"/>
          <w:lang w:eastAsia="nl-NL"/>
        </w:rPr>
        <w:t>TGP/15</w:t>
      </w:r>
      <w:r w:rsidRPr="00847B72">
        <w:rPr>
          <w:rFonts w:eastAsia="Calibri" w:cs="Arial"/>
          <w:color w:val="006600"/>
          <w:bdr w:val="nil"/>
          <w:lang w:eastAsia="nl-NL"/>
        </w:rPr>
        <w:tab/>
      </w:r>
      <w:r w:rsidRPr="007027E8">
        <w:rPr>
          <w:rFonts w:eastAsia="Calibri" w:cs="Arial"/>
          <w:color w:val="006600"/>
          <w:bdr w:val="nil"/>
          <w:lang w:eastAsia="nl-NL"/>
        </w:rPr>
        <w:t>Orientación sobre el uso de</w:t>
      </w:r>
      <w:r w:rsidRPr="00847B72">
        <w:rPr>
          <w:rFonts w:eastAsia="Calibri" w:cs="Arial"/>
          <w:color w:val="006600"/>
          <w:bdr w:val="nil"/>
          <w:lang w:eastAsia="nl-NL"/>
        </w:rPr>
        <w:t xml:space="preserve"> marcadores bioquímicos y moleculares en el examen de la distinción, la homogeneidad y la estabilidad (DHE) (</w:t>
      </w:r>
      <w:r>
        <w:rPr>
          <w:rFonts w:eastAsia="Calibri" w:cs="Arial"/>
          <w:color w:val="006600"/>
          <w:bdr w:val="nil"/>
          <w:lang w:eastAsia="nl-NL"/>
        </w:rPr>
        <w:t>r</w:t>
      </w:r>
      <w:r w:rsidRPr="00847B72">
        <w:rPr>
          <w:rFonts w:eastAsia="Calibri" w:cs="Arial"/>
          <w:color w:val="006600"/>
          <w:bdr w:val="nil"/>
          <w:lang w:eastAsia="nl-NL"/>
        </w:rPr>
        <w:t>evisión)</w:t>
      </w:r>
      <w:r w:rsidRPr="00847B72">
        <w:rPr>
          <w:rFonts w:eastAsia="Calibri" w:cs="Arial"/>
          <w:color w:val="006600"/>
          <w:bdr w:val="nil"/>
          <w:lang w:eastAsia="nl-NL"/>
        </w:rPr>
        <w:br/>
      </w:r>
      <w:r w:rsidRPr="00847B72">
        <w:rPr>
          <w:rFonts w:cs="Arial"/>
          <w:snapToGrid w:val="0"/>
        </w:rPr>
        <w:t xml:space="preserve">(documento </w:t>
      </w:r>
      <w:r w:rsidRPr="00847B72">
        <w:t>TGP/15/4</w:t>
      </w:r>
      <w:r>
        <w:t xml:space="preserve"> Draft </w:t>
      </w:r>
      <w:r w:rsidRPr="00847B72">
        <w:t>1</w:t>
      </w:r>
      <w:r w:rsidRPr="00847B72">
        <w:rPr>
          <w:bCs/>
          <w:snapToGrid w:val="0"/>
          <w:szCs w:val="24"/>
        </w:rPr>
        <w:t>)</w:t>
      </w:r>
    </w:p>
    <w:p w14:paraId="1679E692" w14:textId="77777777" w:rsidR="009C64E3" w:rsidRPr="00847B72" w:rsidRDefault="009C64E3" w:rsidP="009C64E3">
      <w:pPr>
        <w:ind w:left="2127"/>
        <w:jc w:val="left"/>
        <w:rPr>
          <w:rFonts w:eastAsia="Calibri" w:cs="Arial"/>
          <w:bdr w:val="nil"/>
          <w:lang w:eastAsia="nl-NL"/>
        </w:rPr>
      </w:pPr>
    </w:p>
    <w:p w14:paraId="5D8F3E16" w14:textId="77777777" w:rsidR="009C64E3" w:rsidRPr="00847B72" w:rsidRDefault="009C64E3" w:rsidP="009C64E3">
      <w:pPr>
        <w:ind w:left="2127"/>
        <w:rPr>
          <w:rFonts w:eastAsia="Calibri" w:cs="Arial"/>
          <w:bdr w:val="nil"/>
          <w:lang w:eastAsia="nl-NL"/>
        </w:rPr>
      </w:pPr>
      <w:r w:rsidRPr="00847B72">
        <w:rPr>
          <w:rFonts w:eastAsia="Calibri" w:cs="Arial"/>
          <w:bdr w:val="nil"/>
          <w:lang w:eastAsia="nl-NL"/>
        </w:rPr>
        <w:t>Se invitará al Consejo a aprobar una revisión del documento TGP/15 para incluir procedimientos de validación de marcadores moleculares específicos de caracteres, así como un modelo estándar para proporcionar información en las directrices de examen sobre cómo evaluar los caracteres utilizando dichos marcadores.</w:t>
      </w:r>
    </w:p>
    <w:p w14:paraId="7F52C63D" w14:textId="77777777" w:rsidR="005E779B" w:rsidRPr="00CE2241" w:rsidRDefault="005E779B" w:rsidP="005E779B"/>
    <w:p w14:paraId="258C0FBE" w14:textId="77777777" w:rsidR="005E779B" w:rsidRPr="00CE2241" w:rsidRDefault="005E779B" w:rsidP="005E779B"/>
    <w:bookmarkEnd w:id="0"/>
    <w:p w14:paraId="3721AB13" w14:textId="77777777" w:rsidR="009C64E3" w:rsidRDefault="009C64E3">
      <w:pPr>
        <w:jc w:val="left"/>
        <w:rPr>
          <w:rFonts w:eastAsia="Calibri" w:cs="Arial"/>
          <w:b/>
          <w:bCs/>
          <w:color w:val="006600"/>
          <w:bdr w:val="nil"/>
          <w:lang w:eastAsia="nl-NL"/>
        </w:rPr>
      </w:pPr>
      <w:r>
        <w:br w:type="page"/>
      </w:r>
    </w:p>
    <w:p w14:paraId="0944AFFD" w14:textId="4E4E911B" w:rsidR="005E779B" w:rsidRPr="00CE2241" w:rsidRDefault="005E779B" w:rsidP="005E779B">
      <w:pPr>
        <w:pStyle w:val="agendaitemtitle"/>
        <w:rPr>
          <w:b w:val="0"/>
          <w:bCs w:val="0"/>
          <w:color w:val="auto"/>
        </w:rPr>
      </w:pPr>
      <w:r w:rsidRPr="00CE2241">
        <w:lastRenderedPageBreak/>
        <w:tab/>
        <w:t xml:space="preserve">Medidas para mejorar la cooperación en el examen </w:t>
      </w:r>
      <w:r w:rsidRPr="00CE2241">
        <w:rPr>
          <w:b w:val="0"/>
          <w:bCs w:val="0"/>
          <w:color w:val="auto"/>
        </w:rPr>
        <w:t>(documento SESSIONS/2026/3)</w:t>
      </w:r>
    </w:p>
    <w:p w14:paraId="2B2026B9" w14:textId="77777777" w:rsidR="005E779B" w:rsidRPr="00CE2241" w:rsidRDefault="005E779B" w:rsidP="005E779B"/>
    <w:p w14:paraId="0B7A4853" w14:textId="21ACD1D2" w:rsidR="005E779B" w:rsidRPr="00CE2241" w:rsidRDefault="005E779B" w:rsidP="005E779B">
      <w:pPr>
        <w:ind w:left="567"/>
      </w:pPr>
      <w:r w:rsidRPr="00CE2241">
        <w:t xml:space="preserve">El TC y el CAJ proseguirán el debate sobre posibles medidas para aumentar la cooperación en el examen DHE y la aceptación de los informes de examen DHE. Se presentará un informe sobre los seminarios web organizados sobre: 1) los efectos ambientales en la expresión de los caracteres; 2) la exhaustividad y la pertinencia de las colecciones de variedades, y 3) los retrasos fitosanitarios en el examen DHE. Las presentaciones grabadas de los seminarios web están disponibles en el sitio web de la UPOV. </w:t>
      </w:r>
    </w:p>
    <w:p w14:paraId="6D3545B5" w14:textId="77777777" w:rsidR="005E779B" w:rsidRPr="00CE2241" w:rsidRDefault="005E779B" w:rsidP="005E779B"/>
    <w:p w14:paraId="56C80485" w14:textId="77777777" w:rsidR="004E2DB7" w:rsidRPr="00CE2241" w:rsidRDefault="004E2DB7" w:rsidP="005E779B"/>
    <w:p w14:paraId="2FC01B61" w14:textId="77777777" w:rsidR="005E779B" w:rsidRPr="00CE2241" w:rsidRDefault="005E779B" w:rsidP="005E779B">
      <w:pPr>
        <w:pStyle w:val="agendaitemtitle"/>
        <w:keepNext/>
        <w:rPr>
          <w:b w:val="0"/>
          <w:bCs w:val="0"/>
          <w:color w:val="auto"/>
        </w:rPr>
      </w:pPr>
      <w:r w:rsidRPr="00CE2241">
        <w:fldChar w:fldCharType="begin"/>
      </w:r>
      <w:r w:rsidRPr="00CE2241">
        <w:instrText xml:space="preserve"> AUTONUM  </w:instrText>
      </w:r>
      <w:r w:rsidRPr="00CE2241">
        <w:fldChar w:fldCharType="end"/>
      </w:r>
      <w:r w:rsidRPr="00CE2241">
        <w:tab/>
        <w:t xml:space="preserve">Medidas para mejorar el apoyo prestado al examen DHE </w:t>
      </w:r>
      <w:r w:rsidRPr="00CE2241">
        <w:rPr>
          <w:b w:val="0"/>
          <w:bCs w:val="0"/>
          <w:color w:val="auto"/>
        </w:rPr>
        <w:t>(documento TC/62/6)</w:t>
      </w:r>
    </w:p>
    <w:p w14:paraId="77E71DFE" w14:textId="77777777" w:rsidR="005E779B" w:rsidRPr="00CE2241" w:rsidRDefault="005E779B" w:rsidP="004E2DB7">
      <w:pPr>
        <w:keepNext/>
      </w:pPr>
    </w:p>
    <w:p w14:paraId="7988C807" w14:textId="7EC165A5" w:rsidR="005E779B" w:rsidRPr="00CE2241" w:rsidRDefault="005E779B" w:rsidP="005E779B">
      <w:pPr>
        <w:ind w:left="567"/>
      </w:pPr>
      <w:r w:rsidRPr="00CE2241">
        <w:t>En 2025, se utilizó la herramienta en línea de la UPOV para la redacción de directrices de examen («plantilla de directrices de examen») con el fin de registrar los resultados de los debates sobre los proyectos de directrices de examen en el TWF. El TC recibirá un informe sobre la utilización de este procedimiento en todos los TWP celebrados en 2026, con el objetivo de agilizar el proceso de redacción de las directrices de examen. El Comité Técnico examinará propuestas adicionales para seguir mejorando la plantilla de las directrices de examen como herramienta de trabajo para los miembros de la UPOV, de acuerdo con el resultado de los debates en los grupos de trabajo técnicos.</w:t>
      </w:r>
    </w:p>
    <w:p w14:paraId="0F6E9F78" w14:textId="77777777" w:rsidR="005E779B" w:rsidRPr="00CE2241" w:rsidRDefault="005E779B" w:rsidP="005E779B">
      <w:pPr>
        <w:ind w:left="567"/>
      </w:pPr>
    </w:p>
    <w:p w14:paraId="21E879DD" w14:textId="0A2C8EC7" w:rsidR="005E779B" w:rsidRPr="00CE2241" w:rsidRDefault="005E779B" w:rsidP="005E779B">
      <w:pPr>
        <w:ind w:left="567"/>
      </w:pPr>
      <w:r w:rsidRPr="00CE2241">
        <w:t xml:space="preserve">Previo acuerdo del Comité Técnico, en 2026 los grupos de trabajo técnicos (TWP) brindarán a los miembros de la UPOV la oportunidad de presentar </w:t>
      </w:r>
      <w:r w:rsidR="003A7937">
        <w:t>caractere</w:t>
      </w:r>
      <w:r w:rsidRPr="00CE2241">
        <w:t>s, enfoques o retos del examen DHE que sean pertinentes para la redacción de directrices nacionales de examen. El objetivo es apoyar a los miembros de la UPOV en la elaboración de directrices nacionales de examen de conformidad con las orientaciones de la UPOV, sin que ello esté vinculado a la elaboración de directrices de examen de la</w:t>
      </w:r>
      <w:r w:rsidR="003A7937">
        <w:t> </w:t>
      </w:r>
      <w:r w:rsidRPr="00CE2241">
        <w:t xml:space="preserve">UPOV armonizadas a nivel internacional.  El Comité Técnico recibirá un informe sobre la aplicación de este nuevo enfoque de cooperación técnica y examinará si es necesario introducir ajustes en los procedimientos aplicados. </w:t>
      </w:r>
    </w:p>
    <w:p w14:paraId="6E97E0C2" w14:textId="77777777" w:rsidR="005E779B" w:rsidRPr="00CE2241" w:rsidRDefault="005E779B" w:rsidP="005E779B"/>
    <w:p w14:paraId="53966BA2" w14:textId="77777777" w:rsidR="005E779B" w:rsidRPr="00CE2241" w:rsidRDefault="005E779B" w:rsidP="005E779B"/>
    <w:p w14:paraId="4CAC1B1D" w14:textId="77777777" w:rsidR="005E779B" w:rsidRPr="00CE2241" w:rsidRDefault="005E779B" w:rsidP="005E779B">
      <w:pPr>
        <w:pStyle w:val="agendaitemtitle"/>
        <w:keepNext/>
        <w:rPr>
          <w:b w:val="0"/>
          <w:bCs w:val="0"/>
          <w:snapToGrid w:val="0"/>
          <w:color w:val="auto"/>
        </w:rPr>
      </w:pPr>
      <w:r w:rsidRPr="00CE2241">
        <w:fldChar w:fldCharType="begin"/>
      </w:r>
      <w:r w:rsidRPr="00CE2241">
        <w:instrText xml:space="preserve"> AUTONUM  </w:instrText>
      </w:r>
      <w:r w:rsidRPr="00CE2241">
        <w:fldChar w:fldCharType="end"/>
      </w:r>
      <w:r w:rsidRPr="00CE2241">
        <w:tab/>
      </w:r>
      <w:r w:rsidRPr="00CE2241">
        <w:rPr>
          <w:snapToGrid w:val="0"/>
        </w:rPr>
        <w:t xml:space="preserve">Bases de datos de información de la UPOV </w:t>
      </w:r>
      <w:r w:rsidRPr="00CE2241">
        <w:rPr>
          <w:b w:val="0"/>
          <w:bCs w:val="0"/>
          <w:snapToGrid w:val="0"/>
          <w:color w:val="auto"/>
        </w:rPr>
        <w:t xml:space="preserve">(documento SESSIONS/2026/5) </w:t>
      </w:r>
    </w:p>
    <w:p w14:paraId="01990BA5" w14:textId="77777777" w:rsidR="005E779B" w:rsidRPr="00CE2241" w:rsidRDefault="005E779B" w:rsidP="005E779B">
      <w:pPr>
        <w:keepNext/>
      </w:pPr>
    </w:p>
    <w:p w14:paraId="67605FD4" w14:textId="77777777" w:rsidR="005E779B" w:rsidRPr="00CE2241" w:rsidRDefault="005E779B" w:rsidP="005E779B">
      <w:pPr>
        <w:ind w:left="567"/>
      </w:pPr>
      <w:r w:rsidRPr="00CE2241">
        <w:t xml:space="preserve">El TC examinará propuestas para modificar los códigos de la UPOV correspondientes a especies </w:t>
      </w:r>
      <w:r w:rsidRPr="003A7937">
        <w:t>de</w:t>
      </w:r>
      <w:r w:rsidRPr="00CE2241">
        <w:rPr>
          <w:i/>
          <w:iCs/>
        </w:rPr>
        <w:t xml:space="preserve"> Citrus </w:t>
      </w:r>
      <w:r w:rsidRPr="00CE2241">
        <w:t xml:space="preserve">que ya no se reconocen como nombres botánicos válidos; el TC tomará nota de que se invitará al CAJ a examinar el análisis de los resultados de las encuestas realizadas a los usuarios y a quienes aportan datos a PLUTO, así como cualquier recomendación resultante para el programa de mejoras de la base de datos PLUTO. </w:t>
      </w:r>
    </w:p>
    <w:p w14:paraId="77492C45" w14:textId="77777777" w:rsidR="005E779B" w:rsidRPr="00CE2241" w:rsidRDefault="005E779B" w:rsidP="005E779B">
      <w:pPr>
        <w:ind w:left="567"/>
      </w:pPr>
    </w:p>
    <w:p w14:paraId="4D3439B8" w14:textId="77777777" w:rsidR="005E779B" w:rsidRPr="00CE2241" w:rsidRDefault="005E779B" w:rsidP="005E779B">
      <w:pPr>
        <w:ind w:left="567"/>
      </w:pPr>
    </w:p>
    <w:p w14:paraId="67971BFC" w14:textId="77777777" w:rsidR="005E779B" w:rsidRPr="00CE2241" w:rsidRDefault="005E779B" w:rsidP="005E779B">
      <w:pPr>
        <w:pStyle w:val="agendaitemtitle"/>
        <w:rPr>
          <w:b w:val="0"/>
          <w:bCs w:val="0"/>
          <w:color w:val="auto"/>
        </w:rPr>
      </w:pPr>
      <w:r w:rsidRPr="00CE2241">
        <w:fldChar w:fldCharType="begin"/>
      </w:r>
      <w:r w:rsidRPr="00CE2241">
        <w:instrText xml:space="preserve"> AUTONUM  </w:instrText>
      </w:r>
      <w:r w:rsidRPr="00CE2241">
        <w:fldChar w:fldCharType="end"/>
      </w:r>
      <w:r w:rsidRPr="00CE2241">
        <w:tab/>
        <w:t xml:space="preserve">Técnicas moleculares </w:t>
      </w:r>
      <w:r w:rsidRPr="00CE2241">
        <w:rPr>
          <w:b w:val="0"/>
          <w:bCs w:val="0"/>
          <w:snapToGrid w:val="0"/>
          <w:color w:val="auto"/>
        </w:rPr>
        <w:t xml:space="preserve">(documento SESSIONS/2026/6) </w:t>
      </w:r>
    </w:p>
    <w:p w14:paraId="2B199214" w14:textId="77777777" w:rsidR="005E779B" w:rsidRPr="00CE2241" w:rsidRDefault="005E779B" w:rsidP="005E779B"/>
    <w:p w14:paraId="0F05C297" w14:textId="77777777" w:rsidR="005E779B" w:rsidRPr="00CE2241" w:rsidRDefault="005E779B" w:rsidP="005E779B">
      <w:pPr>
        <w:ind w:left="567"/>
      </w:pPr>
      <w:r w:rsidRPr="00CE2241">
        <w:t>El TC examinará cuestiones relativas al uso de técnicas moleculares en el examen de la distinción, la homogeneidad y la estabilidad, entre ellas:</w:t>
      </w:r>
    </w:p>
    <w:p w14:paraId="6B06CC9B" w14:textId="77777777" w:rsidR="005E779B" w:rsidRPr="00CE2241" w:rsidRDefault="005E779B" w:rsidP="005E779B"/>
    <w:p w14:paraId="674D8B29" w14:textId="77777777" w:rsidR="003A7937" w:rsidRPr="00F13377" w:rsidRDefault="003A7937" w:rsidP="003A7937">
      <w:pPr>
        <w:ind w:left="1134" w:hanging="567"/>
      </w:pPr>
      <w:r w:rsidRPr="00F13377">
        <w:t>a)</w:t>
      </w:r>
      <w:r w:rsidRPr="00F13377">
        <w:tab/>
        <w:t>los avances del Grupo de Trabajo Técnico sobre Métodos y Técnicas de Examen (TWM) en relación con el uso de marcadores moleculares en el examen DHE, la identificación de variedades, la evaluación de la derivación esencial y la aplicación de la normativa;</w:t>
      </w:r>
    </w:p>
    <w:p w14:paraId="24E081DB" w14:textId="77777777" w:rsidR="003A7937" w:rsidRPr="00F13377" w:rsidRDefault="003A7937" w:rsidP="003A7937">
      <w:pPr>
        <w:ind w:left="1134" w:hanging="567"/>
      </w:pPr>
    </w:p>
    <w:p w14:paraId="53E27FDB" w14:textId="77777777" w:rsidR="003A7937" w:rsidRPr="00F13377" w:rsidRDefault="003A7937" w:rsidP="003A7937">
      <w:pPr>
        <w:ind w:left="1134" w:hanging="567"/>
      </w:pPr>
      <w:r w:rsidRPr="00F13377">
        <w:t>b)</w:t>
      </w:r>
      <w:r w:rsidRPr="00F13377">
        <w:tab/>
        <w:t>los debates en los grupos de trabajo técnicos sobre la cooperación en el uso de la información molecular, incluido el desarrollo conjunto de marcadores moleculares, la gestión de colecciones de variedades y la identificación de variedades;</w:t>
      </w:r>
    </w:p>
    <w:p w14:paraId="334FD179" w14:textId="77777777" w:rsidR="003A7937" w:rsidRPr="00F13377" w:rsidRDefault="003A7937" w:rsidP="003A7937">
      <w:pPr>
        <w:ind w:left="1134" w:hanging="567"/>
      </w:pPr>
    </w:p>
    <w:p w14:paraId="1823CB6D" w14:textId="77777777" w:rsidR="003A7937" w:rsidRPr="00F13377" w:rsidRDefault="003A7937" w:rsidP="003A7937">
      <w:pPr>
        <w:spacing w:after="120"/>
        <w:ind w:left="1134" w:hanging="567"/>
      </w:pPr>
      <w:r w:rsidRPr="00F13377">
        <w:t>c)</w:t>
      </w:r>
      <w:r w:rsidRPr="00F13377">
        <w:tab/>
        <w:t xml:space="preserve">la cooperación con organizaciones internacionales, incluidas posibles iniciativas conjuntas con la OCDE y la ISTA: </w:t>
      </w:r>
    </w:p>
    <w:p w14:paraId="303FDE7A" w14:textId="77777777" w:rsidR="003A7937" w:rsidRPr="00F13377" w:rsidRDefault="003A7937" w:rsidP="003A7937">
      <w:pPr>
        <w:ind w:left="1701" w:hanging="567"/>
      </w:pPr>
      <w:r w:rsidRPr="00F13377">
        <w:t>i)</w:t>
      </w:r>
      <w:r w:rsidRPr="00F13377">
        <w:tab/>
        <w:t xml:space="preserve">armonización de términos, definiciones y métodos en relación con las técnicas moleculares; </w:t>
      </w:r>
    </w:p>
    <w:p w14:paraId="1D46CBE8" w14:textId="77777777" w:rsidR="003A7937" w:rsidRPr="00F13377" w:rsidRDefault="003A7937" w:rsidP="003A7937">
      <w:pPr>
        <w:ind w:left="1701" w:hanging="567"/>
      </w:pPr>
      <w:proofErr w:type="spellStart"/>
      <w:r w:rsidRPr="00F13377">
        <w:t>ii</w:t>
      </w:r>
      <w:proofErr w:type="spellEnd"/>
      <w:r w:rsidRPr="00F13377">
        <w:t>)</w:t>
      </w:r>
      <w:r w:rsidRPr="00F13377">
        <w:tab/>
        <w:t xml:space="preserve">reunión conjunta </w:t>
      </w:r>
      <w:r>
        <w:t xml:space="preserve">del </w:t>
      </w:r>
      <w:r w:rsidRPr="00F13377">
        <w:t xml:space="preserve">TWM, los programas de semillas de la OCDE y el Comité de Variedades de la ISTA; y </w:t>
      </w:r>
    </w:p>
    <w:p w14:paraId="4009581A" w14:textId="77777777" w:rsidR="003A7937" w:rsidRPr="00F13377" w:rsidRDefault="003A7937" w:rsidP="003A7937">
      <w:pPr>
        <w:ind w:left="1701" w:hanging="567"/>
      </w:pPr>
      <w:r w:rsidRPr="00F13377">
        <w:t>(</w:t>
      </w:r>
      <w:proofErr w:type="spellStart"/>
      <w:r w:rsidRPr="00F13377">
        <w:t>iii</w:t>
      </w:r>
      <w:proofErr w:type="spellEnd"/>
      <w:r w:rsidRPr="00F13377">
        <w:t>)</w:t>
      </w:r>
      <w:r w:rsidRPr="00F13377">
        <w:tab/>
        <w:t>establecimiento de conjuntos comunes de marcadores moleculares para la identificación de variedades.</w:t>
      </w:r>
    </w:p>
    <w:p w14:paraId="4185A899" w14:textId="77777777" w:rsidR="003A7937" w:rsidRPr="00F13377" w:rsidRDefault="003A7937" w:rsidP="003A7937">
      <w:pPr>
        <w:ind w:left="567"/>
      </w:pPr>
    </w:p>
    <w:p w14:paraId="3FA1D68A" w14:textId="77777777" w:rsidR="003A7937" w:rsidRPr="00F13377" w:rsidRDefault="003A7937" w:rsidP="003A7937">
      <w:pPr>
        <w:ind w:left="567"/>
      </w:pPr>
      <w:r w:rsidRPr="00F13377">
        <w:t>d)</w:t>
      </w:r>
      <w:r w:rsidRPr="00F13377">
        <w:tab/>
        <w:t>los resultados de la encuesta de 2026 sobre el uso de marcadores moleculares por cultivo.</w:t>
      </w:r>
    </w:p>
    <w:p w14:paraId="6C0A2101" w14:textId="77777777" w:rsidR="005E779B" w:rsidRPr="00CE2241" w:rsidRDefault="005E779B" w:rsidP="005E779B"/>
    <w:p w14:paraId="5BA11B66" w14:textId="5E09B0F5"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Talleres y seminarios web de</w:t>
      </w:r>
      <w:r w:rsidR="003A7937">
        <w:t xml:space="preserve"> </w:t>
      </w:r>
      <w:r w:rsidRPr="00CE2241">
        <w:t>l</w:t>
      </w:r>
      <w:r w:rsidR="003A7937">
        <w:t>os</w:t>
      </w:r>
      <w:r w:rsidRPr="00CE2241">
        <w:t xml:space="preserve"> TWP </w:t>
      </w:r>
      <w:r w:rsidRPr="00CE2241">
        <w:rPr>
          <w:b w:val="0"/>
          <w:bCs w:val="0"/>
          <w:snapToGrid w:val="0"/>
          <w:color w:val="auto"/>
        </w:rPr>
        <w:t xml:space="preserve">(documento TC/62/7) </w:t>
      </w:r>
    </w:p>
    <w:p w14:paraId="4EA4F198" w14:textId="77777777" w:rsidR="005E779B" w:rsidRPr="00CE2241" w:rsidRDefault="005E779B" w:rsidP="005E779B">
      <w:pPr>
        <w:keepNext/>
        <w:ind w:left="567"/>
      </w:pPr>
    </w:p>
    <w:p w14:paraId="28D53062" w14:textId="76E89844" w:rsidR="005E779B" w:rsidRPr="00CE2241" w:rsidRDefault="005E779B" w:rsidP="005E779B">
      <w:pPr>
        <w:ind w:left="567"/>
      </w:pPr>
      <w:r w:rsidRPr="00CE2241">
        <w:t>Los talleres y seminarios web se organizan con el objetivo principal de ayudar a algunos de los delegados a participar más activamente en las sesiones de</w:t>
      </w:r>
      <w:r w:rsidR="003A7937">
        <w:t xml:space="preserve"> </w:t>
      </w:r>
      <w:r w:rsidRPr="00CE2241">
        <w:t>l</w:t>
      </w:r>
      <w:r w:rsidR="003A7937">
        <w:t>os</w:t>
      </w:r>
      <w:r w:rsidRPr="00CE2241">
        <w:t xml:space="preserve"> Grupo</w:t>
      </w:r>
      <w:r w:rsidR="003A7937">
        <w:t>s</w:t>
      </w:r>
      <w:r w:rsidRPr="00CE2241">
        <w:t xml:space="preserve"> de Trabajo Técnico</w:t>
      </w:r>
      <w:r w:rsidR="003A7937">
        <w:t>s</w:t>
      </w:r>
      <w:r w:rsidRPr="00CE2241">
        <w:t xml:space="preserve"> (TWP). Desde 2021, los talleres se han organizado en forma de seminarios web previos a las sesiones de</w:t>
      </w:r>
      <w:r w:rsidR="003A7937">
        <w:t xml:space="preserve"> </w:t>
      </w:r>
      <w:r w:rsidRPr="00CE2241">
        <w:t>l</w:t>
      </w:r>
      <w:r w:rsidR="003A7937">
        <w:t>os</w:t>
      </w:r>
      <w:r w:rsidRPr="00CE2241">
        <w:t xml:space="preserve"> TWP y sus grabaciones de vídeo están disponibles en el sitio web de la UPOV.  </w:t>
      </w:r>
    </w:p>
    <w:p w14:paraId="15ADE31D" w14:textId="77777777" w:rsidR="005E779B" w:rsidRPr="00CE2241" w:rsidRDefault="005E779B" w:rsidP="005E779B">
      <w:pPr>
        <w:keepNext/>
        <w:ind w:left="1134" w:hanging="567"/>
      </w:pPr>
    </w:p>
    <w:p w14:paraId="4AEE9C43" w14:textId="77777777" w:rsidR="005E779B" w:rsidRPr="00CE2241" w:rsidRDefault="005E779B" w:rsidP="005E779B">
      <w:pPr>
        <w:keepNext/>
        <w:ind w:left="567"/>
      </w:pPr>
      <w:r w:rsidRPr="00CE2241">
        <w:t xml:space="preserve">El TC examinará un informe sobre los </w:t>
      </w:r>
      <w:hyperlink r:id="rId7" w:anchor="technical-webinars" w:history="1">
        <w:r w:rsidRPr="00CE2241">
          <w:rPr>
            <w:rStyle w:val="Hyperlink"/>
          </w:rPr>
          <w:t>seminarios web</w:t>
        </w:r>
      </w:hyperlink>
      <w:r w:rsidRPr="00CE2241">
        <w:t xml:space="preserve"> organizados en 2026 y las propuestas de seminarios web para 2027.</w:t>
      </w:r>
    </w:p>
    <w:p w14:paraId="3EED902E" w14:textId="77777777" w:rsidR="005E779B" w:rsidRPr="00CE2241" w:rsidRDefault="005E779B" w:rsidP="005E779B"/>
    <w:p w14:paraId="3AC10662" w14:textId="77777777" w:rsidR="005E779B" w:rsidRPr="00CE2241" w:rsidRDefault="005E779B" w:rsidP="005E779B"/>
    <w:p w14:paraId="1A1EB6FE"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Debate sobre:  Efecto ambiental en la expresión de los caracteres; Exhaustividad y pertinencia de las colecciones de variedades; Cuestiones fitosanitarias que afectan al acceso al material vegetal</w:t>
      </w:r>
    </w:p>
    <w:p w14:paraId="275EFC80" w14:textId="77777777" w:rsidR="005E779B" w:rsidRPr="00CE2241" w:rsidRDefault="005E779B" w:rsidP="005E779B"/>
    <w:p w14:paraId="02098642" w14:textId="407088D4" w:rsidR="005E779B" w:rsidRPr="00CE2241" w:rsidRDefault="005E779B" w:rsidP="005E779B">
      <w:pPr>
        <w:ind w:left="567"/>
      </w:pPr>
      <w:r w:rsidRPr="00CE2241">
        <w:t xml:space="preserve">En su </w:t>
      </w:r>
      <w:r w:rsidR="003A7937">
        <w:t>sexagésima primera</w:t>
      </w:r>
      <w:r w:rsidRPr="00CE2241">
        <w:t xml:space="preserve"> sesión, el TC acordó celebrar una sesión de debate abierto sobre los temas mencionados, que también se examinan en el marco de las «Medidas para mejorar la cooperación en el examen» y que serán objeto de los </w:t>
      </w:r>
      <w:hyperlink r:id="rId8" w:anchor="technical-webinars" w:history="1">
        <w:r w:rsidRPr="00CE2241">
          <w:rPr>
            <w:rStyle w:val="Hyperlink"/>
          </w:rPr>
          <w:t>seminarios web</w:t>
        </w:r>
      </w:hyperlink>
      <w:r w:rsidRPr="00CE2241">
        <w:t xml:space="preserve"> organizados en 2026.</w:t>
      </w:r>
    </w:p>
    <w:p w14:paraId="42703797" w14:textId="77777777" w:rsidR="005E779B" w:rsidRPr="00CE2241" w:rsidRDefault="005E779B" w:rsidP="005E779B"/>
    <w:p w14:paraId="66117CBD" w14:textId="77777777" w:rsidR="005E779B" w:rsidRPr="00CE2241" w:rsidRDefault="005E779B" w:rsidP="005E779B"/>
    <w:p w14:paraId="47EB4A2F"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 xml:space="preserve">Directrices de examen </w:t>
      </w:r>
      <w:r w:rsidRPr="00CE2241">
        <w:rPr>
          <w:b w:val="0"/>
          <w:bCs w:val="0"/>
          <w:color w:val="auto"/>
        </w:rPr>
        <w:t>(documentos TC/62/2, TC/62/[</w:t>
      </w:r>
      <w:proofErr w:type="spellStart"/>
      <w:r w:rsidRPr="00CE2241">
        <w:rPr>
          <w:b w:val="0"/>
          <w:bCs w:val="0"/>
          <w:color w:val="auto"/>
        </w:rPr>
        <w:t>xx</w:t>
      </w:r>
      <w:proofErr w:type="spellEnd"/>
      <w:r w:rsidRPr="00CE2241">
        <w:rPr>
          <w:b w:val="0"/>
          <w:bCs w:val="0"/>
          <w:color w:val="auto"/>
        </w:rPr>
        <w:t>])</w:t>
      </w:r>
    </w:p>
    <w:p w14:paraId="2889B9A7" w14:textId="77777777" w:rsidR="005E779B" w:rsidRPr="00CE2241" w:rsidRDefault="005E779B" w:rsidP="005E779B"/>
    <w:p w14:paraId="46A40792" w14:textId="5ADBBB24" w:rsidR="005E779B" w:rsidRPr="00CE2241" w:rsidRDefault="005E779B" w:rsidP="005E779B">
      <w:pPr>
        <w:ind w:left="567"/>
      </w:pPr>
      <w:r w:rsidRPr="00CE2241">
        <w:t xml:space="preserve">Se invitará al TC a examinar: a) el programa de elaboración y revisión de las </w:t>
      </w:r>
      <w:r w:rsidR="003A7937" w:rsidRPr="00CE2241">
        <w:t>directrices de examen</w:t>
      </w:r>
      <w:r w:rsidRPr="00CE2241">
        <w:t>; b)</w:t>
      </w:r>
      <w:r w:rsidR="003A7937">
        <w:t> </w:t>
      </w:r>
      <w:r w:rsidRPr="00CE2241">
        <w:t xml:space="preserve">los caracteres o estados de expresión adicionales notificados por los miembros de la UPOV; </w:t>
      </w:r>
      <w:r w:rsidR="003A7937">
        <w:br/>
      </w:r>
      <w:r w:rsidRPr="00CE2241">
        <w:t>y c) las experiencias con nuevos tipos y especies debatidas en los TWP.</w:t>
      </w:r>
    </w:p>
    <w:p w14:paraId="1DC345F5" w14:textId="77777777" w:rsidR="005E779B" w:rsidRPr="00CE2241" w:rsidRDefault="005E779B" w:rsidP="005E779B"/>
    <w:p w14:paraId="675F7A47" w14:textId="77777777" w:rsidR="005E779B" w:rsidRPr="00CE2241" w:rsidRDefault="005E779B" w:rsidP="005E779B"/>
    <w:p w14:paraId="54E2F16C" w14:textId="06423C10" w:rsidR="005E779B" w:rsidRPr="00CE2241" w:rsidRDefault="005E779B" w:rsidP="005E779B">
      <w:pPr>
        <w:pStyle w:val="agendaitemtitle"/>
        <w:rPr>
          <w:snapToGrid w:val="0"/>
        </w:rPr>
      </w:pPr>
      <w:r w:rsidRPr="00CE2241">
        <w:rPr>
          <w:snapToGrid w:val="0"/>
        </w:rPr>
        <w:fldChar w:fldCharType="begin"/>
      </w:r>
      <w:r w:rsidRPr="00CE2241">
        <w:rPr>
          <w:snapToGrid w:val="0"/>
        </w:rPr>
        <w:instrText xml:space="preserve"> AUTONUM  </w:instrText>
      </w:r>
      <w:r w:rsidRPr="00CE2241">
        <w:rPr>
          <w:snapToGrid w:val="0"/>
        </w:rPr>
        <w:fldChar w:fldCharType="end"/>
      </w:r>
      <w:r w:rsidRPr="00CE2241">
        <w:rPr>
          <w:snapToGrid w:val="0"/>
        </w:rPr>
        <w:tab/>
      </w:r>
      <w:r w:rsidR="003A7937" w:rsidRPr="003A7937">
        <w:rPr>
          <w:snapToGrid w:val="0"/>
        </w:rPr>
        <w:t>Asuntos para información</w:t>
      </w:r>
      <w:r w:rsidRPr="00CE2241">
        <w:rPr>
          <w:snapToGrid w:val="0"/>
        </w:rPr>
        <w:t xml:space="preserve">: </w:t>
      </w:r>
    </w:p>
    <w:p w14:paraId="2154B133" w14:textId="77777777" w:rsidR="005E779B" w:rsidRPr="00CE2241" w:rsidRDefault="005E779B" w:rsidP="005E779B">
      <w:pPr>
        <w:ind w:left="567" w:hanging="567"/>
        <w:rPr>
          <w:rFonts w:cs="Arial"/>
          <w:snapToGrid w:val="0"/>
        </w:rPr>
      </w:pPr>
    </w:p>
    <w:p w14:paraId="491EB9C2" w14:textId="3FE7ECF4" w:rsidR="005E779B" w:rsidRPr="00CE2241" w:rsidRDefault="005E779B" w:rsidP="005E779B">
      <w:pPr>
        <w:ind w:left="1134" w:hanging="567"/>
        <w:rPr>
          <w:rFonts w:cs="Arial"/>
          <w:snapToGrid w:val="0"/>
        </w:rPr>
      </w:pPr>
      <w:r w:rsidRPr="00CE2241">
        <w:rPr>
          <w:rFonts w:eastAsia="Calibri" w:cs="Arial"/>
          <w:color w:val="006600"/>
          <w:bdr w:val="nil"/>
          <w:lang w:eastAsia="nl-NL"/>
        </w:rPr>
        <w:t>a)</w:t>
      </w:r>
      <w:r w:rsidRPr="00CE2241">
        <w:rPr>
          <w:rFonts w:eastAsia="Calibri" w:cs="Arial"/>
          <w:color w:val="006600"/>
          <w:bdr w:val="nil"/>
          <w:lang w:eastAsia="nl-NL"/>
        </w:rPr>
        <w:tab/>
        <w:t xml:space="preserve">Novedades relativas a UPOV e-PVP </w:t>
      </w:r>
      <w:r w:rsidRPr="00CE2241">
        <w:rPr>
          <w:rFonts w:cs="Arial"/>
          <w:snapToGrid w:val="0"/>
        </w:rPr>
        <w:t>(documento SESSIONS/2026/4)</w:t>
      </w:r>
    </w:p>
    <w:p w14:paraId="3AC92536" w14:textId="77777777" w:rsidR="005E779B" w:rsidRPr="00CE2241" w:rsidRDefault="005E779B" w:rsidP="005E779B">
      <w:pPr>
        <w:ind w:left="1134" w:hanging="567"/>
        <w:rPr>
          <w:rFonts w:cs="Arial"/>
          <w:snapToGrid w:val="0"/>
        </w:rPr>
      </w:pPr>
    </w:p>
    <w:p w14:paraId="51A56B5F" w14:textId="5E3814C3" w:rsidR="005E779B" w:rsidRPr="00CE2241" w:rsidRDefault="005E779B" w:rsidP="005E779B">
      <w:pPr>
        <w:ind w:left="1134" w:hanging="567"/>
        <w:rPr>
          <w:rFonts w:cs="Arial"/>
        </w:rPr>
      </w:pPr>
      <w:r w:rsidRPr="00CE2241">
        <w:rPr>
          <w:rFonts w:eastAsia="Calibri" w:cs="Arial"/>
          <w:color w:val="006600"/>
          <w:bdr w:val="nil"/>
          <w:lang w:eastAsia="nl-NL"/>
        </w:rPr>
        <w:t>(b)</w:t>
      </w:r>
      <w:r w:rsidRPr="00CE2241">
        <w:rPr>
          <w:rFonts w:eastAsia="Calibri" w:cs="Arial"/>
          <w:color w:val="006600"/>
          <w:bdr w:val="nil"/>
          <w:lang w:eastAsia="nl-NL"/>
        </w:rPr>
        <w:tab/>
        <w:t xml:space="preserve">Lista de géneros y especies respecto </w:t>
      </w:r>
      <w:r w:rsidR="003A7937">
        <w:rPr>
          <w:rFonts w:eastAsia="Calibri" w:cs="Arial"/>
          <w:color w:val="006600"/>
          <w:bdr w:val="nil"/>
          <w:lang w:eastAsia="nl-NL"/>
        </w:rPr>
        <w:t>de</w:t>
      </w:r>
      <w:r w:rsidRPr="00CE2241">
        <w:rPr>
          <w:rFonts w:eastAsia="Calibri" w:cs="Arial"/>
          <w:color w:val="006600"/>
          <w:bdr w:val="nil"/>
          <w:lang w:eastAsia="nl-NL"/>
        </w:rPr>
        <w:t xml:space="preserve"> los cuales las autoridades tienen experiencia práctica en el examen de la distinción, la homogeneidad y la estabilidad </w:t>
      </w:r>
      <w:r w:rsidRPr="00CE2241">
        <w:rPr>
          <w:rFonts w:cs="Arial"/>
        </w:rPr>
        <w:t>(documento TC/62/4)</w:t>
      </w:r>
    </w:p>
    <w:p w14:paraId="521504C9" w14:textId="77777777" w:rsidR="005E779B" w:rsidRPr="00CE2241" w:rsidRDefault="005E779B" w:rsidP="005E779B"/>
    <w:p w14:paraId="0B6574BB" w14:textId="77777777" w:rsidR="005E779B" w:rsidRPr="00CE2241" w:rsidRDefault="005E779B" w:rsidP="005E779B"/>
    <w:p w14:paraId="4E3BD804" w14:textId="77777777" w:rsidR="005E779B" w:rsidRPr="00CE2241" w:rsidRDefault="005E779B" w:rsidP="005E779B">
      <w:pPr>
        <w:pStyle w:val="agendaitemtitle"/>
        <w:keepNext/>
      </w:pPr>
      <w:r w:rsidRPr="00CE2241">
        <w:fldChar w:fldCharType="begin"/>
      </w:r>
      <w:r w:rsidRPr="00CE2241">
        <w:instrText xml:space="preserve"> AUTONUM  </w:instrText>
      </w:r>
      <w:r w:rsidRPr="00CE2241">
        <w:fldChar w:fldCharType="end"/>
      </w:r>
      <w:r w:rsidRPr="00CE2241">
        <w:tab/>
        <w:t xml:space="preserve">Programa de la sexagésima tercera sesión </w:t>
      </w:r>
    </w:p>
    <w:p w14:paraId="68DAE020" w14:textId="77777777" w:rsidR="005E779B" w:rsidRPr="00CE2241" w:rsidRDefault="005E779B" w:rsidP="005E779B">
      <w:pPr>
        <w:keepNext/>
        <w:ind w:left="567"/>
      </w:pPr>
    </w:p>
    <w:p w14:paraId="2FD52130" w14:textId="77777777" w:rsidR="005E779B" w:rsidRPr="00CE2241" w:rsidRDefault="005E779B" w:rsidP="005E779B">
      <w:pPr>
        <w:ind w:left="567"/>
      </w:pPr>
      <w:r w:rsidRPr="00CE2241">
        <w:t>Se invitará al Comité Técnico a examinar su futuro programa de trabajo, incluida la selección de un tema para la «sesión de debate».</w:t>
      </w:r>
    </w:p>
    <w:p w14:paraId="1E67080E" w14:textId="77777777" w:rsidR="005E779B" w:rsidRPr="00CE2241" w:rsidRDefault="005E779B" w:rsidP="005E779B">
      <w:pPr>
        <w:rPr>
          <w:rFonts w:cs="Arial"/>
        </w:rPr>
      </w:pPr>
    </w:p>
    <w:p w14:paraId="71ACBDDA" w14:textId="77777777" w:rsidR="005E779B" w:rsidRPr="00CE2241" w:rsidRDefault="005E779B" w:rsidP="005E779B">
      <w:pPr>
        <w:rPr>
          <w:rFonts w:cs="Arial"/>
        </w:rPr>
      </w:pPr>
    </w:p>
    <w:p w14:paraId="0AFC39F4"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 xml:space="preserve">Aprobación del informe (si el tiempo lo permite) </w:t>
      </w:r>
    </w:p>
    <w:p w14:paraId="0947EC88" w14:textId="77777777" w:rsidR="005E779B" w:rsidRPr="00CE2241" w:rsidRDefault="005E779B" w:rsidP="005E779B">
      <w:pPr>
        <w:keepNext/>
      </w:pPr>
    </w:p>
    <w:p w14:paraId="2749DB4D" w14:textId="77777777" w:rsidR="005E779B" w:rsidRPr="00CE2241" w:rsidRDefault="005E779B" w:rsidP="005E779B">
      <w:pPr>
        <w:keepNext/>
      </w:pPr>
    </w:p>
    <w:p w14:paraId="576ECDCC" w14:textId="77777777" w:rsidR="005E779B" w:rsidRPr="00CE2241" w:rsidRDefault="005E779B" w:rsidP="005E779B">
      <w:pPr>
        <w:pStyle w:val="agendaitemtitle"/>
      </w:pPr>
      <w:r w:rsidRPr="00CE2241">
        <w:fldChar w:fldCharType="begin"/>
      </w:r>
      <w:r w:rsidRPr="00CE2241">
        <w:instrText xml:space="preserve"> AUTONUM  </w:instrText>
      </w:r>
      <w:r w:rsidRPr="00CE2241">
        <w:fldChar w:fldCharType="end"/>
      </w:r>
      <w:r w:rsidRPr="00CE2241">
        <w:tab/>
        <w:t>Clausura de la sesión</w:t>
      </w:r>
    </w:p>
    <w:p w14:paraId="50D9E71F" w14:textId="77777777" w:rsidR="005E779B" w:rsidRPr="00CE2241" w:rsidRDefault="005E779B" w:rsidP="005E779B">
      <w:pPr>
        <w:jc w:val="left"/>
      </w:pPr>
    </w:p>
    <w:p w14:paraId="52846C33" w14:textId="77777777" w:rsidR="005E779B" w:rsidRPr="00CE2241" w:rsidRDefault="005E779B" w:rsidP="005E779B">
      <w:pPr>
        <w:jc w:val="left"/>
      </w:pPr>
    </w:p>
    <w:p w14:paraId="3D37B57F" w14:textId="77777777" w:rsidR="005E779B" w:rsidRPr="00CE2241" w:rsidRDefault="005E779B" w:rsidP="005E779B">
      <w:pPr>
        <w:jc w:val="left"/>
      </w:pPr>
    </w:p>
    <w:p w14:paraId="4CF8A892" w14:textId="77777777" w:rsidR="009B440E" w:rsidRPr="00CE2241" w:rsidRDefault="00050E16" w:rsidP="00050E16">
      <w:pPr>
        <w:jc w:val="right"/>
      </w:pPr>
      <w:r w:rsidRPr="00CE2241">
        <w:t>[Fin del documento]</w:t>
      </w:r>
    </w:p>
    <w:p w14:paraId="7A67B90F" w14:textId="382F69B0" w:rsidR="007278B9" w:rsidRPr="00CE2241" w:rsidRDefault="007278B9">
      <w:pPr>
        <w:jc w:val="left"/>
      </w:pPr>
    </w:p>
    <w:p w14:paraId="0C02BEDA" w14:textId="77777777" w:rsidR="00050E16" w:rsidRPr="00CE2241" w:rsidRDefault="00050E16" w:rsidP="009B440E">
      <w:pPr>
        <w:jc w:val="left"/>
      </w:pPr>
    </w:p>
    <w:sectPr w:rsidR="00050E16" w:rsidRPr="00CE2241" w:rsidSect="00906DDC">
      <w:headerReference w:type="default" r:id="rId9"/>
      <w:footerReference w:type="first" r:id="rId10"/>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9779" w14:textId="77777777" w:rsidR="00E338FC" w:rsidRDefault="00E338FC" w:rsidP="006655D3">
      <w:r>
        <w:separator/>
      </w:r>
    </w:p>
    <w:p w14:paraId="1C93DF57" w14:textId="77777777" w:rsidR="00E338FC" w:rsidRDefault="00E338FC" w:rsidP="006655D3"/>
    <w:p w14:paraId="6FEBD309" w14:textId="77777777" w:rsidR="00E338FC" w:rsidRDefault="00E338FC" w:rsidP="006655D3"/>
  </w:endnote>
  <w:endnote w:type="continuationSeparator" w:id="0">
    <w:p w14:paraId="76FF84C6" w14:textId="77777777" w:rsidR="00E338FC" w:rsidRDefault="00E338FC" w:rsidP="006655D3">
      <w:r>
        <w:separator/>
      </w:r>
    </w:p>
    <w:p w14:paraId="4395872E" w14:textId="77777777" w:rsidR="00E338FC" w:rsidRPr="00CD233D" w:rsidRDefault="00E338FC">
      <w:pPr>
        <w:pStyle w:val="Footer"/>
        <w:spacing w:after="60"/>
        <w:rPr>
          <w:sz w:val="18"/>
          <w:lang w:val="es-ES_tradnl"/>
        </w:rPr>
      </w:pPr>
      <w:r w:rsidRPr="00CD233D">
        <w:rPr>
          <w:sz w:val="18"/>
          <w:lang w:val="es-ES_tradnl"/>
        </w:rPr>
        <w:t>[Continuación de la nota de la página anterior]</w:t>
      </w:r>
    </w:p>
    <w:p w14:paraId="5A6FD53D" w14:textId="77777777" w:rsidR="00E338FC" w:rsidRPr="00CD233D" w:rsidRDefault="00E338FC" w:rsidP="006655D3"/>
    <w:p w14:paraId="0F5463B9" w14:textId="77777777" w:rsidR="00E338FC" w:rsidRPr="00CD233D" w:rsidRDefault="00E338FC" w:rsidP="006655D3"/>
  </w:endnote>
  <w:endnote w:type="continuationNotice" w:id="1">
    <w:p w14:paraId="2D8A32FD" w14:textId="77777777" w:rsidR="00E338FC" w:rsidRPr="00CD233D" w:rsidRDefault="00E338FC" w:rsidP="006655D3">
      <w:r w:rsidRPr="00CD233D">
        <w:t>[Continuación de la nota de la página siguiente]</w:t>
      </w:r>
    </w:p>
    <w:p w14:paraId="29D2D360" w14:textId="77777777" w:rsidR="00E338FC" w:rsidRPr="00CD233D" w:rsidRDefault="00E338FC" w:rsidP="006655D3"/>
    <w:p w14:paraId="1803DDF3" w14:textId="77777777" w:rsidR="00E338FC" w:rsidRPr="00CD233D" w:rsidRDefault="00E338FC"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45E6" w14:textId="77777777" w:rsidR="00D140B8" w:rsidRPr="000372C8" w:rsidRDefault="00D140B8" w:rsidP="00D140B8">
    <w:pPr>
      <w:tabs>
        <w:tab w:val="left" w:pos="2835"/>
      </w:tabs>
      <w:spacing w:before="60"/>
      <w:rPr>
        <w:sz w:val="16"/>
        <w:u w:val="single"/>
      </w:rPr>
    </w:pPr>
    <w:r w:rsidRPr="000372C8">
      <w:rPr>
        <w:sz w:val="16"/>
        <w:u w:val="single"/>
      </w:rPr>
      <w:tab/>
    </w:r>
  </w:p>
  <w:p w14:paraId="075E8660" w14:textId="7252ED0F" w:rsidR="00D140B8" w:rsidRPr="00D140B8" w:rsidRDefault="00D140B8" w:rsidP="00D140B8">
    <w:pPr>
      <w:spacing w:before="120"/>
      <w:rPr>
        <w:sz w:val="14"/>
        <w:szCs w:val="14"/>
      </w:rPr>
    </w:pPr>
    <w:r w:rsidRPr="00EA51C3">
      <w:rPr>
        <w:rFonts w:cs="Arial"/>
        <w:sz w:val="14"/>
        <w:szCs w:val="15"/>
      </w:rPr>
      <w:t xml:space="preserve">La sesión tendrá lugar en la sede de la UPOV (34, </w:t>
    </w:r>
    <w:proofErr w:type="spellStart"/>
    <w:r w:rsidRPr="00EA51C3">
      <w:rPr>
        <w:rFonts w:cs="Arial"/>
        <w:sz w:val="14"/>
        <w:szCs w:val="15"/>
      </w:rPr>
      <w:t>chemin</w:t>
    </w:r>
    <w:proofErr w:type="spellEnd"/>
    <w:r w:rsidRPr="00EA51C3">
      <w:rPr>
        <w:rFonts w:cs="Arial"/>
        <w:sz w:val="14"/>
        <w:szCs w:val="15"/>
      </w:rPr>
      <w:t xml:space="preserve"> des </w:t>
    </w:r>
    <w:proofErr w:type="spellStart"/>
    <w:r w:rsidRPr="00EA51C3">
      <w:rPr>
        <w:rFonts w:cs="Arial"/>
        <w:sz w:val="14"/>
        <w:szCs w:val="15"/>
      </w:rPr>
      <w:t>Colombettes</w:t>
    </w:r>
    <w:proofErr w:type="spellEnd"/>
    <w:r w:rsidRPr="00EA51C3">
      <w:rPr>
        <w:rFonts w:cs="Arial"/>
        <w:sz w:val="14"/>
        <w:szCs w:val="15"/>
      </w:rPr>
      <w:t xml:space="preserve">, Ginebra, Suiza) </w:t>
    </w:r>
    <w:r w:rsidRPr="00EA51C3">
      <w:rPr>
        <w:sz w:val="14"/>
        <w:szCs w:val="15"/>
      </w:rPr>
      <w:t xml:space="preserve">el </w:t>
    </w:r>
    <w:r w:rsidRPr="00B67D96">
      <w:rPr>
        <w:sz w:val="14"/>
        <w:szCs w:val="15"/>
      </w:rPr>
      <w:t>lunes</w:t>
    </w:r>
    <w:r>
      <w:rPr>
        <w:sz w:val="14"/>
        <w:szCs w:val="15"/>
      </w:rPr>
      <w:t xml:space="preserve"> 19 y </w:t>
    </w:r>
    <w:r w:rsidRPr="00B67D96">
      <w:rPr>
        <w:sz w:val="14"/>
        <w:szCs w:val="15"/>
      </w:rPr>
      <w:t>el martes</w:t>
    </w:r>
    <w:r>
      <w:rPr>
        <w:sz w:val="14"/>
        <w:szCs w:val="15"/>
      </w:rPr>
      <w:t xml:space="preserve"> 20</w:t>
    </w:r>
    <w:r w:rsidRPr="00B67D96">
      <w:rPr>
        <w:sz w:val="14"/>
        <w:szCs w:val="15"/>
      </w:rPr>
      <w:t xml:space="preserve"> de octubre </w:t>
    </w:r>
    <w:r>
      <w:rPr>
        <w:sz w:val="14"/>
        <w:szCs w:val="15"/>
      </w:rPr>
      <w:t>de 2026</w:t>
    </w:r>
    <w:r w:rsidRPr="00EA51C3">
      <w:rPr>
        <w:sz w:val="14"/>
        <w:szCs w:val="15"/>
      </w:rPr>
      <w:t xml:space="preserve">, y </w:t>
    </w:r>
    <w:r w:rsidR="00CE2241">
      <w:rPr>
        <w:sz w:val="14"/>
        <w:szCs w:val="15"/>
      </w:rPr>
      <w:t xml:space="preserve">comenzará a </w:t>
    </w:r>
    <w:r w:rsidRPr="00EA51C3">
      <w:rPr>
        <w:sz w:val="14"/>
        <w:szCs w:val="15"/>
      </w:rPr>
      <w:t xml:space="preserve">las 9.30 </w:t>
    </w:r>
    <w:r w:rsidR="00CE2241">
      <w:rPr>
        <w:sz w:val="14"/>
        <w:szCs w:val="15"/>
      </w:rPr>
      <w:t xml:space="preserve">de la mañana </w:t>
    </w:r>
    <w:r>
      <w:rPr>
        <w:sz w:val="14"/>
        <w:szCs w:val="15"/>
      </w:rPr>
      <w:t>(hora de Ginebra (CET)).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7CEE" w14:textId="77777777" w:rsidR="00E338FC" w:rsidRDefault="00E338FC" w:rsidP="006655D3">
      <w:r>
        <w:separator/>
      </w:r>
    </w:p>
  </w:footnote>
  <w:footnote w:type="continuationSeparator" w:id="0">
    <w:p w14:paraId="3D0E03D0" w14:textId="77777777" w:rsidR="00E338FC" w:rsidRDefault="00E338FC" w:rsidP="006655D3">
      <w:r>
        <w:separator/>
      </w:r>
    </w:p>
  </w:footnote>
  <w:footnote w:type="continuationNotice" w:id="1">
    <w:p w14:paraId="077FB38F" w14:textId="77777777" w:rsidR="00E338FC" w:rsidRPr="00AB530F" w:rsidRDefault="00E338FC"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98FA" w14:textId="0DA2C36A" w:rsidR="00182B99" w:rsidRPr="00101806" w:rsidRDefault="007278B9" w:rsidP="00EB048E">
    <w:pPr>
      <w:pStyle w:val="Header"/>
      <w:rPr>
        <w:rStyle w:val="PageNumber"/>
        <w:lang w:val="es-ES_tradnl"/>
      </w:rPr>
    </w:pPr>
    <w:r w:rsidRPr="00101806">
      <w:rPr>
        <w:rStyle w:val="PageNumber"/>
        <w:lang w:val="es-ES_tradnl"/>
      </w:rPr>
      <w:t>TC/62/1</w:t>
    </w:r>
  </w:p>
  <w:p w14:paraId="1E088690" w14:textId="77777777" w:rsidR="00182B99" w:rsidRPr="00101806" w:rsidRDefault="00182B99" w:rsidP="00EB048E">
    <w:pPr>
      <w:pStyle w:val="Header"/>
      <w:rPr>
        <w:lang w:val="es-ES_tradnl"/>
      </w:rPr>
    </w:pPr>
    <w:r w:rsidRPr="00101806">
      <w:rPr>
        <w:lang w:val="es-ES_tradnl"/>
      </w:rPr>
      <w:t xml:space="preserve">página </w:t>
    </w:r>
    <w:r w:rsidRPr="00101806">
      <w:rPr>
        <w:rStyle w:val="PageNumber"/>
        <w:lang w:val="es-ES_tradnl"/>
      </w:rPr>
      <w:fldChar w:fldCharType="begin"/>
    </w:r>
    <w:r w:rsidRPr="00101806">
      <w:rPr>
        <w:rStyle w:val="PageNumber"/>
        <w:lang w:val="es-ES_tradnl"/>
      </w:rPr>
      <w:instrText xml:space="preserve"> PAGE </w:instrText>
    </w:r>
    <w:r w:rsidRPr="00101806">
      <w:rPr>
        <w:rStyle w:val="PageNumber"/>
        <w:lang w:val="es-ES_tradnl"/>
      </w:rPr>
      <w:fldChar w:fldCharType="separate"/>
    </w:r>
    <w:r w:rsidR="001F34F7" w:rsidRPr="00101806">
      <w:rPr>
        <w:rStyle w:val="PageNumber"/>
        <w:lang w:val="es-ES_tradnl"/>
      </w:rPr>
      <w:t>2</w:t>
    </w:r>
    <w:r w:rsidRPr="00101806">
      <w:rPr>
        <w:rStyle w:val="PageNumber"/>
        <w:lang w:val="es-ES_tradnl"/>
      </w:rPr>
      <w:fldChar w:fldCharType="end"/>
    </w:r>
  </w:p>
  <w:p w14:paraId="481F10B0" w14:textId="77777777" w:rsidR="00182B99" w:rsidRPr="00101806"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FC"/>
    <w:rsid w:val="00010CF3"/>
    <w:rsid w:val="00011E27"/>
    <w:rsid w:val="00013345"/>
    <w:rsid w:val="000148BC"/>
    <w:rsid w:val="00024AB8"/>
    <w:rsid w:val="00030854"/>
    <w:rsid w:val="00036028"/>
    <w:rsid w:val="00044642"/>
    <w:rsid w:val="000446B9"/>
    <w:rsid w:val="00047E21"/>
    <w:rsid w:val="00050E16"/>
    <w:rsid w:val="00062542"/>
    <w:rsid w:val="0006717D"/>
    <w:rsid w:val="00085505"/>
    <w:rsid w:val="000C4E25"/>
    <w:rsid w:val="000C7021"/>
    <w:rsid w:val="000D6BBC"/>
    <w:rsid w:val="000D7780"/>
    <w:rsid w:val="000E636A"/>
    <w:rsid w:val="000F2F11"/>
    <w:rsid w:val="000F65FC"/>
    <w:rsid w:val="000F77B3"/>
    <w:rsid w:val="00101806"/>
    <w:rsid w:val="00105929"/>
    <w:rsid w:val="00110C36"/>
    <w:rsid w:val="001131D5"/>
    <w:rsid w:val="00131C84"/>
    <w:rsid w:val="00141DB8"/>
    <w:rsid w:val="00172084"/>
    <w:rsid w:val="0017474A"/>
    <w:rsid w:val="001758C6"/>
    <w:rsid w:val="00182B99"/>
    <w:rsid w:val="001F34F7"/>
    <w:rsid w:val="0021332C"/>
    <w:rsid w:val="00213982"/>
    <w:rsid w:val="0024416D"/>
    <w:rsid w:val="002634C6"/>
    <w:rsid w:val="00271911"/>
    <w:rsid w:val="002800A0"/>
    <w:rsid w:val="002801B3"/>
    <w:rsid w:val="00281060"/>
    <w:rsid w:val="002940E8"/>
    <w:rsid w:val="00294751"/>
    <w:rsid w:val="00296158"/>
    <w:rsid w:val="002A6E50"/>
    <w:rsid w:val="002B4298"/>
    <w:rsid w:val="002C256A"/>
    <w:rsid w:val="00304827"/>
    <w:rsid w:val="00305A7F"/>
    <w:rsid w:val="003152FE"/>
    <w:rsid w:val="00327436"/>
    <w:rsid w:val="00344BD6"/>
    <w:rsid w:val="0035528D"/>
    <w:rsid w:val="00361821"/>
    <w:rsid w:val="00361E9E"/>
    <w:rsid w:val="003A7937"/>
    <w:rsid w:val="003C7FBE"/>
    <w:rsid w:val="003D227C"/>
    <w:rsid w:val="003D2B4D"/>
    <w:rsid w:val="003E2587"/>
    <w:rsid w:val="00444A88"/>
    <w:rsid w:val="00464958"/>
    <w:rsid w:val="0047392F"/>
    <w:rsid w:val="00474DA4"/>
    <w:rsid w:val="00476B4D"/>
    <w:rsid w:val="004805FA"/>
    <w:rsid w:val="004935D2"/>
    <w:rsid w:val="004B1215"/>
    <w:rsid w:val="004B6946"/>
    <w:rsid w:val="004D047D"/>
    <w:rsid w:val="004E2DB7"/>
    <w:rsid w:val="004F1E9E"/>
    <w:rsid w:val="004F305A"/>
    <w:rsid w:val="00512164"/>
    <w:rsid w:val="00520297"/>
    <w:rsid w:val="005338F9"/>
    <w:rsid w:val="0054281C"/>
    <w:rsid w:val="00544581"/>
    <w:rsid w:val="0055268D"/>
    <w:rsid w:val="00576BE4"/>
    <w:rsid w:val="005A400A"/>
    <w:rsid w:val="005E779B"/>
    <w:rsid w:val="005F7B92"/>
    <w:rsid w:val="00612379"/>
    <w:rsid w:val="006153B6"/>
    <w:rsid w:val="0061555F"/>
    <w:rsid w:val="00617608"/>
    <w:rsid w:val="00636CA6"/>
    <w:rsid w:val="00641200"/>
    <w:rsid w:val="00645CA8"/>
    <w:rsid w:val="006655D3"/>
    <w:rsid w:val="00667404"/>
    <w:rsid w:val="00687EB4"/>
    <w:rsid w:val="00695C56"/>
    <w:rsid w:val="006A5CDE"/>
    <w:rsid w:val="006A644A"/>
    <w:rsid w:val="006B17D2"/>
    <w:rsid w:val="006C224E"/>
    <w:rsid w:val="006D7435"/>
    <w:rsid w:val="006D780A"/>
    <w:rsid w:val="0071271E"/>
    <w:rsid w:val="007278B9"/>
    <w:rsid w:val="00732DEC"/>
    <w:rsid w:val="00735BD5"/>
    <w:rsid w:val="00751613"/>
    <w:rsid w:val="007556F6"/>
    <w:rsid w:val="00760EEF"/>
    <w:rsid w:val="00777EE5"/>
    <w:rsid w:val="00784836"/>
    <w:rsid w:val="0079023E"/>
    <w:rsid w:val="007A2854"/>
    <w:rsid w:val="007A4D63"/>
    <w:rsid w:val="007C1D92"/>
    <w:rsid w:val="007C4CB9"/>
    <w:rsid w:val="007D0B9D"/>
    <w:rsid w:val="007D19B0"/>
    <w:rsid w:val="007F498F"/>
    <w:rsid w:val="0080679D"/>
    <w:rsid w:val="008108B0"/>
    <w:rsid w:val="00811B20"/>
    <w:rsid w:val="008211B5"/>
    <w:rsid w:val="0082296E"/>
    <w:rsid w:val="00824099"/>
    <w:rsid w:val="00846D7C"/>
    <w:rsid w:val="00850C65"/>
    <w:rsid w:val="0086579E"/>
    <w:rsid w:val="00867AC1"/>
    <w:rsid w:val="00890DF8"/>
    <w:rsid w:val="008A743F"/>
    <w:rsid w:val="008B6E60"/>
    <w:rsid w:val="008C0970"/>
    <w:rsid w:val="008C5DA5"/>
    <w:rsid w:val="008C7DA0"/>
    <w:rsid w:val="008D0BC5"/>
    <w:rsid w:val="008D2CF7"/>
    <w:rsid w:val="008D7E86"/>
    <w:rsid w:val="0090003D"/>
    <w:rsid w:val="00900C26"/>
    <w:rsid w:val="0090197F"/>
    <w:rsid w:val="00906DDC"/>
    <w:rsid w:val="00934E09"/>
    <w:rsid w:val="00936253"/>
    <w:rsid w:val="00940D46"/>
    <w:rsid w:val="00952DD4"/>
    <w:rsid w:val="00965AE7"/>
    <w:rsid w:val="00970FED"/>
    <w:rsid w:val="00992D82"/>
    <w:rsid w:val="00997029"/>
    <w:rsid w:val="009A7339"/>
    <w:rsid w:val="009B440E"/>
    <w:rsid w:val="009C64E3"/>
    <w:rsid w:val="009D690D"/>
    <w:rsid w:val="009E65B6"/>
    <w:rsid w:val="00A24C10"/>
    <w:rsid w:val="00A37C2B"/>
    <w:rsid w:val="00A42AC3"/>
    <w:rsid w:val="00A430CF"/>
    <w:rsid w:val="00A54309"/>
    <w:rsid w:val="00A61DD7"/>
    <w:rsid w:val="00AB2B93"/>
    <w:rsid w:val="00AB530F"/>
    <w:rsid w:val="00AB7E5B"/>
    <w:rsid w:val="00AC2883"/>
    <w:rsid w:val="00AE0EF1"/>
    <w:rsid w:val="00AE2937"/>
    <w:rsid w:val="00B07301"/>
    <w:rsid w:val="00B11F3E"/>
    <w:rsid w:val="00B224DE"/>
    <w:rsid w:val="00B324D4"/>
    <w:rsid w:val="00B46575"/>
    <w:rsid w:val="00B61777"/>
    <w:rsid w:val="00B84BBD"/>
    <w:rsid w:val="00BA43FB"/>
    <w:rsid w:val="00BB15AF"/>
    <w:rsid w:val="00BC127D"/>
    <w:rsid w:val="00BC1FE6"/>
    <w:rsid w:val="00C061B6"/>
    <w:rsid w:val="00C2446C"/>
    <w:rsid w:val="00C36AE5"/>
    <w:rsid w:val="00C41F17"/>
    <w:rsid w:val="00C527FA"/>
    <w:rsid w:val="00C5280D"/>
    <w:rsid w:val="00C53EB3"/>
    <w:rsid w:val="00C5791C"/>
    <w:rsid w:val="00C66290"/>
    <w:rsid w:val="00C72B7A"/>
    <w:rsid w:val="00C75A58"/>
    <w:rsid w:val="00C973F2"/>
    <w:rsid w:val="00CA304C"/>
    <w:rsid w:val="00CA774A"/>
    <w:rsid w:val="00CC11B0"/>
    <w:rsid w:val="00CC2841"/>
    <w:rsid w:val="00CC461C"/>
    <w:rsid w:val="00CD233D"/>
    <w:rsid w:val="00CE2241"/>
    <w:rsid w:val="00CF1330"/>
    <w:rsid w:val="00CF7E36"/>
    <w:rsid w:val="00D140B8"/>
    <w:rsid w:val="00D3708D"/>
    <w:rsid w:val="00D40426"/>
    <w:rsid w:val="00D42AF1"/>
    <w:rsid w:val="00D57C96"/>
    <w:rsid w:val="00D57D18"/>
    <w:rsid w:val="00D854A0"/>
    <w:rsid w:val="00D91203"/>
    <w:rsid w:val="00D95174"/>
    <w:rsid w:val="00DA0A03"/>
    <w:rsid w:val="00DA4973"/>
    <w:rsid w:val="00DA6F36"/>
    <w:rsid w:val="00DB596E"/>
    <w:rsid w:val="00DB7773"/>
    <w:rsid w:val="00DC00EA"/>
    <w:rsid w:val="00DC3802"/>
    <w:rsid w:val="00E07D87"/>
    <w:rsid w:val="00E32F7E"/>
    <w:rsid w:val="00E338FC"/>
    <w:rsid w:val="00E5267B"/>
    <w:rsid w:val="00E63C0E"/>
    <w:rsid w:val="00E72D49"/>
    <w:rsid w:val="00E75233"/>
    <w:rsid w:val="00E7593C"/>
    <w:rsid w:val="00E7678A"/>
    <w:rsid w:val="00E935F1"/>
    <w:rsid w:val="00E94A81"/>
    <w:rsid w:val="00EA1FFB"/>
    <w:rsid w:val="00EB048E"/>
    <w:rsid w:val="00EB4E9C"/>
    <w:rsid w:val="00EB7ABF"/>
    <w:rsid w:val="00EE34DF"/>
    <w:rsid w:val="00EF2F89"/>
    <w:rsid w:val="00F03E98"/>
    <w:rsid w:val="00F1237A"/>
    <w:rsid w:val="00F22CBD"/>
    <w:rsid w:val="00F272F1"/>
    <w:rsid w:val="00F345F0"/>
    <w:rsid w:val="00F45372"/>
    <w:rsid w:val="00F50D7E"/>
    <w:rsid w:val="00F560F7"/>
    <w:rsid w:val="00F6334D"/>
    <w:rsid w:val="00F85EF6"/>
    <w:rsid w:val="00FA49AB"/>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8A06D"/>
  <w15:docId w15:val="{C896C274-8E05-4960-B82E-851F931C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241"/>
    <w:pPr>
      <w:jc w:val="both"/>
    </w:pPr>
    <w:rPr>
      <w:rFonts w:ascii="Arial" w:hAnsi="Arial"/>
      <w:lang w:val="es-ES_tradnl"/>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AB530F"/>
    <w:pPr>
      <w:tabs>
        <w:tab w:val="left" w:pos="5387"/>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304827"/>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304827"/>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semiHidden/>
    <w:rsid w:val="00900C26"/>
    <w:pPr>
      <w:tabs>
        <w:tab w:val="right" w:leader="dot" w:pos="9639"/>
      </w:tabs>
      <w:spacing w:before="120"/>
      <w:ind w:left="454" w:right="851" w:hanging="284"/>
      <w:contextualSpacing/>
    </w:pPr>
    <w:rPr>
      <w:rFonts w:ascii="Arial" w:hAnsi="Arial"/>
      <w:smallCaps/>
    </w:rPr>
  </w:style>
  <w:style w:type="paragraph" w:styleId="TOC3">
    <w:name w:val="toc 3"/>
    <w:next w:val="Normal"/>
    <w:autoRedefine/>
    <w:semiHidden/>
    <w:rsid w:val="00900C26"/>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semiHidden/>
    <w:rsid w:val="00900C26"/>
    <w:pPr>
      <w:tabs>
        <w:tab w:val="right" w:leader="dot" w:pos="9639"/>
      </w:tabs>
      <w:spacing w:before="120"/>
      <w:ind w:left="738" w:right="851" w:hanging="284"/>
    </w:pPr>
    <w:rPr>
      <w:rFonts w:ascii="Arial" w:hAnsi="Arial"/>
      <w:i/>
      <w:sz w:val="18"/>
      <w:lang w:val="fr-FR"/>
    </w:rPr>
  </w:style>
  <w:style w:type="paragraph" w:styleId="TOC1">
    <w:name w:val="toc 1"/>
    <w:next w:val="Normal"/>
    <w:autoRedefine/>
    <w:semiHidden/>
    <w:rsid w:val="00B07301"/>
    <w:pPr>
      <w:tabs>
        <w:tab w:val="right" w:leader="dot" w:pos="9639"/>
      </w:tabs>
      <w:contextualSpacing/>
      <w:jc w:val="center"/>
    </w:pPr>
    <w:rPr>
      <w:rFonts w:ascii="Arial" w:hAnsi="Arial"/>
      <w:caps/>
    </w:rPr>
  </w:style>
  <w:style w:type="paragraph" w:styleId="TOC5">
    <w:name w:val="toc 5"/>
    <w:next w:val="Normal"/>
    <w:autoRedefine/>
    <w:semiHidden/>
    <w:rsid w:val="00C72B7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customStyle="1" w:styleId="agendaitemtitle">
    <w:name w:val="agenda_item_title"/>
    <w:basedOn w:val="Normal"/>
    <w:link w:val="agendaitemtitleChar"/>
    <w:qFormat/>
    <w:rsid w:val="005E779B"/>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5E779B"/>
    <w:rPr>
      <w:rFonts w:ascii="Arial" w:eastAsia="Calibri" w:hAnsi="Arial" w:cs="Arial"/>
      <w:b/>
      <w:bCs/>
      <w:color w:val="006600"/>
      <w:bdr w:val="nil"/>
      <w:lang w:eastAsia="nl-NL"/>
    </w:rPr>
  </w:style>
  <w:style w:type="character" w:styleId="CommentReference">
    <w:name w:val="annotation reference"/>
    <w:basedOn w:val="DefaultParagraphFont"/>
    <w:semiHidden/>
    <w:unhideWhenUsed/>
    <w:rsid w:val="005E779B"/>
    <w:rPr>
      <w:sz w:val="16"/>
      <w:szCs w:val="16"/>
    </w:rPr>
  </w:style>
  <w:style w:type="paragraph" w:styleId="CommentText">
    <w:name w:val="annotation text"/>
    <w:basedOn w:val="Normal"/>
    <w:link w:val="CommentTextChar"/>
    <w:unhideWhenUsed/>
    <w:rsid w:val="005E779B"/>
  </w:style>
  <w:style w:type="character" w:customStyle="1" w:styleId="CommentTextChar">
    <w:name w:val="Comment Text Char"/>
    <w:basedOn w:val="DefaultParagraphFont"/>
    <w:link w:val="CommentText"/>
    <w:rsid w:val="005E779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pov.int/en/find-and-explore/information-and-guidance/examination-guidance" TargetMode="External"/><Relationship Id="rId3" Type="http://schemas.openxmlformats.org/officeDocument/2006/relationships/webSettings" Target="webSettings.xml"/><Relationship Id="rId7" Type="http://schemas.openxmlformats.org/officeDocument/2006/relationships/hyperlink" Target="https://www.upov.int/en/find-and-explore/information-and-guidance/examination-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1735</Words>
  <Characters>9769</Characters>
  <Application>Microsoft Office Word</Application>
  <DocSecurity>0</DocSecurity>
  <Lines>271</Lines>
  <Paragraphs>108</Paragraphs>
  <ScaleCrop>false</ScaleCrop>
  <HeadingPairs>
    <vt:vector size="2" baseType="variant">
      <vt:variant>
        <vt:lpstr>Title</vt:lpstr>
      </vt:variant>
      <vt:variant>
        <vt:i4>1</vt:i4>
      </vt:variant>
    </vt:vector>
  </HeadingPairs>
  <TitlesOfParts>
    <vt:vector size="1" baseType="lpstr">
      <vt:lpstr>TC/62/1</vt:lpstr>
    </vt:vector>
  </TitlesOfParts>
  <Company>UPOV</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TC/62/1</dc:title>
  <dc:subject>Annotated Draft Agenda</dc:subject>
  <dc:creator>UPOV</dc:creator>
  <cp:keywords>, docId:9FB82E2CF62E80804DE9F6E66B68FB65</cp:keywords>
  <cp:lastModifiedBy>NICOLO Laurianne</cp:lastModifiedBy>
  <cp:revision>8</cp:revision>
  <cp:lastPrinted>2016-11-22T15:41:00Z</cp:lastPrinted>
  <dcterms:created xsi:type="dcterms:W3CDTF">2026-06-11T19:22:00Z</dcterms:created>
  <dcterms:modified xsi:type="dcterms:W3CDTF">2026-06-16T09:07:00Z</dcterms:modified>
</cp:coreProperties>
</file>