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21571" w:rsidRPr="009319BB" w14:paraId="3612A074" w14:textId="77777777" w:rsidTr="00F26786">
        <w:tc>
          <w:tcPr>
            <w:tcW w:w="6522" w:type="dxa"/>
          </w:tcPr>
          <w:p w14:paraId="334F9761" w14:textId="11EE6AAE" w:rsidR="00421571" w:rsidRPr="009319BB" w:rsidRDefault="00C16B87" w:rsidP="00F26786">
            <w:pPr>
              <w:rPr>
                <w:lang w:val="es-ES"/>
              </w:rPr>
            </w:pPr>
            <w:r w:rsidRPr="009319BB">
              <w:rPr>
                <w:lang w:val="es-ES"/>
              </w:rPr>
              <w:drawing>
                <wp:inline distT="0" distB="0" distL="0" distR="0" wp14:anchorId="027F4B9E" wp14:editId="68848B91">
                  <wp:extent cx="933450" cy="266408"/>
                  <wp:effectExtent l="0" t="0" r="0" b="635"/>
                  <wp:docPr id="45706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048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200" cy="267764"/>
                          </a:xfrm>
                          <a:prstGeom prst="rect">
                            <a:avLst/>
                          </a:prstGeom>
                          <a:noFill/>
                          <a:ln>
                            <a:noFill/>
                          </a:ln>
                        </pic:spPr>
                      </pic:pic>
                    </a:graphicData>
                  </a:graphic>
                </wp:inline>
              </w:drawing>
            </w:r>
          </w:p>
        </w:tc>
        <w:tc>
          <w:tcPr>
            <w:tcW w:w="3117" w:type="dxa"/>
          </w:tcPr>
          <w:p w14:paraId="0F6F2607" w14:textId="764D4A9C" w:rsidR="00421571" w:rsidRPr="009319BB" w:rsidRDefault="00441C49" w:rsidP="00F26786">
            <w:pPr>
              <w:pStyle w:val="Lettrine"/>
              <w:rPr>
                <w:lang w:val="es-ES"/>
              </w:rPr>
            </w:pPr>
            <w:r>
              <w:rPr>
                <w:lang w:val="es-ES"/>
              </w:rPr>
              <w:t>S</w:t>
            </w:r>
          </w:p>
        </w:tc>
      </w:tr>
      <w:tr w:rsidR="00421571" w:rsidRPr="009319BB" w14:paraId="58F1FB94" w14:textId="77777777" w:rsidTr="00F26786">
        <w:trPr>
          <w:trHeight w:val="219"/>
        </w:trPr>
        <w:tc>
          <w:tcPr>
            <w:tcW w:w="6522" w:type="dxa"/>
          </w:tcPr>
          <w:p w14:paraId="03A247AE" w14:textId="77777777" w:rsidR="00421571" w:rsidRPr="009319BB" w:rsidRDefault="00421571" w:rsidP="00F26786">
            <w:pPr>
              <w:pStyle w:val="upove"/>
              <w:rPr>
                <w:lang w:val="es-ES"/>
              </w:rPr>
            </w:pPr>
            <w:r w:rsidRPr="009319BB">
              <w:rPr>
                <w:lang w:val="es-ES"/>
              </w:rPr>
              <w:t>La Unión Internacional para la Protección de las Obtenciones Vegetales</w:t>
            </w:r>
          </w:p>
        </w:tc>
        <w:tc>
          <w:tcPr>
            <w:tcW w:w="3117" w:type="dxa"/>
          </w:tcPr>
          <w:p w14:paraId="03A480E8" w14:textId="77777777" w:rsidR="00421571" w:rsidRPr="009319BB" w:rsidRDefault="00421571" w:rsidP="00F26786">
            <w:pPr>
              <w:rPr>
                <w:lang w:val="es-ES"/>
              </w:rPr>
            </w:pPr>
          </w:p>
        </w:tc>
      </w:tr>
    </w:tbl>
    <w:p w14:paraId="564D388D" w14:textId="77777777" w:rsidR="00421571" w:rsidRPr="009319BB" w:rsidRDefault="00421571" w:rsidP="00421571">
      <w:pPr>
        <w:rPr>
          <w:lang w:val="es-ES"/>
        </w:rPr>
      </w:pPr>
    </w:p>
    <w:p w14:paraId="6B7F669E" w14:textId="77777777" w:rsidR="00F96C11" w:rsidRPr="009319BB" w:rsidRDefault="00F96C11" w:rsidP="00F96C11">
      <w:pPr>
        <w:rPr>
          <w:lang w:val="es-ES"/>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96C11" w:rsidRPr="009319BB" w14:paraId="524487DA" w14:textId="77777777" w:rsidTr="00B314FB">
        <w:tc>
          <w:tcPr>
            <w:tcW w:w="6512" w:type="dxa"/>
          </w:tcPr>
          <w:p w14:paraId="11909CBC" w14:textId="77777777" w:rsidR="00F96C11" w:rsidRPr="009319BB" w:rsidRDefault="00F96C11" w:rsidP="00B314FB">
            <w:pPr>
              <w:pStyle w:val="Sessiontc"/>
              <w:spacing w:line="240" w:lineRule="auto"/>
              <w:rPr>
                <w:lang w:val="es-ES"/>
              </w:rPr>
            </w:pPr>
            <w:r w:rsidRPr="009319BB">
              <w:rPr>
                <w:lang w:val="es-ES"/>
              </w:rPr>
              <w:t>Comité Técnico</w:t>
            </w:r>
          </w:p>
          <w:p w14:paraId="73D989F9" w14:textId="77777777" w:rsidR="00F96C11" w:rsidRPr="009319BB" w:rsidRDefault="00F96C11" w:rsidP="00B314FB">
            <w:pPr>
              <w:pStyle w:val="Sessiontcplacedate"/>
              <w:rPr>
                <w:lang w:val="es-ES"/>
              </w:rPr>
            </w:pPr>
            <w:r w:rsidRPr="009319BB">
              <w:rPr>
                <w:lang w:val="es-ES"/>
              </w:rPr>
              <w:t>Sexagésima primera sesión</w:t>
            </w:r>
          </w:p>
          <w:p w14:paraId="7B8EFFB4" w14:textId="77777777" w:rsidR="00F96C11" w:rsidRPr="009319BB" w:rsidRDefault="00F96C11" w:rsidP="00B314FB">
            <w:pPr>
              <w:pStyle w:val="Sessiontcplacedate"/>
              <w:rPr>
                <w:sz w:val="22"/>
                <w:lang w:val="es-ES"/>
              </w:rPr>
            </w:pPr>
            <w:r w:rsidRPr="009319BB">
              <w:rPr>
                <w:lang w:val="es-ES"/>
              </w:rPr>
              <w:t>Ginebra, 20 y 21 de octubre de 2025</w:t>
            </w:r>
          </w:p>
        </w:tc>
        <w:tc>
          <w:tcPr>
            <w:tcW w:w="3127" w:type="dxa"/>
          </w:tcPr>
          <w:p w14:paraId="37F48C1C" w14:textId="69E8D929" w:rsidR="00F96C11" w:rsidRPr="009319BB" w:rsidRDefault="00F54661" w:rsidP="00B314FB">
            <w:pPr>
              <w:pStyle w:val="Doccode"/>
              <w:rPr>
                <w:lang w:val="es-ES"/>
              </w:rPr>
            </w:pPr>
            <w:r w:rsidRPr="009319BB">
              <w:rPr>
                <w:lang w:val="es-ES"/>
              </w:rPr>
              <w:t>TC/61/3</w:t>
            </w:r>
          </w:p>
          <w:p w14:paraId="3BAFE16B" w14:textId="77777777" w:rsidR="00F96C11" w:rsidRPr="009319BB" w:rsidRDefault="00F96C11" w:rsidP="00B314FB">
            <w:pPr>
              <w:pStyle w:val="Docoriginal"/>
              <w:rPr>
                <w:lang w:val="es-ES"/>
              </w:rPr>
            </w:pPr>
            <w:r w:rsidRPr="009319BB">
              <w:rPr>
                <w:lang w:val="es-ES"/>
              </w:rPr>
              <w:t xml:space="preserve">Original: </w:t>
            </w:r>
            <w:r w:rsidRPr="009319BB">
              <w:rPr>
                <w:b w:val="0"/>
                <w:spacing w:val="0"/>
                <w:lang w:val="es-ES"/>
              </w:rPr>
              <w:t>inglés</w:t>
            </w:r>
          </w:p>
          <w:p w14:paraId="65679824" w14:textId="48DC0766" w:rsidR="00F96C11" w:rsidRPr="009319BB" w:rsidRDefault="00F96C11" w:rsidP="00B314FB">
            <w:pPr>
              <w:pStyle w:val="Docoriginal"/>
              <w:rPr>
                <w:lang w:val="es-ES"/>
              </w:rPr>
            </w:pPr>
            <w:r w:rsidRPr="009319BB">
              <w:rPr>
                <w:lang w:val="es-ES"/>
              </w:rPr>
              <w:t>Fecha:</w:t>
            </w:r>
            <w:r w:rsidRPr="009319BB">
              <w:rPr>
                <w:b w:val="0"/>
                <w:spacing w:val="0"/>
                <w:lang w:val="es-ES"/>
              </w:rPr>
              <w:t xml:space="preserve">  </w:t>
            </w:r>
            <w:r w:rsidR="00397554" w:rsidRPr="009319BB">
              <w:rPr>
                <w:b w:val="0"/>
                <w:spacing w:val="0"/>
                <w:lang w:val="es-ES"/>
              </w:rPr>
              <w:t xml:space="preserve"> 22 </w:t>
            </w:r>
            <w:r w:rsidRPr="009319BB">
              <w:rPr>
                <w:b w:val="0"/>
                <w:spacing w:val="0"/>
                <w:lang w:val="es-ES"/>
              </w:rPr>
              <w:t>de</w:t>
            </w:r>
            <w:r w:rsidR="00F70CD4" w:rsidRPr="009319BB">
              <w:rPr>
                <w:b w:val="0"/>
                <w:spacing w:val="0"/>
                <w:lang w:val="es-ES"/>
              </w:rPr>
              <w:t xml:space="preserve"> septiembre </w:t>
            </w:r>
            <w:r w:rsidRPr="009319BB">
              <w:rPr>
                <w:b w:val="0"/>
                <w:spacing w:val="0"/>
                <w:lang w:val="es-ES"/>
              </w:rPr>
              <w:t>de 2025</w:t>
            </w:r>
          </w:p>
        </w:tc>
      </w:tr>
    </w:tbl>
    <w:p w14:paraId="2A1C89D1" w14:textId="4EA5D859" w:rsidR="00F96C11" w:rsidRPr="009319BB" w:rsidRDefault="00F54661" w:rsidP="00F96C11">
      <w:pPr>
        <w:pStyle w:val="Titleofdoc0"/>
        <w:rPr>
          <w:lang w:val="es-ES"/>
        </w:rPr>
      </w:pPr>
      <w:r w:rsidRPr="009319BB">
        <w:rPr>
          <w:lang w:val="es-ES"/>
        </w:rPr>
        <w:t>Cuestiones planteadas por los grupos de trabajo técnico</w:t>
      </w:r>
    </w:p>
    <w:p w14:paraId="23DFE5AD" w14:textId="3E6F6CCD" w:rsidR="003D0839" w:rsidRPr="009319BB" w:rsidRDefault="003D0839" w:rsidP="003D0839">
      <w:pPr>
        <w:pStyle w:val="preparedby1"/>
        <w:jc w:val="left"/>
        <w:rPr>
          <w:lang w:val="es-ES"/>
        </w:rPr>
      </w:pPr>
      <w:r w:rsidRPr="009319BB">
        <w:rPr>
          <w:lang w:val="es-ES"/>
        </w:rPr>
        <w:t>Documento preparado por la Oficina de la Uni</w:t>
      </w:r>
      <w:r w:rsidR="00441C49">
        <w:rPr>
          <w:lang w:val="es-ES"/>
        </w:rPr>
        <w:t>ó</w:t>
      </w:r>
      <w:r w:rsidRPr="009319BB">
        <w:rPr>
          <w:lang w:val="es-ES"/>
        </w:rPr>
        <w:t>n</w:t>
      </w:r>
    </w:p>
    <w:p w14:paraId="05B9FFEB" w14:textId="77777777" w:rsidR="00441C49" w:rsidRPr="006365CE" w:rsidRDefault="00441C49" w:rsidP="00441C49">
      <w:pPr>
        <w:pStyle w:val="Disclaimer"/>
        <w:spacing w:after="480"/>
        <w:rPr>
          <w:lang w:val="es-ES_tradnl"/>
        </w:rPr>
      </w:pPr>
      <w:bookmarkStart w:id="0" w:name="_Toc20505077"/>
      <w:bookmarkStart w:id="1" w:name="_Toc208828849"/>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02679996" w14:textId="77777777" w:rsidR="00F21482" w:rsidRPr="009319BB" w:rsidRDefault="00F21482" w:rsidP="00F21482">
      <w:pPr>
        <w:keepNext/>
        <w:outlineLvl w:val="0"/>
        <w:rPr>
          <w:caps/>
          <w:lang w:val="es-ES"/>
        </w:rPr>
      </w:pPr>
      <w:r w:rsidRPr="009319BB">
        <w:rPr>
          <w:caps/>
          <w:lang w:val="es-ES"/>
        </w:rPr>
        <w:t>RESUMEN</w:t>
      </w:r>
      <w:bookmarkEnd w:id="0"/>
      <w:bookmarkEnd w:id="1"/>
    </w:p>
    <w:p w14:paraId="5B7BC1B1" w14:textId="77777777" w:rsidR="00F21482" w:rsidRPr="009319BB" w:rsidRDefault="00F21482" w:rsidP="00F21482">
      <w:pPr>
        <w:rPr>
          <w:color w:val="000000"/>
          <w:lang w:val="es-ES"/>
        </w:rPr>
      </w:pPr>
    </w:p>
    <w:p w14:paraId="35C297F8" w14:textId="770671AA" w:rsidR="00F21482" w:rsidRPr="009319BB" w:rsidRDefault="00F21482" w:rsidP="00F21482">
      <w:pPr>
        <w:rPr>
          <w:color w:val="000000"/>
          <w:lang w:val="es-ES"/>
        </w:rPr>
      </w:pPr>
      <w:r w:rsidRPr="009319BB">
        <w:rPr>
          <w:color w:val="000000"/>
          <w:lang w:val="es-ES"/>
        </w:rPr>
        <w:fldChar w:fldCharType="begin"/>
      </w:r>
      <w:r w:rsidRPr="009319BB">
        <w:rPr>
          <w:color w:val="000000"/>
          <w:lang w:val="es-ES"/>
        </w:rPr>
        <w:instrText xml:space="preserve"> AUTONUM  </w:instrText>
      </w:r>
      <w:r w:rsidRPr="009319BB">
        <w:rPr>
          <w:color w:val="000000"/>
          <w:lang w:val="es-ES"/>
        </w:rPr>
        <w:fldChar w:fldCharType="end"/>
      </w:r>
      <w:r w:rsidRPr="009319BB">
        <w:rPr>
          <w:color w:val="000000"/>
          <w:lang w:val="es-ES"/>
        </w:rPr>
        <w:tab/>
        <w:t xml:space="preserve">El presente documento recopila los asuntos que no se tratan expresamente en los puntos específicos del orden del día y que se derivan de las sesiones de 2025 del </w:t>
      </w:r>
      <w:r w:rsidRPr="009319BB">
        <w:rPr>
          <w:rFonts w:eastAsia="PMingLiU"/>
          <w:szCs w:val="24"/>
          <w:lang w:val="es-ES"/>
        </w:rPr>
        <w:t>Grupo de Trabajo Técnico sobre Plantas Ornamentales y Árboles Forestales (TWO)</w:t>
      </w:r>
      <w:r w:rsidRPr="009319BB">
        <w:rPr>
          <w:rFonts w:eastAsia="PMingLiU"/>
          <w:szCs w:val="24"/>
          <w:vertAlign w:val="superscript"/>
          <w:lang w:val="es-ES"/>
        </w:rPr>
        <w:footnoteReference w:id="2"/>
      </w:r>
      <w:r w:rsidRPr="009319BB">
        <w:rPr>
          <w:rFonts w:eastAsia="PMingLiU"/>
          <w:szCs w:val="24"/>
          <w:lang w:val="es-ES"/>
        </w:rPr>
        <w:t xml:space="preserve"> , el Grupo de Trabajo Técnico sobre Hortalizas (TWV)</w:t>
      </w:r>
      <w:r w:rsidRPr="009319BB">
        <w:rPr>
          <w:rFonts w:eastAsia="PMingLiU"/>
          <w:szCs w:val="24"/>
          <w:vertAlign w:val="superscript"/>
          <w:lang w:val="es-ES"/>
        </w:rPr>
        <w:footnoteReference w:id="3"/>
      </w:r>
      <w:r w:rsidRPr="009319BB">
        <w:rPr>
          <w:rFonts w:eastAsia="PMingLiU"/>
          <w:szCs w:val="24"/>
          <w:lang w:val="es-ES"/>
        </w:rPr>
        <w:t xml:space="preserve"> , </w:t>
      </w:r>
      <w:r w:rsidRPr="009319BB">
        <w:rPr>
          <w:color w:val="000000"/>
          <w:lang w:val="es-ES"/>
        </w:rPr>
        <w:t>el Grupo de Trabajo Técnico sobre Métodos y Técnicas de Examen (TWM)</w:t>
      </w:r>
      <w:r w:rsidRPr="009319BB">
        <w:rPr>
          <w:rFonts w:eastAsia="PMingLiU"/>
          <w:szCs w:val="24"/>
          <w:vertAlign w:val="superscript"/>
          <w:lang w:val="es-ES"/>
        </w:rPr>
        <w:footnoteReference w:id="4"/>
      </w:r>
      <w:r w:rsidRPr="009319BB">
        <w:rPr>
          <w:rFonts w:eastAsia="PMingLiU"/>
          <w:szCs w:val="24"/>
          <w:lang w:val="es-ES"/>
        </w:rPr>
        <w:t xml:space="preserve"> , el Grupo de Trabajo Técnico sobre Plantas Agrícolas (TWA)</w:t>
      </w:r>
      <w:r w:rsidRPr="009319BB">
        <w:rPr>
          <w:rFonts w:eastAsia="PMingLiU"/>
          <w:szCs w:val="24"/>
          <w:vertAlign w:val="superscript"/>
          <w:lang w:val="es-ES"/>
        </w:rPr>
        <w:footnoteReference w:id="5"/>
      </w:r>
      <w:r w:rsidRPr="009319BB">
        <w:rPr>
          <w:rFonts w:eastAsia="PMingLiU"/>
          <w:szCs w:val="24"/>
          <w:lang w:val="es-ES"/>
        </w:rPr>
        <w:t xml:space="preserve"> y el Grupo de Trabajo Técnico sobre Plantas Frutales </w:t>
      </w:r>
      <w:r w:rsidRPr="009319BB">
        <w:rPr>
          <w:color w:val="000000"/>
          <w:lang w:val="es-ES"/>
        </w:rPr>
        <w:t>(TWF)</w:t>
      </w:r>
      <w:r w:rsidRPr="009319BB">
        <w:rPr>
          <w:color w:val="000000"/>
          <w:vertAlign w:val="superscript"/>
          <w:lang w:val="es-ES"/>
        </w:rPr>
        <w:footnoteReference w:id="6"/>
      </w:r>
      <w:r w:rsidRPr="009319BB">
        <w:rPr>
          <w:color w:val="000000"/>
          <w:lang w:val="es-ES"/>
        </w:rPr>
        <w:t xml:space="preserve"> .  </w:t>
      </w:r>
    </w:p>
    <w:p w14:paraId="054CC875" w14:textId="77777777" w:rsidR="00F21482" w:rsidRPr="009319BB" w:rsidRDefault="00F21482" w:rsidP="00F21482">
      <w:pPr>
        <w:rPr>
          <w:color w:val="000000"/>
          <w:lang w:val="es-ES"/>
        </w:rPr>
      </w:pPr>
    </w:p>
    <w:p w14:paraId="6DB2EF4B" w14:textId="4A934670" w:rsidR="00F21482" w:rsidRPr="009319BB" w:rsidRDefault="00F21482" w:rsidP="00F21482">
      <w:pPr>
        <w:rPr>
          <w:lang w:val="es-ES"/>
        </w:rPr>
      </w:pPr>
      <w:r w:rsidRPr="009319BB">
        <w:rPr>
          <w:color w:val="000000"/>
          <w:lang w:val="es-ES"/>
        </w:rPr>
        <w:fldChar w:fldCharType="begin"/>
      </w:r>
      <w:r w:rsidRPr="009319BB">
        <w:rPr>
          <w:color w:val="000000"/>
          <w:lang w:val="es-ES"/>
        </w:rPr>
        <w:instrText xml:space="preserve"> AUTONUM  </w:instrText>
      </w:r>
      <w:r w:rsidRPr="009319BB">
        <w:rPr>
          <w:color w:val="000000"/>
          <w:lang w:val="es-ES"/>
        </w:rPr>
        <w:fldChar w:fldCharType="end"/>
      </w:r>
      <w:r w:rsidRPr="009319BB">
        <w:rPr>
          <w:color w:val="000000"/>
          <w:lang w:val="es-ES"/>
        </w:rPr>
        <w:tab/>
        <w:t xml:space="preserve">El presente documento </w:t>
      </w:r>
      <w:r w:rsidRPr="009319BB">
        <w:rPr>
          <w:lang w:val="es-ES"/>
        </w:rPr>
        <w:t xml:space="preserve">consta de dos secciones. En la primera sección, </w:t>
      </w:r>
      <w:r w:rsidR="006A782C" w:rsidRPr="009319BB">
        <w:rPr>
          <w:lang w:val="es-ES"/>
        </w:rPr>
        <w:t>titu</w:t>
      </w:r>
      <w:r w:rsidR="006A782C">
        <w:rPr>
          <w:lang w:val="es-ES"/>
        </w:rPr>
        <w:t>lada</w:t>
      </w:r>
      <w:r w:rsidRPr="009319BB">
        <w:rPr>
          <w:caps/>
          <w:lang w:val="es-ES"/>
        </w:rPr>
        <w:t xml:space="preserve"> «</w:t>
      </w:r>
      <w:r w:rsidRPr="009319BB">
        <w:rPr>
          <w:lang w:val="es-ES"/>
        </w:rPr>
        <w:t xml:space="preserve">Cuestiones que deben ser informadas y sobre las que el Comité Técnico (TC) podría tener que tomar una </w:t>
      </w:r>
      <w:r w:rsidR="006A782C" w:rsidRPr="009319BB">
        <w:rPr>
          <w:lang w:val="es-ES"/>
        </w:rPr>
        <w:t>decisión</w:t>
      </w:r>
      <w:r w:rsidRPr="009319BB">
        <w:rPr>
          <w:caps/>
          <w:lang w:val="es-ES"/>
        </w:rPr>
        <w:t xml:space="preserve">», </w:t>
      </w:r>
      <w:r w:rsidRPr="009319BB">
        <w:rPr>
          <w:lang w:val="es-ES"/>
        </w:rPr>
        <w:t>se señalan las cuestiones que podrían requerir una decisión del TC.  La Oficina de la Unión (Oficina) ha destacado los aspectos sobre los que el TC podría tomar una decisión mediante la introducción de un párrafo de decisión propuesta.  La segunda sección, «Asuntos para información», se proporciona para información del TC, pero no requiere decisiones en esta etapa.</w:t>
      </w:r>
    </w:p>
    <w:p w14:paraId="0492F255" w14:textId="77777777" w:rsidR="00F21482" w:rsidRPr="009319BB" w:rsidRDefault="00F21482" w:rsidP="00F21482">
      <w:pPr>
        <w:tabs>
          <w:tab w:val="left" w:pos="567"/>
          <w:tab w:val="left" w:pos="1701"/>
        </w:tabs>
        <w:ind w:left="1695" w:hanging="1695"/>
        <w:rPr>
          <w:rFonts w:eastAsia="PMingLiU"/>
          <w:szCs w:val="24"/>
          <w:lang w:val="es-ES"/>
        </w:rPr>
      </w:pPr>
    </w:p>
    <w:p w14:paraId="14675184" w14:textId="77777777" w:rsidR="00F21482" w:rsidRPr="009319BB" w:rsidRDefault="00F21482" w:rsidP="00F21482">
      <w:pPr>
        <w:tabs>
          <w:tab w:val="left" w:pos="567"/>
        </w:tabs>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Se invita al TC a: </w:t>
      </w:r>
    </w:p>
    <w:p w14:paraId="5AAEF5FD" w14:textId="77777777" w:rsidR="00F21482" w:rsidRPr="009319BB" w:rsidRDefault="00F21482" w:rsidP="00F21482">
      <w:pPr>
        <w:tabs>
          <w:tab w:val="left" w:pos="567"/>
        </w:tabs>
        <w:rPr>
          <w:lang w:val="es-ES"/>
        </w:rPr>
      </w:pPr>
    </w:p>
    <w:p w14:paraId="051FDE3B" w14:textId="6B38BD9B" w:rsidR="00F21482" w:rsidRPr="009319BB" w:rsidRDefault="008872DC" w:rsidP="008872DC">
      <w:pPr>
        <w:pStyle w:val="ListParagraph"/>
        <w:keepNext/>
        <w:keepLines/>
        <w:numPr>
          <w:ilvl w:val="0"/>
          <w:numId w:val="5"/>
        </w:numPr>
        <w:tabs>
          <w:tab w:val="left" w:pos="5387"/>
        </w:tabs>
        <w:rPr>
          <w:iCs/>
          <w:lang w:val="es-ES" w:eastAsia="fr-FR"/>
        </w:rPr>
      </w:pPr>
      <w:r w:rsidRPr="009319BB">
        <w:rPr>
          <w:iCs/>
          <w:lang w:val="es-ES"/>
        </w:rPr>
        <w:t>examin</w:t>
      </w:r>
      <w:r w:rsidR="006A782C">
        <w:rPr>
          <w:iCs/>
          <w:lang w:val="es-ES"/>
        </w:rPr>
        <w:t>ar</w:t>
      </w:r>
      <w:r w:rsidRPr="009319BB">
        <w:rPr>
          <w:iCs/>
          <w:lang w:val="es-ES"/>
        </w:rPr>
        <w:t xml:space="preserve"> la propuesta del TWV de realizar una encuesta entre los miembros de la UPOV sobre si las características adicionales no incluidas en las directrices de examen podrían constituir un obstáculo para la aceptación de los informes de examen</w:t>
      </w:r>
      <w:r w:rsidRPr="009319BB">
        <w:rPr>
          <w:iCs/>
          <w:lang w:val="es-ES" w:eastAsia="fr-FR"/>
        </w:rPr>
        <w:t>, tal como se establece en los párrafos 10</w:t>
      </w:r>
      <w:r w:rsidR="006A782C">
        <w:rPr>
          <w:iCs/>
          <w:lang w:val="es-ES" w:eastAsia="fr-FR"/>
        </w:rPr>
        <w:t> </w:t>
      </w:r>
      <w:r w:rsidRPr="009319BB">
        <w:rPr>
          <w:iCs/>
          <w:lang w:val="es-ES" w:eastAsia="fr-FR"/>
        </w:rPr>
        <w:t>y 11 del presente documento</w:t>
      </w:r>
      <w:r w:rsidR="00F21482" w:rsidRPr="009319BB">
        <w:rPr>
          <w:iCs/>
          <w:lang w:val="es-ES" w:eastAsia="fr-FR"/>
        </w:rPr>
        <w:t>; y</w:t>
      </w:r>
    </w:p>
    <w:p w14:paraId="329D1F74" w14:textId="77777777" w:rsidR="00F21482" w:rsidRPr="009319BB" w:rsidRDefault="00F21482" w:rsidP="00F21482">
      <w:pPr>
        <w:tabs>
          <w:tab w:val="left" w:pos="567"/>
          <w:tab w:val="left" w:pos="1134"/>
        </w:tabs>
        <w:contextualSpacing/>
        <w:rPr>
          <w:rFonts w:eastAsiaTheme="minorEastAsia"/>
          <w:lang w:val="es-ES" w:eastAsia="fr-FR"/>
        </w:rPr>
      </w:pPr>
    </w:p>
    <w:p w14:paraId="50CC6A73" w14:textId="7AA7B6E5" w:rsidR="00F21482" w:rsidRPr="009319BB" w:rsidRDefault="00F21482" w:rsidP="00F21482">
      <w:pPr>
        <w:numPr>
          <w:ilvl w:val="0"/>
          <w:numId w:val="5"/>
        </w:numPr>
        <w:tabs>
          <w:tab w:val="left" w:pos="567"/>
          <w:tab w:val="left" w:pos="1134"/>
        </w:tabs>
        <w:contextualSpacing/>
        <w:rPr>
          <w:rFonts w:eastAsiaTheme="minorEastAsia"/>
          <w:lang w:val="es-ES" w:eastAsia="fr-FR"/>
        </w:rPr>
      </w:pPr>
      <w:r w:rsidRPr="009319BB">
        <w:rPr>
          <w:rFonts w:eastAsiaTheme="minorEastAsia"/>
          <w:lang w:val="es-ES"/>
        </w:rPr>
        <w:t>tom</w:t>
      </w:r>
      <w:r w:rsidR="006A782C">
        <w:rPr>
          <w:rFonts w:eastAsiaTheme="minorEastAsia"/>
          <w:lang w:val="es-ES"/>
        </w:rPr>
        <w:t>ar</w:t>
      </w:r>
      <w:r w:rsidRPr="009319BB">
        <w:rPr>
          <w:rFonts w:eastAsiaTheme="minorEastAsia"/>
          <w:lang w:val="es-ES"/>
        </w:rPr>
        <w:t xml:space="preserve"> nota de la evolución de los TWP en relación con:</w:t>
      </w:r>
    </w:p>
    <w:p w14:paraId="4D1C984A" w14:textId="4EF0C46E" w:rsidR="00F21482" w:rsidRPr="009319BB" w:rsidRDefault="00F21482" w:rsidP="00563347">
      <w:pPr>
        <w:rPr>
          <w:lang w:val="es-ES"/>
        </w:rPr>
      </w:pPr>
    </w:p>
    <w:p w14:paraId="5D0B38E8" w14:textId="252C4C26" w:rsidR="00F21482" w:rsidRPr="009319BB" w:rsidRDefault="00365B2A" w:rsidP="00F21482">
      <w:pPr>
        <w:numPr>
          <w:ilvl w:val="0"/>
          <w:numId w:val="4"/>
        </w:numPr>
        <w:tabs>
          <w:tab w:val="left" w:pos="1701"/>
        </w:tabs>
        <w:ind w:left="1134" w:hanging="567"/>
        <w:contextualSpacing/>
        <w:rPr>
          <w:rFonts w:eastAsiaTheme="minorEastAsia"/>
          <w:lang w:val="es-ES"/>
        </w:rPr>
      </w:pPr>
      <w:r w:rsidRPr="009319BB">
        <w:rPr>
          <w:rFonts w:eastAsia="MS Mincho"/>
          <w:lang w:val="es-ES"/>
        </w:rPr>
        <w:t>Características de resistencia a las enfermedades</w:t>
      </w:r>
      <w:r w:rsidR="00F21482" w:rsidRPr="009319BB">
        <w:rPr>
          <w:rFonts w:eastAsiaTheme="minorEastAsia"/>
          <w:lang w:val="es-ES"/>
        </w:rPr>
        <w:t>;</w:t>
      </w:r>
    </w:p>
    <w:p w14:paraId="1292F6F3" w14:textId="6223C2E4" w:rsidR="00F21482" w:rsidRPr="009319BB" w:rsidRDefault="00365B2A" w:rsidP="00F21482">
      <w:pPr>
        <w:numPr>
          <w:ilvl w:val="0"/>
          <w:numId w:val="4"/>
        </w:numPr>
        <w:tabs>
          <w:tab w:val="left" w:pos="1701"/>
        </w:tabs>
        <w:ind w:left="1134" w:hanging="567"/>
        <w:contextualSpacing/>
        <w:rPr>
          <w:rFonts w:eastAsiaTheme="minorEastAsia"/>
          <w:lang w:val="es-ES"/>
        </w:rPr>
      </w:pPr>
      <w:r w:rsidRPr="009319BB">
        <w:rPr>
          <w:rFonts w:eastAsia="MS Mincho"/>
          <w:lang w:val="es-ES"/>
        </w:rPr>
        <w:t>las características observadas en un ciclo de cultivo en el examen DHE, en el que la duración mínima de los exámenes debería ser normalmente de dos ciclos de cultivo independientes</w:t>
      </w:r>
      <w:r w:rsidR="00F21482" w:rsidRPr="009319BB">
        <w:rPr>
          <w:rFonts w:eastAsiaTheme="minorEastAsia"/>
          <w:lang w:val="es-ES"/>
        </w:rPr>
        <w:t>;</w:t>
      </w:r>
    </w:p>
    <w:p w14:paraId="2B187383" w14:textId="25EE329C" w:rsidR="00F21482" w:rsidRPr="009319BB" w:rsidRDefault="00365B2A" w:rsidP="00F21482">
      <w:pPr>
        <w:numPr>
          <w:ilvl w:val="0"/>
          <w:numId w:val="4"/>
        </w:numPr>
        <w:tabs>
          <w:tab w:val="left" w:pos="1701"/>
        </w:tabs>
        <w:ind w:left="1134" w:hanging="567"/>
        <w:contextualSpacing/>
        <w:rPr>
          <w:rFonts w:eastAsiaTheme="minorEastAsia"/>
          <w:lang w:val="es-ES"/>
        </w:rPr>
      </w:pPr>
      <w:r w:rsidRPr="009319BB">
        <w:rPr>
          <w:rFonts w:eastAsiaTheme="minorEastAsia"/>
          <w:lang w:val="es-ES"/>
        </w:rPr>
        <w:t>la evaluación de la homogeneidad de los caracteres no incluidos en las directrices de examen</w:t>
      </w:r>
      <w:r w:rsidR="00F21482" w:rsidRPr="009319BB">
        <w:rPr>
          <w:rFonts w:eastAsiaTheme="minorEastAsia"/>
          <w:lang w:val="es-ES"/>
        </w:rPr>
        <w:t>;</w:t>
      </w:r>
    </w:p>
    <w:p w14:paraId="64143B02" w14:textId="15FC5D40" w:rsidR="00F21482" w:rsidRPr="009319BB" w:rsidRDefault="00365B2A" w:rsidP="00F21482">
      <w:pPr>
        <w:numPr>
          <w:ilvl w:val="0"/>
          <w:numId w:val="4"/>
        </w:numPr>
        <w:tabs>
          <w:tab w:val="left" w:pos="1701"/>
        </w:tabs>
        <w:ind w:left="1134" w:hanging="567"/>
        <w:contextualSpacing/>
        <w:rPr>
          <w:rFonts w:eastAsiaTheme="minorEastAsia"/>
          <w:lang w:val="es-ES"/>
        </w:rPr>
      </w:pPr>
      <w:r w:rsidRPr="009319BB">
        <w:rPr>
          <w:rFonts w:eastAsiaTheme="minorEastAsia"/>
          <w:lang w:val="es-ES"/>
        </w:rPr>
        <w:t>Informe sobre casos judiciales relacionados con cuestiones técnicas: Allium cepa L. «SK20»</w:t>
      </w:r>
      <w:r w:rsidR="00F21482" w:rsidRPr="009319BB">
        <w:rPr>
          <w:rFonts w:eastAsiaTheme="minorEastAsia"/>
          <w:lang w:val="es-ES"/>
        </w:rPr>
        <w:t>;</w:t>
      </w:r>
    </w:p>
    <w:p w14:paraId="7728B46F" w14:textId="123D3F85" w:rsidR="00F21482" w:rsidRPr="009319BB" w:rsidRDefault="00365B2A" w:rsidP="00F21482">
      <w:pPr>
        <w:numPr>
          <w:ilvl w:val="0"/>
          <w:numId w:val="4"/>
        </w:numPr>
        <w:tabs>
          <w:tab w:val="left" w:pos="1701"/>
        </w:tabs>
        <w:ind w:left="1134" w:hanging="567"/>
        <w:contextualSpacing/>
        <w:rPr>
          <w:rFonts w:eastAsiaTheme="minorEastAsia" w:cs="Arial"/>
          <w:lang w:val="es-ES"/>
        </w:rPr>
      </w:pPr>
      <w:r w:rsidRPr="009319BB">
        <w:rPr>
          <w:rFonts w:eastAsiaTheme="minorEastAsia"/>
          <w:lang w:val="es-ES"/>
        </w:rPr>
        <w:t>Bases de datos de información: El valor y la fiabilidad de los nombres botánicos en las plantas ornamentales</w:t>
      </w:r>
      <w:r w:rsidR="00F21482" w:rsidRPr="009319BB">
        <w:rPr>
          <w:rFonts w:eastAsiaTheme="minorEastAsia"/>
          <w:lang w:val="es-ES"/>
        </w:rPr>
        <w:t>;</w:t>
      </w:r>
    </w:p>
    <w:p w14:paraId="6F9EF810" w14:textId="3385EFE9" w:rsidR="00F21482" w:rsidRPr="009319BB" w:rsidRDefault="00365B2A" w:rsidP="00F21482">
      <w:pPr>
        <w:numPr>
          <w:ilvl w:val="0"/>
          <w:numId w:val="4"/>
        </w:numPr>
        <w:tabs>
          <w:tab w:val="left" w:pos="1701"/>
        </w:tabs>
        <w:ind w:left="1134" w:hanging="567"/>
        <w:contextualSpacing/>
        <w:rPr>
          <w:rFonts w:eastAsiaTheme="minorEastAsia"/>
          <w:lang w:val="es-ES"/>
        </w:rPr>
      </w:pPr>
      <w:r w:rsidRPr="009319BB">
        <w:rPr>
          <w:rFonts w:eastAsiaTheme="minorEastAsia"/>
          <w:lang w:val="es-ES"/>
        </w:rPr>
        <w:t>Software y métodos de análisis estadístico para el examen DHE</w:t>
      </w:r>
      <w:r w:rsidR="00F21482" w:rsidRPr="009319BB">
        <w:rPr>
          <w:rFonts w:eastAsiaTheme="minorEastAsia"/>
          <w:lang w:val="es-ES"/>
        </w:rPr>
        <w:t>;</w:t>
      </w:r>
    </w:p>
    <w:p w14:paraId="409F73D3" w14:textId="0BF11227" w:rsidR="00F21482" w:rsidRPr="009319BB" w:rsidRDefault="00365B2A" w:rsidP="0044310E">
      <w:pPr>
        <w:keepNext/>
        <w:numPr>
          <w:ilvl w:val="0"/>
          <w:numId w:val="4"/>
        </w:numPr>
        <w:tabs>
          <w:tab w:val="left" w:pos="1701"/>
        </w:tabs>
        <w:ind w:left="1134" w:hanging="567"/>
        <w:contextualSpacing/>
        <w:rPr>
          <w:rFonts w:eastAsiaTheme="minorEastAsia"/>
          <w:lang w:val="es-ES"/>
        </w:rPr>
      </w:pPr>
      <w:r w:rsidRPr="009319BB">
        <w:rPr>
          <w:rFonts w:eastAsiaTheme="minorEastAsia"/>
          <w:lang w:val="es-ES"/>
        </w:rPr>
        <w:lastRenderedPageBreak/>
        <w:t>Fenotipado y análisis de imágenes</w:t>
      </w:r>
      <w:r w:rsidR="00F21482" w:rsidRPr="009319BB">
        <w:rPr>
          <w:rFonts w:eastAsiaTheme="minorEastAsia"/>
          <w:lang w:val="es-ES"/>
        </w:rPr>
        <w:t>;</w:t>
      </w:r>
    </w:p>
    <w:p w14:paraId="402B42CA" w14:textId="7131BAF5" w:rsidR="00F21482" w:rsidRPr="009319BB" w:rsidRDefault="00365B2A" w:rsidP="0044310E">
      <w:pPr>
        <w:keepNext/>
        <w:numPr>
          <w:ilvl w:val="0"/>
          <w:numId w:val="4"/>
        </w:numPr>
        <w:tabs>
          <w:tab w:val="left" w:pos="1701"/>
        </w:tabs>
        <w:ind w:left="1134" w:hanging="567"/>
        <w:contextualSpacing/>
        <w:rPr>
          <w:rFonts w:eastAsiaTheme="minorEastAsia"/>
          <w:lang w:val="es-ES"/>
        </w:rPr>
      </w:pPr>
      <w:r w:rsidRPr="009319BB">
        <w:rPr>
          <w:rFonts w:eastAsiaTheme="minorEastAsia"/>
          <w:lang w:val="es-ES"/>
        </w:rPr>
        <w:t>Colecciones de variedades: Colección de variedades de cultivos frutales en Ucrania</w:t>
      </w:r>
      <w:r w:rsidR="00F21482" w:rsidRPr="009319BB">
        <w:rPr>
          <w:rFonts w:eastAsiaTheme="minorEastAsia"/>
          <w:lang w:val="es-ES"/>
        </w:rPr>
        <w:t>;</w:t>
      </w:r>
    </w:p>
    <w:p w14:paraId="0C93DACE" w14:textId="77777777" w:rsidR="00F21482" w:rsidRPr="009319BB" w:rsidRDefault="00F21482" w:rsidP="00F21482">
      <w:pPr>
        <w:tabs>
          <w:tab w:val="left" w:pos="1701"/>
        </w:tabs>
        <w:rPr>
          <w:rFonts w:cs="Arial"/>
          <w:lang w:val="es-ES"/>
        </w:rPr>
      </w:pPr>
    </w:p>
    <w:p w14:paraId="154C2C02" w14:textId="2DBED997" w:rsidR="00D30834" w:rsidRPr="009319BB" w:rsidRDefault="00D30834" w:rsidP="00D30834">
      <w:pPr>
        <w:rPr>
          <w:snapToGrid w:val="0"/>
          <w:lang w:val="es-ES"/>
        </w:rPr>
      </w:pPr>
      <w:r w:rsidRPr="009319BB">
        <w:rPr>
          <w:snapToGrid w:val="0"/>
          <w:lang w:val="es-ES"/>
        </w:rPr>
        <w:fldChar w:fldCharType="begin"/>
      </w:r>
      <w:r w:rsidRPr="009319BB">
        <w:rPr>
          <w:snapToGrid w:val="0"/>
          <w:lang w:val="es-ES"/>
        </w:rPr>
        <w:instrText xml:space="preserve"> AUTONUM  </w:instrText>
      </w:r>
      <w:r w:rsidRPr="009319BB">
        <w:rPr>
          <w:snapToGrid w:val="0"/>
          <w:lang w:val="es-ES"/>
        </w:rPr>
        <w:fldChar w:fldCharType="end"/>
      </w:r>
      <w:r w:rsidRPr="009319BB">
        <w:rPr>
          <w:snapToGrid w:val="0"/>
          <w:lang w:val="es-ES"/>
        </w:rPr>
        <w:tab/>
        <w:t xml:space="preserve">Los debates sobre «Número de ciclos de cultivo y examen final de los cultivos frutales» (TWF) se recogen en el documento SESSIONS/2025/2 «Elaboración de materiales de orientación e información». </w:t>
      </w:r>
    </w:p>
    <w:p w14:paraId="196AE87C" w14:textId="77777777" w:rsidR="00D30834" w:rsidRPr="009319BB" w:rsidRDefault="00D30834" w:rsidP="00F21482">
      <w:pPr>
        <w:tabs>
          <w:tab w:val="left" w:pos="1701"/>
        </w:tabs>
        <w:rPr>
          <w:rFonts w:cs="Arial"/>
          <w:lang w:val="es-ES"/>
        </w:rPr>
      </w:pPr>
    </w:p>
    <w:p w14:paraId="1F3DC48A" w14:textId="77777777" w:rsidR="00F21482" w:rsidRPr="009319BB" w:rsidRDefault="00F21482" w:rsidP="00F21482">
      <w:pPr>
        <w:keepNext/>
        <w:rPr>
          <w:color w:val="000000"/>
          <w:lang w:val="es-ES"/>
        </w:rPr>
      </w:pPr>
      <w:r w:rsidRPr="009319BB">
        <w:rPr>
          <w:color w:val="000000"/>
          <w:lang w:val="es-ES"/>
        </w:rPr>
        <w:fldChar w:fldCharType="begin"/>
      </w:r>
      <w:r w:rsidRPr="009319BB">
        <w:rPr>
          <w:color w:val="000000"/>
          <w:lang w:val="es-ES"/>
        </w:rPr>
        <w:instrText xml:space="preserve"> AUTONUM  </w:instrText>
      </w:r>
      <w:r w:rsidRPr="009319BB">
        <w:rPr>
          <w:color w:val="000000"/>
          <w:lang w:val="es-ES"/>
        </w:rPr>
        <w:fldChar w:fldCharType="end"/>
      </w:r>
      <w:r w:rsidRPr="009319BB">
        <w:rPr>
          <w:color w:val="000000"/>
          <w:lang w:val="es-ES"/>
        </w:rPr>
        <w:tab/>
        <w:t>En el presente documento se utilizan las siguientes abreviaturas:</w:t>
      </w:r>
    </w:p>
    <w:p w14:paraId="1FA9A259" w14:textId="77777777" w:rsidR="00F21482" w:rsidRPr="009319BB" w:rsidRDefault="00F21482" w:rsidP="00F21482">
      <w:pPr>
        <w:keepNext/>
        <w:ind w:left="1692" w:hanging="1125"/>
        <w:jc w:val="left"/>
        <w:rPr>
          <w:color w:val="000000"/>
          <w:lang w:val="es-ES"/>
        </w:rPr>
      </w:pPr>
    </w:p>
    <w:p w14:paraId="49C5FD5C" w14:textId="77777777" w:rsidR="00F21482" w:rsidRPr="009319BB" w:rsidRDefault="00F21482" w:rsidP="00F21482">
      <w:pPr>
        <w:keepNext/>
        <w:tabs>
          <w:tab w:val="left" w:pos="567"/>
          <w:tab w:val="left" w:pos="1701"/>
        </w:tabs>
        <w:rPr>
          <w:lang w:val="es-ES"/>
        </w:rPr>
      </w:pPr>
      <w:r w:rsidRPr="009319BB">
        <w:rPr>
          <w:lang w:val="es-ES"/>
        </w:rPr>
        <w:tab/>
        <w:t>TC:</w:t>
      </w:r>
      <w:r w:rsidRPr="009319BB">
        <w:rPr>
          <w:lang w:val="es-ES"/>
        </w:rPr>
        <w:tab/>
        <w:t>Comité Técnico</w:t>
      </w:r>
    </w:p>
    <w:p w14:paraId="4B9581C5" w14:textId="77777777" w:rsidR="00F21482" w:rsidRPr="009319BB" w:rsidRDefault="00F21482" w:rsidP="00F21482">
      <w:pPr>
        <w:keepNext/>
        <w:tabs>
          <w:tab w:val="left" w:pos="567"/>
          <w:tab w:val="left" w:pos="1701"/>
        </w:tabs>
        <w:rPr>
          <w:rFonts w:eastAsia="PMingLiU"/>
          <w:szCs w:val="24"/>
          <w:lang w:val="es-ES"/>
        </w:rPr>
      </w:pPr>
      <w:r w:rsidRPr="009319BB">
        <w:rPr>
          <w:rFonts w:eastAsia="PMingLiU"/>
          <w:szCs w:val="24"/>
          <w:lang w:val="es-ES"/>
        </w:rPr>
        <w:tab/>
        <w:t>TWA:</w:t>
      </w:r>
      <w:r w:rsidRPr="009319BB">
        <w:rPr>
          <w:rFonts w:eastAsia="PMingLiU"/>
          <w:szCs w:val="24"/>
          <w:lang w:val="es-ES"/>
        </w:rPr>
        <w:tab/>
        <w:t>Grupo de Trabajo Técnico sobre Plantas Agrícolas</w:t>
      </w:r>
    </w:p>
    <w:p w14:paraId="41A04A1E" w14:textId="77777777" w:rsidR="00F21482" w:rsidRPr="009319BB" w:rsidRDefault="00F21482" w:rsidP="00F21482">
      <w:pPr>
        <w:tabs>
          <w:tab w:val="left" w:pos="567"/>
          <w:tab w:val="left" w:pos="1701"/>
        </w:tabs>
        <w:rPr>
          <w:rFonts w:eastAsia="PMingLiU"/>
          <w:szCs w:val="24"/>
          <w:lang w:val="es-ES"/>
        </w:rPr>
      </w:pPr>
      <w:r w:rsidRPr="009319BB">
        <w:rPr>
          <w:rFonts w:eastAsia="PMingLiU"/>
          <w:szCs w:val="24"/>
          <w:lang w:val="es-ES"/>
        </w:rPr>
        <w:tab/>
        <w:t xml:space="preserve">TWF: </w:t>
      </w:r>
      <w:r w:rsidRPr="009319BB">
        <w:rPr>
          <w:rFonts w:eastAsia="PMingLiU"/>
          <w:szCs w:val="24"/>
          <w:lang w:val="es-ES"/>
        </w:rPr>
        <w:tab/>
        <w:t>Grupo de Trabajo Técnico sobre Plantas Frutales</w:t>
      </w:r>
    </w:p>
    <w:p w14:paraId="3D483BC9" w14:textId="77777777" w:rsidR="00F21482" w:rsidRPr="009319BB" w:rsidRDefault="00F21482" w:rsidP="00F21482">
      <w:pPr>
        <w:tabs>
          <w:tab w:val="left" w:pos="567"/>
          <w:tab w:val="left" w:pos="1701"/>
        </w:tabs>
        <w:rPr>
          <w:rFonts w:eastAsia="PMingLiU"/>
          <w:szCs w:val="24"/>
          <w:lang w:val="es-ES"/>
        </w:rPr>
      </w:pPr>
      <w:r w:rsidRPr="009319BB">
        <w:rPr>
          <w:rFonts w:eastAsia="PMingLiU"/>
          <w:szCs w:val="24"/>
          <w:lang w:val="es-ES"/>
        </w:rPr>
        <w:tab/>
        <w:t xml:space="preserve">TWM: </w:t>
      </w:r>
      <w:r w:rsidRPr="009319BB">
        <w:rPr>
          <w:rFonts w:eastAsia="PMingLiU"/>
          <w:szCs w:val="24"/>
          <w:lang w:val="es-ES"/>
        </w:rPr>
        <w:tab/>
      </w:r>
      <w:r w:rsidRPr="009319BB">
        <w:rPr>
          <w:color w:val="000000"/>
          <w:lang w:val="es-ES"/>
        </w:rPr>
        <w:t>Grupo de Trabajo Técnico sobre Métodos y Técnicas de Examen</w:t>
      </w:r>
    </w:p>
    <w:p w14:paraId="172A7486" w14:textId="453C5048" w:rsidR="00F21482" w:rsidRPr="009319BB" w:rsidRDefault="00F21482" w:rsidP="00F21482">
      <w:pPr>
        <w:tabs>
          <w:tab w:val="left" w:pos="567"/>
          <w:tab w:val="left" w:pos="1701"/>
        </w:tabs>
        <w:rPr>
          <w:rFonts w:eastAsia="PMingLiU"/>
          <w:szCs w:val="24"/>
          <w:lang w:val="es-ES"/>
        </w:rPr>
      </w:pPr>
      <w:r w:rsidRPr="009319BB">
        <w:rPr>
          <w:rFonts w:eastAsia="PMingLiU"/>
          <w:szCs w:val="24"/>
          <w:lang w:val="es-ES"/>
        </w:rPr>
        <w:tab/>
      </w:r>
      <w:r w:rsidR="003A4F85">
        <w:rPr>
          <w:rFonts w:eastAsia="PMingLiU"/>
          <w:szCs w:val="24"/>
          <w:lang w:val="es-ES"/>
        </w:rPr>
        <w:t>TWO</w:t>
      </w:r>
      <w:r w:rsidRPr="009319BB">
        <w:rPr>
          <w:rFonts w:eastAsia="PMingLiU"/>
          <w:szCs w:val="24"/>
          <w:lang w:val="es-ES"/>
        </w:rPr>
        <w:t>:</w:t>
      </w:r>
      <w:r w:rsidRPr="009319BB">
        <w:rPr>
          <w:rFonts w:eastAsia="PMingLiU"/>
          <w:szCs w:val="24"/>
          <w:lang w:val="es-ES"/>
        </w:rPr>
        <w:tab/>
        <w:t>Grupo de Trabajo Técnico sobre Plantas Ornamentales y Árboles Forestales</w:t>
      </w:r>
    </w:p>
    <w:p w14:paraId="52C4FEBD" w14:textId="77777777" w:rsidR="00F21482" w:rsidRPr="009319BB" w:rsidRDefault="00F21482" w:rsidP="00F21482">
      <w:pPr>
        <w:tabs>
          <w:tab w:val="left" w:pos="567"/>
          <w:tab w:val="left" w:pos="1701"/>
        </w:tabs>
        <w:rPr>
          <w:rFonts w:eastAsia="PMingLiU"/>
          <w:szCs w:val="24"/>
          <w:lang w:val="es-ES"/>
        </w:rPr>
      </w:pPr>
      <w:r w:rsidRPr="009319BB">
        <w:rPr>
          <w:rFonts w:eastAsia="PMingLiU"/>
          <w:szCs w:val="24"/>
          <w:lang w:val="es-ES"/>
        </w:rPr>
        <w:tab/>
        <w:t>TWPs:</w:t>
      </w:r>
      <w:r w:rsidRPr="009319BB">
        <w:rPr>
          <w:rFonts w:eastAsia="PMingLiU"/>
          <w:szCs w:val="24"/>
          <w:lang w:val="es-ES"/>
        </w:rPr>
        <w:tab/>
        <w:t>Grupos de trabajo técnicos</w:t>
      </w:r>
    </w:p>
    <w:p w14:paraId="6A6D6C21" w14:textId="77777777" w:rsidR="00F21482" w:rsidRPr="009319BB" w:rsidRDefault="00F21482" w:rsidP="00F21482">
      <w:pPr>
        <w:tabs>
          <w:tab w:val="left" w:pos="567"/>
          <w:tab w:val="left" w:pos="1701"/>
        </w:tabs>
        <w:rPr>
          <w:rFonts w:eastAsia="PMingLiU"/>
          <w:szCs w:val="24"/>
          <w:lang w:val="es-ES"/>
        </w:rPr>
      </w:pPr>
      <w:r w:rsidRPr="009319BB">
        <w:rPr>
          <w:rFonts w:eastAsia="PMingLiU"/>
          <w:szCs w:val="24"/>
          <w:lang w:val="es-ES"/>
        </w:rPr>
        <w:tab/>
        <w:t>TWV:</w:t>
      </w:r>
      <w:r w:rsidRPr="009319BB">
        <w:rPr>
          <w:rFonts w:eastAsia="PMingLiU"/>
          <w:szCs w:val="24"/>
          <w:lang w:val="es-ES"/>
        </w:rPr>
        <w:tab/>
        <w:t>Grupo de Trabajo Técnico sobre Hortalizas</w:t>
      </w:r>
    </w:p>
    <w:p w14:paraId="02DA152B" w14:textId="77777777" w:rsidR="00F21482" w:rsidRPr="009319BB" w:rsidRDefault="00F21482" w:rsidP="00F21482">
      <w:pPr>
        <w:rPr>
          <w:highlight w:val="cyan"/>
          <w:lang w:val="es-ES"/>
        </w:rPr>
      </w:pPr>
    </w:p>
    <w:p w14:paraId="036ACAAC" w14:textId="77777777" w:rsidR="00F21482" w:rsidRPr="009319BB" w:rsidRDefault="00F21482" w:rsidP="00F21482">
      <w:pPr>
        <w:keepNext/>
        <w:rPr>
          <w:lang w:val="es-ES"/>
        </w:rPr>
      </w:pPr>
      <w:r w:rsidRPr="009319BB">
        <w:rPr>
          <w:color w:val="000000"/>
          <w:lang w:val="es-ES"/>
        </w:rPr>
        <w:fldChar w:fldCharType="begin"/>
      </w:r>
      <w:r w:rsidRPr="009319BB">
        <w:rPr>
          <w:color w:val="000000"/>
          <w:lang w:val="es-ES"/>
        </w:rPr>
        <w:instrText xml:space="preserve"> AUTONUM  </w:instrText>
      </w:r>
      <w:r w:rsidRPr="009319BB">
        <w:rPr>
          <w:color w:val="000000"/>
          <w:lang w:val="es-ES"/>
        </w:rPr>
        <w:fldChar w:fldCharType="end"/>
      </w:r>
      <w:r w:rsidRPr="009319BB">
        <w:rPr>
          <w:color w:val="000000"/>
          <w:lang w:val="es-ES"/>
        </w:rPr>
        <w:tab/>
      </w:r>
      <w:r w:rsidRPr="009319BB">
        <w:rPr>
          <w:lang w:val="es-ES"/>
        </w:rPr>
        <w:t>La estructura de este documento es la siguiente:</w:t>
      </w:r>
    </w:p>
    <w:p w14:paraId="32EDD6DE" w14:textId="77777777" w:rsidR="00F21482" w:rsidRPr="009319BB" w:rsidRDefault="00F21482" w:rsidP="00F21482">
      <w:pPr>
        <w:keepNext/>
        <w:rPr>
          <w:lang w:val="es-ES"/>
        </w:rPr>
      </w:pPr>
    </w:p>
    <w:p w14:paraId="50948755" w14:textId="55EC848C" w:rsidR="005639BE" w:rsidRPr="009319BB" w:rsidRDefault="00F21482">
      <w:pPr>
        <w:pStyle w:val="TOC1"/>
        <w:rPr>
          <w:rFonts w:asciiTheme="minorHAnsi" w:eastAsiaTheme="minorEastAsia" w:hAnsiTheme="minorHAnsi" w:cstheme="minorBidi"/>
          <w:caps w:val="0"/>
          <w:kern w:val="2"/>
          <w:sz w:val="24"/>
          <w:szCs w:val="24"/>
          <w:lang w:val="es-ES"/>
          <w14:ligatures w14:val="standardContextual"/>
        </w:rPr>
      </w:pPr>
      <w:r w:rsidRPr="009319BB">
        <w:rPr>
          <w:rFonts w:eastAsia="MS Mincho" w:cs="Arial"/>
          <w:lang w:val="es-ES" w:eastAsia="ja-JP"/>
        </w:rPr>
        <w:fldChar w:fldCharType="begin"/>
      </w:r>
      <w:r w:rsidRPr="009319BB">
        <w:rPr>
          <w:rFonts w:eastAsia="MS Mincho" w:cs="Arial"/>
          <w:lang w:val="es-ES" w:eastAsia="ja-JP"/>
        </w:rPr>
        <w:instrText xml:space="preserve"> TOC \o "1-3" \u </w:instrText>
      </w:r>
      <w:r w:rsidRPr="009319BB">
        <w:rPr>
          <w:rFonts w:eastAsia="MS Mincho" w:cs="Arial"/>
          <w:lang w:val="es-ES" w:eastAsia="ja-JP"/>
        </w:rPr>
        <w:fldChar w:fldCharType="separate"/>
      </w:r>
      <w:r w:rsidR="005639BE" w:rsidRPr="009319BB">
        <w:rPr>
          <w:lang w:val="es-ES"/>
        </w:rPr>
        <w:t>RESUMEN</w:t>
      </w:r>
      <w:r w:rsidR="005639BE" w:rsidRPr="009319BB">
        <w:rPr>
          <w:lang w:val="es-ES"/>
        </w:rPr>
        <w:tab/>
      </w:r>
      <w:r w:rsidR="005639BE" w:rsidRPr="009319BB">
        <w:rPr>
          <w:lang w:val="es-ES"/>
        </w:rPr>
        <w:fldChar w:fldCharType="begin"/>
      </w:r>
      <w:r w:rsidR="005639BE" w:rsidRPr="009319BB">
        <w:rPr>
          <w:lang w:val="es-ES"/>
        </w:rPr>
        <w:instrText xml:space="preserve"> PAGEREF _Toc208828849 \h </w:instrText>
      </w:r>
      <w:r w:rsidR="005639BE" w:rsidRPr="009319BB">
        <w:rPr>
          <w:lang w:val="es-ES"/>
        </w:rPr>
      </w:r>
      <w:r w:rsidR="005639BE" w:rsidRPr="009319BB">
        <w:rPr>
          <w:lang w:val="es-ES"/>
        </w:rPr>
        <w:fldChar w:fldCharType="separate"/>
      </w:r>
      <w:r w:rsidR="005639BE" w:rsidRPr="009319BB">
        <w:rPr>
          <w:lang w:val="es-ES"/>
        </w:rPr>
        <w:t>1</w:t>
      </w:r>
      <w:r w:rsidR="005639BE" w:rsidRPr="009319BB">
        <w:rPr>
          <w:lang w:val="es-ES"/>
        </w:rPr>
        <w:fldChar w:fldCharType="end"/>
      </w:r>
    </w:p>
    <w:p w14:paraId="6D18A5C3" w14:textId="0E9AEF7A" w:rsidR="005639BE" w:rsidRPr="009319BB" w:rsidRDefault="005639BE">
      <w:pPr>
        <w:pStyle w:val="TOC1"/>
        <w:rPr>
          <w:rFonts w:asciiTheme="minorHAnsi" w:eastAsiaTheme="minorEastAsia" w:hAnsiTheme="minorHAnsi" w:cstheme="minorBidi"/>
          <w:caps w:val="0"/>
          <w:kern w:val="2"/>
          <w:sz w:val="24"/>
          <w:szCs w:val="24"/>
          <w:lang w:val="es-ES"/>
          <w14:ligatures w14:val="standardContextual"/>
        </w:rPr>
      </w:pPr>
      <w:r w:rsidRPr="009319BB">
        <w:rPr>
          <w:lang w:val="es-ES"/>
        </w:rPr>
        <w:t>Asuntos para información y para una posible decisión del Comité Técnico (TC)</w:t>
      </w:r>
      <w:r w:rsidRPr="009319BB">
        <w:rPr>
          <w:lang w:val="es-ES"/>
        </w:rPr>
        <w:tab/>
      </w:r>
      <w:r w:rsidRPr="009319BB">
        <w:rPr>
          <w:lang w:val="es-ES"/>
        </w:rPr>
        <w:fldChar w:fldCharType="begin"/>
      </w:r>
      <w:r w:rsidRPr="009319BB">
        <w:rPr>
          <w:lang w:val="es-ES"/>
        </w:rPr>
        <w:instrText xml:space="preserve"> PAGEREF _Toc208828850 \h </w:instrText>
      </w:r>
      <w:r w:rsidRPr="009319BB">
        <w:rPr>
          <w:lang w:val="es-ES"/>
        </w:rPr>
      </w:r>
      <w:r w:rsidRPr="009319BB">
        <w:rPr>
          <w:lang w:val="es-ES"/>
        </w:rPr>
        <w:fldChar w:fldCharType="separate"/>
      </w:r>
      <w:r w:rsidRPr="009319BB">
        <w:rPr>
          <w:lang w:val="es-ES"/>
        </w:rPr>
        <w:t>2</w:t>
      </w:r>
      <w:r w:rsidRPr="009319BB">
        <w:rPr>
          <w:lang w:val="es-ES"/>
        </w:rPr>
        <w:fldChar w:fldCharType="end"/>
      </w:r>
    </w:p>
    <w:p w14:paraId="659C1A88" w14:textId="381DCCEC"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rFonts w:eastAsia="MS Mincho"/>
          <w:lang w:val="es-ES"/>
        </w:rPr>
        <w:t>Propuesta de encuesta: obstáculos para la aceptación de informes de ensayo: características adicionales no incluidas en las directrices de ensayo</w:t>
      </w:r>
      <w:r w:rsidRPr="009319BB">
        <w:rPr>
          <w:lang w:val="es-ES"/>
        </w:rPr>
        <w:tab/>
      </w:r>
      <w:r w:rsidRPr="009319BB">
        <w:rPr>
          <w:lang w:val="es-ES"/>
        </w:rPr>
        <w:fldChar w:fldCharType="begin"/>
      </w:r>
      <w:r w:rsidRPr="009319BB">
        <w:rPr>
          <w:lang w:val="es-ES"/>
        </w:rPr>
        <w:instrText xml:space="preserve"> PAGEREF _Toc208828851 \h </w:instrText>
      </w:r>
      <w:r w:rsidRPr="009319BB">
        <w:rPr>
          <w:lang w:val="es-ES"/>
        </w:rPr>
      </w:r>
      <w:r w:rsidRPr="009319BB">
        <w:rPr>
          <w:lang w:val="es-ES"/>
        </w:rPr>
        <w:fldChar w:fldCharType="separate"/>
      </w:r>
      <w:r w:rsidRPr="009319BB">
        <w:rPr>
          <w:lang w:val="es-ES"/>
        </w:rPr>
        <w:t>2</w:t>
      </w:r>
      <w:r w:rsidRPr="009319BB">
        <w:rPr>
          <w:lang w:val="es-ES"/>
        </w:rPr>
        <w:fldChar w:fldCharType="end"/>
      </w:r>
    </w:p>
    <w:p w14:paraId="30B2B471" w14:textId="662B4793"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rFonts w:eastAsia="MS Mincho"/>
          <w:lang w:val="es-ES"/>
        </w:rPr>
        <w:t>Antecedentes</w:t>
      </w:r>
      <w:r w:rsidRPr="009319BB">
        <w:rPr>
          <w:lang w:val="es-ES"/>
        </w:rPr>
        <w:tab/>
      </w:r>
      <w:r w:rsidRPr="009319BB">
        <w:rPr>
          <w:lang w:val="es-ES"/>
        </w:rPr>
        <w:fldChar w:fldCharType="begin"/>
      </w:r>
      <w:r w:rsidRPr="009319BB">
        <w:rPr>
          <w:lang w:val="es-ES"/>
        </w:rPr>
        <w:instrText xml:space="preserve"> PAGEREF _Toc208828852 \h </w:instrText>
      </w:r>
      <w:r w:rsidRPr="009319BB">
        <w:rPr>
          <w:lang w:val="es-ES"/>
        </w:rPr>
      </w:r>
      <w:r w:rsidRPr="009319BB">
        <w:rPr>
          <w:lang w:val="es-ES"/>
        </w:rPr>
        <w:fldChar w:fldCharType="separate"/>
      </w:r>
      <w:r w:rsidRPr="009319BB">
        <w:rPr>
          <w:lang w:val="es-ES"/>
        </w:rPr>
        <w:t>2</w:t>
      </w:r>
      <w:r w:rsidRPr="009319BB">
        <w:rPr>
          <w:lang w:val="es-ES"/>
        </w:rPr>
        <w:fldChar w:fldCharType="end"/>
      </w:r>
    </w:p>
    <w:p w14:paraId="52C10F24" w14:textId="49CF89B6"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lang w:val="es-ES"/>
        </w:rPr>
        <w:t>Propuesta</w:t>
      </w:r>
      <w:r w:rsidRPr="009319BB">
        <w:rPr>
          <w:lang w:val="es-ES"/>
        </w:rPr>
        <w:tab/>
      </w:r>
      <w:r w:rsidRPr="009319BB">
        <w:rPr>
          <w:lang w:val="es-ES"/>
        </w:rPr>
        <w:fldChar w:fldCharType="begin"/>
      </w:r>
      <w:r w:rsidRPr="009319BB">
        <w:rPr>
          <w:lang w:val="es-ES"/>
        </w:rPr>
        <w:instrText xml:space="preserve"> PAGEREF _Toc208828853 \h </w:instrText>
      </w:r>
      <w:r w:rsidRPr="009319BB">
        <w:rPr>
          <w:lang w:val="es-ES"/>
        </w:rPr>
      </w:r>
      <w:r w:rsidRPr="009319BB">
        <w:rPr>
          <w:lang w:val="es-ES"/>
        </w:rPr>
        <w:fldChar w:fldCharType="separate"/>
      </w:r>
      <w:r w:rsidRPr="009319BB">
        <w:rPr>
          <w:lang w:val="es-ES"/>
        </w:rPr>
        <w:t>3</w:t>
      </w:r>
      <w:r w:rsidRPr="009319BB">
        <w:rPr>
          <w:lang w:val="es-ES"/>
        </w:rPr>
        <w:fldChar w:fldCharType="end"/>
      </w:r>
    </w:p>
    <w:p w14:paraId="536ECBD7" w14:textId="50371F85" w:rsidR="005639BE" w:rsidRPr="009319BB" w:rsidRDefault="005639BE">
      <w:pPr>
        <w:pStyle w:val="TOC1"/>
        <w:rPr>
          <w:rFonts w:asciiTheme="minorHAnsi" w:eastAsiaTheme="minorEastAsia" w:hAnsiTheme="minorHAnsi" w:cstheme="minorBidi"/>
          <w:caps w:val="0"/>
          <w:kern w:val="2"/>
          <w:sz w:val="24"/>
          <w:szCs w:val="24"/>
          <w:lang w:val="es-ES"/>
          <w14:ligatures w14:val="standardContextual"/>
        </w:rPr>
      </w:pPr>
      <w:r w:rsidRPr="009319BB">
        <w:rPr>
          <w:lang w:val="es-ES"/>
        </w:rPr>
        <w:t>Asuntos para información</w:t>
      </w:r>
      <w:r w:rsidRPr="009319BB">
        <w:rPr>
          <w:lang w:val="es-ES"/>
        </w:rPr>
        <w:tab/>
      </w:r>
      <w:r w:rsidRPr="009319BB">
        <w:rPr>
          <w:lang w:val="es-ES"/>
        </w:rPr>
        <w:fldChar w:fldCharType="begin"/>
      </w:r>
      <w:r w:rsidRPr="009319BB">
        <w:rPr>
          <w:lang w:val="es-ES"/>
        </w:rPr>
        <w:instrText xml:space="preserve"> PAGEREF _Toc208828854 \h </w:instrText>
      </w:r>
      <w:r w:rsidRPr="009319BB">
        <w:rPr>
          <w:lang w:val="es-ES"/>
        </w:rPr>
      </w:r>
      <w:r w:rsidRPr="009319BB">
        <w:rPr>
          <w:lang w:val="es-ES"/>
        </w:rPr>
        <w:fldChar w:fldCharType="separate"/>
      </w:r>
      <w:r w:rsidRPr="009319BB">
        <w:rPr>
          <w:lang w:val="es-ES"/>
        </w:rPr>
        <w:t>3</w:t>
      </w:r>
      <w:r w:rsidRPr="009319BB">
        <w:rPr>
          <w:lang w:val="es-ES"/>
        </w:rPr>
        <w:fldChar w:fldCharType="end"/>
      </w:r>
    </w:p>
    <w:p w14:paraId="5C8EE94B" w14:textId="23DB37ED"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rFonts w:eastAsia="MS Mincho"/>
          <w:lang w:val="es-ES"/>
        </w:rPr>
        <w:t>Características de resistencia a enfermedades</w:t>
      </w:r>
      <w:r w:rsidRPr="009319BB">
        <w:rPr>
          <w:lang w:val="es-ES"/>
        </w:rPr>
        <w:tab/>
      </w:r>
      <w:r w:rsidRPr="009319BB">
        <w:rPr>
          <w:lang w:val="es-ES"/>
        </w:rPr>
        <w:fldChar w:fldCharType="begin"/>
      </w:r>
      <w:r w:rsidRPr="009319BB">
        <w:rPr>
          <w:lang w:val="es-ES"/>
        </w:rPr>
        <w:instrText xml:space="preserve"> PAGEREF _Toc208828855 \h </w:instrText>
      </w:r>
      <w:r w:rsidRPr="009319BB">
        <w:rPr>
          <w:lang w:val="es-ES"/>
        </w:rPr>
      </w:r>
      <w:r w:rsidRPr="009319BB">
        <w:rPr>
          <w:lang w:val="es-ES"/>
        </w:rPr>
        <w:fldChar w:fldCharType="separate"/>
      </w:r>
      <w:r w:rsidRPr="009319BB">
        <w:rPr>
          <w:lang w:val="es-ES"/>
        </w:rPr>
        <w:t>3</w:t>
      </w:r>
      <w:r w:rsidRPr="009319BB">
        <w:rPr>
          <w:lang w:val="es-ES"/>
        </w:rPr>
        <w:fldChar w:fldCharType="end"/>
      </w:r>
    </w:p>
    <w:p w14:paraId="7198DB8D" w14:textId="2F4FD79F"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rFonts w:eastAsia="MS Mincho"/>
          <w:lang w:val="es-ES"/>
        </w:rPr>
        <w:t>Características de resistencia a enfermedades en las directrices de ensayo</w:t>
      </w:r>
      <w:r w:rsidRPr="009319BB">
        <w:rPr>
          <w:lang w:val="es-ES"/>
        </w:rPr>
        <w:tab/>
      </w:r>
      <w:r w:rsidRPr="009319BB">
        <w:rPr>
          <w:lang w:val="es-ES"/>
        </w:rPr>
        <w:fldChar w:fldCharType="begin"/>
      </w:r>
      <w:r w:rsidRPr="009319BB">
        <w:rPr>
          <w:lang w:val="es-ES"/>
        </w:rPr>
        <w:instrText xml:space="preserve"> PAGEREF _Toc208828856 \h </w:instrText>
      </w:r>
      <w:r w:rsidRPr="009319BB">
        <w:rPr>
          <w:lang w:val="es-ES"/>
        </w:rPr>
      </w:r>
      <w:r w:rsidRPr="009319BB">
        <w:rPr>
          <w:lang w:val="es-ES"/>
        </w:rPr>
        <w:fldChar w:fldCharType="separate"/>
      </w:r>
      <w:r w:rsidRPr="009319BB">
        <w:rPr>
          <w:lang w:val="es-ES"/>
        </w:rPr>
        <w:t>3</w:t>
      </w:r>
      <w:r w:rsidRPr="009319BB">
        <w:rPr>
          <w:lang w:val="es-ES"/>
        </w:rPr>
        <w:fldChar w:fldCharType="end"/>
      </w:r>
    </w:p>
    <w:p w14:paraId="102BB35A" w14:textId="68F45499"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lang w:val="es-ES"/>
        </w:rPr>
        <w:t>Resistencia al virus del mosaico verde del pepino (CGMMV)</w:t>
      </w:r>
      <w:r w:rsidRPr="009319BB">
        <w:rPr>
          <w:lang w:val="es-ES"/>
        </w:rPr>
        <w:tab/>
      </w:r>
      <w:r w:rsidRPr="009319BB">
        <w:rPr>
          <w:lang w:val="es-ES"/>
        </w:rPr>
        <w:fldChar w:fldCharType="begin"/>
      </w:r>
      <w:r w:rsidRPr="009319BB">
        <w:rPr>
          <w:lang w:val="es-ES"/>
        </w:rPr>
        <w:instrText xml:space="preserve"> PAGEREF _Toc208828857 \h </w:instrText>
      </w:r>
      <w:r w:rsidRPr="009319BB">
        <w:rPr>
          <w:lang w:val="es-ES"/>
        </w:rPr>
      </w:r>
      <w:r w:rsidRPr="009319BB">
        <w:rPr>
          <w:lang w:val="es-ES"/>
        </w:rPr>
        <w:fldChar w:fldCharType="separate"/>
      </w:r>
      <w:r w:rsidRPr="009319BB">
        <w:rPr>
          <w:lang w:val="es-ES"/>
        </w:rPr>
        <w:t>3</w:t>
      </w:r>
      <w:r w:rsidRPr="009319BB">
        <w:rPr>
          <w:lang w:val="es-ES"/>
        </w:rPr>
        <w:fldChar w:fldCharType="end"/>
      </w:r>
    </w:p>
    <w:p w14:paraId="778C325F" w14:textId="41098BA9"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rFonts w:eastAsia="MS Mincho"/>
          <w:lang w:val="es-ES"/>
        </w:rPr>
        <w:t>Características observadas en un ciclo de cultivo en el examen DHE, en el que la duración mínima de los ensayos debería ser normalmente de dos ciclos de cultivo independientes</w:t>
      </w:r>
      <w:r w:rsidRPr="009319BB">
        <w:rPr>
          <w:lang w:val="es-ES"/>
        </w:rPr>
        <w:tab/>
      </w:r>
      <w:r w:rsidRPr="009319BB">
        <w:rPr>
          <w:lang w:val="es-ES"/>
        </w:rPr>
        <w:fldChar w:fldCharType="begin"/>
      </w:r>
      <w:r w:rsidRPr="009319BB">
        <w:rPr>
          <w:lang w:val="es-ES"/>
        </w:rPr>
        <w:instrText xml:space="preserve"> PAGEREF _Toc208828858 \h </w:instrText>
      </w:r>
      <w:r w:rsidRPr="009319BB">
        <w:rPr>
          <w:lang w:val="es-ES"/>
        </w:rPr>
      </w:r>
      <w:r w:rsidRPr="009319BB">
        <w:rPr>
          <w:lang w:val="es-ES"/>
        </w:rPr>
        <w:fldChar w:fldCharType="separate"/>
      </w:r>
      <w:r w:rsidRPr="009319BB">
        <w:rPr>
          <w:lang w:val="es-ES"/>
        </w:rPr>
        <w:t>4</w:t>
      </w:r>
      <w:r w:rsidRPr="009319BB">
        <w:rPr>
          <w:lang w:val="es-ES"/>
        </w:rPr>
        <w:fldChar w:fldCharType="end"/>
      </w:r>
    </w:p>
    <w:p w14:paraId="58756CEF" w14:textId="7163B503"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rFonts w:eastAsia="MS Mincho"/>
          <w:lang w:val="es-ES"/>
        </w:rPr>
        <w:t>Evaluación de la homogeneidad de los caracteres no incluidos en las directrices de examen</w:t>
      </w:r>
      <w:r w:rsidRPr="009319BB">
        <w:rPr>
          <w:lang w:val="es-ES"/>
        </w:rPr>
        <w:tab/>
      </w:r>
      <w:r w:rsidRPr="009319BB">
        <w:rPr>
          <w:lang w:val="es-ES"/>
        </w:rPr>
        <w:fldChar w:fldCharType="begin"/>
      </w:r>
      <w:r w:rsidRPr="009319BB">
        <w:rPr>
          <w:lang w:val="es-ES"/>
        </w:rPr>
        <w:instrText xml:space="preserve"> PAGEREF _Toc208828859 \h </w:instrText>
      </w:r>
      <w:r w:rsidRPr="009319BB">
        <w:rPr>
          <w:lang w:val="es-ES"/>
        </w:rPr>
      </w:r>
      <w:r w:rsidRPr="009319BB">
        <w:rPr>
          <w:lang w:val="es-ES"/>
        </w:rPr>
        <w:fldChar w:fldCharType="separate"/>
      </w:r>
      <w:r w:rsidRPr="009319BB">
        <w:rPr>
          <w:lang w:val="es-ES"/>
        </w:rPr>
        <w:t>5</w:t>
      </w:r>
      <w:r w:rsidRPr="009319BB">
        <w:rPr>
          <w:lang w:val="es-ES"/>
        </w:rPr>
        <w:fldChar w:fldCharType="end"/>
      </w:r>
    </w:p>
    <w:p w14:paraId="2BE0E192" w14:textId="19A41947"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rFonts w:eastAsia="MS Mincho"/>
          <w:lang w:val="es-ES"/>
        </w:rPr>
        <w:t xml:space="preserve">Informe sobre casos judiciales relacionados con cuestiones técnicas: </w:t>
      </w:r>
      <w:r w:rsidRPr="009319BB">
        <w:rPr>
          <w:rFonts w:eastAsia="MS Mincho"/>
          <w:i/>
          <w:iCs/>
          <w:lang w:val="es-ES"/>
        </w:rPr>
        <w:t xml:space="preserve">Allium cepa </w:t>
      </w:r>
      <w:r w:rsidRPr="009319BB">
        <w:rPr>
          <w:rFonts w:eastAsia="MS Mincho"/>
          <w:lang w:val="es-ES"/>
        </w:rPr>
        <w:t>L. «SK20»</w:t>
      </w:r>
      <w:r w:rsidRPr="009319BB">
        <w:rPr>
          <w:lang w:val="es-ES"/>
        </w:rPr>
        <w:tab/>
      </w:r>
      <w:r w:rsidRPr="009319BB">
        <w:rPr>
          <w:lang w:val="es-ES"/>
        </w:rPr>
        <w:fldChar w:fldCharType="begin"/>
      </w:r>
      <w:r w:rsidRPr="009319BB">
        <w:rPr>
          <w:lang w:val="es-ES"/>
        </w:rPr>
        <w:instrText xml:space="preserve"> PAGEREF _Toc208828860 \h </w:instrText>
      </w:r>
      <w:r w:rsidRPr="009319BB">
        <w:rPr>
          <w:lang w:val="es-ES"/>
        </w:rPr>
      </w:r>
      <w:r w:rsidRPr="009319BB">
        <w:rPr>
          <w:lang w:val="es-ES"/>
        </w:rPr>
        <w:fldChar w:fldCharType="separate"/>
      </w:r>
      <w:r w:rsidRPr="009319BB">
        <w:rPr>
          <w:lang w:val="es-ES"/>
        </w:rPr>
        <w:t>5</w:t>
      </w:r>
      <w:r w:rsidRPr="009319BB">
        <w:rPr>
          <w:lang w:val="es-ES"/>
        </w:rPr>
        <w:fldChar w:fldCharType="end"/>
      </w:r>
    </w:p>
    <w:p w14:paraId="6D3A6239" w14:textId="589786F0"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lang w:val="es-ES"/>
        </w:rPr>
        <w:t xml:space="preserve">Bases de datos de información: </w:t>
      </w:r>
      <w:r w:rsidRPr="009319BB">
        <w:rPr>
          <w:rFonts w:eastAsia="MS Mincho"/>
          <w:lang w:val="es-ES"/>
        </w:rPr>
        <w:t>El valor y la fiabilidad de los nombres botánicos en las plantas ornamentales</w:t>
      </w:r>
      <w:r w:rsidRPr="009319BB">
        <w:rPr>
          <w:lang w:val="es-ES"/>
        </w:rPr>
        <w:tab/>
      </w:r>
      <w:r w:rsidRPr="009319BB">
        <w:rPr>
          <w:lang w:val="es-ES"/>
        </w:rPr>
        <w:fldChar w:fldCharType="begin"/>
      </w:r>
      <w:r w:rsidRPr="009319BB">
        <w:rPr>
          <w:lang w:val="es-ES"/>
        </w:rPr>
        <w:instrText xml:space="preserve"> PAGEREF _Toc208828861 \h </w:instrText>
      </w:r>
      <w:r w:rsidRPr="009319BB">
        <w:rPr>
          <w:lang w:val="es-ES"/>
        </w:rPr>
      </w:r>
      <w:r w:rsidRPr="009319BB">
        <w:rPr>
          <w:lang w:val="es-ES"/>
        </w:rPr>
        <w:fldChar w:fldCharType="separate"/>
      </w:r>
      <w:r w:rsidRPr="009319BB">
        <w:rPr>
          <w:lang w:val="es-ES"/>
        </w:rPr>
        <w:t>5</w:t>
      </w:r>
      <w:r w:rsidRPr="009319BB">
        <w:rPr>
          <w:lang w:val="es-ES"/>
        </w:rPr>
        <w:fldChar w:fldCharType="end"/>
      </w:r>
    </w:p>
    <w:p w14:paraId="73D709C8" w14:textId="20A4ED81"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rFonts w:eastAsiaTheme="minorEastAsia"/>
          <w:lang w:val="es-ES"/>
        </w:rPr>
        <w:t>Software y métodos de análisis estadístico para el examen DHE</w:t>
      </w:r>
      <w:r w:rsidRPr="009319BB">
        <w:rPr>
          <w:lang w:val="es-ES"/>
        </w:rPr>
        <w:tab/>
      </w:r>
      <w:r w:rsidRPr="009319BB">
        <w:rPr>
          <w:lang w:val="es-ES"/>
        </w:rPr>
        <w:fldChar w:fldCharType="begin"/>
      </w:r>
      <w:r w:rsidRPr="009319BB">
        <w:rPr>
          <w:lang w:val="es-ES"/>
        </w:rPr>
        <w:instrText xml:space="preserve"> PAGEREF _Toc208828862 \h </w:instrText>
      </w:r>
      <w:r w:rsidRPr="009319BB">
        <w:rPr>
          <w:lang w:val="es-ES"/>
        </w:rPr>
      </w:r>
      <w:r w:rsidRPr="009319BB">
        <w:rPr>
          <w:lang w:val="es-ES"/>
        </w:rPr>
        <w:fldChar w:fldCharType="separate"/>
      </w:r>
      <w:r w:rsidRPr="009319BB">
        <w:rPr>
          <w:lang w:val="es-ES"/>
        </w:rPr>
        <w:t>6</w:t>
      </w:r>
      <w:r w:rsidRPr="009319BB">
        <w:rPr>
          <w:lang w:val="es-ES"/>
        </w:rPr>
        <w:fldChar w:fldCharType="end"/>
      </w:r>
    </w:p>
    <w:p w14:paraId="1B9F3F36" w14:textId="6F806B79"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rFonts w:eastAsiaTheme="minorEastAsia"/>
          <w:lang w:val="es-ES"/>
        </w:rPr>
        <w:t xml:space="preserve">Desarrollo de una plataforma de big </w:t>
      </w:r>
      <w:r w:rsidRPr="009319BB">
        <w:rPr>
          <w:lang w:val="es-ES"/>
        </w:rPr>
        <w:tab/>
      </w:r>
      <w:r w:rsidRPr="009319BB">
        <w:rPr>
          <w:lang w:val="es-ES"/>
        </w:rPr>
        <w:fldChar w:fldCharType="begin"/>
      </w:r>
      <w:r w:rsidRPr="009319BB">
        <w:rPr>
          <w:lang w:val="es-ES"/>
        </w:rPr>
        <w:instrText xml:space="preserve"> PAGEREF _Toc208828863 \h </w:instrText>
      </w:r>
      <w:r w:rsidRPr="009319BB">
        <w:rPr>
          <w:lang w:val="es-ES"/>
        </w:rPr>
      </w:r>
      <w:r w:rsidRPr="009319BB">
        <w:rPr>
          <w:lang w:val="es-ES"/>
        </w:rPr>
        <w:fldChar w:fldCharType="separate"/>
      </w:r>
      <w:r w:rsidRPr="009319BB">
        <w:rPr>
          <w:lang w:val="es-ES"/>
        </w:rPr>
        <w:t>6</w:t>
      </w:r>
      <w:r w:rsidRPr="009319BB">
        <w:rPr>
          <w:lang w:val="es-ES"/>
        </w:rPr>
        <w:fldChar w:fldCharType="end"/>
      </w:r>
    </w:p>
    <w:p w14:paraId="4748B057" w14:textId="408CBE52"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rFonts w:eastAsiaTheme="minorEastAsia"/>
          <w:lang w:val="es-ES"/>
        </w:rPr>
        <w:t>Criterios de clasificación de las características cuantitativas DHE de Anthurium mediante comparación múltiple</w:t>
      </w:r>
      <w:r w:rsidRPr="009319BB">
        <w:rPr>
          <w:lang w:val="es-ES"/>
        </w:rPr>
        <w:tab/>
      </w:r>
      <w:r w:rsidRPr="009319BB">
        <w:rPr>
          <w:lang w:val="es-ES"/>
        </w:rPr>
        <w:fldChar w:fldCharType="begin"/>
      </w:r>
      <w:r w:rsidRPr="009319BB">
        <w:rPr>
          <w:lang w:val="es-ES"/>
        </w:rPr>
        <w:instrText xml:space="preserve"> PAGEREF _Toc208828864 \h </w:instrText>
      </w:r>
      <w:r w:rsidRPr="009319BB">
        <w:rPr>
          <w:lang w:val="es-ES"/>
        </w:rPr>
      </w:r>
      <w:r w:rsidRPr="009319BB">
        <w:rPr>
          <w:lang w:val="es-ES"/>
        </w:rPr>
        <w:fldChar w:fldCharType="separate"/>
      </w:r>
      <w:r w:rsidRPr="009319BB">
        <w:rPr>
          <w:lang w:val="es-ES"/>
        </w:rPr>
        <w:t>6</w:t>
      </w:r>
      <w:r w:rsidRPr="009319BB">
        <w:rPr>
          <w:lang w:val="es-ES"/>
        </w:rPr>
        <w:fldChar w:fldCharType="end"/>
      </w:r>
    </w:p>
    <w:p w14:paraId="4AA1DC83" w14:textId="050F5062"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rFonts w:eastAsiaTheme="minorEastAsia"/>
          <w:lang w:val="es-ES"/>
        </w:rPr>
        <w:t>Actualización sobre el desarrollo de COYU 2025</w:t>
      </w:r>
      <w:r w:rsidRPr="009319BB">
        <w:rPr>
          <w:lang w:val="es-ES"/>
        </w:rPr>
        <w:tab/>
      </w:r>
      <w:r w:rsidRPr="009319BB">
        <w:rPr>
          <w:lang w:val="es-ES"/>
        </w:rPr>
        <w:fldChar w:fldCharType="begin"/>
      </w:r>
      <w:r w:rsidRPr="009319BB">
        <w:rPr>
          <w:lang w:val="es-ES"/>
        </w:rPr>
        <w:instrText xml:space="preserve"> PAGEREF _Toc208828865 \h </w:instrText>
      </w:r>
      <w:r w:rsidRPr="009319BB">
        <w:rPr>
          <w:lang w:val="es-ES"/>
        </w:rPr>
      </w:r>
      <w:r w:rsidRPr="009319BB">
        <w:rPr>
          <w:lang w:val="es-ES"/>
        </w:rPr>
        <w:fldChar w:fldCharType="separate"/>
      </w:r>
      <w:r w:rsidRPr="009319BB">
        <w:rPr>
          <w:lang w:val="es-ES"/>
        </w:rPr>
        <w:t>6</w:t>
      </w:r>
      <w:r w:rsidRPr="009319BB">
        <w:rPr>
          <w:lang w:val="es-ES"/>
        </w:rPr>
        <w:fldChar w:fldCharType="end"/>
      </w:r>
    </w:p>
    <w:p w14:paraId="3E955E70" w14:textId="7B6E9C13"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rFonts w:eastAsiaTheme="minorEastAsia"/>
          <w:lang w:val="es-ES"/>
        </w:rPr>
        <w:t>Fenotipado y análisis de imágenes</w:t>
      </w:r>
      <w:r w:rsidRPr="009319BB">
        <w:rPr>
          <w:lang w:val="es-ES"/>
        </w:rPr>
        <w:tab/>
      </w:r>
      <w:r w:rsidRPr="009319BB">
        <w:rPr>
          <w:lang w:val="es-ES"/>
        </w:rPr>
        <w:fldChar w:fldCharType="begin"/>
      </w:r>
      <w:r w:rsidRPr="009319BB">
        <w:rPr>
          <w:lang w:val="es-ES"/>
        </w:rPr>
        <w:instrText xml:space="preserve"> PAGEREF _Toc208828866 \h </w:instrText>
      </w:r>
      <w:r w:rsidRPr="009319BB">
        <w:rPr>
          <w:lang w:val="es-ES"/>
        </w:rPr>
      </w:r>
      <w:r w:rsidRPr="009319BB">
        <w:rPr>
          <w:lang w:val="es-ES"/>
        </w:rPr>
        <w:fldChar w:fldCharType="separate"/>
      </w:r>
      <w:r w:rsidRPr="009319BB">
        <w:rPr>
          <w:lang w:val="es-ES"/>
        </w:rPr>
        <w:t>6</w:t>
      </w:r>
      <w:r w:rsidRPr="009319BB">
        <w:rPr>
          <w:lang w:val="es-ES"/>
        </w:rPr>
        <w:fldChar w:fldCharType="end"/>
      </w:r>
    </w:p>
    <w:p w14:paraId="0354C828" w14:textId="3DC01494"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rFonts w:eastAsiaTheme="minorEastAsia"/>
          <w:lang w:val="es-ES"/>
        </w:rPr>
        <w:t>Una nueva perspectiva sobre el examen DUS del color del fruto de la berenjena basada en parámetros de color de laboratorio</w:t>
      </w:r>
      <w:r w:rsidRPr="009319BB">
        <w:rPr>
          <w:lang w:val="es-ES"/>
        </w:rPr>
        <w:tab/>
      </w:r>
      <w:r w:rsidRPr="009319BB">
        <w:rPr>
          <w:lang w:val="es-ES"/>
        </w:rPr>
        <w:fldChar w:fldCharType="begin"/>
      </w:r>
      <w:r w:rsidRPr="009319BB">
        <w:rPr>
          <w:lang w:val="es-ES"/>
        </w:rPr>
        <w:instrText xml:space="preserve"> PAGEREF _Toc208828867 \h </w:instrText>
      </w:r>
      <w:r w:rsidRPr="009319BB">
        <w:rPr>
          <w:lang w:val="es-ES"/>
        </w:rPr>
      </w:r>
      <w:r w:rsidRPr="009319BB">
        <w:rPr>
          <w:lang w:val="es-ES"/>
        </w:rPr>
        <w:fldChar w:fldCharType="separate"/>
      </w:r>
      <w:r w:rsidRPr="009319BB">
        <w:rPr>
          <w:lang w:val="es-ES"/>
        </w:rPr>
        <w:t>6</w:t>
      </w:r>
      <w:r w:rsidRPr="009319BB">
        <w:rPr>
          <w:lang w:val="es-ES"/>
        </w:rPr>
        <w:fldChar w:fldCharType="end"/>
      </w:r>
    </w:p>
    <w:p w14:paraId="668F555C" w14:textId="5F0E3B67" w:rsidR="005639BE" w:rsidRPr="009319BB" w:rsidRDefault="005639BE">
      <w:pPr>
        <w:pStyle w:val="TOC3"/>
        <w:rPr>
          <w:rFonts w:asciiTheme="minorHAnsi" w:eastAsiaTheme="minorEastAsia" w:hAnsiTheme="minorHAnsi" w:cstheme="minorBidi"/>
          <w:i w:val="0"/>
          <w:kern w:val="2"/>
          <w:sz w:val="24"/>
          <w:szCs w:val="24"/>
          <w:lang w:val="es-ES"/>
          <w14:ligatures w14:val="standardContextual"/>
        </w:rPr>
      </w:pPr>
      <w:r w:rsidRPr="009319BB">
        <w:rPr>
          <w:rFonts w:eastAsiaTheme="minorEastAsia"/>
          <w:lang w:val="es-ES"/>
        </w:rPr>
        <w:t>Dispositivo de recopilación de datos de longitud pro</w:t>
      </w:r>
      <w:r w:rsidRPr="009319BB">
        <w:rPr>
          <w:lang w:val="es-ES"/>
        </w:rPr>
        <w:tab/>
      </w:r>
      <w:r w:rsidRPr="009319BB">
        <w:rPr>
          <w:lang w:val="es-ES"/>
        </w:rPr>
        <w:fldChar w:fldCharType="begin"/>
      </w:r>
      <w:r w:rsidRPr="009319BB">
        <w:rPr>
          <w:lang w:val="es-ES"/>
        </w:rPr>
        <w:instrText xml:space="preserve"> PAGEREF _Toc208828868 \h </w:instrText>
      </w:r>
      <w:r w:rsidRPr="009319BB">
        <w:rPr>
          <w:lang w:val="es-ES"/>
        </w:rPr>
      </w:r>
      <w:r w:rsidRPr="009319BB">
        <w:rPr>
          <w:lang w:val="es-ES"/>
        </w:rPr>
        <w:fldChar w:fldCharType="separate"/>
      </w:r>
      <w:r w:rsidRPr="009319BB">
        <w:rPr>
          <w:lang w:val="es-ES"/>
        </w:rPr>
        <w:t>6</w:t>
      </w:r>
      <w:r w:rsidRPr="009319BB">
        <w:rPr>
          <w:lang w:val="es-ES"/>
        </w:rPr>
        <w:fldChar w:fldCharType="end"/>
      </w:r>
    </w:p>
    <w:p w14:paraId="23CA986C" w14:textId="538F03E0" w:rsidR="005639BE" w:rsidRPr="009319BB" w:rsidRDefault="005639BE">
      <w:pPr>
        <w:pStyle w:val="TOC2"/>
        <w:rPr>
          <w:rFonts w:asciiTheme="minorHAnsi" w:eastAsiaTheme="minorEastAsia" w:hAnsiTheme="minorHAnsi" w:cstheme="minorBidi"/>
          <w:kern w:val="2"/>
          <w:sz w:val="24"/>
          <w:szCs w:val="24"/>
          <w:lang w:val="es-ES"/>
          <w14:ligatures w14:val="standardContextual"/>
        </w:rPr>
      </w:pPr>
      <w:r w:rsidRPr="009319BB">
        <w:rPr>
          <w:lang w:val="es-ES"/>
        </w:rPr>
        <w:t>Colecciones de variedades: Colección de variedades de cultivos frutales en Ucrania</w:t>
      </w:r>
      <w:r w:rsidRPr="009319BB">
        <w:rPr>
          <w:lang w:val="es-ES"/>
        </w:rPr>
        <w:tab/>
      </w:r>
      <w:r w:rsidRPr="009319BB">
        <w:rPr>
          <w:lang w:val="es-ES"/>
        </w:rPr>
        <w:fldChar w:fldCharType="begin"/>
      </w:r>
      <w:r w:rsidRPr="009319BB">
        <w:rPr>
          <w:lang w:val="es-ES"/>
        </w:rPr>
        <w:instrText xml:space="preserve"> PAGEREF _Toc208828869 \h </w:instrText>
      </w:r>
      <w:r w:rsidRPr="009319BB">
        <w:rPr>
          <w:lang w:val="es-ES"/>
        </w:rPr>
      </w:r>
      <w:r w:rsidRPr="009319BB">
        <w:rPr>
          <w:lang w:val="es-ES"/>
        </w:rPr>
        <w:fldChar w:fldCharType="separate"/>
      </w:r>
      <w:r w:rsidRPr="009319BB">
        <w:rPr>
          <w:lang w:val="es-ES"/>
        </w:rPr>
        <w:t>7</w:t>
      </w:r>
      <w:r w:rsidRPr="009319BB">
        <w:rPr>
          <w:lang w:val="es-ES"/>
        </w:rPr>
        <w:fldChar w:fldCharType="end"/>
      </w:r>
    </w:p>
    <w:p w14:paraId="72BEA969" w14:textId="2E46243A" w:rsidR="00E84163" w:rsidRPr="009319BB" w:rsidRDefault="00F21482" w:rsidP="005639BE">
      <w:pPr>
        <w:rPr>
          <w:rFonts w:ascii="Calibri" w:hAnsi="Calibri"/>
          <w:lang w:val="es-ES"/>
        </w:rPr>
      </w:pPr>
      <w:r w:rsidRPr="009319BB">
        <w:rPr>
          <w:rFonts w:eastAsia="MS Mincho" w:cs="Arial"/>
          <w:caps/>
          <w:lang w:val="es-ES" w:eastAsia="ja-JP"/>
        </w:rPr>
        <w:fldChar w:fldCharType="end"/>
      </w:r>
      <w:r w:rsidR="00E84163" w:rsidRPr="009319BB">
        <w:rPr>
          <w:caps/>
          <w:lang w:val="es-ES"/>
        </w:rPr>
        <w:fldChar w:fldCharType="begin"/>
      </w:r>
      <w:r w:rsidR="00E84163" w:rsidRPr="009319BB">
        <w:rPr>
          <w:lang w:val="es-ES"/>
        </w:rPr>
        <w:instrText xml:space="preserve"> TOC \o "1-3" \h \z \u </w:instrText>
      </w:r>
      <w:r w:rsidR="00E84163" w:rsidRPr="009319BB">
        <w:rPr>
          <w:caps/>
          <w:lang w:val="es-ES"/>
        </w:rPr>
        <w:fldChar w:fldCharType="separate"/>
      </w:r>
    </w:p>
    <w:p w14:paraId="17760AA5" w14:textId="77777777" w:rsidR="00E84163" w:rsidRPr="009319BB" w:rsidRDefault="00E84163" w:rsidP="005639BE">
      <w:pPr>
        <w:rPr>
          <w:rFonts w:cs="Arial"/>
          <w:lang w:val="es-ES"/>
        </w:rPr>
      </w:pPr>
      <w:r w:rsidRPr="009319BB">
        <w:rPr>
          <w:lang w:val="es-ES"/>
        </w:rPr>
        <w:fldChar w:fldCharType="end"/>
      </w:r>
    </w:p>
    <w:p w14:paraId="26832C31" w14:textId="16F2A34F" w:rsidR="00E84163" w:rsidRPr="009319BB" w:rsidRDefault="00E84163" w:rsidP="005639BE">
      <w:pPr>
        <w:pStyle w:val="Heading1"/>
        <w:rPr>
          <w:rFonts w:eastAsia="PMingLiU"/>
          <w:szCs w:val="24"/>
          <w:lang w:val="es-ES"/>
        </w:rPr>
      </w:pPr>
      <w:bookmarkStart w:id="2" w:name="_Toc441497828"/>
      <w:bookmarkStart w:id="3" w:name="_Toc527377892"/>
      <w:bookmarkStart w:id="4" w:name="_Toc20505078"/>
      <w:bookmarkStart w:id="5" w:name="_Toc208828850"/>
      <w:r w:rsidRPr="009319BB">
        <w:rPr>
          <w:lang w:val="es-ES"/>
        </w:rPr>
        <w:t>Asuntos para información y para una posible decisión del Comité Técnico (T</w:t>
      </w:r>
      <w:r w:rsidR="003F29D3">
        <w:rPr>
          <w:lang w:val="es-ES"/>
        </w:rPr>
        <w:t>C</w:t>
      </w:r>
      <w:r w:rsidRPr="009319BB">
        <w:rPr>
          <w:lang w:val="es-ES"/>
        </w:rPr>
        <w:t>)</w:t>
      </w:r>
      <w:bookmarkEnd w:id="2"/>
      <w:bookmarkEnd w:id="3"/>
      <w:bookmarkEnd w:id="4"/>
      <w:bookmarkEnd w:id="5"/>
    </w:p>
    <w:p w14:paraId="72CC17E7" w14:textId="77777777" w:rsidR="006F0A99" w:rsidRPr="009319BB" w:rsidRDefault="006F0A99" w:rsidP="006F0A99">
      <w:pPr>
        <w:rPr>
          <w:lang w:val="es-ES"/>
        </w:rPr>
      </w:pPr>
    </w:p>
    <w:p w14:paraId="31E5F03A" w14:textId="25858B00" w:rsidR="006F0A99" w:rsidRPr="009319BB" w:rsidRDefault="004A4BD7" w:rsidP="005639BE">
      <w:pPr>
        <w:pStyle w:val="Heading2"/>
        <w:rPr>
          <w:rFonts w:eastAsia="MS Mincho"/>
          <w:lang w:val="es-ES"/>
        </w:rPr>
      </w:pPr>
      <w:bookmarkStart w:id="6" w:name="_Toc208828851"/>
      <w:r w:rsidRPr="009319BB">
        <w:rPr>
          <w:rFonts w:eastAsia="MS Mincho"/>
          <w:lang w:val="es-ES"/>
        </w:rPr>
        <w:t xml:space="preserve">Propuesta de encuesta: obstáculos para la aceptación de informes de examen: características adicionales no incluidas en las directrices de examen </w:t>
      </w:r>
      <w:bookmarkEnd w:id="6"/>
    </w:p>
    <w:p w14:paraId="72F2CC49" w14:textId="77777777" w:rsidR="004A4BD7" w:rsidRPr="009319BB" w:rsidRDefault="004A4BD7" w:rsidP="006F0A99">
      <w:pPr>
        <w:rPr>
          <w:rFonts w:eastAsia="MS Mincho"/>
          <w:lang w:val="es-ES"/>
        </w:rPr>
      </w:pPr>
    </w:p>
    <w:p w14:paraId="7D02C1B8" w14:textId="1FCB200D" w:rsidR="00D50DFB" w:rsidRPr="009319BB" w:rsidRDefault="00D50DFB" w:rsidP="00D50DFB">
      <w:pPr>
        <w:pStyle w:val="Heading3"/>
        <w:rPr>
          <w:rFonts w:eastAsia="MS Mincho"/>
          <w:lang w:val="es-ES"/>
        </w:rPr>
      </w:pPr>
      <w:bookmarkStart w:id="7" w:name="_Toc208828852"/>
      <w:r w:rsidRPr="009319BB">
        <w:rPr>
          <w:rFonts w:eastAsia="MS Mincho"/>
          <w:lang w:val="es-ES"/>
        </w:rPr>
        <w:t>Antecedentes</w:t>
      </w:r>
      <w:bookmarkEnd w:id="7"/>
    </w:p>
    <w:p w14:paraId="07FEBE2E" w14:textId="77777777" w:rsidR="00D50DFB" w:rsidRPr="009319BB" w:rsidRDefault="00D50DFB" w:rsidP="00D50DFB">
      <w:pPr>
        <w:rPr>
          <w:rFonts w:eastAsia="MS Mincho"/>
          <w:lang w:val="es-ES"/>
        </w:rPr>
      </w:pPr>
    </w:p>
    <w:p w14:paraId="5D3DB297" w14:textId="13D1EC7A" w:rsidR="006F0A99" w:rsidRPr="009319BB" w:rsidRDefault="0062210A" w:rsidP="006F0A99">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r>
      <w:r w:rsidR="006F0A99" w:rsidRPr="009319BB">
        <w:rPr>
          <w:lang w:val="es-ES"/>
        </w:rPr>
        <w:t>El Grupo de Trabajo sobre Variedades de Tomate (TWV)</w:t>
      </w:r>
      <w:r w:rsidR="0018066F" w:rsidRPr="009319BB">
        <w:rPr>
          <w:rStyle w:val="FootnoteReference"/>
          <w:lang w:val="es-ES"/>
        </w:rPr>
        <w:footnoteReference w:id="7"/>
      </w:r>
      <w:r w:rsidR="006F0A99" w:rsidRPr="009319BB">
        <w:rPr>
          <w:lang w:val="es-ES"/>
        </w:rPr>
        <w:t xml:space="preserve"> recibió una presentación titulada «Revisión de las características de resistencia a las enfermedades en la UE», a cargo de un experto de la Unión</w:t>
      </w:r>
      <w:r w:rsidR="00CB3CEC">
        <w:rPr>
          <w:lang w:val="es-ES"/>
        </w:rPr>
        <w:t> </w:t>
      </w:r>
      <w:r w:rsidR="006F0A99" w:rsidRPr="009319BB">
        <w:rPr>
          <w:lang w:val="es-ES"/>
        </w:rPr>
        <w:t xml:space="preserve">Europea.  En el documento </w:t>
      </w:r>
      <w:hyperlink r:id="rId9" w:history="1">
        <w:r w:rsidR="006F0A99" w:rsidRPr="009319BB">
          <w:rPr>
            <w:rStyle w:val="Hyperlink"/>
            <w:rFonts w:eastAsia="MS Mincho"/>
            <w:lang w:val="es-ES"/>
          </w:rPr>
          <w:t>TWV/59/10</w:t>
        </w:r>
      </w:hyperlink>
      <w:r w:rsidR="006F0A99" w:rsidRPr="009319BB">
        <w:rPr>
          <w:lang w:val="es-ES"/>
        </w:rPr>
        <w:t xml:space="preserve"> figura una copia de la presentación</w:t>
      </w:r>
      <w:r w:rsidR="006F0A99" w:rsidRPr="009319BB">
        <w:rPr>
          <w:rFonts w:eastAsia="MS Mincho"/>
          <w:lang w:val="es-ES"/>
        </w:rPr>
        <w:t>.</w:t>
      </w:r>
    </w:p>
    <w:p w14:paraId="22F93CAC" w14:textId="77777777" w:rsidR="006F0A99" w:rsidRPr="009319BB" w:rsidRDefault="006F0A99" w:rsidP="006F0A99">
      <w:pPr>
        <w:rPr>
          <w:lang w:val="es-ES"/>
        </w:rPr>
      </w:pPr>
    </w:p>
    <w:p w14:paraId="4E9968F3" w14:textId="19E9EFD4" w:rsidR="006F0A99" w:rsidRPr="009319BB" w:rsidRDefault="0062210A" w:rsidP="004915BA">
      <w:pPr>
        <w:keepLines/>
        <w:rPr>
          <w:lang w:val="es-ES"/>
        </w:rPr>
      </w:pPr>
      <w:r w:rsidRPr="009319BB">
        <w:rPr>
          <w:lang w:val="es-ES"/>
        </w:rPr>
        <w:lastRenderedPageBreak/>
        <w:fldChar w:fldCharType="begin"/>
      </w:r>
      <w:r w:rsidRPr="009319BB">
        <w:rPr>
          <w:lang w:val="es-ES"/>
        </w:rPr>
        <w:instrText xml:space="preserve"> AUTONUM  </w:instrText>
      </w:r>
      <w:r w:rsidRPr="009319BB">
        <w:rPr>
          <w:lang w:val="es-ES"/>
        </w:rPr>
        <w:fldChar w:fldCharType="end"/>
      </w:r>
      <w:r w:rsidRPr="009319BB">
        <w:rPr>
          <w:lang w:val="es-ES"/>
        </w:rPr>
        <w:tab/>
      </w:r>
      <w:r w:rsidR="006F0A99" w:rsidRPr="009319BB">
        <w:rPr>
          <w:lang w:val="es-ES"/>
        </w:rPr>
        <w:t>El TWV tomó nota de la invitación de la Unión Europea a los miembros de la UPOV para que se unieran a los grupos de trabajo regionales establecidos para debatir las características de resistencia a las enfermedades en la judía verde, el pepino, el melón, el pimiento, el tomate y los portainjertos de tomate. El TWV señaló que los expertos interesados debían ponerse en contacto con la Oficina Comunitaria de Variedades Vegetales de la Unión Europea (OCVV) para obtener más información.</w:t>
      </w:r>
    </w:p>
    <w:p w14:paraId="6E5C23A4" w14:textId="77777777" w:rsidR="006F0A99" w:rsidRPr="009319BB" w:rsidRDefault="006F0A99" w:rsidP="006F0A99">
      <w:pPr>
        <w:rPr>
          <w:lang w:val="es-ES"/>
        </w:rPr>
      </w:pPr>
    </w:p>
    <w:p w14:paraId="5FD043F6" w14:textId="77777777" w:rsidR="006F0A99" w:rsidRPr="009319BB" w:rsidRDefault="006F0A99" w:rsidP="006F0A99">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TWV tomó nota de las observaciones formuladas por el representante de la International Seed Federation (ISF) en el sentido de que los caracteres utilizados a nivel nacional o regional y no incluidos en las directrices de examen de la UPOV (“caracteres adicionales”) podrían constituir un obstáculo para la aceptación de informes de examen, aunque no se había informado de ningún caso de este tipo.</w:t>
      </w:r>
    </w:p>
    <w:p w14:paraId="53CC1819" w14:textId="77777777" w:rsidR="006F0A99" w:rsidRPr="009319BB" w:rsidRDefault="006F0A99" w:rsidP="006F0A99">
      <w:pPr>
        <w:rPr>
          <w:lang w:val="es-ES"/>
        </w:rPr>
      </w:pPr>
    </w:p>
    <w:p w14:paraId="57C547DB" w14:textId="2566AA77" w:rsidR="006F0A99" w:rsidRPr="009319BB" w:rsidRDefault="006F0A99" w:rsidP="006F0A99">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TWV tomó nota del informe de Alemania en el que se indicaba que, a la hora de decidir la aceptación de informes de examen, se tenían en cuenta, caso por caso, los caracteres adicionales no incluidos en las directrices de examen, utilizando criterios similares para todos los caracteres, incluida la resistencia a las enfermedades.</w:t>
      </w:r>
    </w:p>
    <w:p w14:paraId="509C4B50" w14:textId="77777777" w:rsidR="00E566A0" w:rsidRPr="009319BB" w:rsidRDefault="00E566A0" w:rsidP="006F0A99">
      <w:pPr>
        <w:rPr>
          <w:lang w:val="es-ES"/>
        </w:rPr>
      </w:pPr>
    </w:p>
    <w:p w14:paraId="159BCEEA" w14:textId="0B262A31" w:rsidR="004A4BD7" w:rsidRPr="009319BB" w:rsidRDefault="00E566A0" w:rsidP="00E566A0">
      <w:pPr>
        <w:pStyle w:val="Heading3"/>
        <w:rPr>
          <w:lang w:val="es-ES"/>
        </w:rPr>
      </w:pPr>
      <w:bookmarkStart w:id="8" w:name="_Toc208828853"/>
      <w:r w:rsidRPr="009319BB">
        <w:rPr>
          <w:lang w:val="es-ES"/>
        </w:rPr>
        <w:t>Propuesta</w:t>
      </w:r>
      <w:bookmarkEnd w:id="8"/>
    </w:p>
    <w:p w14:paraId="45BC9909" w14:textId="77777777" w:rsidR="004A4BD7" w:rsidRPr="009319BB" w:rsidRDefault="004A4BD7" w:rsidP="006F0A99">
      <w:pPr>
        <w:rPr>
          <w:lang w:val="es-ES"/>
        </w:rPr>
      </w:pPr>
    </w:p>
    <w:p w14:paraId="494B4566" w14:textId="77777777" w:rsidR="006F0A99" w:rsidRPr="009319BB" w:rsidRDefault="006F0A99" w:rsidP="006F0A99">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TWV acordó proponer una encuesta entre los miembros de la UPOV sobre si las características adicionales no incluidas en las directrices de examen de la UPOV podrían constituir un obstáculo para la aceptación de informes de examen, por ejemplo, las características de resistencia a las enfermedades, en particular cuando constituían la base de la distinción con respecto a la variedad más similar.</w:t>
      </w:r>
    </w:p>
    <w:p w14:paraId="67B247AC" w14:textId="77777777" w:rsidR="006F0A99" w:rsidRPr="009319BB" w:rsidRDefault="006F0A99" w:rsidP="006F0A99">
      <w:pPr>
        <w:rPr>
          <w:lang w:val="es-ES"/>
        </w:rPr>
      </w:pPr>
    </w:p>
    <w:p w14:paraId="3D7487B9" w14:textId="08B535BD" w:rsidR="006F0A99" w:rsidRPr="009319BB" w:rsidRDefault="0062210A" w:rsidP="006F0A99">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r>
      <w:r w:rsidR="006F0A99" w:rsidRPr="009319BB">
        <w:rPr>
          <w:lang w:val="es-ES"/>
        </w:rPr>
        <w:t xml:space="preserve">El TWV acordó que la encuesta debía proporcionar el contexto de los debates, incluyendo el hecho de que no todos los miembros de la UPOV evaluaban las características de resistencia a las enfermedades en las directrices de examen de la UPOV.  El TWV acordó que la encuesta debía incluir preguntas como las siguientes: </w:t>
      </w:r>
    </w:p>
    <w:p w14:paraId="3A878FCF" w14:textId="77777777" w:rsidR="006F0A99" w:rsidRPr="009319BB" w:rsidRDefault="006F0A99" w:rsidP="006F0A99">
      <w:pPr>
        <w:rPr>
          <w:lang w:val="es-ES"/>
        </w:rPr>
      </w:pPr>
    </w:p>
    <w:p w14:paraId="7DA4DC9A" w14:textId="77777777" w:rsidR="006F0A99" w:rsidRPr="009319BB" w:rsidRDefault="006F0A99" w:rsidP="006F0A99">
      <w:pPr>
        <w:pStyle w:val="ListParagraph"/>
        <w:numPr>
          <w:ilvl w:val="0"/>
          <w:numId w:val="2"/>
        </w:numPr>
        <w:rPr>
          <w:lang w:val="es-ES"/>
        </w:rPr>
      </w:pPr>
      <w:r w:rsidRPr="009319BB">
        <w:rPr>
          <w:lang w:val="es-ES"/>
        </w:rPr>
        <w:t>Si los miembros de la UPOV aceptarían informes de examen en caso de que la distinción se hubiera establecido sobre la base de un carácter adicional no incluido en las directrices de examen de la UPOV;</w:t>
      </w:r>
    </w:p>
    <w:p w14:paraId="38AFE912" w14:textId="77777777" w:rsidR="006F0A99" w:rsidRPr="009319BB" w:rsidRDefault="006F0A99" w:rsidP="006F0A99">
      <w:pPr>
        <w:rPr>
          <w:lang w:val="es-ES"/>
        </w:rPr>
      </w:pPr>
    </w:p>
    <w:p w14:paraId="4F8D2B62" w14:textId="77777777" w:rsidR="006F0A99" w:rsidRPr="009319BB" w:rsidRDefault="006F0A99" w:rsidP="006F0A99">
      <w:pPr>
        <w:pStyle w:val="ListParagraph"/>
        <w:numPr>
          <w:ilvl w:val="0"/>
          <w:numId w:val="2"/>
        </w:numPr>
        <w:rPr>
          <w:lang w:val="es-ES"/>
        </w:rPr>
      </w:pPr>
      <w:r w:rsidRPr="009319BB">
        <w:rPr>
          <w:lang w:val="es-ES"/>
        </w:rPr>
        <w:t>Si existía alguna diferencia en las decisiones de aceptar los informes de examen en función de si el carácter adicional era un carácter de resistencia a las enfermedades.</w:t>
      </w:r>
    </w:p>
    <w:p w14:paraId="7DB3B67E" w14:textId="77777777" w:rsidR="00364964" w:rsidRPr="009319BB" w:rsidRDefault="00364964" w:rsidP="00364964">
      <w:pPr>
        <w:rPr>
          <w:lang w:val="es-ES"/>
        </w:rPr>
      </w:pPr>
    </w:p>
    <w:p w14:paraId="726D0511" w14:textId="65FC22BB" w:rsidR="00364964" w:rsidRPr="009319BB" w:rsidRDefault="00364964" w:rsidP="00364964">
      <w:pPr>
        <w:keepNext/>
        <w:keepLines/>
        <w:tabs>
          <w:tab w:val="left" w:pos="5387"/>
        </w:tabs>
        <w:ind w:left="4536"/>
        <w:rPr>
          <w:i/>
          <w:lang w:val="es-ES" w:eastAsia="fr-FR"/>
        </w:rPr>
      </w:pPr>
      <w:r w:rsidRPr="009319BB">
        <w:rPr>
          <w:i/>
          <w:lang w:val="es-ES"/>
        </w:rPr>
        <w:fldChar w:fldCharType="begin"/>
      </w:r>
      <w:r w:rsidRPr="009319BB">
        <w:rPr>
          <w:i/>
          <w:lang w:val="es-ES"/>
        </w:rPr>
        <w:instrText xml:space="preserve"> AUTONUM  </w:instrText>
      </w:r>
      <w:r w:rsidRPr="009319BB">
        <w:rPr>
          <w:i/>
          <w:lang w:val="es-ES"/>
        </w:rPr>
        <w:fldChar w:fldCharType="end"/>
      </w:r>
      <w:r w:rsidRPr="009319BB">
        <w:rPr>
          <w:i/>
          <w:lang w:val="es-ES"/>
        </w:rPr>
        <w:tab/>
        <w:t xml:space="preserve">Se invita al TC a examinar la </w:t>
      </w:r>
      <w:r w:rsidR="00CF497D" w:rsidRPr="009319BB">
        <w:rPr>
          <w:i/>
          <w:lang w:val="es-ES"/>
        </w:rPr>
        <w:t xml:space="preserve">propuesta </w:t>
      </w:r>
      <w:r w:rsidRPr="009319BB">
        <w:rPr>
          <w:i/>
          <w:lang w:val="es-ES"/>
        </w:rPr>
        <w:t xml:space="preserve">del TWV de </w:t>
      </w:r>
      <w:r w:rsidR="00CF497D" w:rsidRPr="009319BB">
        <w:rPr>
          <w:i/>
          <w:lang w:val="es-ES"/>
        </w:rPr>
        <w:t>realizar una encuesta entre los miembros de la UPOV sobre si las características adicionales no incluidas en las directrices de examen podrían constituir un obstáculo para la adopción de informes de examen</w:t>
      </w:r>
      <w:r w:rsidRPr="009319BB">
        <w:rPr>
          <w:i/>
          <w:lang w:val="es-ES" w:eastAsia="fr-FR"/>
        </w:rPr>
        <w:t xml:space="preserve">, tal como se expone en </w:t>
      </w:r>
      <w:r w:rsidR="00CF497D" w:rsidRPr="009319BB">
        <w:rPr>
          <w:i/>
          <w:lang w:val="es-ES" w:eastAsia="fr-FR"/>
        </w:rPr>
        <w:t xml:space="preserve">los párrafos 10 y 11 </w:t>
      </w:r>
      <w:r w:rsidRPr="009319BB">
        <w:rPr>
          <w:i/>
          <w:lang w:val="es-ES" w:eastAsia="fr-FR"/>
        </w:rPr>
        <w:t>del presente documento.</w:t>
      </w:r>
    </w:p>
    <w:p w14:paraId="4EA21AAC" w14:textId="77777777" w:rsidR="00364964" w:rsidRPr="009319BB" w:rsidRDefault="00364964" w:rsidP="00364964">
      <w:pPr>
        <w:rPr>
          <w:lang w:val="es-ES"/>
        </w:rPr>
      </w:pPr>
    </w:p>
    <w:p w14:paraId="471812AA" w14:textId="77777777" w:rsidR="00AC0937" w:rsidRPr="009319BB" w:rsidRDefault="00AC0937" w:rsidP="00AC0937">
      <w:pPr>
        <w:rPr>
          <w:lang w:val="es-ES"/>
        </w:rPr>
      </w:pPr>
    </w:p>
    <w:p w14:paraId="0190D835" w14:textId="77777777" w:rsidR="00AC0937" w:rsidRPr="009319BB" w:rsidRDefault="00AC0937" w:rsidP="005639BE">
      <w:pPr>
        <w:pStyle w:val="Heading1"/>
        <w:rPr>
          <w:lang w:val="es-ES"/>
        </w:rPr>
      </w:pPr>
      <w:bookmarkStart w:id="9" w:name="_Toc441497830"/>
      <w:bookmarkStart w:id="10" w:name="_Toc527377899"/>
      <w:bookmarkStart w:id="11" w:name="_Toc20505079"/>
      <w:bookmarkStart w:id="12" w:name="_Toc141461052"/>
      <w:bookmarkStart w:id="13" w:name="_Toc141461212"/>
      <w:bookmarkStart w:id="14" w:name="_Toc208828854"/>
      <w:r w:rsidRPr="009319BB">
        <w:rPr>
          <w:lang w:val="es-ES"/>
        </w:rPr>
        <w:t>Cuestiones para información</w:t>
      </w:r>
      <w:bookmarkEnd w:id="9"/>
      <w:bookmarkEnd w:id="10"/>
      <w:bookmarkEnd w:id="11"/>
      <w:bookmarkEnd w:id="12"/>
      <w:bookmarkEnd w:id="13"/>
      <w:bookmarkEnd w:id="14"/>
    </w:p>
    <w:p w14:paraId="4D0B51CF" w14:textId="77777777" w:rsidR="00AC0937" w:rsidRPr="009319BB" w:rsidRDefault="00AC0937" w:rsidP="003602B2">
      <w:pPr>
        <w:rPr>
          <w:rFonts w:eastAsia="MS Mincho"/>
          <w:lang w:val="es-ES"/>
        </w:rPr>
      </w:pPr>
    </w:p>
    <w:p w14:paraId="32AF6066" w14:textId="0D11FC01" w:rsidR="00D97966" w:rsidRPr="009319BB" w:rsidRDefault="00D97966" w:rsidP="00365B2A">
      <w:pPr>
        <w:pStyle w:val="Heading2"/>
        <w:rPr>
          <w:rFonts w:eastAsia="MS Mincho"/>
          <w:lang w:val="es-ES"/>
        </w:rPr>
      </w:pPr>
      <w:bookmarkStart w:id="15" w:name="_Toc208828855"/>
      <w:r w:rsidRPr="009319BB">
        <w:rPr>
          <w:rFonts w:eastAsia="MS Mincho"/>
          <w:lang w:val="es-ES"/>
        </w:rPr>
        <w:t xml:space="preserve">Características de resistencia a las enfermedades </w:t>
      </w:r>
      <w:bookmarkEnd w:id="15"/>
    </w:p>
    <w:p w14:paraId="4489526F" w14:textId="77777777" w:rsidR="00D97966" w:rsidRPr="009319BB" w:rsidRDefault="00D97966" w:rsidP="003602B2">
      <w:pPr>
        <w:rPr>
          <w:rFonts w:eastAsia="MS Mincho"/>
          <w:lang w:val="es-ES"/>
        </w:rPr>
      </w:pPr>
    </w:p>
    <w:p w14:paraId="7E78D36F" w14:textId="77777777" w:rsidR="003602B2" w:rsidRPr="009319BB" w:rsidRDefault="003602B2" w:rsidP="00D97966">
      <w:pPr>
        <w:pStyle w:val="Heading3"/>
        <w:rPr>
          <w:rFonts w:eastAsia="MS Mincho"/>
          <w:lang w:val="es-ES"/>
        </w:rPr>
      </w:pPr>
      <w:bookmarkStart w:id="16" w:name="_Toc208828856"/>
      <w:r w:rsidRPr="009319BB">
        <w:rPr>
          <w:rFonts w:eastAsia="MS Mincho"/>
          <w:lang w:val="es-ES"/>
        </w:rPr>
        <w:t xml:space="preserve">Características de resistencia a las enfermedades en las directrices de examen </w:t>
      </w:r>
      <w:bookmarkEnd w:id="16"/>
    </w:p>
    <w:p w14:paraId="7C544481" w14:textId="77777777" w:rsidR="003602B2" w:rsidRPr="009319BB" w:rsidRDefault="003602B2" w:rsidP="003602B2">
      <w:pPr>
        <w:rPr>
          <w:rFonts w:eastAsia="MS Mincho"/>
          <w:lang w:val="es-ES"/>
        </w:rPr>
      </w:pPr>
    </w:p>
    <w:p w14:paraId="47D4FA61" w14:textId="77777777" w:rsidR="003602B2" w:rsidRPr="009319BB" w:rsidRDefault="003602B2" w:rsidP="003602B2">
      <w:pPr>
        <w:rPr>
          <w:rFonts w:eastAsia="MS Mincho"/>
          <w:lang w:val="es-ES"/>
        </w:rPr>
      </w:pPr>
      <w:r w:rsidRPr="009319BB">
        <w:rPr>
          <w:rFonts w:eastAsia="MS Mincho"/>
          <w:lang w:val="es-ES"/>
        </w:rPr>
        <w:fldChar w:fldCharType="begin"/>
      </w:r>
      <w:r w:rsidRPr="009319BB">
        <w:rPr>
          <w:rFonts w:eastAsia="MS Mincho"/>
          <w:lang w:val="es-ES"/>
        </w:rPr>
        <w:instrText xml:space="preserve"> AUTONUM  </w:instrText>
      </w:r>
      <w:r w:rsidRPr="009319BB">
        <w:rPr>
          <w:rFonts w:eastAsia="MS Mincho"/>
          <w:lang w:val="es-ES"/>
        </w:rPr>
        <w:fldChar w:fldCharType="end"/>
      </w:r>
      <w:r w:rsidRPr="009319BB">
        <w:rPr>
          <w:rFonts w:eastAsia="MS Mincho"/>
          <w:lang w:val="es-ES"/>
        </w:rPr>
        <w:tab/>
        <w:t xml:space="preserve">El TWV examinó el documento </w:t>
      </w:r>
      <w:hyperlink r:id="rId10" w:history="1">
        <w:r w:rsidRPr="009319BB">
          <w:rPr>
            <w:rStyle w:val="Hyperlink"/>
            <w:rFonts w:eastAsia="MS Mincho"/>
            <w:lang w:val="es-ES"/>
          </w:rPr>
          <w:t>TWV/59/11</w:t>
        </w:r>
      </w:hyperlink>
      <w:r w:rsidRPr="009319BB">
        <w:rPr>
          <w:rFonts w:eastAsia="MS Mincho"/>
          <w:lang w:val="es-ES"/>
        </w:rPr>
        <w:t xml:space="preserve"> «Características de resistencia a las enfermedades en las directrices de examen»</w:t>
      </w:r>
      <w:r w:rsidRPr="009319BB">
        <w:rPr>
          <w:rStyle w:val="FootnoteReference"/>
          <w:rFonts w:eastAsia="MS Mincho"/>
          <w:lang w:val="es-ES"/>
        </w:rPr>
        <w:footnoteReference w:id="8"/>
      </w:r>
      <w:r w:rsidRPr="009319BB">
        <w:rPr>
          <w:rFonts w:eastAsia="MS Mincho"/>
          <w:lang w:val="es-ES"/>
        </w:rPr>
        <w:t xml:space="preserve"> .</w:t>
      </w:r>
    </w:p>
    <w:p w14:paraId="50963C45" w14:textId="77777777" w:rsidR="003602B2" w:rsidRPr="009319BB" w:rsidRDefault="003602B2" w:rsidP="003602B2">
      <w:pPr>
        <w:rPr>
          <w:rFonts w:eastAsia="MS Mincho"/>
          <w:lang w:val="es-ES"/>
        </w:rPr>
      </w:pPr>
    </w:p>
    <w:p w14:paraId="2E930586" w14:textId="77777777" w:rsidR="003602B2" w:rsidRPr="009319BB" w:rsidRDefault="003602B2" w:rsidP="003602B2">
      <w:pPr>
        <w:rPr>
          <w:rFonts w:eastAsia="MS Mincho"/>
          <w:lang w:val="es-ES"/>
        </w:rPr>
      </w:pPr>
      <w:r w:rsidRPr="009319BB">
        <w:rPr>
          <w:rFonts w:eastAsia="MS Mincho"/>
          <w:lang w:val="es-ES"/>
        </w:rPr>
        <w:fldChar w:fldCharType="begin"/>
      </w:r>
      <w:r w:rsidRPr="009319BB">
        <w:rPr>
          <w:rFonts w:eastAsia="MS Mincho"/>
          <w:lang w:val="es-ES"/>
        </w:rPr>
        <w:instrText xml:space="preserve"> AUTONUM  </w:instrText>
      </w:r>
      <w:r w:rsidRPr="009319BB">
        <w:rPr>
          <w:rFonts w:eastAsia="MS Mincho"/>
          <w:lang w:val="es-ES"/>
        </w:rPr>
        <w:fldChar w:fldCharType="end"/>
      </w:r>
      <w:r w:rsidRPr="009319BB">
        <w:rPr>
          <w:rFonts w:eastAsia="MS Mincho"/>
          <w:lang w:val="es-ES"/>
        </w:rPr>
        <w:tab/>
        <w:t xml:space="preserve">El TWV acordó invitar </w:t>
      </w:r>
      <w:r w:rsidRPr="009319BB">
        <w:rPr>
          <w:lang w:val="es-ES"/>
        </w:rPr>
        <w:t>a los miembros de la UPOV</w:t>
      </w:r>
      <w:r w:rsidRPr="009319BB">
        <w:rPr>
          <w:rFonts w:eastAsia="MS Mincho"/>
          <w:lang w:val="es-ES"/>
        </w:rPr>
        <w:t xml:space="preserve"> a </w:t>
      </w:r>
      <w:r w:rsidRPr="009319BB">
        <w:rPr>
          <w:lang w:val="es-ES"/>
        </w:rPr>
        <w:t xml:space="preserve">presentar informes sobre características adicionales en el examen DHE, incluidas las características de resistencia a las enfermedades. El TWV acordó invitar a expertos destacados a organizar reuniones entre períodos de sesiones de los subgrupos de expertos interesados para avanzar en los debates sobre revisiones parciales de las directrices de examen. </w:t>
      </w:r>
    </w:p>
    <w:p w14:paraId="5947B314" w14:textId="77777777" w:rsidR="003602B2" w:rsidRPr="009319BB" w:rsidRDefault="003602B2" w:rsidP="003602B2">
      <w:pPr>
        <w:rPr>
          <w:lang w:val="es-ES"/>
        </w:rPr>
      </w:pPr>
    </w:p>
    <w:p w14:paraId="2EADF875" w14:textId="77777777" w:rsidR="003602B2" w:rsidRPr="009319BB" w:rsidRDefault="003602B2" w:rsidP="003602B2">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TWV observó que existían diferencias entre los miembros de la UPOV en cuanto a su capacidad para evaluar las características de resistencia a las enfermedades y convino en que ello planteaba dificultades para su utilización en el examen DHE y la armonización internacional. </w:t>
      </w:r>
    </w:p>
    <w:p w14:paraId="6E8A6A9D" w14:textId="77777777" w:rsidR="00D97966" w:rsidRPr="009319BB" w:rsidRDefault="00D97966" w:rsidP="00E33353">
      <w:pPr>
        <w:rPr>
          <w:lang w:val="es-ES"/>
        </w:rPr>
      </w:pPr>
    </w:p>
    <w:p w14:paraId="464136BA" w14:textId="1892F3E3" w:rsidR="00E33353" w:rsidRPr="009319BB" w:rsidRDefault="003602B2" w:rsidP="00A63DB9">
      <w:pPr>
        <w:pStyle w:val="Heading3"/>
        <w:keepLines/>
        <w:rPr>
          <w:lang w:val="es-ES"/>
        </w:rPr>
      </w:pPr>
      <w:bookmarkStart w:id="17" w:name="_Toc208828857"/>
      <w:r w:rsidRPr="009319BB">
        <w:rPr>
          <w:lang w:val="es-ES"/>
        </w:rPr>
        <w:t xml:space="preserve">Resistencia al virus del mosaico verde del pepino (CGMMV) </w:t>
      </w:r>
      <w:bookmarkEnd w:id="17"/>
    </w:p>
    <w:p w14:paraId="4EDD535D" w14:textId="77777777" w:rsidR="00E33353" w:rsidRPr="009319BB" w:rsidRDefault="00E33353" w:rsidP="00A63DB9">
      <w:pPr>
        <w:keepNext/>
        <w:keepLines/>
        <w:jc w:val="left"/>
        <w:rPr>
          <w:lang w:val="es-ES"/>
        </w:rPr>
      </w:pPr>
    </w:p>
    <w:p w14:paraId="2CA35D39" w14:textId="59DD53D3" w:rsidR="00E33353" w:rsidRPr="009319BB" w:rsidRDefault="0062210A" w:rsidP="00A63DB9">
      <w:pPr>
        <w:keepNext/>
        <w:keepLines/>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r>
      <w:r w:rsidR="00E33353" w:rsidRPr="009319BB">
        <w:rPr>
          <w:lang w:val="es-ES"/>
        </w:rPr>
        <w:t>El TWV</w:t>
      </w:r>
      <w:r w:rsidRPr="009319BB">
        <w:rPr>
          <w:rStyle w:val="FootnoteReference"/>
          <w:lang w:val="es-ES"/>
        </w:rPr>
        <w:footnoteReference w:id="9"/>
      </w:r>
      <w:r w:rsidR="00E33353" w:rsidRPr="009319BB">
        <w:rPr>
          <w:lang w:val="es-ES"/>
        </w:rPr>
        <w:t xml:space="preserve"> examinó la revisión parcial de las directrices de examen del pepino para incluir el carácter «Resistencia al virus del mosaico verde del pepino (CGMMV)», que había sido propuesto para su adopción por el Comité Técnico en 2024 (documento </w:t>
      </w:r>
      <w:hyperlink r:id="rId11" w:history="1">
        <w:r w:rsidR="00E33353" w:rsidRPr="009319BB">
          <w:rPr>
            <w:rStyle w:val="Hyperlink"/>
            <w:lang w:val="es-ES"/>
          </w:rPr>
          <w:t>TWV/58/6</w:t>
        </w:r>
      </w:hyperlink>
      <w:r w:rsidR="00E33353" w:rsidRPr="009319BB">
        <w:rPr>
          <w:lang w:val="es-ES"/>
        </w:rPr>
        <w:t>) y remitido de nuevo al TWV.  El TWV tomó nota de que el carácter se había introducido en las directrices de examen</w:t>
      </w:r>
      <w:bookmarkStart w:id="18" w:name="_Hlk197533073"/>
      <w:r w:rsidR="00E33353" w:rsidRPr="009319BB">
        <w:rPr>
          <w:lang w:val="es-ES"/>
        </w:rPr>
        <w:t xml:space="preserve"> es de la Unión Europea en 2025 (</w:t>
      </w:r>
      <w:r w:rsidR="003602B2" w:rsidRPr="009319BB">
        <w:rPr>
          <w:lang w:val="es-ES"/>
        </w:rPr>
        <w:t xml:space="preserve">documentos TG/61/7 Rev. 3 y </w:t>
      </w:r>
      <w:hyperlink r:id="rId12" w:history="1">
        <w:r w:rsidR="003602B2" w:rsidRPr="009319BB">
          <w:rPr>
            <w:rStyle w:val="Hyperlink"/>
            <w:lang w:val="es-ES"/>
          </w:rPr>
          <w:t>TWV/59/12).</w:t>
        </w:r>
      </w:hyperlink>
    </w:p>
    <w:p w14:paraId="76C28F54" w14:textId="77777777" w:rsidR="003602B2" w:rsidRPr="009319BB" w:rsidRDefault="003602B2" w:rsidP="00E33353">
      <w:pPr>
        <w:rPr>
          <w:lang w:val="es-ES"/>
        </w:rPr>
      </w:pPr>
    </w:p>
    <w:p w14:paraId="123C0DB4" w14:textId="3E2748FE" w:rsidR="00E33353" w:rsidRPr="009319BB" w:rsidRDefault="00E33353"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TWV acordó que la característica debía revisarse utilizando una escala de tres notas (QN) </w:t>
      </w:r>
      <w:r w:rsidR="00C1785B" w:rsidRPr="009319BB">
        <w:rPr>
          <w:lang w:val="es-ES"/>
        </w:rPr>
        <w:t>[en lugar de QL: «</w:t>
      </w:r>
      <w:r w:rsidR="00262D18" w:rsidRPr="009319BB">
        <w:rPr>
          <w:lang w:val="es-ES"/>
        </w:rPr>
        <w:t>ausente» /</w:t>
      </w:r>
      <w:r w:rsidR="00C1785B" w:rsidRPr="009319BB">
        <w:rPr>
          <w:lang w:val="es-ES"/>
        </w:rPr>
        <w:t>«presente»]</w:t>
      </w:r>
      <w:r w:rsidRPr="009319BB">
        <w:rPr>
          <w:lang w:val="es-ES"/>
        </w:rPr>
        <w:t xml:space="preserve">.  </w:t>
      </w:r>
    </w:p>
    <w:p w14:paraId="24E67C7F" w14:textId="77777777" w:rsidR="00E33353" w:rsidRPr="009319BB" w:rsidRDefault="00E33353" w:rsidP="00E33353">
      <w:pPr>
        <w:rPr>
          <w:lang w:val="es-ES"/>
        </w:rPr>
      </w:pPr>
    </w:p>
    <w:p w14:paraId="3942E044" w14:textId="77777777" w:rsidR="00E33353" w:rsidRPr="009319BB" w:rsidRDefault="00E33353"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TWV consideró el uso de una escala cualitativa (QL) de notas para el carácter CGMMV, que se expresaba con un rango continuo de síntomas.  El TWV convino en que no había una diferencia clara entre los estados de expresión «ausente/presente».  </w:t>
      </w:r>
    </w:p>
    <w:p w14:paraId="55A25928" w14:textId="77777777" w:rsidR="00E33353" w:rsidRPr="009319BB" w:rsidRDefault="00E33353" w:rsidP="00E33353">
      <w:pPr>
        <w:rPr>
          <w:lang w:val="es-ES"/>
        </w:rPr>
      </w:pPr>
    </w:p>
    <w:p w14:paraId="5043462C" w14:textId="77777777" w:rsidR="00E33353" w:rsidRPr="009319BB" w:rsidRDefault="00E33353"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TWV examinó la recomendación formulada por el Comité de Redacción Ampliado (TC-EDC) de utilizar una escala cuantitativa (QN) para el carácter (por ejemplo, tres notas).  El TWV tomó nota de la explicación de Francia y los Países Bajos (Reino de) de que no se había identificado ninguna variedad de control de umbral sólida que permitiera definir el punto de corte para un tercer estado de expresión, distinto de ausente/presente.</w:t>
      </w:r>
    </w:p>
    <w:p w14:paraId="3FE7DC61" w14:textId="77777777" w:rsidR="00E33353" w:rsidRPr="009319BB" w:rsidRDefault="00E33353" w:rsidP="00E33353">
      <w:pPr>
        <w:rPr>
          <w:lang w:val="es-ES"/>
        </w:rPr>
      </w:pPr>
    </w:p>
    <w:p w14:paraId="3CFE3946" w14:textId="77777777" w:rsidR="00E33353" w:rsidRPr="009319BB" w:rsidRDefault="00E33353"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TWV tomó nota de que el requisito de variedades de ejemplo en el caso de los caracteres QN con escalas de «1-5» / «1-3» era proporcionar variedades de ejemplo para al menos </w:t>
      </w:r>
      <w:r w:rsidRPr="009319BB">
        <w:rPr>
          <w:u w:val="single"/>
          <w:lang w:val="es-ES"/>
        </w:rPr>
        <w:t xml:space="preserve">dos </w:t>
      </w:r>
      <w:r w:rsidRPr="009319BB">
        <w:rPr>
          <w:lang w:val="es-ES"/>
        </w:rPr>
        <w:t xml:space="preserve">estados de expresión (véase el documento TGP/7 «Elaboración de las directrices de examen», GN 28, Sec. 2.4).  El TWV convino en que solo se requerirían dos variedades de ejemplo para los caracteres de resistencia a enfermedades con tres estados de expresión. </w:t>
      </w:r>
    </w:p>
    <w:p w14:paraId="7FE80991" w14:textId="77777777" w:rsidR="00E33353" w:rsidRPr="009319BB" w:rsidRDefault="00E33353" w:rsidP="00E33353">
      <w:pPr>
        <w:rPr>
          <w:lang w:val="es-ES"/>
        </w:rPr>
      </w:pPr>
    </w:p>
    <w:p w14:paraId="03C40966" w14:textId="72E6BB02" w:rsidR="00E33353" w:rsidRPr="009319BB" w:rsidRDefault="00E33353" w:rsidP="00E33353">
      <w:pPr>
        <w:rPr>
          <w:rFonts w:eastAsiaTheme="minorEastAsia" w:cs="Arial"/>
          <w:color w:val="333333"/>
          <w:shd w:val="clear" w:color="auto" w:fill="FFFFFF"/>
          <w:lang w:val="es-ES"/>
        </w:rPr>
      </w:pPr>
      <w:r w:rsidRPr="009319BB">
        <w:rPr>
          <w:rFonts w:eastAsiaTheme="minorEastAsia" w:cs="Arial"/>
          <w:color w:val="333333"/>
          <w:shd w:val="clear" w:color="auto" w:fill="FFFFFF"/>
          <w:lang w:val="es-ES"/>
        </w:rPr>
        <w:fldChar w:fldCharType="begin"/>
      </w:r>
      <w:r w:rsidRPr="009319BB">
        <w:rPr>
          <w:rFonts w:eastAsiaTheme="minorEastAsia" w:cs="Arial"/>
          <w:color w:val="333333"/>
          <w:shd w:val="clear" w:color="auto" w:fill="FFFFFF"/>
          <w:lang w:val="es-ES"/>
        </w:rPr>
        <w:instrText xml:space="preserve"> AUTONUM  </w:instrText>
      </w:r>
      <w:r w:rsidRPr="009319BB">
        <w:rPr>
          <w:rFonts w:eastAsiaTheme="minorEastAsia" w:cs="Arial"/>
          <w:color w:val="333333"/>
          <w:shd w:val="clear" w:color="auto" w:fill="FFFFFF"/>
          <w:lang w:val="es-ES"/>
        </w:rPr>
        <w:fldChar w:fldCharType="end"/>
      </w:r>
      <w:r w:rsidRPr="009319BB">
        <w:rPr>
          <w:rFonts w:eastAsiaTheme="minorEastAsia" w:cs="Arial"/>
          <w:color w:val="333333"/>
          <w:shd w:val="clear" w:color="auto" w:fill="FFFFFF"/>
          <w:lang w:val="es-ES"/>
        </w:rPr>
        <w:tab/>
        <w:t xml:space="preserve">El TWV debatió el límite entre dos estados de expresión en torno al control del umbral y la diferencia necesaria para demostrar una diferencia clara entre dos variedades cercanas al límite (por ejemplo, el extremo superior de </w:t>
      </w:r>
      <w:r w:rsidR="004D4458" w:rsidRPr="009319BB">
        <w:rPr>
          <w:rFonts w:eastAsiaTheme="minorEastAsia" w:cs="Arial"/>
          <w:color w:val="333333"/>
          <w:shd w:val="clear" w:color="auto" w:fill="FFFFFF"/>
          <w:lang w:val="es-ES"/>
        </w:rPr>
        <w:t xml:space="preserve">«ausente» </w:t>
      </w:r>
      <w:r w:rsidRPr="009319BB">
        <w:rPr>
          <w:rFonts w:eastAsiaTheme="minorEastAsia" w:cs="Arial"/>
          <w:color w:val="333333"/>
          <w:shd w:val="clear" w:color="auto" w:fill="FFFFFF"/>
          <w:lang w:val="es-ES"/>
        </w:rPr>
        <w:t xml:space="preserve">y el extremo inferior de </w:t>
      </w:r>
      <w:r w:rsidR="004D4458" w:rsidRPr="009319BB">
        <w:rPr>
          <w:rFonts w:eastAsiaTheme="minorEastAsia" w:cs="Arial"/>
          <w:color w:val="333333"/>
          <w:shd w:val="clear" w:color="auto" w:fill="FFFFFF"/>
          <w:lang w:val="es-ES"/>
        </w:rPr>
        <w:t>«presente»</w:t>
      </w:r>
      <w:r w:rsidRPr="009319BB">
        <w:rPr>
          <w:rFonts w:eastAsiaTheme="minorEastAsia" w:cs="Arial"/>
          <w:color w:val="333333"/>
          <w:shd w:val="clear" w:color="auto" w:fill="FFFFFF"/>
          <w:lang w:val="es-ES"/>
        </w:rPr>
        <w:t xml:space="preserve">). El TWV tomó nota de la experiencia de Francia en el uso del análisis estadístico para establecer la distinción entre variedades en esta situación. </w:t>
      </w:r>
    </w:p>
    <w:p w14:paraId="12A93C24" w14:textId="77777777" w:rsidR="00E33353" w:rsidRPr="009319BB" w:rsidRDefault="00E33353" w:rsidP="00E33353">
      <w:pPr>
        <w:rPr>
          <w:lang w:val="es-ES"/>
        </w:rPr>
      </w:pPr>
    </w:p>
    <w:p w14:paraId="0174D965" w14:textId="18A14167" w:rsidR="00E33353" w:rsidRPr="009319BB" w:rsidRDefault="00E33353"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TWV convino en que el enfoque para los caracteres de resistencia a enfermedades QN que utilizan controles de umbral sería adecuado para la evaluación de la distinción en comparaciones paralelas, con el uso de análisis estadísticos cuando fuera necesario.  El TWV convino en que el enfoque no sería adecuado para agrupar variedades basándose en descripciones de variedades.</w:t>
      </w:r>
    </w:p>
    <w:p w14:paraId="7AC4A086" w14:textId="77777777" w:rsidR="00E33353" w:rsidRPr="009319BB" w:rsidRDefault="00E33353" w:rsidP="00E33353">
      <w:pPr>
        <w:rPr>
          <w:lang w:val="es-ES"/>
        </w:rPr>
      </w:pPr>
    </w:p>
    <w:p w14:paraId="644F34A8" w14:textId="29CB9008" w:rsidR="00E33353" w:rsidRPr="009319BB" w:rsidRDefault="00E33353"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TWV tomó nota del uso de los caracteres de resistencia a enfermedades para agrupar variedades y convino en que el uso de una escala cualitativa (QL) para un carácter cuantitativo (QN) abordaba las variedades límite de la misma manera que las notas consecutivas en las escalas QN (por ejemplo, notas 1/9</w:t>
      </w:r>
      <w:r w:rsidR="00262D18">
        <w:rPr>
          <w:lang w:val="es-ES"/>
        </w:rPr>
        <w:t> </w:t>
      </w:r>
      <w:r w:rsidRPr="009319BB">
        <w:rPr>
          <w:lang w:val="es-ES"/>
        </w:rPr>
        <w:t>=</w:t>
      </w:r>
      <w:r w:rsidR="00262D18">
        <w:rPr>
          <w:lang w:val="es-ES"/>
        </w:rPr>
        <w:t> </w:t>
      </w:r>
      <w:r w:rsidRPr="009319BB">
        <w:rPr>
          <w:lang w:val="es-ES"/>
        </w:rPr>
        <w:t xml:space="preserve">1/2 o 2/3).  </w:t>
      </w:r>
    </w:p>
    <w:p w14:paraId="4DA3FFB3" w14:textId="77777777" w:rsidR="00E33353" w:rsidRPr="009319BB" w:rsidRDefault="00E33353" w:rsidP="00E33353">
      <w:pPr>
        <w:rPr>
          <w:lang w:val="es-ES"/>
        </w:rPr>
      </w:pPr>
    </w:p>
    <w:p w14:paraId="27955ABC" w14:textId="77777777" w:rsidR="00E33353" w:rsidRPr="009319BB" w:rsidRDefault="00E33353"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TWV debatió la evaluación de la homogeneidad de los caracteres cuantitativos de resistencia a las enfermedades descritos como cualitativos y la posibilidad de que plantas de la misma variedad se encuentren en clases con diferentes grados de expresión. El TWV tomó nota de la explicación de Francia de que la evaluación de la homogeneidad tenía en cuenta la distribución de las plantas entre las clases y las plantas atípicas fuera del rango de distribución esperado.</w:t>
      </w:r>
    </w:p>
    <w:p w14:paraId="27C69692" w14:textId="77777777" w:rsidR="00E33353" w:rsidRPr="009319BB" w:rsidRDefault="00E33353" w:rsidP="00E33353">
      <w:pPr>
        <w:rPr>
          <w:lang w:val="es-ES"/>
        </w:rPr>
      </w:pPr>
    </w:p>
    <w:p w14:paraId="088B2254" w14:textId="77777777" w:rsidR="00E33353" w:rsidRPr="009319BB" w:rsidRDefault="00E33353"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TWV debatió cuestiones generales aplicables a los caracteres cuantitativos de resistencia a las enfermedades y acordó invitar a los Países Bajos (Reino de) a identificar aspectos de las orientaciones de la UPOV que podrían modificarse para reflejar las características particulares de los caracteres cuantitativos de resistencia a las enfermedades, como los procedimientos para tratar las variedades límite.  </w:t>
      </w:r>
    </w:p>
    <w:p w14:paraId="5CB0A856" w14:textId="77777777" w:rsidR="00E33353" w:rsidRPr="009319BB" w:rsidRDefault="00E33353" w:rsidP="00E33353">
      <w:pPr>
        <w:rPr>
          <w:lang w:val="es-ES"/>
        </w:rPr>
      </w:pPr>
    </w:p>
    <w:bookmarkEnd w:id="18"/>
    <w:p w14:paraId="0036D173" w14:textId="3A3216E3" w:rsidR="00E33353" w:rsidRPr="009319BB" w:rsidRDefault="00C1785B" w:rsidP="00E33353">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r>
      <w:r w:rsidR="00E33353" w:rsidRPr="009319BB">
        <w:rPr>
          <w:lang w:val="es-ES"/>
        </w:rPr>
        <w:t xml:space="preserve">El TWV tomó nota de la observación de Japón de que las futuras deliberaciones sobre los caracteres de resistencia a las enfermedades se beneficiarían de la participación de expertos jurídicos, como los representantes de los miembros de la UPOV en el Comité Administrativo y Jurídico (CAJ). </w:t>
      </w:r>
    </w:p>
    <w:p w14:paraId="6A05074D" w14:textId="77777777" w:rsidR="00302A22" w:rsidRPr="009319BB" w:rsidRDefault="00302A22" w:rsidP="003D0839">
      <w:pPr>
        <w:rPr>
          <w:snapToGrid w:val="0"/>
          <w:lang w:val="es-ES"/>
        </w:rPr>
      </w:pPr>
    </w:p>
    <w:p w14:paraId="017A4C92" w14:textId="77777777" w:rsidR="00FC0F25" w:rsidRPr="009319BB" w:rsidRDefault="00FC0F25" w:rsidP="003D0839">
      <w:pPr>
        <w:rPr>
          <w:snapToGrid w:val="0"/>
          <w:lang w:val="es-ES"/>
        </w:rPr>
      </w:pPr>
    </w:p>
    <w:p w14:paraId="506EE2B3" w14:textId="77777777" w:rsidR="00FC0F25" w:rsidRPr="009319BB" w:rsidRDefault="00FC0F25" w:rsidP="00365B2A">
      <w:pPr>
        <w:pStyle w:val="Heading2"/>
        <w:rPr>
          <w:lang w:val="es-ES"/>
        </w:rPr>
      </w:pPr>
      <w:bookmarkStart w:id="19" w:name="_Toc207646166"/>
      <w:bookmarkStart w:id="20" w:name="_Toc208828858"/>
      <w:bookmarkStart w:id="21" w:name="_Toc191917557"/>
      <w:r w:rsidRPr="009319BB">
        <w:rPr>
          <w:rFonts w:eastAsia="MS Mincho"/>
          <w:lang w:val="es-ES"/>
        </w:rPr>
        <w:lastRenderedPageBreak/>
        <w:t>Características observadas en un ciclo de cultivo en el examen DHE, en el que la duración mínima de los exámenes debería ser normalmente de dos ciclos de cultivo independientes</w:t>
      </w:r>
      <w:bookmarkEnd w:id="19"/>
      <w:bookmarkEnd w:id="20"/>
    </w:p>
    <w:p w14:paraId="48FBBD0D" w14:textId="77777777" w:rsidR="00FC0F25" w:rsidRPr="009319BB" w:rsidRDefault="00FC0F25" w:rsidP="00FC0F25">
      <w:pPr>
        <w:rPr>
          <w:lang w:val="es-ES"/>
        </w:rPr>
      </w:pPr>
    </w:p>
    <w:p w14:paraId="7C907542" w14:textId="77777777" w:rsidR="00FC0F25" w:rsidRPr="009319BB" w:rsidRDefault="00FC0F25" w:rsidP="00FC0F25">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En sus sesiones de 2025, el TWV y el TWA recibieron una presentación sobre «Características observadas en un ciclo vegetativo en el examen DHE, en el que la duración mínima de los exámenes debería ser normalmente de dos ciclos vegetativos independientes», a cargo de un experto de la Unión Europea.  La presentación figura en los documentos </w:t>
      </w:r>
      <w:hyperlink r:id="rId13" w:history="1">
        <w:r w:rsidRPr="009319BB">
          <w:rPr>
            <w:rStyle w:val="Hyperlink"/>
            <w:lang w:val="es-ES"/>
          </w:rPr>
          <w:t>TWV/59/9</w:t>
        </w:r>
      </w:hyperlink>
      <w:r w:rsidRPr="009319BB">
        <w:rPr>
          <w:lang w:val="es-ES"/>
        </w:rPr>
        <w:t xml:space="preserve"> y </w:t>
      </w:r>
      <w:hyperlink r:id="rId14" w:history="1">
        <w:r w:rsidRPr="009319BB">
          <w:rPr>
            <w:rStyle w:val="Hyperlink"/>
            <w:lang w:val="es-ES"/>
          </w:rPr>
          <w:t>TWA/54/3</w:t>
        </w:r>
      </w:hyperlink>
      <w:r w:rsidRPr="009319BB">
        <w:rPr>
          <w:lang w:val="es-ES"/>
        </w:rPr>
        <w:t>.</w:t>
      </w:r>
    </w:p>
    <w:p w14:paraId="4CEF6780" w14:textId="77777777" w:rsidR="00FC0F25" w:rsidRPr="009319BB" w:rsidRDefault="00FC0F25" w:rsidP="00FC0F25">
      <w:pPr>
        <w:rPr>
          <w:lang w:val="es-ES"/>
        </w:rPr>
      </w:pPr>
    </w:p>
    <w:p w14:paraId="17628387" w14:textId="0A932FF9" w:rsidR="00FC0F25" w:rsidRPr="009319BB" w:rsidRDefault="00FC0F25" w:rsidP="00FC0F25">
      <w:pPr>
        <w:keepLines/>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TWV examinó si debía modificarse la redacción estándar de las directrices de examen de la UPOV para aclarar que determinados caracteres podían evaluarse en un solo ciclo de cultivo. El TWV tomó nota de los informes de Japón y </w:t>
      </w:r>
      <w:r w:rsidR="00262D18" w:rsidRPr="009319BB">
        <w:rPr>
          <w:lang w:val="es-ES"/>
        </w:rPr>
        <w:t>Ken</w:t>
      </w:r>
      <w:r w:rsidR="00262D18">
        <w:rPr>
          <w:lang w:val="es-ES"/>
        </w:rPr>
        <w:t>y</w:t>
      </w:r>
      <w:r w:rsidR="00262D18" w:rsidRPr="009319BB">
        <w:rPr>
          <w:lang w:val="es-ES"/>
        </w:rPr>
        <w:t>a</w:t>
      </w:r>
      <w:r w:rsidRPr="009319BB">
        <w:rPr>
          <w:lang w:val="es-ES"/>
        </w:rPr>
        <w:t xml:space="preserve"> sobre la interpretación de las directrices en esos países. El TWV convino en que las directrices ofrecían flexibilidad para concluir el examen tras un ciclo de cultivo, en caso de que se pudiera obtener un resultado fiable, o para realizar ciclos de cultivo adicionales, en caso necesario.</w:t>
      </w:r>
    </w:p>
    <w:p w14:paraId="395C8658" w14:textId="77777777" w:rsidR="00FC0F25" w:rsidRPr="009319BB" w:rsidRDefault="00FC0F25" w:rsidP="00FC0F25">
      <w:pPr>
        <w:rPr>
          <w:rFonts w:cs="Arial"/>
          <w:color w:val="39394D"/>
          <w:lang w:val="es-ES"/>
        </w:rPr>
      </w:pPr>
    </w:p>
    <w:p w14:paraId="2D9AAF91" w14:textId="77777777" w:rsidR="00FC0F25" w:rsidRPr="009319BB" w:rsidRDefault="00FC0F25" w:rsidP="00FC0F25">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TWA convino en que las orientaciones del documento TG/1/3 (“Introducción general al examen de la distinción, la homogeneidad y la estabilidad y la elaboración de descripciones armonizadas de las nuevas variedades vegetales”) y de las directrices de examen ofrecían suficiente flexibilidad a las autoridades para decidir cuándo se requerían dos ciclos de cultivo para que la expresión de los caracteres se considerara suficientemente constante y repetible en un entorno determinado. </w:t>
      </w:r>
    </w:p>
    <w:p w14:paraId="224E2019" w14:textId="77777777" w:rsidR="00FC0F25" w:rsidRPr="009319BB" w:rsidRDefault="00FC0F25" w:rsidP="00FC0F25">
      <w:pPr>
        <w:rPr>
          <w:lang w:val="es-ES"/>
        </w:rPr>
      </w:pPr>
    </w:p>
    <w:p w14:paraId="57D3EA4F" w14:textId="77777777" w:rsidR="00A44D2D" w:rsidRPr="009319BB" w:rsidRDefault="00A44D2D" w:rsidP="00A44D2D">
      <w:pPr>
        <w:rPr>
          <w:lang w:val="es-ES"/>
        </w:rPr>
      </w:pPr>
    </w:p>
    <w:p w14:paraId="77D0CB90" w14:textId="62B130AD" w:rsidR="00A44D2D" w:rsidRPr="009319BB" w:rsidRDefault="00A44D2D" w:rsidP="005639BE">
      <w:pPr>
        <w:pStyle w:val="Heading2"/>
        <w:keepLines/>
        <w:rPr>
          <w:rFonts w:eastAsia="MS Mincho"/>
          <w:lang w:val="es-ES"/>
        </w:rPr>
      </w:pPr>
      <w:bookmarkStart w:id="22" w:name="_Toc207212888"/>
      <w:bookmarkStart w:id="23" w:name="_Toc208828859"/>
      <w:bookmarkStart w:id="24" w:name="_Hlk208828547"/>
      <w:r w:rsidRPr="009319BB">
        <w:rPr>
          <w:rFonts w:eastAsia="MS Mincho"/>
          <w:lang w:val="es-ES"/>
        </w:rPr>
        <w:t>Evaluación de la homogeneidad de los caracteres no incluidos en las directrices de examen</w:t>
      </w:r>
      <w:bookmarkEnd w:id="22"/>
      <w:bookmarkEnd w:id="23"/>
      <w:r w:rsidRPr="009319BB">
        <w:rPr>
          <w:rFonts w:eastAsia="MS Mincho"/>
          <w:lang w:val="es-ES"/>
        </w:rPr>
        <w:t xml:space="preserve"> </w:t>
      </w:r>
    </w:p>
    <w:bookmarkEnd w:id="24"/>
    <w:p w14:paraId="201E3E9D" w14:textId="77777777" w:rsidR="00A44D2D" w:rsidRPr="009319BB" w:rsidRDefault="00A44D2D" w:rsidP="005639BE">
      <w:pPr>
        <w:keepNext/>
        <w:keepLines/>
        <w:rPr>
          <w:rFonts w:eastAsia="MS Mincho"/>
          <w:lang w:val="es-ES"/>
        </w:rPr>
      </w:pPr>
    </w:p>
    <w:p w14:paraId="4354C4B5" w14:textId="77777777" w:rsidR="00A44D2D" w:rsidRPr="009319BB" w:rsidRDefault="00A44D2D" w:rsidP="005639BE">
      <w:pPr>
        <w:keepNext/>
        <w:keepLines/>
        <w:rPr>
          <w:rFonts w:eastAsia="MS Mincho"/>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r>
      <w:r w:rsidRPr="009319BB">
        <w:rPr>
          <w:rFonts w:eastAsia="MS Mincho"/>
          <w:lang w:val="es-ES"/>
        </w:rPr>
        <w:t xml:space="preserve">El TWO examinó el documento TWO/57/7, “Propuesta de revisión de los documentos TGP/9/2 (Examen de la distinción) y TGP/10/2 (Examen de la homogeneidad)”, y convino en que no sería necesario modificar las orientaciones de los documentos TGP/9 y TGP/10 para aclarar la posibilidad de utilizar características adicionales para el examen DHE, además de las que figuran en las directrices de examen de la UPOV.  El TWO recordó la orientación del documento TG/1/3 «Introducción general al examen de la distinción, la homogeneidad y la estabilidad y la elaboración de descripciones armonizadas de las nuevas variedades vegetales» (la «Introducción general»), párrafo 4.2.3, que establece lo siguiente: </w:t>
      </w:r>
    </w:p>
    <w:p w14:paraId="260B2C05" w14:textId="77777777" w:rsidR="00A44D2D" w:rsidRPr="009319BB" w:rsidRDefault="00A44D2D" w:rsidP="00A44D2D">
      <w:pPr>
        <w:rPr>
          <w:rFonts w:eastAsia="MS Mincho"/>
          <w:lang w:val="es-ES"/>
        </w:rPr>
      </w:pPr>
    </w:p>
    <w:p w14:paraId="15A4949C" w14:textId="77777777" w:rsidR="00A44D2D" w:rsidRPr="009319BB" w:rsidRDefault="00A44D2D" w:rsidP="00A44D2D">
      <w:pPr>
        <w:tabs>
          <w:tab w:val="left" w:pos="1276"/>
        </w:tabs>
        <w:ind w:left="567" w:right="567"/>
        <w:rPr>
          <w:rFonts w:eastAsia="MS Mincho"/>
          <w:sz w:val="18"/>
          <w:szCs w:val="18"/>
          <w:lang w:val="es-ES"/>
        </w:rPr>
      </w:pPr>
      <w:r w:rsidRPr="009319BB">
        <w:rPr>
          <w:rFonts w:eastAsia="MS Mincho"/>
          <w:sz w:val="18"/>
          <w:szCs w:val="18"/>
          <w:lang w:val="es-ES"/>
        </w:rPr>
        <w:t>«4.2.3</w:t>
      </w:r>
      <w:r w:rsidRPr="009319BB">
        <w:rPr>
          <w:rFonts w:eastAsia="MS Mincho"/>
          <w:sz w:val="18"/>
          <w:szCs w:val="18"/>
          <w:lang w:val="es-ES"/>
        </w:rPr>
        <w:tab/>
        <w:t>[…] Las características incluidas en las directrices de examen individuales no son necesariamente exhaustivas y pueden ampliarse con características adicionales si ello resulta útil y las características cumplen las condiciones establecidas anteriormente» [requisitos básicos que debe cumplir una característica antes de ser utilizada para el examen DHE].</w:t>
      </w:r>
    </w:p>
    <w:p w14:paraId="65E5E183" w14:textId="77777777" w:rsidR="00A44D2D" w:rsidRPr="009319BB" w:rsidRDefault="00A44D2D" w:rsidP="00A44D2D">
      <w:pPr>
        <w:rPr>
          <w:lang w:val="es-ES"/>
        </w:rPr>
      </w:pPr>
    </w:p>
    <w:p w14:paraId="3F094B50" w14:textId="4BA42BEA" w:rsidR="00A44D2D" w:rsidRPr="009319BB" w:rsidRDefault="00A44D2D" w:rsidP="00A44D2D">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TWO consideró</w:t>
      </w:r>
      <w:bookmarkStart w:id="25" w:name="_Hlk207308398"/>
      <w:r w:rsidRPr="009319BB">
        <w:rPr>
          <w:lang w:val="es-ES"/>
        </w:rPr>
        <w:t xml:space="preserve"> la evaluación de características adicionales no incluidas en las directrices de examen de la UPOV, tal como se establece en el documento TWO/57/7, y si sería apropiado que dichas características se evaluaran únicamente en cuanto a la homogeneidad y no en cuanto a la distinción</w:t>
      </w:r>
      <w:bookmarkEnd w:id="25"/>
      <w:r w:rsidRPr="009319BB">
        <w:rPr>
          <w:lang w:val="es-ES"/>
        </w:rPr>
        <w:t xml:space="preserve">. El TWO recordó que el Convenio de la UPOV exige que se examine si una variedad cumple las condiciones de distinción, homogeneidad y estabilidad, y convino en que cualquier característica adicional estaría sujeta a la misma base jurídica. </w:t>
      </w:r>
    </w:p>
    <w:p w14:paraId="629B050A" w14:textId="77777777" w:rsidR="00A44D2D" w:rsidRPr="009319BB" w:rsidRDefault="00A44D2D" w:rsidP="00A44D2D">
      <w:pPr>
        <w:rPr>
          <w:lang w:val="es-ES"/>
        </w:rPr>
      </w:pPr>
    </w:p>
    <w:p w14:paraId="21E5C25C" w14:textId="77777777" w:rsidR="00A44D2D" w:rsidRPr="009319BB" w:rsidRDefault="00A44D2D" w:rsidP="00A44D2D">
      <w:pPr>
        <w:rPr>
          <w:lang w:val="es-ES"/>
        </w:rPr>
      </w:pPr>
    </w:p>
    <w:p w14:paraId="4FCFD53B" w14:textId="74357C48" w:rsidR="00BA470A" w:rsidRPr="009319BB" w:rsidRDefault="00302A22" w:rsidP="00365B2A">
      <w:pPr>
        <w:pStyle w:val="Heading2"/>
        <w:rPr>
          <w:rFonts w:eastAsia="MS Mincho"/>
          <w:lang w:val="es-ES"/>
        </w:rPr>
      </w:pPr>
      <w:bookmarkStart w:id="26" w:name="_Toc208828860"/>
      <w:r w:rsidRPr="009319BB">
        <w:rPr>
          <w:rFonts w:eastAsia="MS Mincho"/>
          <w:lang w:val="es-ES"/>
        </w:rPr>
        <w:t xml:space="preserve">Informe sobre casos judiciales relacionados con cuestiones </w:t>
      </w:r>
      <w:r w:rsidR="00AC0937" w:rsidRPr="009319BB">
        <w:rPr>
          <w:rFonts w:eastAsia="MS Mincho"/>
          <w:lang w:val="es-ES"/>
        </w:rPr>
        <w:t>técnicas</w:t>
      </w:r>
      <w:bookmarkStart w:id="27" w:name="_Hlk205555062"/>
      <w:r w:rsidR="00AC0937" w:rsidRPr="009319BB">
        <w:rPr>
          <w:rFonts w:eastAsia="MS Mincho"/>
          <w:lang w:val="es-ES"/>
        </w:rPr>
        <w:t xml:space="preserve">: </w:t>
      </w:r>
      <w:r w:rsidR="00BA470A" w:rsidRPr="009319BB">
        <w:rPr>
          <w:rFonts w:eastAsia="MS Mincho"/>
          <w:i/>
          <w:iCs/>
          <w:lang w:val="es-ES"/>
        </w:rPr>
        <w:t xml:space="preserve">Allium cepa </w:t>
      </w:r>
      <w:r w:rsidR="00BA470A" w:rsidRPr="009319BB">
        <w:rPr>
          <w:rFonts w:eastAsia="MS Mincho"/>
          <w:lang w:val="es-ES"/>
        </w:rPr>
        <w:t>L. «SK20»</w:t>
      </w:r>
      <w:bookmarkEnd w:id="26"/>
    </w:p>
    <w:bookmarkEnd w:id="27"/>
    <w:p w14:paraId="58EED9CC" w14:textId="77777777" w:rsidR="00BA470A" w:rsidRPr="009319BB" w:rsidRDefault="00BA470A" w:rsidP="00302A22">
      <w:pPr>
        <w:rPr>
          <w:rFonts w:eastAsia="MS Mincho"/>
          <w:lang w:val="es-ES"/>
        </w:rPr>
      </w:pPr>
    </w:p>
    <w:p w14:paraId="5966E818" w14:textId="7E1750B8" w:rsidR="00BA470A" w:rsidRPr="009319BB" w:rsidRDefault="001E6406" w:rsidP="00BA470A">
      <w:pPr>
        <w:rPr>
          <w:lang w:val="es-ES"/>
        </w:rPr>
      </w:pPr>
      <w:r w:rsidRPr="009319BB">
        <w:rPr>
          <w:rFonts w:eastAsia="MS Mincho"/>
          <w:lang w:val="es-ES"/>
        </w:rPr>
        <w:fldChar w:fldCharType="begin"/>
      </w:r>
      <w:r w:rsidRPr="009319BB">
        <w:rPr>
          <w:rFonts w:eastAsia="MS Mincho"/>
          <w:lang w:val="es-ES"/>
        </w:rPr>
        <w:instrText xml:space="preserve"> AUTONUM  </w:instrText>
      </w:r>
      <w:r w:rsidRPr="009319BB">
        <w:rPr>
          <w:rFonts w:eastAsia="MS Mincho"/>
          <w:lang w:val="es-ES"/>
        </w:rPr>
        <w:fldChar w:fldCharType="end"/>
      </w:r>
      <w:r w:rsidRPr="009319BB">
        <w:rPr>
          <w:rFonts w:eastAsia="MS Mincho"/>
          <w:lang w:val="es-ES"/>
        </w:rPr>
        <w:tab/>
      </w:r>
      <w:r w:rsidR="00302A22" w:rsidRPr="009319BB">
        <w:rPr>
          <w:rFonts w:eastAsia="MS Mincho"/>
          <w:lang w:val="es-ES"/>
        </w:rPr>
        <w:t>El TWO</w:t>
      </w:r>
      <w:r w:rsidR="001B6C83" w:rsidRPr="009319BB">
        <w:rPr>
          <w:rFonts w:eastAsia="MS Mincho"/>
          <w:lang w:val="es-ES"/>
        </w:rPr>
        <w:t xml:space="preserve">, el TWV y el TWF </w:t>
      </w:r>
      <w:r w:rsidR="00302A22" w:rsidRPr="009319BB">
        <w:rPr>
          <w:rFonts w:eastAsia="MS Mincho"/>
          <w:lang w:val="es-ES"/>
        </w:rPr>
        <w:t xml:space="preserve">recibieron una presentación </w:t>
      </w:r>
      <w:r w:rsidR="001B6C83" w:rsidRPr="009319BB">
        <w:rPr>
          <w:rFonts w:eastAsia="MS Mincho"/>
          <w:lang w:val="es-ES"/>
        </w:rPr>
        <w:t>de la Unión Europea sobre el caso judicial «</w:t>
      </w:r>
      <w:r w:rsidR="001B6C83" w:rsidRPr="009319BB">
        <w:rPr>
          <w:rFonts w:eastAsia="MS Mincho"/>
          <w:i/>
          <w:iCs/>
          <w:lang w:val="es-ES"/>
        </w:rPr>
        <w:t xml:space="preserve">Allium cepa </w:t>
      </w:r>
      <w:r w:rsidR="001B6C83" w:rsidRPr="009319BB">
        <w:rPr>
          <w:rFonts w:eastAsia="MS Mincho"/>
          <w:lang w:val="es-ES"/>
        </w:rPr>
        <w:t xml:space="preserve">L. ‘SK20’», tal como se recoge en los documentos </w:t>
      </w:r>
      <w:hyperlink r:id="rId15" w:history="1">
        <w:r w:rsidR="001B6C83" w:rsidRPr="009319BB">
          <w:rPr>
            <w:rStyle w:val="Hyperlink"/>
            <w:rFonts w:eastAsia="MS Mincho"/>
            <w:lang w:val="es-ES"/>
          </w:rPr>
          <w:t>TWO/57/4</w:t>
        </w:r>
      </w:hyperlink>
      <w:r w:rsidR="001B6C83" w:rsidRPr="009319BB">
        <w:rPr>
          <w:rFonts w:eastAsia="MS Mincho"/>
          <w:lang w:val="es-ES"/>
        </w:rPr>
        <w:t xml:space="preserve">, </w:t>
      </w:r>
      <w:hyperlink r:id="rId16" w:history="1">
        <w:r w:rsidR="00BA470A" w:rsidRPr="009319BB">
          <w:rPr>
            <w:rStyle w:val="Hyperlink"/>
            <w:lang w:val="es-ES"/>
          </w:rPr>
          <w:t>TWV/59/8</w:t>
        </w:r>
      </w:hyperlink>
      <w:r w:rsidR="001B6C83" w:rsidRPr="009319BB">
        <w:rPr>
          <w:lang w:val="es-ES"/>
        </w:rPr>
        <w:t xml:space="preserve"> y </w:t>
      </w:r>
      <w:hyperlink r:id="rId17" w:history="1">
        <w:r w:rsidR="00BA470A" w:rsidRPr="009319BB">
          <w:rPr>
            <w:rStyle w:val="Hyperlink"/>
            <w:lang w:val="es-ES"/>
          </w:rPr>
          <w:t>TWF/56/4</w:t>
        </w:r>
      </w:hyperlink>
      <w:r w:rsidR="001B6C83" w:rsidRPr="009319BB">
        <w:rPr>
          <w:rStyle w:val="FootnoteReference"/>
          <w:lang w:val="es-ES"/>
        </w:rPr>
        <w:footnoteReference w:id="10"/>
      </w:r>
      <w:r w:rsidR="00BA470A" w:rsidRPr="009319BB">
        <w:rPr>
          <w:lang w:val="es-ES"/>
        </w:rPr>
        <w:t xml:space="preserve"> .</w:t>
      </w:r>
    </w:p>
    <w:p w14:paraId="4951999C" w14:textId="77777777" w:rsidR="00302A22" w:rsidRPr="009319BB" w:rsidRDefault="00302A22" w:rsidP="00302A22">
      <w:pPr>
        <w:rPr>
          <w:rFonts w:eastAsia="MS Mincho"/>
          <w:lang w:val="es-ES"/>
        </w:rPr>
      </w:pPr>
    </w:p>
    <w:p w14:paraId="5A7ECF23" w14:textId="1C8FEFED" w:rsidR="00302A22" w:rsidRPr="009319BB" w:rsidRDefault="001E6406" w:rsidP="00302A22">
      <w:pPr>
        <w:rPr>
          <w:rFonts w:eastAsia="MS Mincho"/>
          <w:lang w:val="es-ES"/>
        </w:rPr>
      </w:pPr>
      <w:r w:rsidRPr="009319BB">
        <w:rPr>
          <w:rFonts w:eastAsia="MS Mincho"/>
          <w:lang w:val="es-ES"/>
        </w:rPr>
        <w:fldChar w:fldCharType="begin"/>
      </w:r>
      <w:r w:rsidRPr="009319BB">
        <w:rPr>
          <w:rFonts w:eastAsia="MS Mincho"/>
          <w:lang w:val="es-ES"/>
        </w:rPr>
        <w:instrText xml:space="preserve"> AUTONUM  </w:instrText>
      </w:r>
      <w:r w:rsidRPr="009319BB">
        <w:rPr>
          <w:rFonts w:eastAsia="MS Mincho"/>
          <w:lang w:val="es-ES"/>
        </w:rPr>
        <w:fldChar w:fldCharType="end"/>
      </w:r>
      <w:r w:rsidRPr="009319BB">
        <w:rPr>
          <w:rFonts w:eastAsia="MS Mincho"/>
          <w:lang w:val="es-ES"/>
        </w:rPr>
        <w:tab/>
      </w:r>
      <w:r w:rsidR="00302A22" w:rsidRPr="009319BB">
        <w:rPr>
          <w:rFonts w:eastAsia="MS Mincho"/>
          <w:lang w:val="es-ES"/>
        </w:rPr>
        <w:t xml:space="preserve">El TWO examinó la propuesta del documento TWO/57/4 relativa a las descripciones de variedades para reducir la información proporcionada sobre los caracteres en los que el candidato se distinguía de la variedad similar y convino en que la información sobre los caracteres más pertinentes debía figurar en </w:t>
      </w:r>
      <w:r w:rsidR="00302A22" w:rsidRPr="009319BB">
        <w:rPr>
          <w:lang w:val="es-ES"/>
        </w:rPr>
        <w:t>el informe sobre el examen técnico</w:t>
      </w:r>
      <w:r w:rsidR="00302A22" w:rsidRPr="009319BB">
        <w:rPr>
          <w:rFonts w:eastAsia="MS Mincho"/>
          <w:lang w:val="es-ES"/>
        </w:rPr>
        <w:t xml:space="preserve">. </w:t>
      </w:r>
    </w:p>
    <w:bookmarkEnd w:id="21"/>
    <w:p w14:paraId="0B558C0D" w14:textId="77777777" w:rsidR="006F0A99" w:rsidRPr="009319BB" w:rsidRDefault="006F0A99" w:rsidP="006F0A99">
      <w:pPr>
        <w:rPr>
          <w:lang w:val="es-ES"/>
        </w:rPr>
      </w:pPr>
    </w:p>
    <w:p w14:paraId="6BEA7C47" w14:textId="249B0C1D" w:rsidR="006F0A99" w:rsidRPr="009319BB" w:rsidRDefault="001E6406" w:rsidP="006F0A99">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r>
      <w:r w:rsidR="006F0A99" w:rsidRPr="009319BB">
        <w:rPr>
          <w:lang w:val="es-ES"/>
        </w:rPr>
        <w:t xml:space="preserve">El TWV debatió el uso de caracteres adicionales no incluidos en las directrices de examen y tomó nota de una de las razones aducidas por el Tribunal, a saber, que los caracteres de la descripción de la variedad «no tenían por objeto reflejar la expresión de todos los caracteres resultantes del genotipo de la variedad, sino solo determinados caracteres que bastaban para demostrar el cumplimiento del requisito de distinción».  </w:t>
      </w:r>
    </w:p>
    <w:p w14:paraId="1DAE9A6B" w14:textId="77777777" w:rsidR="006F0A99" w:rsidRPr="009319BB" w:rsidRDefault="006F0A99" w:rsidP="006F0A99">
      <w:pPr>
        <w:rPr>
          <w:lang w:val="es-ES"/>
        </w:rPr>
      </w:pPr>
    </w:p>
    <w:p w14:paraId="4E66C0A1" w14:textId="6ECD7D9C" w:rsidR="006F0A99" w:rsidRPr="009319BB" w:rsidRDefault="001E6406" w:rsidP="006F0A99">
      <w:pPr>
        <w:rPr>
          <w:lang w:val="es-ES"/>
        </w:rPr>
      </w:pPr>
      <w:r w:rsidRPr="009319BB">
        <w:rPr>
          <w:lang w:val="es-ES"/>
        </w:rPr>
        <w:lastRenderedPageBreak/>
        <w:fldChar w:fldCharType="begin"/>
      </w:r>
      <w:r w:rsidRPr="009319BB">
        <w:rPr>
          <w:lang w:val="es-ES"/>
        </w:rPr>
        <w:instrText xml:space="preserve"> AUTONUM  </w:instrText>
      </w:r>
      <w:r w:rsidRPr="009319BB">
        <w:rPr>
          <w:lang w:val="es-ES"/>
        </w:rPr>
        <w:fldChar w:fldCharType="end"/>
      </w:r>
      <w:r w:rsidRPr="009319BB">
        <w:rPr>
          <w:lang w:val="es-ES"/>
        </w:rPr>
        <w:tab/>
      </w:r>
      <w:r w:rsidR="006F0A99" w:rsidRPr="009319BB">
        <w:rPr>
          <w:lang w:val="es-ES"/>
        </w:rPr>
        <w:t>El TWV examinó la propuesta del documento TWV/59/8 de que las descripciones de variedades redujeran la información proporcionada sobre los caracteres en los que el candidato se diferenciaba de la variedad similar y convino en que existían opiniones divergentes al respecto en los distintos grupos de trabajo técnicos (TWP).</w:t>
      </w:r>
    </w:p>
    <w:p w14:paraId="34FA8E9A" w14:textId="77777777" w:rsidR="009357CF" w:rsidRPr="009319BB" w:rsidRDefault="009357CF" w:rsidP="009357CF">
      <w:pPr>
        <w:rPr>
          <w:lang w:val="es-ES"/>
        </w:rPr>
      </w:pPr>
    </w:p>
    <w:p w14:paraId="0B3D8CDB" w14:textId="77777777" w:rsidR="009357CF" w:rsidRPr="009319BB" w:rsidRDefault="009357CF" w:rsidP="009357CF">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TWF debatió el número de caracteres en las directrices de examen y convino en que debía haber un equilibrio entre disponer de un número suficiente de caracteres que permitieran describir la variedad y centrarse en los caracteres más útiles para la distinción. </w:t>
      </w:r>
    </w:p>
    <w:p w14:paraId="5351580B" w14:textId="77777777" w:rsidR="009357CF" w:rsidRPr="009319BB" w:rsidRDefault="009357CF" w:rsidP="009357CF">
      <w:pPr>
        <w:rPr>
          <w:lang w:val="es-ES"/>
        </w:rPr>
      </w:pPr>
    </w:p>
    <w:p w14:paraId="72AB7775" w14:textId="7A147BC8" w:rsidR="009357CF" w:rsidRPr="009319BB" w:rsidRDefault="006B68C2" w:rsidP="009357CF">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r>
      <w:r w:rsidR="009357CF" w:rsidRPr="009319BB">
        <w:rPr>
          <w:lang w:val="es-ES"/>
        </w:rPr>
        <w:t xml:space="preserve">El TWF acogió con satisfacción la iniciativa de presentar un caso judicial relacionado con cuestiones técnicas y acordó invitar a presentaciones similares en el futuro. </w:t>
      </w:r>
    </w:p>
    <w:p w14:paraId="3CF62047" w14:textId="77777777" w:rsidR="00302A22" w:rsidRPr="009319BB" w:rsidRDefault="00302A22" w:rsidP="00302A22">
      <w:pPr>
        <w:jc w:val="left"/>
        <w:rPr>
          <w:rFonts w:eastAsia="MS Mincho"/>
          <w:lang w:val="es-ES"/>
        </w:rPr>
      </w:pPr>
    </w:p>
    <w:p w14:paraId="07521527" w14:textId="77777777" w:rsidR="004675E5" w:rsidRPr="009319BB" w:rsidRDefault="004675E5" w:rsidP="00302A22">
      <w:pPr>
        <w:jc w:val="left"/>
        <w:rPr>
          <w:rFonts w:eastAsia="MS Mincho"/>
          <w:lang w:val="es-ES"/>
        </w:rPr>
      </w:pPr>
    </w:p>
    <w:p w14:paraId="1C3F74F5" w14:textId="2DBFAD48" w:rsidR="009C0E22" w:rsidRPr="009319BB" w:rsidRDefault="003B4826" w:rsidP="00365B2A">
      <w:pPr>
        <w:pStyle w:val="Heading2"/>
        <w:rPr>
          <w:rFonts w:eastAsia="MS Mincho"/>
          <w:lang w:val="es-ES"/>
        </w:rPr>
      </w:pPr>
      <w:bookmarkStart w:id="28" w:name="_Toc208828861"/>
      <w:r w:rsidRPr="009319BB">
        <w:rPr>
          <w:lang w:val="es-ES"/>
        </w:rPr>
        <w:t>Bases de datos de información</w:t>
      </w:r>
      <w:r w:rsidR="00AC0937" w:rsidRPr="009319BB">
        <w:rPr>
          <w:lang w:val="es-ES"/>
        </w:rPr>
        <w:t xml:space="preserve">: </w:t>
      </w:r>
      <w:r w:rsidR="009C0E22" w:rsidRPr="009319BB">
        <w:rPr>
          <w:rFonts w:eastAsia="MS Mincho"/>
          <w:lang w:val="es-ES"/>
        </w:rPr>
        <w:t>El valor y la fiabilidad de los nombres botánicos en las plantas ornamentales</w:t>
      </w:r>
      <w:bookmarkEnd w:id="28"/>
    </w:p>
    <w:p w14:paraId="4976911A" w14:textId="77777777" w:rsidR="009C0E22" w:rsidRPr="009319BB" w:rsidRDefault="009C0E22" w:rsidP="009C0E22">
      <w:pPr>
        <w:jc w:val="left"/>
        <w:rPr>
          <w:rFonts w:eastAsia="MS Mincho"/>
          <w:lang w:val="es-ES"/>
        </w:rPr>
      </w:pPr>
    </w:p>
    <w:p w14:paraId="64A971D4" w14:textId="42EDD2E9" w:rsidR="009C0E22" w:rsidRPr="009319BB" w:rsidRDefault="00092C1C" w:rsidP="009C0E22">
      <w:pPr>
        <w:rPr>
          <w:rFonts w:eastAsia="MS Mincho"/>
          <w:lang w:val="es-ES"/>
        </w:rPr>
      </w:pPr>
      <w:r w:rsidRPr="009319BB">
        <w:rPr>
          <w:rFonts w:eastAsia="MS Mincho"/>
          <w:lang w:val="es-ES"/>
        </w:rPr>
        <w:fldChar w:fldCharType="begin"/>
      </w:r>
      <w:r w:rsidRPr="009319BB">
        <w:rPr>
          <w:rFonts w:eastAsia="MS Mincho"/>
          <w:lang w:val="es-ES"/>
        </w:rPr>
        <w:instrText xml:space="preserve"> AUTONUM  </w:instrText>
      </w:r>
      <w:r w:rsidRPr="009319BB">
        <w:rPr>
          <w:rFonts w:eastAsia="MS Mincho"/>
          <w:lang w:val="es-ES"/>
        </w:rPr>
        <w:fldChar w:fldCharType="end"/>
      </w:r>
      <w:r w:rsidRPr="009319BB">
        <w:rPr>
          <w:rFonts w:eastAsia="MS Mincho"/>
          <w:lang w:val="es-ES"/>
        </w:rPr>
        <w:tab/>
      </w:r>
      <w:r w:rsidR="009C0E22" w:rsidRPr="009319BB">
        <w:rPr>
          <w:rFonts w:eastAsia="MS Mincho"/>
          <w:lang w:val="es-ES"/>
        </w:rPr>
        <w:t>El TWO</w:t>
      </w:r>
      <w:r w:rsidR="003B4826" w:rsidRPr="009319BB">
        <w:rPr>
          <w:rStyle w:val="FootnoteReference"/>
          <w:rFonts w:eastAsia="MS Mincho"/>
          <w:lang w:val="es-ES"/>
        </w:rPr>
        <w:footnoteReference w:id="11"/>
      </w:r>
      <w:r w:rsidR="009C0E22" w:rsidRPr="009319BB">
        <w:rPr>
          <w:rFonts w:eastAsia="MS Mincho"/>
          <w:lang w:val="es-ES"/>
        </w:rPr>
        <w:t xml:space="preserve"> recibió una presentación sobre «El valor y la fiabilidad de los nombres botánicos en las plantas ornamentales» a cargo de un experto de los Países Bajos (Reino de). La presentación figura en el documento</w:t>
      </w:r>
      <w:bookmarkStart w:id="29" w:name="OLE_LINK1"/>
      <w:r w:rsidR="003B4826" w:rsidRPr="009319BB">
        <w:rPr>
          <w:rFonts w:eastAsia="MS Mincho"/>
          <w:lang w:val="es-ES"/>
        </w:rPr>
        <w:fldChar w:fldCharType="begin"/>
      </w:r>
      <w:r w:rsidR="003B4826" w:rsidRPr="009319BB">
        <w:rPr>
          <w:rFonts w:eastAsia="MS Mincho"/>
          <w:lang w:val="es-ES"/>
        </w:rPr>
        <w:instrText>HYPERLINK "https://www.upov.int/edocs/mdocs/upov/en/two_57/two_57_8.pdf"</w:instrText>
      </w:r>
      <w:r w:rsidR="003B4826" w:rsidRPr="009319BB">
        <w:rPr>
          <w:rFonts w:eastAsia="MS Mincho"/>
          <w:lang w:val="es-ES"/>
        </w:rPr>
      </w:r>
      <w:r w:rsidR="003B4826" w:rsidRPr="009319BB">
        <w:rPr>
          <w:rFonts w:eastAsia="MS Mincho"/>
          <w:lang w:val="es-ES"/>
        </w:rPr>
        <w:fldChar w:fldCharType="separate"/>
      </w:r>
      <w:r w:rsidR="009C0E22" w:rsidRPr="009319BB">
        <w:rPr>
          <w:rStyle w:val="Hyperlink"/>
          <w:rFonts w:eastAsia="MS Mincho"/>
          <w:lang w:val="es-ES"/>
        </w:rPr>
        <w:t xml:space="preserve"> TWO/57/8</w:t>
      </w:r>
      <w:bookmarkEnd w:id="29"/>
      <w:r w:rsidR="003B4826" w:rsidRPr="009319BB">
        <w:rPr>
          <w:rFonts w:eastAsia="MS Mincho"/>
          <w:lang w:val="es-ES"/>
        </w:rPr>
        <w:fldChar w:fldCharType="end"/>
      </w:r>
      <w:r w:rsidR="009C0E22" w:rsidRPr="009319BB">
        <w:rPr>
          <w:rFonts w:eastAsia="MS Mincho"/>
          <w:lang w:val="es-ES"/>
        </w:rPr>
        <w:t>.</w:t>
      </w:r>
    </w:p>
    <w:p w14:paraId="5380B49F" w14:textId="77777777" w:rsidR="009C0E22" w:rsidRPr="009319BB" w:rsidRDefault="009C0E22" w:rsidP="009C0E22">
      <w:pPr>
        <w:rPr>
          <w:rFonts w:eastAsia="MS Mincho"/>
          <w:lang w:val="es-ES"/>
        </w:rPr>
      </w:pPr>
    </w:p>
    <w:p w14:paraId="0B9E131A" w14:textId="75F2AFA1" w:rsidR="009C0E22" w:rsidRPr="009319BB" w:rsidRDefault="00092C1C" w:rsidP="009C0E22">
      <w:pPr>
        <w:rPr>
          <w:rFonts w:eastAsia="MS Mincho"/>
          <w:lang w:val="es-ES"/>
        </w:rPr>
      </w:pPr>
      <w:r w:rsidRPr="009319BB">
        <w:rPr>
          <w:rFonts w:eastAsia="MS Mincho"/>
          <w:lang w:val="es-ES"/>
        </w:rPr>
        <w:fldChar w:fldCharType="begin"/>
      </w:r>
      <w:r w:rsidRPr="009319BB">
        <w:rPr>
          <w:rFonts w:eastAsia="MS Mincho"/>
          <w:lang w:val="es-ES"/>
        </w:rPr>
        <w:instrText xml:space="preserve"> AUTONUM  </w:instrText>
      </w:r>
      <w:r w:rsidRPr="009319BB">
        <w:rPr>
          <w:rFonts w:eastAsia="MS Mincho"/>
          <w:lang w:val="es-ES"/>
        </w:rPr>
        <w:fldChar w:fldCharType="end"/>
      </w:r>
      <w:r w:rsidRPr="009319BB">
        <w:rPr>
          <w:rFonts w:eastAsia="MS Mincho"/>
          <w:lang w:val="es-ES"/>
        </w:rPr>
        <w:tab/>
      </w:r>
      <w:r w:rsidR="009C0E22" w:rsidRPr="009319BB">
        <w:rPr>
          <w:rFonts w:eastAsia="MS Mincho"/>
          <w:lang w:val="es-ES"/>
        </w:rPr>
        <w:t>El TWO tomó nota del informe que figura en el documento TWO/57/8, en el que se señala que la información taxonómica imprecisa facilitada por los solicitantes podría tener consecuencias administrativas para la cooperación internacional y la concesión de derechos de obtentor.</w:t>
      </w:r>
    </w:p>
    <w:p w14:paraId="4A4F9008" w14:textId="77777777" w:rsidR="009C0E22" w:rsidRPr="009319BB" w:rsidRDefault="009C0E22" w:rsidP="009C0E22">
      <w:pPr>
        <w:rPr>
          <w:rFonts w:eastAsia="MS Mincho"/>
          <w:lang w:val="es-ES"/>
        </w:rPr>
      </w:pPr>
    </w:p>
    <w:p w14:paraId="69555699" w14:textId="71AE2CE6" w:rsidR="009C0E22" w:rsidRPr="009319BB" w:rsidRDefault="00092C1C" w:rsidP="009C0E22">
      <w:pPr>
        <w:rPr>
          <w:rFonts w:eastAsia="MS Mincho"/>
          <w:lang w:val="es-ES"/>
        </w:rPr>
      </w:pPr>
      <w:r w:rsidRPr="009319BB">
        <w:rPr>
          <w:rFonts w:eastAsia="MS Mincho"/>
          <w:lang w:val="es-ES"/>
        </w:rPr>
        <w:fldChar w:fldCharType="begin"/>
      </w:r>
      <w:r w:rsidRPr="009319BB">
        <w:rPr>
          <w:rFonts w:eastAsia="MS Mincho"/>
          <w:lang w:val="es-ES"/>
        </w:rPr>
        <w:instrText xml:space="preserve"> AUTONUM  </w:instrText>
      </w:r>
      <w:r w:rsidRPr="009319BB">
        <w:rPr>
          <w:rFonts w:eastAsia="MS Mincho"/>
          <w:lang w:val="es-ES"/>
        </w:rPr>
        <w:fldChar w:fldCharType="end"/>
      </w:r>
      <w:r w:rsidRPr="009319BB">
        <w:rPr>
          <w:rFonts w:eastAsia="MS Mincho"/>
          <w:lang w:val="es-ES"/>
        </w:rPr>
        <w:tab/>
      </w:r>
      <w:r w:rsidR="009C0E22" w:rsidRPr="009319BB">
        <w:rPr>
          <w:rFonts w:eastAsia="MS Mincho"/>
          <w:lang w:val="es-ES"/>
        </w:rPr>
        <w:t xml:space="preserve">El TWO convino en que los obtentores podrían tener dificultades para proporcionar información taxonómica precisa sobre determinadas plantas ornamentales, en particular aquellas con una taxonomía compleja.  El TWO convino en que, en tales casos, la selección de variedades similares debería tener en cuenta todo el género para evitar que se pasaran por alto variedades para la comparación en el ensayo de cultivo.  </w:t>
      </w:r>
    </w:p>
    <w:p w14:paraId="09E827AB" w14:textId="77777777" w:rsidR="009C0E22" w:rsidRPr="009319BB" w:rsidRDefault="009C0E22" w:rsidP="009C0E22">
      <w:pPr>
        <w:rPr>
          <w:rFonts w:eastAsia="MS Mincho"/>
          <w:lang w:val="es-ES"/>
        </w:rPr>
      </w:pPr>
    </w:p>
    <w:p w14:paraId="2A4676CE" w14:textId="54E28589" w:rsidR="009C0E22" w:rsidRPr="009319BB" w:rsidRDefault="00092C1C" w:rsidP="009C0E22">
      <w:pPr>
        <w:rPr>
          <w:rFonts w:eastAsia="MS Mincho"/>
          <w:lang w:val="es-ES"/>
        </w:rPr>
      </w:pPr>
      <w:r w:rsidRPr="009319BB">
        <w:rPr>
          <w:rFonts w:eastAsia="MS Mincho"/>
          <w:lang w:val="es-ES"/>
        </w:rPr>
        <w:fldChar w:fldCharType="begin"/>
      </w:r>
      <w:r w:rsidRPr="009319BB">
        <w:rPr>
          <w:rFonts w:eastAsia="MS Mincho"/>
          <w:lang w:val="es-ES"/>
        </w:rPr>
        <w:instrText xml:space="preserve"> AUTONUM  </w:instrText>
      </w:r>
      <w:r w:rsidRPr="009319BB">
        <w:rPr>
          <w:rFonts w:eastAsia="MS Mincho"/>
          <w:lang w:val="es-ES"/>
        </w:rPr>
        <w:fldChar w:fldCharType="end"/>
      </w:r>
      <w:r w:rsidRPr="009319BB">
        <w:rPr>
          <w:rFonts w:eastAsia="MS Mincho"/>
          <w:lang w:val="es-ES"/>
        </w:rPr>
        <w:tab/>
      </w:r>
      <w:r w:rsidR="009C0E22" w:rsidRPr="009319BB">
        <w:rPr>
          <w:rFonts w:eastAsia="MS Mincho"/>
          <w:lang w:val="es-ES"/>
        </w:rPr>
        <w:t xml:space="preserve">El TWO examinó la propuesta del documento TWO/57/8 de utilizar la clasificación por grupos en el caso de las plantas ornamentales con una taxonomía compleja y convino en que el enfoque debería considerarse caso por caso.  </w:t>
      </w:r>
    </w:p>
    <w:p w14:paraId="098A381B" w14:textId="77777777" w:rsidR="00445B73" w:rsidRPr="009319BB" w:rsidRDefault="00445B73" w:rsidP="00445B73">
      <w:pPr>
        <w:rPr>
          <w:lang w:val="es-ES"/>
        </w:rPr>
      </w:pPr>
    </w:p>
    <w:p w14:paraId="7BE71397" w14:textId="77777777" w:rsidR="00852529" w:rsidRPr="009319BB" w:rsidRDefault="00852529" w:rsidP="00852529">
      <w:pPr>
        <w:rPr>
          <w:rFonts w:eastAsiaTheme="minorEastAsia" w:cs="Calibri"/>
          <w:szCs w:val="22"/>
          <w:lang w:val="es-ES"/>
          <w14:ligatures w14:val="standardContextual"/>
        </w:rPr>
      </w:pPr>
    </w:p>
    <w:p w14:paraId="6AE791DF" w14:textId="77777777" w:rsidR="00852529" w:rsidRPr="009319BB" w:rsidRDefault="00852529" w:rsidP="00365B2A">
      <w:pPr>
        <w:pStyle w:val="Heading2"/>
        <w:rPr>
          <w:rFonts w:eastAsiaTheme="minorEastAsia"/>
          <w:lang w:val="es-ES"/>
        </w:rPr>
      </w:pPr>
      <w:bookmarkStart w:id="30" w:name="_Toc208828862"/>
      <w:r w:rsidRPr="009319BB">
        <w:rPr>
          <w:rFonts w:eastAsiaTheme="minorEastAsia"/>
          <w:lang w:val="es-ES"/>
        </w:rPr>
        <w:t>Software y métodos de análisis estadístico para el examen DHE</w:t>
      </w:r>
      <w:bookmarkEnd w:id="30"/>
    </w:p>
    <w:p w14:paraId="50D40854" w14:textId="77777777" w:rsidR="00852529" w:rsidRPr="009319BB" w:rsidRDefault="00852529" w:rsidP="00852529">
      <w:pPr>
        <w:jc w:val="left"/>
        <w:rPr>
          <w:rFonts w:eastAsiaTheme="minorEastAsia" w:cs="Calibri"/>
          <w:lang w:val="es-ES"/>
          <w14:ligatures w14:val="standardContextual"/>
        </w:rPr>
      </w:pPr>
    </w:p>
    <w:p w14:paraId="71506324" w14:textId="77777777" w:rsidR="00852529" w:rsidRPr="009319BB" w:rsidRDefault="00852529" w:rsidP="00642D69">
      <w:pPr>
        <w:pStyle w:val="Heading3"/>
        <w:rPr>
          <w:rFonts w:eastAsiaTheme="minorEastAsia"/>
          <w:lang w:val="es-ES"/>
        </w:rPr>
      </w:pPr>
      <w:bookmarkStart w:id="31" w:name="_Hlk193879452"/>
      <w:bookmarkStart w:id="32" w:name="_Toc208828863"/>
      <w:r w:rsidRPr="009319BB">
        <w:rPr>
          <w:rFonts w:eastAsiaTheme="minorEastAsia"/>
          <w:lang w:val="es-ES"/>
        </w:rPr>
        <w:t>Desarrollo de una plataforma de macrodatos para el examen DUS</w:t>
      </w:r>
      <w:bookmarkEnd w:id="31"/>
      <w:bookmarkEnd w:id="32"/>
    </w:p>
    <w:p w14:paraId="33F85A1C" w14:textId="77777777" w:rsidR="00852529" w:rsidRPr="009319BB" w:rsidRDefault="00852529" w:rsidP="00852529">
      <w:pPr>
        <w:jc w:val="left"/>
        <w:rPr>
          <w:rFonts w:eastAsiaTheme="minorEastAsia" w:cs="Calibri"/>
          <w:szCs w:val="22"/>
          <w:lang w:val="es-ES"/>
          <w14:ligatures w14:val="standardContextual"/>
        </w:rPr>
      </w:pPr>
    </w:p>
    <w:p w14:paraId="59A5ABBA" w14:textId="63D3A002" w:rsidR="00852529" w:rsidRPr="009319BB" w:rsidRDefault="00092C1C" w:rsidP="00852529">
      <w:pPr>
        <w:contextualSpacing/>
        <w:jc w:val="left"/>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El TWM</w:t>
      </w:r>
      <w:r w:rsidR="00693F23" w:rsidRPr="009319BB">
        <w:rPr>
          <w:rStyle w:val="FootnoteReference"/>
          <w:rFonts w:eastAsiaTheme="minorEastAsia" w:cs="Calibri"/>
          <w:szCs w:val="22"/>
          <w:lang w:val="es-ES"/>
          <w14:ligatures w14:val="standardContextual"/>
        </w:rPr>
        <w:footnoteReference w:id="12"/>
      </w:r>
      <w:r w:rsidR="00852529" w:rsidRPr="009319BB">
        <w:rPr>
          <w:rFonts w:eastAsiaTheme="minorEastAsia" w:cs="Calibri"/>
          <w:szCs w:val="22"/>
          <w:lang w:val="es-ES"/>
          <w14:ligatures w14:val="standardContextual"/>
        </w:rPr>
        <w:t xml:space="preserve"> recibió una presentación del Sr. Kun Yang </w:t>
      </w:r>
      <w:r w:rsidR="00852529" w:rsidRPr="009319BB">
        <w:rPr>
          <w:rFonts w:eastAsiaTheme="minorEastAsia" w:cs="Calibri"/>
          <w:szCs w:val="22"/>
          <w:lang w:val="es-ES" w:eastAsia="ja-JP"/>
          <w14:ligatures w14:val="standardContextual"/>
        </w:rPr>
        <w:t xml:space="preserve">(China) </w:t>
      </w:r>
      <w:r w:rsidR="00852529" w:rsidRPr="009319BB">
        <w:rPr>
          <w:rFonts w:eastAsiaTheme="minorEastAsia" w:cs="Calibri"/>
          <w:szCs w:val="22"/>
          <w:lang w:val="es-ES"/>
          <w14:ligatures w14:val="standardContextual"/>
        </w:rPr>
        <w:t xml:space="preserve">sobre el «Desarrollo de una plataforma de macrodatos para el examen DHE», </w:t>
      </w:r>
      <w:r w:rsidR="00852529" w:rsidRPr="009319BB">
        <w:rPr>
          <w:rFonts w:eastAsiaTheme="minorEastAsia" w:cs="Arial"/>
          <w:iCs/>
          <w:szCs w:val="22"/>
          <w:lang w:val="es-ES"/>
          <w14:ligatures w14:val="standardContextual"/>
        </w:rPr>
        <w:t xml:space="preserve">cuya copia se reproduce en el documento </w:t>
      </w:r>
      <w:hyperlink r:id="rId18" w:history="1">
        <w:r w:rsidR="00852529" w:rsidRPr="009319BB">
          <w:rPr>
            <w:rStyle w:val="Hyperlink"/>
            <w:rFonts w:eastAsiaTheme="minorEastAsia" w:cs="Calibri"/>
            <w:szCs w:val="22"/>
            <w:lang w:val="es-ES" w:eastAsia="ja-JP"/>
            <w14:ligatures w14:val="standardContextual"/>
          </w:rPr>
          <w:t>TWM/3/19</w:t>
        </w:r>
      </w:hyperlink>
      <w:r w:rsidR="00852529" w:rsidRPr="009319BB">
        <w:rPr>
          <w:rFonts w:eastAsiaTheme="minorEastAsia" w:cs="Calibri"/>
          <w:szCs w:val="22"/>
          <w:lang w:val="es-ES"/>
          <w14:ligatures w14:val="standardContextual"/>
        </w:rPr>
        <w:t xml:space="preserve">.  </w:t>
      </w:r>
    </w:p>
    <w:p w14:paraId="43B9EA51" w14:textId="77777777" w:rsidR="00852529" w:rsidRPr="009319BB" w:rsidRDefault="00852529" w:rsidP="00852529">
      <w:pPr>
        <w:contextualSpacing/>
        <w:rPr>
          <w:rFonts w:eastAsiaTheme="minorEastAsia" w:cs="Calibri"/>
          <w:szCs w:val="22"/>
          <w:lang w:val="es-ES"/>
          <w14:ligatures w14:val="standardContextual"/>
        </w:rPr>
      </w:pPr>
    </w:p>
    <w:p w14:paraId="4E5F06E8" w14:textId="3AEFEB31" w:rsidR="00852529" w:rsidRPr="009319BB" w:rsidRDefault="00092C1C" w:rsidP="00092C1C">
      <w:pPr>
        <w:contextualSpacing/>
        <w:jc w:val="left"/>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 xml:space="preserve">El TWM tomó nota </w:t>
      </w:r>
      <w:r w:rsidR="00852529" w:rsidRPr="009319BB">
        <w:rPr>
          <w:rFonts w:eastAsiaTheme="minorEastAsia" w:cs="Calibri"/>
          <w:szCs w:val="22"/>
          <w:lang w:val="es-ES" w:eastAsia="ja-JP"/>
          <w14:ligatures w14:val="standardContextual"/>
        </w:rPr>
        <w:t>del software utilizado para la gestión de los datos de los ensayos DUS, incluida la gestión de datos, el análisis estadístico y el análisis de imágenes. El TWM tomó nota de los planes para seguir desarrollando la plataforma e invitó al experto de China a que informara sobre los avances en su cuarta sesión.</w:t>
      </w:r>
    </w:p>
    <w:p w14:paraId="7444AA8D" w14:textId="77777777" w:rsidR="00AC0937" w:rsidRPr="009319BB" w:rsidRDefault="00AC0937" w:rsidP="00852529">
      <w:pPr>
        <w:jc w:val="left"/>
        <w:rPr>
          <w:rFonts w:eastAsiaTheme="minorEastAsia" w:cs="Calibri"/>
          <w:szCs w:val="22"/>
          <w:lang w:val="es-ES"/>
          <w14:ligatures w14:val="standardContextual"/>
        </w:rPr>
      </w:pPr>
    </w:p>
    <w:p w14:paraId="38AA5E1D" w14:textId="77777777" w:rsidR="00852529" w:rsidRPr="009319BB" w:rsidRDefault="00852529" w:rsidP="00642D69">
      <w:pPr>
        <w:pStyle w:val="Heading3"/>
        <w:rPr>
          <w:rFonts w:eastAsiaTheme="minorEastAsia"/>
          <w:lang w:val="es-ES"/>
        </w:rPr>
      </w:pPr>
      <w:bookmarkStart w:id="33" w:name="_Toc208828864"/>
      <w:r w:rsidRPr="009319BB">
        <w:rPr>
          <w:rFonts w:eastAsiaTheme="minorEastAsia"/>
          <w:lang w:val="es-ES"/>
        </w:rPr>
        <w:t>Criterios de clasificación de los caracteres cuantitativos de la DHE del Anthurium mediante comparación múltiple</w:t>
      </w:r>
      <w:bookmarkEnd w:id="33"/>
    </w:p>
    <w:p w14:paraId="7AE94C9B" w14:textId="77777777" w:rsidR="00852529" w:rsidRPr="009319BB" w:rsidRDefault="00852529" w:rsidP="00852529">
      <w:pPr>
        <w:jc w:val="left"/>
        <w:rPr>
          <w:rFonts w:eastAsiaTheme="minorEastAsia" w:cs="Calibri"/>
          <w:szCs w:val="22"/>
          <w:lang w:val="es-ES"/>
          <w14:ligatures w14:val="standardContextual"/>
        </w:rPr>
      </w:pPr>
    </w:p>
    <w:p w14:paraId="632CE0D9" w14:textId="59FE8D74" w:rsidR="00852529" w:rsidRPr="009319BB" w:rsidRDefault="00092C1C" w:rsidP="00092C1C">
      <w:pPr>
        <w:contextualSpacing/>
        <w:jc w:val="left"/>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El TWM</w:t>
      </w:r>
      <w:r w:rsidR="00693F23" w:rsidRPr="009319BB">
        <w:rPr>
          <w:rStyle w:val="FootnoteReference"/>
          <w:rFonts w:eastAsiaTheme="minorEastAsia" w:cs="Calibri"/>
          <w:szCs w:val="22"/>
          <w:lang w:val="es-ES"/>
          <w14:ligatures w14:val="standardContextual"/>
        </w:rPr>
        <w:footnoteReference w:id="13"/>
      </w:r>
      <w:r w:rsidR="00852529" w:rsidRPr="009319BB">
        <w:rPr>
          <w:rFonts w:eastAsiaTheme="minorEastAsia" w:cs="Calibri"/>
          <w:szCs w:val="22"/>
          <w:lang w:val="es-ES"/>
          <w14:ligatures w14:val="standardContextual"/>
        </w:rPr>
        <w:t xml:space="preserve"> recibió una presentación de </w:t>
      </w:r>
      <w:r w:rsidR="00852529" w:rsidRPr="009319BB">
        <w:rPr>
          <w:rFonts w:eastAsiaTheme="minorEastAsia" w:cs="Calibri"/>
          <w:szCs w:val="22"/>
          <w:lang w:val="es-ES" w:eastAsia="ja-JP"/>
          <w14:ligatures w14:val="standardContextual"/>
        </w:rPr>
        <w:t>la Sra</w:t>
      </w:r>
      <w:r w:rsidR="00852529" w:rsidRPr="009319BB">
        <w:rPr>
          <w:rFonts w:eastAsiaTheme="minorEastAsia" w:cs="Calibri"/>
          <w:szCs w:val="22"/>
          <w:lang w:val="es-ES"/>
          <w14:ligatures w14:val="standardContextual"/>
        </w:rPr>
        <w:t xml:space="preserve">. Yunxia Chu </w:t>
      </w:r>
      <w:r w:rsidR="00852529" w:rsidRPr="009319BB">
        <w:rPr>
          <w:rFonts w:eastAsiaTheme="minorEastAsia" w:cs="Calibri"/>
          <w:szCs w:val="22"/>
          <w:lang w:val="es-ES" w:eastAsia="ja-JP"/>
          <w14:ligatures w14:val="standardContextual"/>
        </w:rPr>
        <w:t xml:space="preserve">(China) </w:t>
      </w:r>
      <w:r w:rsidR="00852529" w:rsidRPr="009319BB">
        <w:rPr>
          <w:rFonts w:eastAsiaTheme="minorEastAsia" w:cs="Calibri"/>
          <w:szCs w:val="22"/>
          <w:lang w:val="es-ES"/>
          <w14:ligatures w14:val="standardContextual"/>
        </w:rPr>
        <w:t xml:space="preserve">sobre «Criterios de clasificación de los caracteres cuantitativos de Anthurium para el examen DHE mediante comparación múltiple», </w:t>
      </w:r>
      <w:r w:rsidR="00852529" w:rsidRPr="009319BB">
        <w:rPr>
          <w:rFonts w:eastAsiaTheme="minorEastAsia" w:cs="Arial"/>
          <w:iCs/>
          <w:szCs w:val="22"/>
          <w:lang w:val="es-ES"/>
          <w14:ligatures w14:val="standardContextual"/>
        </w:rPr>
        <w:t xml:space="preserve">cuya copia figura en el documento </w:t>
      </w:r>
      <w:hyperlink r:id="rId19" w:history="1">
        <w:r w:rsidR="00852529" w:rsidRPr="009319BB">
          <w:rPr>
            <w:rStyle w:val="Hyperlink"/>
            <w:rFonts w:eastAsiaTheme="minorEastAsia" w:cs="Calibri"/>
            <w:szCs w:val="22"/>
            <w:lang w:val="es-ES" w:eastAsia="ja-JP"/>
            <w14:ligatures w14:val="standardContextual"/>
          </w:rPr>
          <w:t>TWM/3/12</w:t>
        </w:r>
      </w:hyperlink>
      <w:r w:rsidR="00852529" w:rsidRPr="009319BB">
        <w:rPr>
          <w:rFonts w:eastAsiaTheme="minorEastAsia" w:cs="Calibri"/>
          <w:szCs w:val="22"/>
          <w:lang w:val="es-ES"/>
          <w14:ligatures w14:val="standardContextual"/>
        </w:rPr>
        <w:t xml:space="preserve">.  </w:t>
      </w:r>
    </w:p>
    <w:p w14:paraId="4BBADF7D" w14:textId="77777777" w:rsidR="00852529" w:rsidRPr="009319BB" w:rsidRDefault="00852529" w:rsidP="00852529">
      <w:pPr>
        <w:contextualSpacing/>
        <w:rPr>
          <w:rFonts w:eastAsiaTheme="minorEastAsia" w:cs="Calibri"/>
          <w:szCs w:val="22"/>
          <w:lang w:val="es-ES"/>
          <w14:ligatures w14:val="standardContextual"/>
        </w:rPr>
      </w:pPr>
    </w:p>
    <w:bookmarkStart w:id="34" w:name="_Hlk196746844"/>
    <w:p w14:paraId="5B1CA583" w14:textId="6CBE73FA" w:rsidR="00852529" w:rsidRPr="009319BB" w:rsidRDefault="00092C1C" w:rsidP="00092C1C">
      <w:pPr>
        <w:contextualSpacing/>
        <w:jc w:val="left"/>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 xml:space="preserve">El TWM tomó nota </w:t>
      </w:r>
      <w:r w:rsidR="00852529" w:rsidRPr="009319BB">
        <w:rPr>
          <w:rFonts w:eastAsiaTheme="minorEastAsia" w:cs="Calibri"/>
          <w:szCs w:val="22"/>
          <w:lang w:val="es-ES" w:eastAsia="ja-JP"/>
          <w14:ligatures w14:val="standardContextual"/>
        </w:rPr>
        <w:t>de la posibilidad de reducir la tasa de error en el análisis de los caracteres cuantitativos medidos en Anthurium mediante el método de comparaciones múltiples.</w:t>
      </w:r>
    </w:p>
    <w:bookmarkEnd w:id="34"/>
    <w:p w14:paraId="55C101C7" w14:textId="77777777" w:rsidR="00AC0937" w:rsidRPr="009319BB" w:rsidRDefault="00AC0937" w:rsidP="00852529">
      <w:pPr>
        <w:contextualSpacing/>
        <w:rPr>
          <w:rFonts w:eastAsiaTheme="minorEastAsia" w:cs="Calibri"/>
          <w:szCs w:val="22"/>
          <w:lang w:val="es-ES"/>
          <w14:ligatures w14:val="standardContextual"/>
        </w:rPr>
      </w:pPr>
    </w:p>
    <w:p w14:paraId="121E8DC6" w14:textId="77777777" w:rsidR="00852529" w:rsidRPr="009319BB" w:rsidRDefault="00852529" w:rsidP="00642D69">
      <w:pPr>
        <w:pStyle w:val="Heading3"/>
        <w:rPr>
          <w:rFonts w:eastAsiaTheme="minorEastAsia"/>
          <w:lang w:val="es-ES"/>
        </w:rPr>
      </w:pPr>
      <w:bookmarkStart w:id="35" w:name="_Toc208828865"/>
      <w:r w:rsidRPr="009319BB">
        <w:rPr>
          <w:rFonts w:eastAsiaTheme="minorEastAsia"/>
          <w:lang w:val="es-ES"/>
        </w:rPr>
        <w:t>Actualización sobre el desarrollo de la COYU 2025</w:t>
      </w:r>
      <w:bookmarkEnd w:id="35"/>
    </w:p>
    <w:p w14:paraId="3931A8E4" w14:textId="77777777" w:rsidR="00852529" w:rsidRPr="009319BB" w:rsidRDefault="00852529" w:rsidP="00852529">
      <w:pPr>
        <w:jc w:val="left"/>
        <w:rPr>
          <w:rFonts w:eastAsiaTheme="minorEastAsia" w:cs="Calibri"/>
          <w:szCs w:val="22"/>
          <w:lang w:val="es-ES"/>
          <w14:ligatures w14:val="standardContextual"/>
        </w:rPr>
      </w:pPr>
    </w:p>
    <w:p w14:paraId="41290300" w14:textId="1A736206" w:rsidR="00852529" w:rsidRPr="009319BB" w:rsidRDefault="00092C1C" w:rsidP="00092C1C">
      <w:pPr>
        <w:contextualSpacing/>
        <w:jc w:val="left"/>
        <w:rPr>
          <w:rFonts w:eastAsiaTheme="minorEastAsia" w:cs="Calibri"/>
          <w:szCs w:val="22"/>
          <w:lang w:val="es-ES"/>
          <w14:ligatures w14:val="standardContextual"/>
        </w:rPr>
      </w:pPr>
      <w:r w:rsidRPr="009319BB">
        <w:rPr>
          <w:rFonts w:eastAsiaTheme="minorEastAsia" w:cs="Calibri"/>
          <w:szCs w:val="22"/>
          <w:lang w:val="es-ES"/>
          <w14:ligatures w14:val="standardContextual"/>
        </w:rPr>
        <w:lastRenderedPageBreak/>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El TWM</w:t>
      </w:r>
      <w:r w:rsidR="00693F23" w:rsidRPr="009319BB">
        <w:rPr>
          <w:rStyle w:val="FootnoteReference"/>
          <w:rFonts w:eastAsiaTheme="minorEastAsia" w:cs="Calibri"/>
          <w:szCs w:val="22"/>
          <w:lang w:val="es-ES"/>
          <w14:ligatures w14:val="standardContextual"/>
        </w:rPr>
        <w:footnoteReference w:id="14"/>
      </w:r>
      <w:r w:rsidR="00852529" w:rsidRPr="009319BB">
        <w:rPr>
          <w:rFonts w:eastAsiaTheme="minorEastAsia" w:cs="Calibri"/>
          <w:szCs w:val="22"/>
          <w:lang w:val="es-ES"/>
          <w14:ligatures w14:val="standardContextual"/>
        </w:rPr>
        <w:t xml:space="preserve"> recibió una presentación de</w:t>
      </w:r>
      <w:bookmarkStart w:id="36" w:name="_Hlk195532654"/>
      <w:r w:rsidR="00852529" w:rsidRPr="009319BB">
        <w:rPr>
          <w:rFonts w:eastAsiaTheme="minorEastAsia" w:cs="Calibri"/>
          <w:szCs w:val="22"/>
          <w:lang w:val="es-ES" w:eastAsia="ja-JP"/>
          <w14:ligatures w14:val="standardContextual"/>
        </w:rPr>
        <w:t xml:space="preserve"> la Sra</w:t>
      </w:r>
      <w:r w:rsidR="00852529" w:rsidRPr="009319BB">
        <w:rPr>
          <w:rFonts w:eastAsiaTheme="minorEastAsia" w:cs="Calibri"/>
          <w:szCs w:val="22"/>
          <w:lang w:val="es-ES"/>
          <w14:ligatures w14:val="standardContextual"/>
        </w:rPr>
        <w:t xml:space="preserve">. </w:t>
      </w:r>
      <w:r w:rsidR="00852529" w:rsidRPr="009319BB">
        <w:rPr>
          <w:rFonts w:eastAsiaTheme="minorEastAsia" w:cs="Calibri"/>
          <w:szCs w:val="22"/>
          <w:lang w:val="es-ES" w:eastAsia="ja-JP"/>
          <w14:ligatures w14:val="standardContextual"/>
        </w:rPr>
        <w:t xml:space="preserve">Trudyann Kelly </w:t>
      </w:r>
      <w:r w:rsidR="00852529" w:rsidRPr="009319BB">
        <w:rPr>
          <w:rFonts w:eastAsiaTheme="minorEastAsia" w:cs="Calibri"/>
          <w:szCs w:val="22"/>
          <w:lang w:val="es-ES"/>
          <w14:ligatures w14:val="standardContextual"/>
        </w:rPr>
        <w:t>(Reino Unido)</w:t>
      </w:r>
      <w:bookmarkEnd w:id="36"/>
      <w:r w:rsidR="00852529" w:rsidRPr="009319BB">
        <w:rPr>
          <w:rFonts w:eastAsiaTheme="minorEastAsia" w:cs="Calibri"/>
          <w:szCs w:val="22"/>
          <w:lang w:val="es-ES"/>
          <w14:ligatures w14:val="standardContextual"/>
        </w:rPr>
        <w:t xml:space="preserve"> sobre «Actualización sobre el desarrollo de COYU 2025», </w:t>
      </w:r>
      <w:r w:rsidR="00852529" w:rsidRPr="009319BB">
        <w:rPr>
          <w:rFonts w:eastAsiaTheme="minorEastAsia" w:cs="Arial"/>
          <w:iCs/>
          <w:szCs w:val="22"/>
          <w:lang w:val="es-ES"/>
          <w14:ligatures w14:val="standardContextual"/>
        </w:rPr>
        <w:t xml:space="preserve">cuya copia figura en el documento </w:t>
      </w:r>
      <w:hyperlink r:id="rId20" w:history="1">
        <w:r w:rsidR="00852529" w:rsidRPr="009319BB">
          <w:rPr>
            <w:rStyle w:val="Hyperlink"/>
            <w:rFonts w:eastAsiaTheme="minorEastAsia" w:cs="Calibri"/>
            <w:szCs w:val="22"/>
            <w:lang w:val="es-ES" w:eastAsia="ja-JP"/>
            <w14:ligatures w14:val="standardContextual"/>
          </w:rPr>
          <w:t>TWM/3/5</w:t>
        </w:r>
      </w:hyperlink>
      <w:r w:rsidR="00852529" w:rsidRPr="009319BB">
        <w:rPr>
          <w:rFonts w:eastAsiaTheme="minorEastAsia" w:cs="Calibri"/>
          <w:szCs w:val="22"/>
          <w:lang w:val="es-ES"/>
          <w14:ligatures w14:val="standardContextual"/>
        </w:rPr>
        <w:t xml:space="preserve">.  </w:t>
      </w:r>
    </w:p>
    <w:p w14:paraId="5D64FE79" w14:textId="77777777" w:rsidR="00852529" w:rsidRPr="009319BB" w:rsidRDefault="00852529" w:rsidP="00852529">
      <w:pPr>
        <w:contextualSpacing/>
        <w:rPr>
          <w:rFonts w:eastAsiaTheme="minorEastAsia" w:cs="Calibri"/>
          <w:szCs w:val="22"/>
          <w:lang w:val="es-ES"/>
          <w14:ligatures w14:val="standardContextual"/>
        </w:rPr>
      </w:pPr>
    </w:p>
    <w:p w14:paraId="0683623E" w14:textId="34BBAE63" w:rsidR="00852529" w:rsidRPr="009319BB" w:rsidRDefault="00092C1C" w:rsidP="00092C1C">
      <w:pPr>
        <w:contextualSpacing/>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 xml:space="preserve">El TWM recibió información actualizada sobre la aplicación </w:t>
      </w:r>
      <w:r w:rsidR="00852529" w:rsidRPr="009319BB">
        <w:rPr>
          <w:rFonts w:eastAsiaTheme="minorEastAsia" w:cs="Calibri"/>
          <w:szCs w:val="22"/>
          <w:lang w:val="es-ES" w:eastAsia="ja-JP"/>
          <w14:ligatures w14:val="standardContextual"/>
        </w:rPr>
        <w:t xml:space="preserve">del </w:t>
      </w:r>
      <w:r w:rsidR="00852529" w:rsidRPr="009319BB">
        <w:rPr>
          <w:rFonts w:eastAsiaTheme="minorEastAsia" w:cs="Calibri"/>
          <w:szCs w:val="22"/>
          <w:lang w:val="es-ES"/>
          <w14:ligatures w14:val="standardContextual"/>
        </w:rPr>
        <w:t xml:space="preserve">criterio de homogeneidad combinada a lo largo de varios años con splines (COYU). El TWM tomó nota de que el análisis se había desarrollado y probado en los programas informáticos DUSTNT y R, y de que el programa se actualizaría tras recibir los comentarios de los usuarios que lo habían probado </w:t>
      </w:r>
      <w:r w:rsidR="00852529" w:rsidRPr="009319BB">
        <w:rPr>
          <w:rFonts w:eastAsiaTheme="minorEastAsia" w:cs="Calibri"/>
          <w:szCs w:val="22"/>
          <w:lang w:val="es-ES" w:eastAsia="ja-JP"/>
          <w14:ligatures w14:val="standardContextual"/>
        </w:rPr>
        <w:t>(</w:t>
      </w:r>
      <w:r w:rsidR="00852529" w:rsidRPr="009319BB">
        <w:rPr>
          <w:rFonts w:eastAsiaTheme="minorEastAsia" w:cs="Calibri"/>
          <w:szCs w:val="22"/>
          <w:lang w:val="es-ES"/>
          <w14:ligatures w14:val="standardContextual"/>
        </w:rPr>
        <w:t>Finlandia</w:t>
      </w:r>
      <w:r w:rsidR="00852529" w:rsidRPr="009319BB">
        <w:rPr>
          <w:rFonts w:eastAsiaTheme="minorEastAsia" w:cs="Calibri"/>
          <w:szCs w:val="22"/>
          <w:lang w:val="es-ES" w:eastAsia="ja-JP"/>
          <w14:ligatures w14:val="standardContextual"/>
        </w:rPr>
        <w:t xml:space="preserve">, </w:t>
      </w:r>
      <w:r w:rsidR="00852529" w:rsidRPr="009319BB">
        <w:rPr>
          <w:rFonts w:eastAsiaTheme="minorEastAsia" w:cs="Calibri"/>
          <w:szCs w:val="22"/>
          <w:lang w:val="es-ES"/>
          <w14:ligatures w14:val="standardContextual"/>
        </w:rPr>
        <w:t xml:space="preserve">Países Bajos </w:t>
      </w:r>
      <w:r w:rsidR="00852529" w:rsidRPr="009319BB">
        <w:rPr>
          <w:rFonts w:eastAsiaTheme="minorEastAsia" w:cs="Calibri"/>
          <w:szCs w:val="22"/>
          <w:lang w:val="es-ES" w:eastAsia="ja-JP"/>
          <w14:ligatures w14:val="standardContextual"/>
        </w:rPr>
        <w:t xml:space="preserve">(Reino de los) </w:t>
      </w:r>
      <w:r w:rsidR="00852529" w:rsidRPr="009319BB">
        <w:rPr>
          <w:rFonts w:eastAsiaTheme="minorEastAsia" w:cs="Calibri"/>
          <w:szCs w:val="22"/>
          <w:lang w:val="es-ES"/>
          <w14:ligatures w14:val="standardContextual"/>
        </w:rPr>
        <w:t xml:space="preserve">y </w:t>
      </w:r>
      <w:r w:rsidR="00852529" w:rsidRPr="009319BB">
        <w:rPr>
          <w:rFonts w:eastAsiaTheme="minorEastAsia" w:cs="Calibri"/>
          <w:szCs w:val="22"/>
          <w:lang w:val="es-ES" w:eastAsia="ja-JP"/>
          <w14:ligatures w14:val="standardContextual"/>
        </w:rPr>
        <w:t>Reino Unido</w:t>
      </w:r>
      <w:r w:rsidR="00852529" w:rsidRPr="009319BB">
        <w:rPr>
          <w:rFonts w:eastAsiaTheme="minorEastAsia" w:cs="Calibri"/>
          <w:szCs w:val="22"/>
          <w:lang w:val="es-ES"/>
          <w14:ligatures w14:val="standardContextual"/>
        </w:rPr>
        <w:t>).  El TWM tomó nota de que el software se pondría a disposición de los miembros</w:t>
      </w:r>
      <w:r w:rsidR="00852529" w:rsidRPr="009319BB">
        <w:rPr>
          <w:rFonts w:eastAsiaTheme="minorEastAsia" w:cs="Calibri"/>
          <w:szCs w:val="22"/>
          <w:lang w:val="es-ES" w:eastAsia="ja-JP"/>
          <w14:ligatures w14:val="standardContextual"/>
        </w:rPr>
        <w:t xml:space="preserve"> de la UPOV </w:t>
      </w:r>
      <w:r w:rsidR="00852529" w:rsidRPr="009319BB">
        <w:rPr>
          <w:rFonts w:eastAsiaTheme="minorEastAsia" w:cs="Calibri"/>
          <w:szCs w:val="22"/>
          <w:lang w:val="es-ES"/>
          <w14:ligatures w14:val="standardContextual"/>
        </w:rPr>
        <w:t xml:space="preserve">e invitó </w:t>
      </w:r>
      <w:r w:rsidR="00852529" w:rsidRPr="009319BB">
        <w:rPr>
          <w:rFonts w:eastAsiaTheme="minorEastAsia" w:cs="Calibri"/>
          <w:szCs w:val="22"/>
          <w:lang w:val="es-ES" w:eastAsia="ja-JP"/>
          <w14:ligatures w14:val="standardContextual"/>
        </w:rPr>
        <w:t xml:space="preserve">al </w:t>
      </w:r>
      <w:r w:rsidR="00852529" w:rsidRPr="009319BB">
        <w:rPr>
          <w:rFonts w:eastAsiaTheme="minorEastAsia" w:cs="Calibri"/>
          <w:szCs w:val="22"/>
          <w:lang w:val="es-ES"/>
          <w14:ligatures w14:val="standardContextual"/>
        </w:rPr>
        <w:t xml:space="preserve">Reino Unido a que, en su próxima sesión, proporcionara información actualizada sobre </w:t>
      </w:r>
      <w:r w:rsidR="00852529" w:rsidRPr="009319BB">
        <w:rPr>
          <w:rFonts w:eastAsiaTheme="minorEastAsia" w:cs="Calibri"/>
          <w:szCs w:val="22"/>
          <w:lang w:val="es-ES" w:eastAsia="ja-JP"/>
          <w14:ligatures w14:val="standardContextual"/>
        </w:rPr>
        <w:t xml:space="preserve">el software, la experiencia de aplicación en el Reino Unido y orientación sobre cómo gestionar </w:t>
      </w:r>
      <w:r w:rsidR="00852529" w:rsidRPr="009319BB">
        <w:rPr>
          <w:rFonts w:eastAsiaTheme="minorEastAsia" w:cs="Calibri"/>
          <w:szCs w:val="22"/>
          <w:lang w:val="es-ES"/>
          <w14:ligatures w14:val="standardContextual"/>
        </w:rPr>
        <w:t>la extrapolación dentro de COYU.</w:t>
      </w:r>
    </w:p>
    <w:p w14:paraId="795CA8C8" w14:textId="77777777" w:rsidR="00852529" w:rsidRPr="009319BB" w:rsidRDefault="00852529" w:rsidP="00092C1C">
      <w:pPr>
        <w:rPr>
          <w:rFonts w:eastAsiaTheme="minorEastAsia" w:cs="Calibri"/>
          <w:szCs w:val="22"/>
          <w:lang w:val="es-ES"/>
          <w14:ligatures w14:val="standardContextual"/>
        </w:rPr>
      </w:pPr>
    </w:p>
    <w:p w14:paraId="0E6C930D" w14:textId="77777777" w:rsidR="00D97966" w:rsidRPr="009319BB" w:rsidRDefault="00D97966" w:rsidP="00092C1C">
      <w:pPr>
        <w:rPr>
          <w:rFonts w:eastAsiaTheme="minorEastAsia" w:cs="Calibri"/>
          <w:szCs w:val="22"/>
          <w:lang w:val="es-ES"/>
          <w14:ligatures w14:val="standardContextual"/>
        </w:rPr>
      </w:pPr>
    </w:p>
    <w:p w14:paraId="72C3ECB3" w14:textId="77777777" w:rsidR="00852529" w:rsidRPr="009319BB" w:rsidRDefault="00852529" w:rsidP="00365B2A">
      <w:pPr>
        <w:pStyle w:val="Heading2"/>
        <w:rPr>
          <w:rFonts w:eastAsiaTheme="minorEastAsia"/>
          <w:lang w:val="es-ES"/>
        </w:rPr>
      </w:pPr>
      <w:bookmarkStart w:id="37" w:name="_Toc208828866"/>
      <w:r w:rsidRPr="009319BB">
        <w:rPr>
          <w:rFonts w:eastAsiaTheme="minorEastAsia"/>
          <w:lang w:val="es-ES"/>
        </w:rPr>
        <w:t>Fenotipado y análisis de imágenes</w:t>
      </w:r>
      <w:bookmarkEnd w:id="37"/>
    </w:p>
    <w:p w14:paraId="615C8C88" w14:textId="77777777" w:rsidR="00852529" w:rsidRPr="009319BB" w:rsidRDefault="00852529" w:rsidP="00092C1C">
      <w:pPr>
        <w:rPr>
          <w:rFonts w:eastAsiaTheme="minorEastAsia" w:cs="Calibri"/>
          <w:szCs w:val="22"/>
          <w:lang w:val="es-ES"/>
          <w14:ligatures w14:val="standardContextual"/>
        </w:rPr>
      </w:pPr>
    </w:p>
    <w:p w14:paraId="368820D6" w14:textId="77777777" w:rsidR="00852529" w:rsidRPr="009319BB" w:rsidRDefault="00852529" w:rsidP="00092C1C">
      <w:pPr>
        <w:pStyle w:val="Heading3"/>
        <w:rPr>
          <w:rFonts w:eastAsiaTheme="minorEastAsia"/>
          <w:lang w:val="es-ES"/>
        </w:rPr>
      </w:pPr>
      <w:bookmarkStart w:id="38" w:name="_Toc208828867"/>
      <w:r w:rsidRPr="009319BB">
        <w:rPr>
          <w:rFonts w:eastAsiaTheme="minorEastAsia"/>
          <w:lang w:val="es-ES"/>
        </w:rPr>
        <w:t>Una nueva perspectiva sobre el examen DHE del color del fruto de la berenjena basada en parámetros de color de laboratorio</w:t>
      </w:r>
      <w:bookmarkEnd w:id="38"/>
    </w:p>
    <w:p w14:paraId="1F608D02" w14:textId="77777777" w:rsidR="00852529" w:rsidRPr="009319BB" w:rsidRDefault="00852529" w:rsidP="00092C1C">
      <w:pPr>
        <w:rPr>
          <w:rFonts w:eastAsiaTheme="minorEastAsia" w:cs="Calibri"/>
          <w:szCs w:val="22"/>
          <w:lang w:val="es-ES"/>
          <w14:ligatures w14:val="standardContextual"/>
        </w:rPr>
      </w:pPr>
    </w:p>
    <w:p w14:paraId="560E4258" w14:textId="30171495" w:rsidR="00852529" w:rsidRPr="009319BB" w:rsidRDefault="00092C1C" w:rsidP="00092C1C">
      <w:pPr>
        <w:contextualSpacing/>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El Grupo de Trabajo sobre la Materia (TWM)</w:t>
      </w:r>
      <w:r w:rsidR="00693F23" w:rsidRPr="009319BB">
        <w:rPr>
          <w:rStyle w:val="FootnoteReference"/>
          <w:rFonts w:eastAsiaTheme="minorEastAsia" w:cs="Calibri"/>
          <w:szCs w:val="22"/>
          <w:lang w:val="es-ES"/>
          <w14:ligatures w14:val="standardContextual"/>
        </w:rPr>
        <w:footnoteReference w:id="15"/>
      </w:r>
      <w:r w:rsidR="00852529" w:rsidRPr="009319BB">
        <w:rPr>
          <w:rFonts w:eastAsiaTheme="minorEastAsia" w:cs="Calibri"/>
          <w:szCs w:val="22"/>
          <w:lang w:val="es-ES"/>
          <w14:ligatures w14:val="standardContextual"/>
        </w:rPr>
        <w:t xml:space="preserve"> recibió una presentación de </w:t>
      </w:r>
      <w:r w:rsidR="00852529" w:rsidRPr="009319BB">
        <w:rPr>
          <w:rFonts w:eastAsiaTheme="minorEastAsia" w:cs="Calibri"/>
          <w:szCs w:val="22"/>
          <w:lang w:val="es-ES" w:eastAsia="ja-JP"/>
          <w14:ligatures w14:val="standardContextual"/>
        </w:rPr>
        <w:t>la Sra</w:t>
      </w:r>
      <w:r w:rsidR="00852529" w:rsidRPr="009319BB">
        <w:rPr>
          <w:rFonts w:eastAsiaTheme="minorEastAsia" w:cs="Calibri"/>
          <w:szCs w:val="22"/>
          <w:lang w:val="es-ES"/>
          <w14:ligatures w14:val="standardContextual"/>
        </w:rPr>
        <w:t xml:space="preserve">. Yiying Zhang </w:t>
      </w:r>
      <w:r w:rsidR="00852529" w:rsidRPr="009319BB">
        <w:rPr>
          <w:rFonts w:eastAsiaTheme="minorEastAsia" w:cs="Calibri"/>
          <w:szCs w:val="22"/>
          <w:lang w:val="es-ES" w:eastAsia="ja-JP"/>
          <w14:ligatures w14:val="standardContextual"/>
        </w:rPr>
        <w:t xml:space="preserve">(China) </w:t>
      </w:r>
      <w:r w:rsidR="00852529" w:rsidRPr="009319BB">
        <w:rPr>
          <w:rFonts w:eastAsiaTheme="minorEastAsia" w:cs="Calibri"/>
          <w:szCs w:val="22"/>
          <w:lang w:val="es-ES"/>
          <w14:ligatures w14:val="standardContextual"/>
        </w:rPr>
        <w:t xml:space="preserve">sobre «Una nueva perspectiva sobre el examen DHE del color del fruto de la berenjena basada en parámetros de color de laboratorio», </w:t>
      </w:r>
      <w:r w:rsidR="00852529" w:rsidRPr="009319BB">
        <w:rPr>
          <w:rFonts w:eastAsiaTheme="minorEastAsia" w:cs="Arial"/>
          <w:iCs/>
          <w:szCs w:val="22"/>
          <w:lang w:val="es-ES"/>
          <w14:ligatures w14:val="standardContextual"/>
        </w:rPr>
        <w:t xml:space="preserve">cuya copia figura en el documento </w:t>
      </w:r>
      <w:hyperlink r:id="rId21" w:history="1">
        <w:r w:rsidR="00852529" w:rsidRPr="009319BB">
          <w:rPr>
            <w:rStyle w:val="Hyperlink"/>
            <w:rFonts w:eastAsiaTheme="minorEastAsia" w:cs="Calibri"/>
            <w:szCs w:val="22"/>
            <w:lang w:val="es-ES" w:eastAsia="ja-JP"/>
            <w14:ligatures w14:val="standardContextual"/>
          </w:rPr>
          <w:t>TWM/3/13</w:t>
        </w:r>
      </w:hyperlink>
      <w:r w:rsidR="00852529" w:rsidRPr="009319BB">
        <w:rPr>
          <w:rFonts w:eastAsiaTheme="minorEastAsia" w:cs="Calibri"/>
          <w:szCs w:val="22"/>
          <w:lang w:val="es-ES"/>
          <w14:ligatures w14:val="standardContextual"/>
        </w:rPr>
        <w:t xml:space="preserve">.  </w:t>
      </w:r>
    </w:p>
    <w:p w14:paraId="7C1401C8" w14:textId="77777777" w:rsidR="00852529" w:rsidRPr="009319BB" w:rsidRDefault="00852529" w:rsidP="00092C1C">
      <w:pPr>
        <w:contextualSpacing/>
        <w:rPr>
          <w:rFonts w:eastAsiaTheme="minorEastAsia" w:cs="Calibri"/>
          <w:szCs w:val="22"/>
          <w:lang w:val="es-ES"/>
          <w14:ligatures w14:val="standardContextual"/>
        </w:rPr>
      </w:pPr>
    </w:p>
    <w:p w14:paraId="2695515D" w14:textId="5887F520" w:rsidR="00852529" w:rsidRPr="009319BB" w:rsidRDefault="00092C1C" w:rsidP="00092C1C">
      <w:pPr>
        <w:contextualSpacing/>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 xml:space="preserve">El TWM </w:t>
      </w:r>
      <w:r w:rsidR="00852529" w:rsidRPr="009319BB">
        <w:rPr>
          <w:rFonts w:eastAsiaTheme="minorEastAsia" w:cs="Calibri"/>
          <w:szCs w:val="22"/>
          <w:lang w:val="es-ES" w:eastAsia="ja-JP"/>
          <w14:ligatures w14:val="standardContextual"/>
        </w:rPr>
        <w:t xml:space="preserve">tomó nota de que se estaban revisando las directrices de examen de la berenjena e invitó a la Sra. Zhang a presentar el análisis del color de la piel del fruto al subgrupo de expertos, en la próxima sesión del TWV. </w:t>
      </w:r>
    </w:p>
    <w:p w14:paraId="495F326E" w14:textId="77777777" w:rsidR="00852529" w:rsidRPr="009319BB" w:rsidRDefault="00852529" w:rsidP="00092C1C">
      <w:pPr>
        <w:rPr>
          <w:rFonts w:eastAsiaTheme="minorEastAsia" w:cs="Calibri"/>
          <w:szCs w:val="22"/>
          <w:lang w:val="es-ES"/>
          <w14:ligatures w14:val="standardContextual"/>
        </w:rPr>
      </w:pPr>
    </w:p>
    <w:p w14:paraId="641E710A" w14:textId="77777777" w:rsidR="00852529" w:rsidRPr="009319BB" w:rsidRDefault="00852529" w:rsidP="00092C1C">
      <w:pPr>
        <w:pStyle w:val="Heading3"/>
        <w:rPr>
          <w:rFonts w:eastAsiaTheme="minorEastAsia"/>
          <w:lang w:val="es-ES"/>
        </w:rPr>
      </w:pPr>
      <w:bookmarkStart w:id="39" w:name="_Toc208828868"/>
      <w:r w:rsidRPr="009319BB">
        <w:rPr>
          <w:rFonts w:eastAsiaTheme="minorEastAsia"/>
          <w:lang w:val="es-ES"/>
        </w:rPr>
        <w:t>Dispositivo de recopilación de datos sobre la longitud</w:t>
      </w:r>
      <w:bookmarkEnd w:id="39"/>
    </w:p>
    <w:p w14:paraId="7EE3669E" w14:textId="77777777" w:rsidR="00852529" w:rsidRPr="009319BB" w:rsidRDefault="00852529" w:rsidP="00092C1C">
      <w:pPr>
        <w:rPr>
          <w:rFonts w:eastAsiaTheme="minorEastAsia" w:cs="Calibri"/>
          <w:szCs w:val="22"/>
          <w:lang w:val="es-ES"/>
          <w14:ligatures w14:val="standardContextual"/>
        </w:rPr>
      </w:pPr>
    </w:p>
    <w:p w14:paraId="74E4C15E" w14:textId="0A4A887A" w:rsidR="00852529" w:rsidRPr="009319BB" w:rsidRDefault="00092C1C" w:rsidP="00092C1C">
      <w:pPr>
        <w:contextualSpacing/>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El TWM</w:t>
      </w:r>
      <w:r w:rsidR="00693F23" w:rsidRPr="009319BB">
        <w:rPr>
          <w:rStyle w:val="FootnoteReference"/>
          <w:rFonts w:eastAsiaTheme="minorEastAsia" w:cs="Calibri"/>
          <w:szCs w:val="22"/>
          <w:lang w:val="es-ES"/>
          <w14:ligatures w14:val="standardContextual"/>
        </w:rPr>
        <w:footnoteReference w:id="16"/>
      </w:r>
      <w:r w:rsidR="00852529" w:rsidRPr="009319BB">
        <w:rPr>
          <w:rFonts w:eastAsiaTheme="minorEastAsia" w:cs="Calibri"/>
          <w:szCs w:val="22"/>
          <w:lang w:val="es-ES"/>
          <w14:ligatures w14:val="standardContextual"/>
        </w:rPr>
        <w:t xml:space="preserve"> recibió una presentación de </w:t>
      </w:r>
      <w:r w:rsidR="00852529" w:rsidRPr="009319BB">
        <w:rPr>
          <w:rFonts w:eastAsiaTheme="minorEastAsia" w:cs="Calibri"/>
          <w:szCs w:val="22"/>
          <w:lang w:val="es-ES" w:eastAsia="ja-JP"/>
          <w14:ligatures w14:val="standardContextual"/>
        </w:rPr>
        <w:t>la Sra</w:t>
      </w:r>
      <w:r w:rsidR="00852529" w:rsidRPr="009319BB">
        <w:rPr>
          <w:rFonts w:eastAsiaTheme="minorEastAsia" w:cs="Calibri"/>
          <w:szCs w:val="22"/>
          <w:lang w:val="es-ES"/>
          <w14:ligatures w14:val="standardContextual"/>
        </w:rPr>
        <w:t xml:space="preserve">. Shan Lu </w:t>
      </w:r>
      <w:r w:rsidR="00852529" w:rsidRPr="009319BB">
        <w:rPr>
          <w:rFonts w:eastAsiaTheme="minorEastAsia" w:cs="Calibri"/>
          <w:szCs w:val="22"/>
          <w:lang w:val="es-ES" w:eastAsia="ja-JP"/>
          <w14:ligatures w14:val="standardContextual"/>
        </w:rPr>
        <w:t xml:space="preserve">(China) </w:t>
      </w:r>
      <w:r w:rsidR="00852529" w:rsidRPr="009319BB">
        <w:rPr>
          <w:rFonts w:eastAsiaTheme="minorEastAsia" w:cs="Calibri"/>
          <w:szCs w:val="22"/>
          <w:lang w:val="es-ES"/>
          <w14:ligatures w14:val="standardContextual"/>
        </w:rPr>
        <w:t xml:space="preserve">sobre «Dispositivo de recopilación de datos de longitud pro», </w:t>
      </w:r>
      <w:r w:rsidR="00852529" w:rsidRPr="009319BB">
        <w:rPr>
          <w:rFonts w:eastAsiaTheme="minorEastAsia" w:cs="Arial"/>
          <w:iCs/>
          <w:szCs w:val="22"/>
          <w:lang w:val="es-ES"/>
          <w14:ligatures w14:val="standardContextual"/>
        </w:rPr>
        <w:t xml:space="preserve">cuya copia figura en el documento </w:t>
      </w:r>
      <w:hyperlink r:id="rId22" w:history="1">
        <w:r w:rsidR="00852529" w:rsidRPr="009319BB">
          <w:rPr>
            <w:rStyle w:val="Hyperlink"/>
            <w:rFonts w:eastAsiaTheme="minorEastAsia" w:cs="Calibri"/>
            <w:szCs w:val="22"/>
            <w:lang w:val="es-ES" w:eastAsia="ja-JP"/>
            <w14:ligatures w14:val="standardContextual"/>
          </w:rPr>
          <w:t>TWM/3/14</w:t>
        </w:r>
      </w:hyperlink>
      <w:r w:rsidR="00852529" w:rsidRPr="009319BB">
        <w:rPr>
          <w:rFonts w:eastAsiaTheme="minorEastAsia" w:cs="Calibri"/>
          <w:szCs w:val="22"/>
          <w:lang w:val="es-ES"/>
          <w14:ligatures w14:val="standardContextual"/>
        </w:rPr>
        <w:t xml:space="preserve">.  </w:t>
      </w:r>
    </w:p>
    <w:p w14:paraId="06DB2AAA" w14:textId="77777777" w:rsidR="00852529" w:rsidRPr="009319BB" w:rsidRDefault="00852529" w:rsidP="00092C1C">
      <w:pPr>
        <w:contextualSpacing/>
        <w:rPr>
          <w:rFonts w:eastAsiaTheme="minorEastAsia" w:cs="Calibri"/>
          <w:szCs w:val="22"/>
          <w:lang w:val="es-ES"/>
          <w14:ligatures w14:val="standardContextual"/>
        </w:rPr>
      </w:pPr>
    </w:p>
    <w:p w14:paraId="21006472" w14:textId="0F0245B1" w:rsidR="00852529" w:rsidRPr="009319BB" w:rsidRDefault="00092C1C" w:rsidP="00092C1C">
      <w:pPr>
        <w:contextualSpacing/>
        <w:rPr>
          <w:rFonts w:eastAsiaTheme="minorEastAsia" w:cs="Calibri"/>
          <w:szCs w:val="22"/>
          <w:lang w:val="es-ES"/>
          <w14:ligatures w14:val="standardContextual"/>
        </w:rPr>
      </w:pPr>
      <w:r w:rsidRPr="009319BB">
        <w:rPr>
          <w:rFonts w:eastAsiaTheme="minorEastAsia" w:cs="Calibri"/>
          <w:szCs w:val="22"/>
          <w:lang w:val="es-ES"/>
          <w14:ligatures w14:val="standardContextual"/>
        </w:rPr>
        <w:fldChar w:fldCharType="begin"/>
      </w:r>
      <w:r w:rsidRPr="009319BB">
        <w:rPr>
          <w:rFonts w:eastAsiaTheme="minorEastAsia" w:cs="Calibri"/>
          <w:szCs w:val="22"/>
          <w:lang w:val="es-ES"/>
          <w14:ligatures w14:val="standardContextual"/>
        </w:rPr>
        <w:instrText xml:space="preserve"> AUTONUM  </w:instrText>
      </w:r>
      <w:r w:rsidRPr="009319BB">
        <w:rPr>
          <w:rFonts w:eastAsiaTheme="minorEastAsia" w:cs="Calibri"/>
          <w:szCs w:val="22"/>
          <w:lang w:val="es-ES"/>
          <w14:ligatures w14:val="standardContextual"/>
        </w:rPr>
        <w:fldChar w:fldCharType="end"/>
      </w:r>
      <w:r w:rsidRPr="009319BB">
        <w:rPr>
          <w:rFonts w:eastAsiaTheme="minorEastAsia" w:cs="Calibri"/>
          <w:szCs w:val="22"/>
          <w:lang w:val="es-ES"/>
          <w14:ligatures w14:val="standardContextual"/>
        </w:rPr>
        <w:tab/>
      </w:r>
      <w:r w:rsidR="00852529" w:rsidRPr="009319BB">
        <w:rPr>
          <w:rFonts w:eastAsiaTheme="minorEastAsia" w:cs="Calibri"/>
          <w:szCs w:val="22"/>
          <w:lang w:val="es-ES"/>
          <w14:ligatures w14:val="standardContextual"/>
        </w:rPr>
        <w:t xml:space="preserve">El TWM tomó nota </w:t>
      </w:r>
      <w:r w:rsidR="00852529" w:rsidRPr="009319BB">
        <w:rPr>
          <w:rFonts w:eastAsiaTheme="minorEastAsia" w:cs="Calibri"/>
          <w:szCs w:val="22"/>
          <w:lang w:val="es-ES" w:eastAsia="ja-JP"/>
          <w14:ligatures w14:val="standardContextual"/>
        </w:rPr>
        <w:t>de que los miembros y observadores interesados en el dispositivo de recopilación de datos podían ponerse en contacto con la experta de China para obtener más información y colaborar.</w:t>
      </w:r>
    </w:p>
    <w:p w14:paraId="16971C4F" w14:textId="77777777" w:rsidR="00445B73" w:rsidRPr="009319BB" w:rsidRDefault="00445B73" w:rsidP="00092C1C">
      <w:pPr>
        <w:rPr>
          <w:lang w:val="es-ES"/>
        </w:rPr>
      </w:pPr>
    </w:p>
    <w:p w14:paraId="432FFB51" w14:textId="77777777" w:rsidR="00163DB6" w:rsidRPr="009319BB" w:rsidRDefault="00163DB6" w:rsidP="00092C1C">
      <w:pPr>
        <w:keepNext/>
        <w:rPr>
          <w:lang w:val="es-ES"/>
        </w:rPr>
      </w:pPr>
    </w:p>
    <w:p w14:paraId="22C92D51" w14:textId="12163858" w:rsidR="00163DB6" w:rsidRPr="009319BB" w:rsidRDefault="00AC0937" w:rsidP="00365B2A">
      <w:pPr>
        <w:pStyle w:val="Heading2"/>
        <w:rPr>
          <w:lang w:val="es-ES"/>
        </w:rPr>
      </w:pPr>
      <w:bookmarkStart w:id="40" w:name="_Toc208828869"/>
      <w:r w:rsidRPr="009319BB">
        <w:rPr>
          <w:lang w:val="es-ES"/>
        </w:rPr>
        <w:t xml:space="preserve">Colecciones de variedades: </w:t>
      </w:r>
      <w:r w:rsidR="00163DB6" w:rsidRPr="009319BB">
        <w:rPr>
          <w:lang w:val="es-ES"/>
        </w:rPr>
        <w:t>Colección de variedades de cultivos frutales en Ucrania</w:t>
      </w:r>
      <w:bookmarkEnd w:id="40"/>
    </w:p>
    <w:p w14:paraId="1ADC3C91" w14:textId="77777777" w:rsidR="00163DB6" w:rsidRPr="009319BB" w:rsidRDefault="00163DB6" w:rsidP="00092C1C">
      <w:pPr>
        <w:rPr>
          <w:lang w:val="es-ES"/>
        </w:rPr>
      </w:pPr>
    </w:p>
    <w:p w14:paraId="0E0C4CBD" w14:textId="0779FCA9" w:rsidR="00163DB6" w:rsidRPr="009319BB" w:rsidRDefault="00163DB6" w:rsidP="00092C1C">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TWF</w:t>
      </w:r>
      <w:r w:rsidR="00B270F3" w:rsidRPr="009319BB">
        <w:rPr>
          <w:rStyle w:val="FootnoteReference"/>
          <w:lang w:val="es-ES"/>
        </w:rPr>
        <w:footnoteReference w:id="17"/>
      </w:r>
      <w:r w:rsidRPr="009319BB">
        <w:rPr>
          <w:lang w:val="es-ES"/>
        </w:rPr>
        <w:t xml:space="preserve"> recibió una presentación titulada “Colección de variedades de cultivos frutales en Ucrania”, a cargo de un experto de Ucrania.  Se adjunta una copia de la presentación en el documento </w:t>
      </w:r>
      <w:hyperlink r:id="rId23" w:history="1">
        <w:r w:rsidRPr="009319BB">
          <w:rPr>
            <w:rStyle w:val="Hyperlink"/>
            <w:lang w:val="es-ES"/>
          </w:rPr>
          <w:t>TWF/56/5</w:t>
        </w:r>
      </w:hyperlink>
      <w:r w:rsidRPr="009319BB">
        <w:rPr>
          <w:lang w:val="es-ES"/>
        </w:rPr>
        <w:t>.</w:t>
      </w:r>
    </w:p>
    <w:p w14:paraId="08E89BC5" w14:textId="77777777" w:rsidR="00163DB6" w:rsidRPr="009319BB" w:rsidRDefault="00163DB6" w:rsidP="00092C1C">
      <w:pPr>
        <w:rPr>
          <w:lang w:val="es-ES"/>
        </w:rPr>
      </w:pPr>
    </w:p>
    <w:p w14:paraId="5EAC9561" w14:textId="77777777" w:rsidR="00163DB6" w:rsidRPr="009319BB" w:rsidRDefault="00163DB6" w:rsidP="00092C1C">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El TWF tomó nota de los procedimientos para el examen DHE, incluida la cooperación con los obtentores. El TWF tomó nota del informe de Ucrania sobre los retos a los que se enfrentan los obtentores para describir las variedades, que se abordarán en el futuro con un mayor apoyo a la cooperación en el examen DHE.</w:t>
      </w:r>
    </w:p>
    <w:p w14:paraId="1DEB88A6" w14:textId="77777777" w:rsidR="00163DB6" w:rsidRPr="009319BB" w:rsidRDefault="00163DB6" w:rsidP="00092C1C">
      <w:pPr>
        <w:rPr>
          <w:lang w:val="es-ES"/>
        </w:rPr>
      </w:pPr>
    </w:p>
    <w:p w14:paraId="6FE61D0C" w14:textId="77777777" w:rsidR="00163DB6" w:rsidRPr="009319BB" w:rsidRDefault="00163DB6" w:rsidP="00092C1C">
      <w:pPr>
        <w:rPr>
          <w:lang w:val="es-ES"/>
        </w:rPr>
      </w:pPr>
      <w:r w:rsidRPr="009319BB">
        <w:rPr>
          <w:lang w:val="es-ES"/>
        </w:rPr>
        <w:fldChar w:fldCharType="begin"/>
      </w:r>
      <w:r w:rsidRPr="009319BB">
        <w:rPr>
          <w:lang w:val="es-ES"/>
        </w:rPr>
        <w:instrText xml:space="preserve"> AUTONUM  </w:instrText>
      </w:r>
      <w:r w:rsidRPr="009319BB">
        <w:rPr>
          <w:lang w:val="es-ES"/>
        </w:rPr>
        <w:fldChar w:fldCharType="end"/>
      </w:r>
      <w:r w:rsidRPr="009319BB">
        <w:rPr>
          <w:lang w:val="es-ES"/>
        </w:rPr>
        <w:tab/>
        <w:t xml:space="preserve">El TWF tomó nota de que Ucrania había facilitado el acceso a la base de datos nacional de variedades vegetales, que incluía descripciones de variedades (disponible en: </w:t>
      </w:r>
      <w:hyperlink r:id="rId24" w:history="1">
        <w:r w:rsidRPr="009319BB">
          <w:rPr>
            <w:rStyle w:val="Hyperlink"/>
            <w:lang w:val="es-ES"/>
          </w:rPr>
          <w:t xml:space="preserve"> http://sort.sops.gov.ua/search/search</w:t>
        </w:r>
      </w:hyperlink>
      <w:r w:rsidRPr="009319BB">
        <w:rPr>
          <w:lang w:val="es-ES"/>
        </w:rPr>
        <w:t>).</w:t>
      </w:r>
    </w:p>
    <w:p w14:paraId="69F53FE8" w14:textId="77777777" w:rsidR="00163DB6" w:rsidRPr="009319BB" w:rsidRDefault="00163DB6" w:rsidP="00092C1C">
      <w:pPr>
        <w:rPr>
          <w:lang w:val="es-ES"/>
        </w:rPr>
      </w:pPr>
    </w:p>
    <w:p w14:paraId="20FA0CB4" w14:textId="77777777" w:rsidR="00693F23" w:rsidRPr="009319BB" w:rsidRDefault="00693F23" w:rsidP="00163DB6">
      <w:pPr>
        <w:rPr>
          <w:lang w:val="es-ES"/>
        </w:rPr>
      </w:pPr>
    </w:p>
    <w:p w14:paraId="3E25B487" w14:textId="77777777" w:rsidR="00445B73" w:rsidRPr="009319BB" w:rsidRDefault="00445B73" w:rsidP="00445B73">
      <w:pPr>
        <w:rPr>
          <w:lang w:val="es-ES"/>
        </w:rPr>
      </w:pPr>
    </w:p>
    <w:p w14:paraId="478B70DD" w14:textId="77777777" w:rsidR="00445B73" w:rsidRPr="009319BB" w:rsidRDefault="00445B73" w:rsidP="00445B73">
      <w:pPr>
        <w:jc w:val="right"/>
        <w:rPr>
          <w:lang w:val="es-ES"/>
        </w:rPr>
      </w:pPr>
      <w:r w:rsidRPr="009319BB">
        <w:rPr>
          <w:lang w:val="es-ES"/>
        </w:rPr>
        <w:t xml:space="preserve"> [Fin del documento]</w:t>
      </w:r>
    </w:p>
    <w:p w14:paraId="4B75B59C" w14:textId="77777777" w:rsidR="00445B73" w:rsidRPr="009319BB" w:rsidRDefault="00445B73" w:rsidP="00445B73">
      <w:pPr>
        <w:jc w:val="left"/>
        <w:rPr>
          <w:lang w:val="es-ES"/>
        </w:rPr>
      </w:pPr>
    </w:p>
    <w:p w14:paraId="6236C102" w14:textId="33C6123C" w:rsidR="00B270F3" w:rsidRPr="009319BB" w:rsidRDefault="00B270F3" w:rsidP="00B270F3">
      <w:pPr>
        <w:tabs>
          <w:tab w:val="left" w:pos="4308"/>
        </w:tabs>
        <w:rPr>
          <w:lang w:val="es-ES"/>
        </w:rPr>
      </w:pPr>
    </w:p>
    <w:sectPr w:rsidR="00B270F3" w:rsidRPr="009319BB" w:rsidSect="0004198B">
      <w:headerReference w:type="default" r:id="rId25"/>
      <w:headerReference w:type="first" r:id="rId2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92E2" w14:textId="77777777" w:rsidR="00474A16" w:rsidRDefault="00474A16" w:rsidP="006655D3">
      <w:r>
        <w:separator/>
      </w:r>
    </w:p>
    <w:p w14:paraId="4C9EB820" w14:textId="77777777" w:rsidR="00474A16" w:rsidRDefault="00474A16" w:rsidP="006655D3"/>
    <w:p w14:paraId="000A7D2B" w14:textId="77777777" w:rsidR="00474A16" w:rsidRDefault="00474A16" w:rsidP="006655D3"/>
  </w:endnote>
  <w:endnote w:type="continuationSeparator" w:id="0">
    <w:p w14:paraId="526142BF" w14:textId="77777777" w:rsidR="00474A16" w:rsidRDefault="00474A16" w:rsidP="006655D3">
      <w:r>
        <w:separator/>
      </w:r>
    </w:p>
    <w:p w14:paraId="784A73BF" w14:textId="77777777" w:rsidR="00474A16" w:rsidRPr="009319BB" w:rsidRDefault="00474A16">
      <w:pPr>
        <w:pStyle w:val="Footer"/>
        <w:spacing w:after="60"/>
        <w:rPr>
          <w:sz w:val="18"/>
          <w:lang w:val="es-ES"/>
        </w:rPr>
      </w:pPr>
      <w:r w:rsidRPr="009319BB">
        <w:rPr>
          <w:sz w:val="18"/>
          <w:lang w:val="es-ES"/>
        </w:rPr>
        <w:t>[Continuación de la nota de la página anterior]</w:t>
      </w:r>
    </w:p>
    <w:p w14:paraId="5B4768D6" w14:textId="77777777" w:rsidR="00474A16" w:rsidRPr="009319BB" w:rsidRDefault="00474A16" w:rsidP="006655D3">
      <w:pPr>
        <w:rPr>
          <w:lang w:val="es-ES"/>
        </w:rPr>
      </w:pPr>
    </w:p>
    <w:p w14:paraId="5D8DBCB9" w14:textId="77777777" w:rsidR="00474A16" w:rsidRPr="009319BB" w:rsidRDefault="00474A16" w:rsidP="006655D3">
      <w:pPr>
        <w:rPr>
          <w:lang w:val="es-ES"/>
        </w:rPr>
      </w:pPr>
    </w:p>
  </w:endnote>
  <w:endnote w:type="continuationNotice" w:id="1">
    <w:p w14:paraId="5A650486" w14:textId="77777777" w:rsidR="00474A16" w:rsidRPr="009319BB" w:rsidRDefault="00474A16" w:rsidP="006655D3">
      <w:pPr>
        <w:rPr>
          <w:lang w:val="es-ES"/>
        </w:rPr>
      </w:pPr>
      <w:r w:rsidRPr="009319BB">
        <w:rPr>
          <w:lang w:val="es-ES"/>
        </w:rPr>
        <w:t>[Continuación de la nota de la página siguiente]</w:t>
      </w:r>
    </w:p>
    <w:p w14:paraId="706B5E3F" w14:textId="77777777" w:rsidR="00474A16" w:rsidRPr="009319BB" w:rsidRDefault="00474A16" w:rsidP="006655D3">
      <w:pPr>
        <w:rPr>
          <w:lang w:val="es-ES"/>
        </w:rPr>
      </w:pPr>
    </w:p>
    <w:p w14:paraId="620B815C" w14:textId="77777777" w:rsidR="00474A16" w:rsidRPr="009319BB" w:rsidRDefault="00474A16"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FAE" w14:textId="77777777" w:rsidR="00474A16" w:rsidRDefault="00474A16" w:rsidP="006655D3">
      <w:r>
        <w:separator/>
      </w:r>
    </w:p>
  </w:footnote>
  <w:footnote w:type="continuationSeparator" w:id="0">
    <w:p w14:paraId="571F458F" w14:textId="77777777" w:rsidR="00474A16" w:rsidRDefault="00474A16" w:rsidP="006655D3">
      <w:r>
        <w:separator/>
      </w:r>
    </w:p>
  </w:footnote>
  <w:footnote w:type="continuationNotice" w:id="1">
    <w:p w14:paraId="0564F208" w14:textId="77777777" w:rsidR="00474A16" w:rsidRPr="00AB530F" w:rsidRDefault="00474A16" w:rsidP="00AB530F">
      <w:pPr>
        <w:pStyle w:val="Footer"/>
      </w:pPr>
    </w:p>
  </w:footnote>
  <w:footnote w:id="2">
    <w:p w14:paraId="4D43872F" w14:textId="68C3E72E" w:rsidR="00F21482" w:rsidRPr="009319BB" w:rsidRDefault="00F21482" w:rsidP="00F21482">
      <w:pPr>
        <w:pStyle w:val="FootnoteText"/>
        <w:rPr>
          <w:lang w:val="es-ES"/>
        </w:rPr>
      </w:pPr>
      <w:r>
        <w:rPr>
          <w:rStyle w:val="FootnoteReference"/>
        </w:rPr>
        <w:footnoteRef/>
      </w:r>
      <w:r w:rsidRPr="009319BB">
        <w:rPr>
          <w:lang w:val="es-ES"/>
        </w:rPr>
        <w:t xml:space="preserve"> TWO, en su</w:t>
      </w:r>
      <w:r w:rsidR="00ED048A">
        <w:rPr>
          <w:lang w:val="es-ES"/>
        </w:rPr>
        <w:t xml:space="preserve"> </w:t>
      </w:r>
      <w:r w:rsidR="00CB3CEC">
        <w:rPr>
          <w:lang w:val="es-ES"/>
        </w:rPr>
        <w:t>q</w:t>
      </w:r>
      <w:r w:rsidR="00ED048A" w:rsidRPr="00ED048A">
        <w:rPr>
          <w:lang w:val="es-ES"/>
        </w:rPr>
        <w:t>uincuagésima séptima</w:t>
      </w:r>
      <w:r w:rsidRPr="009319BB">
        <w:rPr>
          <w:lang w:val="es-ES"/>
        </w:rPr>
        <w:t xml:space="preserve"> sesión, celebrada en Roelofarendsveen, Países Bajos (Reino de los), del 31 de marzo al 3 de abril de 2025.</w:t>
      </w:r>
    </w:p>
  </w:footnote>
  <w:footnote w:id="3">
    <w:p w14:paraId="4AEB2409" w14:textId="0C933320" w:rsidR="00F21482" w:rsidRPr="009319BB" w:rsidRDefault="00F21482" w:rsidP="00F21482">
      <w:pPr>
        <w:pStyle w:val="FootnoteText"/>
        <w:rPr>
          <w:lang w:val="es-ES"/>
        </w:rPr>
      </w:pPr>
      <w:r>
        <w:rPr>
          <w:rStyle w:val="FootnoteReference"/>
        </w:rPr>
        <w:footnoteRef/>
      </w:r>
      <w:r w:rsidRPr="009319BB">
        <w:rPr>
          <w:lang w:val="es-ES"/>
        </w:rPr>
        <w:t xml:space="preserve"> TWV, en su quincuagésima novena sesión, celebrada por medios electrónicos, del 5 al 8 de mayo de 2025.</w:t>
      </w:r>
    </w:p>
  </w:footnote>
  <w:footnote w:id="4">
    <w:p w14:paraId="3841BD0A" w14:textId="184F1994" w:rsidR="00F21482" w:rsidRPr="009319BB" w:rsidRDefault="00F21482" w:rsidP="00F21482">
      <w:pPr>
        <w:pStyle w:val="FootnoteText"/>
        <w:rPr>
          <w:lang w:val="es-ES"/>
        </w:rPr>
      </w:pPr>
      <w:r>
        <w:rPr>
          <w:rStyle w:val="FootnoteReference"/>
        </w:rPr>
        <w:footnoteRef/>
      </w:r>
      <w:r w:rsidRPr="009319BB">
        <w:rPr>
          <w:lang w:val="es-ES"/>
        </w:rPr>
        <w:t xml:space="preserve"> TWM, en su tercera sesión, celebrada en Beijing (China) del</w:t>
      </w:r>
      <w:r w:rsidR="004300F4" w:rsidRPr="009319BB">
        <w:rPr>
          <w:lang w:val="es-ES"/>
        </w:rPr>
        <w:t xml:space="preserve"> 28 de abril al 1 de mayo de</w:t>
      </w:r>
      <w:r w:rsidRPr="009319BB">
        <w:rPr>
          <w:lang w:val="es-ES"/>
        </w:rPr>
        <w:t xml:space="preserve"> 2025.</w:t>
      </w:r>
    </w:p>
  </w:footnote>
  <w:footnote w:id="5">
    <w:p w14:paraId="52D3B0C8" w14:textId="1258E53D" w:rsidR="00F21482" w:rsidRPr="009319BB" w:rsidRDefault="00F21482" w:rsidP="00F21482">
      <w:pPr>
        <w:pStyle w:val="FootnoteText"/>
        <w:rPr>
          <w:lang w:val="es-ES"/>
        </w:rPr>
      </w:pPr>
      <w:r>
        <w:rPr>
          <w:rStyle w:val="FootnoteReference"/>
        </w:rPr>
        <w:footnoteRef/>
      </w:r>
      <w:r w:rsidRPr="009319BB">
        <w:rPr>
          <w:lang w:val="es-ES"/>
        </w:rPr>
        <w:t xml:space="preserve"> TWA, en su </w:t>
      </w:r>
      <w:r w:rsidR="004300F4" w:rsidRPr="009319BB">
        <w:rPr>
          <w:lang w:val="es-ES"/>
        </w:rPr>
        <w:t xml:space="preserve">quincuagésima cuarta </w:t>
      </w:r>
      <w:r w:rsidRPr="009319BB">
        <w:rPr>
          <w:lang w:val="es-ES"/>
        </w:rPr>
        <w:t xml:space="preserve">sesión, celebrada </w:t>
      </w:r>
      <w:r w:rsidR="004300F4" w:rsidRPr="009319BB">
        <w:rPr>
          <w:lang w:val="es-ES"/>
        </w:rPr>
        <w:t xml:space="preserve">en Arusha (República Unida de Tanzanía) </w:t>
      </w:r>
      <w:r w:rsidRPr="009319BB">
        <w:rPr>
          <w:lang w:val="es-ES"/>
        </w:rPr>
        <w:t>del</w:t>
      </w:r>
      <w:r w:rsidR="004300F4" w:rsidRPr="009319BB">
        <w:rPr>
          <w:lang w:val="es-ES"/>
        </w:rPr>
        <w:t xml:space="preserve"> 19 </w:t>
      </w:r>
      <w:r w:rsidRPr="009319BB">
        <w:rPr>
          <w:lang w:val="es-ES"/>
        </w:rPr>
        <w:t>al</w:t>
      </w:r>
      <w:r w:rsidR="004300F4" w:rsidRPr="009319BB">
        <w:rPr>
          <w:lang w:val="es-ES"/>
        </w:rPr>
        <w:t xml:space="preserve"> 22 de</w:t>
      </w:r>
      <w:r w:rsidRPr="009319BB">
        <w:rPr>
          <w:lang w:val="es-ES"/>
        </w:rPr>
        <w:t xml:space="preserve"> mayo de 2025</w:t>
      </w:r>
      <w:r w:rsidR="004300F4" w:rsidRPr="009319BB">
        <w:rPr>
          <w:lang w:val="es-ES"/>
        </w:rPr>
        <w:t>.</w:t>
      </w:r>
    </w:p>
  </w:footnote>
  <w:footnote w:id="6">
    <w:p w14:paraId="1E31D980" w14:textId="45469F1A" w:rsidR="00F21482" w:rsidRPr="009319BB" w:rsidRDefault="00F21482" w:rsidP="00F21482">
      <w:pPr>
        <w:pStyle w:val="FootnoteText"/>
        <w:rPr>
          <w:lang w:val="es-ES"/>
        </w:rPr>
      </w:pPr>
      <w:r>
        <w:rPr>
          <w:rStyle w:val="FootnoteReference"/>
        </w:rPr>
        <w:footnoteRef/>
      </w:r>
      <w:r w:rsidRPr="009319BB">
        <w:rPr>
          <w:lang w:val="es-ES"/>
        </w:rPr>
        <w:t xml:space="preserve"> TWF, en su </w:t>
      </w:r>
      <w:r w:rsidR="004300F4" w:rsidRPr="009319BB">
        <w:rPr>
          <w:lang w:val="es-ES"/>
        </w:rPr>
        <w:t xml:space="preserve">quincuagésima sexta </w:t>
      </w:r>
      <w:r w:rsidRPr="009319BB">
        <w:rPr>
          <w:lang w:val="es-ES"/>
        </w:rPr>
        <w:t xml:space="preserve">sesión, celebrada </w:t>
      </w:r>
      <w:r w:rsidR="004300F4" w:rsidRPr="009319BB">
        <w:rPr>
          <w:lang w:val="es-ES"/>
        </w:rPr>
        <w:t xml:space="preserve">en Bursa (Türkiye) </w:t>
      </w:r>
      <w:r w:rsidRPr="009319BB">
        <w:rPr>
          <w:lang w:val="es-ES"/>
        </w:rPr>
        <w:t>del</w:t>
      </w:r>
      <w:r w:rsidR="004300F4" w:rsidRPr="009319BB">
        <w:rPr>
          <w:lang w:val="es-ES"/>
        </w:rPr>
        <w:t xml:space="preserve"> 23 </w:t>
      </w:r>
      <w:r w:rsidRPr="009319BB">
        <w:rPr>
          <w:lang w:val="es-ES"/>
        </w:rPr>
        <w:t>al</w:t>
      </w:r>
      <w:r w:rsidR="004300F4" w:rsidRPr="009319BB">
        <w:rPr>
          <w:lang w:val="es-ES"/>
        </w:rPr>
        <w:t xml:space="preserve"> 26 </w:t>
      </w:r>
      <w:r w:rsidRPr="009319BB">
        <w:rPr>
          <w:lang w:val="es-ES"/>
        </w:rPr>
        <w:t>de junio de 2025</w:t>
      </w:r>
      <w:r w:rsidR="004300F4" w:rsidRPr="009319BB">
        <w:rPr>
          <w:lang w:val="es-ES"/>
        </w:rPr>
        <w:t>.</w:t>
      </w:r>
    </w:p>
  </w:footnote>
  <w:footnote w:id="7">
    <w:p w14:paraId="769DC14B" w14:textId="49F15F82" w:rsidR="0018066F" w:rsidRPr="009319BB" w:rsidRDefault="0018066F" w:rsidP="0018066F">
      <w:pPr>
        <w:pStyle w:val="FootnoteText"/>
        <w:rPr>
          <w:lang w:val="es-ES"/>
        </w:rPr>
      </w:pPr>
      <w:r>
        <w:rPr>
          <w:rStyle w:val="FootnoteReference"/>
        </w:rPr>
        <w:footnoteRef/>
      </w:r>
      <w:r w:rsidRPr="009319BB">
        <w:rPr>
          <w:lang w:val="es-ES"/>
        </w:rPr>
        <w:t xml:space="preserve"> TWV, </w:t>
      </w:r>
      <w:r w:rsidR="007809DF">
        <w:rPr>
          <w:lang w:val="es-ES"/>
        </w:rPr>
        <w:t>q</w:t>
      </w:r>
      <w:r w:rsidR="00CB3CEC" w:rsidRPr="00CB3CEC">
        <w:rPr>
          <w:lang w:val="es-ES"/>
        </w:rPr>
        <w:t xml:space="preserve">uincuagésima </w:t>
      </w:r>
      <w:r w:rsidR="00811F0B">
        <w:rPr>
          <w:lang w:val="es-ES"/>
        </w:rPr>
        <w:t>noven</w:t>
      </w:r>
      <w:r w:rsidR="00CB3CEC" w:rsidRPr="00CB3CEC">
        <w:rPr>
          <w:lang w:val="es-ES"/>
        </w:rPr>
        <w:t>a</w:t>
      </w:r>
      <w:r w:rsidR="00CB3CEC">
        <w:rPr>
          <w:lang w:val="es-ES"/>
        </w:rPr>
        <w:t xml:space="preserve"> sesión</w:t>
      </w:r>
      <w:r w:rsidRPr="009319BB">
        <w:rPr>
          <w:lang w:val="es-ES"/>
        </w:rPr>
        <w:t>, véase el documento TWV/59/19 «Informe», párrafos 16 a 21.</w:t>
      </w:r>
    </w:p>
    <w:p w14:paraId="5A12E953" w14:textId="1D0D41CD" w:rsidR="0018066F" w:rsidRPr="009319BB" w:rsidRDefault="0018066F">
      <w:pPr>
        <w:pStyle w:val="FootnoteText"/>
        <w:rPr>
          <w:lang w:val="es-ES"/>
        </w:rPr>
      </w:pPr>
    </w:p>
  </w:footnote>
  <w:footnote w:id="8">
    <w:p w14:paraId="1556DF8B" w14:textId="6F2A403F" w:rsidR="003602B2" w:rsidRPr="009319BB" w:rsidRDefault="003602B2" w:rsidP="003602B2">
      <w:pPr>
        <w:pStyle w:val="FootnoteText"/>
        <w:rPr>
          <w:lang w:val="es-ES"/>
        </w:rPr>
      </w:pPr>
      <w:r>
        <w:rPr>
          <w:rStyle w:val="FootnoteReference"/>
        </w:rPr>
        <w:footnoteRef/>
      </w:r>
      <w:r w:rsidRPr="009319BB">
        <w:rPr>
          <w:lang w:val="es-ES"/>
        </w:rPr>
        <w:t xml:space="preserve"> TWV, </w:t>
      </w:r>
      <w:r w:rsidR="00FE23B4">
        <w:rPr>
          <w:lang w:val="es-ES"/>
        </w:rPr>
        <w:t>q</w:t>
      </w:r>
      <w:r w:rsidR="00FE23B4" w:rsidRPr="00CB3CEC">
        <w:rPr>
          <w:lang w:val="es-ES"/>
        </w:rPr>
        <w:t xml:space="preserve">uincuagésima </w:t>
      </w:r>
      <w:r w:rsidR="00FE23B4">
        <w:rPr>
          <w:lang w:val="es-ES"/>
        </w:rPr>
        <w:t>noven</w:t>
      </w:r>
      <w:r w:rsidR="00FE23B4" w:rsidRPr="00CB3CEC">
        <w:rPr>
          <w:lang w:val="es-ES"/>
        </w:rPr>
        <w:t>a</w:t>
      </w:r>
      <w:r w:rsidR="00FE23B4">
        <w:rPr>
          <w:lang w:val="es-ES"/>
        </w:rPr>
        <w:t xml:space="preserve"> sesión</w:t>
      </w:r>
      <w:r w:rsidRPr="009319BB">
        <w:rPr>
          <w:lang w:val="es-ES"/>
        </w:rPr>
        <w:t>, véase el documento TWV/59/19 «Informe», párrafos 13 a 15</w:t>
      </w:r>
    </w:p>
  </w:footnote>
  <w:footnote w:id="9">
    <w:p w14:paraId="151552D7" w14:textId="398A7672" w:rsidR="0062210A" w:rsidRPr="009319BB" w:rsidRDefault="0062210A">
      <w:pPr>
        <w:pStyle w:val="FootnoteText"/>
        <w:rPr>
          <w:lang w:val="es-ES"/>
        </w:rPr>
      </w:pPr>
      <w:r>
        <w:rPr>
          <w:rStyle w:val="FootnoteReference"/>
        </w:rPr>
        <w:footnoteRef/>
      </w:r>
      <w:r w:rsidRPr="009319BB">
        <w:rPr>
          <w:lang w:val="es-ES"/>
        </w:rPr>
        <w:t xml:space="preserve"> TWV, </w:t>
      </w:r>
      <w:r w:rsidR="00262D18">
        <w:rPr>
          <w:lang w:val="es-ES"/>
        </w:rPr>
        <w:t>q</w:t>
      </w:r>
      <w:r w:rsidR="00262D18" w:rsidRPr="00CB3CEC">
        <w:rPr>
          <w:lang w:val="es-ES"/>
        </w:rPr>
        <w:t xml:space="preserve">uincuagésima </w:t>
      </w:r>
      <w:r w:rsidR="00262D18">
        <w:rPr>
          <w:lang w:val="es-ES"/>
        </w:rPr>
        <w:t>noven</w:t>
      </w:r>
      <w:r w:rsidR="00262D18" w:rsidRPr="00CB3CEC">
        <w:rPr>
          <w:lang w:val="es-ES"/>
        </w:rPr>
        <w:t>a</w:t>
      </w:r>
      <w:r w:rsidR="00262D18">
        <w:rPr>
          <w:lang w:val="es-ES"/>
        </w:rPr>
        <w:t xml:space="preserve"> sesión</w:t>
      </w:r>
      <w:r w:rsidRPr="009319BB">
        <w:rPr>
          <w:lang w:val="es-ES"/>
        </w:rPr>
        <w:t>, véase el documento TWV/59/19 «Informe», párrafos 47 a 57.</w:t>
      </w:r>
    </w:p>
  </w:footnote>
  <w:footnote w:id="10">
    <w:p w14:paraId="1395F27C" w14:textId="2543DE5D" w:rsidR="001B6C83" w:rsidRPr="009319BB" w:rsidRDefault="001B6C83">
      <w:pPr>
        <w:pStyle w:val="FootnoteText"/>
        <w:rPr>
          <w:lang w:val="es-ES"/>
        </w:rPr>
      </w:pPr>
      <w:r>
        <w:rPr>
          <w:rStyle w:val="FootnoteReference"/>
        </w:rPr>
        <w:footnoteRef/>
      </w:r>
      <w:r w:rsidRPr="009319BB">
        <w:rPr>
          <w:i/>
          <w:iCs/>
          <w:lang w:val="es-ES"/>
        </w:rPr>
        <w:t xml:space="preserve"> Allium cepa </w:t>
      </w:r>
      <w:r w:rsidRPr="009319BB">
        <w:rPr>
          <w:lang w:val="es-ES"/>
        </w:rPr>
        <w:t xml:space="preserve">L. «SK20»: véanse los documentos </w:t>
      </w:r>
      <w:r w:rsidR="001E6406" w:rsidRPr="009319BB">
        <w:rPr>
          <w:lang w:val="es-ES"/>
        </w:rPr>
        <w:t>TWO/57/10 «Informe», párrafos 16 y 17; TWV/59/19 «Informe», párrafos 10 a 12; y TWF/56/7 «Informe», párrafos 8 a 10.</w:t>
      </w:r>
    </w:p>
  </w:footnote>
  <w:footnote w:id="11">
    <w:p w14:paraId="373DF61C" w14:textId="150B72AD" w:rsidR="003B4826" w:rsidRPr="009319BB" w:rsidRDefault="003B4826">
      <w:pPr>
        <w:pStyle w:val="FootnoteText"/>
        <w:rPr>
          <w:lang w:val="es-ES"/>
        </w:rPr>
      </w:pPr>
      <w:r>
        <w:rPr>
          <w:rStyle w:val="FootnoteReference"/>
        </w:rPr>
        <w:footnoteRef/>
      </w:r>
      <w:r w:rsidRPr="009319BB">
        <w:rPr>
          <w:lang w:val="es-ES"/>
        </w:rPr>
        <w:t xml:space="preserve"> Véase el documento TWO/57/10 «Informe», párrafos 30 a 33.</w:t>
      </w:r>
    </w:p>
  </w:footnote>
  <w:footnote w:id="12">
    <w:p w14:paraId="68C1A62F" w14:textId="42302418" w:rsidR="00693F23" w:rsidRPr="009319BB" w:rsidRDefault="00693F23">
      <w:pPr>
        <w:pStyle w:val="FootnoteText"/>
        <w:rPr>
          <w:lang w:val="es-ES"/>
        </w:rPr>
      </w:pPr>
      <w:r>
        <w:rPr>
          <w:rStyle w:val="FootnoteReference"/>
        </w:rPr>
        <w:footnoteRef/>
      </w:r>
      <w:r w:rsidRPr="009319BB">
        <w:rPr>
          <w:lang w:val="es-ES"/>
        </w:rPr>
        <w:t xml:space="preserve"> TWM, tercera sesión, véase el documento TWM/3/29 «Informe», párrafos 8 y 9.</w:t>
      </w:r>
    </w:p>
  </w:footnote>
  <w:footnote w:id="13">
    <w:p w14:paraId="0B5F19F7" w14:textId="42A0A130" w:rsidR="00693F23" w:rsidRPr="009319BB" w:rsidRDefault="00693F23">
      <w:pPr>
        <w:pStyle w:val="FootnoteText"/>
        <w:rPr>
          <w:lang w:val="es-ES"/>
        </w:rPr>
      </w:pPr>
      <w:r>
        <w:rPr>
          <w:rStyle w:val="FootnoteReference"/>
        </w:rPr>
        <w:footnoteRef/>
      </w:r>
      <w:r w:rsidRPr="009319BB">
        <w:rPr>
          <w:lang w:val="es-ES"/>
        </w:rPr>
        <w:t xml:space="preserve"> TWM, tercera sesión, véase el documento TWM/3/29 «Informe», párrafos 10 y 11.</w:t>
      </w:r>
    </w:p>
  </w:footnote>
  <w:footnote w:id="14">
    <w:p w14:paraId="70A0E19A" w14:textId="4B7721AF" w:rsidR="00693F23" w:rsidRPr="009319BB" w:rsidRDefault="00693F23">
      <w:pPr>
        <w:pStyle w:val="FootnoteText"/>
        <w:rPr>
          <w:lang w:val="es-ES"/>
        </w:rPr>
      </w:pPr>
      <w:r>
        <w:rPr>
          <w:rStyle w:val="FootnoteReference"/>
        </w:rPr>
        <w:footnoteRef/>
      </w:r>
      <w:r w:rsidRPr="009319BB">
        <w:rPr>
          <w:lang w:val="es-ES"/>
        </w:rPr>
        <w:t xml:space="preserve"> TWM, tercera sesión, véase el documento TWM/3/29 «Informe», párrafos 12 y 13.</w:t>
      </w:r>
    </w:p>
  </w:footnote>
  <w:footnote w:id="15">
    <w:p w14:paraId="18EC79D6" w14:textId="70F0238A" w:rsidR="00693F23" w:rsidRPr="009319BB" w:rsidRDefault="00693F23">
      <w:pPr>
        <w:pStyle w:val="FootnoteText"/>
        <w:rPr>
          <w:lang w:val="es-ES"/>
        </w:rPr>
      </w:pPr>
      <w:r>
        <w:rPr>
          <w:rStyle w:val="FootnoteReference"/>
        </w:rPr>
        <w:footnoteRef/>
      </w:r>
      <w:r w:rsidRPr="009319BB">
        <w:rPr>
          <w:lang w:val="es-ES"/>
        </w:rPr>
        <w:t xml:space="preserve"> TWM, tercera sesión, véase el documento TWM/3/29 «Informe», párrafos 14 y 15</w:t>
      </w:r>
    </w:p>
  </w:footnote>
  <w:footnote w:id="16">
    <w:p w14:paraId="08BD6F4E" w14:textId="09884126" w:rsidR="00693F23" w:rsidRPr="009319BB" w:rsidRDefault="00693F23">
      <w:pPr>
        <w:pStyle w:val="FootnoteText"/>
        <w:rPr>
          <w:lang w:val="es-ES"/>
        </w:rPr>
      </w:pPr>
      <w:r>
        <w:rPr>
          <w:rStyle w:val="FootnoteReference"/>
        </w:rPr>
        <w:footnoteRef/>
      </w:r>
      <w:r w:rsidRPr="009319BB">
        <w:rPr>
          <w:lang w:val="es-ES"/>
        </w:rPr>
        <w:t xml:space="preserve"> TWM, tercera sesión, véase el documento TWM/3/29 «Informe», párrafos 16 y 17</w:t>
      </w:r>
    </w:p>
  </w:footnote>
  <w:footnote w:id="17">
    <w:p w14:paraId="6DDE9305" w14:textId="78E963B4" w:rsidR="00B270F3" w:rsidRPr="009319BB" w:rsidRDefault="00B270F3">
      <w:pPr>
        <w:pStyle w:val="FootnoteText"/>
        <w:rPr>
          <w:lang w:val="es-ES"/>
        </w:rPr>
      </w:pPr>
      <w:r>
        <w:rPr>
          <w:rStyle w:val="FootnoteReference"/>
        </w:rPr>
        <w:footnoteRef/>
      </w:r>
      <w:r w:rsidRPr="009319BB">
        <w:rPr>
          <w:lang w:val="es-ES"/>
        </w:rPr>
        <w:t xml:space="preserve"> TWF, </w:t>
      </w:r>
      <w:r w:rsidR="00262D18">
        <w:rPr>
          <w:lang w:val="es-ES"/>
        </w:rPr>
        <w:t>q</w:t>
      </w:r>
      <w:r w:rsidR="00262D18" w:rsidRPr="00CB3CEC">
        <w:rPr>
          <w:lang w:val="es-ES"/>
        </w:rPr>
        <w:t xml:space="preserve">uincuagésima </w:t>
      </w:r>
      <w:r w:rsidR="00262D18">
        <w:rPr>
          <w:lang w:val="es-ES"/>
        </w:rPr>
        <w:t>sexta</w:t>
      </w:r>
      <w:r w:rsidR="00262D18">
        <w:rPr>
          <w:lang w:val="es-ES"/>
        </w:rPr>
        <w:t xml:space="preserve"> sesión</w:t>
      </w:r>
      <w:r w:rsidRPr="009319BB">
        <w:rPr>
          <w:lang w:val="es-ES"/>
        </w:rPr>
        <w:t>, véase el documento TWF/56/7 «Informe», párrafos 20 a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0FAE" w14:textId="1E6CD5DC" w:rsidR="0004198B" w:rsidRPr="00C5280D" w:rsidRDefault="00C80836" w:rsidP="00EB048E">
    <w:pPr>
      <w:pStyle w:val="Header"/>
      <w:rPr>
        <w:rStyle w:val="PageNumber"/>
        <w:lang w:val="en-US"/>
      </w:rPr>
    </w:pPr>
    <w:r>
      <w:rPr>
        <w:rStyle w:val="PageNumber"/>
        <w:lang w:val="en-US"/>
      </w:rPr>
      <w:t>TC/61/3</w:t>
    </w:r>
  </w:p>
  <w:p w14:paraId="2659679F" w14:textId="77777777" w:rsidR="0004198B" w:rsidRPr="00C5280D" w:rsidRDefault="0004198B" w:rsidP="00EB048E">
    <w:pPr>
      <w:pStyle w:val="Header"/>
      <w:rPr>
        <w:lang w:val="en-US"/>
      </w:rPr>
    </w:pPr>
    <w:r w:rsidRPr="00C5280D">
      <w:rPr>
        <w:lang w:val="en-US"/>
      </w:rPr>
      <w:t xml:space="preserve">página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4EE8F755"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E854" w14:textId="77777777" w:rsidR="0004198B" w:rsidRPr="0004198B" w:rsidRDefault="0004198B"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C4B7A"/>
    <w:multiLevelType w:val="hybridMultilevel"/>
    <w:tmpl w:val="FC94616E"/>
    <w:lvl w:ilvl="0" w:tplc="CC94EB5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B4B56"/>
    <w:multiLevelType w:val="hybridMultilevel"/>
    <w:tmpl w:val="4F8C24BC"/>
    <w:lvl w:ilvl="0" w:tplc="64F0AAC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4" w15:restartNumberingAfterBreak="0">
    <w:nsid w:val="61E264F1"/>
    <w:multiLevelType w:val="hybridMultilevel"/>
    <w:tmpl w:val="5C86174C"/>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008266">
    <w:abstractNumId w:val="3"/>
  </w:num>
  <w:num w:numId="2" w16cid:durableId="1701930538">
    <w:abstractNumId w:val="0"/>
  </w:num>
  <w:num w:numId="3" w16cid:durableId="381710990">
    <w:abstractNumId w:val="4"/>
  </w:num>
  <w:num w:numId="4" w16cid:durableId="1812792951">
    <w:abstractNumId w:val="2"/>
  </w:num>
  <w:num w:numId="5" w16cid:durableId="77721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6"/>
    <w:rsid w:val="00010CF3"/>
    <w:rsid w:val="00011E27"/>
    <w:rsid w:val="000148BC"/>
    <w:rsid w:val="00024AB8"/>
    <w:rsid w:val="00030854"/>
    <w:rsid w:val="00036028"/>
    <w:rsid w:val="0004198B"/>
    <w:rsid w:val="00044642"/>
    <w:rsid w:val="000446B9"/>
    <w:rsid w:val="00047E21"/>
    <w:rsid w:val="00050E16"/>
    <w:rsid w:val="00085505"/>
    <w:rsid w:val="00092C1C"/>
    <w:rsid w:val="000C4E25"/>
    <w:rsid w:val="000C7021"/>
    <w:rsid w:val="000D6BBC"/>
    <w:rsid w:val="000D7780"/>
    <w:rsid w:val="000E636A"/>
    <w:rsid w:val="000F1412"/>
    <w:rsid w:val="000F2F11"/>
    <w:rsid w:val="00100A5F"/>
    <w:rsid w:val="00105929"/>
    <w:rsid w:val="00110BED"/>
    <w:rsid w:val="00110C36"/>
    <w:rsid w:val="001131D5"/>
    <w:rsid w:val="00114547"/>
    <w:rsid w:val="00141DB8"/>
    <w:rsid w:val="00163DB6"/>
    <w:rsid w:val="00172084"/>
    <w:rsid w:val="0017474A"/>
    <w:rsid w:val="001758C6"/>
    <w:rsid w:val="0018066F"/>
    <w:rsid w:val="00182B99"/>
    <w:rsid w:val="001B6C83"/>
    <w:rsid w:val="001C1525"/>
    <w:rsid w:val="001E6406"/>
    <w:rsid w:val="0021332C"/>
    <w:rsid w:val="00213982"/>
    <w:rsid w:val="0023752D"/>
    <w:rsid w:val="0024416D"/>
    <w:rsid w:val="00247B0E"/>
    <w:rsid w:val="00262D18"/>
    <w:rsid w:val="00271911"/>
    <w:rsid w:val="00273187"/>
    <w:rsid w:val="002800A0"/>
    <w:rsid w:val="002801B3"/>
    <w:rsid w:val="00281060"/>
    <w:rsid w:val="00284050"/>
    <w:rsid w:val="00285BD0"/>
    <w:rsid w:val="002940E8"/>
    <w:rsid w:val="00294751"/>
    <w:rsid w:val="002A6E50"/>
    <w:rsid w:val="002B4298"/>
    <w:rsid w:val="002B7A36"/>
    <w:rsid w:val="002C256A"/>
    <w:rsid w:val="002D5226"/>
    <w:rsid w:val="00302A22"/>
    <w:rsid w:val="00305A7F"/>
    <w:rsid w:val="003152FE"/>
    <w:rsid w:val="00327436"/>
    <w:rsid w:val="003328E1"/>
    <w:rsid w:val="00344BD6"/>
    <w:rsid w:val="0035528D"/>
    <w:rsid w:val="003602B2"/>
    <w:rsid w:val="00361821"/>
    <w:rsid w:val="00361E9E"/>
    <w:rsid w:val="00364964"/>
    <w:rsid w:val="00365B2A"/>
    <w:rsid w:val="003753EE"/>
    <w:rsid w:val="00387426"/>
    <w:rsid w:val="00397554"/>
    <w:rsid w:val="003A0835"/>
    <w:rsid w:val="003A4F85"/>
    <w:rsid w:val="003A5AAF"/>
    <w:rsid w:val="003B3328"/>
    <w:rsid w:val="003B4826"/>
    <w:rsid w:val="003B700A"/>
    <w:rsid w:val="003C7FBE"/>
    <w:rsid w:val="003D0839"/>
    <w:rsid w:val="003D227C"/>
    <w:rsid w:val="003D2B4D"/>
    <w:rsid w:val="003F29D3"/>
    <w:rsid w:val="003F37F5"/>
    <w:rsid w:val="00421571"/>
    <w:rsid w:val="004300F4"/>
    <w:rsid w:val="00441C49"/>
    <w:rsid w:val="0044310E"/>
    <w:rsid w:val="00444A88"/>
    <w:rsid w:val="00445B73"/>
    <w:rsid w:val="004675E5"/>
    <w:rsid w:val="00474A16"/>
    <w:rsid w:val="00474DA4"/>
    <w:rsid w:val="00476B4D"/>
    <w:rsid w:val="004805FA"/>
    <w:rsid w:val="004915BA"/>
    <w:rsid w:val="004935D2"/>
    <w:rsid w:val="004A4BD7"/>
    <w:rsid w:val="004B1215"/>
    <w:rsid w:val="004D047D"/>
    <w:rsid w:val="004D4458"/>
    <w:rsid w:val="004F1E9E"/>
    <w:rsid w:val="004F305A"/>
    <w:rsid w:val="00512164"/>
    <w:rsid w:val="00520297"/>
    <w:rsid w:val="005338F9"/>
    <w:rsid w:val="0054281C"/>
    <w:rsid w:val="00544581"/>
    <w:rsid w:val="0055268D"/>
    <w:rsid w:val="00563347"/>
    <w:rsid w:val="005639BE"/>
    <w:rsid w:val="00575DE2"/>
    <w:rsid w:val="00576BE4"/>
    <w:rsid w:val="005779DB"/>
    <w:rsid w:val="005848DE"/>
    <w:rsid w:val="005A2A67"/>
    <w:rsid w:val="005A400A"/>
    <w:rsid w:val="005B269D"/>
    <w:rsid w:val="005F7B92"/>
    <w:rsid w:val="00612379"/>
    <w:rsid w:val="006153B6"/>
    <w:rsid w:val="0061555F"/>
    <w:rsid w:val="0062210A"/>
    <w:rsid w:val="006245ED"/>
    <w:rsid w:val="00636CA6"/>
    <w:rsid w:val="00641200"/>
    <w:rsid w:val="00642D69"/>
    <w:rsid w:val="00645CA8"/>
    <w:rsid w:val="006655D3"/>
    <w:rsid w:val="00667404"/>
    <w:rsid w:val="00687EB4"/>
    <w:rsid w:val="00693F23"/>
    <w:rsid w:val="00694058"/>
    <w:rsid w:val="00695C56"/>
    <w:rsid w:val="006A5CDE"/>
    <w:rsid w:val="006A644A"/>
    <w:rsid w:val="006A782C"/>
    <w:rsid w:val="006B17D2"/>
    <w:rsid w:val="006B68C2"/>
    <w:rsid w:val="006C224E"/>
    <w:rsid w:val="006D780A"/>
    <w:rsid w:val="006F0A99"/>
    <w:rsid w:val="0071271E"/>
    <w:rsid w:val="00732DEC"/>
    <w:rsid w:val="00735BD5"/>
    <w:rsid w:val="007451EC"/>
    <w:rsid w:val="00751613"/>
    <w:rsid w:val="00753EE9"/>
    <w:rsid w:val="007556F6"/>
    <w:rsid w:val="00760EEF"/>
    <w:rsid w:val="00764C5C"/>
    <w:rsid w:val="00777EE5"/>
    <w:rsid w:val="007809DF"/>
    <w:rsid w:val="00784836"/>
    <w:rsid w:val="0079023E"/>
    <w:rsid w:val="007A2854"/>
    <w:rsid w:val="007C1D92"/>
    <w:rsid w:val="007C4CB9"/>
    <w:rsid w:val="007D0B9D"/>
    <w:rsid w:val="007D19B0"/>
    <w:rsid w:val="007F498F"/>
    <w:rsid w:val="0080679D"/>
    <w:rsid w:val="008108B0"/>
    <w:rsid w:val="00811B20"/>
    <w:rsid w:val="00811F0B"/>
    <w:rsid w:val="00812609"/>
    <w:rsid w:val="008211B5"/>
    <w:rsid w:val="0082202C"/>
    <w:rsid w:val="0082296E"/>
    <w:rsid w:val="00824099"/>
    <w:rsid w:val="00846D7C"/>
    <w:rsid w:val="00852529"/>
    <w:rsid w:val="00854B12"/>
    <w:rsid w:val="00867AC1"/>
    <w:rsid w:val="008751DE"/>
    <w:rsid w:val="008872DC"/>
    <w:rsid w:val="00890DF8"/>
    <w:rsid w:val="008A0ADE"/>
    <w:rsid w:val="008A743F"/>
    <w:rsid w:val="008C0970"/>
    <w:rsid w:val="008D0BC5"/>
    <w:rsid w:val="008D2CF7"/>
    <w:rsid w:val="00900C26"/>
    <w:rsid w:val="0090197F"/>
    <w:rsid w:val="00902190"/>
    <w:rsid w:val="00903264"/>
    <w:rsid w:val="00906DDC"/>
    <w:rsid w:val="009319BB"/>
    <w:rsid w:val="00934E09"/>
    <w:rsid w:val="009357CF"/>
    <w:rsid w:val="00936253"/>
    <w:rsid w:val="00940D46"/>
    <w:rsid w:val="009413F1"/>
    <w:rsid w:val="00952DD4"/>
    <w:rsid w:val="009561F4"/>
    <w:rsid w:val="00965AE7"/>
    <w:rsid w:val="00970FED"/>
    <w:rsid w:val="00985E41"/>
    <w:rsid w:val="00992D82"/>
    <w:rsid w:val="00997029"/>
    <w:rsid w:val="009A7339"/>
    <w:rsid w:val="009B440E"/>
    <w:rsid w:val="009C0E22"/>
    <w:rsid w:val="009D690D"/>
    <w:rsid w:val="009E65B6"/>
    <w:rsid w:val="009F0A51"/>
    <w:rsid w:val="009F0B7F"/>
    <w:rsid w:val="009F77CF"/>
    <w:rsid w:val="00A12795"/>
    <w:rsid w:val="00A24C10"/>
    <w:rsid w:val="00A42AC3"/>
    <w:rsid w:val="00A430CF"/>
    <w:rsid w:val="00A44D2D"/>
    <w:rsid w:val="00A54309"/>
    <w:rsid w:val="00A55168"/>
    <w:rsid w:val="00A610A9"/>
    <w:rsid w:val="00A63DB9"/>
    <w:rsid w:val="00A766EF"/>
    <w:rsid w:val="00A80F2A"/>
    <w:rsid w:val="00A92701"/>
    <w:rsid w:val="00A96C33"/>
    <w:rsid w:val="00AA2342"/>
    <w:rsid w:val="00AA35F9"/>
    <w:rsid w:val="00AB2B93"/>
    <w:rsid w:val="00AB530F"/>
    <w:rsid w:val="00AB7E5B"/>
    <w:rsid w:val="00AC0937"/>
    <w:rsid w:val="00AC2883"/>
    <w:rsid w:val="00AE0EF1"/>
    <w:rsid w:val="00AE2937"/>
    <w:rsid w:val="00AE4EE7"/>
    <w:rsid w:val="00AF09FC"/>
    <w:rsid w:val="00B07301"/>
    <w:rsid w:val="00B11F3E"/>
    <w:rsid w:val="00B224DE"/>
    <w:rsid w:val="00B270F3"/>
    <w:rsid w:val="00B324D4"/>
    <w:rsid w:val="00B46575"/>
    <w:rsid w:val="00B57D2B"/>
    <w:rsid w:val="00B61777"/>
    <w:rsid w:val="00B622E6"/>
    <w:rsid w:val="00B83E82"/>
    <w:rsid w:val="00B84BBD"/>
    <w:rsid w:val="00BA43FB"/>
    <w:rsid w:val="00BA470A"/>
    <w:rsid w:val="00BC127D"/>
    <w:rsid w:val="00BC1FE6"/>
    <w:rsid w:val="00C061B6"/>
    <w:rsid w:val="00C16B87"/>
    <w:rsid w:val="00C1785B"/>
    <w:rsid w:val="00C2446C"/>
    <w:rsid w:val="00C36AE5"/>
    <w:rsid w:val="00C41F17"/>
    <w:rsid w:val="00C527FA"/>
    <w:rsid w:val="00C5280D"/>
    <w:rsid w:val="00C53EB3"/>
    <w:rsid w:val="00C5791C"/>
    <w:rsid w:val="00C66290"/>
    <w:rsid w:val="00C72B7A"/>
    <w:rsid w:val="00C75A58"/>
    <w:rsid w:val="00C80836"/>
    <w:rsid w:val="00C973F2"/>
    <w:rsid w:val="00CA304C"/>
    <w:rsid w:val="00CA774A"/>
    <w:rsid w:val="00CB3CEC"/>
    <w:rsid w:val="00CB4921"/>
    <w:rsid w:val="00CC11B0"/>
    <w:rsid w:val="00CC2841"/>
    <w:rsid w:val="00CF1330"/>
    <w:rsid w:val="00CF497D"/>
    <w:rsid w:val="00CF7E36"/>
    <w:rsid w:val="00D30834"/>
    <w:rsid w:val="00D3708D"/>
    <w:rsid w:val="00D40426"/>
    <w:rsid w:val="00D50DFB"/>
    <w:rsid w:val="00D57C96"/>
    <w:rsid w:val="00D57D18"/>
    <w:rsid w:val="00D70E65"/>
    <w:rsid w:val="00D90661"/>
    <w:rsid w:val="00D91203"/>
    <w:rsid w:val="00D95174"/>
    <w:rsid w:val="00D97966"/>
    <w:rsid w:val="00DA4973"/>
    <w:rsid w:val="00DA6F36"/>
    <w:rsid w:val="00DA7979"/>
    <w:rsid w:val="00DB46F4"/>
    <w:rsid w:val="00DB596E"/>
    <w:rsid w:val="00DB7773"/>
    <w:rsid w:val="00DC00EA"/>
    <w:rsid w:val="00DC3802"/>
    <w:rsid w:val="00DD3EDF"/>
    <w:rsid w:val="00DD6208"/>
    <w:rsid w:val="00DF7E99"/>
    <w:rsid w:val="00E07D87"/>
    <w:rsid w:val="00E249C8"/>
    <w:rsid w:val="00E32F7E"/>
    <w:rsid w:val="00E33353"/>
    <w:rsid w:val="00E5267B"/>
    <w:rsid w:val="00E559F0"/>
    <w:rsid w:val="00E566A0"/>
    <w:rsid w:val="00E63C0E"/>
    <w:rsid w:val="00E72D49"/>
    <w:rsid w:val="00E7593C"/>
    <w:rsid w:val="00E7678A"/>
    <w:rsid w:val="00E81BE2"/>
    <w:rsid w:val="00E84163"/>
    <w:rsid w:val="00E935F1"/>
    <w:rsid w:val="00E94A81"/>
    <w:rsid w:val="00EA1FFB"/>
    <w:rsid w:val="00EA28EE"/>
    <w:rsid w:val="00EB048E"/>
    <w:rsid w:val="00EB4E9C"/>
    <w:rsid w:val="00EB7080"/>
    <w:rsid w:val="00EC634B"/>
    <w:rsid w:val="00ED048A"/>
    <w:rsid w:val="00EE34DF"/>
    <w:rsid w:val="00EF2F89"/>
    <w:rsid w:val="00F03E98"/>
    <w:rsid w:val="00F1237A"/>
    <w:rsid w:val="00F21482"/>
    <w:rsid w:val="00F22CBD"/>
    <w:rsid w:val="00F272F1"/>
    <w:rsid w:val="00F31412"/>
    <w:rsid w:val="00F45372"/>
    <w:rsid w:val="00F54661"/>
    <w:rsid w:val="00F560F7"/>
    <w:rsid w:val="00F6334D"/>
    <w:rsid w:val="00F63599"/>
    <w:rsid w:val="00F70CD4"/>
    <w:rsid w:val="00F71781"/>
    <w:rsid w:val="00F96C11"/>
    <w:rsid w:val="00FA49AB"/>
    <w:rsid w:val="00FC0F25"/>
    <w:rsid w:val="00FC5FD0"/>
    <w:rsid w:val="00FE23B4"/>
    <w:rsid w:val="00FE39C7"/>
    <w:rsid w:val="00FF4D07"/>
    <w:rsid w:val="00FF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9F0B"/>
  <w15:docId w15:val="{23DE11C2-5ECE-41B2-B5C7-4236A0F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365B2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rsid w:val="00365B2A"/>
    <w:pPr>
      <w:tabs>
        <w:tab w:val="right" w:leader="dot" w:pos="9639"/>
      </w:tabs>
      <w:ind w:left="568" w:right="851" w:hanging="284"/>
      <w:contextualSpacing/>
      <w:jc w:val="left"/>
    </w:pPr>
    <w:rPr>
      <w:sz w:val="18"/>
    </w:rPr>
  </w:style>
  <w:style w:type="paragraph" w:styleId="TOC3">
    <w:name w:val="toc 3"/>
    <w:next w:val="Normal"/>
    <w:autoRedefine/>
    <w:uiPriority w:val="39"/>
    <w:rsid w:val="00365B2A"/>
    <w:pPr>
      <w:tabs>
        <w:tab w:val="right" w:leader="dot" w:pos="9639"/>
      </w:tabs>
      <w:spacing w:after="60"/>
      <w:ind w:left="851" w:right="1418" w:hanging="284"/>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365B2A"/>
    <w:pPr>
      <w:tabs>
        <w:tab w:val="right" w:leader="dot" w:pos="9639"/>
      </w:tabs>
      <w:spacing w:before="60"/>
      <w:ind w:right="1418"/>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365B2A"/>
    <w:rPr>
      <w:rFonts w:ascii="Arial" w:hAnsi="Arial"/>
      <w:u w:val="single"/>
    </w:rPr>
  </w:style>
  <w:style w:type="character" w:customStyle="1" w:styleId="Heading3Char">
    <w:name w:val="Heading 3 Char"/>
    <w:basedOn w:val="DefaultParagraphFont"/>
    <w:link w:val="Heading3"/>
    <w:rsid w:val="00302A22"/>
    <w:rPr>
      <w:rFonts w:ascii="Arial" w:hAnsi="Arial"/>
      <w:i/>
    </w:rPr>
  </w:style>
  <w:style w:type="character" w:customStyle="1" w:styleId="Heading1Char">
    <w:name w:val="Heading 1 Char"/>
    <w:basedOn w:val="DefaultParagraphFont"/>
    <w:link w:val="Heading1"/>
    <w:rsid w:val="00302A22"/>
    <w:rPr>
      <w:rFonts w:ascii="Arial" w:hAnsi="Arial"/>
      <w:caps/>
    </w:rPr>
  </w:style>
  <w:style w:type="paragraph" w:styleId="ListParagraph">
    <w:name w:val="List Paragraph"/>
    <w:aliases w:val="auto_list_(i),List Paragraph1"/>
    <w:basedOn w:val="Normal"/>
    <w:link w:val="ListParagraphChar"/>
    <w:uiPriority w:val="34"/>
    <w:qFormat/>
    <w:rsid w:val="006F0A99"/>
    <w:pPr>
      <w:ind w:left="720"/>
      <w:contextualSpacing/>
    </w:pPr>
    <w:rPr>
      <w:rFonts w:eastAsiaTheme="minorEastAsia"/>
    </w:rPr>
  </w:style>
  <w:style w:type="character" w:customStyle="1" w:styleId="ListParagraphChar">
    <w:name w:val="List Paragraph Char"/>
    <w:aliases w:val="auto_list_(i) Char,List Paragraph1 Char"/>
    <w:basedOn w:val="DefaultParagraphFont"/>
    <w:link w:val="ListParagraph"/>
    <w:uiPriority w:val="34"/>
    <w:locked/>
    <w:rsid w:val="006F0A99"/>
    <w:rPr>
      <w:rFonts w:ascii="Arial" w:eastAsiaTheme="minorEastAsia" w:hAnsi="Arial"/>
    </w:rPr>
  </w:style>
  <w:style w:type="character" w:customStyle="1" w:styleId="FootnoteTextChar">
    <w:name w:val="Footnote Text Char"/>
    <w:basedOn w:val="DefaultParagraphFont"/>
    <w:link w:val="FootnoteText"/>
    <w:rsid w:val="00F21482"/>
    <w:rPr>
      <w:rFonts w:ascii="Arial" w:hAnsi="Arial"/>
      <w:sz w:val="16"/>
    </w:rPr>
  </w:style>
  <w:style w:type="character" w:styleId="UnresolvedMention">
    <w:name w:val="Unresolved Mention"/>
    <w:basedOn w:val="DefaultParagraphFont"/>
    <w:uiPriority w:val="99"/>
    <w:semiHidden/>
    <w:unhideWhenUsed/>
    <w:rsid w:val="00364964"/>
    <w:rPr>
      <w:color w:val="605E5C"/>
      <w:shd w:val="clear" w:color="auto" w:fill="E1DFDD"/>
    </w:rPr>
  </w:style>
  <w:style w:type="character" w:styleId="FollowedHyperlink">
    <w:name w:val="FollowedHyperlink"/>
    <w:basedOn w:val="DefaultParagraphFont"/>
    <w:semiHidden/>
    <w:unhideWhenUsed/>
    <w:rsid w:val="00364964"/>
    <w:rPr>
      <w:color w:val="800080" w:themeColor="followedHyperlink"/>
      <w:u w:val="single"/>
    </w:rPr>
  </w:style>
  <w:style w:type="character" w:styleId="CommentReference">
    <w:name w:val="annotation reference"/>
    <w:basedOn w:val="DefaultParagraphFont"/>
    <w:semiHidden/>
    <w:unhideWhenUsed/>
    <w:rsid w:val="00FC0F25"/>
    <w:rPr>
      <w:sz w:val="16"/>
      <w:szCs w:val="16"/>
    </w:rPr>
  </w:style>
  <w:style w:type="paragraph" w:styleId="CommentText">
    <w:name w:val="annotation text"/>
    <w:basedOn w:val="Normal"/>
    <w:link w:val="CommentTextChar"/>
    <w:unhideWhenUsed/>
    <w:rsid w:val="00FC0F25"/>
  </w:style>
  <w:style w:type="character" w:customStyle="1" w:styleId="CommentTextChar">
    <w:name w:val="Comment Text Char"/>
    <w:basedOn w:val="DefaultParagraphFont"/>
    <w:link w:val="CommentText"/>
    <w:rsid w:val="00FC0F25"/>
    <w:rPr>
      <w:rFonts w:ascii="Arial" w:hAnsi="Arial"/>
    </w:rPr>
  </w:style>
  <w:style w:type="paragraph" w:styleId="CommentSubject">
    <w:name w:val="annotation subject"/>
    <w:basedOn w:val="CommentText"/>
    <w:next w:val="CommentText"/>
    <w:link w:val="CommentSubjectChar"/>
    <w:semiHidden/>
    <w:unhideWhenUsed/>
    <w:rsid w:val="00D90661"/>
    <w:rPr>
      <w:b/>
      <w:bCs/>
    </w:rPr>
  </w:style>
  <w:style w:type="character" w:customStyle="1" w:styleId="CommentSubjectChar">
    <w:name w:val="Comment Subject Char"/>
    <w:basedOn w:val="CommentTextChar"/>
    <w:link w:val="CommentSubject"/>
    <w:semiHidden/>
    <w:rsid w:val="00D9066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21897">
      <w:bodyDiv w:val="1"/>
      <w:marLeft w:val="0"/>
      <w:marRight w:val="0"/>
      <w:marTop w:val="0"/>
      <w:marBottom w:val="0"/>
      <w:divBdr>
        <w:top w:val="none" w:sz="0" w:space="0" w:color="auto"/>
        <w:left w:val="none" w:sz="0" w:space="0" w:color="auto"/>
        <w:bottom w:val="none" w:sz="0" w:space="0" w:color="auto"/>
        <w:right w:val="none" w:sz="0" w:space="0" w:color="auto"/>
      </w:divBdr>
    </w:div>
    <w:div w:id="627470258">
      <w:bodyDiv w:val="1"/>
      <w:marLeft w:val="0"/>
      <w:marRight w:val="0"/>
      <w:marTop w:val="0"/>
      <w:marBottom w:val="0"/>
      <w:divBdr>
        <w:top w:val="none" w:sz="0" w:space="0" w:color="auto"/>
        <w:left w:val="none" w:sz="0" w:space="0" w:color="auto"/>
        <w:bottom w:val="none" w:sz="0" w:space="0" w:color="auto"/>
        <w:right w:val="none" w:sz="0" w:space="0" w:color="auto"/>
      </w:divBdr>
    </w:div>
    <w:div w:id="1318916497">
      <w:bodyDiv w:val="1"/>
      <w:marLeft w:val="0"/>
      <w:marRight w:val="0"/>
      <w:marTop w:val="0"/>
      <w:marBottom w:val="0"/>
      <w:divBdr>
        <w:top w:val="none" w:sz="0" w:space="0" w:color="auto"/>
        <w:left w:val="none" w:sz="0" w:space="0" w:color="auto"/>
        <w:bottom w:val="none" w:sz="0" w:space="0" w:color="auto"/>
        <w:right w:val="none" w:sz="0" w:space="0" w:color="auto"/>
      </w:divBdr>
    </w:div>
    <w:div w:id="1456174827">
      <w:bodyDiv w:val="1"/>
      <w:marLeft w:val="0"/>
      <w:marRight w:val="0"/>
      <w:marTop w:val="0"/>
      <w:marBottom w:val="0"/>
      <w:divBdr>
        <w:top w:val="none" w:sz="0" w:space="0" w:color="auto"/>
        <w:left w:val="none" w:sz="0" w:space="0" w:color="auto"/>
        <w:bottom w:val="none" w:sz="0" w:space="0" w:color="auto"/>
        <w:right w:val="none" w:sz="0" w:space="0" w:color="auto"/>
      </w:divBdr>
    </w:div>
    <w:div w:id="166613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en/twv_59/twv_59_9.pdf" TargetMode="External"/><Relationship Id="rId18" Type="http://schemas.openxmlformats.org/officeDocument/2006/relationships/hyperlink" Target="https://www.upov.int/edocs/mdocs/upov/en/twm_3/twm_3_19.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pov.int/edocs/mdocs/upov/en/twm_3/twm_3_13.pdf" TargetMode="External"/><Relationship Id="rId7" Type="http://schemas.openxmlformats.org/officeDocument/2006/relationships/endnotes" Target="endnotes.xml"/><Relationship Id="rId12" Type="http://schemas.openxmlformats.org/officeDocument/2006/relationships/hyperlink" Target="https://www.upov.int/edocs/mdocs/upov/en/twv_59/twv_59_12.pdf" TargetMode="External"/><Relationship Id="rId17" Type="http://schemas.openxmlformats.org/officeDocument/2006/relationships/hyperlink" Target="https://www.upov.int/edocs/mdocs/upov/en/twf_56/twf_56_4.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pov.int/edocs/mdocs/upov/en/twv_59/twv_59_8.pdf" TargetMode="External"/><Relationship Id="rId20" Type="http://schemas.openxmlformats.org/officeDocument/2006/relationships/hyperlink" Target="https://www.upov.int/edocs/mdocs/upov/en/twm_3/twm_3_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twv_58/twv_58_6.pdf" TargetMode="External"/><Relationship Id="rId24" Type="http://schemas.openxmlformats.org/officeDocument/2006/relationships/hyperlink" Target="http://sort.sops.gov.ua/search/search" TargetMode="External"/><Relationship Id="rId5" Type="http://schemas.openxmlformats.org/officeDocument/2006/relationships/webSettings" Target="webSettings.xml"/><Relationship Id="rId15" Type="http://schemas.openxmlformats.org/officeDocument/2006/relationships/hyperlink" Target="https://www.upov.int/edocs/mdocs/upov/en/two_57/two_57_4.pdf" TargetMode="External"/><Relationship Id="rId23" Type="http://schemas.openxmlformats.org/officeDocument/2006/relationships/hyperlink" Target="https://www.upov.int/edocs/mdocs/upov/en/twf_56/twf_56_5.pdf" TargetMode="External"/><Relationship Id="rId28" Type="http://schemas.openxmlformats.org/officeDocument/2006/relationships/theme" Target="theme/theme1.xml"/><Relationship Id="rId10" Type="http://schemas.openxmlformats.org/officeDocument/2006/relationships/hyperlink" Target="https://www.upov.int/edocs/mdocs/upov/en/twv_59/twv_59_11.pdf" TargetMode="External"/><Relationship Id="rId19" Type="http://schemas.openxmlformats.org/officeDocument/2006/relationships/hyperlink" Target="https://www.upov.int/edocs/mdocs/upov/en/twm_3/twm_3_12.pdf" TargetMode="External"/><Relationship Id="rId4" Type="http://schemas.openxmlformats.org/officeDocument/2006/relationships/settings" Target="settings.xml"/><Relationship Id="rId9" Type="http://schemas.openxmlformats.org/officeDocument/2006/relationships/hyperlink" Target="https://www.upov.int/edocs/mdocs/upov/en/twv_59/twv_59_10.pdf" TargetMode="External"/><Relationship Id="rId14" Type="http://schemas.openxmlformats.org/officeDocument/2006/relationships/hyperlink" Target="https://www.upov.int/edocs/mdocs/upov/en/twa_54/twa_54_3.pdf" TargetMode="External"/><Relationship Id="rId22" Type="http://schemas.openxmlformats.org/officeDocument/2006/relationships/hyperlink" Target="https://www.upov.int/edocs/mdocs/upov/en/twm_3/twm_3_14.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routing_slip_with_doc_tc_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2F6E-CF08-49CD-A37A-11446C2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routing_slip_with_doc_tc_61</Template>
  <TotalTime>18</TotalTime>
  <Pages>7</Pages>
  <Words>3791</Words>
  <Characters>22412</Characters>
  <Application>Microsoft Office Word</Application>
  <DocSecurity>0</DocSecurity>
  <Lines>448</Lines>
  <Paragraphs>164</Paragraphs>
  <ScaleCrop>false</ScaleCrop>
  <HeadingPairs>
    <vt:vector size="2" baseType="variant">
      <vt:variant>
        <vt:lpstr>Title</vt:lpstr>
      </vt:variant>
      <vt:variant>
        <vt:i4>1</vt:i4>
      </vt:variant>
    </vt:vector>
  </HeadingPairs>
  <TitlesOfParts>
    <vt:vector size="1" baseType="lpstr">
      <vt:lpstr>TC/60</vt:lpstr>
    </vt:vector>
  </TitlesOfParts>
  <Company>UPOV</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TC/61/3</dc:title>
  <dc:creator>MAY Jessica</dc:creator>
  <cp:keywords>, docId:0A2D57B45DBED55A7D23748D71F3D845</cp:keywords>
  <cp:lastModifiedBy>MAY Jessica</cp:lastModifiedBy>
  <cp:revision>20</cp:revision>
  <cp:lastPrinted>2016-11-22T15:41:00Z</cp:lastPrinted>
  <dcterms:created xsi:type="dcterms:W3CDTF">2025-09-15T09:42:00Z</dcterms:created>
  <dcterms:modified xsi:type="dcterms:W3CDTF">2025-09-23T08:27:00Z</dcterms:modified>
</cp:coreProperties>
</file>