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2B2E80" w14:paraId="744EBB8A" w14:textId="77777777" w:rsidTr="00EB4E9C">
        <w:tc>
          <w:tcPr>
            <w:tcW w:w="6522" w:type="dxa"/>
          </w:tcPr>
          <w:p w14:paraId="2DC0A08B" w14:textId="39C3389D" w:rsidR="00DC3802" w:rsidRPr="002B2E80" w:rsidRDefault="00284360" w:rsidP="00AC2883">
            <w:r w:rsidRPr="002B2E80">
              <w:rPr>
                <w:noProof/>
              </w:rPr>
              <w:drawing>
                <wp:inline distT="0" distB="0" distL="0" distR="0" wp14:anchorId="115FA40C" wp14:editId="1D251F00">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51DBB229" w14:textId="7E937425" w:rsidR="00DC3802" w:rsidRPr="002B2E80" w:rsidRDefault="002B2E80" w:rsidP="00AC2883">
            <w:pPr>
              <w:pStyle w:val="Lettrine"/>
            </w:pPr>
            <w:r w:rsidRPr="002B2E80">
              <w:t>S</w:t>
            </w:r>
          </w:p>
        </w:tc>
      </w:tr>
      <w:tr w:rsidR="00DC3802" w:rsidRPr="002B2E80" w14:paraId="2E52EA0A" w14:textId="77777777" w:rsidTr="00645CA8">
        <w:trPr>
          <w:trHeight w:val="219"/>
        </w:trPr>
        <w:tc>
          <w:tcPr>
            <w:tcW w:w="6522" w:type="dxa"/>
          </w:tcPr>
          <w:p w14:paraId="0B7D8583" w14:textId="6E53AFFC" w:rsidR="00DC3802" w:rsidRPr="002B2E80" w:rsidRDefault="00DC3802" w:rsidP="00AC2883">
            <w:pPr>
              <w:pStyle w:val="upove"/>
            </w:pPr>
            <w:r w:rsidRPr="002B2E80">
              <w:t>Unión Internacional para la Protección de las Obtenciones Vegetales</w:t>
            </w:r>
          </w:p>
        </w:tc>
        <w:tc>
          <w:tcPr>
            <w:tcW w:w="3117" w:type="dxa"/>
          </w:tcPr>
          <w:p w14:paraId="6977A71D" w14:textId="77777777" w:rsidR="00DC3802" w:rsidRPr="002B2E80" w:rsidRDefault="00DC3802" w:rsidP="00DA4973"/>
        </w:tc>
      </w:tr>
    </w:tbl>
    <w:p w14:paraId="3DE947B1" w14:textId="77777777" w:rsidR="00DC3802" w:rsidRPr="002B2E80" w:rsidRDefault="00DC3802" w:rsidP="00DC3802"/>
    <w:p w14:paraId="397024C6" w14:textId="77777777" w:rsidR="00B22ED6" w:rsidRPr="002B2E80" w:rsidRDefault="00B22ED6" w:rsidP="00B22ED6"/>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B22ED6" w:rsidRPr="002B2E80" w14:paraId="5431E896" w14:textId="77777777" w:rsidTr="00D7425C">
        <w:tc>
          <w:tcPr>
            <w:tcW w:w="6512" w:type="dxa"/>
          </w:tcPr>
          <w:p w14:paraId="1E3F80BF" w14:textId="77777777" w:rsidR="00B22ED6" w:rsidRPr="002B2E80" w:rsidRDefault="00B22ED6" w:rsidP="00D7425C">
            <w:pPr>
              <w:pStyle w:val="Sessiontwp"/>
            </w:pPr>
            <w:r w:rsidRPr="002B2E80">
              <w:t>Comité Técnico</w:t>
            </w:r>
          </w:p>
          <w:p w14:paraId="053AD770" w14:textId="277A50A3" w:rsidR="00B22ED6" w:rsidRPr="002B2E80" w:rsidRDefault="00CD74E3" w:rsidP="00D7425C">
            <w:pPr>
              <w:pStyle w:val="Sessiontwpplacedate"/>
            </w:pPr>
            <w:r w:rsidRPr="002B2E80">
              <w:rPr>
                <w:rFonts w:hint="eastAsia"/>
                <w:lang w:eastAsia="ja-JP"/>
              </w:rPr>
              <w:t xml:space="preserve">Sexagésima primera </w:t>
            </w:r>
            <w:r w:rsidR="00B22ED6" w:rsidRPr="002B2E80">
              <w:t>sesión</w:t>
            </w:r>
          </w:p>
          <w:p w14:paraId="3D679212" w14:textId="31AD7B14" w:rsidR="00B22ED6" w:rsidRPr="002B2E80" w:rsidRDefault="00B22ED6" w:rsidP="00D7425C">
            <w:pPr>
              <w:rPr>
                <w:lang w:eastAsia="ja-JP"/>
              </w:rPr>
            </w:pPr>
            <w:r w:rsidRPr="002B2E80">
              <w:t>Ginebra,</w:t>
            </w:r>
            <w:r w:rsidR="00CD74E3" w:rsidRPr="002B2E80">
              <w:rPr>
                <w:rFonts w:hint="eastAsia"/>
                <w:lang w:eastAsia="ja-JP"/>
              </w:rPr>
              <w:t xml:space="preserve"> 20 </w:t>
            </w:r>
            <w:r w:rsidRPr="002B2E80">
              <w:t>y</w:t>
            </w:r>
            <w:r w:rsidR="00CD74E3" w:rsidRPr="002B2E80">
              <w:rPr>
                <w:rFonts w:hint="eastAsia"/>
                <w:lang w:eastAsia="ja-JP"/>
              </w:rPr>
              <w:t xml:space="preserve"> 21 </w:t>
            </w:r>
            <w:r w:rsidRPr="002B2E80">
              <w:t>de octubre de</w:t>
            </w:r>
            <w:r w:rsidR="00CD74E3" w:rsidRPr="002B2E80">
              <w:rPr>
                <w:rFonts w:hint="eastAsia"/>
                <w:lang w:eastAsia="ja-JP"/>
              </w:rPr>
              <w:t xml:space="preserve"> 2025</w:t>
            </w:r>
          </w:p>
          <w:p w14:paraId="495B80B9" w14:textId="77777777" w:rsidR="00B22ED6" w:rsidRPr="002B2E80" w:rsidRDefault="00B22ED6" w:rsidP="00D7425C"/>
          <w:p w14:paraId="56661E49" w14:textId="77777777" w:rsidR="00B22ED6" w:rsidRPr="002B2E80" w:rsidRDefault="00B22ED6" w:rsidP="00D7425C">
            <w:pPr>
              <w:pStyle w:val="Sessiontwp"/>
            </w:pPr>
            <w:r w:rsidRPr="002B2E80">
              <w:t>Comité Administrativo y Jurídico</w:t>
            </w:r>
          </w:p>
          <w:p w14:paraId="26A4B1A2" w14:textId="61FC7720" w:rsidR="00B22ED6" w:rsidRPr="002B2E80" w:rsidRDefault="002B2E80" w:rsidP="00D7425C">
            <w:pPr>
              <w:pStyle w:val="Sessiontwp"/>
              <w:rPr>
                <w:b w:val="0"/>
              </w:rPr>
            </w:pPr>
            <w:r>
              <w:rPr>
                <w:b w:val="0"/>
              </w:rPr>
              <w:t xml:space="preserve">Octogésima segunda </w:t>
            </w:r>
            <w:r w:rsidR="00B22ED6" w:rsidRPr="002B2E80">
              <w:rPr>
                <w:b w:val="0"/>
              </w:rPr>
              <w:t>sesión</w:t>
            </w:r>
          </w:p>
          <w:p w14:paraId="1EAC1B76" w14:textId="38A93B40" w:rsidR="00B22ED6" w:rsidRPr="002B2E80" w:rsidRDefault="00B22ED6" w:rsidP="00E20F65">
            <w:pPr>
              <w:pStyle w:val="Sessiontwpplacedate"/>
              <w:rPr>
                <w:lang w:eastAsia="ja-JP"/>
              </w:rPr>
            </w:pPr>
            <w:r w:rsidRPr="002B2E80">
              <w:t>Ginebra,</w:t>
            </w:r>
            <w:r w:rsidR="001D71DF" w:rsidRPr="002B2E80">
              <w:rPr>
                <w:rFonts w:hint="eastAsia"/>
                <w:lang w:eastAsia="ja-JP"/>
              </w:rPr>
              <w:t xml:space="preserve"> 22 </w:t>
            </w:r>
            <w:r w:rsidRPr="002B2E80">
              <w:t xml:space="preserve">de octubre </w:t>
            </w:r>
            <w:r w:rsidR="001D71DF" w:rsidRPr="002B2E80">
              <w:rPr>
                <w:rFonts w:hint="eastAsia"/>
                <w:lang w:eastAsia="ja-JP"/>
              </w:rPr>
              <w:t>de 2025</w:t>
            </w:r>
          </w:p>
        </w:tc>
        <w:tc>
          <w:tcPr>
            <w:tcW w:w="3127" w:type="dxa"/>
          </w:tcPr>
          <w:p w14:paraId="4BA62DBF" w14:textId="4C2194D4" w:rsidR="00B22ED6" w:rsidRPr="002B2E80" w:rsidRDefault="000E34BE" w:rsidP="00D7425C">
            <w:pPr>
              <w:pStyle w:val="Doccode"/>
              <w:rPr>
                <w:lang w:val="es-ES_tradnl"/>
              </w:rPr>
            </w:pPr>
            <w:r>
              <w:rPr>
                <w:lang w:val="es-ES_tradnl"/>
              </w:rPr>
              <w:t>SESSIONS/2025</w:t>
            </w:r>
            <w:r w:rsidR="002A12E1" w:rsidRPr="002B2E80">
              <w:rPr>
                <w:lang w:val="es-ES_tradnl"/>
              </w:rPr>
              <w:t>/6</w:t>
            </w:r>
          </w:p>
          <w:p w14:paraId="4135D4D9" w14:textId="77777777" w:rsidR="00B22ED6" w:rsidRPr="002B2E80" w:rsidRDefault="00B22ED6" w:rsidP="00D7425C">
            <w:pPr>
              <w:pStyle w:val="Docoriginal"/>
            </w:pPr>
            <w:r w:rsidRPr="002B2E80">
              <w:t xml:space="preserve">Original: </w:t>
            </w:r>
            <w:r w:rsidRPr="002B2E80">
              <w:rPr>
                <w:b w:val="0"/>
                <w:spacing w:val="0"/>
              </w:rPr>
              <w:t>inglés</w:t>
            </w:r>
          </w:p>
          <w:p w14:paraId="49336837" w14:textId="2D730149" w:rsidR="00B22ED6" w:rsidRPr="002B2E80" w:rsidRDefault="00B22ED6" w:rsidP="00D7425C">
            <w:pPr>
              <w:pStyle w:val="Docoriginal"/>
              <w:rPr>
                <w:lang w:eastAsia="ja-JP"/>
              </w:rPr>
            </w:pPr>
            <w:r w:rsidRPr="002B2E80">
              <w:t>Fecha:</w:t>
            </w:r>
            <w:r w:rsidRPr="002B2E80">
              <w:rPr>
                <w:b w:val="0"/>
                <w:spacing w:val="0"/>
              </w:rPr>
              <w:t xml:space="preserve"> </w:t>
            </w:r>
            <w:r w:rsidR="0077577B" w:rsidRPr="002B2E80">
              <w:rPr>
                <w:b w:val="0"/>
                <w:spacing w:val="0"/>
                <w:lang w:eastAsia="ja-JP"/>
              </w:rPr>
              <w:t xml:space="preserve"> 30</w:t>
            </w:r>
            <w:r w:rsidR="00551D2C" w:rsidRPr="002B2E80">
              <w:rPr>
                <w:b w:val="0"/>
                <w:spacing w:val="0"/>
                <w:lang w:eastAsia="ja-JP"/>
              </w:rPr>
              <w:t xml:space="preserve"> </w:t>
            </w:r>
            <w:r w:rsidRPr="002B2E80">
              <w:rPr>
                <w:b w:val="0"/>
                <w:spacing w:val="0"/>
              </w:rPr>
              <w:t>de</w:t>
            </w:r>
            <w:r w:rsidR="00551D2C" w:rsidRPr="002B2E80">
              <w:rPr>
                <w:b w:val="0"/>
                <w:spacing w:val="0"/>
                <w:lang w:eastAsia="ja-JP"/>
              </w:rPr>
              <w:t xml:space="preserve"> septiembre </w:t>
            </w:r>
            <w:r w:rsidR="00CD74E3" w:rsidRPr="002B2E80">
              <w:rPr>
                <w:rFonts w:hint="eastAsia"/>
                <w:b w:val="0"/>
                <w:spacing w:val="0"/>
                <w:lang w:eastAsia="ja-JP"/>
              </w:rPr>
              <w:t>de 2025</w:t>
            </w:r>
          </w:p>
        </w:tc>
      </w:tr>
    </w:tbl>
    <w:p w14:paraId="19B49DD5" w14:textId="5975D39E" w:rsidR="007B73A9" w:rsidRPr="002B2E80" w:rsidRDefault="002A12E1" w:rsidP="007B73A9">
      <w:pPr>
        <w:pStyle w:val="Titleofdoc0"/>
      </w:pPr>
      <w:r w:rsidRPr="002B2E80">
        <w:t>Técnicas moleculares</w:t>
      </w:r>
    </w:p>
    <w:p w14:paraId="4117B7F7" w14:textId="054AADC6" w:rsidR="001D736D" w:rsidRPr="002B2E80" w:rsidRDefault="001D736D" w:rsidP="001D736D">
      <w:pPr>
        <w:pStyle w:val="preparedby1"/>
        <w:jc w:val="left"/>
      </w:pPr>
      <w:r w:rsidRPr="002B2E80">
        <w:t>Documento preparado por la Oficina de la Uni</w:t>
      </w:r>
      <w:r w:rsidR="002F0EC4">
        <w:t>ó</w:t>
      </w:r>
      <w:r w:rsidRPr="002B2E80">
        <w:t>n</w:t>
      </w:r>
    </w:p>
    <w:p w14:paraId="307EDC43" w14:textId="77777777" w:rsidR="002F0EC4" w:rsidRPr="006365CE" w:rsidRDefault="002F0EC4" w:rsidP="002F0EC4">
      <w:pPr>
        <w:pStyle w:val="Disclaimer"/>
        <w:spacing w:after="480"/>
        <w:rPr>
          <w:lang w:val="es-ES_tradnl"/>
        </w:rPr>
      </w:pPr>
      <w:bookmarkStart w:id="0" w:name="_Toc177773938"/>
      <w:bookmarkStart w:id="1" w:name="_Toc84413225"/>
      <w:bookmarkStart w:id="2" w:name="_Toc97892774"/>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0FD86AF0" w14:textId="77777777" w:rsidR="00EF4B00" w:rsidRPr="002B2E80" w:rsidRDefault="00EF4B00" w:rsidP="00EF4B00">
      <w:pPr>
        <w:keepNext/>
        <w:outlineLvl w:val="0"/>
        <w:rPr>
          <w:caps/>
          <w:snapToGrid w:val="0"/>
          <w:lang w:eastAsia="ja-JP"/>
        </w:rPr>
      </w:pPr>
      <w:r w:rsidRPr="002B2E80">
        <w:rPr>
          <w:caps/>
          <w:snapToGrid w:val="0"/>
          <w:lang w:eastAsia="ja-JP"/>
        </w:rPr>
        <w:t>RESUMEN</w:t>
      </w:r>
      <w:bookmarkEnd w:id="0"/>
    </w:p>
    <w:p w14:paraId="7C8B2385" w14:textId="77777777" w:rsidR="00EF4B00" w:rsidRPr="002B2E80" w:rsidRDefault="00EF4B00" w:rsidP="00EF4B00">
      <w:pPr>
        <w:rPr>
          <w:lang w:eastAsia="ja-JP"/>
        </w:rPr>
      </w:pPr>
    </w:p>
    <w:p w14:paraId="48B4C3D0" w14:textId="6E4A1250" w:rsidR="00BA2810" w:rsidRPr="002B2E80" w:rsidRDefault="008B6969" w:rsidP="00EF4B00">
      <w:r w:rsidRPr="002B2E80">
        <w:fldChar w:fldCharType="begin"/>
      </w:r>
      <w:r w:rsidRPr="002B2E80">
        <w:instrText xml:space="preserve"> AUTONUM  </w:instrText>
      </w:r>
      <w:r w:rsidRPr="002B2E80">
        <w:fldChar w:fldCharType="end"/>
      </w:r>
      <w:r w:rsidRPr="002B2E80">
        <w:tab/>
      </w:r>
      <w:r w:rsidR="00D248B8" w:rsidRPr="002B2E80">
        <w:t xml:space="preserve">En el presente documento se formulan propuestas para </w:t>
      </w:r>
      <w:r w:rsidR="004D3EE1" w:rsidRPr="002B2E80">
        <w:t xml:space="preserve">la elaboración de </w:t>
      </w:r>
      <w:r w:rsidR="00AF7C82" w:rsidRPr="002B2E80">
        <w:t xml:space="preserve">orientaciones sobre los marcadores moleculares en </w:t>
      </w:r>
      <w:r w:rsidR="00940E2B" w:rsidRPr="002B2E80">
        <w:t xml:space="preserve">el </w:t>
      </w:r>
      <w:r w:rsidR="00E10DA2" w:rsidRPr="002B2E80">
        <w:t xml:space="preserve">examen de </w:t>
      </w:r>
      <w:r w:rsidR="00940E2B" w:rsidRPr="002B2E80">
        <w:t xml:space="preserve">la distinción, la homogeneidad y la estabilidad </w:t>
      </w:r>
      <w:r w:rsidR="00E10DA2" w:rsidRPr="002B2E80">
        <w:t>(</w:t>
      </w:r>
      <w:r w:rsidR="00AF7C82" w:rsidRPr="002B2E80">
        <w:t>DHE</w:t>
      </w:r>
      <w:r w:rsidR="00E10DA2" w:rsidRPr="002B2E80">
        <w:t xml:space="preserve">) </w:t>
      </w:r>
      <w:r w:rsidR="00B3260D" w:rsidRPr="002B2E80">
        <w:t xml:space="preserve">y la cooperación con </w:t>
      </w:r>
      <w:r w:rsidR="00BA2810" w:rsidRPr="002B2E80">
        <w:t>organizaciones internacionales</w:t>
      </w:r>
      <w:r w:rsidR="00EE0E99" w:rsidRPr="002B2E80">
        <w:t xml:space="preserve">, a saber:  </w:t>
      </w:r>
    </w:p>
    <w:p w14:paraId="0CD2A987" w14:textId="77777777" w:rsidR="00BA2810" w:rsidRPr="002B2E80" w:rsidRDefault="00BA2810" w:rsidP="00D16288"/>
    <w:p w14:paraId="30F045A8" w14:textId="6062B5B9" w:rsidR="00120291" w:rsidRPr="002B2E80" w:rsidRDefault="00BB3A7B" w:rsidP="00743D5D">
      <w:pPr>
        <w:pStyle w:val="ListParagraph"/>
        <w:numPr>
          <w:ilvl w:val="0"/>
          <w:numId w:val="45"/>
        </w:numPr>
        <w:spacing w:after="180"/>
        <w:ind w:left="1134" w:hanging="567"/>
        <w:contextualSpacing w:val="0"/>
        <w:jc w:val="both"/>
      </w:pPr>
      <w:r>
        <w:t>E</w:t>
      </w:r>
      <w:r w:rsidRPr="002B2E80">
        <w:t xml:space="preserve">xaminar </w:t>
      </w:r>
      <w:r w:rsidR="00120291" w:rsidRPr="002B2E80">
        <w:t xml:space="preserve">el proyecto de </w:t>
      </w:r>
      <w:r>
        <w:t>orientaciones</w:t>
      </w:r>
      <w:r w:rsidR="00120291" w:rsidRPr="002B2E80">
        <w:t xml:space="preserve"> sobre la forma de validar los marcadores moleculares</w:t>
      </w:r>
      <w:r w:rsidR="00B4760D" w:rsidRPr="002B2E80">
        <w:t xml:space="preserve"> "específicos de un carácter" </w:t>
      </w:r>
      <w:r w:rsidR="00120291" w:rsidRPr="002B2E80">
        <w:t xml:space="preserve">para el examen DHE y </w:t>
      </w:r>
      <w:r w:rsidR="00547554" w:rsidRPr="002B2E80">
        <w:rPr>
          <w:lang w:eastAsia="ja-JP"/>
        </w:rPr>
        <w:t>la plantilla</w:t>
      </w:r>
      <w:r w:rsidR="003D1917" w:rsidRPr="002B2E80">
        <w:rPr>
          <w:lang w:eastAsia="ja-JP"/>
        </w:rPr>
        <w:t xml:space="preserve"> normalizada </w:t>
      </w:r>
      <w:r w:rsidR="00B948B3" w:rsidRPr="002B2E80">
        <w:t xml:space="preserve">para describir </w:t>
      </w:r>
      <w:r w:rsidR="00130945" w:rsidRPr="002B2E80">
        <w:t xml:space="preserve">su utilización </w:t>
      </w:r>
      <w:r w:rsidR="006E5114" w:rsidRPr="002B2E80">
        <w:t xml:space="preserve">en la evaluación de los caracteres </w:t>
      </w:r>
      <w:r w:rsidR="00B948B3" w:rsidRPr="002B2E80">
        <w:rPr>
          <w:lang w:eastAsia="ja-JP"/>
        </w:rPr>
        <w:t xml:space="preserve">en </w:t>
      </w:r>
      <w:r w:rsidR="00B948B3" w:rsidRPr="002B2E80">
        <w:t xml:space="preserve">las directrices de examen </w:t>
      </w:r>
      <w:r w:rsidR="004D3FA3" w:rsidRPr="002B2E80">
        <w:t xml:space="preserve">(véase el anexo </w:t>
      </w:r>
      <w:r w:rsidR="006E5114" w:rsidRPr="002B2E80">
        <w:t xml:space="preserve">del </w:t>
      </w:r>
      <w:r w:rsidR="004D3FA3" w:rsidRPr="002B2E80">
        <w:t>presente documento).</w:t>
      </w:r>
    </w:p>
    <w:p w14:paraId="2DFDE956" w14:textId="0082E939" w:rsidR="004D3EE1" w:rsidRPr="002B2E80" w:rsidRDefault="00BB3A7B" w:rsidP="00743D5D">
      <w:pPr>
        <w:pStyle w:val="ListParagraph"/>
        <w:numPr>
          <w:ilvl w:val="0"/>
          <w:numId w:val="45"/>
        </w:numPr>
        <w:spacing w:after="180"/>
        <w:ind w:left="1134" w:hanging="567"/>
        <w:contextualSpacing w:val="0"/>
        <w:jc w:val="both"/>
      </w:pPr>
      <w:r>
        <w:t>I</w:t>
      </w:r>
      <w:r w:rsidRPr="002B2E80">
        <w:t xml:space="preserve">nvitar </w:t>
      </w:r>
      <w:r w:rsidR="00AB5644" w:rsidRPr="002B2E80">
        <w:t xml:space="preserve">a </w:t>
      </w:r>
      <w:r w:rsidR="00B514DB" w:rsidRPr="002B2E80">
        <w:t xml:space="preserve">Francia </w:t>
      </w:r>
      <w:r w:rsidR="00A62C60" w:rsidRPr="002B2E80">
        <w:t xml:space="preserve">a </w:t>
      </w:r>
      <w:r w:rsidR="00A20C9A" w:rsidRPr="002B2E80">
        <w:t xml:space="preserve">coordinar </w:t>
      </w:r>
      <w:r w:rsidR="008520D3" w:rsidRPr="002B2E80">
        <w:t xml:space="preserve">la labor </w:t>
      </w:r>
      <w:r w:rsidR="00A62C60" w:rsidRPr="002B2E80">
        <w:t xml:space="preserve">de la UPOV </w:t>
      </w:r>
      <w:r w:rsidR="008520D3" w:rsidRPr="002B2E80">
        <w:t xml:space="preserve">para </w:t>
      </w:r>
      <w:r w:rsidR="00A62C60" w:rsidRPr="002B2E80">
        <w:t xml:space="preserve">armonizar </w:t>
      </w:r>
      <w:r w:rsidR="00650A61" w:rsidRPr="002B2E80">
        <w:t xml:space="preserve">la terminología </w:t>
      </w:r>
      <w:r w:rsidR="007D762E" w:rsidRPr="002B2E80">
        <w:t xml:space="preserve">sobre </w:t>
      </w:r>
      <w:r w:rsidR="00FA5FE2" w:rsidRPr="002B2E80">
        <w:t xml:space="preserve">marcadores moleculares </w:t>
      </w:r>
      <w:r w:rsidR="00B015DA" w:rsidRPr="002B2E80">
        <w:t xml:space="preserve">con </w:t>
      </w:r>
      <w:r w:rsidR="00940E2B" w:rsidRPr="002B2E80">
        <w:t xml:space="preserve">la </w:t>
      </w:r>
      <w:r w:rsidR="0084006D" w:rsidRPr="002B2E80">
        <w:t>Organización de Cooperación y de Desarrollo Económicos (</w:t>
      </w:r>
      <w:r w:rsidR="00940E2B" w:rsidRPr="002B2E80">
        <w:t>OCDE</w:t>
      </w:r>
      <w:r w:rsidR="0084006D" w:rsidRPr="002B2E80">
        <w:t xml:space="preserve">) y la International </w:t>
      </w:r>
      <w:proofErr w:type="spellStart"/>
      <w:r w:rsidR="0084006D" w:rsidRPr="002B2E80">
        <w:t>Seed</w:t>
      </w:r>
      <w:proofErr w:type="spellEnd"/>
      <w:r w:rsidR="0084006D" w:rsidRPr="002B2E80">
        <w:t xml:space="preserve"> </w:t>
      </w:r>
      <w:proofErr w:type="spellStart"/>
      <w:r w:rsidR="0084006D" w:rsidRPr="002B2E80">
        <w:t>Testing</w:t>
      </w:r>
      <w:proofErr w:type="spellEnd"/>
      <w:r w:rsidR="0084006D" w:rsidRPr="002B2E80">
        <w:t xml:space="preserve"> </w:t>
      </w:r>
      <w:proofErr w:type="spellStart"/>
      <w:r w:rsidR="0084006D" w:rsidRPr="002B2E80">
        <w:t>Association</w:t>
      </w:r>
      <w:proofErr w:type="spellEnd"/>
      <w:r w:rsidR="0084006D" w:rsidRPr="002B2E80">
        <w:t xml:space="preserve"> (ISTA). </w:t>
      </w:r>
    </w:p>
    <w:p w14:paraId="2A605944" w14:textId="5B7CBBEA" w:rsidR="004D3EE1" w:rsidRPr="002B2E80" w:rsidRDefault="00BB3A7B" w:rsidP="00743D5D">
      <w:pPr>
        <w:pStyle w:val="ListParagraph"/>
        <w:numPr>
          <w:ilvl w:val="0"/>
          <w:numId w:val="45"/>
        </w:numPr>
        <w:spacing w:after="180"/>
        <w:ind w:left="1134" w:hanging="567"/>
        <w:contextualSpacing w:val="0"/>
        <w:jc w:val="both"/>
      </w:pPr>
      <w:r>
        <w:t>R</w:t>
      </w:r>
      <w:r w:rsidRPr="002B2E80">
        <w:t xml:space="preserve">ealizar </w:t>
      </w:r>
      <w:r w:rsidR="00D16288" w:rsidRPr="002B2E80">
        <w:t xml:space="preserve">una encuesta </w:t>
      </w:r>
      <w:r w:rsidR="00192639" w:rsidRPr="002B2E80">
        <w:t xml:space="preserve">entre los miembros de la UPOV </w:t>
      </w:r>
      <w:r w:rsidR="00D16288" w:rsidRPr="002B2E80">
        <w:t xml:space="preserve">para </w:t>
      </w:r>
      <w:r w:rsidR="00192639" w:rsidRPr="002B2E80">
        <w:t xml:space="preserve">actualizar </w:t>
      </w:r>
      <w:r w:rsidR="00FA5FE2" w:rsidRPr="002B2E80">
        <w:t xml:space="preserve">la lista de marcadores moleculares utilizados </w:t>
      </w:r>
      <w:r w:rsidR="00B514DB" w:rsidRPr="002B2E80">
        <w:t xml:space="preserve">para cada </w:t>
      </w:r>
      <w:r w:rsidR="00FA5FE2" w:rsidRPr="002B2E80">
        <w:t xml:space="preserve">cultivo. </w:t>
      </w:r>
    </w:p>
    <w:p w14:paraId="2C69F4BB" w14:textId="2D1794FA" w:rsidR="00FA5FE2" w:rsidRPr="002B2E80" w:rsidRDefault="00D16288" w:rsidP="004322FB">
      <w:pPr>
        <w:pStyle w:val="ListParagraph"/>
        <w:numPr>
          <w:ilvl w:val="0"/>
          <w:numId w:val="45"/>
        </w:numPr>
        <w:ind w:left="1134" w:hanging="567"/>
        <w:jc w:val="both"/>
      </w:pPr>
      <w:r w:rsidRPr="002B2E80">
        <w:t xml:space="preserve">Cooperar </w:t>
      </w:r>
      <w:r w:rsidR="00EE5ED7" w:rsidRPr="002B2E80">
        <w:t xml:space="preserve">con la OCDE y la ISTA para desarrollar </w:t>
      </w:r>
      <w:r w:rsidR="00FA5FE2" w:rsidRPr="002B2E80">
        <w:t>conjuntos comunes de marcadores moleculares para la identificación de variedades.</w:t>
      </w:r>
    </w:p>
    <w:p w14:paraId="04C8E8DD" w14:textId="77777777" w:rsidR="001F1740" w:rsidRPr="002B2E80" w:rsidRDefault="001F1740" w:rsidP="004322FB">
      <w:pPr>
        <w:pStyle w:val="Heading3"/>
        <w:rPr>
          <w:i w:val="0"/>
          <w:iCs/>
          <w:lang w:val="es-ES_tradnl"/>
        </w:rPr>
      </w:pPr>
    </w:p>
    <w:p w14:paraId="2D860414" w14:textId="74BBB764" w:rsidR="00461438" w:rsidRPr="002B2E80" w:rsidRDefault="00D16288" w:rsidP="00461438">
      <w:r w:rsidRPr="002B2E80">
        <w:fldChar w:fldCharType="begin"/>
      </w:r>
      <w:r w:rsidRPr="002B2E80">
        <w:instrText xml:space="preserve"> AUTONUM  </w:instrText>
      </w:r>
      <w:r w:rsidRPr="002B2E80">
        <w:fldChar w:fldCharType="end"/>
      </w:r>
      <w:r w:rsidRPr="002B2E80">
        <w:tab/>
      </w:r>
      <w:r w:rsidR="008E4C3D" w:rsidRPr="002B2E80">
        <w:t xml:space="preserve">En cuanto a la «confidencialidad y propiedad de la información molecular», </w:t>
      </w:r>
      <w:r w:rsidR="00A11577" w:rsidRPr="002B2E80">
        <w:t>se invita al Comité Técnico (</w:t>
      </w:r>
      <w:r w:rsidR="00BB3A7B">
        <w:t>TC</w:t>
      </w:r>
      <w:r w:rsidR="00A11577" w:rsidRPr="002B2E80">
        <w:t xml:space="preserve">) a </w:t>
      </w:r>
      <w:r w:rsidR="008375C0" w:rsidRPr="002B2E80">
        <w:t xml:space="preserve">tomar nota de los debates </w:t>
      </w:r>
      <w:r w:rsidR="003816C7" w:rsidRPr="002B2E80">
        <w:t>celebrados en los Grupos de Trabajo Técnicos (</w:t>
      </w:r>
      <w:r w:rsidR="00BB3A7B">
        <w:t>TWP</w:t>
      </w:r>
      <w:r w:rsidR="003816C7" w:rsidRPr="002B2E80">
        <w:t xml:space="preserve">) en 2025 </w:t>
      </w:r>
      <w:r w:rsidR="008375C0" w:rsidRPr="002B2E80">
        <w:t xml:space="preserve">y a considerar la posibilidad de organizar </w:t>
      </w:r>
      <w:r w:rsidR="00461438" w:rsidRPr="002B2E80">
        <w:t>futuros debates basados en casos concretos y situaciones específicas</w:t>
      </w:r>
      <w:r w:rsidR="004E1C5B" w:rsidRPr="002B2E80">
        <w:t xml:space="preserve">.  </w:t>
      </w:r>
      <w:r w:rsidR="003A429E" w:rsidRPr="002B2E80">
        <w:t xml:space="preserve">Se invita al </w:t>
      </w:r>
      <w:r w:rsidR="00BB3A7B">
        <w:t>TC</w:t>
      </w:r>
      <w:r w:rsidR="003A429E" w:rsidRPr="002B2E80">
        <w:t xml:space="preserve"> a tomar nota de que </w:t>
      </w:r>
      <w:r w:rsidR="00461438" w:rsidRPr="002B2E80">
        <w:t>la Unión Europea ha presentado una «Política sobre la situación del material vegetal presentado para el examen DHE»</w:t>
      </w:r>
      <w:r w:rsidR="00003913" w:rsidRPr="002B2E80">
        <w:t xml:space="preserve">, que está disponible </w:t>
      </w:r>
      <w:hyperlink r:id="rId12" w:history="1">
        <w:r w:rsidR="00003913" w:rsidRPr="002B2E80">
          <w:rPr>
            <w:rStyle w:val="Hyperlink"/>
          </w:rPr>
          <w:t>en línea</w:t>
        </w:r>
      </w:hyperlink>
      <w:r w:rsidR="00F9202D" w:rsidRPr="002B2E80">
        <w:t>.</w:t>
      </w:r>
    </w:p>
    <w:p w14:paraId="74446157" w14:textId="77777777" w:rsidR="00461438" w:rsidRPr="002B2E80" w:rsidRDefault="00461438" w:rsidP="001F1740"/>
    <w:p w14:paraId="7E43C9CE" w14:textId="1604E9D2" w:rsidR="00FA5FE2" w:rsidRPr="002B2E80" w:rsidRDefault="00F9202D" w:rsidP="001F1740">
      <w:r w:rsidRPr="002B2E80">
        <w:fldChar w:fldCharType="begin"/>
      </w:r>
      <w:r w:rsidRPr="002B2E80">
        <w:instrText xml:space="preserve"> AUTONUM  </w:instrText>
      </w:r>
      <w:r w:rsidRPr="002B2E80">
        <w:fldChar w:fldCharType="end"/>
      </w:r>
      <w:r w:rsidRPr="002B2E80">
        <w:tab/>
      </w:r>
      <w:r w:rsidR="005D1C40" w:rsidRPr="002B2E80">
        <w:t>Se informa, a título informativo</w:t>
      </w:r>
      <w:r w:rsidR="00FA2B4C" w:rsidRPr="002B2E80">
        <w:t>,</w:t>
      </w:r>
      <w:r w:rsidR="005D1C40" w:rsidRPr="002B2E80">
        <w:t xml:space="preserve"> de </w:t>
      </w:r>
      <w:r w:rsidR="00FA2B4C" w:rsidRPr="002B2E80">
        <w:t xml:space="preserve">los debates sobre marcadores moleculares </w:t>
      </w:r>
      <w:r w:rsidR="00245273" w:rsidRPr="002B2E80">
        <w:t xml:space="preserve">que </w:t>
      </w:r>
      <w:r w:rsidR="00FA2B4C" w:rsidRPr="002B2E80">
        <w:t xml:space="preserve">han tenido </w:t>
      </w:r>
      <w:r w:rsidR="00BB3FBC" w:rsidRPr="002B2E80">
        <w:t xml:space="preserve">lugar </w:t>
      </w:r>
      <w:r w:rsidR="00FA2B4C" w:rsidRPr="002B2E80">
        <w:t xml:space="preserve">en </w:t>
      </w:r>
      <w:r w:rsidR="005D1C40" w:rsidRPr="002B2E80">
        <w:t xml:space="preserve">los Grupos de Trabajo Técnicos </w:t>
      </w:r>
      <w:r w:rsidR="00D16288" w:rsidRPr="002B2E80">
        <w:t xml:space="preserve">desde </w:t>
      </w:r>
      <w:r w:rsidR="002D2D96" w:rsidRPr="002B2E80">
        <w:t>las sesiones de la UPOV</w:t>
      </w:r>
      <w:r w:rsidR="00245273" w:rsidRPr="002B2E80">
        <w:t xml:space="preserve"> de 2024</w:t>
      </w:r>
      <w:r w:rsidR="00FA2B4C" w:rsidRPr="002B2E80">
        <w:t xml:space="preserve">. </w:t>
      </w:r>
    </w:p>
    <w:p w14:paraId="2FABB6BA" w14:textId="77777777" w:rsidR="00DF29B7" w:rsidRPr="002B2E80" w:rsidRDefault="00DF29B7" w:rsidP="00EF4B00">
      <w:pPr>
        <w:tabs>
          <w:tab w:val="left" w:pos="567"/>
          <w:tab w:val="left" w:pos="1134"/>
          <w:tab w:val="left" w:pos="5387"/>
          <w:tab w:val="left" w:pos="5954"/>
        </w:tabs>
      </w:pPr>
    </w:p>
    <w:p w14:paraId="4C3FC292" w14:textId="77777777" w:rsidR="00EF4B00" w:rsidRPr="002B2E80" w:rsidRDefault="00EF4B00" w:rsidP="00743D5D">
      <w:pPr>
        <w:spacing w:after="120"/>
      </w:pPr>
      <w:r w:rsidRPr="002B2E80">
        <w:fldChar w:fldCharType="begin"/>
      </w:r>
      <w:r w:rsidRPr="002B2E80">
        <w:instrText xml:space="preserve"> AUTONUM  </w:instrText>
      </w:r>
      <w:r w:rsidRPr="002B2E80">
        <w:fldChar w:fldCharType="end"/>
      </w:r>
      <w:r w:rsidRPr="002B2E80">
        <w:tab/>
        <w:t>En el presente documento se utilizan las siguientes abreviaturas:</w:t>
      </w:r>
    </w:p>
    <w:p w14:paraId="37BB5BDF" w14:textId="77777777" w:rsidR="00EF4B00" w:rsidRPr="002B2E80" w:rsidRDefault="00EF4B00" w:rsidP="00EF4B00">
      <w:pPr>
        <w:keepNext/>
        <w:tabs>
          <w:tab w:val="left" w:pos="567"/>
        </w:tabs>
        <w:ind w:left="1701" w:hanging="1134"/>
        <w:rPr>
          <w:sz w:val="18"/>
        </w:rPr>
      </w:pPr>
      <w:r w:rsidRPr="002B2E80">
        <w:rPr>
          <w:sz w:val="18"/>
        </w:rPr>
        <w:t xml:space="preserve">CAJ: </w:t>
      </w:r>
      <w:r w:rsidRPr="002B2E80">
        <w:rPr>
          <w:sz w:val="18"/>
        </w:rPr>
        <w:tab/>
        <w:t xml:space="preserve">Comité Administrativo y Jurídico  </w:t>
      </w:r>
    </w:p>
    <w:p w14:paraId="29C04252" w14:textId="77777777" w:rsidR="00EF4B00" w:rsidRPr="002B2E80" w:rsidRDefault="00EF4B00" w:rsidP="00EF4B00">
      <w:pPr>
        <w:ind w:left="1701" w:hanging="1134"/>
        <w:rPr>
          <w:rFonts w:cs="Arial"/>
          <w:snapToGrid w:val="0"/>
          <w:sz w:val="18"/>
          <w:szCs w:val="24"/>
          <w:lang w:eastAsia="ja-JP"/>
        </w:rPr>
      </w:pPr>
      <w:r w:rsidRPr="002B2E80">
        <w:rPr>
          <w:rFonts w:eastAsia="PMingLiU" w:cs="Arial"/>
          <w:snapToGrid w:val="0"/>
          <w:sz w:val="18"/>
          <w:szCs w:val="24"/>
          <w:lang w:eastAsia="fr-FR"/>
        </w:rPr>
        <w:t xml:space="preserve">ISTA: </w:t>
      </w:r>
      <w:r w:rsidRPr="002B2E80">
        <w:rPr>
          <w:rFonts w:eastAsia="PMingLiU" w:cs="Arial"/>
          <w:snapToGrid w:val="0"/>
          <w:sz w:val="18"/>
          <w:szCs w:val="24"/>
          <w:lang w:eastAsia="fr-FR"/>
        </w:rPr>
        <w:tab/>
        <w:t>Asociación Internacional de Ensayo de Semillas</w:t>
      </w:r>
    </w:p>
    <w:p w14:paraId="4FBD0221" w14:textId="77777777" w:rsidR="00EF4B00" w:rsidRPr="002B2E80" w:rsidRDefault="00EF4B00" w:rsidP="00EF4B00">
      <w:pPr>
        <w:ind w:left="1701" w:hanging="1134"/>
        <w:rPr>
          <w:rFonts w:eastAsia="PMingLiU" w:cs="Arial"/>
          <w:snapToGrid w:val="0"/>
          <w:sz w:val="18"/>
          <w:szCs w:val="24"/>
        </w:rPr>
      </w:pPr>
      <w:r w:rsidRPr="002B2E80">
        <w:rPr>
          <w:rFonts w:eastAsia="PMingLiU" w:cs="Arial"/>
          <w:sz w:val="18"/>
          <w:szCs w:val="24"/>
        </w:rPr>
        <w:t>OCDE:</w:t>
      </w:r>
      <w:r w:rsidRPr="002B2E80">
        <w:rPr>
          <w:rFonts w:eastAsia="PMingLiU" w:cs="Arial"/>
          <w:sz w:val="18"/>
          <w:szCs w:val="24"/>
        </w:rPr>
        <w:tab/>
      </w:r>
      <w:r w:rsidRPr="002B2E80">
        <w:rPr>
          <w:rFonts w:eastAsia="PMingLiU" w:cs="Arial"/>
          <w:snapToGrid w:val="0"/>
          <w:sz w:val="18"/>
          <w:szCs w:val="24"/>
        </w:rPr>
        <w:t>Organización para la Cooperación y el Desarrollo Económicos</w:t>
      </w:r>
    </w:p>
    <w:p w14:paraId="21078AA0" w14:textId="77777777" w:rsidR="00EF4B00" w:rsidRPr="002B2E80" w:rsidRDefault="00EF4B00" w:rsidP="00EF4B00">
      <w:pPr>
        <w:keepNext/>
        <w:tabs>
          <w:tab w:val="left" w:pos="567"/>
        </w:tabs>
        <w:ind w:left="1701" w:hanging="1134"/>
        <w:rPr>
          <w:sz w:val="18"/>
        </w:rPr>
      </w:pPr>
      <w:r w:rsidRPr="002B2E80">
        <w:rPr>
          <w:sz w:val="18"/>
        </w:rPr>
        <w:t>TC:</w:t>
      </w:r>
      <w:r w:rsidRPr="002B2E80">
        <w:rPr>
          <w:sz w:val="18"/>
        </w:rPr>
        <w:tab/>
        <w:t>Comité Técnico</w:t>
      </w:r>
    </w:p>
    <w:p w14:paraId="395DDF69" w14:textId="77777777" w:rsidR="00EF4B00" w:rsidRPr="002B2E80" w:rsidRDefault="00EF4B00" w:rsidP="00EF4B00">
      <w:pPr>
        <w:ind w:left="1701" w:hanging="1134"/>
        <w:rPr>
          <w:rFonts w:eastAsia="PMingLiU" w:cs="Arial"/>
          <w:sz w:val="18"/>
          <w:szCs w:val="24"/>
        </w:rPr>
      </w:pPr>
      <w:r w:rsidRPr="002B2E80">
        <w:rPr>
          <w:rFonts w:eastAsia="PMingLiU" w:cs="Arial"/>
          <w:sz w:val="18"/>
          <w:szCs w:val="24"/>
        </w:rPr>
        <w:t>TWA:</w:t>
      </w:r>
      <w:r w:rsidRPr="002B2E80">
        <w:rPr>
          <w:rFonts w:eastAsia="PMingLiU" w:cs="Arial"/>
          <w:sz w:val="18"/>
          <w:szCs w:val="24"/>
        </w:rPr>
        <w:tab/>
        <w:t>Grupo de Trabajo Técnico sobre Plantas Agrícolas</w:t>
      </w:r>
    </w:p>
    <w:p w14:paraId="61509D54" w14:textId="77777777" w:rsidR="00EF4B00" w:rsidRPr="002B2E80" w:rsidRDefault="00EF4B00" w:rsidP="00EF4B00">
      <w:pPr>
        <w:ind w:left="1701" w:hanging="1134"/>
        <w:rPr>
          <w:rFonts w:eastAsia="PMingLiU" w:cs="Arial"/>
          <w:sz w:val="18"/>
          <w:szCs w:val="24"/>
        </w:rPr>
      </w:pPr>
      <w:r w:rsidRPr="002B2E80">
        <w:rPr>
          <w:rFonts w:eastAsia="PMingLiU" w:cs="Arial"/>
          <w:sz w:val="18"/>
          <w:szCs w:val="24"/>
        </w:rPr>
        <w:t>TWF:</w:t>
      </w:r>
      <w:r w:rsidRPr="002B2E80">
        <w:rPr>
          <w:rFonts w:eastAsia="PMingLiU" w:cs="Arial"/>
          <w:sz w:val="18"/>
          <w:szCs w:val="24"/>
        </w:rPr>
        <w:tab/>
        <w:t>Grupo de Trabajo Técnico sobre Cultivos Frutales</w:t>
      </w:r>
    </w:p>
    <w:p w14:paraId="6CB085B7" w14:textId="77777777" w:rsidR="00EF4B00" w:rsidRPr="002B2E80" w:rsidRDefault="00EF4B00" w:rsidP="00EF4B00">
      <w:pPr>
        <w:ind w:left="1701" w:hanging="1134"/>
        <w:rPr>
          <w:rFonts w:eastAsia="PMingLiU" w:cs="Arial"/>
          <w:sz w:val="18"/>
          <w:szCs w:val="24"/>
        </w:rPr>
      </w:pPr>
      <w:r w:rsidRPr="002B2E80">
        <w:rPr>
          <w:rFonts w:eastAsia="PMingLiU" w:cs="Arial"/>
          <w:sz w:val="18"/>
          <w:szCs w:val="24"/>
        </w:rPr>
        <w:t>TWM:</w:t>
      </w:r>
      <w:r w:rsidRPr="002B2E80">
        <w:rPr>
          <w:rFonts w:eastAsia="PMingLiU" w:cs="Arial"/>
          <w:sz w:val="18"/>
          <w:szCs w:val="24"/>
        </w:rPr>
        <w:tab/>
        <w:t>Grupo de Trabajo Técnico sobre Métodos y Técnicas de Examen</w:t>
      </w:r>
    </w:p>
    <w:p w14:paraId="4B06B464" w14:textId="77777777" w:rsidR="00EF4B00" w:rsidRPr="002B2E80" w:rsidRDefault="00EF4B00" w:rsidP="00EF4B00">
      <w:pPr>
        <w:ind w:left="1701" w:hanging="1134"/>
        <w:rPr>
          <w:rFonts w:eastAsia="PMingLiU" w:cs="Arial"/>
          <w:sz w:val="18"/>
          <w:szCs w:val="24"/>
        </w:rPr>
      </w:pPr>
      <w:r w:rsidRPr="002B2E80">
        <w:rPr>
          <w:rFonts w:eastAsia="PMingLiU" w:cs="Arial"/>
          <w:sz w:val="18"/>
          <w:szCs w:val="24"/>
        </w:rPr>
        <w:t>TWO:</w:t>
      </w:r>
      <w:r w:rsidRPr="002B2E80">
        <w:rPr>
          <w:rFonts w:eastAsia="PMingLiU" w:cs="Arial"/>
          <w:sz w:val="18"/>
          <w:szCs w:val="24"/>
        </w:rPr>
        <w:tab/>
        <w:t>Grupo de Trabajo Técnico sobre Plantas Ornamentales y Árboles Forestales</w:t>
      </w:r>
    </w:p>
    <w:p w14:paraId="5B43445B" w14:textId="77777777" w:rsidR="00EF4B00" w:rsidRPr="002B2E80" w:rsidRDefault="00EF4B00" w:rsidP="00EF4B00">
      <w:pPr>
        <w:ind w:left="1701" w:hanging="1134"/>
        <w:rPr>
          <w:rFonts w:eastAsia="PMingLiU" w:cs="Arial"/>
          <w:sz w:val="18"/>
          <w:szCs w:val="24"/>
        </w:rPr>
      </w:pPr>
      <w:proofErr w:type="spellStart"/>
      <w:r w:rsidRPr="002B2E80">
        <w:rPr>
          <w:rFonts w:eastAsia="PMingLiU" w:cs="Arial"/>
          <w:sz w:val="18"/>
          <w:szCs w:val="24"/>
        </w:rPr>
        <w:t>TWPs</w:t>
      </w:r>
      <w:proofErr w:type="spellEnd"/>
      <w:r w:rsidRPr="002B2E80">
        <w:rPr>
          <w:rFonts w:eastAsia="PMingLiU" w:cs="Arial"/>
          <w:sz w:val="18"/>
          <w:szCs w:val="24"/>
        </w:rPr>
        <w:t>:</w:t>
      </w:r>
      <w:r w:rsidRPr="002B2E80">
        <w:rPr>
          <w:rFonts w:eastAsia="PMingLiU" w:cs="Arial"/>
          <w:sz w:val="18"/>
          <w:szCs w:val="24"/>
        </w:rPr>
        <w:tab/>
        <w:t>Grupos de trabajo técnicos</w:t>
      </w:r>
    </w:p>
    <w:p w14:paraId="3A272079" w14:textId="3B43AA11" w:rsidR="00BF7C58" w:rsidRPr="002B2E80" w:rsidRDefault="00EF4B00" w:rsidP="00743D5D">
      <w:pPr>
        <w:ind w:left="1701" w:hanging="1134"/>
      </w:pPr>
      <w:r w:rsidRPr="002B2E80">
        <w:rPr>
          <w:rFonts w:eastAsia="PMingLiU" w:cs="Arial"/>
          <w:sz w:val="18"/>
          <w:szCs w:val="24"/>
        </w:rPr>
        <w:t>TWV:</w:t>
      </w:r>
      <w:r w:rsidRPr="002B2E80">
        <w:rPr>
          <w:rFonts w:eastAsia="PMingLiU" w:cs="Arial"/>
          <w:sz w:val="18"/>
          <w:szCs w:val="24"/>
        </w:rPr>
        <w:tab/>
        <w:t>Grupo de Trabajo Técnico sobre Hortalizas</w:t>
      </w:r>
      <w:r w:rsidR="00BF7C58" w:rsidRPr="002B2E80">
        <w:br w:type="page"/>
      </w:r>
    </w:p>
    <w:p w14:paraId="59EA9204" w14:textId="134ADDAE" w:rsidR="00EF4B00" w:rsidRPr="002B2E80" w:rsidRDefault="00EF4B00" w:rsidP="00943F68">
      <w:pPr>
        <w:keepNext/>
      </w:pPr>
      <w:r w:rsidRPr="002B2E80">
        <w:lastRenderedPageBreak/>
        <w:fldChar w:fldCharType="begin"/>
      </w:r>
      <w:r w:rsidRPr="002B2E80">
        <w:instrText xml:space="preserve"> AUTONUM  </w:instrText>
      </w:r>
      <w:r w:rsidRPr="002B2E80">
        <w:fldChar w:fldCharType="end"/>
      </w:r>
      <w:r w:rsidRPr="002B2E80">
        <w:tab/>
        <w:t>La estructura de este documento es la siguiente:</w:t>
      </w:r>
    </w:p>
    <w:p w14:paraId="16F082FD" w14:textId="77777777" w:rsidR="00EF4B00" w:rsidRPr="002B2E80" w:rsidRDefault="00EF4B00" w:rsidP="00943F68">
      <w:pPr>
        <w:keepNext/>
        <w:rPr>
          <w:rFonts w:cs="Arial"/>
          <w:caps/>
          <w:szCs w:val="18"/>
        </w:rPr>
      </w:pPr>
    </w:p>
    <w:p w14:paraId="2463B7BA" w14:textId="0348B787" w:rsidR="00112AD5" w:rsidRDefault="00047CF1">
      <w:pPr>
        <w:pStyle w:val="TOC1"/>
        <w:rPr>
          <w:rFonts w:asciiTheme="minorHAnsi" w:hAnsiTheme="minorHAnsi" w:cstheme="minorBidi"/>
          <w:caps w:val="0"/>
          <w:noProof/>
          <w:kern w:val="2"/>
          <w:sz w:val="24"/>
          <w:szCs w:val="24"/>
          <w:lang w:val="en-GB" w:eastAsia="en-GB"/>
          <w14:ligatures w14:val="standardContextual"/>
        </w:rPr>
      </w:pPr>
      <w:r w:rsidRPr="002B2E80">
        <w:rPr>
          <w:rFonts w:cs="Arial"/>
          <w:bCs/>
          <w:szCs w:val="18"/>
        </w:rPr>
        <w:fldChar w:fldCharType="begin"/>
      </w:r>
      <w:r w:rsidRPr="002B2E80">
        <w:rPr>
          <w:rFonts w:cs="Arial"/>
          <w:bCs/>
          <w:szCs w:val="18"/>
        </w:rPr>
        <w:instrText xml:space="preserve"> TOC \t "Heading 1,1,Heading 2,2,Heading 3,3" </w:instrText>
      </w:r>
      <w:r w:rsidRPr="002B2E80">
        <w:rPr>
          <w:rFonts w:cs="Arial"/>
          <w:bCs/>
          <w:szCs w:val="18"/>
        </w:rPr>
        <w:fldChar w:fldCharType="separate"/>
      </w:r>
      <w:r w:rsidR="00112AD5" w:rsidRPr="00B9051B">
        <w:rPr>
          <w:noProof/>
        </w:rPr>
        <w:t>Directrices para la validación de un nuevo protocolo de marcadores moleculares específicos de caracteres como método alternativo de observación</w:t>
      </w:r>
      <w:r w:rsidR="00112AD5">
        <w:rPr>
          <w:noProof/>
        </w:rPr>
        <w:tab/>
      </w:r>
      <w:r w:rsidR="00112AD5">
        <w:rPr>
          <w:noProof/>
        </w:rPr>
        <w:fldChar w:fldCharType="begin"/>
      </w:r>
      <w:r w:rsidR="00112AD5">
        <w:rPr>
          <w:noProof/>
        </w:rPr>
        <w:instrText xml:space="preserve"> PAGEREF _Toc210664620 \h </w:instrText>
      </w:r>
      <w:r w:rsidR="00112AD5">
        <w:rPr>
          <w:noProof/>
        </w:rPr>
      </w:r>
      <w:r w:rsidR="00112AD5">
        <w:rPr>
          <w:noProof/>
        </w:rPr>
        <w:fldChar w:fldCharType="separate"/>
      </w:r>
      <w:r w:rsidR="00112AD5">
        <w:rPr>
          <w:noProof/>
        </w:rPr>
        <w:t>3</w:t>
      </w:r>
      <w:r w:rsidR="00112AD5">
        <w:rPr>
          <w:noProof/>
        </w:rPr>
        <w:fldChar w:fldCharType="end"/>
      </w:r>
    </w:p>
    <w:p w14:paraId="208C219B" w14:textId="22E92429"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Antecedentes</w:t>
      </w:r>
      <w:r>
        <w:rPr>
          <w:noProof/>
        </w:rPr>
        <w:tab/>
      </w:r>
      <w:r>
        <w:rPr>
          <w:noProof/>
        </w:rPr>
        <w:fldChar w:fldCharType="begin"/>
      </w:r>
      <w:r>
        <w:rPr>
          <w:noProof/>
        </w:rPr>
        <w:instrText xml:space="preserve"> PAGEREF _Toc210664621 \h </w:instrText>
      </w:r>
      <w:r>
        <w:rPr>
          <w:noProof/>
        </w:rPr>
      </w:r>
      <w:r>
        <w:rPr>
          <w:noProof/>
        </w:rPr>
        <w:fldChar w:fldCharType="separate"/>
      </w:r>
      <w:r>
        <w:rPr>
          <w:noProof/>
        </w:rPr>
        <w:t>3</w:t>
      </w:r>
      <w:r>
        <w:rPr>
          <w:noProof/>
        </w:rPr>
        <w:fldChar w:fldCharType="end"/>
      </w:r>
    </w:p>
    <w:p w14:paraId="3AF1F247" w14:textId="24622AA1"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lang w:eastAsia="ja-JP"/>
        </w:rPr>
        <w:t>Novedades en las reuniones de los Grupos de Trabajo Técnicos en 2025</w:t>
      </w:r>
      <w:r>
        <w:rPr>
          <w:noProof/>
        </w:rPr>
        <w:tab/>
      </w:r>
      <w:r>
        <w:rPr>
          <w:noProof/>
        </w:rPr>
        <w:fldChar w:fldCharType="begin"/>
      </w:r>
      <w:r>
        <w:rPr>
          <w:noProof/>
        </w:rPr>
        <w:instrText xml:space="preserve"> PAGEREF _Toc210664622 \h </w:instrText>
      </w:r>
      <w:r>
        <w:rPr>
          <w:noProof/>
        </w:rPr>
      </w:r>
      <w:r>
        <w:rPr>
          <w:noProof/>
        </w:rPr>
        <w:fldChar w:fldCharType="separate"/>
      </w:r>
      <w:r>
        <w:rPr>
          <w:noProof/>
        </w:rPr>
        <w:t>3</w:t>
      </w:r>
      <w:r>
        <w:rPr>
          <w:noProof/>
        </w:rPr>
        <w:fldChar w:fldCharType="end"/>
      </w:r>
    </w:p>
    <w:p w14:paraId="6EE865C2" w14:textId="537182EE"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eastAsia="ja-JP"/>
        </w:rPr>
        <w:t>Validación de marcadores moleculares específicos de caracteres para las directrices de examen.</w:t>
      </w:r>
      <w:r>
        <w:rPr>
          <w:noProof/>
        </w:rPr>
        <w:tab/>
      </w:r>
      <w:r>
        <w:rPr>
          <w:noProof/>
        </w:rPr>
        <w:fldChar w:fldCharType="begin"/>
      </w:r>
      <w:r>
        <w:rPr>
          <w:noProof/>
        </w:rPr>
        <w:instrText xml:space="preserve"> PAGEREF _Toc210664623 \h </w:instrText>
      </w:r>
      <w:r>
        <w:rPr>
          <w:noProof/>
        </w:rPr>
      </w:r>
      <w:r>
        <w:rPr>
          <w:noProof/>
        </w:rPr>
        <w:fldChar w:fldCharType="separate"/>
      </w:r>
      <w:r>
        <w:rPr>
          <w:noProof/>
        </w:rPr>
        <w:t>3</w:t>
      </w:r>
      <w:r>
        <w:rPr>
          <w:noProof/>
        </w:rPr>
        <w:fldChar w:fldCharType="end"/>
      </w:r>
    </w:p>
    <w:p w14:paraId="6494A6C1" w14:textId="7FC2521F"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Marcadores moleculares que constituyen secretos comerciales</w:t>
      </w:r>
      <w:r>
        <w:rPr>
          <w:noProof/>
        </w:rPr>
        <w:tab/>
      </w:r>
      <w:r>
        <w:rPr>
          <w:noProof/>
        </w:rPr>
        <w:fldChar w:fldCharType="begin"/>
      </w:r>
      <w:r>
        <w:rPr>
          <w:noProof/>
        </w:rPr>
        <w:instrText xml:space="preserve"> PAGEREF _Toc210664624 \h </w:instrText>
      </w:r>
      <w:r>
        <w:rPr>
          <w:noProof/>
        </w:rPr>
      </w:r>
      <w:r>
        <w:rPr>
          <w:noProof/>
        </w:rPr>
        <w:fldChar w:fldCharType="separate"/>
      </w:r>
      <w:r>
        <w:rPr>
          <w:noProof/>
        </w:rPr>
        <w:t>4</w:t>
      </w:r>
      <w:r>
        <w:rPr>
          <w:noProof/>
        </w:rPr>
        <w:fldChar w:fldCharType="end"/>
      </w:r>
    </w:p>
    <w:p w14:paraId="35CE2DE1" w14:textId="03B1B384"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Protocolo estándar para marcadores moleculares específicos de caracteres en las directrices de examen</w:t>
      </w:r>
      <w:r>
        <w:rPr>
          <w:noProof/>
        </w:rPr>
        <w:tab/>
      </w:r>
      <w:r>
        <w:rPr>
          <w:noProof/>
        </w:rPr>
        <w:fldChar w:fldCharType="begin"/>
      </w:r>
      <w:r>
        <w:rPr>
          <w:noProof/>
        </w:rPr>
        <w:instrText xml:space="preserve"> PAGEREF _Toc210664625 \h </w:instrText>
      </w:r>
      <w:r>
        <w:rPr>
          <w:noProof/>
        </w:rPr>
      </w:r>
      <w:r>
        <w:rPr>
          <w:noProof/>
        </w:rPr>
        <w:fldChar w:fldCharType="separate"/>
      </w:r>
      <w:r>
        <w:rPr>
          <w:noProof/>
        </w:rPr>
        <w:t>4</w:t>
      </w:r>
      <w:r>
        <w:rPr>
          <w:noProof/>
        </w:rPr>
        <w:fldChar w:fldCharType="end"/>
      </w:r>
    </w:p>
    <w:p w14:paraId="41C2DC91" w14:textId="6BB074F3"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Características desarrolladas mediante nuevas técnicas de fitomejoramiento</w:t>
      </w:r>
      <w:r>
        <w:rPr>
          <w:noProof/>
        </w:rPr>
        <w:tab/>
      </w:r>
      <w:r>
        <w:rPr>
          <w:noProof/>
        </w:rPr>
        <w:fldChar w:fldCharType="begin"/>
      </w:r>
      <w:r>
        <w:rPr>
          <w:noProof/>
        </w:rPr>
        <w:instrText xml:space="preserve"> PAGEREF _Toc210664626 \h </w:instrText>
      </w:r>
      <w:r>
        <w:rPr>
          <w:noProof/>
        </w:rPr>
      </w:r>
      <w:r>
        <w:rPr>
          <w:noProof/>
        </w:rPr>
        <w:fldChar w:fldCharType="separate"/>
      </w:r>
      <w:r>
        <w:rPr>
          <w:noProof/>
        </w:rPr>
        <w:t>4</w:t>
      </w:r>
      <w:r>
        <w:rPr>
          <w:noProof/>
        </w:rPr>
        <w:fldChar w:fldCharType="end"/>
      </w:r>
    </w:p>
    <w:p w14:paraId="6B94799E" w14:textId="314B7304"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lang w:eastAsia="ja-JP"/>
        </w:rPr>
        <w:t>Propuesta</w:t>
      </w:r>
      <w:r>
        <w:rPr>
          <w:noProof/>
        </w:rPr>
        <w:tab/>
      </w:r>
      <w:r>
        <w:rPr>
          <w:noProof/>
        </w:rPr>
        <w:fldChar w:fldCharType="begin"/>
      </w:r>
      <w:r>
        <w:rPr>
          <w:noProof/>
        </w:rPr>
        <w:instrText xml:space="preserve"> PAGEREF _Toc210664627 \h </w:instrText>
      </w:r>
      <w:r>
        <w:rPr>
          <w:noProof/>
        </w:rPr>
      </w:r>
      <w:r>
        <w:rPr>
          <w:noProof/>
        </w:rPr>
        <w:fldChar w:fldCharType="separate"/>
      </w:r>
      <w:r>
        <w:rPr>
          <w:noProof/>
        </w:rPr>
        <w:t>4</w:t>
      </w:r>
      <w:r>
        <w:rPr>
          <w:noProof/>
        </w:rPr>
        <w:fldChar w:fldCharType="end"/>
      </w:r>
    </w:p>
    <w:p w14:paraId="3A0AA586" w14:textId="200C4522" w:rsidR="00112AD5" w:rsidRDefault="00112AD5">
      <w:pPr>
        <w:pStyle w:val="TOC1"/>
        <w:rPr>
          <w:rFonts w:asciiTheme="minorHAnsi" w:hAnsiTheme="minorHAnsi" w:cstheme="minorBidi"/>
          <w:caps w:val="0"/>
          <w:noProof/>
          <w:kern w:val="2"/>
          <w:sz w:val="24"/>
          <w:szCs w:val="24"/>
          <w:lang w:val="en-GB" w:eastAsia="en-GB"/>
          <w14:ligatures w14:val="standardContextual"/>
        </w:rPr>
      </w:pPr>
      <w:r w:rsidRPr="00B9051B">
        <w:rPr>
          <w:noProof/>
        </w:rPr>
        <w:t>Confidencialidad y propiedad de la información molecular</w:t>
      </w:r>
      <w:r>
        <w:rPr>
          <w:noProof/>
        </w:rPr>
        <w:tab/>
      </w:r>
      <w:r>
        <w:rPr>
          <w:noProof/>
        </w:rPr>
        <w:fldChar w:fldCharType="begin"/>
      </w:r>
      <w:r>
        <w:rPr>
          <w:noProof/>
        </w:rPr>
        <w:instrText xml:space="preserve"> PAGEREF _Toc210664628 \h </w:instrText>
      </w:r>
      <w:r>
        <w:rPr>
          <w:noProof/>
        </w:rPr>
      </w:r>
      <w:r>
        <w:rPr>
          <w:noProof/>
        </w:rPr>
        <w:fldChar w:fldCharType="separate"/>
      </w:r>
      <w:r>
        <w:rPr>
          <w:noProof/>
        </w:rPr>
        <w:t>4</w:t>
      </w:r>
      <w:r>
        <w:rPr>
          <w:noProof/>
        </w:rPr>
        <w:fldChar w:fldCharType="end"/>
      </w:r>
    </w:p>
    <w:p w14:paraId="457CDAB9" w14:textId="48BA3E4A"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Antecedentes</w:t>
      </w:r>
      <w:r>
        <w:rPr>
          <w:noProof/>
        </w:rPr>
        <w:tab/>
      </w:r>
      <w:r>
        <w:rPr>
          <w:noProof/>
        </w:rPr>
        <w:fldChar w:fldCharType="begin"/>
      </w:r>
      <w:r>
        <w:rPr>
          <w:noProof/>
        </w:rPr>
        <w:instrText xml:space="preserve"> PAGEREF _Toc210664629 \h </w:instrText>
      </w:r>
      <w:r>
        <w:rPr>
          <w:noProof/>
        </w:rPr>
      </w:r>
      <w:r>
        <w:rPr>
          <w:noProof/>
        </w:rPr>
        <w:fldChar w:fldCharType="separate"/>
      </w:r>
      <w:r>
        <w:rPr>
          <w:noProof/>
        </w:rPr>
        <w:t>4</w:t>
      </w:r>
      <w:r>
        <w:rPr>
          <w:noProof/>
        </w:rPr>
        <w:fldChar w:fldCharType="end"/>
      </w:r>
    </w:p>
    <w:p w14:paraId="61DFCB43" w14:textId="5E69D2A2"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Orientaciones existentes</w:t>
      </w:r>
      <w:r>
        <w:rPr>
          <w:noProof/>
        </w:rPr>
        <w:tab/>
      </w:r>
      <w:r>
        <w:rPr>
          <w:noProof/>
        </w:rPr>
        <w:fldChar w:fldCharType="begin"/>
      </w:r>
      <w:r>
        <w:rPr>
          <w:noProof/>
        </w:rPr>
        <w:instrText xml:space="preserve"> PAGEREF _Toc210664630 \h </w:instrText>
      </w:r>
      <w:r>
        <w:rPr>
          <w:noProof/>
        </w:rPr>
      </w:r>
      <w:r>
        <w:rPr>
          <w:noProof/>
        </w:rPr>
        <w:fldChar w:fldCharType="separate"/>
      </w:r>
      <w:r>
        <w:rPr>
          <w:noProof/>
        </w:rPr>
        <w:t>5</w:t>
      </w:r>
      <w:r>
        <w:rPr>
          <w:noProof/>
        </w:rPr>
        <w:fldChar w:fldCharType="end"/>
      </w:r>
    </w:p>
    <w:p w14:paraId="6185C44C" w14:textId="6C74F816"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lang w:eastAsia="ja-JP"/>
        </w:rPr>
        <w:t>Novedades en las reuniones de los Grupos de Trabajo Técnicos celebradas en 202 5</w:t>
      </w:r>
      <w:r>
        <w:rPr>
          <w:noProof/>
        </w:rPr>
        <w:tab/>
      </w:r>
      <w:r>
        <w:rPr>
          <w:noProof/>
        </w:rPr>
        <w:fldChar w:fldCharType="begin"/>
      </w:r>
      <w:r>
        <w:rPr>
          <w:noProof/>
        </w:rPr>
        <w:instrText xml:space="preserve"> PAGEREF _Toc210664631 \h </w:instrText>
      </w:r>
      <w:r>
        <w:rPr>
          <w:noProof/>
        </w:rPr>
      </w:r>
      <w:r>
        <w:rPr>
          <w:noProof/>
        </w:rPr>
        <w:fldChar w:fldCharType="separate"/>
      </w:r>
      <w:r>
        <w:rPr>
          <w:noProof/>
        </w:rPr>
        <w:t>5</w:t>
      </w:r>
      <w:r>
        <w:rPr>
          <w:noProof/>
        </w:rPr>
        <w:fldChar w:fldCharType="end"/>
      </w:r>
    </w:p>
    <w:p w14:paraId="63C87438" w14:textId="6550AE41" w:rsidR="00112AD5" w:rsidRDefault="00112AD5">
      <w:pPr>
        <w:pStyle w:val="TOC1"/>
        <w:rPr>
          <w:rFonts w:asciiTheme="minorHAnsi" w:hAnsiTheme="minorHAnsi" w:cstheme="minorBidi"/>
          <w:caps w:val="0"/>
          <w:noProof/>
          <w:kern w:val="2"/>
          <w:sz w:val="24"/>
          <w:szCs w:val="24"/>
          <w:lang w:val="en-GB" w:eastAsia="en-GB"/>
          <w14:ligatures w14:val="standardContextual"/>
        </w:rPr>
      </w:pPr>
      <w:r w:rsidRPr="00B9051B">
        <w:rPr>
          <w:noProof/>
          <w:snapToGrid w:val="0"/>
          <w:lang w:eastAsia="ja-JP"/>
        </w:rPr>
        <w:t>COOPERACIÓN ENTRE ORGANIZACIONES INTERNACIONALES</w:t>
      </w:r>
      <w:r>
        <w:rPr>
          <w:noProof/>
        </w:rPr>
        <w:tab/>
      </w:r>
      <w:r>
        <w:rPr>
          <w:noProof/>
        </w:rPr>
        <w:fldChar w:fldCharType="begin"/>
      </w:r>
      <w:r>
        <w:rPr>
          <w:noProof/>
        </w:rPr>
        <w:instrText xml:space="preserve"> PAGEREF _Toc210664632 \h </w:instrText>
      </w:r>
      <w:r>
        <w:rPr>
          <w:noProof/>
        </w:rPr>
      </w:r>
      <w:r>
        <w:rPr>
          <w:noProof/>
        </w:rPr>
        <w:fldChar w:fldCharType="separate"/>
      </w:r>
      <w:r>
        <w:rPr>
          <w:noProof/>
        </w:rPr>
        <w:t>7</w:t>
      </w:r>
      <w:r>
        <w:rPr>
          <w:noProof/>
        </w:rPr>
        <w:fldChar w:fldCharType="end"/>
      </w:r>
    </w:p>
    <w:p w14:paraId="1C1F75AB" w14:textId="3FEF9A3F"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Antecedentes</w:t>
      </w:r>
      <w:r>
        <w:rPr>
          <w:noProof/>
        </w:rPr>
        <w:tab/>
      </w:r>
      <w:r>
        <w:rPr>
          <w:noProof/>
        </w:rPr>
        <w:fldChar w:fldCharType="begin"/>
      </w:r>
      <w:r>
        <w:rPr>
          <w:noProof/>
        </w:rPr>
        <w:instrText xml:space="preserve"> PAGEREF _Toc210664633 \h </w:instrText>
      </w:r>
      <w:r>
        <w:rPr>
          <w:noProof/>
        </w:rPr>
      </w:r>
      <w:r>
        <w:rPr>
          <w:noProof/>
        </w:rPr>
        <w:fldChar w:fldCharType="separate"/>
      </w:r>
      <w:r>
        <w:rPr>
          <w:noProof/>
        </w:rPr>
        <w:t>7</w:t>
      </w:r>
      <w:r>
        <w:rPr>
          <w:noProof/>
        </w:rPr>
        <w:fldChar w:fldCharType="end"/>
      </w:r>
    </w:p>
    <w:p w14:paraId="7DF1D51E" w14:textId="3EFB5E26"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Armonización de términos, definiciones y métodos entre la UPOV, la OCDE y la ISTA</w:t>
      </w:r>
      <w:r>
        <w:rPr>
          <w:noProof/>
        </w:rPr>
        <w:tab/>
      </w:r>
      <w:r>
        <w:rPr>
          <w:noProof/>
        </w:rPr>
        <w:fldChar w:fldCharType="begin"/>
      </w:r>
      <w:r>
        <w:rPr>
          <w:noProof/>
        </w:rPr>
        <w:instrText xml:space="preserve"> PAGEREF _Toc210664634 \h </w:instrText>
      </w:r>
      <w:r>
        <w:rPr>
          <w:noProof/>
        </w:rPr>
      </w:r>
      <w:r>
        <w:rPr>
          <w:noProof/>
        </w:rPr>
        <w:fldChar w:fldCharType="separate"/>
      </w:r>
      <w:r>
        <w:rPr>
          <w:noProof/>
        </w:rPr>
        <w:t>7</w:t>
      </w:r>
      <w:r>
        <w:rPr>
          <w:noProof/>
        </w:rPr>
        <w:fldChar w:fldCharType="end"/>
      </w:r>
    </w:p>
    <w:p w14:paraId="4189E259" w14:textId="59C889D0"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snapToGrid w:val="0"/>
        </w:rPr>
        <w:t>Actualización de la lista de marcadores moleculares utilizados por cultivo</w:t>
      </w:r>
      <w:r>
        <w:rPr>
          <w:noProof/>
        </w:rPr>
        <w:tab/>
      </w:r>
      <w:r>
        <w:rPr>
          <w:noProof/>
        </w:rPr>
        <w:fldChar w:fldCharType="begin"/>
      </w:r>
      <w:r>
        <w:rPr>
          <w:noProof/>
        </w:rPr>
        <w:instrText xml:space="preserve"> PAGEREF _Toc210664635 \h </w:instrText>
      </w:r>
      <w:r>
        <w:rPr>
          <w:noProof/>
        </w:rPr>
      </w:r>
      <w:r>
        <w:rPr>
          <w:noProof/>
        </w:rPr>
        <w:fldChar w:fldCharType="separate"/>
      </w:r>
      <w:r>
        <w:rPr>
          <w:noProof/>
        </w:rPr>
        <w:t>7</w:t>
      </w:r>
      <w:r>
        <w:rPr>
          <w:noProof/>
        </w:rPr>
        <w:fldChar w:fldCharType="end"/>
      </w:r>
    </w:p>
    <w:p w14:paraId="61BD5350" w14:textId="4705F0DB"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Conjuntos comunes de marcadores moleculares para la identificación de variedades</w:t>
      </w:r>
      <w:r>
        <w:rPr>
          <w:noProof/>
        </w:rPr>
        <w:tab/>
      </w:r>
      <w:r>
        <w:rPr>
          <w:noProof/>
        </w:rPr>
        <w:fldChar w:fldCharType="begin"/>
      </w:r>
      <w:r>
        <w:rPr>
          <w:noProof/>
        </w:rPr>
        <w:instrText xml:space="preserve"> PAGEREF _Toc210664636 \h </w:instrText>
      </w:r>
      <w:r>
        <w:rPr>
          <w:noProof/>
        </w:rPr>
      </w:r>
      <w:r>
        <w:rPr>
          <w:noProof/>
        </w:rPr>
        <w:fldChar w:fldCharType="separate"/>
      </w:r>
      <w:r>
        <w:rPr>
          <w:noProof/>
        </w:rPr>
        <w:t>8</w:t>
      </w:r>
      <w:r>
        <w:rPr>
          <w:noProof/>
        </w:rPr>
        <w:fldChar w:fldCharType="end"/>
      </w:r>
    </w:p>
    <w:p w14:paraId="3731FBE1" w14:textId="7708B412"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eastAsia="ja-JP"/>
        </w:rPr>
        <w:t>Análisis prospectivo</w:t>
      </w:r>
      <w:r>
        <w:rPr>
          <w:noProof/>
        </w:rPr>
        <w:tab/>
      </w:r>
      <w:r>
        <w:rPr>
          <w:noProof/>
        </w:rPr>
        <w:fldChar w:fldCharType="begin"/>
      </w:r>
      <w:r>
        <w:rPr>
          <w:noProof/>
        </w:rPr>
        <w:instrText xml:space="preserve"> PAGEREF _Toc210664637 \h </w:instrText>
      </w:r>
      <w:r>
        <w:rPr>
          <w:noProof/>
        </w:rPr>
      </w:r>
      <w:r>
        <w:rPr>
          <w:noProof/>
        </w:rPr>
        <w:fldChar w:fldCharType="separate"/>
      </w:r>
      <w:r>
        <w:rPr>
          <w:noProof/>
        </w:rPr>
        <w:t>8</w:t>
      </w:r>
      <w:r>
        <w:rPr>
          <w:noProof/>
        </w:rPr>
        <w:fldChar w:fldCharType="end"/>
      </w:r>
    </w:p>
    <w:p w14:paraId="1398BC16" w14:textId="709B2471"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Novedades en el Grupo de Trabajo Técnico sobre Métodos y Técnicas de Examen</w:t>
      </w:r>
      <w:r>
        <w:rPr>
          <w:noProof/>
        </w:rPr>
        <w:tab/>
      </w:r>
      <w:r>
        <w:rPr>
          <w:noProof/>
        </w:rPr>
        <w:fldChar w:fldCharType="begin"/>
      </w:r>
      <w:r>
        <w:rPr>
          <w:noProof/>
        </w:rPr>
        <w:instrText xml:space="preserve"> PAGEREF _Toc210664638 \h </w:instrText>
      </w:r>
      <w:r>
        <w:rPr>
          <w:noProof/>
        </w:rPr>
      </w:r>
      <w:r>
        <w:rPr>
          <w:noProof/>
        </w:rPr>
        <w:fldChar w:fldCharType="separate"/>
      </w:r>
      <w:r>
        <w:rPr>
          <w:noProof/>
        </w:rPr>
        <w:t>8</w:t>
      </w:r>
      <w:r>
        <w:rPr>
          <w:noProof/>
        </w:rPr>
        <w:fldChar w:fldCharType="end"/>
      </w:r>
    </w:p>
    <w:p w14:paraId="65744732" w14:textId="36BC7BD0"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Información sobre el uso de técnicas moleculares en cada organización: posible reunión conjunta</w:t>
      </w:r>
      <w:r>
        <w:rPr>
          <w:noProof/>
        </w:rPr>
        <w:tab/>
      </w:r>
      <w:r>
        <w:rPr>
          <w:noProof/>
        </w:rPr>
        <w:fldChar w:fldCharType="begin"/>
      </w:r>
      <w:r>
        <w:rPr>
          <w:noProof/>
        </w:rPr>
        <w:instrText xml:space="preserve"> PAGEREF _Toc210664639 \h </w:instrText>
      </w:r>
      <w:r>
        <w:rPr>
          <w:noProof/>
        </w:rPr>
      </w:r>
      <w:r>
        <w:rPr>
          <w:noProof/>
        </w:rPr>
        <w:fldChar w:fldCharType="separate"/>
      </w:r>
      <w:r>
        <w:rPr>
          <w:noProof/>
        </w:rPr>
        <w:t>8</w:t>
      </w:r>
      <w:r>
        <w:rPr>
          <w:noProof/>
        </w:rPr>
        <w:fldChar w:fldCharType="end"/>
      </w:r>
    </w:p>
    <w:p w14:paraId="38DC33A3" w14:textId="648A744B" w:rsidR="00112AD5" w:rsidRDefault="00112AD5">
      <w:pPr>
        <w:pStyle w:val="TOC1"/>
        <w:rPr>
          <w:rFonts w:asciiTheme="minorHAnsi" w:hAnsiTheme="minorHAnsi" w:cstheme="minorBidi"/>
          <w:caps w:val="0"/>
          <w:noProof/>
          <w:kern w:val="2"/>
          <w:sz w:val="24"/>
          <w:szCs w:val="24"/>
          <w:lang w:val="en-GB" w:eastAsia="en-GB"/>
          <w14:ligatures w14:val="standardContextual"/>
        </w:rPr>
      </w:pPr>
      <w:r w:rsidRPr="00B9051B">
        <w:rPr>
          <w:noProof/>
          <w:snapToGrid w:val="0"/>
          <w:lang w:eastAsia="ja-JP"/>
        </w:rPr>
        <w:t>Asuntos para información</w:t>
      </w:r>
      <w:r>
        <w:rPr>
          <w:noProof/>
        </w:rPr>
        <w:tab/>
      </w:r>
      <w:r>
        <w:rPr>
          <w:noProof/>
        </w:rPr>
        <w:fldChar w:fldCharType="begin"/>
      </w:r>
      <w:r>
        <w:rPr>
          <w:noProof/>
        </w:rPr>
        <w:instrText xml:space="preserve"> PAGEREF _Toc210664640 \h </w:instrText>
      </w:r>
      <w:r>
        <w:rPr>
          <w:noProof/>
        </w:rPr>
      </w:r>
      <w:r>
        <w:rPr>
          <w:noProof/>
        </w:rPr>
        <w:fldChar w:fldCharType="separate"/>
      </w:r>
      <w:r>
        <w:rPr>
          <w:noProof/>
        </w:rPr>
        <w:t>9</w:t>
      </w:r>
      <w:r>
        <w:rPr>
          <w:noProof/>
        </w:rPr>
        <w:fldChar w:fldCharType="end"/>
      </w:r>
    </w:p>
    <w:p w14:paraId="72B5D252" w14:textId="3BB8BF79"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Últimos avances en técnicas moleculares y bioinformática</w:t>
      </w:r>
      <w:r>
        <w:rPr>
          <w:noProof/>
        </w:rPr>
        <w:tab/>
      </w:r>
      <w:r>
        <w:rPr>
          <w:noProof/>
        </w:rPr>
        <w:fldChar w:fldCharType="begin"/>
      </w:r>
      <w:r>
        <w:rPr>
          <w:noProof/>
        </w:rPr>
        <w:instrText xml:space="preserve"> PAGEREF _Toc210664641 \h </w:instrText>
      </w:r>
      <w:r>
        <w:rPr>
          <w:noProof/>
        </w:rPr>
      </w:r>
      <w:r>
        <w:rPr>
          <w:noProof/>
        </w:rPr>
        <w:fldChar w:fldCharType="separate"/>
      </w:r>
      <w:r>
        <w:rPr>
          <w:noProof/>
        </w:rPr>
        <w:t>9</w:t>
      </w:r>
      <w:r>
        <w:rPr>
          <w:noProof/>
        </w:rPr>
        <w:fldChar w:fldCharType="end"/>
      </w:r>
    </w:p>
    <w:p w14:paraId="44529963" w14:textId="58ED87B6"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Actividades de ciencia de datos en Naktuinbouw para el genotipado y fenotipado: actualización</w:t>
      </w:r>
      <w:r>
        <w:rPr>
          <w:noProof/>
        </w:rPr>
        <w:tab/>
      </w:r>
      <w:r>
        <w:rPr>
          <w:noProof/>
        </w:rPr>
        <w:fldChar w:fldCharType="begin"/>
      </w:r>
      <w:r>
        <w:rPr>
          <w:noProof/>
        </w:rPr>
        <w:instrText xml:space="preserve"> PAGEREF _Toc210664642 \h </w:instrText>
      </w:r>
      <w:r>
        <w:rPr>
          <w:noProof/>
        </w:rPr>
      </w:r>
      <w:r>
        <w:rPr>
          <w:noProof/>
        </w:rPr>
        <w:fldChar w:fldCharType="separate"/>
      </w:r>
      <w:r>
        <w:rPr>
          <w:noProof/>
        </w:rPr>
        <w:t>9</w:t>
      </w:r>
      <w:r>
        <w:rPr>
          <w:noProof/>
        </w:rPr>
        <w:fldChar w:fldCharType="end"/>
      </w:r>
    </w:p>
    <w:p w14:paraId="2FD33FB6" w14:textId="571578D4"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Cooperación entre organizaciones internacionales</w:t>
      </w:r>
      <w:r>
        <w:rPr>
          <w:noProof/>
        </w:rPr>
        <w:tab/>
      </w:r>
      <w:r>
        <w:rPr>
          <w:noProof/>
        </w:rPr>
        <w:fldChar w:fldCharType="begin"/>
      </w:r>
      <w:r>
        <w:rPr>
          <w:noProof/>
        </w:rPr>
        <w:instrText xml:space="preserve"> PAGEREF _Toc210664643 \h </w:instrText>
      </w:r>
      <w:r>
        <w:rPr>
          <w:noProof/>
        </w:rPr>
      </w:r>
      <w:r>
        <w:rPr>
          <w:noProof/>
        </w:rPr>
        <w:fldChar w:fldCharType="separate"/>
      </w:r>
      <w:r>
        <w:rPr>
          <w:noProof/>
        </w:rPr>
        <w:t>9</w:t>
      </w:r>
      <w:r>
        <w:rPr>
          <w:noProof/>
        </w:rPr>
        <w:fldChar w:fldCharType="end"/>
      </w:r>
    </w:p>
    <w:p w14:paraId="563FED4D" w14:textId="5C3BB65E"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ISTA</w:t>
      </w:r>
      <w:r>
        <w:rPr>
          <w:noProof/>
        </w:rPr>
        <w:tab/>
      </w:r>
      <w:r>
        <w:rPr>
          <w:noProof/>
        </w:rPr>
        <w:fldChar w:fldCharType="begin"/>
      </w:r>
      <w:r>
        <w:rPr>
          <w:noProof/>
        </w:rPr>
        <w:instrText xml:space="preserve"> PAGEREF _Toc210664644 \h </w:instrText>
      </w:r>
      <w:r>
        <w:rPr>
          <w:noProof/>
        </w:rPr>
      </w:r>
      <w:r>
        <w:rPr>
          <w:noProof/>
        </w:rPr>
        <w:fldChar w:fldCharType="separate"/>
      </w:r>
      <w:r>
        <w:rPr>
          <w:noProof/>
        </w:rPr>
        <w:t>9</w:t>
      </w:r>
      <w:r>
        <w:rPr>
          <w:noProof/>
        </w:rPr>
        <w:fldChar w:fldCharType="end"/>
      </w:r>
    </w:p>
    <w:p w14:paraId="6D7F880C" w14:textId="3D8776A7"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OCDE</w:t>
      </w:r>
      <w:r>
        <w:rPr>
          <w:noProof/>
        </w:rPr>
        <w:tab/>
      </w:r>
      <w:r>
        <w:rPr>
          <w:noProof/>
        </w:rPr>
        <w:fldChar w:fldCharType="begin"/>
      </w:r>
      <w:r>
        <w:rPr>
          <w:noProof/>
        </w:rPr>
        <w:instrText xml:space="preserve"> PAGEREF _Toc210664645 \h </w:instrText>
      </w:r>
      <w:r>
        <w:rPr>
          <w:noProof/>
        </w:rPr>
      </w:r>
      <w:r>
        <w:rPr>
          <w:noProof/>
        </w:rPr>
        <w:fldChar w:fldCharType="separate"/>
      </w:r>
      <w:r>
        <w:rPr>
          <w:noProof/>
        </w:rPr>
        <w:t>9</w:t>
      </w:r>
      <w:r>
        <w:rPr>
          <w:noProof/>
        </w:rPr>
        <w:fldChar w:fldCharType="end"/>
      </w:r>
    </w:p>
    <w:p w14:paraId="509335D6" w14:textId="70F2E609"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Informe sobre el trabajo relativo a las técnicas moleculares en relación con el examen DHE</w:t>
      </w:r>
      <w:r>
        <w:rPr>
          <w:noProof/>
        </w:rPr>
        <w:tab/>
      </w:r>
      <w:r>
        <w:rPr>
          <w:noProof/>
        </w:rPr>
        <w:fldChar w:fldCharType="begin"/>
      </w:r>
      <w:r>
        <w:rPr>
          <w:noProof/>
        </w:rPr>
        <w:instrText xml:space="preserve"> PAGEREF _Toc210664646 \h </w:instrText>
      </w:r>
      <w:r>
        <w:rPr>
          <w:noProof/>
        </w:rPr>
      </w:r>
      <w:r>
        <w:rPr>
          <w:noProof/>
        </w:rPr>
        <w:fldChar w:fldCharType="separate"/>
      </w:r>
      <w:r>
        <w:rPr>
          <w:noProof/>
        </w:rPr>
        <w:t>9</w:t>
      </w:r>
      <w:r>
        <w:rPr>
          <w:noProof/>
        </w:rPr>
        <w:fldChar w:fldCharType="end"/>
      </w:r>
    </w:p>
    <w:p w14:paraId="3A8527C9" w14:textId="2C692635"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Últimos avances en marcadores moleculares específicos de caracteres en Naktuinbouw: un llamamiento al intercambio de conocimientos</w:t>
      </w:r>
      <w:r>
        <w:rPr>
          <w:noProof/>
        </w:rPr>
        <w:tab/>
      </w:r>
      <w:r>
        <w:rPr>
          <w:noProof/>
        </w:rPr>
        <w:fldChar w:fldCharType="begin"/>
      </w:r>
      <w:r>
        <w:rPr>
          <w:noProof/>
        </w:rPr>
        <w:instrText xml:space="preserve"> PAGEREF _Toc210664647 \h </w:instrText>
      </w:r>
      <w:r>
        <w:rPr>
          <w:noProof/>
        </w:rPr>
      </w:r>
      <w:r>
        <w:rPr>
          <w:noProof/>
        </w:rPr>
        <w:fldChar w:fldCharType="separate"/>
      </w:r>
      <w:r>
        <w:rPr>
          <w:noProof/>
        </w:rPr>
        <w:t>9</w:t>
      </w:r>
      <w:r>
        <w:rPr>
          <w:noProof/>
        </w:rPr>
        <w:fldChar w:fldCharType="end"/>
      </w:r>
    </w:p>
    <w:p w14:paraId="21542A14" w14:textId="5DEA8718"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El uso de la tecnología biomolecular en el examen DHE: un estudio de caso sobre la cebada</w:t>
      </w:r>
      <w:r>
        <w:rPr>
          <w:noProof/>
        </w:rPr>
        <w:tab/>
      </w:r>
      <w:r>
        <w:rPr>
          <w:noProof/>
        </w:rPr>
        <w:fldChar w:fldCharType="begin"/>
      </w:r>
      <w:r>
        <w:rPr>
          <w:noProof/>
        </w:rPr>
        <w:instrText xml:space="preserve"> PAGEREF _Toc210664648 \h </w:instrText>
      </w:r>
      <w:r>
        <w:rPr>
          <w:noProof/>
        </w:rPr>
      </w:r>
      <w:r>
        <w:rPr>
          <w:noProof/>
        </w:rPr>
        <w:fldChar w:fldCharType="separate"/>
      </w:r>
      <w:r>
        <w:rPr>
          <w:noProof/>
        </w:rPr>
        <w:t>10</w:t>
      </w:r>
      <w:r>
        <w:rPr>
          <w:noProof/>
        </w:rPr>
        <w:fldChar w:fldCharType="end"/>
      </w:r>
    </w:p>
    <w:p w14:paraId="34DF15DC" w14:textId="7CA5CAD1"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Inteligencia artificial y marcadores moleculares en frutos rojos: prueba de concepto</w:t>
      </w:r>
      <w:r>
        <w:rPr>
          <w:noProof/>
        </w:rPr>
        <w:tab/>
      </w:r>
      <w:r>
        <w:rPr>
          <w:noProof/>
        </w:rPr>
        <w:fldChar w:fldCharType="begin"/>
      </w:r>
      <w:r>
        <w:rPr>
          <w:noProof/>
        </w:rPr>
        <w:instrText xml:space="preserve"> PAGEREF _Toc210664649 \h </w:instrText>
      </w:r>
      <w:r>
        <w:rPr>
          <w:noProof/>
        </w:rPr>
      </w:r>
      <w:r>
        <w:rPr>
          <w:noProof/>
        </w:rPr>
        <w:fldChar w:fldCharType="separate"/>
      </w:r>
      <w:r>
        <w:rPr>
          <w:noProof/>
        </w:rPr>
        <w:t>10</w:t>
      </w:r>
      <w:r>
        <w:rPr>
          <w:noProof/>
        </w:rPr>
        <w:fldChar w:fldCharType="end"/>
      </w:r>
    </w:p>
    <w:p w14:paraId="6D567588" w14:textId="079413F3"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¿Puede una mejor comprensión de la arquitectura genética de los caracteres DHE del trigo ayudar a racionalizar los procesos DHE?</w:t>
      </w:r>
      <w:r>
        <w:rPr>
          <w:noProof/>
        </w:rPr>
        <w:tab/>
      </w:r>
      <w:r>
        <w:rPr>
          <w:noProof/>
        </w:rPr>
        <w:fldChar w:fldCharType="begin"/>
      </w:r>
      <w:r>
        <w:rPr>
          <w:noProof/>
        </w:rPr>
        <w:instrText xml:space="preserve"> PAGEREF _Toc210664650 \h </w:instrText>
      </w:r>
      <w:r>
        <w:rPr>
          <w:noProof/>
        </w:rPr>
      </w:r>
      <w:r>
        <w:rPr>
          <w:noProof/>
        </w:rPr>
        <w:fldChar w:fldCharType="separate"/>
      </w:r>
      <w:r>
        <w:rPr>
          <w:noProof/>
        </w:rPr>
        <w:t>10</w:t>
      </w:r>
      <w:r>
        <w:rPr>
          <w:noProof/>
        </w:rPr>
        <w:fldChar w:fldCharType="end"/>
      </w:r>
    </w:p>
    <w:p w14:paraId="28E7CFBA" w14:textId="39B8A4DA"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Predicción genómica para la gestión de colecciones de variedades de trigo</w:t>
      </w:r>
      <w:r>
        <w:rPr>
          <w:noProof/>
        </w:rPr>
        <w:tab/>
      </w:r>
      <w:r>
        <w:rPr>
          <w:noProof/>
        </w:rPr>
        <w:fldChar w:fldCharType="begin"/>
      </w:r>
      <w:r>
        <w:rPr>
          <w:noProof/>
        </w:rPr>
        <w:instrText xml:space="preserve"> PAGEREF _Toc210664651 \h </w:instrText>
      </w:r>
      <w:r>
        <w:rPr>
          <w:noProof/>
        </w:rPr>
      </w:r>
      <w:r>
        <w:rPr>
          <w:noProof/>
        </w:rPr>
        <w:fldChar w:fldCharType="separate"/>
      </w:r>
      <w:r>
        <w:rPr>
          <w:noProof/>
        </w:rPr>
        <w:t>10</w:t>
      </w:r>
      <w:r>
        <w:rPr>
          <w:noProof/>
        </w:rPr>
        <w:fldChar w:fldCharType="end"/>
      </w:r>
    </w:p>
    <w:p w14:paraId="6018ED02" w14:textId="3CCC6FA6"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Criterio de distinción mejorado COYD-GP para cultivos agrícolas alógamos</w:t>
      </w:r>
      <w:r>
        <w:rPr>
          <w:noProof/>
        </w:rPr>
        <w:tab/>
      </w:r>
      <w:r>
        <w:rPr>
          <w:noProof/>
        </w:rPr>
        <w:fldChar w:fldCharType="begin"/>
      </w:r>
      <w:r>
        <w:rPr>
          <w:noProof/>
        </w:rPr>
        <w:instrText xml:space="preserve"> PAGEREF _Toc210664652 \h </w:instrText>
      </w:r>
      <w:r>
        <w:rPr>
          <w:noProof/>
        </w:rPr>
      </w:r>
      <w:r>
        <w:rPr>
          <w:noProof/>
        </w:rPr>
        <w:fldChar w:fldCharType="separate"/>
      </w:r>
      <w:r>
        <w:rPr>
          <w:noProof/>
        </w:rPr>
        <w:t>10</w:t>
      </w:r>
      <w:r>
        <w:rPr>
          <w:noProof/>
        </w:rPr>
        <w:fldChar w:fldCharType="end"/>
      </w:r>
    </w:p>
    <w:p w14:paraId="374948C8" w14:textId="09B43A54"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Actividades de I+D de la Oficina Comunitaria de Variedades Vegetales (OCVV)</w:t>
      </w:r>
      <w:r>
        <w:rPr>
          <w:noProof/>
        </w:rPr>
        <w:tab/>
      </w:r>
      <w:r>
        <w:rPr>
          <w:noProof/>
        </w:rPr>
        <w:fldChar w:fldCharType="begin"/>
      </w:r>
      <w:r>
        <w:rPr>
          <w:noProof/>
        </w:rPr>
        <w:instrText xml:space="preserve"> PAGEREF _Toc210664653 \h </w:instrText>
      </w:r>
      <w:r>
        <w:rPr>
          <w:noProof/>
        </w:rPr>
      </w:r>
      <w:r>
        <w:rPr>
          <w:noProof/>
        </w:rPr>
        <w:fldChar w:fldCharType="separate"/>
      </w:r>
      <w:r>
        <w:rPr>
          <w:noProof/>
        </w:rPr>
        <w:t>10</w:t>
      </w:r>
      <w:r>
        <w:rPr>
          <w:noProof/>
        </w:rPr>
        <w:fldChar w:fldCharType="end"/>
      </w:r>
    </w:p>
    <w:p w14:paraId="1179FF72" w14:textId="27EDAC8D"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Métodos para el análisis de datos moleculares, la gestión de bases de datos y el intercambio de datos y material</w:t>
      </w:r>
      <w:r>
        <w:rPr>
          <w:noProof/>
        </w:rPr>
        <w:tab/>
      </w:r>
      <w:r>
        <w:rPr>
          <w:noProof/>
        </w:rPr>
        <w:fldChar w:fldCharType="begin"/>
      </w:r>
      <w:r>
        <w:rPr>
          <w:noProof/>
        </w:rPr>
        <w:instrText xml:space="preserve"> PAGEREF _Toc210664654 \h </w:instrText>
      </w:r>
      <w:r>
        <w:rPr>
          <w:noProof/>
        </w:rPr>
      </w:r>
      <w:r>
        <w:rPr>
          <w:noProof/>
        </w:rPr>
        <w:fldChar w:fldCharType="separate"/>
      </w:r>
      <w:r>
        <w:rPr>
          <w:noProof/>
        </w:rPr>
        <w:t>11</w:t>
      </w:r>
      <w:r>
        <w:rPr>
          <w:noProof/>
        </w:rPr>
        <w:fldChar w:fldCharType="end"/>
      </w:r>
    </w:p>
    <w:p w14:paraId="10496347" w14:textId="23701E75"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Aprovechamiento de los marcadores de polimorfismos de haplotipos de cultivos para la identificación de pedigríes</w:t>
      </w:r>
      <w:r>
        <w:rPr>
          <w:noProof/>
        </w:rPr>
        <w:tab/>
      </w:r>
      <w:r>
        <w:rPr>
          <w:noProof/>
        </w:rPr>
        <w:fldChar w:fldCharType="begin"/>
      </w:r>
      <w:r>
        <w:rPr>
          <w:noProof/>
        </w:rPr>
        <w:instrText xml:space="preserve"> PAGEREF _Toc210664655 \h </w:instrText>
      </w:r>
      <w:r>
        <w:rPr>
          <w:noProof/>
        </w:rPr>
      </w:r>
      <w:r>
        <w:rPr>
          <w:noProof/>
        </w:rPr>
        <w:fldChar w:fldCharType="separate"/>
      </w:r>
      <w:r>
        <w:rPr>
          <w:noProof/>
        </w:rPr>
        <w:t>11</w:t>
      </w:r>
      <w:r>
        <w:rPr>
          <w:noProof/>
        </w:rPr>
        <w:fldChar w:fldCharType="end"/>
      </w:r>
    </w:p>
    <w:p w14:paraId="6A724A5F" w14:textId="700E89F8"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PAD: un algoritmo para la detección de progenie y ancestros basado en perfiles genéticos</w:t>
      </w:r>
      <w:r>
        <w:rPr>
          <w:noProof/>
        </w:rPr>
        <w:tab/>
      </w:r>
      <w:r>
        <w:rPr>
          <w:noProof/>
        </w:rPr>
        <w:fldChar w:fldCharType="begin"/>
      </w:r>
      <w:r>
        <w:rPr>
          <w:noProof/>
        </w:rPr>
        <w:instrText xml:space="preserve"> PAGEREF _Toc210664656 \h </w:instrText>
      </w:r>
      <w:r>
        <w:rPr>
          <w:noProof/>
        </w:rPr>
      </w:r>
      <w:r>
        <w:rPr>
          <w:noProof/>
        </w:rPr>
        <w:fldChar w:fldCharType="separate"/>
      </w:r>
      <w:r>
        <w:rPr>
          <w:noProof/>
        </w:rPr>
        <w:t>11</w:t>
      </w:r>
      <w:r>
        <w:rPr>
          <w:noProof/>
        </w:rPr>
        <w:fldChar w:fldCharType="end"/>
      </w:r>
    </w:p>
    <w:p w14:paraId="3D9C0577" w14:textId="5B3612B3"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DurdusTools: Situación actual y utilización en el examen DHE</w:t>
      </w:r>
      <w:r>
        <w:rPr>
          <w:noProof/>
        </w:rPr>
        <w:tab/>
      </w:r>
      <w:r>
        <w:rPr>
          <w:noProof/>
        </w:rPr>
        <w:fldChar w:fldCharType="begin"/>
      </w:r>
      <w:r>
        <w:rPr>
          <w:noProof/>
        </w:rPr>
        <w:instrText xml:space="preserve"> PAGEREF _Toc210664657 \h </w:instrText>
      </w:r>
      <w:r>
        <w:rPr>
          <w:noProof/>
        </w:rPr>
      </w:r>
      <w:r>
        <w:rPr>
          <w:noProof/>
        </w:rPr>
        <w:fldChar w:fldCharType="separate"/>
      </w:r>
      <w:r>
        <w:rPr>
          <w:noProof/>
        </w:rPr>
        <w:t>11</w:t>
      </w:r>
      <w:r>
        <w:rPr>
          <w:noProof/>
        </w:rPr>
        <w:fldChar w:fldCharType="end"/>
      </w:r>
    </w:p>
    <w:p w14:paraId="258A6FBD" w14:textId="574481A0"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Desarrollo de herramientas de fenotipado DHE para y con las oficinas de examen: experiencia adquirida</w:t>
      </w:r>
      <w:r>
        <w:rPr>
          <w:noProof/>
        </w:rPr>
        <w:tab/>
      </w:r>
      <w:r>
        <w:rPr>
          <w:noProof/>
        </w:rPr>
        <w:fldChar w:fldCharType="begin"/>
      </w:r>
      <w:r>
        <w:rPr>
          <w:noProof/>
        </w:rPr>
        <w:instrText xml:space="preserve"> PAGEREF _Toc210664658 \h </w:instrText>
      </w:r>
      <w:r>
        <w:rPr>
          <w:noProof/>
        </w:rPr>
      </w:r>
      <w:r>
        <w:rPr>
          <w:noProof/>
        </w:rPr>
        <w:fldChar w:fldCharType="separate"/>
      </w:r>
      <w:r>
        <w:rPr>
          <w:noProof/>
        </w:rPr>
        <w:t>11</w:t>
      </w:r>
      <w:r>
        <w:rPr>
          <w:noProof/>
        </w:rPr>
        <w:fldChar w:fldCharType="end"/>
      </w:r>
    </w:p>
    <w:p w14:paraId="4AED6067" w14:textId="45388D6C"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Concepto de fenotipado para reforzar la cadena de protección de las variedades vegetales mediante el uso combinado de IA y AI</w:t>
      </w:r>
      <w:r>
        <w:rPr>
          <w:noProof/>
        </w:rPr>
        <w:tab/>
      </w:r>
      <w:r>
        <w:rPr>
          <w:noProof/>
        </w:rPr>
        <w:fldChar w:fldCharType="begin"/>
      </w:r>
      <w:r>
        <w:rPr>
          <w:noProof/>
        </w:rPr>
        <w:instrText xml:space="preserve"> PAGEREF _Toc210664659 \h </w:instrText>
      </w:r>
      <w:r>
        <w:rPr>
          <w:noProof/>
        </w:rPr>
      </w:r>
      <w:r>
        <w:rPr>
          <w:noProof/>
        </w:rPr>
        <w:fldChar w:fldCharType="separate"/>
      </w:r>
      <w:r>
        <w:rPr>
          <w:noProof/>
        </w:rPr>
        <w:t>12</w:t>
      </w:r>
      <w:r>
        <w:rPr>
          <w:noProof/>
        </w:rPr>
        <w:fldChar w:fldCharType="end"/>
      </w:r>
    </w:p>
    <w:p w14:paraId="0F9838D8" w14:textId="0E6C3BDB"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Uso de bases de datos de ADN en Naktuinbouw para mejorar el trabajo DHE</w:t>
      </w:r>
      <w:r>
        <w:rPr>
          <w:noProof/>
        </w:rPr>
        <w:tab/>
      </w:r>
      <w:r>
        <w:rPr>
          <w:noProof/>
        </w:rPr>
        <w:fldChar w:fldCharType="begin"/>
      </w:r>
      <w:r>
        <w:rPr>
          <w:noProof/>
        </w:rPr>
        <w:instrText xml:space="preserve"> PAGEREF _Toc210664660 \h </w:instrText>
      </w:r>
      <w:r>
        <w:rPr>
          <w:noProof/>
        </w:rPr>
      </w:r>
      <w:r>
        <w:rPr>
          <w:noProof/>
        </w:rPr>
        <w:fldChar w:fldCharType="separate"/>
      </w:r>
      <w:r>
        <w:rPr>
          <w:noProof/>
        </w:rPr>
        <w:t>12</w:t>
      </w:r>
      <w:r>
        <w:rPr>
          <w:noProof/>
        </w:rPr>
        <w:fldChar w:fldCharType="end"/>
      </w:r>
    </w:p>
    <w:p w14:paraId="5DC97FBF" w14:textId="7DBBF978"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Base de datos molecular compartida</w:t>
      </w:r>
      <w:r>
        <w:rPr>
          <w:noProof/>
        </w:rPr>
        <w:tab/>
      </w:r>
      <w:r>
        <w:rPr>
          <w:noProof/>
        </w:rPr>
        <w:fldChar w:fldCharType="begin"/>
      </w:r>
      <w:r>
        <w:rPr>
          <w:noProof/>
        </w:rPr>
        <w:instrText xml:space="preserve"> PAGEREF _Toc210664661 \h </w:instrText>
      </w:r>
      <w:r>
        <w:rPr>
          <w:noProof/>
        </w:rPr>
      </w:r>
      <w:r>
        <w:rPr>
          <w:noProof/>
        </w:rPr>
        <w:fldChar w:fldCharType="separate"/>
      </w:r>
      <w:r>
        <w:rPr>
          <w:noProof/>
        </w:rPr>
        <w:t>12</w:t>
      </w:r>
      <w:r>
        <w:rPr>
          <w:noProof/>
        </w:rPr>
        <w:fldChar w:fldCharType="end"/>
      </w:r>
    </w:p>
    <w:p w14:paraId="1636B4F4" w14:textId="56000982"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El uso de técnicas moleculares en la evaluación de la derivación esencial</w:t>
      </w:r>
      <w:r>
        <w:rPr>
          <w:noProof/>
        </w:rPr>
        <w:tab/>
      </w:r>
      <w:r>
        <w:rPr>
          <w:noProof/>
        </w:rPr>
        <w:fldChar w:fldCharType="begin"/>
      </w:r>
      <w:r>
        <w:rPr>
          <w:noProof/>
        </w:rPr>
        <w:instrText xml:space="preserve"> PAGEREF _Toc210664662 \h </w:instrText>
      </w:r>
      <w:r>
        <w:rPr>
          <w:noProof/>
        </w:rPr>
      </w:r>
      <w:r>
        <w:rPr>
          <w:noProof/>
        </w:rPr>
        <w:fldChar w:fldCharType="separate"/>
      </w:r>
      <w:r>
        <w:rPr>
          <w:noProof/>
        </w:rPr>
        <w:t>12</w:t>
      </w:r>
      <w:r>
        <w:rPr>
          <w:noProof/>
        </w:rPr>
        <w:fldChar w:fldCharType="end"/>
      </w:r>
    </w:p>
    <w:p w14:paraId="4BC8C410" w14:textId="096849B3"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Exploración de técnicas de identificación basadas en marcadores SNP para Variedades Esencialmente Derivadas de trigo</w:t>
      </w:r>
      <w:r>
        <w:rPr>
          <w:noProof/>
        </w:rPr>
        <w:tab/>
      </w:r>
      <w:r>
        <w:rPr>
          <w:noProof/>
        </w:rPr>
        <w:fldChar w:fldCharType="begin"/>
      </w:r>
      <w:r>
        <w:rPr>
          <w:noProof/>
        </w:rPr>
        <w:instrText xml:space="preserve"> PAGEREF _Toc210664663 \h </w:instrText>
      </w:r>
      <w:r>
        <w:rPr>
          <w:noProof/>
        </w:rPr>
      </w:r>
      <w:r>
        <w:rPr>
          <w:noProof/>
        </w:rPr>
        <w:fldChar w:fldCharType="separate"/>
      </w:r>
      <w:r>
        <w:rPr>
          <w:noProof/>
        </w:rPr>
        <w:t>12</w:t>
      </w:r>
      <w:r>
        <w:rPr>
          <w:noProof/>
        </w:rPr>
        <w:fldChar w:fldCharType="end"/>
      </w:r>
    </w:p>
    <w:p w14:paraId="70168854" w14:textId="2FDDF1C0"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Desarrollo de umbrales para variedades esencialmente derivadas (EDV) en la soja</w:t>
      </w:r>
      <w:r>
        <w:rPr>
          <w:noProof/>
        </w:rPr>
        <w:tab/>
      </w:r>
      <w:r>
        <w:rPr>
          <w:noProof/>
        </w:rPr>
        <w:fldChar w:fldCharType="begin"/>
      </w:r>
      <w:r>
        <w:rPr>
          <w:noProof/>
        </w:rPr>
        <w:instrText xml:space="preserve"> PAGEREF _Toc210664664 \h </w:instrText>
      </w:r>
      <w:r>
        <w:rPr>
          <w:noProof/>
        </w:rPr>
      </w:r>
      <w:r>
        <w:rPr>
          <w:noProof/>
        </w:rPr>
        <w:fldChar w:fldCharType="separate"/>
      </w:r>
      <w:r>
        <w:rPr>
          <w:noProof/>
        </w:rPr>
        <w:t>12</w:t>
      </w:r>
      <w:r>
        <w:rPr>
          <w:noProof/>
        </w:rPr>
        <w:fldChar w:fldCharType="end"/>
      </w:r>
    </w:p>
    <w:p w14:paraId="2B78FBA6" w14:textId="637937A5" w:rsidR="00112AD5" w:rsidRDefault="00112AD5">
      <w:pPr>
        <w:pStyle w:val="TOC2"/>
        <w:rPr>
          <w:rFonts w:asciiTheme="minorHAnsi" w:hAnsiTheme="minorHAnsi" w:cstheme="minorBidi"/>
          <w:noProof/>
          <w:kern w:val="2"/>
          <w:sz w:val="24"/>
          <w:szCs w:val="24"/>
          <w:lang w:val="en-GB" w:eastAsia="en-GB"/>
          <w14:ligatures w14:val="standardContextual"/>
        </w:rPr>
      </w:pPr>
      <w:r w:rsidRPr="00B9051B">
        <w:rPr>
          <w:noProof/>
        </w:rPr>
        <w:t>El uso de técnicas moleculares para la aplicación de la ley</w:t>
      </w:r>
      <w:r>
        <w:rPr>
          <w:noProof/>
        </w:rPr>
        <w:tab/>
      </w:r>
      <w:r>
        <w:rPr>
          <w:noProof/>
        </w:rPr>
        <w:fldChar w:fldCharType="begin"/>
      </w:r>
      <w:r>
        <w:rPr>
          <w:noProof/>
        </w:rPr>
        <w:instrText xml:space="preserve"> PAGEREF _Toc210664665 \h </w:instrText>
      </w:r>
      <w:r>
        <w:rPr>
          <w:noProof/>
        </w:rPr>
      </w:r>
      <w:r>
        <w:rPr>
          <w:noProof/>
        </w:rPr>
        <w:fldChar w:fldCharType="separate"/>
      </w:r>
      <w:r>
        <w:rPr>
          <w:noProof/>
        </w:rPr>
        <w:t>13</w:t>
      </w:r>
      <w:r>
        <w:rPr>
          <w:noProof/>
        </w:rPr>
        <w:fldChar w:fldCharType="end"/>
      </w:r>
    </w:p>
    <w:p w14:paraId="5B5ACFF7" w14:textId="2C422224"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Uso de técnicas de ADN para la aplicación de los derechos de obtentor (PBR) en Perú</w:t>
      </w:r>
      <w:r>
        <w:rPr>
          <w:noProof/>
        </w:rPr>
        <w:tab/>
      </w:r>
      <w:r>
        <w:rPr>
          <w:noProof/>
        </w:rPr>
        <w:fldChar w:fldCharType="begin"/>
      </w:r>
      <w:r>
        <w:rPr>
          <w:noProof/>
        </w:rPr>
        <w:instrText xml:space="preserve"> PAGEREF _Toc210664666 \h </w:instrText>
      </w:r>
      <w:r>
        <w:rPr>
          <w:noProof/>
        </w:rPr>
      </w:r>
      <w:r>
        <w:rPr>
          <w:noProof/>
        </w:rPr>
        <w:fldChar w:fldCharType="separate"/>
      </w:r>
      <w:r>
        <w:rPr>
          <w:noProof/>
        </w:rPr>
        <w:t>13</w:t>
      </w:r>
      <w:r>
        <w:rPr>
          <w:noProof/>
        </w:rPr>
        <w:fldChar w:fldCharType="end"/>
      </w:r>
    </w:p>
    <w:p w14:paraId="45E92D91" w14:textId="141FE2AC" w:rsidR="00112AD5" w:rsidRDefault="00112AD5">
      <w:pPr>
        <w:pStyle w:val="TOC3"/>
        <w:rPr>
          <w:rFonts w:asciiTheme="minorHAnsi" w:hAnsiTheme="minorHAnsi" w:cstheme="minorBidi"/>
          <w:i w:val="0"/>
          <w:noProof/>
          <w:kern w:val="2"/>
          <w:sz w:val="24"/>
          <w:szCs w:val="24"/>
          <w:lang w:val="en-GB" w:eastAsia="en-GB"/>
          <w14:ligatures w14:val="standardContextual"/>
        </w:rPr>
      </w:pPr>
      <w:r w:rsidRPr="00B9051B">
        <w:rPr>
          <w:noProof/>
          <w:lang w:val="es-ES_tradnl"/>
        </w:rPr>
        <w:t>Uso de marcadores moleculares como herramienta para hacer cumplir los derechos de obtentor (PBR) de la soja en Uruguay</w:t>
      </w:r>
      <w:r>
        <w:rPr>
          <w:noProof/>
        </w:rPr>
        <w:tab/>
      </w:r>
      <w:r>
        <w:rPr>
          <w:noProof/>
        </w:rPr>
        <w:fldChar w:fldCharType="begin"/>
      </w:r>
      <w:r>
        <w:rPr>
          <w:noProof/>
        </w:rPr>
        <w:instrText xml:space="preserve"> PAGEREF _Toc210664667 \h </w:instrText>
      </w:r>
      <w:r>
        <w:rPr>
          <w:noProof/>
        </w:rPr>
      </w:r>
      <w:r>
        <w:rPr>
          <w:noProof/>
        </w:rPr>
        <w:fldChar w:fldCharType="separate"/>
      </w:r>
      <w:r>
        <w:rPr>
          <w:noProof/>
        </w:rPr>
        <w:t>13</w:t>
      </w:r>
      <w:r>
        <w:rPr>
          <w:noProof/>
        </w:rPr>
        <w:fldChar w:fldCharType="end"/>
      </w:r>
    </w:p>
    <w:p w14:paraId="05761C05" w14:textId="1D85F0AA" w:rsidR="00342001" w:rsidRPr="002B2E80" w:rsidRDefault="00047CF1" w:rsidP="008A52E0">
      <w:pPr>
        <w:keepNext/>
        <w:tabs>
          <w:tab w:val="center" w:pos="4479"/>
        </w:tabs>
        <w:spacing w:before="120"/>
        <w:ind w:left="851" w:right="851" w:hanging="851"/>
        <w:contextualSpacing/>
        <w:rPr>
          <w:sz w:val="18"/>
          <w:szCs w:val="18"/>
        </w:rPr>
      </w:pPr>
      <w:r w:rsidRPr="002B2E80">
        <w:rPr>
          <w:rFonts w:cs="Arial"/>
          <w:bCs/>
          <w:sz w:val="18"/>
          <w:szCs w:val="18"/>
        </w:rPr>
        <w:fldChar w:fldCharType="end"/>
      </w:r>
      <w:r w:rsidR="00F509D3" w:rsidRPr="002B2E80">
        <w:rPr>
          <w:rFonts w:cs="Arial"/>
          <w:bCs/>
          <w:caps/>
          <w:sz w:val="18"/>
          <w:szCs w:val="18"/>
        </w:rPr>
        <w:t>Anexo:</w:t>
      </w:r>
      <w:r w:rsidR="008A52E0" w:rsidRPr="002B2E80">
        <w:rPr>
          <w:rFonts w:cs="Arial"/>
          <w:bCs/>
          <w:caps/>
          <w:sz w:val="18"/>
          <w:szCs w:val="18"/>
        </w:rPr>
        <w:tab/>
      </w:r>
      <w:r w:rsidR="00F509D3" w:rsidRPr="002B2E80">
        <w:rPr>
          <w:sz w:val="18"/>
          <w:szCs w:val="18"/>
        </w:rPr>
        <w:t xml:space="preserve">Directrices para la validación de un nuevo protocolo de marcadores moleculares específicos de caracteres para </w:t>
      </w:r>
      <w:r w:rsidR="00F1282A" w:rsidRPr="002B2E80">
        <w:rPr>
          <w:sz w:val="18"/>
          <w:szCs w:val="18"/>
        </w:rPr>
        <w:t xml:space="preserve">el examen </w:t>
      </w:r>
      <w:r w:rsidR="00F509D3" w:rsidRPr="002B2E80">
        <w:rPr>
          <w:sz w:val="18"/>
          <w:szCs w:val="18"/>
        </w:rPr>
        <w:t>DHE como método alternativo de observación</w:t>
      </w:r>
    </w:p>
    <w:p w14:paraId="43AC56C6" w14:textId="77777777" w:rsidR="008A52E0" w:rsidRPr="002B2E80" w:rsidRDefault="008A52E0" w:rsidP="00342001">
      <w:pPr>
        <w:jc w:val="left"/>
      </w:pPr>
    </w:p>
    <w:p w14:paraId="5B099308" w14:textId="77777777" w:rsidR="00047CF1" w:rsidRPr="002B2E80" w:rsidRDefault="00047CF1" w:rsidP="00342001">
      <w:pPr>
        <w:jc w:val="left"/>
      </w:pPr>
    </w:p>
    <w:p w14:paraId="7A7FC83A" w14:textId="7733668F" w:rsidR="00342001" w:rsidRPr="002B2E80" w:rsidRDefault="00342001" w:rsidP="00642CEF">
      <w:pPr>
        <w:pStyle w:val="Heading1"/>
        <w:rPr>
          <w:lang w:val="es-ES_tradnl"/>
        </w:rPr>
      </w:pPr>
      <w:bookmarkStart w:id="3" w:name="_Toc177773940"/>
      <w:bookmarkStart w:id="4" w:name="_Toc210664620"/>
      <w:r w:rsidRPr="002B2E80">
        <w:rPr>
          <w:lang w:val="es-ES_tradnl"/>
        </w:rPr>
        <w:lastRenderedPageBreak/>
        <w:t>Directrices para la validación de un nuevo protocolo de marcadores moleculares específicos de caracteres como método alternativo de observación</w:t>
      </w:r>
      <w:bookmarkEnd w:id="3"/>
      <w:bookmarkEnd w:id="4"/>
    </w:p>
    <w:p w14:paraId="555C066E" w14:textId="77777777" w:rsidR="007B317A" w:rsidRPr="002B2E80" w:rsidRDefault="007B317A" w:rsidP="00642CEF">
      <w:pPr>
        <w:keepNext/>
      </w:pPr>
    </w:p>
    <w:p w14:paraId="7475F605" w14:textId="77777777" w:rsidR="00FE21AF" w:rsidRPr="002B2E80" w:rsidRDefault="00FE21AF" w:rsidP="00642CEF">
      <w:pPr>
        <w:pStyle w:val="Heading2"/>
        <w:rPr>
          <w:lang w:val="es-ES_tradnl"/>
        </w:rPr>
      </w:pPr>
      <w:bookmarkStart w:id="5" w:name="_Toc210664621"/>
      <w:r w:rsidRPr="002B2E80">
        <w:rPr>
          <w:lang w:val="es-ES_tradnl"/>
        </w:rPr>
        <w:t>Antecedentes</w:t>
      </w:r>
      <w:bookmarkEnd w:id="5"/>
    </w:p>
    <w:p w14:paraId="46E2F720" w14:textId="77777777" w:rsidR="00FE39FA" w:rsidRPr="002B2E80" w:rsidRDefault="00FE39FA" w:rsidP="00642CEF">
      <w:pPr>
        <w:keepNext/>
      </w:pPr>
    </w:p>
    <w:p w14:paraId="3208FD3E" w14:textId="162AD2B9" w:rsidR="001576C8" w:rsidRPr="002B2E80" w:rsidRDefault="001576C8" w:rsidP="00BF7C58">
      <w:r w:rsidRPr="002B2E80">
        <w:fldChar w:fldCharType="begin"/>
      </w:r>
      <w:r w:rsidRPr="002B2E80">
        <w:instrText xml:space="preserve"> AUTONUM  </w:instrText>
      </w:r>
      <w:r w:rsidRPr="002B2E80">
        <w:fldChar w:fldCharType="end"/>
      </w:r>
      <w:r w:rsidRPr="002B2E80">
        <w:tab/>
      </w:r>
      <w:r w:rsidR="00472ACC" w:rsidRPr="002B2E80">
        <w:rPr>
          <w:rFonts w:hint="eastAsia"/>
          <w:lang w:eastAsia="ja-JP"/>
        </w:rPr>
        <w:t xml:space="preserve">El </w:t>
      </w:r>
      <w:r w:rsidRPr="002B2E80">
        <w:t>TC</w:t>
      </w:r>
      <w:r w:rsidRPr="002B2E80">
        <w:rPr>
          <w:rStyle w:val="FootnoteReference"/>
          <w:lang w:eastAsia="ja-JP"/>
        </w:rPr>
        <w:footnoteReference w:id="2"/>
      </w:r>
      <w:r w:rsidR="003F7447">
        <w:t>,</w:t>
      </w:r>
      <w:r w:rsidRPr="002B2E80">
        <w:t xml:space="preserve"> en su </w:t>
      </w:r>
      <w:r w:rsidR="00C3565D" w:rsidRPr="002B2E80">
        <w:rPr>
          <w:lang w:eastAsia="ja-JP"/>
        </w:rPr>
        <w:t xml:space="preserve">sexagésima </w:t>
      </w:r>
      <w:r w:rsidRPr="002B2E80">
        <w:t xml:space="preserve">sesión, </w:t>
      </w:r>
      <w:r w:rsidR="00472ACC" w:rsidRPr="002B2E80">
        <w:t>acordó solicitar a los TWP que, en sus sesiones de 2025, examinaran la propuesta de directrices para la validación de un nuevo protocolo de marcadores moleculares específicos de caracteres para el examen DHE</w:t>
      </w:r>
      <w:r w:rsidRPr="002B2E80">
        <w:t>.</w:t>
      </w:r>
    </w:p>
    <w:p w14:paraId="0261E89D" w14:textId="77777777" w:rsidR="00EF443F" w:rsidRPr="002B2E80" w:rsidRDefault="00EF443F" w:rsidP="00FE39FA"/>
    <w:p w14:paraId="3CEBB30B" w14:textId="77777777" w:rsidR="00221BB8" w:rsidRPr="002B2E80" w:rsidRDefault="00221BB8" w:rsidP="00FE39FA"/>
    <w:p w14:paraId="11917B86" w14:textId="027F6D5B" w:rsidR="00FE39FA" w:rsidRPr="002B2E80" w:rsidRDefault="00221387" w:rsidP="001B3715">
      <w:pPr>
        <w:pStyle w:val="Heading2"/>
        <w:rPr>
          <w:lang w:val="es-ES_tradnl" w:eastAsia="ja-JP"/>
        </w:rPr>
      </w:pPr>
      <w:bookmarkStart w:id="6" w:name="_Toc210664622"/>
      <w:r>
        <w:rPr>
          <w:lang w:val="es-ES_tradnl" w:eastAsia="ja-JP"/>
        </w:rPr>
        <w:t>Novedades</w:t>
      </w:r>
      <w:r w:rsidR="00FE39FA" w:rsidRPr="002B2E80">
        <w:rPr>
          <w:lang w:val="es-ES_tradnl" w:eastAsia="ja-JP"/>
        </w:rPr>
        <w:t xml:space="preserve"> en las reuniones de los Grupos de Trabajo Técnicos en</w:t>
      </w:r>
      <w:r w:rsidR="00FE39FA" w:rsidRPr="002B2E80">
        <w:rPr>
          <w:rFonts w:hint="eastAsia"/>
          <w:lang w:val="es-ES_tradnl" w:eastAsia="ja-JP"/>
        </w:rPr>
        <w:t xml:space="preserve"> 2025</w:t>
      </w:r>
      <w:bookmarkEnd w:id="6"/>
    </w:p>
    <w:p w14:paraId="133152E8" w14:textId="77777777" w:rsidR="00342001" w:rsidRPr="002B2E80" w:rsidRDefault="00342001" w:rsidP="001B3715">
      <w:pPr>
        <w:keepNext/>
      </w:pPr>
    </w:p>
    <w:p w14:paraId="0B8747CF" w14:textId="564BBBA9" w:rsidR="00D14C85" w:rsidRPr="002B2E80" w:rsidRDefault="00A655A8" w:rsidP="00221BB8">
      <w:pPr>
        <w:rPr>
          <w:lang w:eastAsia="ja-JP"/>
        </w:rPr>
      </w:pPr>
      <w:r w:rsidRPr="002B2E80">
        <w:fldChar w:fldCharType="begin"/>
      </w:r>
      <w:r w:rsidRPr="002B2E80">
        <w:instrText xml:space="preserve"> AUTONUM  </w:instrText>
      </w:r>
      <w:r w:rsidRPr="002B2E80">
        <w:fldChar w:fldCharType="end"/>
      </w:r>
      <w:r w:rsidRPr="002B2E80">
        <w:tab/>
      </w:r>
      <w:r w:rsidR="00700E80" w:rsidRPr="002B2E80">
        <w:t>En sus sesiones de</w:t>
      </w:r>
      <w:r w:rsidR="00700E80" w:rsidRPr="002B2E80">
        <w:rPr>
          <w:rFonts w:hint="eastAsia"/>
          <w:lang w:eastAsia="ja-JP"/>
        </w:rPr>
        <w:t xml:space="preserve"> 2025</w:t>
      </w:r>
      <w:r w:rsidR="00700E80" w:rsidRPr="002B2E80">
        <w:t xml:space="preserve">, el </w:t>
      </w:r>
      <w:r w:rsidR="00951044" w:rsidRPr="002B2E80">
        <w:rPr>
          <w:rFonts w:hint="eastAsia"/>
          <w:lang w:eastAsia="ja-JP"/>
        </w:rPr>
        <w:t>TWO</w:t>
      </w:r>
      <w:r w:rsidR="00951044" w:rsidRPr="002B2E80">
        <w:rPr>
          <w:rStyle w:val="FootnoteReference"/>
          <w:lang w:eastAsia="ja-JP"/>
        </w:rPr>
        <w:footnoteReference w:id="3"/>
      </w:r>
      <w:r w:rsidR="003F7447">
        <w:t>,</w:t>
      </w:r>
      <w:r w:rsidR="00700E80" w:rsidRPr="002B2E80">
        <w:t xml:space="preserve"> </w:t>
      </w:r>
      <w:r w:rsidR="007E36E5" w:rsidRPr="002B2E80">
        <w:rPr>
          <w:rFonts w:hint="eastAsia"/>
          <w:lang w:eastAsia="ja-JP"/>
        </w:rPr>
        <w:t>el TWM</w:t>
      </w:r>
      <w:r w:rsidR="007E36E5" w:rsidRPr="002B2E80">
        <w:rPr>
          <w:rStyle w:val="FootnoteReference"/>
        </w:rPr>
        <w:footnoteReference w:id="4"/>
      </w:r>
      <w:r w:rsidR="003F7447">
        <w:rPr>
          <w:rFonts w:hint="eastAsia"/>
          <w:lang w:eastAsia="ja-JP"/>
        </w:rPr>
        <w:t>,</w:t>
      </w:r>
      <w:r w:rsidR="005751C4" w:rsidRPr="002B2E80">
        <w:rPr>
          <w:rFonts w:hint="eastAsia"/>
          <w:lang w:eastAsia="ja-JP"/>
        </w:rPr>
        <w:t xml:space="preserve"> </w:t>
      </w:r>
      <w:r w:rsidR="00E95E7F" w:rsidRPr="002B2E80">
        <w:rPr>
          <w:rFonts w:hint="eastAsia"/>
          <w:lang w:eastAsia="ja-JP"/>
        </w:rPr>
        <w:t>el TWV</w:t>
      </w:r>
      <w:r w:rsidR="00E95E7F" w:rsidRPr="002B2E80">
        <w:rPr>
          <w:rStyle w:val="FootnoteReference"/>
        </w:rPr>
        <w:footnoteReference w:id="5"/>
      </w:r>
      <w:r w:rsidR="003F7447">
        <w:t>,</w:t>
      </w:r>
      <w:r w:rsidR="005751C4" w:rsidRPr="002B2E80">
        <w:t xml:space="preserve"> </w:t>
      </w:r>
      <w:r w:rsidR="00E95E7F" w:rsidRPr="002B2E80">
        <w:rPr>
          <w:rFonts w:hint="eastAsia"/>
          <w:lang w:eastAsia="ja-JP"/>
        </w:rPr>
        <w:t>el TWA</w:t>
      </w:r>
      <w:r w:rsidR="00E95E7F" w:rsidRPr="002B2E80">
        <w:rPr>
          <w:rStyle w:val="FootnoteReference"/>
        </w:rPr>
        <w:footnoteReference w:id="6"/>
      </w:r>
      <w:r w:rsidR="00700E80" w:rsidRPr="002B2E80">
        <w:t xml:space="preserve"> y </w:t>
      </w:r>
      <w:r w:rsidR="006E2D2D" w:rsidRPr="002B2E80">
        <w:rPr>
          <w:lang w:eastAsia="ja-JP"/>
        </w:rPr>
        <w:t>el TWF</w:t>
      </w:r>
      <w:r w:rsidR="006E2D2D" w:rsidRPr="002B2E80">
        <w:rPr>
          <w:rStyle w:val="FootnoteReference"/>
        </w:rPr>
        <w:footnoteReference w:id="7"/>
      </w:r>
      <w:r w:rsidR="00921B4E" w:rsidRPr="002B2E80">
        <w:t xml:space="preserve"> examinaron el documento TWP/9/4 y las directrices propuestas para la validación de los métodos de evaluación de marcadores moleculares específicos de caracteres para el examen DHE, presentadas por </w:t>
      </w:r>
      <w:r w:rsidR="00287F52" w:rsidRPr="002B2E80">
        <w:t xml:space="preserve">expertos </w:t>
      </w:r>
      <w:r w:rsidR="00921B4E" w:rsidRPr="002B2E80">
        <w:t xml:space="preserve">de los Países Bajos (Reino de </w:t>
      </w:r>
      <w:r w:rsidR="006C7330" w:rsidRPr="002B2E80">
        <w:t>los</w:t>
      </w:r>
      <w:r w:rsidR="00921B4E" w:rsidRPr="002B2E80">
        <w:t>).</w:t>
      </w:r>
    </w:p>
    <w:p w14:paraId="3BE7E50F" w14:textId="77777777" w:rsidR="00F1282A" w:rsidRPr="002B2E80" w:rsidRDefault="00F1282A" w:rsidP="00921B4E">
      <w:pPr>
        <w:rPr>
          <w:lang w:eastAsia="ja-JP"/>
        </w:rPr>
      </w:pPr>
    </w:p>
    <w:p w14:paraId="2AE65456" w14:textId="024F235C" w:rsidR="009D0402" w:rsidRPr="002B2E80" w:rsidRDefault="00544205" w:rsidP="00882559">
      <w:pPr>
        <w:pStyle w:val="Heading3"/>
        <w:rPr>
          <w:lang w:val="es-ES_tradnl" w:eastAsia="ja-JP"/>
        </w:rPr>
      </w:pPr>
      <w:bookmarkStart w:id="7" w:name="_Toc210664623"/>
      <w:r w:rsidRPr="002B2E80">
        <w:rPr>
          <w:lang w:val="es-ES_tradnl" w:eastAsia="ja-JP"/>
        </w:rPr>
        <w:t xml:space="preserve">Validación de </w:t>
      </w:r>
      <w:r w:rsidR="009A070B" w:rsidRPr="002B2E80">
        <w:rPr>
          <w:lang w:val="es-ES_tradnl" w:eastAsia="ja-JP"/>
        </w:rPr>
        <w:t xml:space="preserve">marcadores moleculares específicos de caracteres </w:t>
      </w:r>
      <w:r w:rsidR="00AD3753" w:rsidRPr="002B2E80">
        <w:rPr>
          <w:lang w:val="es-ES_tradnl" w:eastAsia="ja-JP"/>
        </w:rPr>
        <w:t xml:space="preserve">para </w:t>
      </w:r>
      <w:r w:rsidR="009D0402" w:rsidRPr="002B2E80">
        <w:rPr>
          <w:lang w:val="es-ES_tradnl" w:eastAsia="ja-JP"/>
        </w:rPr>
        <w:t>las directrices de examen.</w:t>
      </w:r>
      <w:bookmarkEnd w:id="7"/>
    </w:p>
    <w:p w14:paraId="3CC7C9CA" w14:textId="77777777" w:rsidR="0080077B" w:rsidRPr="002B2E80" w:rsidRDefault="0080077B" w:rsidP="00921B4E">
      <w:pPr>
        <w:rPr>
          <w:lang w:eastAsia="ja-JP"/>
        </w:rPr>
      </w:pPr>
    </w:p>
    <w:p w14:paraId="72161E2A" w14:textId="648A360A" w:rsidR="00A655A8" w:rsidRPr="002B2E80" w:rsidRDefault="00D14C85" w:rsidP="00921B4E">
      <w:r w:rsidRPr="002B2E80">
        <w:fldChar w:fldCharType="begin"/>
      </w:r>
      <w:r w:rsidRPr="002B2E80">
        <w:instrText xml:space="preserve"> AUTONUM  </w:instrText>
      </w:r>
      <w:r w:rsidRPr="002B2E80">
        <w:fldChar w:fldCharType="end"/>
      </w:r>
      <w:r w:rsidRPr="002B2E80">
        <w:tab/>
      </w:r>
      <w:r w:rsidR="00921B4E" w:rsidRPr="002B2E80">
        <w:t>El TWO señaló que las directrices propuestas se aplicarían para validar los marcadores moleculares propuestos como métodos alternativos para la evaluación de caracteres individuales en las directrices de examen.</w:t>
      </w:r>
    </w:p>
    <w:p w14:paraId="1FAC3620" w14:textId="77777777" w:rsidR="00AC2EA1" w:rsidRPr="002B2E80" w:rsidRDefault="00AC2EA1" w:rsidP="00AC2EA1"/>
    <w:p w14:paraId="2CA5238C" w14:textId="77777777" w:rsidR="00AC2EA1" w:rsidRPr="002B2E80" w:rsidRDefault="00AC2EA1" w:rsidP="00AC2EA1">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t xml:space="preserve">El </w:t>
      </w:r>
      <w:r w:rsidRPr="002B2E80">
        <w:rPr>
          <w:rFonts w:hint="eastAsia"/>
          <w:lang w:eastAsia="ja-JP"/>
        </w:rPr>
        <w:t xml:space="preserve">TWM </w:t>
      </w:r>
      <w:r w:rsidRPr="002B2E80">
        <w:t>señaló que el procedimiento propuesto se refería a un posible procedimiento para la validación de marcadores moleculares y convino en que los marcadores moleculares podrían validarse mediante su publicación en revistas revisadas por pares.</w:t>
      </w:r>
    </w:p>
    <w:p w14:paraId="5DEAD99C" w14:textId="77777777" w:rsidR="00675087" w:rsidRPr="002B2E80" w:rsidRDefault="00675087" w:rsidP="00675087">
      <w:pPr>
        <w:pStyle w:val="ListParagraph"/>
        <w:ind w:left="0"/>
        <w:jc w:val="both"/>
        <w:rPr>
          <w:rFonts w:eastAsiaTheme="minorEastAsia"/>
          <w:lang w:eastAsia="ja-JP"/>
        </w:rPr>
      </w:pPr>
    </w:p>
    <w:p w14:paraId="15AB1835" w14:textId="77777777" w:rsidR="00675087" w:rsidRPr="002B2E80" w:rsidRDefault="00675087" w:rsidP="00675087">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r>
      <w:r w:rsidRPr="002B2E80">
        <w:rPr>
          <w:rFonts w:eastAsiaTheme="minorEastAsia"/>
          <w:lang w:eastAsia="ja-JP"/>
        </w:rPr>
        <w:t>El TWA señaló que la orientación propuesta recogía las experiencias de Francia, Italia y los Países Bajos (Reino de los) en la validación de marcadores moleculares específicos de caracteres como métodos alternativos para la evaluación de caracteres en las directrices de examen. El TWA convino en que debía haber flexibilidad para que se utilizaran diferentes tipos o procedimientos de validación como base para incluir marcadores moleculares en las directrices de examen.</w:t>
      </w:r>
    </w:p>
    <w:p w14:paraId="5FCC5742" w14:textId="77777777" w:rsidR="00675087" w:rsidRPr="002B2E80" w:rsidRDefault="00675087" w:rsidP="00675087"/>
    <w:p w14:paraId="3D3C6D0C" w14:textId="77777777" w:rsidR="00675087" w:rsidRPr="002B2E80" w:rsidRDefault="00675087" w:rsidP="00675087">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t xml:space="preserve">El </w:t>
      </w:r>
      <w:r w:rsidRPr="002B2E80">
        <w:rPr>
          <w:rFonts w:eastAsiaTheme="minorEastAsia" w:hint="eastAsia"/>
          <w:lang w:eastAsia="ja-JP"/>
        </w:rPr>
        <w:t xml:space="preserve">TWF </w:t>
      </w:r>
      <w:r w:rsidRPr="002B2E80">
        <w:rPr>
          <w:rFonts w:eastAsiaTheme="minorEastAsia"/>
          <w:lang w:eastAsia="ja-JP"/>
        </w:rPr>
        <w:t>estuvo de acuerdo con el procedimiento propuesto para validar los marcadores moleculares desarrollados por las autoridades de examen para los marcadores moleculares específicos de caracteres, que se utilizarían como métodos alternativos para la evaluación de los caracteres en las directrices de examen.</w:t>
      </w:r>
    </w:p>
    <w:p w14:paraId="565174FE" w14:textId="77777777" w:rsidR="00AC2EA1" w:rsidRPr="002B2E80" w:rsidRDefault="00AC2EA1" w:rsidP="00AC2EA1">
      <w:pPr>
        <w:pStyle w:val="ListParagraph"/>
        <w:ind w:left="0"/>
        <w:jc w:val="both"/>
        <w:rPr>
          <w:rFonts w:eastAsiaTheme="minorEastAsia"/>
          <w:lang w:eastAsia="ja-JP"/>
        </w:rPr>
      </w:pPr>
    </w:p>
    <w:p w14:paraId="0E022AE3" w14:textId="77777777" w:rsidR="00AC2EA1" w:rsidRPr="002B2E80" w:rsidRDefault="00AC2EA1" w:rsidP="00AC2EA1">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t xml:space="preserve">El TWM acordó </w:t>
      </w:r>
      <w:r w:rsidRPr="002B2E80">
        <w:rPr>
          <w:rFonts w:hint="eastAsia"/>
          <w:lang w:eastAsia="ja-JP"/>
        </w:rPr>
        <w:t xml:space="preserve">que </w:t>
      </w:r>
      <w:r w:rsidRPr="002B2E80">
        <w:t xml:space="preserve">se revisara </w:t>
      </w:r>
      <w:r w:rsidRPr="002B2E80">
        <w:rPr>
          <w:lang w:eastAsia="ja-JP"/>
        </w:rPr>
        <w:t>la información de los párrafos</w:t>
      </w:r>
      <w:r w:rsidRPr="002B2E80">
        <w:t xml:space="preserve"> 21 y 28 del </w:t>
      </w:r>
      <w:r w:rsidRPr="002B2E80">
        <w:rPr>
          <w:rFonts w:cs="Arial"/>
          <w:iCs/>
        </w:rPr>
        <w:t xml:space="preserve">documento </w:t>
      </w:r>
      <w:r w:rsidRPr="002B2E80">
        <w:rPr>
          <w:rFonts w:hint="eastAsia"/>
          <w:lang w:eastAsia="ja-JP"/>
        </w:rPr>
        <w:t xml:space="preserve">TWP/9/4 </w:t>
      </w:r>
      <w:r w:rsidRPr="002B2E80">
        <w:t xml:space="preserve">para aclarar los métodos de validación. El TWM acordó que se modificara el recuadro del punto 8 del cuadro para que dijera lo siguiente: </w:t>
      </w:r>
    </w:p>
    <w:p w14:paraId="04340E8D" w14:textId="77777777" w:rsidR="00AC2EA1" w:rsidRPr="002B2E80" w:rsidRDefault="00AC2EA1" w:rsidP="00AC2EA1">
      <w:pPr>
        <w:contextualSpacing/>
        <w:rPr>
          <w:rFonts w:cs="Calibri"/>
          <w:szCs w:val="22"/>
          <w14:ligatures w14:val="standardContextual"/>
        </w:rPr>
      </w:pPr>
    </w:p>
    <w:p w14:paraId="5C1EE0A8" w14:textId="77777777" w:rsidR="00AC2EA1" w:rsidRPr="002B2E80" w:rsidRDefault="00AC2EA1" w:rsidP="00AC2EA1">
      <w:pPr>
        <w:ind w:left="567" w:right="567"/>
        <w:rPr>
          <w:rFonts w:cs="Arial"/>
          <w:color w:val="000000" w:themeColor="text1"/>
          <w:sz w:val="18"/>
          <w:szCs w:val="18"/>
          <w:lang w:eastAsia="nl-NL"/>
          <w14:ligatures w14:val="standardContextual"/>
        </w:rPr>
      </w:pPr>
      <w:r w:rsidRPr="002B2E80">
        <w:rPr>
          <w:rFonts w:cs="Arial"/>
          <w:color w:val="000000" w:themeColor="text1"/>
          <w:sz w:val="18"/>
          <w:szCs w:val="18"/>
          <w:lang w:eastAsia="nl-NL"/>
          <w14:ligatures w14:val="standardContextual"/>
        </w:rPr>
        <w:t xml:space="preserve">“En caso de que el resultado de la prueba con marcadores de ADN no confirme la declaración del cuestionario técnico, se debería realizar un ensayo de campo o un bioensayo </w:t>
      </w:r>
      <w:r w:rsidRPr="002B2E80">
        <w:rPr>
          <w:rFonts w:cs="Arial"/>
          <w:strike/>
          <w:color w:val="000000" w:themeColor="text1"/>
          <w:sz w:val="18"/>
          <w:szCs w:val="18"/>
          <w:highlight w:val="lightGray"/>
          <w:lang w:eastAsia="nl-NL"/>
          <w14:ligatures w14:val="standardContextual"/>
        </w:rPr>
        <w:t>para evaluar la exactitud de la declaración del cuestionario técnico</w:t>
      </w:r>
      <w:r w:rsidRPr="002B2E80">
        <w:rPr>
          <w:rFonts w:cs="Arial"/>
          <w:color w:val="000000" w:themeColor="text1"/>
          <w:sz w:val="18"/>
          <w:szCs w:val="18"/>
          <w:lang w:eastAsia="nl-NL"/>
          <w14:ligatures w14:val="standardContextual"/>
        </w:rPr>
        <w:t xml:space="preserve">.” </w:t>
      </w:r>
    </w:p>
    <w:p w14:paraId="279D7808" w14:textId="77777777" w:rsidR="00AC2EA1" w:rsidRPr="002B2E80" w:rsidRDefault="00AC2EA1" w:rsidP="00AC2EA1"/>
    <w:p w14:paraId="5F128D11" w14:textId="77777777" w:rsidR="00AC2EA1" w:rsidRPr="002B2E80" w:rsidRDefault="00AC2EA1" w:rsidP="00AC2EA1">
      <w:pPr>
        <w:pStyle w:val="ListParagraph"/>
        <w:ind w:left="0"/>
      </w:pPr>
      <w:r w:rsidRPr="002B2E80">
        <w:fldChar w:fldCharType="begin"/>
      </w:r>
      <w:r w:rsidRPr="002B2E80">
        <w:instrText xml:space="preserve"> AUTONUM  </w:instrText>
      </w:r>
      <w:r w:rsidRPr="002B2E80">
        <w:fldChar w:fldCharType="end"/>
      </w:r>
      <w:r w:rsidRPr="002B2E80">
        <w:tab/>
        <w:t xml:space="preserve">El </w:t>
      </w:r>
      <w:r w:rsidRPr="002B2E80">
        <w:rPr>
          <w:rFonts w:eastAsiaTheme="minorEastAsia" w:hint="eastAsia"/>
          <w:lang w:eastAsia="ja-JP"/>
        </w:rPr>
        <w:t xml:space="preserve">TWV </w:t>
      </w:r>
      <w:r w:rsidRPr="002B2E80">
        <w:t>acordó las siguientes modificaciones del texto de la «Tabla 1»:</w:t>
      </w:r>
    </w:p>
    <w:p w14:paraId="65BAADEC" w14:textId="77777777" w:rsidR="00AC2EA1" w:rsidRPr="002B2E80" w:rsidRDefault="00AC2EA1" w:rsidP="00AC2EA1">
      <w:pPr>
        <w:pStyle w:val="ListParagraph"/>
      </w:pPr>
    </w:p>
    <w:p w14:paraId="45AF3464" w14:textId="46014FC4" w:rsidR="00AC2EA1" w:rsidRPr="002B2E80" w:rsidRDefault="00AC2EA1" w:rsidP="00AC2EA1">
      <w:pPr>
        <w:pStyle w:val="ListParagraph"/>
        <w:numPr>
          <w:ilvl w:val="0"/>
          <w:numId w:val="19"/>
        </w:numPr>
        <w:jc w:val="both"/>
      </w:pPr>
      <w:r w:rsidRPr="002B2E80">
        <w:t xml:space="preserve">Puntos 1 y 2: actualizar la referencia a la versión actual de las Directrices </w:t>
      </w:r>
      <w:r w:rsidR="003F7447">
        <w:t>de</w:t>
      </w:r>
      <w:r w:rsidRPr="002B2E80">
        <w:t xml:space="preserve"> examen del tomate (TG/44/12).</w:t>
      </w:r>
    </w:p>
    <w:p w14:paraId="6D79AB41" w14:textId="77777777" w:rsidR="00AC2EA1" w:rsidRPr="002B2E80" w:rsidRDefault="00AC2EA1" w:rsidP="00AC2EA1"/>
    <w:p w14:paraId="6FABCF07" w14:textId="77777777" w:rsidR="00AC2EA1" w:rsidRPr="002B2E80" w:rsidRDefault="00AC2EA1" w:rsidP="00AC2EA1">
      <w:pPr>
        <w:pStyle w:val="ListParagraph"/>
        <w:numPr>
          <w:ilvl w:val="0"/>
          <w:numId w:val="19"/>
        </w:numPr>
        <w:jc w:val="both"/>
      </w:pPr>
      <w:r w:rsidRPr="002B2E80">
        <w:t xml:space="preserve">Punto 8: debe decir «[…] En caso de que el resultado de la prueba de marcadores de ADN no confirme la declaración del cuestionario técnico, se debe realizar un ensayo de campo o un bioensayo </w:t>
      </w:r>
      <w:r w:rsidRPr="002B2E80">
        <w:rPr>
          <w:strike/>
          <w:highlight w:val="lightGray"/>
        </w:rPr>
        <w:t xml:space="preserve">para evaluar la exactitud de la declaración del cuestionario </w:t>
      </w:r>
      <w:r w:rsidRPr="002B2E80">
        <w:t>técnico».</w:t>
      </w:r>
    </w:p>
    <w:p w14:paraId="04FE4D90" w14:textId="25928ADB" w:rsidR="00CA5C5B" w:rsidRPr="002B2E80" w:rsidRDefault="008D2D25" w:rsidP="00642CEF">
      <w:pPr>
        <w:pStyle w:val="Heading3"/>
        <w:rPr>
          <w:lang w:val="es-ES_tradnl"/>
        </w:rPr>
      </w:pPr>
      <w:bookmarkStart w:id="8" w:name="_Toc210664624"/>
      <w:r w:rsidRPr="002B2E80">
        <w:rPr>
          <w:lang w:val="es-ES_tradnl"/>
        </w:rPr>
        <w:lastRenderedPageBreak/>
        <w:t>Marcadores moleculares que constituyen secretos comerciales</w:t>
      </w:r>
      <w:bookmarkEnd w:id="8"/>
      <w:r w:rsidRPr="002B2E80">
        <w:rPr>
          <w:lang w:val="es-ES_tradnl"/>
        </w:rPr>
        <w:t xml:space="preserve"> </w:t>
      </w:r>
    </w:p>
    <w:p w14:paraId="27CCEBBD" w14:textId="77777777" w:rsidR="00EB5A96" w:rsidRPr="002B2E80" w:rsidRDefault="00EB5A96" w:rsidP="00642CEF">
      <w:pPr>
        <w:keepNext/>
      </w:pPr>
    </w:p>
    <w:p w14:paraId="27821E40" w14:textId="37E3AA92" w:rsidR="00AC2EA1" w:rsidRPr="002B2E80" w:rsidRDefault="00AC2EA1" w:rsidP="001F298F">
      <w:r w:rsidRPr="002B2E80">
        <w:fldChar w:fldCharType="begin"/>
      </w:r>
      <w:r w:rsidRPr="002B2E80">
        <w:instrText xml:space="preserve"> AUTONUM  </w:instrText>
      </w:r>
      <w:r w:rsidRPr="002B2E80">
        <w:fldChar w:fldCharType="end"/>
      </w:r>
      <w:r w:rsidRPr="002B2E80">
        <w:tab/>
        <w:t xml:space="preserve">El TWO examinó, en el contexto de la elaboración de las directrices de examen de la UPOV, las cuestiones que deben tenerse en cuenta en relación con la utilización de marcadores moleculares que puedan constituir secretos comerciales (véase </w:t>
      </w:r>
      <w:r w:rsidR="00DA1F61" w:rsidRPr="002B2E80">
        <w:t xml:space="preserve">el anexo del presente documento, </w:t>
      </w:r>
      <w:r w:rsidRPr="002B2E80">
        <w:t>párrafo 31).  El TWO señaló que, en tales casos, el marcador no se describiría en las directrices de examen y se requeriría el permiso del propietario del marcador para que los miembros de la UPOV pudieran utilizarlo. El TWO señaló que los marcadores moleculares eran proporcionados con mayor frecuencia por los obtentores y consideró que el acceso de los miembros de la UPOV a los marcadores que pudieran ser secretos</w:t>
      </w:r>
      <w:r w:rsidR="00650BCB" w:rsidRPr="002B2E80">
        <w:t xml:space="preserve"> comerciales </w:t>
      </w:r>
      <w:r w:rsidRPr="002B2E80">
        <w:t>sería importante para la cooperación internacional y el intercambio de informes de exámenes DHE.</w:t>
      </w:r>
    </w:p>
    <w:p w14:paraId="0A4823BF" w14:textId="77777777" w:rsidR="0014382F" w:rsidRPr="002B2E80" w:rsidRDefault="0014382F" w:rsidP="0063724C">
      <w:pPr>
        <w:pStyle w:val="ListParagraph"/>
        <w:ind w:left="0"/>
        <w:jc w:val="both"/>
        <w:rPr>
          <w:rFonts w:eastAsiaTheme="minorEastAsia"/>
          <w:lang w:eastAsia="ja-JP"/>
        </w:rPr>
      </w:pPr>
    </w:p>
    <w:p w14:paraId="2BC6AB3C" w14:textId="62AC0425" w:rsidR="003524FA" w:rsidRPr="002B2E80" w:rsidRDefault="0014382F" w:rsidP="001F298F">
      <w:pPr>
        <w:pStyle w:val="ListParagraph"/>
        <w:ind w:left="0"/>
        <w:jc w:val="both"/>
      </w:pPr>
      <w:r w:rsidRPr="002B2E80">
        <w:fldChar w:fldCharType="begin"/>
      </w:r>
      <w:r w:rsidRPr="002B2E80">
        <w:instrText xml:space="preserve"> AUTONUM  </w:instrText>
      </w:r>
      <w:r w:rsidRPr="002B2E80">
        <w:fldChar w:fldCharType="end"/>
      </w:r>
      <w:r w:rsidRPr="002B2E80">
        <w:tab/>
      </w:r>
      <w:r w:rsidR="00F515A1" w:rsidRPr="002B2E80">
        <w:rPr>
          <w:rFonts w:eastAsiaTheme="minorEastAsia"/>
          <w:lang w:eastAsia="ja-JP"/>
        </w:rPr>
        <w:t xml:space="preserve">El TWA </w:t>
      </w:r>
      <w:r w:rsidR="00C93F66" w:rsidRPr="002B2E80">
        <w:rPr>
          <w:rFonts w:eastAsiaTheme="minorEastAsia"/>
          <w:lang w:eastAsia="ja-JP"/>
        </w:rPr>
        <w:t xml:space="preserve">y el TWF </w:t>
      </w:r>
      <w:r w:rsidR="00F515A1" w:rsidRPr="002B2E80">
        <w:rPr>
          <w:rFonts w:eastAsiaTheme="minorEastAsia"/>
          <w:lang w:eastAsia="ja-JP"/>
        </w:rPr>
        <w:t xml:space="preserve">debatieron sobre el acceso a los métodos utilizados en las directrices de examen en relación con la situación descrita en </w:t>
      </w:r>
      <w:r w:rsidR="00F672A7" w:rsidRPr="002B2E80">
        <w:rPr>
          <w:rFonts w:eastAsiaTheme="minorEastAsia"/>
          <w:lang w:eastAsia="ja-JP"/>
        </w:rPr>
        <w:t xml:space="preserve">el </w:t>
      </w:r>
      <w:r w:rsidR="007D744C" w:rsidRPr="002B2E80">
        <w:rPr>
          <w:rFonts w:eastAsiaTheme="minorEastAsia"/>
          <w:lang w:eastAsia="ja-JP"/>
        </w:rPr>
        <w:t xml:space="preserve">anexo, </w:t>
      </w:r>
      <w:r w:rsidR="00F515A1" w:rsidRPr="002B2E80">
        <w:rPr>
          <w:rFonts w:eastAsiaTheme="minorEastAsia"/>
          <w:lang w:eastAsia="ja-JP"/>
        </w:rPr>
        <w:t>párrafo 31</w:t>
      </w:r>
      <w:r w:rsidR="007D744C" w:rsidRPr="002B2E80">
        <w:rPr>
          <w:rFonts w:eastAsiaTheme="minorEastAsia"/>
          <w:lang w:eastAsia="ja-JP"/>
        </w:rPr>
        <w:t xml:space="preserve">, </w:t>
      </w:r>
      <w:r w:rsidR="00D9352F" w:rsidRPr="002B2E80">
        <w:rPr>
          <w:rFonts w:eastAsiaTheme="minorEastAsia"/>
          <w:lang w:eastAsia="ja-JP"/>
        </w:rPr>
        <w:t xml:space="preserve">del proyecto de directrices </w:t>
      </w:r>
      <w:r w:rsidR="00F515A1" w:rsidRPr="002B2E80">
        <w:rPr>
          <w:rFonts w:eastAsiaTheme="minorEastAsia"/>
          <w:lang w:eastAsia="ja-JP"/>
        </w:rPr>
        <w:t>(“protocolo sobre secretos comerciales”). El TWA convino en que sería necesario seguir examinando la cuestión en caso de que se propusiera la inclusión en las directrices de examen de un marcador molecular de acceso restringido.</w:t>
      </w:r>
    </w:p>
    <w:p w14:paraId="77C49FF1" w14:textId="77777777" w:rsidR="005F0B8B" w:rsidRPr="002B2E80" w:rsidRDefault="005F0B8B" w:rsidP="005F0B8B">
      <w:pPr>
        <w:rPr>
          <w:lang w:eastAsia="ja-JP"/>
        </w:rPr>
      </w:pPr>
    </w:p>
    <w:p w14:paraId="4D38D105" w14:textId="77777777" w:rsidR="005F0B8B" w:rsidRPr="002B2E80" w:rsidRDefault="005F0B8B" w:rsidP="00882559">
      <w:pPr>
        <w:pStyle w:val="Heading3"/>
        <w:rPr>
          <w:lang w:val="es-ES_tradnl" w:eastAsia="ja-JP"/>
        </w:rPr>
      </w:pPr>
      <w:bookmarkStart w:id="9" w:name="_Toc210664625"/>
      <w:r w:rsidRPr="002B2E80">
        <w:rPr>
          <w:lang w:val="es-ES_tradnl"/>
        </w:rPr>
        <w:t>Protocolo estándar para marcadores moleculares específicos de caracteres en las directrices de examen</w:t>
      </w:r>
      <w:bookmarkEnd w:id="9"/>
    </w:p>
    <w:p w14:paraId="17B77905" w14:textId="77777777" w:rsidR="005F0B8B" w:rsidRPr="002B2E80" w:rsidRDefault="005F0B8B" w:rsidP="005F0B8B"/>
    <w:p w14:paraId="74AA843D" w14:textId="6A967650" w:rsidR="005F0B8B" w:rsidRPr="002B2E80" w:rsidRDefault="005F0B8B" w:rsidP="005F0B8B">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t xml:space="preserve">El </w:t>
      </w:r>
      <w:r w:rsidRPr="002B2E80">
        <w:rPr>
          <w:rFonts w:eastAsiaTheme="minorEastAsia" w:hint="eastAsia"/>
          <w:lang w:eastAsia="ja-JP"/>
        </w:rPr>
        <w:t xml:space="preserve">TWA </w:t>
      </w:r>
      <w:r w:rsidRPr="002B2E80">
        <w:rPr>
          <w:rFonts w:eastAsiaTheme="minorEastAsia"/>
          <w:lang w:eastAsia="ja-JP"/>
        </w:rPr>
        <w:t xml:space="preserve">y el TWF acordaron que el protocolo estándar propuesto para la evaluación de caracteres mediante marcadores moleculares proporcionaba una base adecuada para armonizar la forma en que debe proporcionarse la información en las directrices de examen (véase el Anexo, Sección V, </w:t>
      </w:r>
      <w:r w:rsidRPr="002B2E80">
        <w:rPr>
          <w:rFonts w:eastAsia="Times New Roman"/>
        </w:rPr>
        <w:t xml:space="preserve">“Protocolo estándar para marcadores moleculares específicos de </w:t>
      </w:r>
      <w:r w:rsidRPr="002B2E80">
        <w:rPr>
          <w:rFonts w:eastAsiaTheme="minorEastAsia"/>
          <w:lang w:eastAsia="ja-JP"/>
        </w:rPr>
        <w:t>caracteres”).</w:t>
      </w:r>
    </w:p>
    <w:p w14:paraId="4CA006AE" w14:textId="77777777" w:rsidR="005F0B8B" w:rsidRPr="002B2E80" w:rsidRDefault="005F0B8B" w:rsidP="005F0B8B"/>
    <w:p w14:paraId="4790E5F9" w14:textId="63E49965" w:rsidR="00537E91" w:rsidRPr="002B2E80" w:rsidRDefault="00895431" w:rsidP="00882559">
      <w:pPr>
        <w:pStyle w:val="Heading3"/>
        <w:rPr>
          <w:lang w:val="es-ES_tradnl" w:eastAsia="ja-JP"/>
        </w:rPr>
      </w:pPr>
      <w:bookmarkStart w:id="10" w:name="_Toc210664626"/>
      <w:r w:rsidRPr="002B2E80">
        <w:rPr>
          <w:lang w:val="es-ES_tradnl"/>
        </w:rPr>
        <w:t>Características desarrolladas mediante nuevas técnicas de fitomejoramiento</w:t>
      </w:r>
      <w:bookmarkEnd w:id="10"/>
    </w:p>
    <w:p w14:paraId="2BEB87B1" w14:textId="77777777" w:rsidR="007F72C4" w:rsidRPr="002B2E80" w:rsidRDefault="007F72C4" w:rsidP="00B52114">
      <w:pPr>
        <w:pStyle w:val="ListParagraph"/>
        <w:ind w:left="0"/>
        <w:jc w:val="both"/>
        <w:rPr>
          <w:rFonts w:eastAsiaTheme="minorEastAsia"/>
          <w:lang w:eastAsia="ja-JP"/>
        </w:rPr>
      </w:pPr>
    </w:p>
    <w:p w14:paraId="1975DEBF" w14:textId="15CC9374" w:rsidR="00B52114" w:rsidRPr="002B2E80" w:rsidRDefault="00B52114" w:rsidP="00B52114">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t>El TWF debatió el uso de marcadores moleculares para evaluar los caracteres desarrollados mediante nuevas técnicas de fitomejoramiento. El TWF señaló que no se había informado de ninguna experiencia al respecto y acordó recibir en el futuro información actualizada sobre las experiencias relacionadas con este tema.</w:t>
      </w:r>
    </w:p>
    <w:p w14:paraId="264DA7CA" w14:textId="77777777" w:rsidR="00342001" w:rsidRPr="002B2E80" w:rsidRDefault="00342001" w:rsidP="00EF4B00"/>
    <w:p w14:paraId="7C256A0A" w14:textId="77777777" w:rsidR="00221BB8" w:rsidRPr="002B2E80" w:rsidRDefault="00221BB8" w:rsidP="00EF4B00"/>
    <w:p w14:paraId="4B870AFB" w14:textId="677427DD" w:rsidR="00A7229D" w:rsidRPr="002B2E80" w:rsidRDefault="003F7447" w:rsidP="00EF24D5">
      <w:pPr>
        <w:pStyle w:val="Heading2"/>
        <w:rPr>
          <w:lang w:val="es-ES_tradnl" w:eastAsia="ja-JP"/>
        </w:rPr>
      </w:pPr>
      <w:bookmarkStart w:id="11" w:name="_Toc176335742"/>
      <w:bookmarkStart w:id="12" w:name="_Toc210664627"/>
      <w:bookmarkEnd w:id="11"/>
      <w:r>
        <w:rPr>
          <w:lang w:val="es-ES_tradnl" w:eastAsia="ja-JP"/>
        </w:rPr>
        <w:t>Propu</w:t>
      </w:r>
      <w:r w:rsidR="00270BD7" w:rsidRPr="002B2E80">
        <w:rPr>
          <w:rFonts w:hint="eastAsia"/>
          <w:lang w:val="es-ES_tradnl" w:eastAsia="ja-JP"/>
        </w:rPr>
        <w:t>esta</w:t>
      </w:r>
      <w:bookmarkEnd w:id="12"/>
    </w:p>
    <w:p w14:paraId="26BFF67B" w14:textId="77777777" w:rsidR="00270BD7" w:rsidRPr="002B2E80" w:rsidRDefault="00270BD7" w:rsidP="00145CA2">
      <w:pPr>
        <w:keepNext/>
        <w:rPr>
          <w:lang w:eastAsia="ja-JP"/>
        </w:rPr>
      </w:pPr>
    </w:p>
    <w:p w14:paraId="16BD0C70" w14:textId="65A9B430" w:rsidR="00A7229D" w:rsidRPr="002B2E80" w:rsidRDefault="00A7229D" w:rsidP="001F298F">
      <w:pPr>
        <w:rPr>
          <w:lang w:eastAsia="ja-JP"/>
        </w:rPr>
      </w:pPr>
      <w:r w:rsidRPr="002B2E80">
        <w:fldChar w:fldCharType="begin"/>
      </w:r>
      <w:r w:rsidRPr="002B2E80">
        <w:instrText xml:space="preserve"> AUTONUM  </w:instrText>
      </w:r>
      <w:r w:rsidRPr="002B2E80">
        <w:fldChar w:fldCharType="end"/>
      </w:r>
      <w:r w:rsidRPr="002B2E80">
        <w:tab/>
      </w:r>
      <w:r w:rsidR="00884600" w:rsidRPr="002B2E80">
        <w:t xml:space="preserve">Sobre </w:t>
      </w:r>
      <w:r w:rsidRPr="002B2E80">
        <w:t>la</w:t>
      </w:r>
      <w:r w:rsidR="00884600" w:rsidRPr="002B2E80">
        <w:t xml:space="preserve"> base </w:t>
      </w:r>
      <w:r w:rsidRPr="002B2E80">
        <w:t>de las observaciones formuladas por los TWP en sus sesiones de</w:t>
      </w:r>
      <w:r w:rsidR="00DC4D1B" w:rsidRPr="002B2E80">
        <w:rPr>
          <w:rFonts w:hint="eastAsia"/>
          <w:lang w:eastAsia="ja-JP"/>
        </w:rPr>
        <w:t xml:space="preserve"> 2025</w:t>
      </w:r>
      <w:r w:rsidRPr="002B2E80">
        <w:t xml:space="preserve">, el TC podría considerar </w:t>
      </w:r>
      <w:r w:rsidR="009834A3" w:rsidRPr="002B2E80">
        <w:t xml:space="preserve">la </w:t>
      </w:r>
      <w:r w:rsidR="0098754F" w:rsidRPr="002B2E80">
        <w:t xml:space="preserve">orientación propuesta </w:t>
      </w:r>
      <w:r w:rsidR="002709DB" w:rsidRPr="002B2E80">
        <w:t xml:space="preserve">para </w:t>
      </w:r>
      <w:r w:rsidR="00DF0A78" w:rsidRPr="002B2E80">
        <w:t xml:space="preserve">la validación de marcadores moleculares con vistas a </w:t>
      </w:r>
      <w:r w:rsidR="00132FC5" w:rsidRPr="002B2E80">
        <w:t xml:space="preserve">su inclusión en las directrices de examen como métodos de examen alternativos.  </w:t>
      </w:r>
      <w:r w:rsidR="004E1F5A" w:rsidRPr="002B2E80">
        <w:t xml:space="preserve">El TC podría </w:t>
      </w:r>
      <w:r w:rsidR="00EE6B94" w:rsidRPr="002B2E80">
        <w:t xml:space="preserve">considerar la </w:t>
      </w:r>
      <w:r w:rsidR="00101639" w:rsidRPr="002B2E80">
        <w:t xml:space="preserve">inclusión de la orientación propuesta en </w:t>
      </w:r>
      <w:r w:rsidR="006E4B3B" w:rsidRPr="002B2E80">
        <w:t xml:space="preserve">la serie </w:t>
      </w:r>
      <w:r w:rsidR="004777B2" w:rsidRPr="002B2E80">
        <w:t xml:space="preserve">de documentos </w:t>
      </w:r>
      <w:r w:rsidR="00E91CCF" w:rsidRPr="002B2E80">
        <w:t xml:space="preserve">de la UPOV </w:t>
      </w:r>
      <w:r w:rsidR="00291EBF" w:rsidRPr="002B2E80">
        <w:t xml:space="preserve">en los que se especifican </w:t>
      </w:r>
      <w:r w:rsidR="004777B2" w:rsidRPr="002B2E80">
        <w:t xml:space="preserve">los procedimientos de las directrices de examen </w:t>
      </w:r>
      <w:r w:rsidR="00A47C5C" w:rsidRPr="002B2E80">
        <w:t>(</w:t>
      </w:r>
      <w:r w:rsidR="009D7047" w:rsidRPr="002B2E80">
        <w:t>“documentos TGP</w:t>
      </w:r>
      <w:r w:rsidR="00485129" w:rsidRPr="002B2E80">
        <w:t>”).</w:t>
      </w:r>
    </w:p>
    <w:p w14:paraId="3C0B092B" w14:textId="77777777" w:rsidR="00A7229D" w:rsidRPr="002B2E80" w:rsidRDefault="00A7229D" w:rsidP="00A7229D"/>
    <w:p w14:paraId="0E6B9017" w14:textId="7090EE3A" w:rsidR="00ED2FBB" w:rsidRPr="002B2E80" w:rsidRDefault="00A7229D" w:rsidP="00ED2FBB">
      <w:pPr>
        <w:pStyle w:val="DecisionParagraphs"/>
      </w:pPr>
      <w:r w:rsidRPr="002B2E80">
        <w:rPr>
          <w:rFonts w:eastAsia="MS Mincho"/>
        </w:rPr>
        <w:fldChar w:fldCharType="begin"/>
      </w:r>
      <w:r w:rsidRPr="002B2E80">
        <w:rPr>
          <w:rFonts w:eastAsia="MS Mincho"/>
        </w:rPr>
        <w:instrText xml:space="preserve"> AUTONUM  </w:instrText>
      </w:r>
      <w:r w:rsidRPr="002B2E80">
        <w:rPr>
          <w:rFonts w:eastAsia="MS Mincho"/>
        </w:rPr>
        <w:fldChar w:fldCharType="end"/>
      </w:r>
      <w:r w:rsidRPr="002B2E80">
        <w:rPr>
          <w:rFonts w:eastAsia="MS Mincho"/>
        </w:rPr>
        <w:tab/>
      </w:r>
      <w:r w:rsidRPr="002B2E80">
        <w:t xml:space="preserve">Se invita al TC a examinar </w:t>
      </w:r>
      <w:r w:rsidR="00895393" w:rsidRPr="002B2E80">
        <w:t xml:space="preserve">la </w:t>
      </w:r>
      <w:r w:rsidR="000B17C9" w:rsidRPr="002B2E80">
        <w:t xml:space="preserve">orientación propuesta </w:t>
      </w:r>
      <w:r w:rsidR="009F3FA7" w:rsidRPr="002B2E80">
        <w:t>para la validación de marcadores moleculares en las directrices de examen</w:t>
      </w:r>
      <w:r w:rsidR="003445B5" w:rsidRPr="002B2E80">
        <w:t xml:space="preserve">, </w:t>
      </w:r>
      <w:r w:rsidR="00DB26D0" w:rsidRPr="002B2E80">
        <w:t xml:space="preserve">tal como se establece en </w:t>
      </w:r>
      <w:r w:rsidR="00221BB8" w:rsidRPr="002B2E80">
        <w:t xml:space="preserve">el </w:t>
      </w:r>
      <w:r w:rsidR="00DB26D0" w:rsidRPr="002B2E80">
        <w:t>anexo del presente documento</w:t>
      </w:r>
      <w:r w:rsidR="00ED2FBB" w:rsidRPr="002B2E80">
        <w:t xml:space="preserve">. </w:t>
      </w:r>
    </w:p>
    <w:p w14:paraId="5A101B3D" w14:textId="77777777" w:rsidR="00550FF9" w:rsidRPr="002B2E80" w:rsidRDefault="00550FF9" w:rsidP="00EF4B00"/>
    <w:p w14:paraId="535B9F03" w14:textId="77777777" w:rsidR="001F298F" w:rsidRPr="002B2E80" w:rsidRDefault="001F298F" w:rsidP="00EF4B00"/>
    <w:p w14:paraId="557C9F6A" w14:textId="77777777" w:rsidR="00221BB8" w:rsidRPr="002B2E80" w:rsidRDefault="00221BB8" w:rsidP="00EF4B00"/>
    <w:p w14:paraId="048EE061" w14:textId="2ABEE590" w:rsidR="00EF4B00" w:rsidRPr="002B2E80" w:rsidRDefault="00EF4B00" w:rsidP="00311464">
      <w:pPr>
        <w:pStyle w:val="Heading1"/>
        <w:rPr>
          <w:lang w:val="es-ES_tradnl"/>
        </w:rPr>
      </w:pPr>
      <w:bookmarkStart w:id="13" w:name="_Toc177773941"/>
      <w:bookmarkStart w:id="14" w:name="_Toc210664628"/>
      <w:r w:rsidRPr="002B2E80">
        <w:rPr>
          <w:lang w:val="es-ES_tradnl"/>
        </w:rPr>
        <w:t xml:space="preserve">Confidencialidad </w:t>
      </w:r>
      <w:r w:rsidR="00825360" w:rsidRPr="002B2E80">
        <w:rPr>
          <w:lang w:val="es-ES_tradnl"/>
        </w:rPr>
        <w:t xml:space="preserve">y </w:t>
      </w:r>
      <w:r w:rsidRPr="002B2E80">
        <w:rPr>
          <w:lang w:val="es-ES_tradnl"/>
        </w:rPr>
        <w:t>propiedad de la información molecular</w:t>
      </w:r>
      <w:bookmarkEnd w:id="1"/>
      <w:bookmarkEnd w:id="2"/>
      <w:bookmarkEnd w:id="13"/>
      <w:bookmarkEnd w:id="14"/>
    </w:p>
    <w:p w14:paraId="784293B8" w14:textId="77777777" w:rsidR="00EF4B00" w:rsidRPr="002B2E80" w:rsidRDefault="00EF4B00" w:rsidP="00975B88">
      <w:pPr>
        <w:keepNext/>
      </w:pPr>
    </w:p>
    <w:p w14:paraId="2D29F9AC" w14:textId="77777777" w:rsidR="00EF4B00" w:rsidRPr="002B2E80" w:rsidRDefault="00EF4B00" w:rsidP="00EF24D5">
      <w:pPr>
        <w:pStyle w:val="Heading2"/>
        <w:rPr>
          <w:lang w:val="es-ES_tradnl"/>
        </w:rPr>
      </w:pPr>
      <w:bookmarkStart w:id="15" w:name="_Toc177773942"/>
      <w:bookmarkStart w:id="16" w:name="_Toc210664629"/>
      <w:r w:rsidRPr="002B2E80">
        <w:rPr>
          <w:lang w:val="es-ES_tradnl"/>
        </w:rPr>
        <w:t>Antecedentes</w:t>
      </w:r>
      <w:bookmarkEnd w:id="15"/>
      <w:bookmarkEnd w:id="16"/>
    </w:p>
    <w:p w14:paraId="639A3579" w14:textId="77777777" w:rsidR="004730C8" w:rsidRPr="002B2E80" w:rsidRDefault="004730C8" w:rsidP="004730C8"/>
    <w:p w14:paraId="40004238" w14:textId="03121ED9" w:rsidR="00EF4B00" w:rsidRPr="002B2E80" w:rsidRDefault="00F6462C" w:rsidP="00FA1C4F">
      <w:r w:rsidRPr="002B2E80">
        <w:fldChar w:fldCharType="begin"/>
      </w:r>
      <w:r w:rsidRPr="002B2E80">
        <w:instrText xml:space="preserve"> AUTONUM  </w:instrText>
      </w:r>
      <w:r w:rsidRPr="002B2E80">
        <w:fldChar w:fldCharType="end"/>
      </w:r>
      <w:r w:rsidRPr="002B2E80">
        <w:tab/>
      </w:r>
      <w:r w:rsidR="00B17ED9" w:rsidRPr="002B2E80">
        <w:t xml:space="preserve">Desde 2019, </w:t>
      </w:r>
      <w:r w:rsidR="00E046C3" w:rsidRPr="002B2E80">
        <w:t xml:space="preserve">los debates sobre la cooperación </w:t>
      </w:r>
      <w:r w:rsidR="00005CE9" w:rsidRPr="002B2E80">
        <w:t xml:space="preserve">en relación con el uso de técnicas moleculares </w:t>
      </w:r>
      <w:r w:rsidR="00DB2D3C" w:rsidRPr="002B2E80">
        <w:t xml:space="preserve">incluyen la </w:t>
      </w:r>
      <w:r w:rsidR="004A0FFD" w:rsidRPr="002B2E80">
        <w:t xml:space="preserve">solicitud de abordar </w:t>
      </w:r>
      <w:r w:rsidR="00DB2D3C" w:rsidRPr="002B2E80">
        <w:t xml:space="preserve">las directrices sobre </w:t>
      </w:r>
      <w:r w:rsidR="0097706E" w:rsidRPr="002B2E80">
        <w:t xml:space="preserve">la propiedad y la confidencialidad de la información molecular (véase </w:t>
      </w:r>
      <w:r w:rsidR="00081B61" w:rsidRPr="002B2E80">
        <w:t xml:space="preserve">el documento </w:t>
      </w:r>
      <w:hyperlink r:id="rId13" w:history="1">
        <w:r w:rsidR="00081B61" w:rsidRPr="002B2E80">
          <w:rPr>
            <w:rStyle w:val="Hyperlink"/>
          </w:rPr>
          <w:t>TC/55/7</w:t>
        </w:r>
      </w:hyperlink>
      <w:r w:rsidR="00081B61" w:rsidRPr="002B2E80">
        <w:t xml:space="preserve"> «Técnicas moleculares»)</w:t>
      </w:r>
      <w:r w:rsidR="00892001" w:rsidRPr="002B2E80">
        <w:t xml:space="preserve">.  </w:t>
      </w:r>
      <w:r w:rsidR="00B01CD5" w:rsidRPr="002B2E80">
        <w:t xml:space="preserve">En </w:t>
      </w:r>
      <w:r w:rsidR="002A29A3" w:rsidRPr="002B2E80">
        <w:t>su quincuagésima octava sesión</w:t>
      </w:r>
      <w:r w:rsidR="002A29A3" w:rsidRPr="002B2E80">
        <w:rPr>
          <w:vertAlign w:val="superscript"/>
        </w:rPr>
        <w:footnoteReference w:id="8"/>
      </w:r>
      <w:r w:rsidR="003F7447">
        <w:t>,</w:t>
      </w:r>
      <w:r w:rsidR="002A29A3" w:rsidRPr="002B2E80">
        <w:t xml:space="preserve"> </w:t>
      </w:r>
      <w:r w:rsidR="000C22CC" w:rsidRPr="002B2E80">
        <w:t>el TC tomó nota de las preocupaciones expresadas por las organizaciones de obtentores de que la información molecular utilizada durante el examen de una variedad no debería ser compartida por la autoridad que recibió la solicitud sin el permiso del obtentor.</w:t>
      </w:r>
      <w:r w:rsidR="00090551" w:rsidRPr="002B2E80">
        <w:t xml:space="preserve"> </w:t>
      </w:r>
      <w:r w:rsidR="002D2C7C" w:rsidRPr="002B2E80">
        <w:t xml:space="preserve"> El TC invitó a los miembros y </w:t>
      </w:r>
      <w:r w:rsidR="00EF4B00" w:rsidRPr="002B2E80">
        <w:t xml:space="preserve">observadores a informar </w:t>
      </w:r>
      <w:r w:rsidR="00986E0C" w:rsidRPr="002B2E80">
        <w:t xml:space="preserve">sobre </w:t>
      </w:r>
      <w:r w:rsidR="00EF4B00" w:rsidRPr="002B2E80">
        <w:t>las políticas existentes en materia de confidencialidad de la información molecular en los TWP, en sus sesiones de 2023</w:t>
      </w:r>
      <w:r w:rsidR="00CE1599" w:rsidRPr="002B2E80">
        <w:rPr>
          <w:vertAlign w:val="superscript"/>
        </w:rPr>
        <w:t>7</w:t>
      </w:r>
      <w:r w:rsidR="00AC01D6">
        <w:t xml:space="preserve">, </w:t>
      </w:r>
      <w:r w:rsidR="002D2C7C" w:rsidRPr="002B2E80">
        <w:t>2024</w:t>
      </w:r>
      <w:r w:rsidR="00CE1599" w:rsidRPr="002B2E80">
        <w:rPr>
          <w:vertAlign w:val="superscript"/>
        </w:rPr>
        <w:footnoteReference w:id="9"/>
      </w:r>
      <w:r w:rsidR="002D2C7C" w:rsidRPr="002B2E80">
        <w:t xml:space="preserve"> y 2025</w:t>
      </w:r>
      <w:r w:rsidR="002D2C7C" w:rsidRPr="002B2E80">
        <w:rPr>
          <w:vertAlign w:val="superscript"/>
        </w:rPr>
        <w:footnoteReference w:id="10"/>
      </w:r>
      <w:r w:rsidR="002D2C7C" w:rsidRPr="002B2E80">
        <w:t xml:space="preserve">. </w:t>
      </w:r>
    </w:p>
    <w:p w14:paraId="3099E96D" w14:textId="77777777" w:rsidR="005963F0" w:rsidRPr="002B2E80" w:rsidRDefault="005963F0" w:rsidP="005963F0">
      <w:pPr>
        <w:pStyle w:val="ListParagraph"/>
        <w:ind w:left="0"/>
        <w:jc w:val="both"/>
        <w:rPr>
          <w:rFonts w:eastAsiaTheme="minorEastAsia"/>
          <w:lang w:eastAsia="ja-JP"/>
        </w:rPr>
      </w:pPr>
    </w:p>
    <w:p w14:paraId="33033FFA" w14:textId="77777777" w:rsidR="00DD1446" w:rsidRPr="002B2E80" w:rsidRDefault="00DD1446" w:rsidP="001F298F">
      <w:pPr>
        <w:pStyle w:val="Heading3"/>
        <w:rPr>
          <w:lang w:val="es-ES_tradnl"/>
        </w:rPr>
      </w:pPr>
      <w:bookmarkStart w:id="17" w:name="_Toc210664630"/>
      <w:r w:rsidRPr="002B2E80">
        <w:rPr>
          <w:lang w:val="es-ES_tradnl"/>
        </w:rPr>
        <w:lastRenderedPageBreak/>
        <w:t>Orientaciones existentes</w:t>
      </w:r>
      <w:bookmarkEnd w:id="17"/>
    </w:p>
    <w:p w14:paraId="1EBA237A" w14:textId="77777777" w:rsidR="00DD1446" w:rsidRPr="002B2E80" w:rsidRDefault="00DD1446" w:rsidP="001F298F">
      <w:pPr>
        <w:keepNext/>
      </w:pPr>
    </w:p>
    <w:p w14:paraId="65EFC800" w14:textId="77777777" w:rsidR="00DD1446" w:rsidRPr="002B2E80" w:rsidRDefault="00DD1446" w:rsidP="001F298F">
      <w:pPr>
        <w:keepNext/>
      </w:pPr>
      <w:r w:rsidRPr="002B2E80">
        <w:fldChar w:fldCharType="begin"/>
      </w:r>
      <w:r w:rsidRPr="002B2E80">
        <w:instrText xml:space="preserve"> AUTONUM  </w:instrText>
      </w:r>
      <w:r w:rsidRPr="002B2E80">
        <w:fldChar w:fldCharType="end"/>
      </w:r>
      <w:r w:rsidRPr="002B2E80">
        <w:tab/>
        <w:t>Actualmente, la UPOV ofrece las siguientes orientaciones sobre la confidencialidad de la información molecular:</w:t>
      </w:r>
    </w:p>
    <w:p w14:paraId="3AD8892F" w14:textId="77777777" w:rsidR="00DD1446" w:rsidRPr="002B2E80" w:rsidRDefault="00DD1446" w:rsidP="001F298F">
      <w:pPr>
        <w:pStyle w:val="ListParagraph"/>
        <w:keepNext/>
        <w:ind w:left="0"/>
        <w:jc w:val="both"/>
        <w:rPr>
          <w:rFonts w:eastAsiaTheme="minorEastAsia"/>
          <w:lang w:eastAsia="ja-JP"/>
        </w:rPr>
      </w:pPr>
    </w:p>
    <w:p w14:paraId="20139A1B" w14:textId="77777777" w:rsidR="00DD1446" w:rsidRPr="002B2E80" w:rsidRDefault="00DD1446" w:rsidP="00BF7C58">
      <w:pPr>
        <w:pStyle w:val="ListParagraph"/>
        <w:keepNext/>
        <w:ind w:left="0" w:firstLine="567"/>
        <w:jc w:val="both"/>
        <w:rPr>
          <w:rFonts w:eastAsiaTheme="minorEastAsia"/>
          <w:lang w:eastAsia="ja-JP"/>
        </w:rPr>
      </w:pPr>
      <w:r w:rsidRPr="002B2E80">
        <w:rPr>
          <w:rFonts w:eastAsiaTheme="minorEastAsia"/>
          <w:lang w:eastAsia="ja-JP"/>
        </w:rPr>
        <w:t>(a)</w:t>
      </w:r>
      <w:r w:rsidRPr="002B2E80">
        <w:rPr>
          <w:rFonts w:eastAsiaTheme="minorEastAsia"/>
          <w:lang w:eastAsia="ja-JP"/>
        </w:rPr>
        <w:tab/>
        <w:t xml:space="preserve">Documento </w:t>
      </w:r>
      <w:hyperlink r:id="rId14" w:history="1">
        <w:r w:rsidRPr="002B2E80">
          <w:rPr>
            <w:rStyle w:val="Hyperlink"/>
            <w:rFonts w:eastAsiaTheme="minorEastAsia"/>
            <w:lang w:eastAsia="ja-JP"/>
          </w:rPr>
          <w:t>UPOV/INF/15/4</w:t>
        </w:r>
      </w:hyperlink>
      <w:r w:rsidRPr="002B2E80">
        <w:rPr>
          <w:rFonts w:eastAsiaTheme="minorEastAsia"/>
          <w:lang w:eastAsia="ja-JP"/>
        </w:rPr>
        <w:t xml:space="preserve"> «Orientaciones para los miembros de la UPOV», párrafo 38:</w:t>
      </w:r>
    </w:p>
    <w:p w14:paraId="2B0BC2F8" w14:textId="77777777" w:rsidR="00DD1446" w:rsidRPr="002B2E80" w:rsidRDefault="00DD1446" w:rsidP="00BF7C58">
      <w:pPr>
        <w:pStyle w:val="ListParagraph"/>
        <w:keepNext/>
        <w:ind w:left="0"/>
        <w:jc w:val="both"/>
        <w:rPr>
          <w:rFonts w:eastAsiaTheme="minorEastAsia"/>
          <w:lang w:eastAsia="ja-JP"/>
        </w:rPr>
      </w:pPr>
    </w:p>
    <w:p w14:paraId="7D4370AB" w14:textId="1F74FC96" w:rsidR="00DD1446" w:rsidRPr="002B2E80" w:rsidRDefault="00DD1446" w:rsidP="00DD1446">
      <w:pPr>
        <w:pStyle w:val="ListParagraph"/>
        <w:ind w:left="1134"/>
        <w:jc w:val="both"/>
        <w:rPr>
          <w:rFonts w:eastAsiaTheme="minorEastAsia"/>
          <w:lang w:eastAsia="ja-JP"/>
        </w:rPr>
      </w:pPr>
      <w:r w:rsidRPr="002B2E80">
        <w:rPr>
          <w:rFonts w:eastAsiaTheme="minorEastAsia"/>
          <w:lang w:eastAsia="ja-JP"/>
        </w:rPr>
        <w:t>«38.</w:t>
      </w:r>
      <w:r w:rsidR="001F298F" w:rsidRPr="002B2E80">
        <w:rPr>
          <w:rFonts w:eastAsiaTheme="minorEastAsia"/>
          <w:lang w:eastAsia="ja-JP"/>
        </w:rPr>
        <w:tab/>
      </w:r>
      <w:r w:rsidRPr="002B2E80">
        <w:rPr>
          <w:rFonts w:eastAsiaTheme="minorEastAsia"/>
          <w:lang w:eastAsia="ja-JP"/>
        </w:rPr>
        <w:t>Como se indica en el artículo 12, a efectos del examen, la autoridad podrá exigir al obtentor que facilite toda la información, los documentos o el material necesarios. A este respecto, las autoridades deberán considerar la adopción de medidas adecuadas en materia de confidencialidad, por ejemplo en relación con la información sobre el pedigrí».</w:t>
      </w:r>
    </w:p>
    <w:p w14:paraId="1F464264" w14:textId="77777777" w:rsidR="00DD1446" w:rsidRPr="002B2E80" w:rsidRDefault="00DD1446" w:rsidP="00DD1446">
      <w:pPr>
        <w:pStyle w:val="ListParagraph"/>
        <w:ind w:left="0"/>
        <w:jc w:val="both"/>
        <w:rPr>
          <w:rFonts w:eastAsiaTheme="minorEastAsia"/>
          <w:lang w:eastAsia="ja-JP"/>
        </w:rPr>
      </w:pPr>
    </w:p>
    <w:p w14:paraId="656DA9F4" w14:textId="77777777" w:rsidR="00DD1446" w:rsidRPr="002B2E80" w:rsidRDefault="00DD1446" w:rsidP="00DD1446">
      <w:pPr>
        <w:pStyle w:val="ListParagraph"/>
        <w:tabs>
          <w:tab w:val="left" w:pos="1134"/>
        </w:tabs>
        <w:ind w:left="1134" w:hanging="567"/>
        <w:jc w:val="both"/>
        <w:rPr>
          <w:rFonts w:eastAsiaTheme="minorEastAsia"/>
          <w:lang w:eastAsia="ja-JP"/>
        </w:rPr>
      </w:pPr>
      <w:r w:rsidRPr="002B2E80">
        <w:rPr>
          <w:rFonts w:eastAsiaTheme="minorEastAsia"/>
          <w:lang w:eastAsia="ja-JP"/>
        </w:rPr>
        <w:t>b)</w:t>
      </w:r>
      <w:r w:rsidRPr="002B2E80">
        <w:rPr>
          <w:rFonts w:eastAsiaTheme="minorEastAsia"/>
          <w:lang w:eastAsia="ja-JP"/>
        </w:rPr>
        <w:tab/>
        <w:t xml:space="preserve">Documento </w:t>
      </w:r>
      <w:hyperlink r:id="rId15" w:history="1">
        <w:r w:rsidRPr="002B2E80">
          <w:rPr>
            <w:rStyle w:val="Hyperlink"/>
            <w:rFonts w:eastAsiaTheme="minorEastAsia"/>
            <w:lang w:eastAsia="ja-JP"/>
          </w:rPr>
          <w:t>TGP/5, Sección 1/3</w:t>
        </w:r>
      </w:hyperlink>
      <w:r w:rsidRPr="002B2E80">
        <w:rPr>
          <w:rFonts w:eastAsiaTheme="minorEastAsia"/>
          <w:lang w:eastAsia="ja-JP"/>
        </w:rPr>
        <w:t xml:space="preserve"> «Modelo de acuerdo administrativo para la cooperación internacional en el examen de variedades», artículo 4:</w:t>
      </w:r>
    </w:p>
    <w:p w14:paraId="3B1DD540" w14:textId="77777777" w:rsidR="00DD1446" w:rsidRPr="002B2E80" w:rsidRDefault="00DD1446" w:rsidP="00DD1446">
      <w:pPr>
        <w:pStyle w:val="ListParagraph"/>
        <w:ind w:left="0"/>
        <w:jc w:val="both"/>
        <w:rPr>
          <w:rFonts w:eastAsiaTheme="minorEastAsia"/>
          <w:lang w:eastAsia="ja-JP"/>
        </w:rPr>
      </w:pPr>
    </w:p>
    <w:p w14:paraId="028AC967" w14:textId="77777777" w:rsidR="00DD1446" w:rsidRPr="002B2E80" w:rsidRDefault="00DD1446" w:rsidP="00DD1446">
      <w:pPr>
        <w:pStyle w:val="ListParagraph"/>
        <w:ind w:left="1134"/>
        <w:jc w:val="both"/>
        <w:rPr>
          <w:rFonts w:eastAsiaTheme="minorEastAsia"/>
          <w:lang w:eastAsia="ja-JP"/>
        </w:rPr>
      </w:pPr>
      <w:r w:rsidRPr="002B2E80">
        <w:rPr>
          <w:rFonts w:eastAsiaTheme="minorEastAsia"/>
          <w:lang w:eastAsia="ja-JP"/>
        </w:rPr>
        <w:t xml:space="preserve">«1) Las autoridades adoptarán todas las medidas necesarias para salvaguardar los derechos del solicitante». </w:t>
      </w:r>
    </w:p>
    <w:p w14:paraId="215D1D08" w14:textId="77777777" w:rsidR="00DD1446" w:rsidRPr="002B2E80" w:rsidRDefault="00DD1446" w:rsidP="00DD1446">
      <w:pPr>
        <w:pStyle w:val="ListParagraph"/>
        <w:ind w:left="1134"/>
        <w:jc w:val="both"/>
        <w:rPr>
          <w:rFonts w:eastAsiaTheme="minorEastAsia"/>
          <w:lang w:eastAsia="ja-JP"/>
        </w:rPr>
      </w:pPr>
    </w:p>
    <w:p w14:paraId="0C2F809F" w14:textId="77777777" w:rsidR="00DD1446" w:rsidRPr="002B2E80" w:rsidRDefault="00DD1446" w:rsidP="00DD1446">
      <w:pPr>
        <w:pStyle w:val="ListParagraph"/>
        <w:ind w:left="1134"/>
        <w:jc w:val="both"/>
        <w:rPr>
          <w:rFonts w:eastAsiaTheme="minorEastAsia"/>
          <w:lang w:eastAsia="ja-JP"/>
        </w:rPr>
      </w:pPr>
      <w:r w:rsidRPr="002B2E80">
        <w:rPr>
          <w:rFonts w:eastAsiaTheme="minorEastAsia"/>
          <w:lang w:eastAsia="ja-JP"/>
        </w:rPr>
        <w:t>«2) Salvo autorización específica de la autoridad receptora y del solicitante, la autoridad ejecutora se abstendrá de transmitir a terceros cualquier material, incluido el ADN, o información molecular de las variedades para las que se haya solicitado el examen».</w:t>
      </w:r>
    </w:p>
    <w:p w14:paraId="15660D89" w14:textId="77777777" w:rsidR="00DD1446" w:rsidRPr="002B2E80" w:rsidRDefault="00DD1446" w:rsidP="00DD1446">
      <w:pPr>
        <w:pStyle w:val="ListParagraph"/>
        <w:ind w:left="0"/>
        <w:jc w:val="both"/>
        <w:rPr>
          <w:rFonts w:eastAsiaTheme="minorEastAsia"/>
          <w:lang w:eastAsia="ja-JP"/>
        </w:rPr>
      </w:pPr>
    </w:p>
    <w:p w14:paraId="6A2A8338" w14:textId="77777777" w:rsidR="007C0689" w:rsidRPr="002B2E80" w:rsidRDefault="007C0689" w:rsidP="00EF4B00">
      <w:pPr>
        <w:rPr>
          <w:lang w:eastAsia="ja-JP"/>
        </w:rPr>
      </w:pPr>
    </w:p>
    <w:p w14:paraId="0D861CBE" w14:textId="3ED742B0" w:rsidR="00EF4B00" w:rsidRPr="002B2E80" w:rsidRDefault="00112AD5" w:rsidP="00642CEF">
      <w:pPr>
        <w:pStyle w:val="Heading2"/>
        <w:rPr>
          <w:lang w:val="es-ES_tradnl" w:eastAsia="ja-JP"/>
        </w:rPr>
      </w:pPr>
      <w:bookmarkStart w:id="18" w:name="_Toc177773944"/>
      <w:bookmarkStart w:id="19" w:name="_Toc210664631"/>
      <w:r>
        <w:rPr>
          <w:lang w:val="es-ES_tradnl" w:eastAsia="ja-JP"/>
        </w:rPr>
        <w:t>Novedades</w:t>
      </w:r>
      <w:r w:rsidR="00EF4B00" w:rsidRPr="002B2E80">
        <w:rPr>
          <w:lang w:val="es-ES_tradnl" w:eastAsia="ja-JP"/>
        </w:rPr>
        <w:t xml:space="preserve"> en las reuniones de los Grupos de Trabajo Técnicos celebradas en 202</w:t>
      </w:r>
      <w:bookmarkEnd w:id="18"/>
      <w:r w:rsidR="00F9705D" w:rsidRPr="002B2E80">
        <w:rPr>
          <w:rFonts w:hint="eastAsia"/>
          <w:lang w:val="es-ES_tradnl" w:eastAsia="ja-JP"/>
        </w:rPr>
        <w:t>5</w:t>
      </w:r>
      <w:bookmarkEnd w:id="19"/>
    </w:p>
    <w:p w14:paraId="6D096396" w14:textId="77777777" w:rsidR="00EF4B00" w:rsidRPr="002B2E80" w:rsidRDefault="00EF4B00" w:rsidP="00642CEF">
      <w:pPr>
        <w:keepNext/>
        <w:jc w:val="left"/>
      </w:pPr>
    </w:p>
    <w:p w14:paraId="187CEC14" w14:textId="102D9C62" w:rsidR="006D0B09" w:rsidRPr="002B2E80" w:rsidRDefault="00C161BF" w:rsidP="00642CEF">
      <w:pPr>
        <w:keepNext/>
      </w:pPr>
      <w:r w:rsidRPr="002B2E80">
        <w:fldChar w:fldCharType="begin"/>
      </w:r>
      <w:r w:rsidRPr="002B2E80">
        <w:instrText xml:space="preserve"> AUTONUM  </w:instrText>
      </w:r>
      <w:r w:rsidRPr="002B2E80">
        <w:fldChar w:fldCharType="end"/>
      </w:r>
      <w:r w:rsidRPr="002B2E80">
        <w:tab/>
        <w:t xml:space="preserve">El </w:t>
      </w:r>
      <w:r w:rsidRPr="002B2E80">
        <w:rPr>
          <w:rFonts w:hint="eastAsia"/>
          <w:lang w:eastAsia="ja-JP"/>
        </w:rPr>
        <w:t>TWO</w:t>
      </w:r>
      <w:r w:rsidRPr="002B2E80">
        <w:rPr>
          <w:rStyle w:val="FootnoteReference"/>
          <w:lang w:eastAsia="ja-JP"/>
        </w:rPr>
        <w:footnoteReference w:id="11"/>
      </w:r>
      <w:r w:rsidR="003F7447">
        <w:t>,</w:t>
      </w:r>
      <w:r w:rsidRPr="002B2E80">
        <w:t xml:space="preserve"> en su</w:t>
      </w:r>
      <w:r w:rsidRPr="002B2E80">
        <w:rPr>
          <w:rFonts w:hint="eastAsia"/>
          <w:lang w:eastAsia="ja-JP"/>
        </w:rPr>
        <w:t xml:space="preserve"> </w:t>
      </w:r>
      <w:r w:rsidR="005E19F3" w:rsidRPr="00B53870">
        <w:t xml:space="preserve">quincuagésima </w:t>
      </w:r>
      <w:r w:rsidR="005E19F3">
        <w:t>séptima</w:t>
      </w:r>
      <w:r w:rsidRPr="002B2E80">
        <w:rPr>
          <w:rFonts w:hint="eastAsia"/>
          <w:lang w:eastAsia="ja-JP"/>
        </w:rPr>
        <w:t xml:space="preserve"> </w:t>
      </w:r>
      <w:r w:rsidRPr="002B2E80">
        <w:t xml:space="preserve">sesión, </w:t>
      </w:r>
      <w:r w:rsidR="00392435" w:rsidRPr="002B2E80">
        <w:t xml:space="preserve">convino en la importancia de utilizar la información basada en el ADN para la cooperación internacional en el examen de variedades.  El TWO examinó la forma en que los miembros de la UPOV </w:t>
      </w:r>
      <w:r w:rsidR="77C10F92" w:rsidRPr="002B2E80">
        <w:t xml:space="preserve">podrían </w:t>
      </w:r>
      <w:r w:rsidR="00392435" w:rsidRPr="002B2E80">
        <w:t>compartir la información basada en el ADN y tomó nota de la oferta de las organizaciones de obtentores de desarrollar conjuntamente marcadores moleculares que no revelaran las estrategias de obtención de los obtentores individuales.</w:t>
      </w:r>
    </w:p>
    <w:p w14:paraId="53766F18" w14:textId="77777777" w:rsidR="00395C92" w:rsidRPr="002B2E80" w:rsidRDefault="00395C92" w:rsidP="00392435"/>
    <w:p w14:paraId="72301553" w14:textId="714E0DAC" w:rsidR="005B6C70" w:rsidRPr="002B2E80" w:rsidRDefault="00395C92" w:rsidP="00392435">
      <w:r w:rsidRPr="002B2E80">
        <w:fldChar w:fldCharType="begin"/>
      </w:r>
      <w:r w:rsidRPr="002B2E80">
        <w:instrText xml:space="preserve"> AUTONUM  </w:instrText>
      </w:r>
      <w:r w:rsidRPr="002B2E80">
        <w:fldChar w:fldCharType="end"/>
      </w:r>
      <w:r w:rsidRPr="002B2E80">
        <w:tab/>
      </w:r>
      <w:r w:rsidR="00392435" w:rsidRPr="002B2E80">
        <w:t xml:space="preserve">El TWO tomó nota de las orientaciones existentes sobre la confidencialidad de la información molecular en los documentos de la UPOV UPOV/INF/15 «Orientaciones para los miembros de la UPOV» y TGP/5, sección 1 «Modelo de acuerdo administrativo para la cooperación internacional en el examen de variedades».  El TWO tomó nota de la propuesta de las organizaciones de obtentores de considerar el </w:t>
      </w:r>
      <w:r w:rsidR="3DAF4DD3" w:rsidRPr="002B2E80">
        <w:t xml:space="preserve">documento </w:t>
      </w:r>
      <w:r w:rsidR="4F0F013D" w:rsidRPr="002B2E80">
        <w:t xml:space="preserve">«Política sobre la situación del material vegetal presentado para el examen </w:t>
      </w:r>
      <w:r w:rsidR="1B45E346" w:rsidRPr="002B2E80">
        <w:t xml:space="preserve">DHE» </w:t>
      </w:r>
      <w:r w:rsidR="00392435" w:rsidRPr="002B2E80">
        <w:t>elaborado por la Unión Europea como ejemplo para el futuro desarrollo de un modelo común.</w:t>
      </w:r>
    </w:p>
    <w:p w14:paraId="4D3D54AE" w14:textId="77777777" w:rsidR="00B66ECE" w:rsidRPr="002B2E80" w:rsidRDefault="00B66ECE" w:rsidP="00392435">
      <w:pPr>
        <w:rPr>
          <w:iCs/>
        </w:rPr>
      </w:pPr>
    </w:p>
    <w:p w14:paraId="52B6548A" w14:textId="3C84F9B7" w:rsidR="005B6C70" w:rsidRPr="002B2E80" w:rsidRDefault="008A52E0" w:rsidP="00F6446D">
      <w:pPr>
        <w:rPr>
          <w:lang w:eastAsia="ja-JP"/>
        </w:rPr>
      </w:pPr>
      <w:r w:rsidRPr="002B2E80">
        <w:fldChar w:fldCharType="begin"/>
      </w:r>
      <w:r w:rsidRPr="002B2E80">
        <w:instrText xml:space="preserve"> AUTONUM  </w:instrText>
      </w:r>
      <w:r w:rsidRPr="002B2E80">
        <w:fldChar w:fldCharType="end"/>
      </w:r>
      <w:r w:rsidRPr="002B2E80">
        <w:tab/>
      </w:r>
      <w:r w:rsidR="005B6C70" w:rsidRPr="002B2E80">
        <w:rPr>
          <w:lang w:eastAsia="ja-JP"/>
        </w:rPr>
        <w:t xml:space="preserve">El </w:t>
      </w:r>
      <w:r w:rsidR="00173C8F" w:rsidRPr="002B2E80">
        <w:rPr>
          <w:rFonts w:hint="eastAsia"/>
          <w:lang w:eastAsia="ja-JP"/>
        </w:rPr>
        <w:t>TWM</w:t>
      </w:r>
      <w:r w:rsidR="00A655A8" w:rsidRPr="002B2E80">
        <w:rPr>
          <w:rStyle w:val="FootnoteReference"/>
          <w:lang w:eastAsia="ja-JP"/>
        </w:rPr>
        <w:footnoteReference w:id="12"/>
      </w:r>
      <w:r w:rsidR="003F7447">
        <w:rPr>
          <w:rFonts w:hint="eastAsia"/>
          <w:lang w:eastAsia="ja-JP"/>
        </w:rPr>
        <w:t>,</w:t>
      </w:r>
      <w:r w:rsidR="00173C8F" w:rsidRPr="002B2E80">
        <w:rPr>
          <w:rFonts w:hint="eastAsia"/>
          <w:lang w:eastAsia="ja-JP"/>
        </w:rPr>
        <w:t xml:space="preserve"> en su tercera sesión, </w:t>
      </w:r>
      <w:r w:rsidR="00F6446D" w:rsidRPr="002B2E80">
        <w:rPr>
          <w:lang w:eastAsia="ja-JP"/>
        </w:rPr>
        <w:t>recordó las orientaciones de la UPOV sobre la confidencialidad de la información molecular que figuran en los documentos TGP/5, sección 1, «Modelo de acuerdo administrativo para la cooperación internacional en el examen de variedades», e INF/15, «Orientaciones para los miembros de la UPOV».  El TWM observó que no se había presentado ningún informe sobre la confidencialidad de la información molecular al TWM y convino en la importancia de salvaguardar la confidencialidad de las líneas parentales y las fórmulas híbridas. El TWM observó que se estaba celebrando un debate similar en la OCDE.</w:t>
      </w:r>
    </w:p>
    <w:p w14:paraId="2917A6D2" w14:textId="77777777" w:rsidR="005B6C70" w:rsidRPr="002B2E80" w:rsidRDefault="005B6C70" w:rsidP="00EF4B00">
      <w:pPr>
        <w:rPr>
          <w:lang w:eastAsia="ja-JP"/>
        </w:rPr>
      </w:pPr>
    </w:p>
    <w:p w14:paraId="73DB8C4D" w14:textId="49C9EBD4" w:rsidR="00CB0DEE" w:rsidRPr="002B2E80" w:rsidRDefault="008A52E0" w:rsidP="00CB0DEE">
      <w:r w:rsidRPr="002B2E80">
        <w:fldChar w:fldCharType="begin"/>
      </w:r>
      <w:r w:rsidRPr="002B2E80">
        <w:instrText xml:space="preserve"> AUTONUM  </w:instrText>
      </w:r>
      <w:r w:rsidRPr="002B2E80">
        <w:fldChar w:fldCharType="end"/>
      </w:r>
      <w:r w:rsidRPr="002B2E80">
        <w:tab/>
      </w:r>
      <w:r w:rsidR="003F18BE" w:rsidRPr="002B2E80">
        <w:t>El TWV</w:t>
      </w:r>
      <w:r w:rsidR="003F18BE" w:rsidRPr="002B2E80">
        <w:rPr>
          <w:rStyle w:val="FootnoteReference"/>
        </w:rPr>
        <w:footnoteReference w:id="13"/>
      </w:r>
      <w:r w:rsidR="003F7447">
        <w:t>,</w:t>
      </w:r>
      <w:r w:rsidR="003F18BE" w:rsidRPr="002B2E80">
        <w:t xml:space="preserve"> en su</w:t>
      </w:r>
      <w:r w:rsidR="003F18BE" w:rsidRPr="002B2E80">
        <w:rPr>
          <w:rFonts w:hint="eastAsia"/>
          <w:lang w:eastAsia="ja-JP"/>
        </w:rPr>
        <w:t xml:space="preserve"> </w:t>
      </w:r>
      <w:r w:rsidR="005E19F3" w:rsidRPr="00B53870">
        <w:t xml:space="preserve">quincuagésima </w:t>
      </w:r>
      <w:r w:rsidR="005E19F3">
        <w:t xml:space="preserve">novena </w:t>
      </w:r>
      <w:r w:rsidR="003F18BE" w:rsidRPr="002B2E80">
        <w:t xml:space="preserve">sesión, </w:t>
      </w:r>
      <w:r w:rsidR="00CB0DEE" w:rsidRPr="002B2E80">
        <w:t>señaló que no se había informado de ninguna política existente sobre la confidencialidad de la información molecular antes de la sesión del TWV.</w:t>
      </w:r>
    </w:p>
    <w:p w14:paraId="1022033F" w14:textId="77777777" w:rsidR="00CE357F" w:rsidRPr="002B2E80" w:rsidRDefault="00CE357F" w:rsidP="00CB0DEE"/>
    <w:p w14:paraId="65108B44" w14:textId="2C6E33E2" w:rsidR="00CB0DEE" w:rsidRPr="002B2E80" w:rsidRDefault="00CE357F" w:rsidP="00CB0DEE">
      <w:r w:rsidRPr="002B2E80">
        <w:fldChar w:fldCharType="begin"/>
      </w:r>
      <w:r w:rsidRPr="002B2E80">
        <w:instrText xml:space="preserve"> AUTONUM  </w:instrText>
      </w:r>
      <w:r w:rsidRPr="002B2E80">
        <w:fldChar w:fldCharType="end"/>
      </w:r>
      <w:r w:rsidRPr="002B2E80">
        <w:tab/>
      </w:r>
      <w:r w:rsidR="00CB0DEE" w:rsidRPr="002B2E80">
        <w:t>El TWV tomó nota del informe de Japón, que estaba considerando el uso de información basada en el ADN como parte de la información que se debe proporcionar para la protección de las variedades vegetales. El TWV señaló que Japón consideraba que esta información era útil para apoyar el ejercicio de los derechos de los obtentores.</w:t>
      </w:r>
    </w:p>
    <w:p w14:paraId="3D1AEDDF" w14:textId="77777777" w:rsidR="00D43671" w:rsidRPr="002B2E80" w:rsidRDefault="00D43671" w:rsidP="00CB0DEE"/>
    <w:p w14:paraId="4C6C5E3E" w14:textId="1AC93581" w:rsidR="00F94824" w:rsidRPr="002B2E80" w:rsidRDefault="00D43671" w:rsidP="00CB0DEE">
      <w:r w:rsidRPr="002B2E80">
        <w:fldChar w:fldCharType="begin"/>
      </w:r>
      <w:r w:rsidRPr="002B2E80">
        <w:instrText xml:space="preserve"> AUTONUM  </w:instrText>
      </w:r>
      <w:r w:rsidRPr="002B2E80">
        <w:fldChar w:fldCharType="end"/>
      </w:r>
      <w:r w:rsidRPr="002B2E80">
        <w:tab/>
      </w:r>
      <w:r w:rsidR="00CB0DEE" w:rsidRPr="002B2E80">
        <w:t xml:space="preserve">El TWV tomó nota de la preocupación expresada por las organizaciones de obtentores sobre la revelación de las fuentes de germoplasma utilizadas por los obtentores en diferentes programas de fitomejoramiento. El TWV convino en que los obtentores deberían participar en la selección de marcadores </w:t>
      </w:r>
      <w:r w:rsidR="00CB0DEE" w:rsidRPr="002B2E80">
        <w:lastRenderedPageBreak/>
        <w:t xml:space="preserve">moleculares para la identificación de variedades y la gestión de colecciones de variedades, en particular cuando dicha información se hiciera pública. </w:t>
      </w:r>
    </w:p>
    <w:p w14:paraId="5FB1DDB1" w14:textId="77777777" w:rsidR="00F94824" w:rsidRPr="002B2E80" w:rsidRDefault="00F94824" w:rsidP="00CB0DEE"/>
    <w:p w14:paraId="14E1E946" w14:textId="34164585" w:rsidR="005B6C70" w:rsidRPr="002B2E80" w:rsidRDefault="00F94824" w:rsidP="00CB0DEE">
      <w:pPr>
        <w:rPr>
          <w:lang w:eastAsia="ja-JP"/>
        </w:rPr>
      </w:pPr>
      <w:r w:rsidRPr="002B2E80">
        <w:fldChar w:fldCharType="begin"/>
      </w:r>
      <w:r w:rsidRPr="002B2E80">
        <w:instrText xml:space="preserve"> AUTONUM  </w:instrText>
      </w:r>
      <w:r w:rsidRPr="002B2E80">
        <w:fldChar w:fldCharType="end"/>
      </w:r>
      <w:r w:rsidRPr="002B2E80">
        <w:tab/>
      </w:r>
      <w:r w:rsidR="00CB0DEE" w:rsidRPr="002B2E80">
        <w:t>El TWV recordó que la elaboración de las orientaciones de la UPOV se basaba en ejemplos y experiencias de los miembros y observadores de la UPOV. El TWV convino en que debían considerarse diferentes enfoques para el debate sobre la confidencialidad de la información molecular, como los casos concretos y las situaciones específicas identificadas por las organizaciones de obtentores.</w:t>
      </w:r>
    </w:p>
    <w:p w14:paraId="485274D3" w14:textId="77777777" w:rsidR="0012713E" w:rsidRPr="002B2E80" w:rsidRDefault="0012713E" w:rsidP="0012713E">
      <w:pPr>
        <w:pStyle w:val="ListParagraph"/>
        <w:ind w:left="0"/>
        <w:rPr>
          <w:rFonts w:eastAsiaTheme="minorEastAsia"/>
          <w:lang w:eastAsia="ja-JP"/>
        </w:rPr>
      </w:pPr>
    </w:p>
    <w:p w14:paraId="0F477E1E" w14:textId="3B671D7E" w:rsidR="000346AB" w:rsidRPr="002B2E80" w:rsidRDefault="00B73C40" w:rsidP="001F298F">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r>
      <w:r w:rsidR="0012713E" w:rsidRPr="002B2E80">
        <w:rPr>
          <w:rFonts w:eastAsiaTheme="minorEastAsia" w:hint="eastAsia"/>
          <w:lang w:eastAsia="ja-JP"/>
        </w:rPr>
        <w:t xml:space="preserve">El </w:t>
      </w:r>
      <w:r w:rsidR="0012713E" w:rsidRPr="002B2E80">
        <w:t>TWA</w:t>
      </w:r>
      <w:r w:rsidR="0012713E" w:rsidRPr="002B2E80">
        <w:rPr>
          <w:rStyle w:val="FootnoteReference"/>
        </w:rPr>
        <w:footnoteReference w:id="14"/>
      </w:r>
      <w:r w:rsidR="003F7447">
        <w:t>,</w:t>
      </w:r>
      <w:r w:rsidR="0012713E" w:rsidRPr="002B2E80">
        <w:t xml:space="preserve"> en su</w:t>
      </w:r>
      <w:r w:rsidR="0012713E" w:rsidRPr="002B2E80">
        <w:rPr>
          <w:rFonts w:eastAsiaTheme="minorEastAsia" w:hint="eastAsia"/>
          <w:lang w:eastAsia="ja-JP"/>
        </w:rPr>
        <w:t xml:space="preserve"> </w:t>
      </w:r>
      <w:r w:rsidR="005E19F3" w:rsidRPr="00B53870">
        <w:t xml:space="preserve">quincuagésima </w:t>
      </w:r>
      <w:r w:rsidR="005E19F3">
        <w:t xml:space="preserve">cuarta </w:t>
      </w:r>
      <w:r w:rsidR="0012713E" w:rsidRPr="002B2E80">
        <w:t xml:space="preserve">sesión, </w:t>
      </w:r>
      <w:r w:rsidR="00915C02" w:rsidRPr="002B2E80">
        <w:t xml:space="preserve">tomó nota de los informes de la Unión Europea, Alemania y el Reino Unido en los que se indicaba que sus políticas nacionales sobre el material vegetal y los datos utilizados en el examen DHE abarcaban la información molecular. El TWA señaló que, en la Unión Europea, el cuestionario técnico ofrecía a los solicitantes la posibilidad de seleccionar la información que debía tratarse como confidencial y que la política sobre el material vegetal en el examen DHE estaba disponible en línea, tal como se indicaba en el documento TWA/54/2 “Informes de los miembros y observadores” (véase: </w:t>
      </w:r>
      <w:hyperlink r:id="rId16" w:history="1">
        <w:r w:rsidR="000346AB" w:rsidRPr="002B2E80">
          <w:rPr>
            <w:rStyle w:val="Hyperlink"/>
          </w:rPr>
          <w:t>https://cpvo.europa.eu/en/cpvo-policy-status-plant-material-used-dus-testing-purposes)</w:t>
        </w:r>
      </w:hyperlink>
      <w:r w:rsidR="00915C02" w:rsidRPr="002B2E80">
        <w:t>.</w:t>
      </w:r>
    </w:p>
    <w:p w14:paraId="78D0B198" w14:textId="77777777" w:rsidR="000346AB" w:rsidRPr="002B2E80" w:rsidRDefault="000346AB" w:rsidP="00915C02">
      <w:pPr>
        <w:pStyle w:val="ListParagraph"/>
        <w:ind w:left="0"/>
        <w:jc w:val="both"/>
        <w:rPr>
          <w:rFonts w:eastAsiaTheme="minorEastAsia"/>
          <w:lang w:eastAsia="ja-JP"/>
        </w:rPr>
      </w:pPr>
    </w:p>
    <w:p w14:paraId="660E98AF" w14:textId="77777777" w:rsidR="000346AB" w:rsidRPr="002B2E80" w:rsidRDefault="000346AB" w:rsidP="00915C02">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r>
      <w:r w:rsidR="00915C02" w:rsidRPr="002B2E80">
        <w:t>El TWA tomó nota de los informes de Brasil y Canadá en los que se indicaba que en esos países no existía ninguna política específica en relación con la confidencialidad de la información molecular del material vegetal y los datos utilizados en el examen DHE. El TWA tomó nota de que Brasil y Canadá no solicitaban a los solicitantes información basada en el ADN.</w:t>
      </w:r>
    </w:p>
    <w:p w14:paraId="16606114" w14:textId="77777777" w:rsidR="000346AB" w:rsidRPr="002B2E80" w:rsidRDefault="000346AB" w:rsidP="00915C02">
      <w:pPr>
        <w:pStyle w:val="ListParagraph"/>
        <w:ind w:left="0"/>
        <w:jc w:val="both"/>
        <w:rPr>
          <w:rFonts w:eastAsiaTheme="minorEastAsia"/>
          <w:lang w:eastAsia="ja-JP"/>
        </w:rPr>
      </w:pPr>
    </w:p>
    <w:p w14:paraId="7B5E65A7" w14:textId="655FF190" w:rsidR="0012713E" w:rsidRPr="002B2E80" w:rsidRDefault="000346AB" w:rsidP="00915C02">
      <w:pPr>
        <w:pStyle w:val="ListParagraph"/>
        <w:ind w:left="0"/>
        <w:jc w:val="both"/>
      </w:pPr>
      <w:r w:rsidRPr="002B2E80">
        <w:fldChar w:fldCharType="begin"/>
      </w:r>
      <w:r w:rsidRPr="002B2E80">
        <w:instrText xml:space="preserve"> AUTONUM  </w:instrText>
      </w:r>
      <w:r w:rsidRPr="002B2E80">
        <w:fldChar w:fldCharType="end"/>
      </w:r>
      <w:r w:rsidRPr="002B2E80">
        <w:tab/>
      </w:r>
      <w:r w:rsidR="00915C02" w:rsidRPr="002B2E80">
        <w:t>El TWA debatió la posibilidad de realizar una encuesta entre los miembros de la UPOV para que informaran sobre las políticas existentes en materia de confidencialidad de la información molecular. El TWA convino en que sería necesario seguir debatiendo el alcance y los objetivos de la encuesta, por ejemplo, identificando situaciones pertinentes para una mayor participación en los debates.</w:t>
      </w:r>
    </w:p>
    <w:p w14:paraId="6F6EA91B" w14:textId="77777777" w:rsidR="0012713E" w:rsidRPr="002B2E80" w:rsidRDefault="0012713E" w:rsidP="0012713E"/>
    <w:p w14:paraId="68C550E5" w14:textId="5F834D63" w:rsidR="00B52114" w:rsidRPr="002B2E80" w:rsidRDefault="0012713E" w:rsidP="00B52114">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r>
      <w:r w:rsidR="0EDE8B78" w:rsidRPr="002B2E80">
        <w:rPr>
          <w:rFonts w:eastAsiaTheme="minorEastAsia"/>
          <w:lang w:eastAsia="ja-JP"/>
        </w:rPr>
        <w:t xml:space="preserve">El </w:t>
      </w:r>
      <w:r w:rsidR="0EDE8B78" w:rsidRPr="002B2E80">
        <w:t>TWF</w:t>
      </w:r>
      <w:r w:rsidRPr="002B2E80">
        <w:rPr>
          <w:rStyle w:val="FootnoteReference"/>
        </w:rPr>
        <w:footnoteReference w:id="15"/>
      </w:r>
      <w:r w:rsidR="003F7447">
        <w:t>,</w:t>
      </w:r>
      <w:r w:rsidR="0EDE8B78" w:rsidRPr="002B2E80">
        <w:t xml:space="preserve"> en su</w:t>
      </w:r>
      <w:r w:rsidR="0EDE8B78" w:rsidRPr="002B2E80">
        <w:rPr>
          <w:rFonts w:eastAsiaTheme="minorEastAsia"/>
          <w:lang w:eastAsia="ja-JP"/>
        </w:rPr>
        <w:t xml:space="preserve"> </w:t>
      </w:r>
      <w:r w:rsidR="005E19F3" w:rsidRPr="00B53870">
        <w:t xml:space="preserve">quincuagésima </w:t>
      </w:r>
      <w:r w:rsidR="005E19F3">
        <w:t>sexta</w:t>
      </w:r>
      <w:r w:rsidR="0EDE8B78" w:rsidRPr="002B2E80">
        <w:rPr>
          <w:rFonts w:eastAsiaTheme="minorEastAsia"/>
          <w:lang w:eastAsia="ja-JP"/>
        </w:rPr>
        <w:t xml:space="preserve"> </w:t>
      </w:r>
      <w:r w:rsidR="0EDE8B78" w:rsidRPr="002B2E80">
        <w:t xml:space="preserve">sesión, </w:t>
      </w:r>
      <w:r w:rsidR="0EDE8B78" w:rsidRPr="002B2E80">
        <w:rPr>
          <w:rFonts w:eastAsiaTheme="minorEastAsia"/>
          <w:lang w:eastAsia="ja-JP"/>
        </w:rPr>
        <w:t xml:space="preserve">señaló </w:t>
      </w:r>
      <w:r w:rsidR="5CE26707" w:rsidRPr="002B2E80">
        <w:rPr>
          <w:rFonts w:eastAsiaTheme="minorEastAsia"/>
          <w:lang w:eastAsia="ja-JP"/>
        </w:rPr>
        <w:t>que se invitaba a los miembros y observadores de la UPOV a comunicar ejemplos de políticas sobre confidencialidad y acceso a datos moleculares en las sesiones del TWP de 2025.</w:t>
      </w:r>
    </w:p>
    <w:p w14:paraId="40566C3F" w14:textId="77777777" w:rsidR="00695D23" w:rsidRPr="002B2E80" w:rsidRDefault="00695D23" w:rsidP="009F76CF">
      <w:pPr>
        <w:pStyle w:val="ListParagraph"/>
        <w:ind w:left="0"/>
        <w:jc w:val="both"/>
        <w:rPr>
          <w:rFonts w:eastAsiaTheme="minorEastAsia"/>
          <w:lang w:eastAsia="ja-JP"/>
        </w:rPr>
      </w:pPr>
    </w:p>
    <w:bookmarkStart w:id="21" w:name="_Toc460313637"/>
    <w:p w14:paraId="43BA9895" w14:textId="77777777" w:rsidR="00FA16FA" w:rsidRPr="002B2E80" w:rsidRDefault="00EF4B00" w:rsidP="00D2172E">
      <w:pPr>
        <w:tabs>
          <w:tab w:val="left" w:pos="5387"/>
          <w:tab w:val="left" w:pos="5954"/>
        </w:tabs>
        <w:ind w:left="4820"/>
        <w:rPr>
          <w:i/>
          <w:snapToGrid w:val="0"/>
          <w:lang w:eastAsia="ja-JP"/>
        </w:rPr>
      </w:pPr>
      <w:r w:rsidRPr="002B2E80">
        <w:rPr>
          <w:i/>
          <w:snapToGrid w:val="0"/>
          <w:lang w:eastAsia="ja-JP"/>
        </w:rPr>
        <w:fldChar w:fldCharType="begin"/>
      </w:r>
      <w:r w:rsidRPr="002B2E80">
        <w:rPr>
          <w:i/>
          <w:snapToGrid w:val="0"/>
          <w:lang w:eastAsia="ja-JP"/>
        </w:rPr>
        <w:instrText xml:space="preserve"> AUTONUM  </w:instrText>
      </w:r>
      <w:r w:rsidRPr="002B2E80">
        <w:rPr>
          <w:i/>
          <w:snapToGrid w:val="0"/>
          <w:lang w:eastAsia="ja-JP"/>
        </w:rPr>
        <w:fldChar w:fldCharType="end"/>
      </w:r>
      <w:r w:rsidRPr="002B2E80">
        <w:rPr>
          <w:i/>
          <w:snapToGrid w:val="0"/>
          <w:lang w:eastAsia="ja-JP"/>
        </w:rPr>
        <w:tab/>
        <w:t>Se invita al TC a</w:t>
      </w:r>
      <w:r w:rsidR="00FA16FA" w:rsidRPr="002B2E80">
        <w:rPr>
          <w:i/>
          <w:snapToGrid w:val="0"/>
          <w:lang w:eastAsia="ja-JP"/>
        </w:rPr>
        <w:t>:</w:t>
      </w:r>
    </w:p>
    <w:p w14:paraId="6091C00E" w14:textId="77777777" w:rsidR="00FA16FA" w:rsidRPr="002B2E80" w:rsidRDefault="00FA16FA" w:rsidP="00D2172E">
      <w:pPr>
        <w:tabs>
          <w:tab w:val="left" w:pos="5387"/>
          <w:tab w:val="left" w:pos="5954"/>
        </w:tabs>
        <w:ind w:left="4820"/>
        <w:rPr>
          <w:i/>
          <w:snapToGrid w:val="0"/>
          <w:lang w:eastAsia="ja-JP"/>
        </w:rPr>
      </w:pPr>
    </w:p>
    <w:p w14:paraId="6B1344C0" w14:textId="7AEB6C93" w:rsidR="00B43354" w:rsidRPr="002B2E80" w:rsidRDefault="009D5FF3" w:rsidP="00DA7220">
      <w:pPr>
        <w:pStyle w:val="ListParagraph"/>
        <w:numPr>
          <w:ilvl w:val="0"/>
          <w:numId w:val="46"/>
        </w:numPr>
        <w:tabs>
          <w:tab w:val="left" w:pos="5387"/>
          <w:tab w:val="left" w:pos="5954"/>
        </w:tabs>
        <w:ind w:left="4820" w:firstLine="567"/>
        <w:jc w:val="both"/>
        <w:rPr>
          <w:i/>
          <w:snapToGrid w:val="0"/>
          <w:lang w:eastAsia="ja-JP"/>
        </w:rPr>
      </w:pPr>
      <w:r w:rsidRPr="002B2E80">
        <w:rPr>
          <w:i/>
          <w:snapToGrid w:val="0"/>
          <w:lang w:eastAsia="ja-JP"/>
        </w:rPr>
        <w:t>tom</w:t>
      </w:r>
      <w:r w:rsidR="0002523E">
        <w:rPr>
          <w:i/>
          <w:snapToGrid w:val="0"/>
          <w:lang w:eastAsia="ja-JP"/>
        </w:rPr>
        <w:t>ar</w:t>
      </w:r>
      <w:r w:rsidRPr="002B2E80">
        <w:rPr>
          <w:i/>
          <w:snapToGrid w:val="0"/>
          <w:lang w:eastAsia="ja-JP"/>
        </w:rPr>
        <w:t xml:space="preserve"> nota de los debates </w:t>
      </w:r>
      <w:r w:rsidR="00EE21CC" w:rsidRPr="002B2E80">
        <w:rPr>
          <w:rFonts w:hint="eastAsia"/>
          <w:i/>
          <w:snapToGrid w:val="0"/>
          <w:lang w:eastAsia="ja-JP"/>
        </w:rPr>
        <w:t xml:space="preserve">sobre </w:t>
      </w:r>
      <w:r w:rsidR="00EE21CC" w:rsidRPr="002B2E80">
        <w:rPr>
          <w:i/>
          <w:snapToGrid w:val="0"/>
          <w:lang w:eastAsia="ja-JP"/>
        </w:rPr>
        <w:t xml:space="preserve">la confidencialidad y la propiedad de la información molecular </w:t>
      </w:r>
      <w:r w:rsidR="001A1382" w:rsidRPr="002B2E80">
        <w:rPr>
          <w:rFonts w:hint="eastAsia"/>
          <w:i/>
          <w:snapToGrid w:val="0"/>
          <w:lang w:eastAsia="ja-JP"/>
        </w:rPr>
        <w:t xml:space="preserve">en </w:t>
      </w:r>
      <w:r w:rsidR="001A1382" w:rsidRPr="002B2E80">
        <w:rPr>
          <w:i/>
          <w:snapToGrid w:val="0"/>
          <w:lang w:eastAsia="ja-JP"/>
        </w:rPr>
        <w:t xml:space="preserve">las </w:t>
      </w:r>
      <w:r w:rsidR="001A1382" w:rsidRPr="002B2E80">
        <w:rPr>
          <w:rFonts w:hint="eastAsia"/>
          <w:i/>
          <w:snapToGrid w:val="0"/>
          <w:lang w:eastAsia="ja-JP"/>
        </w:rPr>
        <w:t>sesiones de</w:t>
      </w:r>
      <w:r w:rsidR="0002523E">
        <w:rPr>
          <w:i/>
          <w:snapToGrid w:val="0"/>
          <w:lang w:eastAsia="ja-JP"/>
        </w:rPr>
        <w:t xml:space="preserve"> </w:t>
      </w:r>
      <w:r w:rsidR="001A1382" w:rsidRPr="002B2E80">
        <w:rPr>
          <w:rFonts w:hint="eastAsia"/>
          <w:i/>
          <w:snapToGrid w:val="0"/>
          <w:lang w:eastAsia="ja-JP"/>
        </w:rPr>
        <w:t>l</w:t>
      </w:r>
      <w:r w:rsidR="0002523E">
        <w:rPr>
          <w:i/>
          <w:snapToGrid w:val="0"/>
          <w:lang w:eastAsia="ja-JP"/>
        </w:rPr>
        <w:t>os</w:t>
      </w:r>
      <w:r w:rsidR="001A1382" w:rsidRPr="002B2E80">
        <w:rPr>
          <w:rFonts w:hint="eastAsia"/>
          <w:i/>
          <w:snapToGrid w:val="0"/>
          <w:lang w:eastAsia="ja-JP"/>
        </w:rPr>
        <w:t xml:space="preserve"> TWP </w:t>
      </w:r>
      <w:r w:rsidR="0002523E">
        <w:rPr>
          <w:i/>
          <w:snapToGrid w:val="0"/>
          <w:lang w:eastAsia="ja-JP"/>
        </w:rPr>
        <w:t>en</w:t>
      </w:r>
      <w:r w:rsidR="001A1382" w:rsidRPr="002B2E80">
        <w:rPr>
          <w:rFonts w:hint="eastAsia"/>
          <w:i/>
          <w:snapToGrid w:val="0"/>
          <w:lang w:eastAsia="ja-JP"/>
        </w:rPr>
        <w:t xml:space="preserve"> 2025</w:t>
      </w:r>
      <w:r w:rsidR="00FA16FA" w:rsidRPr="002B2E80">
        <w:rPr>
          <w:i/>
          <w:snapToGrid w:val="0"/>
          <w:lang w:eastAsia="ja-JP"/>
        </w:rPr>
        <w:t>;</w:t>
      </w:r>
    </w:p>
    <w:p w14:paraId="078C98DB" w14:textId="77777777" w:rsidR="00B43354" w:rsidRPr="002B2E80" w:rsidRDefault="00B43354" w:rsidP="00DA7220">
      <w:pPr>
        <w:tabs>
          <w:tab w:val="left" w:pos="5387"/>
          <w:tab w:val="left" w:pos="5954"/>
        </w:tabs>
        <w:ind w:left="4820" w:firstLine="567"/>
        <w:rPr>
          <w:i/>
          <w:snapToGrid w:val="0"/>
          <w:lang w:eastAsia="ja-JP"/>
        </w:rPr>
      </w:pPr>
    </w:p>
    <w:p w14:paraId="057BC4BF" w14:textId="5E9E4FE7" w:rsidR="00DA7220" w:rsidRPr="002B2E80" w:rsidRDefault="00DA7220" w:rsidP="00DA7220">
      <w:pPr>
        <w:pStyle w:val="ListParagraph"/>
        <w:numPr>
          <w:ilvl w:val="0"/>
          <w:numId w:val="46"/>
        </w:numPr>
        <w:tabs>
          <w:tab w:val="left" w:pos="5387"/>
          <w:tab w:val="left" w:pos="5954"/>
        </w:tabs>
        <w:ind w:left="4820" w:firstLine="567"/>
        <w:jc w:val="both"/>
        <w:rPr>
          <w:i/>
          <w:snapToGrid w:val="0"/>
          <w:lang w:eastAsia="ja-JP"/>
        </w:rPr>
      </w:pPr>
      <w:r w:rsidRPr="002B2E80">
        <w:rPr>
          <w:i/>
        </w:rPr>
        <w:t>tom</w:t>
      </w:r>
      <w:r w:rsidR="0002523E">
        <w:rPr>
          <w:i/>
        </w:rPr>
        <w:t>ar</w:t>
      </w:r>
      <w:r w:rsidRPr="002B2E80">
        <w:rPr>
          <w:i/>
        </w:rPr>
        <w:t xml:space="preserve"> nota de la «Política sobre la situación del material vegetal presentado para fines de examen DHE» comunicada por la Unión Europea en el TWA, tal como se indica en el párrafo 29 del presente documento</w:t>
      </w:r>
      <w:r w:rsidRPr="002B2E80">
        <w:rPr>
          <w:i/>
          <w:snapToGrid w:val="0"/>
          <w:lang w:eastAsia="ja-JP"/>
        </w:rPr>
        <w:t>;</w:t>
      </w:r>
    </w:p>
    <w:p w14:paraId="2556A792" w14:textId="77777777" w:rsidR="00DA7220" w:rsidRPr="002B2E80" w:rsidRDefault="00DA7220" w:rsidP="00DA7220">
      <w:pPr>
        <w:tabs>
          <w:tab w:val="left" w:pos="5387"/>
          <w:tab w:val="left" w:pos="5954"/>
        </w:tabs>
        <w:ind w:left="4820" w:firstLine="567"/>
        <w:rPr>
          <w:i/>
          <w:snapToGrid w:val="0"/>
          <w:lang w:eastAsia="ja-JP"/>
        </w:rPr>
      </w:pPr>
    </w:p>
    <w:p w14:paraId="1291124E" w14:textId="50FDB1AC" w:rsidR="00DA7220" w:rsidRPr="002B2E80" w:rsidRDefault="004C0FB6" w:rsidP="00DA7220">
      <w:pPr>
        <w:pStyle w:val="ListParagraph"/>
        <w:numPr>
          <w:ilvl w:val="0"/>
          <w:numId w:val="46"/>
        </w:numPr>
        <w:tabs>
          <w:tab w:val="left" w:pos="5387"/>
          <w:tab w:val="left" w:pos="5954"/>
        </w:tabs>
        <w:ind w:left="4820" w:firstLine="567"/>
        <w:jc w:val="both"/>
        <w:rPr>
          <w:i/>
        </w:rPr>
      </w:pPr>
      <w:r w:rsidRPr="002B2E80">
        <w:rPr>
          <w:i/>
        </w:rPr>
        <w:t>consider</w:t>
      </w:r>
      <w:r w:rsidR="0002523E">
        <w:rPr>
          <w:i/>
        </w:rPr>
        <w:t>ar</w:t>
      </w:r>
      <w:r w:rsidRPr="002B2E80">
        <w:rPr>
          <w:i/>
        </w:rPr>
        <w:t xml:space="preserve"> la posibilidad de </w:t>
      </w:r>
      <w:r w:rsidR="000C75DB" w:rsidRPr="002B2E80">
        <w:rPr>
          <w:i/>
        </w:rPr>
        <w:t xml:space="preserve">invitar </w:t>
      </w:r>
      <w:r w:rsidR="00110DC3" w:rsidRPr="002B2E80">
        <w:rPr>
          <w:i/>
        </w:rPr>
        <w:t xml:space="preserve">a los TWP </w:t>
      </w:r>
      <w:r w:rsidR="00832DD2" w:rsidRPr="002B2E80">
        <w:rPr>
          <w:i/>
        </w:rPr>
        <w:t xml:space="preserve">a organizar </w:t>
      </w:r>
      <w:r w:rsidR="003238DE" w:rsidRPr="002B2E80">
        <w:rPr>
          <w:i/>
        </w:rPr>
        <w:t xml:space="preserve">futuros debates </w:t>
      </w:r>
      <w:r w:rsidR="0044240F" w:rsidRPr="002B2E80">
        <w:rPr>
          <w:rFonts w:hint="eastAsia"/>
          <w:i/>
          <w:snapToGrid w:val="0"/>
          <w:lang w:eastAsia="ja-JP"/>
        </w:rPr>
        <w:t xml:space="preserve">sobre </w:t>
      </w:r>
      <w:r w:rsidR="0044240F" w:rsidRPr="002B2E80">
        <w:rPr>
          <w:i/>
          <w:snapToGrid w:val="0"/>
          <w:lang w:eastAsia="ja-JP"/>
        </w:rPr>
        <w:t xml:space="preserve">la confidencialidad y la propiedad de la información molecular </w:t>
      </w:r>
      <w:r w:rsidR="00B7479D" w:rsidRPr="002B2E80">
        <w:rPr>
          <w:i/>
        </w:rPr>
        <w:t xml:space="preserve">basándose en </w:t>
      </w:r>
      <w:r w:rsidR="000733EC" w:rsidRPr="002B2E80">
        <w:rPr>
          <w:i/>
        </w:rPr>
        <w:t>casos concretos y situaciones específicas</w:t>
      </w:r>
      <w:r w:rsidR="00C16AE1" w:rsidRPr="002B2E80">
        <w:rPr>
          <w:i/>
        </w:rPr>
        <w:t xml:space="preserve">; </w:t>
      </w:r>
      <w:r w:rsidR="00DA7220" w:rsidRPr="002B2E80">
        <w:rPr>
          <w:i/>
        </w:rPr>
        <w:t>y</w:t>
      </w:r>
    </w:p>
    <w:p w14:paraId="6277EB30" w14:textId="77777777" w:rsidR="00DA7220" w:rsidRPr="002B2E80" w:rsidRDefault="00DA7220" w:rsidP="00DA7220">
      <w:pPr>
        <w:pStyle w:val="ListParagraph"/>
        <w:tabs>
          <w:tab w:val="left" w:pos="5387"/>
          <w:tab w:val="left" w:pos="5954"/>
        </w:tabs>
        <w:ind w:left="5387"/>
        <w:jc w:val="both"/>
        <w:rPr>
          <w:i/>
        </w:rPr>
      </w:pPr>
    </w:p>
    <w:p w14:paraId="0820E63B" w14:textId="4A68D25A" w:rsidR="000733EC" w:rsidRPr="002B2E80" w:rsidRDefault="00DA7220" w:rsidP="00B65947">
      <w:pPr>
        <w:pStyle w:val="ListParagraph"/>
        <w:numPr>
          <w:ilvl w:val="0"/>
          <w:numId w:val="46"/>
        </w:numPr>
        <w:tabs>
          <w:tab w:val="left" w:pos="5387"/>
          <w:tab w:val="left" w:pos="5954"/>
        </w:tabs>
        <w:ind w:left="4820" w:firstLine="567"/>
        <w:jc w:val="both"/>
        <w:rPr>
          <w:i/>
        </w:rPr>
      </w:pPr>
      <w:bookmarkStart w:id="22" w:name="_Hlk209621520"/>
      <w:r w:rsidRPr="002B2E80">
        <w:rPr>
          <w:i/>
        </w:rPr>
        <w:t xml:space="preserve">considerar la posibilidad de invitar a los TWP a </w:t>
      </w:r>
      <w:r w:rsidR="00B65947" w:rsidRPr="002B2E80">
        <w:rPr>
          <w:i/>
        </w:rPr>
        <w:t>debatir la cooperación en el uso de la información molecular, por ejemplo, en las sesiones de 2025 del TWO (</w:t>
      </w:r>
      <w:r w:rsidRPr="002B2E80">
        <w:rPr>
          <w:i/>
        </w:rPr>
        <w:t>desarrollo conjunto de marcadores moleculares</w:t>
      </w:r>
      <w:r w:rsidR="00B65947" w:rsidRPr="002B2E80">
        <w:rPr>
          <w:i/>
        </w:rPr>
        <w:t>) y del TWV (</w:t>
      </w:r>
      <w:r w:rsidRPr="002B2E80">
        <w:rPr>
          <w:i/>
        </w:rPr>
        <w:t xml:space="preserve">gestión de colecciones de variedades </w:t>
      </w:r>
      <w:r w:rsidR="00B65947" w:rsidRPr="002B2E80">
        <w:rPr>
          <w:i/>
        </w:rPr>
        <w:t>e identificación de variedades)</w:t>
      </w:r>
      <w:r w:rsidR="00AA7EF7" w:rsidRPr="002B2E80">
        <w:rPr>
          <w:i/>
        </w:rPr>
        <w:t xml:space="preserve">. </w:t>
      </w:r>
      <w:bookmarkEnd w:id="22"/>
    </w:p>
    <w:p w14:paraId="0F20EC14" w14:textId="77777777" w:rsidR="003012FA" w:rsidRPr="002B2E80" w:rsidRDefault="003012FA" w:rsidP="00EF4B00">
      <w:pPr>
        <w:rPr>
          <w:snapToGrid w:val="0"/>
          <w:lang w:eastAsia="ja-JP"/>
        </w:rPr>
      </w:pPr>
    </w:p>
    <w:p w14:paraId="2A66AE87" w14:textId="77777777" w:rsidR="00FE38C7" w:rsidRPr="002B2E80" w:rsidRDefault="00FE38C7" w:rsidP="00EF4B00">
      <w:pPr>
        <w:rPr>
          <w:snapToGrid w:val="0"/>
          <w:lang w:eastAsia="ja-JP"/>
        </w:rPr>
      </w:pPr>
    </w:p>
    <w:p w14:paraId="44F2CED1" w14:textId="77777777" w:rsidR="00FE38C7" w:rsidRPr="002B2E80" w:rsidRDefault="00FE38C7" w:rsidP="00EF4B00">
      <w:pPr>
        <w:rPr>
          <w:snapToGrid w:val="0"/>
          <w:lang w:eastAsia="ja-JP"/>
        </w:rPr>
      </w:pPr>
    </w:p>
    <w:p w14:paraId="15A37244" w14:textId="6FDA7B9D" w:rsidR="00825360" w:rsidRPr="002B2E80" w:rsidRDefault="00311464" w:rsidP="00E45D45">
      <w:pPr>
        <w:pStyle w:val="Heading1"/>
        <w:keepLines/>
        <w:rPr>
          <w:snapToGrid w:val="0"/>
          <w:lang w:val="es-ES_tradnl" w:eastAsia="ja-JP"/>
        </w:rPr>
      </w:pPr>
      <w:bookmarkStart w:id="23" w:name="_Toc210664632"/>
      <w:r w:rsidRPr="002B2E80">
        <w:rPr>
          <w:snapToGrid w:val="0"/>
          <w:lang w:val="es-ES_tradnl" w:eastAsia="ja-JP"/>
        </w:rPr>
        <w:lastRenderedPageBreak/>
        <w:t>COOPERACIÓN ENTRE ORGANIZACIONES INTERNACIONALES</w:t>
      </w:r>
      <w:bookmarkEnd w:id="23"/>
    </w:p>
    <w:p w14:paraId="29E9EBBA" w14:textId="77777777" w:rsidR="00311464" w:rsidRPr="002B2E80" w:rsidRDefault="00311464" w:rsidP="00E45D45">
      <w:pPr>
        <w:keepNext/>
        <w:keepLines/>
        <w:rPr>
          <w:snapToGrid w:val="0"/>
          <w:lang w:eastAsia="ja-JP"/>
        </w:rPr>
      </w:pPr>
    </w:p>
    <w:p w14:paraId="3548DC72" w14:textId="483C02FC" w:rsidR="006F66D1" w:rsidRPr="002B2E80" w:rsidRDefault="006F66D1" w:rsidP="00EF24D5">
      <w:pPr>
        <w:pStyle w:val="Heading2"/>
        <w:rPr>
          <w:lang w:val="es-ES_tradnl"/>
        </w:rPr>
      </w:pPr>
      <w:bookmarkStart w:id="24" w:name="_Toc210664633"/>
      <w:r w:rsidRPr="002B2E80">
        <w:rPr>
          <w:lang w:val="es-ES_tradnl"/>
        </w:rPr>
        <w:t>Antecedentes</w:t>
      </w:r>
      <w:bookmarkEnd w:id="24"/>
    </w:p>
    <w:p w14:paraId="035B7785" w14:textId="77777777" w:rsidR="006F66D1" w:rsidRPr="002B2E80" w:rsidRDefault="006F66D1" w:rsidP="00E45D45">
      <w:pPr>
        <w:keepNext/>
        <w:keepLines/>
        <w:rPr>
          <w:snapToGrid w:val="0"/>
          <w:lang w:eastAsia="ja-JP"/>
        </w:rPr>
      </w:pPr>
    </w:p>
    <w:p w14:paraId="4B0DD088" w14:textId="64F50F53" w:rsidR="009E25B1" w:rsidRPr="002B2E80" w:rsidRDefault="008D0B9F" w:rsidP="00E45D45">
      <w:pPr>
        <w:pStyle w:val="ListParagraph"/>
        <w:keepNext/>
        <w:keepLines/>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r>
      <w:r w:rsidR="000300DE" w:rsidRPr="002B2E80">
        <w:rPr>
          <w:rFonts w:eastAsiaTheme="minorEastAsia" w:hint="eastAsia"/>
          <w:lang w:eastAsia="ja-JP"/>
        </w:rPr>
        <w:t xml:space="preserve">El </w:t>
      </w:r>
      <w:r w:rsidRPr="002B2E80">
        <w:t>TC</w:t>
      </w:r>
      <w:r w:rsidRPr="002B2E80">
        <w:rPr>
          <w:rStyle w:val="FootnoteReference"/>
        </w:rPr>
        <w:footnoteReference w:id="16"/>
      </w:r>
      <w:r w:rsidR="003F7447">
        <w:t>,</w:t>
      </w:r>
      <w:r w:rsidRPr="002B2E80">
        <w:t xml:space="preserve"> </w:t>
      </w:r>
      <w:r w:rsidR="009E25B1" w:rsidRPr="002B2E80">
        <w:t>en su quincuagésima séptima sesión, acordó proponer los siguientes temas para un futuro taller conjunto UPOV/OCDE/ISTA:</w:t>
      </w:r>
    </w:p>
    <w:p w14:paraId="7D5E5635" w14:textId="77777777" w:rsidR="009E25B1" w:rsidRPr="002B2E80" w:rsidRDefault="009E25B1" w:rsidP="00AA5620">
      <w:pPr>
        <w:pStyle w:val="ListParagraph"/>
        <w:ind w:left="0"/>
        <w:jc w:val="both"/>
        <w:rPr>
          <w:rFonts w:eastAsiaTheme="minorEastAsia"/>
          <w:lang w:eastAsia="ja-JP"/>
        </w:rPr>
      </w:pPr>
    </w:p>
    <w:p w14:paraId="6C05D8CE" w14:textId="5B17778E" w:rsidR="009E25B1" w:rsidRPr="002B2E80" w:rsidRDefault="009E25B1" w:rsidP="00AA5620">
      <w:pPr>
        <w:pStyle w:val="ListParagraph"/>
        <w:numPr>
          <w:ilvl w:val="0"/>
          <w:numId w:val="20"/>
        </w:numPr>
        <w:ind w:left="1134" w:hanging="567"/>
        <w:jc w:val="both"/>
      </w:pPr>
      <w:r w:rsidRPr="002B2E80">
        <w:t>proporcionar información sobre el uso de técnicas moleculares en cada organización;</w:t>
      </w:r>
    </w:p>
    <w:p w14:paraId="6463D26D" w14:textId="2C88CACB" w:rsidR="009E25B1" w:rsidRPr="00391943" w:rsidRDefault="009E25B1" w:rsidP="00AA5620">
      <w:pPr>
        <w:pStyle w:val="ListParagraph"/>
        <w:numPr>
          <w:ilvl w:val="0"/>
          <w:numId w:val="20"/>
        </w:numPr>
        <w:ind w:left="1134" w:hanging="567"/>
        <w:jc w:val="both"/>
        <w:rPr>
          <w:spacing w:val="-2"/>
        </w:rPr>
      </w:pPr>
      <w:r w:rsidRPr="00391943">
        <w:rPr>
          <w:spacing w:val="-2"/>
        </w:rPr>
        <w:t>procedimiento para la aprobación de métodos bioquímicos y moleculares en cada organización; y</w:t>
      </w:r>
    </w:p>
    <w:p w14:paraId="39052F3F" w14:textId="29FBB215" w:rsidR="008D0B9F" w:rsidRPr="002B2E80" w:rsidRDefault="009E25B1" w:rsidP="00AA5620">
      <w:pPr>
        <w:pStyle w:val="ListParagraph"/>
        <w:numPr>
          <w:ilvl w:val="0"/>
          <w:numId w:val="20"/>
        </w:numPr>
        <w:ind w:left="1134" w:hanging="567"/>
        <w:jc w:val="both"/>
      </w:pPr>
      <w:r w:rsidRPr="002B2E80">
        <w:t>posibilidades de armonizar términos, definiciones y métodos entre la UPOV, la OCDE y la ISTA.</w:t>
      </w:r>
    </w:p>
    <w:p w14:paraId="4F5442A0" w14:textId="77777777" w:rsidR="008D0B9F" w:rsidRPr="002B2E80" w:rsidRDefault="008D0B9F" w:rsidP="00AA5620">
      <w:pPr>
        <w:rPr>
          <w:snapToGrid w:val="0"/>
          <w:lang w:eastAsia="ja-JP"/>
        </w:rPr>
      </w:pPr>
    </w:p>
    <w:p w14:paraId="2B6D06E7" w14:textId="77777777" w:rsidR="008D0B9F" w:rsidRPr="002B2E80" w:rsidRDefault="008D0B9F" w:rsidP="00AA5620">
      <w:pPr>
        <w:rPr>
          <w:snapToGrid w:val="0"/>
          <w:lang w:eastAsia="ja-JP"/>
        </w:rPr>
      </w:pPr>
    </w:p>
    <w:p w14:paraId="64751580" w14:textId="0F22FB86" w:rsidR="00D675E7" w:rsidRPr="002B2E80" w:rsidRDefault="00D675E7" w:rsidP="00AF5629">
      <w:pPr>
        <w:pStyle w:val="Heading2"/>
        <w:rPr>
          <w:snapToGrid w:val="0"/>
          <w:lang w:val="es-ES_tradnl" w:eastAsia="ja-JP"/>
        </w:rPr>
      </w:pPr>
      <w:bookmarkStart w:id="25" w:name="_Toc210664634"/>
      <w:r w:rsidRPr="002B2E80">
        <w:rPr>
          <w:lang w:val="es-ES_tradnl"/>
        </w:rPr>
        <w:t>Armonización de términos, definiciones y métodos entre la UPOV, la OCDE y la ISTA</w:t>
      </w:r>
      <w:bookmarkEnd w:id="25"/>
    </w:p>
    <w:p w14:paraId="3543D5C9" w14:textId="77777777" w:rsidR="00D675E7" w:rsidRPr="002B2E80" w:rsidRDefault="00D675E7" w:rsidP="00D856D9">
      <w:pPr>
        <w:keepNext/>
        <w:keepLines/>
        <w:rPr>
          <w:snapToGrid w:val="0"/>
          <w:lang w:eastAsia="ja-JP"/>
        </w:rPr>
      </w:pPr>
    </w:p>
    <w:p w14:paraId="59A20E5F" w14:textId="12F99612" w:rsidR="00F2781E" w:rsidRPr="002B2E80" w:rsidRDefault="00B63F38" w:rsidP="001F298F">
      <w:pPr>
        <w:pStyle w:val="ListParagraph"/>
        <w:ind w:left="0"/>
        <w:jc w:val="both"/>
        <w:rPr>
          <w:rFonts w:eastAsiaTheme="minorEastAsia"/>
          <w:lang w:eastAsia="ja-JP"/>
        </w:rPr>
      </w:pPr>
      <w:r w:rsidRPr="002B2E80">
        <w:fldChar w:fldCharType="begin"/>
      </w:r>
      <w:r w:rsidRPr="002B2E80">
        <w:instrText xml:space="preserve"> AUTONUM  </w:instrText>
      </w:r>
      <w:r w:rsidRPr="002B2E80">
        <w:fldChar w:fldCharType="end"/>
      </w:r>
      <w:r w:rsidRPr="002B2E80">
        <w:tab/>
      </w:r>
      <w:r w:rsidR="00E3484E" w:rsidRPr="002B2E80">
        <w:rPr>
          <w:rFonts w:eastAsiaTheme="minorEastAsia" w:hint="eastAsia"/>
          <w:lang w:eastAsia="ja-JP"/>
        </w:rPr>
        <w:t xml:space="preserve">El </w:t>
      </w:r>
      <w:r w:rsidRPr="002B2E80">
        <w:t>TWM</w:t>
      </w:r>
      <w:r w:rsidRPr="002B2E80">
        <w:rPr>
          <w:rStyle w:val="FootnoteReference"/>
        </w:rPr>
        <w:footnoteReference w:id="17"/>
      </w:r>
      <w:r w:rsidR="003F7447">
        <w:t>,</w:t>
      </w:r>
      <w:r w:rsidRPr="002B2E80">
        <w:t xml:space="preserve"> en su </w:t>
      </w:r>
      <w:r w:rsidR="00E3484E" w:rsidRPr="002B2E80">
        <w:rPr>
          <w:rFonts w:eastAsiaTheme="minorEastAsia" w:hint="eastAsia"/>
          <w:lang w:eastAsia="ja-JP"/>
        </w:rPr>
        <w:t xml:space="preserve">tercera </w:t>
      </w:r>
      <w:r w:rsidRPr="002B2E80">
        <w:t xml:space="preserve">sesión, </w:t>
      </w:r>
      <w:r w:rsidR="00064944" w:rsidRPr="002B2E80">
        <w:t>examinó posibles actividades conjuntas con la OCDE y la ISTA y la posible armonización</w:t>
      </w:r>
      <w:bookmarkStart w:id="26" w:name="_Hlk201678787"/>
      <w:r w:rsidR="00064944" w:rsidRPr="002B2E80">
        <w:t xml:space="preserve"> de términos, definiciones y métodos en relación con las técnicas moleculares</w:t>
      </w:r>
      <w:bookmarkEnd w:id="26"/>
      <w:r w:rsidR="00064944" w:rsidRPr="002B2E80">
        <w:t xml:space="preserve"> . El TWM acordó invitar al experto de Francia a </w:t>
      </w:r>
      <w:r w:rsidR="00361889" w:rsidRPr="002B2E80">
        <w:t xml:space="preserve">coordinar </w:t>
      </w:r>
      <w:r w:rsidR="00064944" w:rsidRPr="002B2E80">
        <w:t>los debates para organizar la información pertinente sobre términos y definiciones. El TWM tomó nota del interés manifestado por los expertos de Alemania, Argentina, China, el Reino Unido, los Países Bajos</w:t>
      </w:r>
      <w:r w:rsidR="00391943">
        <w:t xml:space="preserve"> (Reino de)</w:t>
      </w:r>
      <w:r w:rsidR="00064944" w:rsidRPr="002B2E80">
        <w:t xml:space="preserve">, la CIOPORA y la ISF en contribuir a esta labor. </w:t>
      </w:r>
    </w:p>
    <w:p w14:paraId="72D34751" w14:textId="77777777" w:rsidR="00F2781E" w:rsidRPr="002B2E80" w:rsidRDefault="00F2781E" w:rsidP="00064944">
      <w:pPr>
        <w:pStyle w:val="ListParagraph"/>
        <w:ind w:left="0"/>
        <w:jc w:val="both"/>
        <w:rPr>
          <w:rFonts w:eastAsiaTheme="minorEastAsia"/>
          <w:lang w:eastAsia="ja-JP"/>
        </w:rPr>
      </w:pPr>
    </w:p>
    <w:p w14:paraId="35A2259C" w14:textId="5A75C8A2" w:rsidR="0001494C" w:rsidRPr="002B2E80" w:rsidRDefault="0001494C" w:rsidP="0001494C">
      <w:r w:rsidRPr="002B2E80">
        <w:fldChar w:fldCharType="begin"/>
      </w:r>
      <w:r w:rsidRPr="002B2E80">
        <w:instrText xml:space="preserve"> AUTONUM  </w:instrText>
      </w:r>
      <w:r w:rsidRPr="002B2E80">
        <w:fldChar w:fldCharType="end"/>
      </w:r>
      <w:r w:rsidRPr="002B2E80">
        <w:tab/>
      </w:r>
      <w:r w:rsidR="00064944" w:rsidRPr="002B2E80">
        <w:t>El TWM tomó nota del informe del representante de la OCDE en el sentido de que los Programas de Semillas de la OCDE ya habían respaldado la colaboración con la UPOV para la posible armonización de definiciones y términos.</w:t>
      </w:r>
    </w:p>
    <w:p w14:paraId="3E1F556F" w14:textId="77777777" w:rsidR="00257D41" w:rsidRPr="002B2E80" w:rsidRDefault="00257D41" w:rsidP="0001494C"/>
    <w:p w14:paraId="584A3239" w14:textId="2A7EE10A" w:rsidR="006F3491" w:rsidRPr="002B2E80" w:rsidRDefault="00D856D9" w:rsidP="00CD197C">
      <w:pPr>
        <w:tabs>
          <w:tab w:val="left" w:pos="5387"/>
          <w:tab w:val="left" w:pos="6237"/>
        </w:tabs>
        <w:ind w:left="4820"/>
        <w:rPr>
          <w:i/>
          <w:iCs/>
        </w:rPr>
      </w:pPr>
      <w:r w:rsidRPr="002B2E80">
        <w:rPr>
          <w:i/>
          <w:iCs/>
        </w:rPr>
        <w:fldChar w:fldCharType="begin"/>
      </w:r>
      <w:r w:rsidRPr="002B2E80">
        <w:rPr>
          <w:i/>
          <w:iCs/>
        </w:rPr>
        <w:instrText xml:space="preserve"> AUTONUM  </w:instrText>
      </w:r>
      <w:r w:rsidRPr="002B2E80">
        <w:rPr>
          <w:i/>
          <w:iCs/>
        </w:rPr>
        <w:fldChar w:fldCharType="end"/>
      </w:r>
      <w:r w:rsidRPr="002B2E80">
        <w:rPr>
          <w:i/>
          <w:iCs/>
        </w:rPr>
        <w:tab/>
        <w:t>Se invita al TC a</w:t>
      </w:r>
      <w:r w:rsidR="006F3491" w:rsidRPr="002B2E80">
        <w:rPr>
          <w:i/>
          <w:iCs/>
        </w:rPr>
        <w:t>:</w:t>
      </w:r>
    </w:p>
    <w:p w14:paraId="51A93B1C" w14:textId="77777777" w:rsidR="006F3491" w:rsidRPr="002B2E80" w:rsidRDefault="006F3491" w:rsidP="00CD197C">
      <w:pPr>
        <w:tabs>
          <w:tab w:val="left" w:pos="5387"/>
          <w:tab w:val="left" w:pos="6237"/>
        </w:tabs>
        <w:ind w:left="4820"/>
        <w:rPr>
          <w:i/>
          <w:iCs/>
        </w:rPr>
      </w:pPr>
    </w:p>
    <w:p w14:paraId="411EB28D" w14:textId="18CC1F55" w:rsidR="00D856D9" w:rsidRPr="002B2E80" w:rsidRDefault="00CD197C" w:rsidP="005972A1">
      <w:pPr>
        <w:tabs>
          <w:tab w:val="left" w:pos="5387"/>
          <w:tab w:val="left" w:pos="5954"/>
        </w:tabs>
        <w:ind w:left="4820"/>
        <w:rPr>
          <w:i/>
          <w:iCs/>
        </w:rPr>
      </w:pPr>
      <w:r w:rsidRPr="002B2E80">
        <w:rPr>
          <w:i/>
          <w:iCs/>
        </w:rPr>
        <w:tab/>
      </w:r>
      <w:r w:rsidR="006F3491" w:rsidRPr="002B2E80">
        <w:rPr>
          <w:i/>
          <w:iCs/>
        </w:rPr>
        <w:t>a)</w:t>
      </w:r>
      <w:r w:rsidR="006F3491" w:rsidRPr="002B2E80">
        <w:rPr>
          <w:i/>
          <w:iCs/>
        </w:rPr>
        <w:tab/>
      </w:r>
      <w:r w:rsidR="00A748EB" w:rsidRPr="002B2E80">
        <w:rPr>
          <w:i/>
          <w:iCs/>
        </w:rPr>
        <w:t>consider</w:t>
      </w:r>
      <w:r w:rsidR="00391943">
        <w:rPr>
          <w:i/>
          <w:iCs/>
        </w:rPr>
        <w:t>ar</w:t>
      </w:r>
      <w:r w:rsidR="00A748EB" w:rsidRPr="002B2E80">
        <w:rPr>
          <w:i/>
          <w:iCs/>
        </w:rPr>
        <w:t xml:space="preserve"> </w:t>
      </w:r>
      <w:r w:rsidR="00391943">
        <w:rPr>
          <w:i/>
          <w:iCs/>
        </w:rPr>
        <w:t xml:space="preserve">la posibilidad de </w:t>
      </w:r>
      <w:r w:rsidR="00A748EB" w:rsidRPr="002B2E80">
        <w:rPr>
          <w:i/>
          <w:iCs/>
        </w:rPr>
        <w:t xml:space="preserve">invitar </w:t>
      </w:r>
      <w:r w:rsidR="00D52ECB" w:rsidRPr="002B2E80">
        <w:rPr>
          <w:i/>
          <w:iCs/>
        </w:rPr>
        <w:t>a Francia</w:t>
      </w:r>
      <w:r w:rsidR="002A4C99" w:rsidRPr="002B2E80">
        <w:rPr>
          <w:i/>
          <w:iCs/>
        </w:rPr>
        <w:t xml:space="preserve">, en </w:t>
      </w:r>
      <w:r w:rsidR="00865A4D" w:rsidRPr="002B2E80">
        <w:rPr>
          <w:i/>
          <w:iCs/>
        </w:rPr>
        <w:t>colaboración con la Argentina, China, Alemania, los Países Bajos (Reino de los), el Reino</w:t>
      </w:r>
      <w:r w:rsidR="00391943">
        <w:rPr>
          <w:i/>
          <w:iCs/>
        </w:rPr>
        <w:t> </w:t>
      </w:r>
      <w:r w:rsidR="00865A4D" w:rsidRPr="002B2E80">
        <w:rPr>
          <w:i/>
          <w:iCs/>
        </w:rPr>
        <w:t>Unido, la CIOPORA y la ISF</w:t>
      </w:r>
      <w:r w:rsidR="00361889" w:rsidRPr="002B2E80">
        <w:rPr>
          <w:i/>
          <w:iCs/>
        </w:rPr>
        <w:t xml:space="preserve">, </w:t>
      </w:r>
      <w:r w:rsidR="00865A4D" w:rsidRPr="002B2E80">
        <w:rPr>
          <w:i/>
          <w:iCs/>
        </w:rPr>
        <w:t xml:space="preserve">a </w:t>
      </w:r>
      <w:r w:rsidR="00A40CBB" w:rsidRPr="002B2E80">
        <w:rPr>
          <w:i/>
          <w:iCs/>
        </w:rPr>
        <w:t xml:space="preserve">organizar la información </w:t>
      </w:r>
      <w:r w:rsidR="00640E10" w:rsidRPr="002B2E80">
        <w:rPr>
          <w:i/>
          <w:iCs/>
        </w:rPr>
        <w:t xml:space="preserve">sobre los términos y definiciones </w:t>
      </w:r>
      <w:r w:rsidR="00F320EE" w:rsidRPr="002B2E80">
        <w:rPr>
          <w:i/>
          <w:iCs/>
        </w:rPr>
        <w:t>de las técnicas moleculares utilizadas en la UPOV</w:t>
      </w:r>
      <w:r w:rsidR="009112CA" w:rsidRPr="002B2E80">
        <w:rPr>
          <w:i/>
          <w:iCs/>
        </w:rPr>
        <w:t xml:space="preserve">, para que el TWM </w:t>
      </w:r>
      <w:r w:rsidR="002D369F" w:rsidRPr="002B2E80">
        <w:rPr>
          <w:i/>
          <w:iCs/>
        </w:rPr>
        <w:t xml:space="preserve">y el TC </w:t>
      </w:r>
      <w:r w:rsidR="009112CA" w:rsidRPr="002B2E80">
        <w:rPr>
          <w:i/>
          <w:iCs/>
        </w:rPr>
        <w:t xml:space="preserve">la examinen </w:t>
      </w:r>
      <w:r w:rsidR="002D369F" w:rsidRPr="002B2E80">
        <w:rPr>
          <w:i/>
          <w:iCs/>
        </w:rPr>
        <w:t>en 2026; y</w:t>
      </w:r>
    </w:p>
    <w:p w14:paraId="1B7B5C0F" w14:textId="3E6B326D" w:rsidR="002D369F" w:rsidRPr="002B2E80" w:rsidRDefault="002D369F" w:rsidP="00CD197C">
      <w:pPr>
        <w:tabs>
          <w:tab w:val="left" w:pos="5387"/>
          <w:tab w:val="left" w:pos="6237"/>
        </w:tabs>
        <w:ind w:left="4820"/>
        <w:rPr>
          <w:i/>
          <w:iCs/>
        </w:rPr>
      </w:pPr>
    </w:p>
    <w:p w14:paraId="36C6CA10" w14:textId="3000137F" w:rsidR="002D369F" w:rsidRPr="002B2E80" w:rsidRDefault="00CD197C" w:rsidP="00CD197C">
      <w:pPr>
        <w:tabs>
          <w:tab w:val="left" w:pos="5387"/>
          <w:tab w:val="left" w:pos="5954"/>
        </w:tabs>
        <w:ind w:left="4820"/>
        <w:rPr>
          <w:i/>
          <w:iCs/>
        </w:rPr>
      </w:pPr>
      <w:r w:rsidRPr="002B2E80">
        <w:rPr>
          <w:i/>
          <w:iCs/>
        </w:rPr>
        <w:tab/>
      </w:r>
      <w:r w:rsidR="002D369F" w:rsidRPr="002B2E80">
        <w:rPr>
          <w:i/>
          <w:iCs/>
        </w:rPr>
        <w:t>b)</w:t>
      </w:r>
      <w:r w:rsidR="002D369F" w:rsidRPr="002B2E80">
        <w:rPr>
          <w:i/>
          <w:iCs/>
        </w:rPr>
        <w:tab/>
      </w:r>
      <w:r w:rsidR="005972A1" w:rsidRPr="002B2E80">
        <w:rPr>
          <w:i/>
          <w:iCs/>
        </w:rPr>
        <w:t>tom</w:t>
      </w:r>
      <w:r w:rsidR="00391943">
        <w:rPr>
          <w:i/>
          <w:iCs/>
        </w:rPr>
        <w:t>ar</w:t>
      </w:r>
      <w:r w:rsidR="005972A1" w:rsidRPr="002B2E80">
        <w:rPr>
          <w:i/>
          <w:iCs/>
        </w:rPr>
        <w:t xml:space="preserve"> nota de que los Programas de Semillas de la OCDE respaldaron la colaboración con la UPOV para la posible armonización de definiciones y términos.</w:t>
      </w:r>
    </w:p>
    <w:p w14:paraId="1ABCE205" w14:textId="77777777" w:rsidR="00D856D9" w:rsidRPr="002B2E80" w:rsidRDefault="00D856D9" w:rsidP="0001494C"/>
    <w:p w14:paraId="5E361452" w14:textId="77777777" w:rsidR="00CF2609" w:rsidRPr="002B2E80" w:rsidRDefault="00CF2609" w:rsidP="001F298F">
      <w:pPr>
        <w:rPr>
          <w:snapToGrid w:val="0"/>
          <w:lang w:eastAsia="ja-JP"/>
        </w:rPr>
      </w:pPr>
    </w:p>
    <w:p w14:paraId="5BB67E8E" w14:textId="77777777" w:rsidR="00CF2609" w:rsidRPr="002B2E80" w:rsidRDefault="00CF2609" w:rsidP="00EF24D5">
      <w:pPr>
        <w:pStyle w:val="Heading2"/>
        <w:rPr>
          <w:snapToGrid w:val="0"/>
          <w:lang w:val="es-ES_tradnl"/>
        </w:rPr>
      </w:pPr>
      <w:bookmarkStart w:id="27" w:name="_Toc210664635"/>
      <w:bookmarkStart w:id="28" w:name="_Hlk208420603"/>
      <w:r w:rsidRPr="002B2E80">
        <w:rPr>
          <w:snapToGrid w:val="0"/>
          <w:lang w:val="es-ES_tradnl"/>
        </w:rPr>
        <w:t>Actualización de la lista de marcadores moleculares utilizados por cultivo</w:t>
      </w:r>
      <w:bookmarkEnd w:id="27"/>
    </w:p>
    <w:bookmarkEnd w:id="28"/>
    <w:p w14:paraId="6A704C9A" w14:textId="77777777" w:rsidR="00475A2F" w:rsidRPr="002B2E80" w:rsidRDefault="00475A2F" w:rsidP="004C120A">
      <w:pPr>
        <w:keepLines/>
        <w:rPr>
          <w:snapToGrid w:val="0"/>
          <w:lang w:eastAsia="ja-JP"/>
        </w:rPr>
      </w:pPr>
    </w:p>
    <w:p w14:paraId="67C4AC8E" w14:textId="2C0B5F10" w:rsidR="009C1407" w:rsidRPr="002B2E80" w:rsidRDefault="009C1407" w:rsidP="001F298F">
      <w:pPr>
        <w:rPr>
          <w:lang w:eastAsia="ja-JP"/>
        </w:rPr>
      </w:pPr>
      <w:r w:rsidRPr="002B2E80">
        <w:fldChar w:fldCharType="begin"/>
      </w:r>
      <w:r w:rsidRPr="002B2E80">
        <w:instrText xml:space="preserve"> AUTONUM  </w:instrText>
      </w:r>
      <w:r w:rsidRPr="002B2E80">
        <w:fldChar w:fldCharType="end"/>
      </w:r>
      <w:r w:rsidRPr="002B2E80">
        <w:tab/>
        <w:t xml:space="preserve">El TWM recordó que los resultados de la encuesta realizada a los miembros de la UPOV </w:t>
      </w:r>
      <w:r w:rsidR="005E19F3">
        <w:br/>
      </w:r>
      <w:r w:rsidRPr="002B2E80">
        <w:t xml:space="preserve">sobre el uso de marcadores moleculares por cultivo estaban disponibles en forma de hoja de cálculo </w:t>
      </w:r>
      <w:r w:rsidR="005E19F3">
        <w:br/>
      </w:r>
      <w:r w:rsidRPr="002B2E80">
        <w:t xml:space="preserve">en la página web del Comité Técnico, en su </w:t>
      </w:r>
      <w:r w:rsidR="005E19F3" w:rsidRPr="00B53870">
        <w:t xml:space="preserve">quincuagésima </w:t>
      </w:r>
      <w:r w:rsidR="005E19F3">
        <w:t xml:space="preserve">octava </w:t>
      </w:r>
      <w:r w:rsidRPr="002B2E80">
        <w:t xml:space="preserve">sesión (véase: </w:t>
      </w:r>
      <w:hyperlink r:id="rId17" w:history="1">
        <w:r w:rsidRPr="002B2E80">
          <w:rPr>
            <w:rStyle w:val="Hyperlink"/>
          </w:rPr>
          <w:t>https://www.upov.int/meetings/en/doc_details.jsp?meeting_id=67786&amp;doc_id=586962</w:t>
        </w:r>
      </w:hyperlink>
      <w:r w:rsidRPr="002B2E80">
        <w:t>).</w:t>
      </w:r>
    </w:p>
    <w:p w14:paraId="77E329BD" w14:textId="77777777" w:rsidR="00CF2609" w:rsidRPr="002B2E80" w:rsidRDefault="00CF2609" w:rsidP="00CF2609">
      <w:pPr>
        <w:rPr>
          <w:snapToGrid w:val="0"/>
          <w:lang w:eastAsia="ja-JP"/>
        </w:rPr>
      </w:pPr>
    </w:p>
    <w:p w14:paraId="60C54067" w14:textId="71D4173C" w:rsidR="00CF2609" w:rsidRPr="002B2E80" w:rsidRDefault="00CF2609" w:rsidP="00CF2609">
      <w:pPr>
        <w:rPr>
          <w:snapToGrid w:val="0"/>
          <w:lang w:eastAsia="ja-JP"/>
        </w:rPr>
      </w:pPr>
      <w:r w:rsidRPr="002B2E80">
        <w:fldChar w:fldCharType="begin"/>
      </w:r>
      <w:r w:rsidRPr="002B2E80">
        <w:instrText xml:space="preserve"> AUTONUM  </w:instrText>
      </w:r>
      <w:r w:rsidRPr="002B2E80">
        <w:fldChar w:fldCharType="end"/>
      </w:r>
      <w:r w:rsidRPr="002B2E80">
        <w:tab/>
        <w:t xml:space="preserve">El </w:t>
      </w:r>
      <w:r w:rsidRPr="002B2E80">
        <w:rPr>
          <w:rFonts w:hint="eastAsia"/>
          <w:lang w:eastAsia="ja-JP"/>
        </w:rPr>
        <w:t>TWM</w:t>
      </w:r>
      <w:r w:rsidRPr="002B2E80">
        <w:rPr>
          <w:rStyle w:val="FootnoteReference"/>
        </w:rPr>
        <w:footnoteReference w:id="18"/>
      </w:r>
      <w:r w:rsidRPr="002B2E80">
        <w:t xml:space="preserve"> acogió con satisfacción la propuesta de los Países Bajos (Reino de los) de </w:t>
      </w:r>
      <w:r w:rsidR="00361889" w:rsidRPr="002B2E80">
        <w:t xml:space="preserve">coordinar </w:t>
      </w:r>
      <w:r w:rsidRPr="002B2E80">
        <w:t xml:space="preserve">la actualización de la lista de marcadores moleculares utilizados por cultivo, que se había comunicado al Comité Técnico en su </w:t>
      </w:r>
      <w:r w:rsidR="005E19F3" w:rsidRPr="00B53870">
        <w:t xml:space="preserve">quincuagésima </w:t>
      </w:r>
      <w:r w:rsidR="005E19F3">
        <w:t>octava</w:t>
      </w:r>
      <w:r w:rsidRPr="002B2E80">
        <w:t xml:space="preserve"> sesión</w:t>
      </w:r>
      <w:r w:rsidRPr="002B2E80">
        <w:rPr>
          <w:rFonts w:hint="eastAsia"/>
          <w:lang w:eastAsia="ja-JP"/>
        </w:rPr>
        <w:t>.</w:t>
      </w:r>
    </w:p>
    <w:p w14:paraId="35F67DA0" w14:textId="77777777" w:rsidR="00BD40C6" w:rsidRPr="002B2E80" w:rsidRDefault="00BD40C6" w:rsidP="00BD40C6">
      <w:pPr>
        <w:rPr>
          <w:lang w:eastAsia="ja-JP"/>
        </w:rPr>
      </w:pPr>
    </w:p>
    <w:p w14:paraId="4C3E394B" w14:textId="7CDF864A" w:rsidR="00BD40C6" w:rsidRPr="002B2E80" w:rsidRDefault="00BD40C6" w:rsidP="001F298F">
      <w:pPr>
        <w:pStyle w:val="DecisionParagraphs"/>
        <w:rPr>
          <w:lang w:eastAsia="ja-JP"/>
        </w:rPr>
      </w:pPr>
      <w:r w:rsidRPr="002B2E80">
        <w:rPr>
          <w:lang w:eastAsia="ja-JP"/>
        </w:rPr>
        <w:fldChar w:fldCharType="begin"/>
      </w:r>
      <w:r w:rsidRPr="002B2E80">
        <w:rPr>
          <w:lang w:eastAsia="ja-JP"/>
        </w:rPr>
        <w:instrText xml:space="preserve"> AUTONUM  </w:instrText>
      </w:r>
      <w:r w:rsidRPr="002B2E80">
        <w:rPr>
          <w:lang w:eastAsia="ja-JP"/>
        </w:rPr>
        <w:fldChar w:fldCharType="end"/>
      </w:r>
      <w:r w:rsidRPr="002B2E80">
        <w:rPr>
          <w:lang w:eastAsia="ja-JP"/>
        </w:rPr>
        <w:tab/>
        <w:t>Se invita al TC a consider</w:t>
      </w:r>
      <w:r w:rsidR="00391943">
        <w:rPr>
          <w:lang w:eastAsia="ja-JP"/>
        </w:rPr>
        <w:t>ar</w:t>
      </w:r>
      <w:r w:rsidRPr="002B2E80">
        <w:rPr>
          <w:lang w:eastAsia="ja-JP"/>
        </w:rPr>
        <w:t xml:space="preserve"> la posibilidad de invitar a</w:t>
      </w:r>
      <w:r w:rsidR="00391943">
        <w:rPr>
          <w:lang w:eastAsia="ja-JP"/>
        </w:rPr>
        <w:t xml:space="preserve"> </w:t>
      </w:r>
      <w:r w:rsidRPr="002B2E80">
        <w:rPr>
          <w:lang w:eastAsia="ja-JP"/>
        </w:rPr>
        <w:t xml:space="preserve">los Países Bajos </w:t>
      </w:r>
      <w:r w:rsidR="00391943">
        <w:rPr>
          <w:lang w:eastAsia="ja-JP"/>
        </w:rPr>
        <w:t>(</w:t>
      </w:r>
      <w:r w:rsidR="00391943" w:rsidRPr="002B2E80">
        <w:rPr>
          <w:lang w:eastAsia="ja-JP"/>
        </w:rPr>
        <w:t>Reino de</w:t>
      </w:r>
      <w:r w:rsidR="00391943">
        <w:rPr>
          <w:lang w:eastAsia="ja-JP"/>
        </w:rPr>
        <w:t xml:space="preserve">) </w:t>
      </w:r>
      <w:r w:rsidRPr="002B2E80">
        <w:rPr>
          <w:lang w:eastAsia="ja-JP"/>
        </w:rPr>
        <w:t xml:space="preserve">a </w:t>
      </w:r>
      <w:r w:rsidR="00361889" w:rsidRPr="002B2E80">
        <w:rPr>
          <w:lang w:eastAsia="ja-JP"/>
        </w:rPr>
        <w:t xml:space="preserve">coordinar </w:t>
      </w:r>
      <w:r w:rsidRPr="002B2E80">
        <w:rPr>
          <w:lang w:eastAsia="ja-JP"/>
        </w:rPr>
        <w:t xml:space="preserve">la actualización de la lista de marcadores moleculares utilizados por cultivo elaborada por la UPOV y disponible en la página web de la </w:t>
      </w:r>
      <w:r w:rsidR="001F298F" w:rsidRPr="002B2E80">
        <w:rPr>
          <w:lang w:eastAsia="ja-JP"/>
        </w:rPr>
        <w:t xml:space="preserve">cincuenta y octava </w:t>
      </w:r>
      <w:r w:rsidRPr="002B2E80">
        <w:rPr>
          <w:lang w:eastAsia="ja-JP"/>
        </w:rPr>
        <w:t xml:space="preserve">sesión del TC. </w:t>
      </w:r>
    </w:p>
    <w:p w14:paraId="1B151BED" w14:textId="77777777" w:rsidR="00CF2609" w:rsidRPr="002B2E80" w:rsidRDefault="00CF2609" w:rsidP="00CF2609">
      <w:pPr>
        <w:rPr>
          <w:snapToGrid w:val="0"/>
          <w:lang w:eastAsia="ja-JP"/>
        </w:rPr>
      </w:pPr>
    </w:p>
    <w:p w14:paraId="09654555" w14:textId="2C61F37C" w:rsidR="00773ED0" w:rsidRPr="002B2E80" w:rsidRDefault="0035048E" w:rsidP="00AF5629">
      <w:pPr>
        <w:pStyle w:val="Heading2"/>
        <w:rPr>
          <w:lang w:val="es-ES_tradnl" w:eastAsia="ja-JP"/>
        </w:rPr>
      </w:pPr>
      <w:bookmarkStart w:id="29" w:name="_Toc210664636"/>
      <w:r w:rsidRPr="002B2E80">
        <w:rPr>
          <w:lang w:val="es-ES_tradnl"/>
        </w:rPr>
        <w:lastRenderedPageBreak/>
        <w:t>Conjuntos comunes de marcadores moleculares para la identificación de variedades</w:t>
      </w:r>
      <w:bookmarkEnd w:id="29"/>
    </w:p>
    <w:p w14:paraId="50592673" w14:textId="77777777" w:rsidR="00773ED0" w:rsidRPr="002B2E80" w:rsidRDefault="00773ED0" w:rsidP="00A00571">
      <w:pPr>
        <w:pStyle w:val="ListParagraph"/>
        <w:keepNext/>
        <w:tabs>
          <w:tab w:val="left" w:pos="567"/>
        </w:tabs>
        <w:ind w:left="0"/>
        <w:jc w:val="both"/>
        <w:rPr>
          <w:rFonts w:eastAsiaTheme="minorEastAsia"/>
          <w:lang w:eastAsia="ja-JP"/>
        </w:rPr>
      </w:pPr>
    </w:p>
    <w:p w14:paraId="0FBA0A2C" w14:textId="0D59DE81" w:rsidR="00F37B93" w:rsidRPr="002B2E80" w:rsidRDefault="00F37B93" w:rsidP="00F37B93">
      <w:pPr>
        <w:pStyle w:val="Heading3"/>
        <w:rPr>
          <w:lang w:val="es-ES_tradnl" w:eastAsia="ja-JP"/>
        </w:rPr>
      </w:pPr>
      <w:bookmarkStart w:id="30" w:name="_Toc210664637"/>
      <w:r w:rsidRPr="002B2E80">
        <w:rPr>
          <w:lang w:val="es-ES_tradnl" w:eastAsia="ja-JP"/>
        </w:rPr>
        <w:t>Análisis prospectivo</w:t>
      </w:r>
      <w:bookmarkEnd w:id="30"/>
    </w:p>
    <w:p w14:paraId="2DCC6C7E" w14:textId="77777777" w:rsidR="00F37B93" w:rsidRPr="002B2E80" w:rsidRDefault="00F37B93" w:rsidP="00A00571">
      <w:pPr>
        <w:pStyle w:val="ListParagraph"/>
        <w:keepNext/>
        <w:tabs>
          <w:tab w:val="left" w:pos="567"/>
        </w:tabs>
        <w:ind w:left="0"/>
        <w:jc w:val="both"/>
        <w:rPr>
          <w:rFonts w:eastAsiaTheme="minorEastAsia"/>
          <w:lang w:eastAsia="ja-JP"/>
        </w:rPr>
      </w:pPr>
    </w:p>
    <w:p w14:paraId="5526299C" w14:textId="5D97079C" w:rsidR="00F37B93" w:rsidRPr="002B2E80" w:rsidRDefault="00EA4921" w:rsidP="00FE38C7">
      <w:r w:rsidRPr="002B2E80">
        <w:fldChar w:fldCharType="begin"/>
      </w:r>
      <w:r w:rsidRPr="002B2E80">
        <w:instrText xml:space="preserve"> AUTONUM  </w:instrText>
      </w:r>
      <w:r w:rsidRPr="002B2E80">
        <w:fldChar w:fldCharType="end"/>
      </w:r>
      <w:r w:rsidRPr="002B2E80">
        <w:tab/>
      </w:r>
      <w:r w:rsidR="00361889" w:rsidRPr="002B2E80">
        <w:t>El ejercicio de exploración prospectiva</w:t>
      </w:r>
      <w:r w:rsidR="00C94359" w:rsidRPr="002B2E80">
        <w:t xml:space="preserve"> de la UPOV </w:t>
      </w:r>
      <w:r w:rsidR="00361889" w:rsidRPr="002B2E80">
        <w:t xml:space="preserve">resumido en el Plan </w:t>
      </w:r>
      <w:r w:rsidR="00AB1F6B">
        <w:t xml:space="preserve">Operativo </w:t>
      </w:r>
      <w:r w:rsidR="00361889" w:rsidRPr="002B2E80">
        <w:t>Estratégico de la</w:t>
      </w:r>
      <w:r w:rsidR="00AB1F6B">
        <w:t> </w:t>
      </w:r>
      <w:r w:rsidR="00361889" w:rsidRPr="002B2E80">
        <w:t xml:space="preserve">UPOV para 2026-2029 (documento C/59/14) ha puesto de manifiesto la creciente dependencia del análisis de ADN para </w:t>
      </w:r>
      <w:r w:rsidR="00C94359" w:rsidRPr="002B2E80">
        <w:t>la identificación de</w:t>
      </w:r>
      <w:r w:rsidR="00361889" w:rsidRPr="002B2E80">
        <w:t xml:space="preserve"> variedades</w:t>
      </w:r>
      <w:r w:rsidR="00C94359" w:rsidRPr="002B2E80">
        <w:t xml:space="preserve">. También ha hecho un </w:t>
      </w:r>
      <w:r w:rsidR="00361889" w:rsidRPr="002B2E80">
        <w:t xml:space="preserve">llamamiento a la UPOV para que elabore normas en este ámbito y explore medios para la gestión de datos y la colaboración en actividades relacionadas con la ciencia de datos.  </w:t>
      </w:r>
    </w:p>
    <w:p w14:paraId="792BB336" w14:textId="77777777" w:rsidR="00F37B93" w:rsidRPr="002B2E80" w:rsidRDefault="00F37B93" w:rsidP="00F37B93"/>
    <w:p w14:paraId="094C606C" w14:textId="70E4F5BF" w:rsidR="00F37B93" w:rsidRPr="002B2E80" w:rsidRDefault="00F37B93" w:rsidP="00F37B93">
      <w:pPr>
        <w:pStyle w:val="Heading3"/>
        <w:rPr>
          <w:lang w:val="es-ES_tradnl"/>
        </w:rPr>
      </w:pPr>
      <w:bookmarkStart w:id="31" w:name="_Toc210664638"/>
      <w:r w:rsidRPr="002B2E80">
        <w:rPr>
          <w:lang w:val="es-ES_tradnl"/>
        </w:rPr>
        <w:t>Novedades en el Grupo de Trabajo Técnico sobre Métodos y Técnicas de Examen</w:t>
      </w:r>
      <w:bookmarkEnd w:id="31"/>
    </w:p>
    <w:p w14:paraId="19CA48EC" w14:textId="77777777" w:rsidR="00F37B93" w:rsidRPr="002B2E80" w:rsidRDefault="00F37B93" w:rsidP="00F37B93"/>
    <w:p w14:paraId="494A1816" w14:textId="19B5F5F9" w:rsidR="00752016" w:rsidRPr="002B2E80" w:rsidRDefault="00F37B93" w:rsidP="00BF7C58">
      <w:r w:rsidRPr="002B2E80">
        <w:fldChar w:fldCharType="begin"/>
      </w:r>
      <w:r w:rsidRPr="002B2E80">
        <w:instrText xml:space="preserve"> AUTONUM  </w:instrText>
      </w:r>
      <w:r w:rsidRPr="002B2E80">
        <w:fldChar w:fldCharType="end"/>
      </w:r>
      <w:r w:rsidRPr="002B2E80">
        <w:tab/>
      </w:r>
      <w:r w:rsidR="00064944" w:rsidRPr="002B2E80">
        <w:t>El TWM</w:t>
      </w:r>
      <w:r w:rsidR="0035048E" w:rsidRPr="002B2E80">
        <w:rPr>
          <w:rStyle w:val="FootnoteReference"/>
        </w:rPr>
        <w:footnoteReference w:id="19"/>
      </w:r>
      <w:r w:rsidR="00064944" w:rsidRPr="002B2E80">
        <w:t xml:space="preserve"> debatió el establecimiento de conjuntos comunes de marcadores moleculares para la identificación de variedades y acordó invitar a la UPOV, la OCDE y la ISTA a seguir examinando los retos y oportunidades de esta iniciativa, tales como los cultivos, la escala de armonización (por ejemplo, regional, mundial) y los aspectos relacionados con los marcadores moleculares. El TWM convino en que la colaboración con los obtentores podría facilitar la selección de conjuntos de marcadores que representaran esos programas de obtención.</w:t>
      </w:r>
    </w:p>
    <w:p w14:paraId="42A6E392" w14:textId="77777777" w:rsidR="00646FDE" w:rsidRPr="002B2E80" w:rsidRDefault="00646FDE" w:rsidP="0001494C"/>
    <w:p w14:paraId="517CB2F5" w14:textId="263EABE3" w:rsidR="00752016" w:rsidRPr="002B2E80" w:rsidRDefault="00752016" w:rsidP="0001494C">
      <w:pPr>
        <w:rPr>
          <w:lang w:eastAsia="ja-JP"/>
        </w:rPr>
      </w:pPr>
      <w:r w:rsidRPr="002B2E80">
        <w:rPr>
          <w:lang w:eastAsia="ja-JP"/>
        </w:rPr>
        <w:fldChar w:fldCharType="begin"/>
      </w:r>
      <w:r w:rsidRPr="002B2E80">
        <w:rPr>
          <w:lang w:eastAsia="ja-JP"/>
        </w:rPr>
        <w:instrText xml:space="preserve"> AUTONUM  </w:instrText>
      </w:r>
      <w:r w:rsidRPr="002B2E80">
        <w:rPr>
          <w:lang w:eastAsia="ja-JP"/>
        </w:rPr>
        <w:fldChar w:fldCharType="end"/>
      </w:r>
      <w:r w:rsidRPr="002B2E80">
        <w:rPr>
          <w:lang w:eastAsia="ja-JP"/>
        </w:rPr>
        <w:tab/>
      </w:r>
      <w:r w:rsidR="00C1212B" w:rsidRPr="002B2E80">
        <w:rPr>
          <w:lang w:eastAsia="ja-JP"/>
        </w:rPr>
        <w:t xml:space="preserve">Tras la sesión del TWM, </w:t>
      </w:r>
      <w:r w:rsidR="0013452A" w:rsidRPr="002B2E80">
        <w:rPr>
          <w:lang w:eastAsia="ja-JP"/>
        </w:rPr>
        <w:t xml:space="preserve">la Reunión Anual de los Sistemas de Semillas de la OCDE </w:t>
      </w:r>
      <w:r w:rsidR="00F82AE5" w:rsidRPr="002B2E80">
        <w:rPr>
          <w:lang w:eastAsia="ja-JP"/>
        </w:rPr>
        <w:t xml:space="preserve">aprobó </w:t>
      </w:r>
      <w:r w:rsidR="008C3929" w:rsidRPr="002B2E80">
        <w:rPr>
          <w:lang w:eastAsia="ja-JP"/>
        </w:rPr>
        <w:t xml:space="preserve">que los Sistemas de Semillas de la OCDE colaboraran con la ISTA y la UPOV para comenzar a trabajar en el establecimiento de conjuntos comunes de marcadores moleculares para la identificación de variedades. </w:t>
      </w:r>
      <w:r w:rsidR="00873F5B" w:rsidRPr="002B2E80">
        <w:rPr>
          <w:lang w:eastAsia="ja-JP"/>
        </w:rPr>
        <w:t xml:space="preserve">Los Sistemas de Semillas de la OCDE </w:t>
      </w:r>
      <w:r w:rsidR="00F024D6" w:rsidRPr="002B2E80">
        <w:rPr>
          <w:lang w:eastAsia="ja-JP"/>
        </w:rPr>
        <w:t>acordaron invitar a las autoridades nacionales designadas (</w:t>
      </w:r>
      <w:r w:rsidR="00E57E20" w:rsidRPr="002B2E80">
        <w:rPr>
          <w:lang w:eastAsia="ja-JP"/>
        </w:rPr>
        <w:t>AND</w:t>
      </w:r>
      <w:r w:rsidR="00F024D6" w:rsidRPr="002B2E80">
        <w:rPr>
          <w:lang w:eastAsia="ja-JP"/>
        </w:rPr>
        <w:t xml:space="preserve">) </w:t>
      </w:r>
      <w:r w:rsidR="00E57E20" w:rsidRPr="002B2E80">
        <w:rPr>
          <w:lang w:eastAsia="ja-JP"/>
        </w:rPr>
        <w:t xml:space="preserve">a proporcionar </w:t>
      </w:r>
      <w:r w:rsidR="00332065" w:rsidRPr="002B2E80">
        <w:rPr>
          <w:lang w:eastAsia="ja-JP"/>
        </w:rPr>
        <w:t xml:space="preserve">los nombres de </w:t>
      </w:r>
      <w:r w:rsidR="00E57E20" w:rsidRPr="002B2E80">
        <w:rPr>
          <w:lang w:eastAsia="ja-JP"/>
        </w:rPr>
        <w:t>expertos para comenzar a trabajar en este tema</w:t>
      </w:r>
      <w:r w:rsidR="00A07516" w:rsidRPr="002B2E80">
        <w:rPr>
          <w:rStyle w:val="FootnoteReference"/>
          <w:lang w:eastAsia="ja-JP"/>
        </w:rPr>
        <w:t xml:space="preserve">. </w:t>
      </w:r>
      <w:r w:rsidR="00A07516" w:rsidRPr="002B2E80">
        <w:rPr>
          <w:rStyle w:val="FootnoteReference"/>
          <w:lang w:eastAsia="ja-JP"/>
        </w:rPr>
        <w:footnoteReference w:id="20"/>
      </w:r>
    </w:p>
    <w:p w14:paraId="0D8CC3FB" w14:textId="77777777" w:rsidR="00B63F38" w:rsidRPr="002B2E80" w:rsidRDefault="00B63F38" w:rsidP="00EF4B00">
      <w:pPr>
        <w:rPr>
          <w:snapToGrid w:val="0"/>
          <w:lang w:eastAsia="ja-JP"/>
        </w:rPr>
      </w:pPr>
    </w:p>
    <w:p w14:paraId="754791A4" w14:textId="606741C0" w:rsidR="00726D57" w:rsidRPr="002B2E80" w:rsidRDefault="002E5282" w:rsidP="00AB1F6B">
      <w:pPr>
        <w:pStyle w:val="DecisionParagraphs"/>
        <w:rPr>
          <w:snapToGrid w:val="0"/>
          <w:lang w:eastAsia="ja-JP"/>
        </w:rPr>
      </w:pPr>
      <w:r w:rsidRPr="002B2E80">
        <w:rPr>
          <w:snapToGrid w:val="0"/>
          <w:lang w:eastAsia="ja-JP"/>
        </w:rPr>
        <w:fldChar w:fldCharType="begin"/>
      </w:r>
      <w:r w:rsidRPr="002B2E80">
        <w:rPr>
          <w:snapToGrid w:val="0"/>
          <w:lang w:eastAsia="ja-JP"/>
        </w:rPr>
        <w:instrText xml:space="preserve"> AUTONUM  </w:instrText>
      </w:r>
      <w:r w:rsidRPr="002B2E80">
        <w:rPr>
          <w:snapToGrid w:val="0"/>
          <w:lang w:eastAsia="ja-JP"/>
        </w:rPr>
        <w:fldChar w:fldCharType="end"/>
      </w:r>
      <w:r w:rsidRPr="002B2E80">
        <w:rPr>
          <w:snapToGrid w:val="0"/>
          <w:lang w:eastAsia="ja-JP"/>
        </w:rPr>
        <w:tab/>
      </w:r>
      <w:r w:rsidR="00361889" w:rsidRPr="002B2E80">
        <w:rPr>
          <w:snapToGrid w:val="0"/>
          <w:lang w:eastAsia="ja-JP"/>
        </w:rPr>
        <w:t xml:space="preserve">Se </w:t>
      </w:r>
      <w:r w:rsidRPr="002B2E80">
        <w:rPr>
          <w:snapToGrid w:val="0"/>
          <w:lang w:eastAsia="ja-JP"/>
        </w:rPr>
        <w:t xml:space="preserve">invita al TC </w:t>
      </w:r>
      <w:r w:rsidR="00361889" w:rsidRPr="002B2E80">
        <w:rPr>
          <w:snapToGrid w:val="0"/>
          <w:lang w:eastAsia="ja-JP"/>
        </w:rPr>
        <w:t xml:space="preserve">y al CAJ </w:t>
      </w:r>
      <w:r w:rsidRPr="002B2E80">
        <w:rPr>
          <w:snapToGrid w:val="0"/>
          <w:lang w:eastAsia="ja-JP"/>
        </w:rPr>
        <w:t>a</w:t>
      </w:r>
      <w:r w:rsidR="00726D57" w:rsidRPr="002B2E80">
        <w:rPr>
          <w:snapToGrid w:val="0"/>
          <w:lang w:eastAsia="ja-JP"/>
        </w:rPr>
        <w:t>:</w:t>
      </w:r>
    </w:p>
    <w:p w14:paraId="23D02233" w14:textId="77777777" w:rsidR="00726D57" w:rsidRPr="002B2E80" w:rsidRDefault="00726D57" w:rsidP="00AB1F6B">
      <w:pPr>
        <w:pStyle w:val="DecisionParagraphs"/>
        <w:rPr>
          <w:snapToGrid w:val="0"/>
          <w:lang w:eastAsia="ja-JP"/>
        </w:rPr>
      </w:pPr>
    </w:p>
    <w:p w14:paraId="2CC2A13D" w14:textId="1A2A9CB9" w:rsidR="00AA6936" w:rsidRPr="002B2E80" w:rsidRDefault="00726D57" w:rsidP="00AB1F6B">
      <w:pPr>
        <w:pStyle w:val="DecisionParagraphs"/>
        <w:rPr>
          <w:snapToGrid w:val="0"/>
          <w:lang w:eastAsia="ja-JP"/>
        </w:rPr>
      </w:pPr>
      <w:r w:rsidRPr="002B2E80">
        <w:rPr>
          <w:snapToGrid w:val="0"/>
          <w:lang w:eastAsia="ja-JP"/>
        </w:rPr>
        <w:tab/>
        <w:t>(a)</w:t>
      </w:r>
      <w:r w:rsidRPr="002B2E80">
        <w:rPr>
          <w:snapToGrid w:val="0"/>
          <w:lang w:eastAsia="ja-JP"/>
        </w:rPr>
        <w:tab/>
      </w:r>
      <w:r w:rsidR="00361889" w:rsidRPr="002B2E80">
        <w:rPr>
          <w:snapToGrid w:val="0"/>
          <w:lang w:eastAsia="ja-JP"/>
        </w:rPr>
        <w:t xml:space="preserve">respaldar la colaboración </w:t>
      </w:r>
      <w:r w:rsidR="00CF689F" w:rsidRPr="002B2E80">
        <w:rPr>
          <w:snapToGrid w:val="0"/>
          <w:lang w:eastAsia="ja-JP"/>
        </w:rPr>
        <w:t xml:space="preserve">con la OCDE y la ISTA para </w:t>
      </w:r>
      <w:r w:rsidR="00DC3382" w:rsidRPr="002B2E80">
        <w:rPr>
          <w:rFonts w:hint="eastAsia"/>
          <w:lang w:eastAsia="ja-JP"/>
        </w:rPr>
        <w:t xml:space="preserve">establecer conjuntos comunes de </w:t>
      </w:r>
      <w:r w:rsidR="00DC3382" w:rsidRPr="002B2E80">
        <w:t>marcadores moleculares para la identificación de variedades</w:t>
      </w:r>
      <w:r w:rsidRPr="002B2E80">
        <w:rPr>
          <w:snapToGrid w:val="0"/>
          <w:lang w:eastAsia="ja-JP"/>
        </w:rPr>
        <w:t xml:space="preserve">; </w:t>
      </w:r>
    </w:p>
    <w:p w14:paraId="0DE974D9" w14:textId="77777777" w:rsidR="00AA6936" w:rsidRPr="002B2E80" w:rsidRDefault="00AA6936" w:rsidP="00AB1F6B">
      <w:pPr>
        <w:pStyle w:val="DecisionParagraphs"/>
        <w:rPr>
          <w:snapToGrid w:val="0"/>
          <w:lang w:eastAsia="ja-JP"/>
        </w:rPr>
      </w:pPr>
    </w:p>
    <w:p w14:paraId="44A495CF" w14:textId="6FCB2C16" w:rsidR="00DC3382" w:rsidRPr="002B2E80" w:rsidRDefault="00AA6936" w:rsidP="00AB1F6B">
      <w:pPr>
        <w:pStyle w:val="DecisionParagraphs"/>
        <w:rPr>
          <w:snapToGrid w:val="0"/>
          <w:lang w:eastAsia="ja-JP"/>
        </w:rPr>
      </w:pPr>
      <w:r w:rsidRPr="002B2E80">
        <w:rPr>
          <w:snapToGrid w:val="0"/>
          <w:lang w:eastAsia="ja-JP"/>
        </w:rPr>
        <w:tab/>
        <w:t>(b)</w:t>
      </w:r>
      <w:r w:rsidRPr="002B2E80">
        <w:rPr>
          <w:snapToGrid w:val="0"/>
          <w:lang w:eastAsia="ja-JP"/>
        </w:rPr>
        <w:tab/>
        <w:t xml:space="preserve">considerar la posibilidad de </w:t>
      </w:r>
      <w:r w:rsidR="00FF4213" w:rsidRPr="002B2E80">
        <w:rPr>
          <w:snapToGrid w:val="0"/>
          <w:lang w:eastAsia="ja-JP"/>
        </w:rPr>
        <w:t xml:space="preserve">seleccionar </w:t>
      </w:r>
      <w:r w:rsidR="00361889" w:rsidRPr="002B2E80">
        <w:rPr>
          <w:snapToGrid w:val="0"/>
          <w:lang w:eastAsia="ja-JP"/>
        </w:rPr>
        <w:t xml:space="preserve">a un </w:t>
      </w:r>
      <w:r w:rsidR="00FF4213" w:rsidRPr="002B2E80">
        <w:rPr>
          <w:snapToGrid w:val="0"/>
          <w:lang w:eastAsia="ja-JP"/>
        </w:rPr>
        <w:t xml:space="preserve">experto o a varios expertos interesados para </w:t>
      </w:r>
      <w:r w:rsidR="00361889" w:rsidRPr="002B2E80">
        <w:rPr>
          <w:snapToGrid w:val="0"/>
          <w:lang w:eastAsia="ja-JP"/>
        </w:rPr>
        <w:t xml:space="preserve">coordinar </w:t>
      </w:r>
      <w:r w:rsidR="00F470DB" w:rsidRPr="002B2E80">
        <w:rPr>
          <w:snapToGrid w:val="0"/>
          <w:lang w:eastAsia="ja-JP"/>
        </w:rPr>
        <w:t xml:space="preserve">el trabajo sobre este tema; </w:t>
      </w:r>
      <w:r w:rsidR="00726D57" w:rsidRPr="002B2E80">
        <w:rPr>
          <w:snapToGrid w:val="0"/>
          <w:lang w:eastAsia="ja-JP"/>
        </w:rPr>
        <w:t>y</w:t>
      </w:r>
    </w:p>
    <w:p w14:paraId="33426E8B" w14:textId="77777777" w:rsidR="00726D57" w:rsidRPr="002B2E80" w:rsidRDefault="00726D57" w:rsidP="00AB1F6B">
      <w:pPr>
        <w:pStyle w:val="DecisionParagraphs"/>
        <w:rPr>
          <w:snapToGrid w:val="0"/>
          <w:lang w:eastAsia="ja-JP"/>
        </w:rPr>
      </w:pPr>
    </w:p>
    <w:p w14:paraId="7075F582" w14:textId="70A6CDEC" w:rsidR="00726D57" w:rsidRPr="002B2E80" w:rsidRDefault="00726D57" w:rsidP="00AB1F6B">
      <w:pPr>
        <w:pStyle w:val="DecisionParagraphs"/>
        <w:rPr>
          <w:snapToGrid w:val="0"/>
          <w:lang w:eastAsia="ja-JP"/>
        </w:rPr>
      </w:pPr>
      <w:r w:rsidRPr="002B2E80">
        <w:rPr>
          <w:snapToGrid w:val="0"/>
          <w:lang w:eastAsia="ja-JP"/>
        </w:rPr>
        <w:tab/>
      </w:r>
      <w:r w:rsidR="00F470DB" w:rsidRPr="002B2E80">
        <w:rPr>
          <w:snapToGrid w:val="0"/>
          <w:lang w:eastAsia="ja-JP"/>
        </w:rPr>
        <w:t>c</w:t>
      </w:r>
      <w:r w:rsidRPr="002B2E80">
        <w:rPr>
          <w:snapToGrid w:val="0"/>
          <w:lang w:eastAsia="ja-JP"/>
        </w:rPr>
        <w:t>)</w:t>
      </w:r>
      <w:r w:rsidRPr="002B2E80">
        <w:rPr>
          <w:snapToGrid w:val="0"/>
          <w:lang w:eastAsia="ja-JP"/>
        </w:rPr>
        <w:tab/>
        <w:t xml:space="preserve">tomar nota de que </w:t>
      </w:r>
      <w:r w:rsidR="0090265A" w:rsidRPr="002B2E80">
        <w:rPr>
          <w:snapToGrid w:val="0"/>
          <w:lang w:eastAsia="ja-JP"/>
        </w:rPr>
        <w:t xml:space="preserve">la OCDE aprobó el </w:t>
      </w:r>
      <w:r w:rsidR="00AA6936" w:rsidRPr="002B2E80">
        <w:rPr>
          <w:snapToGrid w:val="0"/>
          <w:lang w:eastAsia="ja-JP"/>
        </w:rPr>
        <w:t xml:space="preserve">inicio de los trabajos </w:t>
      </w:r>
      <w:r w:rsidR="00F470DB" w:rsidRPr="002B2E80">
        <w:rPr>
          <w:snapToGrid w:val="0"/>
          <w:lang w:eastAsia="ja-JP"/>
        </w:rPr>
        <w:t xml:space="preserve">para establecer </w:t>
      </w:r>
      <w:r w:rsidR="00AA6936" w:rsidRPr="002B2E80">
        <w:rPr>
          <w:snapToGrid w:val="0"/>
          <w:lang w:eastAsia="ja-JP"/>
        </w:rPr>
        <w:t>conjuntos comunes de marcadores moleculares para la identificación de variedades, en colaboración con la ISTA y la UPOV.</w:t>
      </w:r>
    </w:p>
    <w:p w14:paraId="05D549FA" w14:textId="77777777" w:rsidR="00AA6936" w:rsidRPr="002B2E80" w:rsidRDefault="00AA6936" w:rsidP="00FE38C7"/>
    <w:p w14:paraId="782BDC71" w14:textId="77777777" w:rsidR="006B2C85" w:rsidRPr="002B2E80" w:rsidRDefault="006B2C85" w:rsidP="006B2C85">
      <w:pPr>
        <w:pStyle w:val="ListParagraph"/>
        <w:ind w:left="0"/>
        <w:jc w:val="both"/>
        <w:rPr>
          <w:rFonts w:eastAsiaTheme="minorEastAsia"/>
          <w:lang w:eastAsia="ja-JP"/>
        </w:rPr>
      </w:pPr>
    </w:p>
    <w:p w14:paraId="45B4CC6B" w14:textId="2916AB67" w:rsidR="006B2C85" w:rsidRPr="002B2E80" w:rsidRDefault="006B2C85" w:rsidP="00AF5629">
      <w:pPr>
        <w:pStyle w:val="Heading2"/>
        <w:rPr>
          <w:lang w:val="es-ES_tradnl" w:eastAsia="ja-JP"/>
        </w:rPr>
      </w:pPr>
      <w:bookmarkStart w:id="32" w:name="_Toc210664639"/>
      <w:r w:rsidRPr="002B2E80">
        <w:rPr>
          <w:lang w:val="es-ES_tradnl"/>
        </w:rPr>
        <w:t>Información sobre el uso de técnicas moleculares en cada organización</w:t>
      </w:r>
      <w:r w:rsidR="00792A2B" w:rsidRPr="002B2E80">
        <w:rPr>
          <w:lang w:val="es-ES_tradnl"/>
        </w:rPr>
        <w:t xml:space="preserve">: </w:t>
      </w:r>
      <w:r w:rsidR="00E52427" w:rsidRPr="002B2E80">
        <w:rPr>
          <w:lang w:val="es-ES_tradnl"/>
        </w:rPr>
        <w:t xml:space="preserve">posible </w:t>
      </w:r>
      <w:r w:rsidR="00792A2B" w:rsidRPr="002B2E80">
        <w:rPr>
          <w:lang w:val="es-ES_tradnl"/>
        </w:rPr>
        <w:t>reunión conjunta</w:t>
      </w:r>
      <w:bookmarkEnd w:id="32"/>
      <w:r w:rsidR="00792A2B" w:rsidRPr="002B2E80">
        <w:rPr>
          <w:lang w:val="es-ES_tradnl"/>
        </w:rPr>
        <w:t xml:space="preserve"> </w:t>
      </w:r>
    </w:p>
    <w:p w14:paraId="4412F7F7" w14:textId="77777777" w:rsidR="006B2C85" w:rsidRPr="002B2E80" w:rsidRDefault="006B2C85" w:rsidP="006B2C85">
      <w:pPr>
        <w:pStyle w:val="ListParagraph"/>
        <w:ind w:left="0"/>
        <w:jc w:val="both"/>
        <w:rPr>
          <w:rFonts w:eastAsiaTheme="minorEastAsia"/>
          <w:lang w:eastAsia="ja-JP"/>
        </w:rPr>
      </w:pPr>
    </w:p>
    <w:p w14:paraId="26BFA96E" w14:textId="77777777" w:rsidR="006B2C85" w:rsidRPr="002B2E80" w:rsidRDefault="006B2C85" w:rsidP="006B2C85">
      <w:pPr>
        <w:rPr>
          <w:lang w:eastAsia="ja-JP"/>
        </w:rPr>
      </w:pPr>
      <w:r w:rsidRPr="002B2E80">
        <w:fldChar w:fldCharType="begin"/>
      </w:r>
      <w:r w:rsidRPr="002B2E80">
        <w:instrText xml:space="preserve"> AUTONUM  </w:instrText>
      </w:r>
      <w:r w:rsidRPr="002B2E80">
        <w:fldChar w:fldCharType="end"/>
      </w:r>
      <w:r w:rsidRPr="002B2E80">
        <w:tab/>
        <w:t>El TWM debatió la posibilidad de celebrar una reunión conjunta con participantes del TWM, los programas de semillas de la OCDE y el Comité de Variedades de la ISTA para debatir la cooperación en el uso de marcadores moleculares para los fines de cada organización. El TWM convino en que la organización de una reunión conjunta con expertos de las tres organizaciones requeriría disposiciones específicas y debería ser debatida más a fondo por la UPOV, la OCDE y la ISTA.</w:t>
      </w:r>
    </w:p>
    <w:p w14:paraId="21D3AD9D" w14:textId="77777777" w:rsidR="006B2C85" w:rsidRPr="002B2E80" w:rsidRDefault="006B2C85" w:rsidP="006B2C85">
      <w:pPr>
        <w:pStyle w:val="ListParagraph"/>
        <w:ind w:left="0"/>
        <w:jc w:val="both"/>
        <w:rPr>
          <w:rFonts w:eastAsiaTheme="minorEastAsia"/>
          <w:lang w:eastAsia="ja-JP"/>
        </w:rPr>
      </w:pPr>
    </w:p>
    <w:p w14:paraId="50B832E8" w14:textId="74524308" w:rsidR="006B2C85" w:rsidRPr="002B2E80" w:rsidRDefault="006B2C85" w:rsidP="006B2C85">
      <w:pPr>
        <w:pStyle w:val="ListParagraph"/>
        <w:ind w:left="0"/>
        <w:jc w:val="both"/>
      </w:pPr>
      <w:r w:rsidRPr="002B2E80">
        <w:rPr>
          <w:rFonts w:eastAsiaTheme="minorEastAsia"/>
          <w:lang w:eastAsia="ja-JP"/>
        </w:rPr>
        <w:fldChar w:fldCharType="begin"/>
      </w:r>
      <w:r w:rsidRPr="002B2E80">
        <w:instrText xml:space="preserve"> AUTONUM  </w:instrText>
      </w:r>
      <w:r w:rsidRPr="002B2E80">
        <w:rPr>
          <w:rFonts w:eastAsiaTheme="minorEastAsia"/>
          <w:lang w:eastAsia="ja-JP"/>
        </w:rPr>
        <w:fldChar w:fldCharType="end"/>
      </w:r>
      <w:r w:rsidRPr="002B2E80">
        <w:rPr>
          <w:rFonts w:eastAsiaTheme="minorEastAsia"/>
          <w:lang w:eastAsia="ja-JP"/>
        </w:rPr>
        <w:tab/>
        <w:t xml:space="preserve">El TC </w:t>
      </w:r>
      <w:r w:rsidR="00C94359" w:rsidRPr="002B2E80">
        <w:rPr>
          <w:rFonts w:eastAsiaTheme="minorEastAsia"/>
          <w:lang w:eastAsia="ja-JP"/>
        </w:rPr>
        <w:t xml:space="preserve">y el CAJ </w:t>
      </w:r>
      <w:r w:rsidRPr="002B2E80">
        <w:rPr>
          <w:rFonts w:eastAsiaTheme="minorEastAsia"/>
          <w:lang w:eastAsia="ja-JP"/>
        </w:rPr>
        <w:t xml:space="preserve">tal vez deseen </w:t>
      </w:r>
      <w:r w:rsidR="00C94359" w:rsidRPr="002B2E80">
        <w:rPr>
          <w:rFonts w:eastAsiaTheme="minorEastAsia"/>
          <w:lang w:eastAsia="ja-JP"/>
        </w:rPr>
        <w:t xml:space="preserve">respaldar la organización de </w:t>
      </w:r>
      <w:r w:rsidRPr="002B2E80">
        <w:rPr>
          <w:rFonts w:eastAsiaTheme="minorEastAsia"/>
          <w:lang w:eastAsia="ja-JP"/>
        </w:rPr>
        <w:t xml:space="preserve">una </w:t>
      </w:r>
      <w:r w:rsidRPr="002B2E80">
        <w:t xml:space="preserve">reunión conjunta con participantes de la UPOV, los Programas de Semillas de la OCDE y el Comité de Variedades de la ISTA para debatir la cooperación en el uso de marcadores moleculares para los fines de cada organización.  En caso de respuesta positiva, los preparativos para la reunión conjunta se propondrían a la OCDE y la ISTA para su examen.  También se podría consultar al respecto a los futuros anfitriones de las sesiones del TWM. </w:t>
      </w:r>
    </w:p>
    <w:p w14:paraId="4585C413" w14:textId="77777777" w:rsidR="006B2C85" w:rsidRPr="002B2E80" w:rsidRDefault="006B2C85" w:rsidP="006B2C85">
      <w:pPr>
        <w:pStyle w:val="ListParagraph"/>
        <w:ind w:left="0"/>
        <w:jc w:val="both"/>
        <w:rPr>
          <w:rFonts w:eastAsiaTheme="minorEastAsia"/>
          <w:lang w:eastAsia="ja-JP"/>
        </w:rPr>
      </w:pPr>
    </w:p>
    <w:p w14:paraId="37BFE5EB" w14:textId="49F96AD3" w:rsidR="006B2C85" w:rsidRPr="002B2E80" w:rsidRDefault="006B2C85" w:rsidP="006B2C85">
      <w:pPr>
        <w:pStyle w:val="ListParagraph"/>
        <w:keepNext/>
        <w:keepLines/>
        <w:tabs>
          <w:tab w:val="left" w:pos="5387"/>
        </w:tabs>
        <w:ind w:left="4820"/>
        <w:jc w:val="both"/>
        <w:rPr>
          <w:rFonts w:eastAsiaTheme="minorEastAsia"/>
          <w:i/>
          <w:iCs/>
          <w:lang w:eastAsia="ja-JP"/>
        </w:rPr>
      </w:pPr>
      <w:r w:rsidRPr="002B2E80">
        <w:rPr>
          <w:rFonts w:eastAsiaTheme="minorEastAsia"/>
          <w:i/>
          <w:iCs/>
          <w:lang w:eastAsia="ja-JP"/>
        </w:rPr>
        <w:lastRenderedPageBreak/>
        <w:fldChar w:fldCharType="begin"/>
      </w:r>
      <w:r w:rsidRPr="002B2E80">
        <w:instrText xml:space="preserve"> AUTONUM  </w:instrText>
      </w:r>
      <w:r w:rsidRPr="002B2E80">
        <w:rPr>
          <w:rFonts w:eastAsiaTheme="minorEastAsia"/>
          <w:i/>
          <w:iCs/>
          <w:lang w:eastAsia="ja-JP"/>
        </w:rPr>
        <w:fldChar w:fldCharType="end"/>
      </w:r>
      <w:r w:rsidRPr="002B2E80">
        <w:rPr>
          <w:rFonts w:eastAsiaTheme="minorEastAsia"/>
          <w:i/>
          <w:iCs/>
          <w:lang w:eastAsia="ja-JP"/>
        </w:rPr>
        <w:tab/>
        <w:t xml:space="preserve">Se invita al TC </w:t>
      </w:r>
      <w:r w:rsidR="00C94359" w:rsidRPr="002B2E80">
        <w:rPr>
          <w:rFonts w:eastAsiaTheme="minorEastAsia"/>
          <w:i/>
          <w:iCs/>
          <w:lang w:eastAsia="ja-JP"/>
        </w:rPr>
        <w:t xml:space="preserve">y al CAJ </w:t>
      </w:r>
      <w:r w:rsidRPr="002B2E80">
        <w:rPr>
          <w:rFonts w:eastAsiaTheme="minorEastAsia"/>
          <w:i/>
          <w:iCs/>
          <w:lang w:eastAsia="ja-JP"/>
        </w:rPr>
        <w:t xml:space="preserve">a </w:t>
      </w:r>
      <w:r w:rsidR="00C94359" w:rsidRPr="002B2E80">
        <w:rPr>
          <w:rFonts w:eastAsiaTheme="minorEastAsia"/>
          <w:i/>
          <w:iCs/>
          <w:lang w:eastAsia="ja-JP"/>
        </w:rPr>
        <w:t xml:space="preserve">que aprueben </w:t>
      </w:r>
      <w:r w:rsidRPr="002B2E80">
        <w:rPr>
          <w:rFonts w:eastAsiaTheme="minorEastAsia"/>
          <w:i/>
          <w:iCs/>
          <w:lang w:eastAsia="ja-JP"/>
        </w:rPr>
        <w:t xml:space="preserve">la </w:t>
      </w:r>
      <w:r w:rsidR="00C94359" w:rsidRPr="002B2E80">
        <w:rPr>
          <w:rFonts w:eastAsiaTheme="minorEastAsia"/>
          <w:i/>
          <w:iCs/>
          <w:lang w:eastAsia="ja-JP"/>
        </w:rPr>
        <w:t xml:space="preserve">organización </w:t>
      </w:r>
      <w:r w:rsidRPr="002B2E80">
        <w:rPr>
          <w:rFonts w:eastAsiaTheme="minorEastAsia"/>
          <w:i/>
          <w:iCs/>
          <w:lang w:eastAsia="ja-JP"/>
        </w:rPr>
        <w:t xml:space="preserve">de una reunión conjunta con participantes de la UPOV, los sistemas de semillas de la OCDE y el Comité de Variedades de la ISTA para debatir la cooperación en el uso de marcadores moleculares para los fines de cada organización. </w:t>
      </w:r>
    </w:p>
    <w:p w14:paraId="57E43A1E" w14:textId="77777777" w:rsidR="006B2C85" w:rsidRPr="002B2E80" w:rsidRDefault="006B2C85" w:rsidP="00FE38C7"/>
    <w:p w14:paraId="1D74746F" w14:textId="77777777" w:rsidR="00BF7C58" w:rsidRPr="002B2E80" w:rsidRDefault="00BF7C58" w:rsidP="00FE38C7"/>
    <w:p w14:paraId="68752683" w14:textId="77777777" w:rsidR="00A00571" w:rsidRPr="002B2E80" w:rsidRDefault="00A00571" w:rsidP="00FE38C7"/>
    <w:p w14:paraId="38D9EA8D" w14:textId="77777777" w:rsidR="00EF4B00" w:rsidRPr="002B2E80" w:rsidRDefault="00EF4B00" w:rsidP="00975B88">
      <w:pPr>
        <w:pStyle w:val="Heading1"/>
        <w:rPr>
          <w:snapToGrid w:val="0"/>
          <w:lang w:val="es-ES_tradnl" w:eastAsia="ja-JP"/>
        </w:rPr>
      </w:pPr>
      <w:bookmarkStart w:id="33" w:name="_Toc177773948"/>
      <w:bookmarkStart w:id="34" w:name="_Toc210664640"/>
      <w:r w:rsidRPr="002B2E80">
        <w:rPr>
          <w:snapToGrid w:val="0"/>
          <w:lang w:val="es-ES_tradnl" w:eastAsia="ja-JP"/>
        </w:rPr>
        <w:t>Asuntos para información</w:t>
      </w:r>
      <w:bookmarkEnd w:id="33"/>
      <w:bookmarkEnd w:id="34"/>
    </w:p>
    <w:bookmarkEnd w:id="21"/>
    <w:p w14:paraId="41B95F77" w14:textId="77777777" w:rsidR="00EF4B00" w:rsidRPr="002B2E80" w:rsidRDefault="00EF4B00" w:rsidP="00975B88">
      <w:pPr>
        <w:keepNext/>
        <w:jc w:val="left"/>
      </w:pPr>
    </w:p>
    <w:p w14:paraId="4F60587D" w14:textId="215306BA" w:rsidR="00EF4B00" w:rsidRPr="002B2E80" w:rsidRDefault="00A33FD0" w:rsidP="00825360">
      <w:r w:rsidRPr="002B2E80">
        <w:fldChar w:fldCharType="begin"/>
      </w:r>
      <w:r w:rsidRPr="002B2E80">
        <w:instrText xml:space="preserve"> AUTONUM  </w:instrText>
      </w:r>
      <w:r w:rsidRPr="002B2E80">
        <w:fldChar w:fldCharType="end"/>
      </w:r>
      <w:r w:rsidRPr="002B2E80">
        <w:tab/>
        <w:t xml:space="preserve">El TWM celebró su </w:t>
      </w:r>
      <w:r w:rsidR="00487C3A" w:rsidRPr="002B2E80">
        <w:rPr>
          <w:rFonts w:hint="eastAsia"/>
          <w:lang w:eastAsia="ja-JP"/>
        </w:rPr>
        <w:t xml:space="preserve">tercera </w:t>
      </w:r>
      <w:r w:rsidRPr="002B2E80">
        <w:t xml:space="preserve">sesión </w:t>
      </w:r>
      <w:r w:rsidR="00487C3A" w:rsidRPr="002B2E80">
        <w:rPr>
          <w:rFonts w:hint="eastAsia"/>
          <w:lang w:eastAsia="ja-JP"/>
        </w:rPr>
        <w:t xml:space="preserve">en Beijing (China) </w:t>
      </w:r>
      <w:r w:rsidRPr="002B2E80">
        <w:t>del 28 de abril al 1 de</w:t>
      </w:r>
      <w:r w:rsidR="00487C3A" w:rsidRPr="002B2E80">
        <w:rPr>
          <w:rFonts w:hint="eastAsia"/>
          <w:lang w:eastAsia="ja-JP"/>
        </w:rPr>
        <w:t xml:space="preserve"> mayo </w:t>
      </w:r>
      <w:r w:rsidRPr="002B2E80">
        <w:t>de</w:t>
      </w:r>
      <w:r w:rsidR="006A3BDC" w:rsidRPr="002B2E80">
        <w:rPr>
          <w:rFonts w:hint="eastAsia"/>
          <w:lang w:eastAsia="ja-JP"/>
        </w:rPr>
        <w:t xml:space="preserve"> 2025</w:t>
      </w:r>
      <w:r w:rsidRPr="002B2E80">
        <w:t xml:space="preserve">. </w:t>
      </w:r>
      <w:r w:rsidR="00825360" w:rsidRPr="002B2E80">
        <w:t xml:space="preserve">En </w:t>
      </w:r>
      <w:r w:rsidRPr="002B2E80">
        <w:t>las secciones siguientes se informa sobre los avances en materia de técnicas moleculares.</w:t>
      </w:r>
    </w:p>
    <w:p w14:paraId="0E6C8259" w14:textId="77777777" w:rsidR="00A33FD0" w:rsidRPr="002B2E80" w:rsidRDefault="00A33FD0" w:rsidP="00EF4B00"/>
    <w:p w14:paraId="5617DE68" w14:textId="77777777" w:rsidR="00E65203" w:rsidRPr="002B2E80" w:rsidRDefault="00E65203" w:rsidP="003127BF">
      <w:pPr>
        <w:pStyle w:val="Heading2"/>
        <w:keepLines/>
        <w:rPr>
          <w:lang w:val="es-ES_tradnl"/>
        </w:rPr>
      </w:pPr>
      <w:bookmarkStart w:id="35" w:name="_Toc210664641"/>
      <w:r w:rsidRPr="002B2E80">
        <w:rPr>
          <w:lang w:val="es-ES_tradnl"/>
        </w:rPr>
        <w:t>Últimos avances en técnicas moleculares y bioinformática</w:t>
      </w:r>
      <w:bookmarkEnd w:id="35"/>
    </w:p>
    <w:p w14:paraId="6CBC0D3A" w14:textId="77777777" w:rsidR="00E65203" w:rsidRPr="002B2E80" w:rsidRDefault="00E65203" w:rsidP="003127BF">
      <w:pPr>
        <w:keepNext/>
        <w:keepLines/>
      </w:pPr>
    </w:p>
    <w:p w14:paraId="055454EC" w14:textId="77777777" w:rsidR="00E65203" w:rsidRPr="002B2E80" w:rsidRDefault="00E65203" w:rsidP="003127BF">
      <w:pPr>
        <w:pStyle w:val="Heading3"/>
        <w:keepLines/>
        <w:rPr>
          <w:lang w:val="es-ES_tradnl"/>
        </w:rPr>
      </w:pPr>
      <w:bookmarkStart w:id="36" w:name="_Toc210664642"/>
      <w:r w:rsidRPr="002B2E80">
        <w:rPr>
          <w:lang w:val="es-ES_tradnl"/>
        </w:rPr>
        <w:t xml:space="preserve">Actividades de ciencia de datos en Naktuinbouw para el </w:t>
      </w:r>
      <w:proofErr w:type="spellStart"/>
      <w:r w:rsidRPr="002B2E80">
        <w:rPr>
          <w:lang w:val="es-ES_tradnl"/>
        </w:rPr>
        <w:t>genotipado</w:t>
      </w:r>
      <w:proofErr w:type="spellEnd"/>
      <w:r w:rsidRPr="002B2E80">
        <w:rPr>
          <w:lang w:val="es-ES_tradnl"/>
        </w:rPr>
        <w:t xml:space="preserve"> y fenotipado: actualización</w:t>
      </w:r>
      <w:bookmarkEnd w:id="36"/>
    </w:p>
    <w:p w14:paraId="0F4A961D" w14:textId="77777777" w:rsidR="00E65203" w:rsidRPr="002B2E80" w:rsidRDefault="00E65203" w:rsidP="003127BF">
      <w:pPr>
        <w:keepNext/>
        <w:keepLines/>
      </w:pPr>
    </w:p>
    <w:p w14:paraId="3B6D88BD" w14:textId="3E97FDB7" w:rsidR="00E65203" w:rsidRPr="002B2E80" w:rsidRDefault="00BF7C58" w:rsidP="00BF7C58">
      <w:pPr>
        <w:ind w:left="11"/>
      </w:pPr>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w:t>
      </w:r>
      <w:proofErr w:type="spellStart"/>
      <w:r w:rsidR="00E65203" w:rsidRPr="002B2E80">
        <w:t>Sanchari</w:t>
      </w:r>
      <w:proofErr w:type="spellEnd"/>
      <w:r w:rsidR="00E65203" w:rsidRPr="002B2E80">
        <w:t xml:space="preserve"> Sircar</w:t>
      </w:r>
      <w:bookmarkStart w:id="37" w:name="_Hlk195532544"/>
      <w:r w:rsidR="00E65203" w:rsidRPr="002B2E80">
        <w:rPr>
          <w:rFonts w:hint="eastAsia"/>
          <w:lang w:eastAsia="ja-JP"/>
        </w:rPr>
        <w:t xml:space="preserve"> (</w:t>
      </w:r>
      <w:bookmarkStart w:id="38" w:name="_Hlk195537397"/>
      <w:r w:rsidR="00E65203" w:rsidRPr="002B2E80">
        <w:rPr>
          <w:lang w:eastAsia="ja-JP"/>
        </w:rPr>
        <w:t>Países Bajos (Reino de los)</w:t>
      </w:r>
      <w:bookmarkEnd w:id="38"/>
      <w:r w:rsidR="00E65203" w:rsidRPr="002B2E80">
        <w:rPr>
          <w:rFonts w:hint="eastAsia"/>
          <w:lang w:eastAsia="ja-JP"/>
        </w:rPr>
        <w:t>)</w:t>
      </w:r>
      <w:bookmarkEnd w:id="37"/>
      <w:r w:rsidR="00E65203" w:rsidRPr="002B2E80">
        <w:t xml:space="preserve"> sobre «Actividades de ciencia de datos en Naktuinbouw para el </w:t>
      </w:r>
      <w:proofErr w:type="spellStart"/>
      <w:r w:rsidR="00E65203" w:rsidRPr="002B2E80">
        <w:t>genotipado</w:t>
      </w:r>
      <w:proofErr w:type="spellEnd"/>
      <w:r w:rsidR="00E65203" w:rsidRPr="002B2E80">
        <w:t xml:space="preserve"> y fenotipado: actualización», </w:t>
      </w:r>
      <w:r w:rsidR="00E65203" w:rsidRPr="002B2E80">
        <w:rPr>
          <w:rFonts w:cs="Arial"/>
          <w:iCs/>
        </w:rPr>
        <w:t xml:space="preserve">cuya copia figura en el documento </w:t>
      </w:r>
      <w:r w:rsidR="00E65203" w:rsidRPr="002B2E80">
        <w:rPr>
          <w:rFonts w:hint="eastAsia"/>
          <w:lang w:eastAsia="ja-JP"/>
        </w:rPr>
        <w:t>TWM/3/16</w:t>
      </w:r>
      <w:r w:rsidR="00E65203" w:rsidRPr="002B2E80">
        <w:t xml:space="preserve">. </w:t>
      </w:r>
    </w:p>
    <w:p w14:paraId="742388F5" w14:textId="77777777" w:rsidR="00E65203" w:rsidRPr="002B2E80" w:rsidRDefault="00E65203" w:rsidP="00E65203">
      <w:pPr>
        <w:pStyle w:val="ListParagraph"/>
        <w:ind w:left="0"/>
        <w:jc w:val="both"/>
      </w:pPr>
    </w:p>
    <w:p w14:paraId="124A1817" w14:textId="13A05D32"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del desarrollo de software en Naktuinbouw y de la invitación a colaborar en actividades de ciencia de datos, incluidos el análisis de imágenes y la </w:t>
      </w:r>
      <w:proofErr w:type="spellStart"/>
      <w:r w:rsidR="00E65203" w:rsidRPr="002B2E80">
        <w:t>fenotipificación</w:t>
      </w:r>
      <w:proofErr w:type="spellEnd"/>
      <w:r w:rsidR="00E65203" w:rsidRPr="002B2E80">
        <w:t>, el desarrollo de flujos de trabajo, la inteligencia artificial y otras iniciativas de colaboración.</w:t>
      </w:r>
    </w:p>
    <w:p w14:paraId="3F8AF236" w14:textId="77777777" w:rsidR="00E65203" w:rsidRPr="002B2E80" w:rsidRDefault="00E65203" w:rsidP="00E65203"/>
    <w:p w14:paraId="507AE2E0" w14:textId="77777777" w:rsidR="00E65203" w:rsidRPr="002B2E80" w:rsidRDefault="00E65203" w:rsidP="00EF24D5">
      <w:pPr>
        <w:pStyle w:val="Heading2"/>
        <w:rPr>
          <w:lang w:val="es-ES_tradnl"/>
        </w:rPr>
      </w:pPr>
      <w:bookmarkStart w:id="39" w:name="_Toc210664643"/>
      <w:r w:rsidRPr="002B2E80">
        <w:rPr>
          <w:lang w:val="es-ES_tradnl"/>
        </w:rPr>
        <w:t>Cooperación entre organizaciones internacionales</w:t>
      </w:r>
      <w:bookmarkEnd w:id="39"/>
    </w:p>
    <w:p w14:paraId="155E7C60" w14:textId="77777777" w:rsidR="00E65203" w:rsidRPr="002B2E80" w:rsidRDefault="00E65203" w:rsidP="00E65203"/>
    <w:p w14:paraId="64D62FE9" w14:textId="77777777" w:rsidR="00E65203" w:rsidRPr="002B2E80" w:rsidRDefault="00E65203" w:rsidP="00EF24D5">
      <w:pPr>
        <w:pStyle w:val="Heading3"/>
        <w:rPr>
          <w:lang w:val="es-ES_tradnl"/>
        </w:rPr>
      </w:pPr>
      <w:bookmarkStart w:id="40" w:name="_Toc210664644"/>
      <w:r w:rsidRPr="002B2E80">
        <w:rPr>
          <w:lang w:val="es-ES_tradnl"/>
        </w:rPr>
        <w:t>ISTA</w:t>
      </w:r>
      <w:bookmarkEnd w:id="40"/>
    </w:p>
    <w:p w14:paraId="07F8F0F7" w14:textId="77777777" w:rsidR="00E65203" w:rsidRPr="002B2E80" w:rsidRDefault="00E65203" w:rsidP="00E65203"/>
    <w:p w14:paraId="7440D5BF" w14:textId="453C5A23"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Ana Vicario</w:t>
      </w:r>
      <w:r w:rsidR="00E65203" w:rsidRPr="002B2E80">
        <w:rPr>
          <w:rFonts w:hint="eastAsia"/>
          <w:lang w:eastAsia="ja-JP"/>
        </w:rPr>
        <w:t xml:space="preserve">, de </w:t>
      </w:r>
      <w:r w:rsidR="00E65203" w:rsidRPr="002B2E80">
        <w:rPr>
          <w:lang w:eastAsia="ja-JP"/>
        </w:rPr>
        <w:t xml:space="preserve">la International </w:t>
      </w:r>
      <w:proofErr w:type="spellStart"/>
      <w:r w:rsidR="00E65203" w:rsidRPr="002B2E80">
        <w:rPr>
          <w:lang w:eastAsia="ja-JP"/>
        </w:rPr>
        <w:t>Seed</w:t>
      </w:r>
      <w:proofErr w:type="spellEnd"/>
      <w:r w:rsidR="00E65203" w:rsidRPr="002B2E80">
        <w:rPr>
          <w:lang w:eastAsia="ja-JP"/>
        </w:rPr>
        <w:t xml:space="preserve"> </w:t>
      </w:r>
      <w:proofErr w:type="spellStart"/>
      <w:r w:rsidR="00E65203" w:rsidRPr="002B2E80">
        <w:rPr>
          <w:lang w:eastAsia="ja-JP"/>
        </w:rPr>
        <w:t>Testing</w:t>
      </w:r>
      <w:proofErr w:type="spellEnd"/>
      <w:r w:rsidR="00E65203" w:rsidRPr="002B2E80">
        <w:rPr>
          <w:lang w:eastAsia="ja-JP"/>
        </w:rPr>
        <w:t xml:space="preserve"> </w:t>
      </w:r>
      <w:proofErr w:type="spellStart"/>
      <w:r w:rsidR="00E65203" w:rsidRPr="002B2E80">
        <w:rPr>
          <w:lang w:eastAsia="ja-JP"/>
        </w:rPr>
        <w:t>Association</w:t>
      </w:r>
      <w:proofErr w:type="spellEnd"/>
      <w:r w:rsidR="00E65203" w:rsidRPr="002B2E80">
        <w:rPr>
          <w:lang w:eastAsia="ja-JP"/>
        </w:rPr>
        <w:t xml:space="preserve"> (ISTA) </w:t>
      </w:r>
      <w:r w:rsidR="00E65203" w:rsidRPr="002B2E80">
        <w:t>(Asociación Internacional para el Ensayo de Semillas), sobre «</w:t>
      </w:r>
      <w:r w:rsidR="00E65203" w:rsidRPr="002B2E80">
        <w:rPr>
          <w:lang w:eastAsia="ja-JP"/>
        </w:rPr>
        <w:t xml:space="preserve">Actualización de la ISTA sobre el uso de técnicas para la identificación y verificación de </w:t>
      </w:r>
      <w:r w:rsidR="00E65203" w:rsidRPr="002B2E80">
        <w:t xml:space="preserve">variedades», </w:t>
      </w:r>
      <w:r w:rsidR="00E65203" w:rsidRPr="002B2E80">
        <w:rPr>
          <w:rFonts w:cs="Arial"/>
          <w:iCs/>
        </w:rPr>
        <w:t xml:space="preserve">cuya copia figura en el documento </w:t>
      </w:r>
      <w:r w:rsidR="00E65203" w:rsidRPr="002B2E80">
        <w:rPr>
          <w:rFonts w:hint="eastAsia"/>
          <w:lang w:eastAsia="ja-JP"/>
        </w:rPr>
        <w:t>TWM/3/25</w:t>
      </w:r>
      <w:r w:rsidR="00E65203" w:rsidRPr="002B2E80">
        <w:t>.</w:t>
      </w:r>
    </w:p>
    <w:p w14:paraId="7654EC0E" w14:textId="77777777" w:rsidR="00E65203" w:rsidRPr="002B2E80" w:rsidRDefault="00E65203" w:rsidP="00E65203">
      <w:pPr>
        <w:pStyle w:val="ListParagraph"/>
        <w:ind w:left="0"/>
        <w:jc w:val="both"/>
      </w:pPr>
    </w:p>
    <w:p w14:paraId="32F0D60A" w14:textId="433A6032"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de que los marcadores seleccionados para detectar tipos perennes en el raigrás anual no estaban necesariamente asociados a características morfológicas y se basaban en variedades de diferentes países. El TWM </w:t>
      </w:r>
      <w:r w:rsidR="00E65203" w:rsidRPr="002B2E80">
        <w:rPr>
          <w:lang w:eastAsia="ja-JP"/>
        </w:rPr>
        <w:t>tomó nota de que los marcadores identificados en el proyecto se publicarían en las normas de la ISTA.</w:t>
      </w:r>
    </w:p>
    <w:p w14:paraId="5C500856" w14:textId="77777777" w:rsidR="00E65203" w:rsidRPr="002B2E80" w:rsidRDefault="00E65203" w:rsidP="00E65203">
      <w:pPr>
        <w:pStyle w:val="ListParagraph"/>
      </w:pPr>
    </w:p>
    <w:p w14:paraId="055CA8C2" w14:textId="5387A1D8"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de que la red neuronal utilizada para apoyar </w:t>
      </w:r>
      <w:r w:rsidR="00E65203" w:rsidRPr="002B2E80">
        <w:rPr>
          <w:rFonts w:hint="eastAsia"/>
          <w:lang w:eastAsia="ja-JP"/>
        </w:rPr>
        <w:t xml:space="preserve">la identificación de variedades </w:t>
      </w:r>
      <w:r w:rsidR="00E65203" w:rsidRPr="002B2E80">
        <w:t xml:space="preserve">era un software propietario. </w:t>
      </w:r>
    </w:p>
    <w:p w14:paraId="2097F002" w14:textId="77777777" w:rsidR="00E65203" w:rsidRPr="002B2E80" w:rsidRDefault="00E65203" w:rsidP="00E65203"/>
    <w:p w14:paraId="7FDF36F1" w14:textId="77777777" w:rsidR="00E65203" w:rsidRPr="002B2E80" w:rsidRDefault="00E65203" w:rsidP="00EF24D5">
      <w:pPr>
        <w:pStyle w:val="Heading3"/>
        <w:rPr>
          <w:lang w:val="es-ES_tradnl"/>
        </w:rPr>
      </w:pPr>
      <w:bookmarkStart w:id="41" w:name="_Toc210664645"/>
      <w:r w:rsidRPr="002B2E80">
        <w:rPr>
          <w:lang w:val="es-ES_tradnl"/>
        </w:rPr>
        <w:t>OCDE</w:t>
      </w:r>
      <w:bookmarkEnd w:id="41"/>
    </w:p>
    <w:p w14:paraId="314BC0ED" w14:textId="77777777" w:rsidR="00E65203" w:rsidRPr="002B2E80" w:rsidRDefault="00E65203" w:rsidP="00E65203">
      <w:pPr>
        <w:pStyle w:val="ListParagraph"/>
        <w:keepNext/>
        <w:ind w:left="0"/>
        <w:jc w:val="both"/>
      </w:pPr>
    </w:p>
    <w:p w14:paraId="423503DD" w14:textId="7F7D39EA" w:rsidR="00E65203" w:rsidRPr="002B2E80" w:rsidRDefault="00BF7C58" w:rsidP="00BF7C58">
      <w:pPr>
        <w:keepNext/>
      </w:pPr>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xml:space="preserve">. </w:t>
      </w:r>
      <w:proofErr w:type="spellStart"/>
      <w:r w:rsidR="00E65203" w:rsidRPr="002B2E80">
        <w:t>Csaba</w:t>
      </w:r>
      <w:proofErr w:type="spellEnd"/>
      <w:r w:rsidR="00E65203" w:rsidRPr="002B2E80">
        <w:t xml:space="preserve"> Gaspar</w:t>
      </w:r>
      <w:r w:rsidR="00E65203" w:rsidRPr="002B2E80">
        <w:rPr>
          <w:rFonts w:hint="eastAsia"/>
          <w:lang w:eastAsia="ja-JP"/>
        </w:rPr>
        <w:t xml:space="preserve">, de </w:t>
      </w:r>
      <w:r w:rsidR="00E65203" w:rsidRPr="002B2E80">
        <w:rPr>
          <w:lang w:eastAsia="ja-JP"/>
        </w:rPr>
        <w:t>la Organización de Cooperación y de Desarrollo Económicos (OCDE)</w:t>
      </w:r>
      <w:r w:rsidR="00E65203" w:rsidRPr="002B2E80">
        <w:t>, sobre «</w:t>
      </w:r>
      <w:r w:rsidR="00E65203" w:rsidRPr="002B2E80">
        <w:rPr>
          <w:lang w:eastAsia="ja-JP"/>
        </w:rPr>
        <w:t xml:space="preserve">Últimos avances en la aplicación de la BMT en los sistemas de semillas de la </w:t>
      </w:r>
      <w:r w:rsidR="00E65203" w:rsidRPr="002B2E80">
        <w:t xml:space="preserve">OCDE», </w:t>
      </w:r>
      <w:r w:rsidR="00E65203" w:rsidRPr="002B2E80">
        <w:rPr>
          <w:rFonts w:cs="Arial"/>
          <w:iCs/>
        </w:rPr>
        <w:t xml:space="preserve">cuya copia figura en el documento </w:t>
      </w:r>
      <w:r w:rsidR="00E65203" w:rsidRPr="002B2E80">
        <w:rPr>
          <w:rFonts w:hint="eastAsia"/>
          <w:lang w:eastAsia="ja-JP"/>
        </w:rPr>
        <w:t>TWM/3/26</w:t>
      </w:r>
      <w:r w:rsidR="00E65203" w:rsidRPr="002B2E80">
        <w:t>.</w:t>
      </w:r>
    </w:p>
    <w:p w14:paraId="60805204" w14:textId="77777777" w:rsidR="00E65203" w:rsidRPr="002B2E80" w:rsidRDefault="00E65203" w:rsidP="00E65203">
      <w:pPr>
        <w:pStyle w:val="ListParagraph"/>
        <w:ind w:left="0"/>
        <w:jc w:val="both"/>
        <w:rPr>
          <w:rFonts w:eastAsiaTheme="minorEastAsia"/>
          <w:lang w:eastAsia="ja-JP"/>
        </w:rPr>
      </w:pPr>
    </w:p>
    <w:p w14:paraId="35D754AC" w14:textId="77777777" w:rsidR="00E65203" w:rsidRPr="002B2E80" w:rsidRDefault="00E65203" w:rsidP="00EF24D5">
      <w:pPr>
        <w:pStyle w:val="Heading2"/>
        <w:rPr>
          <w:lang w:val="es-ES_tradnl"/>
        </w:rPr>
      </w:pPr>
      <w:bookmarkStart w:id="42" w:name="_Toc210664646"/>
      <w:r w:rsidRPr="002B2E80">
        <w:rPr>
          <w:lang w:val="es-ES_tradnl"/>
        </w:rPr>
        <w:t>Informe sobre el trabajo relativo a las técnicas moleculares en relación con el examen DHE</w:t>
      </w:r>
      <w:bookmarkEnd w:id="42"/>
    </w:p>
    <w:p w14:paraId="7BA9A33E" w14:textId="77777777" w:rsidR="00E65203" w:rsidRPr="002B2E80" w:rsidRDefault="00E65203" w:rsidP="00E65203">
      <w:pPr>
        <w:pStyle w:val="ListParagraph"/>
        <w:ind w:left="0"/>
        <w:jc w:val="both"/>
        <w:rPr>
          <w:rFonts w:eastAsiaTheme="minorEastAsia"/>
          <w:lang w:eastAsia="ja-JP"/>
        </w:rPr>
      </w:pPr>
    </w:p>
    <w:p w14:paraId="35E874B0" w14:textId="77777777" w:rsidR="00E65203" w:rsidRPr="002B2E80" w:rsidRDefault="00E65203" w:rsidP="00EF24D5">
      <w:pPr>
        <w:pStyle w:val="Heading3"/>
        <w:rPr>
          <w:lang w:val="es-ES_tradnl"/>
        </w:rPr>
      </w:pPr>
      <w:bookmarkStart w:id="43" w:name="_Toc210664647"/>
      <w:r w:rsidRPr="002B2E80">
        <w:rPr>
          <w:lang w:val="es-ES_tradnl"/>
        </w:rPr>
        <w:t>Últimos avances en marcadores moleculares específicos de caracteres en Naktuinbouw: un llamamiento al intercambio de conocimientos</w:t>
      </w:r>
      <w:bookmarkEnd w:id="43"/>
    </w:p>
    <w:p w14:paraId="31D164D2" w14:textId="77777777" w:rsidR="00E65203" w:rsidRPr="002B2E80" w:rsidRDefault="00E65203" w:rsidP="00E65203"/>
    <w:p w14:paraId="4915A0CF" w14:textId="54267A58"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Claire </w:t>
      </w:r>
      <w:proofErr w:type="spellStart"/>
      <w:r w:rsidR="00E65203" w:rsidRPr="002B2E80">
        <w:t>Kamei</w:t>
      </w:r>
      <w:proofErr w:type="spellEnd"/>
      <w:r w:rsidR="00E65203" w:rsidRPr="002B2E80">
        <w:t xml:space="preserve"> </w:t>
      </w:r>
      <w:r w:rsidR="00E65203" w:rsidRPr="002B2E80">
        <w:rPr>
          <w:lang w:eastAsia="ja-JP"/>
        </w:rPr>
        <w:t>(Países Bajos (Reino de los)</w:t>
      </w:r>
      <w:r w:rsidR="00E65203" w:rsidRPr="002B2E80">
        <w:rPr>
          <w:rFonts w:hint="eastAsia"/>
          <w:lang w:eastAsia="ja-JP"/>
        </w:rPr>
        <w:t>)</w:t>
      </w:r>
      <w:r w:rsidR="00E65203" w:rsidRPr="002B2E80">
        <w:t xml:space="preserve">, titulada «Últimos avances en marcadores moleculares específicos de caracteres en Naktuinbouw: un llamamiento al intercambio de conocimientos», </w:t>
      </w:r>
      <w:r w:rsidR="00E65203" w:rsidRPr="002B2E80">
        <w:rPr>
          <w:rFonts w:cs="Arial"/>
          <w:iCs/>
        </w:rPr>
        <w:t xml:space="preserve">cuya copia figura en el documento </w:t>
      </w:r>
      <w:r w:rsidR="00E65203" w:rsidRPr="002B2E80">
        <w:rPr>
          <w:rFonts w:hint="eastAsia"/>
          <w:lang w:eastAsia="ja-JP"/>
        </w:rPr>
        <w:t>TWM/3/7</w:t>
      </w:r>
      <w:r w:rsidR="00E65203" w:rsidRPr="002B2E80">
        <w:t xml:space="preserve">.  </w:t>
      </w:r>
    </w:p>
    <w:p w14:paraId="5DC6FAD7" w14:textId="77777777" w:rsidR="00E65203" w:rsidRPr="002B2E80" w:rsidRDefault="00E65203" w:rsidP="00E65203">
      <w:pPr>
        <w:pStyle w:val="ListParagraph"/>
        <w:ind w:left="0"/>
        <w:jc w:val="both"/>
      </w:pPr>
    </w:p>
    <w:p w14:paraId="3591FB8C" w14:textId="3598C581"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w:t>
      </w:r>
      <w:r w:rsidR="00E65203" w:rsidRPr="002B2E80">
        <w:rPr>
          <w:rFonts w:hint="eastAsia"/>
          <w:lang w:eastAsia="ja-JP"/>
        </w:rPr>
        <w:t xml:space="preserve">de que </w:t>
      </w:r>
      <w:r w:rsidR="00E65203" w:rsidRPr="002B2E80">
        <w:rPr>
          <w:lang w:eastAsia="ja-JP"/>
        </w:rPr>
        <w:t xml:space="preserve">Naktuinbouw estaba iniciando un proyecto para la selección de marcadores moleculares para la lechuga y de que los expertos interesados debían ponerse en contacto con el experto de los Países Bajos (Reino de </w:t>
      </w:r>
      <w:r w:rsidR="00E65203" w:rsidRPr="002B2E80">
        <w:rPr>
          <w:rFonts w:hint="eastAsia"/>
          <w:lang w:eastAsia="ja-JP"/>
        </w:rPr>
        <w:t>los</w:t>
      </w:r>
      <w:r w:rsidR="00E65203" w:rsidRPr="002B2E80">
        <w:rPr>
          <w:lang w:eastAsia="ja-JP"/>
        </w:rPr>
        <w:t>) para posibles asociaciones.</w:t>
      </w:r>
    </w:p>
    <w:p w14:paraId="3C6C03D9" w14:textId="77777777" w:rsidR="00E65203" w:rsidRPr="002B2E80" w:rsidRDefault="00E65203" w:rsidP="00E65203">
      <w:pPr>
        <w:pStyle w:val="ListParagraph"/>
        <w:ind w:left="0"/>
        <w:jc w:val="both"/>
      </w:pPr>
    </w:p>
    <w:p w14:paraId="16DC7B72" w14:textId="51B3CE37"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w:t>
      </w:r>
      <w:r w:rsidR="00E65203" w:rsidRPr="002B2E80">
        <w:t xml:space="preserve">convino en que las organizaciones deberían considerar la posibilidad de poner en común recursos para apoyar proyectos comunes. El TWM examinó las opciones para dar a conocer la información sobre los proyectos desarrollados por los miembros y observadores de la UPOV y </w:t>
      </w:r>
      <w:r w:rsidR="00E65203" w:rsidRPr="002B2E80">
        <w:rPr>
          <w:lang w:eastAsia="ja-JP"/>
        </w:rPr>
        <w:t xml:space="preserve">convino en que podrían </w:t>
      </w:r>
      <w:r w:rsidR="00E65203" w:rsidRPr="002B2E80">
        <w:rPr>
          <w:lang w:eastAsia="ja-JP"/>
        </w:rPr>
        <w:lastRenderedPageBreak/>
        <w:t xml:space="preserve">comunicarse antes de cada sesión del TWM para su inclusión en el documento </w:t>
      </w:r>
      <w:r w:rsidR="00E65203" w:rsidRPr="002B2E80">
        <w:t>TWM/3/2 «Informes de los miembros y observadores sobre la evolución de la protección de las variedades vegetales».</w:t>
      </w:r>
    </w:p>
    <w:p w14:paraId="23786F33" w14:textId="77777777" w:rsidR="00E65203" w:rsidRPr="002B2E80" w:rsidRDefault="00E65203" w:rsidP="00E65203">
      <w:pPr>
        <w:pStyle w:val="ListParagraph"/>
        <w:ind w:left="0"/>
        <w:jc w:val="both"/>
      </w:pPr>
    </w:p>
    <w:p w14:paraId="5E4EC680" w14:textId="67ED2CD8"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acogió con satisfacción la propuesta de los Países Bajos (Reino de </w:t>
      </w:r>
      <w:r w:rsidR="00E65203" w:rsidRPr="002B2E80">
        <w:rPr>
          <w:rFonts w:hint="eastAsia"/>
          <w:lang w:eastAsia="ja-JP"/>
        </w:rPr>
        <w:t>los</w:t>
      </w:r>
      <w:r w:rsidR="00E65203" w:rsidRPr="002B2E80">
        <w:t xml:space="preserve">) de dirigir la actualización de la lista de marcadores moleculares utilizados por cultivo, que se había comunicado al </w:t>
      </w:r>
      <w:r w:rsidR="009532AD">
        <w:br/>
      </w:r>
      <w:r w:rsidR="00E65203" w:rsidRPr="002B2E80">
        <w:t xml:space="preserve">Comité Técnico en su quincuagésima octava sesión (disponible en: </w:t>
      </w:r>
      <w:hyperlink r:id="rId18" w:history="1">
        <w:r w:rsidR="00E65203" w:rsidRPr="002B2E80">
          <w:rPr>
            <w:rStyle w:val="Hyperlink"/>
          </w:rPr>
          <w:t>https://www.upov.int/meetings/en/doc_details.jsp?meeting_id=67786&amp;doc_id=586962</w:t>
        </w:r>
      </w:hyperlink>
      <w:r w:rsidR="00E65203" w:rsidRPr="002B2E80">
        <w:t>).</w:t>
      </w:r>
    </w:p>
    <w:p w14:paraId="0F220793" w14:textId="77777777" w:rsidR="00E65203" w:rsidRPr="002B2E80" w:rsidRDefault="00E65203" w:rsidP="00E65203">
      <w:pPr>
        <w:pStyle w:val="ListParagraph"/>
        <w:ind w:left="0"/>
        <w:jc w:val="both"/>
        <w:rPr>
          <w:rFonts w:eastAsiaTheme="minorEastAsia"/>
          <w:lang w:eastAsia="ja-JP"/>
        </w:rPr>
      </w:pPr>
    </w:p>
    <w:p w14:paraId="27895B89" w14:textId="77777777" w:rsidR="00E65203" w:rsidRPr="002B2E80" w:rsidRDefault="00E65203" w:rsidP="00EF24D5">
      <w:pPr>
        <w:pStyle w:val="Heading3"/>
        <w:rPr>
          <w:lang w:val="es-ES_tradnl"/>
        </w:rPr>
      </w:pPr>
      <w:bookmarkStart w:id="44" w:name="_Toc210664648"/>
      <w:r w:rsidRPr="002B2E80">
        <w:rPr>
          <w:lang w:val="es-ES_tradnl"/>
        </w:rPr>
        <w:t>El uso de la tecnología biomolecular en el examen DHE: un estudio de caso sobre la cebada</w:t>
      </w:r>
      <w:bookmarkEnd w:id="44"/>
    </w:p>
    <w:p w14:paraId="5B895509" w14:textId="77777777" w:rsidR="00E65203" w:rsidRPr="002B2E80" w:rsidRDefault="00E65203" w:rsidP="00E65203"/>
    <w:p w14:paraId="3E9011F0" w14:textId="073DF51B"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Vanessa </w:t>
      </w:r>
      <w:proofErr w:type="spellStart"/>
      <w:r w:rsidR="00E65203" w:rsidRPr="002B2E80">
        <w:t>MacMillan</w:t>
      </w:r>
      <w:proofErr w:type="spellEnd"/>
      <w:r w:rsidR="00E65203" w:rsidRPr="002B2E80">
        <w:t xml:space="preserve"> (Reino Unido) sobre «El uso de la tecnología biomolecular en los exámenes DHE: un estudio de caso sobre la cebada», </w:t>
      </w:r>
      <w:r w:rsidR="00E65203" w:rsidRPr="002B2E80">
        <w:rPr>
          <w:rFonts w:cs="Arial"/>
          <w:iCs/>
        </w:rPr>
        <w:t xml:space="preserve">cuya copia figura en el documento </w:t>
      </w:r>
      <w:r w:rsidR="00E65203" w:rsidRPr="002B2E80">
        <w:rPr>
          <w:rFonts w:hint="eastAsia"/>
          <w:lang w:eastAsia="ja-JP"/>
        </w:rPr>
        <w:t>TWM/3/20</w:t>
      </w:r>
      <w:r w:rsidR="00E65203" w:rsidRPr="002B2E80">
        <w:t xml:space="preserve">.  </w:t>
      </w:r>
    </w:p>
    <w:p w14:paraId="380CEB98" w14:textId="77777777" w:rsidR="00E65203" w:rsidRPr="002B2E80" w:rsidRDefault="00E65203" w:rsidP="00E65203">
      <w:pPr>
        <w:pStyle w:val="ListParagraph"/>
        <w:ind w:left="0"/>
        <w:jc w:val="both"/>
      </w:pPr>
    </w:p>
    <w:p w14:paraId="62B70407" w14:textId="7EEBC497"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w:t>
      </w:r>
      <w:r w:rsidR="00E65203" w:rsidRPr="002B2E80">
        <w:rPr>
          <w:lang w:eastAsia="ja-JP"/>
        </w:rPr>
        <w:t>del informe que figura en el documento e invitó a la experta del Reino Unido a que informara sobre los progresos realizados en la cuarta sesión del TWM</w:t>
      </w:r>
      <w:r w:rsidR="00E65203" w:rsidRPr="002B2E80">
        <w:rPr>
          <w:rFonts w:hint="eastAsia"/>
          <w:lang w:eastAsia="ja-JP"/>
        </w:rPr>
        <w:t xml:space="preserve">.  </w:t>
      </w:r>
    </w:p>
    <w:p w14:paraId="22226A45" w14:textId="77777777" w:rsidR="00E65203" w:rsidRPr="002B2E80" w:rsidRDefault="00E65203" w:rsidP="00E65203">
      <w:pPr>
        <w:pStyle w:val="ListParagraph"/>
        <w:ind w:left="0"/>
        <w:jc w:val="both"/>
      </w:pPr>
    </w:p>
    <w:p w14:paraId="1D5397DC" w14:textId="77777777" w:rsidR="00E65203" w:rsidRPr="002B2E80" w:rsidRDefault="00E65203" w:rsidP="00EF24D5">
      <w:pPr>
        <w:pStyle w:val="Heading3"/>
        <w:rPr>
          <w:lang w:val="es-ES_tradnl"/>
        </w:rPr>
      </w:pPr>
      <w:bookmarkStart w:id="45" w:name="_Toc210664649"/>
      <w:r w:rsidRPr="002B2E80">
        <w:rPr>
          <w:lang w:val="es-ES_tradnl"/>
        </w:rPr>
        <w:t>Inteligencia artificial y marcadores moleculares en frutos rojos: prueba de concepto</w:t>
      </w:r>
      <w:bookmarkEnd w:id="45"/>
    </w:p>
    <w:p w14:paraId="2AF58EA4" w14:textId="77777777" w:rsidR="00E65203" w:rsidRPr="002B2E80" w:rsidRDefault="00E65203" w:rsidP="00E65203"/>
    <w:p w14:paraId="296DFA81" w14:textId="3803B40E"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Margaret Wallace </w:t>
      </w:r>
      <w:r w:rsidR="00E65203" w:rsidRPr="002B2E80">
        <w:rPr>
          <w:rFonts w:hint="eastAsia"/>
          <w:lang w:eastAsia="ja-JP"/>
        </w:rPr>
        <w:t>(</w:t>
      </w:r>
      <w:r w:rsidR="00E65203" w:rsidRPr="002B2E80">
        <w:rPr>
          <w:lang w:eastAsia="ja-JP"/>
        </w:rPr>
        <w:t>Reino Unido</w:t>
      </w:r>
      <w:r w:rsidR="00E65203" w:rsidRPr="002B2E80">
        <w:rPr>
          <w:rFonts w:hint="eastAsia"/>
          <w:lang w:eastAsia="ja-JP"/>
        </w:rPr>
        <w:t xml:space="preserve">) </w:t>
      </w:r>
      <w:r w:rsidR="00E65203" w:rsidRPr="002B2E80">
        <w:t xml:space="preserve">sobre “Inteligencia artificial y marcadores moleculares en frutos de bayas: una prueba de concepto”, </w:t>
      </w:r>
      <w:r w:rsidR="00E65203" w:rsidRPr="002B2E80">
        <w:rPr>
          <w:rFonts w:cs="Arial"/>
          <w:iCs/>
        </w:rPr>
        <w:t xml:space="preserve">cuya copia figura en el documento </w:t>
      </w:r>
      <w:r w:rsidR="00E65203" w:rsidRPr="002B2E80">
        <w:rPr>
          <w:rFonts w:hint="eastAsia"/>
          <w:lang w:eastAsia="ja-JP"/>
        </w:rPr>
        <w:t>TWM/3/24</w:t>
      </w:r>
      <w:r w:rsidR="00E65203" w:rsidRPr="002B2E80">
        <w:t xml:space="preserve">.  </w:t>
      </w:r>
    </w:p>
    <w:p w14:paraId="7B2FE0EE" w14:textId="77777777" w:rsidR="00E65203" w:rsidRPr="002B2E80" w:rsidRDefault="00E65203" w:rsidP="00E65203">
      <w:pPr>
        <w:pStyle w:val="ListParagraph"/>
        <w:ind w:left="0"/>
        <w:jc w:val="both"/>
      </w:pPr>
    </w:p>
    <w:p w14:paraId="76D501E5" w14:textId="7B29CF3A"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de </w:t>
      </w:r>
      <w:r w:rsidR="00E65203" w:rsidRPr="002B2E80">
        <w:rPr>
          <w:rFonts w:hint="eastAsia"/>
          <w:lang w:eastAsia="ja-JP"/>
        </w:rPr>
        <w:t xml:space="preserve">los avances en </w:t>
      </w:r>
      <w:r w:rsidR="00E65203" w:rsidRPr="002B2E80">
        <w:rPr>
          <w:lang w:eastAsia="ja-JP"/>
        </w:rPr>
        <w:t xml:space="preserve">la </w:t>
      </w:r>
      <w:r w:rsidR="00E65203" w:rsidRPr="002B2E80">
        <w:rPr>
          <w:rFonts w:hint="eastAsia"/>
          <w:lang w:eastAsia="ja-JP"/>
        </w:rPr>
        <w:t xml:space="preserve">predicción genética de características morfológicas como la </w:t>
      </w:r>
      <w:r w:rsidR="00E65203" w:rsidRPr="002B2E80">
        <w:rPr>
          <w:lang w:eastAsia="ja-JP"/>
        </w:rPr>
        <w:t xml:space="preserve">presencia </w:t>
      </w:r>
      <w:r w:rsidR="00E65203" w:rsidRPr="002B2E80">
        <w:rPr>
          <w:rFonts w:hint="eastAsia"/>
          <w:lang w:eastAsia="ja-JP"/>
        </w:rPr>
        <w:t xml:space="preserve">de espinas en </w:t>
      </w:r>
      <w:r w:rsidR="00E65203" w:rsidRPr="002B2E80">
        <w:rPr>
          <w:lang w:eastAsia="ja-JP"/>
        </w:rPr>
        <w:t>la frambuesa</w:t>
      </w:r>
      <w:r w:rsidR="00E65203" w:rsidRPr="002B2E80">
        <w:rPr>
          <w:rFonts w:hint="eastAsia"/>
          <w:lang w:eastAsia="ja-JP"/>
        </w:rPr>
        <w:t xml:space="preserve">.  El TWM </w:t>
      </w:r>
      <w:r w:rsidR="00E65203" w:rsidRPr="002B2E80">
        <w:rPr>
          <w:lang w:eastAsia="ja-JP"/>
        </w:rPr>
        <w:t xml:space="preserve">debatió </w:t>
      </w:r>
      <w:r w:rsidR="00E65203" w:rsidRPr="002B2E80">
        <w:rPr>
          <w:rFonts w:hint="eastAsia"/>
          <w:lang w:eastAsia="ja-JP"/>
        </w:rPr>
        <w:t>los factores relacionados con la predicción genética de las características morfológicas en relación con los resultados demostrados en el estudio de prueba de concepto.</w:t>
      </w:r>
    </w:p>
    <w:p w14:paraId="64B69CB5" w14:textId="77777777" w:rsidR="00E65203" w:rsidRPr="002B2E80" w:rsidRDefault="00E65203" w:rsidP="00E65203">
      <w:pPr>
        <w:pStyle w:val="ListParagraph"/>
      </w:pPr>
    </w:p>
    <w:p w14:paraId="4CA6C8F5" w14:textId="77777777" w:rsidR="00E65203" w:rsidRPr="002B2E80" w:rsidRDefault="00E65203" w:rsidP="00EF24D5">
      <w:pPr>
        <w:pStyle w:val="Heading3"/>
        <w:rPr>
          <w:lang w:val="es-ES_tradnl"/>
        </w:rPr>
      </w:pPr>
      <w:bookmarkStart w:id="46" w:name="_Toc210664650"/>
      <w:r w:rsidRPr="002B2E80">
        <w:rPr>
          <w:lang w:val="es-ES_tradnl"/>
        </w:rPr>
        <w:t>¿Puede una mejor comprensión de la arquitectura genética de los caracteres DHE del trigo ayudar a racionalizar los procesos DHE?</w:t>
      </w:r>
      <w:bookmarkEnd w:id="46"/>
    </w:p>
    <w:p w14:paraId="35784CDA" w14:textId="77777777" w:rsidR="00E65203" w:rsidRPr="002B2E80" w:rsidRDefault="00E65203" w:rsidP="00E65203"/>
    <w:p w14:paraId="6329059C" w14:textId="6EF9148C"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El TWM recibió una presentación de la</w:t>
      </w:r>
      <w:r w:rsidR="00E65203" w:rsidRPr="002B2E80">
        <w:rPr>
          <w:rFonts w:hint="eastAsia"/>
          <w:lang w:eastAsia="ja-JP"/>
        </w:rPr>
        <w:t xml:space="preserve"> Sra</w:t>
      </w:r>
      <w:r w:rsidR="00E65203" w:rsidRPr="002B2E80">
        <w:t xml:space="preserve">. Camila Zanella (Reino Unido) sobre «¿Puede una mejor comprensión de la arquitectura genética de los caracteres DHE del trigo ayudar a racionalizar los procesos DHE?», </w:t>
      </w:r>
      <w:r w:rsidR="00E65203" w:rsidRPr="002B2E80">
        <w:rPr>
          <w:rFonts w:cs="Arial"/>
          <w:iCs/>
        </w:rPr>
        <w:t xml:space="preserve">cuya copia figura en el documento </w:t>
      </w:r>
      <w:r w:rsidR="00E65203" w:rsidRPr="002B2E80">
        <w:rPr>
          <w:rFonts w:hint="eastAsia"/>
          <w:lang w:eastAsia="ja-JP"/>
        </w:rPr>
        <w:t>TWM/3/22</w:t>
      </w:r>
      <w:r w:rsidR="00E65203" w:rsidRPr="002B2E80">
        <w:t xml:space="preserve">.  </w:t>
      </w:r>
    </w:p>
    <w:p w14:paraId="37C91747" w14:textId="77777777" w:rsidR="00E65203" w:rsidRPr="002B2E80" w:rsidRDefault="00E65203" w:rsidP="00E65203">
      <w:pPr>
        <w:pStyle w:val="ListParagraph"/>
        <w:ind w:left="0"/>
        <w:jc w:val="both"/>
      </w:pPr>
    </w:p>
    <w:p w14:paraId="388EBDF5" w14:textId="270E4DCD"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w:t>
      </w:r>
      <w:r w:rsidR="00E65203" w:rsidRPr="002B2E80">
        <w:rPr>
          <w:lang w:eastAsia="ja-JP"/>
        </w:rPr>
        <w:t>examinó los requisitos para la aplicación de marcadores moleculares en el examen rutinario de variedades y convino en que, al mismo tiempo, deberían aumentar la eficiencia de la autoridad encargada del examen y beneficiar a los solicitantes</w:t>
      </w:r>
      <w:r w:rsidR="00E65203" w:rsidRPr="002B2E80">
        <w:rPr>
          <w:rFonts w:hint="eastAsia"/>
          <w:lang w:eastAsia="ja-JP"/>
        </w:rPr>
        <w:t>.</w:t>
      </w:r>
    </w:p>
    <w:p w14:paraId="571A3E90" w14:textId="77777777" w:rsidR="00E65203" w:rsidRPr="002B2E80" w:rsidRDefault="00E65203" w:rsidP="00E65203">
      <w:pPr>
        <w:pStyle w:val="ListParagraph"/>
        <w:ind w:left="0"/>
        <w:jc w:val="both"/>
      </w:pPr>
    </w:p>
    <w:p w14:paraId="24DEFCFF" w14:textId="77777777" w:rsidR="00E65203" w:rsidRPr="002B2E80" w:rsidRDefault="00E65203" w:rsidP="00EF24D5">
      <w:pPr>
        <w:pStyle w:val="Heading3"/>
        <w:rPr>
          <w:lang w:val="es-ES_tradnl"/>
        </w:rPr>
      </w:pPr>
      <w:bookmarkStart w:id="47" w:name="_Toc210664651"/>
      <w:r w:rsidRPr="002B2E80">
        <w:rPr>
          <w:lang w:val="es-ES_tradnl"/>
        </w:rPr>
        <w:t>Predicción genómica para la gestión de colecciones de variedades de trigo</w:t>
      </w:r>
      <w:bookmarkEnd w:id="47"/>
    </w:p>
    <w:p w14:paraId="199C7E95" w14:textId="77777777" w:rsidR="00E65203" w:rsidRPr="002B2E80" w:rsidRDefault="00E65203" w:rsidP="00E65203"/>
    <w:p w14:paraId="23B0D998" w14:textId="482A9105"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Sr. </w:t>
      </w:r>
      <w:proofErr w:type="spellStart"/>
      <w:r w:rsidR="00E65203" w:rsidRPr="002B2E80">
        <w:t>Adrian</w:t>
      </w:r>
      <w:proofErr w:type="spellEnd"/>
      <w:r w:rsidR="00E65203" w:rsidRPr="002B2E80">
        <w:t xml:space="preserve"> Roberts (Reino Unido) sobre «Predicción genómica para la gestión de colecciones de variedades de trigo», </w:t>
      </w:r>
      <w:r w:rsidR="00E65203" w:rsidRPr="002B2E80">
        <w:rPr>
          <w:rFonts w:cs="Arial"/>
          <w:iCs/>
        </w:rPr>
        <w:t xml:space="preserve">cuya copia figura en el documento </w:t>
      </w:r>
      <w:r w:rsidR="00E65203" w:rsidRPr="002B2E80">
        <w:rPr>
          <w:rFonts w:hint="eastAsia"/>
          <w:lang w:eastAsia="ja-JP"/>
        </w:rPr>
        <w:t>TWM/3/6</w:t>
      </w:r>
      <w:r w:rsidR="00E65203" w:rsidRPr="002B2E80">
        <w:t xml:space="preserve">.  </w:t>
      </w:r>
    </w:p>
    <w:p w14:paraId="5298704A" w14:textId="77777777" w:rsidR="00E65203" w:rsidRPr="002B2E80" w:rsidRDefault="00E65203" w:rsidP="00E65203">
      <w:pPr>
        <w:pStyle w:val="ListParagraph"/>
        <w:ind w:left="0"/>
        <w:jc w:val="both"/>
      </w:pPr>
    </w:p>
    <w:p w14:paraId="3D189914" w14:textId="02F99DB7"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señaló </w:t>
      </w:r>
      <w:r w:rsidR="00E65203" w:rsidRPr="002B2E80">
        <w:rPr>
          <w:rFonts w:hint="eastAsia"/>
          <w:lang w:eastAsia="ja-JP"/>
        </w:rPr>
        <w:t xml:space="preserve">que </w:t>
      </w:r>
      <w:r w:rsidR="00E65203" w:rsidRPr="002B2E80">
        <w:rPr>
          <w:lang w:eastAsia="ja-JP"/>
        </w:rPr>
        <w:t>era necesario ajustar el método para que funcionara con notas (datos ordinales) en lugar de mediciones reales e invitó al experto del Reino Unido a informar sobre los progresos realizados en la cuarta sesión del TWM</w:t>
      </w:r>
      <w:r w:rsidR="00E65203" w:rsidRPr="002B2E80">
        <w:rPr>
          <w:rFonts w:hint="eastAsia"/>
          <w:lang w:eastAsia="ja-JP"/>
        </w:rPr>
        <w:t xml:space="preserve">.  </w:t>
      </w:r>
    </w:p>
    <w:p w14:paraId="73B57811" w14:textId="77777777" w:rsidR="00E65203" w:rsidRPr="002B2E80" w:rsidRDefault="00E65203" w:rsidP="00E65203"/>
    <w:p w14:paraId="13CC2248" w14:textId="77777777" w:rsidR="00E65203" w:rsidRPr="002B2E80" w:rsidRDefault="00E65203" w:rsidP="00EF24D5">
      <w:pPr>
        <w:pStyle w:val="Heading3"/>
        <w:rPr>
          <w:lang w:val="es-ES_tradnl"/>
        </w:rPr>
      </w:pPr>
      <w:bookmarkStart w:id="48" w:name="_Toc210664652"/>
      <w:r w:rsidRPr="002B2E80">
        <w:rPr>
          <w:lang w:val="es-ES_tradnl"/>
        </w:rPr>
        <w:t>Criterio de distinción mejorado COYD-GP para cultivos agrícolas alógamos</w:t>
      </w:r>
      <w:bookmarkEnd w:id="48"/>
    </w:p>
    <w:p w14:paraId="194BF29C" w14:textId="77777777" w:rsidR="00E65203" w:rsidRPr="002B2E80" w:rsidRDefault="00E65203" w:rsidP="00E65203"/>
    <w:p w14:paraId="11A704F8" w14:textId="6588B539"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Sr. </w:t>
      </w:r>
      <w:proofErr w:type="spellStart"/>
      <w:r w:rsidR="00E65203" w:rsidRPr="002B2E80">
        <w:t>Adrian</w:t>
      </w:r>
      <w:proofErr w:type="spellEnd"/>
      <w:r w:rsidR="00E65203" w:rsidRPr="002B2E80">
        <w:t xml:space="preserve"> Roberts </w:t>
      </w:r>
      <w:r w:rsidR="00E65203" w:rsidRPr="002B2E80">
        <w:rPr>
          <w:rFonts w:hint="eastAsia"/>
          <w:lang w:eastAsia="ja-JP"/>
        </w:rPr>
        <w:t>(</w:t>
      </w:r>
      <w:r w:rsidR="00E65203" w:rsidRPr="002B2E80">
        <w:rPr>
          <w:lang w:eastAsia="ja-JP"/>
        </w:rPr>
        <w:t>Reino Unido</w:t>
      </w:r>
      <w:r w:rsidR="00E65203" w:rsidRPr="002B2E80">
        <w:rPr>
          <w:rFonts w:hint="eastAsia"/>
          <w:lang w:eastAsia="ja-JP"/>
        </w:rPr>
        <w:t xml:space="preserve">) </w:t>
      </w:r>
      <w:r w:rsidR="00E65203" w:rsidRPr="002B2E80">
        <w:t xml:space="preserve">sobre el «Criterio de distinción mejorado COYD-GP para cultivos agrícolas de polinización cruzada», </w:t>
      </w:r>
      <w:r w:rsidR="00E65203" w:rsidRPr="002B2E80">
        <w:rPr>
          <w:rFonts w:cs="Arial"/>
          <w:iCs/>
        </w:rPr>
        <w:t xml:space="preserve">cuya copia figura en el documento </w:t>
      </w:r>
      <w:r w:rsidR="00E65203" w:rsidRPr="002B2E80">
        <w:rPr>
          <w:rFonts w:hint="eastAsia"/>
          <w:lang w:eastAsia="ja-JP"/>
        </w:rPr>
        <w:t>TWM/3/4</w:t>
      </w:r>
      <w:r w:rsidR="00E65203" w:rsidRPr="002B2E80">
        <w:t xml:space="preserve">.  </w:t>
      </w:r>
    </w:p>
    <w:p w14:paraId="4F765DB5" w14:textId="77777777" w:rsidR="00E65203" w:rsidRPr="002B2E80" w:rsidRDefault="00E65203" w:rsidP="00E65203">
      <w:pPr>
        <w:pStyle w:val="ListParagraph"/>
        <w:ind w:left="0"/>
        <w:jc w:val="both"/>
      </w:pPr>
    </w:p>
    <w:p w14:paraId="0AF5CAC4" w14:textId="1495BD33"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w:t>
      </w:r>
      <w:r w:rsidR="00E65203" w:rsidRPr="002B2E80">
        <w:rPr>
          <w:rFonts w:hint="eastAsia"/>
          <w:lang w:eastAsia="ja-JP"/>
        </w:rPr>
        <w:t xml:space="preserve">de que </w:t>
      </w:r>
      <w:r w:rsidR="00E65203" w:rsidRPr="002B2E80">
        <w:rPr>
          <w:lang w:eastAsia="ja-JP"/>
        </w:rPr>
        <w:t>se había calculado el aumento de la eficiencia del nuevo método COYD-GP para las evaluaciones de distinción para cada carácter y convino en que sería necesario seguir investigando sobre el aumento global de la eficiencia. El TWM invitó al experto del Reino Unido a informar sobre los avances en la cuarta sesión del TWM.</w:t>
      </w:r>
    </w:p>
    <w:p w14:paraId="127064CC" w14:textId="77777777" w:rsidR="00E65203" w:rsidRPr="002B2E80" w:rsidRDefault="00E65203" w:rsidP="00E65203">
      <w:pPr>
        <w:pStyle w:val="ListParagraph"/>
        <w:ind w:left="0"/>
        <w:jc w:val="both"/>
      </w:pPr>
    </w:p>
    <w:p w14:paraId="7CD7A44C" w14:textId="77777777" w:rsidR="00E65203" w:rsidRPr="002B2E80" w:rsidRDefault="00E65203" w:rsidP="00EF24D5">
      <w:pPr>
        <w:pStyle w:val="Heading3"/>
        <w:rPr>
          <w:lang w:val="es-ES_tradnl"/>
        </w:rPr>
      </w:pPr>
      <w:bookmarkStart w:id="49" w:name="_Toc210664653"/>
      <w:r w:rsidRPr="002B2E80">
        <w:rPr>
          <w:lang w:val="es-ES_tradnl"/>
        </w:rPr>
        <w:t>Actividades de I+D de la Oficina Comunitaria de Variedades Vegetales (OCVV)</w:t>
      </w:r>
      <w:bookmarkEnd w:id="49"/>
    </w:p>
    <w:p w14:paraId="77C6EEAB" w14:textId="77777777" w:rsidR="00E65203" w:rsidRPr="002B2E80" w:rsidRDefault="00E65203" w:rsidP="00E65203">
      <w:pPr>
        <w:keepNext/>
      </w:pPr>
    </w:p>
    <w:p w14:paraId="25BF0817" w14:textId="3E01A920" w:rsidR="00E65203" w:rsidRPr="002B2E80" w:rsidRDefault="00BF7C58" w:rsidP="00BF7C58">
      <w:pPr>
        <w:keepNext/>
      </w:pPr>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w:t>
      </w:r>
      <w:proofErr w:type="spellStart"/>
      <w:r w:rsidR="00E65203" w:rsidRPr="002B2E80">
        <w:t>Cecile</w:t>
      </w:r>
      <w:proofErr w:type="spellEnd"/>
      <w:r w:rsidR="00E65203" w:rsidRPr="002B2E80">
        <w:t xml:space="preserve"> </w:t>
      </w:r>
      <w:proofErr w:type="spellStart"/>
      <w:r w:rsidR="00E65203" w:rsidRPr="002B2E80">
        <w:t>Collonnier</w:t>
      </w:r>
      <w:proofErr w:type="spellEnd"/>
      <w:r w:rsidR="00E65203" w:rsidRPr="002B2E80">
        <w:rPr>
          <w:rFonts w:hint="eastAsia"/>
          <w:lang w:eastAsia="ja-JP"/>
        </w:rPr>
        <w:t xml:space="preserve">, de </w:t>
      </w:r>
      <w:r w:rsidR="00E65203" w:rsidRPr="002B2E80">
        <w:rPr>
          <w:lang w:eastAsia="ja-JP"/>
        </w:rPr>
        <w:t>la Oficina Comunitaria de Variedades Vegetales (OCVV)</w:t>
      </w:r>
      <w:r w:rsidR="00E65203" w:rsidRPr="002B2E80">
        <w:t xml:space="preserve">, sobre las «Actividades de I+D de la OCVV», </w:t>
      </w:r>
      <w:r w:rsidR="00E65203" w:rsidRPr="002B2E80">
        <w:rPr>
          <w:rFonts w:cs="Arial"/>
          <w:iCs/>
        </w:rPr>
        <w:t xml:space="preserve">cuya copia figura en el documento </w:t>
      </w:r>
      <w:r w:rsidR="00E65203" w:rsidRPr="002B2E80">
        <w:rPr>
          <w:rFonts w:hint="eastAsia"/>
          <w:lang w:eastAsia="ja-JP"/>
        </w:rPr>
        <w:t>TWM/3/15</w:t>
      </w:r>
      <w:r w:rsidR="00E65203" w:rsidRPr="002B2E80">
        <w:t xml:space="preserve">.  </w:t>
      </w:r>
    </w:p>
    <w:p w14:paraId="2CA61879" w14:textId="77777777" w:rsidR="00E65203" w:rsidRPr="002B2E80" w:rsidRDefault="00E65203" w:rsidP="00E65203">
      <w:pPr>
        <w:pStyle w:val="ListParagraph"/>
        <w:ind w:left="0"/>
        <w:jc w:val="both"/>
      </w:pPr>
    </w:p>
    <w:p w14:paraId="7B05A3AF" w14:textId="48BC4CA3" w:rsidR="00E65203" w:rsidRPr="002B2E80" w:rsidRDefault="00BF7C58" w:rsidP="00BF7C58">
      <w:r w:rsidRPr="002B2E80">
        <w:lastRenderedPageBreak/>
        <w:fldChar w:fldCharType="begin"/>
      </w:r>
      <w:r w:rsidRPr="002B2E80">
        <w:instrText xml:space="preserve"> AUTONUM  </w:instrText>
      </w:r>
      <w:r w:rsidRPr="002B2E80">
        <w:fldChar w:fldCharType="end"/>
      </w:r>
      <w:r w:rsidRPr="002B2E80">
        <w:tab/>
      </w:r>
      <w:r w:rsidR="00E65203" w:rsidRPr="002B2E80">
        <w:t xml:space="preserve">El TWM tomó nota </w:t>
      </w:r>
      <w:r w:rsidR="00E65203" w:rsidRPr="002B2E80">
        <w:rPr>
          <w:lang w:eastAsia="ja-JP"/>
        </w:rPr>
        <w:t xml:space="preserve">del informe sobre los proyectos recientemente concluidos y en curso cofinanciados por la CPVO. El TWM tomó nota de que los marcadores moleculares seleccionados en el marco de los proyectos estaban a disposición del público y tomó nota de la oferta de </w:t>
      </w:r>
      <w:r w:rsidR="00E65203" w:rsidRPr="002B2E80">
        <w:t>China de intercambiar una selección de marcadores KASP.</w:t>
      </w:r>
    </w:p>
    <w:p w14:paraId="22656697" w14:textId="77777777" w:rsidR="00E65203" w:rsidRPr="002B2E80" w:rsidRDefault="00E65203" w:rsidP="00E65203"/>
    <w:p w14:paraId="271D65A1" w14:textId="77777777" w:rsidR="00E65203" w:rsidRPr="002B2E80" w:rsidRDefault="00E65203" w:rsidP="00EF24D5">
      <w:pPr>
        <w:pStyle w:val="Heading2"/>
        <w:rPr>
          <w:lang w:val="es-ES_tradnl"/>
        </w:rPr>
      </w:pPr>
      <w:bookmarkStart w:id="50" w:name="_Toc210664654"/>
      <w:r w:rsidRPr="002B2E80">
        <w:rPr>
          <w:lang w:val="es-ES_tradnl"/>
        </w:rPr>
        <w:t>Métodos para el análisis de datos moleculares, la gestión de bases de datos y el intercambio de datos y material</w:t>
      </w:r>
      <w:bookmarkEnd w:id="50"/>
    </w:p>
    <w:p w14:paraId="2DD0A2DD" w14:textId="77777777" w:rsidR="00E65203" w:rsidRPr="002B2E80" w:rsidRDefault="00E65203" w:rsidP="00E65203"/>
    <w:p w14:paraId="3804B5CD" w14:textId="77777777" w:rsidR="00E65203" w:rsidRPr="002B2E80" w:rsidRDefault="00E65203" w:rsidP="00EF24D5">
      <w:pPr>
        <w:pStyle w:val="Heading3"/>
        <w:rPr>
          <w:lang w:val="es-ES_tradnl"/>
        </w:rPr>
      </w:pPr>
      <w:bookmarkStart w:id="51" w:name="_Toc210664655"/>
      <w:r w:rsidRPr="002B2E80">
        <w:rPr>
          <w:lang w:val="es-ES_tradnl"/>
        </w:rPr>
        <w:t>Aprovechamiento de los marcadores de polimorfismos de haplotipos de cultivos para la identificación de pedigríes</w:t>
      </w:r>
      <w:bookmarkEnd w:id="51"/>
    </w:p>
    <w:p w14:paraId="27BF582F" w14:textId="77777777" w:rsidR="00E65203" w:rsidRPr="002B2E80" w:rsidRDefault="00E65203" w:rsidP="00E65203"/>
    <w:p w14:paraId="72A6CD53" w14:textId="7EF998CB"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xml:space="preserve">. </w:t>
      </w:r>
      <w:proofErr w:type="spellStart"/>
      <w:r w:rsidR="00E65203" w:rsidRPr="002B2E80">
        <w:t>Yikun</w:t>
      </w:r>
      <w:proofErr w:type="spellEnd"/>
      <w:r w:rsidR="00E65203" w:rsidRPr="002B2E80">
        <w:t xml:space="preserve"> Zhao, de China, sobre «Aprovechamiento de los marcadores de polimorfismos de etiquetas de haplotipos (HTP) de cultivos para la identificación de pedigríes», </w:t>
      </w:r>
      <w:r w:rsidR="00E65203" w:rsidRPr="002B2E80">
        <w:rPr>
          <w:rFonts w:cs="Arial"/>
          <w:iCs/>
        </w:rPr>
        <w:t xml:space="preserve">cuya copia figura en el documento </w:t>
      </w:r>
      <w:r w:rsidR="00E65203" w:rsidRPr="002B2E80">
        <w:rPr>
          <w:lang w:eastAsia="ja-JP"/>
        </w:rPr>
        <w:t>TWM/3/10</w:t>
      </w:r>
      <w:r w:rsidR="00E65203" w:rsidRPr="002B2E80">
        <w:t xml:space="preserve">.  </w:t>
      </w:r>
    </w:p>
    <w:p w14:paraId="041FE995" w14:textId="77777777" w:rsidR="00E65203" w:rsidRPr="002B2E80" w:rsidRDefault="00E65203" w:rsidP="00E65203">
      <w:pPr>
        <w:pStyle w:val="ListParagraph"/>
        <w:ind w:left="0"/>
        <w:jc w:val="both"/>
      </w:pPr>
    </w:p>
    <w:p w14:paraId="5750B97E" w14:textId="1576DAD5"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debatió la utilidad de los marcadores HTP para la identificación del pedigrí en híbridos triples de maíz y su posible uso en la soja. El TWM debatió los métodos estadísticos para evaluar la fiabilidad del método y tomó nota de la correcta identificación del 94 % de las muestras en las pruebas realizadas. </w:t>
      </w:r>
      <w:r w:rsidR="00E65203" w:rsidRPr="002B2E80">
        <w:t xml:space="preserve">El TWM </w:t>
      </w:r>
      <w:r w:rsidR="00E65203" w:rsidRPr="002B2E80">
        <w:rPr>
          <w:lang w:eastAsia="ja-JP"/>
        </w:rPr>
        <w:t>señaló que los marcadores HTP podrían utilizarse para evaluar Variedades Esencialmente Derivadas (EDV). El TWM acordó invitar al experto de China a informar sobre los avances en su cuarta sesión.</w:t>
      </w:r>
    </w:p>
    <w:p w14:paraId="4EE8F1BC" w14:textId="77777777" w:rsidR="00E65203" w:rsidRPr="002B2E80" w:rsidRDefault="00E65203" w:rsidP="00E65203">
      <w:pPr>
        <w:pStyle w:val="ListParagraph"/>
        <w:ind w:left="0"/>
        <w:jc w:val="both"/>
      </w:pPr>
    </w:p>
    <w:p w14:paraId="598EA6C4" w14:textId="77777777" w:rsidR="00E65203" w:rsidRPr="002B2E80" w:rsidRDefault="00E65203" w:rsidP="00EF24D5">
      <w:pPr>
        <w:pStyle w:val="Heading3"/>
        <w:keepLines/>
        <w:rPr>
          <w:lang w:val="es-ES_tradnl"/>
        </w:rPr>
      </w:pPr>
      <w:bookmarkStart w:id="52" w:name="_Toc210664656"/>
      <w:r w:rsidRPr="002B2E80">
        <w:rPr>
          <w:lang w:val="es-ES_tradnl"/>
        </w:rPr>
        <w:t>PAD: un algoritmo para la detección de progenie y ancestros basado en perfiles genéticos</w:t>
      </w:r>
      <w:bookmarkEnd w:id="52"/>
    </w:p>
    <w:p w14:paraId="50A09581" w14:textId="77777777" w:rsidR="00E65203" w:rsidRPr="002B2E80" w:rsidRDefault="00E65203" w:rsidP="00EF24D5">
      <w:pPr>
        <w:keepNext/>
        <w:keepLines/>
      </w:pPr>
    </w:p>
    <w:p w14:paraId="3B9449B5" w14:textId="7E4C3DF7" w:rsidR="00E65203" w:rsidRPr="002B2E80" w:rsidRDefault="00BF7C58" w:rsidP="00BF7C58">
      <w:pPr>
        <w:keepNext/>
        <w:keepLines/>
      </w:pPr>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xml:space="preserve">. Emerson </w:t>
      </w:r>
      <w:proofErr w:type="spellStart"/>
      <w:r w:rsidR="00E65203" w:rsidRPr="002B2E80">
        <w:t>Limberger</w:t>
      </w:r>
      <w:proofErr w:type="spellEnd"/>
      <w:r w:rsidR="00E65203" w:rsidRPr="002B2E80">
        <w:t xml:space="preserve">, de la International </w:t>
      </w:r>
      <w:proofErr w:type="spellStart"/>
      <w:r w:rsidR="00E65203" w:rsidRPr="002B2E80">
        <w:t>Seed</w:t>
      </w:r>
      <w:proofErr w:type="spellEnd"/>
      <w:r w:rsidR="00E65203" w:rsidRPr="002B2E80">
        <w:t xml:space="preserve"> </w:t>
      </w:r>
      <w:proofErr w:type="spellStart"/>
      <w:r w:rsidR="00E65203" w:rsidRPr="002B2E80">
        <w:t>Federation</w:t>
      </w:r>
      <w:proofErr w:type="spellEnd"/>
      <w:r w:rsidR="00E65203" w:rsidRPr="002B2E80">
        <w:t xml:space="preserve"> (ISF), sobre «PAD: un algoritmo para la detección de progenie-ancestros basado en perfiles genéticos», </w:t>
      </w:r>
      <w:r w:rsidR="00E65203" w:rsidRPr="002B2E80">
        <w:rPr>
          <w:rFonts w:cs="Arial"/>
          <w:iCs/>
        </w:rPr>
        <w:t xml:space="preserve">cuya copia figura en el documento </w:t>
      </w:r>
      <w:r w:rsidR="00E65203" w:rsidRPr="002B2E80">
        <w:rPr>
          <w:rFonts w:hint="eastAsia"/>
          <w:lang w:eastAsia="ja-JP"/>
        </w:rPr>
        <w:t>TWM/3/17</w:t>
      </w:r>
      <w:r w:rsidR="00E65203" w:rsidRPr="002B2E80">
        <w:t xml:space="preserve">.  </w:t>
      </w:r>
    </w:p>
    <w:p w14:paraId="42DC8869" w14:textId="77777777" w:rsidR="00E65203" w:rsidRPr="002B2E80" w:rsidRDefault="00E65203" w:rsidP="00E65203">
      <w:pPr>
        <w:pStyle w:val="ListParagraph"/>
        <w:ind w:left="0"/>
        <w:jc w:val="both"/>
      </w:pPr>
    </w:p>
    <w:p w14:paraId="2169EDF3" w14:textId="1238D85B"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señaló que los marcadores MNP proporcionarían mejores resultados, pero que, en </w:t>
      </w:r>
      <w:r w:rsidR="00E65203" w:rsidRPr="002B2E80">
        <w:rPr>
          <w:rFonts w:hint="eastAsia"/>
          <w:lang w:eastAsia="ja-JP"/>
        </w:rPr>
        <w:t xml:space="preserve">ausencia </w:t>
      </w:r>
      <w:r w:rsidR="00E65203" w:rsidRPr="002B2E80">
        <w:t>de estos, se podrían utilizar como alternativa etiquetas genéticas basadas en bloques de recombinación, aunque era necesario realizar más pruebas. El TWM tomó nota de que se pondría a disposición de los expertos interesados una versión de prueba del algoritmo.</w:t>
      </w:r>
    </w:p>
    <w:p w14:paraId="77DA59E4" w14:textId="77777777" w:rsidR="00E65203" w:rsidRPr="002B2E80" w:rsidRDefault="00E65203" w:rsidP="00E65203"/>
    <w:p w14:paraId="0EB77F22" w14:textId="77777777" w:rsidR="00E65203" w:rsidRPr="002B2E80" w:rsidRDefault="00E65203" w:rsidP="00EF24D5">
      <w:pPr>
        <w:pStyle w:val="Heading3"/>
        <w:rPr>
          <w:lang w:val="es-ES_tradnl"/>
        </w:rPr>
      </w:pPr>
      <w:bookmarkStart w:id="53" w:name="_Toc210664657"/>
      <w:proofErr w:type="spellStart"/>
      <w:r w:rsidRPr="002B2E80">
        <w:rPr>
          <w:lang w:val="es-ES_tradnl"/>
        </w:rPr>
        <w:t>DurdusTools</w:t>
      </w:r>
      <w:proofErr w:type="spellEnd"/>
      <w:r w:rsidRPr="002B2E80">
        <w:rPr>
          <w:lang w:val="es-ES_tradnl"/>
        </w:rPr>
        <w:t>: Situación actual y utilización en el examen DHE</w:t>
      </w:r>
      <w:bookmarkEnd w:id="53"/>
    </w:p>
    <w:p w14:paraId="30950635" w14:textId="77777777" w:rsidR="00E65203" w:rsidRPr="002B2E80" w:rsidRDefault="00E65203" w:rsidP="00E65203"/>
    <w:p w14:paraId="601BE456" w14:textId="0CE5E27A"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Alexandra </w:t>
      </w:r>
      <w:proofErr w:type="spellStart"/>
      <w:r w:rsidR="00E65203" w:rsidRPr="002B2E80">
        <w:t>Ribarits</w:t>
      </w:r>
      <w:proofErr w:type="spellEnd"/>
      <w:r w:rsidR="00E65203" w:rsidRPr="002B2E80">
        <w:t xml:space="preserve"> (</w:t>
      </w:r>
      <w:r w:rsidR="00E65203" w:rsidRPr="002B2E80">
        <w:rPr>
          <w:rFonts w:hint="eastAsia"/>
          <w:lang w:eastAsia="ja-JP"/>
        </w:rPr>
        <w:t>Austria</w:t>
      </w:r>
      <w:r w:rsidR="00E65203" w:rsidRPr="002B2E80">
        <w:t>) sobre “</w:t>
      </w:r>
      <w:proofErr w:type="spellStart"/>
      <w:r w:rsidR="00E65203" w:rsidRPr="002B2E80">
        <w:t>DurdusTools</w:t>
      </w:r>
      <w:proofErr w:type="spellEnd"/>
      <w:r w:rsidR="00E65203" w:rsidRPr="002B2E80">
        <w:t xml:space="preserve">: situación actual y uso en el examen DHE”, </w:t>
      </w:r>
      <w:r w:rsidR="00E65203" w:rsidRPr="002B2E80">
        <w:rPr>
          <w:rFonts w:cs="Arial"/>
          <w:iCs/>
        </w:rPr>
        <w:t xml:space="preserve">cuya copia figura en el documento </w:t>
      </w:r>
      <w:r w:rsidR="00E65203" w:rsidRPr="002B2E80">
        <w:rPr>
          <w:rFonts w:hint="eastAsia"/>
          <w:lang w:eastAsia="ja-JP"/>
        </w:rPr>
        <w:t>TWM/3/21</w:t>
      </w:r>
      <w:r w:rsidR="00E65203" w:rsidRPr="002B2E80">
        <w:t xml:space="preserve">. </w:t>
      </w:r>
    </w:p>
    <w:p w14:paraId="2913A337" w14:textId="77777777" w:rsidR="00E65203" w:rsidRPr="002B2E80" w:rsidRDefault="00E65203" w:rsidP="00E65203">
      <w:pPr>
        <w:pStyle w:val="ListParagraph"/>
        <w:ind w:left="0"/>
        <w:jc w:val="both"/>
      </w:pPr>
    </w:p>
    <w:p w14:paraId="71694500" w14:textId="16EF31A2"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tomó nota del uso de </w:t>
      </w:r>
      <w:proofErr w:type="spellStart"/>
      <w:r w:rsidR="00E65203" w:rsidRPr="002B2E80">
        <w:t>DurdusTools</w:t>
      </w:r>
      <w:proofErr w:type="spellEnd"/>
      <w:r w:rsidR="00E65203" w:rsidRPr="002B2E80">
        <w:t xml:space="preserve"> </w:t>
      </w:r>
      <w:r w:rsidR="00E65203" w:rsidRPr="002B2E80">
        <w:rPr>
          <w:lang w:eastAsia="ja-JP"/>
        </w:rPr>
        <w:t>para calcular las distancias genéticas en apoyo del examen DHE rutinario de las autoridades participantes desde 2024. El TWM tomó nota de que las autoridades participantes cubrían los gastos de funcionamiento, incluidos el mantenimiento de la base de datos y la generación de datos moleculares.</w:t>
      </w:r>
    </w:p>
    <w:p w14:paraId="6E8910E6" w14:textId="77777777" w:rsidR="00E65203" w:rsidRPr="002B2E80" w:rsidRDefault="00E65203" w:rsidP="00E65203">
      <w:pPr>
        <w:pStyle w:val="ListParagraph"/>
        <w:ind w:left="0"/>
        <w:jc w:val="both"/>
      </w:pPr>
    </w:p>
    <w:p w14:paraId="1B5A4A28" w14:textId="77777777" w:rsidR="00E65203" w:rsidRPr="002B2E80" w:rsidRDefault="00E65203" w:rsidP="00EF24D5">
      <w:pPr>
        <w:pStyle w:val="Heading3"/>
        <w:rPr>
          <w:lang w:val="es-ES_tradnl"/>
        </w:rPr>
      </w:pPr>
      <w:bookmarkStart w:id="54" w:name="_Toc210664658"/>
      <w:r w:rsidRPr="002B2E80">
        <w:rPr>
          <w:lang w:val="es-ES_tradnl"/>
        </w:rPr>
        <w:t>Desarrollo de herramientas de fenotipado DHE para y con las oficinas de examen: experiencia adquirida</w:t>
      </w:r>
      <w:bookmarkEnd w:id="54"/>
    </w:p>
    <w:p w14:paraId="71DBAB15" w14:textId="77777777" w:rsidR="00E65203" w:rsidRPr="002B2E80" w:rsidRDefault="00E65203" w:rsidP="00E65203"/>
    <w:p w14:paraId="133F3A92" w14:textId="3075F175"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Sr. Joseph </w:t>
      </w:r>
      <w:proofErr w:type="spellStart"/>
      <w:r w:rsidR="00E65203" w:rsidRPr="002B2E80">
        <w:t>Peller</w:t>
      </w:r>
      <w:proofErr w:type="spellEnd"/>
      <w:r w:rsidR="00E65203" w:rsidRPr="002B2E80">
        <w:t xml:space="preserve"> </w:t>
      </w:r>
      <w:r w:rsidR="00E65203" w:rsidRPr="002B2E80">
        <w:rPr>
          <w:lang w:eastAsia="ja-JP"/>
        </w:rPr>
        <w:t>(Países Bajos (Reino de los)</w:t>
      </w:r>
      <w:r w:rsidR="00E65203" w:rsidRPr="002B2E80">
        <w:rPr>
          <w:rFonts w:hint="eastAsia"/>
          <w:lang w:eastAsia="ja-JP"/>
        </w:rPr>
        <w:t>)</w:t>
      </w:r>
      <w:r w:rsidR="00E65203" w:rsidRPr="002B2E80">
        <w:t xml:space="preserve">, sobre «Desarrollo de herramientas de fenotipado DHE para y con las oficinas de examen: experiencia adquirida», </w:t>
      </w:r>
      <w:r w:rsidR="00E65203" w:rsidRPr="002B2E80">
        <w:rPr>
          <w:rFonts w:cs="Arial"/>
          <w:iCs/>
        </w:rPr>
        <w:t xml:space="preserve">cuya copia figura en el documento </w:t>
      </w:r>
      <w:r w:rsidR="00E65203" w:rsidRPr="002B2E80">
        <w:rPr>
          <w:rFonts w:hint="eastAsia"/>
          <w:lang w:eastAsia="ja-JP"/>
        </w:rPr>
        <w:t>TWM/3/27</w:t>
      </w:r>
      <w:r w:rsidR="00E65203" w:rsidRPr="002B2E80">
        <w:t xml:space="preserve">.  </w:t>
      </w:r>
    </w:p>
    <w:p w14:paraId="7BB6A2EA" w14:textId="77777777" w:rsidR="00E65203" w:rsidRPr="002B2E80" w:rsidRDefault="00E65203" w:rsidP="00E65203">
      <w:pPr>
        <w:rPr>
          <w:rFonts w:eastAsia="Times New Roman"/>
          <w:kern w:val="2"/>
        </w:rPr>
      </w:pPr>
    </w:p>
    <w:p w14:paraId="2894EDD6" w14:textId="1686E183"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w:t>
      </w:r>
      <w:r w:rsidR="00E65203" w:rsidRPr="002B2E80">
        <w:rPr>
          <w:rFonts w:eastAsia="Times New Roman"/>
          <w:kern w:val="2"/>
        </w:rPr>
        <w:t xml:space="preserve">de la disponibilidad de un prototipo de aplicación para teléfonos móviles que permite evaluar las proporciones de volumen y forma de los frutos a partir de imágenes captadas desde una perspectiva cenital.  </w:t>
      </w:r>
      <w:r w:rsidR="00E65203" w:rsidRPr="002B2E80">
        <w:rPr>
          <w:lang w:eastAsia="ja-JP"/>
        </w:rPr>
        <w:t xml:space="preserve">El TWM tomó nota </w:t>
      </w:r>
      <w:r w:rsidR="00E65203" w:rsidRPr="002B2E80">
        <w:rPr>
          <w:rFonts w:eastAsia="Times New Roman"/>
          <w:kern w:val="2"/>
        </w:rPr>
        <w:t xml:space="preserve">de que el código de programación de la aplicación era de código abierto y estaba disponible en GitHub.  El TWM tomó nota de la invitación a colaborar para seguir desarrollando la aplicación, en particular para estabilizar la interfaz del teléfono móvil. La aplicación y el tutorial están disponibles en: </w:t>
      </w:r>
      <w:hyperlink r:id="rId19" w:history="1">
        <w:r w:rsidR="00E65203" w:rsidRPr="002B2E80">
          <w:rPr>
            <w:rFonts w:eastAsia="Times New Roman"/>
            <w:color w:val="0000FF"/>
            <w:kern w:val="2"/>
            <w:u w:val="single"/>
          </w:rPr>
          <w:t>https://play.google.com/store/apps/details?id=com.wur.invite.morph_app&amp;hl=en-US)</w:t>
        </w:r>
      </w:hyperlink>
      <w:r w:rsidR="00E65203" w:rsidRPr="002B2E80">
        <w:rPr>
          <w:rFonts w:eastAsia="Times New Roman"/>
          <w:kern w:val="2"/>
        </w:rPr>
        <w:t xml:space="preserve">.  </w:t>
      </w:r>
    </w:p>
    <w:p w14:paraId="7474E3E9" w14:textId="77777777" w:rsidR="00E65203" w:rsidRPr="002B2E80" w:rsidRDefault="00E65203" w:rsidP="00E65203">
      <w:pPr>
        <w:rPr>
          <w:rFonts w:eastAsia="Times New Roman"/>
          <w:kern w:val="2"/>
        </w:rPr>
      </w:pPr>
    </w:p>
    <w:p w14:paraId="43585230" w14:textId="69B91E59"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rFonts w:eastAsia="Times New Roman"/>
          <w:kern w:val="2"/>
        </w:rPr>
        <w:t xml:space="preserve">El TWM coincidió en la importancia de las aplicaciones para dispositivos móviles a fin de apoyar una mayor eficiencia en el examen DHE. </w:t>
      </w:r>
    </w:p>
    <w:p w14:paraId="2E55CEAF" w14:textId="77777777" w:rsidR="00E65203" w:rsidRPr="002B2E80" w:rsidRDefault="00E65203" w:rsidP="00E65203">
      <w:pPr>
        <w:pStyle w:val="ListParagraph"/>
        <w:ind w:left="0"/>
        <w:jc w:val="both"/>
      </w:pPr>
    </w:p>
    <w:p w14:paraId="2CE6E1D9" w14:textId="69B7C406" w:rsidR="00E65203" w:rsidRPr="002B2E80" w:rsidRDefault="00E65203" w:rsidP="00EF24D5">
      <w:pPr>
        <w:pStyle w:val="Heading3"/>
        <w:rPr>
          <w:lang w:val="es-ES_tradnl"/>
        </w:rPr>
      </w:pPr>
      <w:bookmarkStart w:id="55" w:name="_Toc210664659"/>
      <w:r w:rsidRPr="002B2E80">
        <w:rPr>
          <w:lang w:val="es-ES_tradnl"/>
        </w:rPr>
        <w:lastRenderedPageBreak/>
        <w:t>Concepto de fenotipado para reforzar la cadena de protección de las variedades vegetales mediante el uso combinado de IA</w:t>
      </w:r>
      <w:r w:rsidR="009532AD">
        <w:rPr>
          <w:lang w:val="es-ES_tradnl"/>
        </w:rPr>
        <w:t>&amp;</w:t>
      </w:r>
      <w:r w:rsidRPr="002B2E80">
        <w:rPr>
          <w:lang w:val="es-ES_tradnl"/>
        </w:rPr>
        <w:t>AI</w:t>
      </w:r>
      <w:bookmarkEnd w:id="55"/>
    </w:p>
    <w:p w14:paraId="3073063E" w14:textId="77777777" w:rsidR="00E65203" w:rsidRPr="002B2E80" w:rsidRDefault="00E65203" w:rsidP="00E65203">
      <w:pPr>
        <w:keepNext/>
      </w:pPr>
    </w:p>
    <w:p w14:paraId="47C34C25" w14:textId="52E791E9" w:rsidR="00E65203" w:rsidRPr="002B2E80" w:rsidRDefault="00BF7C58" w:rsidP="00BF7C58">
      <w:pPr>
        <w:keepNext/>
      </w:pPr>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xml:space="preserve">. </w:t>
      </w:r>
      <w:proofErr w:type="spellStart"/>
      <w:r w:rsidR="00E65203" w:rsidRPr="002B2E80">
        <w:t>Zsolt</w:t>
      </w:r>
      <w:proofErr w:type="spellEnd"/>
      <w:r w:rsidR="00E65203" w:rsidRPr="002B2E80">
        <w:t xml:space="preserve"> </w:t>
      </w:r>
      <w:proofErr w:type="spellStart"/>
      <w:r w:rsidR="00E65203" w:rsidRPr="002B2E80">
        <w:t>Szani</w:t>
      </w:r>
      <w:proofErr w:type="spellEnd"/>
      <w:r w:rsidR="00E65203" w:rsidRPr="002B2E80">
        <w:t xml:space="preserve">, de Hungría, sobre el “Concepto de fenotipado para reforzar la cadena de protección de las variedades vegetales mediante el uso combinado del análisis de imágenes y la inteligencia artificial (IA&amp;AI)”, </w:t>
      </w:r>
      <w:r w:rsidR="00E65203" w:rsidRPr="002B2E80">
        <w:rPr>
          <w:rFonts w:cs="Arial"/>
          <w:iCs/>
        </w:rPr>
        <w:t xml:space="preserve">cuya copia figura en el documento </w:t>
      </w:r>
      <w:r w:rsidR="00E65203" w:rsidRPr="002B2E80">
        <w:rPr>
          <w:rFonts w:hint="eastAsia"/>
          <w:lang w:eastAsia="ja-JP"/>
        </w:rPr>
        <w:t>TWM/3/28</w:t>
      </w:r>
      <w:r w:rsidR="00E65203" w:rsidRPr="002B2E80">
        <w:t xml:space="preserve">.  </w:t>
      </w:r>
    </w:p>
    <w:p w14:paraId="2A4CF631" w14:textId="77777777" w:rsidR="00E65203" w:rsidRPr="002B2E80" w:rsidRDefault="00E65203" w:rsidP="00E65203">
      <w:pPr>
        <w:pStyle w:val="ListParagraph"/>
        <w:ind w:left="0"/>
        <w:jc w:val="both"/>
      </w:pPr>
    </w:p>
    <w:p w14:paraId="658D8BF7" w14:textId="0609D9F7" w:rsidR="00E65203" w:rsidRPr="002B2E80" w:rsidRDefault="00BF7C58" w:rsidP="00BF7C58">
      <w:pPr>
        <w:rPr>
          <w:lang w:eastAsia="ja-JP"/>
        </w:rPr>
      </w:pPr>
      <w:r w:rsidRPr="002B2E80">
        <w:fldChar w:fldCharType="begin"/>
      </w:r>
      <w:r w:rsidRPr="002B2E80">
        <w:instrText xml:space="preserve"> AUTONUM  </w:instrText>
      </w:r>
      <w:r w:rsidRPr="002B2E80">
        <w:fldChar w:fldCharType="end"/>
      </w:r>
      <w:r w:rsidRPr="002B2E80">
        <w:tab/>
      </w:r>
      <w:r w:rsidR="00E65203" w:rsidRPr="002B2E80">
        <w:t xml:space="preserve">El TWM </w:t>
      </w:r>
      <w:r w:rsidR="00E65203" w:rsidRPr="002B2E80">
        <w:rPr>
          <w:lang w:eastAsia="ja-JP"/>
        </w:rPr>
        <w:t xml:space="preserve">examinó el uso de algoritmos para el análisis de imágenes y convino en que debían describirse y validarse. El TWM convino en que la introducción de herramientas de fenotipado en el examen de variedades requiere una cantidad suficiente de </w:t>
      </w:r>
      <w:r w:rsidR="00E65203" w:rsidRPr="002B2E80">
        <w:rPr>
          <w:rFonts w:hint="eastAsia"/>
          <w:lang w:eastAsia="ja-JP"/>
        </w:rPr>
        <w:t>datos</w:t>
      </w:r>
      <w:r w:rsidR="00E65203" w:rsidRPr="002B2E80">
        <w:rPr>
          <w:lang w:eastAsia="ja-JP"/>
        </w:rPr>
        <w:t xml:space="preserve"> sobre variedades para entrenar los algoritmos y validar los análisis generados.</w:t>
      </w:r>
    </w:p>
    <w:p w14:paraId="023F7E97" w14:textId="77777777" w:rsidR="00E65203" w:rsidRPr="002B2E80" w:rsidRDefault="00E65203" w:rsidP="00E65203">
      <w:pPr>
        <w:pStyle w:val="ListParagraph"/>
        <w:ind w:left="0"/>
        <w:jc w:val="both"/>
      </w:pPr>
    </w:p>
    <w:p w14:paraId="58E823FF" w14:textId="77777777" w:rsidR="00E65203" w:rsidRPr="002B2E80" w:rsidRDefault="00E65203" w:rsidP="00EF24D5">
      <w:pPr>
        <w:pStyle w:val="Heading3"/>
        <w:rPr>
          <w:lang w:val="es-ES_tradnl"/>
        </w:rPr>
      </w:pPr>
      <w:bookmarkStart w:id="56" w:name="_Toc210664660"/>
      <w:r w:rsidRPr="002B2E80">
        <w:rPr>
          <w:lang w:val="es-ES_tradnl"/>
        </w:rPr>
        <w:t>Uso de bases de datos de ADN en Naktuinbouw para mejorar el trabajo DHE</w:t>
      </w:r>
      <w:bookmarkEnd w:id="56"/>
    </w:p>
    <w:p w14:paraId="5CB9CFDE" w14:textId="77777777" w:rsidR="00E65203" w:rsidRPr="002B2E80" w:rsidRDefault="00E65203" w:rsidP="00E65203"/>
    <w:p w14:paraId="5F686D82" w14:textId="7A934AEA"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Cécile Marchenay </w:t>
      </w:r>
      <w:r w:rsidR="00E65203" w:rsidRPr="002B2E80">
        <w:rPr>
          <w:lang w:eastAsia="ja-JP"/>
        </w:rPr>
        <w:t>(Países Bajos</w:t>
      </w:r>
      <w:r w:rsidR="00E65203" w:rsidRPr="002B2E80">
        <w:rPr>
          <w:rFonts w:hint="eastAsia"/>
          <w:lang w:eastAsia="ja-JP"/>
        </w:rPr>
        <w:t xml:space="preserve">) </w:t>
      </w:r>
      <w:r w:rsidR="00E65203" w:rsidRPr="002B2E80">
        <w:t xml:space="preserve">sobre «El uso de bases de datos de ADN en Naktuinbouw para mejorar el trabajo DHE», </w:t>
      </w:r>
      <w:r w:rsidR="00E65203" w:rsidRPr="002B2E80">
        <w:rPr>
          <w:rFonts w:cs="Arial"/>
          <w:iCs/>
        </w:rPr>
        <w:t xml:space="preserve">cuya copia figura en el documento </w:t>
      </w:r>
      <w:r w:rsidR="00E65203" w:rsidRPr="002B2E80">
        <w:rPr>
          <w:rFonts w:hint="eastAsia"/>
          <w:lang w:eastAsia="ja-JP"/>
        </w:rPr>
        <w:t>TWM/3/8</w:t>
      </w:r>
      <w:r w:rsidR="00E65203" w:rsidRPr="002B2E80">
        <w:t>.</w:t>
      </w:r>
    </w:p>
    <w:p w14:paraId="443E09B7" w14:textId="50CDDF8D" w:rsidR="00E65203" w:rsidRPr="002B2E80" w:rsidRDefault="00E65203" w:rsidP="00E65203">
      <w:pPr>
        <w:pStyle w:val="ListParagraph"/>
        <w:ind w:left="0"/>
        <w:jc w:val="both"/>
      </w:pPr>
    </w:p>
    <w:p w14:paraId="1B078421" w14:textId="10978CE3"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debatió los retos y oportunidades del uso de la información basada en el ADN como base para optimizar las colecciones de variedades y la organización de los ensayos de cultivo. El TWM debatió el uso de la información basada en el ADN para reducir el número de ciclos de cultivo de los cultivos que normalmente se examinarían en dos ensayos de cultivo.  </w:t>
      </w:r>
    </w:p>
    <w:p w14:paraId="0A64A6E1" w14:textId="77777777" w:rsidR="00E65203" w:rsidRPr="002B2E80" w:rsidRDefault="00E65203" w:rsidP="00E65203">
      <w:pPr>
        <w:pStyle w:val="ListParagraph"/>
        <w:ind w:left="0"/>
        <w:jc w:val="both"/>
      </w:pPr>
    </w:p>
    <w:p w14:paraId="5262C4C1" w14:textId="77777777" w:rsidR="00E65203" w:rsidRPr="002B2E80" w:rsidRDefault="00E65203" w:rsidP="00EF24D5">
      <w:pPr>
        <w:pStyle w:val="Heading3"/>
        <w:rPr>
          <w:lang w:val="es-ES_tradnl"/>
        </w:rPr>
      </w:pPr>
      <w:bookmarkStart w:id="57" w:name="_Toc210664661"/>
      <w:r w:rsidRPr="002B2E80">
        <w:rPr>
          <w:lang w:val="es-ES_tradnl"/>
        </w:rPr>
        <w:t>Base de datos molecular compartida</w:t>
      </w:r>
      <w:bookmarkEnd w:id="57"/>
    </w:p>
    <w:p w14:paraId="3222F0BD" w14:textId="77777777" w:rsidR="00E65203" w:rsidRPr="002B2E80" w:rsidRDefault="00E65203" w:rsidP="00E65203"/>
    <w:p w14:paraId="017A4739" w14:textId="00F73A9A"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xml:space="preserve">. Rene </w:t>
      </w:r>
      <w:proofErr w:type="spellStart"/>
      <w:r w:rsidR="00E65203" w:rsidRPr="002B2E80">
        <w:t>Mathis</w:t>
      </w:r>
      <w:proofErr w:type="spellEnd"/>
      <w:r w:rsidR="00E65203" w:rsidRPr="002B2E80">
        <w:t xml:space="preserve"> </w:t>
      </w:r>
      <w:r w:rsidR="00E65203" w:rsidRPr="002B2E80">
        <w:rPr>
          <w:lang w:eastAsia="ja-JP"/>
        </w:rPr>
        <w:t>(</w:t>
      </w:r>
      <w:r w:rsidR="00E65203" w:rsidRPr="002B2E80">
        <w:rPr>
          <w:rFonts w:hint="eastAsia"/>
          <w:lang w:eastAsia="ja-JP"/>
        </w:rPr>
        <w:t xml:space="preserve">Francia) </w:t>
      </w:r>
      <w:r w:rsidR="00E65203" w:rsidRPr="002B2E80">
        <w:t xml:space="preserve">sobre la «Base de datos molecular compartida», </w:t>
      </w:r>
      <w:r w:rsidR="00E65203" w:rsidRPr="002B2E80">
        <w:rPr>
          <w:rFonts w:cs="Arial"/>
          <w:iCs/>
        </w:rPr>
        <w:t xml:space="preserve">cuya copia figura en el documento </w:t>
      </w:r>
      <w:r w:rsidR="00E65203" w:rsidRPr="002B2E80">
        <w:rPr>
          <w:rFonts w:hint="eastAsia"/>
          <w:lang w:eastAsia="ja-JP"/>
        </w:rPr>
        <w:t>TWM/3/23</w:t>
      </w:r>
      <w:r w:rsidR="00E65203" w:rsidRPr="002B2E80">
        <w:t xml:space="preserve">.  </w:t>
      </w:r>
    </w:p>
    <w:p w14:paraId="4B0B10E6" w14:textId="77777777" w:rsidR="00E65203" w:rsidRPr="002B2E80" w:rsidRDefault="00E65203" w:rsidP="00E65203">
      <w:pPr>
        <w:pStyle w:val="ListParagraph"/>
        <w:ind w:left="0"/>
        <w:jc w:val="both"/>
      </w:pPr>
    </w:p>
    <w:p w14:paraId="0294346E" w14:textId="19570619"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convino en la utilidad de las bases de datos compartidas y </w:t>
      </w:r>
      <w:r w:rsidR="00E65203" w:rsidRPr="002B2E80">
        <w:t xml:space="preserve">tomó nota </w:t>
      </w:r>
      <w:r w:rsidR="00E65203" w:rsidRPr="002B2E80">
        <w:rPr>
          <w:lang w:eastAsia="ja-JP"/>
        </w:rPr>
        <w:t xml:space="preserve">de los planes de la Unión Europea al respecto. </w:t>
      </w:r>
    </w:p>
    <w:p w14:paraId="593B0C23" w14:textId="6A57DF79" w:rsidR="00E65203" w:rsidRPr="002B2E80" w:rsidRDefault="00E65203" w:rsidP="00DC2B85">
      <w:pPr>
        <w:pStyle w:val="ListParagraph"/>
        <w:ind w:left="0"/>
        <w:jc w:val="both"/>
        <w:rPr>
          <w:rFonts w:eastAsiaTheme="minorEastAsia"/>
          <w:lang w:eastAsia="ja-JP"/>
        </w:rPr>
      </w:pPr>
    </w:p>
    <w:p w14:paraId="494D7993" w14:textId="77777777" w:rsidR="00E65203" w:rsidRPr="002B2E80" w:rsidRDefault="00E65203" w:rsidP="00EF24D5">
      <w:pPr>
        <w:pStyle w:val="Heading2"/>
        <w:rPr>
          <w:lang w:val="es-ES_tradnl"/>
        </w:rPr>
      </w:pPr>
      <w:bookmarkStart w:id="58" w:name="_Toc210664662"/>
      <w:r w:rsidRPr="002B2E80">
        <w:rPr>
          <w:lang w:val="es-ES_tradnl"/>
        </w:rPr>
        <w:t>El uso de técnicas moleculares en la evaluación de la derivación esencial</w:t>
      </w:r>
      <w:bookmarkEnd w:id="58"/>
    </w:p>
    <w:p w14:paraId="3C3DD498" w14:textId="77777777" w:rsidR="00E65203" w:rsidRPr="002B2E80" w:rsidRDefault="00E65203" w:rsidP="00E65203"/>
    <w:p w14:paraId="2B119D0B" w14:textId="77777777" w:rsidR="00E65203" w:rsidRPr="002B2E80" w:rsidRDefault="00E65203" w:rsidP="00EF24D5">
      <w:pPr>
        <w:pStyle w:val="Heading3"/>
        <w:rPr>
          <w:lang w:val="es-ES_tradnl"/>
        </w:rPr>
      </w:pPr>
      <w:bookmarkStart w:id="59" w:name="_Hlk198890312"/>
      <w:bookmarkStart w:id="60" w:name="_Toc210664663"/>
      <w:r w:rsidRPr="002B2E80">
        <w:rPr>
          <w:lang w:val="es-ES_tradnl"/>
        </w:rPr>
        <w:t>Exploración</w:t>
      </w:r>
      <w:bookmarkEnd w:id="59"/>
      <w:r w:rsidRPr="002B2E80">
        <w:rPr>
          <w:lang w:val="es-ES_tradnl"/>
        </w:rPr>
        <w:t xml:space="preserve"> de técnicas de identificación basadas en marcadores SNP para Variedades Esencialmente Derivadas de trigo</w:t>
      </w:r>
      <w:bookmarkEnd w:id="60"/>
    </w:p>
    <w:p w14:paraId="5DC26FF5" w14:textId="77777777" w:rsidR="00E65203" w:rsidRPr="002B2E80" w:rsidRDefault="00E65203" w:rsidP="00E65203"/>
    <w:p w14:paraId="074DF65B" w14:textId="31CDD97A"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w:t>
      </w:r>
      <w:proofErr w:type="spellStart"/>
      <w:r w:rsidR="00E65203" w:rsidRPr="002B2E80">
        <w:t>Binshuang</w:t>
      </w:r>
      <w:proofErr w:type="spellEnd"/>
      <w:r w:rsidR="00E65203" w:rsidRPr="002B2E80">
        <w:t xml:space="preserve"> </w:t>
      </w:r>
      <w:proofErr w:type="spellStart"/>
      <w:r w:rsidR="00E65203" w:rsidRPr="002B2E80">
        <w:t>Pang</w:t>
      </w:r>
      <w:proofErr w:type="spellEnd"/>
      <w:r w:rsidR="00E65203" w:rsidRPr="002B2E80">
        <w:t xml:space="preserve"> </w:t>
      </w:r>
      <w:r w:rsidR="00E65203" w:rsidRPr="002B2E80">
        <w:rPr>
          <w:lang w:eastAsia="ja-JP"/>
        </w:rPr>
        <w:t>(</w:t>
      </w:r>
      <w:r w:rsidR="00E65203" w:rsidRPr="002B2E80">
        <w:rPr>
          <w:rFonts w:hint="eastAsia"/>
          <w:lang w:eastAsia="ja-JP"/>
        </w:rPr>
        <w:t xml:space="preserve">China) </w:t>
      </w:r>
      <w:r w:rsidR="00E65203" w:rsidRPr="002B2E80">
        <w:t xml:space="preserve">sobre la «Exploración de técnicas de identificación basadas en marcadores SNP para variedades de trigo esencialmente derivadas», </w:t>
      </w:r>
      <w:r w:rsidR="00E65203" w:rsidRPr="002B2E80">
        <w:rPr>
          <w:rFonts w:cs="Arial"/>
          <w:iCs/>
        </w:rPr>
        <w:t xml:space="preserve">cuya copia figura en el documento </w:t>
      </w:r>
      <w:r w:rsidR="00E65203" w:rsidRPr="002B2E80">
        <w:rPr>
          <w:rFonts w:hint="eastAsia"/>
          <w:lang w:eastAsia="ja-JP"/>
        </w:rPr>
        <w:t>TWM/3/11</w:t>
      </w:r>
      <w:r w:rsidR="00E65203" w:rsidRPr="002B2E80">
        <w:t>.</w:t>
      </w:r>
    </w:p>
    <w:p w14:paraId="54F0A732" w14:textId="77777777" w:rsidR="00E65203" w:rsidRPr="002B2E80" w:rsidRDefault="00E65203" w:rsidP="00E65203">
      <w:pPr>
        <w:pStyle w:val="ListParagraph"/>
        <w:ind w:left="0"/>
        <w:jc w:val="both"/>
      </w:pPr>
    </w:p>
    <w:p w14:paraId="2F4B1476" w14:textId="7DD15A12"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del método para establecer un umbral del 92 % de derivación predominante utilizando </w:t>
      </w:r>
      <w:r w:rsidR="00E65203" w:rsidRPr="002B2E80">
        <w:rPr>
          <w:rFonts w:hint="eastAsia"/>
          <w:lang w:eastAsia="ja-JP"/>
        </w:rPr>
        <w:t>al menos</w:t>
      </w:r>
      <w:r w:rsidR="00E65203" w:rsidRPr="002B2E80">
        <w:t xml:space="preserve"> 20 000 </w:t>
      </w:r>
      <w:r w:rsidR="00E65203" w:rsidRPr="002B2E80">
        <w:rPr>
          <w:rFonts w:hint="eastAsia"/>
          <w:lang w:eastAsia="ja-JP"/>
        </w:rPr>
        <w:t xml:space="preserve">SNP </w:t>
      </w:r>
      <w:r w:rsidR="00E65203" w:rsidRPr="002B2E80">
        <w:t>y variedades esencialmente derivadas (EDV) comúnmente conocidas como base para el análisis.</w:t>
      </w:r>
    </w:p>
    <w:p w14:paraId="6E5CD0E6" w14:textId="77777777" w:rsidR="00E65203" w:rsidRPr="002B2E80" w:rsidRDefault="00E65203" w:rsidP="00E65203">
      <w:pPr>
        <w:pStyle w:val="ListParagraph"/>
        <w:ind w:left="0"/>
        <w:jc w:val="both"/>
      </w:pPr>
    </w:p>
    <w:p w14:paraId="79C7062E" w14:textId="73B08257"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convino </w:t>
      </w:r>
      <w:r w:rsidR="00E65203" w:rsidRPr="002B2E80">
        <w:rPr>
          <w:rFonts w:hint="eastAsia"/>
          <w:lang w:eastAsia="ja-JP"/>
        </w:rPr>
        <w:t xml:space="preserve">en que </w:t>
      </w:r>
      <w:r w:rsidR="00E65203" w:rsidRPr="002B2E80">
        <w:t xml:space="preserve">el método de selección de variedades utilizado y su pedigrí eran elementos importantes para la evaluación de la derivación esencial. El TWM recordó la orientación de la UPOV en el documento UPOV/EXN/EDV/3 de que un alto grado de similitud por sí solo no significaba automáticamente que una variedad se hubiera derivado predominantemente, como en el caso del fitomejoramiento convergente.  </w:t>
      </w:r>
    </w:p>
    <w:p w14:paraId="63451203" w14:textId="77777777" w:rsidR="00E65203" w:rsidRPr="002B2E80" w:rsidRDefault="00E65203" w:rsidP="00E65203">
      <w:pPr>
        <w:pStyle w:val="ListParagraph"/>
        <w:ind w:left="0"/>
        <w:jc w:val="both"/>
      </w:pPr>
    </w:p>
    <w:p w14:paraId="6BD0EE4E" w14:textId="52264BA5"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El TWM señaló que el método descrito en la presentación era una recalibración mediante SNP de un umbral establecido previamente utilizando marcadores SSR.</w:t>
      </w:r>
    </w:p>
    <w:p w14:paraId="495311C8" w14:textId="77777777" w:rsidR="00E65203" w:rsidRPr="002B2E80" w:rsidRDefault="00E65203" w:rsidP="00E65203">
      <w:pPr>
        <w:pStyle w:val="ListParagraph"/>
        <w:ind w:left="0"/>
        <w:jc w:val="both"/>
      </w:pPr>
    </w:p>
    <w:p w14:paraId="12DE11C8" w14:textId="3892645B" w:rsidR="00E65203" w:rsidRPr="002B2E80" w:rsidRDefault="00E65203" w:rsidP="00EF24D5">
      <w:pPr>
        <w:pStyle w:val="Heading3"/>
        <w:rPr>
          <w:lang w:val="es-ES_tradnl"/>
        </w:rPr>
      </w:pPr>
      <w:bookmarkStart w:id="61" w:name="_Toc210664664"/>
      <w:r w:rsidRPr="002B2E80">
        <w:rPr>
          <w:lang w:val="es-ES_tradnl"/>
        </w:rPr>
        <w:t>Desarrollo de umbrales para variedades esencialmente derivadas (EDV) en la soja</w:t>
      </w:r>
      <w:bookmarkEnd w:id="61"/>
    </w:p>
    <w:p w14:paraId="6C5CDD40" w14:textId="77777777" w:rsidR="00E65203" w:rsidRPr="002B2E80" w:rsidRDefault="00E65203" w:rsidP="00E65203">
      <w:pPr>
        <w:keepNext/>
      </w:pPr>
    </w:p>
    <w:p w14:paraId="41A0D7E9" w14:textId="115BFA41" w:rsidR="00E65203" w:rsidRPr="002B2E80" w:rsidRDefault="00BF7C58" w:rsidP="00BF7C58">
      <w:pPr>
        <w:keepNext/>
      </w:pPr>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xml:space="preserve">. Barry Nelson, de la International </w:t>
      </w:r>
      <w:proofErr w:type="spellStart"/>
      <w:r w:rsidR="00E65203" w:rsidRPr="002B2E80">
        <w:t>Seed</w:t>
      </w:r>
      <w:proofErr w:type="spellEnd"/>
      <w:r w:rsidR="00E65203" w:rsidRPr="002B2E80">
        <w:t xml:space="preserve"> </w:t>
      </w:r>
      <w:proofErr w:type="spellStart"/>
      <w:r w:rsidR="00E65203" w:rsidRPr="002B2E80">
        <w:t>Federation</w:t>
      </w:r>
      <w:proofErr w:type="spellEnd"/>
      <w:r w:rsidR="00E65203" w:rsidRPr="002B2E80">
        <w:t xml:space="preserve"> (ISF), sobre «El desarrollo de un umbral para las Variedades Esencialmente Derivadas (EDV) en la soja», </w:t>
      </w:r>
      <w:r w:rsidR="00E65203" w:rsidRPr="002B2E80">
        <w:rPr>
          <w:rFonts w:cs="Arial"/>
          <w:iCs/>
        </w:rPr>
        <w:t xml:space="preserve">cuya copia figura en el documento </w:t>
      </w:r>
      <w:r w:rsidR="00E65203" w:rsidRPr="002B2E80">
        <w:rPr>
          <w:rFonts w:hint="eastAsia"/>
          <w:lang w:eastAsia="ja-JP"/>
        </w:rPr>
        <w:t>TWM/3/9</w:t>
      </w:r>
      <w:r w:rsidR="00E65203" w:rsidRPr="002B2E80">
        <w:t xml:space="preserve">. </w:t>
      </w:r>
    </w:p>
    <w:p w14:paraId="5287E2A1" w14:textId="77777777" w:rsidR="00E65203" w:rsidRPr="002B2E80" w:rsidRDefault="00E65203" w:rsidP="00E65203">
      <w:pPr>
        <w:pStyle w:val="ListParagraph"/>
        <w:ind w:left="0"/>
        <w:jc w:val="both"/>
      </w:pPr>
    </w:p>
    <w:p w14:paraId="420E244A" w14:textId="40A4D24D"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tomó nota de que el umbral preliminar sería evaluado por los obtentores que participan en el estudio de acuerdo con sus programas actuales de desarrollo de la soja;  si se llegaba a un acuerdo sobre el umbral, se compartiría con las asociaciones de semillas pertinentes para su aprobación y posible adopción.  </w:t>
      </w:r>
    </w:p>
    <w:p w14:paraId="3392F0A4" w14:textId="77777777" w:rsidR="00E65203" w:rsidRPr="002B2E80" w:rsidRDefault="00E65203" w:rsidP="00E65203">
      <w:pPr>
        <w:pStyle w:val="ListParagraph"/>
        <w:ind w:left="0"/>
        <w:jc w:val="both"/>
      </w:pPr>
    </w:p>
    <w:p w14:paraId="2726A18A" w14:textId="4C1B7FA4" w:rsidR="00E65203" w:rsidRPr="002B2E80" w:rsidRDefault="00BF7C58" w:rsidP="002A44AA">
      <w:pPr>
        <w:keepLines/>
      </w:pPr>
      <w:r w:rsidRPr="002B2E80">
        <w:lastRenderedPageBreak/>
        <w:fldChar w:fldCharType="begin"/>
      </w:r>
      <w:r w:rsidRPr="002B2E80">
        <w:instrText xml:space="preserve"> AUTONUM  </w:instrText>
      </w:r>
      <w:r w:rsidRPr="002B2E80">
        <w:fldChar w:fldCharType="end"/>
      </w:r>
      <w:r w:rsidRPr="002B2E80">
        <w:tab/>
      </w:r>
      <w:r w:rsidR="00E65203" w:rsidRPr="002B2E80">
        <w:t xml:space="preserve">El TWM coincidió en la importancia de las contribuciones de los obtentores para determinar los umbrales y evitar disputas sobre las EDV.  El TWM convino en que la aplicación de un umbral requeriría examinar los pedigríes de las variedades y la forma de evaluar los criterios restantes para determinar la derivación esencial. </w:t>
      </w:r>
    </w:p>
    <w:p w14:paraId="100FFC6F" w14:textId="77777777" w:rsidR="00E65203" w:rsidRPr="002B2E80" w:rsidRDefault="00E65203" w:rsidP="00E65203"/>
    <w:p w14:paraId="5053E4DF" w14:textId="77777777" w:rsidR="00E65203" w:rsidRPr="002B2E80" w:rsidRDefault="00E65203" w:rsidP="00733A63">
      <w:pPr>
        <w:pStyle w:val="Heading2"/>
        <w:rPr>
          <w:lang w:val="es-ES_tradnl"/>
        </w:rPr>
      </w:pPr>
      <w:bookmarkStart w:id="62" w:name="_Toc210664665"/>
      <w:r w:rsidRPr="002B2E80">
        <w:rPr>
          <w:lang w:val="es-ES_tradnl"/>
        </w:rPr>
        <w:t>El uso de técnicas moleculares para la aplicación de la ley</w:t>
      </w:r>
      <w:bookmarkEnd w:id="62"/>
    </w:p>
    <w:p w14:paraId="3D8021D8" w14:textId="77777777" w:rsidR="00E65203" w:rsidRPr="002B2E80" w:rsidRDefault="00E65203" w:rsidP="00E65203"/>
    <w:p w14:paraId="779F2558" w14:textId="77777777" w:rsidR="00E65203" w:rsidRPr="002B2E80" w:rsidRDefault="00E65203" w:rsidP="00EF24D5">
      <w:pPr>
        <w:pStyle w:val="Heading3"/>
        <w:rPr>
          <w:lang w:val="es-ES_tradnl"/>
        </w:rPr>
      </w:pPr>
      <w:bookmarkStart w:id="63" w:name="_Toc210664666"/>
      <w:r w:rsidRPr="002B2E80">
        <w:rPr>
          <w:lang w:val="es-ES_tradnl"/>
        </w:rPr>
        <w:t>Uso de técnicas de ADN para la aplicación de los derechos de obtentor (PBR) en Perú</w:t>
      </w:r>
      <w:bookmarkEnd w:id="63"/>
    </w:p>
    <w:p w14:paraId="2F68A4EB" w14:textId="77777777" w:rsidR="00E65203" w:rsidRPr="002B2E80" w:rsidRDefault="00E65203" w:rsidP="00E65203"/>
    <w:p w14:paraId="5C8BA043" w14:textId="419CD96A"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del </w:t>
      </w:r>
      <w:r w:rsidR="00E65203" w:rsidRPr="002B2E80">
        <w:rPr>
          <w:rFonts w:hint="eastAsia"/>
          <w:lang w:eastAsia="ja-JP"/>
        </w:rPr>
        <w:t>Sr</w:t>
      </w:r>
      <w:r w:rsidR="00E65203" w:rsidRPr="002B2E80">
        <w:t>. Diego F. Ortega Sanabria (</w:t>
      </w:r>
      <w:r w:rsidR="00E65203" w:rsidRPr="002B2E80">
        <w:rPr>
          <w:rFonts w:hint="eastAsia"/>
          <w:lang w:eastAsia="ja-JP"/>
        </w:rPr>
        <w:t>Perú</w:t>
      </w:r>
      <w:r w:rsidR="00E65203" w:rsidRPr="002B2E80">
        <w:t xml:space="preserve">) sobre «El uso de técnicas de ADN para la aplicación de los derechos de obtentor (PBR) en Perú», </w:t>
      </w:r>
      <w:r w:rsidR="00E65203" w:rsidRPr="002B2E80">
        <w:rPr>
          <w:rFonts w:cs="Arial"/>
          <w:iCs/>
        </w:rPr>
        <w:t xml:space="preserve">cuya copia figura en el documento </w:t>
      </w:r>
      <w:r w:rsidR="00E65203" w:rsidRPr="002B2E80">
        <w:rPr>
          <w:rFonts w:hint="eastAsia"/>
          <w:lang w:eastAsia="ja-JP"/>
        </w:rPr>
        <w:t>TWM/3/3</w:t>
      </w:r>
      <w:r w:rsidR="00E65203" w:rsidRPr="002B2E80">
        <w:t xml:space="preserve">. </w:t>
      </w:r>
    </w:p>
    <w:p w14:paraId="739022D2" w14:textId="77777777" w:rsidR="00E65203" w:rsidRPr="002B2E80" w:rsidRDefault="00E65203" w:rsidP="00E65203">
      <w:pPr>
        <w:pStyle w:val="ListParagraph"/>
        <w:ind w:left="0"/>
        <w:jc w:val="both"/>
      </w:pPr>
    </w:p>
    <w:p w14:paraId="7B94D57C" w14:textId="1F1F3787" w:rsidR="00E65203" w:rsidRPr="002B2E80" w:rsidRDefault="00BF7C58" w:rsidP="00BF7C58">
      <w:pPr>
        <w:ind w:left="-3"/>
        <w:rPr>
          <w:lang w:eastAsia="ja-JP"/>
        </w:rPr>
      </w:pPr>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tomó nota de los procedimientos aplicados en Perú para </w:t>
      </w:r>
      <w:r w:rsidR="00E65203" w:rsidRPr="002B2E80">
        <w:rPr>
          <w:rFonts w:hint="eastAsia"/>
          <w:lang w:eastAsia="ja-JP"/>
        </w:rPr>
        <w:t>las inspecciones</w:t>
      </w:r>
      <w:r w:rsidR="00E65203" w:rsidRPr="002B2E80">
        <w:rPr>
          <w:lang w:eastAsia="ja-JP"/>
        </w:rPr>
        <w:t xml:space="preserve"> sobre el terreno de los casos de infracción, incluida la función de la autoridad administrativa de realizar inspecciones sobre el terreno y la existencia de directrices para la información basada en el ADN.  El TWM tomó nota de que, en Perú, el demandante debe demostrar la especificidad de los marcadores que se utilizarán para identificar la variedad protegida.  </w:t>
      </w:r>
    </w:p>
    <w:p w14:paraId="17CEF85A" w14:textId="77777777" w:rsidR="00E65203" w:rsidRPr="002B2E80" w:rsidRDefault="00E65203" w:rsidP="00E65203">
      <w:pPr>
        <w:ind w:left="-3"/>
        <w:rPr>
          <w:lang w:eastAsia="ja-JP"/>
        </w:rPr>
      </w:pPr>
    </w:p>
    <w:p w14:paraId="7A1A435F" w14:textId="6201AC75" w:rsidR="00E65203" w:rsidRPr="002B2E80" w:rsidRDefault="00BF7C58" w:rsidP="00BF7C58">
      <w:pPr>
        <w:ind w:left="-3"/>
      </w:pPr>
      <w:r w:rsidRPr="002B2E80">
        <w:fldChar w:fldCharType="begin"/>
      </w:r>
      <w:r w:rsidRPr="002B2E80">
        <w:instrText xml:space="preserve"> AUTONUM  </w:instrText>
      </w:r>
      <w:r w:rsidRPr="002B2E80">
        <w:fldChar w:fldCharType="end"/>
      </w:r>
      <w:r w:rsidRPr="002B2E80">
        <w:tab/>
      </w:r>
      <w:r w:rsidR="00E65203" w:rsidRPr="002B2E80">
        <w:rPr>
          <w:lang w:eastAsia="ja-JP"/>
        </w:rPr>
        <w:t>El TWM tomó nota de las dificultades señaladas en relación con la observancia en el caso de las frutas exportadas, debido al tiempo que requiere la identificación de las variedades.  El TWM convino en que era importante fortalecer la cooperación entre las autoridades de los miembros de la UPOV en materia de observancia.</w:t>
      </w:r>
    </w:p>
    <w:p w14:paraId="5C9799EF" w14:textId="77777777" w:rsidR="00E65203" w:rsidRPr="002B2E80" w:rsidRDefault="00E65203" w:rsidP="00E65203">
      <w:pPr>
        <w:pStyle w:val="ListParagraph"/>
        <w:ind w:left="0"/>
        <w:jc w:val="both"/>
      </w:pPr>
    </w:p>
    <w:p w14:paraId="3EF93A92" w14:textId="77777777" w:rsidR="00E65203" w:rsidRPr="002B2E80" w:rsidRDefault="00E65203" w:rsidP="00EF24D5">
      <w:pPr>
        <w:pStyle w:val="Heading3"/>
        <w:rPr>
          <w:lang w:val="es-ES_tradnl"/>
        </w:rPr>
      </w:pPr>
      <w:bookmarkStart w:id="64" w:name="_Toc210664667"/>
      <w:r w:rsidRPr="002B2E80">
        <w:rPr>
          <w:lang w:val="es-ES_tradnl"/>
        </w:rPr>
        <w:t>Uso de marcadores moleculares como herramienta para hacer cumplir los derechos de obtentor (PBR) de la soja en Uruguay</w:t>
      </w:r>
      <w:bookmarkEnd w:id="64"/>
    </w:p>
    <w:p w14:paraId="7A48B738" w14:textId="77777777" w:rsidR="00E65203" w:rsidRPr="002B2E80" w:rsidRDefault="00E65203" w:rsidP="00E65203">
      <w:pPr>
        <w:pStyle w:val="ListParagraph"/>
        <w:ind w:left="0"/>
        <w:jc w:val="both"/>
      </w:pPr>
    </w:p>
    <w:p w14:paraId="52A9EAC9" w14:textId="23DBB592"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t xml:space="preserve">El TWM recibió una presentación de </w:t>
      </w:r>
      <w:r w:rsidR="00E65203" w:rsidRPr="002B2E80">
        <w:rPr>
          <w:rFonts w:hint="eastAsia"/>
          <w:lang w:eastAsia="ja-JP"/>
        </w:rPr>
        <w:t>la Sra</w:t>
      </w:r>
      <w:r w:rsidR="00E65203" w:rsidRPr="002B2E80">
        <w:t xml:space="preserve">. Vanessa Sosa y la Sra. Pilar </w:t>
      </w:r>
      <w:proofErr w:type="spellStart"/>
      <w:r w:rsidR="00E65203" w:rsidRPr="002B2E80">
        <w:t>Zorilla</w:t>
      </w:r>
      <w:proofErr w:type="spellEnd"/>
      <w:r w:rsidR="00E65203" w:rsidRPr="002B2E80">
        <w:t xml:space="preserve"> </w:t>
      </w:r>
      <w:r w:rsidR="00E65203" w:rsidRPr="002B2E80">
        <w:rPr>
          <w:lang w:eastAsia="ja-JP"/>
        </w:rPr>
        <w:t>(</w:t>
      </w:r>
      <w:r w:rsidR="00E65203" w:rsidRPr="002B2E80">
        <w:rPr>
          <w:rFonts w:hint="eastAsia"/>
          <w:lang w:eastAsia="ja-JP"/>
        </w:rPr>
        <w:t xml:space="preserve">Uruguay) </w:t>
      </w:r>
      <w:r w:rsidR="00E65203" w:rsidRPr="002B2E80">
        <w:rPr>
          <w:lang w:eastAsia="ja-JP"/>
        </w:rPr>
        <w:t xml:space="preserve">y el Sr. Diego Risso (Asociación de Semillas de las Américas) </w:t>
      </w:r>
      <w:r w:rsidR="00E65203" w:rsidRPr="002B2E80">
        <w:t xml:space="preserve">sobre «El uso de marcadores moleculares como herramienta para hacer cumplir los derechos de obtentor (PBR) en la soja en Uruguay», </w:t>
      </w:r>
      <w:r w:rsidR="00E65203" w:rsidRPr="002B2E80">
        <w:rPr>
          <w:rFonts w:cs="Arial"/>
          <w:iCs/>
        </w:rPr>
        <w:t xml:space="preserve">cuya copia se proporcionaría como adenda al documento </w:t>
      </w:r>
      <w:r w:rsidR="00E65203" w:rsidRPr="002B2E80">
        <w:rPr>
          <w:rFonts w:hint="eastAsia"/>
          <w:lang w:eastAsia="ja-JP"/>
        </w:rPr>
        <w:t>TWM/3/18</w:t>
      </w:r>
      <w:r w:rsidR="00E65203" w:rsidRPr="002B2E80">
        <w:t>.</w:t>
      </w:r>
    </w:p>
    <w:p w14:paraId="5BA0FC35" w14:textId="77777777" w:rsidR="00E65203" w:rsidRPr="002B2E80" w:rsidRDefault="00E65203" w:rsidP="00E65203">
      <w:pPr>
        <w:pStyle w:val="ListParagraph"/>
        <w:ind w:left="0"/>
        <w:jc w:val="both"/>
      </w:pPr>
    </w:p>
    <w:p w14:paraId="49F85944" w14:textId="2CEBF5EB"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tomó nota de que en Uruguay la asociación de obtentores y el Instituto Nacional de Semillas realizaban inspecciones de campo. El TWM tomó nota de que el procedimiento de identificación de variedades podía durar hasta dos días en algunos casos. </w:t>
      </w:r>
      <w:r w:rsidR="00E65203" w:rsidRPr="002B2E80">
        <w:t xml:space="preserve">El TWM tomó nota </w:t>
      </w:r>
      <w:r w:rsidR="00E65203" w:rsidRPr="002B2E80">
        <w:rPr>
          <w:lang w:eastAsia="ja-JP"/>
        </w:rPr>
        <w:t>de que las multas por infracción en Uruguay se basaban en el valor del material cosechado y se consideraban una medida eficaz.</w:t>
      </w:r>
    </w:p>
    <w:p w14:paraId="578561A4" w14:textId="77777777" w:rsidR="00E65203" w:rsidRPr="002B2E80" w:rsidRDefault="00E65203" w:rsidP="00E65203">
      <w:pPr>
        <w:pStyle w:val="ListParagraph"/>
        <w:ind w:left="0"/>
        <w:jc w:val="both"/>
      </w:pPr>
    </w:p>
    <w:p w14:paraId="32FFA58C" w14:textId="542FF32E" w:rsidR="00E65203" w:rsidRPr="002B2E80" w:rsidRDefault="00BF7C58" w:rsidP="00BF7C58">
      <w:r w:rsidRPr="002B2E80">
        <w:fldChar w:fldCharType="begin"/>
      </w:r>
      <w:r w:rsidRPr="002B2E80">
        <w:instrText xml:space="preserve"> AUTONUM  </w:instrText>
      </w:r>
      <w:r w:rsidRPr="002B2E80">
        <w:fldChar w:fldCharType="end"/>
      </w:r>
      <w:r w:rsidRPr="002B2E80">
        <w:tab/>
      </w:r>
      <w:r w:rsidR="00E65203" w:rsidRPr="002B2E80">
        <w:rPr>
          <w:lang w:eastAsia="ja-JP"/>
        </w:rPr>
        <w:t xml:space="preserve">El TWM </w:t>
      </w:r>
      <w:r w:rsidR="00E65203" w:rsidRPr="002B2E80">
        <w:rPr>
          <w:rFonts w:hint="eastAsia"/>
          <w:lang w:eastAsia="ja-JP"/>
        </w:rPr>
        <w:t xml:space="preserve">tomó nota </w:t>
      </w:r>
      <w:r w:rsidR="00E65203" w:rsidRPr="002B2E80">
        <w:rPr>
          <w:lang w:eastAsia="ja-JP"/>
        </w:rPr>
        <w:t xml:space="preserve">de que también se utilizaba el análisis de imágenes para la identificación de variedades a partir de semillas de variedades protegidas. </w:t>
      </w:r>
    </w:p>
    <w:p w14:paraId="3D54CAEA" w14:textId="77777777" w:rsidR="00F37B93" w:rsidRPr="002B2E80" w:rsidRDefault="00F37B93" w:rsidP="00F37B93"/>
    <w:p w14:paraId="7BE78A14" w14:textId="77777777" w:rsidR="00F37B93" w:rsidRPr="002B2E80" w:rsidRDefault="00F37B93" w:rsidP="00F37B93"/>
    <w:p w14:paraId="7EFA2FD3" w14:textId="77777777" w:rsidR="00F37B93" w:rsidRPr="002B2E80" w:rsidRDefault="00F37B93" w:rsidP="00F37B93"/>
    <w:p w14:paraId="4839E0EE" w14:textId="26C83DB9" w:rsidR="00EF4B00" w:rsidRPr="002B2E80" w:rsidRDefault="00F16D33" w:rsidP="003127BF">
      <w:pPr>
        <w:jc w:val="right"/>
      </w:pPr>
      <w:r w:rsidRPr="002B2E80">
        <w:t>[</w:t>
      </w:r>
      <w:r w:rsidR="002A44AA">
        <w:t xml:space="preserve">Sigue el </w:t>
      </w:r>
      <w:r w:rsidRPr="002B2E80">
        <w:t>Anexo]</w:t>
      </w:r>
    </w:p>
    <w:p w14:paraId="40A56936" w14:textId="77777777" w:rsidR="00550FF9" w:rsidRPr="002B2E80" w:rsidRDefault="00550FF9" w:rsidP="00EF4B00">
      <w:pPr>
        <w:sectPr w:rsidR="00550FF9" w:rsidRPr="002B2E80" w:rsidSect="00743D5D">
          <w:headerReference w:type="default" r:id="rId20"/>
          <w:footerReference w:type="even" r:id="rId21"/>
          <w:footerReference w:type="default" r:id="rId22"/>
          <w:footerReference w:type="first" r:id="rId23"/>
          <w:pgSz w:w="11907" w:h="16840" w:code="9"/>
          <w:pgMar w:top="510" w:right="1134" w:bottom="567" w:left="1134" w:header="510" w:footer="680" w:gutter="0"/>
          <w:pgNumType w:start="1"/>
          <w:cols w:space="720"/>
          <w:titlePg/>
        </w:sectPr>
      </w:pPr>
    </w:p>
    <w:p w14:paraId="039ED3C5" w14:textId="77777777" w:rsidR="00D52685" w:rsidRPr="00883312" w:rsidRDefault="00D52685" w:rsidP="00883312">
      <w:pPr>
        <w:spacing w:before="120" w:after="240"/>
        <w:jc w:val="left"/>
        <w:rPr>
          <w:rFonts w:eastAsia="Times New Roman"/>
          <w:b/>
          <w:caps/>
          <w:spacing w:val="-2"/>
        </w:rPr>
      </w:pPr>
      <w:bookmarkStart w:id="65" w:name="_Hlk190367062"/>
      <w:r w:rsidRPr="00883312">
        <w:rPr>
          <w:rFonts w:eastAsia="Times New Roman"/>
          <w:b/>
          <w:bCs/>
          <w:caps/>
          <w:spacing w:val="-2"/>
        </w:rPr>
        <w:lastRenderedPageBreak/>
        <w:t>Directrices para la validación de un nuevo protocolo de marcadores moleculares específicos de caracteres como método alternativo de observación</w:t>
      </w:r>
    </w:p>
    <w:p w14:paraId="7F2ED21A" w14:textId="77777777" w:rsidR="00D52685" w:rsidRPr="002B2E80" w:rsidRDefault="00D52685" w:rsidP="00D52685">
      <w:pPr>
        <w:spacing w:after="240"/>
        <w:jc w:val="left"/>
        <w:rPr>
          <w:rFonts w:eastAsia="Times New Roman"/>
          <w:i/>
          <w:iCs/>
        </w:rPr>
      </w:pPr>
      <w:bookmarkStart w:id="66" w:name="Prepared"/>
      <w:bookmarkEnd w:id="66"/>
      <w:bookmarkEnd w:id="65"/>
      <w:r w:rsidRPr="002B2E80">
        <w:rPr>
          <w:rFonts w:eastAsia="Times New Roman"/>
          <w:i/>
          <w:iCs/>
        </w:rPr>
        <w:t>Documento elaborado por expertos de Francia, Italia y el Reino de los Países Bajos</w:t>
      </w:r>
    </w:p>
    <w:p w14:paraId="4F6657C3" w14:textId="0D5DDE48" w:rsidR="00D52685" w:rsidRPr="002B2E80" w:rsidRDefault="00D52685" w:rsidP="00883312">
      <w:pPr>
        <w:spacing w:after="360"/>
        <w:jc w:val="left"/>
        <w:rPr>
          <w:i/>
          <w:iCs/>
          <w:color w:val="A6A6A6" w:themeColor="background1" w:themeShade="A6"/>
          <w:lang w:eastAsia="ja-JP"/>
        </w:rPr>
      </w:pPr>
      <w:r w:rsidRPr="002B2E80">
        <w:rPr>
          <w:rFonts w:eastAsia="Times New Roman"/>
          <w:i/>
          <w:iCs/>
          <w:color w:val="A6A6A6" w:themeColor="background1" w:themeShade="A6"/>
        </w:rPr>
        <w:t>Descargo de responsabilidad: el presente documento no constituye un documento de política u orientación de la UPOV.</w:t>
      </w:r>
    </w:p>
    <w:p w14:paraId="1B9A3378" w14:textId="0CB3CD7D" w:rsidR="00D52685" w:rsidRPr="002B2E80" w:rsidRDefault="00883312" w:rsidP="00D52685">
      <w:pPr>
        <w:spacing w:after="120"/>
      </w:pPr>
      <w:bookmarkStart w:id="67" w:name="_Toc189576551"/>
      <w:r>
        <w:rPr>
          <w:u w:val="single"/>
        </w:rPr>
        <w:t>Í</w:t>
      </w:r>
      <w:r w:rsidR="00D52685" w:rsidRPr="002B2E80">
        <w:rPr>
          <w:u w:val="single"/>
        </w:rPr>
        <w:t>ndice</w:t>
      </w:r>
      <w:r w:rsidR="00D52685" w:rsidRPr="002B2E80">
        <w:t>:</w:t>
      </w:r>
    </w:p>
    <w:p w14:paraId="18343D87" w14:textId="0E804C47" w:rsidR="009167CD" w:rsidRDefault="00AF5629">
      <w:pPr>
        <w:pStyle w:val="TOC1"/>
        <w:rPr>
          <w:rFonts w:asciiTheme="minorHAnsi" w:hAnsiTheme="minorHAnsi" w:cstheme="minorBidi"/>
          <w:caps w:val="0"/>
          <w:noProof/>
          <w:kern w:val="2"/>
          <w:sz w:val="24"/>
          <w:szCs w:val="24"/>
          <w:lang w:val="en-GB" w:eastAsia="en-GB"/>
          <w14:ligatures w14:val="standardContextual"/>
        </w:rPr>
      </w:pPr>
      <w:r w:rsidRPr="002B2E80">
        <w:rPr>
          <w:rFonts w:cs="Arial"/>
          <w:lang w:eastAsia="fr-FR"/>
        </w:rPr>
        <w:fldChar w:fldCharType="begin"/>
      </w:r>
      <w:r w:rsidRPr="002B2E80">
        <w:rPr>
          <w:rFonts w:cs="Arial"/>
          <w:lang w:eastAsia="fr-FR"/>
        </w:rPr>
        <w:instrText xml:space="preserve"> TOC \u \t "Heading 1 Annex,1,Heading 2 Annex,2,Heading 3 Annex,3" </w:instrText>
      </w:r>
      <w:r w:rsidRPr="002B2E80">
        <w:rPr>
          <w:rFonts w:cs="Arial"/>
          <w:lang w:eastAsia="fr-FR"/>
        </w:rPr>
        <w:fldChar w:fldCharType="separate"/>
      </w:r>
      <w:r w:rsidR="009167CD" w:rsidRPr="00A1392E">
        <w:rPr>
          <w:noProof/>
        </w:rPr>
        <w:t>I.</w:t>
      </w:r>
      <w:r w:rsidR="009167CD">
        <w:rPr>
          <w:rFonts w:asciiTheme="minorHAnsi" w:hAnsiTheme="minorHAnsi" w:cstheme="minorBidi"/>
          <w:caps w:val="0"/>
          <w:noProof/>
          <w:kern w:val="2"/>
          <w:sz w:val="24"/>
          <w:szCs w:val="24"/>
          <w:lang w:val="en-GB" w:eastAsia="en-GB"/>
          <w14:ligatures w14:val="standardContextual"/>
        </w:rPr>
        <w:tab/>
      </w:r>
      <w:r w:rsidR="009167CD" w:rsidRPr="00A1392E">
        <w:rPr>
          <w:noProof/>
        </w:rPr>
        <w:t>Objetivos de las presentes directrices</w:t>
      </w:r>
      <w:r w:rsidR="009167CD">
        <w:rPr>
          <w:noProof/>
        </w:rPr>
        <w:tab/>
      </w:r>
      <w:r w:rsidR="009167CD">
        <w:rPr>
          <w:noProof/>
        </w:rPr>
        <w:fldChar w:fldCharType="begin"/>
      </w:r>
      <w:r w:rsidR="009167CD">
        <w:rPr>
          <w:noProof/>
        </w:rPr>
        <w:instrText xml:space="preserve"> PAGEREF _Toc210665460 \h </w:instrText>
      </w:r>
      <w:r w:rsidR="009167CD">
        <w:rPr>
          <w:noProof/>
        </w:rPr>
      </w:r>
      <w:r w:rsidR="009167CD">
        <w:rPr>
          <w:noProof/>
        </w:rPr>
        <w:fldChar w:fldCharType="separate"/>
      </w:r>
      <w:r w:rsidR="009167CD">
        <w:rPr>
          <w:noProof/>
        </w:rPr>
        <w:t>2</w:t>
      </w:r>
      <w:r w:rsidR="009167CD">
        <w:rPr>
          <w:noProof/>
        </w:rPr>
        <w:fldChar w:fldCharType="end"/>
      </w:r>
    </w:p>
    <w:p w14:paraId="27292083" w14:textId="39814229" w:rsidR="009167CD" w:rsidRDefault="009167CD">
      <w:pPr>
        <w:pStyle w:val="TOC1"/>
        <w:rPr>
          <w:rFonts w:asciiTheme="minorHAnsi" w:hAnsiTheme="minorHAnsi" w:cstheme="minorBidi"/>
          <w:caps w:val="0"/>
          <w:noProof/>
          <w:kern w:val="2"/>
          <w:sz w:val="24"/>
          <w:szCs w:val="24"/>
          <w:lang w:val="en-GB" w:eastAsia="en-GB"/>
          <w14:ligatures w14:val="standardContextual"/>
        </w:rPr>
      </w:pPr>
      <w:r w:rsidRPr="00A1392E">
        <w:rPr>
          <w:noProof/>
        </w:rPr>
        <w:t>II.</w:t>
      </w:r>
      <w:r>
        <w:rPr>
          <w:rFonts w:asciiTheme="minorHAnsi" w:hAnsiTheme="minorHAnsi" w:cstheme="minorBidi"/>
          <w:caps w:val="0"/>
          <w:noProof/>
          <w:kern w:val="2"/>
          <w:sz w:val="24"/>
          <w:szCs w:val="24"/>
          <w:lang w:val="en-GB" w:eastAsia="en-GB"/>
          <w14:ligatures w14:val="standardContextual"/>
        </w:rPr>
        <w:tab/>
      </w:r>
      <w:r w:rsidRPr="00A1392E">
        <w:rPr>
          <w:noProof/>
        </w:rPr>
        <w:t>Ámbito de aplicación de estas directrices</w:t>
      </w:r>
      <w:r>
        <w:rPr>
          <w:noProof/>
        </w:rPr>
        <w:tab/>
      </w:r>
      <w:r>
        <w:rPr>
          <w:noProof/>
        </w:rPr>
        <w:fldChar w:fldCharType="begin"/>
      </w:r>
      <w:r>
        <w:rPr>
          <w:noProof/>
        </w:rPr>
        <w:instrText xml:space="preserve"> PAGEREF _Toc210665461 \h </w:instrText>
      </w:r>
      <w:r>
        <w:rPr>
          <w:noProof/>
        </w:rPr>
      </w:r>
      <w:r>
        <w:rPr>
          <w:noProof/>
        </w:rPr>
        <w:fldChar w:fldCharType="separate"/>
      </w:r>
      <w:r>
        <w:rPr>
          <w:noProof/>
        </w:rPr>
        <w:t>2</w:t>
      </w:r>
      <w:r>
        <w:rPr>
          <w:noProof/>
        </w:rPr>
        <w:fldChar w:fldCharType="end"/>
      </w:r>
    </w:p>
    <w:p w14:paraId="6FD10B77" w14:textId="1350A91D" w:rsidR="009167CD" w:rsidRDefault="009167CD">
      <w:pPr>
        <w:pStyle w:val="TOC1"/>
        <w:rPr>
          <w:rFonts w:asciiTheme="minorHAnsi" w:hAnsiTheme="minorHAnsi" w:cstheme="minorBidi"/>
          <w:caps w:val="0"/>
          <w:noProof/>
          <w:kern w:val="2"/>
          <w:sz w:val="24"/>
          <w:szCs w:val="24"/>
          <w:lang w:val="en-GB" w:eastAsia="en-GB"/>
          <w14:ligatures w14:val="standardContextual"/>
        </w:rPr>
      </w:pPr>
      <w:r w:rsidRPr="00A1392E">
        <w:rPr>
          <w:noProof/>
        </w:rPr>
        <w:t>III.</w:t>
      </w:r>
      <w:r>
        <w:rPr>
          <w:rFonts w:asciiTheme="minorHAnsi" w:hAnsiTheme="minorHAnsi" w:cstheme="minorBidi"/>
          <w:caps w:val="0"/>
          <w:noProof/>
          <w:kern w:val="2"/>
          <w:sz w:val="24"/>
          <w:szCs w:val="24"/>
          <w:lang w:val="en-GB" w:eastAsia="en-GB"/>
          <w14:ligatures w14:val="standardContextual"/>
        </w:rPr>
        <w:tab/>
      </w:r>
      <w:r w:rsidRPr="00A1392E">
        <w:rPr>
          <w:noProof/>
        </w:rPr>
        <w:t>Criterios de rendimiento para un nuevo protocolo basado en marcadores moleculares</w:t>
      </w:r>
      <w:r>
        <w:rPr>
          <w:noProof/>
        </w:rPr>
        <w:tab/>
      </w:r>
      <w:r>
        <w:rPr>
          <w:noProof/>
        </w:rPr>
        <w:fldChar w:fldCharType="begin"/>
      </w:r>
      <w:r>
        <w:rPr>
          <w:noProof/>
        </w:rPr>
        <w:instrText xml:space="preserve"> PAGEREF _Toc210665462 \h </w:instrText>
      </w:r>
      <w:r>
        <w:rPr>
          <w:noProof/>
        </w:rPr>
      </w:r>
      <w:r>
        <w:rPr>
          <w:noProof/>
        </w:rPr>
        <w:fldChar w:fldCharType="separate"/>
      </w:r>
      <w:r>
        <w:rPr>
          <w:noProof/>
        </w:rPr>
        <w:t>2</w:t>
      </w:r>
      <w:r>
        <w:rPr>
          <w:noProof/>
        </w:rPr>
        <w:fldChar w:fldCharType="end"/>
      </w:r>
    </w:p>
    <w:p w14:paraId="41B1D82E" w14:textId="45799943"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Especificidad</w:t>
      </w:r>
      <w:r>
        <w:rPr>
          <w:noProof/>
        </w:rPr>
        <w:tab/>
      </w:r>
      <w:r>
        <w:rPr>
          <w:noProof/>
        </w:rPr>
        <w:fldChar w:fldCharType="begin"/>
      </w:r>
      <w:r>
        <w:rPr>
          <w:noProof/>
        </w:rPr>
        <w:instrText xml:space="preserve"> PAGEREF _Toc210665463 \h </w:instrText>
      </w:r>
      <w:r>
        <w:rPr>
          <w:noProof/>
        </w:rPr>
      </w:r>
      <w:r>
        <w:rPr>
          <w:noProof/>
        </w:rPr>
        <w:fldChar w:fldCharType="separate"/>
      </w:r>
      <w:r>
        <w:rPr>
          <w:noProof/>
        </w:rPr>
        <w:t>2</w:t>
      </w:r>
      <w:r>
        <w:rPr>
          <w:noProof/>
        </w:rPr>
        <w:fldChar w:fldCharType="end"/>
      </w:r>
    </w:p>
    <w:p w14:paraId="5EBF319A" w14:textId="52EC9CE6"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Definición</w:t>
      </w:r>
      <w:r>
        <w:rPr>
          <w:noProof/>
        </w:rPr>
        <w:tab/>
      </w:r>
      <w:r>
        <w:rPr>
          <w:noProof/>
        </w:rPr>
        <w:fldChar w:fldCharType="begin"/>
      </w:r>
      <w:r>
        <w:rPr>
          <w:noProof/>
        </w:rPr>
        <w:instrText xml:space="preserve"> PAGEREF _Toc210665464 \h </w:instrText>
      </w:r>
      <w:r>
        <w:rPr>
          <w:noProof/>
        </w:rPr>
      </w:r>
      <w:r>
        <w:rPr>
          <w:noProof/>
        </w:rPr>
        <w:fldChar w:fldCharType="separate"/>
      </w:r>
      <w:r>
        <w:rPr>
          <w:noProof/>
        </w:rPr>
        <w:t>2</w:t>
      </w:r>
      <w:r>
        <w:rPr>
          <w:noProof/>
        </w:rPr>
        <w:fldChar w:fldCharType="end"/>
      </w:r>
    </w:p>
    <w:p w14:paraId="67DED96E" w14:textId="3005A036"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Requisito</w:t>
      </w:r>
      <w:r>
        <w:rPr>
          <w:noProof/>
        </w:rPr>
        <w:tab/>
      </w:r>
      <w:r>
        <w:rPr>
          <w:noProof/>
        </w:rPr>
        <w:fldChar w:fldCharType="begin"/>
      </w:r>
      <w:r>
        <w:rPr>
          <w:noProof/>
        </w:rPr>
        <w:instrText xml:space="preserve"> PAGEREF _Toc210665465 \h </w:instrText>
      </w:r>
      <w:r>
        <w:rPr>
          <w:noProof/>
        </w:rPr>
      </w:r>
      <w:r>
        <w:rPr>
          <w:noProof/>
        </w:rPr>
        <w:fldChar w:fldCharType="separate"/>
      </w:r>
      <w:r>
        <w:rPr>
          <w:noProof/>
        </w:rPr>
        <w:t>2</w:t>
      </w:r>
      <w:r>
        <w:rPr>
          <w:noProof/>
        </w:rPr>
        <w:fldChar w:fldCharType="end"/>
      </w:r>
    </w:p>
    <w:p w14:paraId="6B482DCB" w14:textId="4550321D"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¿Cómo evaluarlo?</w:t>
      </w:r>
      <w:r>
        <w:rPr>
          <w:noProof/>
        </w:rPr>
        <w:tab/>
      </w:r>
      <w:r>
        <w:rPr>
          <w:noProof/>
        </w:rPr>
        <w:fldChar w:fldCharType="begin"/>
      </w:r>
      <w:r>
        <w:rPr>
          <w:noProof/>
        </w:rPr>
        <w:instrText xml:space="preserve"> PAGEREF _Toc210665466 \h </w:instrText>
      </w:r>
      <w:r>
        <w:rPr>
          <w:noProof/>
        </w:rPr>
      </w:r>
      <w:r>
        <w:rPr>
          <w:noProof/>
        </w:rPr>
        <w:fldChar w:fldCharType="separate"/>
      </w:r>
      <w:r>
        <w:rPr>
          <w:noProof/>
        </w:rPr>
        <w:t>2</w:t>
      </w:r>
      <w:r>
        <w:rPr>
          <w:noProof/>
        </w:rPr>
        <w:fldChar w:fldCharType="end"/>
      </w:r>
    </w:p>
    <w:p w14:paraId="4B11C6F9" w14:textId="6AA7F791"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Sensibilidad y límite de detección</w:t>
      </w:r>
      <w:r>
        <w:rPr>
          <w:noProof/>
        </w:rPr>
        <w:tab/>
      </w:r>
      <w:r>
        <w:rPr>
          <w:noProof/>
        </w:rPr>
        <w:fldChar w:fldCharType="begin"/>
      </w:r>
      <w:r>
        <w:rPr>
          <w:noProof/>
        </w:rPr>
        <w:instrText xml:space="preserve"> PAGEREF _Toc210665467 \h </w:instrText>
      </w:r>
      <w:r>
        <w:rPr>
          <w:noProof/>
        </w:rPr>
      </w:r>
      <w:r>
        <w:rPr>
          <w:noProof/>
        </w:rPr>
        <w:fldChar w:fldCharType="separate"/>
      </w:r>
      <w:r>
        <w:rPr>
          <w:noProof/>
        </w:rPr>
        <w:t>2</w:t>
      </w:r>
      <w:r>
        <w:rPr>
          <w:noProof/>
        </w:rPr>
        <w:fldChar w:fldCharType="end"/>
      </w:r>
    </w:p>
    <w:p w14:paraId="040B0C9C" w14:textId="21854563"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Definición</w:t>
      </w:r>
      <w:r>
        <w:rPr>
          <w:noProof/>
        </w:rPr>
        <w:tab/>
      </w:r>
      <w:r>
        <w:rPr>
          <w:noProof/>
        </w:rPr>
        <w:fldChar w:fldCharType="begin"/>
      </w:r>
      <w:r>
        <w:rPr>
          <w:noProof/>
        </w:rPr>
        <w:instrText xml:space="preserve"> PAGEREF _Toc210665468 \h </w:instrText>
      </w:r>
      <w:r>
        <w:rPr>
          <w:noProof/>
        </w:rPr>
      </w:r>
      <w:r>
        <w:rPr>
          <w:noProof/>
        </w:rPr>
        <w:fldChar w:fldCharType="separate"/>
      </w:r>
      <w:r>
        <w:rPr>
          <w:noProof/>
        </w:rPr>
        <w:t>2</w:t>
      </w:r>
      <w:r>
        <w:rPr>
          <w:noProof/>
        </w:rPr>
        <w:fldChar w:fldCharType="end"/>
      </w:r>
    </w:p>
    <w:p w14:paraId="36EF8175" w14:textId="3AE07489"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Requisito</w:t>
      </w:r>
      <w:r>
        <w:rPr>
          <w:noProof/>
        </w:rPr>
        <w:tab/>
      </w:r>
      <w:r>
        <w:rPr>
          <w:noProof/>
        </w:rPr>
        <w:fldChar w:fldCharType="begin"/>
      </w:r>
      <w:r>
        <w:rPr>
          <w:noProof/>
        </w:rPr>
        <w:instrText xml:space="preserve"> PAGEREF _Toc210665469 \h </w:instrText>
      </w:r>
      <w:r>
        <w:rPr>
          <w:noProof/>
        </w:rPr>
      </w:r>
      <w:r>
        <w:rPr>
          <w:noProof/>
        </w:rPr>
        <w:fldChar w:fldCharType="separate"/>
      </w:r>
      <w:r>
        <w:rPr>
          <w:noProof/>
        </w:rPr>
        <w:t>3</w:t>
      </w:r>
      <w:r>
        <w:rPr>
          <w:noProof/>
        </w:rPr>
        <w:fldChar w:fldCharType="end"/>
      </w:r>
    </w:p>
    <w:p w14:paraId="1D46359B" w14:textId="639E24F7"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¿Cómo evaluarlo?</w:t>
      </w:r>
      <w:r>
        <w:rPr>
          <w:noProof/>
        </w:rPr>
        <w:tab/>
      </w:r>
      <w:r>
        <w:rPr>
          <w:noProof/>
        </w:rPr>
        <w:fldChar w:fldCharType="begin"/>
      </w:r>
      <w:r>
        <w:rPr>
          <w:noProof/>
        </w:rPr>
        <w:instrText xml:space="preserve"> PAGEREF _Toc210665470 \h </w:instrText>
      </w:r>
      <w:r>
        <w:rPr>
          <w:noProof/>
        </w:rPr>
      </w:r>
      <w:r>
        <w:rPr>
          <w:noProof/>
        </w:rPr>
        <w:fldChar w:fldCharType="separate"/>
      </w:r>
      <w:r>
        <w:rPr>
          <w:noProof/>
        </w:rPr>
        <w:t>3</w:t>
      </w:r>
      <w:r>
        <w:rPr>
          <w:noProof/>
        </w:rPr>
        <w:fldChar w:fldCharType="end"/>
      </w:r>
    </w:p>
    <w:p w14:paraId="29833574" w14:textId="3C1342EE"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Repetibilidad</w:t>
      </w:r>
      <w:r>
        <w:rPr>
          <w:noProof/>
        </w:rPr>
        <w:tab/>
      </w:r>
      <w:r>
        <w:rPr>
          <w:noProof/>
        </w:rPr>
        <w:fldChar w:fldCharType="begin"/>
      </w:r>
      <w:r>
        <w:rPr>
          <w:noProof/>
        </w:rPr>
        <w:instrText xml:space="preserve"> PAGEREF _Toc210665471 \h </w:instrText>
      </w:r>
      <w:r>
        <w:rPr>
          <w:noProof/>
        </w:rPr>
      </w:r>
      <w:r>
        <w:rPr>
          <w:noProof/>
        </w:rPr>
        <w:fldChar w:fldCharType="separate"/>
      </w:r>
      <w:r>
        <w:rPr>
          <w:noProof/>
        </w:rPr>
        <w:t>3</w:t>
      </w:r>
      <w:r>
        <w:rPr>
          <w:noProof/>
        </w:rPr>
        <w:fldChar w:fldCharType="end"/>
      </w:r>
    </w:p>
    <w:p w14:paraId="29A67B2F" w14:textId="4D4942C0"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Definición (basada en la norma ISO 16 577:2016; referencia a UPOV/INF/17)</w:t>
      </w:r>
      <w:r>
        <w:rPr>
          <w:noProof/>
        </w:rPr>
        <w:tab/>
      </w:r>
      <w:r>
        <w:rPr>
          <w:noProof/>
        </w:rPr>
        <w:fldChar w:fldCharType="begin"/>
      </w:r>
      <w:r>
        <w:rPr>
          <w:noProof/>
        </w:rPr>
        <w:instrText xml:space="preserve"> PAGEREF _Toc210665472 \h </w:instrText>
      </w:r>
      <w:r>
        <w:rPr>
          <w:noProof/>
        </w:rPr>
      </w:r>
      <w:r>
        <w:rPr>
          <w:noProof/>
        </w:rPr>
        <w:fldChar w:fldCharType="separate"/>
      </w:r>
      <w:r>
        <w:rPr>
          <w:noProof/>
        </w:rPr>
        <w:t>3</w:t>
      </w:r>
      <w:r>
        <w:rPr>
          <w:noProof/>
        </w:rPr>
        <w:fldChar w:fldCharType="end"/>
      </w:r>
    </w:p>
    <w:p w14:paraId="72D07DF5" w14:textId="2BE9A733"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Requisito</w:t>
      </w:r>
      <w:r>
        <w:rPr>
          <w:noProof/>
        </w:rPr>
        <w:tab/>
      </w:r>
      <w:r>
        <w:rPr>
          <w:noProof/>
        </w:rPr>
        <w:fldChar w:fldCharType="begin"/>
      </w:r>
      <w:r>
        <w:rPr>
          <w:noProof/>
        </w:rPr>
        <w:instrText xml:space="preserve"> PAGEREF _Toc210665473 \h </w:instrText>
      </w:r>
      <w:r>
        <w:rPr>
          <w:noProof/>
        </w:rPr>
      </w:r>
      <w:r>
        <w:rPr>
          <w:noProof/>
        </w:rPr>
        <w:fldChar w:fldCharType="separate"/>
      </w:r>
      <w:r>
        <w:rPr>
          <w:noProof/>
        </w:rPr>
        <w:t>3</w:t>
      </w:r>
      <w:r>
        <w:rPr>
          <w:noProof/>
        </w:rPr>
        <w:fldChar w:fldCharType="end"/>
      </w:r>
    </w:p>
    <w:p w14:paraId="437D0F92" w14:textId="0B03863F"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¿Cómo evaluarlo?</w:t>
      </w:r>
      <w:r>
        <w:rPr>
          <w:noProof/>
        </w:rPr>
        <w:tab/>
      </w:r>
      <w:r>
        <w:rPr>
          <w:noProof/>
        </w:rPr>
        <w:fldChar w:fldCharType="begin"/>
      </w:r>
      <w:r>
        <w:rPr>
          <w:noProof/>
        </w:rPr>
        <w:instrText xml:space="preserve"> PAGEREF _Toc210665474 \h </w:instrText>
      </w:r>
      <w:r>
        <w:rPr>
          <w:noProof/>
        </w:rPr>
      </w:r>
      <w:r>
        <w:rPr>
          <w:noProof/>
        </w:rPr>
        <w:fldChar w:fldCharType="separate"/>
      </w:r>
      <w:r>
        <w:rPr>
          <w:noProof/>
        </w:rPr>
        <w:t>3</w:t>
      </w:r>
      <w:r>
        <w:rPr>
          <w:noProof/>
        </w:rPr>
        <w:fldChar w:fldCharType="end"/>
      </w:r>
    </w:p>
    <w:p w14:paraId="2FCB3FB6" w14:textId="735E6068"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Reproducibilidad</w:t>
      </w:r>
      <w:r>
        <w:rPr>
          <w:noProof/>
        </w:rPr>
        <w:tab/>
      </w:r>
      <w:r>
        <w:rPr>
          <w:noProof/>
        </w:rPr>
        <w:fldChar w:fldCharType="begin"/>
      </w:r>
      <w:r>
        <w:rPr>
          <w:noProof/>
        </w:rPr>
        <w:instrText xml:space="preserve"> PAGEREF _Toc210665475 \h </w:instrText>
      </w:r>
      <w:r>
        <w:rPr>
          <w:noProof/>
        </w:rPr>
      </w:r>
      <w:r>
        <w:rPr>
          <w:noProof/>
        </w:rPr>
        <w:fldChar w:fldCharType="separate"/>
      </w:r>
      <w:r>
        <w:rPr>
          <w:noProof/>
        </w:rPr>
        <w:t>3</w:t>
      </w:r>
      <w:r>
        <w:rPr>
          <w:noProof/>
        </w:rPr>
        <w:fldChar w:fldCharType="end"/>
      </w:r>
    </w:p>
    <w:p w14:paraId="235803A2" w14:textId="112B3EA6"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Definición (basada en la norma ISO 16 577:2016; referencia a UPOV/INF/17)</w:t>
      </w:r>
      <w:r>
        <w:rPr>
          <w:noProof/>
        </w:rPr>
        <w:tab/>
      </w:r>
      <w:r>
        <w:rPr>
          <w:noProof/>
        </w:rPr>
        <w:fldChar w:fldCharType="begin"/>
      </w:r>
      <w:r>
        <w:rPr>
          <w:noProof/>
        </w:rPr>
        <w:instrText xml:space="preserve"> PAGEREF _Toc210665476 \h </w:instrText>
      </w:r>
      <w:r>
        <w:rPr>
          <w:noProof/>
        </w:rPr>
      </w:r>
      <w:r>
        <w:rPr>
          <w:noProof/>
        </w:rPr>
        <w:fldChar w:fldCharType="separate"/>
      </w:r>
      <w:r>
        <w:rPr>
          <w:noProof/>
        </w:rPr>
        <w:t>3</w:t>
      </w:r>
      <w:r>
        <w:rPr>
          <w:noProof/>
        </w:rPr>
        <w:fldChar w:fldCharType="end"/>
      </w:r>
    </w:p>
    <w:p w14:paraId="02902184" w14:textId="338E1427"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Requisito</w:t>
      </w:r>
      <w:r>
        <w:rPr>
          <w:noProof/>
        </w:rPr>
        <w:tab/>
      </w:r>
      <w:r>
        <w:rPr>
          <w:noProof/>
        </w:rPr>
        <w:fldChar w:fldCharType="begin"/>
      </w:r>
      <w:r>
        <w:rPr>
          <w:noProof/>
        </w:rPr>
        <w:instrText xml:space="preserve"> PAGEREF _Toc210665477 \h </w:instrText>
      </w:r>
      <w:r>
        <w:rPr>
          <w:noProof/>
        </w:rPr>
      </w:r>
      <w:r>
        <w:rPr>
          <w:noProof/>
        </w:rPr>
        <w:fldChar w:fldCharType="separate"/>
      </w:r>
      <w:r>
        <w:rPr>
          <w:noProof/>
        </w:rPr>
        <w:t>3</w:t>
      </w:r>
      <w:r>
        <w:rPr>
          <w:noProof/>
        </w:rPr>
        <w:fldChar w:fldCharType="end"/>
      </w:r>
    </w:p>
    <w:p w14:paraId="6E627940" w14:textId="7E768BDC"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¿Cómo evaluarlo?</w:t>
      </w:r>
      <w:r>
        <w:rPr>
          <w:noProof/>
        </w:rPr>
        <w:tab/>
      </w:r>
      <w:r>
        <w:rPr>
          <w:noProof/>
        </w:rPr>
        <w:fldChar w:fldCharType="begin"/>
      </w:r>
      <w:r>
        <w:rPr>
          <w:noProof/>
        </w:rPr>
        <w:instrText xml:space="preserve"> PAGEREF _Toc210665478 \h </w:instrText>
      </w:r>
      <w:r>
        <w:rPr>
          <w:noProof/>
        </w:rPr>
      </w:r>
      <w:r>
        <w:rPr>
          <w:noProof/>
        </w:rPr>
        <w:fldChar w:fldCharType="separate"/>
      </w:r>
      <w:r>
        <w:rPr>
          <w:noProof/>
        </w:rPr>
        <w:t>3</w:t>
      </w:r>
      <w:r>
        <w:rPr>
          <w:noProof/>
        </w:rPr>
        <w:fldChar w:fldCharType="end"/>
      </w:r>
    </w:p>
    <w:p w14:paraId="52D28436" w14:textId="4EE87F2B"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Robustez</w:t>
      </w:r>
      <w:r>
        <w:rPr>
          <w:noProof/>
        </w:rPr>
        <w:tab/>
      </w:r>
      <w:r>
        <w:rPr>
          <w:noProof/>
        </w:rPr>
        <w:fldChar w:fldCharType="begin"/>
      </w:r>
      <w:r>
        <w:rPr>
          <w:noProof/>
        </w:rPr>
        <w:instrText xml:space="preserve"> PAGEREF _Toc210665479 \h </w:instrText>
      </w:r>
      <w:r>
        <w:rPr>
          <w:noProof/>
        </w:rPr>
      </w:r>
      <w:r>
        <w:rPr>
          <w:noProof/>
        </w:rPr>
        <w:fldChar w:fldCharType="separate"/>
      </w:r>
      <w:r>
        <w:rPr>
          <w:noProof/>
        </w:rPr>
        <w:t>4</w:t>
      </w:r>
      <w:r>
        <w:rPr>
          <w:noProof/>
        </w:rPr>
        <w:fldChar w:fldCharType="end"/>
      </w:r>
    </w:p>
    <w:p w14:paraId="7126F50A" w14:textId="2BD8FC4A"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Definición (basada en la norma ISO 16 577:2016; referencia a UPOV/INF/17)</w:t>
      </w:r>
      <w:r>
        <w:rPr>
          <w:noProof/>
        </w:rPr>
        <w:tab/>
      </w:r>
      <w:r>
        <w:rPr>
          <w:noProof/>
        </w:rPr>
        <w:fldChar w:fldCharType="begin"/>
      </w:r>
      <w:r>
        <w:rPr>
          <w:noProof/>
        </w:rPr>
        <w:instrText xml:space="preserve"> PAGEREF _Toc210665480 \h </w:instrText>
      </w:r>
      <w:r>
        <w:rPr>
          <w:noProof/>
        </w:rPr>
      </w:r>
      <w:r>
        <w:rPr>
          <w:noProof/>
        </w:rPr>
        <w:fldChar w:fldCharType="separate"/>
      </w:r>
      <w:r>
        <w:rPr>
          <w:noProof/>
        </w:rPr>
        <w:t>4</w:t>
      </w:r>
      <w:r>
        <w:rPr>
          <w:noProof/>
        </w:rPr>
        <w:fldChar w:fldCharType="end"/>
      </w:r>
    </w:p>
    <w:p w14:paraId="7E937046" w14:textId="1F302D12"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Requisito</w:t>
      </w:r>
      <w:r>
        <w:rPr>
          <w:noProof/>
        </w:rPr>
        <w:tab/>
      </w:r>
      <w:r>
        <w:rPr>
          <w:noProof/>
        </w:rPr>
        <w:fldChar w:fldCharType="begin"/>
      </w:r>
      <w:r>
        <w:rPr>
          <w:noProof/>
        </w:rPr>
        <w:instrText xml:space="preserve"> PAGEREF _Toc210665481 \h </w:instrText>
      </w:r>
      <w:r>
        <w:rPr>
          <w:noProof/>
        </w:rPr>
      </w:r>
      <w:r>
        <w:rPr>
          <w:noProof/>
        </w:rPr>
        <w:fldChar w:fldCharType="separate"/>
      </w:r>
      <w:r>
        <w:rPr>
          <w:noProof/>
        </w:rPr>
        <w:t>4</w:t>
      </w:r>
      <w:r>
        <w:rPr>
          <w:noProof/>
        </w:rPr>
        <w:fldChar w:fldCharType="end"/>
      </w:r>
    </w:p>
    <w:p w14:paraId="79472024" w14:textId="59D2EE41" w:rsidR="009167CD" w:rsidRDefault="009167CD">
      <w:pPr>
        <w:pStyle w:val="TOC3"/>
        <w:rPr>
          <w:rFonts w:asciiTheme="minorHAnsi" w:hAnsiTheme="minorHAnsi" w:cstheme="minorBidi"/>
          <w:i w:val="0"/>
          <w:noProof/>
          <w:kern w:val="2"/>
          <w:sz w:val="24"/>
          <w:szCs w:val="24"/>
          <w:lang w:val="en-GB" w:eastAsia="en-GB"/>
          <w14:ligatures w14:val="standardContextual"/>
        </w:rPr>
      </w:pPr>
      <w:r w:rsidRPr="00A1392E">
        <w:rPr>
          <w:noProof/>
          <w:lang w:val="es-ES_tradnl"/>
        </w:rPr>
        <w:t>¿Cómo evaluarlo?</w:t>
      </w:r>
      <w:r>
        <w:rPr>
          <w:noProof/>
        </w:rPr>
        <w:tab/>
      </w:r>
      <w:r>
        <w:rPr>
          <w:noProof/>
        </w:rPr>
        <w:fldChar w:fldCharType="begin"/>
      </w:r>
      <w:r>
        <w:rPr>
          <w:noProof/>
        </w:rPr>
        <w:instrText xml:space="preserve"> PAGEREF _Toc210665482 \h </w:instrText>
      </w:r>
      <w:r>
        <w:rPr>
          <w:noProof/>
        </w:rPr>
      </w:r>
      <w:r>
        <w:rPr>
          <w:noProof/>
        </w:rPr>
        <w:fldChar w:fldCharType="separate"/>
      </w:r>
      <w:r>
        <w:rPr>
          <w:noProof/>
        </w:rPr>
        <w:t>4</w:t>
      </w:r>
      <w:r>
        <w:rPr>
          <w:noProof/>
        </w:rPr>
        <w:fldChar w:fldCharType="end"/>
      </w:r>
    </w:p>
    <w:p w14:paraId="38A908E1" w14:textId="1F9CC67A" w:rsidR="009167CD" w:rsidRDefault="009167CD">
      <w:pPr>
        <w:pStyle w:val="TOC1"/>
        <w:rPr>
          <w:rFonts w:asciiTheme="minorHAnsi" w:hAnsiTheme="minorHAnsi" w:cstheme="minorBidi"/>
          <w:caps w:val="0"/>
          <w:noProof/>
          <w:kern w:val="2"/>
          <w:sz w:val="24"/>
          <w:szCs w:val="24"/>
          <w:lang w:val="en-GB" w:eastAsia="en-GB"/>
          <w14:ligatures w14:val="standardContextual"/>
        </w:rPr>
      </w:pPr>
      <w:r w:rsidRPr="00A1392E">
        <w:rPr>
          <w:noProof/>
        </w:rPr>
        <w:t>IV.</w:t>
      </w:r>
      <w:r>
        <w:rPr>
          <w:rFonts w:asciiTheme="minorHAnsi" w:hAnsiTheme="minorHAnsi" w:cstheme="minorBidi"/>
          <w:caps w:val="0"/>
          <w:noProof/>
          <w:kern w:val="2"/>
          <w:sz w:val="24"/>
          <w:szCs w:val="24"/>
          <w:lang w:val="en-GB" w:eastAsia="en-GB"/>
          <w14:ligatures w14:val="standardContextual"/>
        </w:rPr>
        <w:tab/>
      </w:r>
      <w:r w:rsidRPr="00A1392E">
        <w:rPr>
          <w:noProof/>
        </w:rPr>
        <w:t>Informe de validación</w:t>
      </w:r>
      <w:r>
        <w:rPr>
          <w:noProof/>
        </w:rPr>
        <w:tab/>
      </w:r>
      <w:r>
        <w:rPr>
          <w:noProof/>
        </w:rPr>
        <w:fldChar w:fldCharType="begin"/>
      </w:r>
      <w:r>
        <w:rPr>
          <w:noProof/>
        </w:rPr>
        <w:instrText xml:space="preserve"> PAGEREF _Toc210665483 \h </w:instrText>
      </w:r>
      <w:r>
        <w:rPr>
          <w:noProof/>
        </w:rPr>
      </w:r>
      <w:r>
        <w:rPr>
          <w:noProof/>
        </w:rPr>
        <w:fldChar w:fldCharType="separate"/>
      </w:r>
      <w:r>
        <w:rPr>
          <w:noProof/>
        </w:rPr>
        <w:t>4</w:t>
      </w:r>
      <w:r>
        <w:rPr>
          <w:noProof/>
        </w:rPr>
        <w:fldChar w:fldCharType="end"/>
      </w:r>
    </w:p>
    <w:p w14:paraId="47C666B2" w14:textId="5D1E78CD"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Contenido del informe de validación</w:t>
      </w:r>
      <w:r>
        <w:rPr>
          <w:noProof/>
        </w:rPr>
        <w:tab/>
      </w:r>
      <w:r>
        <w:rPr>
          <w:noProof/>
        </w:rPr>
        <w:fldChar w:fldCharType="begin"/>
      </w:r>
      <w:r>
        <w:rPr>
          <w:noProof/>
        </w:rPr>
        <w:instrText xml:space="preserve"> PAGEREF _Toc210665484 \h </w:instrText>
      </w:r>
      <w:r>
        <w:rPr>
          <w:noProof/>
        </w:rPr>
      </w:r>
      <w:r>
        <w:rPr>
          <w:noProof/>
        </w:rPr>
        <w:fldChar w:fldCharType="separate"/>
      </w:r>
      <w:r>
        <w:rPr>
          <w:noProof/>
        </w:rPr>
        <w:t>4</w:t>
      </w:r>
      <w:r>
        <w:rPr>
          <w:noProof/>
        </w:rPr>
        <w:fldChar w:fldCharType="end"/>
      </w:r>
    </w:p>
    <w:p w14:paraId="215E9508" w14:textId="15E367D0" w:rsidR="009167CD" w:rsidRDefault="009167CD">
      <w:pPr>
        <w:pStyle w:val="TOC2"/>
        <w:rPr>
          <w:rFonts w:asciiTheme="minorHAnsi" w:hAnsiTheme="minorHAnsi" w:cstheme="minorBidi"/>
          <w:noProof/>
          <w:kern w:val="2"/>
          <w:sz w:val="24"/>
          <w:szCs w:val="24"/>
          <w:lang w:val="en-GB" w:eastAsia="en-GB"/>
          <w14:ligatures w14:val="standardContextual"/>
        </w:rPr>
      </w:pPr>
      <w:r w:rsidRPr="00A1392E">
        <w:rPr>
          <w:noProof/>
        </w:rPr>
        <w:t>Publicidad</w:t>
      </w:r>
      <w:r>
        <w:rPr>
          <w:noProof/>
        </w:rPr>
        <w:tab/>
      </w:r>
      <w:r>
        <w:rPr>
          <w:noProof/>
        </w:rPr>
        <w:fldChar w:fldCharType="begin"/>
      </w:r>
      <w:r>
        <w:rPr>
          <w:noProof/>
        </w:rPr>
        <w:instrText xml:space="preserve"> PAGEREF _Toc210665485 \h </w:instrText>
      </w:r>
      <w:r>
        <w:rPr>
          <w:noProof/>
        </w:rPr>
      </w:r>
      <w:r>
        <w:rPr>
          <w:noProof/>
        </w:rPr>
        <w:fldChar w:fldCharType="separate"/>
      </w:r>
      <w:r>
        <w:rPr>
          <w:noProof/>
        </w:rPr>
        <w:t>4</w:t>
      </w:r>
      <w:r>
        <w:rPr>
          <w:noProof/>
        </w:rPr>
        <w:fldChar w:fldCharType="end"/>
      </w:r>
    </w:p>
    <w:p w14:paraId="448809A1" w14:textId="6C020D06" w:rsidR="009167CD" w:rsidRDefault="009167CD">
      <w:pPr>
        <w:pStyle w:val="TOC1"/>
        <w:rPr>
          <w:rFonts w:asciiTheme="minorHAnsi" w:hAnsiTheme="minorHAnsi" w:cstheme="minorBidi"/>
          <w:caps w:val="0"/>
          <w:noProof/>
          <w:kern w:val="2"/>
          <w:sz w:val="24"/>
          <w:szCs w:val="24"/>
          <w:lang w:val="en-GB" w:eastAsia="en-GB"/>
          <w14:ligatures w14:val="standardContextual"/>
        </w:rPr>
      </w:pPr>
      <w:r w:rsidRPr="00A1392E">
        <w:rPr>
          <w:noProof/>
        </w:rPr>
        <w:t>V.</w:t>
      </w:r>
      <w:r>
        <w:rPr>
          <w:rFonts w:asciiTheme="minorHAnsi" w:hAnsiTheme="minorHAnsi" w:cstheme="minorBidi"/>
          <w:caps w:val="0"/>
          <w:noProof/>
          <w:kern w:val="2"/>
          <w:sz w:val="24"/>
          <w:szCs w:val="24"/>
          <w:lang w:val="en-GB" w:eastAsia="en-GB"/>
          <w14:ligatures w14:val="standardContextual"/>
        </w:rPr>
        <w:tab/>
      </w:r>
      <w:r w:rsidRPr="00A1392E">
        <w:rPr>
          <w:noProof/>
        </w:rPr>
        <w:t>Protocolo estándar para el e o de marcadores moleculares específicos de características</w:t>
      </w:r>
      <w:r>
        <w:rPr>
          <w:noProof/>
        </w:rPr>
        <w:tab/>
      </w:r>
      <w:r>
        <w:rPr>
          <w:noProof/>
        </w:rPr>
        <w:fldChar w:fldCharType="begin"/>
      </w:r>
      <w:r>
        <w:rPr>
          <w:noProof/>
        </w:rPr>
        <w:instrText xml:space="preserve"> PAGEREF _Toc210665486 \h </w:instrText>
      </w:r>
      <w:r>
        <w:rPr>
          <w:noProof/>
        </w:rPr>
      </w:r>
      <w:r>
        <w:rPr>
          <w:noProof/>
        </w:rPr>
        <w:fldChar w:fldCharType="separate"/>
      </w:r>
      <w:r>
        <w:rPr>
          <w:noProof/>
        </w:rPr>
        <w:t>5</w:t>
      </w:r>
      <w:r>
        <w:rPr>
          <w:noProof/>
        </w:rPr>
        <w:fldChar w:fldCharType="end"/>
      </w:r>
    </w:p>
    <w:p w14:paraId="31E64865" w14:textId="7EDB39E3" w:rsidR="009167CD" w:rsidRDefault="009167CD">
      <w:pPr>
        <w:pStyle w:val="TOC1"/>
        <w:rPr>
          <w:rFonts w:asciiTheme="minorHAnsi" w:hAnsiTheme="minorHAnsi" w:cstheme="minorBidi"/>
          <w:caps w:val="0"/>
          <w:noProof/>
          <w:kern w:val="2"/>
          <w:sz w:val="24"/>
          <w:szCs w:val="24"/>
          <w:lang w:val="en-GB" w:eastAsia="en-GB"/>
          <w14:ligatures w14:val="standardContextual"/>
        </w:rPr>
      </w:pPr>
      <w:r w:rsidRPr="00A1392E">
        <w:rPr>
          <w:noProof/>
        </w:rPr>
        <w:t>VI.</w:t>
      </w:r>
      <w:r>
        <w:rPr>
          <w:rFonts w:asciiTheme="minorHAnsi" w:hAnsiTheme="minorHAnsi" w:cstheme="minorBidi"/>
          <w:caps w:val="0"/>
          <w:noProof/>
          <w:kern w:val="2"/>
          <w:sz w:val="24"/>
          <w:szCs w:val="24"/>
          <w:lang w:val="en-GB" w:eastAsia="en-GB"/>
          <w14:ligatures w14:val="standardContextual"/>
        </w:rPr>
        <w:tab/>
      </w:r>
      <w:r w:rsidRPr="00A1392E">
        <w:rPr>
          <w:noProof/>
        </w:rPr>
        <w:t>Encuesta de seguimiento tras la aprobación</w:t>
      </w:r>
      <w:r>
        <w:rPr>
          <w:noProof/>
        </w:rPr>
        <w:tab/>
      </w:r>
      <w:r>
        <w:rPr>
          <w:noProof/>
        </w:rPr>
        <w:fldChar w:fldCharType="begin"/>
      </w:r>
      <w:r>
        <w:rPr>
          <w:noProof/>
        </w:rPr>
        <w:instrText xml:space="preserve"> PAGEREF _Toc210665487 \h </w:instrText>
      </w:r>
      <w:r>
        <w:rPr>
          <w:noProof/>
        </w:rPr>
      </w:r>
      <w:r>
        <w:rPr>
          <w:noProof/>
        </w:rPr>
        <w:fldChar w:fldCharType="separate"/>
      </w:r>
      <w:r>
        <w:rPr>
          <w:noProof/>
        </w:rPr>
        <w:t>7</w:t>
      </w:r>
      <w:r>
        <w:rPr>
          <w:noProof/>
        </w:rPr>
        <w:fldChar w:fldCharType="end"/>
      </w:r>
    </w:p>
    <w:p w14:paraId="6A741B89" w14:textId="6DF99E75" w:rsidR="009167CD" w:rsidRDefault="009167CD">
      <w:pPr>
        <w:pStyle w:val="TOC1"/>
        <w:rPr>
          <w:rFonts w:asciiTheme="minorHAnsi" w:hAnsiTheme="minorHAnsi" w:cstheme="minorBidi"/>
          <w:caps w:val="0"/>
          <w:noProof/>
          <w:kern w:val="2"/>
          <w:sz w:val="24"/>
          <w:szCs w:val="24"/>
          <w:lang w:val="en-GB" w:eastAsia="en-GB"/>
          <w14:ligatures w14:val="standardContextual"/>
        </w:rPr>
      </w:pPr>
      <w:r w:rsidRPr="00A1392E">
        <w:rPr>
          <w:noProof/>
        </w:rPr>
        <w:t>VII.</w:t>
      </w:r>
      <w:r>
        <w:rPr>
          <w:rFonts w:asciiTheme="minorHAnsi" w:hAnsiTheme="minorHAnsi" w:cstheme="minorBidi"/>
          <w:caps w:val="0"/>
          <w:noProof/>
          <w:kern w:val="2"/>
          <w:sz w:val="24"/>
          <w:szCs w:val="24"/>
          <w:lang w:val="en-GB" w:eastAsia="en-GB"/>
          <w14:ligatures w14:val="standardContextual"/>
        </w:rPr>
        <w:tab/>
      </w:r>
      <w:r w:rsidRPr="00A1392E">
        <w:rPr>
          <w:noProof/>
        </w:rPr>
        <w:t>BIBLIOGRAFÍA</w:t>
      </w:r>
      <w:r>
        <w:rPr>
          <w:noProof/>
        </w:rPr>
        <w:tab/>
      </w:r>
      <w:r>
        <w:rPr>
          <w:noProof/>
        </w:rPr>
        <w:fldChar w:fldCharType="begin"/>
      </w:r>
      <w:r>
        <w:rPr>
          <w:noProof/>
        </w:rPr>
        <w:instrText xml:space="preserve"> PAGEREF _Toc210665488 \h </w:instrText>
      </w:r>
      <w:r>
        <w:rPr>
          <w:noProof/>
        </w:rPr>
      </w:r>
      <w:r>
        <w:rPr>
          <w:noProof/>
        </w:rPr>
        <w:fldChar w:fldCharType="separate"/>
      </w:r>
      <w:r>
        <w:rPr>
          <w:noProof/>
        </w:rPr>
        <w:t>8</w:t>
      </w:r>
      <w:r>
        <w:rPr>
          <w:noProof/>
        </w:rPr>
        <w:fldChar w:fldCharType="end"/>
      </w:r>
    </w:p>
    <w:p w14:paraId="3F14DA8C" w14:textId="0351569A" w:rsidR="00D52685" w:rsidRPr="002B2E80" w:rsidRDefault="00AF5629" w:rsidP="00D52685">
      <w:pPr>
        <w:rPr>
          <w:rFonts w:cs="Arial"/>
          <w:lang w:eastAsia="fr-FR"/>
        </w:rPr>
      </w:pPr>
      <w:r w:rsidRPr="002B2E80">
        <w:rPr>
          <w:rFonts w:cs="Arial"/>
          <w:lang w:eastAsia="fr-FR"/>
        </w:rPr>
        <w:fldChar w:fldCharType="end"/>
      </w:r>
    </w:p>
    <w:p w14:paraId="74DF8BDE" w14:textId="77777777" w:rsidR="00D52685" w:rsidRPr="002B2E80" w:rsidRDefault="00D52685" w:rsidP="00D52685">
      <w:pPr>
        <w:keepNext/>
        <w:outlineLvl w:val="0"/>
        <w:rPr>
          <w:caps/>
          <w:lang w:eastAsia="ja-JP"/>
        </w:rPr>
      </w:pPr>
    </w:p>
    <w:p w14:paraId="2441B9F8" w14:textId="62DDDFCC" w:rsidR="00D52685" w:rsidRPr="002B2E80" w:rsidRDefault="00D52685" w:rsidP="00D52685">
      <w:pPr>
        <w:keepNext/>
        <w:outlineLvl w:val="0"/>
        <w:rPr>
          <w:rFonts w:eastAsia="Times New Roman"/>
          <w:caps/>
        </w:rPr>
      </w:pPr>
      <w:r w:rsidRPr="002B2E80">
        <w:rPr>
          <w:rFonts w:eastAsia="Times New Roman"/>
          <w:caps/>
        </w:rPr>
        <w:t>Documentos asociados</w:t>
      </w:r>
      <w:bookmarkEnd w:id="67"/>
    </w:p>
    <w:p w14:paraId="088828AD" w14:textId="77777777" w:rsidR="00D52685" w:rsidRPr="002B2E80" w:rsidRDefault="00D52685" w:rsidP="00D52685">
      <w:pPr>
        <w:rPr>
          <w:rFonts w:eastAsia="Times New Roman" w:cs="Arial"/>
          <w:lang w:eastAsia="fr-FR"/>
        </w:rPr>
      </w:pPr>
    </w:p>
    <w:p w14:paraId="6A8D368F" w14:textId="77777777" w:rsidR="00D52685" w:rsidRPr="002B2E80" w:rsidRDefault="00D52685" w:rsidP="00D52685">
      <w:pPr>
        <w:numPr>
          <w:ilvl w:val="0"/>
          <w:numId w:val="16"/>
        </w:numPr>
        <w:tabs>
          <w:tab w:val="left" w:pos="567"/>
        </w:tabs>
        <w:spacing w:after="60"/>
        <w:ind w:left="2268" w:hanging="1911"/>
        <w:rPr>
          <w:rFonts w:eastAsia="Calibri" w:cs="Arial"/>
        </w:rPr>
      </w:pPr>
      <w:r w:rsidRPr="002B2E80">
        <w:rPr>
          <w:rFonts w:eastAsia="Calibri" w:cs="Arial"/>
        </w:rPr>
        <w:t>TG/1/3:</w:t>
      </w:r>
      <w:r w:rsidRPr="002B2E80">
        <w:rPr>
          <w:rFonts w:eastAsia="Calibri" w:cs="Arial"/>
        </w:rPr>
        <w:tab/>
        <w:t>Introducción general al examen de la distinción, la homogeneidad y la estabilidad y la elaboración de descripciones armonizadas de las nuevas variedades vegetales</w:t>
      </w:r>
    </w:p>
    <w:p w14:paraId="4672F141" w14:textId="77777777" w:rsidR="00D52685" w:rsidRPr="002B2E80" w:rsidRDefault="00D52685" w:rsidP="00D52685">
      <w:pPr>
        <w:numPr>
          <w:ilvl w:val="0"/>
          <w:numId w:val="16"/>
        </w:numPr>
        <w:tabs>
          <w:tab w:val="left" w:pos="567"/>
        </w:tabs>
        <w:spacing w:after="60"/>
        <w:ind w:left="2268" w:hanging="1911"/>
        <w:rPr>
          <w:rFonts w:eastAsia="Calibri" w:cs="Arial"/>
        </w:rPr>
      </w:pPr>
      <w:r w:rsidRPr="002B2E80">
        <w:rPr>
          <w:rFonts w:eastAsia="Calibri" w:cs="Arial"/>
        </w:rPr>
        <w:t>TG/44:</w:t>
      </w:r>
      <w:r w:rsidRPr="002B2E80">
        <w:rPr>
          <w:rFonts w:eastAsia="Calibri" w:cs="Arial"/>
        </w:rPr>
        <w:tab/>
        <w:t>Directrices para la realización de pruebas de distinción, homogeneidad y estabilidad del tomate</w:t>
      </w:r>
    </w:p>
    <w:p w14:paraId="429E1445" w14:textId="77777777" w:rsidR="00D52685" w:rsidRPr="002B2E80" w:rsidRDefault="00D52685" w:rsidP="00D52685">
      <w:pPr>
        <w:numPr>
          <w:ilvl w:val="0"/>
          <w:numId w:val="16"/>
        </w:numPr>
        <w:tabs>
          <w:tab w:val="left" w:pos="567"/>
        </w:tabs>
        <w:spacing w:after="60"/>
        <w:ind w:left="2268" w:hanging="1911"/>
        <w:rPr>
          <w:rFonts w:eastAsia="Calibri" w:cs="Arial"/>
        </w:rPr>
      </w:pPr>
      <w:r w:rsidRPr="002B2E80">
        <w:rPr>
          <w:rFonts w:eastAsia="Calibri" w:cs="Arial"/>
        </w:rPr>
        <w:t>TGP/9:</w:t>
      </w:r>
      <w:r w:rsidRPr="002B2E80">
        <w:rPr>
          <w:rFonts w:eastAsia="Calibri" w:cs="Arial"/>
        </w:rPr>
        <w:tab/>
        <w:t>Examen de la distinción</w:t>
      </w:r>
    </w:p>
    <w:p w14:paraId="457C63BF" w14:textId="77777777" w:rsidR="00D52685" w:rsidRPr="002B2E80" w:rsidRDefault="00D52685" w:rsidP="00D52685">
      <w:pPr>
        <w:numPr>
          <w:ilvl w:val="0"/>
          <w:numId w:val="16"/>
        </w:numPr>
        <w:tabs>
          <w:tab w:val="left" w:pos="567"/>
        </w:tabs>
        <w:spacing w:after="60"/>
        <w:ind w:left="2268" w:hanging="1911"/>
        <w:rPr>
          <w:rFonts w:eastAsia="Calibri" w:cs="Arial"/>
        </w:rPr>
      </w:pPr>
      <w:r w:rsidRPr="002B2E80">
        <w:rPr>
          <w:rFonts w:eastAsia="Calibri" w:cs="Arial"/>
        </w:rPr>
        <w:t>TGP/10:</w:t>
      </w:r>
      <w:r w:rsidRPr="002B2E80">
        <w:rPr>
          <w:rFonts w:eastAsia="Calibri" w:cs="Arial"/>
        </w:rPr>
        <w:tab/>
        <w:t>Examen de la homogeneidad</w:t>
      </w:r>
    </w:p>
    <w:p w14:paraId="500B7791" w14:textId="77777777" w:rsidR="00D52685" w:rsidRPr="002B2E80" w:rsidRDefault="00D52685" w:rsidP="00D52685">
      <w:pPr>
        <w:numPr>
          <w:ilvl w:val="0"/>
          <w:numId w:val="16"/>
        </w:numPr>
        <w:tabs>
          <w:tab w:val="left" w:pos="567"/>
        </w:tabs>
        <w:spacing w:after="60"/>
        <w:ind w:left="2268" w:hanging="1911"/>
        <w:rPr>
          <w:rFonts w:eastAsia="Calibri" w:cs="Arial"/>
        </w:rPr>
      </w:pPr>
      <w:r w:rsidRPr="002B2E80">
        <w:rPr>
          <w:rFonts w:eastAsia="Calibri" w:cs="Arial"/>
        </w:rPr>
        <w:t>TGP/12:</w:t>
      </w:r>
      <w:r w:rsidRPr="002B2E80">
        <w:rPr>
          <w:rFonts w:eastAsia="Calibri" w:cs="Arial"/>
        </w:rPr>
        <w:tab/>
        <w:t>Orientación sobre determinados caracteres fisiológicos</w:t>
      </w:r>
    </w:p>
    <w:p w14:paraId="62F6E611" w14:textId="77777777" w:rsidR="00D52685" w:rsidRPr="002B2E80" w:rsidRDefault="00D52685" w:rsidP="00D52685">
      <w:pPr>
        <w:numPr>
          <w:ilvl w:val="0"/>
          <w:numId w:val="16"/>
        </w:numPr>
        <w:tabs>
          <w:tab w:val="left" w:pos="567"/>
        </w:tabs>
        <w:spacing w:after="60"/>
        <w:ind w:left="2268" w:hanging="1911"/>
        <w:rPr>
          <w:rFonts w:eastAsia="Calibri" w:cs="Arial"/>
          <w:b/>
          <w:bCs/>
        </w:rPr>
      </w:pPr>
      <w:r w:rsidRPr="002B2E80">
        <w:rPr>
          <w:rFonts w:eastAsia="Calibri" w:cs="Arial"/>
        </w:rPr>
        <w:t>TGP/15:</w:t>
      </w:r>
      <w:r w:rsidRPr="002B2E80">
        <w:rPr>
          <w:rFonts w:eastAsia="Calibri" w:cs="Arial"/>
        </w:rPr>
        <w:tab/>
        <w:t>Orientación sobre la utilización de marcadores bioquímicos y moleculares en el examen de la distinción, la homogeneidad y la estabilidad (DHE)</w:t>
      </w:r>
    </w:p>
    <w:p w14:paraId="34E505B3" w14:textId="77777777" w:rsidR="00D52685" w:rsidRPr="002B2E80" w:rsidRDefault="00D52685" w:rsidP="00D52685">
      <w:pPr>
        <w:numPr>
          <w:ilvl w:val="0"/>
          <w:numId w:val="16"/>
        </w:numPr>
        <w:tabs>
          <w:tab w:val="left" w:pos="567"/>
        </w:tabs>
        <w:spacing w:after="60"/>
        <w:ind w:left="2268" w:hanging="1911"/>
        <w:rPr>
          <w:rFonts w:eastAsia="Calibri" w:cs="Arial"/>
        </w:rPr>
      </w:pPr>
      <w:r w:rsidRPr="002B2E80">
        <w:rPr>
          <w:rFonts w:eastAsia="Calibri" w:cs="Arial"/>
        </w:rPr>
        <w:t>UPOV/INF/17</w:t>
      </w:r>
      <w:r w:rsidRPr="002B2E80">
        <w:rPr>
          <w:rFonts w:eastAsia="Calibri" w:cs="Arial"/>
        </w:rPr>
        <w:tab/>
        <w:t xml:space="preserve">Directrices para la elaboración de perfiles de ADN: selección de marcadores moleculares y creación de bases de datos </w:t>
      </w:r>
    </w:p>
    <w:p w14:paraId="5118709A" w14:textId="77777777" w:rsidR="00D52685" w:rsidRPr="002B2E80" w:rsidRDefault="00D52685" w:rsidP="00D52685">
      <w:pPr>
        <w:numPr>
          <w:ilvl w:val="0"/>
          <w:numId w:val="16"/>
        </w:numPr>
        <w:tabs>
          <w:tab w:val="left" w:pos="567"/>
        </w:tabs>
        <w:spacing w:after="60"/>
        <w:ind w:left="2268" w:hanging="1911"/>
        <w:rPr>
          <w:rFonts w:eastAsia="Calibri" w:cs="Arial"/>
          <w:b/>
          <w:bCs/>
        </w:rPr>
      </w:pPr>
      <w:r w:rsidRPr="002B2E80">
        <w:rPr>
          <w:rFonts w:eastAsia="Calibri" w:cs="Arial"/>
        </w:rPr>
        <w:t>UPOV/INF/18</w:t>
      </w:r>
      <w:r w:rsidRPr="002B2E80">
        <w:rPr>
          <w:rFonts w:eastAsia="Calibri" w:cs="Arial"/>
        </w:rPr>
        <w:tab/>
        <w:t>Posible utilización de marcadores moleculares en el examen de la distinción, la homogeneidad y la estabilidad (DHE)</w:t>
      </w:r>
    </w:p>
    <w:p w14:paraId="16EF0F89" w14:textId="56B73692" w:rsidR="0077577B" w:rsidRPr="00883312" w:rsidRDefault="00D52685" w:rsidP="00F36B90">
      <w:pPr>
        <w:numPr>
          <w:ilvl w:val="0"/>
          <w:numId w:val="16"/>
        </w:numPr>
        <w:tabs>
          <w:tab w:val="left" w:pos="567"/>
        </w:tabs>
        <w:spacing w:after="200" w:line="276" w:lineRule="auto"/>
        <w:ind w:left="2268" w:hanging="1911"/>
        <w:contextualSpacing/>
        <w:jc w:val="left"/>
        <w:rPr>
          <w:rFonts w:eastAsia="Calibri"/>
        </w:rPr>
      </w:pPr>
      <w:r w:rsidRPr="00883312">
        <w:rPr>
          <w:rFonts w:eastAsia="Calibri" w:cs="Arial"/>
        </w:rPr>
        <w:t xml:space="preserve">TWV/54/7 + </w:t>
      </w:r>
      <w:proofErr w:type="spellStart"/>
      <w:r w:rsidRPr="00883312">
        <w:rPr>
          <w:rFonts w:eastAsia="Calibri" w:cs="Arial"/>
        </w:rPr>
        <w:t>Add</w:t>
      </w:r>
      <w:proofErr w:type="spellEnd"/>
      <w:r w:rsidRPr="00883312">
        <w:rPr>
          <w:rFonts w:eastAsia="Calibri" w:cs="Arial"/>
        </w:rPr>
        <w:tab/>
        <w:t>Uso de técnicas moleculares en el examen DHE</w:t>
      </w:r>
      <w:r w:rsidR="0077577B" w:rsidRPr="00883312">
        <w:rPr>
          <w:rFonts w:eastAsia="Calibri"/>
        </w:rPr>
        <w:br w:type="page"/>
      </w:r>
    </w:p>
    <w:p w14:paraId="15827AA1" w14:textId="77777777" w:rsidR="00D52685" w:rsidRPr="002B2E80" w:rsidRDefault="00D52685" w:rsidP="0077577B">
      <w:pPr>
        <w:pStyle w:val="Heading1Annex"/>
        <w:rPr>
          <w:lang w:val="es-ES_tradnl"/>
        </w:rPr>
      </w:pPr>
      <w:bookmarkStart w:id="68" w:name="_Toc189576552"/>
      <w:bookmarkStart w:id="69" w:name="_Toc210665460"/>
      <w:r w:rsidRPr="002B2E80">
        <w:rPr>
          <w:lang w:val="es-ES_tradnl"/>
        </w:rPr>
        <w:lastRenderedPageBreak/>
        <w:t>I.</w:t>
      </w:r>
      <w:r w:rsidRPr="002B2E80">
        <w:rPr>
          <w:lang w:val="es-ES_tradnl"/>
        </w:rPr>
        <w:tab/>
        <w:t>Objetivos de las presentes directrices</w:t>
      </w:r>
      <w:bookmarkEnd w:id="68"/>
      <w:bookmarkEnd w:id="69"/>
    </w:p>
    <w:p w14:paraId="49A7413D" w14:textId="77777777" w:rsidR="00D52685" w:rsidRPr="002B2E80" w:rsidRDefault="00D52685" w:rsidP="00D52685">
      <w:pPr>
        <w:keepNext/>
        <w:rPr>
          <w:lang w:eastAsia="ja-JP"/>
        </w:rPr>
      </w:pPr>
    </w:p>
    <w:p w14:paraId="307E9754" w14:textId="4616A4F3" w:rsidR="00D52685" w:rsidRPr="002B2E80" w:rsidRDefault="00DC4B65" w:rsidP="00D52685">
      <w:pPr>
        <w:rPr>
          <w:rFonts w:eastAsia="Times New Roman"/>
          <w:lang w:eastAsia="fr-FR"/>
        </w:rPr>
      </w:pPr>
      <w:r w:rsidRPr="002B2E80">
        <w:rPr>
          <w:rFonts w:hint="eastAsia"/>
          <w:lang w:eastAsia="ja-JP"/>
        </w:rPr>
        <w:t>1.</w:t>
      </w:r>
      <w:r w:rsidRPr="002B2E80">
        <w:rPr>
          <w:rFonts w:eastAsia="Times New Roman"/>
          <w:lang w:eastAsia="fr-FR"/>
        </w:rPr>
        <w:tab/>
      </w:r>
      <w:r w:rsidR="00D52685" w:rsidRPr="002B2E80">
        <w:rPr>
          <w:rFonts w:eastAsia="Times New Roman"/>
          <w:lang w:eastAsia="fr-FR"/>
        </w:rPr>
        <w:t>El objetivo de estas directrices es desarrollar los principios contenidos en la Introducción General (documento TG/1/3) y los documentos TGP asociados, con el fin de ofrecer una orientación práctica detallada para la validación armonizada de un nuevo método basado en marcadores moleculares específicos de caracteres antes de su uso como prueba alternativa. Se describen los criterios de rendimiento necesarios para la validación y se ofrece orientación sobre su evaluación. Estas directrices también describen un protocolo estándar con capítulos obligatorios y opcionales. También se describe el estudio posterior a la aceptación.</w:t>
      </w:r>
    </w:p>
    <w:p w14:paraId="03804703" w14:textId="77777777" w:rsidR="00D52685" w:rsidRPr="002B2E80" w:rsidRDefault="00D52685" w:rsidP="00D52685">
      <w:pPr>
        <w:rPr>
          <w:rFonts w:eastAsia="Times New Roman"/>
          <w:lang w:eastAsia="fr-FR"/>
        </w:rPr>
      </w:pPr>
    </w:p>
    <w:p w14:paraId="6B30FB3B" w14:textId="129772C5" w:rsidR="00D52685" w:rsidRPr="002B2E80" w:rsidRDefault="00DC4B65" w:rsidP="00D52685">
      <w:pPr>
        <w:rPr>
          <w:rFonts w:eastAsia="Times New Roman"/>
          <w:lang w:eastAsia="fr-FR"/>
        </w:rPr>
      </w:pPr>
      <w:r w:rsidRPr="002B2E80">
        <w:rPr>
          <w:rFonts w:hint="eastAsia"/>
          <w:lang w:eastAsia="ja-JP"/>
        </w:rPr>
        <w:t>2.</w:t>
      </w:r>
      <w:r w:rsidR="00D52685" w:rsidRPr="002B2E80">
        <w:rPr>
          <w:rFonts w:eastAsia="Times New Roman"/>
          <w:lang w:eastAsia="fr-FR"/>
        </w:rPr>
        <w:tab/>
        <w:t>Si se utiliza una técnica diferente, el laboratorio debe validar su método en comparación con el método de referencia (para demostrar que la técnica alternativa da los mismos resultados).</w:t>
      </w:r>
    </w:p>
    <w:p w14:paraId="5122E8AA" w14:textId="77777777" w:rsidR="00D52685" w:rsidRPr="002B2E80" w:rsidRDefault="00D52685" w:rsidP="00D52685">
      <w:pPr>
        <w:rPr>
          <w:rFonts w:eastAsia="Times New Roman"/>
          <w:lang w:eastAsia="fr-FR"/>
        </w:rPr>
      </w:pPr>
    </w:p>
    <w:p w14:paraId="4344A0B1" w14:textId="77777777" w:rsidR="00D52685" w:rsidRPr="002B2E80" w:rsidRDefault="00D52685" w:rsidP="00D52685">
      <w:pPr>
        <w:rPr>
          <w:rFonts w:eastAsia="Times New Roman"/>
          <w:lang w:eastAsia="fr-FR"/>
        </w:rPr>
      </w:pPr>
    </w:p>
    <w:p w14:paraId="3AD58576" w14:textId="77777777" w:rsidR="00D52685" w:rsidRPr="002B2E80" w:rsidRDefault="00D52685" w:rsidP="0077577B">
      <w:pPr>
        <w:pStyle w:val="Heading1Annex"/>
        <w:rPr>
          <w:lang w:val="es-ES_tradnl"/>
        </w:rPr>
      </w:pPr>
      <w:bookmarkStart w:id="70" w:name="_Toc189576553"/>
      <w:bookmarkStart w:id="71" w:name="_Toc210665461"/>
      <w:r w:rsidRPr="002B2E80">
        <w:rPr>
          <w:lang w:val="es-ES_tradnl"/>
        </w:rPr>
        <w:t>II.</w:t>
      </w:r>
      <w:r w:rsidRPr="002B2E80">
        <w:rPr>
          <w:lang w:val="es-ES_tradnl"/>
        </w:rPr>
        <w:tab/>
        <w:t>Ámbito de aplicación de estas directrices</w:t>
      </w:r>
      <w:bookmarkEnd w:id="70"/>
      <w:bookmarkEnd w:id="71"/>
    </w:p>
    <w:p w14:paraId="2C6DCD92" w14:textId="77777777" w:rsidR="00D52685" w:rsidRPr="002B2E80" w:rsidRDefault="00D52685" w:rsidP="00D52685">
      <w:pPr>
        <w:rPr>
          <w:rFonts w:eastAsia="Times New Roman"/>
          <w:lang w:eastAsia="fr-FR"/>
        </w:rPr>
      </w:pPr>
    </w:p>
    <w:p w14:paraId="0B741B61" w14:textId="77777777" w:rsidR="00D52685" w:rsidRPr="002B2E80" w:rsidRDefault="00D52685" w:rsidP="00592AD3">
      <w:pPr>
        <w:ind w:left="567"/>
        <w:rPr>
          <w:rFonts w:eastAsia="Times New Roman"/>
          <w:lang w:eastAsia="fr-FR"/>
        </w:rPr>
      </w:pPr>
      <w:r w:rsidRPr="002B2E80">
        <w:rPr>
          <w:rFonts w:eastAsia="Times New Roman"/>
          <w:lang w:eastAsia="fr-FR"/>
        </w:rPr>
        <w:t>Todos los cultivos</w:t>
      </w:r>
    </w:p>
    <w:p w14:paraId="004B1AB4" w14:textId="77777777" w:rsidR="00D52685" w:rsidRPr="002B2E80" w:rsidRDefault="00D52685" w:rsidP="00592AD3">
      <w:pPr>
        <w:ind w:left="567"/>
        <w:rPr>
          <w:rFonts w:eastAsia="Times New Roman"/>
          <w:lang w:eastAsia="fr-FR"/>
        </w:rPr>
      </w:pPr>
      <w:r w:rsidRPr="002B2E80">
        <w:rPr>
          <w:rFonts w:eastAsia="Times New Roman"/>
          <w:lang w:eastAsia="fr-FR"/>
        </w:rPr>
        <w:t>Marcadores moleculares específicos de características</w:t>
      </w:r>
    </w:p>
    <w:p w14:paraId="5C4C2349" w14:textId="77777777" w:rsidR="00D52685" w:rsidRPr="002B2E80" w:rsidRDefault="00D52685" w:rsidP="00592AD3">
      <w:pPr>
        <w:ind w:left="567"/>
        <w:rPr>
          <w:rFonts w:eastAsia="Times New Roman"/>
          <w:lang w:eastAsia="fr-FR"/>
        </w:rPr>
      </w:pPr>
      <w:r w:rsidRPr="002B2E80">
        <w:rPr>
          <w:rFonts w:eastAsia="Times New Roman"/>
          <w:lang w:eastAsia="fr-FR"/>
        </w:rPr>
        <w:t>Para el examen de la distinción, la homogeneidad y la estabilidad (DHS).</w:t>
      </w:r>
    </w:p>
    <w:p w14:paraId="6FF294B0" w14:textId="77777777" w:rsidR="00D52685" w:rsidRPr="002B2E80" w:rsidRDefault="00D52685" w:rsidP="00D52685">
      <w:pPr>
        <w:rPr>
          <w:rFonts w:eastAsia="Times New Roman"/>
          <w:lang w:eastAsia="fr-FR"/>
        </w:rPr>
      </w:pPr>
    </w:p>
    <w:p w14:paraId="483F251D" w14:textId="77777777" w:rsidR="00D52685" w:rsidRPr="002B2E80" w:rsidRDefault="00D52685" w:rsidP="00D52685">
      <w:pPr>
        <w:rPr>
          <w:rFonts w:eastAsia="Times New Roman"/>
          <w:lang w:eastAsia="fr-FR"/>
        </w:rPr>
      </w:pPr>
    </w:p>
    <w:p w14:paraId="397FA912" w14:textId="77777777" w:rsidR="00D52685" w:rsidRPr="002B2E80" w:rsidRDefault="00D52685" w:rsidP="0077577B">
      <w:pPr>
        <w:pStyle w:val="Heading1Annex"/>
        <w:rPr>
          <w:lang w:val="es-ES_tradnl"/>
        </w:rPr>
      </w:pPr>
      <w:bookmarkStart w:id="72" w:name="_Toc189576554"/>
      <w:bookmarkStart w:id="73" w:name="_Toc210665462"/>
      <w:r w:rsidRPr="002B2E80">
        <w:rPr>
          <w:lang w:val="es-ES_tradnl"/>
        </w:rPr>
        <w:t>III.</w:t>
      </w:r>
      <w:r w:rsidRPr="002B2E80">
        <w:rPr>
          <w:lang w:val="es-ES_tradnl"/>
        </w:rPr>
        <w:tab/>
        <w:t>Criterios de rendimiento para un nuevo protocolo basado en marcadores moleculares</w:t>
      </w:r>
      <w:bookmarkEnd w:id="72"/>
      <w:bookmarkEnd w:id="73"/>
    </w:p>
    <w:p w14:paraId="7185E1B7" w14:textId="77777777" w:rsidR="00D52685" w:rsidRPr="002B2E80" w:rsidRDefault="00D52685" w:rsidP="00D52685">
      <w:pPr>
        <w:rPr>
          <w:rFonts w:eastAsia="Times New Roman"/>
          <w:lang w:eastAsia="fr-FR"/>
        </w:rPr>
      </w:pPr>
    </w:p>
    <w:p w14:paraId="383122F1" w14:textId="77777777" w:rsidR="00D52685" w:rsidRPr="002B2E80" w:rsidRDefault="00D52685" w:rsidP="0077577B">
      <w:pPr>
        <w:pStyle w:val="Heading2Annex"/>
        <w:rPr>
          <w:lang w:val="es-ES_tradnl"/>
        </w:rPr>
      </w:pPr>
      <w:bookmarkStart w:id="74" w:name="_Toc189576555"/>
      <w:bookmarkStart w:id="75" w:name="_Toc210665463"/>
      <w:r w:rsidRPr="002B2E80">
        <w:rPr>
          <w:lang w:val="es-ES_tradnl"/>
        </w:rPr>
        <w:t>Especificidad</w:t>
      </w:r>
      <w:bookmarkEnd w:id="74"/>
      <w:bookmarkEnd w:id="75"/>
    </w:p>
    <w:p w14:paraId="50163BF6" w14:textId="77777777" w:rsidR="00D52685" w:rsidRPr="002B2E80" w:rsidRDefault="00D52685" w:rsidP="00D52685">
      <w:pPr>
        <w:rPr>
          <w:rFonts w:eastAsia="Times New Roman"/>
          <w:lang w:eastAsia="fr-FR"/>
        </w:rPr>
      </w:pPr>
    </w:p>
    <w:p w14:paraId="00071FFE" w14:textId="77777777" w:rsidR="00D52685" w:rsidRPr="002B2E80" w:rsidRDefault="00D52685" w:rsidP="0077577B">
      <w:pPr>
        <w:pStyle w:val="Heading3Annex"/>
        <w:rPr>
          <w:lang w:val="es-ES_tradnl"/>
        </w:rPr>
      </w:pPr>
      <w:bookmarkStart w:id="76" w:name="_Toc189576556"/>
      <w:bookmarkStart w:id="77" w:name="_Toc210665464"/>
      <w:r w:rsidRPr="002B2E80">
        <w:rPr>
          <w:lang w:val="es-ES_tradnl"/>
        </w:rPr>
        <w:t>Definición</w:t>
      </w:r>
      <w:bookmarkEnd w:id="76"/>
      <w:bookmarkEnd w:id="77"/>
    </w:p>
    <w:p w14:paraId="2C62FBA9" w14:textId="77777777" w:rsidR="00D52685" w:rsidRPr="002B2E80" w:rsidRDefault="00D52685" w:rsidP="00D52685">
      <w:pPr>
        <w:rPr>
          <w:rFonts w:eastAsia="Times New Roman"/>
          <w:u w:val="single"/>
          <w:lang w:eastAsia="fr-FR"/>
        </w:rPr>
      </w:pPr>
    </w:p>
    <w:p w14:paraId="6C5D5890" w14:textId="1D54BE45" w:rsidR="00D52685" w:rsidRPr="002B2E80" w:rsidRDefault="00DC4B65" w:rsidP="00D52685">
      <w:pPr>
        <w:rPr>
          <w:rFonts w:eastAsia="Times New Roman"/>
          <w:lang w:eastAsia="fr-FR"/>
        </w:rPr>
      </w:pPr>
      <w:r w:rsidRPr="002B2E80">
        <w:rPr>
          <w:rFonts w:hint="eastAsia"/>
          <w:lang w:eastAsia="ja-JP"/>
        </w:rPr>
        <w:t>3.</w:t>
      </w:r>
      <w:r w:rsidR="00D52685" w:rsidRPr="002B2E80">
        <w:rPr>
          <w:rFonts w:eastAsia="Times New Roman"/>
          <w:lang w:eastAsia="fr-FR"/>
        </w:rPr>
        <w:tab/>
        <w:t xml:space="preserve">Correlación entre el genotipo y el fenotipo, </w:t>
      </w:r>
      <w:r w:rsidR="00D52685" w:rsidRPr="002B2E80">
        <w:rPr>
          <w:rFonts w:eastAsia="Times New Roman"/>
          <w:i/>
          <w:iCs/>
          <w:lang w:eastAsia="fr-FR"/>
        </w:rPr>
        <w:t xml:space="preserve">es decir, </w:t>
      </w:r>
      <w:r w:rsidR="00D52685" w:rsidRPr="002B2E80">
        <w:rPr>
          <w:rFonts w:eastAsia="Times New Roman"/>
          <w:lang w:eastAsia="fr-FR"/>
        </w:rPr>
        <w:t>fiabilidad del vínculo entre el marcador y la característica.</w:t>
      </w:r>
    </w:p>
    <w:p w14:paraId="541B6F71" w14:textId="77777777" w:rsidR="00D52685" w:rsidRPr="002B2E80" w:rsidRDefault="00D52685" w:rsidP="00D52685">
      <w:pPr>
        <w:rPr>
          <w:rFonts w:eastAsia="Times New Roman"/>
          <w:lang w:eastAsia="fr-FR"/>
        </w:rPr>
      </w:pPr>
    </w:p>
    <w:p w14:paraId="3B8F27E1" w14:textId="77777777" w:rsidR="00D52685" w:rsidRPr="002B2E80" w:rsidRDefault="00D52685" w:rsidP="0077577B">
      <w:pPr>
        <w:pStyle w:val="Heading3Annex"/>
        <w:rPr>
          <w:lang w:val="es-ES_tradnl"/>
        </w:rPr>
      </w:pPr>
      <w:bookmarkStart w:id="78" w:name="_Toc189576557"/>
      <w:bookmarkStart w:id="79" w:name="_Toc210665465"/>
      <w:r w:rsidRPr="002B2E80">
        <w:rPr>
          <w:lang w:val="es-ES_tradnl"/>
        </w:rPr>
        <w:t>Requisito</w:t>
      </w:r>
      <w:bookmarkEnd w:id="78"/>
      <w:bookmarkEnd w:id="79"/>
    </w:p>
    <w:p w14:paraId="7DF9B6CE" w14:textId="77777777" w:rsidR="00D52685" w:rsidRPr="002B2E80" w:rsidRDefault="00D52685" w:rsidP="00D52685">
      <w:pPr>
        <w:rPr>
          <w:rFonts w:eastAsia="Times New Roman"/>
          <w:u w:val="single"/>
          <w:lang w:eastAsia="fr-FR"/>
        </w:rPr>
      </w:pPr>
    </w:p>
    <w:p w14:paraId="6FE6F565" w14:textId="75846EC4" w:rsidR="00D52685" w:rsidRPr="002B2E80" w:rsidRDefault="00DC4B65" w:rsidP="00D52685">
      <w:pPr>
        <w:rPr>
          <w:rFonts w:eastAsia="Times New Roman"/>
          <w:lang w:eastAsia="fr-FR"/>
        </w:rPr>
      </w:pPr>
      <w:r w:rsidRPr="002B2E80">
        <w:rPr>
          <w:rFonts w:hint="eastAsia"/>
          <w:lang w:eastAsia="ja-JP"/>
        </w:rPr>
        <w:t>4.</w:t>
      </w:r>
      <w:r w:rsidR="00D52685" w:rsidRPr="002B2E80">
        <w:rPr>
          <w:rFonts w:eastAsia="Times New Roman"/>
          <w:lang w:eastAsia="fr-FR"/>
        </w:rPr>
        <w:tab/>
        <w:t>En principio, correlación del 100 % entre el genotipo y el fenotipo. Si la correlación es inferior al 100 %, se deben realizar pruebas de seguimiento para garantizar la fiabilidad de los resultados. En ese caso, se puede utilizar una regla de decisión. Una correlación inferior al 100 % puede deberse a otros factores genéticos.</w:t>
      </w:r>
    </w:p>
    <w:p w14:paraId="0A610793" w14:textId="77777777" w:rsidR="00D52685" w:rsidRPr="002B2E80" w:rsidRDefault="00D52685" w:rsidP="00D52685">
      <w:pPr>
        <w:rPr>
          <w:lang w:eastAsia="ja-JP"/>
        </w:rPr>
      </w:pPr>
    </w:p>
    <w:p w14:paraId="476C4AD3" w14:textId="1CE8C057" w:rsidR="00D52685" w:rsidRPr="002B2E80" w:rsidRDefault="00D52685" w:rsidP="0077577B">
      <w:pPr>
        <w:pStyle w:val="Heading3Annex"/>
        <w:rPr>
          <w:lang w:val="es-ES_tradnl"/>
        </w:rPr>
      </w:pPr>
      <w:bookmarkStart w:id="80" w:name="_Toc210665466"/>
      <w:r w:rsidRPr="002B2E80">
        <w:rPr>
          <w:lang w:val="es-ES_tradnl"/>
        </w:rPr>
        <w:t>¿Cómo evaluarlo?</w:t>
      </w:r>
      <w:bookmarkEnd w:id="80"/>
    </w:p>
    <w:p w14:paraId="207F51E0" w14:textId="77777777" w:rsidR="00D52685" w:rsidRPr="002B2E80" w:rsidRDefault="00D52685" w:rsidP="00D52685">
      <w:pPr>
        <w:rPr>
          <w:rFonts w:eastAsia="Times New Roman"/>
          <w:u w:val="single"/>
          <w:lang w:eastAsia="fr-FR"/>
        </w:rPr>
      </w:pPr>
    </w:p>
    <w:p w14:paraId="4F74D451" w14:textId="206E1350" w:rsidR="00D52685" w:rsidRPr="002B2E80" w:rsidRDefault="00DC4B65" w:rsidP="00D52685">
      <w:pPr>
        <w:rPr>
          <w:rFonts w:eastAsia="Times New Roman"/>
          <w:lang w:eastAsia="fr-FR"/>
        </w:rPr>
      </w:pPr>
      <w:r w:rsidRPr="002B2E80">
        <w:rPr>
          <w:rFonts w:hint="eastAsia"/>
          <w:lang w:eastAsia="ja-JP"/>
        </w:rPr>
        <w:t>5.</w:t>
      </w:r>
      <w:r w:rsidR="00D52685" w:rsidRPr="002B2E80">
        <w:rPr>
          <w:rFonts w:eastAsia="Times New Roman"/>
          <w:lang w:eastAsia="fr-FR"/>
        </w:rPr>
        <w:tab/>
        <w:t xml:space="preserve">Número de variedades: Para iniciar el proceso de selección de marcadores se necesita un número adecuado de variedades (conjunto de desarrollo) que refleje al máximo la diversidad observada dentro del grupo/cultivo/especie/tipo para el que se pretende que los marcadores sean discriminatorios. </w:t>
      </w:r>
    </w:p>
    <w:p w14:paraId="50020E60" w14:textId="77777777" w:rsidR="00D52685" w:rsidRPr="002B2E80" w:rsidRDefault="00D52685" w:rsidP="00D52685">
      <w:pPr>
        <w:rPr>
          <w:rFonts w:eastAsia="Times New Roman"/>
          <w:lang w:eastAsia="fr-FR"/>
        </w:rPr>
      </w:pPr>
    </w:p>
    <w:p w14:paraId="79EE68BD" w14:textId="0F553387" w:rsidR="00D52685" w:rsidRPr="002B2E80" w:rsidRDefault="00DC4B65" w:rsidP="00D52685">
      <w:pPr>
        <w:keepLines/>
        <w:rPr>
          <w:rFonts w:eastAsia="Times New Roman"/>
          <w:lang w:eastAsia="fr-FR"/>
        </w:rPr>
      </w:pPr>
      <w:r w:rsidRPr="002B2E80">
        <w:rPr>
          <w:rFonts w:hint="eastAsia"/>
          <w:lang w:eastAsia="ja-JP"/>
        </w:rPr>
        <w:t>6.</w:t>
      </w:r>
      <w:r w:rsidR="00D52685" w:rsidRPr="002B2E80">
        <w:rPr>
          <w:rFonts w:eastAsia="Times New Roman"/>
          <w:lang w:eastAsia="fr-FR"/>
        </w:rPr>
        <w:tab/>
        <w:t>Las variedades deben representar los diferentes estados de expresión (si se conocen variedades con estado heterocigótico y homocigótico), procedentes de diferentes obtentores, con diferentes antecedentes genéticos de la característica y diferentes tipos. Se deben utilizar variedades bien caracterizadas fenotípicamente para el rasgo de interés, cuando estén disponibles.</w:t>
      </w:r>
    </w:p>
    <w:p w14:paraId="4A352221" w14:textId="77777777" w:rsidR="00D52685" w:rsidRPr="002B2E80" w:rsidRDefault="00D52685" w:rsidP="00D52685">
      <w:pPr>
        <w:rPr>
          <w:rFonts w:eastAsia="Times New Roman"/>
          <w:lang w:eastAsia="fr-FR"/>
        </w:rPr>
      </w:pPr>
    </w:p>
    <w:p w14:paraId="736B3569" w14:textId="3F05D4BD" w:rsidR="00D52685" w:rsidRPr="002B2E80" w:rsidRDefault="00DC4B65" w:rsidP="00D52685">
      <w:pPr>
        <w:rPr>
          <w:rFonts w:eastAsia="Times New Roman"/>
          <w:lang w:eastAsia="fr-FR"/>
        </w:rPr>
      </w:pPr>
      <w:r w:rsidRPr="002B2E80">
        <w:rPr>
          <w:rFonts w:hint="eastAsia"/>
          <w:lang w:eastAsia="ja-JP"/>
        </w:rPr>
        <w:t>7.</w:t>
      </w:r>
      <w:r w:rsidR="00D52685" w:rsidRPr="002B2E80">
        <w:rPr>
          <w:rFonts w:eastAsia="Times New Roman"/>
          <w:lang w:eastAsia="fr-FR"/>
        </w:rPr>
        <w:tab/>
        <w:t>Número de plantas por variedad: al menos una planta por variedad si las variedades disponibles están bien caracterizadas fenotípicamente. De no ser así, el número de plantas deberá ser el mismo que para la observación morfológica descrita en las directrices de examen de la UPOV.</w:t>
      </w:r>
    </w:p>
    <w:p w14:paraId="72ECECC9" w14:textId="77777777" w:rsidR="00D52685" w:rsidRPr="002B2E80" w:rsidRDefault="00D52685" w:rsidP="00D52685">
      <w:pPr>
        <w:rPr>
          <w:rFonts w:eastAsia="Times New Roman"/>
          <w:lang w:eastAsia="fr-FR"/>
        </w:rPr>
      </w:pPr>
    </w:p>
    <w:p w14:paraId="0644CDBD" w14:textId="3D221B85" w:rsidR="00D52685" w:rsidRPr="002B2E80" w:rsidRDefault="00DC4B65" w:rsidP="00D52685">
      <w:pPr>
        <w:rPr>
          <w:rFonts w:eastAsia="Times New Roman"/>
          <w:lang w:eastAsia="fr-FR"/>
        </w:rPr>
      </w:pPr>
      <w:r w:rsidRPr="002B2E80">
        <w:rPr>
          <w:rFonts w:hint="eastAsia"/>
          <w:lang w:eastAsia="ja-JP"/>
        </w:rPr>
        <w:t>8.</w:t>
      </w:r>
      <w:r w:rsidR="00D52685" w:rsidRPr="002B2E80">
        <w:rPr>
          <w:rFonts w:eastAsia="Times New Roman"/>
          <w:lang w:eastAsia="fr-FR"/>
        </w:rPr>
        <w:tab/>
        <w:t>La especificidad puede evaluarse en un solo laboratorio.</w:t>
      </w:r>
    </w:p>
    <w:p w14:paraId="189582BC" w14:textId="77777777" w:rsidR="00D52685" w:rsidRPr="002B2E80" w:rsidRDefault="00D52685" w:rsidP="00D52685">
      <w:pPr>
        <w:rPr>
          <w:rFonts w:eastAsia="Times New Roman"/>
          <w:lang w:eastAsia="fr-FR"/>
        </w:rPr>
      </w:pPr>
    </w:p>
    <w:p w14:paraId="3AC52D2E" w14:textId="77777777" w:rsidR="00D52685" w:rsidRPr="002B2E80" w:rsidRDefault="00D52685" w:rsidP="0077577B">
      <w:pPr>
        <w:pStyle w:val="Heading2Annex"/>
        <w:rPr>
          <w:lang w:val="es-ES_tradnl"/>
        </w:rPr>
      </w:pPr>
      <w:bookmarkStart w:id="81" w:name="_Toc189576558"/>
      <w:bookmarkStart w:id="82" w:name="_Toc210665467"/>
      <w:r w:rsidRPr="002B2E80">
        <w:rPr>
          <w:lang w:val="es-ES_tradnl"/>
        </w:rPr>
        <w:t>Sensibilidad y límite de detección</w:t>
      </w:r>
      <w:bookmarkEnd w:id="81"/>
      <w:bookmarkEnd w:id="82"/>
    </w:p>
    <w:p w14:paraId="3963111B" w14:textId="77777777" w:rsidR="00D52685" w:rsidRPr="002B2E80" w:rsidRDefault="00D52685" w:rsidP="00D52685">
      <w:pPr>
        <w:rPr>
          <w:rFonts w:eastAsia="Times New Roman"/>
          <w:lang w:eastAsia="fr-FR"/>
        </w:rPr>
      </w:pPr>
    </w:p>
    <w:p w14:paraId="28941905" w14:textId="77777777" w:rsidR="00D52685" w:rsidRPr="002B2E80" w:rsidRDefault="00D52685" w:rsidP="0077577B">
      <w:pPr>
        <w:pStyle w:val="Heading3Annex"/>
        <w:rPr>
          <w:lang w:val="es-ES_tradnl"/>
        </w:rPr>
      </w:pPr>
      <w:bookmarkStart w:id="83" w:name="_Toc189576559"/>
      <w:bookmarkStart w:id="84" w:name="_Toc210665468"/>
      <w:r w:rsidRPr="002B2E80">
        <w:rPr>
          <w:lang w:val="es-ES_tradnl"/>
        </w:rPr>
        <w:t>Definición</w:t>
      </w:r>
      <w:bookmarkEnd w:id="83"/>
      <w:bookmarkEnd w:id="84"/>
    </w:p>
    <w:p w14:paraId="549090FC" w14:textId="77777777" w:rsidR="00D52685" w:rsidRPr="002B2E80" w:rsidRDefault="00D52685" w:rsidP="00D52685">
      <w:pPr>
        <w:rPr>
          <w:rFonts w:eastAsia="Times New Roman"/>
          <w:u w:val="single"/>
          <w:lang w:eastAsia="fr-FR"/>
        </w:rPr>
      </w:pPr>
    </w:p>
    <w:p w14:paraId="4916E7EA" w14:textId="07E5C0F1" w:rsidR="00D52685" w:rsidRPr="002B2E80" w:rsidRDefault="00DC4B65" w:rsidP="00D52685">
      <w:pPr>
        <w:rPr>
          <w:rFonts w:eastAsia="Times New Roman"/>
          <w:lang w:eastAsia="fr-FR"/>
        </w:rPr>
      </w:pPr>
      <w:r w:rsidRPr="002B2E80">
        <w:rPr>
          <w:rFonts w:hint="eastAsia"/>
          <w:lang w:eastAsia="ja-JP"/>
        </w:rPr>
        <w:t>9.</w:t>
      </w:r>
      <w:r w:rsidR="00D52685" w:rsidRPr="002B2E80">
        <w:rPr>
          <w:rFonts w:eastAsia="Times New Roman"/>
          <w:lang w:eastAsia="fr-FR"/>
        </w:rPr>
        <w:tab/>
        <w:t>El límite de detección se define como la cantidad mínima del objetivo que se puede detectar de forma fiable.</w:t>
      </w:r>
    </w:p>
    <w:p w14:paraId="0ECBEA15" w14:textId="77777777" w:rsidR="00D52685" w:rsidRPr="002B2E80" w:rsidRDefault="00D52685" w:rsidP="00D52685">
      <w:pPr>
        <w:rPr>
          <w:rFonts w:eastAsia="Times New Roman"/>
          <w:lang w:eastAsia="fr-FR"/>
        </w:rPr>
      </w:pPr>
    </w:p>
    <w:p w14:paraId="3FDFD496" w14:textId="3E43D41C" w:rsidR="00D52685" w:rsidRPr="002B2E80" w:rsidRDefault="00DC4B65" w:rsidP="00D52685">
      <w:pPr>
        <w:rPr>
          <w:rFonts w:eastAsia="Times New Roman"/>
          <w:lang w:eastAsia="fr-FR"/>
        </w:rPr>
      </w:pPr>
      <w:r w:rsidRPr="002B2E80">
        <w:rPr>
          <w:rFonts w:hint="eastAsia"/>
          <w:lang w:eastAsia="ja-JP"/>
        </w:rPr>
        <w:lastRenderedPageBreak/>
        <w:t>10.</w:t>
      </w:r>
      <w:r w:rsidR="00D52685" w:rsidRPr="002B2E80">
        <w:rPr>
          <w:rFonts w:eastAsia="Times New Roman"/>
          <w:lang w:eastAsia="fr-FR"/>
        </w:rPr>
        <w:tab/>
        <w:t>En el caso de los análisis realizados en muestras a granel (</w:t>
      </w:r>
      <w:r w:rsidR="00D52685" w:rsidRPr="002B2E80">
        <w:rPr>
          <w:rFonts w:eastAsia="Times New Roman"/>
          <w:i/>
          <w:iCs/>
          <w:lang w:eastAsia="fr-FR"/>
        </w:rPr>
        <w:t xml:space="preserve">por ejemplo, </w:t>
      </w:r>
      <w:r w:rsidR="00D52685" w:rsidRPr="002B2E80">
        <w:rPr>
          <w:rFonts w:eastAsia="Times New Roman"/>
          <w:lang w:eastAsia="fr-FR"/>
        </w:rPr>
        <w:t>un conjunto de diferentes plantas de la misma variedad), la sensibilidad es fundamental y debe evaluarse. Para su uso en plantas individuales, la cantidad del objetivo no es fundamental y este criterio de rendimiento es opcional.</w:t>
      </w:r>
    </w:p>
    <w:p w14:paraId="08EB57BC" w14:textId="77777777" w:rsidR="00D52685" w:rsidRPr="002B2E80" w:rsidRDefault="00D52685" w:rsidP="00D52685">
      <w:pPr>
        <w:rPr>
          <w:rFonts w:eastAsia="Times New Roman"/>
          <w:lang w:eastAsia="fr-FR"/>
        </w:rPr>
      </w:pPr>
    </w:p>
    <w:p w14:paraId="47918796" w14:textId="77777777" w:rsidR="00D52685" w:rsidRPr="002B2E80" w:rsidRDefault="00D52685" w:rsidP="0077577B">
      <w:pPr>
        <w:pStyle w:val="Heading3Annex"/>
        <w:rPr>
          <w:lang w:val="es-ES_tradnl"/>
        </w:rPr>
      </w:pPr>
      <w:bookmarkStart w:id="85" w:name="_Toc189576560"/>
      <w:bookmarkStart w:id="86" w:name="_Toc210665469"/>
      <w:r w:rsidRPr="002B2E80">
        <w:rPr>
          <w:lang w:val="es-ES_tradnl"/>
        </w:rPr>
        <w:t>Requisito</w:t>
      </w:r>
      <w:bookmarkEnd w:id="85"/>
      <w:bookmarkEnd w:id="86"/>
    </w:p>
    <w:p w14:paraId="350B597D" w14:textId="77777777" w:rsidR="00D52685" w:rsidRPr="002B2E80" w:rsidRDefault="00D52685" w:rsidP="00D52685">
      <w:pPr>
        <w:rPr>
          <w:rFonts w:eastAsia="Times New Roman"/>
          <w:lang w:eastAsia="fr-FR"/>
        </w:rPr>
      </w:pPr>
    </w:p>
    <w:p w14:paraId="0F74DBA4" w14:textId="7C02216C" w:rsidR="00D52685" w:rsidRPr="002B2E80" w:rsidRDefault="00DC4B65" w:rsidP="00D52685">
      <w:pPr>
        <w:rPr>
          <w:rFonts w:eastAsia="Times New Roman"/>
          <w:lang w:eastAsia="fr-FR"/>
        </w:rPr>
      </w:pPr>
      <w:r w:rsidRPr="002B2E80">
        <w:rPr>
          <w:rFonts w:hint="eastAsia"/>
          <w:lang w:eastAsia="ja-JP"/>
        </w:rPr>
        <w:t>11.</w:t>
      </w:r>
      <w:r w:rsidR="00D52685" w:rsidRPr="002B2E80">
        <w:rPr>
          <w:rFonts w:eastAsia="Times New Roman"/>
          <w:lang w:eastAsia="fr-FR"/>
        </w:rPr>
        <w:tab/>
        <w:t>En el caso del conjunto, el requisito sería detectar al menos un ejemplar fuera de tipo en el conjunto.</w:t>
      </w:r>
    </w:p>
    <w:p w14:paraId="111AE425" w14:textId="77777777" w:rsidR="00D52685" w:rsidRPr="002B2E80" w:rsidRDefault="00D52685" w:rsidP="00D52685">
      <w:pPr>
        <w:rPr>
          <w:rFonts w:eastAsia="Times New Roman"/>
          <w:lang w:eastAsia="fr-FR"/>
        </w:rPr>
      </w:pPr>
    </w:p>
    <w:p w14:paraId="4FAF1072" w14:textId="77777777" w:rsidR="00D52685" w:rsidRPr="002B2E80" w:rsidRDefault="00D52685" w:rsidP="0077577B">
      <w:pPr>
        <w:pStyle w:val="Heading3Annex"/>
        <w:rPr>
          <w:lang w:val="es-ES_tradnl"/>
        </w:rPr>
      </w:pPr>
      <w:bookmarkStart w:id="87" w:name="_Toc189576561"/>
      <w:bookmarkStart w:id="88" w:name="_Toc210665470"/>
      <w:r w:rsidRPr="002B2E80">
        <w:rPr>
          <w:lang w:val="es-ES_tradnl"/>
        </w:rPr>
        <w:t>¿Cómo evaluarlo?</w:t>
      </w:r>
      <w:bookmarkEnd w:id="87"/>
      <w:bookmarkEnd w:id="88"/>
    </w:p>
    <w:p w14:paraId="0A16B750" w14:textId="77777777" w:rsidR="00D52685" w:rsidRPr="002B2E80" w:rsidRDefault="00D52685" w:rsidP="00D52685">
      <w:pPr>
        <w:rPr>
          <w:rFonts w:eastAsia="Times New Roman"/>
          <w:lang w:eastAsia="fr-FR"/>
        </w:rPr>
      </w:pPr>
    </w:p>
    <w:p w14:paraId="24833FFF" w14:textId="266E8F02" w:rsidR="00D52685" w:rsidRPr="002B2E80" w:rsidRDefault="00DC4B65" w:rsidP="00D52685">
      <w:pPr>
        <w:rPr>
          <w:rFonts w:eastAsia="Times New Roman"/>
          <w:lang w:eastAsia="fr-FR"/>
        </w:rPr>
      </w:pPr>
      <w:r w:rsidRPr="002B2E80">
        <w:rPr>
          <w:rFonts w:hint="eastAsia"/>
          <w:lang w:eastAsia="ja-JP"/>
        </w:rPr>
        <w:t>12.</w:t>
      </w:r>
      <w:r w:rsidR="00D52685" w:rsidRPr="002B2E80">
        <w:rPr>
          <w:rFonts w:eastAsia="Times New Roman"/>
          <w:lang w:eastAsia="fr-FR"/>
        </w:rPr>
        <w:tab/>
        <w:t xml:space="preserve">Utilizar muestras artificiales mezclando un tipo diferente en un grupo para comprobar la sensibilidad de la detección. </w:t>
      </w:r>
    </w:p>
    <w:p w14:paraId="5A3ADB7F" w14:textId="77777777" w:rsidR="00D52685" w:rsidRPr="002B2E80" w:rsidRDefault="00D52685" w:rsidP="00D52685">
      <w:pPr>
        <w:rPr>
          <w:rFonts w:eastAsia="Times New Roman"/>
          <w:lang w:eastAsia="fr-FR"/>
        </w:rPr>
      </w:pPr>
    </w:p>
    <w:p w14:paraId="1F038A61" w14:textId="77777777" w:rsidR="00D52685" w:rsidRPr="002B2E80" w:rsidRDefault="00D52685" w:rsidP="0077577B">
      <w:pPr>
        <w:pStyle w:val="Heading2Annex"/>
        <w:rPr>
          <w:lang w:val="es-ES_tradnl"/>
        </w:rPr>
      </w:pPr>
      <w:bookmarkStart w:id="89" w:name="_Toc189576562"/>
      <w:bookmarkStart w:id="90" w:name="_Toc210665471"/>
      <w:r w:rsidRPr="002B2E80">
        <w:rPr>
          <w:lang w:val="es-ES_tradnl"/>
        </w:rPr>
        <w:t>Repetibilidad</w:t>
      </w:r>
      <w:bookmarkEnd w:id="89"/>
      <w:bookmarkEnd w:id="90"/>
    </w:p>
    <w:p w14:paraId="65E06CA6" w14:textId="77777777" w:rsidR="00D52685" w:rsidRPr="002B2E80" w:rsidRDefault="00D52685" w:rsidP="00D52685">
      <w:pPr>
        <w:keepNext/>
        <w:rPr>
          <w:rFonts w:eastAsia="Times New Roman"/>
          <w:lang w:eastAsia="fr-FR"/>
        </w:rPr>
      </w:pPr>
    </w:p>
    <w:p w14:paraId="6DB50C18" w14:textId="77777777" w:rsidR="00D52685" w:rsidRPr="002B2E80" w:rsidRDefault="00D52685" w:rsidP="0077577B">
      <w:pPr>
        <w:pStyle w:val="Heading3Annex"/>
        <w:rPr>
          <w:lang w:val="es-ES_tradnl"/>
        </w:rPr>
      </w:pPr>
      <w:bookmarkStart w:id="91" w:name="_Toc189576563"/>
      <w:bookmarkStart w:id="92" w:name="_Toc210665472"/>
      <w:r w:rsidRPr="002B2E80">
        <w:rPr>
          <w:lang w:val="es-ES_tradnl"/>
        </w:rPr>
        <w:t>Definición (basada en la norma ISO 16 577:2016; referencia a UPOV/INF/17)</w:t>
      </w:r>
      <w:bookmarkEnd w:id="91"/>
      <w:bookmarkEnd w:id="92"/>
    </w:p>
    <w:p w14:paraId="559DF538" w14:textId="77777777" w:rsidR="00D52685" w:rsidRPr="002B2E80" w:rsidRDefault="00D52685" w:rsidP="00D52685">
      <w:pPr>
        <w:rPr>
          <w:rFonts w:eastAsia="Times New Roman"/>
          <w:lang w:eastAsia="fr-FR"/>
        </w:rPr>
      </w:pPr>
    </w:p>
    <w:p w14:paraId="27D552F7" w14:textId="18B1766C" w:rsidR="00D52685" w:rsidRPr="002B2E80" w:rsidRDefault="00DC4B65" w:rsidP="00D52685">
      <w:pPr>
        <w:rPr>
          <w:rFonts w:eastAsia="Times New Roman"/>
          <w:lang w:eastAsia="fr-FR"/>
        </w:rPr>
      </w:pPr>
      <w:r w:rsidRPr="002B2E80">
        <w:rPr>
          <w:rFonts w:hint="eastAsia"/>
          <w:lang w:eastAsia="ja-JP"/>
        </w:rPr>
        <w:t>13.</w:t>
      </w:r>
      <w:r w:rsidR="00D52685" w:rsidRPr="002B2E80">
        <w:rPr>
          <w:rFonts w:eastAsia="Times New Roman"/>
          <w:lang w:eastAsia="fr-FR"/>
        </w:rPr>
        <w:tab/>
      </w:r>
      <w:r w:rsidR="00D52685" w:rsidRPr="002B2E80">
        <w:rPr>
          <w:rFonts w:eastAsia="Times New Roman"/>
          <w:i/>
          <w:iCs/>
          <w:lang w:eastAsia="fr-FR"/>
        </w:rPr>
        <w:t>«Repetibilidad: cuando se obtienen resultados idénticos con el mismo método, en elementos de ensayo idénticos, en el mismo laboratorio, por el mismo operador y utilizando el mismo equipo en intervalos de tiempo cortos».</w:t>
      </w:r>
    </w:p>
    <w:p w14:paraId="3DDC9D9B" w14:textId="77777777" w:rsidR="00D52685" w:rsidRPr="002B2E80" w:rsidRDefault="00D52685" w:rsidP="00D52685">
      <w:pPr>
        <w:rPr>
          <w:rFonts w:eastAsia="Times New Roman"/>
          <w:lang w:eastAsia="fr-FR"/>
        </w:rPr>
      </w:pPr>
    </w:p>
    <w:p w14:paraId="53970EE9" w14:textId="3603105F" w:rsidR="00D52685" w:rsidRPr="002B2E80" w:rsidRDefault="00DC4B65" w:rsidP="00D52685">
      <w:pPr>
        <w:rPr>
          <w:rFonts w:eastAsia="Times New Roman"/>
          <w:lang w:eastAsia="fr-FR"/>
        </w:rPr>
      </w:pPr>
      <w:r w:rsidRPr="002B2E80">
        <w:rPr>
          <w:rFonts w:hint="eastAsia"/>
          <w:lang w:eastAsia="ja-JP"/>
        </w:rPr>
        <w:t>14.</w:t>
      </w:r>
      <w:r w:rsidR="00D52685" w:rsidRPr="002B2E80">
        <w:rPr>
          <w:rFonts w:eastAsia="Times New Roman"/>
          <w:lang w:eastAsia="fr-FR"/>
        </w:rPr>
        <w:tab/>
        <w:t xml:space="preserve">En los métodos cualitativos, la conformidad es equivalente a la repetibilidad de los métodos cuantitativos (Langton </w:t>
      </w:r>
      <w:r w:rsidR="00D52685" w:rsidRPr="002B2E80">
        <w:rPr>
          <w:rFonts w:eastAsia="Times New Roman"/>
          <w:i/>
          <w:iCs/>
          <w:lang w:eastAsia="fr-FR"/>
        </w:rPr>
        <w:t>et al</w:t>
      </w:r>
      <w:r w:rsidR="00D52685" w:rsidRPr="002B2E80">
        <w:rPr>
          <w:rFonts w:eastAsia="Times New Roman"/>
          <w:lang w:eastAsia="fr-FR"/>
        </w:rPr>
        <w:t>., 2002).</w:t>
      </w:r>
    </w:p>
    <w:p w14:paraId="6523E50C" w14:textId="77777777" w:rsidR="00D52685" w:rsidRPr="002B2E80" w:rsidRDefault="00D52685" w:rsidP="00D52685">
      <w:pPr>
        <w:rPr>
          <w:rFonts w:eastAsia="Times New Roman"/>
          <w:u w:val="single"/>
          <w:lang w:eastAsia="fr-FR"/>
        </w:rPr>
      </w:pPr>
    </w:p>
    <w:p w14:paraId="2D16E67C" w14:textId="77777777" w:rsidR="00D52685" w:rsidRPr="002B2E80" w:rsidRDefault="00D52685" w:rsidP="0077577B">
      <w:pPr>
        <w:pStyle w:val="Heading3Annex"/>
        <w:rPr>
          <w:lang w:val="es-ES_tradnl"/>
        </w:rPr>
      </w:pPr>
      <w:bookmarkStart w:id="93" w:name="_Toc189576564"/>
      <w:bookmarkStart w:id="94" w:name="_Toc210665473"/>
      <w:r w:rsidRPr="002B2E80">
        <w:rPr>
          <w:lang w:val="es-ES_tradnl"/>
        </w:rPr>
        <w:t>Requisito</w:t>
      </w:r>
      <w:bookmarkEnd w:id="93"/>
      <w:bookmarkEnd w:id="94"/>
    </w:p>
    <w:p w14:paraId="6294F6D1" w14:textId="77777777" w:rsidR="00D52685" w:rsidRPr="002B2E80" w:rsidRDefault="00D52685" w:rsidP="00D52685">
      <w:pPr>
        <w:rPr>
          <w:rFonts w:eastAsia="Times New Roman"/>
          <w:lang w:eastAsia="fr-FR"/>
        </w:rPr>
      </w:pPr>
    </w:p>
    <w:p w14:paraId="07CD8C9E" w14:textId="09CE33E1" w:rsidR="00D52685" w:rsidRPr="002B2E80" w:rsidRDefault="00DC4B65" w:rsidP="00D52685">
      <w:pPr>
        <w:rPr>
          <w:rFonts w:eastAsia="Times New Roman"/>
          <w:lang w:eastAsia="fr-FR"/>
        </w:rPr>
      </w:pPr>
      <w:r w:rsidRPr="002B2E80">
        <w:rPr>
          <w:rFonts w:hint="eastAsia"/>
          <w:lang w:eastAsia="ja-JP"/>
        </w:rPr>
        <w:t>15.</w:t>
      </w:r>
      <w:r w:rsidR="00D52685" w:rsidRPr="002B2E80">
        <w:rPr>
          <w:rFonts w:eastAsia="Times New Roman"/>
          <w:lang w:eastAsia="fr-FR"/>
        </w:rPr>
        <w:tab/>
        <w:t xml:space="preserve">Lo ideal es el 100 %, pero generalmente se acepta un rendimiento ≥90 %. Si se publica la repetibilidad del método de referencia, la repetibilidad del método alternativo debe ser al menos equivalente. </w:t>
      </w:r>
    </w:p>
    <w:p w14:paraId="739830F5" w14:textId="77777777" w:rsidR="00D52685" w:rsidRPr="002B2E80" w:rsidRDefault="00D52685" w:rsidP="00D52685">
      <w:pPr>
        <w:rPr>
          <w:rFonts w:eastAsia="Times New Roman"/>
          <w:lang w:eastAsia="fr-FR"/>
        </w:rPr>
      </w:pPr>
    </w:p>
    <w:p w14:paraId="309B239C" w14:textId="77777777" w:rsidR="00D52685" w:rsidRPr="002B2E80" w:rsidRDefault="00D52685" w:rsidP="0077577B">
      <w:pPr>
        <w:pStyle w:val="Heading3Annex"/>
        <w:rPr>
          <w:lang w:val="es-ES_tradnl"/>
        </w:rPr>
      </w:pPr>
      <w:bookmarkStart w:id="95" w:name="_Toc189576565"/>
      <w:bookmarkStart w:id="96" w:name="_Toc210665474"/>
      <w:r w:rsidRPr="002B2E80">
        <w:rPr>
          <w:lang w:val="es-ES_tradnl"/>
        </w:rPr>
        <w:t>¿Cómo evaluarlo?</w:t>
      </w:r>
      <w:bookmarkEnd w:id="95"/>
      <w:bookmarkEnd w:id="96"/>
    </w:p>
    <w:p w14:paraId="4AB1F435" w14:textId="77777777" w:rsidR="00D52685" w:rsidRPr="002B2E80" w:rsidRDefault="00D52685" w:rsidP="00D52685">
      <w:pPr>
        <w:rPr>
          <w:rFonts w:eastAsia="Times New Roman"/>
          <w:lang w:eastAsia="fr-FR"/>
        </w:rPr>
      </w:pPr>
    </w:p>
    <w:p w14:paraId="27F27B9C" w14:textId="740E378E" w:rsidR="00D52685" w:rsidRPr="002B2E80" w:rsidRDefault="00DC4B65" w:rsidP="00D52685">
      <w:pPr>
        <w:rPr>
          <w:rFonts w:eastAsia="Times New Roman"/>
          <w:lang w:eastAsia="fr-FR"/>
        </w:rPr>
      </w:pPr>
      <w:r w:rsidRPr="002B2E80">
        <w:rPr>
          <w:rFonts w:hint="eastAsia"/>
          <w:lang w:eastAsia="ja-JP"/>
        </w:rPr>
        <w:t>16.</w:t>
      </w:r>
      <w:r w:rsidR="00D52685" w:rsidRPr="002B2E80">
        <w:rPr>
          <w:rFonts w:eastAsia="Times New Roman"/>
          <w:lang w:eastAsia="fr-FR"/>
        </w:rPr>
        <w:tab/>
        <w:t>La repetibilidad puede evaluarse dentro de un mismo laboratorio.</w:t>
      </w:r>
    </w:p>
    <w:p w14:paraId="1C7CC7CC" w14:textId="77777777" w:rsidR="00D52685" w:rsidRPr="002B2E80" w:rsidRDefault="00D52685" w:rsidP="00D52685">
      <w:pPr>
        <w:rPr>
          <w:rFonts w:eastAsia="Times New Roman"/>
          <w:lang w:eastAsia="fr-FR"/>
        </w:rPr>
      </w:pPr>
    </w:p>
    <w:p w14:paraId="7A099275" w14:textId="34566D93" w:rsidR="00D52685" w:rsidRPr="002B2E80" w:rsidRDefault="00DC4B65" w:rsidP="00D52685">
      <w:pPr>
        <w:rPr>
          <w:rFonts w:eastAsia="Times New Roman"/>
          <w:lang w:eastAsia="fr-FR"/>
        </w:rPr>
      </w:pPr>
      <w:r w:rsidRPr="002B2E80">
        <w:rPr>
          <w:rFonts w:hint="eastAsia"/>
          <w:lang w:eastAsia="ja-JP"/>
        </w:rPr>
        <w:t>17.</w:t>
      </w:r>
      <w:r w:rsidR="00D52685" w:rsidRPr="002B2E80">
        <w:rPr>
          <w:rFonts w:eastAsia="Times New Roman"/>
          <w:lang w:eastAsia="fr-FR"/>
        </w:rPr>
        <w:tab/>
        <w:t>Al menos tres réplicas técnicas extraídas de la misma planta (tres extracciones de ADN independientes). Incluir al menos todos los tipos de genotipos esperados.</w:t>
      </w:r>
    </w:p>
    <w:p w14:paraId="5C4478EE" w14:textId="77777777" w:rsidR="00D52685" w:rsidRPr="002B2E80" w:rsidRDefault="00D52685" w:rsidP="00D52685">
      <w:pPr>
        <w:rPr>
          <w:rFonts w:eastAsia="Times New Roman"/>
          <w:lang w:eastAsia="fr-FR"/>
        </w:rPr>
      </w:pPr>
    </w:p>
    <w:p w14:paraId="49E027FD" w14:textId="77777777" w:rsidR="00D52685" w:rsidRPr="002B2E80" w:rsidRDefault="00D52685" w:rsidP="0077577B">
      <w:pPr>
        <w:pStyle w:val="Heading2Annex"/>
        <w:rPr>
          <w:lang w:val="es-ES_tradnl"/>
        </w:rPr>
      </w:pPr>
      <w:bookmarkStart w:id="97" w:name="_Toc189576566"/>
      <w:bookmarkStart w:id="98" w:name="_Toc210665475"/>
      <w:r w:rsidRPr="002B2E80">
        <w:rPr>
          <w:lang w:val="es-ES_tradnl"/>
        </w:rPr>
        <w:t>Reproducibilidad</w:t>
      </w:r>
      <w:bookmarkEnd w:id="97"/>
      <w:bookmarkEnd w:id="98"/>
    </w:p>
    <w:p w14:paraId="376AF378" w14:textId="77777777" w:rsidR="00D52685" w:rsidRPr="002B2E80" w:rsidRDefault="00D52685" w:rsidP="00D52685">
      <w:pPr>
        <w:rPr>
          <w:rFonts w:eastAsia="Times New Roman"/>
          <w:lang w:eastAsia="fr-FR"/>
        </w:rPr>
      </w:pPr>
    </w:p>
    <w:p w14:paraId="1D0B2547" w14:textId="77777777" w:rsidR="00D52685" w:rsidRPr="002B2E80" w:rsidRDefault="00D52685" w:rsidP="0077577B">
      <w:pPr>
        <w:pStyle w:val="Heading3Annex"/>
        <w:rPr>
          <w:lang w:val="es-ES_tradnl"/>
        </w:rPr>
      </w:pPr>
      <w:bookmarkStart w:id="99" w:name="_Toc189576567"/>
      <w:bookmarkStart w:id="100" w:name="_Toc210665476"/>
      <w:r w:rsidRPr="002B2E80">
        <w:rPr>
          <w:lang w:val="es-ES_tradnl"/>
        </w:rPr>
        <w:t>Definición (basada en la norma ISO 16 577:2016; referencia a UPOV/INF/17)</w:t>
      </w:r>
      <w:bookmarkEnd w:id="99"/>
      <w:bookmarkEnd w:id="100"/>
    </w:p>
    <w:p w14:paraId="4FA1D0BC" w14:textId="77777777" w:rsidR="00D52685" w:rsidRPr="002B2E80" w:rsidRDefault="00D52685" w:rsidP="00D52685">
      <w:pPr>
        <w:rPr>
          <w:rFonts w:eastAsia="Times New Roman"/>
          <w:lang w:eastAsia="fr-FR"/>
        </w:rPr>
      </w:pPr>
    </w:p>
    <w:p w14:paraId="0DD1A221" w14:textId="25676429" w:rsidR="00D52685" w:rsidRPr="002B2E80" w:rsidRDefault="00DC4B65" w:rsidP="00D52685">
      <w:pPr>
        <w:rPr>
          <w:rFonts w:eastAsia="Times New Roman"/>
          <w:lang w:eastAsia="fr-FR"/>
        </w:rPr>
      </w:pPr>
      <w:r w:rsidRPr="002B2E80">
        <w:rPr>
          <w:rFonts w:hint="eastAsia"/>
          <w:lang w:eastAsia="ja-JP"/>
        </w:rPr>
        <w:t>18.</w:t>
      </w:r>
      <w:r w:rsidR="00D52685" w:rsidRPr="002B2E80">
        <w:rPr>
          <w:rFonts w:eastAsia="Times New Roman"/>
          <w:lang w:eastAsia="fr-FR"/>
        </w:rPr>
        <w:tab/>
        <w:t>«</w:t>
      </w:r>
      <w:r w:rsidR="00D52685" w:rsidRPr="002B2E80">
        <w:rPr>
          <w:rFonts w:eastAsia="Times New Roman"/>
          <w:i/>
          <w:iCs/>
          <w:lang w:eastAsia="fr-FR"/>
        </w:rPr>
        <w:t xml:space="preserve">Reproducibilidad: cuando los resultados de los ensayos se obtienen con el mismo método, en elementos de ensayo idénticos, dentro del mismo laboratorio o entre diferentes laboratorios, con diferentes operadores y utilizando diferentes </w:t>
      </w:r>
      <w:r w:rsidR="00D52685" w:rsidRPr="002B2E80">
        <w:rPr>
          <w:rFonts w:eastAsia="Times New Roman"/>
          <w:lang w:eastAsia="fr-FR"/>
        </w:rPr>
        <w:t>equipos» en diferentes momentos.</w:t>
      </w:r>
    </w:p>
    <w:p w14:paraId="3E4579B2" w14:textId="77777777" w:rsidR="00D52685" w:rsidRPr="002B2E80" w:rsidRDefault="00D52685" w:rsidP="00D52685">
      <w:pPr>
        <w:rPr>
          <w:rFonts w:eastAsia="Times New Roman"/>
          <w:lang w:eastAsia="fr-FR"/>
        </w:rPr>
      </w:pPr>
    </w:p>
    <w:p w14:paraId="0A5A73DD" w14:textId="52AED652" w:rsidR="00D52685" w:rsidRPr="002B2E80" w:rsidRDefault="00DC4B65" w:rsidP="00D52685">
      <w:pPr>
        <w:rPr>
          <w:rFonts w:eastAsia="Times New Roman"/>
          <w:lang w:eastAsia="fr-FR"/>
        </w:rPr>
      </w:pPr>
      <w:r w:rsidRPr="002B2E80">
        <w:rPr>
          <w:rFonts w:hint="eastAsia"/>
          <w:lang w:eastAsia="ja-JP"/>
        </w:rPr>
        <w:t>19.</w:t>
      </w:r>
      <w:r w:rsidR="00D52685" w:rsidRPr="002B2E80">
        <w:rPr>
          <w:rFonts w:eastAsia="Times New Roman"/>
          <w:lang w:eastAsia="fr-FR"/>
        </w:rPr>
        <w:tab/>
        <w:t xml:space="preserve">En los métodos cualitativos, la concordancia es equivalente a la reproducibilidad de los métodos cuantitativos (Langton </w:t>
      </w:r>
      <w:r w:rsidR="00D52685" w:rsidRPr="002B2E80">
        <w:rPr>
          <w:rFonts w:eastAsia="Times New Roman"/>
          <w:i/>
          <w:iCs/>
          <w:lang w:eastAsia="fr-FR"/>
        </w:rPr>
        <w:t>et al</w:t>
      </w:r>
      <w:r w:rsidR="00D52685" w:rsidRPr="002B2E80">
        <w:rPr>
          <w:rFonts w:eastAsia="Times New Roman"/>
          <w:lang w:eastAsia="fr-FR"/>
        </w:rPr>
        <w:t>., 2002).</w:t>
      </w:r>
    </w:p>
    <w:p w14:paraId="4B1BA2BA" w14:textId="77777777" w:rsidR="00D52685" w:rsidRPr="002B2E80" w:rsidRDefault="00D52685" w:rsidP="00D52685">
      <w:pPr>
        <w:rPr>
          <w:rFonts w:eastAsia="Times New Roman"/>
          <w:u w:val="single"/>
          <w:lang w:eastAsia="fr-FR"/>
        </w:rPr>
      </w:pPr>
    </w:p>
    <w:p w14:paraId="7E3E914F" w14:textId="77777777" w:rsidR="00D52685" w:rsidRPr="002B2E80" w:rsidRDefault="00D52685" w:rsidP="0077577B">
      <w:pPr>
        <w:pStyle w:val="Heading3Annex"/>
        <w:rPr>
          <w:lang w:val="es-ES_tradnl"/>
        </w:rPr>
      </w:pPr>
      <w:bookmarkStart w:id="101" w:name="_Toc189576568"/>
      <w:bookmarkStart w:id="102" w:name="_Toc210665477"/>
      <w:r w:rsidRPr="002B2E80">
        <w:rPr>
          <w:lang w:val="es-ES_tradnl"/>
        </w:rPr>
        <w:t>Requisito</w:t>
      </w:r>
      <w:bookmarkEnd w:id="101"/>
      <w:bookmarkEnd w:id="102"/>
    </w:p>
    <w:p w14:paraId="41597870" w14:textId="77777777" w:rsidR="00D52685" w:rsidRPr="002B2E80" w:rsidRDefault="00D52685" w:rsidP="00D52685">
      <w:pPr>
        <w:keepNext/>
        <w:rPr>
          <w:rFonts w:eastAsia="Times New Roman"/>
          <w:lang w:eastAsia="fr-FR"/>
        </w:rPr>
      </w:pPr>
    </w:p>
    <w:p w14:paraId="206E3A87" w14:textId="599F585A" w:rsidR="00D52685" w:rsidRPr="002B2E80" w:rsidRDefault="00DC4B65" w:rsidP="00D52685">
      <w:pPr>
        <w:keepNext/>
        <w:rPr>
          <w:rFonts w:eastAsia="Times New Roman"/>
          <w:lang w:eastAsia="fr-FR"/>
        </w:rPr>
      </w:pPr>
      <w:r w:rsidRPr="002B2E80">
        <w:rPr>
          <w:rFonts w:hint="eastAsia"/>
          <w:lang w:eastAsia="ja-JP"/>
        </w:rPr>
        <w:t>20.</w:t>
      </w:r>
      <w:r w:rsidR="00D52685" w:rsidRPr="002B2E80">
        <w:rPr>
          <w:rFonts w:eastAsia="Times New Roman"/>
          <w:lang w:eastAsia="fr-FR"/>
        </w:rPr>
        <w:tab/>
        <w:t xml:space="preserve">Lo ideal es el 100 %, pero generalmente se acepta un rendimiento ≥90 %. Si se publica la reproducibilidad del método de referencia, la reproducibilidad del método alternativo debe ser al menos equivalente. </w:t>
      </w:r>
    </w:p>
    <w:p w14:paraId="3FC81EB7" w14:textId="77777777" w:rsidR="00D52685" w:rsidRPr="002B2E80" w:rsidRDefault="00D52685" w:rsidP="00D52685">
      <w:pPr>
        <w:rPr>
          <w:rFonts w:eastAsia="Times New Roman"/>
          <w:lang w:eastAsia="fr-FR"/>
        </w:rPr>
      </w:pPr>
    </w:p>
    <w:p w14:paraId="7B4F2BDE" w14:textId="77777777" w:rsidR="00D52685" w:rsidRPr="002B2E80" w:rsidRDefault="00D52685" w:rsidP="0077577B">
      <w:pPr>
        <w:pStyle w:val="Heading3Annex"/>
        <w:rPr>
          <w:lang w:val="es-ES_tradnl"/>
        </w:rPr>
      </w:pPr>
      <w:bookmarkStart w:id="103" w:name="_Toc189576569"/>
      <w:bookmarkStart w:id="104" w:name="_Toc210665478"/>
      <w:r w:rsidRPr="002B2E80">
        <w:rPr>
          <w:lang w:val="es-ES_tradnl"/>
        </w:rPr>
        <w:t>¿Cómo evaluarlo?</w:t>
      </w:r>
      <w:bookmarkEnd w:id="103"/>
      <w:bookmarkEnd w:id="104"/>
    </w:p>
    <w:p w14:paraId="2752D83D" w14:textId="77777777" w:rsidR="00D52685" w:rsidRPr="002B2E80" w:rsidRDefault="00D52685" w:rsidP="00D52685">
      <w:pPr>
        <w:rPr>
          <w:rFonts w:eastAsia="Times New Roman"/>
          <w:lang w:eastAsia="fr-FR"/>
        </w:rPr>
      </w:pPr>
    </w:p>
    <w:p w14:paraId="303E67EA" w14:textId="5A7BF9B2" w:rsidR="00D52685" w:rsidRPr="002B2E80" w:rsidRDefault="00DC4B65" w:rsidP="00592AD3">
      <w:pPr>
        <w:rPr>
          <w:lang w:eastAsia="fr-FR"/>
        </w:rPr>
      </w:pPr>
      <w:r w:rsidRPr="002B2E80">
        <w:rPr>
          <w:rFonts w:hint="eastAsia"/>
          <w:lang w:eastAsia="ja-JP"/>
        </w:rPr>
        <w:t>21.</w:t>
      </w:r>
      <w:r w:rsidR="00D52685" w:rsidRPr="002B2E80">
        <w:rPr>
          <w:lang w:eastAsia="fr-FR"/>
        </w:rPr>
        <w:tab/>
        <w:t xml:space="preserve">La reproducibilidad debe evaluarse entre diferentes laboratorios mediante un estudio de validación </w:t>
      </w:r>
      <w:proofErr w:type="spellStart"/>
      <w:r w:rsidR="00D52685" w:rsidRPr="002B2E80">
        <w:rPr>
          <w:lang w:eastAsia="fr-FR"/>
        </w:rPr>
        <w:t>interlaboratorio</w:t>
      </w:r>
      <w:proofErr w:type="spellEnd"/>
      <w:r w:rsidR="00D52685" w:rsidRPr="002B2E80">
        <w:rPr>
          <w:lang w:eastAsia="fr-FR"/>
        </w:rPr>
        <w:t xml:space="preserve"> (ensayo </w:t>
      </w:r>
      <w:proofErr w:type="spellStart"/>
      <w:r w:rsidR="00D52685" w:rsidRPr="002B2E80">
        <w:rPr>
          <w:lang w:eastAsia="fr-FR"/>
        </w:rPr>
        <w:t>interlaboratorio</w:t>
      </w:r>
      <w:proofErr w:type="spellEnd"/>
      <w:r w:rsidR="00D52685" w:rsidRPr="002B2E80">
        <w:rPr>
          <w:lang w:eastAsia="fr-FR"/>
        </w:rPr>
        <w:t>) con muestras codificadas de genotipos conocidos. Deben incluirse todos los tipos de genotipos esperados.</w:t>
      </w:r>
    </w:p>
    <w:p w14:paraId="5479FBE8" w14:textId="77777777" w:rsidR="00592AD3" w:rsidRPr="002B2E80" w:rsidRDefault="00592AD3" w:rsidP="00592AD3">
      <w:pPr>
        <w:rPr>
          <w:lang w:eastAsia="fr-FR"/>
        </w:rPr>
      </w:pPr>
    </w:p>
    <w:p w14:paraId="652547FC" w14:textId="7E7B346A" w:rsidR="00D52685" w:rsidRPr="002B2E80" w:rsidRDefault="00DC4B65" w:rsidP="00592AD3">
      <w:pPr>
        <w:rPr>
          <w:lang w:eastAsia="fr-FR"/>
        </w:rPr>
      </w:pPr>
      <w:r w:rsidRPr="002B2E80">
        <w:rPr>
          <w:rFonts w:hint="eastAsia"/>
          <w:lang w:eastAsia="ja-JP"/>
        </w:rPr>
        <w:t>22.</w:t>
      </w:r>
      <w:r w:rsidR="00D52685" w:rsidRPr="002B2E80">
        <w:rPr>
          <w:lang w:eastAsia="fr-FR"/>
        </w:rPr>
        <w:tab/>
        <w:t xml:space="preserve">La prueba </w:t>
      </w:r>
      <w:proofErr w:type="spellStart"/>
      <w:r w:rsidR="00D52685" w:rsidRPr="002B2E80">
        <w:rPr>
          <w:lang w:eastAsia="fr-FR"/>
        </w:rPr>
        <w:t>interlaboratorio</w:t>
      </w:r>
      <w:proofErr w:type="spellEnd"/>
      <w:r w:rsidR="00D52685" w:rsidRPr="002B2E80">
        <w:rPr>
          <w:lang w:eastAsia="fr-FR"/>
        </w:rPr>
        <w:t xml:space="preserve"> debe involucrar al menos a tres laboratorios diferentes, incluyendo al menos dos oficinas de examen diferentes (</w:t>
      </w:r>
      <w:r w:rsidR="00D52685" w:rsidRPr="002B2E80">
        <w:rPr>
          <w:i/>
          <w:iCs/>
          <w:lang w:eastAsia="fr-FR"/>
        </w:rPr>
        <w:t xml:space="preserve">por ejemplo, </w:t>
      </w:r>
      <w:r w:rsidR="00D52685" w:rsidRPr="002B2E80">
        <w:rPr>
          <w:lang w:eastAsia="fr-FR"/>
        </w:rPr>
        <w:t xml:space="preserve">en </w:t>
      </w:r>
      <w:r w:rsidR="00D52685" w:rsidRPr="002B2E80">
        <w:rPr>
          <w:lang w:eastAsia="nl-NL"/>
        </w:rPr>
        <w:t>el proyecto</w:t>
      </w:r>
      <w:r w:rsidR="00D52685" w:rsidRPr="002B2E80">
        <w:rPr>
          <w:lang w:eastAsia="fr-FR"/>
        </w:rPr>
        <w:t xml:space="preserve"> INVITE </w:t>
      </w:r>
      <w:r w:rsidR="00D52685" w:rsidRPr="002B2E80">
        <w:rPr>
          <w:lang w:eastAsia="nl-NL"/>
        </w:rPr>
        <w:t>EU</w:t>
      </w:r>
      <w:r w:rsidR="00D52685" w:rsidRPr="002B2E80">
        <w:rPr>
          <w:color w:val="333333"/>
          <w:shd w:val="clear" w:color="auto" w:fill="FFFFFF"/>
          <w:lang w:eastAsia="nl-NL"/>
        </w:rPr>
        <w:t xml:space="preserve"> 817970 </w:t>
      </w:r>
      <w:r w:rsidR="00D52685" w:rsidRPr="002B2E80">
        <w:rPr>
          <w:lang w:eastAsia="nl-NL"/>
        </w:rPr>
        <w:t>DOI</w:t>
      </w:r>
      <w:hyperlink r:id="rId24" w:history="1">
        <w:r w:rsidR="00D52685" w:rsidRPr="002B2E80">
          <w:rPr>
            <w:rFonts w:ascii="Segoe UI" w:hAnsi="Segoe UI" w:cs="Segoe UI"/>
            <w:color w:val="0000FF"/>
            <w:sz w:val="18"/>
            <w:szCs w:val="18"/>
            <w:u w:val="single"/>
            <w:lang w:eastAsia="nl-NL"/>
          </w:rPr>
          <w:t xml:space="preserve"> 10.3030/817970</w:t>
        </w:r>
      </w:hyperlink>
      <w:r w:rsidR="00D52685" w:rsidRPr="002B2E80">
        <w:rPr>
          <w:rFonts w:ascii="Segoe UI" w:hAnsi="Segoe UI" w:cs="Segoe UI"/>
          <w:sz w:val="18"/>
          <w:szCs w:val="18"/>
          <w:lang w:eastAsia="nl-NL"/>
        </w:rPr>
        <w:t xml:space="preserve">, </w:t>
      </w:r>
      <w:r w:rsidR="00D52685" w:rsidRPr="002B2E80">
        <w:rPr>
          <w:lang w:eastAsia="fr-FR"/>
        </w:rPr>
        <w:t xml:space="preserve">tres oficinas de examen participaron en la prueba de validación). Si es posible, deben participar laboratorios con experiencia y familiarizados con la especie y la técnica. Si no es así, se puede organizar una formación antes </w:t>
      </w:r>
      <w:r w:rsidR="00D52685" w:rsidRPr="002B2E80">
        <w:rPr>
          <w:lang w:eastAsia="fr-FR"/>
        </w:rPr>
        <w:lastRenderedPageBreak/>
        <w:t xml:space="preserve">de la prueba </w:t>
      </w:r>
      <w:proofErr w:type="spellStart"/>
      <w:r w:rsidR="00D52685" w:rsidRPr="002B2E80">
        <w:rPr>
          <w:lang w:eastAsia="fr-FR"/>
        </w:rPr>
        <w:t>interlaboratorio</w:t>
      </w:r>
      <w:proofErr w:type="spellEnd"/>
      <w:r w:rsidR="00D52685" w:rsidRPr="002B2E80">
        <w:rPr>
          <w:lang w:eastAsia="fr-FR"/>
        </w:rPr>
        <w:t xml:space="preserve"> con muestras no codificadas. Los laboratorios pueden participar en una prueba </w:t>
      </w:r>
      <w:proofErr w:type="spellStart"/>
      <w:r w:rsidR="00D52685" w:rsidRPr="002B2E80">
        <w:rPr>
          <w:lang w:eastAsia="fr-FR"/>
        </w:rPr>
        <w:t>interlaboratorio</w:t>
      </w:r>
      <w:proofErr w:type="spellEnd"/>
      <w:r w:rsidR="00D52685" w:rsidRPr="002B2E80">
        <w:rPr>
          <w:lang w:eastAsia="fr-FR"/>
        </w:rPr>
        <w:t xml:space="preserve"> de forma voluntaria. En caso de que no haya voluntarios, se podrá realizar una evaluación de la reproducibilidad </w:t>
      </w:r>
      <w:proofErr w:type="spellStart"/>
      <w:r w:rsidR="00D52685" w:rsidRPr="002B2E80">
        <w:rPr>
          <w:lang w:eastAsia="fr-FR"/>
        </w:rPr>
        <w:t>intralaboratorio</w:t>
      </w:r>
      <w:proofErr w:type="spellEnd"/>
      <w:r w:rsidR="00D52685" w:rsidRPr="002B2E80">
        <w:rPr>
          <w:lang w:eastAsia="fr-FR"/>
        </w:rPr>
        <w:t xml:space="preserve"> con diferentes operadores.</w:t>
      </w:r>
    </w:p>
    <w:p w14:paraId="36793252" w14:textId="77777777" w:rsidR="00592AD3" w:rsidRPr="002B2E80" w:rsidRDefault="00592AD3" w:rsidP="00592AD3">
      <w:pPr>
        <w:rPr>
          <w:lang w:eastAsia="nl-NL"/>
        </w:rPr>
      </w:pPr>
    </w:p>
    <w:p w14:paraId="62476F6D" w14:textId="6639BC12" w:rsidR="00D52685" w:rsidRPr="002B2E80" w:rsidRDefault="00DC4B65" w:rsidP="00D52685">
      <w:pPr>
        <w:rPr>
          <w:rFonts w:eastAsia="Times New Roman"/>
          <w:lang w:eastAsia="fr-FR"/>
        </w:rPr>
      </w:pPr>
      <w:r w:rsidRPr="002B2E80">
        <w:rPr>
          <w:rFonts w:hint="eastAsia"/>
          <w:lang w:eastAsia="ja-JP"/>
        </w:rPr>
        <w:t>23.</w:t>
      </w:r>
      <w:r w:rsidR="00D52685" w:rsidRPr="002B2E80">
        <w:rPr>
          <w:rFonts w:eastAsia="Times New Roman"/>
          <w:lang w:eastAsia="fr-FR"/>
        </w:rPr>
        <w:tab/>
        <w:t xml:space="preserve">Todos los laboratorios deben seguir el protocolo que se va a validar. En el protocolo, el equipo de validación puede definir las partes obligatorias y opcionales. </w:t>
      </w:r>
      <w:r w:rsidR="00BD1333" w:rsidRPr="002B2E80">
        <w:rPr>
          <w:rFonts w:eastAsia="Times New Roman"/>
          <w:highlight w:val="lightGray"/>
          <w:u w:val="single"/>
          <w:lang w:eastAsia="fr-FR"/>
        </w:rPr>
        <w:t xml:space="preserve">Los laboratorios pueden participar en una prueba </w:t>
      </w:r>
      <w:proofErr w:type="spellStart"/>
      <w:r w:rsidR="00BD1333" w:rsidRPr="002B2E80">
        <w:rPr>
          <w:rFonts w:eastAsia="Times New Roman"/>
          <w:highlight w:val="lightGray"/>
          <w:u w:val="single"/>
          <w:lang w:eastAsia="fr-FR"/>
        </w:rPr>
        <w:t>interlaboratorio</w:t>
      </w:r>
      <w:proofErr w:type="spellEnd"/>
      <w:r w:rsidR="00BD1333" w:rsidRPr="002B2E80">
        <w:rPr>
          <w:rFonts w:eastAsia="Times New Roman"/>
          <w:highlight w:val="lightGray"/>
          <w:u w:val="single"/>
          <w:lang w:eastAsia="fr-FR"/>
        </w:rPr>
        <w:t xml:space="preserve"> de forma voluntaria. En caso de que no haya voluntarios, la reproducibilidad puede determinarse dentro de un laboratorio</w:t>
      </w:r>
      <w:r w:rsidR="00BD1333" w:rsidRPr="002B2E80">
        <w:rPr>
          <w:rFonts w:eastAsia="Times New Roman"/>
          <w:highlight w:val="lightGray"/>
          <w:lang w:eastAsia="fr-FR"/>
        </w:rPr>
        <w:t>.</w:t>
      </w:r>
    </w:p>
    <w:p w14:paraId="698AA37A" w14:textId="77777777" w:rsidR="00D52685" w:rsidRPr="002B2E80" w:rsidRDefault="00D52685" w:rsidP="00D52685">
      <w:pPr>
        <w:rPr>
          <w:rFonts w:eastAsia="Times New Roman"/>
          <w:lang w:eastAsia="fr-FR"/>
        </w:rPr>
      </w:pPr>
    </w:p>
    <w:p w14:paraId="06AE7B55" w14:textId="4F01BF84" w:rsidR="00D52685" w:rsidRPr="002B2E80" w:rsidRDefault="00DC4B65" w:rsidP="00592AD3">
      <w:pPr>
        <w:keepNext/>
        <w:rPr>
          <w:rFonts w:eastAsia="Times New Roman"/>
          <w:lang w:eastAsia="fr-FR"/>
        </w:rPr>
      </w:pPr>
      <w:r w:rsidRPr="002B2E80">
        <w:rPr>
          <w:rFonts w:hint="eastAsia"/>
          <w:lang w:eastAsia="ja-JP"/>
        </w:rPr>
        <w:t>24.</w:t>
      </w:r>
      <w:r w:rsidR="00D52685" w:rsidRPr="002B2E80">
        <w:rPr>
          <w:rFonts w:eastAsia="Times New Roman"/>
          <w:lang w:eastAsia="fr-FR"/>
        </w:rPr>
        <w:tab/>
        <w:t>Número de variedades: Incluir al menos todos los tipos de genotipos previstos.</w:t>
      </w:r>
    </w:p>
    <w:p w14:paraId="6EBE1097" w14:textId="77777777" w:rsidR="00D52685" w:rsidRPr="002B2E80" w:rsidRDefault="00D52685" w:rsidP="00592AD3">
      <w:pPr>
        <w:keepNext/>
        <w:rPr>
          <w:rFonts w:eastAsia="Times New Roman" w:cs="Arial"/>
          <w:lang w:eastAsia="fr-FR"/>
        </w:rPr>
      </w:pPr>
    </w:p>
    <w:p w14:paraId="0C8F7136" w14:textId="02C77E3E" w:rsidR="00D52685" w:rsidRPr="002B2E80" w:rsidRDefault="00DC4B65" w:rsidP="00D52685">
      <w:pPr>
        <w:rPr>
          <w:rFonts w:eastAsia="Times New Roman" w:cs="Arial"/>
          <w:lang w:eastAsia="fr-FR"/>
        </w:rPr>
      </w:pPr>
      <w:r w:rsidRPr="002B2E80">
        <w:rPr>
          <w:rFonts w:cs="Arial" w:hint="eastAsia"/>
          <w:lang w:eastAsia="ja-JP"/>
        </w:rPr>
        <w:t>25.</w:t>
      </w:r>
      <w:r w:rsidR="00D52685" w:rsidRPr="002B2E80">
        <w:rPr>
          <w:rFonts w:eastAsia="Times New Roman" w:cs="Arial"/>
          <w:lang w:eastAsia="fr-FR"/>
        </w:rPr>
        <w:tab/>
        <w:t xml:space="preserve">Se pueden seguir las directrices/normas sobre estudios </w:t>
      </w:r>
      <w:proofErr w:type="spellStart"/>
      <w:r w:rsidR="00D52685" w:rsidRPr="002B2E80">
        <w:rPr>
          <w:rFonts w:eastAsia="Times New Roman" w:cs="Arial"/>
          <w:lang w:eastAsia="fr-FR"/>
        </w:rPr>
        <w:t>interlaboratorios</w:t>
      </w:r>
      <w:proofErr w:type="spellEnd"/>
      <w:r w:rsidR="00D52685" w:rsidRPr="002B2E80">
        <w:rPr>
          <w:rFonts w:eastAsia="Times New Roman" w:cs="Arial"/>
          <w:lang w:eastAsia="fr-FR"/>
        </w:rPr>
        <w:t xml:space="preserve">: ISO 13495 </w:t>
      </w:r>
      <w:r w:rsidR="00D52685" w:rsidRPr="002B2E80">
        <w:rPr>
          <w:rFonts w:eastAsia="Times New Roman" w:cs="Arial"/>
          <w:i/>
          <w:iCs/>
          <w:lang w:eastAsia="fr-FR"/>
        </w:rPr>
        <w:t xml:space="preserve">Productos alimenticios - Principios de selección y criterios de validación para métodos de identificación de variedades utilizando ácido nucleico específico, </w:t>
      </w:r>
      <w:r w:rsidR="00D52685" w:rsidRPr="002B2E80">
        <w:rPr>
          <w:rFonts w:eastAsia="Times New Roman" w:cs="Arial"/>
          <w:lang w:eastAsia="fr-FR"/>
        </w:rPr>
        <w:t xml:space="preserve">ISO 17043 </w:t>
      </w:r>
      <w:r w:rsidR="00D52685" w:rsidRPr="002B2E80">
        <w:rPr>
          <w:rFonts w:eastAsia="Times New Roman" w:cs="Arial"/>
          <w:i/>
          <w:iCs/>
          <w:lang w:eastAsia="fr-FR"/>
        </w:rPr>
        <w:t xml:space="preserve">Evaluación de la conformidad - Requisitos generales para las pruebas de aptitud, </w:t>
      </w:r>
      <w:r w:rsidR="00D52685" w:rsidRPr="002B2E80">
        <w:rPr>
          <w:rFonts w:eastAsia="Times New Roman" w:cs="Arial"/>
          <w:lang w:eastAsia="fr-FR"/>
        </w:rPr>
        <w:t xml:space="preserve">EPPO pm7-122-2 </w:t>
      </w:r>
      <w:r w:rsidR="00D52685" w:rsidRPr="002B2E80">
        <w:rPr>
          <w:rFonts w:eastAsia="Times New Roman" w:cs="Arial"/>
          <w:i/>
          <w:iCs/>
          <w:lang w:eastAsia="fr-FR"/>
        </w:rPr>
        <w:t xml:space="preserve">Directrices para la organización de comparaciones </w:t>
      </w:r>
      <w:proofErr w:type="spellStart"/>
      <w:r w:rsidR="00D52685" w:rsidRPr="002B2E80">
        <w:rPr>
          <w:rFonts w:eastAsia="Times New Roman" w:cs="Arial"/>
          <w:i/>
          <w:iCs/>
          <w:lang w:eastAsia="fr-FR"/>
        </w:rPr>
        <w:t>interlaboratorios</w:t>
      </w:r>
      <w:proofErr w:type="spellEnd"/>
      <w:r w:rsidR="00D52685" w:rsidRPr="002B2E80">
        <w:rPr>
          <w:rFonts w:eastAsia="Times New Roman" w:cs="Arial"/>
          <w:i/>
          <w:iCs/>
          <w:lang w:eastAsia="fr-FR"/>
        </w:rPr>
        <w:t xml:space="preserve"> por laboratorios de diagnóstico de plagas vegetales, </w:t>
      </w:r>
      <w:r w:rsidR="00D52685" w:rsidRPr="002B2E80">
        <w:rPr>
          <w:rFonts w:eastAsia="Times New Roman" w:cs="Arial"/>
          <w:lang w:eastAsia="fr-FR"/>
        </w:rPr>
        <w:t xml:space="preserve">ISTA </w:t>
      </w:r>
      <w:r w:rsidR="00D52685" w:rsidRPr="002B2E80">
        <w:rPr>
          <w:rFonts w:eastAsia="Times New Roman" w:cs="Arial"/>
          <w:i/>
          <w:iCs/>
          <w:lang w:eastAsia="fr-FR"/>
        </w:rPr>
        <w:t xml:space="preserve">TCOM-P-10-Validación de métodos de sanidad de semillas y organización y análisis de pruebas comparativas </w:t>
      </w:r>
      <w:proofErr w:type="spellStart"/>
      <w:r w:rsidR="00D52685" w:rsidRPr="002B2E80">
        <w:rPr>
          <w:rFonts w:eastAsia="Times New Roman" w:cs="Arial"/>
          <w:i/>
          <w:iCs/>
          <w:lang w:eastAsia="fr-FR"/>
        </w:rPr>
        <w:t>interlaboratorios</w:t>
      </w:r>
      <w:proofErr w:type="spellEnd"/>
      <w:r w:rsidR="00D52685" w:rsidRPr="002B2E80">
        <w:rPr>
          <w:rFonts w:eastAsia="Times New Roman" w:cs="Arial"/>
          <w:i/>
          <w:iCs/>
          <w:lang w:eastAsia="fr-FR"/>
        </w:rPr>
        <w:t xml:space="preserve"> (CT)</w:t>
      </w:r>
      <w:r w:rsidR="00D52685" w:rsidRPr="002B2E80">
        <w:rPr>
          <w:rFonts w:eastAsia="Times New Roman" w:cs="Arial"/>
          <w:lang w:eastAsia="fr-FR"/>
        </w:rPr>
        <w:t>... El equipo de validación puede citar las directrices seguidas en su informe.</w:t>
      </w:r>
    </w:p>
    <w:p w14:paraId="75F6DDEF" w14:textId="77777777" w:rsidR="00D52685" w:rsidRPr="002B2E80" w:rsidRDefault="00D52685" w:rsidP="00D52685">
      <w:pPr>
        <w:rPr>
          <w:rFonts w:eastAsia="Times New Roman"/>
          <w:lang w:eastAsia="fr-FR"/>
        </w:rPr>
      </w:pPr>
    </w:p>
    <w:p w14:paraId="1AAD184E" w14:textId="77777777" w:rsidR="00D52685" w:rsidRPr="002B2E80" w:rsidRDefault="00D52685" w:rsidP="0077577B">
      <w:pPr>
        <w:pStyle w:val="Heading2Annex"/>
        <w:rPr>
          <w:lang w:val="es-ES_tradnl"/>
        </w:rPr>
      </w:pPr>
      <w:bookmarkStart w:id="105" w:name="_Toc189576570"/>
      <w:bookmarkStart w:id="106" w:name="_Toc210665479"/>
      <w:r w:rsidRPr="002B2E80">
        <w:rPr>
          <w:lang w:val="es-ES_tradnl"/>
        </w:rPr>
        <w:t>Robustez</w:t>
      </w:r>
      <w:bookmarkEnd w:id="105"/>
      <w:bookmarkEnd w:id="106"/>
    </w:p>
    <w:p w14:paraId="7D8A3330" w14:textId="77777777" w:rsidR="00D52685" w:rsidRPr="002B2E80" w:rsidRDefault="00D52685" w:rsidP="00D52685">
      <w:pPr>
        <w:rPr>
          <w:rFonts w:eastAsia="Times New Roman"/>
          <w:lang w:eastAsia="fr-FR"/>
        </w:rPr>
      </w:pPr>
    </w:p>
    <w:p w14:paraId="39DAA3E3" w14:textId="77777777" w:rsidR="00D52685" w:rsidRPr="002B2E80" w:rsidRDefault="00D52685" w:rsidP="0077577B">
      <w:pPr>
        <w:pStyle w:val="Heading3Annex"/>
        <w:rPr>
          <w:lang w:val="es-ES_tradnl"/>
        </w:rPr>
      </w:pPr>
      <w:bookmarkStart w:id="107" w:name="_Toc189576571"/>
      <w:bookmarkStart w:id="108" w:name="_Toc210665480"/>
      <w:r w:rsidRPr="002B2E80">
        <w:rPr>
          <w:lang w:val="es-ES_tradnl"/>
        </w:rPr>
        <w:t>Definición</w:t>
      </w:r>
      <w:bookmarkEnd w:id="107"/>
      <w:r w:rsidRPr="002B2E80">
        <w:rPr>
          <w:lang w:val="es-ES_tradnl"/>
        </w:rPr>
        <w:t xml:space="preserve"> (basada en la norma ISO 16 577:2016; referencia a UPOV/INF/17)</w:t>
      </w:r>
      <w:bookmarkEnd w:id="108"/>
    </w:p>
    <w:p w14:paraId="13CE013A" w14:textId="77777777" w:rsidR="00D52685" w:rsidRPr="002B2E80" w:rsidRDefault="00D52685" w:rsidP="00D52685">
      <w:pPr>
        <w:rPr>
          <w:rFonts w:eastAsia="Times New Roman"/>
          <w:highlight w:val="yellow"/>
          <w:lang w:eastAsia="fr-FR"/>
        </w:rPr>
      </w:pPr>
    </w:p>
    <w:p w14:paraId="6111C5AA" w14:textId="45373135" w:rsidR="00D52685" w:rsidRPr="002B2E80" w:rsidRDefault="00DC4B65" w:rsidP="00D52685">
      <w:pPr>
        <w:rPr>
          <w:rFonts w:eastAsia="Times New Roman"/>
          <w:lang w:eastAsia="fr-FR"/>
        </w:rPr>
      </w:pPr>
      <w:r w:rsidRPr="002B2E80">
        <w:rPr>
          <w:rFonts w:hint="eastAsia"/>
          <w:lang w:eastAsia="ja-JP"/>
        </w:rPr>
        <w:t>26.</w:t>
      </w:r>
      <w:r w:rsidR="00D52685" w:rsidRPr="002B2E80">
        <w:rPr>
          <w:rFonts w:eastAsia="Times New Roman"/>
          <w:lang w:eastAsia="fr-FR"/>
        </w:rPr>
        <w:tab/>
      </w:r>
      <w:r w:rsidR="00D52685" w:rsidRPr="002B2E80">
        <w:rPr>
          <w:rFonts w:eastAsia="Times New Roman"/>
          <w:i/>
          <w:iCs/>
          <w:lang w:eastAsia="fr-FR"/>
        </w:rPr>
        <w:t xml:space="preserve">«Robustez: medida de su capacidad para no verse afectada por desviaciones pequeñas, pero deliberadas, de las condiciones experimentales descritas en los parámetros del procedimiento, y que proporciona una indicación de su fiabilidad durante el uso normal» </w:t>
      </w:r>
      <w:r w:rsidR="00D52685" w:rsidRPr="002B2E80">
        <w:rPr>
          <w:rFonts w:eastAsia="Times New Roman"/>
          <w:lang w:eastAsia="fr-FR"/>
        </w:rPr>
        <w:t>(</w:t>
      </w:r>
      <w:r w:rsidR="00D52685" w:rsidRPr="002B2E80">
        <w:rPr>
          <w:rFonts w:eastAsia="Times New Roman"/>
          <w:i/>
          <w:iCs/>
          <w:lang w:eastAsia="fr-FR"/>
        </w:rPr>
        <w:t xml:space="preserve">por ejemplo, </w:t>
      </w:r>
      <w:r w:rsidR="00D52685" w:rsidRPr="002B2E80">
        <w:rPr>
          <w:rFonts w:eastAsia="Times New Roman"/>
          <w:lang w:eastAsia="fr-FR"/>
        </w:rPr>
        <w:t>cambio del método de extracción de ADN o cambio de máquina en tiempo real).</w:t>
      </w:r>
    </w:p>
    <w:p w14:paraId="01D9026C" w14:textId="77777777" w:rsidR="00D52685" w:rsidRPr="002B2E80" w:rsidRDefault="00D52685" w:rsidP="00D52685">
      <w:pPr>
        <w:rPr>
          <w:rFonts w:eastAsia="Times New Roman"/>
          <w:lang w:eastAsia="fr-FR"/>
        </w:rPr>
      </w:pPr>
    </w:p>
    <w:p w14:paraId="7D3E9FC7" w14:textId="77777777" w:rsidR="00D52685" w:rsidRPr="002B2E80" w:rsidRDefault="00D52685" w:rsidP="0077577B">
      <w:pPr>
        <w:pStyle w:val="Heading3Annex"/>
        <w:rPr>
          <w:lang w:val="es-ES_tradnl"/>
        </w:rPr>
      </w:pPr>
      <w:bookmarkStart w:id="109" w:name="_Toc189576572"/>
      <w:bookmarkStart w:id="110" w:name="_Toc210665481"/>
      <w:r w:rsidRPr="002B2E80">
        <w:rPr>
          <w:lang w:val="es-ES_tradnl"/>
        </w:rPr>
        <w:t>Requisito</w:t>
      </w:r>
      <w:bookmarkEnd w:id="109"/>
      <w:bookmarkEnd w:id="110"/>
    </w:p>
    <w:p w14:paraId="66849E7D" w14:textId="77777777" w:rsidR="00D52685" w:rsidRPr="002B2E80" w:rsidRDefault="00D52685" w:rsidP="00D52685">
      <w:pPr>
        <w:rPr>
          <w:rFonts w:eastAsia="Times New Roman"/>
          <w:lang w:eastAsia="fr-FR"/>
        </w:rPr>
      </w:pPr>
    </w:p>
    <w:p w14:paraId="08C1024C" w14:textId="61833338" w:rsidR="00D52685" w:rsidRPr="002B2E80" w:rsidRDefault="00DC4B65" w:rsidP="00D52685">
      <w:pPr>
        <w:rPr>
          <w:rFonts w:eastAsia="Times New Roman"/>
          <w:lang w:eastAsia="fr-FR"/>
        </w:rPr>
      </w:pPr>
      <w:r w:rsidRPr="002B2E80">
        <w:rPr>
          <w:rFonts w:hint="eastAsia"/>
          <w:lang w:eastAsia="ja-JP"/>
        </w:rPr>
        <w:t>27.</w:t>
      </w:r>
      <w:r w:rsidR="00D52685" w:rsidRPr="002B2E80">
        <w:rPr>
          <w:rFonts w:eastAsia="Times New Roman"/>
          <w:lang w:eastAsia="fr-FR"/>
        </w:rPr>
        <w:tab/>
        <w:t>Lo ideal es el 100 %; si es inferior, significa que el método no es robusto ante un cambio de un parámetro, lo que debe indicarse en el protocolo como paso obligatorio (</w:t>
      </w:r>
      <w:r w:rsidR="00D52685" w:rsidRPr="002B2E80">
        <w:rPr>
          <w:rFonts w:eastAsia="Times New Roman"/>
          <w:i/>
          <w:iCs/>
          <w:lang w:eastAsia="fr-FR"/>
        </w:rPr>
        <w:t xml:space="preserve">por ejemplo, </w:t>
      </w:r>
      <w:r w:rsidR="00D52685" w:rsidRPr="002B2E80">
        <w:rPr>
          <w:rFonts w:eastAsia="Times New Roman"/>
          <w:lang w:eastAsia="fr-FR"/>
        </w:rPr>
        <w:t>un cambio de la mezcla maestra que sería crítico).</w:t>
      </w:r>
    </w:p>
    <w:p w14:paraId="6F81CBC3" w14:textId="77777777" w:rsidR="00D52685" w:rsidRPr="002B2E80" w:rsidRDefault="00D52685" w:rsidP="00D52685">
      <w:pPr>
        <w:rPr>
          <w:rFonts w:eastAsia="Times New Roman"/>
          <w:lang w:eastAsia="fr-FR"/>
        </w:rPr>
      </w:pPr>
    </w:p>
    <w:p w14:paraId="6172F3D8" w14:textId="77777777" w:rsidR="00D52685" w:rsidRPr="002B2E80" w:rsidRDefault="00D52685" w:rsidP="0077577B">
      <w:pPr>
        <w:pStyle w:val="Heading3Annex"/>
        <w:rPr>
          <w:lang w:val="es-ES_tradnl"/>
        </w:rPr>
      </w:pPr>
      <w:bookmarkStart w:id="111" w:name="_Toc189576573"/>
      <w:bookmarkStart w:id="112" w:name="_Toc210665482"/>
      <w:r w:rsidRPr="002B2E80">
        <w:rPr>
          <w:lang w:val="es-ES_tradnl"/>
        </w:rPr>
        <w:t>¿Cómo evaluarlo?</w:t>
      </w:r>
      <w:bookmarkEnd w:id="111"/>
      <w:bookmarkEnd w:id="112"/>
    </w:p>
    <w:p w14:paraId="120196FD" w14:textId="77777777" w:rsidR="00D52685" w:rsidRPr="002B2E80" w:rsidRDefault="00D52685" w:rsidP="00D52685">
      <w:pPr>
        <w:rPr>
          <w:rFonts w:eastAsia="Times New Roman"/>
          <w:lang w:eastAsia="fr-FR"/>
        </w:rPr>
      </w:pPr>
    </w:p>
    <w:p w14:paraId="620A2281" w14:textId="0373AD56" w:rsidR="00D52685" w:rsidRPr="002B2E80" w:rsidRDefault="00DC4B65" w:rsidP="00D52685">
      <w:pPr>
        <w:rPr>
          <w:rFonts w:eastAsia="Times New Roman"/>
          <w:lang w:eastAsia="fr-FR"/>
        </w:rPr>
      </w:pPr>
      <w:r w:rsidRPr="002B2E80">
        <w:rPr>
          <w:rFonts w:hint="eastAsia"/>
          <w:lang w:eastAsia="ja-JP"/>
        </w:rPr>
        <w:t>28.</w:t>
      </w:r>
      <w:r w:rsidR="00D52685" w:rsidRPr="002B2E80">
        <w:rPr>
          <w:rFonts w:eastAsia="Times New Roman"/>
          <w:lang w:eastAsia="fr-FR"/>
        </w:rPr>
        <w:tab/>
        <w:t xml:space="preserve">La evaluación es opcional, y la solidez se evalúa parcialmente durante la prueba </w:t>
      </w:r>
      <w:proofErr w:type="spellStart"/>
      <w:r w:rsidR="00D52685" w:rsidRPr="002B2E80">
        <w:rPr>
          <w:rFonts w:eastAsia="Times New Roman"/>
          <w:lang w:eastAsia="fr-FR"/>
        </w:rPr>
        <w:t>interlaboratorio</w:t>
      </w:r>
      <w:proofErr w:type="spellEnd"/>
      <w:r w:rsidR="00D52685" w:rsidRPr="002B2E80">
        <w:rPr>
          <w:rFonts w:eastAsia="Times New Roman"/>
          <w:lang w:eastAsia="fr-FR"/>
        </w:rPr>
        <w:t xml:space="preserve"> (reproducibilidad), (diferentes laboratorios, equipos, maquinaria, </w:t>
      </w:r>
      <w:r w:rsidR="00D52685" w:rsidRPr="002B2E80">
        <w:rPr>
          <w:rFonts w:eastAsia="Times New Roman"/>
          <w:strike/>
          <w:highlight w:val="lightGray"/>
          <w:lang w:eastAsia="fr-FR"/>
        </w:rPr>
        <w:t>personas</w:t>
      </w:r>
      <w:r w:rsidR="00D52685" w:rsidRPr="002B2E80">
        <w:rPr>
          <w:rFonts w:eastAsia="Times New Roman"/>
          <w:lang w:eastAsia="fr-FR"/>
        </w:rPr>
        <w:t>, etc.).</w:t>
      </w:r>
    </w:p>
    <w:p w14:paraId="39DA8A5A" w14:textId="77777777" w:rsidR="00D52685" w:rsidRPr="002B2E80" w:rsidRDefault="00D52685" w:rsidP="00D52685">
      <w:pPr>
        <w:rPr>
          <w:rFonts w:eastAsia="Times New Roman"/>
          <w:lang w:eastAsia="fr-FR"/>
        </w:rPr>
      </w:pPr>
    </w:p>
    <w:p w14:paraId="0FFA7038" w14:textId="77777777" w:rsidR="00D52685" w:rsidRPr="002B2E80" w:rsidRDefault="00D52685" w:rsidP="00D52685">
      <w:pPr>
        <w:rPr>
          <w:rFonts w:eastAsia="Times New Roman"/>
          <w:lang w:eastAsia="fr-FR"/>
        </w:rPr>
      </w:pPr>
    </w:p>
    <w:p w14:paraId="15AFDFCD" w14:textId="77777777" w:rsidR="00D52685" w:rsidRPr="002B2E80" w:rsidRDefault="00D52685" w:rsidP="0077577B">
      <w:pPr>
        <w:pStyle w:val="Heading1Annex"/>
        <w:rPr>
          <w:lang w:val="es-ES_tradnl"/>
        </w:rPr>
      </w:pPr>
      <w:bookmarkStart w:id="113" w:name="_Toc189576574"/>
      <w:bookmarkStart w:id="114" w:name="_Toc210665483"/>
      <w:r w:rsidRPr="002B2E80">
        <w:rPr>
          <w:lang w:val="es-ES_tradnl"/>
        </w:rPr>
        <w:t>IV.</w:t>
      </w:r>
      <w:r w:rsidRPr="002B2E80">
        <w:rPr>
          <w:lang w:val="es-ES_tradnl"/>
        </w:rPr>
        <w:tab/>
        <w:t>Informe de validación</w:t>
      </w:r>
      <w:bookmarkEnd w:id="113"/>
      <w:bookmarkEnd w:id="114"/>
    </w:p>
    <w:p w14:paraId="17296B94" w14:textId="77777777" w:rsidR="00D52685" w:rsidRPr="002B2E80" w:rsidRDefault="00D52685" w:rsidP="00D52685">
      <w:pPr>
        <w:rPr>
          <w:rFonts w:eastAsia="Times New Roman"/>
          <w:lang w:eastAsia="fr-FR"/>
        </w:rPr>
      </w:pPr>
    </w:p>
    <w:p w14:paraId="2B10D7C5" w14:textId="7DD2CDEC" w:rsidR="00D52685" w:rsidRPr="002B2E80" w:rsidRDefault="00DC4B65" w:rsidP="00D52685">
      <w:pPr>
        <w:rPr>
          <w:rFonts w:eastAsia="Arial"/>
        </w:rPr>
      </w:pPr>
      <w:r w:rsidRPr="002B2E80">
        <w:rPr>
          <w:rFonts w:hint="eastAsia"/>
          <w:szCs w:val="24"/>
          <w:lang w:eastAsia="ja-JP"/>
        </w:rPr>
        <w:t>29.</w:t>
      </w:r>
      <w:r w:rsidR="00D52685" w:rsidRPr="002B2E80">
        <w:rPr>
          <w:rFonts w:eastAsia="Times New Roman"/>
          <w:szCs w:val="24"/>
          <w:lang w:eastAsia="fr-FR"/>
        </w:rPr>
        <w:tab/>
        <w:t xml:space="preserve">El informe de validación </w:t>
      </w:r>
      <w:r w:rsidR="00D52685" w:rsidRPr="002B2E80">
        <w:rPr>
          <w:rFonts w:eastAsia="Arial"/>
        </w:rPr>
        <w:t xml:space="preserve">y los resultados deben ser revisados por dos (preferiblemente tres, si la reproducibilidad se ha realizado en un solo laboratorio) de los organismos responsables. </w:t>
      </w:r>
      <w:r w:rsidR="00D52685" w:rsidRPr="002B2E80">
        <w:rPr>
          <w:rFonts w:eastAsia="Arial"/>
          <w:highlight w:val="lightGray"/>
          <w:u w:val="single"/>
        </w:rPr>
        <w:t>La revisión es voluntaria, pero es preferible que la realice un laboratorio familiarizado con la especie y el método.</w:t>
      </w:r>
    </w:p>
    <w:p w14:paraId="40327396" w14:textId="77777777" w:rsidR="00D52685" w:rsidRPr="002B2E80" w:rsidRDefault="00D52685" w:rsidP="00D52685">
      <w:pPr>
        <w:rPr>
          <w:rFonts w:eastAsia="Arial"/>
        </w:rPr>
      </w:pPr>
    </w:p>
    <w:p w14:paraId="6A892538" w14:textId="34166105" w:rsidR="00D52685" w:rsidRPr="002B2E80" w:rsidRDefault="00DC4B65" w:rsidP="00D52685">
      <w:pPr>
        <w:rPr>
          <w:rFonts w:eastAsia="Arial"/>
        </w:rPr>
      </w:pPr>
      <w:r w:rsidRPr="002B2E80">
        <w:rPr>
          <w:rFonts w:hint="eastAsia"/>
          <w:lang w:eastAsia="ja-JP"/>
        </w:rPr>
        <w:t>30.</w:t>
      </w:r>
      <w:r w:rsidR="00D52685" w:rsidRPr="002B2E80">
        <w:rPr>
          <w:rFonts w:eastAsia="Arial"/>
        </w:rPr>
        <w:tab/>
        <w:t>Durante el proceso de revisión, los revisores pueden solicitar datos de validación adicionales en concertación con el equipo de validación.</w:t>
      </w:r>
    </w:p>
    <w:p w14:paraId="2A65CC7B" w14:textId="77777777" w:rsidR="00D52685" w:rsidRPr="002B2E80" w:rsidRDefault="00D52685" w:rsidP="00D52685">
      <w:pPr>
        <w:rPr>
          <w:rFonts w:eastAsia="Times New Roman"/>
          <w:szCs w:val="24"/>
          <w:u w:val="single"/>
          <w:lang w:eastAsia="fr-FR"/>
        </w:rPr>
      </w:pPr>
    </w:p>
    <w:p w14:paraId="1E625D2F" w14:textId="77777777" w:rsidR="00D52685" w:rsidRPr="002B2E80" w:rsidRDefault="00D52685" w:rsidP="0077577B">
      <w:pPr>
        <w:pStyle w:val="Heading2Annex"/>
        <w:rPr>
          <w:lang w:val="es-ES_tradnl"/>
        </w:rPr>
      </w:pPr>
      <w:bookmarkStart w:id="115" w:name="_Toc210665484"/>
      <w:r w:rsidRPr="002B2E80">
        <w:rPr>
          <w:lang w:val="es-ES_tradnl"/>
        </w:rPr>
        <w:t>Contenido del informe de validación</w:t>
      </w:r>
      <w:bookmarkEnd w:id="115"/>
    </w:p>
    <w:p w14:paraId="3E9D8707" w14:textId="77777777" w:rsidR="00D52685" w:rsidRPr="002B2E80" w:rsidRDefault="00D52685" w:rsidP="00D52685">
      <w:pPr>
        <w:keepNext/>
        <w:rPr>
          <w:rFonts w:eastAsia="Times New Roman"/>
          <w:u w:val="single"/>
          <w:lang w:eastAsia="fr-FR"/>
        </w:rPr>
      </w:pPr>
    </w:p>
    <w:p w14:paraId="3C51DECD" w14:textId="77777777" w:rsidR="00D52685" w:rsidRPr="002B2E80" w:rsidRDefault="00D52685" w:rsidP="00D52685">
      <w:pPr>
        <w:keepNext/>
        <w:numPr>
          <w:ilvl w:val="0"/>
          <w:numId w:val="15"/>
        </w:numPr>
        <w:spacing w:after="200" w:line="276" w:lineRule="auto"/>
        <w:contextualSpacing/>
        <w:rPr>
          <w:rFonts w:eastAsia="Calibri" w:cs="Arial"/>
        </w:rPr>
      </w:pPr>
      <w:r w:rsidRPr="002B2E80">
        <w:rPr>
          <w:rFonts w:eastAsia="Calibri" w:cs="Arial"/>
        </w:rPr>
        <w:t>Datos brutos generados durante las diferentes etapas del proceso de validación</w:t>
      </w:r>
    </w:p>
    <w:p w14:paraId="2BDD2E59" w14:textId="77777777" w:rsidR="00D52685" w:rsidRPr="002B2E80" w:rsidRDefault="00D52685" w:rsidP="00D52685">
      <w:pPr>
        <w:keepNext/>
        <w:numPr>
          <w:ilvl w:val="0"/>
          <w:numId w:val="15"/>
        </w:numPr>
        <w:spacing w:after="200" w:line="276" w:lineRule="auto"/>
        <w:contextualSpacing/>
        <w:rPr>
          <w:rFonts w:eastAsia="Calibri" w:cs="Arial"/>
        </w:rPr>
      </w:pPr>
      <w:r w:rsidRPr="002B2E80">
        <w:rPr>
          <w:rFonts w:eastAsia="Calibri" w:cs="Arial"/>
        </w:rPr>
        <w:t>Protocolo detallado con los pasos opcionales y obligatorios definidos</w:t>
      </w:r>
    </w:p>
    <w:p w14:paraId="5F47D7EF" w14:textId="77777777" w:rsidR="00D52685" w:rsidRPr="002B2E80" w:rsidRDefault="00D52685" w:rsidP="00D52685">
      <w:pPr>
        <w:keepNext/>
        <w:numPr>
          <w:ilvl w:val="0"/>
          <w:numId w:val="15"/>
        </w:numPr>
        <w:spacing w:after="200" w:line="276" w:lineRule="auto"/>
        <w:contextualSpacing/>
        <w:rPr>
          <w:rFonts w:eastAsia="Calibri" w:cs="Arial"/>
        </w:rPr>
      </w:pPr>
      <w:r w:rsidRPr="002B2E80">
        <w:rPr>
          <w:rFonts w:eastAsia="Calibri" w:cs="Arial"/>
        </w:rPr>
        <w:t>Evaluación de los criterios de rendimiento</w:t>
      </w:r>
    </w:p>
    <w:p w14:paraId="6233D03A" w14:textId="77777777" w:rsidR="00D52685" w:rsidRPr="002B2E80" w:rsidRDefault="00D52685" w:rsidP="00D52685">
      <w:pPr>
        <w:numPr>
          <w:ilvl w:val="0"/>
          <w:numId w:val="15"/>
        </w:numPr>
        <w:spacing w:after="200" w:line="276" w:lineRule="auto"/>
        <w:contextualSpacing/>
        <w:rPr>
          <w:rFonts w:eastAsia="Calibri" w:cs="Arial"/>
        </w:rPr>
      </w:pPr>
      <w:r w:rsidRPr="002B2E80">
        <w:rPr>
          <w:rFonts w:eastAsia="Calibri" w:cs="Arial"/>
        </w:rPr>
        <w:t>Conclusión</w:t>
      </w:r>
    </w:p>
    <w:p w14:paraId="78C82A31" w14:textId="77777777" w:rsidR="00D52685" w:rsidRPr="002B2E80" w:rsidRDefault="00D52685" w:rsidP="00D52685">
      <w:pPr>
        <w:rPr>
          <w:rFonts w:eastAsia="Calibri"/>
        </w:rPr>
      </w:pPr>
    </w:p>
    <w:p w14:paraId="320793EF" w14:textId="77777777" w:rsidR="00D52685" w:rsidRPr="002B2E80" w:rsidRDefault="00D52685" w:rsidP="0077577B">
      <w:pPr>
        <w:pStyle w:val="Heading2Annex"/>
        <w:rPr>
          <w:lang w:val="es-ES_tradnl"/>
        </w:rPr>
      </w:pPr>
      <w:bookmarkStart w:id="116" w:name="_Toc210665485"/>
      <w:r w:rsidRPr="002B2E80">
        <w:rPr>
          <w:lang w:val="es-ES_tradnl"/>
        </w:rPr>
        <w:t>Publicidad</w:t>
      </w:r>
      <w:bookmarkEnd w:id="116"/>
    </w:p>
    <w:p w14:paraId="67C314A9" w14:textId="77777777" w:rsidR="00D52685" w:rsidRPr="002B2E80" w:rsidRDefault="00D52685" w:rsidP="00D52685">
      <w:pPr>
        <w:keepNext/>
        <w:rPr>
          <w:rFonts w:eastAsia="Times New Roman"/>
          <w:lang w:eastAsia="fr-FR"/>
        </w:rPr>
      </w:pPr>
    </w:p>
    <w:p w14:paraId="41FC7342" w14:textId="7F46EB7A" w:rsidR="00D52685" w:rsidRPr="002B2E80" w:rsidRDefault="00DC4B65" w:rsidP="00D52685">
      <w:pPr>
        <w:rPr>
          <w:rFonts w:eastAsia="Times New Roman"/>
          <w:lang w:eastAsia="fr-FR"/>
        </w:rPr>
      </w:pPr>
      <w:r w:rsidRPr="002B2E80">
        <w:rPr>
          <w:rFonts w:hint="eastAsia"/>
          <w:lang w:eastAsia="ja-JP"/>
        </w:rPr>
        <w:t>31.</w:t>
      </w:r>
      <w:r w:rsidR="00D52685" w:rsidRPr="002B2E80">
        <w:rPr>
          <w:rFonts w:eastAsia="Times New Roman"/>
          <w:lang w:eastAsia="fr-FR"/>
        </w:rPr>
        <w:tab/>
      </w:r>
      <w:r w:rsidR="002B61CD" w:rsidRPr="009167CD">
        <w:rPr>
          <w:rFonts w:eastAsia="Times New Roman"/>
          <w:lang w:eastAsia="fr-FR"/>
        </w:rPr>
        <w:t>El</w:t>
      </w:r>
      <w:r w:rsidR="00D52685" w:rsidRPr="002B2E80">
        <w:rPr>
          <w:rFonts w:eastAsia="Times New Roman"/>
          <w:lang w:eastAsia="fr-FR"/>
        </w:rPr>
        <w:t xml:space="preserve"> informe de validación debe estar disponible previa solicitud. En el nuevo protocolo debe mencionarse el proceso de validación junto con la oficina de examen de contacto. En algunos casos particulares, </w:t>
      </w:r>
      <w:r w:rsidR="00D52685" w:rsidRPr="002B2E80">
        <w:rPr>
          <w:rFonts w:eastAsia="Times New Roman"/>
          <w:i/>
          <w:lang w:eastAsia="fr-FR"/>
        </w:rPr>
        <w:t xml:space="preserve">por ejemplo, </w:t>
      </w:r>
      <w:r w:rsidR="00D52685" w:rsidRPr="002B2E80">
        <w:rPr>
          <w:rFonts w:eastAsia="Times New Roman"/>
          <w:lang w:eastAsia="fr-FR"/>
        </w:rPr>
        <w:t xml:space="preserve">un «protocolo de secreto comercial» (esterilidad masculina citoplasmática en el repollo), el protocolo y el informe de validación </w:t>
      </w:r>
      <w:r w:rsidR="00D52685" w:rsidRPr="002B2E80">
        <w:rPr>
          <w:rFonts w:eastAsia="Times New Roman"/>
          <w:strike/>
          <w:highlight w:val="lightGray"/>
          <w:lang w:eastAsia="fr-FR"/>
        </w:rPr>
        <w:t>no</w:t>
      </w:r>
      <w:r w:rsidR="00D52685" w:rsidRPr="002B2E80">
        <w:rPr>
          <w:rFonts w:eastAsia="Times New Roman"/>
          <w:lang w:eastAsia="fr-FR"/>
        </w:rPr>
        <w:t xml:space="preserve"> </w:t>
      </w:r>
      <w:r w:rsidR="009167CD" w:rsidRPr="009167CD">
        <w:rPr>
          <w:rFonts w:eastAsia="Times New Roman"/>
          <w:highlight w:val="lightGray"/>
          <w:u w:val="single"/>
          <w:lang w:eastAsia="fr-FR"/>
        </w:rPr>
        <w:t>sólo</w:t>
      </w:r>
      <w:r w:rsidR="009167CD">
        <w:rPr>
          <w:rFonts w:eastAsia="Times New Roman"/>
          <w:u w:val="single"/>
          <w:lang w:eastAsia="fr-FR"/>
        </w:rPr>
        <w:t xml:space="preserve"> </w:t>
      </w:r>
      <w:r w:rsidR="00D52685" w:rsidRPr="002B2E80">
        <w:rPr>
          <w:rFonts w:eastAsia="Times New Roman"/>
          <w:lang w:eastAsia="fr-FR"/>
        </w:rPr>
        <w:t xml:space="preserve">pueden compartirse </w:t>
      </w:r>
      <w:r w:rsidR="00D52685" w:rsidRPr="002B2E80">
        <w:rPr>
          <w:rFonts w:eastAsia="Times New Roman"/>
          <w:strike/>
          <w:highlight w:val="lightGray"/>
          <w:lang w:eastAsia="fr-FR"/>
        </w:rPr>
        <w:t xml:space="preserve">fuera de </w:t>
      </w:r>
      <w:r w:rsidR="009167CD" w:rsidRPr="009167CD">
        <w:rPr>
          <w:rFonts w:eastAsia="Times New Roman"/>
          <w:highlight w:val="lightGray"/>
          <w:u w:val="single"/>
          <w:lang w:eastAsia="fr-FR"/>
        </w:rPr>
        <w:t>entre</w:t>
      </w:r>
      <w:r w:rsidR="009167CD" w:rsidRPr="009167CD">
        <w:t xml:space="preserve"> </w:t>
      </w:r>
      <w:r w:rsidR="00D52685" w:rsidRPr="009167CD">
        <w:t xml:space="preserve">las </w:t>
      </w:r>
      <w:r w:rsidR="00D52685" w:rsidRPr="002B2E80">
        <w:rPr>
          <w:rFonts w:eastAsia="Times New Roman"/>
          <w:lang w:eastAsia="fr-FR"/>
        </w:rPr>
        <w:t>oficinas de examen.</w:t>
      </w:r>
    </w:p>
    <w:p w14:paraId="0CDE78FB" w14:textId="77777777" w:rsidR="00D52685" w:rsidRPr="002B2E80" w:rsidRDefault="00D52685" w:rsidP="00D52685">
      <w:pPr>
        <w:rPr>
          <w:rFonts w:eastAsia="Times New Roman"/>
          <w:lang w:eastAsia="fr-FR"/>
        </w:rPr>
      </w:pPr>
    </w:p>
    <w:p w14:paraId="4DD3EC08" w14:textId="5035954A" w:rsidR="00D52685" w:rsidRPr="002B2E80" w:rsidRDefault="00D52685" w:rsidP="0077577B">
      <w:pPr>
        <w:pStyle w:val="Heading1Annex"/>
        <w:rPr>
          <w:lang w:val="es-ES_tradnl"/>
        </w:rPr>
      </w:pPr>
      <w:bookmarkStart w:id="117" w:name="_Toc210665486"/>
      <w:bookmarkStart w:id="118" w:name="_Toc189576575"/>
      <w:r w:rsidRPr="002B2E80">
        <w:rPr>
          <w:lang w:val="es-ES_tradnl"/>
        </w:rPr>
        <w:lastRenderedPageBreak/>
        <w:t>V.</w:t>
      </w:r>
      <w:r w:rsidRPr="002B2E80">
        <w:rPr>
          <w:lang w:val="es-ES_tradnl"/>
        </w:rPr>
        <w:tab/>
        <w:t>Protocolo estándar para el e o de marcadores moleculares específicos de características</w:t>
      </w:r>
      <w:bookmarkEnd w:id="117"/>
      <w:r w:rsidRPr="002B2E80">
        <w:rPr>
          <w:lang w:val="es-ES_tradnl"/>
        </w:rPr>
        <w:t xml:space="preserve"> </w:t>
      </w:r>
      <w:bookmarkEnd w:id="118"/>
    </w:p>
    <w:p w14:paraId="5612C73F" w14:textId="77777777" w:rsidR="00D52685" w:rsidRPr="002B2E80" w:rsidRDefault="00D52685" w:rsidP="00D52685">
      <w:pPr>
        <w:rPr>
          <w:rFonts w:eastAsia="Times New Roman"/>
          <w:lang w:eastAsia="fr-FR"/>
        </w:rPr>
      </w:pPr>
    </w:p>
    <w:p w14:paraId="29729BA6" w14:textId="10C6C6E1" w:rsidR="00D52685" w:rsidRPr="002B2E80" w:rsidRDefault="00DC4B65" w:rsidP="00D52685">
      <w:pPr>
        <w:rPr>
          <w:rFonts w:eastAsia="Times New Roman"/>
          <w:lang w:eastAsia="fr-FR"/>
        </w:rPr>
      </w:pPr>
      <w:r w:rsidRPr="002B2E80">
        <w:rPr>
          <w:rFonts w:hint="eastAsia"/>
          <w:lang w:eastAsia="ja-JP"/>
        </w:rPr>
        <w:t>32.</w:t>
      </w:r>
      <w:r w:rsidR="00D52685" w:rsidRPr="002B2E80">
        <w:rPr>
          <w:rFonts w:eastAsia="Times New Roman"/>
          <w:lang w:eastAsia="fr-FR"/>
        </w:rPr>
        <w:tab/>
        <w:t>Los elementos obligatorios se indican en la columna «información esencial», los demás elementos pueden utilizarse en función del protocolo de ensayo de la característica. Si un laboratorio desea adaptar/modificar/cambiar un capítulo obligatorio o un elemento de un capítulo obligatorio, debe validar su método en comparación con el método de referencia (para demostrar que se obtienen los mismos resultados que con el método publicado).</w:t>
      </w:r>
    </w:p>
    <w:p w14:paraId="2CC9E807" w14:textId="77777777" w:rsidR="00D52685" w:rsidRPr="002B2E80" w:rsidRDefault="00D52685" w:rsidP="00D52685">
      <w:pPr>
        <w:rPr>
          <w:rFonts w:eastAsia="Times New Roman"/>
          <w:lang w:eastAsia="fr-FR"/>
        </w:rPr>
      </w:pPr>
    </w:p>
    <w:p w14:paraId="58D71B46" w14:textId="2AE7EEFD" w:rsidR="00D52685" w:rsidRPr="002B2E80" w:rsidRDefault="00D52685" w:rsidP="00D52685">
      <w:pPr>
        <w:keepNext/>
        <w:jc w:val="center"/>
        <w:rPr>
          <w:rFonts w:eastAsia="Times New Roman"/>
          <w:lang w:eastAsia="fr-FR"/>
        </w:rPr>
      </w:pPr>
      <w:r w:rsidRPr="002B2E80">
        <w:rPr>
          <w:rFonts w:eastAsia="Calibri" w:cs="Arial"/>
        </w:rPr>
        <w:t>Tabla 1</w:t>
      </w:r>
      <w:r w:rsidRPr="002B2E80">
        <w:rPr>
          <w:rFonts w:eastAsia="Times New Roman"/>
          <w:lang w:eastAsia="fr-FR"/>
        </w:rPr>
        <w:t xml:space="preserve">: Protocolo estándar de marcadores moleculares específicos de características </w:t>
      </w:r>
      <w:r w:rsidR="003925E0">
        <w:rPr>
          <w:rFonts w:eastAsia="Times New Roman"/>
          <w:lang w:eastAsia="fr-FR"/>
        </w:rPr>
        <w:br/>
      </w:r>
      <w:r w:rsidRPr="002B2E80">
        <w:rPr>
          <w:rFonts w:eastAsia="Times New Roman"/>
          <w:lang w:eastAsia="fr-FR"/>
        </w:rPr>
        <w:t xml:space="preserve">(las modificaciones se </w:t>
      </w:r>
      <w:r w:rsidRPr="002B2E80">
        <w:rPr>
          <w:rFonts w:eastAsia="Times New Roman"/>
          <w:highlight w:val="lightGray"/>
          <w:lang w:eastAsia="fr-FR"/>
        </w:rPr>
        <w:t>resaltan en gris</w:t>
      </w:r>
      <w:r w:rsidRPr="002B2E80">
        <w:rPr>
          <w:rFonts w:eastAsia="Times New Roman"/>
          <w:lang w:eastAsia="fr-FR"/>
        </w:rPr>
        <w:t>)</w:t>
      </w:r>
    </w:p>
    <w:p w14:paraId="4F3E3840" w14:textId="77777777" w:rsidR="00D52685" w:rsidRPr="002B2E80" w:rsidRDefault="00D52685" w:rsidP="00D52685">
      <w:pPr>
        <w:keepNext/>
        <w:rPr>
          <w:rFonts w:eastAsia="Times New Roman"/>
          <w:lang w:eastAsia="fr-FR"/>
        </w:rPr>
      </w:pPr>
    </w:p>
    <w:tbl>
      <w:tblPr>
        <w:tblW w:w="52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779"/>
        <w:gridCol w:w="1565"/>
        <w:gridCol w:w="2414"/>
        <w:gridCol w:w="1191"/>
        <w:gridCol w:w="3952"/>
        <w:gridCol w:w="159"/>
      </w:tblGrid>
      <w:tr w:rsidR="00D52685" w:rsidRPr="002B2E80" w14:paraId="2949FA35" w14:textId="77777777" w:rsidTr="003925E0">
        <w:trPr>
          <w:gridAfter w:val="1"/>
          <w:wAfter w:w="79" w:type="pct"/>
          <w:trHeight w:val="810"/>
          <w:tblHeader/>
        </w:trPr>
        <w:tc>
          <w:tcPr>
            <w:tcW w:w="387" w:type="pct"/>
            <w:shd w:val="clear" w:color="auto" w:fill="F2F2F2" w:themeFill="background1" w:themeFillShade="F2"/>
            <w:vAlign w:val="center"/>
            <w:hideMark/>
          </w:tcPr>
          <w:p w14:paraId="2100D7B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Capítulo</w:t>
            </w:r>
          </w:p>
        </w:tc>
        <w:tc>
          <w:tcPr>
            <w:tcW w:w="778" w:type="pct"/>
            <w:shd w:val="clear" w:color="auto" w:fill="F2F2F2" w:themeFill="background1" w:themeFillShade="F2"/>
            <w:vAlign w:val="center"/>
            <w:hideMark/>
          </w:tcPr>
          <w:p w14:paraId="385FCFCF"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Elementos de un protocolo estándar de marcadores moleculares específicos de características</w:t>
            </w:r>
          </w:p>
        </w:tc>
        <w:tc>
          <w:tcPr>
            <w:tcW w:w="1200" w:type="pct"/>
            <w:shd w:val="clear" w:color="auto" w:fill="F2F2F2" w:themeFill="background1" w:themeFillShade="F2"/>
            <w:vAlign w:val="center"/>
            <w:hideMark/>
          </w:tcPr>
          <w:p w14:paraId="4EB4139C"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Ejemplo</w:t>
            </w:r>
          </w:p>
        </w:tc>
        <w:tc>
          <w:tcPr>
            <w:tcW w:w="592" w:type="pct"/>
            <w:shd w:val="clear" w:color="auto" w:fill="F2F2F2" w:themeFill="background1" w:themeFillShade="F2"/>
            <w:vAlign w:val="center"/>
            <w:hideMark/>
          </w:tcPr>
          <w:p w14:paraId="6D613896" w14:textId="19530CF0"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Información esencial </w:t>
            </w:r>
            <w:r w:rsidR="003925E0">
              <w:rPr>
                <w:rFonts w:eastAsia="Times New Roman" w:cs="Arial"/>
                <w:color w:val="000000"/>
                <w:sz w:val="18"/>
                <w:szCs w:val="18"/>
                <w:lang w:eastAsia="nl-NL"/>
              </w:rPr>
              <w:br/>
            </w:r>
            <w:r w:rsidRPr="002B2E80">
              <w:rPr>
                <w:rFonts w:eastAsia="Times New Roman" w:cs="Arial"/>
                <w:color w:val="000000"/>
                <w:sz w:val="18"/>
                <w:szCs w:val="18"/>
                <w:lang w:eastAsia="nl-NL"/>
              </w:rPr>
              <w:t>para la armonización</w:t>
            </w:r>
          </w:p>
        </w:tc>
        <w:tc>
          <w:tcPr>
            <w:tcW w:w="1964" w:type="pct"/>
            <w:shd w:val="clear" w:color="auto" w:fill="F2F2F2" w:themeFill="background1" w:themeFillShade="F2"/>
            <w:vAlign w:val="center"/>
            <w:hideMark/>
          </w:tcPr>
          <w:p w14:paraId="45C4C86E"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Observación</w:t>
            </w:r>
          </w:p>
        </w:tc>
      </w:tr>
      <w:tr w:rsidR="00D52685" w:rsidRPr="002B2E80" w14:paraId="75E059D9" w14:textId="77777777" w:rsidTr="003925E0">
        <w:trPr>
          <w:gridAfter w:val="1"/>
          <w:wAfter w:w="79" w:type="pct"/>
          <w:cantSplit/>
          <w:trHeight w:val="300"/>
        </w:trPr>
        <w:tc>
          <w:tcPr>
            <w:tcW w:w="387" w:type="pct"/>
            <w:vMerge w:val="restart"/>
            <w:vAlign w:val="center"/>
            <w:hideMark/>
          </w:tcPr>
          <w:p w14:paraId="1610795B"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1</w:t>
            </w:r>
          </w:p>
        </w:tc>
        <w:tc>
          <w:tcPr>
            <w:tcW w:w="778" w:type="pct"/>
            <w:vMerge w:val="restart"/>
            <w:vAlign w:val="center"/>
            <w:hideMark/>
          </w:tcPr>
          <w:p w14:paraId="110C5115"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Característica</w:t>
            </w:r>
          </w:p>
        </w:tc>
        <w:tc>
          <w:tcPr>
            <w:tcW w:w="1200" w:type="pct"/>
            <w:vAlign w:val="center"/>
            <w:hideMark/>
          </w:tcPr>
          <w:p w14:paraId="208F4EE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Resistencia al virus del mosaico del tomate (</w:t>
            </w:r>
            <w:proofErr w:type="spellStart"/>
            <w:r w:rsidRPr="002B2E80">
              <w:rPr>
                <w:rFonts w:eastAsia="Times New Roman" w:cs="Arial"/>
                <w:color w:val="000000"/>
                <w:sz w:val="18"/>
                <w:szCs w:val="18"/>
                <w:lang w:eastAsia="nl-NL"/>
              </w:rPr>
              <w:t>ToMV</w:t>
            </w:r>
            <w:proofErr w:type="spellEnd"/>
            <w:r w:rsidRPr="002B2E80">
              <w:rPr>
                <w:rFonts w:eastAsia="Times New Roman" w:cs="Arial"/>
                <w:color w:val="000000"/>
                <w:sz w:val="18"/>
                <w:szCs w:val="18"/>
                <w:lang w:eastAsia="nl-NL"/>
              </w:rPr>
              <w:t>)</w:t>
            </w:r>
          </w:p>
        </w:tc>
        <w:tc>
          <w:tcPr>
            <w:tcW w:w="592" w:type="pct"/>
            <w:vMerge w:val="restart"/>
            <w:vAlign w:val="center"/>
            <w:hideMark/>
          </w:tcPr>
          <w:p w14:paraId="34D19C5A" w14:textId="3455ABE9"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Merge w:val="restart"/>
            <w:vAlign w:val="center"/>
            <w:hideMark/>
          </w:tcPr>
          <w:p w14:paraId="6867EC47" w14:textId="77777777" w:rsidR="00D52685" w:rsidRPr="002B2E80" w:rsidRDefault="00D52685" w:rsidP="00D52685">
            <w:pPr>
              <w:jc w:val="left"/>
              <w:rPr>
                <w:rFonts w:eastAsia="Times New Roman" w:cs="Arial"/>
                <w:color w:val="000000"/>
                <w:sz w:val="18"/>
                <w:szCs w:val="18"/>
                <w:lang w:eastAsia="fr-FR"/>
              </w:rPr>
            </w:pPr>
          </w:p>
        </w:tc>
      </w:tr>
      <w:tr w:rsidR="00D52685" w:rsidRPr="002B2E80" w14:paraId="2393EB6E" w14:textId="77777777" w:rsidTr="003925E0">
        <w:trPr>
          <w:gridAfter w:val="1"/>
          <w:wAfter w:w="79" w:type="pct"/>
          <w:cantSplit/>
          <w:trHeight w:val="315"/>
        </w:trPr>
        <w:tc>
          <w:tcPr>
            <w:tcW w:w="387" w:type="pct"/>
            <w:vMerge/>
            <w:vAlign w:val="center"/>
            <w:hideMark/>
          </w:tcPr>
          <w:p w14:paraId="3AE3D5EA"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5192440E"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7349A2F3" w14:textId="4CBBCDEC" w:rsidR="00D52685" w:rsidRPr="002B2E80" w:rsidRDefault="00D52685" w:rsidP="00D52685">
            <w:pPr>
              <w:jc w:val="left"/>
              <w:rPr>
                <w:rFonts w:eastAsia="Times New Roman" w:cs="Arial"/>
                <w:i/>
                <w:iCs/>
                <w:color w:val="000000"/>
                <w:sz w:val="18"/>
                <w:szCs w:val="18"/>
                <w:lang w:eastAsia="fr-FR"/>
              </w:rPr>
            </w:pPr>
            <w:r w:rsidRPr="002B2E80">
              <w:rPr>
                <w:rFonts w:eastAsia="Times New Roman" w:cs="Arial"/>
                <w:i/>
                <w:iCs/>
                <w:color w:val="000000"/>
                <w:sz w:val="18"/>
                <w:szCs w:val="18"/>
                <w:lang w:eastAsia="fr-FR"/>
              </w:rPr>
              <w:t xml:space="preserve">Véase </w:t>
            </w:r>
            <w:r w:rsidRPr="002B2E80">
              <w:rPr>
                <w:rFonts w:eastAsia="Times New Roman" w:cs="Arial"/>
                <w:i/>
                <w:iCs/>
                <w:strike/>
                <w:color w:val="000000"/>
                <w:sz w:val="18"/>
                <w:szCs w:val="18"/>
                <w:highlight w:val="lightGray"/>
                <w:lang w:eastAsia="fr-FR"/>
              </w:rPr>
              <w:t xml:space="preserve">TG/44/1211/rev3 </w:t>
            </w:r>
            <w:r w:rsidRPr="002B2E80">
              <w:rPr>
                <w:rFonts w:eastAsia="Times New Roman" w:cs="Arial"/>
                <w:i/>
                <w:iCs/>
                <w:color w:val="000000"/>
                <w:sz w:val="18"/>
                <w:szCs w:val="18"/>
                <w:lang w:eastAsia="fr-FR"/>
              </w:rPr>
              <w:t xml:space="preserve">– Ad 51: </w:t>
            </w:r>
            <w:proofErr w:type="spellStart"/>
            <w:r w:rsidRPr="002B2E80">
              <w:rPr>
                <w:rFonts w:eastAsia="Times New Roman" w:cs="Arial"/>
                <w:i/>
                <w:iCs/>
                <w:color w:val="000000"/>
                <w:sz w:val="18"/>
                <w:szCs w:val="18"/>
                <w:lang w:eastAsia="fr-FR"/>
              </w:rPr>
              <w:t>ii</w:t>
            </w:r>
            <w:proofErr w:type="spellEnd"/>
            <w:r w:rsidRPr="002B2E80">
              <w:rPr>
                <w:rFonts w:eastAsia="Times New Roman" w:cs="Arial"/>
                <w:i/>
                <w:iCs/>
                <w:color w:val="000000"/>
                <w:sz w:val="18"/>
                <w:szCs w:val="18"/>
                <w:lang w:eastAsia="fr-FR"/>
              </w:rPr>
              <w:t xml:space="preserve"> Prueba de marcadores de ADN </w:t>
            </w:r>
          </w:p>
        </w:tc>
        <w:tc>
          <w:tcPr>
            <w:tcW w:w="592" w:type="pct"/>
            <w:vMerge/>
            <w:vAlign w:val="center"/>
            <w:hideMark/>
          </w:tcPr>
          <w:p w14:paraId="6AFD4A9F" w14:textId="77777777" w:rsidR="00D52685" w:rsidRPr="002B2E80" w:rsidRDefault="00D52685" w:rsidP="00D52685">
            <w:pPr>
              <w:jc w:val="left"/>
              <w:rPr>
                <w:rFonts w:eastAsia="Times New Roman" w:cs="Arial"/>
                <w:color w:val="000000"/>
                <w:sz w:val="18"/>
                <w:szCs w:val="18"/>
                <w:lang w:eastAsia="fr-FR"/>
              </w:rPr>
            </w:pPr>
          </w:p>
        </w:tc>
        <w:tc>
          <w:tcPr>
            <w:tcW w:w="1964" w:type="pct"/>
            <w:vMerge/>
            <w:vAlign w:val="center"/>
            <w:hideMark/>
          </w:tcPr>
          <w:p w14:paraId="1224A9D4" w14:textId="77777777" w:rsidR="00D52685" w:rsidRPr="002B2E80" w:rsidRDefault="00D52685" w:rsidP="00D52685">
            <w:pPr>
              <w:jc w:val="left"/>
              <w:rPr>
                <w:rFonts w:eastAsia="Times New Roman" w:cs="Arial"/>
                <w:color w:val="000000"/>
                <w:sz w:val="18"/>
                <w:szCs w:val="18"/>
                <w:lang w:eastAsia="fr-FR"/>
              </w:rPr>
            </w:pPr>
          </w:p>
        </w:tc>
      </w:tr>
      <w:tr w:rsidR="00D52685" w:rsidRPr="002B2E80" w14:paraId="340FF67C" w14:textId="77777777" w:rsidTr="003925E0">
        <w:trPr>
          <w:gridAfter w:val="1"/>
          <w:wAfter w:w="79" w:type="pct"/>
          <w:cantSplit/>
          <w:trHeight w:val="525"/>
        </w:trPr>
        <w:tc>
          <w:tcPr>
            <w:tcW w:w="387" w:type="pct"/>
            <w:vAlign w:val="center"/>
            <w:hideMark/>
          </w:tcPr>
          <w:p w14:paraId="7CBBA463"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2</w:t>
            </w:r>
          </w:p>
        </w:tc>
        <w:tc>
          <w:tcPr>
            <w:tcW w:w="778" w:type="pct"/>
            <w:vAlign w:val="center"/>
            <w:hideMark/>
          </w:tcPr>
          <w:p w14:paraId="459E6A78"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Genes y alelos</w:t>
            </w:r>
          </w:p>
        </w:tc>
        <w:tc>
          <w:tcPr>
            <w:tcW w:w="1200" w:type="pct"/>
            <w:vAlign w:val="center"/>
            <w:hideMark/>
          </w:tcPr>
          <w:p w14:paraId="696744D9" w14:textId="1B16F74F" w:rsidR="00D52685" w:rsidRPr="002B2E80" w:rsidRDefault="00D52685" w:rsidP="00D52685">
            <w:pPr>
              <w:jc w:val="left"/>
              <w:rPr>
                <w:rFonts w:eastAsia="Times New Roman" w:cs="Arial"/>
                <w:i/>
                <w:iCs/>
                <w:color w:val="000000"/>
                <w:sz w:val="18"/>
                <w:szCs w:val="18"/>
                <w:lang w:eastAsia="fr-FR"/>
              </w:rPr>
            </w:pPr>
            <w:r w:rsidRPr="002B2E80">
              <w:rPr>
                <w:rFonts w:eastAsia="Times New Roman" w:cs="Arial"/>
                <w:i/>
                <w:iCs/>
                <w:color w:val="000000"/>
                <w:sz w:val="18"/>
                <w:szCs w:val="18"/>
                <w:lang w:eastAsia="fr-FR"/>
              </w:rPr>
              <w:t xml:space="preserve">Véase </w:t>
            </w:r>
            <w:r w:rsidR="00D21487" w:rsidRPr="002B2E80">
              <w:rPr>
                <w:rFonts w:eastAsia="Times New Roman" w:cs="Arial"/>
                <w:i/>
                <w:iCs/>
                <w:strike/>
                <w:color w:val="000000"/>
                <w:sz w:val="18"/>
                <w:szCs w:val="18"/>
                <w:highlight w:val="lightGray"/>
                <w:lang w:eastAsia="fr-FR"/>
              </w:rPr>
              <w:t xml:space="preserve">TG/44/1211/rev3 </w:t>
            </w:r>
            <w:r w:rsidRPr="002B2E80">
              <w:rPr>
                <w:rFonts w:eastAsia="Times New Roman" w:cs="Arial"/>
                <w:i/>
                <w:iCs/>
                <w:color w:val="000000"/>
                <w:sz w:val="18"/>
                <w:szCs w:val="18"/>
                <w:lang w:eastAsia="fr-FR"/>
              </w:rPr>
              <w:t xml:space="preserve">– Ad 51: </w:t>
            </w:r>
            <w:proofErr w:type="spellStart"/>
            <w:r w:rsidRPr="002B2E80">
              <w:rPr>
                <w:rFonts w:eastAsia="Times New Roman" w:cs="Arial"/>
                <w:i/>
                <w:iCs/>
                <w:color w:val="000000"/>
                <w:sz w:val="18"/>
                <w:szCs w:val="18"/>
                <w:lang w:eastAsia="fr-FR"/>
              </w:rPr>
              <w:t>ii</w:t>
            </w:r>
            <w:proofErr w:type="spellEnd"/>
            <w:r w:rsidRPr="002B2E80">
              <w:rPr>
                <w:rFonts w:eastAsia="Times New Roman" w:cs="Arial"/>
                <w:i/>
                <w:iCs/>
                <w:color w:val="000000"/>
                <w:sz w:val="18"/>
                <w:szCs w:val="18"/>
                <w:lang w:eastAsia="fr-FR"/>
              </w:rPr>
              <w:t xml:space="preserve"> Prueba de marcadores de ADN añadir 2</w:t>
            </w:r>
          </w:p>
        </w:tc>
        <w:tc>
          <w:tcPr>
            <w:tcW w:w="592" w:type="pct"/>
            <w:vAlign w:val="center"/>
            <w:hideMark/>
          </w:tcPr>
          <w:p w14:paraId="39C92F12" w14:textId="7B1A1FFD"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761F912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Es necesario evitar los marcadores dominantes o los marcadores de presencia/ausencia; de lo contrario, se debe evaluar la solidez.</w:t>
            </w:r>
          </w:p>
        </w:tc>
      </w:tr>
      <w:tr w:rsidR="00D52685" w:rsidRPr="002B2E80" w14:paraId="5094D7F9" w14:textId="77777777" w:rsidTr="003925E0">
        <w:trPr>
          <w:gridAfter w:val="1"/>
          <w:wAfter w:w="79" w:type="pct"/>
          <w:cantSplit/>
          <w:trHeight w:val="510"/>
        </w:trPr>
        <w:tc>
          <w:tcPr>
            <w:tcW w:w="387" w:type="pct"/>
            <w:vMerge w:val="restart"/>
            <w:vAlign w:val="center"/>
            <w:hideMark/>
          </w:tcPr>
          <w:p w14:paraId="636FB5CE"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2.1</w:t>
            </w:r>
          </w:p>
        </w:tc>
        <w:tc>
          <w:tcPr>
            <w:tcW w:w="778" w:type="pct"/>
            <w:vMerge w:val="restart"/>
            <w:vAlign w:val="center"/>
            <w:hideMark/>
          </w:tcPr>
          <w:p w14:paraId="4F9E99F8"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Genes objetivo</w:t>
            </w:r>
          </w:p>
        </w:tc>
        <w:tc>
          <w:tcPr>
            <w:tcW w:w="1200" w:type="pct"/>
            <w:vAlign w:val="center"/>
            <w:hideMark/>
          </w:tcPr>
          <w:p w14:paraId="12859BC8"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Gen de resistencia </w:t>
            </w:r>
            <w:r w:rsidRPr="002B2E80">
              <w:rPr>
                <w:rFonts w:eastAsia="Times New Roman" w:cs="Arial"/>
                <w:i/>
                <w:color w:val="000000"/>
                <w:sz w:val="18"/>
                <w:szCs w:val="18"/>
                <w:lang w:eastAsia="nl-NL"/>
              </w:rPr>
              <w:t>Tm2</w:t>
            </w:r>
          </w:p>
        </w:tc>
        <w:tc>
          <w:tcPr>
            <w:tcW w:w="592" w:type="pct"/>
            <w:vMerge w:val="restart"/>
            <w:vAlign w:val="center"/>
            <w:hideMark/>
          </w:tcPr>
          <w:p w14:paraId="2AB61595" w14:textId="198F874B"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2666CB6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a) Archivo(s) que contiene(n) la información de la secuencia de ADN (orden de los nucleótidos) </w:t>
            </w:r>
          </w:p>
        </w:tc>
      </w:tr>
      <w:tr w:rsidR="00D52685" w:rsidRPr="002B2E80" w14:paraId="4993AD7B" w14:textId="77777777" w:rsidTr="003925E0">
        <w:trPr>
          <w:gridAfter w:val="1"/>
          <w:wAfter w:w="79" w:type="pct"/>
          <w:cantSplit/>
          <w:trHeight w:val="510"/>
        </w:trPr>
        <w:tc>
          <w:tcPr>
            <w:tcW w:w="387" w:type="pct"/>
            <w:vMerge/>
            <w:vAlign w:val="center"/>
            <w:hideMark/>
          </w:tcPr>
          <w:p w14:paraId="792E4AD6"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7FF9FCB5"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3460AD75" w14:textId="77777777" w:rsidR="00D52685" w:rsidRPr="002B2E80" w:rsidRDefault="00D52685" w:rsidP="00D52685">
            <w:pPr>
              <w:jc w:val="left"/>
              <w:rPr>
                <w:rFonts w:eastAsia="Times New Roman" w:cs="Arial"/>
                <w:color w:val="000000"/>
                <w:sz w:val="18"/>
                <w:szCs w:val="18"/>
                <w:lang w:eastAsia="fr-FR"/>
              </w:rPr>
            </w:pPr>
            <w:proofErr w:type="spellStart"/>
            <w:r w:rsidRPr="002B2E80">
              <w:rPr>
                <w:rFonts w:eastAsia="Times New Roman" w:cs="Arial"/>
                <w:color w:val="000000"/>
                <w:sz w:val="18"/>
                <w:szCs w:val="18"/>
                <w:lang w:eastAsia="fr-FR"/>
              </w:rPr>
              <w:t>Arens</w:t>
            </w:r>
            <w:proofErr w:type="spellEnd"/>
            <w:r w:rsidRPr="002B2E80">
              <w:rPr>
                <w:rFonts w:eastAsia="Times New Roman" w:cs="Arial"/>
                <w:color w:val="000000"/>
                <w:sz w:val="18"/>
                <w:szCs w:val="18"/>
                <w:lang w:eastAsia="fr-FR"/>
              </w:rPr>
              <w:t>, P. et al (2010)</w:t>
            </w:r>
          </w:p>
        </w:tc>
        <w:tc>
          <w:tcPr>
            <w:tcW w:w="592" w:type="pct"/>
            <w:vMerge/>
            <w:vAlign w:val="center"/>
            <w:hideMark/>
          </w:tcPr>
          <w:p w14:paraId="7BEB2529"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06FD96ED"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b) referencia a la información del ADN en bases de datos públicas (como </w:t>
            </w:r>
            <w:proofErr w:type="spellStart"/>
            <w:r w:rsidRPr="002B2E80">
              <w:rPr>
                <w:rFonts w:eastAsia="Times New Roman" w:cs="Arial"/>
                <w:color w:val="000000"/>
                <w:sz w:val="18"/>
                <w:szCs w:val="18"/>
                <w:lang w:eastAsia="nl-NL"/>
              </w:rPr>
              <w:t>GeneBank</w:t>
            </w:r>
            <w:proofErr w:type="spellEnd"/>
            <w:r w:rsidRPr="002B2E80">
              <w:rPr>
                <w:rFonts w:eastAsia="Times New Roman" w:cs="Arial"/>
                <w:color w:val="000000"/>
                <w:sz w:val="18"/>
                <w:szCs w:val="18"/>
                <w:lang w:eastAsia="nl-NL"/>
              </w:rPr>
              <w:t>)</w:t>
            </w:r>
          </w:p>
        </w:tc>
      </w:tr>
      <w:tr w:rsidR="00D52685" w:rsidRPr="002B2E80" w14:paraId="6B6522EB" w14:textId="77777777" w:rsidTr="003925E0">
        <w:trPr>
          <w:gridAfter w:val="1"/>
          <w:wAfter w:w="79" w:type="pct"/>
          <w:cantSplit/>
          <w:trHeight w:val="765"/>
        </w:trPr>
        <w:tc>
          <w:tcPr>
            <w:tcW w:w="387" w:type="pct"/>
            <w:vMerge/>
            <w:vAlign w:val="center"/>
            <w:hideMark/>
          </w:tcPr>
          <w:p w14:paraId="4173280B"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79D3F819"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53E1C992" w14:textId="77777777" w:rsidR="00D52685" w:rsidRPr="002B2E80" w:rsidRDefault="00D52685" w:rsidP="00D52685">
            <w:pPr>
              <w:jc w:val="left"/>
              <w:rPr>
                <w:rFonts w:eastAsia="Times New Roman" w:cs="Arial"/>
                <w:i/>
                <w:iCs/>
                <w:color w:val="000000"/>
                <w:sz w:val="18"/>
                <w:szCs w:val="18"/>
                <w:lang w:eastAsia="fr-FR"/>
              </w:rPr>
            </w:pPr>
          </w:p>
        </w:tc>
        <w:tc>
          <w:tcPr>
            <w:tcW w:w="592" w:type="pct"/>
            <w:vMerge/>
            <w:vAlign w:val="center"/>
            <w:hideMark/>
          </w:tcPr>
          <w:p w14:paraId="17FED4DC"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2638C833"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c) referencia a publicaciones (científicas) en las que se revela la información sobre la secuencia de ADN de los estados de expresión de la característica.</w:t>
            </w:r>
          </w:p>
        </w:tc>
      </w:tr>
      <w:tr w:rsidR="00D52685" w:rsidRPr="002B2E80" w14:paraId="6D887419" w14:textId="77777777" w:rsidTr="003925E0">
        <w:trPr>
          <w:gridAfter w:val="1"/>
          <w:wAfter w:w="79" w:type="pct"/>
          <w:cantSplit/>
          <w:trHeight w:val="525"/>
        </w:trPr>
        <w:tc>
          <w:tcPr>
            <w:tcW w:w="387" w:type="pct"/>
            <w:vMerge/>
            <w:vAlign w:val="center"/>
            <w:hideMark/>
          </w:tcPr>
          <w:p w14:paraId="21F97BC5"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7B0E0BB4" w14:textId="77777777" w:rsidR="00D52685" w:rsidRPr="002B2E80" w:rsidRDefault="00D52685" w:rsidP="00D52685">
            <w:pPr>
              <w:jc w:val="left"/>
              <w:rPr>
                <w:rFonts w:eastAsia="Times New Roman" w:cs="Arial"/>
                <w:color w:val="000000"/>
                <w:sz w:val="18"/>
                <w:szCs w:val="18"/>
                <w:lang w:eastAsia="fr-FR"/>
              </w:rPr>
            </w:pPr>
          </w:p>
        </w:tc>
        <w:tc>
          <w:tcPr>
            <w:tcW w:w="1200" w:type="pct"/>
            <w:hideMark/>
          </w:tcPr>
          <w:p w14:paraId="64E4021B"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1A31C09E"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01B73C1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d) referencia a una posición concreta en la versión publicada del genoma de referencia.</w:t>
            </w:r>
          </w:p>
        </w:tc>
      </w:tr>
      <w:tr w:rsidR="00D52685" w:rsidRPr="002B2E80" w14:paraId="39D85085" w14:textId="77777777" w:rsidTr="003925E0">
        <w:trPr>
          <w:gridAfter w:val="1"/>
          <w:wAfter w:w="79" w:type="pct"/>
          <w:cantSplit/>
          <w:trHeight w:val="510"/>
        </w:trPr>
        <w:tc>
          <w:tcPr>
            <w:tcW w:w="387" w:type="pct"/>
            <w:vMerge w:val="restart"/>
            <w:vAlign w:val="center"/>
            <w:hideMark/>
          </w:tcPr>
          <w:p w14:paraId="26DAE31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2.2</w:t>
            </w:r>
          </w:p>
        </w:tc>
        <w:tc>
          <w:tcPr>
            <w:tcW w:w="778" w:type="pct"/>
            <w:vMerge w:val="restart"/>
            <w:vAlign w:val="center"/>
            <w:hideMark/>
          </w:tcPr>
          <w:p w14:paraId="3645B0A8"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Alelo correspondiente al estado de expresión 1 </w:t>
            </w:r>
          </w:p>
        </w:tc>
        <w:tc>
          <w:tcPr>
            <w:tcW w:w="1200" w:type="pct"/>
            <w:vAlign w:val="center"/>
            <w:hideMark/>
          </w:tcPr>
          <w:p w14:paraId="2A9700B0" w14:textId="77777777" w:rsidR="00D52685" w:rsidRPr="002B2E80" w:rsidRDefault="00D52685" w:rsidP="00D52685">
            <w:pPr>
              <w:jc w:val="left"/>
              <w:rPr>
                <w:rFonts w:eastAsia="Times New Roman" w:cs="Arial"/>
                <w:i/>
                <w:color w:val="000000"/>
                <w:sz w:val="18"/>
                <w:szCs w:val="18"/>
                <w:lang w:eastAsia="fr-FR"/>
              </w:rPr>
            </w:pPr>
            <w:r w:rsidRPr="002B2E80">
              <w:rPr>
                <w:rFonts w:eastAsia="Times New Roman" w:cs="Arial"/>
                <w:i/>
                <w:color w:val="000000"/>
                <w:sz w:val="18"/>
                <w:szCs w:val="18"/>
                <w:lang w:eastAsia="nl-NL"/>
              </w:rPr>
              <w:t>tm2</w:t>
            </w:r>
          </w:p>
        </w:tc>
        <w:tc>
          <w:tcPr>
            <w:tcW w:w="592" w:type="pct"/>
            <w:vMerge w:val="restart"/>
            <w:vAlign w:val="center"/>
            <w:hideMark/>
          </w:tcPr>
          <w:p w14:paraId="7E0229BD" w14:textId="419A5C98"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340834A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a) archivo(s) que contiene(n) la información de la secuencia de ADN (orden de los nucleótidos) </w:t>
            </w:r>
          </w:p>
        </w:tc>
      </w:tr>
      <w:tr w:rsidR="00D52685" w:rsidRPr="002B2E80" w14:paraId="5FBAC9C9" w14:textId="77777777" w:rsidTr="003925E0">
        <w:trPr>
          <w:gridAfter w:val="1"/>
          <w:wAfter w:w="79" w:type="pct"/>
          <w:cantSplit/>
          <w:trHeight w:val="510"/>
        </w:trPr>
        <w:tc>
          <w:tcPr>
            <w:tcW w:w="387" w:type="pct"/>
            <w:vMerge/>
            <w:vAlign w:val="center"/>
            <w:hideMark/>
          </w:tcPr>
          <w:p w14:paraId="3A95C918"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1F508233"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6E9FA841" w14:textId="77777777" w:rsidR="00D52685" w:rsidRPr="002B2E80" w:rsidRDefault="00D52685" w:rsidP="00D52685">
            <w:pPr>
              <w:jc w:val="left"/>
              <w:rPr>
                <w:rFonts w:eastAsia="Times New Roman" w:cs="Arial"/>
                <w:color w:val="000000"/>
                <w:sz w:val="18"/>
                <w:szCs w:val="18"/>
                <w:lang w:eastAsia="fr-FR"/>
              </w:rPr>
            </w:pPr>
            <w:proofErr w:type="spellStart"/>
            <w:r w:rsidRPr="002B2E80">
              <w:rPr>
                <w:rFonts w:eastAsia="Times New Roman" w:cs="Arial"/>
                <w:color w:val="000000"/>
                <w:sz w:val="18"/>
                <w:szCs w:val="18"/>
                <w:lang w:eastAsia="fr-FR"/>
              </w:rPr>
              <w:t>Arens</w:t>
            </w:r>
            <w:proofErr w:type="spellEnd"/>
            <w:r w:rsidRPr="002B2E80">
              <w:rPr>
                <w:rFonts w:eastAsia="Times New Roman" w:cs="Arial"/>
                <w:color w:val="000000"/>
                <w:sz w:val="18"/>
                <w:szCs w:val="18"/>
                <w:lang w:eastAsia="fr-FR"/>
              </w:rPr>
              <w:t>, P. et al (2010)</w:t>
            </w:r>
          </w:p>
        </w:tc>
        <w:tc>
          <w:tcPr>
            <w:tcW w:w="592" w:type="pct"/>
            <w:vMerge/>
            <w:vAlign w:val="center"/>
            <w:hideMark/>
          </w:tcPr>
          <w:p w14:paraId="7E06BB9F"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6358C64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b) referencia a la información del ADN en bases de datos públicas (como </w:t>
            </w:r>
            <w:proofErr w:type="spellStart"/>
            <w:r w:rsidRPr="002B2E80">
              <w:rPr>
                <w:rFonts w:eastAsia="Times New Roman" w:cs="Arial"/>
                <w:color w:val="000000"/>
                <w:sz w:val="18"/>
                <w:szCs w:val="18"/>
                <w:lang w:eastAsia="nl-NL"/>
              </w:rPr>
              <w:t>GeneBank</w:t>
            </w:r>
            <w:proofErr w:type="spellEnd"/>
            <w:r w:rsidRPr="002B2E80">
              <w:rPr>
                <w:rFonts w:eastAsia="Times New Roman" w:cs="Arial"/>
                <w:color w:val="000000"/>
                <w:sz w:val="18"/>
                <w:szCs w:val="18"/>
                <w:lang w:eastAsia="nl-NL"/>
              </w:rPr>
              <w:t>)</w:t>
            </w:r>
          </w:p>
        </w:tc>
      </w:tr>
      <w:tr w:rsidR="00D52685" w:rsidRPr="002B2E80" w14:paraId="50A8DD70" w14:textId="77777777" w:rsidTr="003925E0">
        <w:trPr>
          <w:gridAfter w:val="1"/>
          <w:wAfter w:w="79" w:type="pct"/>
          <w:cantSplit/>
          <w:trHeight w:val="765"/>
        </w:trPr>
        <w:tc>
          <w:tcPr>
            <w:tcW w:w="387" w:type="pct"/>
            <w:vMerge/>
            <w:vAlign w:val="center"/>
            <w:hideMark/>
          </w:tcPr>
          <w:p w14:paraId="1BDC0EDF"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6433353C"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1B8E2FCB"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38CC2EED"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0C310C13"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c) referencia a publicaciones (científicas) en las que se revela la información sobre la secuencia de ADN de los estados de expresión de la característica.</w:t>
            </w:r>
          </w:p>
        </w:tc>
      </w:tr>
      <w:tr w:rsidR="00D52685" w:rsidRPr="002B2E80" w14:paraId="20FC4373" w14:textId="77777777" w:rsidTr="003925E0">
        <w:trPr>
          <w:gridAfter w:val="1"/>
          <w:wAfter w:w="79" w:type="pct"/>
          <w:cantSplit/>
          <w:trHeight w:val="1035"/>
        </w:trPr>
        <w:tc>
          <w:tcPr>
            <w:tcW w:w="387" w:type="pct"/>
            <w:vMerge/>
            <w:vAlign w:val="center"/>
            <w:hideMark/>
          </w:tcPr>
          <w:p w14:paraId="7943F5CA"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3F3939FF" w14:textId="77777777" w:rsidR="00D52685" w:rsidRPr="002B2E80" w:rsidRDefault="00D52685" w:rsidP="00D52685">
            <w:pPr>
              <w:jc w:val="left"/>
              <w:rPr>
                <w:rFonts w:eastAsia="Times New Roman" w:cs="Arial"/>
                <w:color w:val="000000"/>
                <w:sz w:val="18"/>
                <w:szCs w:val="18"/>
                <w:lang w:eastAsia="fr-FR"/>
              </w:rPr>
            </w:pPr>
          </w:p>
        </w:tc>
        <w:tc>
          <w:tcPr>
            <w:tcW w:w="1200" w:type="pct"/>
            <w:hideMark/>
          </w:tcPr>
          <w:p w14:paraId="1172CFF8"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7CA118E2"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4B44945B"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d) referencia a una posición concreta en la versión del genoma de referencia publicada, en combinación con el SNP o INDEL responsable del estado de expresión.</w:t>
            </w:r>
          </w:p>
        </w:tc>
      </w:tr>
      <w:tr w:rsidR="00D52685" w:rsidRPr="002B2E80" w14:paraId="316FC3F6" w14:textId="77777777" w:rsidTr="003925E0">
        <w:trPr>
          <w:gridAfter w:val="1"/>
          <w:wAfter w:w="79" w:type="pct"/>
          <w:cantSplit/>
          <w:trHeight w:val="510"/>
        </w:trPr>
        <w:tc>
          <w:tcPr>
            <w:tcW w:w="387" w:type="pct"/>
            <w:vMerge w:val="restart"/>
            <w:vAlign w:val="center"/>
            <w:hideMark/>
          </w:tcPr>
          <w:p w14:paraId="08B444D5"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2.3</w:t>
            </w:r>
          </w:p>
        </w:tc>
        <w:tc>
          <w:tcPr>
            <w:tcW w:w="778" w:type="pct"/>
            <w:vMerge w:val="restart"/>
            <w:vAlign w:val="center"/>
            <w:hideMark/>
          </w:tcPr>
          <w:p w14:paraId="06C15FBF"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Alelo correspondiente al estado de expresión n </w:t>
            </w:r>
          </w:p>
        </w:tc>
        <w:tc>
          <w:tcPr>
            <w:tcW w:w="1200" w:type="pct"/>
            <w:vAlign w:val="center"/>
            <w:hideMark/>
          </w:tcPr>
          <w:p w14:paraId="4382D6FD"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i/>
                <w:color w:val="000000"/>
                <w:sz w:val="18"/>
                <w:szCs w:val="18"/>
                <w:lang w:eastAsia="nl-NL"/>
              </w:rPr>
              <w:t xml:space="preserve">Tm2 </w:t>
            </w:r>
            <w:r w:rsidRPr="002B2E80">
              <w:rPr>
                <w:rFonts w:eastAsia="Times New Roman" w:cs="Arial"/>
                <w:color w:val="000000"/>
                <w:sz w:val="18"/>
                <w:szCs w:val="18"/>
                <w:lang w:eastAsia="nl-NL"/>
              </w:rPr>
              <w:t xml:space="preserve">y </w:t>
            </w:r>
            <w:r w:rsidRPr="002B2E80">
              <w:rPr>
                <w:rFonts w:eastAsia="Times New Roman" w:cs="Arial"/>
                <w:i/>
                <w:color w:val="000000"/>
                <w:sz w:val="18"/>
                <w:szCs w:val="18"/>
                <w:lang w:eastAsia="nl-NL"/>
              </w:rPr>
              <w:t>Tm2</w:t>
            </w:r>
            <w:r w:rsidRPr="002B2E80">
              <w:rPr>
                <w:rFonts w:eastAsia="Times New Roman" w:cs="Arial"/>
                <w:color w:val="000000"/>
                <w:sz w:val="18"/>
                <w:szCs w:val="18"/>
                <w:vertAlign w:val="superscript"/>
                <w:lang w:eastAsia="nl-NL"/>
              </w:rPr>
              <w:t>2</w:t>
            </w:r>
          </w:p>
        </w:tc>
        <w:tc>
          <w:tcPr>
            <w:tcW w:w="592" w:type="pct"/>
            <w:vMerge w:val="restart"/>
            <w:vAlign w:val="center"/>
            <w:hideMark/>
          </w:tcPr>
          <w:p w14:paraId="0D7E6F05" w14:textId="5E6C19F4" w:rsidR="00D52685" w:rsidRPr="002B2E80" w:rsidRDefault="003925E0"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4675D4C1"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a) archivo(s) que contiene(n) la información de la secuencia de ADN (orden de los nucleótidos) </w:t>
            </w:r>
          </w:p>
        </w:tc>
      </w:tr>
      <w:tr w:rsidR="00D52685" w:rsidRPr="002B2E80" w14:paraId="391ED4AA" w14:textId="77777777" w:rsidTr="003925E0">
        <w:trPr>
          <w:gridAfter w:val="1"/>
          <w:wAfter w:w="79" w:type="pct"/>
          <w:cantSplit/>
          <w:trHeight w:val="510"/>
        </w:trPr>
        <w:tc>
          <w:tcPr>
            <w:tcW w:w="387" w:type="pct"/>
            <w:vMerge/>
            <w:vAlign w:val="center"/>
            <w:hideMark/>
          </w:tcPr>
          <w:p w14:paraId="27BD71A9" w14:textId="77777777" w:rsidR="00D52685" w:rsidRPr="002B2E80" w:rsidRDefault="00D52685" w:rsidP="00D52685">
            <w:pPr>
              <w:keepNext/>
              <w:jc w:val="left"/>
              <w:rPr>
                <w:rFonts w:eastAsia="Times New Roman" w:cs="Arial"/>
                <w:color w:val="000000"/>
                <w:sz w:val="18"/>
                <w:szCs w:val="18"/>
                <w:lang w:eastAsia="fr-FR"/>
              </w:rPr>
            </w:pPr>
          </w:p>
        </w:tc>
        <w:tc>
          <w:tcPr>
            <w:tcW w:w="778" w:type="pct"/>
            <w:vMerge/>
            <w:vAlign w:val="center"/>
            <w:hideMark/>
          </w:tcPr>
          <w:p w14:paraId="29BE2A33" w14:textId="77777777" w:rsidR="00D52685" w:rsidRPr="002B2E80" w:rsidRDefault="00D52685" w:rsidP="00D52685">
            <w:pPr>
              <w:keepNext/>
              <w:jc w:val="left"/>
              <w:rPr>
                <w:rFonts w:eastAsia="Times New Roman" w:cs="Arial"/>
                <w:color w:val="000000"/>
                <w:sz w:val="18"/>
                <w:szCs w:val="18"/>
                <w:lang w:eastAsia="fr-FR"/>
              </w:rPr>
            </w:pPr>
          </w:p>
        </w:tc>
        <w:tc>
          <w:tcPr>
            <w:tcW w:w="1200" w:type="pct"/>
            <w:vAlign w:val="center"/>
            <w:hideMark/>
          </w:tcPr>
          <w:p w14:paraId="7F65BD24" w14:textId="77777777" w:rsidR="00D52685" w:rsidRPr="002B2E80" w:rsidRDefault="00D52685" w:rsidP="00D52685">
            <w:pPr>
              <w:keepNext/>
              <w:jc w:val="left"/>
              <w:rPr>
                <w:rFonts w:eastAsia="Times New Roman" w:cs="Arial"/>
                <w:color w:val="000000"/>
                <w:sz w:val="18"/>
                <w:szCs w:val="18"/>
                <w:lang w:eastAsia="fr-FR"/>
              </w:rPr>
            </w:pPr>
            <w:proofErr w:type="spellStart"/>
            <w:r w:rsidRPr="002B2E80">
              <w:rPr>
                <w:rFonts w:eastAsia="Times New Roman" w:cs="Arial"/>
                <w:color w:val="000000"/>
                <w:sz w:val="18"/>
                <w:szCs w:val="18"/>
                <w:lang w:eastAsia="fr-FR"/>
              </w:rPr>
              <w:t>Arens</w:t>
            </w:r>
            <w:proofErr w:type="spellEnd"/>
            <w:r w:rsidRPr="002B2E80">
              <w:rPr>
                <w:rFonts w:eastAsia="Times New Roman" w:cs="Arial"/>
                <w:color w:val="000000"/>
                <w:sz w:val="18"/>
                <w:szCs w:val="18"/>
                <w:lang w:eastAsia="fr-FR"/>
              </w:rPr>
              <w:t>, P. et al (2010)</w:t>
            </w:r>
          </w:p>
        </w:tc>
        <w:tc>
          <w:tcPr>
            <w:tcW w:w="592" w:type="pct"/>
            <w:vMerge/>
            <w:vAlign w:val="center"/>
            <w:hideMark/>
          </w:tcPr>
          <w:p w14:paraId="7D160D61" w14:textId="77777777" w:rsidR="00D52685" w:rsidRPr="002B2E80" w:rsidRDefault="00D52685" w:rsidP="00D52685">
            <w:pPr>
              <w:keepNext/>
              <w:jc w:val="left"/>
              <w:rPr>
                <w:rFonts w:eastAsia="Times New Roman" w:cs="Arial"/>
                <w:color w:val="000000"/>
                <w:sz w:val="18"/>
                <w:szCs w:val="18"/>
                <w:lang w:eastAsia="fr-FR"/>
              </w:rPr>
            </w:pPr>
          </w:p>
        </w:tc>
        <w:tc>
          <w:tcPr>
            <w:tcW w:w="1964" w:type="pct"/>
            <w:vAlign w:val="center"/>
            <w:hideMark/>
          </w:tcPr>
          <w:p w14:paraId="520C3374"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b) referencia a la información del ADN en bases de datos públicas (como </w:t>
            </w:r>
            <w:proofErr w:type="spellStart"/>
            <w:r w:rsidRPr="002B2E80">
              <w:rPr>
                <w:rFonts w:eastAsia="Times New Roman" w:cs="Arial"/>
                <w:color w:val="000000"/>
                <w:sz w:val="18"/>
                <w:szCs w:val="18"/>
                <w:lang w:eastAsia="nl-NL"/>
              </w:rPr>
              <w:t>GeneBank</w:t>
            </w:r>
            <w:proofErr w:type="spellEnd"/>
            <w:r w:rsidRPr="002B2E80">
              <w:rPr>
                <w:rFonts w:eastAsia="Times New Roman" w:cs="Arial"/>
                <w:color w:val="000000"/>
                <w:sz w:val="18"/>
                <w:szCs w:val="18"/>
                <w:lang w:eastAsia="nl-NL"/>
              </w:rPr>
              <w:t>)</w:t>
            </w:r>
          </w:p>
        </w:tc>
      </w:tr>
      <w:tr w:rsidR="00D52685" w:rsidRPr="002B2E80" w14:paraId="62C89C4F" w14:textId="77777777" w:rsidTr="003925E0">
        <w:trPr>
          <w:gridAfter w:val="1"/>
          <w:wAfter w:w="79" w:type="pct"/>
          <w:cantSplit/>
          <w:trHeight w:val="765"/>
        </w:trPr>
        <w:tc>
          <w:tcPr>
            <w:tcW w:w="387" w:type="pct"/>
            <w:vMerge/>
            <w:vAlign w:val="center"/>
            <w:hideMark/>
          </w:tcPr>
          <w:p w14:paraId="6ED14A55" w14:textId="77777777" w:rsidR="00D52685" w:rsidRPr="002B2E80" w:rsidRDefault="00D52685" w:rsidP="00D52685">
            <w:pPr>
              <w:keepNext/>
              <w:jc w:val="left"/>
              <w:rPr>
                <w:rFonts w:eastAsia="Times New Roman" w:cs="Arial"/>
                <w:color w:val="000000"/>
                <w:sz w:val="18"/>
                <w:szCs w:val="18"/>
                <w:lang w:eastAsia="fr-FR"/>
              </w:rPr>
            </w:pPr>
          </w:p>
        </w:tc>
        <w:tc>
          <w:tcPr>
            <w:tcW w:w="778" w:type="pct"/>
            <w:vMerge/>
            <w:vAlign w:val="center"/>
            <w:hideMark/>
          </w:tcPr>
          <w:p w14:paraId="6E1D9124" w14:textId="77777777" w:rsidR="00D52685" w:rsidRPr="002B2E80" w:rsidRDefault="00D52685" w:rsidP="00D52685">
            <w:pPr>
              <w:keepNext/>
              <w:jc w:val="left"/>
              <w:rPr>
                <w:rFonts w:eastAsia="Times New Roman" w:cs="Arial"/>
                <w:color w:val="000000"/>
                <w:sz w:val="18"/>
                <w:szCs w:val="18"/>
                <w:lang w:eastAsia="fr-FR"/>
              </w:rPr>
            </w:pPr>
          </w:p>
        </w:tc>
        <w:tc>
          <w:tcPr>
            <w:tcW w:w="1200" w:type="pct"/>
            <w:vAlign w:val="center"/>
            <w:hideMark/>
          </w:tcPr>
          <w:p w14:paraId="7F56126D" w14:textId="77777777" w:rsidR="00D52685" w:rsidRPr="002B2E80" w:rsidRDefault="00D52685" w:rsidP="00D52685">
            <w:pPr>
              <w:keepNext/>
              <w:jc w:val="left"/>
              <w:rPr>
                <w:rFonts w:eastAsia="Times New Roman" w:cs="Arial"/>
                <w:color w:val="000000"/>
                <w:sz w:val="18"/>
                <w:szCs w:val="18"/>
                <w:lang w:eastAsia="nl-NL"/>
              </w:rPr>
            </w:pPr>
          </w:p>
          <w:p w14:paraId="240DE5A5" w14:textId="77777777" w:rsidR="00D52685" w:rsidRPr="002B2E80" w:rsidRDefault="00D52685" w:rsidP="00D52685">
            <w:pPr>
              <w:keepNext/>
              <w:jc w:val="left"/>
              <w:rPr>
                <w:rFonts w:eastAsia="Times New Roman" w:cs="Arial"/>
                <w:color w:val="000000"/>
                <w:sz w:val="18"/>
                <w:szCs w:val="18"/>
                <w:lang w:eastAsia="fr-FR"/>
              </w:rPr>
            </w:pPr>
          </w:p>
        </w:tc>
        <w:tc>
          <w:tcPr>
            <w:tcW w:w="592" w:type="pct"/>
            <w:vMerge/>
            <w:vAlign w:val="center"/>
            <w:hideMark/>
          </w:tcPr>
          <w:p w14:paraId="442FC322" w14:textId="77777777" w:rsidR="00D52685" w:rsidRPr="002B2E80" w:rsidRDefault="00D52685" w:rsidP="00D52685">
            <w:pPr>
              <w:keepNext/>
              <w:jc w:val="left"/>
              <w:rPr>
                <w:rFonts w:eastAsia="Times New Roman" w:cs="Arial"/>
                <w:color w:val="000000"/>
                <w:sz w:val="18"/>
                <w:szCs w:val="18"/>
                <w:lang w:eastAsia="fr-FR"/>
              </w:rPr>
            </w:pPr>
          </w:p>
        </w:tc>
        <w:tc>
          <w:tcPr>
            <w:tcW w:w="1964" w:type="pct"/>
            <w:vAlign w:val="center"/>
            <w:hideMark/>
          </w:tcPr>
          <w:p w14:paraId="775DC12C"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c) referencia a publicaciones (científicas) en las que se revela la información de la secuencia de ADN de los estados de expresión de la característica.</w:t>
            </w:r>
          </w:p>
        </w:tc>
      </w:tr>
      <w:tr w:rsidR="00D52685" w:rsidRPr="002B2E80" w14:paraId="7010C98F" w14:textId="77777777" w:rsidTr="003925E0">
        <w:trPr>
          <w:gridAfter w:val="1"/>
          <w:wAfter w:w="79" w:type="pct"/>
          <w:cantSplit/>
          <w:trHeight w:val="1035"/>
        </w:trPr>
        <w:tc>
          <w:tcPr>
            <w:tcW w:w="387" w:type="pct"/>
            <w:vMerge/>
            <w:vAlign w:val="center"/>
            <w:hideMark/>
          </w:tcPr>
          <w:p w14:paraId="45216F1F"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2EB0CBBC"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4F84AC1C"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2FCB8C95"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2EDD04E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d) referencia a una posición concreta en la versión del genoma de referencia publicada, en combinación con el SNP o INDEL responsable del estado de expresión.</w:t>
            </w:r>
          </w:p>
        </w:tc>
      </w:tr>
      <w:tr w:rsidR="00D52685" w:rsidRPr="002B2E80" w14:paraId="329C6F59" w14:textId="77777777" w:rsidTr="003925E0">
        <w:trPr>
          <w:gridAfter w:val="1"/>
          <w:wAfter w:w="79" w:type="pct"/>
          <w:cantSplit/>
          <w:trHeight w:val="780"/>
        </w:trPr>
        <w:tc>
          <w:tcPr>
            <w:tcW w:w="387" w:type="pct"/>
            <w:vAlign w:val="center"/>
            <w:hideMark/>
          </w:tcPr>
          <w:p w14:paraId="4F115807"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lastRenderedPageBreak/>
              <w:t>3</w:t>
            </w:r>
          </w:p>
        </w:tc>
        <w:tc>
          <w:tcPr>
            <w:tcW w:w="778" w:type="pct"/>
            <w:vAlign w:val="center"/>
            <w:hideMark/>
          </w:tcPr>
          <w:p w14:paraId="676ADFBB"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Cebadores (y sondas)</w:t>
            </w:r>
          </w:p>
        </w:tc>
        <w:tc>
          <w:tcPr>
            <w:tcW w:w="1200" w:type="pct"/>
            <w:vAlign w:val="center"/>
            <w:hideMark/>
          </w:tcPr>
          <w:p w14:paraId="0A15E4F3" w14:textId="77777777" w:rsidR="00D52685" w:rsidRPr="002B2E80" w:rsidRDefault="00D52685" w:rsidP="00D52685">
            <w:pPr>
              <w:jc w:val="left"/>
              <w:rPr>
                <w:rFonts w:eastAsia="Times New Roman" w:cs="Arial"/>
                <w:i/>
                <w:iCs/>
                <w:color w:val="000000"/>
                <w:sz w:val="18"/>
                <w:szCs w:val="18"/>
                <w:lang w:eastAsia="fr-FR"/>
              </w:rPr>
            </w:pPr>
            <w:r w:rsidRPr="002B2E80">
              <w:rPr>
                <w:rFonts w:eastAsia="Times New Roman" w:cs="Arial"/>
                <w:i/>
                <w:iCs/>
                <w:color w:val="000000"/>
                <w:sz w:val="18"/>
                <w:szCs w:val="18"/>
                <w:lang w:eastAsia="fr-FR"/>
              </w:rPr>
              <w:t xml:space="preserve">Véase TG/44/11/rev3 – Ad 51: </w:t>
            </w:r>
            <w:proofErr w:type="spellStart"/>
            <w:r w:rsidRPr="002B2E80">
              <w:rPr>
                <w:rFonts w:eastAsia="Times New Roman" w:cs="Arial"/>
                <w:i/>
                <w:iCs/>
                <w:color w:val="000000"/>
                <w:sz w:val="18"/>
                <w:szCs w:val="18"/>
                <w:lang w:eastAsia="fr-FR"/>
              </w:rPr>
              <w:t>ii</w:t>
            </w:r>
            <w:proofErr w:type="spellEnd"/>
            <w:r w:rsidRPr="002B2E80">
              <w:rPr>
                <w:rFonts w:eastAsia="Times New Roman" w:cs="Arial"/>
                <w:i/>
                <w:iCs/>
                <w:color w:val="000000"/>
                <w:sz w:val="18"/>
                <w:szCs w:val="18"/>
                <w:lang w:eastAsia="fr-FR"/>
              </w:rPr>
              <w:t xml:space="preserve"> Prueba de marcadores de ADN, añadir 3, 3.1 y 3.2</w:t>
            </w:r>
          </w:p>
        </w:tc>
        <w:tc>
          <w:tcPr>
            <w:tcW w:w="592" w:type="pct"/>
            <w:vAlign w:val="center"/>
            <w:hideMark/>
          </w:tcPr>
          <w:p w14:paraId="04FCF3DB" w14:textId="6D5C5E3D"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7723C729"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Secuencias de cebadores y sondas, referencia a accesiones y secuencias en bases de datos públicas (números de </w:t>
            </w:r>
            <w:proofErr w:type="spellStart"/>
            <w:r w:rsidRPr="002B2E80">
              <w:rPr>
                <w:rFonts w:eastAsia="Times New Roman" w:cs="Arial"/>
                <w:color w:val="000000"/>
                <w:sz w:val="18"/>
                <w:szCs w:val="18"/>
                <w:lang w:eastAsia="nl-NL"/>
              </w:rPr>
              <w:t>Genebank</w:t>
            </w:r>
            <w:proofErr w:type="spellEnd"/>
            <w:r w:rsidRPr="002B2E80">
              <w:rPr>
                <w:rFonts w:eastAsia="Times New Roman" w:cs="Arial"/>
                <w:color w:val="000000"/>
                <w:sz w:val="18"/>
                <w:szCs w:val="18"/>
                <w:lang w:eastAsia="nl-NL"/>
              </w:rPr>
              <w:t>), bibliografía</w:t>
            </w:r>
          </w:p>
        </w:tc>
      </w:tr>
      <w:tr w:rsidR="00D52685" w:rsidRPr="002B2E80" w14:paraId="5AC20C0C" w14:textId="77777777" w:rsidTr="003925E0">
        <w:trPr>
          <w:gridAfter w:val="1"/>
          <w:wAfter w:w="79" w:type="pct"/>
          <w:cantSplit/>
          <w:trHeight w:val="525"/>
        </w:trPr>
        <w:tc>
          <w:tcPr>
            <w:tcW w:w="387" w:type="pct"/>
            <w:vAlign w:val="center"/>
            <w:hideMark/>
          </w:tcPr>
          <w:p w14:paraId="3668821F"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3.1</w:t>
            </w:r>
          </w:p>
        </w:tc>
        <w:tc>
          <w:tcPr>
            <w:tcW w:w="778" w:type="pct"/>
            <w:vAlign w:val="center"/>
            <w:hideMark/>
          </w:tcPr>
          <w:p w14:paraId="6254C277"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Cebadores (y sondas) para detectar el alelo «9»</w:t>
            </w:r>
          </w:p>
        </w:tc>
        <w:tc>
          <w:tcPr>
            <w:tcW w:w="1200" w:type="pct"/>
            <w:vAlign w:val="center"/>
            <w:hideMark/>
          </w:tcPr>
          <w:p w14:paraId="68B53BF3" w14:textId="77777777" w:rsidR="00D52685" w:rsidRPr="002B2E80" w:rsidRDefault="00D52685" w:rsidP="00D52685">
            <w:pPr>
              <w:jc w:val="left"/>
              <w:rPr>
                <w:rFonts w:eastAsia="Times New Roman" w:cs="Arial"/>
                <w:color w:val="000000"/>
                <w:sz w:val="18"/>
                <w:szCs w:val="18"/>
                <w:lang w:eastAsia="fr-FR"/>
              </w:rPr>
            </w:pPr>
          </w:p>
        </w:tc>
        <w:tc>
          <w:tcPr>
            <w:tcW w:w="592" w:type="pct"/>
            <w:vAlign w:val="center"/>
            <w:hideMark/>
          </w:tcPr>
          <w:p w14:paraId="0BC9C8A0" w14:textId="67959B24"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5722527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Secuencias de cebadores correspondientes al alelo o alelos para la expresión «9» (resistencia)</w:t>
            </w:r>
          </w:p>
        </w:tc>
      </w:tr>
      <w:tr w:rsidR="00D52685" w:rsidRPr="002B2E80" w14:paraId="3E995A45" w14:textId="77777777" w:rsidTr="003925E0">
        <w:trPr>
          <w:gridAfter w:val="1"/>
          <w:wAfter w:w="79" w:type="pct"/>
          <w:cantSplit/>
          <w:trHeight w:val="525"/>
        </w:trPr>
        <w:tc>
          <w:tcPr>
            <w:tcW w:w="387" w:type="pct"/>
            <w:vAlign w:val="center"/>
            <w:hideMark/>
          </w:tcPr>
          <w:p w14:paraId="61551561"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3.2</w:t>
            </w:r>
          </w:p>
        </w:tc>
        <w:tc>
          <w:tcPr>
            <w:tcW w:w="778" w:type="pct"/>
            <w:vAlign w:val="center"/>
            <w:hideMark/>
          </w:tcPr>
          <w:p w14:paraId="18220F18"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Cebadores (y sondas) para detectar el alelo «1»</w:t>
            </w:r>
          </w:p>
        </w:tc>
        <w:tc>
          <w:tcPr>
            <w:tcW w:w="1200" w:type="pct"/>
            <w:vAlign w:val="center"/>
            <w:hideMark/>
          </w:tcPr>
          <w:p w14:paraId="6DA9D1ED" w14:textId="77777777" w:rsidR="00D52685" w:rsidRPr="002B2E80" w:rsidRDefault="00D52685" w:rsidP="00D52685">
            <w:pPr>
              <w:jc w:val="left"/>
              <w:rPr>
                <w:rFonts w:eastAsia="Times New Roman" w:cs="Arial"/>
                <w:color w:val="000000"/>
                <w:sz w:val="18"/>
                <w:szCs w:val="18"/>
                <w:lang w:eastAsia="fr-FR"/>
              </w:rPr>
            </w:pPr>
          </w:p>
        </w:tc>
        <w:tc>
          <w:tcPr>
            <w:tcW w:w="592" w:type="pct"/>
            <w:vAlign w:val="center"/>
            <w:hideMark/>
          </w:tcPr>
          <w:p w14:paraId="26E75282" w14:textId="14FE0A1F"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1354FDCD"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Secuencias de cebadores correspondientes al alelo o alelos para la expresión «1» (susceptibilidad)</w:t>
            </w:r>
          </w:p>
        </w:tc>
      </w:tr>
      <w:tr w:rsidR="00D52685" w:rsidRPr="002B2E80" w14:paraId="46D20EF1" w14:textId="77777777" w:rsidTr="003925E0">
        <w:trPr>
          <w:gridAfter w:val="1"/>
          <w:wAfter w:w="79" w:type="pct"/>
          <w:cantSplit/>
          <w:trHeight w:val="525"/>
        </w:trPr>
        <w:tc>
          <w:tcPr>
            <w:tcW w:w="387" w:type="pct"/>
            <w:vAlign w:val="center"/>
            <w:hideMark/>
          </w:tcPr>
          <w:p w14:paraId="1C28D6C5"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3.3</w:t>
            </w:r>
          </w:p>
        </w:tc>
        <w:tc>
          <w:tcPr>
            <w:tcW w:w="778" w:type="pct"/>
            <w:vAlign w:val="center"/>
            <w:hideMark/>
          </w:tcPr>
          <w:p w14:paraId="65C404E7"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Cebadores (y sondas) para detectar el alelo «x»</w:t>
            </w:r>
          </w:p>
        </w:tc>
        <w:tc>
          <w:tcPr>
            <w:tcW w:w="1200" w:type="pct"/>
            <w:vAlign w:val="center"/>
            <w:hideMark/>
          </w:tcPr>
          <w:p w14:paraId="2BFCFABF" w14:textId="77777777" w:rsidR="00D52685" w:rsidRPr="002B2E80" w:rsidRDefault="00D52685" w:rsidP="00D52685">
            <w:pPr>
              <w:jc w:val="left"/>
              <w:rPr>
                <w:rFonts w:eastAsia="Times New Roman" w:cs="Arial"/>
                <w:color w:val="000000"/>
                <w:sz w:val="18"/>
                <w:szCs w:val="18"/>
                <w:lang w:eastAsia="fr-FR"/>
              </w:rPr>
            </w:pPr>
          </w:p>
        </w:tc>
        <w:tc>
          <w:tcPr>
            <w:tcW w:w="592" w:type="pct"/>
            <w:vAlign w:val="center"/>
            <w:hideMark/>
          </w:tcPr>
          <w:p w14:paraId="232C2949" w14:textId="030A6E94"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70389C53"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Secuencias de cebadores correspondientes al alelo o alelos para la expresión «x» </w:t>
            </w:r>
          </w:p>
        </w:tc>
      </w:tr>
      <w:tr w:rsidR="00D52685" w:rsidRPr="002B2E80" w14:paraId="7D26617B" w14:textId="77777777" w:rsidTr="003925E0">
        <w:trPr>
          <w:gridAfter w:val="1"/>
          <w:wAfter w:w="79" w:type="pct"/>
          <w:cantSplit/>
          <w:trHeight w:val="315"/>
        </w:trPr>
        <w:tc>
          <w:tcPr>
            <w:tcW w:w="387" w:type="pct"/>
            <w:vAlign w:val="center"/>
            <w:hideMark/>
          </w:tcPr>
          <w:p w14:paraId="039417E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4</w:t>
            </w:r>
          </w:p>
        </w:tc>
        <w:tc>
          <w:tcPr>
            <w:tcW w:w="778" w:type="pct"/>
            <w:vAlign w:val="center"/>
            <w:hideMark/>
          </w:tcPr>
          <w:p w14:paraId="6364F4E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Formato de la prueba</w:t>
            </w:r>
          </w:p>
        </w:tc>
        <w:tc>
          <w:tcPr>
            <w:tcW w:w="1200" w:type="pct"/>
            <w:vAlign w:val="center"/>
            <w:hideMark/>
          </w:tcPr>
          <w:p w14:paraId="3313CD15" w14:textId="77777777" w:rsidR="00D52685" w:rsidRPr="002B2E80" w:rsidRDefault="00D52685" w:rsidP="00D52685">
            <w:pPr>
              <w:jc w:val="left"/>
              <w:rPr>
                <w:rFonts w:eastAsia="Times New Roman" w:cs="Arial"/>
                <w:color w:val="000000"/>
                <w:sz w:val="18"/>
                <w:szCs w:val="18"/>
                <w:lang w:eastAsia="fr-FR"/>
              </w:rPr>
            </w:pPr>
          </w:p>
        </w:tc>
        <w:tc>
          <w:tcPr>
            <w:tcW w:w="592" w:type="pct"/>
            <w:vAlign w:val="center"/>
            <w:hideMark/>
          </w:tcPr>
          <w:p w14:paraId="19AF7AF1"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7C0C40FF" w14:textId="77777777" w:rsidR="00D52685" w:rsidRPr="002B2E80" w:rsidRDefault="00D52685" w:rsidP="00D52685">
            <w:pPr>
              <w:jc w:val="left"/>
              <w:rPr>
                <w:rFonts w:eastAsia="Times New Roman" w:cs="Arial"/>
                <w:color w:val="000000"/>
                <w:sz w:val="18"/>
                <w:szCs w:val="18"/>
                <w:lang w:eastAsia="fr-FR"/>
              </w:rPr>
            </w:pPr>
          </w:p>
        </w:tc>
      </w:tr>
      <w:tr w:rsidR="00D52685" w:rsidRPr="002B2E80" w14:paraId="4829C467" w14:textId="77777777" w:rsidTr="003925E0">
        <w:trPr>
          <w:gridAfter w:val="1"/>
          <w:wAfter w:w="79" w:type="pct"/>
          <w:cantSplit/>
          <w:trHeight w:val="1725"/>
        </w:trPr>
        <w:tc>
          <w:tcPr>
            <w:tcW w:w="387" w:type="pct"/>
            <w:vAlign w:val="center"/>
            <w:hideMark/>
          </w:tcPr>
          <w:p w14:paraId="4476ACC9"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4.1</w:t>
            </w:r>
          </w:p>
        </w:tc>
        <w:tc>
          <w:tcPr>
            <w:tcW w:w="778" w:type="pct"/>
            <w:vAlign w:val="center"/>
            <w:hideMark/>
          </w:tcPr>
          <w:p w14:paraId="17CF73AA"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Número de plantas por genotipo</w:t>
            </w:r>
          </w:p>
        </w:tc>
        <w:tc>
          <w:tcPr>
            <w:tcW w:w="1200" w:type="pct"/>
            <w:vAlign w:val="center"/>
            <w:hideMark/>
          </w:tcPr>
          <w:p w14:paraId="0C94EFAB"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≥20</w:t>
            </w:r>
          </w:p>
        </w:tc>
        <w:tc>
          <w:tcPr>
            <w:tcW w:w="592" w:type="pct"/>
            <w:vAlign w:val="center"/>
            <w:hideMark/>
          </w:tcPr>
          <w:p w14:paraId="48BB1B5B" w14:textId="49F35533"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4D1560A7"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Número mínimo de plantas individuales requerido: la prueba del marcador se realiza en el mismo número de plantas individuales, con los mismos criterios de distinción, uniformidad y estabilidad que para el examen del carácter mediante un ensayo de observación (documentos TGP/9 y TGP/10).</w:t>
            </w:r>
          </w:p>
        </w:tc>
      </w:tr>
      <w:tr w:rsidR="00D52685" w:rsidRPr="002B2E80" w14:paraId="40117CF9" w14:textId="77777777" w:rsidTr="003925E0">
        <w:trPr>
          <w:gridAfter w:val="1"/>
          <w:wAfter w:w="79" w:type="pct"/>
          <w:cantSplit/>
          <w:trHeight w:val="3000"/>
        </w:trPr>
        <w:tc>
          <w:tcPr>
            <w:tcW w:w="387" w:type="pct"/>
            <w:vAlign w:val="center"/>
            <w:hideMark/>
          </w:tcPr>
          <w:p w14:paraId="0560862D"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4.2</w:t>
            </w:r>
          </w:p>
        </w:tc>
        <w:tc>
          <w:tcPr>
            <w:tcW w:w="778" w:type="pct"/>
            <w:vAlign w:val="center"/>
            <w:hideMark/>
          </w:tcPr>
          <w:p w14:paraId="63082F4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Variedades de control</w:t>
            </w:r>
          </w:p>
        </w:tc>
        <w:tc>
          <w:tcPr>
            <w:tcW w:w="1200" w:type="pct"/>
            <w:vAlign w:val="center"/>
            <w:hideMark/>
          </w:tcPr>
          <w:p w14:paraId="4C09D8AF" w14:textId="77777777" w:rsidR="00D52685" w:rsidRPr="002B2E80" w:rsidRDefault="00D52685" w:rsidP="00D52685">
            <w:pPr>
              <w:jc w:val="left"/>
              <w:rPr>
                <w:rFonts w:eastAsia="Times New Roman" w:cs="Arial"/>
                <w:i/>
                <w:iCs/>
                <w:color w:val="000000"/>
                <w:sz w:val="18"/>
                <w:szCs w:val="18"/>
                <w:lang w:eastAsia="fr-FR"/>
              </w:rPr>
            </w:pPr>
            <w:r w:rsidRPr="002B2E80">
              <w:rPr>
                <w:rFonts w:eastAsia="Times New Roman" w:cs="Arial"/>
                <w:i/>
                <w:iCs/>
                <w:color w:val="000000"/>
                <w:sz w:val="18"/>
                <w:szCs w:val="18"/>
                <w:lang w:eastAsia="fr-FR"/>
              </w:rPr>
              <w:t xml:space="preserve">Véase TG/44/11/rev3 – Ad 51: </w:t>
            </w:r>
            <w:proofErr w:type="spellStart"/>
            <w:r w:rsidRPr="002B2E80">
              <w:rPr>
                <w:rFonts w:eastAsia="Times New Roman" w:cs="Arial"/>
                <w:i/>
                <w:iCs/>
                <w:color w:val="000000"/>
                <w:sz w:val="18"/>
                <w:szCs w:val="18"/>
                <w:lang w:eastAsia="fr-FR"/>
              </w:rPr>
              <w:t>ii</w:t>
            </w:r>
            <w:proofErr w:type="spellEnd"/>
            <w:r w:rsidRPr="002B2E80">
              <w:rPr>
                <w:rFonts w:eastAsia="Times New Roman" w:cs="Arial"/>
                <w:i/>
                <w:iCs/>
                <w:color w:val="000000"/>
                <w:sz w:val="18"/>
                <w:szCs w:val="18"/>
                <w:lang w:eastAsia="fr-FR"/>
              </w:rPr>
              <w:t xml:space="preserve"> Prueba con marcadores de ADN añadir 4.2</w:t>
            </w:r>
          </w:p>
        </w:tc>
        <w:tc>
          <w:tcPr>
            <w:tcW w:w="592" w:type="pct"/>
            <w:vAlign w:val="center"/>
            <w:hideMark/>
          </w:tcPr>
          <w:p w14:paraId="30CA8605" w14:textId="1FFDA912"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SÍ</w:t>
            </w:r>
          </w:p>
        </w:tc>
        <w:tc>
          <w:tcPr>
            <w:tcW w:w="1964" w:type="pct"/>
            <w:vAlign w:val="center"/>
            <w:hideMark/>
          </w:tcPr>
          <w:p w14:paraId="64843C7D"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Variedades de control (las mismas que en el ensayo de observación) como normas que representan todas las combinaciones relevantes de alelos. Por ejemplo, homocigotos para el alelo correspondiente al estado de expresión 9 (presente), homocigotos para el alelo correspondiente al estado de expresión 1 (ausente) y heterocigotos (ambos alelos están presentes en un diploide) correspondientes a la resistencia, la susceptibilidad o la resistencia intermedia de la variedad (dependiendo de la función del gen; dominante - recesivo). Los controles de ADN pueden utilizarse directamente.</w:t>
            </w:r>
          </w:p>
        </w:tc>
      </w:tr>
      <w:tr w:rsidR="00D52685" w:rsidRPr="002B2E80" w14:paraId="74DDF8DA" w14:textId="77777777" w:rsidTr="003925E0">
        <w:trPr>
          <w:gridAfter w:val="1"/>
          <w:wAfter w:w="79" w:type="pct"/>
          <w:cantSplit/>
          <w:trHeight w:val="1770"/>
        </w:trPr>
        <w:tc>
          <w:tcPr>
            <w:tcW w:w="387" w:type="pct"/>
          </w:tcPr>
          <w:p w14:paraId="79F43611"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nl-NL"/>
              </w:rPr>
              <w:t>4.3</w:t>
            </w:r>
          </w:p>
        </w:tc>
        <w:tc>
          <w:tcPr>
            <w:tcW w:w="778" w:type="pct"/>
          </w:tcPr>
          <w:p w14:paraId="28CB33AC"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themeColor="text1"/>
                <w:sz w:val="18"/>
                <w:szCs w:val="18"/>
                <w:lang w:eastAsia="nl-NL"/>
              </w:rPr>
              <w:t>Controles de proceso</w:t>
            </w:r>
          </w:p>
        </w:tc>
        <w:tc>
          <w:tcPr>
            <w:tcW w:w="1200" w:type="pct"/>
          </w:tcPr>
          <w:p w14:paraId="168A0CF4" w14:textId="77777777" w:rsidR="00D52685" w:rsidRPr="002B2E80" w:rsidRDefault="00D52685" w:rsidP="00D52685">
            <w:pPr>
              <w:jc w:val="left"/>
              <w:rPr>
                <w:rFonts w:eastAsia="Times New Roman" w:cs="Arial"/>
                <w:i/>
                <w:iCs/>
                <w:color w:val="000000"/>
                <w:sz w:val="18"/>
                <w:szCs w:val="18"/>
                <w:lang w:eastAsia="fr-FR"/>
              </w:rPr>
            </w:pPr>
            <w:r w:rsidRPr="002B2E80">
              <w:rPr>
                <w:rFonts w:eastAsia="Times New Roman" w:cs="Arial"/>
                <w:i/>
                <w:sz w:val="18"/>
                <w:szCs w:val="18"/>
              </w:rPr>
              <w:t xml:space="preserve">Por ejemplo, tampón utilizado para la extracción; un marcador dirigido al gen </w:t>
            </w:r>
            <w:proofErr w:type="gramStart"/>
            <w:r w:rsidRPr="002B2E80">
              <w:rPr>
                <w:rFonts w:eastAsia="Times New Roman" w:cs="Arial"/>
                <w:i/>
                <w:sz w:val="18"/>
                <w:szCs w:val="18"/>
              </w:rPr>
              <w:t>de la citocromo</w:t>
            </w:r>
            <w:proofErr w:type="gramEnd"/>
            <w:r w:rsidRPr="002B2E80">
              <w:rPr>
                <w:rFonts w:eastAsia="Times New Roman" w:cs="Arial"/>
                <w:i/>
                <w:sz w:val="18"/>
                <w:szCs w:val="18"/>
              </w:rPr>
              <w:t xml:space="preserve"> oxidasa como marcador de amplificación interno.</w:t>
            </w:r>
          </w:p>
        </w:tc>
        <w:tc>
          <w:tcPr>
            <w:tcW w:w="592" w:type="pct"/>
          </w:tcPr>
          <w:p w14:paraId="491F9A59" w14:textId="33704D5C" w:rsidR="00D52685" w:rsidRPr="002B2E80" w:rsidRDefault="003925E0" w:rsidP="00D52685">
            <w:pPr>
              <w:jc w:val="left"/>
              <w:rPr>
                <w:rFonts w:eastAsia="Times New Roman" w:cs="Arial"/>
                <w:color w:val="000000"/>
                <w:sz w:val="18"/>
                <w:szCs w:val="18"/>
                <w:lang w:eastAsia="nl-NL"/>
              </w:rPr>
            </w:pPr>
            <w:r w:rsidRPr="002B2E80">
              <w:rPr>
                <w:rFonts w:eastAsia="Times New Roman" w:cs="Arial"/>
                <w:color w:val="000000" w:themeColor="text1"/>
                <w:sz w:val="18"/>
                <w:szCs w:val="18"/>
                <w:lang w:eastAsia="nl-NL"/>
              </w:rPr>
              <w:t>SÍ</w:t>
            </w:r>
          </w:p>
        </w:tc>
        <w:tc>
          <w:tcPr>
            <w:tcW w:w="1964" w:type="pct"/>
          </w:tcPr>
          <w:p w14:paraId="5C711A87" w14:textId="77777777" w:rsidR="00D52685" w:rsidRPr="002B2E80"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2B2E80">
              <w:rPr>
                <w:rFonts w:eastAsia="Calibri" w:cs="Arial"/>
                <w:color w:val="000000" w:themeColor="text1"/>
                <w:sz w:val="18"/>
                <w:szCs w:val="18"/>
                <w:lang w:eastAsia="nl-NL"/>
              </w:rPr>
              <w:t>Controles de proceso negativos</w:t>
            </w:r>
          </w:p>
          <w:p w14:paraId="7A1390D8" w14:textId="77777777" w:rsidR="00D52685" w:rsidRPr="002B2E80"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2B2E80">
              <w:rPr>
                <w:rFonts w:eastAsia="Calibri" w:cs="Arial"/>
                <w:color w:val="000000" w:themeColor="text1"/>
                <w:sz w:val="18"/>
                <w:szCs w:val="18"/>
                <w:lang w:eastAsia="nl-NL"/>
              </w:rPr>
              <w:t>Control(es) positivo(s) de ADN que pueden ser las variedades de control</w:t>
            </w:r>
          </w:p>
          <w:p w14:paraId="5BA8AC92" w14:textId="77777777" w:rsidR="00D52685" w:rsidRPr="002B2E80"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2B2E80">
              <w:rPr>
                <w:rFonts w:eastAsia="Calibri" w:cs="Arial"/>
                <w:color w:val="000000" w:themeColor="text1"/>
                <w:sz w:val="18"/>
                <w:szCs w:val="18"/>
                <w:lang w:eastAsia="nl-NL"/>
              </w:rPr>
              <w:t xml:space="preserve"> Control de amplificación interno en caso de marcador de presencia/ausencia</w:t>
            </w:r>
          </w:p>
          <w:p w14:paraId="70F151D9" w14:textId="77777777" w:rsidR="00D52685" w:rsidRPr="002B2E80" w:rsidRDefault="00D52685" w:rsidP="00D52685">
            <w:pPr>
              <w:ind w:left="360"/>
              <w:jc w:val="left"/>
              <w:rPr>
                <w:rFonts w:eastAsia="Times New Roman" w:cs="Arial"/>
                <w:color w:val="000000"/>
                <w:sz w:val="18"/>
                <w:szCs w:val="18"/>
                <w:lang w:eastAsia="nl-NL"/>
              </w:rPr>
            </w:pPr>
          </w:p>
        </w:tc>
      </w:tr>
      <w:tr w:rsidR="00D52685" w:rsidRPr="002B2E80" w14:paraId="6B12A2CB" w14:textId="77777777" w:rsidTr="003925E0">
        <w:trPr>
          <w:gridAfter w:val="1"/>
          <w:wAfter w:w="79" w:type="pct"/>
          <w:cantSplit/>
          <w:trHeight w:val="510"/>
        </w:trPr>
        <w:tc>
          <w:tcPr>
            <w:tcW w:w="387" w:type="pct"/>
            <w:vMerge w:val="restart"/>
            <w:vAlign w:val="center"/>
            <w:hideMark/>
          </w:tcPr>
          <w:p w14:paraId="02A0A954"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5</w:t>
            </w:r>
          </w:p>
        </w:tc>
        <w:tc>
          <w:tcPr>
            <w:tcW w:w="778" w:type="pct"/>
            <w:vMerge w:val="restart"/>
            <w:vAlign w:val="center"/>
            <w:hideMark/>
          </w:tcPr>
          <w:p w14:paraId="688C9ECE"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Preparativos</w:t>
            </w:r>
          </w:p>
        </w:tc>
        <w:tc>
          <w:tcPr>
            <w:tcW w:w="1200" w:type="pct"/>
            <w:vMerge w:val="restart"/>
            <w:vAlign w:val="center"/>
            <w:hideMark/>
          </w:tcPr>
          <w:p w14:paraId="75B533E1"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i/>
                <w:color w:val="000000"/>
                <w:sz w:val="18"/>
                <w:szCs w:val="18"/>
                <w:lang w:eastAsia="nl-NL"/>
              </w:rPr>
              <w:t xml:space="preserve"> Por ejemplo, </w:t>
            </w:r>
            <w:r w:rsidRPr="002B2E80">
              <w:rPr>
                <w:rFonts w:eastAsia="Times New Roman" w:cs="Arial"/>
                <w:color w:val="000000"/>
                <w:sz w:val="18"/>
                <w:szCs w:val="18"/>
                <w:lang w:eastAsia="nl-NL"/>
              </w:rPr>
              <w:t>muestreo de plántulas de 4 días de edad seguido de extracción de ADN mediante el método CTAB</w:t>
            </w:r>
          </w:p>
        </w:tc>
        <w:tc>
          <w:tcPr>
            <w:tcW w:w="592" w:type="pct"/>
            <w:vMerge w:val="restart"/>
            <w:vAlign w:val="center"/>
            <w:hideMark/>
          </w:tcPr>
          <w:p w14:paraId="439436EC" w14:textId="251B7D9C"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NO</w:t>
            </w:r>
          </w:p>
        </w:tc>
        <w:tc>
          <w:tcPr>
            <w:tcW w:w="1964" w:type="pct"/>
            <w:vAlign w:val="center"/>
            <w:hideMark/>
          </w:tcPr>
          <w:p w14:paraId="280BE31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Depende del método utilizado. No figura en la directriz de ensayo. Se pueden proporcionar protocolos detallados a modo de ejemplo en el anexo o solicitarlos a la organización que ha desarrollado el marcador.</w:t>
            </w:r>
          </w:p>
        </w:tc>
      </w:tr>
      <w:tr w:rsidR="00D52685" w:rsidRPr="002B2E80" w14:paraId="6BF79411" w14:textId="77777777" w:rsidTr="003925E0">
        <w:trPr>
          <w:gridAfter w:val="1"/>
          <w:wAfter w:w="79" w:type="pct"/>
          <w:cantSplit/>
          <w:trHeight w:val="50"/>
        </w:trPr>
        <w:tc>
          <w:tcPr>
            <w:tcW w:w="387" w:type="pct"/>
            <w:vMerge/>
            <w:vAlign w:val="center"/>
            <w:hideMark/>
          </w:tcPr>
          <w:p w14:paraId="44FC389C"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1B14A40C" w14:textId="77777777" w:rsidR="00D52685" w:rsidRPr="002B2E80" w:rsidRDefault="00D52685" w:rsidP="00D52685">
            <w:pPr>
              <w:jc w:val="left"/>
              <w:rPr>
                <w:rFonts w:eastAsia="Times New Roman" w:cs="Arial"/>
                <w:color w:val="000000"/>
                <w:sz w:val="18"/>
                <w:szCs w:val="18"/>
                <w:lang w:eastAsia="fr-FR"/>
              </w:rPr>
            </w:pPr>
          </w:p>
        </w:tc>
        <w:tc>
          <w:tcPr>
            <w:tcW w:w="1200" w:type="pct"/>
            <w:vMerge/>
            <w:vAlign w:val="center"/>
            <w:hideMark/>
          </w:tcPr>
          <w:p w14:paraId="01E61F01"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74401724" w14:textId="77777777" w:rsidR="00D52685" w:rsidRPr="002B2E80" w:rsidRDefault="00D52685" w:rsidP="00D52685">
            <w:pPr>
              <w:jc w:val="left"/>
              <w:rPr>
                <w:rFonts w:eastAsia="Times New Roman" w:cs="Arial"/>
                <w:color w:val="000000"/>
                <w:sz w:val="18"/>
                <w:szCs w:val="18"/>
                <w:lang w:eastAsia="fr-FR"/>
              </w:rPr>
            </w:pPr>
          </w:p>
        </w:tc>
        <w:tc>
          <w:tcPr>
            <w:tcW w:w="1964" w:type="pct"/>
            <w:vAlign w:val="center"/>
            <w:hideMark/>
          </w:tcPr>
          <w:p w14:paraId="59C4BF9B" w14:textId="77777777" w:rsidR="00D52685" w:rsidRPr="002B2E80" w:rsidRDefault="00D52685" w:rsidP="00D52685">
            <w:pPr>
              <w:jc w:val="left"/>
              <w:rPr>
                <w:rFonts w:eastAsia="Times New Roman" w:cs="Arial"/>
                <w:color w:val="000000"/>
                <w:sz w:val="18"/>
                <w:szCs w:val="18"/>
                <w:lang w:eastAsia="fr-FR"/>
              </w:rPr>
            </w:pPr>
          </w:p>
        </w:tc>
      </w:tr>
      <w:tr w:rsidR="00D52685" w:rsidRPr="002B2E80" w14:paraId="0BD44695" w14:textId="77777777" w:rsidTr="003925E0">
        <w:trPr>
          <w:gridAfter w:val="1"/>
          <w:wAfter w:w="79" w:type="pct"/>
          <w:cantSplit/>
          <w:trHeight w:val="510"/>
        </w:trPr>
        <w:tc>
          <w:tcPr>
            <w:tcW w:w="387" w:type="pct"/>
            <w:vMerge w:val="restart"/>
            <w:vAlign w:val="center"/>
            <w:hideMark/>
          </w:tcPr>
          <w:p w14:paraId="13F84C8F"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6</w:t>
            </w:r>
          </w:p>
        </w:tc>
        <w:tc>
          <w:tcPr>
            <w:tcW w:w="778" w:type="pct"/>
            <w:vMerge w:val="restart"/>
            <w:vAlign w:val="center"/>
            <w:hideMark/>
          </w:tcPr>
          <w:p w14:paraId="379DD18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Técnica del método</w:t>
            </w:r>
          </w:p>
        </w:tc>
        <w:tc>
          <w:tcPr>
            <w:tcW w:w="1200" w:type="pct"/>
            <w:vAlign w:val="center"/>
            <w:hideMark/>
          </w:tcPr>
          <w:p w14:paraId="3C7B2D9C"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i/>
                <w:color w:val="000000" w:themeColor="text1"/>
                <w:sz w:val="18"/>
                <w:szCs w:val="18"/>
                <w:lang w:eastAsia="nl-NL"/>
              </w:rPr>
              <w:t xml:space="preserve">Por ejemplo, </w:t>
            </w:r>
            <w:r w:rsidRPr="002B2E80">
              <w:rPr>
                <w:rFonts w:eastAsia="Times New Roman" w:cs="Arial"/>
                <w:color w:val="000000" w:themeColor="text1"/>
                <w:sz w:val="18"/>
                <w:szCs w:val="18"/>
                <w:lang w:eastAsia="nl-NL"/>
              </w:rPr>
              <w:t xml:space="preserve">PCR convencional, TETRA-ARMS, </w:t>
            </w:r>
            <w:proofErr w:type="spellStart"/>
            <w:r w:rsidRPr="002B2E80">
              <w:rPr>
                <w:rFonts w:eastAsia="Times New Roman" w:cs="Arial"/>
                <w:color w:val="000000" w:themeColor="text1"/>
                <w:sz w:val="18"/>
                <w:szCs w:val="18"/>
                <w:lang w:eastAsia="nl-NL"/>
              </w:rPr>
              <w:t>qPCR</w:t>
            </w:r>
            <w:proofErr w:type="spellEnd"/>
            <w:r w:rsidRPr="002B2E80">
              <w:rPr>
                <w:rFonts w:eastAsia="Times New Roman" w:cs="Arial"/>
                <w:color w:val="000000" w:themeColor="text1"/>
                <w:sz w:val="18"/>
                <w:szCs w:val="18"/>
                <w:lang w:eastAsia="nl-NL"/>
              </w:rPr>
              <w:t xml:space="preserve">, KASP, secuenciación de </w:t>
            </w:r>
            <w:proofErr w:type="spellStart"/>
            <w:r w:rsidRPr="002B2E80">
              <w:rPr>
                <w:rFonts w:eastAsia="Times New Roman" w:cs="Arial"/>
                <w:color w:val="000000" w:themeColor="text1"/>
                <w:sz w:val="18"/>
                <w:szCs w:val="18"/>
                <w:lang w:eastAsia="nl-NL"/>
              </w:rPr>
              <w:t>amplicones</w:t>
            </w:r>
            <w:proofErr w:type="spellEnd"/>
            <w:r w:rsidRPr="002B2E80">
              <w:rPr>
                <w:rFonts w:eastAsia="Times New Roman" w:cs="Arial"/>
                <w:color w:val="000000" w:themeColor="text1"/>
                <w:sz w:val="18"/>
                <w:szCs w:val="18"/>
                <w:lang w:eastAsia="nl-NL"/>
              </w:rPr>
              <w:t xml:space="preserve">. </w:t>
            </w:r>
          </w:p>
        </w:tc>
        <w:tc>
          <w:tcPr>
            <w:tcW w:w="592" w:type="pct"/>
            <w:vMerge w:val="restart"/>
            <w:vAlign w:val="center"/>
            <w:hideMark/>
          </w:tcPr>
          <w:p w14:paraId="5C919B27" w14:textId="085C2EEC" w:rsidR="00D52685" w:rsidRPr="002B2E80" w:rsidRDefault="003925E0"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nl-NL"/>
              </w:rPr>
              <w:t>SÍ</w:t>
            </w:r>
          </w:p>
        </w:tc>
        <w:tc>
          <w:tcPr>
            <w:tcW w:w="1964" w:type="pct"/>
            <w:vMerge w:val="restart"/>
            <w:vAlign w:val="center"/>
            <w:hideMark/>
          </w:tcPr>
          <w:p w14:paraId="58FA0D1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 xml:space="preserve">. </w:t>
            </w:r>
          </w:p>
        </w:tc>
      </w:tr>
      <w:tr w:rsidR="00D52685" w:rsidRPr="002B2E80" w14:paraId="549DA130" w14:textId="77777777" w:rsidTr="003925E0">
        <w:trPr>
          <w:gridAfter w:val="1"/>
          <w:wAfter w:w="79" w:type="pct"/>
          <w:cantSplit/>
          <w:trHeight w:val="525"/>
        </w:trPr>
        <w:tc>
          <w:tcPr>
            <w:tcW w:w="387" w:type="pct"/>
            <w:vMerge/>
            <w:vAlign w:val="center"/>
            <w:hideMark/>
          </w:tcPr>
          <w:p w14:paraId="69A469D7"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637D4148" w14:textId="77777777" w:rsidR="00D52685" w:rsidRPr="002B2E80" w:rsidRDefault="00D52685" w:rsidP="00D52685">
            <w:pPr>
              <w:jc w:val="left"/>
              <w:rPr>
                <w:rFonts w:eastAsia="Times New Roman" w:cs="Arial"/>
                <w:color w:val="000000"/>
                <w:sz w:val="18"/>
                <w:szCs w:val="18"/>
                <w:lang w:eastAsia="fr-FR"/>
              </w:rPr>
            </w:pPr>
          </w:p>
        </w:tc>
        <w:tc>
          <w:tcPr>
            <w:tcW w:w="1200" w:type="pct"/>
            <w:vAlign w:val="center"/>
            <w:hideMark/>
          </w:tcPr>
          <w:p w14:paraId="573E61BD" w14:textId="77777777" w:rsidR="00D52685" w:rsidRPr="002B2E80" w:rsidRDefault="00D52685" w:rsidP="00D52685">
            <w:pPr>
              <w:jc w:val="left"/>
              <w:rPr>
                <w:rFonts w:eastAsia="Times New Roman" w:cs="Arial"/>
                <w:i/>
                <w:iCs/>
                <w:color w:val="000000"/>
                <w:sz w:val="18"/>
                <w:szCs w:val="18"/>
                <w:lang w:eastAsia="fr-FR"/>
              </w:rPr>
            </w:pPr>
            <w:r w:rsidRPr="002B2E80">
              <w:rPr>
                <w:rFonts w:eastAsia="Times New Roman" w:cs="Arial"/>
                <w:i/>
                <w:color w:val="000000" w:themeColor="text1"/>
                <w:sz w:val="18"/>
                <w:szCs w:val="18"/>
                <w:lang w:eastAsia="fr-FR"/>
              </w:rPr>
              <w:t xml:space="preserve">Véase TG/44/11/rev3 – Ad 51: </w:t>
            </w:r>
            <w:proofErr w:type="spellStart"/>
            <w:r w:rsidRPr="002B2E80">
              <w:rPr>
                <w:rFonts w:eastAsia="Times New Roman" w:cs="Arial"/>
                <w:i/>
                <w:color w:val="000000" w:themeColor="text1"/>
                <w:sz w:val="18"/>
                <w:szCs w:val="18"/>
                <w:lang w:eastAsia="fr-FR"/>
              </w:rPr>
              <w:t>ii</w:t>
            </w:r>
            <w:proofErr w:type="spellEnd"/>
            <w:r w:rsidRPr="002B2E80">
              <w:rPr>
                <w:rFonts w:eastAsia="Times New Roman" w:cs="Arial"/>
                <w:i/>
                <w:color w:val="000000" w:themeColor="text1"/>
                <w:sz w:val="18"/>
                <w:szCs w:val="18"/>
                <w:lang w:eastAsia="fr-FR"/>
              </w:rPr>
              <w:t xml:space="preserve"> Prueba de marcadores de ADN añadir 6</w:t>
            </w:r>
          </w:p>
        </w:tc>
        <w:tc>
          <w:tcPr>
            <w:tcW w:w="592" w:type="pct"/>
            <w:vMerge/>
            <w:vAlign w:val="center"/>
            <w:hideMark/>
          </w:tcPr>
          <w:p w14:paraId="0F386FCC" w14:textId="77777777" w:rsidR="00D52685" w:rsidRPr="002B2E80" w:rsidRDefault="00D52685" w:rsidP="00D52685">
            <w:pPr>
              <w:jc w:val="left"/>
              <w:rPr>
                <w:rFonts w:eastAsia="Times New Roman" w:cs="Arial"/>
                <w:color w:val="000000"/>
                <w:sz w:val="18"/>
                <w:szCs w:val="18"/>
                <w:lang w:eastAsia="fr-FR"/>
              </w:rPr>
            </w:pPr>
          </w:p>
        </w:tc>
        <w:tc>
          <w:tcPr>
            <w:tcW w:w="1964" w:type="pct"/>
            <w:vMerge/>
            <w:vAlign w:val="center"/>
            <w:hideMark/>
          </w:tcPr>
          <w:p w14:paraId="03259A50" w14:textId="77777777" w:rsidR="00D52685" w:rsidRPr="002B2E80" w:rsidRDefault="00D52685" w:rsidP="00D52685">
            <w:pPr>
              <w:jc w:val="left"/>
              <w:rPr>
                <w:rFonts w:eastAsia="Times New Roman" w:cs="Arial"/>
                <w:color w:val="000000"/>
                <w:sz w:val="18"/>
                <w:szCs w:val="18"/>
                <w:lang w:eastAsia="fr-FR"/>
              </w:rPr>
            </w:pPr>
          </w:p>
        </w:tc>
      </w:tr>
      <w:tr w:rsidR="00D52685" w:rsidRPr="002B2E80" w14:paraId="3866CB4D" w14:textId="77777777" w:rsidTr="003925E0">
        <w:trPr>
          <w:gridAfter w:val="1"/>
          <w:wAfter w:w="79" w:type="pct"/>
          <w:cantSplit/>
          <w:trHeight w:val="300"/>
        </w:trPr>
        <w:tc>
          <w:tcPr>
            <w:tcW w:w="387" w:type="pct"/>
            <w:vMerge w:val="restart"/>
            <w:vAlign w:val="center"/>
            <w:hideMark/>
          </w:tcPr>
          <w:p w14:paraId="3E3D9C23"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lastRenderedPageBreak/>
              <w:t>6.1</w:t>
            </w:r>
          </w:p>
        </w:tc>
        <w:tc>
          <w:tcPr>
            <w:tcW w:w="778" w:type="pct"/>
            <w:vMerge w:val="restart"/>
            <w:vAlign w:val="center"/>
            <w:hideMark/>
          </w:tcPr>
          <w:p w14:paraId="5C9BB23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Condiciones particulares</w:t>
            </w:r>
          </w:p>
        </w:tc>
        <w:tc>
          <w:tcPr>
            <w:tcW w:w="1200" w:type="pct"/>
            <w:vMerge w:val="restart"/>
            <w:vAlign w:val="center"/>
            <w:hideMark/>
          </w:tcPr>
          <w:p w14:paraId="5C100CF1"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i/>
                <w:color w:val="000000"/>
                <w:sz w:val="18"/>
                <w:szCs w:val="18"/>
                <w:lang w:eastAsia="nl-NL"/>
              </w:rPr>
              <w:t xml:space="preserve">Por ejemplo, </w:t>
            </w:r>
            <w:r w:rsidRPr="002B2E80">
              <w:rPr>
                <w:rFonts w:eastAsia="Times New Roman" w:cs="Arial"/>
                <w:color w:val="000000"/>
                <w:sz w:val="18"/>
                <w:szCs w:val="18"/>
                <w:lang w:eastAsia="nl-NL"/>
              </w:rPr>
              <w:t xml:space="preserve">protocolo de PCR que describa el cebador, la enzima, las concentraciones de </w:t>
            </w:r>
            <w:proofErr w:type="spellStart"/>
            <w:r w:rsidRPr="002B2E80">
              <w:rPr>
                <w:rFonts w:eastAsia="Times New Roman" w:cs="Arial"/>
                <w:color w:val="000000"/>
                <w:sz w:val="18"/>
                <w:szCs w:val="18"/>
                <w:lang w:eastAsia="nl-NL"/>
              </w:rPr>
              <w:t>dNTP</w:t>
            </w:r>
            <w:proofErr w:type="spellEnd"/>
            <w:r w:rsidRPr="002B2E80">
              <w:rPr>
                <w:rFonts w:eastAsia="Times New Roman" w:cs="Arial"/>
                <w:color w:val="000000"/>
                <w:sz w:val="18"/>
                <w:szCs w:val="18"/>
                <w:lang w:eastAsia="nl-NL"/>
              </w:rPr>
              <w:t xml:space="preserve"> y el esquema del ciclo de PCR. </w:t>
            </w:r>
          </w:p>
        </w:tc>
        <w:tc>
          <w:tcPr>
            <w:tcW w:w="592" w:type="pct"/>
            <w:vMerge w:val="restart"/>
            <w:vAlign w:val="center"/>
            <w:hideMark/>
          </w:tcPr>
          <w:p w14:paraId="6ECD5F27"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NO</w:t>
            </w:r>
          </w:p>
        </w:tc>
        <w:tc>
          <w:tcPr>
            <w:tcW w:w="1964" w:type="pct"/>
            <w:vMerge w:val="restart"/>
            <w:vAlign w:val="center"/>
            <w:hideMark/>
          </w:tcPr>
          <w:p w14:paraId="57C840B2"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Depende del método utilizado. No figura en las directrices de ensayo. Se pueden proporcionar protocolos detallados a modo de ejemplo en el anexo o solicitarlos al instituto que ha desarrollado el marcador.</w:t>
            </w:r>
          </w:p>
        </w:tc>
      </w:tr>
      <w:tr w:rsidR="00D52685" w:rsidRPr="002B2E80" w14:paraId="5F0B8011" w14:textId="77777777" w:rsidTr="003925E0">
        <w:trPr>
          <w:cantSplit/>
          <w:trHeight w:val="1005"/>
        </w:trPr>
        <w:tc>
          <w:tcPr>
            <w:tcW w:w="387" w:type="pct"/>
            <w:vMerge/>
            <w:vAlign w:val="center"/>
            <w:hideMark/>
          </w:tcPr>
          <w:p w14:paraId="5A920C42"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2FED1E2A" w14:textId="77777777" w:rsidR="00D52685" w:rsidRPr="002B2E80" w:rsidRDefault="00D52685" w:rsidP="00D52685">
            <w:pPr>
              <w:jc w:val="left"/>
              <w:rPr>
                <w:rFonts w:eastAsia="Times New Roman" w:cs="Arial"/>
                <w:color w:val="000000"/>
                <w:sz w:val="18"/>
                <w:szCs w:val="18"/>
                <w:lang w:eastAsia="fr-FR"/>
              </w:rPr>
            </w:pPr>
          </w:p>
        </w:tc>
        <w:tc>
          <w:tcPr>
            <w:tcW w:w="1200" w:type="pct"/>
            <w:vMerge/>
            <w:vAlign w:val="center"/>
            <w:hideMark/>
          </w:tcPr>
          <w:p w14:paraId="36AAF119"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56F01CA1" w14:textId="77777777" w:rsidR="00D52685" w:rsidRPr="002B2E80" w:rsidRDefault="00D52685" w:rsidP="00D52685">
            <w:pPr>
              <w:jc w:val="left"/>
              <w:rPr>
                <w:rFonts w:eastAsia="Times New Roman" w:cs="Arial"/>
                <w:color w:val="000000"/>
                <w:sz w:val="18"/>
                <w:szCs w:val="18"/>
                <w:lang w:eastAsia="fr-FR"/>
              </w:rPr>
            </w:pPr>
          </w:p>
        </w:tc>
        <w:tc>
          <w:tcPr>
            <w:tcW w:w="1964" w:type="pct"/>
            <w:vMerge/>
            <w:vAlign w:val="center"/>
            <w:hideMark/>
          </w:tcPr>
          <w:p w14:paraId="54873071" w14:textId="77777777" w:rsidR="00D52685" w:rsidRPr="002B2E80" w:rsidRDefault="00D52685" w:rsidP="00D52685">
            <w:pPr>
              <w:jc w:val="left"/>
              <w:rPr>
                <w:rFonts w:eastAsia="Times New Roman" w:cs="Arial"/>
                <w:color w:val="000000"/>
                <w:sz w:val="18"/>
                <w:szCs w:val="18"/>
                <w:lang w:eastAsia="fr-FR"/>
              </w:rPr>
            </w:pPr>
          </w:p>
        </w:tc>
        <w:tc>
          <w:tcPr>
            <w:tcW w:w="79" w:type="pct"/>
            <w:noWrap/>
            <w:vAlign w:val="bottom"/>
            <w:hideMark/>
          </w:tcPr>
          <w:p w14:paraId="615A44BA" w14:textId="77777777" w:rsidR="00D52685" w:rsidRPr="002B2E80" w:rsidRDefault="00D52685" w:rsidP="00D52685">
            <w:pPr>
              <w:rPr>
                <w:rFonts w:eastAsia="Times New Roman" w:cs="Arial"/>
                <w:color w:val="000000"/>
                <w:lang w:eastAsia="fr-FR"/>
              </w:rPr>
            </w:pPr>
          </w:p>
        </w:tc>
      </w:tr>
      <w:tr w:rsidR="00D52685" w:rsidRPr="002B2E80" w14:paraId="34659FBE" w14:textId="77777777" w:rsidTr="003925E0">
        <w:trPr>
          <w:cantSplit/>
          <w:trHeight w:val="300"/>
        </w:trPr>
        <w:tc>
          <w:tcPr>
            <w:tcW w:w="387" w:type="pct"/>
            <w:vMerge w:val="restart"/>
            <w:vAlign w:val="center"/>
            <w:hideMark/>
          </w:tcPr>
          <w:p w14:paraId="573CE69D"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6.2</w:t>
            </w:r>
          </w:p>
        </w:tc>
        <w:tc>
          <w:tcPr>
            <w:tcW w:w="778" w:type="pct"/>
            <w:vMerge w:val="restart"/>
            <w:vAlign w:val="center"/>
            <w:hideMark/>
          </w:tcPr>
          <w:p w14:paraId="5667F817"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Hardware o infraestructura específicos</w:t>
            </w:r>
          </w:p>
        </w:tc>
        <w:tc>
          <w:tcPr>
            <w:tcW w:w="1200" w:type="pct"/>
            <w:vMerge w:val="restart"/>
            <w:vAlign w:val="center"/>
            <w:hideMark/>
          </w:tcPr>
          <w:p w14:paraId="6DA56923"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i/>
                <w:color w:val="000000"/>
                <w:sz w:val="18"/>
                <w:szCs w:val="18"/>
                <w:lang w:eastAsia="nl-NL"/>
              </w:rPr>
              <w:t xml:space="preserve">Por ejemplo, </w:t>
            </w:r>
            <w:r w:rsidRPr="002B2E80">
              <w:rPr>
                <w:rFonts w:eastAsia="Times New Roman" w:cs="Arial"/>
                <w:color w:val="000000"/>
                <w:sz w:val="18"/>
                <w:szCs w:val="18"/>
                <w:lang w:eastAsia="nl-NL"/>
              </w:rPr>
              <w:t xml:space="preserve">máquinas, kits comerciales, fabricantes de componentes, números de lote de productos químicos. </w:t>
            </w:r>
          </w:p>
        </w:tc>
        <w:tc>
          <w:tcPr>
            <w:tcW w:w="592" w:type="pct"/>
            <w:vMerge w:val="restart"/>
            <w:vAlign w:val="center"/>
            <w:hideMark/>
          </w:tcPr>
          <w:p w14:paraId="7DBF5B4C"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NO</w:t>
            </w:r>
          </w:p>
        </w:tc>
        <w:tc>
          <w:tcPr>
            <w:tcW w:w="1964" w:type="pct"/>
            <w:vMerge w:val="restart"/>
            <w:vAlign w:val="center"/>
            <w:hideMark/>
          </w:tcPr>
          <w:p w14:paraId="311E6EEB" w14:textId="77777777" w:rsidR="00D52685" w:rsidRPr="002B2E80" w:rsidRDefault="00D52685" w:rsidP="00D52685">
            <w:pPr>
              <w:keepNext/>
              <w:jc w:val="left"/>
              <w:rPr>
                <w:rFonts w:eastAsia="Times New Roman" w:cs="Arial"/>
                <w:color w:val="000000"/>
                <w:sz w:val="18"/>
                <w:szCs w:val="18"/>
                <w:lang w:eastAsia="fr-FR"/>
              </w:rPr>
            </w:pPr>
            <w:r w:rsidRPr="002B2E80">
              <w:rPr>
                <w:rFonts w:eastAsia="Times New Roman" w:cs="Arial"/>
                <w:color w:val="000000"/>
                <w:sz w:val="18"/>
                <w:szCs w:val="18"/>
                <w:lang w:eastAsia="nl-NL"/>
              </w:rPr>
              <w:t>Depende del método utilizado. No figura en las directrices de ensayo. Se pueden proporcionar protocolos detallados a modo de ejemplo en el anexo o solicitarlos al instituto que ha desarrollado el marcador.</w:t>
            </w:r>
          </w:p>
        </w:tc>
        <w:tc>
          <w:tcPr>
            <w:tcW w:w="79" w:type="pct"/>
            <w:vAlign w:val="center"/>
            <w:hideMark/>
          </w:tcPr>
          <w:p w14:paraId="7791EE08" w14:textId="77777777" w:rsidR="00D52685" w:rsidRPr="002B2E80" w:rsidRDefault="00D52685" w:rsidP="00D52685">
            <w:pPr>
              <w:keepNext/>
              <w:rPr>
                <w:rFonts w:ascii="Times New Roman" w:eastAsia="Times New Roman" w:hAnsi="Times New Roman"/>
                <w:lang w:eastAsia="fr-FR"/>
              </w:rPr>
            </w:pPr>
          </w:p>
        </w:tc>
      </w:tr>
      <w:tr w:rsidR="00D52685" w:rsidRPr="002B2E80" w14:paraId="5EF8C19F" w14:textId="77777777" w:rsidTr="003925E0">
        <w:trPr>
          <w:cantSplit/>
          <w:trHeight w:val="1005"/>
        </w:trPr>
        <w:tc>
          <w:tcPr>
            <w:tcW w:w="387" w:type="pct"/>
            <w:vMerge/>
            <w:vAlign w:val="center"/>
            <w:hideMark/>
          </w:tcPr>
          <w:p w14:paraId="39AE1929"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67080B44" w14:textId="77777777" w:rsidR="00D52685" w:rsidRPr="002B2E80" w:rsidRDefault="00D52685" w:rsidP="00D52685">
            <w:pPr>
              <w:jc w:val="left"/>
              <w:rPr>
                <w:rFonts w:eastAsia="Times New Roman" w:cs="Arial"/>
                <w:color w:val="000000"/>
                <w:sz w:val="18"/>
                <w:szCs w:val="18"/>
                <w:lang w:eastAsia="fr-FR"/>
              </w:rPr>
            </w:pPr>
          </w:p>
        </w:tc>
        <w:tc>
          <w:tcPr>
            <w:tcW w:w="1200" w:type="pct"/>
            <w:vMerge/>
            <w:vAlign w:val="center"/>
            <w:hideMark/>
          </w:tcPr>
          <w:p w14:paraId="3AA51395"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69ED19D6" w14:textId="77777777" w:rsidR="00D52685" w:rsidRPr="002B2E80" w:rsidRDefault="00D52685" w:rsidP="00D52685">
            <w:pPr>
              <w:jc w:val="left"/>
              <w:rPr>
                <w:rFonts w:eastAsia="Times New Roman" w:cs="Arial"/>
                <w:color w:val="000000"/>
                <w:sz w:val="18"/>
                <w:szCs w:val="18"/>
                <w:lang w:eastAsia="fr-FR"/>
              </w:rPr>
            </w:pPr>
          </w:p>
        </w:tc>
        <w:tc>
          <w:tcPr>
            <w:tcW w:w="1964" w:type="pct"/>
            <w:vMerge/>
            <w:vAlign w:val="center"/>
            <w:hideMark/>
          </w:tcPr>
          <w:p w14:paraId="4805175C" w14:textId="77777777" w:rsidR="00D52685" w:rsidRPr="002B2E80" w:rsidRDefault="00D52685" w:rsidP="00D52685">
            <w:pPr>
              <w:jc w:val="left"/>
              <w:rPr>
                <w:rFonts w:eastAsia="Times New Roman" w:cs="Arial"/>
                <w:color w:val="000000"/>
                <w:sz w:val="18"/>
                <w:szCs w:val="18"/>
                <w:lang w:eastAsia="fr-FR"/>
              </w:rPr>
            </w:pPr>
          </w:p>
        </w:tc>
        <w:tc>
          <w:tcPr>
            <w:tcW w:w="79" w:type="pct"/>
            <w:noWrap/>
            <w:vAlign w:val="bottom"/>
            <w:hideMark/>
          </w:tcPr>
          <w:p w14:paraId="065DFE7D" w14:textId="77777777" w:rsidR="00D52685" w:rsidRPr="002B2E80" w:rsidRDefault="00D52685" w:rsidP="00D52685">
            <w:pPr>
              <w:rPr>
                <w:rFonts w:eastAsia="Times New Roman" w:cs="Arial"/>
                <w:color w:val="000000"/>
                <w:lang w:eastAsia="fr-FR"/>
              </w:rPr>
            </w:pPr>
          </w:p>
        </w:tc>
      </w:tr>
      <w:tr w:rsidR="00D52685" w:rsidRPr="002B2E80" w14:paraId="0911E5F5" w14:textId="77777777" w:rsidTr="003925E0">
        <w:trPr>
          <w:cantSplit/>
          <w:trHeight w:val="300"/>
        </w:trPr>
        <w:tc>
          <w:tcPr>
            <w:tcW w:w="387" w:type="pct"/>
            <w:vMerge w:val="restart"/>
            <w:vAlign w:val="center"/>
            <w:hideMark/>
          </w:tcPr>
          <w:p w14:paraId="0828E428"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7</w:t>
            </w:r>
          </w:p>
        </w:tc>
        <w:tc>
          <w:tcPr>
            <w:tcW w:w="778" w:type="pct"/>
            <w:vMerge w:val="restart"/>
            <w:vAlign w:val="center"/>
            <w:hideMark/>
          </w:tcPr>
          <w:p w14:paraId="23C57B85"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Observaciones</w:t>
            </w:r>
          </w:p>
        </w:tc>
        <w:tc>
          <w:tcPr>
            <w:tcW w:w="1200" w:type="pct"/>
            <w:vMerge w:val="restart"/>
            <w:vAlign w:val="center"/>
            <w:hideMark/>
          </w:tcPr>
          <w:p w14:paraId="6A205E8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i/>
                <w:color w:val="000000"/>
                <w:sz w:val="18"/>
                <w:szCs w:val="18"/>
                <w:lang w:eastAsia="nl-NL"/>
              </w:rPr>
              <w:t xml:space="preserve">Por ejemplo, </w:t>
            </w:r>
            <w:r w:rsidRPr="002B2E80">
              <w:rPr>
                <w:rFonts w:eastAsia="Times New Roman" w:cs="Arial"/>
                <w:color w:val="000000"/>
                <w:sz w:val="18"/>
                <w:szCs w:val="18"/>
                <w:lang w:eastAsia="nl-NL"/>
              </w:rPr>
              <w:t xml:space="preserve">bandas en gel de agarosa (PCR convencional), valores </w:t>
            </w:r>
            <w:proofErr w:type="spellStart"/>
            <w:r w:rsidRPr="002B2E80">
              <w:rPr>
                <w:rFonts w:eastAsia="Times New Roman" w:cs="Arial"/>
                <w:color w:val="000000"/>
                <w:sz w:val="18"/>
                <w:szCs w:val="18"/>
                <w:lang w:eastAsia="nl-NL"/>
              </w:rPr>
              <w:t>Ct</w:t>
            </w:r>
            <w:proofErr w:type="spellEnd"/>
            <w:r w:rsidRPr="002B2E80">
              <w:rPr>
                <w:rFonts w:eastAsia="Times New Roman" w:cs="Arial"/>
                <w:color w:val="000000"/>
                <w:sz w:val="18"/>
                <w:szCs w:val="18"/>
                <w:lang w:eastAsia="nl-NL"/>
              </w:rPr>
              <w:t xml:space="preserve"> (</w:t>
            </w:r>
            <w:proofErr w:type="spellStart"/>
            <w:r w:rsidRPr="002B2E80">
              <w:rPr>
                <w:rFonts w:eastAsia="Times New Roman" w:cs="Arial"/>
                <w:color w:val="000000"/>
                <w:sz w:val="18"/>
                <w:szCs w:val="18"/>
                <w:lang w:eastAsia="nl-NL"/>
              </w:rPr>
              <w:t>qPCR</w:t>
            </w:r>
            <w:proofErr w:type="spellEnd"/>
            <w:r w:rsidRPr="002B2E80">
              <w:rPr>
                <w:rFonts w:eastAsia="Times New Roman" w:cs="Arial"/>
                <w:color w:val="000000"/>
                <w:sz w:val="18"/>
                <w:szCs w:val="18"/>
                <w:lang w:eastAsia="nl-NL"/>
              </w:rPr>
              <w:t xml:space="preserve">), identificación de variantes basada en lecturas de secuenciación. </w:t>
            </w:r>
          </w:p>
        </w:tc>
        <w:tc>
          <w:tcPr>
            <w:tcW w:w="592" w:type="pct"/>
            <w:vMerge w:val="restart"/>
            <w:vAlign w:val="center"/>
            <w:hideMark/>
          </w:tcPr>
          <w:p w14:paraId="76D655C0"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NO</w:t>
            </w:r>
          </w:p>
        </w:tc>
        <w:tc>
          <w:tcPr>
            <w:tcW w:w="1964" w:type="pct"/>
            <w:vMerge w:val="restart"/>
            <w:vAlign w:val="center"/>
            <w:hideMark/>
          </w:tcPr>
          <w:p w14:paraId="17A48D41"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nl-NL"/>
              </w:rPr>
              <w:t>Depende del método utilizado. No figura en las directrices de ensayo. Se pueden proporcionar protocolos detallados a modo de ejemplo en el anexo o solicitarlos al instituto que ha desarrollado el marcador.</w:t>
            </w:r>
          </w:p>
        </w:tc>
        <w:tc>
          <w:tcPr>
            <w:tcW w:w="79" w:type="pct"/>
            <w:vAlign w:val="center"/>
            <w:hideMark/>
          </w:tcPr>
          <w:p w14:paraId="1ECBBCAC" w14:textId="77777777" w:rsidR="00D52685" w:rsidRPr="002B2E80" w:rsidRDefault="00D52685" w:rsidP="00D52685">
            <w:pPr>
              <w:rPr>
                <w:rFonts w:ascii="Times New Roman" w:eastAsia="Times New Roman" w:hAnsi="Times New Roman"/>
                <w:lang w:eastAsia="fr-FR"/>
              </w:rPr>
            </w:pPr>
          </w:p>
        </w:tc>
      </w:tr>
      <w:tr w:rsidR="00D52685" w:rsidRPr="002B2E80" w14:paraId="28A1C2C1" w14:textId="77777777" w:rsidTr="003925E0">
        <w:trPr>
          <w:cantSplit/>
          <w:trHeight w:val="945"/>
        </w:trPr>
        <w:tc>
          <w:tcPr>
            <w:tcW w:w="387" w:type="pct"/>
            <w:vMerge/>
            <w:vAlign w:val="center"/>
            <w:hideMark/>
          </w:tcPr>
          <w:p w14:paraId="0EAFA8D2" w14:textId="77777777" w:rsidR="00D52685" w:rsidRPr="002B2E80" w:rsidRDefault="00D52685" w:rsidP="00D52685">
            <w:pPr>
              <w:jc w:val="left"/>
              <w:rPr>
                <w:rFonts w:eastAsia="Times New Roman" w:cs="Arial"/>
                <w:color w:val="000000"/>
                <w:sz w:val="18"/>
                <w:szCs w:val="18"/>
                <w:lang w:eastAsia="fr-FR"/>
              </w:rPr>
            </w:pPr>
          </w:p>
        </w:tc>
        <w:tc>
          <w:tcPr>
            <w:tcW w:w="778" w:type="pct"/>
            <w:vMerge/>
            <w:vAlign w:val="center"/>
            <w:hideMark/>
          </w:tcPr>
          <w:p w14:paraId="03EC3857" w14:textId="77777777" w:rsidR="00D52685" w:rsidRPr="002B2E80" w:rsidRDefault="00D52685" w:rsidP="00D52685">
            <w:pPr>
              <w:jc w:val="left"/>
              <w:rPr>
                <w:rFonts w:eastAsia="Times New Roman" w:cs="Arial"/>
                <w:color w:val="000000"/>
                <w:sz w:val="18"/>
                <w:szCs w:val="18"/>
                <w:lang w:eastAsia="fr-FR"/>
              </w:rPr>
            </w:pPr>
          </w:p>
        </w:tc>
        <w:tc>
          <w:tcPr>
            <w:tcW w:w="1200" w:type="pct"/>
            <w:vMerge/>
            <w:vAlign w:val="center"/>
            <w:hideMark/>
          </w:tcPr>
          <w:p w14:paraId="183A0FFD" w14:textId="77777777" w:rsidR="00D52685" w:rsidRPr="002B2E80" w:rsidRDefault="00D52685" w:rsidP="00D52685">
            <w:pPr>
              <w:jc w:val="left"/>
              <w:rPr>
                <w:rFonts w:eastAsia="Times New Roman" w:cs="Arial"/>
                <w:color w:val="000000"/>
                <w:sz w:val="18"/>
                <w:szCs w:val="18"/>
                <w:lang w:eastAsia="fr-FR"/>
              </w:rPr>
            </w:pPr>
          </w:p>
        </w:tc>
        <w:tc>
          <w:tcPr>
            <w:tcW w:w="592" w:type="pct"/>
            <w:vMerge/>
            <w:vAlign w:val="center"/>
            <w:hideMark/>
          </w:tcPr>
          <w:p w14:paraId="06842119" w14:textId="77777777" w:rsidR="00D52685" w:rsidRPr="002B2E80" w:rsidRDefault="00D52685" w:rsidP="00D52685">
            <w:pPr>
              <w:jc w:val="left"/>
              <w:rPr>
                <w:rFonts w:eastAsia="Times New Roman" w:cs="Arial"/>
                <w:color w:val="000000"/>
                <w:sz w:val="18"/>
                <w:szCs w:val="18"/>
                <w:lang w:eastAsia="fr-FR"/>
              </w:rPr>
            </w:pPr>
          </w:p>
        </w:tc>
        <w:tc>
          <w:tcPr>
            <w:tcW w:w="1964" w:type="pct"/>
            <w:vMerge/>
            <w:vAlign w:val="center"/>
            <w:hideMark/>
          </w:tcPr>
          <w:p w14:paraId="15F67ACD" w14:textId="77777777" w:rsidR="00D52685" w:rsidRPr="002B2E80" w:rsidRDefault="00D52685" w:rsidP="00D52685">
            <w:pPr>
              <w:jc w:val="left"/>
              <w:rPr>
                <w:rFonts w:eastAsia="Times New Roman" w:cs="Arial"/>
                <w:color w:val="000000"/>
                <w:sz w:val="18"/>
                <w:szCs w:val="18"/>
                <w:lang w:eastAsia="fr-FR"/>
              </w:rPr>
            </w:pPr>
          </w:p>
        </w:tc>
        <w:tc>
          <w:tcPr>
            <w:tcW w:w="79" w:type="pct"/>
            <w:noWrap/>
            <w:vAlign w:val="bottom"/>
            <w:hideMark/>
          </w:tcPr>
          <w:p w14:paraId="2BD1BF39" w14:textId="77777777" w:rsidR="00D52685" w:rsidRPr="002B2E80" w:rsidRDefault="00D52685" w:rsidP="00D52685">
            <w:pPr>
              <w:rPr>
                <w:rFonts w:eastAsia="Times New Roman" w:cs="Arial"/>
                <w:color w:val="000000"/>
                <w:lang w:eastAsia="fr-FR"/>
              </w:rPr>
            </w:pPr>
          </w:p>
        </w:tc>
      </w:tr>
      <w:tr w:rsidR="00D52685" w:rsidRPr="002B2E80" w14:paraId="09DE84D1" w14:textId="77777777" w:rsidTr="003925E0">
        <w:trPr>
          <w:cantSplit/>
          <w:trHeight w:val="300"/>
        </w:trPr>
        <w:tc>
          <w:tcPr>
            <w:tcW w:w="387" w:type="pct"/>
            <w:vAlign w:val="center"/>
          </w:tcPr>
          <w:p w14:paraId="60B91FCE"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themeColor="text1"/>
                <w:sz w:val="18"/>
                <w:szCs w:val="18"/>
                <w:lang w:eastAsia="nl-NL"/>
              </w:rPr>
              <w:t>7.1</w:t>
            </w:r>
          </w:p>
        </w:tc>
        <w:tc>
          <w:tcPr>
            <w:tcW w:w="778" w:type="pct"/>
            <w:vAlign w:val="center"/>
          </w:tcPr>
          <w:p w14:paraId="39061CCB"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themeColor="text1"/>
                <w:sz w:val="18"/>
                <w:szCs w:val="18"/>
                <w:lang w:eastAsia="nl-NL"/>
              </w:rPr>
              <w:t>Validez de los resultados</w:t>
            </w:r>
          </w:p>
        </w:tc>
        <w:tc>
          <w:tcPr>
            <w:tcW w:w="1200" w:type="pct"/>
            <w:vAlign w:val="center"/>
          </w:tcPr>
          <w:p w14:paraId="3A8B745C"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i/>
                <w:color w:val="000000" w:themeColor="text1"/>
                <w:sz w:val="18"/>
                <w:szCs w:val="18"/>
                <w:lang w:eastAsia="fr-FR"/>
              </w:rPr>
              <w:t xml:space="preserve">Por ejemplo, </w:t>
            </w:r>
            <w:r w:rsidRPr="002B2E80">
              <w:rPr>
                <w:rFonts w:eastAsia="Times New Roman" w:cs="Arial"/>
                <w:color w:val="000000" w:themeColor="text1"/>
                <w:sz w:val="18"/>
                <w:szCs w:val="18"/>
                <w:lang w:eastAsia="fr-FR"/>
              </w:rPr>
              <w:t xml:space="preserve">para </w:t>
            </w:r>
            <w:proofErr w:type="spellStart"/>
            <w:r w:rsidRPr="002B2E80">
              <w:rPr>
                <w:rFonts w:eastAsia="Times New Roman" w:cs="Arial"/>
                <w:color w:val="000000" w:themeColor="text1"/>
                <w:sz w:val="18"/>
                <w:szCs w:val="18"/>
                <w:lang w:eastAsia="fr-FR"/>
              </w:rPr>
              <w:t>qPCR</w:t>
            </w:r>
            <w:proofErr w:type="spellEnd"/>
            <w:r w:rsidRPr="002B2E80">
              <w:rPr>
                <w:rFonts w:eastAsia="Times New Roman" w:cs="Arial"/>
                <w:color w:val="000000" w:themeColor="text1"/>
                <w:sz w:val="18"/>
                <w:szCs w:val="18"/>
                <w:lang w:eastAsia="fr-FR"/>
              </w:rPr>
              <w:t>, compruebe si las curvas de amplificación son exponenciales típicas. Compruebe si los controles son los esperados (controles negativos = sin señal; controles positivos = muestran las señales esperadas para todos los fluorocromos).</w:t>
            </w:r>
          </w:p>
        </w:tc>
        <w:tc>
          <w:tcPr>
            <w:tcW w:w="592" w:type="pct"/>
            <w:vAlign w:val="center"/>
          </w:tcPr>
          <w:p w14:paraId="12FBB462"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themeColor="text1"/>
                <w:sz w:val="18"/>
                <w:szCs w:val="18"/>
                <w:lang w:eastAsia="nl-NL"/>
              </w:rPr>
              <w:t>SÍ</w:t>
            </w:r>
          </w:p>
        </w:tc>
        <w:tc>
          <w:tcPr>
            <w:tcW w:w="1964" w:type="pct"/>
            <w:vAlign w:val="center"/>
          </w:tcPr>
          <w:p w14:paraId="5D43C79A"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themeColor="text1"/>
                <w:sz w:val="18"/>
                <w:szCs w:val="18"/>
                <w:lang w:eastAsia="nl-NL"/>
              </w:rPr>
              <w:t xml:space="preserve">Depende del método utilizado. </w:t>
            </w:r>
          </w:p>
        </w:tc>
        <w:tc>
          <w:tcPr>
            <w:tcW w:w="79" w:type="pct"/>
            <w:vAlign w:val="center"/>
          </w:tcPr>
          <w:p w14:paraId="0C4D3B09" w14:textId="77777777" w:rsidR="00D52685" w:rsidRPr="002B2E80" w:rsidRDefault="00D52685" w:rsidP="00D52685">
            <w:pPr>
              <w:rPr>
                <w:rFonts w:ascii="Times New Roman" w:eastAsia="Times New Roman" w:hAnsi="Times New Roman"/>
                <w:lang w:eastAsia="fr-FR"/>
              </w:rPr>
            </w:pPr>
          </w:p>
        </w:tc>
      </w:tr>
      <w:tr w:rsidR="00D52685" w:rsidRPr="002B2E80" w14:paraId="3392CE77" w14:textId="77777777" w:rsidTr="003925E0">
        <w:trPr>
          <w:cantSplit/>
          <w:trHeight w:val="300"/>
        </w:trPr>
        <w:tc>
          <w:tcPr>
            <w:tcW w:w="387" w:type="pct"/>
            <w:vAlign w:val="center"/>
          </w:tcPr>
          <w:p w14:paraId="3899F069" w14:textId="77777777" w:rsidR="00D52685" w:rsidRPr="002B2E80" w:rsidRDefault="00D52685" w:rsidP="00D52685">
            <w:pPr>
              <w:jc w:val="left"/>
              <w:rPr>
                <w:rFonts w:eastAsia="Times New Roman" w:cs="Arial"/>
                <w:color w:val="000000"/>
                <w:sz w:val="18"/>
                <w:szCs w:val="18"/>
                <w:highlight w:val="lightGray"/>
                <w:lang w:eastAsia="nl-NL"/>
              </w:rPr>
            </w:pPr>
            <w:r w:rsidRPr="002B2E80">
              <w:rPr>
                <w:rFonts w:eastAsia="Times New Roman" w:cs="Arial"/>
                <w:color w:val="000000"/>
                <w:sz w:val="18"/>
                <w:szCs w:val="18"/>
                <w:lang w:eastAsia="nl-NL"/>
              </w:rPr>
              <w:t>8</w:t>
            </w:r>
          </w:p>
        </w:tc>
        <w:tc>
          <w:tcPr>
            <w:tcW w:w="778" w:type="pct"/>
            <w:vAlign w:val="center"/>
          </w:tcPr>
          <w:p w14:paraId="04A8C59D" w14:textId="77777777" w:rsidR="00D52685" w:rsidRPr="002B2E80" w:rsidRDefault="00D52685" w:rsidP="00D52685">
            <w:pPr>
              <w:jc w:val="left"/>
              <w:rPr>
                <w:rFonts w:eastAsia="Times New Roman" w:cs="Arial"/>
                <w:color w:val="000000"/>
                <w:sz w:val="18"/>
                <w:szCs w:val="18"/>
                <w:highlight w:val="lightGray"/>
                <w:lang w:eastAsia="nl-NL"/>
              </w:rPr>
            </w:pPr>
            <w:r w:rsidRPr="002B2E80">
              <w:rPr>
                <w:rFonts w:eastAsia="Times New Roman" w:cs="Arial"/>
                <w:color w:val="000000"/>
                <w:sz w:val="18"/>
                <w:szCs w:val="18"/>
                <w:lang w:eastAsia="nl-NL"/>
              </w:rPr>
              <w:t>Interpretación de los resultados de la prueba</w:t>
            </w:r>
          </w:p>
        </w:tc>
        <w:tc>
          <w:tcPr>
            <w:tcW w:w="1200" w:type="pct"/>
            <w:vAlign w:val="center"/>
          </w:tcPr>
          <w:p w14:paraId="59B1C6DD" w14:textId="77777777" w:rsidR="00D52685" w:rsidRPr="002B2E80" w:rsidRDefault="00D52685" w:rsidP="00D52685">
            <w:pPr>
              <w:jc w:val="left"/>
              <w:rPr>
                <w:rFonts w:eastAsia="Times New Roman" w:cs="Arial"/>
                <w:color w:val="000000"/>
                <w:sz w:val="18"/>
                <w:szCs w:val="18"/>
                <w:highlight w:val="lightGray"/>
                <w:lang w:eastAsia="fr-FR"/>
              </w:rPr>
            </w:pPr>
            <w:r w:rsidRPr="002B2E80">
              <w:rPr>
                <w:rFonts w:eastAsia="Times New Roman" w:cs="Arial"/>
                <w:i/>
                <w:iCs/>
                <w:color w:val="000000"/>
                <w:sz w:val="18"/>
                <w:szCs w:val="18"/>
                <w:lang w:eastAsia="fr-FR"/>
              </w:rPr>
              <w:t xml:space="preserve">Véase TG/44/11/rev3 – Ad 51: </w:t>
            </w:r>
            <w:proofErr w:type="spellStart"/>
            <w:r w:rsidRPr="002B2E80">
              <w:rPr>
                <w:rFonts w:eastAsia="Times New Roman" w:cs="Arial"/>
                <w:i/>
                <w:iCs/>
                <w:color w:val="000000"/>
                <w:sz w:val="18"/>
                <w:szCs w:val="18"/>
                <w:lang w:eastAsia="fr-FR"/>
              </w:rPr>
              <w:t>ii</w:t>
            </w:r>
            <w:proofErr w:type="spellEnd"/>
            <w:r w:rsidRPr="002B2E80">
              <w:rPr>
                <w:rFonts w:eastAsia="Times New Roman" w:cs="Arial"/>
                <w:i/>
                <w:iCs/>
                <w:color w:val="000000"/>
                <w:sz w:val="18"/>
                <w:szCs w:val="18"/>
                <w:lang w:eastAsia="fr-FR"/>
              </w:rPr>
              <w:t xml:space="preserve"> Prueba de marcadores de ADN añadir 8</w:t>
            </w:r>
          </w:p>
        </w:tc>
        <w:tc>
          <w:tcPr>
            <w:tcW w:w="592" w:type="pct"/>
            <w:vAlign w:val="center"/>
          </w:tcPr>
          <w:p w14:paraId="1426FA48" w14:textId="77777777" w:rsidR="00D52685" w:rsidRPr="002B2E80" w:rsidRDefault="00D52685" w:rsidP="00D52685">
            <w:pPr>
              <w:jc w:val="left"/>
              <w:rPr>
                <w:rFonts w:eastAsia="Times New Roman" w:cs="Arial"/>
                <w:color w:val="000000"/>
                <w:sz w:val="18"/>
                <w:szCs w:val="18"/>
                <w:highlight w:val="lightGray"/>
                <w:lang w:eastAsia="nl-NL"/>
              </w:rPr>
            </w:pPr>
            <w:r w:rsidRPr="002B2E80">
              <w:rPr>
                <w:rFonts w:eastAsia="Times New Roman" w:cs="Arial"/>
                <w:color w:val="000000"/>
                <w:sz w:val="18"/>
                <w:szCs w:val="18"/>
                <w:lang w:eastAsia="nl-NL"/>
              </w:rPr>
              <w:t>SÍ</w:t>
            </w:r>
          </w:p>
        </w:tc>
        <w:tc>
          <w:tcPr>
            <w:tcW w:w="1964" w:type="pct"/>
            <w:vAlign w:val="center"/>
          </w:tcPr>
          <w:p w14:paraId="365C6882"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nl-NL"/>
              </w:rPr>
              <w:t>Relación entre alelos y expresiones (con sus notas)</w:t>
            </w:r>
          </w:p>
          <w:p w14:paraId="12222097" w14:textId="77777777" w:rsidR="00D52685" w:rsidRPr="002B2E80" w:rsidRDefault="00D52685" w:rsidP="00D52685">
            <w:pPr>
              <w:jc w:val="left"/>
              <w:rPr>
                <w:rFonts w:eastAsia="Times New Roman" w:cs="Arial"/>
                <w:color w:val="000000"/>
                <w:sz w:val="18"/>
                <w:szCs w:val="18"/>
                <w:lang w:eastAsia="nl-NL"/>
              </w:rPr>
            </w:pPr>
          </w:p>
          <w:p w14:paraId="424900C5"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nl-NL"/>
              </w:rPr>
              <w:t xml:space="preserve">En caso de que el resultado de la prueba de marcadores de ADN no confirme la declaración del cuestionario técnico, se deberá realizar un ensayo de campo o un bioensayo </w:t>
            </w:r>
            <w:r w:rsidRPr="002B2E80">
              <w:rPr>
                <w:rFonts w:eastAsia="Times New Roman" w:cs="Arial"/>
                <w:strike/>
                <w:color w:val="000000"/>
                <w:sz w:val="18"/>
                <w:szCs w:val="18"/>
                <w:highlight w:val="lightGray"/>
                <w:lang w:eastAsia="nl-NL"/>
              </w:rPr>
              <w:t>para evaluar la veracidad de la declaración del cuestionario técnico</w:t>
            </w:r>
            <w:r w:rsidRPr="002B2E80">
              <w:rPr>
                <w:rFonts w:eastAsia="Times New Roman" w:cs="Arial"/>
                <w:color w:val="000000"/>
                <w:sz w:val="18"/>
                <w:szCs w:val="18"/>
                <w:highlight w:val="lightGray"/>
                <w:lang w:eastAsia="nl-NL"/>
              </w:rPr>
              <w:t>.</w:t>
            </w:r>
          </w:p>
        </w:tc>
        <w:tc>
          <w:tcPr>
            <w:tcW w:w="79" w:type="pct"/>
            <w:vAlign w:val="center"/>
          </w:tcPr>
          <w:p w14:paraId="05AF5D16" w14:textId="77777777" w:rsidR="00D52685" w:rsidRPr="002B2E80" w:rsidRDefault="00D52685" w:rsidP="00D52685">
            <w:pPr>
              <w:rPr>
                <w:rFonts w:ascii="Times New Roman" w:eastAsia="Times New Roman" w:hAnsi="Times New Roman"/>
                <w:lang w:eastAsia="fr-FR"/>
              </w:rPr>
            </w:pPr>
          </w:p>
        </w:tc>
      </w:tr>
      <w:tr w:rsidR="00D52685" w:rsidRPr="002B2E80" w14:paraId="49BDB119" w14:textId="77777777" w:rsidTr="003925E0">
        <w:trPr>
          <w:cantSplit/>
          <w:trHeight w:val="300"/>
        </w:trPr>
        <w:tc>
          <w:tcPr>
            <w:tcW w:w="387" w:type="pct"/>
            <w:vAlign w:val="center"/>
          </w:tcPr>
          <w:p w14:paraId="22076AEC"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fr-FR"/>
              </w:rPr>
              <w:t>9</w:t>
            </w:r>
          </w:p>
        </w:tc>
        <w:tc>
          <w:tcPr>
            <w:tcW w:w="778" w:type="pct"/>
            <w:vAlign w:val="center"/>
          </w:tcPr>
          <w:p w14:paraId="119DA259"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fr-FR"/>
              </w:rPr>
              <w:t xml:space="preserve">Validación del método </w:t>
            </w:r>
          </w:p>
        </w:tc>
        <w:tc>
          <w:tcPr>
            <w:tcW w:w="1200" w:type="pct"/>
            <w:vAlign w:val="center"/>
          </w:tcPr>
          <w:p w14:paraId="6769F62A"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sz w:val="18"/>
                <w:szCs w:val="18"/>
                <w:lang w:eastAsia="fr-FR"/>
              </w:rPr>
              <w:t xml:space="preserve">Este protocolo fue validado mediante una prueba </w:t>
            </w:r>
            <w:proofErr w:type="spellStart"/>
            <w:r w:rsidRPr="002B2E80">
              <w:rPr>
                <w:rFonts w:eastAsia="Times New Roman" w:cs="Arial"/>
                <w:color w:val="000000"/>
                <w:sz w:val="18"/>
                <w:szCs w:val="18"/>
                <w:lang w:eastAsia="fr-FR"/>
              </w:rPr>
              <w:t>interlaboratorio</w:t>
            </w:r>
            <w:proofErr w:type="spellEnd"/>
            <w:r w:rsidRPr="002B2E80">
              <w:rPr>
                <w:rFonts w:eastAsia="Times New Roman" w:cs="Arial"/>
                <w:color w:val="000000"/>
                <w:sz w:val="18"/>
                <w:szCs w:val="18"/>
                <w:lang w:eastAsia="fr-FR"/>
              </w:rPr>
              <w:t xml:space="preserve"> con diferentes laboratorios. </w:t>
            </w:r>
          </w:p>
        </w:tc>
        <w:tc>
          <w:tcPr>
            <w:tcW w:w="592" w:type="pct"/>
            <w:vAlign w:val="center"/>
          </w:tcPr>
          <w:p w14:paraId="67158E2F" w14:textId="5380C1AA"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nl-NL"/>
              </w:rPr>
              <w:t>SÍ</w:t>
            </w:r>
          </w:p>
        </w:tc>
        <w:tc>
          <w:tcPr>
            <w:tcW w:w="1964" w:type="pct"/>
            <w:vAlign w:val="center"/>
          </w:tcPr>
          <w:p w14:paraId="40FC949D" w14:textId="77777777" w:rsidR="00D52685" w:rsidRPr="002B2E80" w:rsidRDefault="00D52685" w:rsidP="00D52685">
            <w:pPr>
              <w:jc w:val="left"/>
              <w:rPr>
                <w:rFonts w:eastAsia="Times New Roman" w:cs="Arial"/>
                <w:color w:val="000000"/>
                <w:sz w:val="18"/>
                <w:szCs w:val="18"/>
                <w:lang w:eastAsia="nl-NL"/>
              </w:rPr>
            </w:pPr>
            <w:r w:rsidRPr="002B2E80">
              <w:rPr>
                <w:rFonts w:eastAsia="Times New Roman" w:cs="Arial"/>
                <w:color w:val="000000"/>
                <w:sz w:val="18"/>
                <w:szCs w:val="18"/>
                <w:lang w:eastAsia="fr-FR"/>
              </w:rPr>
              <w:t>(</w:t>
            </w:r>
            <w:r w:rsidRPr="002B2E80">
              <w:rPr>
                <w:rFonts w:eastAsia="Times New Roman" w:cs="Arial"/>
                <w:i/>
                <w:color w:val="000000"/>
                <w:sz w:val="18"/>
                <w:szCs w:val="18"/>
                <w:lang w:eastAsia="fr-FR"/>
              </w:rPr>
              <w:t xml:space="preserve">por ejemplo, </w:t>
            </w:r>
            <w:r w:rsidRPr="002B2E80">
              <w:rPr>
                <w:rFonts w:eastAsia="Times New Roman" w:cs="Arial"/>
                <w:color w:val="000000"/>
                <w:sz w:val="18"/>
                <w:szCs w:val="18"/>
                <w:lang w:eastAsia="fr-FR"/>
              </w:rPr>
              <w:t xml:space="preserve">prueba comparativa entre laboratorios INVITE </w:t>
            </w:r>
            <w:proofErr w:type="gramStart"/>
            <w:r w:rsidRPr="002B2E80">
              <w:rPr>
                <w:rFonts w:eastAsia="Times New Roman" w:cs="Arial"/>
                <w:color w:val="000000"/>
                <w:sz w:val="18"/>
                <w:szCs w:val="18"/>
                <w:lang w:eastAsia="fr-FR"/>
              </w:rPr>
              <w:t xml:space="preserve">2024 </w:t>
            </w:r>
            <w:r w:rsidRPr="002B2E80">
              <w:rPr>
                <w:rFonts w:ascii="Segoe UI" w:eastAsia="Times New Roman" w:hAnsi="Segoe UI" w:cs="Arial"/>
                <w:color w:val="333333"/>
                <w:sz w:val="18"/>
                <w:szCs w:val="18"/>
                <w:shd w:val="clear" w:color="auto" w:fill="FFFFFF"/>
              </w:rPr>
              <w:t xml:space="preserve"> 817970</w:t>
            </w:r>
            <w:proofErr w:type="gramEnd"/>
            <w:r w:rsidRPr="002B2E80">
              <w:rPr>
                <w:rFonts w:ascii="Segoe UI" w:eastAsia="Times New Roman" w:hAnsi="Segoe UI" w:cs="Arial"/>
                <w:color w:val="333333"/>
                <w:sz w:val="18"/>
                <w:szCs w:val="18"/>
                <w:shd w:val="clear" w:color="auto" w:fill="FFFFFF"/>
              </w:rPr>
              <w:t xml:space="preserve"> </w:t>
            </w:r>
            <w:r w:rsidRPr="002B2E80">
              <w:rPr>
                <w:rFonts w:ascii="Segoe UI" w:eastAsia="Times New Roman" w:hAnsi="Segoe UI" w:cs="Arial"/>
                <w:sz w:val="18"/>
                <w:szCs w:val="18"/>
              </w:rPr>
              <w:t>DOI</w:t>
            </w:r>
            <w:hyperlink r:id="rId25" w:history="1">
              <w:r w:rsidRPr="002B2E80">
                <w:rPr>
                  <w:rFonts w:ascii="Segoe UI" w:eastAsia="Times New Roman" w:hAnsi="Segoe UI" w:cs="Arial"/>
                  <w:color w:val="0000FF"/>
                  <w:sz w:val="18"/>
                  <w:szCs w:val="18"/>
                  <w:u w:val="single"/>
                </w:rPr>
                <w:t xml:space="preserve"> 10.3030/817970</w:t>
              </w:r>
            </w:hyperlink>
            <w:r w:rsidRPr="002B2E80">
              <w:rPr>
                <w:rFonts w:eastAsia="Times New Roman" w:cs="Arial"/>
                <w:sz w:val="18"/>
                <w:szCs w:val="18"/>
              </w:rPr>
              <w:t>)</w:t>
            </w:r>
          </w:p>
        </w:tc>
        <w:tc>
          <w:tcPr>
            <w:tcW w:w="79" w:type="pct"/>
            <w:vAlign w:val="center"/>
          </w:tcPr>
          <w:p w14:paraId="34DE2852" w14:textId="77777777" w:rsidR="00D52685" w:rsidRPr="002B2E80" w:rsidRDefault="00D52685" w:rsidP="00D52685">
            <w:pPr>
              <w:rPr>
                <w:rFonts w:ascii="Times New Roman" w:eastAsia="Times New Roman" w:hAnsi="Times New Roman"/>
                <w:lang w:eastAsia="fr-FR"/>
              </w:rPr>
            </w:pPr>
          </w:p>
        </w:tc>
      </w:tr>
      <w:tr w:rsidR="00D52685" w:rsidRPr="002B2E80" w14:paraId="6F6E3FFF" w14:textId="77777777" w:rsidTr="003925E0">
        <w:trPr>
          <w:cantSplit/>
          <w:trHeight w:val="300"/>
        </w:trPr>
        <w:tc>
          <w:tcPr>
            <w:tcW w:w="387" w:type="pct"/>
            <w:vMerge w:val="restart"/>
            <w:vAlign w:val="center"/>
          </w:tcPr>
          <w:p w14:paraId="0D3FE7B9"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fr-FR"/>
              </w:rPr>
              <w:t>9.1</w:t>
            </w:r>
          </w:p>
        </w:tc>
        <w:tc>
          <w:tcPr>
            <w:tcW w:w="778" w:type="pct"/>
            <w:vMerge w:val="restart"/>
            <w:vAlign w:val="center"/>
          </w:tcPr>
          <w:p w14:paraId="67A95D4D"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fr-FR"/>
              </w:rPr>
              <w:t>Oficina de exámenes de contacto</w:t>
            </w:r>
          </w:p>
        </w:tc>
        <w:tc>
          <w:tcPr>
            <w:tcW w:w="1200" w:type="pct"/>
            <w:vMerge w:val="restart"/>
            <w:vAlign w:val="center"/>
          </w:tcPr>
          <w:p w14:paraId="676D3C8B"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i/>
                <w:color w:val="000000" w:themeColor="text1"/>
                <w:sz w:val="18"/>
                <w:szCs w:val="18"/>
                <w:lang w:eastAsia="fr-FR"/>
              </w:rPr>
              <w:t xml:space="preserve">p. ej., </w:t>
            </w:r>
            <w:r w:rsidRPr="002B2E80">
              <w:rPr>
                <w:rFonts w:eastAsia="Times New Roman" w:cs="Arial"/>
                <w:color w:val="000000" w:themeColor="text1"/>
                <w:sz w:val="18"/>
                <w:szCs w:val="18"/>
                <w:lang w:eastAsia="fr-FR"/>
              </w:rPr>
              <w:t>Naktuinbouw</w:t>
            </w:r>
          </w:p>
        </w:tc>
        <w:tc>
          <w:tcPr>
            <w:tcW w:w="592" w:type="pct"/>
            <w:vMerge w:val="restart"/>
            <w:vAlign w:val="center"/>
          </w:tcPr>
          <w:p w14:paraId="64B89E13"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fr-FR"/>
              </w:rPr>
              <w:t>SÍ</w:t>
            </w:r>
          </w:p>
        </w:tc>
        <w:tc>
          <w:tcPr>
            <w:tcW w:w="1964" w:type="pct"/>
            <w:vMerge w:val="restart"/>
            <w:vAlign w:val="center"/>
          </w:tcPr>
          <w:p w14:paraId="1995293A" w14:textId="77777777" w:rsidR="00D52685" w:rsidRPr="002B2E80" w:rsidRDefault="00D52685" w:rsidP="00D52685">
            <w:pPr>
              <w:jc w:val="left"/>
              <w:rPr>
                <w:rFonts w:eastAsia="Times New Roman" w:cs="Arial"/>
                <w:color w:val="000000"/>
                <w:sz w:val="18"/>
                <w:szCs w:val="18"/>
                <w:lang w:eastAsia="fr-FR"/>
              </w:rPr>
            </w:pPr>
            <w:r w:rsidRPr="002B2E80">
              <w:rPr>
                <w:rFonts w:eastAsia="Times New Roman" w:cs="Arial"/>
                <w:color w:val="000000" w:themeColor="text1"/>
                <w:sz w:val="18"/>
                <w:szCs w:val="18"/>
                <w:lang w:eastAsia="fr-FR"/>
              </w:rPr>
              <w:t>Contacto del instituto que ha desarrollado este protocolo, nombre del servicio.</w:t>
            </w:r>
          </w:p>
        </w:tc>
        <w:tc>
          <w:tcPr>
            <w:tcW w:w="79" w:type="pct"/>
            <w:vAlign w:val="center"/>
            <w:hideMark/>
          </w:tcPr>
          <w:p w14:paraId="0A5B663F" w14:textId="77777777" w:rsidR="00D52685" w:rsidRPr="002B2E80" w:rsidRDefault="00D52685" w:rsidP="00D52685">
            <w:pPr>
              <w:rPr>
                <w:rFonts w:ascii="Times New Roman" w:eastAsia="Times New Roman" w:hAnsi="Times New Roman"/>
                <w:lang w:eastAsia="fr-FR"/>
              </w:rPr>
            </w:pPr>
          </w:p>
        </w:tc>
      </w:tr>
      <w:tr w:rsidR="00D52685" w:rsidRPr="002B2E80" w14:paraId="7A17199C" w14:textId="77777777" w:rsidTr="003925E0">
        <w:trPr>
          <w:trHeight w:val="300"/>
        </w:trPr>
        <w:tc>
          <w:tcPr>
            <w:tcW w:w="387" w:type="pct"/>
            <w:vMerge/>
            <w:vAlign w:val="center"/>
          </w:tcPr>
          <w:p w14:paraId="739A13EB" w14:textId="77777777" w:rsidR="00D52685" w:rsidRPr="002B2E80" w:rsidRDefault="00D52685" w:rsidP="00D52685">
            <w:pPr>
              <w:rPr>
                <w:rFonts w:eastAsia="Times New Roman" w:cs="Arial"/>
                <w:color w:val="000000"/>
                <w:sz w:val="18"/>
                <w:szCs w:val="18"/>
                <w:lang w:eastAsia="nl-NL"/>
              </w:rPr>
            </w:pPr>
          </w:p>
        </w:tc>
        <w:tc>
          <w:tcPr>
            <w:tcW w:w="778" w:type="pct"/>
            <w:vMerge/>
            <w:vAlign w:val="center"/>
          </w:tcPr>
          <w:p w14:paraId="78FB08FE" w14:textId="77777777" w:rsidR="00D52685" w:rsidRPr="002B2E80" w:rsidRDefault="00D52685" w:rsidP="00D52685">
            <w:pPr>
              <w:rPr>
                <w:rFonts w:eastAsia="Times New Roman" w:cs="Arial"/>
                <w:color w:val="000000"/>
                <w:sz w:val="18"/>
                <w:szCs w:val="18"/>
                <w:lang w:eastAsia="nl-NL"/>
              </w:rPr>
            </w:pPr>
          </w:p>
        </w:tc>
        <w:tc>
          <w:tcPr>
            <w:tcW w:w="1200" w:type="pct"/>
            <w:vMerge/>
            <w:vAlign w:val="center"/>
          </w:tcPr>
          <w:p w14:paraId="5194E465" w14:textId="77777777" w:rsidR="00D52685" w:rsidRPr="002B2E80" w:rsidRDefault="00D52685" w:rsidP="00D52685">
            <w:pPr>
              <w:rPr>
                <w:rFonts w:eastAsia="Times New Roman" w:cs="Arial"/>
                <w:i/>
                <w:iCs/>
                <w:color w:val="000000"/>
                <w:sz w:val="18"/>
                <w:szCs w:val="18"/>
                <w:lang w:eastAsia="fr-FR"/>
              </w:rPr>
            </w:pPr>
          </w:p>
        </w:tc>
        <w:tc>
          <w:tcPr>
            <w:tcW w:w="592" w:type="pct"/>
            <w:vMerge/>
            <w:vAlign w:val="center"/>
          </w:tcPr>
          <w:p w14:paraId="580AD4BA" w14:textId="77777777" w:rsidR="00D52685" w:rsidRPr="002B2E80" w:rsidRDefault="00D52685" w:rsidP="00D52685">
            <w:pPr>
              <w:rPr>
                <w:rFonts w:eastAsia="Times New Roman" w:cs="Arial"/>
                <w:color w:val="000000"/>
                <w:sz w:val="18"/>
                <w:szCs w:val="18"/>
                <w:lang w:eastAsia="nl-NL"/>
              </w:rPr>
            </w:pPr>
          </w:p>
        </w:tc>
        <w:tc>
          <w:tcPr>
            <w:tcW w:w="1964" w:type="pct"/>
            <w:vMerge/>
            <w:vAlign w:val="center"/>
          </w:tcPr>
          <w:p w14:paraId="328FBBD6" w14:textId="77777777" w:rsidR="00D52685" w:rsidRPr="002B2E80" w:rsidRDefault="00D52685" w:rsidP="00D52685">
            <w:pPr>
              <w:rPr>
                <w:rFonts w:eastAsia="Times New Roman" w:cs="Arial"/>
                <w:color w:val="000000"/>
                <w:sz w:val="18"/>
                <w:szCs w:val="18"/>
                <w:lang w:eastAsia="nl-NL"/>
              </w:rPr>
            </w:pPr>
          </w:p>
        </w:tc>
        <w:tc>
          <w:tcPr>
            <w:tcW w:w="79" w:type="pct"/>
            <w:vAlign w:val="center"/>
          </w:tcPr>
          <w:p w14:paraId="4F25D988" w14:textId="77777777" w:rsidR="00D52685" w:rsidRPr="002B2E80" w:rsidRDefault="00D52685" w:rsidP="00D52685">
            <w:pPr>
              <w:rPr>
                <w:rFonts w:ascii="Times New Roman" w:eastAsia="Times New Roman" w:hAnsi="Times New Roman"/>
                <w:lang w:eastAsia="fr-FR"/>
              </w:rPr>
            </w:pPr>
          </w:p>
        </w:tc>
      </w:tr>
      <w:tr w:rsidR="00D52685" w:rsidRPr="002B2E80" w14:paraId="27FE4647" w14:textId="77777777" w:rsidTr="003925E0">
        <w:trPr>
          <w:trHeight w:val="315"/>
        </w:trPr>
        <w:tc>
          <w:tcPr>
            <w:tcW w:w="387" w:type="pct"/>
            <w:vMerge/>
            <w:vAlign w:val="center"/>
          </w:tcPr>
          <w:p w14:paraId="633E6264" w14:textId="77777777" w:rsidR="00D52685" w:rsidRPr="002B2E80" w:rsidRDefault="00D52685" w:rsidP="00D52685">
            <w:pPr>
              <w:rPr>
                <w:rFonts w:eastAsia="Times New Roman" w:cs="Arial"/>
                <w:color w:val="000000"/>
                <w:sz w:val="18"/>
                <w:szCs w:val="18"/>
                <w:lang w:eastAsia="fr-FR"/>
              </w:rPr>
            </w:pPr>
          </w:p>
        </w:tc>
        <w:tc>
          <w:tcPr>
            <w:tcW w:w="778" w:type="pct"/>
            <w:vMerge/>
            <w:vAlign w:val="center"/>
          </w:tcPr>
          <w:p w14:paraId="6B5185BF" w14:textId="77777777" w:rsidR="00D52685" w:rsidRPr="002B2E80" w:rsidRDefault="00D52685" w:rsidP="00D52685">
            <w:pPr>
              <w:rPr>
                <w:rFonts w:eastAsia="Times New Roman" w:cs="Arial"/>
                <w:color w:val="000000"/>
                <w:sz w:val="18"/>
                <w:szCs w:val="18"/>
                <w:lang w:eastAsia="fr-FR"/>
              </w:rPr>
            </w:pPr>
          </w:p>
        </w:tc>
        <w:tc>
          <w:tcPr>
            <w:tcW w:w="1200" w:type="pct"/>
            <w:vMerge/>
            <w:vAlign w:val="center"/>
          </w:tcPr>
          <w:p w14:paraId="3184CE0C" w14:textId="77777777" w:rsidR="00D52685" w:rsidRPr="002B2E80" w:rsidRDefault="00D52685" w:rsidP="00D52685">
            <w:pPr>
              <w:rPr>
                <w:rFonts w:eastAsia="Times New Roman" w:cs="Arial"/>
                <w:i/>
                <w:iCs/>
                <w:color w:val="000000"/>
                <w:sz w:val="18"/>
                <w:szCs w:val="18"/>
                <w:lang w:eastAsia="fr-FR"/>
              </w:rPr>
            </w:pPr>
          </w:p>
        </w:tc>
        <w:tc>
          <w:tcPr>
            <w:tcW w:w="592" w:type="pct"/>
            <w:vMerge/>
            <w:vAlign w:val="center"/>
          </w:tcPr>
          <w:p w14:paraId="4EE17E4C" w14:textId="77777777" w:rsidR="00D52685" w:rsidRPr="002B2E80" w:rsidRDefault="00D52685" w:rsidP="00D52685">
            <w:pPr>
              <w:rPr>
                <w:rFonts w:eastAsia="Times New Roman" w:cs="Arial"/>
                <w:color w:val="000000"/>
                <w:sz w:val="18"/>
                <w:szCs w:val="18"/>
                <w:lang w:eastAsia="fr-FR"/>
              </w:rPr>
            </w:pPr>
          </w:p>
        </w:tc>
        <w:tc>
          <w:tcPr>
            <w:tcW w:w="1964" w:type="pct"/>
            <w:vMerge/>
            <w:vAlign w:val="center"/>
          </w:tcPr>
          <w:p w14:paraId="3BB6FE94" w14:textId="77777777" w:rsidR="00D52685" w:rsidRPr="002B2E80" w:rsidRDefault="00D52685" w:rsidP="00D52685">
            <w:pPr>
              <w:rPr>
                <w:rFonts w:eastAsia="Times New Roman" w:cs="Arial"/>
                <w:color w:val="000000"/>
                <w:sz w:val="18"/>
                <w:szCs w:val="18"/>
                <w:lang w:eastAsia="fr-FR"/>
              </w:rPr>
            </w:pPr>
          </w:p>
        </w:tc>
        <w:tc>
          <w:tcPr>
            <w:tcW w:w="79" w:type="pct"/>
            <w:noWrap/>
            <w:vAlign w:val="bottom"/>
            <w:hideMark/>
          </w:tcPr>
          <w:p w14:paraId="76514CDA" w14:textId="77777777" w:rsidR="00D52685" w:rsidRPr="002B2E80" w:rsidRDefault="00D52685" w:rsidP="00D52685">
            <w:pPr>
              <w:rPr>
                <w:rFonts w:eastAsia="Times New Roman" w:cs="Arial"/>
                <w:color w:val="000000"/>
                <w:lang w:eastAsia="fr-FR"/>
              </w:rPr>
            </w:pPr>
          </w:p>
        </w:tc>
      </w:tr>
    </w:tbl>
    <w:p w14:paraId="60DAC7AA" w14:textId="77777777" w:rsidR="00D52685" w:rsidRPr="002B2E80" w:rsidRDefault="00D52685" w:rsidP="00D52685">
      <w:pPr>
        <w:rPr>
          <w:rFonts w:eastAsia="Times New Roman"/>
          <w:lang w:eastAsia="fr-FR"/>
        </w:rPr>
      </w:pPr>
    </w:p>
    <w:p w14:paraId="442AB59A" w14:textId="77777777" w:rsidR="00D52685" w:rsidRDefault="00D52685" w:rsidP="00D52685">
      <w:pPr>
        <w:rPr>
          <w:rFonts w:eastAsia="Times New Roman"/>
          <w:lang w:eastAsia="fr-FR"/>
        </w:rPr>
      </w:pPr>
    </w:p>
    <w:p w14:paraId="47F3385D" w14:textId="77777777" w:rsidR="003925E0" w:rsidRPr="002B2E80" w:rsidRDefault="003925E0" w:rsidP="00D52685">
      <w:pPr>
        <w:rPr>
          <w:rFonts w:eastAsia="Times New Roman"/>
          <w:lang w:eastAsia="fr-FR"/>
        </w:rPr>
      </w:pPr>
    </w:p>
    <w:p w14:paraId="35859D8D" w14:textId="77777777" w:rsidR="00D52685" w:rsidRPr="002B2E80" w:rsidRDefault="00D52685" w:rsidP="0077577B">
      <w:pPr>
        <w:pStyle w:val="Heading1Annex"/>
        <w:rPr>
          <w:lang w:val="es-ES_tradnl"/>
        </w:rPr>
      </w:pPr>
      <w:bookmarkStart w:id="119" w:name="_Toc189576576"/>
      <w:bookmarkStart w:id="120" w:name="_Toc210665487"/>
      <w:r w:rsidRPr="002B2E80">
        <w:rPr>
          <w:lang w:val="es-ES_tradnl"/>
        </w:rPr>
        <w:t>VI.</w:t>
      </w:r>
      <w:r w:rsidRPr="002B2E80">
        <w:rPr>
          <w:lang w:val="es-ES_tradnl"/>
        </w:rPr>
        <w:tab/>
        <w:t>Encuesta de seguimiento tras la aprobación</w:t>
      </w:r>
      <w:bookmarkEnd w:id="119"/>
      <w:bookmarkEnd w:id="120"/>
    </w:p>
    <w:p w14:paraId="61FA046F" w14:textId="77777777" w:rsidR="00D52685" w:rsidRPr="002B2E80" w:rsidRDefault="00D52685" w:rsidP="00D52685">
      <w:pPr>
        <w:keepNext/>
        <w:rPr>
          <w:rFonts w:eastAsia="Times New Roman"/>
          <w:lang w:eastAsia="fr-FR"/>
        </w:rPr>
      </w:pPr>
    </w:p>
    <w:p w14:paraId="4F890AD6" w14:textId="078302A8" w:rsidR="00D52685" w:rsidRPr="002B2E80" w:rsidRDefault="00DC4B65" w:rsidP="00D52685">
      <w:pPr>
        <w:rPr>
          <w:rFonts w:eastAsia="Times New Roman"/>
          <w:lang w:eastAsia="fr-FR"/>
        </w:rPr>
      </w:pPr>
      <w:r w:rsidRPr="002B2E80">
        <w:rPr>
          <w:rFonts w:hint="eastAsia"/>
          <w:lang w:eastAsia="ja-JP"/>
        </w:rPr>
        <w:t>33.</w:t>
      </w:r>
      <w:r w:rsidR="00D52685" w:rsidRPr="002B2E80">
        <w:rPr>
          <w:rFonts w:eastAsia="Times New Roman"/>
          <w:lang w:eastAsia="fr-FR"/>
        </w:rPr>
        <w:tab/>
        <w:t xml:space="preserve">La validación del marcador no es fija, ya que pueden surgir nuevos marcadores genéticos en el mercado. Se trata de un proceso de evaluación continuo. La especificidad debe reevaluarse tras la aceptación de la validación mediante pruebas paralelas (prueba de marcadores y bioensayo) al menos durante el primer año con el método de observación. </w:t>
      </w:r>
    </w:p>
    <w:p w14:paraId="57719EE3" w14:textId="77777777" w:rsidR="00D52685" w:rsidRPr="002B2E80" w:rsidRDefault="00D52685" w:rsidP="00D52685">
      <w:pPr>
        <w:rPr>
          <w:rFonts w:eastAsia="Times New Roman"/>
          <w:lang w:eastAsia="fr-FR"/>
        </w:rPr>
      </w:pPr>
    </w:p>
    <w:p w14:paraId="3CE960ED" w14:textId="13556EE3" w:rsidR="00D52685" w:rsidRPr="002B2E80" w:rsidRDefault="00DC4B65" w:rsidP="00D52685">
      <w:pPr>
        <w:rPr>
          <w:rFonts w:eastAsia="Times New Roman"/>
          <w:lang w:eastAsia="fr-FR"/>
        </w:rPr>
      </w:pPr>
      <w:r w:rsidRPr="002B2E80">
        <w:rPr>
          <w:rFonts w:hint="eastAsia"/>
          <w:lang w:eastAsia="ja-JP"/>
        </w:rPr>
        <w:t>34.</w:t>
      </w:r>
      <w:r w:rsidR="00D52685" w:rsidRPr="002B2E80">
        <w:rPr>
          <w:rFonts w:eastAsia="Times New Roman"/>
          <w:lang w:eastAsia="fr-FR"/>
        </w:rPr>
        <w:tab/>
        <w:t>Tras el primer año de aceptación del protocolo, deben realizarse controles morfológicos en aproximadamente el 10 % de las nuevas variedades.</w:t>
      </w:r>
    </w:p>
    <w:p w14:paraId="6038449B" w14:textId="77777777" w:rsidR="00D52685" w:rsidRPr="002B2E80" w:rsidRDefault="00D52685" w:rsidP="00D52685">
      <w:pPr>
        <w:jc w:val="left"/>
        <w:rPr>
          <w:rFonts w:eastAsia="Times New Roman"/>
        </w:rPr>
      </w:pPr>
    </w:p>
    <w:p w14:paraId="425408FA" w14:textId="77777777" w:rsidR="00BF7C58" w:rsidRPr="002B2E80" w:rsidRDefault="00BF7C58" w:rsidP="00D52685">
      <w:pPr>
        <w:jc w:val="left"/>
        <w:rPr>
          <w:rFonts w:eastAsia="Times New Roman"/>
        </w:rPr>
      </w:pPr>
    </w:p>
    <w:p w14:paraId="69ACC659" w14:textId="77777777" w:rsidR="00D52685" w:rsidRPr="002B2E80" w:rsidRDefault="00D52685" w:rsidP="0077577B">
      <w:pPr>
        <w:pStyle w:val="Heading1Annex"/>
        <w:rPr>
          <w:lang w:val="es-ES_tradnl"/>
        </w:rPr>
      </w:pPr>
      <w:bookmarkStart w:id="121" w:name="_Toc210665488"/>
      <w:r w:rsidRPr="002B2E80">
        <w:rPr>
          <w:lang w:val="es-ES_tradnl"/>
        </w:rPr>
        <w:lastRenderedPageBreak/>
        <w:t>VII.</w:t>
      </w:r>
      <w:r w:rsidRPr="002B2E80">
        <w:rPr>
          <w:lang w:val="es-ES_tradnl"/>
        </w:rPr>
        <w:tab/>
        <w:t>BIBLIOGRAFÍA</w:t>
      </w:r>
      <w:bookmarkEnd w:id="121"/>
    </w:p>
    <w:p w14:paraId="24422E95" w14:textId="77777777" w:rsidR="00D52685" w:rsidRPr="002B2E80" w:rsidRDefault="00D52685" w:rsidP="00D52685">
      <w:pPr>
        <w:jc w:val="left"/>
        <w:rPr>
          <w:rFonts w:eastAsia="Times New Roman"/>
        </w:rPr>
      </w:pPr>
    </w:p>
    <w:p w14:paraId="1A01D356" w14:textId="77777777" w:rsidR="00D52685" w:rsidRPr="002B2E80" w:rsidRDefault="00D52685" w:rsidP="00D52685">
      <w:pPr>
        <w:rPr>
          <w:rFonts w:eastAsia="Times New Roman"/>
        </w:rPr>
      </w:pPr>
      <w:proofErr w:type="spellStart"/>
      <w:r w:rsidRPr="002B2E80">
        <w:rPr>
          <w:rFonts w:eastAsia="Times New Roman"/>
        </w:rPr>
        <w:t>Arens</w:t>
      </w:r>
      <w:proofErr w:type="spellEnd"/>
      <w:r w:rsidRPr="002B2E80">
        <w:rPr>
          <w:rFonts w:eastAsia="Times New Roman"/>
        </w:rPr>
        <w:t xml:space="preserve"> P., Mansilla C., </w:t>
      </w:r>
      <w:proofErr w:type="spellStart"/>
      <w:r w:rsidRPr="002B2E80">
        <w:rPr>
          <w:rFonts w:eastAsia="Times New Roman"/>
        </w:rPr>
        <w:t>Deinum</w:t>
      </w:r>
      <w:proofErr w:type="spellEnd"/>
      <w:r w:rsidRPr="002B2E80">
        <w:rPr>
          <w:rFonts w:eastAsia="Times New Roman"/>
        </w:rPr>
        <w:t xml:space="preserve"> D., </w:t>
      </w:r>
      <w:proofErr w:type="spellStart"/>
      <w:r w:rsidRPr="002B2E80">
        <w:rPr>
          <w:rFonts w:eastAsia="Times New Roman"/>
        </w:rPr>
        <w:t>Cavellini</w:t>
      </w:r>
      <w:proofErr w:type="spellEnd"/>
      <w:r w:rsidRPr="002B2E80">
        <w:rPr>
          <w:rFonts w:eastAsia="Times New Roman"/>
        </w:rPr>
        <w:t xml:space="preserve"> L., Moretti A., Rolland S., van </w:t>
      </w:r>
      <w:proofErr w:type="spellStart"/>
      <w:r w:rsidRPr="002B2E80">
        <w:rPr>
          <w:rFonts w:eastAsia="Times New Roman"/>
        </w:rPr>
        <w:t>der</w:t>
      </w:r>
      <w:proofErr w:type="spellEnd"/>
      <w:r w:rsidRPr="002B2E80">
        <w:rPr>
          <w:rFonts w:eastAsia="Times New Roman"/>
        </w:rPr>
        <w:t xml:space="preserve"> </w:t>
      </w:r>
      <w:proofErr w:type="spellStart"/>
      <w:r w:rsidRPr="002B2E80">
        <w:rPr>
          <w:rFonts w:eastAsia="Times New Roman"/>
        </w:rPr>
        <w:t>Schoot</w:t>
      </w:r>
      <w:proofErr w:type="spellEnd"/>
      <w:r w:rsidRPr="002B2E80">
        <w:rPr>
          <w:rFonts w:eastAsia="Times New Roman"/>
        </w:rPr>
        <w:t xml:space="preserve"> H., Calvache D., Ponz F., </w:t>
      </w:r>
      <w:proofErr w:type="spellStart"/>
      <w:r w:rsidRPr="002B2E80">
        <w:rPr>
          <w:rFonts w:eastAsia="Times New Roman"/>
        </w:rPr>
        <w:t>Collonnier</w:t>
      </w:r>
      <w:proofErr w:type="spellEnd"/>
      <w:r w:rsidRPr="002B2E80">
        <w:rPr>
          <w:rFonts w:eastAsia="Times New Roman"/>
        </w:rPr>
        <w:t xml:space="preserve"> C., </w:t>
      </w:r>
      <w:proofErr w:type="spellStart"/>
      <w:r w:rsidRPr="002B2E80">
        <w:rPr>
          <w:rFonts w:eastAsia="Times New Roman"/>
        </w:rPr>
        <w:t>Mathis</w:t>
      </w:r>
      <w:proofErr w:type="spellEnd"/>
      <w:r w:rsidRPr="002B2E80">
        <w:rPr>
          <w:rFonts w:eastAsia="Times New Roman"/>
        </w:rPr>
        <w:t xml:space="preserve"> R., </w:t>
      </w:r>
      <w:proofErr w:type="spellStart"/>
      <w:r w:rsidRPr="002B2E80">
        <w:rPr>
          <w:rFonts w:eastAsia="Times New Roman"/>
        </w:rPr>
        <w:t>Smilde</w:t>
      </w:r>
      <w:proofErr w:type="spellEnd"/>
      <w:r w:rsidRPr="002B2E80">
        <w:rPr>
          <w:rFonts w:eastAsia="Times New Roman"/>
        </w:rPr>
        <w:t xml:space="preserve"> D., </w:t>
      </w:r>
      <w:proofErr w:type="spellStart"/>
      <w:r w:rsidRPr="002B2E80">
        <w:rPr>
          <w:rFonts w:eastAsia="Times New Roman"/>
        </w:rPr>
        <w:t>Caranta</w:t>
      </w:r>
      <w:proofErr w:type="spellEnd"/>
      <w:r w:rsidRPr="002B2E80">
        <w:rPr>
          <w:rFonts w:eastAsia="Times New Roman"/>
        </w:rPr>
        <w:t xml:space="preserve"> C.; </w:t>
      </w:r>
      <w:proofErr w:type="spellStart"/>
      <w:r w:rsidRPr="002B2E80">
        <w:rPr>
          <w:rFonts w:eastAsia="Times New Roman"/>
        </w:rPr>
        <w:t>Vosman</w:t>
      </w:r>
      <w:proofErr w:type="spellEnd"/>
      <w:r w:rsidRPr="002B2E80">
        <w:rPr>
          <w:rFonts w:eastAsia="Times New Roman"/>
        </w:rPr>
        <w:t xml:space="preserve"> B., 2010: Desarrollo y evaluación de marcadores moleculares robustos vinculados a la resistencia a enfermedades en el tomate para pruebas de distinción, uniformidad y estabilidad. </w:t>
      </w:r>
    </w:p>
    <w:p w14:paraId="53154F7A" w14:textId="77777777" w:rsidR="00D52685" w:rsidRPr="002B2E80" w:rsidRDefault="00D52685" w:rsidP="00D52685">
      <w:pPr>
        <w:jc w:val="left"/>
        <w:rPr>
          <w:rFonts w:eastAsia="Times New Roman"/>
        </w:rPr>
      </w:pPr>
      <w:r w:rsidRPr="002B2E80">
        <w:rPr>
          <w:rFonts w:eastAsia="Times New Roman"/>
        </w:rPr>
        <w:t>Genética teórica y aplicada 120(3). pp. 655-64</w:t>
      </w:r>
    </w:p>
    <w:p w14:paraId="7396CEDD" w14:textId="77777777" w:rsidR="00D52685" w:rsidRPr="002B2E80" w:rsidRDefault="00D52685" w:rsidP="00D52685">
      <w:pPr>
        <w:rPr>
          <w:rFonts w:eastAsia="Times New Roman"/>
        </w:rPr>
      </w:pPr>
    </w:p>
    <w:p w14:paraId="7B8AE26D" w14:textId="77777777" w:rsidR="00D52685" w:rsidRPr="002B2E80" w:rsidRDefault="00D52685" w:rsidP="00D52685">
      <w:pPr>
        <w:rPr>
          <w:rFonts w:eastAsia="Times New Roman"/>
        </w:rPr>
      </w:pPr>
      <w:r w:rsidRPr="002B2E80">
        <w:rPr>
          <w:rFonts w:eastAsia="Times New Roman"/>
        </w:rPr>
        <w:t xml:space="preserve">Langton, S.D., </w:t>
      </w:r>
      <w:proofErr w:type="spellStart"/>
      <w:r w:rsidRPr="002B2E80">
        <w:rPr>
          <w:rFonts w:eastAsia="Times New Roman"/>
        </w:rPr>
        <w:t>Chevennement</w:t>
      </w:r>
      <w:proofErr w:type="spellEnd"/>
      <w:r w:rsidRPr="002B2E80">
        <w:rPr>
          <w:rFonts w:eastAsia="Times New Roman"/>
        </w:rPr>
        <w:t xml:space="preserve">, R., </w:t>
      </w:r>
      <w:proofErr w:type="spellStart"/>
      <w:r w:rsidRPr="002B2E80">
        <w:rPr>
          <w:rFonts w:eastAsia="Times New Roman"/>
        </w:rPr>
        <w:t>Nagelkerke</w:t>
      </w:r>
      <w:proofErr w:type="spellEnd"/>
      <w:r w:rsidRPr="002B2E80">
        <w:rPr>
          <w:rFonts w:eastAsia="Times New Roman"/>
        </w:rPr>
        <w:t xml:space="preserve">, N. y </w:t>
      </w:r>
      <w:proofErr w:type="spellStart"/>
      <w:r w:rsidRPr="002B2E80">
        <w:rPr>
          <w:rFonts w:eastAsia="Times New Roman"/>
        </w:rPr>
        <w:t>Lombard</w:t>
      </w:r>
      <w:proofErr w:type="spellEnd"/>
      <w:r w:rsidRPr="002B2E80">
        <w:rPr>
          <w:rFonts w:eastAsia="Times New Roman"/>
        </w:rPr>
        <w:t>, B. (2002). Análisis de ensayos colaborativos para métodos microbiológicos cualitativos: conformidad y concordancia. Revista Internacional de Microbiología Alimentaria, 79, 175-181</w:t>
      </w:r>
    </w:p>
    <w:p w14:paraId="339E95E3" w14:textId="77777777" w:rsidR="00550FF9" w:rsidRPr="002B2E80" w:rsidRDefault="00550FF9" w:rsidP="00550FF9">
      <w:pPr>
        <w:jc w:val="left"/>
      </w:pPr>
    </w:p>
    <w:p w14:paraId="3FB988CA" w14:textId="77777777" w:rsidR="00EF4B00" w:rsidRPr="002B2E80" w:rsidRDefault="00EF4B00" w:rsidP="00EF4B00"/>
    <w:p w14:paraId="465282EF" w14:textId="77777777" w:rsidR="003D7A73" w:rsidRPr="002B2E80" w:rsidRDefault="003D7A73" w:rsidP="00EF4B00"/>
    <w:p w14:paraId="530048DF" w14:textId="043B73C2" w:rsidR="003D7A73" w:rsidRPr="002B2E80" w:rsidRDefault="003D7A73" w:rsidP="003D7A73">
      <w:pPr>
        <w:jc w:val="right"/>
      </w:pPr>
      <w:r w:rsidRPr="002B2E80">
        <w:t>[Fin del anexo y del documento]</w:t>
      </w:r>
    </w:p>
    <w:sectPr w:rsidR="003D7A73" w:rsidRPr="002B2E80" w:rsidSect="0077577B">
      <w:headerReference w:type="default" r:id="rId26"/>
      <w:headerReference w:type="first" r:id="rId27"/>
      <w:pgSz w:w="11907" w:h="16840" w:code="9"/>
      <w:pgMar w:top="510" w:right="1134" w:bottom="709" w:left="1134" w:header="510" w:footer="5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330F" w14:textId="77777777" w:rsidR="00506A9E" w:rsidRPr="002B2E80" w:rsidRDefault="00506A9E" w:rsidP="006655D3">
      <w:r w:rsidRPr="002B2E80">
        <w:separator/>
      </w:r>
    </w:p>
    <w:p w14:paraId="127F7907" w14:textId="77777777" w:rsidR="00506A9E" w:rsidRPr="002B2E80" w:rsidRDefault="00506A9E" w:rsidP="006655D3"/>
    <w:p w14:paraId="3F52CC52" w14:textId="77777777" w:rsidR="00506A9E" w:rsidRPr="002B2E80" w:rsidRDefault="00506A9E" w:rsidP="006655D3"/>
    <w:p w14:paraId="66754A44" w14:textId="77777777" w:rsidR="00506A9E" w:rsidRPr="002B2E80" w:rsidRDefault="00506A9E"/>
  </w:endnote>
  <w:endnote w:type="continuationSeparator" w:id="0">
    <w:p w14:paraId="210B1BC3" w14:textId="77777777" w:rsidR="00506A9E" w:rsidRPr="002B2E80" w:rsidRDefault="00506A9E" w:rsidP="006655D3">
      <w:r w:rsidRPr="002B2E80">
        <w:separator/>
      </w:r>
    </w:p>
    <w:p w14:paraId="4234BE8A" w14:textId="77777777" w:rsidR="00506A9E" w:rsidRPr="002B2E80" w:rsidRDefault="00506A9E">
      <w:pPr>
        <w:pStyle w:val="Footer"/>
        <w:spacing w:after="60"/>
        <w:rPr>
          <w:sz w:val="18"/>
          <w:lang w:val="es-ES_tradnl"/>
        </w:rPr>
      </w:pPr>
      <w:r w:rsidRPr="002B2E80">
        <w:rPr>
          <w:sz w:val="18"/>
          <w:lang w:val="es-ES_tradnl"/>
        </w:rPr>
        <w:t>[Continuación de la nota de la página anterior]</w:t>
      </w:r>
    </w:p>
    <w:p w14:paraId="7C7E7E89" w14:textId="77777777" w:rsidR="00506A9E" w:rsidRPr="002B2E80" w:rsidRDefault="00506A9E" w:rsidP="006655D3"/>
    <w:p w14:paraId="1BC935C6" w14:textId="77777777" w:rsidR="00506A9E" w:rsidRPr="002B2E80" w:rsidRDefault="00506A9E" w:rsidP="006655D3"/>
    <w:p w14:paraId="1120A4E8" w14:textId="77777777" w:rsidR="00506A9E" w:rsidRPr="002B2E80" w:rsidRDefault="00506A9E"/>
  </w:endnote>
  <w:endnote w:type="continuationNotice" w:id="1">
    <w:p w14:paraId="6CF817F8" w14:textId="77777777" w:rsidR="00506A9E" w:rsidRPr="002B2E80" w:rsidRDefault="00506A9E" w:rsidP="006655D3">
      <w:r w:rsidRPr="002B2E80">
        <w:t>[Continuación de la nota de la página siguiente]</w:t>
      </w:r>
    </w:p>
    <w:p w14:paraId="04BC69CD" w14:textId="77777777" w:rsidR="00506A9E" w:rsidRPr="002B2E80" w:rsidRDefault="00506A9E" w:rsidP="006655D3"/>
    <w:p w14:paraId="4B3395BE" w14:textId="77777777" w:rsidR="00506A9E" w:rsidRPr="002B2E80" w:rsidRDefault="00506A9E" w:rsidP="006655D3"/>
    <w:p w14:paraId="150483AD" w14:textId="77777777" w:rsidR="00506A9E" w:rsidRPr="002B2E80" w:rsidRDefault="0050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3D0" w14:textId="4B02B252" w:rsidR="00441A8C" w:rsidRPr="002B2E80" w:rsidRDefault="00441A8C">
    <w:pPr>
      <w:pStyle w:val="Footer"/>
      <w:rPr>
        <w:lang w:val="es-ES_tradnl"/>
      </w:rPr>
    </w:pPr>
    <w:r w:rsidRPr="002B2E80">
      <w:rPr>
        <w:noProof/>
        <w:lang w:val="es-ES_tradnl"/>
      </w:rPr>
      <mc:AlternateContent>
        <mc:Choice Requires="wps">
          <w:drawing>
            <wp:anchor distT="0" distB="0" distL="0" distR="0" simplePos="0" relativeHeight="251658241" behindDoc="0" locked="0" layoutInCell="1" allowOverlap="1" wp14:anchorId="417FCA55" wp14:editId="0E8A0F40">
              <wp:simplePos x="635" y="635"/>
              <wp:positionH relativeFrom="page">
                <wp:align>center</wp:align>
              </wp:positionH>
              <wp:positionV relativeFrom="page">
                <wp:align>bottom</wp:align>
              </wp:positionV>
              <wp:extent cx="1714500" cy="342900"/>
              <wp:effectExtent l="0" t="0" r="0" b="0"/>
              <wp:wrapNone/>
              <wp:docPr id="118886604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CE73ED2" w14:textId="7E61F1E6" w:rsidR="00441A8C" w:rsidRPr="002B2E80" w:rsidRDefault="00441A8C" w:rsidP="00441A8C">
                          <w:pPr>
                            <w:rPr>
                              <w:rFonts w:ascii="Aptos" w:eastAsia="Aptos" w:hAnsi="Aptos" w:cs="Aptos"/>
                              <w:color w:val="000000"/>
                            </w:rPr>
                          </w:pPr>
                          <w:r w:rsidRPr="002B2E80">
                            <w:rPr>
                              <w:rFonts w:ascii="Aptos" w:eastAsia="Aptos" w:hAnsi="Aptos" w:cs="Aptos"/>
                              <w:color w:val="000000"/>
                            </w:rPr>
                            <w:t xml:space="preserve">OMPI PARA USO OFICIAL ÚNICAMENTE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FCA55"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6CE73ED2" w14:textId="7E61F1E6" w:rsidR="00441A8C" w:rsidRPr="002B2E80" w:rsidRDefault="00441A8C" w:rsidP="00441A8C">
                    <w:pPr>
                      <w:rPr>
                        <w:rFonts w:ascii="Aptos" w:eastAsia="Aptos" w:hAnsi="Aptos" w:cs="Aptos"/>
                        <w:color w:val="000000"/>
                      </w:rPr>
                    </w:pPr>
                    <w:r w:rsidRPr="002B2E80">
                      <w:rPr>
                        <w:rFonts w:ascii="Aptos" w:eastAsia="Aptos" w:hAnsi="Aptos" w:cs="Aptos"/>
                        <w:color w:val="000000"/>
                      </w:rPr>
                      <w:t xml:space="preserve">OMPI PARA USO OFICIAL ÚNICAMENTE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4D0" w14:textId="4AF84BC2" w:rsidR="00441A8C" w:rsidRPr="002B2E80" w:rsidRDefault="00441A8C">
    <w:pPr>
      <w:pStyle w:val="Footer"/>
      <w:rPr>
        <w:lang w:val="es-ES_tradnl"/>
      </w:rPr>
    </w:pPr>
    <w:r w:rsidRPr="002B2E80">
      <w:rPr>
        <w:noProof/>
        <w:lang w:val="es-ES_tradnl"/>
      </w:rPr>
      <mc:AlternateContent>
        <mc:Choice Requires="wps">
          <w:drawing>
            <wp:anchor distT="0" distB="0" distL="0" distR="0" simplePos="0" relativeHeight="251658242" behindDoc="0" locked="0" layoutInCell="1" allowOverlap="1" wp14:anchorId="327F29AB" wp14:editId="4A2ACB0D">
              <wp:simplePos x="635" y="635"/>
              <wp:positionH relativeFrom="page">
                <wp:align>center</wp:align>
              </wp:positionH>
              <wp:positionV relativeFrom="page">
                <wp:align>bottom</wp:align>
              </wp:positionV>
              <wp:extent cx="1714500" cy="342900"/>
              <wp:effectExtent l="0" t="0" r="0" b="0"/>
              <wp:wrapNone/>
              <wp:docPr id="22777230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3B477B8" w14:textId="44F7AF26" w:rsidR="00441A8C" w:rsidRPr="002B2E80" w:rsidRDefault="00441A8C" w:rsidP="00441A8C">
                          <w:pPr>
                            <w:rPr>
                              <w:rFonts w:ascii="Aptos" w:eastAsia="Aptos" w:hAnsi="Aptos" w:cs="Aptos"/>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F29AB"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63B477B8" w14:textId="44F7AF26" w:rsidR="00441A8C" w:rsidRPr="002B2E80" w:rsidRDefault="00441A8C" w:rsidP="00441A8C">
                    <w:pPr>
                      <w:rPr>
                        <w:rFonts w:ascii="Aptos" w:eastAsia="Aptos" w:hAnsi="Aptos" w:cs="Aptos"/>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019D" w14:textId="3892D320" w:rsidR="00441A8C" w:rsidRPr="002B2E80" w:rsidRDefault="00441A8C">
    <w:pPr>
      <w:pStyle w:val="Footer"/>
      <w:rPr>
        <w:lang w:val="es-ES_tradnl"/>
      </w:rPr>
    </w:pPr>
    <w:r w:rsidRPr="002B2E80">
      <w:rPr>
        <w:noProof/>
        <w:lang w:val="es-ES_tradnl"/>
      </w:rPr>
      <mc:AlternateContent>
        <mc:Choice Requires="wps">
          <w:drawing>
            <wp:anchor distT="0" distB="0" distL="0" distR="0" simplePos="0" relativeHeight="251658240" behindDoc="0" locked="0" layoutInCell="1" allowOverlap="1" wp14:anchorId="73BA486A" wp14:editId="3B4C063A">
              <wp:simplePos x="635" y="635"/>
              <wp:positionH relativeFrom="page">
                <wp:align>center</wp:align>
              </wp:positionH>
              <wp:positionV relativeFrom="page">
                <wp:align>bottom</wp:align>
              </wp:positionV>
              <wp:extent cx="1714500" cy="342900"/>
              <wp:effectExtent l="0" t="0" r="0" b="0"/>
              <wp:wrapNone/>
              <wp:docPr id="1880760879"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C89C6FA" w14:textId="1C9FF1FE" w:rsidR="00441A8C" w:rsidRPr="002B2E80" w:rsidRDefault="00441A8C" w:rsidP="00441A8C">
                          <w:pPr>
                            <w:rPr>
                              <w:rFonts w:ascii="Aptos" w:eastAsia="Aptos" w:hAnsi="Aptos" w:cs="Aptos"/>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A486A"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SzDQ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" filled="f" stroked="f">
              <v:textbox style="mso-fit-shape-to-text:t" inset="0,0,0,15pt">
                <w:txbxContent>
                  <w:p w14:paraId="0C89C6FA" w14:textId="1C9FF1FE" w:rsidR="00441A8C" w:rsidRPr="002B2E80" w:rsidRDefault="00441A8C" w:rsidP="00441A8C">
                    <w:pPr>
                      <w:rPr>
                        <w:rFonts w:ascii="Aptos" w:eastAsia="Aptos" w:hAnsi="Aptos" w:cs="Aptos"/>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1C70" w14:textId="77777777" w:rsidR="00506A9E" w:rsidRPr="002B2E80" w:rsidRDefault="00506A9E" w:rsidP="006655D3">
      <w:r w:rsidRPr="002B2E80">
        <w:separator/>
      </w:r>
    </w:p>
  </w:footnote>
  <w:footnote w:type="continuationSeparator" w:id="0">
    <w:p w14:paraId="5E5B254D" w14:textId="77777777" w:rsidR="00506A9E" w:rsidRPr="002B2E80" w:rsidRDefault="00506A9E" w:rsidP="006655D3">
      <w:r w:rsidRPr="002B2E80">
        <w:separator/>
      </w:r>
    </w:p>
    <w:p w14:paraId="69B2E871" w14:textId="77777777" w:rsidR="00506A9E" w:rsidRPr="002B2E80" w:rsidRDefault="00506A9E"/>
  </w:footnote>
  <w:footnote w:type="continuationNotice" w:id="1">
    <w:p w14:paraId="0D9B938B" w14:textId="77777777" w:rsidR="00506A9E" w:rsidRPr="002B2E80" w:rsidRDefault="00506A9E" w:rsidP="00AB530F">
      <w:pPr>
        <w:pStyle w:val="Footer"/>
        <w:rPr>
          <w:lang w:val="es-ES_tradnl"/>
        </w:rPr>
      </w:pPr>
    </w:p>
    <w:p w14:paraId="2477F8CA" w14:textId="77777777" w:rsidR="00506A9E" w:rsidRPr="002B2E80" w:rsidRDefault="00506A9E"/>
  </w:footnote>
  <w:footnote w:id="2">
    <w:p w14:paraId="1DE810F6" w14:textId="4DE7CCD3" w:rsidR="001576C8" w:rsidRPr="002B2E80" w:rsidRDefault="001576C8" w:rsidP="001576C8">
      <w:pPr>
        <w:pStyle w:val="FootnoteText"/>
        <w:rPr>
          <w:lang w:val="es-ES_tradnl"/>
        </w:rPr>
      </w:pPr>
      <w:r w:rsidRPr="002B2E80">
        <w:rPr>
          <w:rStyle w:val="FootnoteReference"/>
          <w:lang w:val="es-ES_tradnl"/>
        </w:rPr>
        <w:footnoteRef/>
      </w:r>
      <w:r w:rsidRPr="002B2E80">
        <w:rPr>
          <w:lang w:val="es-ES_tradnl"/>
        </w:rPr>
        <w:t xml:space="preserve"> TC</w:t>
      </w:r>
      <w:r w:rsidR="00405700" w:rsidRPr="002B2E80">
        <w:rPr>
          <w:rFonts w:hint="eastAsia"/>
          <w:lang w:val="es-ES_tradnl" w:eastAsia="ja-JP"/>
        </w:rPr>
        <w:t xml:space="preserve">, sexagésima </w:t>
      </w:r>
      <w:r w:rsidRPr="002B2E80">
        <w:rPr>
          <w:lang w:val="es-ES_tradnl"/>
        </w:rPr>
        <w:t xml:space="preserve">sesión, celebrada </w:t>
      </w:r>
      <w:r w:rsidR="004101A6" w:rsidRPr="002B2E80">
        <w:rPr>
          <w:rFonts w:hint="eastAsia"/>
          <w:lang w:val="es-ES_tradnl" w:eastAsia="ja-JP"/>
        </w:rPr>
        <w:t xml:space="preserve">en Ginebra, </w:t>
      </w:r>
      <w:r w:rsidRPr="002B2E80">
        <w:rPr>
          <w:lang w:val="es-ES_tradnl"/>
        </w:rPr>
        <w:t>del</w:t>
      </w:r>
      <w:r w:rsidR="004101A6" w:rsidRPr="002B2E80">
        <w:rPr>
          <w:rFonts w:hint="eastAsia"/>
          <w:lang w:val="es-ES_tradnl" w:eastAsia="ja-JP"/>
        </w:rPr>
        <w:t xml:space="preserve"> 21 </w:t>
      </w:r>
      <w:r w:rsidRPr="002B2E80">
        <w:rPr>
          <w:lang w:val="es-ES_tradnl"/>
        </w:rPr>
        <w:t>al</w:t>
      </w:r>
      <w:r w:rsidR="004101A6" w:rsidRPr="002B2E80">
        <w:rPr>
          <w:rFonts w:hint="eastAsia"/>
          <w:lang w:val="es-ES_tradnl" w:eastAsia="ja-JP"/>
        </w:rPr>
        <w:t xml:space="preserve"> 22 de octubre </w:t>
      </w:r>
      <w:r w:rsidRPr="002B2E80">
        <w:rPr>
          <w:lang w:val="es-ES_tradnl"/>
        </w:rPr>
        <w:t xml:space="preserve">de 2024. </w:t>
      </w:r>
      <w:r w:rsidR="009B03FA" w:rsidRPr="002B2E80">
        <w:rPr>
          <w:rFonts w:hint="eastAsia"/>
          <w:lang w:val="es-ES_tradnl" w:eastAsia="ja-JP"/>
        </w:rPr>
        <w:t xml:space="preserve">Véase el documento TC/60/8 </w:t>
      </w:r>
      <w:r w:rsidR="009B03FA" w:rsidRPr="002B2E80">
        <w:rPr>
          <w:lang w:val="es-ES_tradnl" w:eastAsia="ja-JP"/>
        </w:rPr>
        <w:t xml:space="preserve">«Informe», </w:t>
      </w:r>
      <w:r w:rsidR="009B03FA" w:rsidRPr="002B2E80">
        <w:rPr>
          <w:rFonts w:hint="eastAsia"/>
          <w:lang w:val="es-ES_tradnl" w:eastAsia="ja-JP"/>
        </w:rPr>
        <w:t>párrafos 51</w:t>
      </w:r>
    </w:p>
  </w:footnote>
  <w:footnote w:id="3">
    <w:p w14:paraId="2EF65F53" w14:textId="6DEE8146" w:rsidR="00951044" w:rsidRPr="002B2E80" w:rsidRDefault="00951044" w:rsidP="00951044">
      <w:pPr>
        <w:pStyle w:val="FootnoteText"/>
        <w:rPr>
          <w:lang w:val="es-ES_tradnl"/>
        </w:rPr>
      </w:pPr>
      <w:r w:rsidRPr="002B2E80">
        <w:rPr>
          <w:rStyle w:val="FootnoteReference"/>
          <w:lang w:val="es-ES_tradnl"/>
        </w:rPr>
        <w:footnoteRef/>
      </w:r>
      <w:r w:rsidRPr="002B2E80">
        <w:rPr>
          <w:lang w:val="es-ES_tradnl"/>
        </w:rPr>
        <w:t xml:space="preserve"> TWO</w:t>
      </w:r>
      <w:r w:rsidRPr="002B2E80">
        <w:rPr>
          <w:rFonts w:hint="eastAsia"/>
          <w:lang w:val="es-ES_tradnl" w:eastAsia="ja-JP"/>
        </w:rPr>
        <w:t xml:space="preserve">, </w:t>
      </w:r>
      <w:r w:rsidR="005E19F3" w:rsidRPr="005E19F3">
        <w:rPr>
          <w:lang w:val="es-ES_tradnl" w:eastAsia="ja-JP"/>
        </w:rPr>
        <w:t xml:space="preserve">quincuagésima </w:t>
      </w:r>
      <w:r w:rsidR="005E19F3">
        <w:rPr>
          <w:lang w:val="es-ES_tradnl" w:eastAsia="ja-JP"/>
        </w:rPr>
        <w:t xml:space="preserve">séptima </w:t>
      </w:r>
      <w:r w:rsidRPr="002B2E80">
        <w:rPr>
          <w:lang w:val="es-ES_tradnl"/>
        </w:rPr>
        <w:t xml:space="preserve">sesión, celebrada </w:t>
      </w:r>
      <w:r w:rsidRPr="002B2E80">
        <w:rPr>
          <w:rFonts w:hint="eastAsia"/>
          <w:lang w:val="es-ES_tradnl" w:eastAsia="ja-JP"/>
        </w:rPr>
        <w:t xml:space="preserve">en </w:t>
      </w:r>
      <w:r w:rsidRPr="002B2E80">
        <w:rPr>
          <w:lang w:val="es-ES_tradnl" w:eastAsia="ja-JP"/>
        </w:rPr>
        <w:t xml:space="preserve">Roelofarendsveen (Reino de los Países Bajos) </w:t>
      </w:r>
      <w:r w:rsidRPr="002B2E80">
        <w:rPr>
          <w:lang w:val="es-ES_tradnl"/>
        </w:rPr>
        <w:t>del</w:t>
      </w:r>
      <w:r w:rsidRPr="002B2E80">
        <w:rPr>
          <w:rFonts w:hint="eastAsia"/>
          <w:lang w:val="es-ES_tradnl" w:eastAsia="ja-JP"/>
        </w:rPr>
        <w:t xml:space="preserve"> 31 de marzo </w:t>
      </w:r>
      <w:r w:rsidRPr="002B2E80">
        <w:rPr>
          <w:lang w:val="es-ES_tradnl"/>
        </w:rPr>
        <w:t>al</w:t>
      </w:r>
      <w:r w:rsidRPr="002B2E80">
        <w:rPr>
          <w:rFonts w:hint="eastAsia"/>
          <w:lang w:val="es-ES_tradnl" w:eastAsia="ja-JP"/>
        </w:rPr>
        <w:t xml:space="preserve"> 3 de abril </w:t>
      </w:r>
      <w:r w:rsidRPr="002B2E80">
        <w:rPr>
          <w:lang w:val="es-ES_tradnl"/>
        </w:rPr>
        <w:t>de 2025</w:t>
      </w:r>
      <w:r w:rsidRPr="002B2E80">
        <w:rPr>
          <w:rFonts w:hint="eastAsia"/>
          <w:lang w:val="es-ES_tradnl" w:eastAsia="ja-JP"/>
        </w:rPr>
        <w:t xml:space="preserve">. </w:t>
      </w:r>
      <w:r w:rsidRPr="002B2E80">
        <w:rPr>
          <w:lang w:val="es-ES_tradnl"/>
        </w:rPr>
        <w:t xml:space="preserve">Véase el documento </w:t>
      </w:r>
      <w:r w:rsidRPr="002B2E80">
        <w:rPr>
          <w:rFonts w:hint="eastAsia"/>
          <w:lang w:val="es-ES_tradnl" w:eastAsia="ja-JP"/>
        </w:rPr>
        <w:t xml:space="preserve">TWO/57/10 </w:t>
      </w:r>
      <w:r w:rsidRPr="002B2E80">
        <w:rPr>
          <w:lang w:val="es-ES_tradnl"/>
        </w:rPr>
        <w:t>«Informe», párrafos</w:t>
      </w:r>
      <w:r w:rsidRPr="002B2E80">
        <w:rPr>
          <w:rFonts w:hint="eastAsia"/>
          <w:lang w:val="es-ES_tradnl" w:eastAsia="ja-JP"/>
        </w:rPr>
        <w:t xml:space="preserve"> 22 </w:t>
      </w:r>
      <w:r w:rsidRPr="002B2E80">
        <w:rPr>
          <w:lang w:val="es-ES_tradnl"/>
        </w:rPr>
        <w:t>a</w:t>
      </w:r>
      <w:r w:rsidRPr="002B2E80">
        <w:rPr>
          <w:rFonts w:hint="eastAsia"/>
          <w:lang w:val="es-ES_tradnl" w:eastAsia="ja-JP"/>
        </w:rPr>
        <w:t xml:space="preserve"> 23.</w:t>
      </w:r>
    </w:p>
  </w:footnote>
  <w:footnote w:id="4">
    <w:p w14:paraId="302941B0" w14:textId="77777777" w:rsidR="007E36E5" w:rsidRPr="002B2E80" w:rsidRDefault="007E36E5" w:rsidP="007E36E5">
      <w:pPr>
        <w:pStyle w:val="FootnoteText"/>
        <w:rPr>
          <w:lang w:val="es-ES_tradnl"/>
        </w:rPr>
      </w:pPr>
      <w:r w:rsidRPr="002B2E80">
        <w:rPr>
          <w:rStyle w:val="FootnoteReference"/>
          <w:lang w:val="es-ES_tradnl"/>
        </w:rPr>
        <w:footnoteRef/>
      </w:r>
      <w:r w:rsidRPr="002B2E80">
        <w:rPr>
          <w:spacing w:val="-2"/>
          <w:lang w:val="es-ES_tradnl"/>
        </w:rPr>
        <w:t xml:space="preserve"> TWM</w:t>
      </w:r>
      <w:r w:rsidRPr="002B2E80">
        <w:rPr>
          <w:rFonts w:hint="eastAsia"/>
          <w:spacing w:val="-2"/>
          <w:lang w:val="es-ES_tradnl" w:eastAsia="ja-JP"/>
        </w:rPr>
        <w:t xml:space="preserve">, tercera </w:t>
      </w:r>
      <w:r w:rsidRPr="002B2E80">
        <w:rPr>
          <w:spacing w:val="-2"/>
          <w:lang w:val="es-ES_tradnl"/>
        </w:rPr>
        <w:t xml:space="preserve">sesión, celebrada </w:t>
      </w:r>
      <w:r w:rsidRPr="002B2E80">
        <w:rPr>
          <w:rFonts w:hint="eastAsia"/>
          <w:spacing w:val="-2"/>
          <w:lang w:val="es-ES_tradnl" w:eastAsia="ja-JP"/>
        </w:rPr>
        <w:t xml:space="preserve">en Beijing (China) </w:t>
      </w:r>
      <w:r w:rsidRPr="002B2E80">
        <w:rPr>
          <w:spacing w:val="-2"/>
          <w:lang w:val="es-ES_tradnl"/>
        </w:rPr>
        <w:t>del 28 de abril al</w:t>
      </w:r>
      <w:r w:rsidRPr="002B2E80">
        <w:rPr>
          <w:rFonts w:hint="eastAsia"/>
          <w:spacing w:val="-2"/>
          <w:lang w:val="es-ES_tradnl" w:eastAsia="ja-JP"/>
        </w:rPr>
        <w:t xml:space="preserve"> 1 de mayo </w:t>
      </w:r>
      <w:r w:rsidRPr="002B2E80">
        <w:rPr>
          <w:spacing w:val="-2"/>
          <w:lang w:val="es-ES_tradnl"/>
        </w:rPr>
        <w:t>de 2025</w:t>
      </w:r>
      <w:r w:rsidRPr="002B2E80">
        <w:rPr>
          <w:rFonts w:hint="eastAsia"/>
          <w:spacing w:val="-2"/>
          <w:lang w:val="es-ES_tradnl" w:eastAsia="ja-JP"/>
        </w:rPr>
        <w:t xml:space="preserve">. </w:t>
      </w:r>
      <w:r w:rsidRPr="002B2E80">
        <w:rPr>
          <w:spacing w:val="-2"/>
          <w:lang w:val="es-ES_tradnl"/>
        </w:rPr>
        <w:t xml:space="preserve">Véase el documento </w:t>
      </w:r>
      <w:r w:rsidRPr="002B2E80">
        <w:rPr>
          <w:rFonts w:hint="eastAsia"/>
          <w:spacing w:val="-2"/>
          <w:lang w:val="es-ES_tradnl" w:eastAsia="ja-JP"/>
        </w:rPr>
        <w:t xml:space="preserve">TWM/3/29 </w:t>
      </w:r>
      <w:r w:rsidRPr="002B2E80">
        <w:rPr>
          <w:spacing w:val="-2"/>
          <w:lang w:val="es-ES_tradnl"/>
        </w:rPr>
        <w:t>«Informe», párrafos</w:t>
      </w:r>
      <w:r w:rsidRPr="002B2E80">
        <w:rPr>
          <w:rFonts w:hint="eastAsia"/>
          <w:spacing w:val="-2"/>
          <w:lang w:val="es-ES_tradnl" w:eastAsia="ja-JP"/>
        </w:rPr>
        <w:t xml:space="preserve"> 29 </w:t>
      </w:r>
      <w:r w:rsidRPr="002B2E80">
        <w:rPr>
          <w:spacing w:val="-2"/>
          <w:lang w:val="es-ES_tradnl"/>
        </w:rPr>
        <w:t>a</w:t>
      </w:r>
      <w:r w:rsidRPr="002B2E80">
        <w:rPr>
          <w:rFonts w:hint="eastAsia"/>
          <w:spacing w:val="-2"/>
          <w:lang w:val="es-ES_tradnl" w:eastAsia="ja-JP"/>
        </w:rPr>
        <w:t xml:space="preserve"> 31.</w:t>
      </w:r>
    </w:p>
  </w:footnote>
  <w:footnote w:id="5">
    <w:p w14:paraId="70F0AF2C" w14:textId="3C5DCFFF" w:rsidR="00E95E7F" w:rsidRPr="002B2E80" w:rsidRDefault="00E95E7F" w:rsidP="00E95E7F">
      <w:pPr>
        <w:pStyle w:val="FootnoteText"/>
        <w:rPr>
          <w:lang w:val="es-ES_tradnl"/>
        </w:rPr>
      </w:pPr>
      <w:r w:rsidRPr="002B2E80">
        <w:rPr>
          <w:rStyle w:val="FootnoteReference"/>
          <w:lang w:val="es-ES_tradnl"/>
        </w:rPr>
        <w:footnoteRef/>
      </w:r>
      <w:r w:rsidRPr="002B2E80">
        <w:rPr>
          <w:spacing w:val="-2"/>
          <w:lang w:val="es-ES_tradnl"/>
        </w:rPr>
        <w:t xml:space="preserve"> TWV</w:t>
      </w:r>
      <w:r w:rsidRPr="002B2E80">
        <w:rPr>
          <w:rFonts w:hint="eastAsia"/>
          <w:spacing w:val="-2"/>
          <w:lang w:val="es-ES_tradnl" w:eastAsia="ja-JP"/>
        </w:rPr>
        <w:t xml:space="preserve">, </w:t>
      </w:r>
      <w:r w:rsidR="005E19F3" w:rsidRPr="005E19F3">
        <w:rPr>
          <w:lang w:val="es-ES_tradnl" w:eastAsia="ja-JP"/>
        </w:rPr>
        <w:t xml:space="preserve">quincuagésima </w:t>
      </w:r>
      <w:r w:rsidR="005E19F3">
        <w:rPr>
          <w:lang w:val="es-ES_tradnl" w:eastAsia="ja-JP"/>
        </w:rPr>
        <w:t>novena</w:t>
      </w:r>
      <w:r w:rsidRPr="002B2E80">
        <w:rPr>
          <w:rFonts w:hint="eastAsia"/>
          <w:spacing w:val="-2"/>
          <w:lang w:val="es-ES_tradnl" w:eastAsia="ja-JP"/>
        </w:rPr>
        <w:t xml:space="preserve"> </w:t>
      </w:r>
      <w:r w:rsidRPr="002B2E80">
        <w:rPr>
          <w:spacing w:val="-2"/>
          <w:lang w:val="es-ES_tradnl"/>
        </w:rPr>
        <w:t xml:space="preserve">sesión, celebrada </w:t>
      </w:r>
      <w:r w:rsidRPr="002B2E80">
        <w:rPr>
          <w:rFonts w:hint="eastAsia"/>
          <w:spacing w:val="-2"/>
          <w:lang w:val="es-ES_tradnl" w:eastAsia="ja-JP"/>
        </w:rPr>
        <w:t xml:space="preserve">por medios electrónicos, </w:t>
      </w:r>
      <w:r w:rsidRPr="002B2E80">
        <w:rPr>
          <w:spacing w:val="-2"/>
          <w:lang w:val="es-ES_tradnl"/>
        </w:rPr>
        <w:t xml:space="preserve">del 5 al 8 </w:t>
      </w:r>
      <w:r w:rsidRPr="002B2E80">
        <w:rPr>
          <w:rFonts w:hint="eastAsia"/>
          <w:spacing w:val="-2"/>
          <w:lang w:val="es-ES_tradnl" w:eastAsia="ja-JP"/>
        </w:rPr>
        <w:t>de mayo de</w:t>
      </w:r>
      <w:r w:rsidRPr="002B2E80">
        <w:rPr>
          <w:spacing w:val="-2"/>
          <w:lang w:val="es-ES_tradnl"/>
        </w:rPr>
        <w:t xml:space="preserve"> 2025</w:t>
      </w:r>
      <w:r w:rsidRPr="002B2E80">
        <w:rPr>
          <w:rFonts w:hint="eastAsia"/>
          <w:spacing w:val="-2"/>
          <w:lang w:val="es-ES_tradnl" w:eastAsia="ja-JP"/>
        </w:rPr>
        <w:t xml:space="preserve">. </w:t>
      </w:r>
      <w:r w:rsidRPr="002B2E80">
        <w:rPr>
          <w:spacing w:val="-2"/>
          <w:lang w:val="es-ES_tradnl"/>
        </w:rPr>
        <w:t>Véase el documento TWV/59/19 «Informe», párrafos</w:t>
      </w:r>
      <w:r w:rsidRPr="002B2E80">
        <w:rPr>
          <w:rFonts w:hint="eastAsia"/>
          <w:spacing w:val="-2"/>
          <w:lang w:val="es-ES_tradnl" w:eastAsia="ja-JP"/>
        </w:rPr>
        <w:t xml:space="preserve"> 25 </w:t>
      </w:r>
      <w:r w:rsidRPr="002B2E80">
        <w:rPr>
          <w:spacing w:val="-2"/>
          <w:lang w:val="es-ES_tradnl"/>
        </w:rPr>
        <w:t>a</w:t>
      </w:r>
      <w:r w:rsidRPr="002B2E80">
        <w:rPr>
          <w:rFonts w:hint="eastAsia"/>
          <w:spacing w:val="-2"/>
          <w:lang w:val="es-ES_tradnl" w:eastAsia="ja-JP"/>
        </w:rPr>
        <w:t xml:space="preserve"> 26.</w:t>
      </w:r>
    </w:p>
  </w:footnote>
  <w:footnote w:id="6">
    <w:p w14:paraId="509C3AE5" w14:textId="6D322F73" w:rsidR="00E95E7F" w:rsidRPr="002B2E80" w:rsidRDefault="00E95E7F" w:rsidP="00E95E7F">
      <w:pPr>
        <w:pStyle w:val="FootnoteText"/>
        <w:rPr>
          <w:lang w:val="es-ES_tradnl"/>
        </w:rPr>
      </w:pPr>
      <w:r w:rsidRPr="002B2E80">
        <w:rPr>
          <w:rStyle w:val="FootnoteReference"/>
          <w:lang w:val="es-ES_tradnl"/>
        </w:rPr>
        <w:footnoteRef/>
      </w:r>
      <w:r w:rsidRPr="002B2E80">
        <w:rPr>
          <w:spacing w:val="-2"/>
          <w:lang w:val="es-ES_tradnl"/>
        </w:rPr>
        <w:t xml:space="preserve"> TWA</w:t>
      </w:r>
      <w:r w:rsidRPr="002B2E80">
        <w:rPr>
          <w:rFonts w:hint="eastAsia"/>
          <w:spacing w:val="-2"/>
          <w:lang w:val="es-ES_tradnl" w:eastAsia="ja-JP"/>
        </w:rPr>
        <w:t xml:space="preserve">, </w:t>
      </w:r>
      <w:r w:rsidR="005E19F3" w:rsidRPr="005E19F3">
        <w:rPr>
          <w:lang w:val="es-ES_tradnl" w:eastAsia="ja-JP"/>
        </w:rPr>
        <w:t xml:space="preserve">quincuagésima </w:t>
      </w:r>
      <w:r w:rsidR="005E19F3">
        <w:rPr>
          <w:lang w:val="es-ES_tradnl" w:eastAsia="ja-JP"/>
        </w:rPr>
        <w:t>cuarta</w:t>
      </w:r>
      <w:r w:rsidRPr="002B2E80">
        <w:rPr>
          <w:rFonts w:hint="eastAsia"/>
          <w:spacing w:val="-2"/>
          <w:lang w:val="es-ES_tradnl" w:eastAsia="ja-JP"/>
        </w:rPr>
        <w:t xml:space="preserve"> </w:t>
      </w:r>
      <w:r w:rsidRPr="002B2E80">
        <w:rPr>
          <w:spacing w:val="-2"/>
          <w:lang w:val="es-ES_tradnl"/>
        </w:rPr>
        <w:t xml:space="preserve">reunión, celebrada en </w:t>
      </w:r>
      <w:r w:rsidRPr="002B2E80">
        <w:rPr>
          <w:rFonts w:hint="eastAsia"/>
          <w:spacing w:val="-2"/>
          <w:lang w:val="es-ES_tradnl" w:eastAsia="ja-JP"/>
        </w:rPr>
        <w:t xml:space="preserve">Arusha (República Unida de </w:t>
      </w:r>
      <w:r w:rsidRPr="002B2E80">
        <w:rPr>
          <w:rFonts w:hint="eastAsia"/>
          <w:spacing w:val="-2"/>
          <w:lang w:val="es-ES_tradnl" w:eastAsia="ja-JP"/>
        </w:rPr>
        <w:t xml:space="preserve">Tanzanía) </w:t>
      </w:r>
      <w:r w:rsidRPr="002B2E80">
        <w:rPr>
          <w:spacing w:val="-2"/>
          <w:lang w:val="es-ES_tradnl"/>
        </w:rPr>
        <w:t>del</w:t>
      </w:r>
      <w:r w:rsidRPr="002B2E80">
        <w:rPr>
          <w:rFonts w:hint="eastAsia"/>
          <w:spacing w:val="-2"/>
          <w:lang w:val="es-ES_tradnl" w:eastAsia="ja-JP"/>
        </w:rPr>
        <w:t xml:space="preserve"> 19 </w:t>
      </w:r>
      <w:r w:rsidRPr="002B2E80">
        <w:rPr>
          <w:spacing w:val="-2"/>
          <w:lang w:val="es-ES_tradnl"/>
        </w:rPr>
        <w:t>al</w:t>
      </w:r>
      <w:r w:rsidRPr="002B2E80">
        <w:rPr>
          <w:rFonts w:hint="eastAsia"/>
          <w:spacing w:val="-2"/>
          <w:lang w:val="es-ES_tradnl" w:eastAsia="ja-JP"/>
        </w:rPr>
        <w:t xml:space="preserve"> 22 de mayo </w:t>
      </w:r>
      <w:r w:rsidRPr="002B2E80">
        <w:rPr>
          <w:spacing w:val="-2"/>
          <w:lang w:val="es-ES_tradnl"/>
        </w:rPr>
        <w:t>de 2025</w:t>
      </w:r>
      <w:r w:rsidRPr="002B2E80">
        <w:rPr>
          <w:rFonts w:hint="eastAsia"/>
          <w:spacing w:val="-2"/>
          <w:lang w:val="es-ES_tradnl" w:eastAsia="ja-JP"/>
        </w:rPr>
        <w:t xml:space="preserve">. </w:t>
      </w:r>
      <w:r w:rsidRPr="002B2E80">
        <w:rPr>
          <w:spacing w:val="-2"/>
          <w:lang w:val="es-ES_tradnl"/>
        </w:rPr>
        <w:t>Véase el documento TWA/54/7 «Informe», párrafos</w:t>
      </w:r>
      <w:r w:rsidRPr="002B2E80">
        <w:rPr>
          <w:rFonts w:hint="eastAsia"/>
          <w:spacing w:val="-2"/>
          <w:lang w:val="es-ES_tradnl" w:eastAsia="ja-JP"/>
        </w:rPr>
        <w:t xml:space="preserve"> 13 </w:t>
      </w:r>
      <w:r w:rsidRPr="002B2E80">
        <w:rPr>
          <w:spacing w:val="-2"/>
          <w:lang w:val="es-ES_tradnl"/>
        </w:rPr>
        <w:t>a</w:t>
      </w:r>
      <w:r w:rsidRPr="002B2E80">
        <w:rPr>
          <w:rFonts w:hint="eastAsia"/>
          <w:spacing w:val="-2"/>
          <w:lang w:val="es-ES_tradnl" w:eastAsia="ja-JP"/>
        </w:rPr>
        <w:t xml:space="preserve"> 16.</w:t>
      </w:r>
    </w:p>
  </w:footnote>
  <w:footnote w:id="7">
    <w:p w14:paraId="1451F2EC" w14:textId="54C91732" w:rsidR="006E2D2D" w:rsidRPr="002B2E80" w:rsidRDefault="006E2D2D" w:rsidP="006E2D2D">
      <w:pPr>
        <w:pStyle w:val="FootnoteText"/>
        <w:rPr>
          <w:lang w:val="es-ES_tradnl"/>
        </w:rPr>
      </w:pPr>
      <w:r w:rsidRPr="002B2E80">
        <w:rPr>
          <w:rStyle w:val="FootnoteReference"/>
          <w:lang w:val="es-ES_tradnl"/>
        </w:rPr>
        <w:footnoteRef/>
      </w:r>
      <w:r w:rsidRPr="002B2E80">
        <w:rPr>
          <w:spacing w:val="-2"/>
          <w:lang w:val="es-ES_tradnl"/>
        </w:rPr>
        <w:t xml:space="preserve"> TWF</w:t>
      </w:r>
      <w:r w:rsidRPr="002B2E80">
        <w:rPr>
          <w:rFonts w:hint="eastAsia"/>
          <w:spacing w:val="-2"/>
          <w:lang w:val="es-ES_tradnl" w:eastAsia="ja-JP"/>
        </w:rPr>
        <w:t xml:space="preserve">, </w:t>
      </w:r>
      <w:r w:rsidR="005E19F3" w:rsidRPr="005E19F3">
        <w:rPr>
          <w:lang w:val="es-ES_tradnl" w:eastAsia="ja-JP"/>
        </w:rPr>
        <w:t xml:space="preserve">quincuagésima </w:t>
      </w:r>
      <w:r w:rsidR="005E19F3">
        <w:rPr>
          <w:lang w:val="es-ES_tradnl" w:eastAsia="ja-JP"/>
        </w:rPr>
        <w:t>sexta</w:t>
      </w:r>
      <w:r w:rsidRPr="002B2E80">
        <w:rPr>
          <w:rFonts w:hint="eastAsia"/>
          <w:spacing w:val="-2"/>
          <w:lang w:val="es-ES_tradnl" w:eastAsia="ja-JP"/>
        </w:rPr>
        <w:t xml:space="preserve"> </w:t>
      </w:r>
      <w:r w:rsidRPr="002B2E80">
        <w:rPr>
          <w:spacing w:val="-2"/>
          <w:lang w:val="es-ES_tradnl"/>
        </w:rPr>
        <w:t>sesión, celebrada en Bursa (Türkiye) del</w:t>
      </w:r>
      <w:r w:rsidRPr="002B2E80">
        <w:rPr>
          <w:rFonts w:hint="eastAsia"/>
          <w:spacing w:val="-2"/>
          <w:lang w:val="es-ES_tradnl" w:eastAsia="ja-JP"/>
        </w:rPr>
        <w:t xml:space="preserve"> 23 </w:t>
      </w:r>
      <w:r w:rsidRPr="002B2E80">
        <w:rPr>
          <w:spacing w:val="-2"/>
          <w:lang w:val="es-ES_tradnl"/>
        </w:rPr>
        <w:t>al</w:t>
      </w:r>
      <w:r w:rsidRPr="002B2E80">
        <w:rPr>
          <w:rFonts w:hint="eastAsia"/>
          <w:spacing w:val="-2"/>
          <w:lang w:val="es-ES_tradnl" w:eastAsia="ja-JP"/>
        </w:rPr>
        <w:t xml:space="preserve"> 26 de junio de</w:t>
      </w:r>
      <w:r w:rsidRPr="002B2E80">
        <w:rPr>
          <w:spacing w:val="-2"/>
          <w:lang w:val="es-ES_tradnl"/>
        </w:rPr>
        <w:t xml:space="preserve"> 2025</w:t>
      </w:r>
      <w:r w:rsidRPr="002B2E80">
        <w:rPr>
          <w:rFonts w:hint="eastAsia"/>
          <w:spacing w:val="-2"/>
          <w:lang w:val="es-ES_tradnl" w:eastAsia="ja-JP"/>
        </w:rPr>
        <w:t xml:space="preserve">. </w:t>
      </w:r>
      <w:r w:rsidRPr="002B2E80">
        <w:rPr>
          <w:spacing w:val="-2"/>
          <w:lang w:val="es-ES_tradnl"/>
        </w:rPr>
        <w:t>Véase el documento TWF/56/7 «Informe», párrafos</w:t>
      </w:r>
      <w:r w:rsidRPr="002B2E80">
        <w:rPr>
          <w:rFonts w:hint="eastAsia"/>
          <w:spacing w:val="-2"/>
          <w:lang w:val="es-ES_tradnl" w:eastAsia="ja-JP"/>
        </w:rPr>
        <w:t xml:space="preserve"> 32 </w:t>
      </w:r>
      <w:r w:rsidRPr="002B2E80">
        <w:rPr>
          <w:spacing w:val="-2"/>
          <w:lang w:val="es-ES_tradnl"/>
        </w:rPr>
        <w:t>a</w:t>
      </w:r>
      <w:r w:rsidRPr="002B2E80">
        <w:rPr>
          <w:rFonts w:hint="eastAsia"/>
          <w:spacing w:val="-2"/>
          <w:lang w:val="es-ES_tradnl" w:eastAsia="ja-JP"/>
        </w:rPr>
        <w:t xml:space="preserve"> 36.</w:t>
      </w:r>
    </w:p>
  </w:footnote>
  <w:footnote w:id="8">
    <w:p w14:paraId="588E3C4C" w14:textId="7DF59260" w:rsidR="002A29A3" w:rsidRPr="002B2E80" w:rsidRDefault="002A29A3" w:rsidP="002A29A3">
      <w:pPr>
        <w:pStyle w:val="FootnoteText"/>
        <w:rPr>
          <w:lang w:val="es-ES_tradnl"/>
        </w:rPr>
      </w:pPr>
      <w:r w:rsidRPr="002B2E80">
        <w:rPr>
          <w:rStyle w:val="FootnoteReference"/>
          <w:lang w:val="es-ES_tradnl"/>
        </w:rPr>
        <w:footnoteRef/>
      </w:r>
      <w:r w:rsidRPr="002B2E80">
        <w:rPr>
          <w:lang w:val="es-ES_tradnl"/>
        </w:rPr>
        <w:t xml:space="preserve"> TC, </w:t>
      </w:r>
      <w:r w:rsidR="00B53870" w:rsidRPr="00B53870">
        <w:rPr>
          <w:lang w:val="es-ES_tradnl"/>
        </w:rPr>
        <w:t>quincuagésima octava</w:t>
      </w:r>
      <w:r w:rsidRPr="002B2E80">
        <w:rPr>
          <w:lang w:val="es-ES_tradnl"/>
        </w:rPr>
        <w:t xml:space="preserve"> reunión, celebrada en Ginebra, del 24 </w:t>
      </w:r>
      <w:r w:rsidRPr="002B2E80">
        <w:rPr>
          <w:rFonts w:hint="eastAsia"/>
          <w:lang w:val="es-ES_tradnl" w:eastAsia="ja-JP"/>
        </w:rPr>
        <w:t>al</w:t>
      </w:r>
      <w:r w:rsidRPr="002B2E80">
        <w:rPr>
          <w:lang w:val="es-ES_tradnl"/>
        </w:rPr>
        <w:t xml:space="preserve"> 25 de octubre de 2022. Véase el documento TC/58/31 «Informe», párrafos 48 a 50.</w:t>
      </w:r>
    </w:p>
  </w:footnote>
  <w:footnote w:id="9">
    <w:p w14:paraId="7A5B00BB" w14:textId="4A86CD0F" w:rsidR="00CE1599" w:rsidRPr="002B2E80" w:rsidRDefault="00CE1599" w:rsidP="00CE1599">
      <w:pPr>
        <w:pStyle w:val="FootnoteText"/>
        <w:rPr>
          <w:lang w:val="es-ES_tradnl"/>
        </w:rPr>
      </w:pPr>
      <w:r w:rsidRPr="002B2E80">
        <w:rPr>
          <w:rStyle w:val="FootnoteReference"/>
          <w:lang w:val="es-ES_tradnl"/>
        </w:rPr>
        <w:footnoteRef/>
      </w:r>
      <w:r w:rsidRPr="002B2E80">
        <w:rPr>
          <w:lang w:val="es-ES_tradnl"/>
        </w:rPr>
        <w:t xml:space="preserve"> TC, </w:t>
      </w:r>
      <w:r w:rsidR="00B53870" w:rsidRPr="00B53870">
        <w:rPr>
          <w:lang w:val="es-ES_tradnl"/>
        </w:rPr>
        <w:t xml:space="preserve">quincuagésima </w:t>
      </w:r>
      <w:r w:rsidR="00B53870">
        <w:rPr>
          <w:lang w:val="es-ES_tradnl"/>
        </w:rPr>
        <w:t>novena</w:t>
      </w:r>
      <w:r w:rsidRPr="002B2E80">
        <w:rPr>
          <w:lang w:val="es-ES_tradnl"/>
        </w:rPr>
        <w:t xml:space="preserve"> reunión, celebrada en Ginebra, del 23 </w:t>
      </w:r>
      <w:r w:rsidRPr="002B2E80">
        <w:rPr>
          <w:rFonts w:hint="eastAsia"/>
          <w:lang w:val="es-ES_tradnl" w:eastAsia="ja-JP"/>
        </w:rPr>
        <w:t>al</w:t>
      </w:r>
      <w:r w:rsidRPr="002B2E80">
        <w:rPr>
          <w:lang w:val="es-ES_tradnl"/>
        </w:rPr>
        <w:t xml:space="preserve"> 24 de octubre de 2023.</w:t>
      </w:r>
    </w:p>
  </w:footnote>
  <w:footnote w:id="10">
    <w:p w14:paraId="1E5F073A" w14:textId="7FBE9041" w:rsidR="002D2C7C" w:rsidRPr="002B2E80" w:rsidRDefault="002D2C7C" w:rsidP="002D2C7C">
      <w:pPr>
        <w:pStyle w:val="FootnoteText"/>
        <w:rPr>
          <w:lang w:val="es-ES_tradnl"/>
        </w:rPr>
      </w:pPr>
      <w:r w:rsidRPr="002B2E80">
        <w:rPr>
          <w:rStyle w:val="FootnoteReference"/>
          <w:lang w:val="es-ES_tradnl"/>
        </w:rPr>
        <w:footnoteRef/>
      </w:r>
      <w:r w:rsidRPr="002B2E80">
        <w:rPr>
          <w:lang w:val="es-ES_tradnl"/>
        </w:rPr>
        <w:t xml:space="preserve"> TC,</w:t>
      </w:r>
      <w:r w:rsidRPr="002B2E80">
        <w:rPr>
          <w:rFonts w:hint="eastAsia"/>
          <w:lang w:val="es-ES_tradnl" w:eastAsia="ja-JP"/>
        </w:rPr>
        <w:t xml:space="preserve"> </w:t>
      </w:r>
      <w:r w:rsidR="00B53870">
        <w:rPr>
          <w:lang w:val="es-ES_tradnl" w:eastAsia="ja-JP"/>
        </w:rPr>
        <w:t>s</w:t>
      </w:r>
      <w:r w:rsidR="00B53870" w:rsidRPr="00B53870">
        <w:rPr>
          <w:lang w:val="es-ES_tradnl" w:eastAsia="ja-JP"/>
        </w:rPr>
        <w:t>exagésima</w:t>
      </w:r>
      <w:r w:rsidRPr="002B2E80">
        <w:rPr>
          <w:rFonts w:hint="eastAsia"/>
          <w:lang w:val="es-ES_tradnl" w:eastAsia="ja-JP"/>
        </w:rPr>
        <w:t xml:space="preserve"> </w:t>
      </w:r>
      <w:r w:rsidRPr="002B2E80">
        <w:rPr>
          <w:lang w:val="es-ES_tradnl"/>
        </w:rPr>
        <w:t xml:space="preserve">reunión, celebrada en Ginebra, los días 21 </w:t>
      </w:r>
      <w:r w:rsidRPr="002B2E80">
        <w:rPr>
          <w:rFonts w:hint="eastAsia"/>
          <w:lang w:val="es-ES_tradnl" w:eastAsia="ja-JP"/>
        </w:rPr>
        <w:t>y</w:t>
      </w:r>
      <w:r w:rsidRPr="002B2E80">
        <w:rPr>
          <w:lang w:val="es-ES_tradnl"/>
        </w:rPr>
        <w:t xml:space="preserve"> 22 </w:t>
      </w:r>
      <w:r w:rsidRPr="002B2E80">
        <w:rPr>
          <w:rFonts w:hint="eastAsia"/>
          <w:lang w:val="es-ES_tradnl" w:eastAsia="ja-JP"/>
        </w:rPr>
        <w:t>de</w:t>
      </w:r>
      <w:r w:rsidRPr="002B2E80">
        <w:rPr>
          <w:lang w:val="es-ES_tradnl"/>
        </w:rPr>
        <w:t xml:space="preserve"> octubre </w:t>
      </w:r>
      <w:r w:rsidRPr="002B2E80">
        <w:rPr>
          <w:rFonts w:hint="eastAsia"/>
          <w:lang w:val="es-ES_tradnl" w:eastAsia="ja-JP"/>
        </w:rPr>
        <w:t>de</w:t>
      </w:r>
      <w:r w:rsidRPr="002B2E80">
        <w:rPr>
          <w:lang w:val="es-ES_tradnl"/>
        </w:rPr>
        <w:t xml:space="preserve"> 2024</w:t>
      </w:r>
      <w:r w:rsidRPr="002B2E80">
        <w:rPr>
          <w:rFonts w:hint="eastAsia"/>
          <w:lang w:val="es-ES_tradnl" w:eastAsia="ja-JP"/>
        </w:rPr>
        <w:t>.</w:t>
      </w:r>
    </w:p>
  </w:footnote>
  <w:footnote w:id="11">
    <w:p w14:paraId="6BDF8AF5" w14:textId="14B68FAA" w:rsidR="00C161BF" w:rsidRPr="002B2E80" w:rsidRDefault="00C161BF" w:rsidP="00C161BF">
      <w:pPr>
        <w:pStyle w:val="FootnoteText"/>
        <w:rPr>
          <w:lang w:val="es-ES_tradnl"/>
        </w:rPr>
      </w:pPr>
      <w:r w:rsidRPr="002B2E80">
        <w:rPr>
          <w:rStyle w:val="FootnoteReference"/>
          <w:lang w:val="es-ES_tradnl"/>
        </w:rPr>
        <w:footnoteRef/>
      </w:r>
      <w:r w:rsidRPr="002B2E80">
        <w:rPr>
          <w:lang w:val="es-ES_tradnl"/>
        </w:rPr>
        <w:t xml:space="preserve"> TWO</w:t>
      </w:r>
      <w:r w:rsidRPr="002B2E80">
        <w:rPr>
          <w:rFonts w:hint="eastAsia"/>
          <w:lang w:val="es-ES_tradnl" w:eastAsia="ja-JP"/>
        </w:rPr>
        <w:t xml:space="preserve">, </w:t>
      </w:r>
      <w:r w:rsidR="005E19F3" w:rsidRPr="005E19F3">
        <w:rPr>
          <w:lang w:val="es-ES_tradnl" w:eastAsia="ja-JP"/>
        </w:rPr>
        <w:t xml:space="preserve">quincuagésima </w:t>
      </w:r>
      <w:r w:rsidR="005E19F3">
        <w:rPr>
          <w:lang w:val="es-ES_tradnl" w:eastAsia="ja-JP"/>
        </w:rPr>
        <w:t>séptima</w:t>
      </w:r>
      <w:r w:rsidRPr="002B2E80">
        <w:rPr>
          <w:rFonts w:hint="eastAsia"/>
          <w:lang w:val="es-ES_tradnl" w:eastAsia="ja-JP"/>
        </w:rPr>
        <w:t xml:space="preserve"> </w:t>
      </w:r>
      <w:r w:rsidRPr="002B2E80">
        <w:rPr>
          <w:lang w:val="es-ES_tradnl"/>
        </w:rPr>
        <w:t xml:space="preserve">sesión, celebrada </w:t>
      </w:r>
      <w:r w:rsidRPr="002B2E80">
        <w:rPr>
          <w:rFonts w:hint="eastAsia"/>
          <w:lang w:val="es-ES_tradnl" w:eastAsia="ja-JP"/>
        </w:rPr>
        <w:t xml:space="preserve">en </w:t>
      </w:r>
      <w:r w:rsidRPr="002B2E80">
        <w:rPr>
          <w:lang w:val="es-ES_tradnl" w:eastAsia="ja-JP"/>
        </w:rPr>
        <w:t xml:space="preserve">Roelofarendsveen (Reino de los Países Bajos) </w:t>
      </w:r>
      <w:r w:rsidRPr="002B2E80">
        <w:rPr>
          <w:lang w:val="es-ES_tradnl"/>
        </w:rPr>
        <w:t>del</w:t>
      </w:r>
      <w:r w:rsidRPr="002B2E80">
        <w:rPr>
          <w:rFonts w:hint="eastAsia"/>
          <w:lang w:val="es-ES_tradnl" w:eastAsia="ja-JP"/>
        </w:rPr>
        <w:t xml:space="preserve"> 31 de marzo </w:t>
      </w:r>
      <w:r w:rsidRPr="002B2E80">
        <w:rPr>
          <w:lang w:val="es-ES_tradnl"/>
        </w:rPr>
        <w:t>al</w:t>
      </w:r>
      <w:r w:rsidRPr="002B2E80">
        <w:rPr>
          <w:rFonts w:hint="eastAsia"/>
          <w:lang w:val="es-ES_tradnl" w:eastAsia="ja-JP"/>
        </w:rPr>
        <w:t xml:space="preserve"> 3 de abril </w:t>
      </w:r>
      <w:r w:rsidRPr="002B2E80">
        <w:rPr>
          <w:lang w:val="es-ES_tradnl"/>
        </w:rPr>
        <w:t>de 2025</w:t>
      </w:r>
      <w:r w:rsidRPr="002B2E80">
        <w:rPr>
          <w:rFonts w:hint="eastAsia"/>
          <w:lang w:val="es-ES_tradnl" w:eastAsia="ja-JP"/>
        </w:rPr>
        <w:t xml:space="preserve">. </w:t>
      </w:r>
      <w:r w:rsidRPr="002B2E80">
        <w:rPr>
          <w:lang w:val="es-ES_tradnl"/>
        </w:rPr>
        <w:t xml:space="preserve">Véase el documento </w:t>
      </w:r>
      <w:r w:rsidRPr="002B2E80">
        <w:rPr>
          <w:rFonts w:hint="eastAsia"/>
          <w:lang w:val="es-ES_tradnl" w:eastAsia="ja-JP"/>
        </w:rPr>
        <w:t xml:space="preserve">TWO/57/10 </w:t>
      </w:r>
      <w:r w:rsidRPr="002B2E80">
        <w:rPr>
          <w:lang w:val="es-ES_tradnl"/>
        </w:rPr>
        <w:t>«Informe», párrafos</w:t>
      </w:r>
      <w:r w:rsidRPr="002B2E80">
        <w:rPr>
          <w:rFonts w:hint="eastAsia"/>
          <w:lang w:val="es-ES_tradnl" w:eastAsia="ja-JP"/>
        </w:rPr>
        <w:t xml:space="preserve"> 24 </w:t>
      </w:r>
      <w:r w:rsidRPr="002B2E80">
        <w:rPr>
          <w:lang w:val="es-ES_tradnl"/>
        </w:rPr>
        <w:t>a</w:t>
      </w:r>
      <w:r w:rsidRPr="002B2E80">
        <w:rPr>
          <w:rFonts w:hint="eastAsia"/>
          <w:lang w:val="es-ES_tradnl" w:eastAsia="ja-JP"/>
        </w:rPr>
        <w:t xml:space="preserve"> 27</w:t>
      </w:r>
      <w:r w:rsidR="00F03F6E" w:rsidRPr="002B2E80">
        <w:rPr>
          <w:rFonts w:hint="eastAsia"/>
          <w:lang w:val="es-ES_tradnl" w:eastAsia="ja-JP"/>
        </w:rPr>
        <w:t>.</w:t>
      </w:r>
    </w:p>
  </w:footnote>
  <w:footnote w:id="12">
    <w:p w14:paraId="0AAEB1AB" w14:textId="3BF69E95" w:rsidR="00A655A8" w:rsidRPr="002B2E80" w:rsidRDefault="00A655A8" w:rsidP="008A52E0">
      <w:pPr>
        <w:pStyle w:val="FootnoteText"/>
        <w:rPr>
          <w:lang w:val="es-ES_tradnl"/>
        </w:rPr>
      </w:pPr>
      <w:r w:rsidRPr="002B2E80">
        <w:rPr>
          <w:rStyle w:val="FootnoteReference"/>
          <w:lang w:val="es-ES_tradnl"/>
        </w:rPr>
        <w:footnoteRef/>
      </w:r>
      <w:bookmarkStart w:id="20" w:name="_Hlk198887361"/>
      <w:r w:rsidRPr="002B2E80">
        <w:rPr>
          <w:lang w:val="es-ES_tradnl"/>
        </w:rPr>
        <w:t xml:space="preserve"> TWM, </w:t>
      </w:r>
      <w:r w:rsidR="00173C8F" w:rsidRPr="002B2E80">
        <w:rPr>
          <w:lang w:val="es-ES_tradnl" w:eastAsia="ja-JP"/>
        </w:rPr>
        <w:t xml:space="preserve">tercera sesión, celebrada en Beijing (China) del 28 de abril al 1 de mayo de 2025. Véase el documento </w:t>
      </w:r>
      <w:r w:rsidR="000320D1" w:rsidRPr="002B2E80">
        <w:rPr>
          <w:rFonts w:hint="eastAsia"/>
          <w:lang w:val="es-ES_tradnl" w:eastAsia="ja-JP"/>
        </w:rPr>
        <w:t xml:space="preserve">TWM/3/29 </w:t>
      </w:r>
      <w:r w:rsidR="00173C8F" w:rsidRPr="002B2E80">
        <w:rPr>
          <w:lang w:val="es-ES_tradnl" w:eastAsia="ja-JP"/>
        </w:rPr>
        <w:t>«Informe», párrafos</w:t>
      </w:r>
      <w:r w:rsidR="00173C8F" w:rsidRPr="002B2E80">
        <w:rPr>
          <w:rFonts w:hint="eastAsia"/>
          <w:lang w:val="es-ES_tradnl" w:eastAsia="ja-JP"/>
        </w:rPr>
        <w:t xml:space="preserve"> 63 </w:t>
      </w:r>
      <w:r w:rsidR="00173C8F" w:rsidRPr="002B2E80">
        <w:rPr>
          <w:lang w:val="es-ES_tradnl" w:eastAsia="ja-JP"/>
        </w:rPr>
        <w:t>a</w:t>
      </w:r>
      <w:r w:rsidR="000320D1" w:rsidRPr="002B2E80">
        <w:rPr>
          <w:rFonts w:hint="eastAsia"/>
          <w:lang w:val="es-ES_tradnl" w:eastAsia="ja-JP"/>
        </w:rPr>
        <w:t xml:space="preserve"> 64.</w:t>
      </w:r>
      <w:bookmarkEnd w:id="20"/>
    </w:p>
  </w:footnote>
  <w:footnote w:id="13">
    <w:p w14:paraId="5DB9BB8B" w14:textId="68000F91" w:rsidR="003F18BE" w:rsidRPr="002B2E80" w:rsidRDefault="003F18BE" w:rsidP="003F18BE">
      <w:pPr>
        <w:pStyle w:val="FootnoteText"/>
        <w:rPr>
          <w:lang w:val="es-ES_tradnl"/>
        </w:rPr>
      </w:pPr>
      <w:r w:rsidRPr="002B2E80">
        <w:rPr>
          <w:rStyle w:val="FootnoteReference"/>
          <w:lang w:val="es-ES_tradnl"/>
        </w:rPr>
        <w:footnoteRef/>
      </w:r>
      <w:r w:rsidRPr="002B2E80">
        <w:rPr>
          <w:spacing w:val="-2"/>
          <w:lang w:val="es-ES_tradnl"/>
        </w:rPr>
        <w:t xml:space="preserve"> TWV</w:t>
      </w:r>
      <w:r w:rsidRPr="002B2E80">
        <w:rPr>
          <w:rFonts w:hint="eastAsia"/>
          <w:spacing w:val="-2"/>
          <w:lang w:val="es-ES_tradnl" w:eastAsia="ja-JP"/>
        </w:rPr>
        <w:t xml:space="preserve">, </w:t>
      </w:r>
      <w:r w:rsidR="005E19F3" w:rsidRPr="005E19F3">
        <w:rPr>
          <w:lang w:val="es-ES_tradnl" w:eastAsia="ja-JP"/>
        </w:rPr>
        <w:t xml:space="preserve">quincuagésima </w:t>
      </w:r>
      <w:r w:rsidR="005E19F3">
        <w:rPr>
          <w:lang w:val="es-ES_tradnl" w:eastAsia="ja-JP"/>
        </w:rPr>
        <w:t>novena</w:t>
      </w:r>
      <w:r w:rsidRPr="002B2E80">
        <w:rPr>
          <w:rFonts w:hint="eastAsia"/>
          <w:spacing w:val="-2"/>
          <w:lang w:val="es-ES_tradnl" w:eastAsia="ja-JP"/>
        </w:rPr>
        <w:t xml:space="preserve"> </w:t>
      </w:r>
      <w:r w:rsidRPr="002B2E80">
        <w:rPr>
          <w:spacing w:val="-2"/>
          <w:lang w:val="es-ES_tradnl"/>
        </w:rPr>
        <w:t xml:space="preserve">reunión, celebrada </w:t>
      </w:r>
      <w:r w:rsidRPr="002B2E80">
        <w:rPr>
          <w:rFonts w:hint="eastAsia"/>
          <w:spacing w:val="-2"/>
          <w:lang w:val="es-ES_tradnl" w:eastAsia="ja-JP"/>
        </w:rPr>
        <w:t xml:space="preserve">por medios electrónicos, </w:t>
      </w:r>
      <w:r w:rsidRPr="002B2E80">
        <w:rPr>
          <w:spacing w:val="-2"/>
          <w:lang w:val="es-ES_tradnl"/>
        </w:rPr>
        <w:t xml:space="preserve">del 5 al 8 </w:t>
      </w:r>
      <w:r w:rsidRPr="002B2E80">
        <w:rPr>
          <w:rFonts w:hint="eastAsia"/>
          <w:spacing w:val="-2"/>
          <w:lang w:val="es-ES_tradnl" w:eastAsia="ja-JP"/>
        </w:rPr>
        <w:t>de mayo de</w:t>
      </w:r>
      <w:r w:rsidRPr="002B2E80">
        <w:rPr>
          <w:spacing w:val="-2"/>
          <w:lang w:val="es-ES_tradnl"/>
        </w:rPr>
        <w:t xml:space="preserve"> 2025</w:t>
      </w:r>
      <w:r w:rsidRPr="002B2E80">
        <w:rPr>
          <w:rFonts w:hint="eastAsia"/>
          <w:spacing w:val="-2"/>
          <w:lang w:val="es-ES_tradnl" w:eastAsia="ja-JP"/>
        </w:rPr>
        <w:t xml:space="preserve">. </w:t>
      </w:r>
      <w:r w:rsidRPr="002B2E80">
        <w:rPr>
          <w:spacing w:val="-2"/>
          <w:lang w:val="es-ES_tradnl"/>
        </w:rPr>
        <w:t>Véase el documento TWV/59/19 «Informe», párrafos</w:t>
      </w:r>
      <w:r w:rsidRPr="002B2E80">
        <w:rPr>
          <w:rFonts w:hint="eastAsia"/>
          <w:spacing w:val="-2"/>
          <w:lang w:val="es-ES_tradnl" w:eastAsia="ja-JP"/>
        </w:rPr>
        <w:t xml:space="preserve"> 27 </w:t>
      </w:r>
      <w:r w:rsidRPr="002B2E80">
        <w:rPr>
          <w:spacing w:val="-2"/>
          <w:lang w:val="es-ES_tradnl"/>
        </w:rPr>
        <w:t>a</w:t>
      </w:r>
      <w:r w:rsidR="00BC6C1D" w:rsidRPr="002B2E80">
        <w:rPr>
          <w:rFonts w:hint="eastAsia"/>
          <w:spacing w:val="-2"/>
          <w:lang w:val="es-ES_tradnl" w:eastAsia="ja-JP"/>
        </w:rPr>
        <w:t xml:space="preserve"> 32.</w:t>
      </w:r>
    </w:p>
  </w:footnote>
  <w:footnote w:id="14">
    <w:p w14:paraId="3FB9D152" w14:textId="7C508427" w:rsidR="0012713E" w:rsidRPr="002B2E80" w:rsidRDefault="0012713E" w:rsidP="0012713E">
      <w:pPr>
        <w:pStyle w:val="FootnoteText"/>
        <w:rPr>
          <w:lang w:val="es-ES_tradnl"/>
        </w:rPr>
      </w:pPr>
      <w:r w:rsidRPr="002B2E80">
        <w:rPr>
          <w:rStyle w:val="FootnoteReference"/>
          <w:lang w:val="es-ES_tradnl"/>
        </w:rPr>
        <w:footnoteRef/>
      </w:r>
      <w:r w:rsidRPr="002B2E80">
        <w:rPr>
          <w:spacing w:val="-2"/>
          <w:lang w:val="es-ES_tradnl"/>
        </w:rPr>
        <w:t xml:space="preserve"> TWA</w:t>
      </w:r>
      <w:r w:rsidRPr="002B2E80">
        <w:rPr>
          <w:rFonts w:hint="eastAsia"/>
          <w:spacing w:val="-2"/>
          <w:lang w:val="es-ES_tradnl" w:eastAsia="ja-JP"/>
        </w:rPr>
        <w:t xml:space="preserve">, </w:t>
      </w:r>
      <w:r w:rsidR="005E19F3" w:rsidRPr="005E19F3">
        <w:rPr>
          <w:lang w:val="es-ES_tradnl" w:eastAsia="ja-JP"/>
        </w:rPr>
        <w:t xml:space="preserve">quincuagésima </w:t>
      </w:r>
      <w:r w:rsidR="005E19F3">
        <w:rPr>
          <w:lang w:val="es-ES_tradnl" w:eastAsia="ja-JP"/>
        </w:rPr>
        <w:t>cuarta</w:t>
      </w:r>
      <w:r w:rsidRPr="002B2E80">
        <w:rPr>
          <w:rFonts w:hint="eastAsia"/>
          <w:spacing w:val="-2"/>
          <w:lang w:val="es-ES_tradnl" w:eastAsia="ja-JP"/>
        </w:rPr>
        <w:t xml:space="preserve"> </w:t>
      </w:r>
      <w:r w:rsidRPr="002B2E80">
        <w:rPr>
          <w:spacing w:val="-2"/>
          <w:lang w:val="es-ES_tradnl"/>
        </w:rPr>
        <w:t xml:space="preserve">reunión, celebrada en </w:t>
      </w:r>
      <w:r w:rsidRPr="002B2E80">
        <w:rPr>
          <w:rFonts w:hint="eastAsia"/>
          <w:spacing w:val="-2"/>
          <w:lang w:val="es-ES_tradnl" w:eastAsia="ja-JP"/>
        </w:rPr>
        <w:t xml:space="preserve">Arusha (República Unida de </w:t>
      </w:r>
      <w:r w:rsidRPr="002B2E80">
        <w:rPr>
          <w:rFonts w:hint="eastAsia"/>
          <w:spacing w:val="-2"/>
          <w:lang w:val="es-ES_tradnl" w:eastAsia="ja-JP"/>
        </w:rPr>
        <w:t xml:space="preserve">Tanzanía) </w:t>
      </w:r>
      <w:r w:rsidRPr="002B2E80">
        <w:rPr>
          <w:spacing w:val="-2"/>
          <w:lang w:val="es-ES_tradnl"/>
        </w:rPr>
        <w:t>del</w:t>
      </w:r>
      <w:r w:rsidRPr="002B2E80">
        <w:rPr>
          <w:rFonts w:hint="eastAsia"/>
          <w:spacing w:val="-2"/>
          <w:lang w:val="es-ES_tradnl" w:eastAsia="ja-JP"/>
        </w:rPr>
        <w:t xml:space="preserve"> 19 </w:t>
      </w:r>
      <w:r w:rsidRPr="002B2E80">
        <w:rPr>
          <w:spacing w:val="-2"/>
          <w:lang w:val="es-ES_tradnl"/>
        </w:rPr>
        <w:t>al</w:t>
      </w:r>
      <w:r w:rsidRPr="002B2E80">
        <w:rPr>
          <w:rFonts w:hint="eastAsia"/>
          <w:spacing w:val="-2"/>
          <w:lang w:val="es-ES_tradnl" w:eastAsia="ja-JP"/>
        </w:rPr>
        <w:t xml:space="preserve"> 22 de mayo </w:t>
      </w:r>
      <w:r w:rsidRPr="002B2E80">
        <w:rPr>
          <w:spacing w:val="-2"/>
          <w:lang w:val="es-ES_tradnl"/>
        </w:rPr>
        <w:t>de 2025</w:t>
      </w:r>
      <w:r w:rsidRPr="002B2E80">
        <w:rPr>
          <w:rFonts w:hint="eastAsia"/>
          <w:spacing w:val="-2"/>
          <w:lang w:val="es-ES_tradnl" w:eastAsia="ja-JP"/>
        </w:rPr>
        <w:t xml:space="preserve">. </w:t>
      </w:r>
      <w:r w:rsidRPr="002B2E80">
        <w:rPr>
          <w:spacing w:val="-2"/>
          <w:lang w:val="es-ES_tradnl"/>
        </w:rPr>
        <w:t>Véase el documento TWA/54/7 «Informe», párrafos</w:t>
      </w:r>
      <w:r w:rsidR="000346AB" w:rsidRPr="002B2E80">
        <w:rPr>
          <w:rFonts w:hint="eastAsia"/>
          <w:spacing w:val="-2"/>
          <w:lang w:val="es-ES_tradnl" w:eastAsia="ja-JP"/>
        </w:rPr>
        <w:t xml:space="preserve"> 17 </w:t>
      </w:r>
      <w:r w:rsidRPr="002B2E80">
        <w:rPr>
          <w:spacing w:val="-2"/>
          <w:lang w:val="es-ES_tradnl"/>
        </w:rPr>
        <w:t>a</w:t>
      </w:r>
      <w:r w:rsidR="000346AB" w:rsidRPr="002B2E80">
        <w:rPr>
          <w:rFonts w:hint="eastAsia"/>
          <w:spacing w:val="-2"/>
          <w:lang w:val="es-ES_tradnl" w:eastAsia="ja-JP"/>
        </w:rPr>
        <w:t xml:space="preserve"> 21.</w:t>
      </w:r>
    </w:p>
  </w:footnote>
  <w:footnote w:id="15">
    <w:p w14:paraId="56A006A9" w14:textId="7239DE6B" w:rsidR="0012713E" w:rsidRPr="002B2E80" w:rsidRDefault="0012713E" w:rsidP="0012713E">
      <w:pPr>
        <w:pStyle w:val="FootnoteText"/>
        <w:rPr>
          <w:lang w:val="es-ES_tradnl"/>
        </w:rPr>
      </w:pPr>
      <w:r w:rsidRPr="002B2E80">
        <w:rPr>
          <w:rStyle w:val="FootnoteReference"/>
          <w:lang w:val="es-ES_tradnl"/>
        </w:rPr>
        <w:footnoteRef/>
      </w:r>
      <w:r w:rsidRPr="002B2E80">
        <w:rPr>
          <w:spacing w:val="-2"/>
          <w:lang w:val="es-ES_tradnl"/>
        </w:rPr>
        <w:t xml:space="preserve"> TWF</w:t>
      </w:r>
      <w:r w:rsidRPr="002B2E80">
        <w:rPr>
          <w:rFonts w:hint="eastAsia"/>
          <w:spacing w:val="-2"/>
          <w:lang w:val="es-ES_tradnl" w:eastAsia="ja-JP"/>
        </w:rPr>
        <w:t xml:space="preserve">, </w:t>
      </w:r>
      <w:r w:rsidR="005E19F3" w:rsidRPr="005E19F3">
        <w:rPr>
          <w:lang w:val="es-ES_tradnl" w:eastAsia="ja-JP"/>
        </w:rPr>
        <w:t xml:space="preserve">quincuagésima </w:t>
      </w:r>
      <w:r w:rsidR="005E19F3">
        <w:rPr>
          <w:lang w:val="es-ES_tradnl" w:eastAsia="ja-JP"/>
        </w:rPr>
        <w:t>sexta</w:t>
      </w:r>
      <w:r w:rsidRPr="002B2E80">
        <w:rPr>
          <w:rFonts w:hint="eastAsia"/>
          <w:spacing w:val="-2"/>
          <w:lang w:val="es-ES_tradnl" w:eastAsia="ja-JP"/>
        </w:rPr>
        <w:t xml:space="preserve"> </w:t>
      </w:r>
      <w:r w:rsidRPr="002B2E80">
        <w:rPr>
          <w:spacing w:val="-2"/>
          <w:lang w:val="es-ES_tradnl"/>
        </w:rPr>
        <w:t>reunión, celebrada en Bursa (Türkiye) del</w:t>
      </w:r>
      <w:r w:rsidRPr="002B2E80">
        <w:rPr>
          <w:rFonts w:hint="eastAsia"/>
          <w:spacing w:val="-2"/>
          <w:lang w:val="es-ES_tradnl" w:eastAsia="ja-JP"/>
        </w:rPr>
        <w:t xml:space="preserve"> 23 </w:t>
      </w:r>
      <w:r w:rsidRPr="002B2E80">
        <w:rPr>
          <w:spacing w:val="-2"/>
          <w:lang w:val="es-ES_tradnl"/>
        </w:rPr>
        <w:t>al</w:t>
      </w:r>
      <w:r w:rsidRPr="002B2E80">
        <w:rPr>
          <w:rFonts w:hint="eastAsia"/>
          <w:spacing w:val="-2"/>
          <w:lang w:val="es-ES_tradnl" w:eastAsia="ja-JP"/>
        </w:rPr>
        <w:t xml:space="preserve"> 26 de junio de</w:t>
      </w:r>
      <w:r w:rsidRPr="002B2E80">
        <w:rPr>
          <w:spacing w:val="-2"/>
          <w:lang w:val="es-ES_tradnl"/>
        </w:rPr>
        <w:t xml:space="preserve"> 2025</w:t>
      </w:r>
      <w:r w:rsidRPr="002B2E80">
        <w:rPr>
          <w:rFonts w:hint="eastAsia"/>
          <w:spacing w:val="-2"/>
          <w:lang w:val="es-ES_tradnl" w:eastAsia="ja-JP"/>
        </w:rPr>
        <w:t xml:space="preserve">. </w:t>
      </w:r>
      <w:r w:rsidRPr="002B2E80">
        <w:rPr>
          <w:spacing w:val="-2"/>
          <w:lang w:val="es-ES_tradnl"/>
        </w:rPr>
        <w:t>Véase el documento TWF/56/7 «Informe», párrafos</w:t>
      </w:r>
      <w:r w:rsidR="00B52114" w:rsidRPr="002B2E80">
        <w:rPr>
          <w:rFonts w:hint="eastAsia"/>
          <w:spacing w:val="-2"/>
          <w:lang w:val="es-ES_tradnl" w:eastAsia="ja-JP"/>
        </w:rPr>
        <w:t xml:space="preserve"> 37 </w:t>
      </w:r>
      <w:r w:rsidRPr="002B2E80">
        <w:rPr>
          <w:spacing w:val="-2"/>
          <w:lang w:val="es-ES_tradnl"/>
        </w:rPr>
        <w:t>a</w:t>
      </w:r>
      <w:r w:rsidR="00B52114" w:rsidRPr="002B2E80">
        <w:rPr>
          <w:rFonts w:hint="eastAsia"/>
          <w:spacing w:val="-2"/>
          <w:lang w:val="es-ES_tradnl" w:eastAsia="ja-JP"/>
        </w:rPr>
        <w:t xml:space="preserve"> 38.</w:t>
      </w:r>
    </w:p>
  </w:footnote>
  <w:footnote w:id="16">
    <w:p w14:paraId="16F25E54" w14:textId="02A78464" w:rsidR="008D0B9F" w:rsidRPr="002B2E80" w:rsidRDefault="008D0B9F" w:rsidP="008D0B9F">
      <w:pPr>
        <w:pStyle w:val="FootnoteText"/>
        <w:rPr>
          <w:lang w:val="es-ES_tradnl"/>
        </w:rPr>
      </w:pPr>
      <w:r w:rsidRPr="002B2E80">
        <w:rPr>
          <w:rStyle w:val="FootnoteReference"/>
          <w:lang w:val="es-ES_tradnl"/>
        </w:rPr>
        <w:footnoteRef/>
      </w:r>
      <w:r w:rsidR="00A66DD1" w:rsidRPr="002B2E80">
        <w:rPr>
          <w:spacing w:val="-2"/>
          <w:lang w:val="es-ES_tradnl"/>
        </w:rPr>
        <w:t xml:space="preserve"> TC, </w:t>
      </w:r>
      <w:r w:rsidR="005E19F3" w:rsidRPr="005E19F3">
        <w:rPr>
          <w:lang w:val="es-ES_tradnl" w:eastAsia="ja-JP"/>
        </w:rPr>
        <w:t xml:space="preserve">quincuagésima </w:t>
      </w:r>
      <w:r w:rsidR="005E19F3">
        <w:rPr>
          <w:lang w:val="es-ES_tradnl" w:eastAsia="ja-JP"/>
        </w:rPr>
        <w:t>séptima</w:t>
      </w:r>
      <w:r w:rsidR="00A66DD1" w:rsidRPr="002B2E80">
        <w:rPr>
          <w:spacing w:val="-2"/>
          <w:lang w:val="es-ES_tradnl"/>
        </w:rPr>
        <w:t xml:space="preserve"> reunión, celebrada en Ginebra, del 25 </w:t>
      </w:r>
      <w:r w:rsidR="00825147" w:rsidRPr="002B2E80">
        <w:rPr>
          <w:rFonts w:hint="eastAsia"/>
          <w:spacing w:val="-2"/>
          <w:lang w:val="es-ES_tradnl" w:eastAsia="ja-JP"/>
        </w:rPr>
        <w:t>al</w:t>
      </w:r>
      <w:r w:rsidR="00A66DD1" w:rsidRPr="002B2E80">
        <w:rPr>
          <w:spacing w:val="-2"/>
          <w:lang w:val="es-ES_tradnl"/>
        </w:rPr>
        <w:t xml:space="preserve"> 26 </w:t>
      </w:r>
      <w:r w:rsidR="00001225" w:rsidRPr="002B2E80">
        <w:rPr>
          <w:rFonts w:hint="eastAsia"/>
          <w:spacing w:val="-2"/>
          <w:lang w:val="es-ES_tradnl" w:eastAsia="ja-JP"/>
        </w:rPr>
        <w:t>de</w:t>
      </w:r>
      <w:r w:rsidR="00A66DD1" w:rsidRPr="002B2E80">
        <w:rPr>
          <w:spacing w:val="-2"/>
          <w:lang w:val="es-ES_tradnl"/>
        </w:rPr>
        <w:t xml:space="preserve"> octubre de 2021</w:t>
      </w:r>
      <w:r w:rsidR="00107461" w:rsidRPr="002B2E80">
        <w:rPr>
          <w:rFonts w:hint="eastAsia"/>
          <w:spacing w:val="-2"/>
          <w:lang w:val="es-ES_tradnl" w:eastAsia="ja-JP"/>
        </w:rPr>
        <w:t>.</w:t>
      </w:r>
    </w:p>
  </w:footnote>
  <w:footnote w:id="17">
    <w:p w14:paraId="27FF64D4" w14:textId="7BDBE6AB" w:rsidR="00B63F38" w:rsidRPr="002B2E80" w:rsidRDefault="00B63F38" w:rsidP="00B63F38">
      <w:pPr>
        <w:pStyle w:val="FootnoteText"/>
        <w:rPr>
          <w:lang w:val="es-ES_tradnl"/>
        </w:rPr>
      </w:pPr>
      <w:r w:rsidRPr="002B2E80">
        <w:rPr>
          <w:rStyle w:val="FootnoteReference"/>
          <w:lang w:val="es-ES_tradnl"/>
        </w:rPr>
        <w:footnoteRef/>
      </w:r>
      <w:r w:rsidR="00E3484E" w:rsidRPr="002B2E80">
        <w:rPr>
          <w:spacing w:val="-2"/>
          <w:lang w:val="es-ES_tradnl"/>
        </w:rPr>
        <w:t xml:space="preserve"> TWM, tercera sesión, celebrada en Pekín (China) del 28 de abril al 1 de mayo de 2025. Véase el documento TWM/3/29 «Informe», párrafos</w:t>
      </w:r>
      <w:r w:rsidR="0019155A" w:rsidRPr="002B2E80">
        <w:rPr>
          <w:rFonts w:hint="eastAsia"/>
          <w:spacing w:val="-2"/>
          <w:lang w:val="es-ES_tradnl" w:eastAsia="ja-JP"/>
        </w:rPr>
        <w:t xml:space="preserve"> 20 </w:t>
      </w:r>
      <w:r w:rsidR="00E3484E" w:rsidRPr="002B2E80">
        <w:rPr>
          <w:spacing w:val="-2"/>
          <w:lang w:val="es-ES_tradnl"/>
        </w:rPr>
        <w:t>a</w:t>
      </w:r>
      <w:r w:rsidR="0019155A" w:rsidRPr="002B2E80">
        <w:rPr>
          <w:rFonts w:hint="eastAsia"/>
          <w:spacing w:val="-2"/>
          <w:lang w:val="es-ES_tradnl" w:eastAsia="ja-JP"/>
        </w:rPr>
        <w:t xml:space="preserve"> 28.</w:t>
      </w:r>
    </w:p>
  </w:footnote>
  <w:footnote w:id="18">
    <w:p w14:paraId="15EDE158" w14:textId="77777777" w:rsidR="00CF2609" w:rsidRPr="002B2E80" w:rsidRDefault="00CF2609" w:rsidP="00CF2609">
      <w:pPr>
        <w:pStyle w:val="FootnoteText"/>
        <w:rPr>
          <w:lang w:val="es-ES_tradnl"/>
        </w:rPr>
      </w:pPr>
      <w:r w:rsidRPr="002B2E80">
        <w:rPr>
          <w:rStyle w:val="FootnoteReference"/>
          <w:lang w:val="es-ES_tradnl"/>
        </w:rPr>
        <w:footnoteRef/>
      </w:r>
      <w:r w:rsidRPr="002B2E80">
        <w:rPr>
          <w:spacing w:val="-2"/>
          <w:lang w:val="es-ES_tradnl"/>
        </w:rPr>
        <w:t xml:space="preserve"> TWM, tercera reunión, celebrada en Pekín (China) del 28 de abril al 1 de mayo de 2025. Véase el documento TWM/3/29 «Informe», párrafos</w:t>
      </w:r>
      <w:r w:rsidRPr="002B2E80">
        <w:rPr>
          <w:rFonts w:hint="eastAsia"/>
          <w:spacing w:val="-2"/>
          <w:lang w:val="es-ES_tradnl" w:eastAsia="ja-JP"/>
        </w:rPr>
        <w:t xml:space="preserve"> 35.</w:t>
      </w:r>
    </w:p>
  </w:footnote>
  <w:footnote w:id="19">
    <w:p w14:paraId="34506994" w14:textId="66ADF3F7" w:rsidR="0035048E" w:rsidRPr="002B2E80" w:rsidRDefault="0035048E">
      <w:pPr>
        <w:pStyle w:val="FootnoteText"/>
        <w:rPr>
          <w:lang w:val="es-ES_tradnl"/>
        </w:rPr>
      </w:pPr>
      <w:r w:rsidRPr="002B2E80">
        <w:rPr>
          <w:rStyle w:val="FootnoteReference"/>
          <w:lang w:val="es-ES_tradnl"/>
        </w:rPr>
        <w:footnoteRef/>
      </w:r>
      <w:r w:rsidRPr="002B2E80">
        <w:rPr>
          <w:spacing w:val="-2"/>
          <w:lang w:val="es-ES_tradnl"/>
        </w:rPr>
        <w:t xml:space="preserve"> TWM, tercera sesión, celebrada en Pekín (China) del 28 de abril al 1 de mayo de 2025. Véase el documento TWM/3/29 «Informe», párrafo</w:t>
      </w:r>
      <w:r w:rsidR="009532AD">
        <w:rPr>
          <w:spacing w:val="-2"/>
          <w:lang w:val="es-ES_tradnl"/>
        </w:rPr>
        <w:t> </w:t>
      </w:r>
      <w:r w:rsidRPr="002B2E80">
        <w:rPr>
          <w:spacing w:val="-2"/>
          <w:lang w:val="es-ES_tradnl"/>
        </w:rPr>
        <w:t>28.</w:t>
      </w:r>
    </w:p>
  </w:footnote>
  <w:footnote w:id="20">
    <w:p w14:paraId="3DFCCC84" w14:textId="77777777" w:rsidR="00A07516" w:rsidRDefault="00A07516" w:rsidP="00A07516">
      <w:pPr>
        <w:pStyle w:val="FootnoteText"/>
      </w:pPr>
      <w:r w:rsidRPr="002B2E80">
        <w:rPr>
          <w:rStyle w:val="FootnoteReference"/>
          <w:lang w:val="es-ES_tradnl"/>
        </w:rPr>
        <w:footnoteRef/>
      </w:r>
      <w:r w:rsidRPr="002B2E80">
        <w:rPr>
          <w:lang w:val="es-ES_tradnl"/>
        </w:rPr>
        <w:t xml:space="preserve"> Reunión anual de los programas de semillas de la OCDE, 12 y 13 de junio de 2025. Véase el documento «Confirmación de los resultados».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E0C3" w14:textId="14EB8F15" w:rsidR="0004198B" w:rsidRPr="002B2E80" w:rsidRDefault="000E34BE" w:rsidP="00EB048E">
    <w:pPr>
      <w:pStyle w:val="Header"/>
      <w:rPr>
        <w:rStyle w:val="PageNumber"/>
        <w:lang w:val="es-ES_tradnl"/>
      </w:rPr>
    </w:pPr>
    <w:r>
      <w:rPr>
        <w:rStyle w:val="PageNumber"/>
        <w:lang w:val="es-ES_tradnl"/>
      </w:rPr>
      <w:t>SESSIONS/2025</w:t>
    </w:r>
    <w:r w:rsidR="002A12E1" w:rsidRPr="002B2E80">
      <w:rPr>
        <w:rStyle w:val="PageNumber"/>
        <w:lang w:val="es-ES_tradnl"/>
      </w:rPr>
      <w:t>/6</w:t>
    </w:r>
  </w:p>
  <w:p w14:paraId="757C8FAC" w14:textId="77777777" w:rsidR="0004198B" w:rsidRPr="002B2E80" w:rsidRDefault="0004198B" w:rsidP="00EB048E">
    <w:pPr>
      <w:pStyle w:val="Header"/>
      <w:rPr>
        <w:lang w:val="es-ES_tradnl"/>
      </w:rPr>
    </w:pPr>
    <w:r w:rsidRPr="002B2E80">
      <w:rPr>
        <w:lang w:val="es-ES_tradnl"/>
      </w:rPr>
      <w:t xml:space="preserve">página </w:t>
    </w:r>
    <w:r w:rsidRPr="002B2E80">
      <w:rPr>
        <w:rStyle w:val="PageNumber"/>
        <w:lang w:val="es-ES_tradnl"/>
      </w:rPr>
      <w:fldChar w:fldCharType="begin"/>
    </w:r>
    <w:r w:rsidRPr="002B2E80">
      <w:rPr>
        <w:rStyle w:val="PageNumber"/>
        <w:lang w:val="es-ES_tradnl"/>
      </w:rPr>
      <w:instrText xml:space="preserve"> PAGE </w:instrText>
    </w:r>
    <w:r w:rsidRPr="002B2E80">
      <w:rPr>
        <w:rStyle w:val="PageNumber"/>
        <w:lang w:val="es-ES_tradnl"/>
      </w:rPr>
      <w:fldChar w:fldCharType="separate"/>
    </w:r>
    <w:r w:rsidR="00EF49B5" w:rsidRPr="002B2E80">
      <w:rPr>
        <w:rStyle w:val="PageNumber"/>
        <w:lang w:val="es-ES_tradnl"/>
      </w:rPr>
      <w:t>2</w:t>
    </w:r>
    <w:r w:rsidRPr="002B2E80">
      <w:rPr>
        <w:rStyle w:val="PageNumber"/>
        <w:lang w:val="es-ES_tradnl"/>
      </w:rPr>
      <w:fldChar w:fldCharType="end"/>
    </w:r>
  </w:p>
  <w:p w14:paraId="46A0BCFC" w14:textId="77777777" w:rsidR="0004198B" w:rsidRPr="002B2E80"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6C33" w14:textId="4F7B05E5" w:rsidR="00550FF9" w:rsidRPr="002B2E80" w:rsidRDefault="000E34BE" w:rsidP="00EB048E">
    <w:pPr>
      <w:pStyle w:val="Header"/>
      <w:rPr>
        <w:rStyle w:val="PageNumber"/>
        <w:lang w:val="es-ES_tradnl"/>
      </w:rPr>
    </w:pPr>
    <w:r>
      <w:rPr>
        <w:rStyle w:val="PageNumber"/>
        <w:lang w:val="es-ES_tradnl"/>
      </w:rPr>
      <w:t>SESSIONS/2025</w:t>
    </w:r>
    <w:r w:rsidR="00550FF9" w:rsidRPr="002B2E80">
      <w:rPr>
        <w:rStyle w:val="PageNumber"/>
        <w:lang w:val="es-ES_tradnl"/>
      </w:rPr>
      <w:t>/6</w:t>
    </w:r>
  </w:p>
  <w:p w14:paraId="2F93ACBB" w14:textId="18BCFE7B" w:rsidR="00550FF9" w:rsidRPr="002B2E80" w:rsidRDefault="00550FF9" w:rsidP="00EB048E">
    <w:pPr>
      <w:pStyle w:val="Header"/>
      <w:rPr>
        <w:lang w:val="es-ES_tradnl"/>
      </w:rPr>
    </w:pPr>
    <w:r w:rsidRPr="002B2E80">
      <w:rPr>
        <w:lang w:val="es-ES_tradnl"/>
      </w:rPr>
      <w:t xml:space="preserve">Anexo, página </w:t>
    </w:r>
    <w:r w:rsidRPr="002B2E80">
      <w:rPr>
        <w:rStyle w:val="PageNumber"/>
        <w:lang w:val="es-ES_tradnl"/>
      </w:rPr>
      <w:fldChar w:fldCharType="begin"/>
    </w:r>
    <w:r w:rsidRPr="002B2E80">
      <w:rPr>
        <w:rStyle w:val="PageNumber"/>
        <w:lang w:val="es-ES_tradnl"/>
      </w:rPr>
      <w:instrText xml:space="preserve"> PAGE </w:instrText>
    </w:r>
    <w:r w:rsidRPr="002B2E80">
      <w:rPr>
        <w:rStyle w:val="PageNumber"/>
        <w:lang w:val="es-ES_tradnl"/>
      </w:rPr>
      <w:fldChar w:fldCharType="separate"/>
    </w:r>
    <w:r w:rsidRPr="002B2E80">
      <w:rPr>
        <w:rStyle w:val="PageNumber"/>
        <w:lang w:val="es-ES_tradnl"/>
      </w:rPr>
      <w:t>2</w:t>
    </w:r>
    <w:r w:rsidRPr="002B2E80">
      <w:rPr>
        <w:rStyle w:val="PageNumber"/>
        <w:lang w:val="es-ES_tradnl"/>
      </w:rPr>
      <w:fldChar w:fldCharType="end"/>
    </w:r>
  </w:p>
  <w:p w14:paraId="4F56515B" w14:textId="77777777" w:rsidR="00550FF9" w:rsidRPr="002B2E80" w:rsidRDefault="00550FF9" w:rsidP="006655D3"/>
  <w:p w14:paraId="0D1CDE71" w14:textId="77777777" w:rsidR="001E2051" w:rsidRPr="002B2E80" w:rsidRDefault="001E2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377" w14:textId="72953CA9" w:rsidR="00550FF9" w:rsidRPr="002B2E80" w:rsidRDefault="000E34BE" w:rsidP="00550FF9">
    <w:pPr>
      <w:pStyle w:val="Header"/>
      <w:rPr>
        <w:rStyle w:val="PageNumber"/>
        <w:lang w:val="es-ES_tradnl"/>
      </w:rPr>
    </w:pPr>
    <w:r>
      <w:rPr>
        <w:rStyle w:val="PageNumber"/>
        <w:lang w:val="es-ES_tradnl"/>
      </w:rPr>
      <w:t>SESSIONS/2025</w:t>
    </w:r>
    <w:r w:rsidR="00550FF9" w:rsidRPr="002B2E80">
      <w:rPr>
        <w:rStyle w:val="PageNumber"/>
        <w:lang w:val="es-ES_tradnl"/>
      </w:rPr>
      <w:t>/6</w:t>
    </w:r>
  </w:p>
  <w:p w14:paraId="3C5FC7EA" w14:textId="2DD73E5C" w:rsidR="00550FF9" w:rsidRPr="002B2E80" w:rsidRDefault="00550FF9" w:rsidP="00550FF9">
    <w:pPr>
      <w:pStyle w:val="Header"/>
      <w:rPr>
        <w:lang w:val="es-ES_tradnl"/>
      </w:rPr>
    </w:pPr>
  </w:p>
  <w:p w14:paraId="0EE73618" w14:textId="289FAE55" w:rsidR="00550FF9" w:rsidRPr="002B2E80" w:rsidRDefault="00550FF9" w:rsidP="00550FF9">
    <w:pPr>
      <w:pStyle w:val="Header"/>
      <w:rPr>
        <w:lang w:val="es-ES_tradnl"/>
      </w:rPr>
    </w:pPr>
    <w:r w:rsidRPr="002B2E80">
      <w:rPr>
        <w:lang w:val="es-ES_tradnl"/>
      </w:rPr>
      <w:t>ANEXO</w:t>
    </w:r>
  </w:p>
  <w:p w14:paraId="3602BF50" w14:textId="77777777" w:rsidR="00550FF9" w:rsidRPr="002B2E80" w:rsidRDefault="00550FF9" w:rsidP="0004198B">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D5F"/>
    <w:multiLevelType w:val="hybridMultilevel"/>
    <w:tmpl w:val="BF688754"/>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FDD"/>
    <w:multiLevelType w:val="hybridMultilevel"/>
    <w:tmpl w:val="30C0A312"/>
    <w:lvl w:ilvl="0" w:tplc="D316845A">
      <w:start w:val="1"/>
      <w:numFmt w:val="lowerLetter"/>
      <w:lvlText w:val="(%1)"/>
      <w:lvlJc w:val="left"/>
      <w:pPr>
        <w:ind w:left="7732" w:hanging="360"/>
      </w:pPr>
      <w:rPr>
        <w:rFonts w:hint="default"/>
      </w:rPr>
    </w:lvl>
    <w:lvl w:ilvl="1" w:tplc="04090019" w:tentative="1">
      <w:start w:val="1"/>
      <w:numFmt w:val="lowerLetter"/>
      <w:lvlText w:val="%2."/>
      <w:lvlJc w:val="left"/>
      <w:pPr>
        <w:ind w:left="6260" w:hanging="360"/>
      </w:pPr>
    </w:lvl>
    <w:lvl w:ilvl="2" w:tplc="0409001B" w:tentative="1">
      <w:start w:val="1"/>
      <w:numFmt w:val="lowerRoman"/>
      <w:lvlText w:val="%3."/>
      <w:lvlJc w:val="right"/>
      <w:pPr>
        <w:ind w:left="6980" w:hanging="180"/>
      </w:pPr>
    </w:lvl>
    <w:lvl w:ilvl="3" w:tplc="0409000F" w:tentative="1">
      <w:start w:val="1"/>
      <w:numFmt w:val="decimal"/>
      <w:lvlText w:val="%4."/>
      <w:lvlJc w:val="left"/>
      <w:pPr>
        <w:ind w:left="7700" w:hanging="360"/>
      </w:pPr>
    </w:lvl>
    <w:lvl w:ilvl="4" w:tplc="04090019" w:tentative="1">
      <w:start w:val="1"/>
      <w:numFmt w:val="lowerLetter"/>
      <w:lvlText w:val="%5."/>
      <w:lvlJc w:val="left"/>
      <w:pPr>
        <w:ind w:left="8420" w:hanging="360"/>
      </w:pPr>
    </w:lvl>
    <w:lvl w:ilvl="5" w:tplc="0409001B" w:tentative="1">
      <w:start w:val="1"/>
      <w:numFmt w:val="lowerRoman"/>
      <w:lvlText w:val="%6."/>
      <w:lvlJc w:val="right"/>
      <w:pPr>
        <w:ind w:left="9140" w:hanging="180"/>
      </w:pPr>
    </w:lvl>
    <w:lvl w:ilvl="6" w:tplc="0409000F" w:tentative="1">
      <w:start w:val="1"/>
      <w:numFmt w:val="decimal"/>
      <w:lvlText w:val="%7."/>
      <w:lvlJc w:val="left"/>
      <w:pPr>
        <w:ind w:left="9860" w:hanging="360"/>
      </w:pPr>
    </w:lvl>
    <w:lvl w:ilvl="7" w:tplc="04090019" w:tentative="1">
      <w:start w:val="1"/>
      <w:numFmt w:val="lowerLetter"/>
      <w:lvlText w:val="%8."/>
      <w:lvlJc w:val="left"/>
      <w:pPr>
        <w:ind w:left="10580" w:hanging="360"/>
      </w:pPr>
    </w:lvl>
    <w:lvl w:ilvl="8" w:tplc="0409001B" w:tentative="1">
      <w:start w:val="1"/>
      <w:numFmt w:val="lowerRoman"/>
      <w:lvlText w:val="%9."/>
      <w:lvlJc w:val="right"/>
      <w:pPr>
        <w:ind w:left="11300" w:hanging="180"/>
      </w:pPr>
    </w:lvl>
  </w:abstractNum>
  <w:abstractNum w:abstractNumId="2" w15:restartNumberingAfterBreak="0">
    <w:nsid w:val="04E62763"/>
    <w:multiLevelType w:val="hybridMultilevel"/>
    <w:tmpl w:val="C1B26032"/>
    <w:lvl w:ilvl="0" w:tplc="F3860B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940B5"/>
    <w:multiLevelType w:val="hybridMultilevel"/>
    <w:tmpl w:val="38C2D7C4"/>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0737"/>
    <w:multiLevelType w:val="hybridMultilevel"/>
    <w:tmpl w:val="23722A68"/>
    <w:lvl w:ilvl="0" w:tplc="619C1EB4">
      <w:start w:val="1"/>
      <w:numFmt w:val="lowerRoman"/>
      <w:lvlText w:val="(%1)"/>
      <w:lvlJc w:val="left"/>
      <w:pPr>
        <w:ind w:left="3617" w:hanging="360"/>
      </w:pPr>
      <w:rPr>
        <w:rFonts w:hint="default"/>
      </w:rPr>
    </w:lvl>
    <w:lvl w:ilvl="1" w:tplc="04090019">
      <w:start w:val="1"/>
      <w:numFmt w:val="lowerLetter"/>
      <w:lvlText w:val="%2."/>
      <w:lvlJc w:val="left"/>
      <w:pPr>
        <w:ind w:left="3704" w:hanging="360"/>
      </w:pPr>
    </w:lvl>
    <w:lvl w:ilvl="2" w:tplc="0409001B" w:tentative="1">
      <w:start w:val="1"/>
      <w:numFmt w:val="lowerRoman"/>
      <w:lvlText w:val="%3."/>
      <w:lvlJc w:val="right"/>
      <w:pPr>
        <w:ind w:left="4424" w:hanging="180"/>
      </w:pPr>
    </w:lvl>
    <w:lvl w:ilvl="3" w:tplc="0409000F" w:tentative="1">
      <w:start w:val="1"/>
      <w:numFmt w:val="decimal"/>
      <w:lvlText w:val="%4."/>
      <w:lvlJc w:val="left"/>
      <w:pPr>
        <w:ind w:left="5144" w:hanging="360"/>
      </w:pPr>
    </w:lvl>
    <w:lvl w:ilvl="4" w:tplc="04090019" w:tentative="1">
      <w:start w:val="1"/>
      <w:numFmt w:val="lowerLetter"/>
      <w:lvlText w:val="%5."/>
      <w:lvlJc w:val="left"/>
      <w:pPr>
        <w:ind w:left="5864" w:hanging="360"/>
      </w:pPr>
    </w:lvl>
    <w:lvl w:ilvl="5" w:tplc="0409001B" w:tentative="1">
      <w:start w:val="1"/>
      <w:numFmt w:val="lowerRoman"/>
      <w:lvlText w:val="%6."/>
      <w:lvlJc w:val="right"/>
      <w:pPr>
        <w:ind w:left="6584" w:hanging="180"/>
      </w:pPr>
    </w:lvl>
    <w:lvl w:ilvl="6" w:tplc="0409000F" w:tentative="1">
      <w:start w:val="1"/>
      <w:numFmt w:val="decimal"/>
      <w:lvlText w:val="%7."/>
      <w:lvlJc w:val="left"/>
      <w:pPr>
        <w:ind w:left="7304" w:hanging="360"/>
      </w:pPr>
    </w:lvl>
    <w:lvl w:ilvl="7" w:tplc="04090019" w:tentative="1">
      <w:start w:val="1"/>
      <w:numFmt w:val="lowerLetter"/>
      <w:lvlText w:val="%8."/>
      <w:lvlJc w:val="left"/>
      <w:pPr>
        <w:ind w:left="8024" w:hanging="360"/>
      </w:pPr>
    </w:lvl>
    <w:lvl w:ilvl="8" w:tplc="0409001B" w:tentative="1">
      <w:start w:val="1"/>
      <w:numFmt w:val="lowerRoman"/>
      <w:lvlText w:val="%9."/>
      <w:lvlJc w:val="right"/>
      <w:pPr>
        <w:ind w:left="8744" w:hanging="180"/>
      </w:pPr>
    </w:lvl>
  </w:abstractNum>
  <w:abstractNum w:abstractNumId="5" w15:restartNumberingAfterBreak="0">
    <w:nsid w:val="12E479A8"/>
    <w:multiLevelType w:val="hybridMultilevel"/>
    <w:tmpl w:val="9F867802"/>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31C84"/>
    <w:multiLevelType w:val="hybridMultilevel"/>
    <w:tmpl w:val="A306CB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572F2"/>
    <w:multiLevelType w:val="hybridMultilevel"/>
    <w:tmpl w:val="5F30261E"/>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10F0F"/>
    <w:multiLevelType w:val="hybridMultilevel"/>
    <w:tmpl w:val="B10EEDB6"/>
    <w:lvl w:ilvl="0" w:tplc="B59C8E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DA1B03"/>
    <w:multiLevelType w:val="multilevel"/>
    <w:tmpl w:val="FD9E35BC"/>
    <w:lvl w:ilvl="0">
      <w:start w:val="76"/>
      <w:numFmt w:val="decimal"/>
      <w:lvlText w:val="%1."/>
      <w:lvlJc w:val="left"/>
      <w:pPr>
        <w:ind w:left="643"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3631" w:hanging="1080"/>
      </w:pPr>
      <w:rPr>
        <w:rFonts w:hint="default"/>
      </w:rPr>
    </w:lvl>
    <w:lvl w:ilvl="5">
      <w:start w:val="1"/>
      <w:numFmt w:val="decimal"/>
      <w:lvlText w:val="%1.%2.%3.%4.%5.%6"/>
      <w:lvlJc w:val="left"/>
      <w:pPr>
        <w:ind w:left="4198"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692" w:hanging="1440"/>
      </w:pPr>
      <w:rPr>
        <w:rFonts w:hint="default"/>
      </w:rPr>
    </w:lvl>
    <w:lvl w:ilvl="8">
      <w:start w:val="1"/>
      <w:numFmt w:val="decimal"/>
      <w:lvlText w:val="%1.%2.%3.%4.%5.%6.%7.%8.%9"/>
      <w:lvlJc w:val="left"/>
      <w:pPr>
        <w:ind w:left="6619" w:hanging="1800"/>
      </w:pPr>
      <w:rPr>
        <w:rFonts w:hint="default"/>
      </w:rPr>
    </w:lvl>
  </w:abstractNum>
  <w:abstractNum w:abstractNumId="10" w15:restartNumberingAfterBreak="0">
    <w:nsid w:val="18442C53"/>
    <w:multiLevelType w:val="hybridMultilevel"/>
    <w:tmpl w:val="3DD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D2F17"/>
    <w:multiLevelType w:val="hybridMultilevel"/>
    <w:tmpl w:val="F9EA1182"/>
    <w:lvl w:ilvl="0" w:tplc="132CD72A">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C331171"/>
    <w:multiLevelType w:val="hybridMultilevel"/>
    <w:tmpl w:val="8C401B9A"/>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469F0"/>
    <w:multiLevelType w:val="multilevel"/>
    <w:tmpl w:val="F9FE3962"/>
    <w:lvl w:ilvl="0">
      <w:start w:val="1"/>
      <w:numFmt w:val="decimal"/>
      <w:lvlText w:val="%1."/>
      <w:lvlJc w:val="left"/>
      <w:pPr>
        <w:ind w:left="720" w:hanging="360"/>
      </w:pPr>
      <w:rPr>
        <w:i w:val="0"/>
        <w:iCs/>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38F655F"/>
    <w:multiLevelType w:val="hybridMultilevel"/>
    <w:tmpl w:val="F10638D8"/>
    <w:lvl w:ilvl="0" w:tplc="9D46F8E4">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29F42C76"/>
    <w:multiLevelType w:val="hybridMultilevel"/>
    <w:tmpl w:val="C4A69530"/>
    <w:lvl w:ilvl="0" w:tplc="473C44DA">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CA159F6"/>
    <w:multiLevelType w:val="hybridMultilevel"/>
    <w:tmpl w:val="D8A27B5A"/>
    <w:lvl w:ilvl="0" w:tplc="E7BCA674">
      <w:start w:val="29"/>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77B29"/>
    <w:multiLevelType w:val="hybridMultilevel"/>
    <w:tmpl w:val="31FE252C"/>
    <w:lvl w:ilvl="0" w:tplc="3CE20842">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C0F35"/>
    <w:multiLevelType w:val="hybridMultilevel"/>
    <w:tmpl w:val="0DDC2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F7A37"/>
    <w:multiLevelType w:val="hybridMultilevel"/>
    <w:tmpl w:val="E3863DBA"/>
    <w:lvl w:ilvl="0" w:tplc="D00E4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F0FDE"/>
    <w:multiLevelType w:val="hybridMultilevel"/>
    <w:tmpl w:val="F632A1FA"/>
    <w:lvl w:ilvl="0" w:tplc="D02CC792">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944BA"/>
    <w:multiLevelType w:val="multilevel"/>
    <w:tmpl w:val="C67E5D5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176382"/>
    <w:multiLevelType w:val="hybridMultilevel"/>
    <w:tmpl w:val="0B10DD5A"/>
    <w:lvl w:ilvl="0" w:tplc="15F6FA9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0058BA"/>
    <w:multiLevelType w:val="hybridMultilevel"/>
    <w:tmpl w:val="547A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1C5907"/>
    <w:multiLevelType w:val="hybridMultilevel"/>
    <w:tmpl w:val="A6F0F198"/>
    <w:lvl w:ilvl="0" w:tplc="52EA5E6A">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264F1"/>
    <w:multiLevelType w:val="hybridMultilevel"/>
    <w:tmpl w:val="EC368690"/>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F2081"/>
    <w:multiLevelType w:val="hybridMultilevel"/>
    <w:tmpl w:val="5B72938E"/>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F5964"/>
    <w:multiLevelType w:val="hybridMultilevel"/>
    <w:tmpl w:val="4282F72A"/>
    <w:lvl w:ilvl="0" w:tplc="36DAD95C">
      <w:start w:val="47"/>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63B4B"/>
    <w:multiLevelType w:val="hybridMultilevel"/>
    <w:tmpl w:val="DF86C034"/>
    <w:lvl w:ilvl="0" w:tplc="CCBE4B30">
      <w:start w:val="41"/>
      <w:numFmt w:val="decimal"/>
      <w:lvlText w:val="%1."/>
      <w:lvlJc w:val="left"/>
      <w:pPr>
        <w:ind w:left="129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26B13"/>
    <w:multiLevelType w:val="hybridMultilevel"/>
    <w:tmpl w:val="020E3D4C"/>
    <w:lvl w:ilvl="0" w:tplc="3CA85E3E">
      <w:start w:val="2"/>
      <w:numFmt w:val="bullet"/>
      <w:lvlText w:val="-"/>
      <w:lvlJc w:val="left"/>
      <w:pPr>
        <w:ind w:left="1287" w:hanging="360"/>
      </w:pPr>
      <w:rPr>
        <w:rFonts w:ascii="Arial" w:eastAsia="MS Mincho"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DB1711D"/>
    <w:multiLevelType w:val="hybridMultilevel"/>
    <w:tmpl w:val="484CD79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0A11C9C"/>
    <w:multiLevelType w:val="hybridMultilevel"/>
    <w:tmpl w:val="763ECAFA"/>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677810">
    <w:abstractNumId w:val="25"/>
  </w:num>
  <w:num w:numId="2" w16cid:durableId="400761307">
    <w:abstractNumId w:val="21"/>
  </w:num>
  <w:num w:numId="3" w16cid:durableId="2101874822">
    <w:abstractNumId w:val="13"/>
  </w:num>
  <w:num w:numId="4" w16cid:durableId="408501716">
    <w:abstractNumId w:val="4"/>
  </w:num>
  <w:num w:numId="5" w16cid:durableId="937522431">
    <w:abstractNumId w:val="9"/>
  </w:num>
  <w:num w:numId="6" w16cid:durableId="484014185">
    <w:abstractNumId w:val="11"/>
  </w:num>
  <w:num w:numId="7" w16cid:durableId="1027028850">
    <w:abstractNumId w:val="11"/>
    <w:lvlOverride w:ilvl="0">
      <w:startOverride w:val="1"/>
    </w:lvlOverride>
  </w:num>
  <w:num w:numId="8" w16cid:durableId="748161896">
    <w:abstractNumId w:val="11"/>
    <w:lvlOverride w:ilvl="0">
      <w:startOverride w:val="1"/>
    </w:lvlOverride>
  </w:num>
  <w:num w:numId="9" w16cid:durableId="1246569638">
    <w:abstractNumId w:val="11"/>
    <w:lvlOverride w:ilvl="0">
      <w:startOverride w:val="1"/>
    </w:lvlOverride>
  </w:num>
  <w:num w:numId="10" w16cid:durableId="730927524">
    <w:abstractNumId w:val="11"/>
    <w:lvlOverride w:ilvl="0">
      <w:startOverride w:val="1"/>
    </w:lvlOverride>
  </w:num>
  <w:num w:numId="11" w16cid:durableId="1772823668">
    <w:abstractNumId w:val="4"/>
    <w:lvlOverride w:ilvl="0">
      <w:startOverride w:val="1"/>
    </w:lvlOverride>
  </w:num>
  <w:num w:numId="12" w16cid:durableId="1272204577">
    <w:abstractNumId w:val="11"/>
    <w:lvlOverride w:ilvl="0">
      <w:startOverride w:val="1"/>
    </w:lvlOverride>
  </w:num>
  <w:num w:numId="13" w16cid:durableId="1515454636">
    <w:abstractNumId w:val="11"/>
    <w:lvlOverride w:ilvl="0">
      <w:startOverride w:val="1"/>
    </w:lvlOverride>
  </w:num>
  <w:num w:numId="14" w16cid:durableId="465464437">
    <w:abstractNumId w:val="11"/>
    <w:lvlOverride w:ilvl="0">
      <w:startOverride w:val="1"/>
    </w:lvlOverride>
  </w:num>
  <w:num w:numId="15" w16cid:durableId="1802335823">
    <w:abstractNumId w:val="2"/>
  </w:num>
  <w:num w:numId="16" w16cid:durableId="14625678">
    <w:abstractNumId w:val="8"/>
  </w:num>
  <w:num w:numId="17" w16cid:durableId="532770014">
    <w:abstractNumId w:val="6"/>
  </w:num>
  <w:num w:numId="18" w16cid:durableId="1126849963">
    <w:abstractNumId w:val="16"/>
  </w:num>
  <w:num w:numId="19" w16cid:durableId="1938708738">
    <w:abstractNumId w:val="23"/>
  </w:num>
  <w:num w:numId="20" w16cid:durableId="938828387">
    <w:abstractNumId w:val="5"/>
  </w:num>
  <w:num w:numId="21" w16cid:durableId="1515991896">
    <w:abstractNumId w:val="31"/>
  </w:num>
  <w:num w:numId="22" w16cid:durableId="1793865248">
    <w:abstractNumId w:val="29"/>
  </w:num>
  <w:num w:numId="23" w16cid:durableId="1899050148">
    <w:abstractNumId w:val="19"/>
  </w:num>
  <w:num w:numId="24" w16cid:durableId="1829856298">
    <w:abstractNumId w:val="28"/>
  </w:num>
  <w:num w:numId="25" w16cid:durableId="1475292000">
    <w:abstractNumId w:val="15"/>
  </w:num>
  <w:num w:numId="26" w16cid:durableId="418718097">
    <w:abstractNumId w:val="27"/>
  </w:num>
  <w:num w:numId="27" w16cid:durableId="1905876233">
    <w:abstractNumId w:val="15"/>
    <w:lvlOverride w:ilvl="0">
      <w:startOverride w:val="1"/>
    </w:lvlOverride>
  </w:num>
  <w:num w:numId="28" w16cid:durableId="1128475455">
    <w:abstractNumId w:val="15"/>
    <w:lvlOverride w:ilvl="0">
      <w:startOverride w:val="2"/>
    </w:lvlOverride>
  </w:num>
  <w:num w:numId="29" w16cid:durableId="967013536">
    <w:abstractNumId w:val="30"/>
  </w:num>
  <w:num w:numId="30" w16cid:durableId="1535456979">
    <w:abstractNumId w:val="15"/>
    <w:lvlOverride w:ilvl="0">
      <w:startOverride w:val="2"/>
    </w:lvlOverride>
  </w:num>
  <w:num w:numId="31" w16cid:durableId="1705521657">
    <w:abstractNumId w:val="20"/>
  </w:num>
  <w:num w:numId="32" w16cid:durableId="2042780483">
    <w:abstractNumId w:val="15"/>
    <w:lvlOverride w:ilvl="0">
      <w:startOverride w:val="2"/>
    </w:lvlOverride>
  </w:num>
  <w:num w:numId="33" w16cid:durableId="1923835561">
    <w:abstractNumId w:val="17"/>
  </w:num>
  <w:num w:numId="34" w16cid:durableId="1716351571">
    <w:abstractNumId w:val="24"/>
  </w:num>
  <w:num w:numId="35" w16cid:durableId="815300399">
    <w:abstractNumId w:val="19"/>
    <w:lvlOverride w:ilvl="0">
      <w:startOverride w:val="1"/>
    </w:lvlOverride>
  </w:num>
  <w:num w:numId="36" w16cid:durableId="1672023006">
    <w:abstractNumId w:val="19"/>
    <w:lvlOverride w:ilvl="0">
      <w:startOverride w:val="1"/>
    </w:lvlOverride>
  </w:num>
  <w:num w:numId="37" w16cid:durableId="1953244152">
    <w:abstractNumId w:val="12"/>
  </w:num>
  <w:num w:numId="38" w16cid:durableId="1158376455">
    <w:abstractNumId w:val="22"/>
  </w:num>
  <w:num w:numId="39" w16cid:durableId="77404864">
    <w:abstractNumId w:val="22"/>
    <w:lvlOverride w:ilvl="0">
      <w:startOverride w:val="1"/>
    </w:lvlOverride>
  </w:num>
  <w:num w:numId="40" w16cid:durableId="315883774">
    <w:abstractNumId w:val="18"/>
  </w:num>
  <w:num w:numId="41" w16cid:durableId="1844275654">
    <w:abstractNumId w:val="7"/>
  </w:num>
  <w:num w:numId="42" w16cid:durableId="381172685">
    <w:abstractNumId w:val="26"/>
  </w:num>
  <w:num w:numId="43" w16cid:durableId="1433474779">
    <w:abstractNumId w:val="0"/>
  </w:num>
  <w:num w:numId="44" w16cid:durableId="1876044072">
    <w:abstractNumId w:val="10"/>
  </w:num>
  <w:num w:numId="45" w16cid:durableId="648823072">
    <w:abstractNumId w:val="3"/>
  </w:num>
  <w:num w:numId="46" w16cid:durableId="1087115865">
    <w:abstractNumId w:val="1"/>
  </w:num>
  <w:num w:numId="47" w16cid:durableId="17551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CA"/>
    <w:rsid w:val="00001225"/>
    <w:rsid w:val="000025FB"/>
    <w:rsid w:val="00003913"/>
    <w:rsid w:val="00005CE9"/>
    <w:rsid w:val="00010CF3"/>
    <w:rsid w:val="00011E27"/>
    <w:rsid w:val="00012D24"/>
    <w:rsid w:val="000148BC"/>
    <w:rsid w:val="0001494C"/>
    <w:rsid w:val="000222AF"/>
    <w:rsid w:val="000230FE"/>
    <w:rsid w:val="00024AB8"/>
    <w:rsid w:val="0002523E"/>
    <w:rsid w:val="000271AF"/>
    <w:rsid w:val="000300DE"/>
    <w:rsid w:val="00030854"/>
    <w:rsid w:val="000320D1"/>
    <w:rsid w:val="000346AB"/>
    <w:rsid w:val="0003579E"/>
    <w:rsid w:val="00035884"/>
    <w:rsid w:val="00035DDA"/>
    <w:rsid w:val="00036028"/>
    <w:rsid w:val="0003662F"/>
    <w:rsid w:val="0004198B"/>
    <w:rsid w:val="00043781"/>
    <w:rsid w:val="00044642"/>
    <w:rsid w:val="000446B9"/>
    <w:rsid w:val="000465DE"/>
    <w:rsid w:val="00046B8C"/>
    <w:rsid w:val="0004795C"/>
    <w:rsid w:val="00047CF1"/>
    <w:rsid w:val="00047E21"/>
    <w:rsid w:val="00050514"/>
    <w:rsid w:val="00050E16"/>
    <w:rsid w:val="00051ADC"/>
    <w:rsid w:val="00055E73"/>
    <w:rsid w:val="00057B88"/>
    <w:rsid w:val="000604D6"/>
    <w:rsid w:val="00060F09"/>
    <w:rsid w:val="0006133B"/>
    <w:rsid w:val="00064944"/>
    <w:rsid w:val="0006562C"/>
    <w:rsid w:val="00066D43"/>
    <w:rsid w:val="00071409"/>
    <w:rsid w:val="00071903"/>
    <w:rsid w:val="00071B4A"/>
    <w:rsid w:val="00072B66"/>
    <w:rsid w:val="000733EC"/>
    <w:rsid w:val="000809D7"/>
    <w:rsid w:val="00081996"/>
    <w:rsid w:val="00081B61"/>
    <w:rsid w:val="00085505"/>
    <w:rsid w:val="00086156"/>
    <w:rsid w:val="00090551"/>
    <w:rsid w:val="000A0A16"/>
    <w:rsid w:val="000A1A3F"/>
    <w:rsid w:val="000A267E"/>
    <w:rsid w:val="000A33B8"/>
    <w:rsid w:val="000A4310"/>
    <w:rsid w:val="000A4770"/>
    <w:rsid w:val="000A5916"/>
    <w:rsid w:val="000A6090"/>
    <w:rsid w:val="000A67F8"/>
    <w:rsid w:val="000B17C9"/>
    <w:rsid w:val="000B5600"/>
    <w:rsid w:val="000B714A"/>
    <w:rsid w:val="000C0FD4"/>
    <w:rsid w:val="000C211C"/>
    <w:rsid w:val="000C22CC"/>
    <w:rsid w:val="000C4ABD"/>
    <w:rsid w:val="000C4E25"/>
    <w:rsid w:val="000C7021"/>
    <w:rsid w:val="000C75DB"/>
    <w:rsid w:val="000D2C46"/>
    <w:rsid w:val="000D5FE9"/>
    <w:rsid w:val="000D6BBC"/>
    <w:rsid w:val="000D7780"/>
    <w:rsid w:val="000E00AC"/>
    <w:rsid w:val="000E0474"/>
    <w:rsid w:val="000E2D6A"/>
    <w:rsid w:val="000E34BE"/>
    <w:rsid w:val="000E4974"/>
    <w:rsid w:val="000E5A79"/>
    <w:rsid w:val="000E62E5"/>
    <w:rsid w:val="000E636A"/>
    <w:rsid w:val="000F0487"/>
    <w:rsid w:val="000F0747"/>
    <w:rsid w:val="000F2F11"/>
    <w:rsid w:val="000F44A5"/>
    <w:rsid w:val="000F52A5"/>
    <w:rsid w:val="000F538B"/>
    <w:rsid w:val="000F6BBA"/>
    <w:rsid w:val="0010001A"/>
    <w:rsid w:val="00100A5F"/>
    <w:rsid w:val="00101639"/>
    <w:rsid w:val="001057FB"/>
    <w:rsid w:val="00105929"/>
    <w:rsid w:val="00107461"/>
    <w:rsid w:val="001074F3"/>
    <w:rsid w:val="00107851"/>
    <w:rsid w:val="00107CD3"/>
    <w:rsid w:val="00107F6D"/>
    <w:rsid w:val="00110AC8"/>
    <w:rsid w:val="00110BED"/>
    <w:rsid w:val="00110C36"/>
    <w:rsid w:val="00110C4D"/>
    <w:rsid w:val="00110DC3"/>
    <w:rsid w:val="001110C5"/>
    <w:rsid w:val="00111359"/>
    <w:rsid w:val="00112AD5"/>
    <w:rsid w:val="001131D5"/>
    <w:rsid w:val="00114547"/>
    <w:rsid w:val="00115C10"/>
    <w:rsid w:val="001160C8"/>
    <w:rsid w:val="00116E11"/>
    <w:rsid w:val="0011734E"/>
    <w:rsid w:val="0012007F"/>
    <w:rsid w:val="00120291"/>
    <w:rsid w:val="00122553"/>
    <w:rsid w:val="00122C95"/>
    <w:rsid w:val="00123959"/>
    <w:rsid w:val="00124B80"/>
    <w:rsid w:val="00124F48"/>
    <w:rsid w:val="00125A34"/>
    <w:rsid w:val="00125CB1"/>
    <w:rsid w:val="00126679"/>
    <w:rsid w:val="00126B74"/>
    <w:rsid w:val="0012713E"/>
    <w:rsid w:val="00130945"/>
    <w:rsid w:val="00131AC1"/>
    <w:rsid w:val="00132FC5"/>
    <w:rsid w:val="00133695"/>
    <w:rsid w:val="0013452A"/>
    <w:rsid w:val="00135F06"/>
    <w:rsid w:val="00136277"/>
    <w:rsid w:val="00141DB8"/>
    <w:rsid w:val="0014382F"/>
    <w:rsid w:val="00143B09"/>
    <w:rsid w:val="001440A0"/>
    <w:rsid w:val="0014464E"/>
    <w:rsid w:val="0014482F"/>
    <w:rsid w:val="0014520E"/>
    <w:rsid w:val="0014552D"/>
    <w:rsid w:val="00145B4D"/>
    <w:rsid w:val="00145CA2"/>
    <w:rsid w:val="001479BD"/>
    <w:rsid w:val="00153980"/>
    <w:rsid w:val="00154B12"/>
    <w:rsid w:val="0015556F"/>
    <w:rsid w:val="001576C8"/>
    <w:rsid w:val="00163EEF"/>
    <w:rsid w:val="001650EA"/>
    <w:rsid w:val="00165994"/>
    <w:rsid w:val="00165DF3"/>
    <w:rsid w:val="00172084"/>
    <w:rsid w:val="00172360"/>
    <w:rsid w:val="00173741"/>
    <w:rsid w:val="00173B6D"/>
    <w:rsid w:val="00173C8F"/>
    <w:rsid w:val="0017474A"/>
    <w:rsid w:val="001758C6"/>
    <w:rsid w:val="001764F8"/>
    <w:rsid w:val="00176FD4"/>
    <w:rsid w:val="00181B8C"/>
    <w:rsid w:val="00182356"/>
    <w:rsid w:val="00182B99"/>
    <w:rsid w:val="00182D22"/>
    <w:rsid w:val="001844E8"/>
    <w:rsid w:val="001862A6"/>
    <w:rsid w:val="0019155A"/>
    <w:rsid w:val="00192639"/>
    <w:rsid w:val="0019267D"/>
    <w:rsid w:val="001946ED"/>
    <w:rsid w:val="001949D0"/>
    <w:rsid w:val="00196FC5"/>
    <w:rsid w:val="001A0DD8"/>
    <w:rsid w:val="001A1382"/>
    <w:rsid w:val="001A1B0D"/>
    <w:rsid w:val="001A621F"/>
    <w:rsid w:val="001A63A4"/>
    <w:rsid w:val="001B0E7D"/>
    <w:rsid w:val="001B2365"/>
    <w:rsid w:val="001B2E98"/>
    <w:rsid w:val="001B3715"/>
    <w:rsid w:val="001B49F9"/>
    <w:rsid w:val="001B721A"/>
    <w:rsid w:val="001B7A9E"/>
    <w:rsid w:val="001C0955"/>
    <w:rsid w:val="001C1009"/>
    <w:rsid w:val="001C1525"/>
    <w:rsid w:val="001C1CD0"/>
    <w:rsid w:val="001C3B54"/>
    <w:rsid w:val="001C4D2A"/>
    <w:rsid w:val="001C7987"/>
    <w:rsid w:val="001D080E"/>
    <w:rsid w:val="001D1BAC"/>
    <w:rsid w:val="001D2593"/>
    <w:rsid w:val="001D332A"/>
    <w:rsid w:val="001D3A36"/>
    <w:rsid w:val="001D41B4"/>
    <w:rsid w:val="001D42B6"/>
    <w:rsid w:val="001D71DF"/>
    <w:rsid w:val="001D736D"/>
    <w:rsid w:val="001E093B"/>
    <w:rsid w:val="001E2051"/>
    <w:rsid w:val="001E26DD"/>
    <w:rsid w:val="001E29C4"/>
    <w:rsid w:val="001E629A"/>
    <w:rsid w:val="001F1740"/>
    <w:rsid w:val="001F298F"/>
    <w:rsid w:val="001F2C27"/>
    <w:rsid w:val="001F357C"/>
    <w:rsid w:val="002010C6"/>
    <w:rsid w:val="00202982"/>
    <w:rsid w:val="00203631"/>
    <w:rsid w:val="00205CAF"/>
    <w:rsid w:val="00210B35"/>
    <w:rsid w:val="0021273E"/>
    <w:rsid w:val="0021332C"/>
    <w:rsid w:val="00213982"/>
    <w:rsid w:val="002140B8"/>
    <w:rsid w:val="0021556A"/>
    <w:rsid w:val="00217760"/>
    <w:rsid w:val="00220C27"/>
    <w:rsid w:val="00221387"/>
    <w:rsid w:val="00221BB8"/>
    <w:rsid w:val="00222D6D"/>
    <w:rsid w:val="00223F3E"/>
    <w:rsid w:val="00224395"/>
    <w:rsid w:val="00226B9A"/>
    <w:rsid w:val="00227B1C"/>
    <w:rsid w:val="00233C38"/>
    <w:rsid w:val="00235763"/>
    <w:rsid w:val="00235ABA"/>
    <w:rsid w:val="00240F17"/>
    <w:rsid w:val="00241B61"/>
    <w:rsid w:val="002439E9"/>
    <w:rsid w:val="0024416D"/>
    <w:rsid w:val="00244976"/>
    <w:rsid w:val="00245273"/>
    <w:rsid w:val="002516C3"/>
    <w:rsid w:val="00251D2C"/>
    <w:rsid w:val="00251E2A"/>
    <w:rsid w:val="0025439E"/>
    <w:rsid w:val="0025596F"/>
    <w:rsid w:val="00257D41"/>
    <w:rsid w:val="00257F3C"/>
    <w:rsid w:val="00260887"/>
    <w:rsid w:val="002629C3"/>
    <w:rsid w:val="00263789"/>
    <w:rsid w:val="00265782"/>
    <w:rsid w:val="00265E0F"/>
    <w:rsid w:val="00267D23"/>
    <w:rsid w:val="002709DB"/>
    <w:rsid w:val="00270BD7"/>
    <w:rsid w:val="00271911"/>
    <w:rsid w:val="002721F9"/>
    <w:rsid w:val="00272BAB"/>
    <w:rsid w:val="00273187"/>
    <w:rsid w:val="002800A0"/>
    <w:rsid w:val="002801B3"/>
    <w:rsid w:val="00281060"/>
    <w:rsid w:val="0028168A"/>
    <w:rsid w:val="002829E4"/>
    <w:rsid w:val="00284360"/>
    <w:rsid w:val="00285BD0"/>
    <w:rsid w:val="00287F52"/>
    <w:rsid w:val="00290373"/>
    <w:rsid w:val="00291EBF"/>
    <w:rsid w:val="00292C38"/>
    <w:rsid w:val="00292EF7"/>
    <w:rsid w:val="002940E8"/>
    <w:rsid w:val="00294751"/>
    <w:rsid w:val="00294986"/>
    <w:rsid w:val="00295B22"/>
    <w:rsid w:val="00296F12"/>
    <w:rsid w:val="00297B41"/>
    <w:rsid w:val="002A0E18"/>
    <w:rsid w:val="002A12E1"/>
    <w:rsid w:val="002A29A3"/>
    <w:rsid w:val="002A44AA"/>
    <w:rsid w:val="002A4C99"/>
    <w:rsid w:val="002A546D"/>
    <w:rsid w:val="002A6E50"/>
    <w:rsid w:val="002A78BA"/>
    <w:rsid w:val="002B0C00"/>
    <w:rsid w:val="002B0D5B"/>
    <w:rsid w:val="002B2E80"/>
    <w:rsid w:val="002B38CA"/>
    <w:rsid w:val="002B4298"/>
    <w:rsid w:val="002B4F38"/>
    <w:rsid w:val="002B61CD"/>
    <w:rsid w:val="002B62B0"/>
    <w:rsid w:val="002B681B"/>
    <w:rsid w:val="002B7A36"/>
    <w:rsid w:val="002B7F26"/>
    <w:rsid w:val="002C131E"/>
    <w:rsid w:val="002C1649"/>
    <w:rsid w:val="002C22A2"/>
    <w:rsid w:val="002C256A"/>
    <w:rsid w:val="002C317F"/>
    <w:rsid w:val="002C40A1"/>
    <w:rsid w:val="002C5E60"/>
    <w:rsid w:val="002C78B3"/>
    <w:rsid w:val="002D0AA1"/>
    <w:rsid w:val="002D2C7C"/>
    <w:rsid w:val="002D2D96"/>
    <w:rsid w:val="002D369F"/>
    <w:rsid w:val="002D5226"/>
    <w:rsid w:val="002D5AC9"/>
    <w:rsid w:val="002E00AC"/>
    <w:rsid w:val="002E19F6"/>
    <w:rsid w:val="002E5282"/>
    <w:rsid w:val="002E70C9"/>
    <w:rsid w:val="002F0351"/>
    <w:rsid w:val="002F0EC4"/>
    <w:rsid w:val="002F242E"/>
    <w:rsid w:val="002F2CAA"/>
    <w:rsid w:val="002F3119"/>
    <w:rsid w:val="002F3898"/>
    <w:rsid w:val="002F3B82"/>
    <w:rsid w:val="002F4E52"/>
    <w:rsid w:val="002F4F15"/>
    <w:rsid w:val="002F74E3"/>
    <w:rsid w:val="002F74FC"/>
    <w:rsid w:val="00300AEA"/>
    <w:rsid w:val="003012FA"/>
    <w:rsid w:val="00303952"/>
    <w:rsid w:val="00305A7F"/>
    <w:rsid w:val="0030673D"/>
    <w:rsid w:val="00307CA9"/>
    <w:rsid w:val="00310DD2"/>
    <w:rsid w:val="00311464"/>
    <w:rsid w:val="003127BF"/>
    <w:rsid w:val="003138C6"/>
    <w:rsid w:val="00313BFE"/>
    <w:rsid w:val="00314144"/>
    <w:rsid w:val="0031427C"/>
    <w:rsid w:val="003152FE"/>
    <w:rsid w:val="00315540"/>
    <w:rsid w:val="003238DE"/>
    <w:rsid w:val="00324AC9"/>
    <w:rsid w:val="00324FFF"/>
    <w:rsid w:val="00325FC9"/>
    <w:rsid w:val="00327436"/>
    <w:rsid w:val="00327494"/>
    <w:rsid w:val="00332065"/>
    <w:rsid w:val="00334E44"/>
    <w:rsid w:val="00342001"/>
    <w:rsid w:val="00343E88"/>
    <w:rsid w:val="003445B5"/>
    <w:rsid w:val="00344BD6"/>
    <w:rsid w:val="00344E2E"/>
    <w:rsid w:val="0035048E"/>
    <w:rsid w:val="003524C5"/>
    <w:rsid w:val="003524FA"/>
    <w:rsid w:val="003532B5"/>
    <w:rsid w:val="00353CEA"/>
    <w:rsid w:val="0035528D"/>
    <w:rsid w:val="00356FB2"/>
    <w:rsid w:val="00361821"/>
    <w:rsid w:val="00361889"/>
    <w:rsid w:val="003619ED"/>
    <w:rsid w:val="00361E9E"/>
    <w:rsid w:val="00362980"/>
    <w:rsid w:val="0036318B"/>
    <w:rsid w:val="003633F8"/>
    <w:rsid w:val="003674BD"/>
    <w:rsid w:val="003679B0"/>
    <w:rsid w:val="00370AC7"/>
    <w:rsid w:val="00370E64"/>
    <w:rsid w:val="00371D06"/>
    <w:rsid w:val="0037411B"/>
    <w:rsid w:val="003743DA"/>
    <w:rsid w:val="0037470A"/>
    <w:rsid w:val="003753EE"/>
    <w:rsid w:val="003816C7"/>
    <w:rsid w:val="0038246F"/>
    <w:rsid w:val="00383D5A"/>
    <w:rsid w:val="0039176E"/>
    <w:rsid w:val="00391943"/>
    <w:rsid w:val="00392435"/>
    <w:rsid w:val="003925E0"/>
    <w:rsid w:val="00392676"/>
    <w:rsid w:val="00393E94"/>
    <w:rsid w:val="003956E8"/>
    <w:rsid w:val="00395C92"/>
    <w:rsid w:val="003A0835"/>
    <w:rsid w:val="003A2DA4"/>
    <w:rsid w:val="003A3516"/>
    <w:rsid w:val="003A429E"/>
    <w:rsid w:val="003A471F"/>
    <w:rsid w:val="003A5735"/>
    <w:rsid w:val="003A5AAF"/>
    <w:rsid w:val="003A6F72"/>
    <w:rsid w:val="003A7741"/>
    <w:rsid w:val="003B1549"/>
    <w:rsid w:val="003B2B31"/>
    <w:rsid w:val="003B700A"/>
    <w:rsid w:val="003B7AA2"/>
    <w:rsid w:val="003C1A61"/>
    <w:rsid w:val="003C1A95"/>
    <w:rsid w:val="003C2A29"/>
    <w:rsid w:val="003C4763"/>
    <w:rsid w:val="003C4D6A"/>
    <w:rsid w:val="003C4DFE"/>
    <w:rsid w:val="003C6ABA"/>
    <w:rsid w:val="003C7FBE"/>
    <w:rsid w:val="003D180A"/>
    <w:rsid w:val="003D1917"/>
    <w:rsid w:val="003D227C"/>
    <w:rsid w:val="003D289F"/>
    <w:rsid w:val="003D2B4D"/>
    <w:rsid w:val="003D3189"/>
    <w:rsid w:val="003D345A"/>
    <w:rsid w:val="003D43A1"/>
    <w:rsid w:val="003D4631"/>
    <w:rsid w:val="003D5706"/>
    <w:rsid w:val="003D5A4B"/>
    <w:rsid w:val="003D5D38"/>
    <w:rsid w:val="003D6319"/>
    <w:rsid w:val="003D7A73"/>
    <w:rsid w:val="003E0592"/>
    <w:rsid w:val="003E3646"/>
    <w:rsid w:val="003E5381"/>
    <w:rsid w:val="003E5C6A"/>
    <w:rsid w:val="003F18BE"/>
    <w:rsid w:val="003F1BA1"/>
    <w:rsid w:val="003F2673"/>
    <w:rsid w:val="003F37F5"/>
    <w:rsid w:val="003F7447"/>
    <w:rsid w:val="004000B8"/>
    <w:rsid w:val="00402208"/>
    <w:rsid w:val="00404431"/>
    <w:rsid w:val="00405700"/>
    <w:rsid w:val="00406659"/>
    <w:rsid w:val="00407828"/>
    <w:rsid w:val="004101A6"/>
    <w:rsid w:val="00411805"/>
    <w:rsid w:val="004153C2"/>
    <w:rsid w:val="004216D0"/>
    <w:rsid w:val="0042184A"/>
    <w:rsid w:val="00421DAF"/>
    <w:rsid w:val="00423B19"/>
    <w:rsid w:val="00424819"/>
    <w:rsid w:val="00425BA1"/>
    <w:rsid w:val="0042675A"/>
    <w:rsid w:val="00426911"/>
    <w:rsid w:val="004322FB"/>
    <w:rsid w:val="00432C7D"/>
    <w:rsid w:val="00434A77"/>
    <w:rsid w:val="00434F38"/>
    <w:rsid w:val="00440043"/>
    <w:rsid w:val="00440730"/>
    <w:rsid w:val="00441A8C"/>
    <w:rsid w:val="004420EC"/>
    <w:rsid w:val="0044240F"/>
    <w:rsid w:val="00444A88"/>
    <w:rsid w:val="004515E3"/>
    <w:rsid w:val="0045299F"/>
    <w:rsid w:val="004543F5"/>
    <w:rsid w:val="00454749"/>
    <w:rsid w:val="0045550C"/>
    <w:rsid w:val="00456A49"/>
    <w:rsid w:val="004601C9"/>
    <w:rsid w:val="00461438"/>
    <w:rsid w:val="0046299F"/>
    <w:rsid w:val="00464AE1"/>
    <w:rsid w:val="0046537A"/>
    <w:rsid w:val="00465ABE"/>
    <w:rsid w:val="00470586"/>
    <w:rsid w:val="00470990"/>
    <w:rsid w:val="00471342"/>
    <w:rsid w:val="0047169D"/>
    <w:rsid w:val="00471AF6"/>
    <w:rsid w:val="00472388"/>
    <w:rsid w:val="00472ACC"/>
    <w:rsid w:val="00472B51"/>
    <w:rsid w:val="004730C8"/>
    <w:rsid w:val="00473F56"/>
    <w:rsid w:val="004745CD"/>
    <w:rsid w:val="00474DA4"/>
    <w:rsid w:val="00475810"/>
    <w:rsid w:val="00475A2F"/>
    <w:rsid w:val="00475AB0"/>
    <w:rsid w:val="004767D6"/>
    <w:rsid w:val="00476B4D"/>
    <w:rsid w:val="004777B2"/>
    <w:rsid w:val="004805B3"/>
    <w:rsid w:val="004805FA"/>
    <w:rsid w:val="00481656"/>
    <w:rsid w:val="00485129"/>
    <w:rsid w:val="0048716E"/>
    <w:rsid w:val="00487C3A"/>
    <w:rsid w:val="00487C4A"/>
    <w:rsid w:val="00490B73"/>
    <w:rsid w:val="0049206E"/>
    <w:rsid w:val="004935D2"/>
    <w:rsid w:val="00493995"/>
    <w:rsid w:val="004954D4"/>
    <w:rsid w:val="00495FDB"/>
    <w:rsid w:val="004A0FFD"/>
    <w:rsid w:val="004A1ED5"/>
    <w:rsid w:val="004A2823"/>
    <w:rsid w:val="004A4889"/>
    <w:rsid w:val="004A622D"/>
    <w:rsid w:val="004A683A"/>
    <w:rsid w:val="004A6C71"/>
    <w:rsid w:val="004B01D5"/>
    <w:rsid w:val="004B1215"/>
    <w:rsid w:val="004C0FB6"/>
    <w:rsid w:val="004C120A"/>
    <w:rsid w:val="004C26EE"/>
    <w:rsid w:val="004C3564"/>
    <w:rsid w:val="004C4EE8"/>
    <w:rsid w:val="004D03AB"/>
    <w:rsid w:val="004D047D"/>
    <w:rsid w:val="004D217B"/>
    <w:rsid w:val="004D2C46"/>
    <w:rsid w:val="004D3CC7"/>
    <w:rsid w:val="004D3EE1"/>
    <w:rsid w:val="004D3FA3"/>
    <w:rsid w:val="004D46E0"/>
    <w:rsid w:val="004E1C5B"/>
    <w:rsid w:val="004E1F5A"/>
    <w:rsid w:val="004E38C5"/>
    <w:rsid w:val="004E76CD"/>
    <w:rsid w:val="004F1E9E"/>
    <w:rsid w:val="004F2420"/>
    <w:rsid w:val="004F305A"/>
    <w:rsid w:val="004F477C"/>
    <w:rsid w:val="004F4E5F"/>
    <w:rsid w:val="004F5DA8"/>
    <w:rsid w:val="00501680"/>
    <w:rsid w:val="00504359"/>
    <w:rsid w:val="00506A9E"/>
    <w:rsid w:val="00506FC9"/>
    <w:rsid w:val="00506FF1"/>
    <w:rsid w:val="00512164"/>
    <w:rsid w:val="00512B0D"/>
    <w:rsid w:val="00515759"/>
    <w:rsid w:val="00515FCE"/>
    <w:rsid w:val="00520297"/>
    <w:rsid w:val="00521806"/>
    <w:rsid w:val="00522128"/>
    <w:rsid w:val="00522B11"/>
    <w:rsid w:val="00522B64"/>
    <w:rsid w:val="00522CFF"/>
    <w:rsid w:val="00524F4D"/>
    <w:rsid w:val="00526738"/>
    <w:rsid w:val="00530B03"/>
    <w:rsid w:val="00530DD3"/>
    <w:rsid w:val="00532259"/>
    <w:rsid w:val="0053261C"/>
    <w:rsid w:val="00533444"/>
    <w:rsid w:val="005337F8"/>
    <w:rsid w:val="005338F9"/>
    <w:rsid w:val="00533933"/>
    <w:rsid w:val="00534295"/>
    <w:rsid w:val="005362A5"/>
    <w:rsid w:val="00537E91"/>
    <w:rsid w:val="005409C7"/>
    <w:rsid w:val="00540A88"/>
    <w:rsid w:val="005419DB"/>
    <w:rsid w:val="00542736"/>
    <w:rsid w:val="0054281C"/>
    <w:rsid w:val="00544205"/>
    <w:rsid w:val="00544280"/>
    <w:rsid w:val="00544581"/>
    <w:rsid w:val="00547554"/>
    <w:rsid w:val="00550FF9"/>
    <w:rsid w:val="00551D2C"/>
    <w:rsid w:val="0055268D"/>
    <w:rsid w:val="0055351F"/>
    <w:rsid w:val="0055465C"/>
    <w:rsid w:val="00556675"/>
    <w:rsid w:val="00560089"/>
    <w:rsid w:val="005612DD"/>
    <w:rsid w:val="0056173A"/>
    <w:rsid w:val="005656A6"/>
    <w:rsid w:val="00571065"/>
    <w:rsid w:val="00572817"/>
    <w:rsid w:val="005728B1"/>
    <w:rsid w:val="00573061"/>
    <w:rsid w:val="00573F07"/>
    <w:rsid w:val="0057480B"/>
    <w:rsid w:val="005751C4"/>
    <w:rsid w:val="00575DE2"/>
    <w:rsid w:val="00576BE4"/>
    <w:rsid w:val="005779DB"/>
    <w:rsid w:val="00577F8E"/>
    <w:rsid w:val="00582869"/>
    <w:rsid w:val="0058500B"/>
    <w:rsid w:val="0058621D"/>
    <w:rsid w:val="00591BAE"/>
    <w:rsid w:val="00592AD3"/>
    <w:rsid w:val="00595A50"/>
    <w:rsid w:val="00596380"/>
    <w:rsid w:val="005963F0"/>
    <w:rsid w:val="005972A1"/>
    <w:rsid w:val="005972FA"/>
    <w:rsid w:val="005A0B93"/>
    <w:rsid w:val="005A3CCA"/>
    <w:rsid w:val="005A400A"/>
    <w:rsid w:val="005A5ACE"/>
    <w:rsid w:val="005A61CB"/>
    <w:rsid w:val="005B1F18"/>
    <w:rsid w:val="005B269D"/>
    <w:rsid w:val="005B333F"/>
    <w:rsid w:val="005B4904"/>
    <w:rsid w:val="005B5A0A"/>
    <w:rsid w:val="005B6C70"/>
    <w:rsid w:val="005B74C2"/>
    <w:rsid w:val="005C0078"/>
    <w:rsid w:val="005C0FB5"/>
    <w:rsid w:val="005C297B"/>
    <w:rsid w:val="005C29E4"/>
    <w:rsid w:val="005C30C9"/>
    <w:rsid w:val="005C3343"/>
    <w:rsid w:val="005C6042"/>
    <w:rsid w:val="005D165A"/>
    <w:rsid w:val="005D1C40"/>
    <w:rsid w:val="005D33F5"/>
    <w:rsid w:val="005D4129"/>
    <w:rsid w:val="005D55E5"/>
    <w:rsid w:val="005D7F77"/>
    <w:rsid w:val="005E1862"/>
    <w:rsid w:val="005E19F3"/>
    <w:rsid w:val="005E2395"/>
    <w:rsid w:val="005E5546"/>
    <w:rsid w:val="005F0A13"/>
    <w:rsid w:val="005F0B8B"/>
    <w:rsid w:val="005F30EF"/>
    <w:rsid w:val="005F37CE"/>
    <w:rsid w:val="005F5AEF"/>
    <w:rsid w:val="005F6CA8"/>
    <w:rsid w:val="005F73D3"/>
    <w:rsid w:val="005F7B92"/>
    <w:rsid w:val="00600EC5"/>
    <w:rsid w:val="006010EF"/>
    <w:rsid w:val="0060242D"/>
    <w:rsid w:val="0060311C"/>
    <w:rsid w:val="00604707"/>
    <w:rsid w:val="00606919"/>
    <w:rsid w:val="00612379"/>
    <w:rsid w:val="00612C35"/>
    <w:rsid w:val="00613450"/>
    <w:rsid w:val="006153B6"/>
    <w:rsid w:val="0061555F"/>
    <w:rsid w:val="00622B7E"/>
    <w:rsid w:val="00623817"/>
    <w:rsid w:val="006245ED"/>
    <w:rsid w:val="006255E8"/>
    <w:rsid w:val="00630462"/>
    <w:rsid w:val="00631C28"/>
    <w:rsid w:val="006345F6"/>
    <w:rsid w:val="00636CA6"/>
    <w:rsid w:val="0063724C"/>
    <w:rsid w:val="00637BCF"/>
    <w:rsid w:val="00640E10"/>
    <w:rsid w:val="00641200"/>
    <w:rsid w:val="00642CE6"/>
    <w:rsid w:val="00642CEF"/>
    <w:rsid w:val="00643623"/>
    <w:rsid w:val="00644FB1"/>
    <w:rsid w:val="00645CA8"/>
    <w:rsid w:val="00646BF3"/>
    <w:rsid w:val="00646FDE"/>
    <w:rsid w:val="0064783F"/>
    <w:rsid w:val="0065031E"/>
    <w:rsid w:val="00650A61"/>
    <w:rsid w:val="00650BCB"/>
    <w:rsid w:val="00650FB2"/>
    <w:rsid w:val="00652348"/>
    <w:rsid w:val="00653C19"/>
    <w:rsid w:val="00653E0E"/>
    <w:rsid w:val="00657F4A"/>
    <w:rsid w:val="00657FCA"/>
    <w:rsid w:val="00662FC4"/>
    <w:rsid w:val="006639AA"/>
    <w:rsid w:val="006655D3"/>
    <w:rsid w:val="00666976"/>
    <w:rsid w:val="0066701E"/>
    <w:rsid w:val="006671EB"/>
    <w:rsid w:val="00667404"/>
    <w:rsid w:val="00671E8A"/>
    <w:rsid w:val="00673FBF"/>
    <w:rsid w:val="00675087"/>
    <w:rsid w:val="00675D1F"/>
    <w:rsid w:val="00676E2A"/>
    <w:rsid w:val="00676EFE"/>
    <w:rsid w:val="006779DC"/>
    <w:rsid w:val="0068095B"/>
    <w:rsid w:val="00681443"/>
    <w:rsid w:val="00683842"/>
    <w:rsid w:val="0068528F"/>
    <w:rsid w:val="006868F8"/>
    <w:rsid w:val="00687EB4"/>
    <w:rsid w:val="00690900"/>
    <w:rsid w:val="0069298B"/>
    <w:rsid w:val="0069391E"/>
    <w:rsid w:val="00695C56"/>
    <w:rsid w:val="00695D23"/>
    <w:rsid w:val="006971FC"/>
    <w:rsid w:val="006A1613"/>
    <w:rsid w:val="006A263B"/>
    <w:rsid w:val="006A3BDC"/>
    <w:rsid w:val="006A5CDE"/>
    <w:rsid w:val="006A6182"/>
    <w:rsid w:val="006A644A"/>
    <w:rsid w:val="006B17D2"/>
    <w:rsid w:val="006B2C85"/>
    <w:rsid w:val="006C03E6"/>
    <w:rsid w:val="006C0785"/>
    <w:rsid w:val="006C224E"/>
    <w:rsid w:val="006C3F6E"/>
    <w:rsid w:val="006C5E05"/>
    <w:rsid w:val="006C7330"/>
    <w:rsid w:val="006D0B09"/>
    <w:rsid w:val="006D0BDB"/>
    <w:rsid w:val="006D1194"/>
    <w:rsid w:val="006D3882"/>
    <w:rsid w:val="006D4149"/>
    <w:rsid w:val="006D4AAC"/>
    <w:rsid w:val="006D74B6"/>
    <w:rsid w:val="006D780A"/>
    <w:rsid w:val="006D7B49"/>
    <w:rsid w:val="006E0B11"/>
    <w:rsid w:val="006E2D2D"/>
    <w:rsid w:val="006E36AA"/>
    <w:rsid w:val="006E3774"/>
    <w:rsid w:val="006E4B3B"/>
    <w:rsid w:val="006E4B7F"/>
    <w:rsid w:val="006E4C6D"/>
    <w:rsid w:val="006E4F4F"/>
    <w:rsid w:val="006E5114"/>
    <w:rsid w:val="006E7ACD"/>
    <w:rsid w:val="006F0437"/>
    <w:rsid w:val="006F04E7"/>
    <w:rsid w:val="006F3491"/>
    <w:rsid w:val="006F66D1"/>
    <w:rsid w:val="006F79A0"/>
    <w:rsid w:val="006F7D96"/>
    <w:rsid w:val="00700E80"/>
    <w:rsid w:val="00702901"/>
    <w:rsid w:val="007052B8"/>
    <w:rsid w:val="00705887"/>
    <w:rsid w:val="007068DA"/>
    <w:rsid w:val="0071271E"/>
    <w:rsid w:val="00713D4D"/>
    <w:rsid w:val="00714D7F"/>
    <w:rsid w:val="00714E18"/>
    <w:rsid w:val="00714E2F"/>
    <w:rsid w:val="007154FD"/>
    <w:rsid w:val="0072016D"/>
    <w:rsid w:val="00720AB3"/>
    <w:rsid w:val="00726D57"/>
    <w:rsid w:val="00731381"/>
    <w:rsid w:val="00732DEC"/>
    <w:rsid w:val="00733877"/>
    <w:rsid w:val="00733A63"/>
    <w:rsid w:val="007359DF"/>
    <w:rsid w:val="00735BD5"/>
    <w:rsid w:val="007370C3"/>
    <w:rsid w:val="00742BD3"/>
    <w:rsid w:val="00742BD6"/>
    <w:rsid w:val="00743D5D"/>
    <w:rsid w:val="007451EC"/>
    <w:rsid w:val="0074558C"/>
    <w:rsid w:val="00747D33"/>
    <w:rsid w:val="0075057A"/>
    <w:rsid w:val="00751613"/>
    <w:rsid w:val="00752016"/>
    <w:rsid w:val="007523FB"/>
    <w:rsid w:val="00752DC0"/>
    <w:rsid w:val="00752F0F"/>
    <w:rsid w:val="00753EE9"/>
    <w:rsid w:val="007546B2"/>
    <w:rsid w:val="007556F6"/>
    <w:rsid w:val="007558F4"/>
    <w:rsid w:val="007578C5"/>
    <w:rsid w:val="00760EEF"/>
    <w:rsid w:val="00761064"/>
    <w:rsid w:val="00762E8C"/>
    <w:rsid w:val="00763C99"/>
    <w:rsid w:val="007722B5"/>
    <w:rsid w:val="00773832"/>
    <w:rsid w:val="00773ED0"/>
    <w:rsid w:val="0077577B"/>
    <w:rsid w:val="00777EE5"/>
    <w:rsid w:val="00781B8B"/>
    <w:rsid w:val="00784836"/>
    <w:rsid w:val="00784BBE"/>
    <w:rsid w:val="0078529E"/>
    <w:rsid w:val="007861CD"/>
    <w:rsid w:val="00786778"/>
    <w:rsid w:val="0079023E"/>
    <w:rsid w:val="00790EBF"/>
    <w:rsid w:val="007915EA"/>
    <w:rsid w:val="00792A2B"/>
    <w:rsid w:val="007955AE"/>
    <w:rsid w:val="00795BFF"/>
    <w:rsid w:val="007960A1"/>
    <w:rsid w:val="007A0D7E"/>
    <w:rsid w:val="007A2854"/>
    <w:rsid w:val="007A3B9D"/>
    <w:rsid w:val="007A7FCA"/>
    <w:rsid w:val="007B2604"/>
    <w:rsid w:val="007B317A"/>
    <w:rsid w:val="007B6664"/>
    <w:rsid w:val="007B6D37"/>
    <w:rsid w:val="007B73A9"/>
    <w:rsid w:val="007C01EB"/>
    <w:rsid w:val="007C0689"/>
    <w:rsid w:val="007C1D92"/>
    <w:rsid w:val="007C28FB"/>
    <w:rsid w:val="007C2A57"/>
    <w:rsid w:val="007C4CB9"/>
    <w:rsid w:val="007C6C55"/>
    <w:rsid w:val="007C7012"/>
    <w:rsid w:val="007D0461"/>
    <w:rsid w:val="007D0B9D"/>
    <w:rsid w:val="007D19B0"/>
    <w:rsid w:val="007D2C3E"/>
    <w:rsid w:val="007D3293"/>
    <w:rsid w:val="007D46BF"/>
    <w:rsid w:val="007D744C"/>
    <w:rsid w:val="007D762E"/>
    <w:rsid w:val="007E05E5"/>
    <w:rsid w:val="007E1602"/>
    <w:rsid w:val="007E2BB2"/>
    <w:rsid w:val="007E36E5"/>
    <w:rsid w:val="007E4687"/>
    <w:rsid w:val="007F1318"/>
    <w:rsid w:val="007F1DBF"/>
    <w:rsid w:val="007F3BBD"/>
    <w:rsid w:val="007F4487"/>
    <w:rsid w:val="007F498F"/>
    <w:rsid w:val="007F4A57"/>
    <w:rsid w:val="007F4AA5"/>
    <w:rsid w:val="007F58E5"/>
    <w:rsid w:val="007F5FA2"/>
    <w:rsid w:val="007F6BAB"/>
    <w:rsid w:val="007F72C4"/>
    <w:rsid w:val="007F7701"/>
    <w:rsid w:val="00800686"/>
    <w:rsid w:val="0080077B"/>
    <w:rsid w:val="00800D00"/>
    <w:rsid w:val="00802749"/>
    <w:rsid w:val="0080468C"/>
    <w:rsid w:val="0080679D"/>
    <w:rsid w:val="00807505"/>
    <w:rsid w:val="00807671"/>
    <w:rsid w:val="0081000F"/>
    <w:rsid w:val="008108B0"/>
    <w:rsid w:val="00811B20"/>
    <w:rsid w:val="00812609"/>
    <w:rsid w:val="008129D3"/>
    <w:rsid w:val="00813914"/>
    <w:rsid w:val="00814FF1"/>
    <w:rsid w:val="008211B5"/>
    <w:rsid w:val="0082296E"/>
    <w:rsid w:val="00824099"/>
    <w:rsid w:val="00824188"/>
    <w:rsid w:val="0082434F"/>
    <w:rsid w:val="0082493F"/>
    <w:rsid w:val="00825147"/>
    <w:rsid w:val="00825360"/>
    <w:rsid w:val="008261BF"/>
    <w:rsid w:val="008313AE"/>
    <w:rsid w:val="00831868"/>
    <w:rsid w:val="008318BF"/>
    <w:rsid w:val="00832960"/>
    <w:rsid w:val="00832DD2"/>
    <w:rsid w:val="00833141"/>
    <w:rsid w:val="00834D62"/>
    <w:rsid w:val="008375C0"/>
    <w:rsid w:val="0084006D"/>
    <w:rsid w:val="00843455"/>
    <w:rsid w:val="008441D1"/>
    <w:rsid w:val="00844AFF"/>
    <w:rsid w:val="00845148"/>
    <w:rsid w:val="00845306"/>
    <w:rsid w:val="00846D7C"/>
    <w:rsid w:val="00847509"/>
    <w:rsid w:val="00850960"/>
    <w:rsid w:val="008518DD"/>
    <w:rsid w:val="008520D3"/>
    <w:rsid w:val="008529A3"/>
    <w:rsid w:val="008534C1"/>
    <w:rsid w:val="00853E9D"/>
    <w:rsid w:val="00854A65"/>
    <w:rsid w:val="00855888"/>
    <w:rsid w:val="00857BDD"/>
    <w:rsid w:val="00860743"/>
    <w:rsid w:val="00863194"/>
    <w:rsid w:val="00864F74"/>
    <w:rsid w:val="00865A4D"/>
    <w:rsid w:val="00867156"/>
    <w:rsid w:val="00867AC1"/>
    <w:rsid w:val="00870B29"/>
    <w:rsid w:val="008732FE"/>
    <w:rsid w:val="00873F5B"/>
    <w:rsid w:val="008744E8"/>
    <w:rsid w:val="00874D30"/>
    <w:rsid w:val="008751DE"/>
    <w:rsid w:val="008773FF"/>
    <w:rsid w:val="008801D0"/>
    <w:rsid w:val="00881720"/>
    <w:rsid w:val="00882559"/>
    <w:rsid w:val="00882BE8"/>
    <w:rsid w:val="00883312"/>
    <w:rsid w:val="00884600"/>
    <w:rsid w:val="008864D3"/>
    <w:rsid w:val="00886E5D"/>
    <w:rsid w:val="00887232"/>
    <w:rsid w:val="0088732A"/>
    <w:rsid w:val="0088748D"/>
    <w:rsid w:val="00887594"/>
    <w:rsid w:val="0088784C"/>
    <w:rsid w:val="008902B6"/>
    <w:rsid w:val="00890B81"/>
    <w:rsid w:val="00890DF8"/>
    <w:rsid w:val="00892001"/>
    <w:rsid w:val="008950F1"/>
    <w:rsid w:val="00895393"/>
    <w:rsid w:val="00895431"/>
    <w:rsid w:val="0089621A"/>
    <w:rsid w:val="008A0ADE"/>
    <w:rsid w:val="008A13D6"/>
    <w:rsid w:val="008A1A19"/>
    <w:rsid w:val="008A22E1"/>
    <w:rsid w:val="008A3D22"/>
    <w:rsid w:val="008A4C42"/>
    <w:rsid w:val="008A52E0"/>
    <w:rsid w:val="008A5709"/>
    <w:rsid w:val="008A743F"/>
    <w:rsid w:val="008A7BE8"/>
    <w:rsid w:val="008A7BEE"/>
    <w:rsid w:val="008B34E7"/>
    <w:rsid w:val="008B3FE8"/>
    <w:rsid w:val="008B4286"/>
    <w:rsid w:val="008B5FBB"/>
    <w:rsid w:val="008B6969"/>
    <w:rsid w:val="008C0970"/>
    <w:rsid w:val="008C14E1"/>
    <w:rsid w:val="008C1675"/>
    <w:rsid w:val="008C2174"/>
    <w:rsid w:val="008C31C8"/>
    <w:rsid w:val="008C37A5"/>
    <w:rsid w:val="008C3929"/>
    <w:rsid w:val="008C4AAE"/>
    <w:rsid w:val="008C5C23"/>
    <w:rsid w:val="008C63BD"/>
    <w:rsid w:val="008D0B9F"/>
    <w:rsid w:val="008D0BC5"/>
    <w:rsid w:val="008D2CF7"/>
    <w:rsid w:val="008D2D25"/>
    <w:rsid w:val="008D4285"/>
    <w:rsid w:val="008D4A28"/>
    <w:rsid w:val="008D6514"/>
    <w:rsid w:val="008D74F8"/>
    <w:rsid w:val="008D7E0C"/>
    <w:rsid w:val="008D7E12"/>
    <w:rsid w:val="008E07B0"/>
    <w:rsid w:val="008E41E4"/>
    <w:rsid w:val="008E4C3D"/>
    <w:rsid w:val="008E6220"/>
    <w:rsid w:val="008F163D"/>
    <w:rsid w:val="008F2B43"/>
    <w:rsid w:val="008F32FF"/>
    <w:rsid w:val="008F512A"/>
    <w:rsid w:val="008F64F2"/>
    <w:rsid w:val="008F6E67"/>
    <w:rsid w:val="008F6F97"/>
    <w:rsid w:val="008F7B4A"/>
    <w:rsid w:val="00900C26"/>
    <w:rsid w:val="00901880"/>
    <w:rsid w:val="0090197F"/>
    <w:rsid w:val="0090265A"/>
    <w:rsid w:val="00903264"/>
    <w:rsid w:val="0090346B"/>
    <w:rsid w:val="0090508A"/>
    <w:rsid w:val="00906DDC"/>
    <w:rsid w:val="00910C1E"/>
    <w:rsid w:val="009112CA"/>
    <w:rsid w:val="0091222B"/>
    <w:rsid w:val="00915C02"/>
    <w:rsid w:val="0091603E"/>
    <w:rsid w:val="009167CD"/>
    <w:rsid w:val="00916F22"/>
    <w:rsid w:val="00917967"/>
    <w:rsid w:val="00921232"/>
    <w:rsid w:val="00921B4E"/>
    <w:rsid w:val="0092328D"/>
    <w:rsid w:val="00925CD1"/>
    <w:rsid w:val="0092781C"/>
    <w:rsid w:val="00927F33"/>
    <w:rsid w:val="00930097"/>
    <w:rsid w:val="00930D0E"/>
    <w:rsid w:val="009331AA"/>
    <w:rsid w:val="00934E09"/>
    <w:rsid w:val="009353F9"/>
    <w:rsid w:val="00936253"/>
    <w:rsid w:val="00940700"/>
    <w:rsid w:val="00940D46"/>
    <w:rsid w:val="00940E2B"/>
    <w:rsid w:val="009413F1"/>
    <w:rsid w:val="00943F68"/>
    <w:rsid w:val="00945BA3"/>
    <w:rsid w:val="00946401"/>
    <w:rsid w:val="00946C0D"/>
    <w:rsid w:val="00946D69"/>
    <w:rsid w:val="00950632"/>
    <w:rsid w:val="00951044"/>
    <w:rsid w:val="0095105D"/>
    <w:rsid w:val="009517C7"/>
    <w:rsid w:val="00952DD4"/>
    <w:rsid w:val="009532AD"/>
    <w:rsid w:val="009543F6"/>
    <w:rsid w:val="009561F4"/>
    <w:rsid w:val="00957521"/>
    <w:rsid w:val="00960466"/>
    <w:rsid w:val="00962BD8"/>
    <w:rsid w:val="00965AE7"/>
    <w:rsid w:val="00965E0F"/>
    <w:rsid w:val="009669BC"/>
    <w:rsid w:val="00970EA0"/>
    <w:rsid w:val="00970FED"/>
    <w:rsid w:val="00971032"/>
    <w:rsid w:val="00974746"/>
    <w:rsid w:val="0097485B"/>
    <w:rsid w:val="00975B88"/>
    <w:rsid w:val="009765A7"/>
    <w:rsid w:val="0097706E"/>
    <w:rsid w:val="0098110F"/>
    <w:rsid w:val="009834A3"/>
    <w:rsid w:val="00983F89"/>
    <w:rsid w:val="00984070"/>
    <w:rsid w:val="009847C1"/>
    <w:rsid w:val="009848D7"/>
    <w:rsid w:val="00984AF4"/>
    <w:rsid w:val="00986E0C"/>
    <w:rsid w:val="0098754F"/>
    <w:rsid w:val="009905F0"/>
    <w:rsid w:val="009906B3"/>
    <w:rsid w:val="0099218F"/>
    <w:rsid w:val="00992616"/>
    <w:rsid w:val="00992D82"/>
    <w:rsid w:val="00997029"/>
    <w:rsid w:val="009A00D9"/>
    <w:rsid w:val="009A0109"/>
    <w:rsid w:val="009A070B"/>
    <w:rsid w:val="009A1C20"/>
    <w:rsid w:val="009A26EE"/>
    <w:rsid w:val="009A4E71"/>
    <w:rsid w:val="009A5BEC"/>
    <w:rsid w:val="009A7339"/>
    <w:rsid w:val="009A796B"/>
    <w:rsid w:val="009A7E1A"/>
    <w:rsid w:val="009B0366"/>
    <w:rsid w:val="009B03FA"/>
    <w:rsid w:val="009B0BC5"/>
    <w:rsid w:val="009B1AED"/>
    <w:rsid w:val="009B1C2C"/>
    <w:rsid w:val="009B23AC"/>
    <w:rsid w:val="009B4181"/>
    <w:rsid w:val="009B440E"/>
    <w:rsid w:val="009B44C7"/>
    <w:rsid w:val="009B7AF7"/>
    <w:rsid w:val="009C1313"/>
    <w:rsid w:val="009C1407"/>
    <w:rsid w:val="009C44C2"/>
    <w:rsid w:val="009C71BB"/>
    <w:rsid w:val="009C7353"/>
    <w:rsid w:val="009D0402"/>
    <w:rsid w:val="009D2E02"/>
    <w:rsid w:val="009D3CBE"/>
    <w:rsid w:val="009D5FF3"/>
    <w:rsid w:val="009D690D"/>
    <w:rsid w:val="009D7047"/>
    <w:rsid w:val="009E1109"/>
    <w:rsid w:val="009E25B1"/>
    <w:rsid w:val="009E30EF"/>
    <w:rsid w:val="009E4D9F"/>
    <w:rsid w:val="009E5911"/>
    <w:rsid w:val="009E65B6"/>
    <w:rsid w:val="009F036B"/>
    <w:rsid w:val="009F0607"/>
    <w:rsid w:val="009F0A51"/>
    <w:rsid w:val="009F3FA7"/>
    <w:rsid w:val="009F4EF8"/>
    <w:rsid w:val="009F5096"/>
    <w:rsid w:val="009F5435"/>
    <w:rsid w:val="009F696E"/>
    <w:rsid w:val="009F6D86"/>
    <w:rsid w:val="009F76CF"/>
    <w:rsid w:val="009F77CF"/>
    <w:rsid w:val="009F7B9C"/>
    <w:rsid w:val="00A00571"/>
    <w:rsid w:val="00A02C6D"/>
    <w:rsid w:val="00A060A9"/>
    <w:rsid w:val="00A063DA"/>
    <w:rsid w:val="00A07516"/>
    <w:rsid w:val="00A07627"/>
    <w:rsid w:val="00A11577"/>
    <w:rsid w:val="00A1714A"/>
    <w:rsid w:val="00A20C9A"/>
    <w:rsid w:val="00A21829"/>
    <w:rsid w:val="00A2240A"/>
    <w:rsid w:val="00A239AB"/>
    <w:rsid w:val="00A24C10"/>
    <w:rsid w:val="00A26088"/>
    <w:rsid w:val="00A26BA4"/>
    <w:rsid w:val="00A27817"/>
    <w:rsid w:val="00A32BD8"/>
    <w:rsid w:val="00A3394F"/>
    <w:rsid w:val="00A33FD0"/>
    <w:rsid w:val="00A36972"/>
    <w:rsid w:val="00A40CBB"/>
    <w:rsid w:val="00A41782"/>
    <w:rsid w:val="00A42AC3"/>
    <w:rsid w:val="00A430CF"/>
    <w:rsid w:val="00A43BA5"/>
    <w:rsid w:val="00A477C8"/>
    <w:rsid w:val="00A47C5C"/>
    <w:rsid w:val="00A51C56"/>
    <w:rsid w:val="00A54309"/>
    <w:rsid w:val="00A55F6E"/>
    <w:rsid w:val="00A56E3B"/>
    <w:rsid w:val="00A610A9"/>
    <w:rsid w:val="00A61E95"/>
    <w:rsid w:val="00A62C60"/>
    <w:rsid w:val="00A6494D"/>
    <w:rsid w:val="00A64978"/>
    <w:rsid w:val="00A655A8"/>
    <w:rsid w:val="00A66274"/>
    <w:rsid w:val="00A66DD1"/>
    <w:rsid w:val="00A71069"/>
    <w:rsid w:val="00A7217D"/>
    <w:rsid w:val="00A7229D"/>
    <w:rsid w:val="00A74630"/>
    <w:rsid w:val="00A7475B"/>
    <w:rsid w:val="00A748EB"/>
    <w:rsid w:val="00A74AF8"/>
    <w:rsid w:val="00A808CA"/>
    <w:rsid w:val="00A80F2A"/>
    <w:rsid w:val="00A81216"/>
    <w:rsid w:val="00A82132"/>
    <w:rsid w:val="00A83A48"/>
    <w:rsid w:val="00A84782"/>
    <w:rsid w:val="00A848CC"/>
    <w:rsid w:val="00A84F7D"/>
    <w:rsid w:val="00A859F9"/>
    <w:rsid w:val="00A90491"/>
    <w:rsid w:val="00A920CC"/>
    <w:rsid w:val="00A92701"/>
    <w:rsid w:val="00A92EB6"/>
    <w:rsid w:val="00A93AB7"/>
    <w:rsid w:val="00A95D32"/>
    <w:rsid w:val="00A96C33"/>
    <w:rsid w:val="00A96D6A"/>
    <w:rsid w:val="00AA00C5"/>
    <w:rsid w:val="00AA13A2"/>
    <w:rsid w:val="00AA25D7"/>
    <w:rsid w:val="00AA3024"/>
    <w:rsid w:val="00AA3CE0"/>
    <w:rsid w:val="00AA4E7E"/>
    <w:rsid w:val="00AA5303"/>
    <w:rsid w:val="00AA5620"/>
    <w:rsid w:val="00AA580B"/>
    <w:rsid w:val="00AA6936"/>
    <w:rsid w:val="00AA69DD"/>
    <w:rsid w:val="00AA7EF7"/>
    <w:rsid w:val="00AB1F6B"/>
    <w:rsid w:val="00AB2B93"/>
    <w:rsid w:val="00AB530F"/>
    <w:rsid w:val="00AB54D6"/>
    <w:rsid w:val="00AB5644"/>
    <w:rsid w:val="00AB5B02"/>
    <w:rsid w:val="00AB5DE2"/>
    <w:rsid w:val="00AB7E5B"/>
    <w:rsid w:val="00AC01D6"/>
    <w:rsid w:val="00AC2883"/>
    <w:rsid w:val="00AC2EA1"/>
    <w:rsid w:val="00AC348D"/>
    <w:rsid w:val="00AC4BE5"/>
    <w:rsid w:val="00AD05AA"/>
    <w:rsid w:val="00AD1EEE"/>
    <w:rsid w:val="00AD3527"/>
    <w:rsid w:val="00AD3753"/>
    <w:rsid w:val="00AD3E1D"/>
    <w:rsid w:val="00AD3F12"/>
    <w:rsid w:val="00AD431F"/>
    <w:rsid w:val="00AD4605"/>
    <w:rsid w:val="00AD4721"/>
    <w:rsid w:val="00AD63EB"/>
    <w:rsid w:val="00AE0EF1"/>
    <w:rsid w:val="00AE1052"/>
    <w:rsid w:val="00AE2937"/>
    <w:rsid w:val="00AE2BF9"/>
    <w:rsid w:val="00AE7553"/>
    <w:rsid w:val="00AF510C"/>
    <w:rsid w:val="00AF5629"/>
    <w:rsid w:val="00AF646F"/>
    <w:rsid w:val="00AF7C82"/>
    <w:rsid w:val="00B001D3"/>
    <w:rsid w:val="00B015DA"/>
    <w:rsid w:val="00B01CD5"/>
    <w:rsid w:val="00B01E60"/>
    <w:rsid w:val="00B01EAD"/>
    <w:rsid w:val="00B047D9"/>
    <w:rsid w:val="00B04EAF"/>
    <w:rsid w:val="00B04FEE"/>
    <w:rsid w:val="00B07301"/>
    <w:rsid w:val="00B11F3E"/>
    <w:rsid w:val="00B13218"/>
    <w:rsid w:val="00B1511A"/>
    <w:rsid w:val="00B17649"/>
    <w:rsid w:val="00B17997"/>
    <w:rsid w:val="00B17ED9"/>
    <w:rsid w:val="00B20F05"/>
    <w:rsid w:val="00B21BB3"/>
    <w:rsid w:val="00B224DE"/>
    <w:rsid w:val="00B22A08"/>
    <w:rsid w:val="00B22ED6"/>
    <w:rsid w:val="00B236B7"/>
    <w:rsid w:val="00B23A70"/>
    <w:rsid w:val="00B2430A"/>
    <w:rsid w:val="00B324D4"/>
    <w:rsid w:val="00B3260D"/>
    <w:rsid w:val="00B33E9C"/>
    <w:rsid w:val="00B34A6E"/>
    <w:rsid w:val="00B34C57"/>
    <w:rsid w:val="00B34FEB"/>
    <w:rsid w:val="00B352C1"/>
    <w:rsid w:val="00B3794E"/>
    <w:rsid w:val="00B40D4F"/>
    <w:rsid w:val="00B42CC2"/>
    <w:rsid w:val="00B43354"/>
    <w:rsid w:val="00B4392D"/>
    <w:rsid w:val="00B43A2A"/>
    <w:rsid w:val="00B45100"/>
    <w:rsid w:val="00B46575"/>
    <w:rsid w:val="00B47541"/>
    <w:rsid w:val="00B4760D"/>
    <w:rsid w:val="00B514DB"/>
    <w:rsid w:val="00B52114"/>
    <w:rsid w:val="00B52CE1"/>
    <w:rsid w:val="00B52D4B"/>
    <w:rsid w:val="00B53870"/>
    <w:rsid w:val="00B57573"/>
    <w:rsid w:val="00B606EB"/>
    <w:rsid w:val="00B61777"/>
    <w:rsid w:val="00B622E6"/>
    <w:rsid w:val="00B62F56"/>
    <w:rsid w:val="00B63542"/>
    <w:rsid w:val="00B63F38"/>
    <w:rsid w:val="00B64F5E"/>
    <w:rsid w:val="00B65947"/>
    <w:rsid w:val="00B668C3"/>
    <w:rsid w:val="00B66ECE"/>
    <w:rsid w:val="00B70EFA"/>
    <w:rsid w:val="00B70F5C"/>
    <w:rsid w:val="00B7199D"/>
    <w:rsid w:val="00B72F57"/>
    <w:rsid w:val="00B73C40"/>
    <w:rsid w:val="00B7479D"/>
    <w:rsid w:val="00B74B71"/>
    <w:rsid w:val="00B74D30"/>
    <w:rsid w:val="00B76036"/>
    <w:rsid w:val="00B767CC"/>
    <w:rsid w:val="00B770FD"/>
    <w:rsid w:val="00B83D02"/>
    <w:rsid w:val="00B83E82"/>
    <w:rsid w:val="00B84BBD"/>
    <w:rsid w:val="00B91BD8"/>
    <w:rsid w:val="00B91C8B"/>
    <w:rsid w:val="00B92695"/>
    <w:rsid w:val="00B948B3"/>
    <w:rsid w:val="00B95B29"/>
    <w:rsid w:val="00BA1D85"/>
    <w:rsid w:val="00BA2810"/>
    <w:rsid w:val="00BA43FB"/>
    <w:rsid w:val="00BA65A2"/>
    <w:rsid w:val="00BB0116"/>
    <w:rsid w:val="00BB186A"/>
    <w:rsid w:val="00BB3227"/>
    <w:rsid w:val="00BB3A7B"/>
    <w:rsid w:val="00BB3FBC"/>
    <w:rsid w:val="00BB4EF6"/>
    <w:rsid w:val="00BC127D"/>
    <w:rsid w:val="00BC1FE6"/>
    <w:rsid w:val="00BC35C3"/>
    <w:rsid w:val="00BC54F0"/>
    <w:rsid w:val="00BC6103"/>
    <w:rsid w:val="00BC66E8"/>
    <w:rsid w:val="00BC6C1D"/>
    <w:rsid w:val="00BC7769"/>
    <w:rsid w:val="00BD1333"/>
    <w:rsid w:val="00BD40C6"/>
    <w:rsid w:val="00BD475B"/>
    <w:rsid w:val="00BD5CF7"/>
    <w:rsid w:val="00BD5DAA"/>
    <w:rsid w:val="00BD722D"/>
    <w:rsid w:val="00BD7BC4"/>
    <w:rsid w:val="00BE00E7"/>
    <w:rsid w:val="00BE25D0"/>
    <w:rsid w:val="00BE54E1"/>
    <w:rsid w:val="00BE5683"/>
    <w:rsid w:val="00BE6A55"/>
    <w:rsid w:val="00BF05D4"/>
    <w:rsid w:val="00BF5F4C"/>
    <w:rsid w:val="00BF7C58"/>
    <w:rsid w:val="00C01088"/>
    <w:rsid w:val="00C011F7"/>
    <w:rsid w:val="00C039B2"/>
    <w:rsid w:val="00C047FC"/>
    <w:rsid w:val="00C04FC4"/>
    <w:rsid w:val="00C061B6"/>
    <w:rsid w:val="00C07061"/>
    <w:rsid w:val="00C0753C"/>
    <w:rsid w:val="00C1212B"/>
    <w:rsid w:val="00C12F14"/>
    <w:rsid w:val="00C13791"/>
    <w:rsid w:val="00C13A89"/>
    <w:rsid w:val="00C14398"/>
    <w:rsid w:val="00C1570F"/>
    <w:rsid w:val="00C159EC"/>
    <w:rsid w:val="00C161BF"/>
    <w:rsid w:val="00C167EE"/>
    <w:rsid w:val="00C16AE1"/>
    <w:rsid w:val="00C211B0"/>
    <w:rsid w:val="00C243EE"/>
    <w:rsid w:val="00C2446C"/>
    <w:rsid w:val="00C264ED"/>
    <w:rsid w:val="00C27E72"/>
    <w:rsid w:val="00C3093B"/>
    <w:rsid w:val="00C331DD"/>
    <w:rsid w:val="00C3424E"/>
    <w:rsid w:val="00C3565D"/>
    <w:rsid w:val="00C36992"/>
    <w:rsid w:val="00C36AE5"/>
    <w:rsid w:val="00C40583"/>
    <w:rsid w:val="00C41F17"/>
    <w:rsid w:val="00C42632"/>
    <w:rsid w:val="00C51358"/>
    <w:rsid w:val="00C527FA"/>
    <w:rsid w:val="00C5280D"/>
    <w:rsid w:val="00C52BCE"/>
    <w:rsid w:val="00C52DA5"/>
    <w:rsid w:val="00C52DAE"/>
    <w:rsid w:val="00C53D7F"/>
    <w:rsid w:val="00C53EB3"/>
    <w:rsid w:val="00C5460C"/>
    <w:rsid w:val="00C56AA6"/>
    <w:rsid w:val="00C570EB"/>
    <w:rsid w:val="00C5791C"/>
    <w:rsid w:val="00C612E0"/>
    <w:rsid w:val="00C6321D"/>
    <w:rsid w:val="00C64319"/>
    <w:rsid w:val="00C64C5F"/>
    <w:rsid w:val="00C64D52"/>
    <w:rsid w:val="00C66290"/>
    <w:rsid w:val="00C67438"/>
    <w:rsid w:val="00C70CF4"/>
    <w:rsid w:val="00C72B7A"/>
    <w:rsid w:val="00C75454"/>
    <w:rsid w:val="00C76AD0"/>
    <w:rsid w:val="00C819A0"/>
    <w:rsid w:val="00C8345B"/>
    <w:rsid w:val="00C91E94"/>
    <w:rsid w:val="00C924B0"/>
    <w:rsid w:val="00C93F66"/>
    <w:rsid w:val="00C94359"/>
    <w:rsid w:val="00C973F2"/>
    <w:rsid w:val="00CA0644"/>
    <w:rsid w:val="00CA10CB"/>
    <w:rsid w:val="00CA1F55"/>
    <w:rsid w:val="00CA226E"/>
    <w:rsid w:val="00CA304C"/>
    <w:rsid w:val="00CA31C1"/>
    <w:rsid w:val="00CA3846"/>
    <w:rsid w:val="00CA3AD1"/>
    <w:rsid w:val="00CA5C5B"/>
    <w:rsid w:val="00CA6678"/>
    <w:rsid w:val="00CA6E8F"/>
    <w:rsid w:val="00CA774A"/>
    <w:rsid w:val="00CB0DEE"/>
    <w:rsid w:val="00CB1A1F"/>
    <w:rsid w:val="00CB2690"/>
    <w:rsid w:val="00CB411A"/>
    <w:rsid w:val="00CB4921"/>
    <w:rsid w:val="00CC11B0"/>
    <w:rsid w:val="00CC1D66"/>
    <w:rsid w:val="00CC1E29"/>
    <w:rsid w:val="00CC2841"/>
    <w:rsid w:val="00CC5F84"/>
    <w:rsid w:val="00CC62D8"/>
    <w:rsid w:val="00CC729A"/>
    <w:rsid w:val="00CD0D1F"/>
    <w:rsid w:val="00CD197C"/>
    <w:rsid w:val="00CD52E6"/>
    <w:rsid w:val="00CD6AE6"/>
    <w:rsid w:val="00CD74E3"/>
    <w:rsid w:val="00CE11AE"/>
    <w:rsid w:val="00CE1218"/>
    <w:rsid w:val="00CE12C2"/>
    <w:rsid w:val="00CE1599"/>
    <w:rsid w:val="00CE357F"/>
    <w:rsid w:val="00CE4D85"/>
    <w:rsid w:val="00CE55DB"/>
    <w:rsid w:val="00CE6618"/>
    <w:rsid w:val="00CE6908"/>
    <w:rsid w:val="00CE6FEE"/>
    <w:rsid w:val="00CE7A59"/>
    <w:rsid w:val="00CE7ED7"/>
    <w:rsid w:val="00CF1330"/>
    <w:rsid w:val="00CF1F2B"/>
    <w:rsid w:val="00CF2609"/>
    <w:rsid w:val="00CF2DF4"/>
    <w:rsid w:val="00CF38BA"/>
    <w:rsid w:val="00CF5F61"/>
    <w:rsid w:val="00CF61FF"/>
    <w:rsid w:val="00CF689F"/>
    <w:rsid w:val="00CF7E36"/>
    <w:rsid w:val="00D00CE3"/>
    <w:rsid w:val="00D00F56"/>
    <w:rsid w:val="00D02E24"/>
    <w:rsid w:val="00D1289F"/>
    <w:rsid w:val="00D14C85"/>
    <w:rsid w:val="00D14E7C"/>
    <w:rsid w:val="00D153DE"/>
    <w:rsid w:val="00D16288"/>
    <w:rsid w:val="00D173BC"/>
    <w:rsid w:val="00D21487"/>
    <w:rsid w:val="00D2172E"/>
    <w:rsid w:val="00D2250B"/>
    <w:rsid w:val="00D248B8"/>
    <w:rsid w:val="00D24A50"/>
    <w:rsid w:val="00D31443"/>
    <w:rsid w:val="00D315CD"/>
    <w:rsid w:val="00D317D8"/>
    <w:rsid w:val="00D324EA"/>
    <w:rsid w:val="00D33B7C"/>
    <w:rsid w:val="00D33C99"/>
    <w:rsid w:val="00D3529B"/>
    <w:rsid w:val="00D3708D"/>
    <w:rsid w:val="00D37270"/>
    <w:rsid w:val="00D40426"/>
    <w:rsid w:val="00D4053D"/>
    <w:rsid w:val="00D413EF"/>
    <w:rsid w:val="00D41F59"/>
    <w:rsid w:val="00D43671"/>
    <w:rsid w:val="00D43C0B"/>
    <w:rsid w:val="00D43CD1"/>
    <w:rsid w:val="00D447A6"/>
    <w:rsid w:val="00D44989"/>
    <w:rsid w:val="00D449F7"/>
    <w:rsid w:val="00D44D89"/>
    <w:rsid w:val="00D45477"/>
    <w:rsid w:val="00D47783"/>
    <w:rsid w:val="00D50B77"/>
    <w:rsid w:val="00D52685"/>
    <w:rsid w:val="00D52ECB"/>
    <w:rsid w:val="00D52F5C"/>
    <w:rsid w:val="00D56635"/>
    <w:rsid w:val="00D57C8A"/>
    <w:rsid w:val="00D57C96"/>
    <w:rsid w:val="00D57D18"/>
    <w:rsid w:val="00D60D7E"/>
    <w:rsid w:val="00D632F1"/>
    <w:rsid w:val="00D63E32"/>
    <w:rsid w:val="00D65B8E"/>
    <w:rsid w:val="00D675E7"/>
    <w:rsid w:val="00D70E65"/>
    <w:rsid w:val="00D71BED"/>
    <w:rsid w:val="00D71C59"/>
    <w:rsid w:val="00D72D2E"/>
    <w:rsid w:val="00D72E27"/>
    <w:rsid w:val="00D736E5"/>
    <w:rsid w:val="00D75462"/>
    <w:rsid w:val="00D755D6"/>
    <w:rsid w:val="00D84B87"/>
    <w:rsid w:val="00D856D9"/>
    <w:rsid w:val="00D8658B"/>
    <w:rsid w:val="00D91203"/>
    <w:rsid w:val="00D914FE"/>
    <w:rsid w:val="00D9352F"/>
    <w:rsid w:val="00D94460"/>
    <w:rsid w:val="00D95174"/>
    <w:rsid w:val="00D97864"/>
    <w:rsid w:val="00DA1F61"/>
    <w:rsid w:val="00DA4973"/>
    <w:rsid w:val="00DA6F36"/>
    <w:rsid w:val="00DA7220"/>
    <w:rsid w:val="00DA7C1A"/>
    <w:rsid w:val="00DA7CE0"/>
    <w:rsid w:val="00DB0627"/>
    <w:rsid w:val="00DB26D0"/>
    <w:rsid w:val="00DB2D3C"/>
    <w:rsid w:val="00DB596E"/>
    <w:rsid w:val="00DB651B"/>
    <w:rsid w:val="00DB7773"/>
    <w:rsid w:val="00DC00EA"/>
    <w:rsid w:val="00DC1ACD"/>
    <w:rsid w:val="00DC2B85"/>
    <w:rsid w:val="00DC3382"/>
    <w:rsid w:val="00DC3802"/>
    <w:rsid w:val="00DC3CD5"/>
    <w:rsid w:val="00DC4AB7"/>
    <w:rsid w:val="00DC4B65"/>
    <w:rsid w:val="00DC4D1B"/>
    <w:rsid w:val="00DC51CA"/>
    <w:rsid w:val="00DD0E4B"/>
    <w:rsid w:val="00DD1446"/>
    <w:rsid w:val="00DD2834"/>
    <w:rsid w:val="00DD43E0"/>
    <w:rsid w:val="00DD6208"/>
    <w:rsid w:val="00DE23D7"/>
    <w:rsid w:val="00DE272C"/>
    <w:rsid w:val="00DE4BB5"/>
    <w:rsid w:val="00DE5C7B"/>
    <w:rsid w:val="00DF0A78"/>
    <w:rsid w:val="00DF0F78"/>
    <w:rsid w:val="00DF113D"/>
    <w:rsid w:val="00DF156E"/>
    <w:rsid w:val="00DF29B7"/>
    <w:rsid w:val="00DF378E"/>
    <w:rsid w:val="00DF3D64"/>
    <w:rsid w:val="00DF7042"/>
    <w:rsid w:val="00DF7E99"/>
    <w:rsid w:val="00E0025C"/>
    <w:rsid w:val="00E0070C"/>
    <w:rsid w:val="00E00944"/>
    <w:rsid w:val="00E00EF4"/>
    <w:rsid w:val="00E027D2"/>
    <w:rsid w:val="00E028F6"/>
    <w:rsid w:val="00E035E4"/>
    <w:rsid w:val="00E0390B"/>
    <w:rsid w:val="00E046C3"/>
    <w:rsid w:val="00E04A16"/>
    <w:rsid w:val="00E07439"/>
    <w:rsid w:val="00E07D87"/>
    <w:rsid w:val="00E1009D"/>
    <w:rsid w:val="00E10DA2"/>
    <w:rsid w:val="00E116A4"/>
    <w:rsid w:val="00E11A64"/>
    <w:rsid w:val="00E14A4A"/>
    <w:rsid w:val="00E1599F"/>
    <w:rsid w:val="00E203B4"/>
    <w:rsid w:val="00E20F65"/>
    <w:rsid w:val="00E21CB7"/>
    <w:rsid w:val="00E21D39"/>
    <w:rsid w:val="00E22647"/>
    <w:rsid w:val="00E249C8"/>
    <w:rsid w:val="00E259F7"/>
    <w:rsid w:val="00E264A8"/>
    <w:rsid w:val="00E32F7E"/>
    <w:rsid w:val="00E33B89"/>
    <w:rsid w:val="00E33F47"/>
    <w:rsid w:val="00E3484E"/>
    <w:rsid w:val="00E35AD3"/>
    <w:rsid w:val="00E37133"/>
    <w:rsid w:val="00E4062A"/>
    <w:rsid w:val="00E40E09"/>
    <w:rsid w:val="00E4323C"/>
    <w:rsid w:val="00E43C04"/>
    <w:rsid w:val="00E44C4F"/>
    <w:rsid w:val="00E45D45"/>
    <w:rsid w:val="00E45EAC"/>
    <w:rsid w:val="00E52427"/>
    <w:rsid w:val="00E5267B"/>
    <w:rsid w:val="00E54443"/>
    <w:rsid w:val="00E559F0"/>
    <w:rsid w:val="00E561BF"/>
    <w:rsid w:val="00E56F86"/>
    <w:rsid w:val="00E57D0C"/>
    <w:rsid w:val="00E57E20"/>
    <w:rsid w:val="00E60968"/>
    <w:rsid w:val="00E63C0E"/>
    <w:rsid w:val="00E6458C"/>
    <w:rsid w:val="00E64B51"/>
    <w:rsid w:val="00E65203"/>
    <w:rsid w:val="00E65627"/>
    <w:rsid w:val="00E6765B"/>
    <w:rsid w:val="00E70303"/>
    <w:rsid w:val="00E70E86"/>
    <w:rsid w:val="00E72D49"/>
    <w:rsid w:val="00E73D53"/>
    <w:rsid w:val="00E74BF8"/>
    <w:rsid w:val="00E7593C"/>
    <w:rsid w:val="00E75B60"/>
    <w:rsid w:val="00E7678A"/>
    <w:rsid w:val="00E804DA"/>
    <w:rsid w:val="00E809AC"/>
    <w:rsid w:val="00E82896"/>
    <w:rsid w:val="00E862FC"/>
    <w:rsid w:val="00E87AB9"/>
    <w:rsid w:val="00E91CCF"/>
    <w:rsid w:val="00E929BB"/>
    <w:rsid w:val="00E92EBD"/>
    <w:rsid w:val="00E935F1"/>
    <w:rsid w:val="00E93F0D"/>
    <w:rsid w:val="00E94A81"/>
    <w:rsid w:val="00E95E7F"/>
    <w:rsid w:val="00E96D40"/>
    <w:rsid w:val="00EA1FFB"/>
    <w:rsid w:val="00EA428C"/>
    <w:rsid w:val="00EA4921"/>
    <w:rsid w:val="00EA4E4D"/>
    <w:rsid w:val="00EA7051"/>
    <w:rsid w:val="00EB048E"/>
    <w:rsid w:val="00EB0981"/>
    <w:rsid w:val="00EB105A"/>
    <w:rsid w:val="00EB11E1"/>
    <w:rsid w:val="00EB2B9A"/>
    <w:rsid w:val="00EB445E"/>
    <w:rsid w:val="00EB48DE"/>
    <w:rsid w:val="00EB4E9C"/>
    <w:rsid w:val="00EB5A96"/>
    <w:rsid w:val="00EB6270"/>
    <w:rsid w:val="00EC1D8C"/>
    <w:rsid w:val="00EC2E94"/>
    <w:rsid w:val="00EC318D"/>
    <w:rsid w:val="00EC33A0"/>
    <w:rsid w:val="00EC40C6"/>
    <w:rsid w:val="00ED04E5"/>
    <w:rsid w:val="00ED1C54"/>
    <w:rsid w:val="00ED2395"/>
    <w:rsid w:val="00ED2FBB"/>
    <w:rsid w:val="00ED3925"/>
    <w:rsid w:val="00ED6749"/>
    <w:rsid w:val="00ED7072"/>
    <w:rsid w:val="00ED7E51"/>
    <w:rsid w:val="00EE0E99"/>
    <w:rsid w:val="00EE21CC"/>
    <w:rsid w:val="00EE3009"/>
    <w:rsid w:val="00EE34DF"/>
    <w:rsid w:val="00EE37A0"/>
    <w:rsid w:val="00EE4CA7"/>
    <w:rsid w:val="00EE5ED7"/>
    <w:rsid w:val="00EE6B94"/>
    <w:rsid w:val="00EE76DF"/>
    <w:rsid w:val="00EF1618"/>
    <w:rsid w:val="00EF24D5"/>
    <w:rsid w:val="00EF2F89"/>
    <w:rsid w:val="00EF3377"/>
    <w:rsid w:val="00EF443F"/>
    <w:rsid w:val="00EF49B5"/>
    <w:rsid w:val="00EF4B00"/>
    <w:rsid w:val="00EF64C1"/>
    <w:rsid w:val="00EF6D30"/>
    <w:rsid w:val="00EF7893"/>
    <w:rsid w:val="00F0038B"/>
    <w:rsid w:val="00F024D6"/>
    <w:rsid w:val="00F02756"/>
    <w:rsid w:val="00F033F7"/>
    <w:rsid w:val="00F03E98"/>
    <w:rsid w:val="00F03F6E"/>
    <w:rsid w:val="00F04856"/>
    <w:rsid w:val="00F05E2B"/>
    <w:rsid w:val="00F05ED3"/>
    <w:rsid w:val="00F06EB5"/>
    <w:rsid w:val="00F07B06"/>
    <w:rsid w:val="00F07BAF"/>
    <w:rsid w:val="00F1019D"/>
    <w:rsid w:val="00F10A34"/>
    <w:rsid w:val="00F10B8A"/>
    <w:rsid w:val="00F1237A"/>
    <w:rsid w:val="00F1282A"/>
    <w:rsid w:val="00F1319A"/>
    <w:rsid w:val="00F13840"/>
    <w:rsid w:val="00F158F2"/>
    <w:rsid w:val="00F16285"/>
    <w:rsid w:val="00F16D33"/>
    <w:rsid w:val="00F21B88"/>
    <w:rsid w:val="00F22CBD"/>
    <w:rsid w:val="00F26C83"/>
    <w:rsid w:val="00F272F1"/>
    <w:rsid w:val="00F27569"/>
    <w:rsid w:val="00F27767"/>
    <w:rsid w:val="00F2781E"/>
    <w:rsid w:val="00F31175"/>
    <w:rsid w:val="00F31412"/>
    <w:rsid w:val="00F31A2E"/>
    <w:rsid w:val="00F31FF7"/>
    <w:rsid w:val="00F320EE"/>
    <w:rsid w:val="00F32994"/>
    <w:rsid w:val="00F32ABD"/>
    <w:rsid w:val="00F34F9D"/>
    <w:rsid w:val="00F3524B"/>
    <w:rsid w:val="00F35BA4"/>
    <w:rsid w:val="00F37B93"/>
    <w:rsid w:val="00F418A1"/>
    <w:rsid w:val="00F41F9F"/>
    <w:rsid w:val="00F42327"/>
    <w:rsid w:val="00F43350"/>
    <w:rsid w:val="00F44615"/>
    <w:rsid w:val="00F45372"/>
    <w:rsid w:val="00F46168"/>
    <w:rsid w:val="00F470DB"/>
    <w:rsid w:val="00F47B12"/>
    <w:rsid w:val="00F509D3"/>
    <w:rsid w:val="00F50B23"/>
    <w:rsid w:val="00F515A1"/>
    <w:rsid w:val="00F5283A"/>
    <w:rsid w:val="00F5305E"/>
    <w:rsid w:val="00F5327D"/>
    <w:rsid w:val="00F545B6"/>
    <w:rsid w:val="00F560F7"/>
    <w:rsid w:val="00F6206A"/>
    <w:rsid w:val="00F62132"/>
    <w:rsid w:val="00F62A67"/>
    <w:rsid w:val="00F62B0A"/>
    <w:rsid w:val="00F6334D"/>
    <w:rsid w:val="00F63599"/>
    <w:rsid w:val="00F6446D"/>
    <w:rsid w:val="00F6462C"/>
    <w:rsid w:val="00F647BF"/>
    <w:rsid w:val="00F6626A"/>
    <w:rsid w:val="00F672A7"/>
    <w:rsid w:val="00F706A6"/>
    <w:rsid w:val="00F71781"/>
    <w:rsid w:val="00F71851"/>
    <w:rsid w:val="00F71BF9"/>
    <w:rsid w:val="00F7281B"/>
    <w:rsid w:val="00F81ABC"/>
    <w:rsid w:val="00F8242D"/>
    <w:rsid w:val="00F82AE5"/>
    <w:rsid w:val="00F84259"/>
    <w:rsid w:val="00F844E3"/>
    <w:rsid w:val="00F862AE"/>
    <w:rsid w:val="00F9020B"/>
    <w:rsid w:val="00F9202D"/>
    <w:rsid w:val="00F937A7"/>
    <w:rsid w:val="00F94824"/>
    <w:rsid w:val="00F9705D"/>
    <w:rsid w:val="00FA0089"/>
    <w:rsid w:val="00FA16FA"/>
    <w:rsid w:val="00FA19CC"/>
    <w:rsid w:val="00FA1C4F"/>
    <w:rsid w:val="00FA22A4"/>
    <w:rsid w:val="00FA22AE"/>
    <w:rsid w:val="00FA2AB3"/>
    <w:rsid w:val="00FA2B4C"/>
    <w:rsid w:val="00FA2C58"/>
    <w:rsid w:val="00FA32A4"/>
    <w:rsid w:val="00FA49AB"/>
    <w:rsid w:val="00FA5FE2"/>
    <w:rsid w:val="00FB1364"/>
    <w:rsid w:val="00FB352A"/>
    <w:rsid w:val="00FB7DC3"/>
    <w:rsid w:val="00FC07ED"/>
    <w:rsid w:val="00FC1B6E"/>
    <w:rsid w:val="00FC3365"/>
    <w:rsid w:val="00FC468D"/>
    <w:rsid w:val="00FC5EAD"/>
    <w:rsid w:val="00FC5FD0"/>
    <w:rsid w:val="00FD0DFB"/>
    <w:rsid w:val="00FD31CE"/>
    <w:rsid w:val="00FD4C97"/>
    <w:rsid w:val="00FD6EC6"/>
    <w:rsid w:val="00FD741B"/>
    <w:rsid w:val="00FE14EE"/>
    <w:rsid w:val="00FE16B5"/>
    <w:rsid w:val="00FE21AF"/>
    <w:rsid w:val="00FE3532"/>
    <w:rsid w:val="00FE38C7"/>
    <w:rsid w:val="00FE39C7"/>
    <w:rsid w:val="00FE39FA"/>
    <w:rsid w:val="00FE6528"/>
    <w:rsid w:val="00FE6662"/>
    <w:rsid w:val="00FF041A"/>
    <w:rsid w:val="00FF1AD6"/>
    <w:rsid w:val="00FF2307"/>
    <w:rsid w:val="00FF4213"/>
    <w:rsid w:val="00FF4D07"/>
    <w:rsid w:val="00FF5779"/>
    <w:rsid w:val="00FF66C8"/>
    <w:rsid w:val="0327EC69"/>
    <w:rsid w:val="04907425"/>
    <w:rsid w:val="05A256E5"/>
    <w:rsid w:val="067423C1"/>
    <w:rsid w:val="07A35934"/>
    <w:rsid w:val="08291739"/>
    <w:rsid w:val="09A70763"/>
    <w:rsid w:val="0A73A534"/>
    <w:rsid w:val="0B83FF05"/>
    <w:rsid w:val="0BB76CD5"/>
    <w:rsid w:val="0C4A5536"/>
    <w:rsid w:val="0D7DA81F"/>
    <w:rsid w:val="0E51548B"/>
    <w:rsid w:val="0EDE8B78"/>
    <w:rsid w:val="1018819F"/>
    <w:rsid w:val="11E466DA"/>
    <w:rsid w:val="11FBD274"/>
    <w:rsid w:val="124D122D"/>
    <w:rsid w:val="143FBD6E"/>
    <w:rsid w:val="147A8731"/>
    <w:rsid w:val="15507C9C"/>
    <w:rsid w:val="167BE5C6"/>
    <w:rsid w:val="1A3DB0EE"/>
    <w:rsid w:val="1A7E7AF3"/>
    <w:rsid w:val="1B45E346"/>
    <w:rsid w:val="1BF7B9BC"/>
    <w:rsid w:val="1BFAE721"/>
    <w:rsid w:val="1DA84C0D"/>
    <w:rsid w:val="1DC319AE"/>
    <w:rsid w:val="20908E12"/>
    <w:rsid w:val="21644E8B"/>
    <w:rsid w:val="21CC9125"/>
    <w:rsid w:val="22BDC0BB"/>
    <w:rsid w:val="22C7B696"/>
    <w:rsid w:val="240DB7C5"/>
    <w:rsid w:val="271CD8F8"/>
    <w:rsid w:val="27DF6945"/>
    <w:rsid w:val="28E066D8"/>
    <w:rsid w:val="2974E5D7"/>
    <w:rsid w:val="29AB2BBA"/>
    <w:rsid w:val="29F2D928"/>
    <w:rsid w:val="2A486FAE"/>
    <w:rsid w:val="2ABAC2E9"/>
    <w:rsid w:val="2AF58345"/>
    <w:rsid w:val="2B399CD9"/>
    <w:rsid w:val="2B7D9FCB"/>
    <w:rsid w:val="2C7CFC64"/>
    <w:rsid w:val="2D44A7F9"/>
    <w:rsid w:val="2DC34A72"/>
    <w:rsid w:val="30388049"/>
    <w:rsid w:val="30AF2D42"/>
    <w:rsid w:val="3386983C"/>
    <w:rsid w:val="341AD705"/>
    <w:rsid w:val="34250D52"/>
    <w:rsid w:val="3697F629"/>
    <w:rsid w:val="3766A127"/>
    <w:rsid w:val="38AAEF73"/>
    <w:rsid w:val="399A97CB"/>
    <w:rsid w:val="3CD29307"/>
    <w:rsid w:val="3DAF4DD3"/>
    <w:rsid w:val="41B617F2"/>
    <w:rsid w:val="422650DD"/>
    <w:rsid w:val="42FD59A9"/>
    <w:rsid w:val="44A5A4CD"/>
    <w:rsid w:val="464547AA"/>
    <w:rsid w:val="474BF2F3"/>
    <w:rsid w:val="47C3426A"/>
    <w:rsid w:val="48BC0F87"/>
    <w:rsid w:val="48E7E8B3"/>
    <w:rsid w:val="49597D24"/>
    <w:rsid w:val="496D6919"/>
    <w:rsid w:val="4B87349A"/>
    <w:rsid w:val="4C8ADCF3"/>
    <w:rsid w:val="4CA284CF"/>
    <w:rsid w:val="4D15AABC"/>
    <w:rsid w:val="4F0F013D"/>
    <w:rsid w:val="4F516C91"/>
    <w:rsid w:val="4FC5053E"/>
    <w:rsid w:val="4FED2B58"/>
    <w:rsid w:val="51511B75"/>
    <w:rsid w:val="53313B9A"/>
    <w:rsid w:val="569EB7E5"/>
    <w:rsid w:val="57124D38"/>
    <w:rsid w:val="572B9A5D"/>
    <w:rsid w:val="57944C7F"/>
    <w:rsid w:val="59C012EC"/>
    <w:rsid w:val="5AE50338"/>
    <w:rsid w:val="5AE98DCF"/>
    <w:rsid w:val="5C847E0C"/>
    <w:rsid w:val="5CE26707"/>
    <w:rsid w:val="5DF21CBA"/>
    <w:rsid w:val="5EAC83CA"/>
    <w:rsid w:val="607A1097"/>
    <w:rsid w:val="60EE8A6D"/>
    <w:rsid w:val="612A13EE"/>
    <w:rsid w:val="620537F8"/>
    <w:rsid w:val="639FA41D"/>
    <w:rsid w:val="653BBB11"/>
    <w:rsid w:val="685EFEB5"/>
    <w:rsid w:val="6A90069F"/>
    <w:rsid w:val="6CD56267"/>
    <w:rsid w:val="6D114DA3"/>
    <w:rsid w:val="6D2E54D7"/>
    <w:rsid w:val="6DA62762"/>
    <w:rsid w:val="6DCF412A"/>
    <w:rsid w:val="6EDBA7DD"/>
    <w:rsid w:val="71476734"/>
    <w:rsid w:val="71652829"/>
    <w:rsid w:val="72015946"/>
    <w:rsid w:val="724A7DC9"/>
    <w:rsid w:val="74DE63C0"/>
    <w:rsid w:val="76609421"/>
    <w:rsid w:val="77BC0B46"/>
    <w:rsid w:val="77C10F92"/>
    <w:rsid w:val="78BA0C10"/>
    <w:rsid w:val="78CA7419"/>
    <w:rsid w:val="792A03DA"/>
    <w:rsid w:val="79DBD532"/>
    <w:rsid w:val="79DDFC26"/>
    <w:rsid w:val="7A1E3E31"/>
    <w:rsid w:val="7A6888A1"/>
    <w:rsid w:val="7AC588ED"/>
    <w:rsid w:val="7ADBEA66"/>
    <w:rsid w:val="7FC97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3824"/>
  <w15:docId w15:val="{676C6B3B-3DB6-40A1-B520-2A363D8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EF24D5"/>
    <w:pPr>
      <w:keepNext/>
      <w:jc w:val="both"/>
      <w:outlineLvl w:val="1"/>
    </w:pPr>
    <w:rPr>
      <w:rFonts w:ascii="Arial" w:hAnsi="Arial"/>
      <w:u w:val="single"/>
    </w:rPr>
  </w:style>
  <w:style w:type="paragraph" w:styleId="Heading3">
    <w:name w:val="heading 3"/>
    <w:next w:val="Normal"/>
    <w:link w:val="Heading3Char"/>
    <w:autoRedefine/>
    <w:qFormat/>
    <w:rsid w:val="003127BF"/>
    <w:pPr>
      <w:keepNext/>
      <w:tabs>
        <w:tab w:val="left" w:pos="720"/>
      </w:tabs>
      <w:jc w:val="both"/>
      <w:outlineLvl w:val="2"/>
    </w:pPr>
    <w:rPr>
      <w:rFonts w:ascii="Arial" w:hAnsi="Arial"/>
      <w:i/>
    </w:rPr>
  </w:style>
  <w:style w:type="paragraph" w:styleId="Heading4">
    <w:name w:val="heading 4"/>
    <w:next w:val="Normal"/>
    <w:autoRedefine/>
    <w:qFormat/>
    <w:rsid w:val="00E52427"/>
    <w:pPr>
      <w:keepNext/>
      <w:ind w:left="567"/>
      <w:jc w:val="both"/>
      <w:outlineLvl w:val="3"/>
    </w:pPr>
    <w:rPr>
      <w:rFonts w:ascii="Arial" w:hAnsi="Arial"/>
      <w:spacing w:val="-2"/>
      <w:sz w:val="18"/>
      <w:szCs w:val="18"/>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8A52E0"/>
    <w:pPr>
      <w:spacing w:before="60"/>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C3093B"/>
    <w:pPr>
      <w:tabs>
        <w:tab w:val="right" w:leader="dot" w:pos="9639"/>
      </w:tabs>
      <w:spacing w:after="60"/>
      <w:ind w:left="568" w:right="284" w:hanging="284"/>
      <w:contextualSpacing/>
      <w:jc w:val="left"/>
    </w:pPr>
    <w:rPr>
      <w:sz w:val="18"/>
    </w:rPr>
  </w:style>
  <w:style w:type="paragraph" w:styleId="TOC3">
    <w:name w:val="toc 3"/>
    <w:next w:val="Normal"/>
    <w:autoRedefine/>
    <w:uiPriority w:val="39"/>
    <w:rsid w:val="00733A63"/>
    <w:pPr>
      <w:tabs>
        <w:tab w:val="right" w:leader="dot" w:pos="9639"/>
      </w:tabs>
      <w:spacing w:after="60"/>
      <w:ind w:left="851" w:right="567"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C211B0"/>
    <w:pPr>
      <w:tabs>
        <w:tab w:val="right" w:leader="dot" w:pos="9639"/>
      </w:tabs>
      <w:spacing w:before="60" w:after="60"/>
      <w:ind w:left="567" w:right="567" w:hanging="567"/>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FootnoteTextChar">
    <w:name w:val="Footnote Text Char"/>
    <w:basedOn w:val="DefaultParagraphFont"/>
    <w:link w:val="FootnoteText"/>
    <w:rsid w:val="008A52E0"/>
    <w:rPr>
      <w:rFonts w:ascii="Arial" w:hAnsi="Arial"/>
      <w:sz w:val="16"/>
    </w:rPr>
  </w:style>
  <w:style w:type="character" w:customStyle="1" w:styleId="Heading3Char">
    <w:name w:val="Heading 3 Char"/>
    <w:basedOn w:val="DefaultParagraphFont"/>
    <w:link w:val="Heading3"/>
    <w:rsid w:val="00EF24D5"/>
    <w:rPr>
      <w:rFonts w:ascii="Arial" w:hAnsi="Arial"/>
      <w:i/>
    </w:rPr>
  </w:style>
  <w:style w:type="paragraph" w:styleId="BodyTextIndent">
    <w:name w:val="Body Text Indent"/>
    <w:basedOn w:val="Normal"/>
    <w:link w:val="BodyTextIndentChar"/>
    <w:rsid w:val="00EF4B00"/>
    <w:pPr>
      <w:ind w:left="567"/>
      <w:jc w:val="left"/>
    </w:pPr>
    <w:rPr>
      <w:rFonts w:eastAsiaTheme="minorHAnsi" w:cs="Calibri"/>
      <w:szCs w:val="22"/>
      <w14:ligatures w14:val="standardContextual"/>
    </w:rPr>
  </w:style>
  <w:style w:type="character" w:customStyle="1" w:styleId="BodyTextIndentChar">
    <w:name w:val="Body Text Indent Char"/>
    <w:basedOn w:val="DefaultParagraphFont"/>
    <w:link w:val="BodyTextIndent"/>
    <w:rsid w:val="00EF4B00"/>
    <w:rPr>
      <w:rFonts w:ascii="Arial" w:eastAsiaTheme="minorHAnsi" w:hAnsi="Arial" w:cs="Calibri"/>
      <w:szCs w:val="22"/>
      <w:lang w:val="es-ES_tradnl"/>
      <w14:ligatures w14:val="standardContextual"/>
    </w:rPr>
  </w:style>
  <w:style w:type="paragraph" w:styleId="ListParagraph">
    <w:name w:val="List Paragraph"/>
    <w:aliases w:val="auto_list_(i),List Paragraph1"/>
    <w:basedOn w:val="Normal"/>
    <w:link w:val="ListParagraphChar"/>
    <w:uiPriority w:val="34"/>
    <w:qFormat/>
    <w:rsid w:val="00EF4B00"/>
    <w:pPr>
      <w:ind w:left="720"/>
      <w:contextualSpacing/>
      <w:jc w:val="left"/>
    </w:pPr>
    <w:rPr>
      <w:rFonts w:eastAsiaTheme="minorHAnsi" w:cs="Calibri"/>
      <w:szCs w:val="22"/>
      <w14:ligatures w14:val="standardContextual"/>
    </w:rPr>
  </w:style>
  <w:style w:type="character" w:customStyle="1" w:styleId="ListParagraphChar">
    <w:name w:val="List Paragraph Char"/>
    <w:aliases w:val="auto_list_(i) Char,List Paragraph1 Char"/>
    <w:basedOn w:val="DefaultParagraphFont"/>
    <w:link w:val="ListParagraph"/>
    <w:uiPriority w:val="34"/>
    <w:rsid w:val="00EF4B00"/>
    <w:rPr>
      <w:rFonts w:ascii="Arial" w:eastAsiaTheme="minorHAnsi" w:hAnsi="Arial" w:cs="Calibri"/>
      <w:szCs w:val="22"/>
      <w14:ligatures w14:val="standardContextual"/>
    </w:rPr>
  </w:style>
  <w:style w:type="character" w:customStyle="1" w:styleId="pldetailsChar">
    <w:name w:val="pldetails Char"/>
    <w:link w:val="pldetails"/>
    <w:locked/>
    <w:rsid w:val="009C1313"/>
    <w:rPr>
      <w:rFonts w:ascii="Arial" w:hAnsi="Arial"/>
      <w:noProof/>
      <w:snapToGrid w:val="0"/>
    </w:rPr>
  </w:style>
  <w:style w:type="paragraph" w:styleId="Revision">
    <w:name w:val="Revision"/>
    <w:hidden/>
    <w:uiPriority w:val="99"/>
    <w:semiHidden/>
    <w:rsid w:val="00110AC8"/>
    <w:rPr>
      <w:rFonts w:ascii="Arial" w:hAnsi="Arial"/>
    </w:rPr>
  </w:style>
  <w:style w:type="paragraph" w:customStyle="1" w:styleId="Heading1Annex">
    <w:name w:val="Heading 1 Annex"/>
    <w:basedOn w:val="Heading1"/>
    <w:next w:val="Normal"/>
    <w:qFormat/>
    <w:rsid w:val="00A21829"/>
    <w:rPr>
      <w:lang w:eastAsia="fr-FR"/>
    </w:rPr>
  </w:style>
  <w:style w:type="paragraph" w:customStyle="1" w:styleId="Heading2Annex">
    <w:name w:val="Heading 2 Annex"/>
    <w:basedOn w:val="Heading2"/>
    <w:qFormat/>
    <w:rsid w:val="00FE6528"/>
    <w:rPr>
      <w:lang w:eastAsia="fr-FR"/>
    </w:rPr>
  </w:style>
  <w:style w:type="paragraph" w:customStyle="1" w:styleId="Heading3Annex">
    <w:name w:val="Heading 3 Annex"/>
    <w:basedOn w:val="Heading3"/>
    <w:qFormat/>
    <w:rsid w:val="00FE6528"/>
    <w:rPr>
      <w:lang w:eastAsia="fr-FR"/>
    </w:rPr>
  </w:style>
  <w:style w:type="character" w:styleId="UnresolvedMention">
    <w:name w:val="Unresolved Mention"/>
    <w:basedOn w:val="DefaultParagraphFont"/>
    <w:uiPriority w:val="99"/>
    <w:semiHidden/>
    <w:unhideWhenUsed/>
    <w:rsid w:val="0001494C"/>
    <w:rPr>
      <w:color w:val="605E5C"/>
      <w:shd w:val="clear" w:color="auto" w:fill="E1DFDD"/>
    </w:rPr>
  </w:style>
  <w:style w:type="character" w:styleId="CommentReference">
    <w:name w:val="annotation reference"/>
    <w:basedOn w:val="DefaultParagraphFont"/>
    <w:semiHidden/>
    <w:unhideWhenUsed/>
    <w:rsid w:val="00921232"/>
    <w:rPr>
      <w:sz w:val="16"/>
      <w:szCs w:val="16"/>
    </w:rPr>
  </w:style>
  <w:style w:type="paragraph" w:styleId="CommentText">
    <w:name w:val="annotation text"/>
    <w:basedOn w:val="Normal"/>
    <w:link w:val="CommentTextChar"/>
    <w:unhideWhenUsed/>
    <w:rsid w:val="00921232"/>
  </w:style>
  <w:style w:type="character" w:customStyle="1" w:styleId="CommentTextChar">
    <w:name w:val="Comment Text Char"/>
    <w:basedOn w:val="DefaultParagraphFont"/>
    <w:link w:val="CommentText"/>
    <w:rsid w:val="00921232"/>
    <w:rPr>
      <w:rFonts w:ascii="Arial" w:hAnsi="Arial"/>
    </w:rPr>
  </w:style>
  <w:style w:type="paragraph" w:styleId="CommentSubject">
    <w:name w:val="annotation subject"/>
    <w:basedOn w:val="CommentText"/>
    <w:next w:val="CommentText"/>
    <w:link w:val="CommentSubjectChar"/>
    <w:semiHidden/>
    <w:unhideWhenUsed/>
    <w:rsid w:val="00921232"/>
    <w:rPr>
      <w:b/>
      <w:bCs/>
    </w:rPr>
  </w:style>
  <w:style w:type="character" w:customStyle="1" w:styleId="CommentSubjectChar">
    <w:name w:val="Comment Subject Char"/>
    <w:basedOn w:val="CommentTextChar"/>
    <w:link w:val="CommentSubject"/>
    <w:semiHidden/>
    <w:rsid w:val="00921232"/>
    <w:rPr>
      <w:rFonts w:ascii="Arial" w:hAnsi="Arial"/>
      <w:b/>
      <w:bCs/>
    </w:rPr>
  </w:style>
  <w:style w:type="character" w:styleId="Mention">
    <w:name w:val="Mention"/>
    <w:basedOn w:val="DefaultParagraphFont"/>
    <w:uiPriority w:val="99"/>
    <w:unhideWhenUsed/>
    <w:rsid w:val="003C2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1380">
      <w:bodyDiv w:val="1"/>
      <w:marLeft w:val="0"/>
      <w:marRight w:val="0"/>
      <w:marTop w:val="0"/>
      <w:marBottom w:val="0"/>
      <w:divBdr>
        <w:top w:val="none" w:sz="0" w:space="0" w:color="auto"/>
        <w:left w:val="none" w:sz="0" w:space="0" w:color="auto"/>
        <w:bottom w:val="none" w:sz="0" w:space="0" w:color="auto"/>
        <w:right w:val="none" w:sz="0" w:space="0" w:color="auto"/>
      </w:divBdr>
    </w:div>
    <w:div w:id="1298955907">
      <w:bodyDiv w:val="1"/>
      <w:marLeft w:val="0"/>
      <w:marRight w:val="0"/>
      <w:marTop w:val="0"/>
      <w:marBottom w:val="0"/>
      <w:divBdr>
        <w:top w:val="none" w:sz="0" w:space="0" w:color="auto"/>
        <w:left w:val="none" w:sz="0" w:space="0" w:color="auto"/>
        <w:bottom w:val="none" w:sz="0" w:space="0" w:color="auto"/>
        <w:right w:val="none" w:sz="0" w:space="0" w:color="auto"/>
      </w:divBdr>
    </w:div>
    <w:div w:id="178974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ov.int/edocs/mdocs/upov/en/tc_55/tc_55_7.pdf" TargetMode="External"/><Relationship Id="rId18" Type="http://schemas.openxmlformats.org/officeDocument/2006/relationships/hyperlink" Target="https://www.upov.int/meetings/en/doc_details.jsp?meeting_id=67786&amp;doc_id=58696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vo.europa.eu/en/cpvo-policy-status-plant-material-used-dus-testing-purposes" TargetMode="External"/><Relationship Id="rId17" Type="http://schemas.openxmlformats.org/officeDocument/2006/relationships/hyperlink" Target="https://www.upov.int/meetings/en/doc_details.jsp?meeting_id=67786&amp;doc_id=586962" TargetMode="External"/><Relationship Id="rId25" Type="http://schemas.openxmlformats.org/officeDocument/2006/relationships/hyperlink" Target="https://doi.org/10.3030/817970" TargetMode="Externa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030/817970" TargetMode="External"/><Relationship Id="rId5" Type="http://schemas.openxmlformats.org/officeDocument/2006/relationships/numbering" Target="numbering.xml"/><Relationship Id="rId15" Type="http://schemas.openxmlformats.org/officeDocument/2006/relationships/hyperlink" Target="https://www.upov.int/edocs/tgpdocs/en/tgp_5_section_1.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y.google.com/store/apps/details?id=com.wur.invite.morph_app&amp;hl=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infdocs/en/upov_inf_15.pdf" TargetMode="External"/><Relationship Id="rId22" Type="http://schemas.openxmlformats.org/officeDocument/2006/relationships/footer" Target="footer2.xm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4\templates\routing_slip_with_doc_SESSIONS_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D5902601C100489B1F49B37D492AF5" ma:contentTypeVersion="3" ma:contentTypeDescription="Create a new document." ma:contentTypeScope="" ma:versionID="154ce688bf457e80fb1b2822bc60b085">
  <xsd:schema xmlns:xsd="http://www.w3.org/2001/XMLSchema" xmlns:xs="http://www.w3.org/2001/XMLSchema" xmlns:p="http://schemas.microsoft.com/office/2006/metadata/properties" xmlns:ns2="185ede89-064b-44e6-abc2-21e41e6af941" targetNamespace="http://schemas.microsoft.com/office/2006/metadata/properties" ma:root="true" ma:fieldsID="2e8b7abcf56edb438094a138cc2a90c8" ns2:_="">
    <xsd:import namespace="185ede89-064b-44e6-abc2-21e41e6af9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ede89-064b-44e6-abc2-21e41e6af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C862-1DEB-4AA8-8CE2-4A5A44732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customXml/itemProps3.xml><?xml version="1.0" encoding="utf-8"?>
<ds:datastoreItem xmlns:ds="http://schemas.openxmlformats.org/officeDocument/2006/customXml" ds:itemID="{6B646C0E-9B12-44F0-9142-FA3D1895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ede89-064b-44e6-abc2-21e41e6a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EB87C-D112-4C07-B029-C8E77623F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routing_slip_with_doc_SESSIONS_2024.dotm</Template>
  <TotalTime>32</TotalTime>
  <Pages>21</Pages>
  <Words>9843</Words>
  <Characters>58034</Characters>
  <Application>Microsoft Office Word</Application>
  <DocSecurity>0</DocSecurity>
  <Lines>1488</Lines>
  <Paragraphs>595</Paragraphs>
  <ScaleCrop>false</ScaleCrop>
  <HeadingPairs>
    <vt:vector size="2" baseType="variant">
      <vt:variant>
        <vt:lpstr>Title</vt:lpstr>
      </vt:variant>
      <vt:variant>
        <vt:i4>1</vt:i4>
      </vt:variant>
    </vt:vector>
  </HeadingPairs>
  <TitlesOfParts>
    <vt:vector size="1" baseType="lpstr">
      <vt:lpstr>SESSIONS/2025/6</vt:lpstr>
    </vt:vector>
  </TitlesOfParts>
  <Company>UPOV</Company>
  <LinksUpToDate>false</LinksUpToDate>
  <CharactersWithSpaces>67282</CharactersWithSpaces>
  <SharedDoc>false</SharedDoc>
  <HLinks>
    <vt:vector size="228" baseType="variant">
      <vt:variant>
        <vt:i4>2752610</vt:i4>
      </vt:variant>
      <vt:variant>
        <vt:i4>379</vt:i4>
      </vt:variant>
      <vt:variant>
        <vt:i4>0</vt:i4>
      </vt:variant>
      <vt:variant>
        <vt:i4>5</vt:i4>
      </vt:variant>
      <vt:variant>
        <vt:lpwstr>https://doi.org/10.3030/817970</vt:lpwstr>
      </vt:variant>
      <vt:variant>
        <vt:lpwstr/>
      </vt:variant>
      <vt:variant>
        <vt:i4>2752610</vt:i4>
      </vt:variant>
      <vt:variant>
        <vt:i4>376</vt:i4>
      </vt:variant>
      <vt:variant>
        <vt:i4>0</vt:i4>
      </vt:variant>
      <vt:variant>
        <vt:i4>5</vt:i4>
      </vt:variant>
      <vt:variant>
        <vt:lpwstr>https://doi.org/10.3030/817970</vt:lpwstr>
      </vt:variant>
      <vt:variant>
        <vt:lpwstr/>
      </vt:variant>
      <vt:variant>
        <vt:i4>1769530</vt:i4>
      </vt:variant>
      <vt:variant>
        <vt:i4>369</vt:i4>
      </vt:variant>
      <vt:variant>
        <vt:i4>0</vt:i4>
      </vt:variant>
      <vt:variant>
        <vt:i4>5</vt:i4>
      </vt:variant>
      <vt:variant>
        <vt:lpwstr/>
      </vt:variant>
      <vt:variant>
        <vt:lpwstr>_Toc189576576</vt:lpwstr>
      </vt:variant>
      <vt:variant>
        <vt:i4>1769530</vt:i4>
      </vt:variant>
      <vt:variant>
        <vt:i4>363</vt:i4>
      </vt:variant>
      <vt:variant>
        <vt:i4>0</vt:i4>
      </vt:variant>
      <vt:variant>
        <vt:i4>5</vt:i4>
      </vt:variant>
      <vt:variant>
        <vt:lpwstr/>
      </vt:variant>
      <vt:variant>
        <vt:lpwstr>_Toc189576575</vt:lpwstr>
      </vt:variant>
      <vt:variant>
        <vt:i4>1769530</vt:i4>
      </vt:variant>
      <vt:variant>
        <vt:i4>357</vt:i4>
      </vt:variant>
      <vt:variant>
        <vt:i4>0</vt:i4>
      </vt:variant>
      <vt:variant>
        <vt:i4>5</vt:i4>
      </vt:variant>
      <vt:variant>
        <vt:lpwstr/>
      </vt:variant>
      <vt:variant>
        <vt:lpwstr>_Toc189576574</vt:lpwstr>
      </vt:variant>
      <vt:variant>
        <vt:i4>1769530</vt:i4>
      </vt:variant>
      <vt:variant>
        <vt:i4>351</vt:i4>
      </vt:variant>
      <vt:variant>
        <vt:i4>0</vt:i4>
      </vt:variant>
      <vt:variant>
        <vt:i4>5</vt:i4>
      </vt:variant>
      <vt:variant>
        <vt:lpwstr/>
      </vt:variant>
      <vt:variant>
        <vt:lpwstr>_Toc189576573</vt:lpwstr>
      </vt:variant>
      <vt:variant>
        <vt:i4>1769530</vt:i4>
      </vt:variant>
      <vt:variant>
        <vt:i4>345</vt:i4>
      </vt:variant>
      <vt:variant>
        <vt:i4>0</vt:i4>
      </vt:variant>
      <vt:variant>
        <vt:i4>5</vt:i4>
      </vt:variant>
      <vt:variant>
        <vt:lpwstr/>
      </vt:variant>
      <vt:variant>
        <vt:lpwstr>_Toc189576572</vt:lpwstr>
      </vt:variant>
      <vt:variant>
        <vt:i4>1769530</vt:i4>
      </vt:variant>
      <vt:variant>
        <vt:i4>339</vt:i4>
      </vt:variant>
      <vt:variant>
        <vt:i4>0</vt:i4>
      </vt:variant>
      <vt:variant>
        <vt:i4>5</vt:i4>
      </vt:variant>
      <vt:variant>
        <vt:lpwstr/>
      </vt:variant>
      <vt:variant>
        <vt:lpwstr>_Toc189576571</vt:lpwstr>
      </vt:variant>
      <vt:variant>
        <vt:i4>1769530</vt:i4>
      </vt:variant>
      <vt:variant>
        <vt:i4>333</vt:i4>
      </vt:variant>
      <vt:variant>
        <vt:i4>0</vt:i4>
      </vt:variant>
      <vt:variant>
        <vt:i4>5</vt:i4>
      </vt:variant>
      <vt:variant>
        <vt:lpwstr/>
      </vt:variant>
      <vt:variant>
        <vt:lpwstr>_Toc189576570</vt:lpwstr>
      </vt:variant>
      <vt:variant>
        <vt:i4>1703994</vt:i4>
      </vt:variant>
      <vt:variant>
        <vt:i4>327</vt:i4>
      </vt:variant>
      <vt:variant>
        <vt:i4>0</vt:i4>
      </vt:variant>
      <vt:variant>
        <vt:i4>5</vt:i4>
      </vt:variant>
      <vt:variant>
        <vt:lpwstr/>
      </vt:variant>
      <vt:variant>
        <vt:lpwstr>_Toc189576569</vt:lpwstr>
      </vt:variant>
      <vt:variant>
        <vt:i4>1703994</vt:i4>
      </vt:variant>
      <vt:variant>
        <vt:i4>321</vt:i4>
      </vt:variant>
      <vt:variant>
        <vt:i4>0</vt:i4>
      </vt:variant>
      <vt:variant>
        <vt:i4>5</vt:i4>
      </vt:variant>
      <vt:variant>
        <vt:lpwstr/>
      </vt:variant>
      <vt:variant>
        <vt:lpwstr>_Toc189576568</vt:lpwstr>
      </vt:variant>
      <vt:variant>
        <vt:i4>1703994</vt:i4>
      </vt:variant>
      <vt:variant>
        <vt:i4>315</vt:i4>
      </vt:variant>
      <vt:variant>
        <vt:i4>0</vt:i4>
      </vt:variant>
      <vt:variant>
        <vt:i4>5</vt:i4>
      </vt:variant>
      <vt:variant>
        <vt:lpwstr/>
      </vt:variant>
      <vt:variant>
        <vt:lpwstr>_Toc189576567</vt:lpwstr>
      </vt:variant>
      <vt:variant>
        <vt:i4>1703994</vt:i4>
      </vt:variant>
      <vt:variant>
        <vt:i4>309</vt:i4>
      </vt:variant>
      <vt:variant>
        <vt:i4>0</vt:i4>
      </vt:variant>
      <vt:variant>
        <vt:i4>5</vt:i4>
      </vt:variant>
      <vt:variant>
        <vt:lpwstr/>
      </vt:variant>
      <vt:variant>
        <vt:lpwstr>_Toc189576566</vt:lpwstr>
      </vt:variant>
      <vt:variant>
        <vt:i4>1703994</vt:i4>
      </vt:variant>
      <vt:variant>
        <vt:i4>303</vt:i4>
      </vt:variant>
      <vt:variant>
        <vt:i4>0</vt:i4>
      </vt:variant>
      <vt:variant>
        <vt:i4>5</vt:i4>
      </vt:variant>
      <vt:variant>
        <vt:lpwstr/>
      </vt:variant>
      <vt:variant>
        <vt:lpwstr>_Toc189576565</vt:lpwstr>
      </vt:variant>
      <vt:variant>
        <vt:i4>1703994</vt:i4>
      </vt:variant>
      <vt:variant>
        <vt:i4>297</vt:i4>
      </vt:variant>
      <vt:variant>
        <vt:i4>0</vt:i4>
      </vt:variant>
      <vt:variant>
        <vt:i4>5</vt:i4>
      </vt:variant>
      <vt:variant>
        <vt:lpwstr/>
      </vt:variant>
      <vt:variant>
        <vt:lpwstr>_Toc189576564</vt:lpwstr>
      </vt:variant>
      <vt:variant>
        <vt:i4>1703994</vt:i4>
      </vt:variant>
      <vt:variant>
        <vt:i4>291</vt:i4>
      </vt:variant>
      <vt:variant>
        <vt:i4>0</vt:i4>
      </vt:variant>
      <vt:variant>
        <vt:i4>5</vt:i4>
      </vt:variant>
      <vt:variant>
        <vt:lpwstr/>
      </vt:variant>
      <vt:variant>
        <vt:lpwstr>_Toc189576563</vt:lpwstr>
      </vt:variant>
      <vt:variant>
        <vt:i4>1703994</vt:i4>
      </vt:variant>
      <vt:variant>
        <vt:i4>285</vt:i4>
      </vt:variant>
      <vt:variant>
        <vt:i4>0</vt:i4>
      </vt:variant>
      <vt:variant>
        <vt:i4>5</vt:i4>
      </vt:variant>
      <vt:variant>
        <vt:lpwstr/>
      </vt:variant>
      <vt:variant>
        <vt:lpwstr>_Toc189576562</vt:lpwstr>
      </vt:variant>
      <vt:variant>
        <vt:i4>1703994</vt:i4>
      </vt:variant>
      <vt:variant>
        <vt:i4>279</vt:i4>
      </vt:variant>
      <vt:variant>
        <vt:i4>0</vt:i4>
      </vt:variant>
      <vt:variant>
        <vt:i4>5</vt:i4>
      </vt:variant>
      <vt:variant>
        <vt:lpwstr/>
      </vt:variant>
      <vt:variant>
        <vt:lpwstr>_Toc189576561</vt:lpwstr>
      </vt:variant>
      <vt:variant>
        <vt:i4>1703994</vt:i4>
      </vt:variant>
      <vt:variant>
        <vt:i4>273</vt:i4>
      </vt:variant>
      <vt:variant>
        <vt:i4>0</vt:i4>
      </vt:variant>
      <vt:variant>
        <vt:i4>5</vt:i4>
      </vt:variant>
      <vt:variant>
        <vt:lpwstr/>
      </vt:variant>
      <vt:variant>
        <vt:lpwstr>_Toc189576560</vt:lpwstr>
      </vt:variant>
      <vt:variant>
        <vt:i4>1638458</vt:i4>
      </vt:variant>
      <vt:variant>
        <vt:i4>267</vt:i4>
      </vt:variant>
      <vt:variant>
        <vt:i4>0</vt:i4>
      </vt:variant>
      <vt:variant>
        <vt:i4>5</vt:i4>
      </vt:variant>
      <vt:variant>
        <vt:lpwstr/>
      </vt:variant>
      <vt:variant>
        <vt:lpwstr>_Toc189576559</vt:lpwstr>
      </vt:variant>
      <vt:variant>
        <vt:i4>1638458</vt:i4>
      </vt:variant>
      <vt:variant>
        <vt:i4>261</vt:i4>
      </vt:variant>
      <vt:variant>
        <vt:i4>0</vt:i4>
      </vt:variant>
      <vt:variant>
        <vt:i4>5</vt:i4>
      </vt:variant>
      <vt:variant>
        <vt:lpwstr/>
      </vt:variant>
      <vt:variant>
        <vt:lpwstr>_Toc189576558</vt:lpwstr>
      </vt:variant>
      <vt:variant>
        <vt:i4>1638458</vt:i4>
      </vt:variant>
      <vt:variant>
        <vt:i4>255</vt:i4>
      </vt:variant>
      <vt:variant>
        <vt:i4>0</vt:i4>
      </vt:variant>
      <vt:variant>
        <vt:i4>5</vt:i4>
      </vt:variant>
      <vt:variant>
        <vt:lpwstr/>
      </vt:variant>
      <vt:variant>
        <vt:lpwstr>_Toc189576557</vt:lpwstr>
      </vt:variant>
      <vt:variant>
        <vt:i4>1638458</vt:i4>
      </vt:variant>
      <vt:variant>
        <vt:i4>249</vt:i4>
      </vt:variant>
      <vt:variant>
        <vt:i4>0</vt:i4>
      </vt:variant>
      <vt:variant>
        <vt:i4>5</vt:i4>
      </vt:variant>
      <vt:variant>
        <vt:lpwstr/>
      </vt:variant>
      <vt:variant>
        <vt:lpwstr>_Toc189576556</vt:lpwstr>
      </vt:variant>
      <vt:variant>
        <vt:i4>1638458</vt:i4>
      </vt:variant>
      <vt:variant>
        <vt:i4>243</vt:i4>
      </vt:variant>
      <vt:variant>
        <vt:i4>0</vt:i4>
      </vt:variant>
      <vt:variant>
        <vt:i4>5</vt:i4>
      </vt:variant>
      <vt:variant>
        <vt:lpwstr/>
      </vt:variant>
      <vt:variant>
        <vt:lpwstr>_Toc189576555</vt:lpwstr>
      </vt:variant>
      <vt:variant>
        <vt:i4>1638458</vt:i4>
      </vt:variant>
      <vt:variant>
        <vt:i4>237</vt:i4>
      </vt:variant>
      <vt:variant>
        <vt:i4>0</vt:i4>
      </vt:variant>
      <vt:variant>
        <vt:i4>5</vt:i4>
      </vt:variant>
      <vt:variant>
        <vt:lpwstr/>
      </vt:variant>
      <vt:variant>
        <vt:lpwstr>_Toc189576554</vt:lpwstr>
      </vt:variant>
      <vt:variant>
        <vt:i4>1638458</vt:i4>
      </vt:variant>
      <vt:variant>
        <vt:i4>231</vt:i4>
      </vt:variant>
      <vt:variant>
        <vt:i4>0</vt:i4>
      </vt:variant>
      <vt:variant>
        <vt:i4>5</vt:i4>
      </vt:variant>
      <vt:variant>
        <vt:lpwstr/>
      </vt:variant>
      <vt:variant>
        <vt:lpwstr>_Toc189576553</vt:lpwstr>
      </vt:variant>
      <vt:variant>
        <vt:i4>1638458</vt:i4>
      </vt:variant>
      <vt:variant>
        <vt:i4>225</vt:i4>
      </vt:variant>
      <vt:variant>
        <vt:i4>0</vt:i4>
      </vt:variant>
      <vt:variant>
        <vt:i4>5</vt:i4>
      </vt:variant>
      <vt:variant>
        <vt:lpwstr/>
      </vt:variant>
      <vt:variant>
        <vt:lpwstr>_Toc189576552</vt:lpwstr>
      </vt:variant>
      <vt:variant>
        <vt:i4>1638458</vt:i4>
      </vt:variant>
      <vt:variant>
        <vt:i4>219</vt:i4>
      </vt:variant>
      <vt:variant>
        <vt:i4>0</vt:i4>
      </vt:variant>
      <vt:variant>
        <vt:i4>5</vt:i4>
      </vt:variant>
      <vt:variant>
        <vt:lpwstr/>
      </vt:variant>
      <vt:variant>
        <vt:lpwstr>_Toc189576551</vt:lpwstr>
      </vt:variant>
      <vt:variant>
        <vt:i4>2752532</vt:i4>
      </vt:variant>
      <vt:variant>
        <vt:i4>214</vt:i4>
      </vt:variant>
      <vt:variant>
        <vt:i4>0</vt:i4>
      </vt:variant>
      <vt:variant>
        <vt:i4>5</vt:i4>
      </vt:variant>
      <vt:variant>
        <vt:lpwstr>https://play.google.com/store/apps/details?id=com.wur.invite.morph_app&amp;hl=en-US</vt:lpwstr>
      </vt:variant>
      <vt:variant>
        <vt:lpwstr/>
      </vt:variant>
      <vt:variant>
        <vt:i4>1638504</vt:i4>
      </vt:variant>
      <vt:variant>
        <vt:i4>211</vt:i4>
      </vt:variant>
      <vt:variant>
        <vt:i4>0</vt:i4>
      </vt:variant>
      <vt:variant>
        <vt:i4>5</vt:i4>
      </vt:variant>
      <vt:variant>
        <vt:lpwstr>https://www.upov.int/meetings/en/doc_details.jsp?meeting_id=67786&amp;doc_id=586962</vt:lpwstr>
      </vt:variant>
      <vt:variant>
        <vt:lpwstr/>
      </vt:variant>
      <vt:variant>
        <vt:i4>1638504</vt:i4>
      </vt:variant>
      <vt:variant>
        <vt:i4>202</vt:i4>
      </vt:variant>
      <vt:variant>
        <vt:i4>0</vt:i4>
      </vt:variant>
      <vt:variant>
        <vt:i4>5</vt:i4>
      </vt:variant>
      <vt:variant>
        <vt:lpwstr>https://www.upov.int/meetings/en/doc_details.jsp?meeting_id=67786&amp;doc_id=586962</vt:lpwstr>
      </vt:variant>
      <vt:variant>
        <vt:lpwstr/>
      </vt:variant>
      <vt:variant>
        <vt:i4>1638504</vt:i4>
      </vt:variant>
      <vt:variant>
        <vt:i4>173</vt:i4>
      </vt:variant>
      <vt:variant>
        <vt:i4>0</vt:i4>
      </vt:variant>
      <vt:variant>
        <vt:i4>5</vt:i4>
      </vt:variant>
      <vt:variant>
        <vt:lpwstr>https://www.upov.int/meetings/en/doc_details.jsp?meeting_id=67786&amp;doc_id=586962</vt:lpwstr>
      </vt:variant>
      <vt:variant>
        <vt:lpwstr/>
      </vt:variant>
      <vt:variant>
        <vt:i4>327750</vt:i4>
      </vt:variant>
      <vt:variant>
        <vt:i4>156</vt:i4>
      </vt:variant>
      <vt:variant>
        <vt:i4>0</vt:i4>
      </vt:variant>
      <vt:variant>
        <vt:i4>5</vt:i4>
      </vt:variant>
      <vt:variant>
        <vt:lpwstr>https://cpvo.europa.eu/en/cpvo-policy-status-plant-material-used-dus-testing-purposes</vt:lpwstr>
      </vt:variant>
      <vt:variant>
        <vt:lpwstr/>
      </vt:variant>
      <vt:variant>
        <vt:i4>7602267</vt:i4>
      </vt:variant>
      <vt:variant>
        <vt:i4>149</vt:i4>
      </vt:variant>
      <vt:variant>
        <vt:i4>0</vt:i4>
      </vt:variant>
      <vt:variant>
        <vt:i4>5</vt:i4>
      </vt:variant>
      <vt:variant>
        <vt:lpwstr>https://www.upov.int/edocs/tgpdocs/en/tgp_5_section_1.pdf</vt:lpwstr>
      </vt:variant>
      <vt:variant>
        <vt:lpwstr/>
      </vt:variant>
      <vt:variant>
        <vt:i4>65540</vt:i4>
      </vt:variant>
      <vt:variant>
        <vt:i4>146</vt:i4>
      </vt:variant>
      <vt:variant>
        <vt:i4>0</vt:i4>
      </vt:variant>
      <vt:variant>
        <vt:i4>5</vt:i4>
      </vt:variant>
      <vt:variant>
        <vt:lpwstr>https://www.upov.int/edocs/infdocs/en/upov_inf_15.pdf</vt:lpwstr>
      </vt:variant>
      <vt:variant>
        <vt:lpwstr/>
      </vt:variant>
      <vt:variant>
        <vt:i4>327750</vt:i4>
      </vt:variant>
      <vt:variant>
        <vt:i4>135</vt:i4>
      </vt:variant>
      <vt:variant>
        <vt:i4>0</vt:i4>
      </vt:variant>
      <vt:variant>
        <vt:i4>5</vt:i4>
      </vt:variant>
      <vt:variant>
        <vt:lpwstr>https://cpvo.europa.eu/en/cpvo-policy-status-plant-material-used-dus-testing-purposes</vt:lpwstr>
      </vt:variant>
      <vt:variant>
        <vt:lpwstr/>
      </vt:variant>
      <vt:variant>
        <vt:i4>2162755</vt:i4>
      </vt:variant>
      <vt:variant>
        <vt:i4>116</vt:i4>
      </vt:variant>
      <vt:variant>
        <vt:i4>0</vt:i4>
      </vt:variant>
      <vt:variant>
        <vt:i4>5</vt:i4>
      </vt:variant>
      <vt:variant>
        <vt:lpwstr>https://www.upov.int/edocs/mdocs/upov/en/tc_55/tc_55_7.pdf</vt:lpwstr>
      </vt:variant>
      <vt:variant>
        <vt:lpwstr/>
      </vt:variant>
      <vt:variant>
        <vt:i4>6488131</vt:i4>
      </vt:variant>
      <vt:variant>
        <vt:i4>4</vt:i4>
      </vt:variant>
      <vt:variant>
        <vt:i4>0</vt:i4>
      </vt:variant>
      <vt:variant>
        <vt:i4>5</vt:i4>
      </vt:variant>
      <vt:variant>
        <vt:lpwstr>https://www.upov.int/edocs/tgpdocs/en/tgp_15.pdf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SESSIONS/2025/6</dc:title>
  <dc:creator>SANCHEZ VIZCAINO GOMEZ Rosa Maria</dc:creator>
  <cp:keywords>, docId:F528A8246172E91EA347E252B224AF51</cp:keywords>
  <cp:lastModifiedBy>SANCHEZ VIZCAINO GOMEZ Rosa Maria</cp:lastModifiedBy>
  <cp:revision>22</cp:revision>
  <cp:lastPrinted>2025-07-21T16:08:00Z</cp:lastPrinted>
  <dcterms:created xsi:type="dcterms:W3CDTF">2025-10-06T12:38:00Z</dcterms:created>
  <dcterms:modified xsi:type="dcterms:W3CDTF">2025-10-06T16:07:00Z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0x010100A6D5902601C100489B1F49B37D492AF5</vt:lpwstr>
  </property>
  <property fmtid="{D5CDD505-2E9C-101B-9397-08002B2CF9AE}" pid="3" name="ClassificationContentMarkingFooterShapeIds">
    <vt:lpwstr>701a222f,46dca7f8,d938790</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2025-08-13T11:48:55Z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70f1b218-f72a-4676-b3ad-a332e7aae2a1</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