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350522" w14:paraId="5E489500" w14:textId="77777777" w:rsidTr="00EB4E9C">
        <w:tc>
          <w:tcPr>
            <w:tcW w:w="6522" w:type="dxa"/>
          </w:tcPr>
          <w:p w14:paraId="3FE928AC" w14:textId="77777777" w:rsidR="00DC3802" w:rsidRPr="00350522" w:rsidRDefault="00DC3802" w:rsidP="00AC2883">
            <w:r w:rsidRPr="00350522">
              <w:rPr>
                <w:noProof/>
              </w:rPr>
              <w:drawing>
                <wp:inline distT="0" distB="0" distL="0" distR="0" wp14:anchorId="7C3466E3" wp14:editId="015C185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ECA3462" w14:textId="1FD2A04C" w:rsidR="000F6432" w:rsidRDefault="00891FC3">
            <w:pPr>
              <w:pStyle w:val="Lettrine"/>
            </w:pPr>
            <w:r>
              <w:t>S</w:t>
            </w:r>
          </w:p>
        </w:tc>
      </w:tr>
      <w:tr w:rsidR="00DC3802" w:rsidRPr="00EE0039" w14:paraId="7EE67BC1" w14:textId="77777777" w:rsidTr="00645CA8">
        <w:trPr>
          <w:trHeight w:val="219"/>
        </w:trPr>
        <w:tc>
          <w:tcPr>
            <w:tcW w:w="6522" w:type="dxa"/>
          </w:tcPr>
          <w:p w14:paraId="21891584" w14:textId="77777777" w:rsidR="000F6432" w:rsidRPr="00F86555" w:rsidRDefault="00734E6E">
            <w:pPr>
              <w:pStyle w:val="upove"/>
              <w:rPr>
                <w:lang w:val="es-ES"/>
              </w:rPr>
            </w:pPr>
            <w:r w:rsidRPr="00F86555">
              <w:rPr>
                <w:lang w:val="es-ES"/>
              </w:rPr>
              <w:t>Unión Internacional para la Protección de las Obtenciones Vegetales</w:t>
            </w:r>
          </w:p>
        </w:tc>
        <w:tc>
          <w:tcPr>
            <w:tcW w:w="3117" w:type="dxa"/>
          </w:tcPr>
          <w:p w14:paraId="230B2DBD" w14:textId="77777777" w:rsidR="00DC3802" w:rsidRPr="00F86555" w:rsidRDefault="00DC3802" w:rsidP="00DA4973">
            <w:pPr>
              <w:rPr>
                <w:lang w:val="es-ES"/>
              </w:rPr>
            </w:pPr>
          </w:p>
        </w:tc>
      </w:tr>
    </w:tbl>
    <w:p w14:paraId="6B26A1FB" w14:textId="77777777" w:rsidR="00DC3802" w:rsidRPr="00F86555" w:rsidRDefault="00DC3802" w:rsidP="00DC3802">
      <w:pPr>
        <w:rPr>
          <w:lang w:val="es-ES"/>
        </w:rPr>
      </w:pPr>
    </w:p>
    <w:p w14:paraId="44211896" w14:textId="77777777" w:rsidR="003D0839" w:rsidRPr="00F86555" w:rsidRDefault="003D0839" w:rsidP="003D0839">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EE0039" w14:paraId="10624B1E" w14:textId="77777777" w:rsidTr="00507C08">
        <w:tc>
          <w:tcPr>
            <w:tcW w:w="6512" w:type="dxa"/>
          </w:tcPr>
          <w:p w14:paraId="44B91CD1" w14:textId="77777777" w:rsidR="000F6432" w:rsidRPr="00F86555" w:rsidRDefault="00734E6E">
            <w:pPr>
              <w:pStyle w:val="Sessiontc"/>
              <w:spacing w:line="240" w:lineRule="auto"/>
              <w:rPr>
                <w:lang w:val="es-ES"/>
              </w:rPr>
            </w:pPr>
            <w:r w:rsidRPr="00F86555">
              <w:rPr>
                <w:lang w:val="es-ES"/>
              </w:rPr>
              <w:t>Comité técnico</w:t>
            </w:r>
          </w:p>
          <w:p w14:paraId="0C934E1A" w14:textId="6E5C3642" w:rsidR="000F6432" w:rsidRPr="00F86555" w:rsidRDefault="00E81BE2">
            <w:pPr>
              <w:pStyle w:val="Sessiontcplacedate"/>
              <w:rPr>
                <w:sz w:val="22"/>
                <w:lang w:val="es-ES"/>
              </w:rPr>
            </w:pPr>
            <w:r w:rsidRPr="00F86555">
              <w:rPr>
                <w:lang w:val="es-ES"/>
              </w:rPr>
              <w:t>Quincuagésima</w:t>
            </w:r>
            <w:r w:rsidR="00734E6E" w:rsidRPr="00F86555">
              <w:rPr>
                <w:lang w:val="es-ES"/>
              </w:rPr>
              <w:t xml:space="preserve"> novena sesión </w:t>
            </w:r>
            <w:r w:rsidR="00734E6E" w:rsidRPr="00F86555">
              <w:rPr>
                <w:lang w:val="es-ES"/>
              </w:rPr>
              <w:br/>
              <w:t xml:space="preserve">Ginebra, </w:t>
            </w:r>
            <w:r w:rsidRPr="00F86555">
              <w:rPr>
                <w:lang w:val="es-ES"/>
              </w:rPr>
              <w:t xml:space="preserve">23 </w:t>
            </w:r>
            <w:r w:rsidR="00734E6E" w:rsidRPr="00F86555">
              <w:rPr>
                <w:lang w:val="es-ES"/>
              </w:rPr>
              <w:t xml:space="preserve">y </w:t>
            </w:r>
            <w:r w:rsidRPr="00F86555">
              <w:rPr>
                <w:lang w:val="es-ES"/>
              </w:rPr>
              <w:t xml:space="preserve">24 </w:t>
            </w:r>
            <w:r w:rsidR="00734E6E" w:rsidRPr="00F86555">
              <w:rPr>
                <w:lang w:val="es-ES"/>
              </w:rPr>
              <w:t xml:space="preserve">de octubre </w:t>
            </w:r>
            <w:r w:rsidRPr="00F86555">
              <w:rPr>
                <w:lang w:val="es-ES"/>
              </w:rPr>
              <w:t>de 2023</w:t>
            </w:r>
          </w:p>
        </w:tc>
        <w:tc>
          <w:tcPr>
            <w:tcW w:w="3127" w:type="dxa"/>
          </w:tcPr>
          <w:p w14:paraId="0A27FC90" w14:textId="77777777" w:rsidR="000F6432" w:rsidRPr="00F86555" w:rsidRDefault="00913553">
            <w:pPr>
              <w:pStyle w:val="Doccode"/>
              <w:rPr>
                <w:lang w:val="es-ES"/>
              </w:rPr>
            </w:pPr>
            <w:r w:rsidRPr="00F86555">
              <w:rPr>
                <w:lang w:val="es-ES"/>
              </w:rPr>
              <w:t>TC/59/3</w:t>
            </w:r>
          </w:p>
          <w:p w14:paraId="3B10CDDF" w14:textId="77777777" w:rsidR="000F6432" w:rsidRPr="00F86555" w:rsidRDefault="00734E6E">
            <w:pPr>
              <w:pStyle w:val="Docoriginal"/>
              <w:rPr>
                <w:lang w:val="es-ES"/>
              </w:rPr>
            </w:pPr>
            <w:r w:rsidRPr="00F86555">
              <w:rPr>
                <w:lang w:val="es-ES"/>
              </w:rPr>
              <w:t>Original:</w:t>
            </w:r>
            <w:r w:rsidRPr="00F86555">
              <w:rPr>
                <w:b w:val="0"/>
                <w:spacing w:val="0"/>
                <w:lang w:val="es-ES"/>
              </w:rPr>
              <w:t xml:space="preserve">  </w:t>
            </w:r>
            <w:proofErr w:type="gramStart"/>
            <w:r w:rsidRPr="00F86555">
              <w:rPr>
                <w:b w:val="0"/>
                <w:spacing w:val="0"/>
                <w:lang w:val="es-ES"/>
              </w:rPr>
              <w:t>Inglés</w:t>
            </w:r>
            <w:proofErr w:type="gramEnd"/>
          </w:p>
          <w:p w14:paraId="0EB6A846" w14:textId="77777777" w:rsidR="000F6432" w:rsidRPr="00F86555" w:rsidRDefault="00734E6E">
            <w:pPr>
              <w:pStyle w:val="Docoriginal"/>
              <w:rPr>
                <w:lang w:val="es-ES"/>
              </w:rPr>
            </w:pPr>
            <w:r w:rsidRPr="00F86555">
              <w:rPr>
                <w:lang w:val="es-ES"/>
              </w:rPr>
              <w:t xml:space="preserve">Fecha:  </w:t>
            </w:r>
            <w:r w:rsidR="00413B4E" w:rsidRPr="00F86555">
              <w:rPr>
                <w:b w:val="0"/>
                <w:spacing w:val="0"/>
                <w:lang w:val="es-ES"/>
              </w:rPr>
              <w:t xml:space="preserve">6 de </w:t>
            </w:r>
            <w:r w:rsidR="00B17CD7" w:rsidRPr="00F86555">
              <w:rPr>
                <w:b w:val="0"/>
                <w:spacing w:val="0"/>
                <w:lang w:val="es-ES"/>
              </w:rPr>
              <w:t xml:space="preserve">septiembre </w:t>
            </w:r>
            <w:r w:rsidRPr="00F86555">
              <w:rPr>
                <w:b w:val="0"/>
                <w:spacing w:val="0"/>
                <w:lang w:val="es-ES"/>
              </w:rPr>
              <w:t xml:space="preserve">de </w:t>
            </w:r>
            <w:r w:rsidR="00E81BE2" w:rsidRPr="00F86555">
              <w:rPr>
                <w:b w:val="0"/>
                <w:spacing w:val="0"/>
                <w:lang w:val="es-ES"/>
              </w:rPr>
              <w:t>2023</w:t>
            </w:r>
          </w:p>
        </w:tc>
      </w:tr>
    </w:tbl>
    <w:p w14:paraId="25E86E87" w14:textId="629A7A16" w:rsidR="000F6432" w:rsidRPr="00F86555" w:rsidRDefault="00734E6E">
      <w:pPr>
        <w:pStyle w:val="Titleofdoc0"/>
        <w:rPr>
          <w:lang w:val="es-ES"/>
        </w:rPr>
      </w:pPr>
      <w:r w:rsidRPr="00F86555">
        <w:rPr>
          <w:lang w:val="es-ES"/>
        </w:rPr>
        <w:t>Cuestiones planteadas por los Grupos de Trabajo Técnico</w:t>
      </w:r>
    </w:p>
    <w:p w14:paraId="60E50676" w14:textId="77777777" w:rsidR="000F6432" w:rsidRPr="00F86555" w:rsidRDefault="00734E6E">
      <w:pPr>
        <w:pStyle w:val="preparedby1"/>
        <w:jc w:val="left"/>
        <w:rPr>
          <w:lang w:val="es-ES"/>
        </w:rPr>
      </w:pPr>
      <w:r w:rsidRPr="00F86555">
        <w:rPr>
          <w:lang w:val="es-ES"/>
        </w:rPr>
        <w:t>Documento elaborado por la Oficina de la Unión</w:t>
      </w:r>
    </w:p>
    <w:p w14:paraId="07F10418" w14:textId="77777777" w:rsidR="00812D53" w:rsidRPr="006365CE" w:rsidRDefault="00812D53" w:rsidP="00812D53">
      <w:pPr>
        <w:pStyle w:val="Disclaimer"/>
        <w:spacing w:after="480"/>
        <w:rPr>
          <w:lang w:val="es-ES_tradnl"/>
        </w:rPr>
      </w:pPr>
      <w:r w:rsidRPr="006365CE">
        <w:rPr>
          <w:lang w:val="es-ES_tradnl"/>
        </w:rPr>
        <w:t>Descargo de responsabilidad: el presente documento no constituye un documento de política u orientación de la UPOV</w:t>
      </w:r>
      <w:r>
        <w:rPr>
          <w:lang w:val="es-ES_tradnl"/>
        </w:rPr>
        <w:t>.</w:t>
      </w:r>
      <w:r>
        <w:rPr>
          <w:lang w:val="es-ES_tradnl"/>
        </w:rPr>
        <w:br/>
      </w:r>
      <w:r>
        <w:rPr>
          <w:lang w:val="es-ES_tradnl"/>
        </w:rPr>
        <w:br/>
      </w:r>
      <w:r w:rsidRPr="006365CE">
        <w:rPr>
          <w:lang w:val="es-ES_tradnl"/>
        </w:rPr>
        <w:t>Este documento se ha generado mediante traducción automática y no puede garantizarse su exactitud. Por lo tanto, el texto en el idioma original es la única versión auténtica.</w:t>
      </w:r>
    </w:p>
    <w:p w14:paraId="21168AC6" w14:textId="77777777" w:rsidR="000F6432" w:rsidRPr="00F86555" w:rsidRDefault="00734E6E">
      <w:pPr>
        <w:keepNext/>
        <w:outlineLvl w:val="0"/>
        <w:rPr>
          <w:caps/>
          <w:lang w:val="es-ES"/>
        </w:rPr>
      </w:pPr>
      <w:bookmarkStart w:id="0" w:name="_Toc20505077"/>
      <w:bookmarkStart w:id="1" w:name="_Toc145580702"/>
      <w:r w:rsidRPr="00F86555">
        <w:rPr>
          <w:caps/>
          <w:lang w:val="es-ES"/>
        </w:rPr>
        <w:t>RESUMEN EJECUTIVO</w:t>
      </w:r>
      <w:bookmarkEnd w:id="0"/>
      <w:bookmarkEnd w:id="1"/>
    </w:p>
    <w:p w14:paraId="78D6860C" w14:textId="77777777" w:rsidR="00372918" w:rsidRPr="00F86555" w:rsidRDefault="00372918" w:rsidP="00372918">
      <w:pPr>
        <w:rPr>
          <w:color w:val="000000"/>
          <w:lang w:val="es-ES"/>
        </w:rPr>
      </w:pPr>
    </w:p>
    <w:p w14:paraId="58E17C6F" w14:textId="77777777" w:rsidR="000F6432" w:rsidRPr="00F86555" w:rsidRDefault="00734E6E">
      <w:pPr>
        <w:rPr>
          <w:color w:val="000000"/>
          <w:lang w:val="es-ES"/>
        </w:rPr>
      </w:pPr>
      <w:r w:rsidRPr="00372918">
        <w:rPr>
          <w:color w:val="000000"/>
        </w:rPr>
        <w:fldChar w:fldCharType="begin"/>
      </w:r>
      <w:r w:rsidRPr="00F86555">
        <w:rPr>
          <w:color w:val="000000"/>
          <w:lang w:val="es-ES"/>
        </w:rPr>
        <w:instrText xml:space="preserve"> AUTONUM  </w:instrText>
      </w:r>
      <w:r w:rsidRPr="00372918">
        <w:rPr>
          <w:color w:val="000000"/>
        </w:rPr>
        <w:fldChar w:fldCharType="end"/>
      </w:r>
      <w:r w:rsidRPr="00F86555">
        <w:rPr>
          <w:color w:val="000000"/>
          <w:lang w:val="es-ES"/>
        </w:rPr>
        <w:tab/>
        <w:t xml:space="preserve">En el presente documento se recopilan las cuestiones no tratadas expresamente en los puntos específicos del orden del día de las sesiones de 2023 del Grupo de Trabajo Técnico sobre </w:t>
      </w:r>
      <w:r w:rsidRPr="00F86555">
        <w:rPr>
          <w:rFonts w:eastAsia="PMingLiU"/>
          <w:szCs w:val="24"/>
          <w:lang w:val="es-ES"/>
        </w:rPr>
        <w:t>Hortalizas (TWV)</w:t>
      </w:r>
      <w:r w:rsidRPr="00372918">
        <w:rPr>
          <w:rFonts w:eastAsia="PMingLiU"/>
          <w:szCs w:val="24"/>
          <w:vertAlign w:val="superscript"/>
        </w:rPr>
        <w:footnoteReference w:id="2"/>
      </w:r>
      <w:r w:rsidRPr="00F86555">
        <w:rPr>
          <w:rFonts w:eastAsia="PMingLiU"/>
          <w:szCs w:val="24"/>
          <w:lang w:val="es-ES"/>
        </w:rPr>
        <w:t xml:space="preserve"> , el Grupo de Trabajo Técnico sobre Plantas Agrícolas (TWA)</w:t>
      </w:r>
      <w:r w:rsidRPr="00372918">
        <w:rPr>
          <w:rFonts w:eastAsia="PMingLiU"/>
          <w:szCs w:val="24"/>
          <w:vertAlign w:val="superscript"/>
        </w:rPr>
        <w:footnoteReference w:id="3"/>
      </w:r>
      <w:r w:rsidRPr="00F86555">
        <w:rPr>
          <w:rFonts w:eastAsia="PMingLiU"/>
          <w:szCs w:val="24"/>
          <w:lang w:val="es-ES"/>
        </w:rPr>
        <w:t xml:space="preserve"> , el Grupo de Trabajo Técnico sobre Plantas Ornamentales y Árboles Forestales (TWO)</w:t>
      </w:r>
      <w:r w:rsidRPr="00372918">
        <w:rPr>
          <w:rFonts w:eastAsia="PMingLiU"/>
          <w:szCs w:val="24"/>
          <w:vertAlign w:val="superscript"/>
        </w:rPr>
        <w:footnoteReference w:id="4"/>
      </w:r>
      <w:r w:rsidRPr="00F86555">
        <w:rPr>
          <w:rFonts w:eastAsia="PMingLiU"/>
          <w:szCs w:val="24"/>
          <w:lang w:val="es-ES"/>
        </w:rPr>
        <w:t xml:space="preserve"> , y el Grupo de Trabajo Técnico sobre Plantas Frutales </w:t>
      </w:r>
      <w:r w:rsidRPr="00F86555">
        <w:rPr>
          <w:color w:val="000000"/>
          <w:lang w:val="es-ES"/>
        </w:rPr>
        <w:t>(TWF)</w:t>
      </w:r>
      <w:r w:rsidRPr="00372918">
        <w:rPr>
          <w:color w:val="000000"/>
          <w:vertAlign w:val="superscript"/>
        </w:rPr>
        <w:footnoteReference w:id="5"/>
      </w:r>
      <w:r w:rsidRPr="00F86555">
        <w:rPr>
          <w:color w:val="000000"/>
          <w:lang w:val="es-ES"/>
        </w:rPr>
        <w:t xml:space="preserve"> .  </w:t>
      </w:r>
    </w:p>
    <w:p w14:paraId="5D6F94C0" w14:textId="77777777" w:rsidR="00372918" w:rsidRPr="00F86555" w:rsidRDefault="00372918" w:rsidP="00372918">
      <w:pPr>
        <w:rPr>
          <w:color w:val="000000"/>
          <w:lang w:val="es-ES"/>
        </w:rPr>
      </w:pPr>
    </w:p>
    <w:p w14:paraId="1CAA6F35" w14:textId="77777777" w:rsidR="000F6432" w:rsidRPr="00F86555" w:rsidRDefault="00734E6E">
      <w:pPr>
        <w:rPr>
          <w:lang w:val="es-ES"/>
        </w:rPr>
      </w:pPr>
      <w:r w:rsidRPr="00372918">
        <w:rPr>
          <w:color w:val="000000"/>
        </w:rPr>
        <w:fldChar w:fldCharType="begin"/>
      </w:r>
      <w:r w:rsidRPr="00F86555">
        <w:rPr>
          <w:color w:val="000000"/>
          <w:lang w:val="es-ES"/>
        </w:rPr>
        <w:instrText xml:space="preserve"> AUTONUM  </w:instrText>
      </w:r>
      <w:r w:rsidRPr="00372918">
        <w:rPr>
          <w:color w:val="000000"/>
        </w:rPr>
        <w:fldChar w:fldCharType="end"/>
      </w:r>
      <w:r w:rsidRPr="00F86555">
        <w:rPr>
          <w:color w:val="000000"/>
          <w:lang w:val="es-ES"/>
        </w:rPr>
        <w:tab/>
        <w:t xml:space="preserve">Este documento se </w:t>
      </w:r>
      <w:r w:rsidRPr="00F86555">
        <w:rPr>
          <w:lang w:val="es-ES"/>
        </w:rPr>
        <w:t>presenta en dos secciones.  En la primera sección, "Cuestiones para información y para una posible decisión del Comité Técnico (TC)</w:t>
      </w:r>
      <w:r w:rsidRPr="00F86555">
        <w:rPr>
          <w:caps/>
          <w:lang w:val="es-ES"/>
        </w:rPr>
        <w:t xml:space="preserve">", </w:t>
      </w:r>
      <w:r w:rsidRPr="00F86555">
        <w:rPr>
          <w:lang w:val="es-ES"/>
        </w:rPr>
        <w:t xml:space="preserve">se señalan las cuestiones que pueden requerir una decisión del TC.  La Oficina de la Unión (Oficina) ha destacado los aspectos en los que el TC puede desear tomar una decisión introduciendo un párrafo de propuesta de decisión.  La segunda sección, "Cuestiones para información", se ofrece para información del </w:t>
      </w:r>
      <w:r w:rsidRPr="00F86555">
        <w:rPr>
          <w:color w:val="000000"/>
          <w:lang w:val="es-ES"/>
        </w:rPr>
        <w:t>TC</w:t>
      </w:r>
      <w:r w:rsidRPr="00F86555">
        <w:rPr>
          <w:lang w:val="es-ES"/>
        </w:rPr>
        <w:t>, pero no requiere decisiones en esta fase.</w:t>
      </w:r>
    </w:p>
    <w:p w14:paraId="5178F57B" w14:textId="77777777" w:rsidR="00372918" w:rsidRPr="00F86555" w:rsidRDefault="00372918" w:rsidP="00372918">
      <w:pPr>
        <w:tabs>
          <w:tab w:val="left" w:pos="567"/>
          <w:tab w:val="left" w:pos="1701"/>
        </w:tabs>
        <w:ind w:left="1695" w:hanging="1695"/>
        <w:rPr>
          <w:rFonts w:eastAsia="PMingLiU"/>
          <w:szCs w:val="24"/>
          <w:lang w:val="es-ES"/>
        </w:rPr>
      </w:pPr>
    </w:p>
    <w:p w14:paraId="286E567D" w14:textId="77777777" w:rsidR="000F6432" w:rsidRPr="00F86555" w:rsidRDefault="00734E6E">
      <w:pPr>
        <w:tabs>
          <w:tab w:val="left" w:pos="567"/>
        </w:tabs>
        <w:rPr>
          <w:lang w:val="es-ES"/>
        </w:rPr>
      </w:pPr>
      <w:r w:rsidRPr="00372918">
        <w:fldChar w:fldCharType="begin"/>
      </w:r>
      <w:r w:rsidRPr="00F86555">
        <w:rPr>
          <w:lang w:val="es-ES"/>
        </w:rPr>
        <w:instrText xml:space="preserve"> AUTONUM  </w:instrText>
      </w:r>
      <w:r w:rsidRPr="00372918">
        <w:fldChar w:fldCharType="end"/>
      </w:r>
      <w:r w:rsidRPr="00F86555">
        <w:rPr>
          <w:lang w:val="es-ES"/>
        </w:rPr>
        <w:tab/>
        <w:t xml:space="preserve">Se invita al TC a </w:t>
      </w:r>
    </w:p>
    <w:p w14:paraId="2BF8B4FB" w14:textId="77777777" w:rsidR="00372918" w:rsidRPr="00F86555" w:rsidRDefault="00372918" w:rsidP="00372918">
      <w:pPr>
        <w:tabs>
          <w:tab w:val="left" w:pos="567"/>
        </w:tabs>
        <w:rPr>
          <w:lang w:val="es-ES"/>
        </w:rPr>
      </w:pPr>
    </w:p>
    <w:p w14:paraId="7F43C42A" w14:textId="77777777" w:rsidR="000F6432" w:rsidRPr="00F86555" w:rsidRDefault="00734E6E">
      <w:pPr>
        <w:tabs>
          <w:tab w:val="left" w:pos="567"/>
        </w:tabs>
        <w:rPr>
          <w:lang w:val="es-ES" w:eastAsia="fr-FR"/>
        </w:rPr>
      </w:pPr>
      <w:r w:rsidRPr="00F86555">
        <w:rPr>
          <w:lang w:val="es-ES"/>
        </w:rPr>
        <w:t>(a)</w:t>
      </w:r>
      <w:r w:rsidRPr="00F86555">
        <w:rPr>
          <w:lang w:val="es-ES"/>
        </w:rPr>
        <w:tab/>
        <w:t xml:space="preserve">considerar la propuesta de apoyar el </w:t>
      </w:r>
      <w:r w:rsidRPr="00F86555">
        <w:rPr>
          <w:lang w:val="es-ES" w:eastAsia="fr-FR"/>
        </w:rPr>
        <w:t xml:space="preserve">intercambio de información sobre variedades mutantes de manzana, tal como se expone en </w:t>
      </w:r>
      <w:r w:rsidRPr="00EE0039">
        <w:rPr>
          <w:lang w:val="es-ES" w:eastAsia="fr-FR"/>
        </w:rPr>
        <w:t xml:space="preserve">los apartados 6 a 10 del </w:t>
      </w:r>
      <w:r w:rsidRPr="00F86555">
        <w:rPr>
          <w:lang w:val="es-ES" w:eastAsia="fr-FR"/>
        </w:rPr>
        <w:t>presente documento; y</w:t>
      </w:r>
    </w:p>
    <w:p w14:paraId="65C98E4B" w14:textId="77777777" w:rsidR="00372918" w:rsidRPr="00F86555" w:rsidRDefault="00372918" w:rsidP="00372918">
      <w:pPr>
        <w:tabs>
          <w:tab w:val="left" w:pos="567"/>
        </w:tabs>
        <w:rPr>
          <w:lang w:val="es-ES"/>
        </w:rPr>
      </w:pPr>
    </w:p>
    <w:p w14:paraId="0064CA03" w14:textId="77777777" w:rsidR="000F6432" w:rsidRPr="00F86555" w:rsidRDefault="00734E6E">
      <w:pPr>
        <w:tabs>
          <w:tab w:val="left" w:pos="567"/>
        </w:tabs>
        <w:rPr>
          <w:lang w:val="es-ES"/>
        </w:rPr>
      </w:pPr>
      <w:r w:rsidRPr="00F86555">
        <w:rPr>
          <w:lang w:val="es-ES"/>
        </w:rPr>
        <w:t xml:space="preserve">(b) </w:t>
      </w:r>
      <w:r w:rsidRPr="00F86555">
        <w:rPr>
          <w:lang w:val="es-ES"/>
        </w:rPr>
        <w:tab/>
        <w:t>tomar nota de las novedades de los TWP en relación con:</w:t>
      </w:r>
    </w:p>
    <w:p w14:paraId="35A684BF" w14:textId="77777777" w:rsidR="00372918" w:rsidRPr="00F86555" w:rsidRDefault="00372918" w:rsidP="00372918">
      <w:pPr>
        <w:tabs>
          <w:tab w:val="left" w:pos="567"/>
        </w:tabs>
        <w:rPr>
          <w:lang w:val="es-ES"/>
        </w:rPr>
      </w:pPr>
    </w:p>
    <w:p w14:paraId="503F5AF2" w14:textId="77777777" w:rsidR="000F6432" w:rsidRPr="00F86555" w:rsidRDefault="00734E6E">
      <w:pPr>
        <w:tabs>
          <w:tab w:val="left" w:pos="1701"/>
        </w:tabs>
        <w:ind w:left="1134" w:hanging="567"/>
        <w:rPr>
          <w:lang w:val="es-ES"/>
        </w:rPr>
      </w:pPr>
      <w:r w:rsidRPr="00F86555">
        <w:rPr>
          <w:lang w:val="es-ES"/>
        </w:rPr>
        <w:t>(i)</w:t>
      </w:r>
      <w:r w:rsidRPr="00F86555">
        <w:rPr>
          <w:lang w:val="es-ES"/>
        </w:rPr>
        <w:tab/>
        <w:t>Evaluación de la distinción en las características de resistencia a las enfermedades;</w:t>
      </w:r>
    </w:p>
    <w:p w14:paraId="2990C9B0" w14:textId="77777777" w:rsidR="000F6432" w:rsidRPr="00F86555" w:rsidRDefault="00734E6E">
      <w:pPr>
        <w:tabs>
          <w:tab w:val="left" w:pos="1701"/>
        </w:tabs>
        <w:ind w:left="1134" w:hanging="567"/>
        <w:rPr>
          <w:lang w:val="es-ES"/>
        </w:rPr>
      </w:pPr>
      <w:r w:rsidRPr="00F86555">
        <w:rPr>
          <w:lang w:val="es-ES"/>
        </w:rPr>
        <w:t>(</w:t>
      </w:r>
      <w:proofErr w:type="spellStart"/>
      <w:r w:rsidRPr="00F86555">
        <w:rPr>
          <w:lang w:val="es-ES"/>
        </w:rPr>
        <w:t>ii</w:t>
      </w:r>
      <w:proofErr w:type="spellEnd"/>
      <w:r w:rsidRPr="00F86555">
        <w:rPr>
          <w:lang w:val="es-ES"/>
        </w:rPr>
        <w:t>)</w:t>
      </w:r>
      <w:r w:rsidRPr="00F86555">
        <w:rPr>
          <w:lang w:val="es-ES"/>
        </w:rPr>
        <w:tab/>
        <w:t>Nuevas tecnologías en el examen DHE;</w:t>
      </w:r>
    </w:p>
    <w:p w14:paraId="32961B43" w14:textId="77777777" w:rsidR="000F6432" w:rsidRPr="00F86555" w:rsidRDefault="00734E6E">
      <w:pPr>
        <w:tabs>
          <w:tab w:val="left" w:pos="1701"/>
        </w:tabs>
        <w:ind w:left="1134" w:hanging="567"/>
        <w:rPr>
          <w:lang w:val="es-ES"/>
        </w:rPr>
      </w:pPr>
      <w:r w:rsidRPr="00F86555">
        <w:rPr>
          <w:lang w:val="es-ES"/>
        </w:rPr>
        <w:t>(</w:t>
      </w:r>
      <w:proofErr w:type="spellStart"/>
      <w:r w:rsidRPr="00F86555">
        <w:rPr>
          <w:lang w:val="es-ES"/>
        </w:rPr>
        <w:t>iii</w:t>
      </w:r>
      <w:proofErr w:type="spellEnd"/>
      <w:r w:rsidRPr="00F86555">
        <w:rPr>
          <w:lang w:val="es-ES"/>
        </w:rPr>
        <w:t>)</w:t>
      </w:r>
      <w:r w:rsidRPr="00F86555">
        <w:rPr>
          <w:lang w:val="es-ES"/>
        </w:rPr>
        <w:tab/>
        <w:t>Análisis de imágenes de cultivos hortícolas;</w:t>
      </w:r>
    </w:p>
    <w:p w14:paraId="43A0A744" w14:textId="77777777" w:rsidR="000F6432" w:rsidRPr="00F86555" w:rsidRDefault="00734E6E">
      <w:pPr>
        <w:tabs>
          <w:tab w:val="left" w:pos="1701"/>
        </w:tabs>
        <w:ind w:left="1134" w:hanging="567"/>
        <w:rPr>
          <w:lang w:val="es-ES"/>
        </w:rPr>
      </w:pPr>
      <w:r w:rsidRPr="00F86555">
        <w:rPr>
          <w:lang w:val="es-ES"/>
        </w:rPr>
        <w:t>(</w:t>
      </w:r>
      <w:proofErr w:type="spellStart"/>
      <w:r w:rsidRPr="00F86555">
        <w:rPr>
          <w:lang w:val="es-ES"/>
        </w:rPr>
        <w:t>iv</w:t>
      </w:r>
      <w:proofErr w:type="spellEnd"/>
      <w:r w:rsidRPr="00F86555">
        <w:rPr>
          <w:lang w:val="es-ES"/>
        </w:rPr>
        <w:t>)</w:t>
      </w:r>
      <w:r w:rsidRPr="00F86555">
        <w:rPr>
          <w:lang w:val="es-ES"/>
        </w:rPr>
        <w:tab/>
        <w:t>programa informático de análisis estadístico DUSCEL; y</w:t>
      </w:r>
    </w:p>
    <w:p w14:paraId="053DB1F3" w14:textId="77777777" w:rsidR="000F6432" w:rsidRPr="00F86555" w:rsidRDefault="00734E6E">
      <w:pPr>
        <w:tabs>
          <w:tab w:val="left" w:pos="1701"/>
        </w:tabs>
        <w:ind w:left="1134" w:hanging="567"/>
        <w:rPr>
          <w:lang w:val="es-ES"/>
        </w:rPr>
      </w:pPr>
      <w:r w:rsidRPr="00F86555">
        <w:rPr>
          <w:lang w:val="es-ES"/>
        </w:rPr>
        <w:t>(v)</w:t>
      </w:r>
      <w:r w:rsidRPr="00F86555">
        <w:rPr>
          <w:lang w:val="es-ES"/>
        </w:rPr>
        <w:tab/>
        <w:t>Experiencias con nuevos tipos y especies.</w:t>
      </w:r>
    </w:p>
    <w:p w14:paraId="2AE06D61" w14:textId="77777777" w:rsidR="000F6432" w:rsidRPr="00F86555" w:rsidRDefault="00734E6E">
      <w:pPr>
        <w:tabs>
          <w:tab w:val="left" w:pos="1701"/>
        </w:tabs>
        <w:ind w:left="1134" w:hanging="567"/>
        <w:rPr>
          <w:lang w:val="es-ES"/>
        </w:rPr>
      </w:pPr>
      <w:r w:rsidRPr="00F86555">
        <w:rPr>
          <w:lang w:val="es-ES"/>
        </w:rPr>
        <w:t>(vi)</w:t>
      </w:r>
      <w:r w:rsidRPr="00F86555">
        <w:rPr>
          <w:lang w:val="es-ES"/>
        </w:rPr>
        <w:tab/>
        <w:t>Variedades ornamentales de cultivos agrícolas, frutales u hortícolas</w:t>
      </w:r>
    </w:p>
    <w:p w14:paraId="7ED0DB41" w14:textId="77777777" w:rsidR="00372918" w:rsidRPr="00F86555" w:rsidRDefault="00372918" w:rsidP="00372918">
      <w:pPr>
        <w:tabs>
          <w:tab w:val="left" w:pos="1701"/>
        </w:tabs>
        <w:rPr>
          <w:rFonts w:cs="Arial"/>
          <w:lang w:val="es-ES"/>
        </w:rPr>
      </w:pPr>
    </w:p>
    <w:p w14:paraId="2D785595" w14:textId="77777777" w:rsidR="000F6432" w:rsidRPr="00F86555" w:rsidRDefault="00734E6E">
      <w:pPr>
        <w:keepNext/>
        <w:rPr>
          <w:color w:val="000000"/>
          <w:lang w:val="es-ES"/>
        </w:rPr>
      </w:pPr>
      <w:r w:rsidRPr="00372918">
        <w:rPr>
          <w:color w:val="000000"/>
        </w:rPr>
        <w:fldChar w:fldCharType="begin"/>
      </w:r>
      <w:r w:rsidRPr="00F86555">
        <w:rPr>
          <w:color w:val="000000"/>
          <w:lang w:val="es-ES"/>
        </w:rPr>
        <w:instrText xml:space="preserve"> AUTONUM  </w:instrText>
      </w:r>
      <w:r w:rsidRPr="00372918">
        <w:rPr>
          <w:color w:val="000000"/>
        </w:rPr>
        <w:fldChar w:fldCharType="end"/>
      </w:r>
      <w:r w:rsidRPr="00F86555">
        <w:rPr>
          <w:color w:val="000000"/>
          <w:lang w:val="es-ES"/>
        </w:rPr>
        <w:tab/>
        <w:t>En este documento se utilizan las siguientes abreviaturas:</w:t>
      </w:r>
    </w:p>
    <w:p w14:paraId="7C781077" w14:textId="77777777" w:rsidR="00372918" w:rsidRPr="00F86555" w:rsidRDefault="00372918" w:rsidP="00372918">
      <w:pPr>
        <w:keepNext/>
        <w:ind w:left="1692" w:hanging="1125"/>
        <w:jc w:val="left"/>
        <w:rPr>
          <w:color w:val="000000"/>
          <w:lang w:val="es-ES"/>
        </w:rPr>
      </w:pPr>
    </w:p>
    <w:p w14:paraId="251C8F2E" w14:textId="77777777" w:rsidR="000F6432" w:rsidRPr="00F86555" w:rsidRDefault="00734E6E">
      <w:pPr>
        <w:keepNext/>
        <w:tabs>
          <w:tab w:val="left" w:pos="567"/>
          <w:tab w:val="left" w:pos="1701"/>
        </w:tabs>
        <w:rPr>
          <w:lang w:val="es-ES"/>
        </w:rPr>
      </w:pPr>
      <w:r w:rsidRPr="00F86555">
        <w:rPr>
          <w:lang w:val="es-ES"/>
        </w:rPr>
        <w:tab/>
        <w:t>TC:</w:t>
      </w:r>
      <w:r w:rsidRPr="00F86555">
        <w:rPr>
          <w:lang w:val="es-ES"/>
        </w:rPr>
        <w:tab/>
        <w:t>Comité Técnico</w:t>
      </w:r>
    </w:p>
    <w:p w14:paraId="53ADAB8E" w14:textId="77777777" w:rsidR="000F6432" w:rsidRPr="00F86555" w:rsidRDefault="00734E6E">
      <w:pPr>
        <w:keepNext/>
        <w:tabs>
          <w:tab w:val="left" w:pos="567"/>
          <w:tab w:val="left" w:pos="1701"/>
        </w:tabs>
        <w:rPr>
          <w:rFonts w:eastAsia="PMingLiU"/>
          <w:szCs w:val="24"/>
          <w:lang w:val="es-ES"/>
        </w:rPr>
      </w:pPr>
      <w:r w:rsidRPr="00F86555">
        <w:rPr>
          <w:rFonts w:eastAsia="PMingLiU"/>
          <w:szCs w:val="24"/>
          <w:lang w:val="es-ES"/>
        </w:rPr>
        <w:tab/>
        <w:t>TWA:</w:t>
      </w:r>
      <w:r w:rsidRPr="00F86555">
        <w:rPr>
          <w:rFonts w:eastAsia="PMingLiU"/>
          <w:szCs w:val="24"/>
          <w:lang w:val="es-ES"/>
        </w:rPr>
        <w:tab/>
        <w:t>Grupo de Trabajo Técnico sobre Cultivos Agrícolas</w:t>
      </w:r>
    </w:p>
    <w:p w14:paraId="489B4A3E" w14:textId="77777777" w:rsidR="000F6432" w:rsidRPr="00F86555" w:rsidRDefault="00734E6E">
      <w:pPr>
        <w:tabs>
          <w:tab w:val="left" w:pos="567"/>
          <w:tab w:val="left" w:pos="1701"/>
        </w:tabs>
        <w:rPr>
          <w:rFonts w:eastAsia="PMingLiU"/>
          <w:szCs w:val="24"/>
          <w:lang w:val="es-ES"/>
        </w:rPr>
      </w:pPr>
      <w:r w:rsidRPr="00F86555">
        <w:rPr>
          <w:rFonts w:eastAsia="PMingLiU"/>
          <w:szCs w:val="24"/>
          <w:lang w:val="es-ES"/>
        </w:rPr>
        <w:tab/>
        <w:t xml:space="preserve">TWF: </w:t>
      </w:r>
      <w:r w:rsidRPr="00F86555">
        <w:rPr>
          <w:rFonts w:eastAsia="PMingLiU"/>
          <w:szCs w:val="24"/>
          <w:lang w:val="es-ES"/>
        </w:rPr>
        <w:tab/>
        <w:t>Grupo de Trabajo Técnico sobre Cultivos Frutales</w:t>
      </w:r>
    </w:p>
    <w:p w14:paraId="087BF655" w14:textId="77777777" w:rsidR="000F6432" w:rsidRPr="00F86555" w:rsidRDefault="00734E6E">
      <w:pPr>
        <w:tabs>
          <w:tab w:val="left" w:pos="567"/>
          <w:tab w:val="left" w:pos="1701"/>
        </w:tabs>
        <w:rPr>
          <w:rFonts w:eastAsia="PMingLiU"/>
          <w:szCs w:val="24"/>
          <w:lang w:val="es-ES"/>
        </w:rPr>
      </w:pPr>
      <w:r w:rsidRPr="00F86555">
        <w:rPr>
          <w:rFonts w:eastAsia="PMingLiU"/>
          <w:szCs w:val="24"/>
          <w:lang w:val="es-ES"/>
        </w:rPr>
        <w:tab/>
        <w:t>TWO:</w:t>
      </w:r>
      <w:r w:rsidRPr="00F86555">
        <w:rPr>
          <w:rFonts w:eastAsia="PMingLiU"/>
          <w:szCs w:val="24"/>
          <w:lang w:val="es-ES"/>
        </w:rPr>
        <w:tab/>
        <w:t>Grupo de Trabajo Técnico sobre Plantas Ornamentales y Árboles Forestales</w:t>
      </w:r>
    </w:p>
    <w:p w14:paraId="16A5CB23" w14:textId="77777777" w:rsidR="000F6432" w:rsidRPr="00F86555" w:rsidRDefault="00734E6E">
      <w:pPr>
        <w:tabs>
          <w:tab w:val="left" w:pos="567"/>
          <w:tab w:val="left" w:pos="1701"/>
        </w:tabs>
        <w:rPr>
          <w:rFonts w:eastAsia="PMingLiU"/>
          <w:szCs w:val="24"/>
          <w:lang w:val="es-ES"/>
        </w:rPr>
      </w:pPr>
      <w:r w:rsidRPr="00F86555">
        <w:rPr>
          <w:rFonts w:eastAsia="PMingLiU"/>
          <w:szCs w:val="24"/>
          <w:lang w:val="es-ES"/>
        </w:rPr>
        <w:tab/>
        <w:t>TWP:</w:t>
      </w:r>
      <w:r w:rsidRPr="00F86555">
        <w:rPr>
          <w:rFonts w:eastAsia="PMingLiU"/>
          <w:szCs w:val="24"/>
          <w:lang w:val="es-ES"/>
        </w:rPr>
        <w:tab/>
        <w:t>Grupos de Trabajo Técnico</w:t>
      </w:r>
    </w:p>
    <w:p w14:paraId="716EB04A" w14:textId="77777777" w:rsidR="000F6432" w:rsidRPr="00F86555" w:rsidRDefault="00734E6E">
      <w:pPr>
        <w:tabs>
          <w:tab w:val="left" w:pos="567"/>
          <w:tab w:val="left" w:pos="1701"/>
        </w:tabs>
        <w:rPr>
          <w:rFonts w:eastAsia="PMingLiU"/>
          <w:szCs w:val="24"/>
          <w:lang w:val="es-ES"/>
        </w:rPr>
      </w:pPr>
      <w:r w:rsidRPr="00F86555">
        <w:rPr>
          <w:rFonts w:eastAsia="PMingLiU"/>
          <w:szCs w:val="24"/>
          <w:lang w:val="es-ES"/>
        </w:rPr>
        <w:tab/>
        <w:t>TWV:</w:t>
      </w:r>
      <w:r w:rsidRPr="00F86555">
        <w:rPr>
          <w:rFonts w:eastAsia="PMingLiU"/>
          <w:szCs w:val="24"/>
          <w:lang w:val="es-ES"/>
        </w:rPr>
        <w:tab/>
        <w:t>Grupo de trabajo técnico sobre hortalizas</w:t>
      </w:r>
    </w:p>
    <w:p w14:paraId="3E6DF806" w14:textId="77777777" w:rsidR="00372918" w:rsidRPr="00F86555" w:rsidRDefault="00372918" w:rsidP="00372918">
      <w:pPr>
        <w:rPr>
          <w:highlight w:val="cyan"/>
          <w:lang w:val="es-ES"/>
        </w:rPr>
      </w:pPr>
    </w:p>
    <w:p w14:paraId="1BD0E2D0" w14:textId="77777777" w:rsidR="000F6432" w:rsidRPr="00F86555" w:rsidRDefault="00734E6E">
      <w:pPr>
        <w:keepNext/>
        <w:rPr>
          <w:lang w:val="es-ES"/>
        </w:rPr>
      </w:pPr>
      <w:r w:rsidRPr="00372918">
        <w:rPr>
          <w:color w:val="000000"/>
        </w:rPr>
        <w:fldChar w:fldCharType="begin"/>
      </w:r>
      <w:r w:rsidRPr="00F86555">
        <w:rPr>
          <w:color w:val="000000"/>
          <w:lang w:val="es-ES"/>
        </w:rPr>
        <w:instrText xml:space="preserve"> AUTONUM  </w:instrText>
      </w:r>
      <w:r w:rsidRPr="00372918">
        <w:rPr>
          <w:color w:val="000000"/>
        </w:rPr>
        <w:fldChar w:fldCharType="end"/>
      </w:r>
      <w:r w:rsidRPr="00F86555">
        <w:rPr>
          <w:color w:val="000000"/>
          <w:lang w:val="es-ES"/>
        </w:rPr>
        <w:tab/>
      </w:r>
      <w:r w:rsidRPr="00F86555">
        <w:rPr>
          <w:lang w:val="es-ES"/>
        </w:rPr>
        <w:t>La estructura de este documento es la siguiente:</w:t>
      </w:r>
    </w:p>
    <w:p w14:paraId="3799F6DE" w14:textId="77777777" w:rsidR="00372918" w:rsidRPr="00F86555" w:rsidRDefault="00372918" w:rsidP="0083189F">
      <w:pPr>
        <w:keepNext/>
        <w:rPr>
          <w:lang w:val="es-ES"/>
        </w:rPr>
      </w:pPr>
    </w:p>
    <w:p w14:paraId="34E513BF" w14:textId="73430D30" w:rsidR="00EE0039" w:rsidRPr="00EE0039" w:rsidRDefault="00734E6E">
      <w:pPr>
        <w:pStyle w:val="TOC1"/>
        <w:rPr>
          <w:rFonts w:asciiTheme="minorHAnsi" w:eastAsiaTheme="minorEastAsia" w:hAnsiTheme="minorHAnsi" w:cstheme="minorBidi"/>
          <w:caps w:val="0"/>
          <w:noProof/>
          <w:sz w:val="22"/>
          <w:szCs w:val="22"/>
          <w:lang w:val="es-ES" w:eastAsia="en-GB"/>
        </w:rPr>
      </w:pPr>
      <w:r>
        <w:rPr>
          <w:rFonts w:eastAsia="MS Mincho" w:cs="Arial"/>
          <w:caps w:val="0"/>
          <w:noProof/>
          <w:lang w:eastAsia="ja-JP"/>
        </w:rPr>
        <w:fldChar w:fldCharType="begin"/>
      </w:r>
      <w:r w:rsidRPr="00EE0039">
        <w:rPr>
          <w:rFonts w:eastAsia="MS Mincho" w:cs="Arial"/>
          <w:noProof/>
          <w:lang w:val="es-ES" w:eastAsia="ja-JP"/>
        </w:rPr>
        <w:instrText xml:space="preserve"> TOC \o "1-3" \u </w:instrText>
      </w:r>
      <w:r>
        <w:rPr>
          <w:rFonts w:eastAsia="MS Mincho" w:cs="Arial"/>
          <w:caps w:val="0"/>
          <w:noProof/>
          <w:lang w:eastAsia="ja-JP"/>
        </w:rPr>
        <w:fldChar w:fldCharType="separate"/>
      </w:r>
      <w:r w:rsidR="00EE0039" w:rsidRPr="00D8764E">
        <w:rPr>
          <w:noProof/>
          <w:lang w:val="es-ES"/>
        </w:rPr>
        <w:t>RESUMEN EJECUTIVO</w:t>
      </w:r>
      <w:r w:rsidR="00EE0039" w:rsidRPr="00EE0039">
        <w:rPr>
          <w:noProof/>
          <w:lang w:val="es-ES"/>
        </w:rPr>
        <w:tab/>
      </w:r>
      <w:r w:rsidR="00EE0039">
        <w:rPr>
          <w:noProof/>
        </w:rPr>
        <w:fldChar w:fldCharType="begin"/>
      </w:r>
      <w:r w:rsidR="00EE0039" w:rsidRPr="00EE0039">
        <w:rPr>
          <w:noProof/>
          <w:lang w:val="es-ES"/>
        </w:rPr>
        <w:instrText xml:space="preserve"> PAGEREF _Toc145580702 \h </w:instrText>
      </w:r>
      <w:r w:rsidR="00EE0039">
        <w:rPr>
          <w:noProof/>
        </w:rPr>
      </w:r>
      <w:r w:rsidR="00EE0039">
        <w:rPr>
          <w:noProof/>
        </w:rPr>
        <w:fldChar w:fldCharType="separate"/>
      </w:r>
      <w:r w:rsidR="00EE0039" w:rsidRPr="00EE0039">
        <w:rPr>
          <w:noProof/>
          <w:lang w:val="es-ES"/>
        </w:rPr>
        <w:t>1</w:t>
      </w:r>
      <w:r w:rsidR="00EE0039">
        <w:rPr>
          <w:noProof/>
        </w:rPr>
        <w:fldChar w:fldCharType="end"/>
      </w:r>
    </w:p>
    <w:p w14:paraId="53336120" w14:textId="5551657D" w:rsidR="00EE0039" w:rsidRPr="00EE0039" w:rsidRDefault="00EE0039">
      <w:pPr>
        <w:pStyle w:val="TOC1"/>
        <w:rPr>
          <w:rFonts w:asciiTheme="minorHAnsi" w:eastAsiaTheme="minorEastAsia" w:hAnsiTheme="minorHAnsi" w:cstheme="minorBidi"/>
          <w:caps w:val="0"/>
          <w:noProof/>
          <w:sz w:val="22"/>
          <w:szCs w:val="22"/>
          <w:lang w:val="es-ES" w:eastAsia="en-GB"/>
        </w:rPr>
      </w:pPr>
      <w:r w:rsidRPr="00D8764E">
        <w:rPr>
          <w:noProof/>
          <w:lang w:val="es-ES"/>
        </w:rPr>
        <w:t>Cuestiones para información y posible decisión del Comité Técnico (TC)</w:t>
      </w:r>
      <w:r w:rsidRPr="00EE0039">
        <w:rPr>
          <w:noProof/>
          <w:lang w:val="es-ES"/>
        </w:rPr>
        <w:tab/>
      </w:r>
      <w:r>
        <w:rPr>
          <w:noProof/>
        </w:rPr>
        <w:fldChar w:fldCharType="begin"/>
      </w:r>
      <w:r w:rsidRPr="00EE0039">
        <w:rPr>
          <w:noProof/>
          <w:lang w:val="es-ES"/>
        </w:rPr>
        <w:instrText xml:space="preserve"> PAGEREF _Toc145580703 \h </w:instrText>
      </w:r>
      <w:r>
        <w:rPr>
          <w:noProof/>
        </w:rPr>
      </w:r>
      <w:r>
        <w:rPr>
          <w:noProof/>
        </w:rPr>
        <w:fldChar w:fldCharType="separate"/>
      </w:r>
      <w:r w:rsidRPr="00EE0039">
        <w:rPr>
          <w:noProof/>
          <w:lang w:val="es-ES"/>
        </w:rPr>
        <w:t>2</w:t>
      </w:r>
      <w:r>
        <w:rPr>
          <w:noProof/>
        </w:rPr>
        <w:fldChar w:fldCharType="end"/>
      </w:r>
    </w:p>
    <w:p w14:paraId="7521E130" w14:textId="6671A974" w:rsidR="00EE0039" w:rsidRPr="00EE0039" w:rsidRDefault="00EE0039">
      <w:pPr>
        <w:pStyle w:val="TOC2"/>
        <w:rPr>
          <w:rFonts w:asciiTheme="minorHAnsi" w:eastAsiaTheme="minorEastAsia" w:hAnsiTheme="minorHAnsi" w:cstheme="minorBidi"/>
          <w:noProof/>
          <w:sz w:val="22"/>
          <w:szCs w:val="22"/>
          <w:lang w:val="es-ES" w:eastAsia="en-GB"/>
        </w:rPr>
      </w:pPr>
      <w:r w:rsidRPr="00D8764E">
        <w:rPr>
          <w:noProof/>
          <w:lang w:val="es-ES"/>
        </w:rPr>
        <w:t>Información sobre variedades mutantes de manzana útiles para el examen DHE</w:t>
      </w:r>
      <w:r w:rsidRPr="00EE0039">
        <w:rPr>
          <w:noProof/>
          <w:lang w:val="es-ES"/>
        </w:rPr>
        <w:tab/>
      </w:r>
      <w:r>
        <w:rPr>
          <w:noProof/>
        </w:rPr>
        <w:fldChar w:fldCharType="begin"/>
      </w:r>
      <w:r w:rsidRPr="00EE0039">
        <w:rPr>
          <w:noProof/>
          <w:lang w:val="es-ES"/>
        </w:rPr>
        <w:instrText xml:space="preserve"> PAGEREF _Toc145580704 \h </w:instrText>
      </w:r>
      <w:r>
        <w:rPr>
          <w:noProof/>
        </w:rPr>
      </w:r>
      <w:r>
        <w:rPr>
          <w:noProof/>
        </w:rPr>
        <w:fldChar w:fldCharType="separate"/>
      </w:r>
      <w:r w:rsidRPr="00EE0039">
        <w:rPr>
          <w:noProof/>
          <w:lang w:val="es-ES"/>
        </w:rPr>
        <w:t>2</w:t>
      </w:r>
      <w:r>
        <w:rPr>
          <w:noProof/>
        </w:rPr>
        <w:fldChar w:fldCharType="end"/>
      </w:r>
    </w:p>
    <w:p w14:paraId="2FC8E31A" w14:textId="26A5A990" w:rsidR="00EE0039" w:rsidRPr="00EE0039" w:rsidRDefault="00EE0039">
      <w:pPr>
        <w:pStyle w:val="TOC1"/>
        <w:rPr>
          <w:rFonts w:asciiTheme="minorHAnsi" w:eastAsiaTheme="minorEastAsia" w:hAnsiTheme="minorHAnsi" w:cstheme="minorBidi"/>
          <w:caps w:val="0"/>
          <w:noProof/>
          <w:sz w:val="22"/>
          <w:szCs w:val="22"/>
          <w:lang w:val="es-ES" w:eastAsia="en-GB"/>
        </w:rPr>
      </w:pPr>
      <w:r w:rsidRPr="00D8764E">
        <w:rPr>
          <w:noProof/>
          <w:lang w:val="es-ES"/>
        </w:rPr>
        <w:t>Información</w:t>
      </w:r>
      <w:r w:rsidRPr="00EE0039">
        <w:rPr>
          <w:noProof/>
          <w:lang w:val="es-ES"/>
        </w:rPr>
        <w:tab/>
      </w:r>
      <w:r>
        <w:rPr>
          <w:noProof/>
        </w:rPr>
        <w:fldChar w:fldCharType="begin"/>
      </w:r>
      <w:r w:rsidRPr="00EE0039">
        <w:rPr>
          <w:noProof/>
          <w:lang w:val="es-ES"/>
        </w:rPr>
        <w:instrText xml:space="preserve"> PAGEREF _Toc145580705 \h </w:instrText>
      </w:r>
      <w:r>
        <w:rPr>
          <w:noProof/>
        </w:rPr>
      </w:r>
      <w:r>
        <w:rPr>
          <w:noProof/>
        </w:rPr>
        <w:fldChar w:fldCharType="separate"/>
      </w:r>
      <w:r w:rsidRPr="00EE0039">
        <w:rPr>
          <w:noProof/>
          <w:lang w:val="es-ES"/>
        </w:rPr>
        <w:t>3</w:t>
      </w:r>
      <w:r>
        <w:rPr>
          <w:noProof/>
        </w:rPr>
        <w:fldChar w:fldCharType="end"/>
      </w:r>
    </w:p>
    <w:p w14:paraId="48BD2F3E" w14:textId="3F282767" w:rsidR="00EE0039" w:rsidRPr="00EE0039" w:rsidRDefault="00EE0039">
      <w:pPr>
        <w:pStyle w:val="TOC2"/>
        <w:rPr>
          <w:rFonts w:asciiTheme="minorHAnsi" w:eastAsiaTheme="minorEastAsia" w:hAnsiTheme="minorHAnsi" w:cstheme="minorBidi"/>
          <w:noProof/>
          <w:sz w:val="22"/>
          <w:szCs w:val="22"/>
          <w:lang w:val="es-ES" w:eastAsia="en-GB"/>
        </w:rPr>
      </w:pPr>
      <w:r w:rsidRPr="00D8764E">
        <w:rPr>
          <w:rFonts w:eastAsia="MS Mincho"/>
          <w:noProof/>
          <w:lang w:val="es-ES"/>
        </w:rPr>
        <w:t>Evaluación de la distinción de las características de resistencia a las enfermedades</w:t>
      </w:r>
      <w:r w:rsidRPr="00EE0039">
        <w:rPr>
          <w:noProof/>
          <w:lang w:val="es-ES"/>
        </w:rPr>
        <w:tab/>
      </w:r>
      <w:r>
        <w:rPr>
          <w:noProof/>
        </w:rPr>
        <w:fldChar w:fldCharType="begin"/>
      </w:r>
      <w:r w:rsidRPr="00EE0039">
        <w:rPr>
          <w:noProof/>
          <w:lang w:val="es-ES"/>
        </w:rPr>
        <w:instrText xml:space="preserve"> PAGEREF _Toc145580706 \h </w:instrText>
      </w:r>
      <w:r>
        <w:rPr>
          <w:noProof/>
        </w:rPr>
      </w:r>
      <w:r>
        <w:rPr>
          <w:noProof/>
        </w:rPr>
        <w:fldChar w:fldCharType="separate"/>
      </w:r>
      <w:r w:rsidRPr="00EE0039">
        <w:rPr>
          <w:noProof/>
          <w:lang w:val="es-ES"/>
        </w:rPr>
        <w:t>3</w:t>
      </w:r>
      <w:r>
        <w:rPr>
          <w:noProof/>
        </w:rPr>
        <w:fldChar w:fldCharType="end"/>
      </w:r>
    </w:p>
    <w:p w14:paraId="1CCA2C5A" w14:textId="7D52AF42" w:rsidR="00EE0039" w:rsidRPr="00EE0039" w:rsidRDefault="00EE0039">
      <w:pPr>
        <w:pStyle w:val="TOC3"/>
        <w:rPr>
          <w:rFonts w:asciiTheme="minorHAnsi" w:eastAsiaTheme="minorEastAsia" w:hAnsiTheme="minorHAnsi" w:cstheme="minorBidi"/>
          <w:noProof/>
          <w:sz w:val="22"/>
          <w:szCs w:val="22"/>
          <w:lang w:val="es-ES" w:eastAsia="en-GB"/>
        </w:rPr>
      </w:pPr>
      <w:r w:rsidRPr="00D8764E">
        <w:rPr>
          <w:noProof/>
          <w:lang w:val="es-ES"/>
        </w:rPr>
        <w:t>Distinción basada en una nota de diferencia para la enfermedad</w:t>
      </w:r>
      <w:r w:rsidRPr="00EE0039">
        <w:rPr>
          <w:noProof/>
          <w:lang w:val="es-ES"/>
        </w:rPr>
        <w:tab/>
      </w:r>
      <w:r>
        <w:rPr>
          <w:noProof/>
        </w:rPr>
        <w:fldChar w:fldCharType="begin"/>
      </w:r>
      <w:r w:rsidRPr="00EE0039">
        <w:rPr>
          <w:noProof/>
          <w:lang w:val="es-ES"/>
        </w:rPr>
        <w:instrText xml:space="preserve"> PAGEREF _Toc145580707 \h </w:instrText>
      </w:r>
      <w:r>
        <w:rPr>
          <w:noProof/>
        </w:rPr>
      </w:r>
      <w:r>
        <w:rPr>
          <w:noProof/>
        </w:rPr>
        <w:fldChar w:fldCharType="separate"/>
      </w:r>
      <w:r w:rsidRPr="00EE0039">
        <w:rPr>
          <w:noProof/>
          <w:lang w:val="es-ES"/>
        </w:rPr>
        <w:t>3</w:t>
      </w:r>
      <w:r>
        <w:rPr>
          <w:noProof/>
        </w:rPr>
        <w:fldChar w:fldCharType="end"/>
      </w:r>
    </w:p>
    <w:p w14:paraId="13142F79" w14:textId="506DB00C" w:rsidR="00EE0039" w:rsidRPr="00EE0039" w:rsidRDefault="00EE0039">
      <w:pPr>
        <w:pStyle w:val="TOC3"/>
        <w:rPr>
          <w:rFonts w:asciiTheme="minorHAnsi" w:eastAsiaTheme="minorEastAsia" w:hAnsiTheme="minorHAnsi" w:cstheme="minorBidi"/>
          <w:noProof/>
          <w:sz w:val="22"/>
          <w:szCs w:val="22"/>
          <w:lang w:val="es-ES" w:eastAsia="en-GB"/>
        </w:rPr>
      </w:pPr>
      <w:r w:rsidRPr="00D8764E">
        <w:rPr>
          <w:noProof/>
          <w:lang w:val="es-ES"/>
        </w:rPr>
        <w:t>Característica cuantitativa de resistencia a la enfermedad con sólo dos niveles de expresión</w:t>
      </w:r>
      <w:r w:rsidRPr="00EE0039">
        <w:rPr>
          <w:noProof/>
          <w:lang w:val="es-ES"/>
        </w:rPr>
        <w:tab/>
      </w:r>
      <w:r>
        <w:rPr>
          <w:noProof/>
        </w:rPr>
        <w:fldChar w:fldCharType="begin"/>
      </w:r>
      <w:r w:rsidRPr="00EE0039">
        <w:rPr>
          <w:noProof/>
          <w:lang w:val="es-ES"/>
        </w:rPr>
        <w:instrText xml:space="preserve"> PAGEREF _Toc145580708 \h </w:instrText>
      </w:r>
      <w:r>
        <w:rPr>
          <w:noProof/>
        </w:rPr>
      </w:r>
      <w:r>
        <w:rPr>
          <w:noProof/>
        </w:rPr>
        <w:fldChar w:fldCharType="separate"/>
      </w:r>
      <w:r w:rsidRPr="00EE0039">
        <w:rPr>
          <w:noProof/>
          <w:lang w:val="es-ES"/>
        </w:rPr>
        <w:t>3</w:t>
      </w:r>
      <w:r>
        <w:rPr>
          <w:noProof/>
        </w:rPr>
        <w:fldChar w:fldCharType="end"/>
      </w:r>
    </w:p>
    <w:p w14:paraId="086DDFF8" w14:textId="3B49AFD5" w:rsidR="00EE0039" w:rsidRPr="00EE0039" w:rsidRDefault="00EE0039">
      <w:pPr>
        <w:pStyle w:val="TOC2"/>
        <w:rPr>
          <w:rFonts w:asciiTheme="minorHAnsi" w:eastAsiaTheme="minorEastAsia" w:hAnsiTheme="minorHAnsi" w:cstheme="minorBidi"/>
          <w:noProof/>
          <w:sz w:val="22"/>
          <w:szCs w:val="22"/>
          <w:lang w:val="es-ES" w:eastAsia="en-GB"/>
        </w:rPr>
      </w:pPr>
      <w:r w:rsidRPr="00D8764E">
        <w:rPr>
          <w:rFonts w:eastAsia="MS Mincho"/>
          <w:noProof/>
          <w:lang w:val="es-ES"/>
        </w:rPr>
        <w:t>Nuevas tecnologías en el examen DHE</w:t>
      </w:r>
      <w:r w:rsidRPr="00EE0039">
        <w:rPr>
          <w:noProof/>
          <w:lang w:val="es-ES"/>
        </w:rPr>
        <w:tab/>
      </w:r>
      <w:r>
        <w:rPr>
          <w:noProof/>
        </w:rPr>
        <w:fldChar w:fldCharType="begin"/>
      </w:r>
      <w:r w:rsidRPr="00EE0039">
        <w:rPr>
          <w:noProof/>
          <w:lang w:val="es-ES"/>
        </w:rPr>
        <w:instrText xml:space="preserve"> PAGEREF _Toc145580709 \h </w:instrText>
      </w:r>
      <w:r>
        <w:rPr>
          <w:noProof/>
        </w:rPr>
      </w:r>
      <w:r>
        <w:rPr>
          <w:noProof/>
        </w:rPr>
        <w:fldChar w:fldCharType="separate"/>
      </w:r>
      <w:r w:rsidRPr="00EE0039">
        <w:rPr>
          <w:noProof/>
          <w:lang w:val="es-ES"/>
        </w:rPr>
        <w:t>3</w:t>
      </w:r>
      <w:r>
        <w:rPr>
          <w:noProof/>
        </w:rPr>
        <w:fldChar w:fldCharType="end"/>
      </w:r>
    </w:p>
    <w:p w14:paraId="7A35EA9B" w14:textId="200A4153" w:rsidR="00EE0039" w:rsidRPr="00EE0039" w:rsidRDefault="00EE0039">
      <w:pPr>
        <w:pStyle w:val="TOC2"/>
        <w:rPr>
          <w:rFonts w:asciiTheme="minorHAnsi" w:eastAsiaTheme="minorEastAsia" w:hAnsiTheme="minorHAnsi" w:cstheme="minorBidi"/>
          <w:noProof/>
          <w:sz w:val="22"/>
          <w:szCs w:val="22"/>
          <w:lang w:val="es-ES" w:eastAsia="en-GB"/>
        </w:rPr>
      </w:pPr>
      <w:r w:rsidRPr="00D8764E">
        <w:rPr>
          <w:rFonts w:eastAsia="MS Mincho"/>
          <w:noProof/>
          <w:lang w:val="es-ES"/>
        </w:rPr>
        <w:t>Análisis de imágenes de cultivos hortícolas</w:t>
      </w:r>
      <w:r w:rsidRPr="00EE0039">
        <w:rPr>
          <w:noProof/>
          <w:lang w:val="es-ES"/>
        </w:rPr>
        <w:tab/>
      </w:r>
      <w:r>
        <w:rPr>
          <w:noProof/>
        </w:rPr>
        <w:fldChar w:fldCharType="begin"/>
      </w:r>
      <w:r w:rsidRPr="00EE0039">
        <w:rPr>
          <w:noProof/>
          <w:lang w:val="es-ES"/>
        </w:rPr>
        <w:instrText xml:space="preserve"> PAGEREF _Toc145580710 \h </w:instrText>
      </w:r>
      <w:r>
        <w:rPr>
          <w:noProof/>
        </w:rPr>
      </w:r>
      <w:r>
        <w:rPr>
          <w:noProof/>
        </w:rPr>
        <w:fldChar w:fldCharType="separate"/>
      </w:r>
      <w:r w:rsidRPr="00EE0039">
        <w:rPr>
          <w:noProof/>
          <w:lang w:val="es-ES"/>
        </w:rPr>
        <w:t>4</w:t>
      </w:r>
      <w:r>
        <w:rPr>
          <w:noProof/>
        </w:rPr>
        <w:fldChar w:fldCharType="end"/>
      </w:r>
    </w:p>
    <w:p w14:paraId="01764163" w14:textId="729395A8" w:rsidR="00EE0039" w:rsidRPr="00EE0039" w:rsidRDefault="00EE0039">
      <w:pPr>
        <w:pStyle w:val="TOC2"/>
        <w:rPr>
          <w:rFonts w:asciiTheme="minorHAnsi" w:eastAsiaTheme="minorEastAsia" w:hAnsiTheme="minorHAnsi" w:cstheme="minorBidi"/>
          <w:noProof/>
          <w:sz w:val="22"/>
          <w:szCs w:val="22"/>
          <w:lang w:val="es-ES" w:eastAsia="en-GB"/>
        </w:rPr>
      </w:pPr>
      <w:r w:rsidRPr="00D8764E">
        <w:rPr>
          <w:rFonts w:eastAsia="MS Mincho"/>
          <w:noProof/>
          <w:lang w:val="es-ES"/>
        </w:rPr>
        <w:t>Programa informático de análisis estadístico DUSCEL</w:t>
      </w:r>
      <w:r w:rsidRPr="00EE0039">
        <w:rPr>
          <w:noProof/>
          <w:lang w:val="es-ES"/>
        </w:rPr>
        <w:tab/>
      </w:r>
      <w:r>
        <w:rPr>
          <w:noProof/>
        </w:rPr>
        <w:fldChar w:fldCharType="begin"/>
      </w:r>
      <w:r w:rsidRPr="00EE0039">
        <w:rPr>
          <w:noProof/>
          <w:lang w:val="es-ES"/>
        </w:rPr>
        <w:instrText xml:space="preserve"> PAGEREF _Toc145580711 \h </w:instrText>
      </w:r>
      <w:r>
        <w:rPr>
          <w:noProof/>
        </w:rPr>
      </w:r>
      <w:r>
        <w:rPr>
          <w:noProof/>
        </w:rPr>
        <w:fldChar w:fldCharType="separate"/>
      </w:r>
      <w:r w:rsidRPr="00EE0039">
        <w:rPr>
          <w:noProof/>
          <w:lang w:val="es-ES"/>
        </w:rPr>
        <w:t>4</w:t>
      </w:r>
      <w:r>
        <w:rPr>
          <w:noProof/>
        </w:rPr>
        <w:fldChar w:fldCharType="end"/>
      </w:r>
    </w:p>
    <w:p w14:paraId="30B716DB" w14:textId="06A0CBD0" w:rsidR="00EE0039" w:rsidRPr="00EE0039" w:rsidRDefault="00EE0039">
      <w:pPr>
        <w:pStyle w:val="TOC2"/>
        <w:rPr>
          <w:rFonts w:asciiTheme="minorHAnsi" w:eastAsiaTheme="minorEastAsia" w:hAnsiTheme="minorHAnsi" w:cstheme="minorBidi"/>
          <w:noProof/>
          <w:sz w:val="22"/>
          <w:szCs w:val="22"/>
          <w:lang w:val="es-ES" w:eastAsia="en-GB"/>
        </w:rPr>
      </w:pPr>
      <w:r w:rsidRPr="00D8764E">
        <w:rPr>
          <w:rFonts w:eastAsia="MS Mincho"/>
          <w:noProof/>
          <w:lang w:val="es-ES"/>
        </w:rPr>
        <w:t>Experiencias con nuevos tipos y especies</w:t>
      </w:r>
      <w:r w:rsidRPr="00EE0039">
        <w:rPr>
          <w:noProof/>
          <w:lang w:val="es-ES"/>
        </w:rPr>
        <w:tab/>
      </w:r>
      <w:r>
        <w:rPr>
          <w:noProof/>
        </w:rPr>
        <w:fldChar w:fldCharType="begin"/>
      </w:r>
      <w:r w:rsidRPr="00EE0039">
        <w:rPr>
          <w:noProof/>
          <w:lang w:val="es-ES"/>
        </w:rPr>
        <w:instrText xml:space="preserve"> PAGEREF _Toc145580712 \h </w:instrText>
      </w:r>
      <w:r>
        <w:rPr>
          <w:noProof/>
        </w:rPr>
      </w:r>
      <w:r>
        <w:rPr>
          <w:noProof/>
        </w:rPr>
        <w:fldChar w:fldCharType="separate"/>
      </w:r>
      <w:r w:rsidRPr="00EE0039">
        <w:rPr>
          <w:noProof/>
          <w:lang w:val="es-ES"/>
        </w:rPr>
        <w:t>4</w:t>
      </w:r>
      <w:r>
        <w:rPr>
          <w:noProof/>
        </w:rPr>
        <w:fldChar w:fldCharType="end"/>
      </w:r>
    </w:p>
    <w:p w14:paraId="7AF4A99F" w14:textId="20324CD4" w:rsidR="00EE0039" w:rsidRPr="00EE0039" w:rsidRDefault="00EE0039">
      <w:pPr>
        <w:pStyle w:val="TOC3"/>
        <w:rPr>
          <w:rFonts w:asciiTheme="minorHAnsi" w:eastAsiaTheme="minorEastAsia" w:hAnsiTheme="minorHAnsi" w:cstheme="minorBidi"/>
          <w:noProof/>
          <w:sz w:val="22"/>
          <w:szCs w:val="22"/>
          <w:lang w:val="es-ES" w:eastAsia="en-GB"/>
        </w:rPr>
      </w:pPr>
      <w:r w:rsidRPr="00D8764E">
        <w:rPr>
          <w:noProof/>
          <w:lang w:val="es-ES"/>
        </w:rPr>
        <w:t>Cáñamo/cannabis</w:t>
      </w:r>
      <w:r w:rsidRPr="00EE0039">
        <w:rPr>
          <w:noProof/>
          <w:lang w:val="es-ES"/>
        </w:rPr>
        <w:tab/>
      </w:r>
      <w:r>
        <w:rPr>
          <w:noProof/>
        </w:rPr>
        <w:fldChar w:fldCharType="begin"/>
      </w:r>
      <w:r w:rsidRPr="00EE0039">
        <w:rPr>
          <w:noProof/>
          <w:lang w:val="es-ES"/>
        </w:rPr>
        <w:instrText xml:space="preserve"> PAGEREF _Toc145580713 \h </w:instrText>
      </w:r>
      <w:r>
        <w:rPr>
          <w:noProof/>
        </w:rPr>
      </w:r>
      <w:r>
        <w:rPr>
          <w:noProof/>
        </w:rPr>
        <w:fldChar w:fldCharType="separate"/>
      </w:r>
      <w:r w:rsidRPr="00EE0039">
        <w:rPr>
          <w:noProof/>
          <w:lang w:val="es-ES"/>
        </w:rPr>
        <w:t>4</w:t>
      </w:r>
      <w:r>
        <w:rPr>
          <w:noProof/>
        </w:rPr>
        <w:fldChar w:fldCharType="end"/>
      </w:r>
    </w:p>
    <w:p w14:paraId="171C2AD8" w14:textId="19E82D3D" w:rsidR="00EE0039" w:rsidRPr="00EE0039" w:rsidRDefault="00EE0039">
      <w:pPr>
        <w:pStyle w:val="TOC3"/>
        <w:rPr>
          <w:rFonts w:asciiTheme="minorHAnsi" w:eastAsiaTheme="minorEastAsia" w:hAnsiTheme="minorHAnsi" w:cstheme="minorBidi"/>
          <w:noProof/>
          <w:sz w:val="22"/>
          <w:szCs w:val="22"/>
          <w:lang w:val="es-ES" w:eastAsia="en-GB"/>
        </w:rPr>
      </w:pPr>
      <w:r w:rsidRPr="00D8764E">
        <w:rPr>
          <w:noProof/>
          <w:lang w:val="es-ES"/>
        </w:rPr>
        <w:t>Variedades de multiplicación vegetativa</w:t>
      </w:r>
      <w:r w:rsidRPr="00EE0039">
        <w:rPr>
          <w:noProof/>
          <w:lang w:val="es-ES"/>
        </w:rPr>
        <w:tab/>
      </w:r>
      <w:r>
        <w:rPr>
          <w:noProof/>
        </w:rPr>
        <w:fldChar w:fldCharType="begin"/>
      </w:r>
      <w:r w:rsidRPr="00EE0039">
        <w:rPr>
          <w:noProof/>
          <w:lang w:val="es-ES"/>
        </w:rPr>
        <w:instrText xml:space="preserve"> PAGEREF _Toc145580714 \h </w:instrText>
      </w:r>
      <w:r>
        <w:rPr>
          <w:noProof/>
        </w:rPr>
      </w:r>
      <w:r>
        <w:rPr>
          <w:noProof/>
        </w:rPr>
        <w:fldChar w:fldCharType="separate"/>
      </w:r>
      <w:r w:rsidRPr="00EE0039">
        <w:rPr>
          <w:noProof/>
          <w:lang w:val="es-ES"/>
        </w:rPr>
        <w:t>4</w:t>
      </w:r>
      <w:r>
        <w:rPr>
          <w:noProof/>
        </w:rPr>
        <w:fldChar w:fldCharType="end"/>
      </w:r>
    </w:p>
    <w:p w14:paraId="2EA455E5" w14:textId="4962F811" w:rsidR="00EE0039" w:rsidRPr="00EE0039" w:rsidRDefault="00EE0039">
      <w:pPr>
        <w:pStyle w:val="TOC3"/>
        <w:rPr>
          <w:rFonts w:asciiTheme="minorHAnsi" w:eastAsiaTheme="minorEastAsia" w:hAnsiTheme="minorHAnsi" w:cstheme="minorBidi"/>
          <w:noProof/>
          <w:sz w:val="22"/>
          <w:szCs w:val="22"/>
          <w:lang w:val="es-ES" w:eastAsia="en-GB"/>
        </w:rPr>
      </w:pPr>
      <w:r w:rsidRPr="00D8764E">
        <w:rPr>
          <w:noProof/>
          <w:lang w:val="es-ES"/>
        </w:rPr>
        <w:t>Loto (Nelumbo)</w:t>
      </w:r>
      <w:r w:rsidRPr="00EE0039">
        <w:rPr>
          <w:noProof/>
          <w:lang w:val="es-ES"/>
        </w:rPr>
        <w:tab/>
      </w:r>
      <w:r>
        <w:rPr>
          <w:noProof/>
        </w:rPr>
        <w:fldChar w:fldCharType="begin"/>
      </w:r>
      <w:r w:rsidRPr="00EE0039">
        <w:rPr>
          <w:noProof/>
          <w:lang w:val="es-ES"/>
        </w:rPr>
        <w:instrText xml:space="preserve"> PAGEREF _Toc145580715 \h </w:instrText>
      </w:r>
      <w:r>
        <w:rPr>
          <w:noProof/>
        </w:rPr>
      </w:r>
      <w:r>
        <w:rPr>
          <w:noProof/>
        </w:rPr>
        <w:fldChar w:fldCharType="separate"/>
      </w:r>
      <w:r w:rsidRPr="00EE0039">
        <w:rPr>
          <w:noProof/>
          <w:lang w:val="es-ES"/>
        </w:rPr>
        <w:t>4</w:t>
      </w:r>
      <w:r>
        <w:rPr>
          <w:noProof/>
        </w:rPr>
        <w:fldChar w:fldCharType="end"/>
      </w:r>
    </w:p>
    <w:p w14:paraId="717FF939" w14:textId="30F0B905" w:rsidR="00EE0039" w:rsidRPr="00EE0039" w:rsidRDefault="00EE0039">
      <w:pPr>
        <w:pStyle w:val="TOC2"/>
        <w:rPr>
          <w:rFonts w:asciiTheme="minorHAnsi" w:eastAsiaTheme="minorEastAsia" w:hAnsiTheme="minorHAnsi" w:cstheme="minorBidi"/>
          <w:noProof/>
          <w:sz w:val="22"/>
          <w:szCs w:val="22"/>
          <w:lang w:val="es-ES" w:eastAsia="en-GB"/>
        </w:rPr>
      </w:pPr>
      <w:r w:rsidRPr="00D8764E">
        <w:rPr>
          <w:rFonts w:eastAsia="MS Mincho"/>
          <w:noProof/>
          <w:lang w:val="es-ES"/>
        </w:rPr>
        <w:t>Variedades ornamentales de cultivos agrícolas, frutales u hortícolas</w:t>
      </w:r>
      <w:r w:rsidRPr="00EE0039">
        <w:rPr>
          <w:noProof/>
          <w:lang w:val="es-ES"/>
        </w:rPr>
        <w:tab/>
      </w:r>
      <w:r>
        <w:rPr>
          <w:noProof/>
        </w:rPr>
        <w:fldChar w:fldCharType="begin"/>
      </w:r>
      <w:r w:rsidRPr="00EE0039">
        <w:rPr>
          <w:noProof/>
          <w:lang w:val="es-ES"/>
        </w:rPr>
        <w:instrText xml:space="preserve"> PAGEREF _Toc145580716 \h </w:instrText>
      </w:r>
      <w:r>
        <w:rPr>
          <w:noProof/>
        </w:rPr>
      </w:r>
      <w:r>
        <w:rPr>
          <w:noProof/>
        </w:rPr>
        <w:fldChar w:fldCharType="separate"/>
      </w:r>
      <w:r w:rsidRPr="00EE0039">
        <w:rPr>
          <w:noProof/>
          <w:lang w:val="es-ES"/>
        </w:rPr>
        <w:t>4</w:t>
      </w:r>
      <w:r>
        <w:rPr>
          <w:noProof/>
        </w:rPr>
        <w:fldChar w:fldCharType="end"/>
      </w:r>
    </w:p>
    <w:p w14:paraId="30EA29D4" w14:textId="5588E10A" w:rsidR="000F6432" w:rsidRPr="00EE0039" w:rsidRDefault="00734E6E">
      <w:pPr>
        <w:keepNext/>
        <w:rPr>
          <w:rFonts w:ascii="Calibri" w:hAnsi="Calibri"/>
          <w:noProof/>
          <w:sz w:val="22"/>
          <w:szCs w:val="22"/>
          <w:lang w:val="es-ES"/>
        </w:rPr>
      </w:pPr>
      <w:r>
        <w:rPr>
          <w:rFonts w:eastAsia="MS Mincho" w:cs="Arial"/>
          <w:caps/>
          <w:noProof/>
          <w:lang w:eastAsia="ja-JP"/>
        </w:rPr>
        <w:fldChar w:fldCharType="end"/>
      </w:r>
      <w:r w:rsidR="00372918" w:rsidRPr="00372918">
        <w:rPr>
          <w:caps/>
          <w:sz w:val="18"/>
        </w:rPr>
        <w:fldChar w:fldCharType="begin"/>
      </w:r>
      <w:r w:rsidR="00372918" w:rsidRPr="00EE0039">
        <w:rPr>
          <w:lang w:val="es-ES"/>
        </w:rPr>
        <w:instrText xml:space="preserve"> TOC \o "1-3" \h \z \u </w:instrText>
      </w:r>
      <w:r w:rsidR="00372918" w:rsidRPr="00372918">
        <w:rPr>
          <w:caps/>
          <w:sz w:val="18"/>
        </w:rPr>
        <w:fldChar w:fldCharType="separate"/>
      </w:r>
    </w:p>
    <w:p w14:paraId="22537EC3" w14:textId="77777777" w:rsidR="00372918" w:rsidRPr="00EE0039" w:rsidRDefault="00372918" w:rsidP="00372918">
      <w:pPr>
        <w:tabs>
          <w:tab w:val="left" w:pos="567"/>
        </w:tabs>
        <w:rPr>
          <w:rFonts w:cs="Arial"/>
          <w:lang w:val="es-ES"/>
        </w:rPr>
      </w:pPr>
      <w:r w:rsidRPr="00372918">
        <w:fldChar w:fldCharType="end"/>
      </w:r>
    </w:p>
    <w:p w14:paraId="7832C306" w14:textId="77777777" w:rsidR="000F6432" w:rsidRPr="00F86555" w:rsidRDefault="00734E6E">
      <w:pPr>
        <w:keepNext/>
        <w:outlineLvl w:val="0"/>
        <w:rPr>
          <w:rFonts w:eastAsia="PMingLiU"/>
          <w:caps/>
          <w:szCs w:val="24"/>
          <w:lang w:val="es-ES"/>
        </w:rPr>
      </w:pPr>
      <w:bookmarkStart w:id="2" w:name="_Toc441497828"/>
      <w:bookmarkStart w:id="3" w:name="_Toc527377892"/>
      <w:bookmarkStart w:id="4" w:name="_Toc20505078"/>
      <w:bookmarkStart w:id="5" w:name="_Toc145580703"/>
      <w:r w:rsidRPr="00F86555">
        <w:rPr>
          <w:caps/>
          <w:lang w:val="es-ES"/>
        </w:rPr>
        <w:t>Cuestiones para información y posible decisión del Comité Técnico (TC)</w:t>
      </w:r>
      <w:bookmarkEnd w:id="2"/>
      <w:bookmarkEnd w:id="3"/>
      <w:bookmarkEnd w:id="4"/>
      <w:bookmarkEnd w:id="5"/>
    </w:p>
    <w:p w14:paraId="4E70A242" w14:textId="77777777" w:rsidR="00372918" w:rsidRPr="00F86555" w:rsidRDefault="00372918" w:rsidP="00372918">
      <w:pPr>
        <w:rPr>
          <w:lang w:val="es-ES"/>
        </w:rPr>
      </w:pPr>
    </w:p>
    <w:p w14:paraId="520D992A" w14:textId="77777777" w:rsidR="000F6432" w:rsidRPr="00F86555" w:rsidRDefault="00734E6E">
      <w:pPr>
        <w:pStyle w:val="Heading2"/>
        <w:rPr>
          <w:lang w:val="es-ES"/>
        </w:rPr>
      </w:pPr>
      <w:bookmarkStart w:id="6" w:name="_Toc145580704"/>
      <w:r w:rsidRPr="00F86555">
        <w:rPr>
          <w:lang w:val="es-ES"/>
        </w:rPr>
        <w:t>Información sobre variedades mutantes de manzana útiles para el examen DHE</w:t>
      </w:r>
      <w:bookmarkEnd w:id="6"/>
    </w:p>
    <w:p w14:paraId="6EB9BC44" w14:textId="77777777" w:rsidR="00372918" w:rsidRPr="00F86555" w:rsidRDefault="00372918" w:rsidP="00372918">
      <w:pPr>
        <w:rPr>
          <w:lang w:val="es-ES"/>
        </w:rPr>
      </w:pPr>
    </w:p>
    <w:p w14:paraId="66787F00" w14:textId="77777777" w:rsidR="000F6432" w:rsidRPr="00F86555" w:rsidRDefault="00734E6E">
      <w:pPr>
        <w:rPr>
          <w:lang w:val="es-ES"/>
        </w:rPr>
      </w:pPr>
      <w:r w:rsidRPr="00372918">
        <w:fldChar w:fldCharType="begin"/>
      </w:r>
      <w:r w:rsidRPr="00F86555">
        <w:rPr>
          <w:lang w:val="es-ES"/>
        </w:rPr>
        <w:instrText xml:space="preserve"> AUTONUM  </w:instrText>
      </w:r>
      <w:r w:rsidRPr="00372918">
        <w:fldChar w:fldCharType="end"/>
      </w:r>
      <w:r w:rsidRPr="00F86555">
        <w:rPr>
          <w:lang w:val="es-ES"/>
        </w:rPr>
        <w:tab/>
        <w:t>El TWF</w:t>
      </w:r>
      <w:r w:rsidRPr="00372918">
        <w:rPr>
          <w:color w:val="000000"/>
          <w:vertAlign w:val="superscript"/>
        </w:rPr>
        <w:footnoteReference w:id="6"/>
      </w:r>
      <w:r w:rsidRPr="00F86555">
        <w:rPr>
          <w:lang w:val="es-ES"/>
        </w:rPr>
        <w:t xml:space="preserve"> examinó el documento TWF/54/6, presentado por un experto de la Unión Europea (véase el documento TWF/54/13 "Informe", párrafos 21 a 25).</w:t>
      </w:r>
    </w:p>
    <w:p w14:paraId="37AD1E68" w14:textId="77777777" w:rsidR="00372918" w:rsidRPr="00F86555" w:rsidRDefault="00372918" w:rsidP="00372918">
      <w:pPr>
        <w:rPr>
          <w:lang w:val="es-ES"/>
        </w:rPr>
      </w:pPr>
    </w:p>
    <w:p w14:paraId="07745BD8" w14:textId="77777777" w:rsidR="000F6432" w:rsidRPr="00F86555" w:rsidRDefault="00734E6E">
      <w:pPr>
        <w:rPr>
          <w:rFonts w:eastAsia="Cambria"/>
          <w:lang w:val="es-ES"/>
        </w:rPr>
      </w:pPr>
      <w:r w:rsidRPr="00372918">
        <w:fldChar w:fldCharType="begin"/>
      </w:r>
      <w:r w:rsidRPr="00F86555">
        <w:rPr>
          <w:lang w:val="es-ES"/>
        </w:rPr>
        <w:instrText xml:space="preserve"> AUTONUM  </w:instrText>
      </w:r>
      <w:r w:rsidRPr="00372918">
        <w:fldChar w:fldCharType="end"/>
      </w:r>
      <w:r w:rsidRPr="00F86555">
        <w:rPr>
          <w:lang w:val="es-ES"/>
        </w:rPr>
        <w:tab/>
      </w:r>
      <w:r w:rsidRPr="00F86555">
        <w:rPr>
          <w:lang w:val="es-ES" w:eastAsia="fr-FR"/>
        </w:rPr>
        <w:t xml:space="preserve">El TWF tomó nota del pasado intercambio de información sobre solicitudes y variedades registradas en algunos grupos de mutación del manzano </w:t>
      </w:r>
      <w:r w:rsidRPr="00F86555">
        <w:rPr>
          <w:rFonts w:eastAsia="Cambria"/>
          <w:lang w:val="es-ES"/>
        </w:rPr>
        <w:t>mediante una hoja de cálculo difundida por correo electrónico a los expertos del TWF.</w:t>
      </w:r>
    </w:p>
    <w:p w14:paraId="15F41BB4" w14:textId="77777777" w:rsidR="00372918" w:rsidRPr="00F86555" w:rsidRDefault="00372918" w:rsidP="00372918">
      <w:pPr>
        <w:rPr>
          <w:rFonts w:eastAsia="Cambria"/>
          <w:lang w:val="es-ES"/>
        </w:rPr>
      </w:pPr>
    </w:p>
    <w:p w14:paraId="50D77EA3" w14:textId="77777777" w:rsidR="000F6432" w:rsidRPr="00F86555" w:rsidRDefault="00734E6E">
      <w:pPr>
        <w:rPr>
          <w:rFonts w:eastAsia="Cambria"/>
          <w:lang w:val="es-ES"/>
        </w:rPr>
      </w:pPr>
      <w:r w:rsidRPr="00372918">
        <w:rPr>
          <w:rFonts w:eastAsia="Cambria"/>
        </w:rPr>
        <w:fldChar w:fldCharType="begin"/>
      </w:r>
      <w:r w:rsidRPr="00F86555">
        <w:rPr>
          <w:rFonts w:eastAsia="Cambria"/>
          <w:lang w:val="es-ES"/>
        </w:rPr>
        <w:instrText xml:space="preserve"> AUTONUM  </w:instrText>
      </w:r>
      <w:r w:rsidRPr="00372918">
        <w:rPr>
          <w:rFonts w:eastAsia="Cambria"/>
        </w:rPr>
        <w:fldChar w:fldCharType="end"/>
      </w:r>
      <w:r w:rsidRPr="00F86555">
        <w:rPr>
          <w:rFonts w:eastAsia="Cambria"/>
          <w:lang w:val="es-ES"/>
        </w:rPr>
        <w:tab/>
        <w:t xml:space="preserve">El TWF acordó invitar a las autoridades a proporcionar la siguiente información cada vez que se presente una solicitud para una variedad mutante de manzana, incluida la variedad parental o el grupo de variedades: </w:t>
      </w:r>
    </w:p>
    <w:p w14:paraId="76222088" w14:textId="77777777" w:rsidR="00372918" w:rsidRPr="00F86555" w:rsidRDefault="00372918" w:rsidP="00372918">
      <w:pPr>
        <w:rPr>
          <w:rFonts w:eastAsia="Cambria"/>
          <w:lang w:val="es-ES"/>
        </w:rPr>
      </w:pPr>
    </w:p>
    <w:p w14:paraId="16470223" w14:textId="77777777" w:rsidR="000F6432" w:rsidRDefault="00734E6E">
      <w:pPr>
        <w:numPr>
          <w:ilvl w:val="0"/>
          <w:numId w:val="2"/>
        </w:numPr>
        <w:ind w:left="1134" w:hanging="567"/>
        <w:contextualSpacing/>
        <w:rPr>
          <w:rFonts w:eastAsia="MS Mincho" w:cs="Arial"/>
          <w:lang w:eastAsia="en-GB"/>
        </w:rPr>
      </w:pPr>
      <w:r w:rsidRPr="00372918">
        <w:rPr>
          <w:rFonts w:eastAsia="MS Mincho" w:cs="Arial"/>
          <w:lang w:eastAsia="en-GB"/>
        </w:rPr>
        <w:t>País</w:t>
      </w:r>
    </w:p>
    <w:p w14:paraId="3D29AE97" w14:textId="77777777" w:rsidR="000F6432" w:rsidRDefault="00734E6E">
      <w:pPr>
        <w:numPr>
          <w:ilvl w:val="0"/>
          <w:numId w:val="2"/>
        </w:numPr>
        <w:ind w:left="1134" w:hanging="567"/>
        <w:contextualSpacing/>
        <w:rPr>
          <w:rFonts w:eastAsia="MS Mincho" w:cs="Arial"/>
          <w:lang w:eastAsia="en-GB"/>
        </w:rPr>
      </w:pPr>
      <w:r w:rsidRPr="00372918">
        <w:rPr>
          <w:rFonts w:eastAsia="MS Mincho" w:cs="Arial"/>
          <w:lang w:eastAsia="en-GB"/>
        </w:rPr>
        <w:t>Referencia del criador</w:t>
      </w:r>
    </w:p>
    <w:p w14:paraId="031BA157" w14:textId="77777777" w:rsidR="000F6432" w:rsidRDefault="00734E6E">
      <w:pPr>
        <w:numPr>
          <w:ilvl w:val="0"/>
          <w:numId w:val="2"/>
        </w:numPr>
        <w:ind w:left="1134" w:hanging="567"/>
        <w:contextualSpacing/>
        <w:rPr>
          <w:rFonts w:eastAsia="MS Mincho" w:cs="Arial"/>
          <w:lang w:eastAsia="en-GB"/>
        </w:rPr>
      </w:pPr>
      <w:r w:rsidRPr="00372918">
        <w:rPr>
          <w:rFonts w:eastAsia="MS Mincho" w:cs="Arial"/>
          <w:lang w:eastAsia="en-GB"/>
        </w:rPr>
        <w:t xml:space="preserve">Denominación </w:t>
      </w:r>
    </w:p>
    <w:p w14:paraId="560928D9" w14:textId="77777777" w:rsidR="000F6432" w:rsidRDefault="00734E6E">
      <w:pPr>
        <w:numPr>
          <w:ilvl w:val="0"/>
          <w:numId w:val="2"/>
        </w:numPr>
        <w:ind w:left="1134" w:hanging="567"/>
        <w:contextualSpacing/>
        <w:rPr>
          <w:rFonts w:eastAsia="MS Mincho" w:cs="Arial"/>
          <w:lang w:eastAsia="en-GB"/>
        </w:rPr>
      </w:pPr>
      <w:r w:rsidRPr="00372918">
        <w:rPr>
          <w:rFonts w:eastAsia="MS Mincho" w:cs="Arial"/>
          <w:lang w:eastAsia="en-GB"/>
        </w:rPr>
        <w:t>Variedad o grupo de padres</w:t>
      </w:r>
    </w:p>
    <w:p w14:paraId="3870E70C" w14:textId="77777777" w:rsidR="000F6432" w:rsidRDefault="00734E6E">
      <w:pPr>
        <w:numPr>
          <w:ilvl w:val="0"/>
          <w:numId w:val="2"/>
        </w:numPr>
        <w:ind w:left="1134" w:hanging="567"/>
        <w:contextualSpacing/>
        <w:rPr>
          <w:rFonts w:eastAsia="MS Mincho" w:cs="Arial"/>
          <w:lang w:eastAsia="en-GB"/>
        </w:rPr>
      </w:pPr>
      <w:r w:rsidRPr="00372918">
        <w:rPr>
          <w:rFonts w:eastAsia="MS Mincho" w:cs="Arial"/>
          <w:lang w:eastAsia="en-GB"/>
        </w:rPr>
        <w:t>Tipo de procedimiento: PBR/otro</w:t>
      </w:r>
    </w:p>
    <w:p w14:paraId="5E5C9C83" w14:textId="77777777" w:rsidR="000F6432" w:rsidRPr="00F86555" w:rsidRDefault="00734E6E">
      <w:pPr>
        <w:numPr>
          <w:ilvl w:val="0"/>
          <w:numId w:val="2"/>
        </w:numPr>
        <w:ind w:left="1134" w:hanging="567"/>
        <w:contextualSpacing/>
        <w:rPr>
          <w:rFonts w:eastAsia="MS Mincho" w:cs="Arial"/>
          <w:lang w:val="es-ES" w:eastAsia="en-GB"/>
        </w:rPr>
      </w:pPr>
      <w:r w:rsidRPr="00F86555">
        <w:rPr>
          <w:rFonts w:eastAsia="MS Mincho" w:cs="Arial"/>
          <w:lang w:val="es-ES" w:eastAsia="en-GB"/>
        </w:rPr>
        <w:t>Estado de la variedad: solicitud / registrada / rechazada / Terminada</w:t>
      </w:r>
    </w:p>
    <w:p w14:paraId="21ED2FAC" w14:textId="77777777" w:rsidR="000F6432" w:rsidRPr="00F86555" w:rsidRDefault="00734E6E">
      <w:pPr>
        <w:numPr>
          <w:ilvl w:val="0"/>
          <w:numId w:val="2"/>
        </w:numPr>
        <w:ind w:left="1134" w:hanging="567"/>
        <w:contextualSpacing/>
        <w:rPr>
          <w:rFonts w:eastAsia="MS Mincho" w:cs="Arial"/>
          <w:lang w:val="es-ES" w:eastAsia="en-GB"/>
        </w:rPr>
      </w:pPr>
      <w:r w:rsidRPr="00F86555">
        <w:rPr>
          <w:rFonts w:eastAsia="MS Mincho" w:cs="Arial"/>
          <w:lang w:val="es-ES" w:eastAsia="en-GB"/>
        </w:rPr>
        <w:t>Fecha de solicitud (si procede)</w:t>
      </w:r>
    </w:p>
    <w:p w14:paraId="234AAA69" w14:textId="77777777" w:rsidR="000F6432" w:rsidRPr="00F86555" w:rsidRDefault="00734E6E">
      <w:pPr>
        <w:numPr>
          <w:ilvl w:val="0"/>
          <w:numId w:val="2"/>
        </w:numPr>
        <w:ind w:left="1134" w:hanging="567"/>
        <w:contextualSpacing/>
        <w:rPr>
          <w:rFonts w:eastAsia="MS Mincho" w:cs="Arial"/>
          <w:lang w:val="es-ES" w:eastAsia="en-GB"/>
        </w:rPr>
      </w:pPr>
      <w:r w:rsidRPr="00F86555">
        <w:rPr>
          <w:rFonts w:eastAsia="MS Mincho" w:cs="Arial"/>
          <w:lang w:val="es-ES" w:eastAsia="en-GB"/>
        </w:rPr>
        <w:t>Fecha de concesión (si procede)</w:t>
      </w:r>
    </w:p>
    <w:p w14:paraId="02783838" w14:textId="77777777" w:rsidR="000F6432" w:rsidRDefault="00734E6E">
      <w:pPr>
        <w:numPr>
          <w:ilvl w:val="0"/>
          <w:numId w:val="2"/>
        </w:numPr>
        <w:ind w:left="1134" w:hanging="567"/>
        <w:contextualSpacing/>
        <w:rPr>
          <w:rFonts w:eastAsia="MS Mincho" w:cs="Arial"/>
          <w:lang w:eastAsia="en-GB"/>
        </w:rPr>
      </w:pPr>
      <w:proofErr w:type="spellStart"/>
      <w:r w:rsidRPr="00372918">
        <w:rPr>
          <w:rFonts w:eastAsia="MS Mincho" w:cs="Arial"/>
          <w:lang w:eastAsia="en-GB"/>
        </w:rPr>
        <w:t>Nombre</w:t>
      </w:r>
      <w:proofErr w:type="spellEnd"/>
      <w:r w:rsidRPr="00372918">
        <w:rPr>
          <w:rFonts w:eastAsia="MS Mincho" w:cs="Arial"/>
          <w:lang w:eastAsia="en-GB"/>
        </w:rPr>
        <w:t xml:space="preserve"> del titular</w:t>
      </w:r>
    </w:p>
    <w:p w14:paraId="5911670D" w14:textId="77777777" w:rsidR="000F6432" w:rsidRDefault="00734E6E">
      <w:pPr>
        <w:numPr>
          <w:ilvl w:val="0"/>
          <w:numId w:val="2"/>
        </w:numPr>
        <w:ind w:left="1134" w:hanging="567"/>
        <w:contextualSpacing/>
        <w:rPr>
          <w:rFonts w:eastAsia="MS Mincho" w:cs="Arial"/>
          <w:lang w:eastAsia="en-GB"/>
        </w:rPr>
      </w:pPr>
      <w:r w:rsidRPr="00372918">
        <w:rPr>
          <w:rFonts w:eastAsia="MS Mincho" w:cs="Arial"/>
          <w:lang w:eastAsia="en-GB"/>
        </w:rPr>
        <w:t>Sinónimos comerciales</w:t>
      </w:r>
    </w:p>
    <w:p w14:paraId="0BAB4C19" w14:textId="77777777" w:rsidR="00372918" w:rsidRPr="00372918" w:rsidRDefault="00372918" w:rsidP="00372918">
      <w:pPr>
        <w:rPr>
          <w:rFonts w:eastAsia="Cambria"/>
        </w:rPr>
      </w:pPr>
    </w:p>
    <w:p w14:paraId="4593148D" w14:textId="77777777" w:rsidR="000F6432" w:rsidRPr="00F86555" w:rsidRDefault="00734E6E">
      <w:pPr>
        <w:rPr>
          <w:rFonts w:eastAsia="Cambria"/>
          <w:lang w:val="es-ES"/>
        </w:rPr>
      </w:pPr>
      <w:r w:rsidRPr="00372918">
        <w:rPr>
          <w:rFonts w:eastAsia="Cambria"/>
        </w:rPr>
        <w:fldChar w:fldCharType="begin"/>
      </w:r>
      <w:r w:rsidRPr="00F86555">
        <w:rPr>
          <w:rFonts w:eastAsia="Cambria"/>
          <w:lang w:val="es-ES"/>
        </w:rPr>
        <w:instrText xml:space="preserve"> AUTONUM  </w:instrText>
      </w:r>
      <w:r w:rsidRPr="00372918">
        <w:rPr>
          <w:rFonts w:eastAsia="Cambria"/>
        </w:rPr>
        <w:fldChar w:fldCharType="end"/>
      </w:r>
      <w:r w:rsidRPr="00F86555">
        <w:rPr>
          <w:rFonts w:eastAsia="Cambria"/>
          <w:lang w:val="es-ES"/>
        </w:rPr>
        <w:tab/>
        <w:t xml:space="preserve">El TWF convino en que toda información proporcionada sobre filiación o grupos de variedades debería tratarse como información privilegiada y no ponerse a disposición fuera de las oficinas de protección de las obtenciones vegetales participantes. El TWF reconoció que no todas las autoridades estarían en condiciones de presentar información debido a las restricciones impuestas a la divulgación de información sobre filiación o grupos de variedades antes de que la información esté a disposición del público. </w:t>
      </w:r>
    </w:p>
    <w:p w14:paraId="36884B47" w14:textId="77777777" w:rsidR="00372918" w:rsidRPr="00F86555" w:rsidRDefault="00372918" w:rsidP="00372918">
      <w:pPr>
        <w:rPr>
          <w:rFonts w:eastAsia="Cambria"/>
          <w:lang w:val="es-ES"/>
        </w:rPr>
      </w:pPr>
    </w:p>
    <w:p w14:paraId="25BCA568" w14:textId="77777777" w:rsidR="000F6432" w:rsidRPr="00F86555" w:rsidRDefault="00734E6E">
      <w:pPr>
        <w:keepLines/>
        <w:contextualSpacing/>
        <w:rPr>
          <w:rFonts w:eastAsia="Cambria" w:cs="Arial"/>
          <w:lang w:val="es-ES"/>
        </w:rPr>
      </w:pPr>
      <w:r w:rsidRPr="00372918">
        <w:rPr>
          <w:rFonts w:eastAsia="Cambria" w:cs="Arial"/>
        </w:rPr>
        <w:fldChar w:fldCharType="begin"/>
      </w:r>
      <w:r w:rsidRPr="00F86555">
        <w:rPr>
          <w:rFonts w:eastAsia="Cambria" w:cs="Arial"/>
          <w:lang w:val="es-ES"/>
        </w:rPr>
        <w:instrText xml:space="preserve"> AUTONUM  </w:instrText>
      </w:r>
      <w:r w:rsidRPr="00372918">
        <w:rPr>
          <w:rFonts w:eastAsia="Cambria" w:cs="Arial"/>
        </w:rPr>
        <w:fldChar w:fldCharType="end"/>
      </w:r>
      <w:r w:rsidRPr="00F86555">
        <w:rPr>
          <w:rFonts w:eastAsia="Cambria" w:cs="Arial"/>
          <w:lang w:val="es-ES"/>
        </w:rPr>
        <w:tab/>
        <w:t xml:space="preserve">El TWF examinó las opciones para alojar la información sobre las variedades mutantes del manzano y convino en que sería preferible una zona restringida en el sitio Web de la UPOV.  </w:t>
      </w:r>
      <w:r w:rsidRPr="00F86555">
        <w:rPr>
          <w:rFonts w:eastAsia="MS Mincho" w:cs="Arial"/>
          <w:lang w:val="es-ES"/>
        </w:rPr>
        <w:t xml:space="preserve">El TWF acordó invitar a la Oficina de la Unión a estudiar las posibilidades de poner a disposición en el sitio Web de la UPOV una versión editable de la hoja de cálculo para aportar datos (por ejemplo, "SharePoint").  El TWF </w:t>
      </w:r>
      <w:r w:rsidRPr="00F86555">
        <w:rPr>
          <w:rFonts w:eastAsia="Cambria" w:cs="Arial"/>
          <w:lang w:val="es-ES"/>
        </w:rPr>
        <w:t xml:space="preserve">convino en que la zona restringida del sitio Web también debería permitir cargar cuestionarios técnicos o descripciones de variedades. </w:t>
      </w:r>
    </w:p>
    <w:p w14:paraId="51224C9D" w14:textId="77777777" w:rsidR="00372918" w:rsidRPr="00F86555" w:rsidRDefault="00372918" w:rsidP="00372918">
      <w:pPr>
        <w:rPr>
          <w:lang w:val="es-ES"/>
        </w:rPr>
      </w:pPr>
    </w:p>
    <w:p w14:paraId="2BE207F7" w14:textId="1248DEAD" w:rsidR="000F6432" w:rsidRPr="00F86555" w:rsidRDefault="00734E6E">
      <w:pPr>
        <w:keepNext/>
        <w:keepLines/>
        <w:tabs>
          <w:tab w:val="left" w:pos="5387"/>
        </w:tabs>
        <w:ind w:left="4820"/>
        <w:rPr>
          <w:i/>
          <w:lang w:val="es-ES" w:eastAsia="fr-FR"/>
        </w:rPr>
      </w:pPr>
      <w:r w:rsidRPr="00372918">
        <w:rPr>
          <w:i/>
        </w:rPr>
        <w:lastRenderedPageBreak/>
        <w:fldChar w:fldCharType="begin"/>
      </w:r>
      <w:r w:rsidRPr="00F86555">
        <w:rPr>
          <w:i/>
          <w:lang w:val="es-ES"/>
        </w:rPr>
        <w:instrText xml:space="preserve"> AUTONUM  </w:instrText>
      </w:r>
      <w:r w:rsidRPr="00372918">
        <w:rPr>
          <w:i/>
        </w:rPr>
        <w:fldChar w:fldCharType="end"/>
      </w:r>
      <w:r w:rsidRPr="00F86555">
        <w:rPr>
          <w:i/>
          <w:lang w:val="es-ES"/>
        </w:rPr>
        <w:tab/>
        <w:t xml:space="preserve">Se invita al TC a </w:t>
      </w:r>
      <w:r w:rsidR="00891FC3">
        <w:rPr>
          <w:i/>
          <w:lang w:val="es-ES"/>
        </w:rPr>
        <w:t>consider</w:t>
      </w:r>
      <w:r w:rsidR="00891FC3" w:rsidRPr="00F86555">
        <w:rPr>
          <w:i/>
          <w:lang w:val="es-ES"/>
        </w:rPr>
        <w:t xml:space="preserve">ar </w:t>
      </w:r>
      <w:r w:rsidRPr="00F86555">
        <w:rPr>
          <w:i/>
          <w:lang w:val="es-ES"/>
        </w:rPr>
        <w:t xml:space="preserve">la propuesta de apoyar el </w:t>
      </w:r>
      <w:r w:rsidRPr="00F86555">
        <w:rPr>
          <w:i/>
          <w:lang w:val="es-ES" w:eastAsia="fr-FR"/>
        </w:rPr>
        <w:t xml:space="preserve">intercambio de información sobre variedades mutantes del manzano, tal como se expone </w:t>
      </w:r>
      <w:r w:rsidRPr="00460EF9">
        <w:rPr>
          <w:i/>
          <w:lang w:val="es-ES" w:eastAsia="fr-FR"/>
        </w:rPr>
        <w:t>en los apartados 6 a 10 del presente documento.</w:t>
      </w:r>
    </w:p>
    <w:p w14:paraId="19585BE9" w14:textId="77777777" w:rsidR="00D62C7A" w:rsidRPr="00F86555" w:rsidRDefault="00D62C7A" w:rsidP="00BF1B0A">
      <w:pPr>
        <w:rPr>
          <w:lang w:val="es-ES"/>
        </w:rPr>
      </w:pPr>
    </w:p>
    <w:p w14:paraId="6DCAB091" w14:textId="77777777" w:rsidR="00804AEC" w:rsidRPr="00F86555" w:rsidRDefault="00804AEC" w:rsidP="00804AEC">
      <w:pPr>
        <w:rPr>
          <w:lang w:val="es-ES"/>
        </w:rPr>
      </w:pPr>
    </w:p>
    <w:p w14:paraId="13E489FD" w14:textId="77777777" w:rsidR="000F6432" w:rsidRPr="00F86555" w:rsidRDefault="00734E6E">
      <w:pPr>
        <w:keepNext/>
        <w:outlineLvl w:val="0"/>
        <w:rPr>
          <w:caps/>
          <w:lang w:val="es-ES"/>
        </w:rPr>
      </w:pPr>
      <w:bookmarkStart w:id="7" w:name="_Toc441497830"/>
      <w:bookmarkStart w:id="8" w:name="_Toc527377899"/>
      <w:bookmarkStart w:id="9" w:name="_Toc20505079"/>
      <w:bookmarkStart w:id="10" w:name="_Toc141461052"/>
      <w:bookmarkStart w:id="11" w:name="_Toc141461212"/>
      <w:bookmarkStart w:id="12" w:name="_Toc145580705"/>
      <w:r w:rsidRPr="00F86555">
        <w:rPr>
          <w:caps/>
          <w:lang w:val="es-ES"/>
        </w:rPr>
        <w:t>Información</w:t>
      </w:r>
      <w:bookmarkEnd w:id="7"/>
      <w:bookmarkEnd w:id="8"/>
      <w:bookmarkEnd w:id="9"/>
      <w:bookmarkEnd w:id="10"/>
      <w:bookmarkEnd w:id="11"/>
      <w:bookmarkEnd w:id="12"/>
    </w:p>
    <w:p w14:paraId="418E642F" w14:textId="77777777" w:rsidR="00BF1B0A" w:rsidRPr="00F86555" w:rsidRDefault="00BF1B0A" w:rsidP="00BF1B0A">
      <w:pPr>
        <w:jc w:val="left"/>
        <w:rPr>
          <w:lang w:val="es-ES"/>
        </w:rPr>
      </w:pPr>
    </w:p>
    <w:p w14:paraId="0EA63E89" w14:textId="77777777" w:rsidR="000F6432" w:rsidRPr="00F86555" w:rsidRDefault="00734E6E">
      <w:pPr>
        <w:pStyle w:val="Heading2"/>
        <w:rPr>
          <w:highlight w:val="cyan"/>
          <w:lang w:val="es-ES"/>
        </w:rPr>
      </w:pPr>
      <w:bookmarkStart w:id="13" w:name="_Toc141461053"/>
      <w:bookmarkStart w:id="14" w:name="_Toc141461213"/>
      <w:bookmarkStart w:id="15" w:name="_Toc145580706"/>
      <w:r w:rsidRPr="00F86555">
        <w:rPr>
          <w:rFonts w:eastAsia="MS Mincho"/>
          <w:lang w:val="es-ES"/>
        </w:rPr>
        <w:t>Evaluación de la distinción de las características de resistencia a las enfermedades</w:t>
      </w:r>
      <w:bookmarkEnd w:id="13"/>
      <w:bookmarkEnd w:id="14"/>
      <w:bookmarkEnd w:id="15"/>
    </w:p>
    <w:p w14:paraId="1AB9D0FC" w14:textId="77777777" w:rsidR="00BF1B0A" w:rsidRPr="00F86555" w:rsidRDefault="00BF1B0A" w:rsidP="00BF1B0A">
      <w:pPr>
        <w:pStyle w:val="Heading2"/>
        <w:rPr>
          <w:highlight w:val="cyan"/>
          <w:lang w:val="es-ES"/>
        </w:rPr>
      </w:pPr>
    </w:p>
    <w:p w14:paraId="65930466" w14:textId="77777777" w:rsidR="000F6432" w:rsidRPr="00F86555" w:rsidRDefault="00734E6E">
      <w:pPr>
        <w:pStyle w:val="Heading3"/>
        <w:rPr>
          <w:highlight w:val="cyan"/>
          <w:lang w:val="es-ES"/>
        </w:rPr>
      </w:pPr>
      <w:bookmarkStart w:id="16" w:name="_Toc141461054"/>
      <w:bookmarkStart w:id="17" w:name="_Toc141461214"/>
      <w:bookmarkStart w:id="18" w:name="_Toc145580707"/>
      <w:r w:rsidRPr="00F86555">
        <w:rPr>
          <w:lang w:val="es-ES"/>
        </w:rPr>
        <w:t>Distinción basada en una nota de diferencia para la enfermedad</w:t>
      </w:r>
      <w:bookmarkEnd w:id="16"/>
      <w:bookmarkEnd w:id="17"/>
      <w:bookmarkEnd w:id="18"/>
    </w:p>
    <w:p w14:paraId="541CA761" w14:textId="77777777" w:rsidR="00F37B39" w:rsidRPr="00F86555" w:rsidRDefault="00F37B39" w:rsidP="00F37B39">
      <w:pPr>
        <w:rPr>
          <w:highlight w:val="cyan"/>
          <w:lang w:val="es-ES"/>
        </w:rPr>
      </w:pPr>
    </w:p>
    <w:p w14:paraId="6A4E0469" w14:textId="77777777" w:rsidR="000F6432" w:rsidRPr="00F86555" w:rsidRDefault="00734E6E">
      <w:pPr>
        <w:rPr>
          <w:lang w:val="es-ES"/>
        </w:rPr>
      </w:pPr>
      <w:r w:rsidRPr="00350522">
        <w:fldChar w:fldCharType="begin"/>
      </w:r>
      <w:r w:rsidRPr="00F86555">
        <w:rPr>
          <w:lang w:val="es-ES"/>
        </w:rPr>
        <w:instrText xml:space="preserve"> AUTONUM  </w:instrText>
      </w:r>
      <w:r w:rsidRPr="00350522">
        <w:fldChar w:fldCharType="end"/>
      </w:r>
      <w:r w:rsidRPr="00F86555">
        <w:rPr>
          <w:lang w:val="es-ES"/>
        </w:rPr>
        <w:tab/>
        <w:t xml:space="preserve">El TWV examinó el documento </w:t>
      </w:r>
      <w:r w:rsidRPr="00F86555">
        <w:rPr>
          <w:rFonts w:eastAsia="MS Mincho"/>
          <w:lang w:val="es-ES"/>
        </w:rPr>
        <w:t>TWV/57/10 (véase el documento TWV/57/26 "Informe", párrafos 17 a 28).</w:t>
      </w:r>
    </w:p>
    <w:p w14:paraId="4E0C179F" w14:textId="77777777" w:rsidR="00BF1B0A" w:rsidRPr="00F86555" w:rsidRDefault="00BF1B0A" w:rsidP="00BF1B0A">
      <w:pPr>
        <w:jc w:val="left"/>
        <w:rPr>
          <w:lang w:val="es-ES"/>
        </w:rPr>
      </w:pPr>
    </w:p>
    <w:p w14:paraId="40F302AF" w14:textId="77777777" w:rsidR="000F6432" w:rsidRPr="00F86555" w:rsidRDefault="00734E6E">
      <w:pPr>
        <w:rPr>
          <w:lang w:val="es-ES"/>
        </w:rPr>
      </w:pPr>
      <w:r w:rsidRPr="00350522">
        <w:fldChar w:fldCharType="begin"/>
      </w:r>
      <w:r w:rsidRPr="00F86555">
        <w:rPr>
          <w:lang w:val="es-ES"/>
        </w:rPr>
        <w:instrText xml:space="preserve"> AUTONUM  </w:instrText>
      </w:r>
      <w:r w:rsidRPr="00350522">
        <w:fldChar w:fldCharType="end"/>
      </w:r>
      <w:r w:rsidRPr="00F86555">
        <w:rPr>
          <w:lang w:val="es-ES"/>
        </w:rPr>
        <w:tab/>
        <w:t xml:space="preserve">El TWV examinó los criterios relativos a los caracteres de resistencia a las enfermedades de las directrices de examen de la UPOV, expuestos en el párrafo 11 del </w:t>
      </w:r>
      <w:r w:rsidRPr="00F86555">
        <w:rPr>
          <w:lang w:val="es-ES"/>
        </w:rPr>
        <w:tab/>
        <w:t xml:space="preserve">documento </w:t>
      </w:r>
      <w:r w:rsidRPr="00F86555">
        <w:rPr>
          <w:rFonts w:eastAsia="MS Mincho"/>
          <w:lang w:val="es-ES"/>
        </w:rPr>
        <w:t>TWV/57/10</w:t>
      </w:r>
      <w:r w:rsidRPr="00F86555">
        <w:rPr>
          <w:lang w:val="es-ES"/>
        </w:rPr>
        <w:t>.</w:t>
      </w:r>
    </w:p>
    <w:p w14:paraId="45BAB7D5" w14:textId="77777777" w:rsidR="00BF1B0A" w:rsidRPr="00F86555" w:rsidRDefault="00BF1B0A" w:rsidP="00BF1B0A">
      <w:pPr>
        <w:rPr>
          <w:lang w:val="es-ES"/>
        </w:rPr>
      </w:pPr>
    </w:p>
    <w:p w14:paraId="272B526D" w14:textId="77777777" w:rsidR="000F6432" w:rsidRPr="00F86555" w:rsidRDefault="00734E6E">
      <w:pPr>
        <w:rPr>
          <w:color w:val="000000" w:themeColor="text1"/>
          <w:lang w:val="es-ES"/>
        </w:rPr>
      </w:pPr>
      <w:r w:rsidRPr="00350522">
        <w:fldChar w:fldCharType="begin"/>
      </w:r>
      <w:r w:rsidRPr="00F86555">
        <w:rPr>
          <w:lang w:val="es-ES"/>
        </w:rPr>
        <w:instrText xml:space="preserve"> AUTONUM  </w:instrText>
      </w:r>
      <w:r w:rsidRPr="00350522">
        <w:fldChar w:fldCharType="end"/>
      </w:r>
      <w:r w:rsidRPr="00F86555">
        <w:rPr>
          <w:lang w:val="es-ES"/>
        </w:rPr>
        <w:tab/>
        <w:t xml:space="preserve">El TWV convino en que las </w:t>
      </w:r>
      <w:r w:rsidRPr="00F86555">
        <w:rPr>
          <w:color w:val="000000" w:themeColor="text1"/>
          <w:lang w:val="es-ES"/>
        </w:rPr>
        <w:t xml:space="preserve">escalas estándar de notas para los caracteres cuantitativos (QN) deben utilizarse cuando proceda para los caracteres de resistencia a las enfermedades, como la escala condensada (notas 1-3) del ejemplo siguiente: "Resistencia a la enfermedad 'x'" con niveles de expresión "ausente o bajo", nota 1; "medio", nota 2; y "alto", nota 3. </w:t>
      </w:r>
      <w:bookmarkStart w:id="19" w:name="_Hlk130399650"/>
    </w:p>
    <w:p w14:paraId="4405F697" w14:textId="77777777" w:rsidR="00BF1B0A" w:rsidRPr="00F86555" w:rsidRDefault="00BF1B0A" w:rsidP="00BF1B0A">
      <w:pPr>
        <w:tabs>
          <w:tab w:val="left" w:pos="567"/>
        </w:tabs>
        <w:contextualSpacing/>
        <w:rPr>
          <w:color w:val="000000" w:themeColor="text1"/>
          <w:lang w:val="es-ES"/>
        </w:rPr>
      </w:pPr>
    </w:p>
    <w:p w14:paraId="33D1D446" w14:textId="77777777" w:rsidR="000F6432" w:rsidRPr="00F86555" w:rsidRDefault="00734E6E">
      <w:pPr>
        <w:tabs>
          <w:tab w:val="left" w:pos="567"/>
        </w:tabs>
        <w:contextualSpacing/>
        <w:rPr>
          <w:lang w:val="es-ES"/>
        </w:rPr>
      </w:pPr>
      <w:r w:rsidRPr="00350522">
        <w:rPr>
          <w:color w:val="000000" w:themeColor="text1"/>
        </w:rPr>
        <w:fldChar w:fldCharType="begin"/>
      </w:r>
      <w:r w:rsidRPr="00F86555">
        <w:rPr>
          <w:color w:val="000000" w:themeColor="text1"/>
          <w:lang w:val="es-ES"/>
        </w:rPr>
        <w:instrText xml:space="preserve"> AUTONUM  </w:instrText>
      </w:r>
      <w:r w:rsidRPr="00350522">
        <w:rPr>
          <w:color w:val="000000" w:themeColor="text1"/>
        </w:rPr>
        <w:fldChar w:fldCharType="end"/>
      </w:r>
      <w:r w:rsidRPr="00F86555">
        <w:rPr>
          <w:color w:val="000000" w:themeColor="text1"/>
          <w:lang w:val="es-ES"/>
        </w:rPr>
        <w:tab/>
        <w:t xml:space="preserve">El TWV consideró la evaluación de la distinción sobre la base de una diferencia de una nota para los caracteres de resistencia a las enfermedades utilizando una escala cuantitativa condensada de tres notas (notas 1-3).  El TWV </w:t>
      </w:r>
      <w:r w:rsidRPr="00F86555">
        <w:rPr>
          <w:color w:val="000000" w:themeColor="text1"/>
          <w:lang w:val="es-ES"/>
        </w:rPr>
        <w:tab/>
        <w:t>recordó que, en una comparación por pares, "</w:t>
      </w:r>
      <w:r w:rsidRPr="00F86555">
        <w:rPr>
          <w:lang w:val="es-ES"/>
        </w:rPr>
        <w:t xml:space="preserve">una diferencia entre dos variedades es aceptable en cuanto pueda evaluarse visualmente y pueda medirse, aunque dicha medición pueda resultar poco práctica o exigir un esfuerzo irrazonable", como se establece en el documento TG/1/3 "Introducción General", sección 5.5.2.2.2.  </w:t>
      </w:r>
    </w:p>
    <w:p w14:paraId="13C95DF8" w14:textId="77777777" w:rsidR="00BF1B0A" w:rsidRPr="00F86555" w:rsidRDefault="00BF1B0A" w:rsidP="00BF1B0A">
      <w:pPr>
        <w:tabs>
          <w:tab w:val="left" w:pos="567"/>
        </w:tabs>
        <w:contextualSpacing/>
        <w:rPr>
          <w:lang w:val="es-ES"/>
        </w:rPr>
      </w:pPr>
    </w:p>
    <w:p w14:paraId="2F26B315" w14:textId="77777777" w:rsidR="000F6432" w:rsidRPr="00F86555" w:rsidRDefault="00734E6E">
      <w:pPr>
        <w:tabs>
          <w:tab w:val="left" w:pos="567"/>
        </w:tabs>
        <w:contextualSpacing/>
        <w:rPr>
          <w:lang w:val="es-ES"/>
        </w:rPr>
      </w:pPr>
      <w:r w:rsidRPr="00350522">
        <w:fldChar w:fldCharType="begin"/>
      </w:r>
      <w:r w:rsidRPr="00F86555">
        <w:rPr>
          <w:lang w:val="es-ES"/>
        </w:rPr>
        <w:instrText xml:space="preserve"> AUTONUM  </w:instrText>
      </w:r>
      <w:r w:rsidRPr="00350522">
        <w:fldChar w:fldCharType="end"/>
      </w:r>
      <w:r w:rsidRPr="00F86555">
        <w:rPr>
          <w:lang w:val="es-ES"/>
        </w:rPr>
        <w:tab/>
        <w:t xml:space="preserve">El TWV recordó que, en el caso de las comparaciones visuales por pares, </w:t>
      </w:r>
      <w:r w:rsidRPr="00F86555">
        <w:rPr>
          <w:color w:val="000000" w:themeColor="text1"/>
          <w:lang w:val="es-ES"/>
        </w:rPr>
        <w:t>"</w:t>
      </w:r>
      <w:r w:rsidRPr="00F86555">
        <w:rPr>
          <w:lang w:val="es-ES"/>
        </w:rPr>
        <w:t xml:space="preserve">cuando la comparación se realiza en </w:t>
      </w:r>
      <w:r w:rsidR="00122D63" w:rsidRPr="00F86555">
        <w:rPr>
          <w:lang w:val="es-ES"/>
        </w:rPr>
        <w:t xml:space="preserve">el nivel de los valores medidos (MG, </w:t>
      </w:r>
      <w:r w:rsidRPr="00F86555">
        <w:rPr>
          <w:lang w:val="es-ES"/>
        </w:rPr>
        <w:t>media de MS) una diferencia inferior a dos notas puede representar una diferencia clara", tal como se establece en el documento TGP/9 "Examen de la distinción", Sección 5.2.3.2.3.3</w:t>
      </w:r>
      <w:r w:rsidRPr="00F86555">
        <w:rPr>
          <w:color w:val="000000" w:themeColor="text1"/>
          <w:lang w:val="es-ES"/>
        </w:rPr>
        <w:t>.</w:t>
      </w:r>
    </w:p>
    <w:p w14:paraId="7AB10B1C" w14:textId="77777777" w:rsidR="00BF1B0A" w:rsidRPr="00F86555" w:rsidRDefault="00BF1B0A" w:rsidP="00BF1B0A">
      <w:pPr>
        <w:tabs>
          <w:tab w:val="left" w:pos="567"/>
        </w:tabs>
        <w:contextualSpacing/>
        <w:rPr>
          <w:lang w:val="es-ES"/>
        </w:rPr>
      </w:pPr>
    </w:p>
    <w:p w14:paraId="7504333F" w14:textId="77777777" w:rsidR="000F6432" w:rsidRPr="00F86555" w:rsidRDefault="00734E6E">
      <w:pPr>
        <w:tabs>
          <w:tab w:val="left" w:pos="567"/>
        </w:tabs>
        <w:contextualSpacing/>
        <w:rPr>
          <w:color w:val="000000" w:themeColor="text1"/>
          <w:lang w:val="es-ES"/>
        </w:rPr>
      </w:pPr>
      <w:r w:rsidRPr="00350522">
        <w:fldChar w:fldCharType="begin"/>
      </w:r>
      <w:r w:rsidRPr="00F86555">
        <w:rPr>
          <w:lang w:val="es-ES"/>
        </w:rPr>
        <w:instrText xml:space="preserve"> AUTONUM  </w:instrText>
      </w:r>
      <w:r w:rsidRPr="00350522">
        <w:fldChar w:fldCharType="end"/>
      </w:r>
      <w:r w:rsidRPr="00F86555">
        <w:rPr>
          <w:lang w:val="es-ES"/>
        </w:rPr>
        <w:tab/>
        <w:t xml:space="preserve">El TWV tomó nota de que se utilizaban métodos estadísticos para evaluar la distinción en relación con los caracteres de resistencia a las enfermedades y recordó que "[...] dos variedades que resulten ser significativamente diferentes en relación con uno o más caracteres cuantitativos pueden considerarse distintas" (véase el documento </w:t>
      </w:r>
      <w:r w:rsidRPr="00F86555">
        <w:rPr>
          <w:color w:val="000000" w:themeColor="text1"/>
          <w:lang w:val="es-ES"/>
        </w:rPr>
        <w:t xml:space="preserve">TGP/9 "Examen de la distinción", Sección </w:t>
      </w:r>
      <w:r w:rsidRPr="00F86555">
        <w:rPr>
          <w:lang w:val="es-ES"/>
        </w:rPr>
        <w:t>5.2.4.5.3).</w:t>
      </w:r>
    </w:p>
    <w:p w14:paraId="3D2EDE50" w14:textId="77777777" w:rsidR="00BF1B0A" w:rsidRPr="00F86555" w:rsidRDefault="00BF1B0A" w:rsidP="00BF1B0A">
      <w:pPr>
        <w:tabs>
          <w:tab w:val="left" w:pos="567"/>
        </w:tabs>
        <w:contextualSpacing/>
        <w:rPr>
          <w:color w:val="000000" w:themeColor="text1"/>
          <w:lang w:val="es-ES"/>
        </w:rPr>
      </w:pPr>
    </w:p>
    <w:p w14:paraId="4A138897" w14:textId="77777777" w:rsidR="000F6432" w:rsidRPr="00F86555" w:rsidRDefault="00734E6E">
      <w:pPr>
        <w:pStyle w:val="Heading3"/>
        <w:rPr>
          <w:lang w:val="es-ES"/>
        </w:rPr>
      </w:pPr>
      <w:bookmarkStart w:id="20" w:name="_Toc141461055"/>
      <w:bookmarkStart w:id="21" w:name="_Toc141461215"/>
      <w:bookmarkStart w:id="22" w:name="_Toc145580708"/>
      <w:r w:rsidRPr="00F86555">
        <w:rPr>
          <w:lang w:val="es-ES"/>
        </w:rPr>
        <w:t>Característica cuantitativa de resistencia a la enfermedad con sólo dos niveles de expresión</w:t>
      </w:r>
      <w:bookmarkEnd w:id="20"/>
      <w:bookmarkEnd w:id="21"/>
      <w:bookmarkEnd w:id="22"/>
    </w:p>
    <w:p w14:paraId="6A6BE76A" w14:textId="77777777" w:rsidR="00FF2F34" w:rsidRPr="00F86555" w:rsidRDefault="00FF2F34" w:rsidP="00BF1B0A">
      <w:pPr>
        <w:tabs>
          <w:tab w:val="left" w:pos="567"/>
        </w:tabs>
        <w:contextualSpacing/>
        <w:rPr>
          <w:color w:val="000000" w:themeColor="text1"/>
          <w:lang w:val="es-ES"/>
        </w:rPr>
      </w:pPr>
    </w:p>
    <w:p w14:paraId="4899B030" w14:textId="77777777" w:rsidR="000F6432" w:rsidRPr="00F86555" w:rsidRDefault="00734E6E">
      <w:pPr>
        <w:tabs>
          <w:tab w:val="left" w:pos="567"/>
        </w:tabs>
        <w:contextualSpacing/>
        <w:rPr>
          <w:rFonts w:cs="Arial"/>
          <w:color w:val="000000" w:themeColor="text1"/>
          <w:lang w:val="es-ES"/>
        </w:rPr>
      </w:pPr>
      <w:r w:rsidRPr="00350522">
        <w:rPr>
          <w:color w:val="000000" w:themeColor="text1"/>
        </w:rPr>
        <w:fldChar w:fldCharType="begin"/>
      </w:r>
      <w:r w:rsidRPr="00F86555">
        <w:rPr>
          <w:color w:val="000000" w:themeColor="text1"/>
          <w:lang w:val="es-ES"/>
        </w:rPr>
        <w:instrText xml:space="preserve"> AUTONUM  </w:instrText>
      </w:r>
      <w:r w:rsidRPr="00350522">
        <w:rPr>
          <w:color w:val="000000" w:themeColor="text1"/>
        </w:rPr>
        <w:fldChar w:fldCharType="end"/>
      </w:r>
      <w:r w:rsidRPr="00F86555">
        <w:rPr>
          <w:color w:val="000000" w:themeColor="text1"/>
          <w:lang w:val="es-ES"/>
        </w:rPr>
        <w:tab/>
        <w:t xml:space="preserve">El TWV convino en que había ciertos </w:t>
      </w:r>
      <w:r w:rsidRPr="00F86555">
        <w:rPr>
          <w:lang w:val="es-ES"/>
        </w:rPr>
        <w:t xml:space="preserve">caracteres cuantitativos </w:t>
      </w:r>
      <w:r w:rsidRPr="00F86555">
        <w:rPr>
          <w:color w:val="000000" w:themeColor="text1"/>
          <w:lang w:val="es-ES"/>
        </w:rPr>
        <w:t xml:space="preserve">(QN) </w:t>
      </w:r>
      <w:r w:rsidRPr="00F86555">
        <w:rPr>
          <w:lang w:val="es-ES"/>
        </w:rPr>
        <w:t xml:space="preserve">de resistencia a las enfermedades en los que </w:t>
      </w:r>
      <w:r w:rsidRPr="00F86555">
        <w:rPr>
          <w:color w:val="000000" w:themeColor="text1"/>
          <w:lang w:val="es-ES"/>
        </w:rPr>
        <w:t xml:space="preserve">no era posible describir distintos niveles de resistencia según los niveles QN de expresión debido a la influencia de las condiciones de ensayo y a la falta de información sobre los antecedentes genéticos. </w:t>
      </w:r>
      <w:r w:rsidRPr="00F86555">
        <w:rPr>
          <w:rFonts w:cs="Arial"/>
          <w:color w:val="000000" w:themeColor="text1"/>
          <w:lang w:val="es-ES"/>
        </w:rPr>
        <w:t xml:space="preserve"> </w:t>
      </w:r>
    </w:p>
    <w:p w14:paraId="4B0903BE" w14:textId="77777777" w:rsidR="00BF1B0A" w:rsidRPr="00F86555" w:rsidRDefault="00BF1B0A" w:rsidP="00BF1B0A">
      <w:pPr>
        <w:tabs>
          <w:tab w:val="left" w:pos="567"/>
        </w:tabs>
        <w:contextualSpacing/>
        <w:rPr>
          <w:rFonts w:cs="Arial"/>
          <w:color w:val="000000" w:themeColor="text1"/>
          <w:lang w:val="es-ES"/>
        </w:rPr>
      </w:pPr>
    </w:p>
    <w:p w14:paraId="33E175DA" w14:textId="77777777" w:rsidR="000F6432" w:rsidRPr="00F86555" w:rsidRDefault="00734E6E">
      <w:pPr>
        <w:tabs>
          <w:tab w:val="left" w:pos="567"/>
        </w:tabs>
        <w:contextualSpacing/>
        <w:rPr>
          <w:color w:val="000000" w:themeColor="text1"/>
          <w:lang w:val="es-ES"/>
        </w:rPr>
      </w:pPr>
      <w:r w:rsidRPr="00350522">
        <w:rPr>
          <w:rFonts w:cs="Arial"/>
          <w:color w:val="000000" w:themeColor="text1"/>
        </w:rPr>
        <w:fldChar w:fldCharType="begin"/>
      </w:r>
      <w:r w:rsidRPr="00F86555">
        <w:rPr>
          <w:rFonts w:cs="Arial"/>
          <w:color w:val="000000" w:themeColor="text1"/>
          <w:lang w:val="es-ES"/>
        </w:rPr>
        <w:instrText xml:space="preserve"> AUTONUM  </w:instrText>
      </w:r>
      <w:r w:rsidRPr="00350522">
        <w:rPr>
          <w:rFonts w:cs="Arial"/>
          <w:color w:val="000000" w:themeColor="text1"/>
        </w:rPr>
        <w:fldChar w:fldCharType="end"/>
      </w:r>
      <w:r w:rsidRPr="00F86555">
        <w:rPr>
          <w:rFonts w:cs="Arial"/>
          <w:color w:val="000000" w:themeColor="text1"/>
          <w:lang w:val="es-ES"/>
        </w:rPr>
        <w:tab/>
        <w:t>El TWV acordó invitar a los expertos de Francia y los Países Bajos, con el apoyo de la Unión Europea, Japón y las organizaciones de obtentores, a redactar una propuesta para un tipo especial de carácter cuantitativo de resistencia a las enfermedades con sólo dos niveles de expresión.  El TWV acordó que la propuesta, junto con una explicación sobre los criterios para utilizar este tipo de carácter, se presente en la quincuagésima octava reunión del TWV.</w:t>
      </w:r>
      <w:bookmarkEnd w:id="19"/>
    </w:p>
    <w:p w14:paraId="6B730043" w14:textId="77777777" w:rsidR="00D62C7A" w:rsidRPr="00F86555" w:rsidRDefault="00D62C7A" w:rsidP="00901942">
      <w:pPr>
        <w:rPr>
          <w:lang w:val="es-ES"/>
        </w:rPr>
      </w:pPr>
    </w:p>
    <w:p w14:paraId="35DE02E7" w14:textId="77777777" w:rsidR="000F6432" w:rsidRPr="00F86555" w:rsidRDefault="00734E6E">
      <w:pPr>
        <w:pStyle w:val="Heading2"/>
        <w:rPr>
          <w:lang w:val="es-ES"/>
        </w:rPr>
      </w:pPr>
      <w:bookmarkStart w:id="23" w:name="_Toc141461058"/>
      <w:bookmarkStart w:id="24" w:name="_Toc141461217"/>
      <w:bookmarkStart w:id="25" w:name="_Toc145580709"/>
      <w:r w:rsidRPr="00F86555">
        <w:rPr>
          <w:rFonts w:eastAsia="MS Mincho"/>
          <w:lang w:val="es-ES"/>
        </w:rPr>
        <w:t>Nuevas tecnologías en el examen DHE</w:t>
      </w:r>
      <w:bookmarkEnd w:id="23"/>
      <w:bookmarkEnd w:id="24"/>
      <w:bookmarkEnd w:id="25"/>
    </w:p>
    <w:p w14:paraId="21221570" w14:textId="77777777" w:rsidR="00901942" w:rsidRPr="00F86555" w:rsidRDefault="00901942" w:rsidP="00901942">
      <w:pPr>
        <w:rPr>
          <w:lang w:val="es-ES"/>
        </w:rPr>
      </w:pPr>
    </w:p>
    <w:p w14:paraId="339D2209" w14:textId="77777777" w:rsidR="000F6432" w:rsidRPr="00F86555" w:rsidRDefault="00734E6E">
      <w:pPr>
        <w:rPr>
          <w:rFonts w:eastAsia="MS Mincho"/>
          <w:lang w:val="es-ES"/>
        </w:rPr>
      </w:pPr>
      <w:r w:rsidRPr="00350522">
        <w:fldChar w:fldCharType="begin"/>
      </w:r>
      <w:r w:rsidRPr="00F86555">
        <w:rPr>
          <w:lang w:val="es-ES"/>
        </w:rPr>
        <w:instrText xml:space="preserve"> AUTONUM  </w:instrText>
      </w:r>
      <w:r w:rsidRPr="00350522">
        <w:fldChar w:fldCharType="end"/>
      </w:r>
      <w:r w:rsidRPr="00F86555">
        <w:rPr>
          <w:lang w:val="es-ES"/>
        </w:rPr>
        <w:tab/>
        <w:t xml:space="preserve">El TWA asistió a una ponencia de un experto de Dinamarca sobre la obtención de imágenes mediante drones en los ensayos DHE del trigo de invierno.  En el </w:t>
      </w:r>
      <w:r w:rsidRPr="00F86555">
        <w:rPr>
          <w:lang w:val="es-ES"/>
        </w:rPr>
        <w:tab/>
        <w:t xml:space="preserve">Anexo I del documento </w:t>
      </w:r>
      <w:r w:rsidRPr="00F86555">
        <w:rPr>
          <w:rFonts w:eastAsia="MS Mincho"/>
          <w:lang w:val="es-ES"/>
        </w:rPr>
        <w:t xml:space="preserve">TWA/52/7 figura </w:t>
      </w:r>
      <w:r w:rsidRPr="00F86555">
        <w:rPr>
          <w:lang w:val="es-ES"/>
        </w:rPr>
        <w:tab/>
        <w:t>una copia de la ponencia</w:t>
      </w:r>
      <w:r w:rsidRPr="00F86555">
        <w:rPr>
          <w:rFonts w:eastAsia="MS Mincho"/>
          <w:lang w:val="es-ES"/>
        </w:rPr>
        <w:t xml:space="preserve">.  </w:t>
      </w:r>
      <w:r w:rsidRPr="00F86555">
        <w:rPr>
          <w:lang w:val="es-ES"/>
        </w:rPr>
        <w:t>El TWA tomó nota de la labor presentada y convino en invitar al experto de Dinamarca a que informe sobre los avances realizados en su quincuagésima tercera reunión (véase el documento TWA/52/11 "Informe", párrafos 22 a 26).</w:t>
      </w:r>
    </w:p>
    <w:p w14:paraId="2E2F7D86" w14:textId="77777777" w:rsidR="00901942" w:rsidRPr="00F86555" w:rsidRDefault="00901942" w:rsidP="00901942">
      <w:pPr>
        <w:rPr>
          <w:rFonts w:eastAsia="MS Mincho"/>
          <w:lang w:val="es-ES"/>
        </w:rPr>
      </w:pPr>
    </w:p>
    <w:p w14:paraId="6EEF57BE" w14:textId="77777777" w:rsidR="000F6432" w:rsidRPr="00F86555" w:rsidRDefault="00734E6E">
      <w:pPr>
        <w:rPr>
          <w:lang w:val="es-ES"/>
        </w:rPr>
      </w:pPr>
      <w:r w:rsidRPr="00350522">
        <w:fldChar w:fldCharType="begin"/>
      </w:r>
      <w:r w:rsidRPr="00F86555">
        <w:rPr>
          <w:lang w:val="es-ES"/>
        </w:rPr>
        <w:instrText xml:space="preserve"> AUTONUM  </w:instrText>
      </w:r>
      <w:r w:rsidRPr="00350522">
        <w:fldChar w:fldCharType="end"/>
      </w:r>
      <w:r w:rsidRPr="00F86555">
        <w:rPr>
          <w:lang w:val="es-ES"/>
        </w:rPr>
        <w:tab/>
        <w:t xml:space="preserve">El TWA asistió a una ponencia sobre "Fenotipado de campo basado en UAV en el examen DHE agrícola del Reino Unido", a cargo de un experto del Reino Unido.  En el </w:t>
      </w:r>
      <w:r w:rsidRPr="00F86555">
        <w:rPr>
          <w:lang w:val="es-ES"/>
        </w:rPr>
        <w:tab/>
        <w:t xml:space="preserve">Anexo II del documento </w:t>
      </w:r>
      <w:r w:rsidRPr="00F86555">
        <w:rPr>
          <w:rFonts w:eastAsia="MS Mincho"/>
          <w:lang w:val="es-ES"/>
        </w:rPr>
        <w:t xml:space="preserve">TWA/52/7 </w:t>
      </w:r>
      <w:r w:rsidRPr="00F86555">
        <w:rPr>
          <w:rFonts w:eastAsia="MS Mincho"/>
          <w:lang w:val="es-ES"/>
        </w:rPr>
        <w:lastRenderedPageBreak/>
        <w:t xml:space="preserve">figura </w:t>
      </w:r>
      <w:r w:rsidRPr="00F86555">
        <w:rPr>
          <w:lang w:val="es-ES"/>
        </w:rPr>
        <w:tab/>
        <w:t>una copia de la ponencia</w:t>
      </w:r>
      <w:r w:rsidRPr="00F86555">
        <w:rPr>
          <w:rFonts w:eastAsia="MS Mincho"/>
          <w:lang w:val="es-ES"/>
        </w:rPr>
        <w:t xml:space="preserve">.  </w:t>
      </w:r>
      <w:r w:rsidRPr="00F86555">
        <w:rPr>
          <w:lang w:val="es-ES"/>
        </w:rPr>
        <w:t>El TWA tomó nota de la labor presentada y convino en invitar al experto del Reino Unido a que informe sobre las novedades en su quincuagésima tercera reunión.</w:t>
      </w:r>
    </w:p>
    <w:p w14:paraId="6F05FA99" w14:textId="77777777" w:rsidR="00901942" w:rsidRPr="00F86555" w:rsidRDefault="00901942" w:rsidP="00901942">
      <w:pPr>
        <w:rPr>
          <w:lang w:val="es-ES"/>
        </w:rPr>
      </w:pPr>
    </w:p>
    <w:p w14:paraId="536BB30C" w14:textId="77777777" w:rsidR="000F6432" w:rsidRPr="00F86555" w:rsidRDefault="00734E6E">
      <w:pPr>
        <w:rPr>
          <w:lang w:val="es-ES"/>
        </w:rPr>
      </w:pPr>
      <w:r w:rsidRPr="00350522">
        <w:fldChar w:fldCharType="begin"/>
      </w:r>
      <w:r w:rsidRPr="00F86555">
        <w:rPr>
          <w:lang w:val="es-ES"/>
        </w:rPr>
        <w:instrText xml:space="preserve"> AUTONUM  </w:instrText>
      </w:r>
      <w:r w:rsidRPr="00350522">
        <w:fldChar w:fldCharType="end"/>
      </w:r>
      <w:r w:rsidRPr="00F86555">
        <w:rPr>
          <w:lang w:val="es-ES"/>
        </w:rPr>
        <w:tab/>
        <w:t xml:space="preserve">El TWA asistió a una ponencia sobre "Análisis de imágenes de mazorcas y granos de maíz" a cargo de un experto de China.  En el </w:t>
      </w:r>
      <w:r w:rsidRPr="00F86555">
        <w:rPr>
          <w:lang w:val="es-ES"/>
        </w:rPr>
        <w:tab/>
        <w:t xml:space="preserve">Anexo del documento </w:t>
      </w:r>
      <w:r w:rsidRPr="00F86555">
        <w:rPr>
          <w:rFonts w:eastAsia="MS Mincho"/>
          <w:lang w:val="es-ES"/>
        </w:rPr>
        <w:t xml:space="preserve">TWA/52/7 </w:t>
      </w:r>
      <w:proofErr w:type="spellStart"/>
      <w:r w:rsidRPr="00F86555">
        <w:rPr>
          <w:rFonts w:eastAsia="MS Mincho"/>
          <w:lang w:val="es-ES"/>
        </w:rPr>
        <w:t>Add</w:t>
      </w:r>
      <w:proofErr w:type="spellEnd"/>
      <w:r w:rsidRPr="00F86555">
        <w:rPr>
          <w:rFonts w:eastAsia="MS Mincho"/>
          <w:lang w:val="es-ES"/>
        </w:rPr>
        <w:t xml:space="preserve">. figura una </w:t>
      </w:r>
      <w:r w:rsidRPr="00F86555">
        <w:rPr>
          <w:lang w:val="es-ES"/>
        </w:rPr>
        <w:tab/>
        <w:t>copia de la ponencia</w:t>
      </w:r>
      <w:r w:rsidRPr="00F86555">
        <w:rPr>
          <w:rFonts w:eastAsia="MS Mincho"/>
          <w:lang w:val="es-ES"/>
        </w:rPr>
        <w:t xml:space="preserve">.  </w:t>
      </w:r>
      <w:r w:rsidRPr="00F86555">
        <w:rPr>
          <w:lang w:val="es-ES"/>
        </w:rPr>
        <w:t>El TWA tomó nota de la labor presentada y convino en invitar al experto de China a que informe sobre las novedades en su quincuagésima tercera reunión.</w:t>
      </w:r>
    </w:p>
    <w:p w14:paraId="65C0A9C0" w14:textId="77777777" w:rsidR="00901942" w:rsidRPr="00F86555" w:rsidRDefault="00901942" w:rsidP="00901942">
      <w:pPr>
        <w:rPr>
          <w:lang w:val="es-ES"/>
        </w:rPr>
      </w:pPr>
    </w:p>
    <w:p w14:paraId="2B3D1526" w14:textId="77777777" w:rsidR="000F6432" w:rsidRPr="00F86555" w:rsidRDefault="00734E6E">
      <w:pPr>
        <w:pStyle w:val="CommentText"/>
        <w:rPr>
          <w:lang w:val="es-ES"/>
        </w:rPr>
      </w:pPr>
      <w:r w:rsidRPr="00350522">
        <w:fldChar w:fldCharType="begin"/>
      </w:r>
      <w:r w:rsidRPr="00F86555">
        <w:rPr>
          <w:lang w:val="es-ES"/>
        </w:rPr>
        <w:instrText xml:space="preserve"> AUTONUM  </w:instrText>
      </w:r>
      <w:r w:rsidRPr="00350522">
        <w:fldChar w:fldCharType="end"/>
      </w:r>
      <w:r w:rsidRPr="00F86555">
        <w:rPr>
          <w:lang w:val="es-ES"/>
        </w:rPr>
        <w:tab/>
        <w:t>El TWA convino en que es importante recibir informes sobre la utilización de nuevas tecnologías en el examen DHE de los cultivos agrícolas para aumentar la sensibilización sobre los avances y considerar las limitaciones y los desafíos asociados a las nuevas tecnologías.</w:t>
      </w:r>
    </w:p>
    <w:p w14:paraId="616129F2" w14:textId="77777777" w:rsidR="00901942" w:rsidRPr="00F86555" w:rsidRDefault="00901942" w:rsidP="00901942">
      <w:pPr>
        <w:rPr>
          <w:lang w:val="es-ES"/>
        </w:rPr>
      </w:pPr>
    </w:p>
    <w:p w14:paraId="67930C44" w14:textId="77777777" w:rsidR="000F6432" w:rsidRPr="00F86555" w:rsidRDefault="00734E6E">
      <w:pPr>
        <w:rPr>
          <w:lang w:val="es-ES"/>
        </w:rPr>
      </w:pPr>
      <w:r w:rsidRPr="00350522">
        <w:fldChar w:fldCharType="begin"/>
      </w:r>
      <w:r w:rsidRPr="00F86555">
        <w:rPr>
          <w:lang w:val="es-ES"/>
        </w:rPr>
        <w:instrText xml:space="preserve"> AUTONUM  </w:instrText>
      </w:r>
      <w:r w:rsidRPr="00350522">
        <w:fldChar w:fldCharType="end"/>
      </w:r>
      <w:r w:rsidRPr="00F86555">
        <w:rPr>
          <w:lang w:val="es-ES"/>
        </w:rPr>
        <w:tab/>
        <w:t>El TWA acordó proponer la organización futura de un seminario web para los TWP sobre el análisis de imágenes en el examen DHE.</w:t>
      </w:r>
    </w:p>
    <w:p w14:paraId="0F4A875D" w14:textId="77777777" w:rsidR="00E938D2" w:rsidRPr="00F86555" w:rsidRDefault="00E938D2" w:rsidP="00E938D2">
      <w:pPr>
        <w:rPr>
          <w:lang w:val="es-ES"/>
        </w:rPr>
      </w:pPr>
    </w:p>
    <w:p w14:paraId="3937BB86" w14:textId="77777777" w:rsidR="000F6432" w:rsidRPr="00F86555" w:rsidRDefault="00734E6E">
      <w:pPr>
        <w:pStyle w:val="Heading2"/>
        <w:rPr>
          <w:lang w:val="es-ES"/>
        </w:rPr>
      </w:pPr>
      <w:bookmarkStart w:id="26" w:name="_Toc141461059"/>
      <w:bookmarkStart w:id="27" w:name="_Toc141461218"/>
      <w:bookmarkStart w:id="28" w:name="_Toc145580710"/>
      <w:r w:rsidRPr="00F86555">
        <w:rPr>
          <w:rFonts w:eastAsia="MS Mincho"/>
          <w:lang w:val="es-ES"/>
        </w:rPr>
        <w:t>Análisis de imágenes de cultivos hortícolas</w:t>
      </w:r>
      <w:bookmarkEnd w:id="26"/>
      <w:bookmarkEnd w:id="27"/>
      <w:bookmarkEnd w:id="28"/>
    </w:p>
    <w:p w14:paraId="2A21DB1F" w14:textId="77777777" w:rsidR="00E938D2" w:rsidRPr="00F86555" w:rsidRDefault="00E938D2" w:rsidP="00E938D2">
      <w:pPr>
        <w:jc w:val="left"/>
        <w:rPr>
          <w:lang w:val="es-ES"/>
        </w:rPr>
      </w:pPr>
    </w:p>
    <w:p w14:paraId="6FE00D20" w14:textId="77777777" w:rsidR="000F6432" w:rsidRPr="00F86555" w:rsidRDefault="00734E6E">
      <w:pPr>
        <w:rPr>
          <w:lang w:val="es-ES"/>
        </w:rPr>
      </w:pPr>
      <w:r w:rsidRPr="00350522">
        <w:fldChar w:fldCharType="begin"/>
      </w:r>
      <w:r w:rsidRPr="00F86555">
        <w:rPr>
          <w:lang w:val="es-ES"/>
        </w:rPr>
        <w:instrText xml:space="preserve"> AUTONUM  </w:instrText>
      </w:r>
      <w:r w:rsidRPr="00350522">
        <w:fldChar w:fldCharType="end"/>
      </w:r>
      <w:r w:rsidRPr="00F86555">
        <w:rPr>
          <w:lang w:val="es-ES"/>
        </w:rPr>
        <w:tab/>
        <w:t xml:space="preserve">El TWV asistió a una ponencia sobre "Análisis de imágenes del fruto del tomate" a cargo de un experto de China. En el documento </w:t>
      </w:r>
      <w:r w:rsidRPr="00F86555">
        <w:rPr>
          <w:rFonts w:eastAsia="MS Mincho"/>
          <w:lang w:val="es-ES"/>
        </w:rPr>
        <w:t xml:space="preserve">TWV/57/24 figura una </w:t>
      </w:r>
      <w:r w:rsidRPr="00F86555">
        <w:rPr>
          <w:lang w:val="es-ES"/>
        </w:rPr>
        <w:tab/>
        <w:t xml:space="preserve">copia de la ponencia </w:t>
      </w:r>
      <w:r w:rsidRPr="00F86555">
        <w:rPr>
          <w:rFonts w:eastAsia="MS Mincho"/>
          <w:lang w:val="es-ES"/>
        </w:rPr>
        <w:t>(véase el documento TWV/57/26 "Informe", párrafos 29 y 30).</w:t>
      </w:r>
    </w:p>
    <w:p w14:paraId="01646ECD" w14:textId="77777777" w:rsidR="00E938D2" w:rsidRPr="00F86555" w:rsidRDefault="00E938D2" w:rsidP="00E938D2">
      <w:pPr>
        <w:rPr>
          <w:lang w:val="es-ES"/>
        </w:rPr>
      </w:pPr>
    </w:p>
    <w:p w14:paraId="04FB70CA" w14:textId="77777777" w:rsidR="000F6432" w:rsidRPr="00F86555" w:rsidRDefault="00734E6E">
      <w:pPr>
        <w:rPr>
          <w:lang w:val="es-ES"/>
        </w:rPr>
      </w:pPr>
      <w:r w:rsidRPr="00350522">
        <w:fldChar w:fldCharType="begin"/>
      </w:r>
      <w:r w:rsidRPr="00F86555">
        <w:rPr>
          <w:lang w:val="es-ES"/>
        </w:rPr>
        <w:instrText xml:space="preserve"> AUTONUM  </w:instrText>
      </w:r>
      <w:r w:rsidRPr="00350522">
        <w:fldChar w:fldCharType="end"/>
      </w:r>
      <w:r w:rsidRPr="00F86555">
        <w:rPr>
          <w:lang w:val="es-ES"/>
        </w:rPr>
        <w:tab/>
        <w:t xml:space="preserve">El TWV recordó que en la Sección 11 del documento TGP/8 "Examen de caracteres mediante análisis de imagen" se establece que "los caracteres que puedan examinarse mediante análisis de imagen también deberán poder examinarse mediante observación visual y/o medición manual, según proceda".  El TWV convino en que el análisis de imagen es útil para automatizar la evaluación de los caracteres medidos y para respaldar el análisis de un gran número de variedades.  </w:t>
      </w:r>
    </w:p>
    <w:p w14:paraId="3D229F58" w14:textId="77777777" w:rsidR="00E938D2" w:rsidRPr="00F86555" w:rsidRDefault="00E938D2" w:rsidP="00E938D2">
      <w:pPr>
        <w:rPr>
          <w:lang w:val="es-ES"/>
        </w:rPr>
      </w:pPr>
    </w:p>
    <w:p w14:paraId="7447CD83" w14:textId="77777777" w:rsidR="000F6432" w:rsidRPr="00F86555" w:rsidRDefault="00734E6E">
      <w:pPr>
        <w:pStyle w:val="Heading2"/>
        <w:rPr>
          <w:lang w:val="es-ES"/>
        </w:rPr>
      </w:pPr>
      <w:bookmarkStart w:id="29" w:name="_Toc141461060"/>
      <w:bookmarkStart w:id="30" w:name="_Toc141461219"/>
      <w:bookmarkStart w:id="31" w:name="_Toc145580711"/>
      <w:r w:rsidRPr="00F86555">
        <w:rPr>
          <w:rFonts w:eastAsia="MS Mincho"/>
          <w:lang w:val="es-ES"/>
        </w:rPr>
        <w:t>Programa informático de análisis estadístico DUSCEL</w:t>
      </w:r>
      <w:bookmarkEnd w:id="29"/>
      <w:bookmarkEnd w:id="30"/>
      <w:bookmarkEnd w:id="31"/>
    </w:p>
    <w:p w14:paraId="01A413AE" w14:textId="77777777" w:rsidR="00E938D2" w:rsidRPr="00F86555" w:rsidRDefault="00E938D2" w:rsidP="00E938D2">
      <w:pPr>
        <w:rPr>
          <w:lang w:val="es-ES"/>
        </w:rPr>
      </w:pPr>
    </w:p>
    <w:p w14:paraId="0E939BB5" w14:textId="77777777" w:rsidR="000F6432" w:rsidRPr="00F86555" w:rsidRDefault="00734E6E">
      <w:pPr>
        <w:rPr>
          <w:lang w:val="es-ES"/>
        </w:rPr>
      </w:pPr>
      <w:r w:rsidRPr="00350522">
        <w:fldChar w:fldCharType="begin"/>
      </w:r>
      <w:r w:rsidRPr="00F86555">
        <w:rPr>
          <w:lang w:val="es-ES"/>
        </w:rPr>
        <w:instrText xml:space="preserve"> AUTONUM  </w:instrText>
      </w:r>
      <w:r w:rsidRPr="00350522">
        <w:fldChar w:fldCharType="end"/>
      </w:r>
      <w:r w:rsidRPr="00F86555">
        <w:rPr>
          <w:lang w:val="es-ES"/>
        </w:rPr>
        <w:tab/>
        <w:t>El TWA recibió una ponencia sobre "Desarrollo de software de análisis estadístico: DUSCEL4.5" a cargo de un experto de China.  En el documento TWA/52/5 figura una copia de la ponencia (véase el documento TWA/52/11 "Informe", párrafos 20 y 21).</w:t>
      </w:r>
    </w:p>
    <w:p w14:paraId="4FC929A6" w14:textId="77777777" w:rsidR="00E938D2" w:rsidRPr="00F86555" w:rsidRDefault="00E938D2" w:rsidP="00E938D2">
      <w:pPr>
        <w:rPr>
          <w:lang w:val="es-ES"/>
        </w:rPr>
      </w:pPr>
    </w:p>
    <w:p w14:paraId="734FA1CD" w14:textId="77777777" w:rsidR="000F6432" w:rsidRPr="00F86555" w:rsidRDefault="00734E6E">
      <w:pPr>
        <w:rPr>
          <w:lang w:val="es-ES"/>
        </w:rPr>
      </w:pPr>
      <w:r w:rsidRPr="00350522">
        <w:fldChar w:fldCharType="begin"/>
      </w:r>
      <w:r w:rsidRPr="00F86555">
        <w:rPr>
          <w:lang w:val="es-ES"/>
        </w:rPr>
        <w:instrText xml:space="preserve"> AUTONUM  </w:instrText>
      </w:r>
      <w:r w:rsidRPr="00350522">
        <w:fldChar w:fldCharType="end"/>
      </w:r>
      <w:r w:rsidRPr="00F86555">
        <w:rPr>
          <w:lang w:val="es-ES"/>
        </w:rPr>
        <w:tab/>
        <w:t>El TWA tomó nota del perfeccionamiento del programa informático, incluida la labor de calibración para el análisis de imagen de los caracteres cromáticos.</w:t>
      </w:r>
    </w:p>
    <w:p w14:paraId="50FF2B8F" w14:textId="77777777" w:rsidR="00901942" w:rsidRPr="00F86555" w:rsidRDefault="00901942" w:rsidP="00901942">
      <w:pPr>
        <w:rPr>
          <w:lang w:val="es-ES"/>
        </w:rPr>
      </w:pPr>
    </w:p>
    <w:p w14:paraId="6836F0FA" w14:textId="77777777" w:rsidR="000F6432" w:rsidRPr="00F86555" w:rsidRDefault="00734E6E">
      <w:pPr>
        <w:pStyle w:val="Heading2"/>
        <w:rPr>
          <w:lang w:val="es-ES"/>
        </w:rPr>
      </w:pPr>
      <w:bookmarkStart w:id="32" w:name="_Toc141461061"/>
      <w:bookmarkStart w:id="33" w:name="_Toc141461220"/>
      <w:bookmarkStart w:id="34" w:name="_Toc145580712"/>
      <w:r w:rsidRPr="00F86555">
        <w:rPr>
          <w:rFonts w:eastAsia="MS Mincho"/>
          <w:lang w:val="es-ES"/>
        </w:rPr>
        <w:t>Experiencias con nuevos tipos y especies</w:t>
      </w:r>
      <w:bookmarkEnd w:id="32"/>
      <w:bookmarkEnd w:id="33"/>
      <w:bookmarkEnd w:id="34"/>
    </w:p>
    <w:p w14:paraId="1EC79378" w14:textId="77777777" w:rsidR="00901942" w:rsidRPr="00F86555" w:rsidRDefault="00901942" w:rsidP="00901942">
      <w:pPr>
        <w:rPr>
          <w:lang w:val="es-ES"/>
        </w:rPr>
      </w:pPr>
    </w:p>
    <w:p w14:paraId="6971249A" w14:textId="77777777" w:rsidR="000F6432" w:rsidRPr="00F86555" w:rsidRDefault="00734E6E">
      <w:pPr>
        <w:pStyle w:val="Heading3"/>
        <w:rPr>
          <w:lang w:val="es-ES"/>
        </w:rPr>
      </w:pPr>
      <w:bookmarkStart w:id="35" w:name="_Toc141461062"/>
      <w:bookmarkStart w:id="36" w:name="_Toc141461221"/>
      <w:bookmarkStart w:id="37" w:name="_Toc145580713"/>
      <w:r w:rsidRPr="00F86555">
        <w:rPr>
          <w:lang w:val="es-ES"/>
        </w:rPr>
        <w:t>Cáñamo/cannabis</w:t>
      </w:r>
      <w:bookmarkEnd w:id="35"/>
      <w:bookmarkEnd w:id="36"/>
      <w:bookmarkEnd w:id="37"/>
    </w:p>
    <w:p w14:paraId="3496291F" w14:textId="77777777" w:rsidR="00454CCD" w:rsidRPr="00F86555" w:rsidRDefault="00454CCD" w:rsidP="00901942">
      <w:pPr>
        <w:rPr>
          <w:lang w:val="es-ES"/>
        </w:rPr>
      </w:pPr>
    </w:p>
    <w:p w14:paraId="7FB469CB" w14:textId="77777777" w:rsidR="000F6432" w:rsidRPr="00F86555" w:rsidRDefault="00734E6E">
      <w:pPr>
        <w:rPr>
          <w:lang w:val="es-ES"/>
        </w:rPr>
      </w:pPr>
      <w:r w:rsidRPr="00350522">
        <w:fldChar w:fldCharType="begin"/>
      </w:r>
      <w:r w:rsidRPr="00F86555">
        <w:rPr>
          <w:lang w:val="es-ES"/>
        </w:rPr>
        <w:instrText xml:space="preserve"> AUTONUM  </w:instrText>
      </w:r>
      <w:r w:rsidRPr="00350522">
        <w:fldChar w:fldCharType="end"/>
      </w:r>
      <w:r w:rsidRPr="00F86555">
        <w:rPr>
          <w:lang w:val="es-ES"/>
        </w:rPr>
        <w:tab/>
        <w:t xml:space="preserve">El TWA recibió una ponencia "TG Cáñamo/Cannabis" a cargo de un experto de los Países Bajos.  En el </w:t>
      </w:r>
      <w:r w:rsidRPr="00F86555">
        <w:rPr>
          <w:lang w:val="es-ES"/>
        </w:rPr>
        <w:tab/>
        <w:t xml:space="preserve">Anexo del documento </w:t>
      </w:r>
      <w:r w:rsidRPr="00F86555">
        <w:rPr>
          <w:rFonts w:eastAsia="MS Mincho"/>
          <w:lang w:val="es-ES"/>
        </w:rPr>
        <w:t xml:space="preserve">TWA/52/9 figura una </w:t>
      </w:r>
      <w:r w:rsidRPr="00F86555">
        <w:rPr>
          <w:lang w:val="es-ES"/>
        </w:rPr>
        <w:tab/>
        <w:t>copia de la ponencia (véase el documento TWA/52/11 "Informe", párrafo 40)</w:t>
      </w:r>
      <w:r w:rsidRPr="00F86555">
        <w:rPr>
          <w:rFonts w:eastAsia="MS Mincho"/>
          <w:lang w:val="es-ES"/>
        </w:rPr>
        <w:t>.</w:t>
      </w:r>
    </w:p>
    <w:p w14:paraId="474B814A" w14:textId="77777777" w:rsidR="00114381" w:rsidRPr="00F86555" w:rsidRDefault="00114381" w:rsidP="00114381">
      <w:pPr>
        <w:rPr>
          <w:lang w:val="es-ES"/>
        </w:rPr>
      </w:pPr>
    </w:p>
    <w:p w14:paraId="36ABC721" w14:textId="77777777" w:rsidR="000F6432" w:rsidRPr="00F86555" w:rsidRDefault="00734E6E">
      <w:pPr>
        <w:pStyle w:val="Heading3"/>
        <w:rPr>
          <w:lang w:val="es-ES"/>
        </w:rPr>
      </w:pPr>
      <w:bookmarkStart w:id="38" w:name="_Toc141461063"/>
      <w:bookmarkStart w:id="39" w:name="_Toc141461222"/>
      <w:bookmarkStart w:id="40" w:name="_Toc145580714"/>
      <w:r w:rsidRPr="00F86555">
        <w:rPr>
          <w:lang w:val="es-ES"/>
        </w:rPr>
        <w:t>Variedades de multiplicación vegetativa</w:t>
      </w:r>
      <w:bookmarkEnd w:id="38"/>
      <w:bookmarkEnd w:id="39"/>
      <w:bookmarkEnd w:id="40"/>
    </w:p>
    <w:p w14:paraId="77030F42" w14:textId="77777777" w:rsidR="00454CCD" w:rsidRPr="00F86555" w:rsidRDefault="00454CCD" w:rsidP="00114381">
      <w:pPr>
        <w:rPr>
          <w:lang w:val="es-ES"/>
        </w:rPr>
      </w:pPr>
    </w:p>
    <w:p w14:paraId="4B6D41C0" w14:textId="77777777" w:rsidR="000F6432" w:rsidRPr="00F86555" w:rsidRDefault="00734E6E">
      <w:pPr>
        <w:rPr>
          <w:lang w:val="es-ES"/>
        </w:rPr>
      </w:pPr>
      <w:r w:rsidRPr="00350522">
        <w:fldChar w:fldCharType="begin"/>
      </w:r>
      <w:r w:rsidRPr="00F86555">
        <w:rPr>
          <w:lang w:val="es-ES"/>
        </w:rPr>
        <w:instrText xml:space="preserve"> AUTONUM  </w:instrText>
      </w:r>
      <w:r w:rsidRPr="00350522">
        <w:fldChar w:fldCharType="end"/>
      </w:r>
      <w:r w:rsidRPr="00F86555">
        <w:rPr>
          <w:lang w:val="es-ES"/>
        </w:rPr>
        <w:tab/>
        <w:t>Un experto de los Estados Unidos de América presentó al TWF una ponencia sobre la "Oficina de Protección de las Obtenciones Vegetales de los Estados Unidos de América".  En el documento TWF/54/5 figura una copia de la ponencia (véase el documento TWF/54/13 "Informe", párrafo 38).</w:t>
      </w:r>
    </w:p>
    <w:p w14:paraId="39803672" w14:textId="77777777" w:rsidR="00A72F82" w:rsidRPr="00F86555" w:rsidRDefault="00A72F82" w:rsidP="00A72F82">
      <w:pPr>
        <w:rPr>
          <w:lang w:val="es-ES"/>
        </w:rPr>
      </w:pPr>
    </w:p>
    <w:p w14:paraId="06B58923" w14:textId="77777777" w:rsidR="000F6432" w:rsidRPr="00F86555" w:rsidRDefault="00734E6E">
      <w:pPr>
        <w:pStyle w:val="Heading3"/>
        <w:rPr>
          <w:lang w:val="es-ES"/>
        </w:rPr>
      </w:pPr>
      <w:bookmarkStart w:id="41" w:name="_Toc141461064"/>
      <w:bookmarkStart w:id="42" w:name="_Toc141461223"/>
      <w:bookmarkStart w:id="43" w:name="_Toc145580715"/>
      <w:r w:rsidRPr="00F86555">
        <w:rPr>
          <w:lang w:val="es-ES"/>
        </w:rPr>
        <w:t>Loto (Nelumbo)</w:t>
      </w:r>
      <w:bookmarkEnd w:id="41"/>
      <w:bookmarkEnd w:id="42"/>
      <w:bookmarkEnd w:id="43"/>
    </w:p>
    <w:p w14:paraId="7D5AAF65" w14:textId="77777777" w:rsidR="00454CCD" w:rsidRPr="00F86555" w:rsidRDefault="00454CCD" w:rsidP="00A72F82">
      <w:pPr>
        <w:rPr>
          <w:lang w:val="es-ES"/>
        </w:rPr>
      </w:pPr>
    </w:p>
    <w:p w14:paraId="1B07B1ED" w14:textId="77777777" w:rsidR="000F6432" w:rsidRPr="00F86555" w:rsidRDefault="00734E6E">
      <w:pPr>
        <w:rPr>
          <w:lang w:val="es-ES"/>
        </w:rPr>
      </w:pPr>
      <w:r w:rsidRPr="00350522">
        <w:fldChar w:fldCharType="begin"/>
      </w:r>
      <w:r w:rsidRPr="00F86555">
        <w:rPr>
          <w:lang w:val="es-ES"/>
        </w:rPr>
        <w:instrText xml:space="preserve"> AUTONUM  </w:instrText>
      </w:r>
      <w:r w:rsidRPr="00350522">
        <w:fldChar w:fldCharType="end"/>
      </w:r>
      <w:r w:rsidRPr="00F86555">
        <w:rPr>
          <w:lang w:val="es-ES"/>
        </w:rPr>
        <w:tab/>
        <w:t>El TWO recibió un informe sobre Lotus (</w:t>
      </w:r>
      <w:r w:rsidRPr="00F86555">
        <w:rPr>
          <w:i/>
          <w:lang w:val="es-ES"/>
        </w:rPr>
        <w:t xml:space="preserve">Nelumbo </w:t>
      </w:r>
      <w:proofErr w:type="spellStart"/>
      <w:r w:rsidRPr="00F86555">
        <w:rPr>
          <w:lang w:val="es-ES"/>
        </w:rPr>
        <w:t>Adans</w:t>
      </w:r>
      <w:proofErr w:type="spellEnd"/>
      <w:r w:rsidRPr="00F86555">
        <w:rPr>
          <w:lang w:val="es-ES"/>
        </w:rPr>
        <w:t xml:space="preserve">.) de un experto de China. En el documento TWO/55/3 figura una copia de la ponencia </w:t>
      </w:r>
      <w:r w:rsidRPr="00F86555">
        <w:rPr>
          <w:rFonts w:eastAsia="MS Mincho"/>
          <w:lang w:val="es-ES"/>
        </w:rPr>
        <w:t>(véase el documento TWO/55/11 "Informe", párrafo 42)</w:t>
      </w:r>
      <w:r w:rsidRPr="00F86555">
        <w:rPr>
          <w:rFonts w:cs="Arial"/>
          <w:lang w:val="es-ES"/>
        </w:rPr>
        <w:t>.</w:t>
      </w:r>
    </w:p>
    <w:p w14:paraId="11418ADF" w14:textId="77777777" w:rsidR="00AD6CF4" w:rsidRPr="00F86555" w:rsidRDefault="00AD6CF4" w:rsidP="00AD6CF4">
      <w:pPr>
        <w:tabs>
          <w:tab w:val="left" w:pos="567"/>
          <w:tab w:val="left" w:pos="1134"/>
          <w:tab w:val="left" w:pos="5387"/>
          <w:tab w:val="left" w:pos="5954"/>
        </w:tabs>
        <w:rPr>
          <w:lang w:val="es-ES"/>
        </w:rPr>
      </w:pPr>
    </w:p>
    <w:p w14:paraId="1A794237" w14:textId="77777777" w:rsidR="000F6432" w:rsidRPr="00F86555" w:rsidRDefault="00734E6E">
      <w:pPr>
        <w:pStyle w:val="Heading2"/>
        <w:rPr>
          <w:rFonts w:eastAsia="MS Mincho"/>
          <w:lang w:val="es-ES"/>
        </w:rPr>
      </w:pPr>
      <w:bookmarkStart w:id="44" w:name="_Toc141444833"/>
      <w:bookmarkStart w:id="45" w:name="_Toc144401938"/>
      <w:bookmarkStart w:id="46" w:name="_Toc145580716"/>
      <w:r w:rsidRPr="00F86555">
        <w:rPr>
          <w:rFonts w:eastAsia="MS Mincho"/>
          <w:lang w:val="es-ES"/>
        </w:rPr>
        <w:t>Variedades ornamentales de cultivos agrícolas, frutales u hortícolas</w:t>
      </w:r>
      <w:bookmarkEnd w:id="46"/>
      <w:r w:rsidRPr="00F86555">
        <w:rPr>
          <w:rFonts w:eastAsia="MS Mincho"/>
          <w:lang w:val="es-ES"/>
        </w:rPr>
        <w:t xml:space="preserve"> </w:t>
      </w:r>
      <w:bookmarkEnd w:id="44"/>
      <w:bookmarkEnd w:id="45"/>
    </w:p>
    <w:p w14:paraId="38EDEA1C" w14:textId="77777777" w:rsidR="00AD6CF4" w:rsidRPr="00F86555" w:rsidRDefault="00AD6CF4" w:rsidP="002078DF">
      <w:pPr>
        <w:keepNext/>
        <w:rPr>
          <w:lang w:val="es-ES"/>
        </w:rPr>
      </w:pPr>
    </w:p>
    <w:p w14:paraId="1A3AFB82" w14:textId="77777777" w:rsidR="000F6432" w:rsidRPr="00F86555" w:rsidRDefault="00734E6E">
      <w:pPr>
        <w:keepNext/>
        <w:rPr>
          <w:rFonts w:eastAsia="MS Mincho"/>
          <w:lang w:val="es-ES"/>
        </w:rPr>
      </w:pPr>
      <w:r w:rsidRPr="00350522">
        <w:rPr>
          <w:rFonts w:eastAsia="MS Mincho"/>
        </w:rPr>
        <w:fldChar w:fldCharType="begin"/>
      </w:r>
      <w:r w:rsidRPr="00F86555">
        <w:rPr>
          <w:rFonts w:eastAsia="MS Mincho"/>
          <w:lang w:val="es-ES"/>
        </w:rPr>
        <w:instrText xml:space="preserve"> AUTONUM  </w:instrText>
      </w:r>
      <w:r w:rsidRPr="00350522">
        <w:rPr>
          <w:rFonts w:eastAsia="MS Mincho"/>
        </w:rPr>
        <w:fldChar w:fldCharType="end"/>
      </w:r>
      <w:r w:rsidRPr="00F86555">
        <w:rPr>
          <w:rFonts w:eastAsia="MS Mincho"/>
          <w:lang w:val="es-ES"/>
        </w:rPr>
        <w:t>En su quincuagésima quinta sesión</w:t>
      </w:r>
      <w:r>
        <w:rPr>
          <w:rStyle w:val="FootnoteReference"/>
          <w:rFonts w:eastAsia="MS Mincho"/>
        </w:rPr>
        <w:footnoteReference w:id="7"/>
      </w:r>
      <w:proofErr w:type="gramStart"/>
      <w:r w:rsidRPr="00F86555">
        <w:rPr>
          <w:rFonts w:eastAsia="MS Mincho"/>
          <w:lang w:val="es-ES"/>
        </w:rPr>
        <w:tab/>
        <w:t xml:space="preserve"> ,</w:t>
      </w:r>
      <w:proofErr w:type="gramEnd"/>
      <w:r w:rsidRPr="00F86555">
        <w:rPr>
          <w:rFonts w:eastAsia="MS Mincho"/>
          <w:lang w:val="es-ES"/>
        </w:rPr>
        <w:t xml:space="preserve"> el TWO recibió una ponencia sobre "</w:t>
      </w:r>
      <w:r w:rsidRPr="00F86555">
        <w:rPr>
          <w:lang w:val="es-ES"/>
        </w:rPr>
        <w:t xml:space="preserve">Exámenes de variedades ornamentales de cultivos agrícolas, frutales u hortícolas - una perspectiva del Reino Unido" a cargo de un </w:t>
      </w:r>
      <w:r w:rsidRPr="00F86555">
        <w:rPr>
          <w:lang w:val="es-ES"/>
        </w:rPr>
        <w:lastRenderedPageBreak/>
        <w:t xml:space="preserve">experto del Reino Unido.  En el documento </w:t>
      </w:r>
      <w:r w:rsidRPr="00F86555">
        <w:rPr>
          <w:rFonts w:eastAsia="MS Mincho"/>
          <w:lang w:val="es-ES"/>
        </w:rPr>
        <w:t xml:space="preserve">TWO/55/5 </w:t>
      </w:r>
      <w:r w:rsidRPr="00F86555">
        <w:rPr>
          <w:lang w:val="es-ES"/>
        </w:rPr>
        <w:t xml:space="preserve">figura una copia de la ponencia </w:t>
      </w:r>
      <w:r w:rsidRPr="00F86555">
        <w:rPr>
          <w:rFonts w:eastAsia="MS Mincho"/>
          <w:lang w:val="es-ES"/>
        </w:rPr>
        <w:t xml:space="preserve">(véase el documento TWO/55/11 "Informe", párrafos 14 a 20).    </w:t>
      </w:r>
    </w:p>
    <w:p w14:paraId="63CF5AB4" w14:textId="77777777" w:rsidR="00AD6CF4" w:rsidRPr="00F86555" w:rsidRDefault="00AD6CF4" w:rsidP="00AD6CF4">
      <w:pPr>
        <w:rPr>
          <w:rFonts w:eastAsia="MS Mincho"/>
          <w:lang w:val="es-ES"/>
        </w:rPr>
      </w:pPr>
    </w:p>
    <w:p w14:paraId="24D7993D" w14:textId="77777777" w:rsidR="000F6432" w:rsidRPr="00F86555" w:rsidRDefault="00734E6E">
      <w:pPr>
        <w:rPr>
          <w:rFonts w:eastAsia="MS Mincho"/>
          <w:lang w:val="es-ES"/>
        </w:rPr>
      </w:pPr>
      <w:r w:rsidRPr="00350522">
        <w:rPr>
          <w:rFonts w:eastAsia="MS Mincho"/>
        </w:rPr>
        <w:fldChar w:fldCharType="begin"/>
      </w:r>
      <w:r w:rsidRPr="00F86555">
        <w:rPr>
          <w:rFonts w:eastAsia="MS Mincho"/>
          <w:lang w:val="es-ES"/>
        </w:rPr>
        <w:instrText xml:space="preserve"> AUTONUM  </w:instrText>
      </w:r>
      <w:r w:rsidRPr="00350522">
        <w:rPr>
          <w:rFonts w:eastAsia="MS Mincho"/>
        </w:rPr>
        <w:fldChar w:fldCharType="end"/>
      </w:r>
      <w:r w:rsidRPr="00F86555">
        <w:rPr>
          <w:rFonts w:eastAsia="MS Mincho"/>
          <w:lang w:val="es-ES"/>
        </w:rPr>
        <w:tab/>
        <w:t>El TWO asistió a una ponencia sobre "</w:t>
      </w:r>
      <w:r w:rsidRPr="00F86555">
        <w:rPr>
          <w:lang w:val="es-ES"/>
        </w:rPr>
        <w:t xml:space="preserve">Variedades ornamentales de cultivos agrícolas, frutales u hortícolas" a cargo de un experto de Francia.  En el documento </w:t>
      </w:r>
      <w:r w:rsidRPr="00F86555">
        <w:rPr>
          <w:rFonts w:eastAsia="MS Mincho"/>
          <w:lang w:val="es-ES"/>
        </w:rPr>
        <w:t xml:space="preserve">TWO/55/5 </w:t>
      </w:r>
      <w:proofErr w:type="spellStart"/>
      <w:r w:rsidRPr="00F86555">
        <w:rPr>
          <w:rFonts w:eastAsia="MS Mincho"/>
          <w:lang w:val="es-ES"/>
        </w:rPr>
        <w:t>Add</w:t>
      </w:r>
      <w:proofErr w:type="spellEnd"/>
      <w:r w:rsidRPr="00F86555">
        <w:rPr>
          <w:rFonts w:eastAsia="MS Mincho"/>
          <w:lang w:val="es-ES"/>
        </w:rPr>
        <w:t xml:space="preserve">. figura </w:t>
      </w:r>
      <w:r w:rsidRPr="00F86555">
        <w:rPr>
          <w:lang w:val="es-ES"/>
        </w:rPr>
        <w:t>una copia de la ponencia</w:t>
      </w:r>
      <w:r w:rsidRPr="00F86555">
        <w:rPr>
          <w:rFonts w:eastAsia="MS Mincho"/>
          <w:lang w:val="es-ES"/>
        </w:rPr>
        <w:t>.</w:t>
      </w:r>
    </w:p>
    <w:p w14:paraId="7E1E7792" w14:textId="77777777" w:rsidR="00AD6CF4" w:rsidRPr="00F86555" w:rsidRDefault="00AD6CF4" w:rsidP="00AD6CF4">
      <w:pPr>
        <w:rPr>
          <w:rFonts w:eastAsia="MS Mincho"/>
          <w:lang w:val="es-ES"/>
        </w:rPr>
      </w:pPr>
    </w:p>
    <w:p w14:paraId="71DE2801" w14:textId="77777777" w:rsidR="000F6432" w:rsidRPr="00F86555" w:rsidRDefault="00734E6E">
      <w:pPr>
        <w:rPr>
          <w:lang w:val="es-ES"/>
        </w:rPr>
      </w:pPr>
      <w:r w:rsidRPr="00350522">
        <w:rPr>
          <w:rFonts w:eastAsia="MS Mincho"/>
        </w:rPr>
        <w:fldChar w:fldCharType="begin"/>
      </w:r>
      <w:r w:rsidRPr="00F86555">
        <w:rPr>
          <w:rFonts w:eastAsia="MS Mincho"/>
          <w:lang w:val="es-ES"/>
        </w:rPr>
        <w:instrText xml:space="preserve"> AUTONUM  </w:instrText>
      </w:r>
      <w:r w:rsidRPr="00350522">
        <w:rPr>
          <w:rFonts w:eastAsia="MS Mincho"/>
        </w:rPr>
        <w:fldChar w:fldCharType="end"/>
      </w:r>
      <w:r w:rsidRPr="00F86555">
        <w:rPr>
          <w:rFonts w:eastAsia="MS Mincho"/>
          <w:lang w:val="es-ES"/>
        </w:rPr>
        <w:tab/>
        <w:t xml:space="preserve">El TWO acordó recomendar que los redactores de las directrices de examen eviten excluir explícitamente las variedades ornamentales de la cobertura de las directrices de examen.  El TWO convino en que las situaciones en las que existan variedades ornamentales de otros sectores de cultivo deberán abordarse con la inclusión del texto estándar sobre </w:t>
      </w:r>
      <w:r w:rsidRPr="00F86555">
        <w:rPr>
          <w:lang w:val="es-ES"/>
        </w:rPr>
        <w:t xml:space="preserve">"cobertura de los tipos de variedades en las directrices de examen", como se indica a continuación </w:t>
      </w:r>
      <w:r w:rsidRPr="00F86555">
        <w:rPr>
          <w:rFonts w:eastAsia="MS Mincho"/>
          <w:lang w:val="es-ES"/>
        </w:rPr>
        <w:t xml:space="preserve">(véase el documento TGP/7 "Elaboración de las directrices de examen, </w:t>
      </w:r>
      <w:r w:rsidRPr="00F86555">
        <w:rPr>
          <w:lang w:val="es-ES"/>
        </w:rPr>
        <w:t>ASW 0):</w:t>
      </w:r>
    </w:p>
    <w:p w14:paraId="72B193E3" w14:textId="77777777" w:rsidR="00AD6CF4" w:rsidRPr="00F86555" w:rsidRDefault="00AD6CF4" w:rsidP="00AD6CF4">
      <w:pPr>
        <w:rPr>
          <w:lang w:val="es-ES"/>
        </w:rPr>
      </w:pPr>
    </w:p>
    <w:p w14:paraId="21837077" w14:textId="77777777" w:rsidR="000F6432" w:rsidRPr="00F86555" w:rsidRDefault="00734E6E">
      <w:pPr>
        <w:ind w:left="567" w:right="567"/>
        <w:rPr>
          <w:rFonts w:eastAsia="MS Mincho"/>
          <w:lang w:val="es-ES"/>
        </w:rPr>
      </w:pPr>
      <w:r w:rsidRPr="00F86555">
        <w:rPr>
          <w:lang w:val="es-ES"/>
        </w:rPr>
        <w:t>"En el caso de las variedades ornamentales, en particular, puede ser necesario utilizar caracteres adicionales o niveles de expresión adicionales a los incluidos en la tabla de caracteres a fin de examinar la distinción, la homogeneidad y la estabilidad."</w:t>
      </w:r>
    </w:p>
    <w:p w14:paraId="4A7E4897" w14:textId="77777777" w:rsidR="00AD6CF4" w:rsidRPr="00F86555" w:rsidRDefault="00AD6CF4" w:rsidP="00AD6CF4">
      <w:pPr>
        <w:rPr>
          <w:rFonts w:eastAsia="MS Mincho"/>
          <w:lang w:val="es-ES"/>
        </w:rPr>
      </w:pPr>
    </w:p>
    <w:p w14:paraId="69B3AE02" w14:textId="77777777" w:rsidR="000F6432" w:rsidRPr="00F86555" w:rsidRDefault="00734E6E">
      <w:pPr>
        <w:rPr>
          <w:lang w:val="es-ES"/>
        </w:rPr>
      </w:pPr>
      <w:r w:rsidRPr="00350522">
        <w:fldChar w:fldCharType="begin"/>
      </w:r>
      <w:r w:rsidRPr="00F86555">
        <w:rPr>
          <w:lang w:val="es-ES"/>
        </w:rPr>
        <w:instrText xml:space="preserve"> AUTONUM  </w:instrText>
      </w:r>
      <w:r w:rsidRPr="00350522">
        <w:fldChar w:fldCharType="end"/>
      </w:r>
      <w:r w:rsidRPr="00F86555">
        <w:rPr>
          <w:lang w:val="es-ES"/>
        </w:rPr>
        <w:tab/>
        <w:t>El TWO recordó que esa redacción no debería llevar a ninguna conclusión particular en cuanto a si otros tipos de variedades deberían o no ser objeto de la elaboración de directrices de examen separadas, ya que ello debería examinarse caso por caso.</w:t>
      </w:r>
    </w:p>
    <w:p w14:paraId="2D2764CF" w14:textId="77777777" w:rsidR="00AD6CF4" w:rsidRPr="00F86555" w:rsidRDefault="00AD6CF4" w:rsidP="00AD6CF4">
      <w:pPr>
        <w:rPr>
          <w:rFonts w:eastAsia="MS Mincho"/>
          <w:lang w:val="es-ES"/>
        </w:rPr>
      </w:pPr>
    </w:p>
    <w:p w14:paraId="5B532A1F" w14:textId="77777777" w:rsidR="000F6432" w:rsidRPr="00F86555" w:rsidRDefault="00734E6E">
      <w:pPr>
        <w:rPr>
          <w:rFonts w:eastAsia="MS Mincho"/>
          <w:lang w:val="es-ES"/>
        </w:rPr>
      </w:pPr>
      <w:r w:rsidRPr="00350522">
        <w:rPr>
          <w:rFonts w:eastAsia="MS Mincho"/>
        </w:rPr>
        <w:fldChar w:fldCharType="begin"/>
      </w:r>
      <w:r w:rsidRPr="00F86555">
        <w:rPr>
          <w:rFonts w:eastAsia="MS Mincho"/>
          <w:lang w:val="es-ES"/>
        </w:rPr>
        <w:instrText xml:space="preserve"> AUTONUM  </w:instrText>
      </w:r>
      <w:r w:rsidRPr="00350522">
        <w:rPr>
          <w:rFonts w:eastAsia="MS Mincho"/>
        </w:rPr>
        <w:fldChar w:fldCharType="end"/>
      </w:r>
      <w:r w:rsidRPr="00F86555">
        <w:rPr>
          <w:rFonts w:eastAsia="MS Mincho"/>
          <w:lang w:val="es-ES"/>
        </w:rPr>
        <w:tab/>
        <w:t xml:space="preserve">El TWO convino en que las directrices de examen elaboradas para otros sectores de cultivos constituían un punto de partida adecuado para el examen de variedades ornamentales, seguido de una evaluación sobre la necesidad de caracteres o niveles de expresión adicionales.  </w:t>
      </w:r>
    </w:p>
    <w:p w14:paraId="2083C7B2" w14:textId="77777777" w:rsidR="00AD6CF4" w:rsidRPr="00F86555" w:rsidRDefault="00AD6CF4" w:rsidP="00AD6CF4">
      <w:pPr>
        <w:rPr>
          <w:rFonts w:eastAsia="MS Mincho"/>
          <w:lang w:val="es-ES"/>
        </w:rPr>
      </w:pPr>
    </w:p>
    <w:p w14:paraId="7A90C8BC" w14:textId="77777777" w:rsidR="000F6432" w:rsidRPr="00F86555" w:rsidRDefault="00734E6E">
      <w:pPr>
        <w:rPr>
          <w:rFonts w:eastAsia="MS Mincho"/>
          <w:lang w:val="es-ES"/>
        </w:rPr>
      </w:pPr>
      <w:r w:rsidRPr="00350522">
        <w:rPr>
          <w:rFonts w:eastAsia="MS Mincho"/>
        </w:rPr>
        <w:fldChar w:fldCharType="begin"/>
      </w:r>
      <w:r w:rsidRPr="00F86555">
        <w:rPr>
          <w:rFonts w:eastAsia="MS Mincho"/>
          <w:lang w:val="es-ES"/>
        </w:rPr>
        <w:instrText xml:space="preserve"> AUTONUM  </w:instrText>
      </w:r>
      <w:r w:rsidRPr="00350522">
        <w:rPr>
          <w:rFonts w:eastAsia="MS Mincho"/>
        </w:rPr>
        <w:fldChar w:fldCharType="end"/>
      </w:r>
      <w:r w:rsidRPr="00F86555">
        <w:rPr>
          <w:rFonts w:eastAsia="MS Mincho"/>
          <w:lang w:val="es-ES"/>
        </w:rPr>
        <w:tab/>
        <w:t xml:space="preserve">El TWO examinó el ejemplo de examen DHE de variedades ornamentales de batata presentado en el documento TWO/55/5.  El TWO observó que los caracteres radiculares previstos en las directrices de examen no pudieron observarse debido al escaso desarrollo radicular de las variedades ornamentales examinadas.  El TWO convino en que la utilización de directrices de examen elaboradas para otros sectores de cultivos para examinar variedades ornamentales podría dar lugar a situaciones similares en las que no pudieran observarse determinados caracteres. </w:t>
      </w:r>
    </w:p>
    <w:p w14:paraId="1F71C2AB" w14:textId="77777777" w:rsidR="00AD6CF4" w:rsidRPr="00F86555" w:rsidRDefault="00AD6CF4" w:rsidP="00AD6CF4">
      <w:pPr>
        <w:rPr>
          <w:rFonts w:eastAsia="MS Mincho"/>
          <w:lang w:val="es-ES"/>
        </w:rPr>
      </w:pPr>
    </w:p>
    <w:p w14:paraId="6A45E306" w14:textId="77777777" w:rsidR="000F6432" w:rsidRPr="00F86555" w:rsidRDefault="00734E6E">
      <w:pPr>
        <w:rPr>
          <w:rFonts w:eastAsia="MS Mincho"/>
          <w:lang w:val="es-ES"/>
        </w:rPr>
      </w:pPr>
      <w:r w:rsidRPr="00350522">
        <w:rPr>
          <w:rFonts w:eastAsia="MS Mincho"/>
        </w:rPr>
        <w:fldChar w:fldCharType="begin"/>
      </w:r>
      <w:r w:rsidRPr="00F86555">
        <w:rPr>
          <w:rFonts w:eastAsia="MS Mincho"/>
          <w:lang w:val="es-ES"/>
        </w:rPr>
        <w:instrText xml:space="preserve"> AUTONUM  </w:instrText>
      </w:r>
      <w:r w:rsidRPr="00350522">
        <w:rPr>
          <w:rFonts w:eastAsia="MS Mincho"/>
        </w:rPr>
        <w:fldChar w:fldCharType="end"/>
      </w:r>
      <w:r w:rsidRPr="00F86555">
        <w:rPr>
          <w:rFonts w:eastAsia="MS Mincho"/>
          <w:lang w:val="es-ES"/>
        </w:rPr>
        <w:tab/>
        <w:t xml:space="preserve">El TWO convino en examinar en cada reunión la lista de directrices de examen que se están elaborando en otros TWP en caso de interés para el examen de variedades ornamentales y, si procede, proporcionar expertos interesados. </w:t>
      </w:r>
    </w:p>
    <w:p w14:paraId="16235345" w14:textId="77777777" w:rsidR="00AD6CF4" w:rsidRPr="00F86555" w:rsidRDefault="00AD6CF4" w:rsidP="00AD6CF4">
      <w:pPr>
        <w:rPr>
          <w:rFonts w:eastAsia="MS Mincho"/>
          <w:lang w:val="es-ES"/>
        </w:rPr>
      </w:pPr>
    </w:p>
    <w:p w14:paraId="643E3BBB" w14:textId="77777777" w:rsidR="00AD6CF4" w:rsidRPr="00F86555" w:rsidRDefault="00AD6CF4" w:rsidP="00445B73">
      <w:pPr>
        <w:rPr>
          <w:lang w:val="es-ES"/>
        </w:rPr>
      </w:pPr>
    </w:p>
    <w:p w14:paraId="42866194" w14:textId="77777777" w:rsidR="009A78BB" w:rsidRPr="00F86555" w:rsidRDefault="009A78BB" w:rsidP="00445B73">
      <w:pPr>
        <w:rPr>
          <w:lang w:val="es-ES"/>
        </w:rPr>
      </w:pPr>
    </w:p>
    <w:p w14:paraId="385A5324" w14:textId="77777777" w:rsidR="000F6432" w:rsidRDefault="00734E6E">
      <w:pPr>
        <w:jc w:val="right"/>
      </w:pPr>
      <w:r w:rsidRPr="00F86555">
        <w:rPr>
          <w:lang w:val="es-ES"/>
        </w:rPr>
        <w:t xml:space="preserve"> </w:t>
      </w:r>
      <w:r w:rsidRPr="00350522">
        <w:t xml:space="preserve">[Fin del </w:t>
      </w:r>
      <w:proofErr w:type="spellStart"/>
      <w:r w:rsidRPr="00350522">
        <w:t>documento</w:t>
      </w:r>
      <w:proofErr w:type="spellEnd"/>
      <w:r w:rsidRPr="00350522">
        <w:t>]</w:t>
      </w:r>
    </w:p>
    <w:sectPr w:rsidR="000F6432" w:rsidSect="0004198B">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D4833" w14:textId="77777777" w:rsidR="00507C08" w:rsidRDefault="00507C08" w:rsidP="006655D3">
      <w:r>
        <w:separator/>
      </w:r>
    </w:p>
    <w:p w14:paraId="76E7AC35" w14:textId="77777777" w:rsidR="00507C08" w:rsidRDefault="00507C08" w:rsidP="006655D3"/>
    <w:p w14:paraId="30C66BBC" w14:textId="77777777" w:rsidR="00507C08" w:rsidRDefault="00507C08" w:rsidP="006655D3"/>
  </w:endnote>
  <w:endnote w:type="continuationSeparator" w:id="0">
    <w:p w14:paraId="2B675B41" w14:textId="77777777" w:rsidR="00507C08" w:rsidRDefault="00507C08" w:rsidP="006655D3">
      <w:r>
        <w:separator/>
      </w:r>
    </w:p>
    <w:p w14:paraId="37249239" w14:textId="77777777" w:rsidR="000F6432" w:rsidRDefault="00734E6E">
      <w:pPr>
        <w:pStyle w:val="Footer"/>
        <w:spacing w:after="60"/>
        <w:rPr>
          <w:sz w:val="18"/>
          <w:lang w:val="fr-FR"/>
        </w:rPr>
      </w:pPr>
      <w:r w:rsidRPr="00294751">
        <w:rPr>
          <w:sz w:val="18"/>
          <w:lang w:val="fr-FR"/>
        </w:rPr>
        <w:t>[Suite de la note de la page précédente]</w:t>
      </w:r>
    </w:p>
    <w:p w14:paraId="110A64BC" w14:textId="77777777" w:rsidR="00507C08" w:rsidRPr="00294751" w:rsidRDefault="00507C08" w:rsidP="006655D3">
      <w:pPr>
        <w:rPr>
          <w:lang w:val="fr-FR"/>
        </w:rPr>
      </w:pPr>
    </w:p>
    <w:p w14:paraId="56C73379" w14:textId="77777777" w:rsidR="00507C08" w:rsidRPr="00294751" w:rsidRDefault="00507C08" w:rsidP="006655D3">
      <w:pPr>
        <w:rPr>
          <w:lang w:val="fr-FR"/>
        </w:rPr>
      </w:pPr>
    </w:p>
  </w:endnote>
  <w:endnote w:type="continuationNotice" w:id="1">
    <w:p w14:paraId="4F15B9C6" w14:textId="77777777" w:rsidR="000F6432" w:rsidRDefault="00734E6E">
      <w:pPr>
        <w:rPr>
          <w:lang w:val="fr-FR"/>
        </w:rPr>
      </w:pPr>
      <w:r w:rsidRPr="00294751">
        <w:rPr>
          <w:lang w:val="fr-FR"/>
        </w:rPr>
        <w:t>[Suite de la note page suivante]</w:t>
      </w:r>
    </w:p>
    <w:p w14:paraId="0F84ADA9" w14:textId="77777777" w:rsidR="00507C08" w:rsidRPr="00294751" w:rsidRDefault="00507C08" w:rsidP="006655D3">
      <w:pPr>
        <w:rPr>
          <w:lang w:val="fr-FR"/>
        </w:rPr>
      </w:pPr>
    </w:p>
    <w:p w14:paraId="7006DFDE" w14:textId="77777777" w:rsidR="00507C08" w:rsidRPr="00294751" w:rsidRDefault="00507C0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F720A" w14:textId="77777777" w:rsidR="00507C08" w:rsidRDefault="00507C08" w:rsidP="006655D3">
      <w:r>
        <w:separator/>
      </w:r>
    </w:p>
  </w:footnote>
  <w:footnote w:type="continuationSeparator" w:id="0">
    <w:p w14:paraId="1B6E75B5" w14:textId="77777777" w:rsidR="00507C08" w:rsidRDefault="00507C08" w:rsidP="006655D3">
      <w:r>
        <w:separator/>
      </w:r>
    </w:p>
  </w:footnote>
  <w:footnote w:type="continuationNotice" w:id="1">
    <w:p w14:paraId="459ACED8" w14:textId="77777777" w:rsidR="00507C08" w:rsidRPr="00AB530F" w:rsidRDefault="00507C08" w:rsidP="00AB530F">
      <w:pPr>
        <w:pStyle w:val="Footer"/>
      </w:pPr>
    </w:p>
  </w:footnote>
  <w:footnote w:id="2">
    <w:p w14:paraId="27A0D04D" w14:textId="77777777" w:rsidR="000F6432" w:rsidRPr="00F86555" w:rsidRDefault="00734E6E">
      <w:pPr>
        <w:pStyle w:val="FootnoteText"/>
        <w:rPr>
          <w:lang w:val="es-ES"/>
        </w:rPr>
      </w:pPr>
      <w:r>
        <w:rPr>
          <w:rStyle w:val="FootnoteReference"/>
        </w:rPr>
        <w:footnoteRef/>
      </w:r>
      <w:r w:rsidRPr="00F86555">
        <w:rPr>
          <w:lang w:val="es-ES"/>
        </w:rPr>
        <w:t xml:space="preserve"> en su quincuagésima séptima sesión, celebrada en Antalya, Turquía, del 1 al 5 de mayo de 2023.</w:t>
      </w:r>
    </w:p>
  </w:footnote>
  <w:footnote w:id="3">
    <w:p w14:paraId="5F63E62C" w14:textId="77777777" w:rsidR="000F6432" w:rsidRPr="00F86555" w:rsidRDefault="00734E6E">
      <w:pPr>
        <w:pStyle w:val="FootnoteText"/>
        <w:rPr>
          <w:lang w:val="es-ES"/>
        </w:rPr>
      </w:pPr>
      <w:r>
        <w:rPr>
          <w:rStyle w:val="FootnoteReference"/>
        </w:rPr>
        <w:footnoteRef/>
      </w:r>
      <w:r w:rsidRPr="00F86555">
        <w:rPr>
          <w:lang w:val="es-ES"/>
        </w:rPr>
        <w:t xml:space="preserve"> en su quincuagésima segunda sesión, celebrada por vía electrónica, del 22 al 26 de mayo de 2023.</w:t>
      </w:r>
    </w:p>
  </w:footnote>
  <w:footnote w:id="4">
    <w:p w14:paraId="16821BC6" w14:textId="77777777" w:rsidR="000F6432" w:rsidRPr="00F86555" w:rsidRDefault="00734E6E">
      <w:pPr>
        <w:pStyle w:val="FootnoteText"/>
        <w:rPr>
          <w:lang w:val="es-ES"/>
        </w:rPr>
      </w:pPr>
      <w:r>
        <w:rPr>
          <w:rStyle w:val="FootnoteReference"/>
        </w:rPr>
        <w:footnoteRef/>
      </w:r>
      <w:r w:rsidRPr="00F86555">
        <w:rPr>
          <w:lang w:val="es-ES"/>
        </w:rPr>
        <w:t xml:space="preserve"> en su quincuagésima quinta sesión, celebrada por vía electrónica, del 12 al 16 de junio de 2023.</w:t>
      </w:r>
    </w:p>
  </w:footnote>
  <w:footnote w:id="5">
    <w:p w14:paraId="18704317" w14:textId="77777777" w:rsidR="000F6432" w:rsidRPr="00F86555" w:rsidRDefault="00734E6E">
      <w:pPr>
        <w:pStyle w:val="FootnoteText"/>
        <w:rPr>
          <w:lang w:val="es-ES"/>
        </w:rPr>
      </w:pPr>
      <w:r>
        <w:rPr>
          <w:rStyle w:val="FootnoteReference"/>
        </w:rPr>
        <w:footnoteRef/>
      </w:r>
      <w:r w:rsidRPr="00F86555">
        <w:rPr>
          <w:lang w:val="es-ES"/>
        </w:rPr>
        <w:t xml:space="preserve"> en su quincuagésima cuarta sesión, celebrada en Nimes, Francia, del 3 al 7 de julio de 2023</w:t>
      </w:r>
    </w:p>
  </w:footnote>
  <w:footnote w:id="6">
    <w:p w14:paraId="25CA79C3" w14:textId="77777777" w:rsidR="000F6432" w:rsidRPr="00F86555" w:rsidRDefault="00734E6E">
      <w:pPr>
        <w:pStyle w:val="FootnoteText"/>
        <w:rPr>
          <w:lang w:val="es-ES"/>
        </w:rPr>
      </w:pPr>
      <w:r>
        <w:rPr>
          <w:rStyle w:val="FootnoteReference"/>
        </w:rPr>
        <w:footnoteRef/>
      </w:r>
      <w:r w:rsidRPr="00F86555">
        <w:rPr>
          <w:lang w:val="es-ES"/>
        </w:rPr>
        <w:t xml:space="preserve"> en su quincuagésima cuarta sesión, celebrada en Nimes, Francia, del 3 al 7 de julio de 2023</w:t>
      </w:r>
    </w:p>
  </w:footnote>
  <w:footnote w:id="7">
    <w:p w14:paraId="63ADEE5A" w14:textId="77777777" w:rsidR="000F6432" w:rsidRPr="00F86555" w:rsidRDefault="00734E6E">
      <w:pPr>
        <w:pStyle w:val="FootnoteText"/>
        <w:rPr>
          <w:lang w:val="es-ES"/>
        </w:rPr>
      </w:pPr>
      <w:r>
        <w:rPr>
          <w:rStyle w:val="FootnoteReference"/>
        </w:rPr>
        <w:footnoteRef/>
      </w:r>
      <w:r w:rsidRPr="00F86555">
        <w:rPr>
          <w:rFonts w:eastAsia="MS Mincho"/>
          <w:lang w:val="es-ES"/>
        </w:rPr>
        <w:t xml:space="preserve"> celebrada por vía electrónica, del 12 al 16 de junio de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F61D" w14:textId="77777777" w:rsidR="000F6432" w:rsidRDefault="00734E6E">
    <w:pPr>
      <w:pStyle w:val="Header"/>
      <w:rPr>
        <w:rStyle w:val="PageNumber"/>
        <w:lang w:val="en-US"/>
      </w:rPr>
    </w:pPr>
    <w:r>
      <w:rPr>
        <w:rStyle w:val="PageNumber"/>
        <w:lang w:val="en-US"/>
      </w:rPr>
      <w:t>TC/59/3</w:t>
    </w:r>
  </w:p>
  <w:p w14:paraId="5E0892B2" w14:textId="77777777" w:rsidR="000F6432" w:rsidRDefault="00734E6E">
    <w:pPr>
      <w:pStyle w:val="Header"/>
      <w:rPr>
        <w:lang w:val="en-US"/>
      </w:rPr>
    </w:pP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3189F">
      <w:rPr>
        <w:rStyle w:val="PageNumber"/>
        <w:noProof/>
        <w:lang w:val="en-US"/>
      </w:rPr>
      <w:t>4</w:t>
    </w:r>
    <w:r w:rsidRPr="00C5280D">
      <w:rPr>
        <w:rStyle w:val="PageNumber"/>
        <w:lang w:val="en-US"/>
      </w:rPr>
      <w:fldChar w:fldCharType="end"/>
    </w:r>
  </w:p>
  <w:p w14:paraId="09F0A08B" w14:textId="77777777" w:rsidR="00507C08" w:rsidRPr="00C5280D" w:rsidRDefault="00507C08"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C3C3" w14:textId="77777777" w:rsidR="00507C08" w:rsidRPr="0004198B" w:rsidRDefault="00507C08"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A753E"/>
    <w:multiLevelType w:val="hybridMultilevel"/>
    <w:tmpl w:val="F4866BFE"/>
    <w:lvl w:ilvl="0" w:tplc="545A88D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 w15:restartNumberingAfterBreak="0">
    <w:nsid w:val="77F4303E"/>
    <w:multiLevelType w:val="hybridMultilevel"/>
    <w:tmpl w:val="D65C2250"/>
    <w:lvl w:ilvl="0" w:tplc="FFFFFFFF">
      <w:start w:val="1"/>
      <w:numFmt w:val="lowerLetter"/>
      <w:lvlText w:val="(%1)"/>
      <w:lvlJc w:val="left"/>
      <w:pPr>
        <w:ind w:left="927" w:hanging="360"/>
      </w:pPr>
      <w:rPr>
        <w:rFonts w:eastAsia="MS Mincho"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7C2A305E"/>
    <w:multiLevelType w:val="hybridMultilevel"/>
    <w:tmpl w:val="76949C28"/>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num w:numId="1" w16cid:durableId="2118593788">
    <w:abstractNumId w:val="1"/>
  </w:num>
  <w:num w:numId="2" w16cid:durableId="461117863">
    <w:abstractNumId w:val="3"/>
  </w:num>
  <w:num w:numId="3" w16cid:durableId="925186975">
    <w:abstractNumId w:val="0"/>
  </w:num>
  <w:num w:numId="4" w16cid:durableId="1901014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EE6"/>
    <w:rsid w:val="00010CF3"/>
    <w:rsid w:val="00011E27"/>
    <w:rsid w:val="000148BC"/>
    <w:rsid w:val="00015B59"/>
    <w:rsid w:val="00024AB8"/>
    <w:rsid w:val="00030854"/>
    <w:rsid w:val="00036028"/>
    <w:rsid w:val="0004198B"/>
    <w:rsid w:val="00044642"/>
    <w:rsid w:val="000446B9"/>
    <w:rsid w:val="00047E21"/>
    <w:rsid w:val="00050E16"/>
    <w:rsid w:val="00085505"/>
    <w:rsid w:val="000A5667"/>
    <w:rsid w:val="000C4E25"/>
    <w:rsid w:val="000C7021"/>
    <w:rsid w:val="000D6BBC"/>
    <w:rsid w:val="000D7780"/>
    <w:rsid w:val="000E636A"/>
    <w:rsid w:val="000F2F11"/>
    <w:rsid w:val="000F6432"/>
    <w:rsid w:val="00100A5F"/>
    <w:rsid w:val="00105929"/>
    <w:rsid w:val="00110BED"/>
    <w:rsid w:val="00110C36"/>
    <w:rsid w:val="001131D5"/>
    <w:rsid w:val="00114381"/>
    <w:rsid w:val="00114547"/>
    <w:rsid w:val="00122D63"/>
    <w:rsid w:val="00141DB8"/>
    <w:rsid w:val="0014420C"/>
    <w:rsid w:val="001671B1"/>
    <w:rsid w:val="00172084"/>
    <w:rsid w:val="0017474A"/>
    <w:rsid w:val="001758C6"/>
    <w:rsid w:val="00182B99"/>
    <w:rsid w:val="001B650F"/>
    <w:rsid w:val="001C1525"/>
    <w:rsid w:val="002078DF"/>
    <w:rsid w:val="0021332C"/>
    <w:rsid w:val="00213982"/>
    <w:rsid w:val="0024416D"/>
    <w:rsid w:val="00253176"/>
    <w:rsid w:val="00271911"/>
    <w:rsid w:val="00273187"/>
    <w:rsid w:val="00274F1A"/>
    <w:rsid w:val="002800A0"/>
    <w:rsid w:val="002801B3"/>
    <w:rsid w:val="00281060"/>
    <w:rsid w:val="00284050"/>
    <w:rsid w:val="00285BD0"/>
    <w:rsid w:val="002940E8"/>
    <w:rsid w:val="00294751"/>
    <w:rsid w:val="002A6E50"/>
    <w:rsid w:val="002B4298"/>
    <w:rsid w:val="002B7A36"/>
    <w:rsid w:val="002C10D1"/>
    <w:rsid w:val="002C256A"/>
    <w:rsid w:val="002D5226"/>
    <w:rsid w:val="002E4DBD"/>
    <w:rsid w:val="00305A7F"/>
    <w:rsid w:val="003152FE"/>
    <w:rsid w:val="00327436"/>
    <w:rsid w:val="00342FEC"/>
    <w:rsid w:val="00344BD6"/>
    <w:rsid w:val="00350522"/>
    <w:rsid w:val="0035528D"/>
    <w:rsid w:val="00361821"/>
    <w:rsid w:val="00361E9E"/>
    <w:rsid w:val="00372918"/>
    <w:rsid w:val="003753EE"/>
    <w:rsid w:val="003969E5"/>
    <w:rsid w:val="003A0835"/>
    <w:rsid w:val="003A5AAF"/>
    <w:rsid w:val="003B700A"/>
    <w:rsid w:val="003C7FBE"/>
    <w:rsid w:val="003D0839"/>
    <w:rsid w:val="003D227C"/>
    <w:rsid w:val="003D2B4D"/>
    <w:rsid w:val="003F37F5"/>
    <w:rsid w:val="003F645F"/>
    <w:rsid w:val="00413B4E"/>
    <w:rsid w:val="00444A88"/>
    <w:rsid w:val="00445B73"/>
    <w:rsid w:val="00454CCD"/>
    <w:rsid w:val="00460EF9"/>
    <w:rsid w:val="00474DA4"/>
    <w:rsid w:val="00476B4D"/>
    <w:rsid w:val="004805FA"/>
    <w:rsid w:val="004935D2"/>
    <w:rsid w:val="00496EE6"/>
    <w:rsid w:val="004B1215"/>
    <w:rsid w:val="004D047D"/>
    <w:rsid w:val="004D1334"/>
    <w:rsid w:val="004F1E9E"/>
    <w:rsid w:val="004F305A"/>
    <w:rsid w:val="00507C08"/>
    <w:rsid w:val="00512164"/>
    <w:rsid w:val="00520297"/>
    <w:rsid w:val="005338F9"/>
    <w:rsid w:val="0054281C"/>
    <w:rsid w:val="00544581"/>
    <w:rsid w:val="0055268D"/>
    <w:rsid w:val="00575DE2"/>
    <w:rsid w:val="00576BE4"/>
    <w:rsid w:val="005779DB"/>
    <w:rsid w:val="00581447"/>
    <w:rsid w:val="00594B53"/>
    <w:rsid w:val="005A2A67"/>
    <w:rsid w:val="005A400A"/>
    <w:rsid w:val="005B269D"/>
    <w:rsid w:val="005F7B92"/>
    <w:rsid w:val="006053EE"/>
    <w:rsid w:val="00612379"/>
    <w:rsid w:val="006153B6"/>
    <w:rsid w:val="0061555F"/>
    <w:rsid w:val="006229B7"/>
    <w:rsid w:val="006245ED"/>
    <w:rsid w:val="00636CA6"/>
    <w:rsid w:val="006404F7"/>
    <w:rsid w:val="00641200"/>
    <w:rsid w:val="00645CA8"/>
    <w:rsid w:val="00647E8C"/>
    <w:rsid w:val="006655D3"/>
    <w:rsid w:val="00667404"/>
    <w:rsid w:val="00687EB4"/>
    <w:rsid w:val="00695C56"/>
    <w:rsid w:val="006A5CDE"/>
    <w:rsid w:val="006A644A"/>
    <w:rsid w:val="006A7772"/>
    <w:rsid w:val="006B053C"/>
    <w:rsid w:val="006B17D2"/>
    <w:rsid w:val="006C224E"/>
    <w:rsid w:val="006D780A"/>
    <w:rsid w:val="006E1E47"/>
    <w:rsid w:val="00700DDA"/>
    <w:rsid w:val="00710B5E"/>
    <w:rsid w:val="0071271E"/>
    <w:rsid w:val="00732DEC"/>
    <w:rsid w:val="00734E6E"/>
    <w:rsid w:val="00735BD5"/>
    <w:rsid w:val="007451EC"/>
    <w:rsid w:val="00751613"/>
    <w:rsid w:val="00753EE9"/>
    <w:rsid w:val="007556F6"/>
    <w:rsid w:val="00760EEF"/>
    <w:rsid w:val="00777EE5"/>
    <w:rsid w:val="00784836"/>
    <w:rsid w:val="007875B0"/>
    <w:rsid w:val="0079023E"/>
    <w:rsid w:val="007A2854"/>
    <w:rsid w:val="007A2C97"/>
    <w:rsid w:val="007C1D92"/>
    <w:rsid w:val="007C4CB9"/>
    <w:rsid w:val="007D0B9D"/>
    <w:rsid w:val="007D19B0"/>
    <w:rsid w:val="007E6DE2"/>
    <w:rsid w:val="007F498F"/>
    <w:rsid w:val="00804AEC"/>
    <w:rsid w:val="0080679D"/>
    <w:rsid w:val="008108B0"/>
    <w:rsid w:val="00811B20"/>
    <w:rsid w:val="00812609"/>
    <w:rsid w:val="00812D53"/>
    <w:rsid w:val="008211B5"/>
    <w:rsid w:val="0082296E"/>
    <w:rsid w:val="00823C2E"/>
    <w:rsid w:val="00824099"/>
    <w:rsid w:val="0083189F"/>
    <w:rsid w:val="00846D7C"/>
    <w:rsid w:val="00867AC1"/>
    <w:rsid w:val="008751DE"/>
    <w:rsid w:val="00890DF8"/>
    <w:rsid w:val="00891FC3"/>
    <w:rsid w:val="00893F9F"/>
    <w:rsid w:val="008A0ADE"/>
    <w:rsid w:val="008A743F"/>
    <w:rsid w:val="008C0970"/>
    <w:rsid w:val="008D02AC"/>
    <w:rsid w:val="008D0BC5"/>
    <w:rsid w:val="008D2CF7"/>
    <w:rsid w:val="00900C26"/>
    <w:rsid w:val="00901791"/>
    <w:rsid w:val="00901942"/>
    <w:rsid w:val="0090197F"/>
    <w:rsid w:val="00903264"/>
    <w:rsid w:val="0090404E"/>
    <w:rsid w:val="00904B56"/>
    <w:rsid w:val="00906DDC"/>
    <w:rsid w:val="00913553"/>
    <w:rsid w:val="00914A66"/>
    <w:rsid w:val="00921C3F"/>
    <w:rsid w:val="0092478F"/>
    <w:rsid w:val="00934E09"/>
    <w:rsid w:val="00936253"/>
    <w:rsid w:val="00940D46"/>
    <w:rsid w:val="009413F1"/>
    <w:rsid w:val="00952DD4"/>
    <w:rsid w:val="009561F4"/>
    <w:rsid w:val="00965AE7"/>
    <w:rsid w:val="00970FED"/>
    <w:rsid w:val="00985E41"/>
    <w:rsid w:val="00990799"/>
    <w:rsid w:val="00992D82"/>
    <w:rsid w:val="00997029"/>
    <w:rsid w:val="009A7339"/>
    <w:rsid w:val="009A78BB"/>
    <w:rsid w:val="009B440E"/>
    <w:rsid w:val="009D690D"/>
    <w:rsid w:val="009E65B6"/>
    <w:rsid w:val="009F0A51"/>
    <w:rsid w:val="009F0B7F"/>
    <w:rsid w:val="009F44A5"/>
    <w:rsid w:val="009F77CF"/>
    <w:rsid w:val="00A12795"/>
    <w:rsid w:val="00A24C10"/>
    <w:rsid w:val="00A273D0"/>
    <w:rsid w:val="00A42AC3"/>
    <w:rsid w:val="00A430CF"/>
    <w:rsid w:val="00A54309"/>
    <w:rsid w:val="00A55168"/>
    <w:rsid w:val="00A610A9"/>
    <w:rsid w:val="00A72F82"/>
    <w:rsid w:val="00A80F2A"/>
    <w:rsid w:val="00A96C33"/>
    <w:rsid w:val="00AB2B93"/>
    <w:rsid w:val="00AB530F"/>
    <w:rsid w:val="00AB7E5B"/>
    <w:rsid w:val="00AC2883"/>
    <w:rsid w:val="00AD6CF4"/>
    <w:rsid w:val="00AE0EF1"/>
    <w:rsid w:val="00AE2937"/>
    <w:rsid w:val="00B01755"/>
    <w:rsid w:val="00B07301"/>
    <w:rsid w:val="00B11F3E"/>
    <w:rsid w:val="00B17CD7"/>
    <w:rsid w:val="00B224DE"/>
    <w:rsid w:val="00B324D4"/>
    <w:rsid w:val="00B46575"/>
    <w:rsid w:val="00B61777"/>
    <w:rsid w:val="00B622E6"/>
    <w:rsid w:val="00B83E82"/>
    <w:rsid w:val="00B84BBD"/>
    <w:rsid w:val="00BA43FB"/>
    <w:rsid w:val="00BB26DB"/>
    <w:rsid w:val="00BC127D"/>
    <w:rsid w:val="00BC1FE6"/>
    <w:rsid w:val="00BF1B0A"/>
    <w:rsid w:val="00C061B6"/>
    <w:rsid w:val="00C236D0"/>
    <w:rsid w:val="00C24005"/>
    <w:rsid w:val="00C2446C"/>
    <w:rsid w:val="00C36AE5"/>
    <w:rsid w:val="00C41F17"/>
    <w:rsid w:val="00C527FA"/>
    <w:rsid w:val="00C5280D"/>
    <w:rsid w:val="00C53EB3"/>
    <w:rsid w:val="00C5791C"/>
    <w:rsid w:val="00C66290"/>
    <w:rsid w:val="00C72B7A"/>
    <w:rsid w:val="00C9015E"/>
    <w:rsid w:val="00C973F2"/>
    <w:rsid w:val="00CA304C"/>
    <w:rsid w:val="00CA774A"/>
    <w:rsid w:val="00CB4921"/>
    <w:rsid w:val="00CC11B0"/>
    <w:rsid w:val="00CC2841"/>
    <w:rsid w:val="00CF1330"/>
    <w:rsid w:val="00CF7E36"/>
    <w:rsid w:val="00D3708D"/>
    <w:rsid w:val="00D40426"/>
    <w:rsid w:val="00D4447E"/>
    <w:rsid w:val="00D57C96"/>
    <w:rsid w:val="00D57D18"/>
    <w:rsid w:val="00D62C7A"/>
    <w:rsid w:val="00D70E65"/>
    <w:rsid w:val="00D91203"/>
    <w:rsid w:val="00D95174"/>
    <w:rsid w:val="00DA4973"/>
    <w:rsid w:val="00DA6F36"/>
    <w:rsid w:val="00DB596E"/>
    <w:rsid w:val="00DB7773"/>
    <w:rsid w:val="00DC00EA"/>
    <w:rsid w:val="00DC0B4F"/>
    <w:rsid w:val="00DC3802"/>
    <w:rsid w:val="00DD6208"/>
    <w:rsid w:val="00DF7E99"/>
    <w:rsid w:val="00E07D87"/>
    <w:rsid w:val="00E249C8"/>
    <w:rsid w:val="00E32F7E"/>
    <w:rsid w:val="00E5267B"/>
    <w:rsid w:val="00E559F0"/>
    <w:rsid w:val="00E63C0E"/>
    <w:rsid w:val="00E72D49"/>
    <w:rsid w:val="00E7593C"/>
    <w:rsid w:val="00E7678A"/>
    <w:rsid w:val="00E81BE2"/>
    <w:rsid w:val="00E935F1"/>
    <w:rsid w:val="00E938D2"/>
    <w:rsid w:val="00E94A81"/>
    <w:rsid w:val="00EA1FFB"/>
    <w:rsid w:val="00EB048E"/>
    <w:rsid w:val="00EB4E9C"/>
    <w:rsid w:val="00EC634B"/>
    <w:rsid w:val="00EE0039"/>
    <w:rsid w:val="00EE34DF"/>
    <w:rsid w:val="00EF2F89"/>
    <w:rsid w:val="00F03E98"/>
    <w:rsid w:val="00F056A3"/>
    <w:rsid w:val="00F11635"/>
    <w:rsid w:val="00F1237A"/>
    <w:rsid w:val="00F12AD9"/>
    <w:rsid w:val="00F14665"/>
    <w:rsid w:val="00F22CBD"/>
    <w:rsid w:val="00F272F1"/>
    <w:rsid w:val="00F31412"/>
    <w:rsid w:val="00F37B39"/>
    <w:rsid w:val="00F45372"/>
    <w:rsid w:val="00F560F7"/>
    <w:rsid w:val="00F6334D"/>
    <w:rsid w:val="00F63599"/>
    <w:rsid w:val="00F71781"/>
    <w:rsid w:val="00F86555"/>
    <w:rsid w:val="00FA49AB"/>
    <w:rsid w:val="00FA49CC"/>
    <w:rsid w:val="00FC5FD0"/>
    <w:rsid w:val="00FE39C7"/>
    <w:rsid w:val="00FF2F34"/>
    <w:rsid w:val="00FF4D07"/>
    <w:rsid w:val="00FF7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03B6D76"/>
  <w15:docId w15:val="{0E041C53-2CB6-4611-A4F0-A42E41B6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734E6E"/>
    <w:pPr>
      <w:keepNext/>
      <w:tabs>
        <w:tab w:val="right" w:leader="dot" w:pos="9639"/>
      </w:tabs>
      <w:ind w:left="568" w:right="851" w:hanging="284"/>
      <w:contextualSpacing/>
      <w:jc w:val="left"/>
    </w:pPr>
    <w:rPr>
      <w:sz w:val="18"/>
    </w:rPr>
  </w:style>
  <w:style w:type="paragraph" w:styleId="TOC3">
    <w:name w:val="toc 3"/>
    <w:next w:val="Normal"/>
    <w:autoRedefine/>
    <w:uiPriority w:val="39"/>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F14665"/>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C9015E"/>
    <w:rPr>
      <w:rFonts w:ascii="Arial" w:hAnsi="Arial"/>
      <w:caps/>
    </w:rPr>
  </w:style>
  <w:style w:type="character" w:customStyle="1" w:styleId="Heading2Char">
    <w:name w:val="Heading 2 Char"/>
    <w:basedOn w:val="DefaultParagraphFont"/>
    <w:link w:val="Heading2"/>
    <w:rsid w:val="00C9015E"/>
    <w:rPr>
      <w:rFonts w:ascii="Arial" w:hAnsi="Arial"/>
      <w:u w:val="single"/>
    </w:rPr>
  </w:style>
  <w:style w:type="character" w:customStyle="1" w:styleId="FootnoteTextChar">
    <w:name w:val="Footnote Text Char"/>
    <w:basedOn w:val="DefaultParagraphFont"/>
    <w:link w:val="FootnoteText"/>
    <w:rsid w:val="00C9015E"/>
    <w:rPr>
      <w:rFonts w:ascii="Arial" w:hAnsi="Arial"/>
      <w:sz w:val="16"/>
    </w:rPr>
  </w:style>
  <w:style w:type="paragraph" w:styleId="CommentText">
    <w:name w:val="annotation text"/>
    <w:basedOn w:val="Normal"/>
    <w:link w:val="CommentTextChar"/>
    <w:semiHidden/>
    <w:unhideWhenUsed/>
    <w:rsid w:val="00901942"/>
  </w:style>
  <w:style w:type="character" w:customStyle="1" w:styleId="CommentTextChar">
    <w:name w:val="Comment Text Char"/>
    <w:basedOn w:val="DefaultParagraphFont"/>
    <w:link w:val="CommentText"/>
    <w:semiHidden/>
    <w:rsid w:val="00901942"/>
    <w:rPr>
      <w:rFonts w:ascii="Arial" w:hAnsi="Arial"/>
    </w:rPr>
  </w:style>
  <w:style w:type="character" w:customStyle="1" w:styleId="ListParagraphChar">
    <w:name w:val="List Paragraph Char"/>
    <w:aliases w:val="auto_list_(i) Char,List Paragraph1 Char"/>
    <w:basedOn w:val="DefaultParagraphFont"/>
    <w:link w:val="ListParagraph"/>
    <w:uiPriority w:val="34"/>
    <w:locked/>
    <w:rsid w:val="00253176"/>
    <w:rPr>
      <w:rFonts w:ascii="Arial" w:eastAsia="MS Mincho" w:hAnsi="Arial" w:cs="Arial"/>
    </w:rPr>
  </w:style>
  <w:style w:type="paragraph" w:styleId="ListParagraph">
    <w:name w:val="List Paragraph"/>
    <w:aliases w:val="auto_list_(i),List Paragraph1"/>
    <w:basedOn w:val="Normal"/>
    <w:link w:val="ListParagraphChar"/>
    <w:uiPriority w:val="34"/>
    <w:qFormat/>
    <w:rsid w:val="00253176"/>
    <w:pPr>
      <w:ind w:left="720"/>
      <w:contextualSpacing/>
    </w:pPr>
    <w:rPr>
      <w:rFonts w:eastAsia="MS Mincho" w:cs="Arial"/>
    </w:rPr>
  </w:style>
  <w:style w:type="paragraph" w:styleId="Revision">
    <w:name w:val="Revision"/>
    <w:hidden/>
    <w:uiPriority w:val="99"/>
    <w:semiHidden/>
    <w:rsid w:val="00891FC3"/>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35314">
      <w:bodyDiv w:val="1"/>
      <w:marLeft w:val="0"/>
      <w:marRight w:val="0"/>
      <w:marTop w:val="0"/>
      <w:marBottom w:val="0"/>
      <w:divBdr>
        <w:top w:val="none" w:sz="0" w:space="0" w:color="auto"/>
        <w:left w:val="none" w:sz="0" w:space="0" w:color="auto"/>
        <w:bottom w:val="none" w:sz="0" w:space="0" w:color="auto"/>
        <w:right w:val="none" w:sz="0" w:space="0" w:color="auto"/>
      </w:divBdr>
    </w:div>
    <w:div w:id="690181545">
      <w:bodyDiv w:val="1"/>
      <w:marLeft w:val="0"/>
      <w:marRight w:val="0"/>
      <w:marTop w:val="0"/>
      <w:marBottom w:val="0"/>
      <w:divBdr>
        <w:top w:val="none" w:sz="0" w:space="0" w:color="auto"/>
        <w:left w:val="none" w:sz="0" w:space="0" w:color="auto"/>
        <w:bottom w:val="none" w:sz="0" w:space="0" w:color="auto"/>
        <w:right w:val="none" w:sz="0" w:space="0" w:color="auto"/>
      </w:divBdr>
    </w:div>
    <w:div w:id="1182666680">
      <w:bodyDiv w:val="1"/>
      <w:marLeft w:val="0"/>
      <w:marRight w:val="0"/>
      <w:marTop w:val="0"/>
      <w:marBottom w:val="0"/>
      <w:divBdr>
        <w:top w:val="none" w:sz="0" w:space="0" w:color="auto"/>
        <w:left w:val="none" w:sz="0" w:space="0" w:color="auto"/>
        <w:bottom w:val="none" w:sz="0" w:space="0" w:color="auto"/>
        <w:right w:val="none" w:sz="0" w:space="0" w:color="auto"/>
      </w:divBdr>
    </w:div>
    <w:div w:id="1381399102">
      <w:bodyDiv w:val="1"/>
      <w:marLeft w:val="0"/>
      <w:marRight w:val="0"/>
      <w:marTop w:val="0"/>
      <w:marBottom w:val="0"/>
      <w:divBdr>
        <w:top w:val="none" w:sz="0" w:space="0" w:color="auto"/>
        <w:left w:val="none" w:sz="0" w:space="0" w:color="auto"/>
        <w:bottom w:val="none" w:sz="0" w:space="0" w:color="auto"/>
        <w:right w:val="none" w:sz="0" w:space="0" w:color="auto"/>
      </w:divBdr>
    </w:div>
    <w:div w:id="1666131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9%20(2023)\templates\routing_slip_with_doc_tc_5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1ED30-7061-4D26-899D-4279BD2B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routing_slip_with_doc_tc_59</Template>
  <TotalTime>0</TotalTime>
  <Pages>5</Pages>
  <Words>2363</Words>
  <Characters>13522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TC/59/3</vt:lpstr>
    </vt:vector>
  </TitlesOfParts>
  <Company>UPOV</Company>
  <LinksUpToDate>false</LinksUpToDate>
  <CharactersWithSpaces>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TC/59/3</dc:title>
  <dc:creator>MAY Jessica</dc:creator>
  <cp:keywords>, docId:AB345401055DA8FA9AEBBF23F98958AE</cp:keywords>
  <cp:lastModifiedBy>MAY Jessica</cp:lastModifiedBy>
  <cp:revision>7</cp:revision>
  <cp:lastPrinted>2016-11-22T15:41:00Z</cp:lastPrinted>
  <dcterms:created xsi:type="dcterms:W3CDTF">2023-09-14T08:09:00Z</dcterms:created>
  <dcterms:modified xsi:type="dcterms:W3CDTF">2023-09-14T08:45:00Z</dcterms:modified>
</cp:coreProperties>
</file>