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632D1" w:rsidTr="00EB4E9C">
        <w:tc>
          <w:tcPr>
            <w:tcW w:w="6522" w:type="dxa"/>
          </w:tcPr>
          <w:p w:rsidR="00DC3802" w:rsidRPr="006632D1" w:rsidRDefault="00DC3802" w:rsidP="00B17B1A">
            <w:pPr>
              <w:rPr>
                <w:dstrike/>
              </w:rPr>
            </w:pPr>
            <w:r w:rsidRPr="00B17B1A">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17B1A" w:rsidRDefault="002E5944" w:rsidP="00AC2883">
            <w:pPr>
              <w:pStyle w:val="Lettrine"/>
            </w:pPr>
            <w:r w:rsidRPr="00B17B1A">
              <w:t>S</w:t>
            </w:r>
          </w:p>
        </w:tc>
      </w:tr>
      <w:tr w:rsidR="00DC3802" w:rsidRPr="006632D1" w:rsidTr="00645CA8">
        <w:trPr>
          <w:trHeight w:val="219"/>
        </w:trPr>
        <w:tc>
          <w:tcPr>
            <w:tcW w:w="6522" w:type="dxa"/>
          </w:tcPr>
          <w:p w:rsidR="00DC3802" w:rsidRPr="006632D1" w:rsidRDefault="002E5944" w:rsidP="00BC0BD4">
            <w:pPr>
              <w:pStyle w:val="upove"/>
              <w:rPr>
                <w:dstrike/>
              </w:rPr>
            </w:pPr>
            <w:r w:rsidRPr="00B17B1A">
              <w:t>Unión Internacional para la Protección de las Obtenciones Vegetales</w:t>
            </w:r>
          </w:p>
        </w:tc>
        <w:tc>
          <w:tcPr>
            <w:tcW w:w="3117" w:type="dxa"/>
          </w:tcPr>
          <w:p w:rsidR="00DC3802" w:rsidRPr="00B17B1A" w:rsidRDefault="00DC3802" w:rsidP="00DA4973"/>
        </w:tc>
      </w:tr>
    </w:tbl>
    <w:p w:rsidR="00095775" w:rsidRDefault="00095775" w:rsidP="00DC3802"/>
    <w:p w:rsidR="00DA4973" w:rsidRPr="00B17B1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632D1" w:rsidTr="00EB4E9C">
        <w:tc>
          <w:tcPr>
            <w:tcW w:w="6512" w:type="dxa"/>
          </w:tcPr>
          <w:p w:rsidR="00095775" w:rsidRDefault="002E5944" w:rsidP="00AC2883">
            <w:pPr>
              <w:pStyle w:val="Sessiontc"/>
              <w:spacing w:line="240" w:lineRule="auto"/>
            </w:pPr>
            <w:r w:rsidRPr="00B17B1A">
              <w:t>Comité Técnico</w:t>
            </w:r>
          </w:p>
          <w:p w:rsidR="00095775" w:rsidRDefault="002E5944" w:rsidP="00324098">
            <w:pPr>
              <w:pStyle w:val="Sessiontcplacedate"/>
            </w:pPr>
            <w:r w:rsidRPr="00B17B1A">
              <w:t xml:space="preserve">Quincuagésima </w:t>
            </w:r>
            <w:r w:rsidR="002458C3" w:rsidRPr="00B17B1A">
              <w:t>octava</w:t>
            </w:r>
            <w:r w:rsidRPr="00B17B1A">
              <w:t xml:space="preserve"> sesión</w:t>
            </w:r>
          </w:p>
          <w:p w:rsidR="00EB4E9C" w:rsidRPr="006632D1" w:rsidRDefault="002E5944" w:rsidP="00324098">
            <w:pPr>
              <w:pStyle w:val="Sessiontcplacedate"/>
              <w:rPr>
                <w:dstrike/>
                <w:sz w:val="22"/>
              </w:rPr>
            </w:pPr>
            <w:r w:rsidRPr="00B17B1A">
              <w:t>Ginebra</w:t>
            </w:r>
            <w:r w:rsidR="00EB4E9C" w:rsidRPr="00B17B1A">
              <w:t xml:space="preserve">, </w:t>
            </w:r>
            <w:r w:rsidR="002458C3" w:rsidRPr="00B17B1A">
              <w:t>24</w:t>
            </w:r>
            <w:r w:rsidR="005A1EC1" w:rsidRPr="00B17B1A">
              <w:t xml:space="preserve"> y </w:t>
            </w:r>
            <w:r w:rsidR="002458C3" w:rsidRPr="00B17B1A">
              <w:t>25</w:t>
            </w:r>
            <w:r w:rsidR="005A1EC1" w:rsidRPr="00B17B1A">
              <w:t xml:space="preserve"> de octubre </w:t>
            </w:r>
            <w:r w:rsidRPr="00B17B1A">
              <w:t>de</w:t>
            </w:r>
            <w:r w:rsidR="00A706D3" w:rsidRPr="00B17B1A">
              <w:t xml:space="preserve"> </w:t>
            </w:r>
            <w:r w:rsidR="002458C3" w:rsidRPr="00B17B1A">
              <w:t>2022</w:t>
            </w:r>
          </w:p>
        </w:tc>
        <w:tc>
          <w:tcPr>
            <w:tcW w:w="3127" w:type="dxa"/>
          </w:tcPr>
          <w:p w:rsidR="00095775" w:rsidRDefault="002458C3" w:rsidP="003C7FBE">
            <w:pPr>
              <w:pStyle w:val="Doccode"/>
              <w:rPr>
                <w:lang w:val="es-ES_tradnl"/>
              </w:rPr>
            </w:pPr>
            <w:r w:rsidRPr="00B17B1A">
              <w:rPr>
                <w:lang w:val="es-ES_tradnl"/>
              </w:rPr>
              <w:t>TC/58</w:t>
            </w:r>
            <w:r w:rsidR="00EB4E9C" w:rsidRPr="00B17B1A">
              <w:rPr>
                <w:lang w:val="es-ES_tradnl"/>
              </w:rPr>
              <w:t>/</w:t>
            </w:r>
            <w:r w:rsidR="006D4EAD" w:rsidRPr="00B17B1A">
              <w:rPr>
                <w:lang w:val="es-ES_tradnl"/>
              </w:rPr>
              <w:t>7</w:t>
            </w:r>
          </w:p>
          <w:p w:rsidR="00095775" w:rsidRDefault="00EB4E9C" w:rsidP="003C7FBE">
            <w:pPr>
              <w:pStyle w:val="Docoriginal"/>
            </w:pPr>
            <w:r w:rsidRPr="00B17B1A">
              <w:t>Original:</w:t>
            </w:r>
            <w:r w:rsidR="006D4EAD" w:rsidRPr="00B17B1A">
              <w:rPr>
                <w:b w:val="0"/>
                <w:spacing w:val="0"/>
              </w:rPr>
              <w:t xml:space="preserve"> </w:t>
            </w:r>
            <w:proofErr w:type="gramStart"/>
            <w:r w:rsidR="002E5944" w:rsidRPr="00B17B1A">
              <w:rPr>
                <w:b w:val="0"/>
                <w:spacing w:val="0"/>
              </w:rPr>
              <w:t>Inglés</w:t>
            </w:r>
            <w:proofErr w:type="gramEnd"/>
          </w:p>
          <w:p w:rsidR="00EB4E9C" w:rsidRPr="00B17B1A" w:rsidRDefault="002E5944" w:rsidP="006D4EAD">
            <w:pPr>
              <w:pStyle w:val="Docoriginal"/>
            </w:pPr>
            <w:r w:rsidRPr="00B17B1A">
              <w:t>Fecha</w:t>
            </w:r>
            <w:r w:rsidR="00EB4E9C" w:rsidRPr="00B17B1A">
              <w:t>:</w:t>
            </w:r>
            <w:r w:rsidR="006D4EAD" w:rsidRPr="00B17B1A">
              <w:rPr>
                <w:b w:val="0"/>
                <w:spacing w:val="0"/>
              </w:rPr>
              <w:t xml:space="preserve"> 6 de octubre </w:t>
            </w:r>
            <w:r w:rsidRPr="00B17B1A">
              <w:rPr>
                <w:b w:val="0"/>
                <w:spacing w:val="0"/>
              </w:rPr>
              <w:t xml:space="preserve">de </w:t>
            </w:r>
            <w:r w:rsidR="002458C3" w:rsidRPr="00B17B1A">
              <w:rPr>
                <w:b w:val="0"/>
                <w:spacing w:val="0"/>
              </w:rPr>
              <w:t>2022</w:t>
            </w:r>
          </w:p>
        </w:tc>
      </w:tr>
    </w:tbl>
    <w:p w:rsidR="00095775" w:rsidRDefault="00037C28" w:rsidP="006D3A03">
      <w:pPr>
        <w:pStyle w:val="Titleofdoc0"/>
      </w:pPr>
      <w:r w:rsidRPr="006D3A03">
        <w:t>Técnicas moleculares</w:t>
      </w:r>
    </w:p>
    <w:p w:rsidR="00095775" w:rsidRDefault="000638A9" w:rsidP="006A644A">
      <w:pPr>
        <w:pStyle w:val="preparedby1"/>
        <w:jc w:val="left"/>
      </w:pPr>
      <w:r w:rsidRPr="00B17B1A">
        <w:t>Documento preparado por la Oficina de la Unión</w:t>
      </w:r>
    </w:p>
    <w:p w:rsidR="00095775" w:rsidRDefault="000638A9" w:rsidP="006A644A">
      <w:pPr>
        <w:pStyle w:val="Disclaimer"/>
      </w:pPr>
      <w:r w:rsidRPr="00B17B1A">
        <w:t>Descargo de responsabilidad: el presente documento no constituye un documento de política u orientación de la UPOV</w:t>
      </w:r>
    </w:p>
    <w:p w:rsidR="00095775" w:rsidRDefault="00037C28" w:rsidP="006D4EAD">
      <w:pPr>
        <w:pStyle w:val="Heading1"/>
        <w:rPr>
          <w:snapToGrid w:val="0"/>
          <w:lang w:val="es-ES_tradnl" w:eastAsia="ja-JP"/>
        </w:rPr>
      </w:pPr>
      <w:bookmarkStart w:id="0" w:name="_Toc116635402"/>
      <w:r w:rsidRPr="006D3A03">
        <w:rPr>
          <w:snapToGrid w:val="0"/>
          <w:lang w:val="es-ES_tradnl" w:eastAsia="ja-JP"/>
        </w:rPr>
        <w:t>RESUMEN</w:t>
      </w:r>
      <w:bookmarkEnd w:id="0"/>
    </w:p>
    <w:p w:rsidR="00095775" w:rsidRDefault="00095775" w:rsidP="006D4EAD">
      <w:pPr>
        <w:rPr>
          <w:lang w:eastAsia="ja-JP"/>
        </w:rPr>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037C28" w:rsidRPr="006D3A03">
        <w:t>El presente documento tiene por finalidad informar de las novedades que se han producido en el ámbito de las técnicas moleculares e invitar al TC a examinar las propuestas referentes a:</w:t>
      </w:r>
      <w:r w:rsidR="006D4EAD" w:rsidRPr="00025F1B">
        <w:rPr>
          <w:snapToGrid w:val="0"/>
        </w:rPr>
        <w:t xml:space="preserve"> </w:t>
      </w:r>
      <w:r w:rsidR="006D3A03" w:rsidRPr="006D3A03">
        <w:rPr>
          <w:snapToGrid w:val="0"/>
        </w:rPr>
        <w:t>1) </w:t>
      </w:r>
      <w:r w:rsidR="00037C28" w:rsidRPr="006D3A03">
        <w:rPr>
          <w:snapToGrid w:val="0"/>
        </w:rPr>
        <w:t>la cooperación entre las organizaciones internacionales;</w:t>
      </w:r>
      <w:r w:rsidR="006D4EAD" w:rsidRPr="00025F1B">
        <w:rPr>
          <w:snapToGrid w:val="0"/>
        </w:rPr>
        <w:t xml:space="preserve"> </w:t>
      </w:r>
      <w:r w:rsidR="006D3A03" w:rsidRPr="006D3A03">
        <w:rPr>
          <w:snapToGrid w:val="0"/>
        </w:rPr>
        <w:t>2) </w:t>
      </w:r>
      <w:r w:rsidR="00037C28" w:rsidRPr="006D3A03">
        <w:rPr>
          <w:snapToGrid w:val="0"/>
        </w:rPr>
        <w:t>las sesiones para facilitar la cooperación en el uso de técnicas moleculares;</w:t>
      </w:r>
      <w:r w:rsidR="006D4EAD" w:rsidRPr="00037C28">
        <w:rPr>
          <w:snapToGrid w:val="0"/>
        </w:rPr>
        <w:t xml:space="preserve"> </w:t>
      </w:r>
      <w:r w:rsidR="006D3A03" w:rsidRPr="006D3A03">
        <w:rPr>
          <w:snapToGrid w:val="0"/>
        </w:rPr>
        <w:t>y 3) </w:t>
      </w:r>
      <w:r w:rsidR="00037C28" w:rsidRPr="006D3A03">
        <w:rPr>
          <w:snapToGrid w:val="0"/>
        </w:rPr>
        <w:t xml:space="preserve">la </w:t>
      </w:r>
      <w:r w:rsidR="00037C28" w:rsidRPr="006D3A03">
        <w:t xml:space="preserve">confidencialidad, la titularidad y el acceso a </w:t>
      </w:r>
      <w:r w:rsidR="006D3A03" w:rsidRPr="006D3A03">
        <w:t xml:space="preserve">los </w:t>
      </w:r>
      <w:r w:rsidR="00037C28" w:rsidRPr="006D3A03">
        <w:t>datos moleculares.</w:t>
      </w:r>
    </w:p>
    <w:p w:rsidR="00095775" w:rsidRDefault="00095775" w:rsidP="006D4EAD"/>
    <w:p w:rsidR="00095775" w:rsidRDefault="00D60C58" w:rsidP="006D4EAD">
      <w:pPr>
        <w:tabs>
          <w:tab w:val="left" w:pos="567"/>
          <w:tab w:val="left" w:pos="1134"/>
          <w:tab w:val="left" w:pos="5387"/>
          <w:tab w:val="left" w:pos="5954"/>
        </w:tabs>
      </w:pPr>
      <w:r w:rsidRPr="00025F1B">
        <w:fldChar w:fldCharType="begin"/>
      </w:r>
      <w:r w:rsidR="006D4EAD" w:rsidRPr="00025F1B">
        <w:instrText xml:space="preserve"> AUTONUM  </w:instrText>
      </w:r>
      <w:r w:rsidRPr="00025F1B">
        <w:fldChar w:fldCharType="end"/>
      </w:r>
      <w:r w:rsidR="006D4EAD" w:rsidRPr="00025F1B">
        <w:tab/>
      </w:r>
      <w:r w:rsidR="00037C28" w:rsidRPr="006D3A03">
        <w:t>Se invita al TC a:</w:t>
      </w:r>
    </w:p>
    <w:p w:rsidR="00095775" w:rsidRDefault="00095775" w:rsidP="007D508C">
      <w:pPr>
        <w:keepLines/>
        <w:tabs>
          <w:tab w:val="left" w:pos="567"/>
          <w:tab w:val="left" w:pos="1134"/>
          <w:tab w:val="left" w:pos="5387"/>
          <w:tab w:val="left" w:pos="5954"/>
        </w:tabs>
      </w:pPr>
    </w:p>
    <w:p w:rsidR="00095775" w:rsidRDefault="006D4EAD" w:rsidP="007D508C">
      <w:pPr>
        <w:keepLines/>
        <w:tabs>
          <w:tab w:val="left" w:pos="540"/>
          <w:tab w:val="left" w:pos="567"/>
        </w:tabs>
        <w:ind w:firstLine="540"/>
      </w:pPr>
      <w:r w:rsidRPr="00B17B1A">
        <w:t>a)</w:t>
      </w:r>
      <w:r w:rsidRPr="00B17B1A">
        <w:tab/>
      </w:r>
      <w:r w:rsidR="00037C28" w:rsidRPr="006D3A03">
        <w:t>tomar nota de los resultados de las encuestas sobre el uso de técnicas basadas en marcadores moleculares, por miembros y por cultivos, que se recogen en el Anexo del presente documento;</w:t>
      </w:r>
    </w:p>
    <w:p w:rsidR="00095775" w:rsidRDefault="00095775" w:rsidP="007D508C">
      <w:pPr>
        <w:keepLines/>
        <w:tabs>
          <w:tab w:val="left" w:pos="540"/>
          <w:tab w:val="left" w:pos="567"/>
        </w:tabs>
        <w:ind w:firstLine="540"/>
      </w:pPr>
    </w:p>
    <w:p w:rsidR="00095775" w:rsidRDefault="006D4EAD" w:rsidP="007D508C">
      <w:pPr>
        <w:keepLines/>
        <w:tabs>
          <w:tab w:val="left" w:pos="540"/>
          <w:tab w:val="left" w:pos="567"/>
        </w:tabs>
        <w:ind w:firstLine="540"/>
      </w:pPr>
      <w:r w:rsidRPr="00B17B1A">
        <w:t>b)</w:t>
      </w:r>
      <w:r w:rsidRPr="00B17B1A">
        <w:tab/>
      </w:r>
      <w:r w:rsidR="00037C28" w:rsidRPr="006D3A03">
        <w:t>tom</w:t>
      </w:r>
      <w:r w:rsidR="0074008D" w:rsidRPr="006D3A03">
        <w:t>ar</w:t>
      </w:r>
      <w:r w:rsidR="00037C28" w:rsidRPr="006D3A03">
        <w:t xml:space="preserve"> nota del documento conjunto en el que se explican las características principales de los sistemas de la OCDE, la UPOV y la ISTA;</w:t>
      </w:r>
    </w:p>
    <w:p w:rsidR="00095775" w:rsidRDefault="00095775" w:rsidP="007D508C">
      <w:pPr>
        <w:keepLines/>
        <w:tabs>
          <w:tab w:val="left" w:pos="540"/>
          <w:tab w:val="left" w:pos="567"/>
        </w:tabs>
        <w:ind w:firstLine="540"/>
      </w:pPr>
    </w:p>
    <w:p w:rsidR="00095775" w:rsidRDefault="006D4EAD" w:rsidP="007D508C">
      <w:pPr>
        <w:keepLines/>
        <w:tabs>
          <w:tab w:val="left" w:pos="540"/>
          <w:tab w:val="left" w:pos="567"/>
        </w:tabs>
        <w:ind w:firstLine="540"/>
      </w:pPr>
      <w:r w:rsidRPr="00B17B1A">
        <w:t>c)</w:t>
      </w:r>
      <w:r w:rsidRPr="00B17B1A">
        <w:tab/>
      </w:r>
      <w:r w:rsidR="00037C28" w:rsidRPr="006D3A03">
        <w:t>tomar nota de los temas propuestos por el TC para un futuro taller conjunto de la UPOV, la OCDE y la ISTA, que se exponen en el párrafo 17 del presente documento; y</w:t>
      </w:r>
    </w:p>
    <w:p w:rsidR="00095775" w:rsidRDefault="00095775" w:rsidP="007D508C">
      <w:pPr>
        <w:keepLines/>
        <w:tabs>
          <w:tab w:val="left" w:pos="540"/>
          <w:tab w:val="left" w:pos="567"/>
        </w:tabs>
        <w:ind w:firstLine="540"/>
      </w:pPr>
    </w:p>
    <w:p w:rsidR="00095775" w:rsidRDefault="006D4EAD" w:rsidP="007D508C">
      <w:pPr>
        <w:keepLines/>
        <w:tabs>
          <w:tab w:val="left" w:pos="540"/>
          <w:tab w:val="left" w:pos="567"/>
        </w:tabs>
        <w:ind w:firstLine="540"/>
      </w:pPr>
      <w:r w:rsidRPr="00B17B1A">
        <w:t>d)</w:t>
      </w:r>
      <w:r w:rsidRPr="00B17B1A">
        <w:tab/>
      </w:r>
      <w:r w:rsidR="00825412" w:rsidRPr="009551CA">
        <w:t xml:space="preserve">tomar nota de la información suministrada por la OCDE y la ISTA, </w:t>
      </w:r>
      <w:r w:rsidR="0074008D" w:rsidRPr="009551CA">
        <w:t>según la cual no se han producido novedades relevantes que examinar por el momento</w:t>
      </w:r>
      <w:r w:rsidR="00825412" w:rsidRPr="009551CA">
        <w:t xml:space="preserve"> </w:t>
      </w:r>
      <w:r w:rsidR="0074008D" w:rsidRPr="009551CA">
        <w:t xml:space="preserve">y sería mejor planear un taller </w:t>
      </w:r>
      <w:r w:rsidR="00825412" w:rsidRPr="009551CA">
        <w:t xml:space="preserve">conjunto </w:t>
      </w:r>
      <w:r w:rsidR="00E251E1" w:rsidRPr="009551CA">
        <w:t>que se celebre</w:t>
      </w:r>
      <w:r w:rsidR="00455222" w:rsidRPr="009551CA">
        <w:t xml:space="preserve"> no antes de </w:t>
      </w:r>
      <w:r w:rsidR="00825412" w:rsidRPr="009551CA">
        <w:t>2023.</w:t>
      </w:r>
    </w:p>
    <w:p w:rsidR="00095775" w:rsidRDefault="00095775" w:rsidP="007D508C">
      <w:pPr>
        <w:keepLines/>
        <w:tabs>
          <w:tab w:val="left" w:pos="540"/>
          <w:tab w:val="left" w:pos="567"/>
          <w:tab w:val="left" w:pos="1134"/>
          <w:tab w:val="left" w:pos="5387"/>
        </w:tabs>
        <w:ind w:firstLine="540"/>
      </w:pPr>
    </w:p>
    <w:p w:rsidR="00095775" w:rsidRDefault="006D4EAD" w:rsidP="007D508C">
      <w:pPr>
        <w:keepLines/>
        <w:tabs>
          <w:tab w:val="left" w:pos="540"/>
          <w:tab w:val="left" w:pos="567"/>
          <w:tab w:val="left" w:pos="1134"/>
          <w:tab w:val="left" w:pos="5387"/>
        </w:tabs>
        <w:ind w:firstLine="540"/>
      </w:pPr>
      <w:r w:rsidRPr="00B17B1A">
        <w:t>e)</w:t>
      </w:r>
      <w:r w:rsidRPr="00B17B1A">
        <w:tab/>
      </w:r>
      <w:r w:rsidR="00D73302" w:rsidRPr="006D3A03">
        <w:t>considerar si procede invitar a los TWP a que creen grupos de debate con objeto de que los asistentes puedan intercambiar información sobre su labor y definir ámbitos de cooperación respecto de la utilización de técnicas bioquímicas y moleculares en el examen DHE;</w:t>
      </w:r>
    </w:p>
    <w:p w:rsidR="00095775" w:rsidRDefault="00095775" w:rsidP="007D508C">
      <w:pPr>
        <w:keepLines/>
        <w:tabs>
          <w:tab w:val="left" w:pos="540"/>
          <w:tab w:val="left" w:pos="567"/>
          <w:tab w:val="left" w:pos="1134"/>
          <w:tab w:val="left" w:pos="5387"/>
        </w:tabs>
        <w:ind w:firstLine="540"/>
      </w:pPr>
    </w:p>
    <w:p w:rsidR="00095775" w:rsidRDefault="006D4EAD" w:rsidP="007D508C">
      <w:pPr>
        <w:keepLines/>
        <w:tabs>
          <w:tab w:val="left" w:pos="540"/>
          <w:tab w:val="left" w:pos="567"/>
          <w:tab w:val="left" w:pos="1134"/>
          <w:tab w:val="left" w:pos="5387"/>
        </w:tabs>
        <w:ind w:firstLine="540"/>
      </w:pPr>
      <w:r w:rsidRPr="00B17B1A">
        <w:t>f)</w:t>
      </w:r>
      <w:r w:rsidRPr="00B17B1A">
        <w:tab/>
      </w:r>
      <w:r w:rsidR="00D73302" w:rsidRPr="006D3A03">
        <w:t xml:space="preserve">tomar nota de los debates mantenidos </w:t>
      </w:r>
      <w:r w:rsidR="00F871D5" w:rsidRPr="006D3A03">
        <w:t xml:space="preserve">en las sesiones de 2022 </w:t>
      </w:r>
      <w:r w:rsidR="00D73302" w:rsidRPr="006D3A03">
        <w:t>de los TWP</w:t>
      </w:r>
      <w:r w:rsidR="00F871D5" w:rsidRPr="006D3A03">
        <w:t xml:space="preserve"> acerca de la</w:t>
      </w:r>
      <w:r w:rsidR="00D73302" w:rsidRPr="006D3A03">
        <w:t xml:space="preserve"> </w:t>
      </w:r>
      <w:r w:rsidR="00F871D5" w:rsidRPr="006D3A03">
        <w:t>confidencialidad y la titularidad de la información molecular</w:t>
      </w:r>
      <w:r w:rsidR="00D73302" w:rsidRPr="006D3A03">
        <w:t>;</w:t>
      </w:r>
    </w:p>
    <w:p w:rsidR="00095775" w:rsidRDefault="00095775" w:rsidP="007D508C">
      <w:pPr>
        <w:keepLines/>
        <w:tabs>
          <w:tab w:val="left" w:pos="540"/>
          <w:tab w:val="left" w:pos="567"/>
          <w:tab w:val="left" w:pos="1134"/>
          <w:tab w:val="left" w:pos="5387"/>
        </w:tabs>
        <w:ind w:firstLine="540"/>
      </w:pPr>
    </w:p>
    <w:p w:rsidR="00095775" w:rsidRDefault="006D4EAD" w:rsidP="007D508C">
      <w:pPr>
        <w:keepLines/>
        <w:tabs>
          <w:tab w:val="left" w:pos="540"/>
          <w:tab w:val="left" w:pos="567"/>
          <w:tab w:val="left" w:pos="1134"/>
          <w:tab w:val="left" w:pos="5387"/>
        </w:tabs>
        <w:ind w:firstLine="540"/>
      </w:pPr>
      <w:r w:rsidRPr="00B17B1A">
        <w:t>g)</w:t>
      </w:r>
      <w:r w:rsidRPr="00B17B1A">
        <w:tab/>
      </w:r>
      <w:r w:rsidR="00F871D5" w:rsidRPr="006D3A03">
        <w:t xml:space="preserve">tomar nota </w:t>
      </w:r>
      <w:r w:rsidR="007715B9" w:rsidRPr="006D3A03">
        <w:t>de la inquietud manifestada</w:t>
      </w:r>
      <w:r w:rsidR="00F871D5" w:rsidRPr="006D3A03">
        <w:t xml:space="preserve"> por </w:t>
      </w:r>
      <w:r w:rsidR="007715B9" w:rsidRPr="006D3A03">
        <w:t xml:space="preserve">las organizaciones de </w:t>
      </w:r>
      <w:r w:rsidR="00F871D5" w:rsidRPr="006D3A03">
        <w:t xml:space="preserve">obtentores </w:t>
      </w:r>
      <w:r w:rsidR="007715B9" w:rsidRPr="006D3A03">
        <w:t>ante</w:t>
      </w:r>
      <w:r w:rsidR="00F871D5" w:rsidRPr="006D3A03">
        <w:t xml:space="preserve"> el TWM </w:t>
      </w:r>
      <w:r w:rsidR="00ED1D3E" w:rsidRPr="006D3A03">
        <w:t xml:space="preserve">en cuanto a que la información </w:t>
      </w:r>
      <w:r w:rsidR="00F871D5" w:rsidRPr="006D3A03">
        <w:t xml:space="preserve">molecular </w:t>
      </w:r>
      <w:r w:rsidR="00463EF5" w:rsidRPr="006D3A03">
        <w:t>facilitada para el</w:t>
      </w:r>
      <w:r w:rsidR="00F871D5" w:rsidRPr="006D3A03">
        <w:t xml:space="preserve"> examen de </w:t>
      </w:r>
      <w:r w:rsidR="00463EF5" w:rsidRPr="006D3A03">
        <w:t>un</w:t>
      </w:r>
      <w:r w:rsidR="00F871D5" w:rsidRPr="006D3A03">
        <w:t xml:space="preserve">a variedad no </w:t>
      </w:r>
      <w:r w:rsidR="00463EF5" w:rsidRPr="006D3A03">
        <w:t>de</w:t>
      </w:r>
      <w:r w:rsidR="00F871D5" w:rsidRPr="006D3A03">
        <w:t>be pro</w:t>
      </w:r>
      <w:r w:rsidR="00463EF5" w:rsidRPr="006D3A03">
        <w:t>porcionarse</w:t>
      </w:r>
      <w:r w:rsidR="00F871D5" w:rsidRPr="006D3A03">
        <w:t xml:space="preserve"> </w:t>
      </w:r>
      <w:r w:rsidR="00E716F1">
        <w:t>sin el permiso del obtentor a terceros ajenos a la autoridad que ha recibido la solicitud</w:t>
      </w:r>
      <w:r w:rsidR="00F871D5" w:rsidRPr="006D3A03">
        <w:t>;</w:t>
      </w:r>
    </w:p>
    <w:p w:rsidR="00095775" w:rsidRDefault="00095775" w:rsidP="007D508C">
      <w:pPr>
        <w:keepLines/>
        <w:tabs>
          <w:tab w:val="left" w:pos="540"/>
          <w:tab w:val="left" w:pos="567"/>
          <w:tab w:val="left" w:pos="1134"/>
          <w:tab w:val="left" w:pos="5387"/>
        </w:tabs>
        <w:ind w:firstLine="540"/>
      </w:pPr>
    </w:p>
    <w:p w:rsidR="00095775" w:rsidRDefault="006D4EAD" w:rsidP="007D508C">
      <w:pPr>
        <w:keepLines/>
        <w:tabs>
          <w:tab w:val="left" w:pos="540"/>
          <w:tab w:val="left" w:pos="567"/>
          <w:tab w:val="left" w:pos="1134"/>
          <w:tab w:val="left" w:pos="5387"/>
        </w:tabs>
        <w:ind w:firstLine="540"/>
      </w:pPr>
      <w:r w:rsidRPr="00B17B1A">
        <w:t>h)</w:t>
      </w:r>
      <w:r w:rsidRPr="00B17B1A">
        <w:tab/>
      </w:r>
      <w:r w:rsidR="00463EF5" w:rsidRPr="006D3A03">
        <w:t>considerar si procede</w:t>
      </w:r>
      <w:r w:rsidR="00875FF0" w:rsidRPr="006D3A03">
        <w:t xml:space="preserve"> </w:t>
      </w:r>
      <w:r w:rsidR="00463EF5" w:rsidRPr="006D3A03">
        <w:t>invit</w:t>
      </w:r>
      <w:r w:rsidR="00875FF0" w:rsidRPr="006D3A03">
        <w:t>ar a los</w:t>
      </w:r>
      <w:r w:rsidR="00463EF5" w:rsidRPr="006D3A03">
        <w:t xml:space="preserve"> miembros </w:t>
      </w:r>
      <w:r w:rsidR="006D3A03" w:rsidRPr="006D3A03">
        <w:t xml:space="preserve">a que faciliten información </w:t>
      </w:r>
      <w:r w:rsidR="00875FF0" w:rsidRPr="006D3A03">
        <w:t>sobre el</w:t>
      </w:r>
      <w:r w:rsidR="00463EF5" w:rsidRPr="006D3A03">
        <w:t xml:space="preserve"> tipo y </w:t>
      </w:r>
      <w:r w:rsidR="00875FF0" w:rsidRPr="006D3A03">
        <w:t xml:space="preserve">la finalidad </w:t>
      </w:r>
      <w:r w:rsidR="00463EF5" w:rsidRPr="006D3A03">
        <w:t xml:space="preserve">de </w:t>
      </w:r>
      <w:r w:rsidR="00875FF0" w:rsidRPr="006D3A03">
        <w:t xml:space="preserve">la </w:t>
      </w:r>
      <w:r w:rsidR="00463EF5" w:rsidRPr="006D3A03">
        <w:t xml:space="preserve">información molecular </w:t>
      </w:r>
      <w:r w:rsidR="00875FF0" w:rsidRPr="006D3A03">
        <w:t>que utilizan</w:t>
      </w:r>
      <w:r w:rsidR="00463EF5" w:rsidRPr="006D3A03">
        <w:t xml:space="preserve"> o </w:t>
      </w:r>
      <w:r w:rsidR="00875FF0" w:rsidRPr="006D3A03">
        <w:t>comparten</w:t>
      </w:r>
      <w:r w:rsidR="00463EF5" w:rsidRPr="006D3A03">
        <w:t>; y</w:t>
      </w:r>
    </w:p>
    <w:p w:rsidR="00095775" w:rsidRDefault="00095775" w:rsidP="007D508C">
      <w:pPr>
        <w:keepLines/>
        <w:tabs>
          <w:tab w:val="left" w:pos="540"/>
          <w:tab w:val="left" w:pos="567"/>
          <w:tab w:val="left" w:pos="1134"/>
          <w:tab w:val="left" w:pos="5387"/>
        </w:tabs>
        <w:ind w:firstLine="540"/>
      </w:pPr>
    </w:p>
    <w:p w:rsidR="00095775" w:rsidRDefault="006D4EAD" w:rsidP="007D508C">
      <w:pPr>
        <w:keepLines/>
        <w:tabs>
          <w:tab w:val="left" w:pos="540"/>
          <w:tab w:val="left" w:pos="567"/>
          <w:tab w:val="left" w:pos="1134"/>
          <w:tab w:val="left" w:pos="5387"/>
        </w:tabs>
        <w:ind w:firstLine="540"/>
      </w:pPr>
      <w:r w:rsidRPr="00B17B1A">
        <w:t>i)</w:t>
      </w:r>
      <w:r w:rsidRPr="00B17B1A">
        <w:tab/>
      </w:r>
      <w:r w:rsidR="00875FF0" w:rsidRPr="006D3A03">
        <w:t>considerar si procede invitar a los miembros y observadores a que informen a los TWP, en sus sesiones de 2023, acerca de las políticas vigentes sobre la confidencialidad de la información molecular.</w:t>
      </w:r>
    </w:p>
    <w:p w:rsidR="00095775" w:rsidRDefault="00095775" w:rsidP="007D508C">
      <w:pPr>
        <w:keepLines/>
        <w:tabs>
          <w:tab w:val="left" w:pos="567"/>
          <w:tab w:val="left" w:pos="1134"/>
          <w:tab w:val="left" w:pos="5387"/>
          <w:tab w:val="left" w:pos="5954"/>
        </w:tabs>
      </w:pPr>
    </w:p>
    <w:p w:rsidR="00095775" w:rsidRDefault="00D60C58" w:rsidP="001D7A66">
      <w:pPr>
        <w:keepNext/>
      </w:pPr>
      <w:r w:rsidRPr="00025F1B">
        <w:fldChar w:fldCharType="begin"/>
      </w:r>
      <w:r w:rsidR="006D4EAD" w:rsidRPr="00025F1B">
        <w:instrText xml:space="preserve"> AUTONUM  </w:instrText>
      </w:r>
      <w:r w:rsidRPr="00025F1B">
        <w:fldChar w:fldCharType="end"/>
      </w:r>
      <w:r w:rsidR="006D4EAD" w:rsidRPr="00025F1B">
        <w:tab/>
      </w:r>
      <w:r w:rsidR="00875FF0" w:rsidRPr="006D3A03">
        <w:t>En el presente documento se utilizan las abreviaturas siguientes:</w:t>
      </w:r>
    </w:p>
    <w:p w:rsidR="00095775" w:rsidRDefault="00095775" w:rsidP="001D7A66">
      <w:pPr>
        <w:keepNext/>
      </w:pPr>
    </w:p>
    <w:p w:rsidR="00095775" w:rsidRDefault="006D4EAD" w:rsidP="001D7A66">
      <w:pPr>
        <w:keepNext/>
        <w:tabs>
          <w:tab w:val="left" w:pos="567"/>
        </w:tabs>
        <w:ind w:left="1701" w:hanging="1134"/>
        <w:rPr>
          <w:sz w:val="18"/>
        </w:rPr>
      </w:pPr>
      <w:r w:rsidRPr="00B17B1A">
        <w:rPr>
          <w:sz w:val="18"/>
        </w:rPr>
        <w:lastRenderedPageBreak/>
        <w:t>BMT:</w:t>
      </w:r>
      <w:r w:rsidRPr="00B17B1A">
        <w:rPr>
          <w:sz w:val="18"/>
        </w:rPr>
        <w:tab/>
      </w:r>
      <w:r w:rsidR="0009548D" w:rsidRPr="006D3A03">
        <w:rPr>
          <w:sz w:val="18"/>
        </w:rPr>
        <w:t>Grupo de Trabajo sobre Técnicas Bioquímicas y Moleculares, y Perfiles de ADN en particular</w:t>
      </w:r>
    </w:p>
    <w:p w:rsidR="00095775" w:rsidRDefault="0009548D" w:rsidP="001D7A66">
      <w:pPr>
        <w:keepNext/>
        <w:ind w:left="1701" w:hanging="1134"/>
        <w:rPr>
          <w:rFonts w:cs="Arial"/>
          <w:snapToGrid w:val="0"/>
          <w:sz w:val="18"/>
          <w:szCs w:val="24"/>
          <w:lang w:eastAsia="ja-JP"/>
        </w:rPr>
      </w:pPr>
      <w:r w:rsidRPr="00B17B1A">
        <w:rPr>
          <w:rFonts w:eastAsia="PMingLiU" w:cs="Arial"/>
          <w:snapToGrid w:val="0"/>
          <w:sz w:val="18"/>
          <w:szCs w:val="24"/>
          <w:lang w:eastAsia="fr-FR"/>
        </w:rPr>
        <w:t>ISTA:</w:t>
      </w:r>
      <w:r w:rsidR="006D4EAD" w:rsidRPr="00B17B1A">
        <w:rPr>
          <w:rFonts w:eastAsia="PMingLiU" w:cs="Arial"/>
          <w:snapToGrid w:val="0"/>
          <w:sz w:val="18"/>
          <w:szCs w:val="24"/>
          <w:lang w:eastAsia="fr-FR"/>
        </w:rPr>
        <w:tab/>
      </w:r>
      <w:r w:rsidRPr="006D3A03">
        <w:rPr>
          <w:rFonts w:eastAsia="PMingLiU" w:cs="Arial"/>
          <w:snapToGrid w:val="0"/>
          <w:sz w:val="18"/>
          <w:szCs w:val="24"/>
          <w:lang w:eastAsia="fr-FR"/>
        </w:rPr>
        <w:t>Asociación Internacional para el Ensayo de Semillas</w:t>
      </w:r>
    </w:p>
    <w:p w:rsidR="00095775" w:rsidRDefault="006D4EAD" w:rsidP="00087119">
      <w:pPr>
        <w:keepNext/>
        <w:ind w:left="1701" w:hanging="1134"/>
        <w:rPr>
          <w:rFonts w:eastAsia="PMingLiU" w:cs="Arial"/>
          <w:snapToGrid w:val="0"/>
          <w:sz w:val="18"/>
          <w:szCs w:val="24"/>
        </w:rPr>
      </w:pPr>
      <w:r w:rsidRPr="00B17B1A">
        <w:rPr>
          <w:rFonts w:eastAsia="PMingLiU" w:cs="Arial"/>
          <w:sz w:val="18"/>
          <w:szCs w:val="24"/>
        </w:rPr>
        <w:t>OECD:</w:t>
      </w:r>
      <w:r w:rsidRPr="00B17B1A">
        <w:rPr>
          <w:rFonts w:eastAsia="PMingLiU" w:cs="Arial"/>
          <w:sz w:val="18"/>
          <w:szCs w:val="24"/>
        </w:rPr>
        <w:tab/>
      </w:r>
      <w:r w:rsidR="0009548D" w:rsidRPr="006D3A03">
        <w:rPr>
          <w:rFonts w:eastAsia="PMingLiU" w:cs="Arial"/>
          <w:snapToGrid w:val="0"/>
          <w:sz w:val="18"/>
          <w:szCs w:val="24"/>
        </w:rPr>
        <w:t>Organización de Cooperación y Desarrollo Económicos</w:t>
      </w:r>
    </w:p>
    <w:p w:rsidR="00095775" w:rsidRDefault="006D4EAD" w:rsidP="006D4EAD">
      <w:pPr>
        <w:keepNext/>
        <w:tabs>
          <w:tab w:val="left" w:pos="567"/>
        </w:tabs>
        <w:ind w:left="1701" w:hanging="1134"/>
        <w:rPr>
          <w:sz w:val="18"/>
        </w:rPr>
      </w:pPr>
      <w:r w:rsidRPr="00B17B1A">
        <w:rPr>
          <w:sz w:val="18"/>
        </w:rPr>
        <w:t>TC:</w:t>
      </w:r>
      <w:r w:rsidRPr="00B17B1A">
        <w:rPr>
          <w:sz w:val="18"/>
        </w:rPr>
        <w:tab/>
      </w:r>
      <w:r w:rsidR="0009548D" w:rsidRPr="006D3A03">
        <w:rPr>
          <w:sz w:val="18"/>
        </w:rPr>
        <w:t>Comité Técnico</w:t>
      </w:r>
    </w:p>
    <w:p w:rsidR="00095775" w:rsidRDefault="006D4EAD" w:rsidP="006D4EAD">
      <w:pPr>
        <w:ind w:left="1701" w:hanging="1134"/>
        <w:rPr>
          <w:rFonts w:eastAsia="PMingLiU" w:cs="Arial"/>
          <w:sz w:val="18"/>
          <w:szCs w:val="24"/>
        </w:rPr>
      </w:pPr>
      <w:r w:rsidRPr="00B17B1A">
        <w:rPr>
          <w:rFonts w:eastAsia="PMingLiU" w:cs="Arial"/>
          <w:sz w:val="18"/>
          <w:szCs w:val="24"/>
        </w:rPr>
        <w:t>TWA:</w:t>
      </w:r>
      <w:r w:rsidRPr="00B17B1A">
        <w:rPr>
          <w:rFonts w:eastAsia="PMingLiU" w:cs="Arial"/>
          <w:sz w:val="18"/>
          <w:szCs w:val="24"/>
        </w:rPr>
        <w:tab/>
      </w:r>
      <w:r w:rsidR="0009548D" w:rsidRPr="006D3A03">
        <w:rPr>
          <w:rFonts w:eastAsia="PMingLiU" w:cs="Arial"/>
          <w:sz w:val="18"/>
          <w:szCs w:val="24"/>
        </w:rPr>
        <w:t>Grupo de Trabajo Técnico sobre Plantas Agrícolas</w:t>
      </w:r>
    </w:p>
    <w:p w:rsidR="00095775" w:rsidRDefault="006D4EAD" w:rsidP="006D4EAD">
      <w:pPr>
        <w:ind w:left="1701" w:hanging="1134"/>
        <w:rPr>
          <w:rFonts w:eastAsia="PMingLiU" w:cs="Arial"/>
          <w:sz w:val="18"/>
          <w:szCs w:val="24"/>
        </w:rPr>
      </w:pPr>
      <w:r w:rsidRPr="00B17B1A">
        <w:rPr>
          <w:rFonts w:eastAsia="PMingLiU" w:cs="Arial"/>
          <w:sz w:val="18"/>
          <w:szCs w:val="24"/>
        </w:rPr>
        <w:t>TWF:</w:t>
      </w:r>
      <w:r w:rsidRPr="00B17B1A">
        <w:rPr>
          <w:rFonts w:eastAsia="PMingLiU" w:cs="Arial"/>
          <w:sz w:val="18"/>
          <w:szCs w:val="24"/>
        </w:rPr>
        <w:tab/>
      </w:r>
      <w:r w:rsidR="0009548D" w:rsidRPr="006D3A03">
        <w:rPr>
          <w:rFonts w:eastAsia="PMingLiU" w:cs="Arial"/>
          <w:sz w:val="18"/>
          <w:szCs w:val="24"/>
        </w:rPr>
        <w:t>Grupo de Trabajo Técnico sobre Plantas Frutales</w:t>
      </w:r>
    </w:p>
    <w:p w:rsidR="00095775" w:rsidRDefault="006D4EAD" w:rsidP="006D4EAD">
      <w:pPr>
        <w:ind w:left="1701" w:hanging="1134"/>
        <w:rPr>
          <w:rFonts w:eastAsia="PMingLiU" w:cs="Arial"/>
          <w:sz w:val="18"/>
          <w:szCs w:val="24"/>
        </w:rPr>
      </w:pPr>
      <w:r w:rsidRPr="00B17B1A">
        <w:rPr>
          <w:rFonts w:eastAsia="PMingLiU" w:cs="Arial"/>
          <w:sz w:val="18"/>
          <w:szCs w:val="24"/>
        </w:rPr>
        <w:t>TWM:</w:t>
      </w:r>
      <w:r w:rsidRPr="00B17B1A">
        <w:rPr>
          <w:rFonts w:eastAsia="PMingLiU" w:cs="Arial"/>
          <w:sz w:val="18"/>
          <w:szCs w:val="24"/>
        </w:rPr>
        <w:tab/>
      </w:r>
      <w:r w:rsidR="0009548D" w:rsidRPr="006D3A03">
        <w:rPr>
          <w:rFonts w:eastAsia="PMingLiU" w:cs="Arial"/>
          <w:sz w:val="18"/>
          <w:szCs w:val="24"/>
        </w:rPr>
        <w:t>Grupo de Trabajo Técnico sobre Métodos y Técnicas de Examen</w:t>
      </w:r>
    </w:p>
    <w:p w:rsidR="00095775" w:rsidRDefault="006D4EAD" w:rsidP="006D4EAD">
      <w:pPr>
        <w:ind w:left="1701" w:hanging="1134"/>
        <w:rPr>
          <w:rFonts w:eastAsia="PMingLiU" w:cs="Arial"/>
          <w:sz w:val="18"/>
          <w:szCs w:val="24"/>
        </w:rPr>
      </w:pPr>
      <w:r w:rsidRPr="00B17B1A">
        <w:rPr>
          <w:rFonts w:eastAsia="PMingLiU" w:cs="Arial"/>
          <w:sz w:val="18"/>
          <w:szCs w:val="24"/>
        </w:rPr>
        <w:t>TWO:</w:t>
      </w:r>
      <w:r w:rsidRPr="00B17B1A">
        <w:rPr>
          <w:rFonts w:eastAsia="PMingLiU" w:cs="Arial"/>
          <w:sz w:val="18"/>
          <w:szCs w:val="24"/>
        </w:rPr>
        <w:tab/>
      </w:r>
      <w:r w:rsidR="0009548D" w:rsidRPr="006D3A03">
        <w:rPr>
          <w:rFonts w:eastAsia="PMingLiU" w:cs="Arial"/>
          <w:sz w:val="18"/>
          <w:szCs w:val="24"/>
        </w:rPr>
        <w:t>Grupo de Trabajo Técnico sobre Plantas Ornamentales y Árboles Forestales</w:t>
      </w:r>
    </w:p>
    <w:p w:rsidR="00095775" w:rsidRDefault="006D4EAD" w:rsidP="006D4EAD">
      <w:pPr>
        <w:ind w:left="1701" w:hanging="1134"/>
        <w:rPr>
          <w:rFonts w:eastAsia="PMingLiU" w:cs="Arial"/>
          <w:sz w:val="18"/>
          <w:szCs w:val="24"/>
        </w:rPr>
      </w:pPr>
      <w:r w:rsidRPr="00B17B1A">
        <w:rPr>
          <w:rFonts w:eastAsia="PMingLiU" w:cs="Arial"/>
          <w:sz w:val="18"/>
          <w:szCs w:val="24"/>
        </w:rPr>
        <w:t>TWP:</w:t>
      </w:r>
      <w:r w:rsidRPr="00B17B1A">
        <w:rPr>
          <w:rFonts w:eastAsia="PMingLiU" w:cs="Arial"/>
          <w:sz w:val="18"/>
          <w:szCs w:val="24"/>
        </w:rPr>
        <w:tab/>
      </w:r>
      <w:r w:rsidR="0009548D" w:rsidRPr="006D3A03">
        <w:rPr>
          <w:rFonts w:eastAsia="PMingLiU" w:cs="Arial"/>
          <w:sz w:val="18"/>
          <w:szCs w:val="24"/>
        </w:rPr>
        <w:t>Grupos de Trabajo Técnico</w:t>
      </w:r>
    </w:p>
    <w:p w:rsidR="00095775" w:rsidRDefault="006D4EAD" w:rsidP="006D4EAD">
      <w:pPr>
        <w:ind w:left="1701" w:hanging="1134"/>
        <w:rPr>
          <w:rFonts w:eastAsia="PMingLiU" w:cs="Arial"/>
          <w:sz w:val="18"/>
          <w:szCs w:val="24"/>
        </w:rPr>
      </w:pPr>
      <w:r w:rsidRPr="00B17B1A">
        <w:rPr>
          <w:rFonts w:eastAsia="PMingLiU" w:cs="Arial"/>
          <w:sz w:val="18"/>
          <w:szCs w:val="24"/>
        </w:rPr>
        <w:t>TWV:</w:t>
      </w:r>
      <w:r w:rsidRPr="00B17B1A">
        <w:rPr>
          <w:rFonts w:eastAsia="PMingLiU" w:cs="Arial"/>
          <w:sz w:val="18"/>
          <w:szCs w:val="24"/>
        </w:rPr>
        <w:tab/>
      </w:r>
      <w:r w:rsidR="0009548D" w:rsidRPr="006D3A03">
        <w:rPr>
          <w:rFonts w:eastAsia="PMingLiU" w:cs="Arial"/>
          <w:sz w:val="18"/>
          <w:szCs w:val="24"/>
        </w:rPr>
        <w:t>Grupo de Trabajo Técnico sobre Hortalizas</w:t>
      </w:r>
    </w:p>
    <w:p w:rsidR="00095775" w:rsidRDefault="00095775" w:rsidP="006D4EAD">
      <w:pPr>
        <w:jc w:val="left"/>
        <w:rPr>
          <w:rFonts w:cs="Arial"/>
          <w:snapToGrid w:val="0"/>
          <w:sz w:val="18"/>
          <w:szCs w:val="24"/>
          <w:lang w:eastAsia="ja-JP"/>
        </w:rPr>
      </w:pPr>
    </w:p>
    <w:p w:rsidR="00095775" w:rsidRDefault="00D60C58" w:rsidP="006D4EAD">
      <w:pPr>
        <w:keepNext/>
      </w:pPr>
      <w:r w:rsidRPr="00025F1B">
        <w:fldChar w:fldCharType="begin"/>
      </w:r>
      <w:r w:rsidR="006D4EAD" w:rsidRPr="00025F1B">
        <w:instrText xml:space="preserve"> AUTONUM  </w:instrText>
      </w:r>
      <w:r w:rsidRPr="00025F1B">
        <w:fldChar w:fldCharType="end"/>
      </w:r>
      <w:r w:rsidR="006D4EAD" w:rsidRPr="00025F1B">
        <w:tab/>
      </w:r>
      <w:r w:rsidR="0009548D" w:rsidRPr="006D3A03">
        <w:t>El presente documento se estructura del modo siguiente:</w:t>
      </w:r>
    </w:p>
    <w:sdt>
      <w:sdtPr>
        <w:rPr>
          <w:smallCaps/>
        </w:rPr>
        <w:id w:val="-1800911247"/>
        <w:docPartObj>
          <w:docPartGallery w:val="Table of Contents"/>
          <w:docPartUnique/>
        </w:docPartObj>
      </w:sdtPr>
      <w:sdtEndPr>
        <w:rPr>
          <w:b/>
          <w:bCs/>
          <w:noProof/>
          <w:sz w:val="18"/>
          <w:szCs w:val="18"/>
        </w:rPr>
      </w:sdtEndPr>
      <w:sdtContent>
        <w:p w:rsidR="00095775" w:rsidRDefault="00095775" w:rsidP="006D4EAD">
          <w:pPr>
            <w:keepNext/>
            <w:rPr>
              <w:rFonts w:cs="Arial"/>
              <w:b/>
            </w:rPr>
          </w:pPr>
        </w:p>
        <w:p w:rsidR="00106B4A" w:rsidRDefault="00D60C58">
          <w:pPr>
            <w:pStyle w:val="TOC1"/>
            <w:rPr>
              <w:rFonts w:asciiTheme="minorHAnsi" w:eastAsiaTheme="minorEastAsia" w:hAnsiTheme="minorHAnsi" w:cstheme="minorBidi"/>
              <w:caps w:val="0"/>
              <w:noProof/>
              <w:sz w:val="22"/>
              <w:szCs w:val="22"/>
              <w:lang w:eastAsia="es-ES_tradnl"/>
            </w:rPr>
          </w:pPr>
          <w:r w:rsidRPr="00025F1B">
            <w:rPr>
              <w:rFonts w:cs="Arial"/>
              <w:sz w:val="20"/>
              <w:szCs w:val="18"/>
            </w:rPr>
            <w:fldChar w:fldCharType="begin"/>
          </w:r>
          <w:r w:rsidR="006D4EAD" w:rsidRPr="00025F1B">
            <w:rPr>
              <w:szCs w:val="18"/>
            </w:rPr>
            <w:instrText xml:space="preserve"> TOC \o "1-3" \h \z \u </w:instrText>
          </w:r>
          <w:r w:rsidRPr="00025F1B">
            <w:rPr>
              <w:rFonts w:cs="Arial"/>
              <w:sz w:val="20"/>
              <w:szCs w:val="18"/>
            </w:rPr>
            <w:fldChar w:fldCharType="separate"/>
          </w:r>
          <w:hyperlink w:anchor="_Toc116635402" w:history="1">
            <w:r w:rsidR="00106B4A" w:rsidRPr="003C6B16">
              <w:rPr>
                <w:rStyle w:val="Hyperlink"/>
                <w:noProof/>
                <w:snapToGrid w:val="0"/>
                <w:lang w:eastAsia="ja-JP"/>
              </w:rPr>
              <w:t>RESUMEN</w:t>
            </w:r>
            <w:r w:rsidR="00106B4A">
              <w:rPr>
                <w:noProof/>
                <w:webHidden/>
              </w:rPr>
              <w:tab/>
            </w:r>
            <w:r w:rsidR="00106B4A">
              <w:rPr>
                <w:noProof/>
                <w:webHidden/>
              </w:rPr>
              <w:fldChar w:fldCharType="begin"/>
            </w:r>
            <w:r w:rsidR="00106B4A">
              <w:rPr>
                <w:noProof/>
                <w:webHidden/>
              </w:rPr>
              <w:instrText xml:space="preserve"> PAGEREF _Toc116635402 \h </w:instrText>
            </w:r>
            <w:r w:rsidR="00106B4A">
              <w:rPr>
                <w:noProof/>
                <w:webHidden/>
              </w:rPr>
            </w:r>
            <w:r w:rsidR="00106B4A">
              <w:rPr>
                <w:noProof/>
                <w:webHidden/>
              </w:rPr>
              <w:fldChar w:fldCharType="separate"/>
            </w:r>
            <w:r w:rsidR="00106B4A">
              <w:rPr>
                <w:noProof/>
                <w:webHidden/>
              </w:rPr>
              <w:t>1</w:t>
            </w:r>
            <w:r w:rsidR="00106B4A">
              <w:rPr>
                <w:noProof/>
                <w:webHidden/>
              </w:rPr>
              <w:fldChar w:fldCharType="end"/>
            </w:r>
          </w:hyperlink>
        </w:p>
        <w:p w:rsidR="00106B4A" w:rsidRDefault="00CC3D78">
          <w:pPr>
            <w:pStyle w:val="TOC1"/>
            <w:rPr>
              <w:rFonts w:asciiTheme="minorHAnsi" w:eastAsiaTheme="minorEastAsia" w:hAnsiTheme="minorHAnsi" w:cstheme="minorBidi"/>
              <w:caps w:val="0"/>
              <w:noProof/>
              <w:sz w:val="22"/>
              <w:szCs w:val="22"/>
              <w:lang w:eastAsia="es-ES_tradnl"/>
            </w:rPr>
          </w:pPr>
          <w:hyperlink w:anchor="_Toc116635403" w:history="1">
            <w:r w:rsidR="00106B4A" w:rsidRPr="003C6B16">
              <w:rPr>
                <w:rStyle w:val="Hyperlink"/>
                <w:noProof/>
                <w:lang w:eastAsia="ja-JP"/>
              </w:rPr>
              <w:t>Cooperación entre las organizaciones internacionales</w:t>
            </w:r>
            <w:r w:rsidR="00106B4A">
              <w:rPr>
                <w:noProof/>
                <w:webHidden/>
              </w:rPr>
              <w:tab/>
            </w:r>
            <w:r w:rsidR="00106B4A">
              <w:rPr>
                <w:noProof/>
                <w:webHidden/>
              </w:rPr>
              <w:fldChar w:fldCharType="begin"/>
            </w:r>
            <w:r w:rsidR="00106B4A">
              <w:rPr>
                <w:noProof/>
                <w:webHidden/>
              </w:rPr>
              <w:instrText xml:space="preserve"> PAGEREF _Toc116635403 \h </w:instrText>
            </w:r>
            <w:r w:rsidR="00106B4A">
              <w:rPr>
                <w:noProof/>
                <w:webHidden/>
              </w:rPr>
            </w:r>
            <w:r w:rsidR="00106B4A">
              <w:rPr>
                <w:noProof/>
                <w:webHidden/>
              </w:rPr>
              <w:fldChar w:fldCharType="separate"/>
            </w:r>
            <w:r w:rsidR="00106B4A">
              <w:rPr>
                <w:noProof/>
                <w:webHidden/>
              </w:rPr>
              <w:t>2</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04" w:history="1">
            <w:r w:rsidR="00106B4A" w:rsidRPr="003C6B16">
              <w:rPr>
                <w:rStyle w:val="Hyperlink"/>
                <w:noProof/>
              </w:rPr>
              <w:t>Antecedentes</w:t>
            </w:r>
            <w:r w:rsidR="00106B4A">
              <w:rPr>
                <w:noProof/>
                <w:webHidden/>
              </w:rPr>
              <w:tab/>
            </w:r>
            <w:r w:rsidR="00106B4A">
              <w:rPr>
                <w:noProof/>
                <w:webHidden/>
              </w:rPr>
              <w:fldChar w:fldCharType="begin"/>
            </w:r>
            <w:r w:rsidR="00106B4A">
              <w:rPr>
                <w:noProof/>
                <w:webHidden/>
              </w:rPr>
              <w:instrText xml:space="preserve"> PAGEREF _Toc116635404 \h </w:instrText>
            </w:r>
            <w:r w:rsidR="00106B4A">
              <w:rPr>
                <w:noProof/>
                <w:webHidden/>
              </w:rPr>
            </w:r>
            <w:r w:rsidR="00106B4A">
              <w:rPr>
                <w:noProof/>
                <w:webHidden/>
              </w:rPr>
              <w:fldChar w:fldCharType="separate"/>
            </w:r>
            <w:r w:rsidR="00106B4A">
              <w:rPr>
                <w:noProof/>
                <w:webHidden/>
              </w:rPr>
              <w:t>2</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05" w:history="1">
            <w:r w:rsidR="00106B4A" w:rsidRPr="003C6B16">
              <w:rPr>
                <w:rStyle w:val="Hyperlink"/>
                <w:noProof/>
              </w:rPr>
              <w:t>Inventario sobre la utilización de técnicas basadas en marcadores moleculares, por cultivos</w:t>
            </w:r>
            <w:r w:rsidR="00106B4A">
              <w:rPr>
                <w:noProof/>
                <w:webHidden/>
              </w:rPr>
              <w:tab/>
            </w:r>
            <w:r w:rsidR="00106B4A">
              <w:rPr>
                <w:noProof/>
                <w:webHidden/>
              </w:rPr>
              <w:fldChar w:fldCharType="begin"/>
            </w:r>
            <w:r w:rsidR="00106B4A">
              <w:rPr>
                <w:noProof/>
                <w:webHidden/>
              </w:rPr>
              <w:instrText xml:space="preserve"> PAGEREF _Toc116635405 \h </w:instrText>
            </w:r>
            <w:r w:rsidR="00106B4A">
              <w:rPr>
                <w:noProof/>
                <w:webHidden/>
              </w:rPr>
            </w:r>
            <w:r w:rsidR="00106B4A">
              <w:rPr>
                <w:noProof/>
                <w:webHidden/>
              </w:rPr>
              <w:fldChar w:fldCharType="separate"/>
            </w:r>
            <w:r w:rsidR="00106B4A">
              <w:rPr>
                <w:noProof/>
                <w:webHidden/>
              </w:rPr>
              <w:t>3</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06" w:history="1">
            <w:r w:rsidR="00106B4A" w:rsidRPr="003C6B16">
              <w:rPr>
                <w:rStyle w:val="Hyperlink"/>
                <w:noProof/>
              </w:rPr>
              <w:t>Documento conjunto en el que se expliquen las características principales de los sistemas de la OCDE, la UPOV y la ISTA</w:t>
            </w:r>
            <w:r w:rsidR="00106B4A">
              <w:rPr>
                <w:noProof/>
                <w:webHidden/>
              </w:rPr>
              <w:tab/>
            </w:r>
            <w:r w:rsidR="00106B4A">
              <w:rPr>
                <w:noProof/>
                <w:webHidden/>
              </w:rPr>
              <w:fldChar w:fldCharType="begin"/>
            </w:r>
            <w:r w:rsidR="00106B4A">
              <w:rPr>
                <w:noProof/>
                <w:webHidden/>
              </w:rPr>
              <w:instrText xml:space="preserve"> PAGEREF _Toc116635406 \h </w:instrText>
            </w:r>
            <w:r w:rsidR="00106B4A">
              <w:rPr>
                <w:noProof/>
                <w:webHidden/>
              </w:rPr>
            </w:r>
            <w:r w:rsidR="00106B4A">
              <w:rPr>
                <w:noProof/>
                <w:webHidden/>
              </w:rPr>
              <w:fldChar w:fldCharType="separate"/>
            </w:r>
            <w:r w:rsidR="00106B4A">
              <w:rPr>
                <w:noProof/>
                <w:webHidden/>
              </w:rPr>
              <w:t>1</w:t>
            </w:r>
            <w:r w:rsidR="00106B4A">
              <w:rPr>
                <w:noProof/>
                <w:webHidden/>
              </w:rPr>
              <w:fldChar w:fldCharType="end"/>
            </w:r>
          </w:hyperlink>
        </w:p>
        <w:p w:rsidR="00106B4A" w:rsidRDefault="00CC3D78">
          <w:pPr>
            <w:pStyle w:val="TOC3"/>
            <w:rPr>
              <w:rFonts w:asciiTheme="minorHAnsi" w:eastAsiaTheme="minorEastAsia" w:hAnsiTheme="minorHAnsi" w:cstheme="minorBidi"/>
              <w:noProof/>
              <w:sz w:val="22"/>
              <w:szCs w:val="22"/>
              <w:lang w:val="es-ES_tradnl" w:eastAsia="es-ES_tradnl"/>
            </w:rPr>
          </w:pPr>
          <w:hyperlink w:anchor="_Toc116635407" w:history="1">
            <w:r w:rsidR="00106B4A" w:rsidRPr="003C6B16">
              <w:rPr>
                <w:rStyle w:val="Hyperlink"/>
                <w:noProof/>
                <w:lang w:val="es-ES_tradnl"/>
              </w:rPr>
              <w:t>Antecedentes</w:t>
            </w:r>
            <w:r w:rsidR="00106B4A">
              <w:rPr>
                <w:noProof/>
                <w:webHidden/>
              </w:rPr>
              <w:tab/>
            </w:r>
            <w:r w:rsidR="00106B4A">
              <w:rPr>
                <w:noProof/>
                <w:webHidden/>
              </w:rPr>
              <w:fldChar w:fldCharType="begin"/>
            </w:r>
            <w:r w:rsidR="00106B4A">
              <w:rPr>
                <w:noProof/>
                <w:webHidden/>
              </w:rPr>
              <w:instrText xml:space="preserve"> PAGEREF _Toc116635407 \h </w:instrText>
            </w:r>
            <w:r w:rsidR="00106B4A">
              <w:rPr>
                <w:noProof/>
                <w:webHidden/>
              </w:rPr>
            </w:r>
            <w:r w:rsidR="00106B4A">
              <w:rPr>
                <w:noProof/>
                <w:webHidden/>
              </w:rPr>
              <w:fldChar w:fldCharType="separate"/>
            </w:r>
            <w:r w:rsidR="00106B4A">
              <w:rPr>
                <w:noProof/>
                <w:webHidden/>
              </w:rPr>
              <w:t>1</w:t>
            </w:r>
            <w:r w:rsidR="00106B4A">
              <w:rPr>
                <w:noProof/>
                <w:webHidden/>
              </w:rPr>
              <w:fldChar w:fldCharType="end"/>
            </w:r>
          </w:hyperlink>
        </w:p>
        <w:p w:rsidR="00106B4A" w:rsidRDefault="00CC3D78">
          <w:pPr>
            <w:pStyle w:val="TOC3"/>
            <w:rPr>
              <w:rFonts w:asciiTheme="minorHAnsi" w:eastAsiaTheme="minorEastAsia" w:hAnsiTheme="minorHAnsi" w:cstheme="minorBidi"/>
              <w:noProof/>
              <w:sz w:val="22"/>
              <w:szCs w:val="22"/>
              <w:lang w:val="es-ES_tradnl" w:eastAsia="es-ES_tradnl"/>
            </w:rPr>
          </w:pPr>
          <w:hyperlink w:anchor="_Toc116635408" w:history="1">
            <w:r w:rsidR="00106B4A" w:rsidRPr="003C6B16">
              <w:rPr>
                <w:rStyle w:val="Hyperlink"/>
                <w:noProof/>
                <w:lang w:val="es-ES_tradnl"/>
              </w:rPr>
              <w:t>Proyecto de documento conjunto</w:t>
            </w:r>
            <w:r w:rsidR="00106B4A">
              <w:rPr>
                <w:noProof/>
                <w:webHidden/>
              </w:rPr>
              <w:tab/>
            </w:r>
            <w:r w:rsidR="00106B4A">
              <w:rPr>
                <w:noProof/>
                <w:webHidden/>
              </w:rPr>
              <w:fldChar w:fldCharType="begin"/>
            </w:r>
            <w:r w:rsidR="00106B4A">
              <w:rPr>
                <w:noProof/>
                <w:webHidden/>
              </w:rPr>
              <w:instrText xml:space="preserve"> PAGEREF _Toc116635408 \h </w:instrText>
            </w:r>
            <w:r w:rsidR="00106B4A">
              <w:rPr>
                <w:noProof/>
                <w:webHidden/>
              </w:rPr>
            </w:r>
            <w:r w:rsidR="00106B4A">
              <w:rPr>
                <w:noProof/>
                <w:webHidden/>
              </w:rPr>
              <w:fldChar w:fldCharType="separate"/>
            </w:r>
            <w:r w:rsidR="00106B4A">
              <w:rPr>
                <w:noProof/>
                <w:webHidden/>
              </w:rPr>
              <w:t>1</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09" w:history="1">
            <w:r w:rsidR="00106B4A" w:rsidRPr="003C6B16">
              <w:rPr>
                <w:rStyle w:val="Hyperlink"/>
                <w:noProof/>
              </w:rPr>
              <w:t>Listas de posibles iniciativas conjuntas con la OCDE y la ISTA relacionadas con las técnicas moleculares</w:t>
            </w:r>
            <w:r w:rsidR="00106B4A">
              <w:rPr>
                <w:noProof/>
                <w:webHidden/>
              </w:rPr>
              <w:tab/>
            </w:r>
            <w:r w:rsidR="00106B4A">
              <w:rPr>
                <w:noProof/>
                <w:webHidden/>
              </w:rPr>
              <w:fldChar w:fldCharType="begin"/>
            </w:r>
            <w:r w:rsidR="00106B4A">
              <w:rPr>
                <w:noProof/>
                <w:webHidden/>
              </w:rPr>
              <w:instrText xml:space="preserve"> PAGEREF _Toc116635409 \h </w:instrText>
            </w:r>
            <w:r w:rsidR="00106B4A">
              <w:rPr>
                <w:noProof/>
                <w:webHidden/>
              </w:rPr>
            </w:r>
            <w:r w:rsidR="00106B4A">
              <w:rPr>
                <w:noProof/>
                <w:webHidden/>
              </w:rPr>
              <w:fldChar w:fldCharType="separate"/>
            </w:r>
            <w:r w:rsidR="00106B4A">
              <w:rPr>
                <w:noProof/>
                <w:webHidden/>
              </w:rPr>
              <w:t>1</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10" w:history="1">
            <w:r w:rsidR="00106B4A" w:rsidRPr="003C6B16">
              <w:rPr>
                <w:rStyle w:val="Hyperlink"/>
                <w:noProof/>
              </w:rPr>
              <w:t>Asociación Internacional para el Ensayo de Semillas</w:t>
            </w:r>
            <w:r w:rsidR="00106B4A">
              <w:rPr>
                <w:noProof/>
                <w:webHidden/>
              </w:rPr>
              <w:tab/>
            </w:r>
            <w:r w:rsidR="00106B4A">
              <w:rPr>
                <w:noProof/>
                <w:webHidden/>
              </w:rPr>
              <w:fldChar w:fldCharType="begin"/>
            </w:r>
            <w:r w:rsidR="00106B4A">
              <w:rPr>
                <w:noProof/>
                <w:webHidden/>
              </w:rPr>
              <w:instrText xml:space="preserve"> PAGEREF _Toc116635410 \h </w:instrText>
            </w:r>
            <w:r w:rsidR="00106B4A">
              <w:rPr>
                <w:noProof/>
                <w:webHidden/>
              </w:rPr>
            </w:r>
            <w:r w:rsidR="00106B4A">
              <w:rPr>
                <w:noProof/>
                <w:webHidden/>
              </w:rPr>
              <w:fldChar w:fldCharType="separate"/>
            </w:r>
            <w:r w:rsidR="00106B4A">
              <w:rPr>
                <w:noProof/>
                <w:webHidden/>
              </w:rPr>
              <w:t>4</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11" w:history="1">
            <w:r w:rsidR="00106B4A" w:rsidRPr="003C6B16">
              <w:rPr>
                <w:rStyle w:val="Hyperlink"/>
                <w:noProof/>
              </w:rPr>
              <w:t>Organización para la Cooperación y el Desarrollo Económicos</w:t>
            </w:r>
            <w:r w:rsidR="00106B4A">
              <w:rPr>
                <w:noProof/>
                <w:webHidden/>
              </w:rPr>
              <w:tab/>
            </w:r>
            <w:r w:rsidR="00106B4A">
              <w:rPr>
                <w:noProof/>
                <w:webHidden/>
              </w:rPr>
              <w:fldChar w:fldCharType="begin"/>
            </w:r>
            <w:r w:rsidR="00106B4A">
              <w:rPr>
                <w:noProof/>
                <w:webHidden/>
              </w:rPr>
              <w:instrText xml:space="preserve"> PAGEREF _Toc116635411 \h </w:instrText>
            </w:r>
            <w:r w:rsidR="00106B4A">
              <w:rPr>
                <w:noProof/>
                <w:webHidden/>
              </w:rPr>
            </w:r>
            <w:r w:rsidR="00106B4A">
              <w:rPr>
                <w:noProof/>
                <w:webHidden/>
              </w:rPr>
              <w:fldChar w:fldCharType="separate"/>
            </w:r>
            <w:r w:rsidR="00106B4A">
              <w:rPr>
                <w:noProof/>
                <w:webHidden/>
              </w:rPr>
              <w:t>4</w:t>
            </w:r>
            <w:r w:rsidR="00106B4A">
              <w:rPr>
                <w:noProof/>
                <w:webHidden/>
              </w:rPr>
              <w:fldChar w:fldCharType="end"/>
            </w:r>
          </w:hyperlink>
        </w:p>
        <w:p w:rsidR="00106B4A" w:rsidRDefault="00CC3D78">
          <w:pPr>
            <w:pStyle w:val="TOC1"/>
            <w:rPr>
              <w:rFonts w:asciiTheme="minorHAnsi" w:eastAsiaTheme="minorEastAsia" w:hAnsiTheme="minorHAnsi" w:cstheme="minorBidi"/>
              <w:caps w:val="0"/>
              <w:noProof/>
              <w:sz w:val="22"/>
              <w:szCs w:val="22"/>
              <w:lang w:eastAsia="es-ES_tradnl"/>
            </w:rPr>
          </w:pPr>
          <w:hyperlink w:anchor="_Toc116635412" w:history="1">
            <w:r w:rsidR="00106B4A" w:rsidRPr="003C6B16">
              <w:rPr>
                <w:rStyle w:val="Hyperlink"/>
                <w:noProof/>
                <w:snapToGrid w:val="0"/>
              </w:rPr>
              <w:t>SESIÓN PARA FACILITAR LA COOPERACIÓN EN EL USO DE TÉCNICAS MOLECULARES</w:t>
            </w:r>
            <w:r w:rsidR="00106B4A">
              <w:rPr>
                <w:noProof/>
                <w:webHidden/>
              </w:rPr>
              <w:tab/>
            </w:r>
            <w:r w:rsidR="00106B4A">
              <w:rPr>
                <w:noProof/>
                <w:webHidden/>
              </w:rPr>
              <w:fldChar w:fldCharType="begin"/>
            </w:r>
            <w:r w:rsidR="00106B4A">
              <w:rPr>
                <w:noProof/>
                <w:webHidden/>
              </w:rPr>
              <w:instrText xml:space="preserve"> PAGEREF _Toc116635412 \h </w:instrText>
            </w:r>
            <w:r w:rsidR="00106B4A">
              <w:rPr>
                <w:noProof/>
                <w:webHidden/>
              </w:rPr>
            </w:r>
            <w:r w:rsidR="00106B4A">
              <w:rPr>
                <w:noProof/>
                <w:webHidden/>
              </w:rPr>
              <w:fldChar w:fldCharType="separate"/>
            </w:r>
            <w:r w:rsidR="00106B4A">
              <w:rPr>
                <w:noProof/>
                <w:webHidden/>
              </w:rPr>
              <w:t>5</w:t>
            </w:r>
            <w:r w:rsidR="00106B4A">
              <w:rPr>
                <w:noProof/>
                <w:webHidden/>
              </w:rPr>
              <w:fldChar w:fldCharType="end"/>
            </w:r>
          </w:hyperlink>
        </w:p>
        <w:p w:rsidR="00106B4A" w:rsidRDefault="00CC3D78" w:rsidP="007D508C">
          <w:pPr>
            <w:pStyle w:val="TOC2"/>
            <w:rPr>
              <w:rFonts w:asciiTheme="minorHAnsi" w:eastAsiaTheme="minorEastAsia" w:hAnsiTheme="minorHAnsi" w:cstheme="minorBidi"/>
              <w:smallCaps/>
              <w:noProof/>
              <w:sz w:val="22"/>
              <w:szCs w:val="22"/>
              <w:lang w:eastAsia="es-ES_tradnl"/>
            </w:rPr>
          </w:pPr>
          <w:hyperlink w:anchor="_Toc116635413" w:history="1">
            <w:r w:rsidR="00106B4A" w:rsidRPr="003C6B16">
              <w:rPr>
                <w:rStyle w:val="Hyperlink"/>
                <w:noProof/>
              </w:rPr>
              <w:t>Grupos de Trabajo Técnico (TWP)</w:t>
            </w:r>
            <w:r w:rsidR="00106B4A">
              <w:rPr>
                <w:noProof/>
                <w:webHidden/>
              </w:rPr>
              <w:tab/>
            </w:r>
            <w:r w:rsidR="00106B4A">
              <w:rPr>
                <w:noProof/>
                <w:webHidden/>
              </w:rPr>
              <w:fldChar w:fldCharType="begin"/>
            </w:r>
            <w:r w:rsidR="00106B4A">
              <w:rPr>
                <w:noProof/>
                <w:webHidden/>
              </w:rPr>
              <w:instrText xml:space="preserve"> PAGEREF _Toc116635413 \h </w:instrText>
            </w:r>
            <w:r w:rsidR="00106B4A">
              <w:rPr>
                <w:noProof/>
                <w:webHidden/>
              </w:rPr>
            </w:r>
            <w:r w:rsidR="00106B4A">
              <w:rPr>
                <w:noProof/>
                <w:webHidden/>
              </w:rPr>
              <w:fldChar w:fldCharType="separate"/>
            </w:r>
            <w:r w:rsidR="00106B4A">
              <w:rPr>
                <w:noProof/>
                <w:webHidden/>
              </w:rPr>
              <w:t>5</w:t>
            </w:r>
            <w:r w:rsidR="00106B4A">
              <w:rPr>
                <w:noProof/>
                <w:webHidden/>
              </w:rPr>
              <w:fldChar w:fldCharType="end"/>
            </w:r>
          </w:hyperlink>
        </w:p>
        <w:p w:rsidR="00106B4A" w:rsidRDefault="00CC3D78">
          <w:pPr>
            <w:pStyle w:val="TOC1"/>
            <w:rPr>
              <w:rFonts w:asciiTheme="minorHAnsi" w:eastAsiaTheme="minorEastAsia" w:hAnsiTheme="minorHAnsi" w:cstheme="minorBidi"/>
              <w:caps w:val="0"/>
              <w:noProof/>
              <w:sz w:val="22"/>
              <w:szCs w:val="22"/>
              <w:lang w:eastAsia="es-ES_tradnl"/>
            </w:rPr>
          </w:pPr>
          <w:hyperlink w:anchor="_Toc116635414" w:history="1">
            <w:r w:rsidR="00106B4A" w:rsidRPr="003C6B16">
              <w:rPr>
                <w:rStyle w:val="Hyperlink"/>
                <w:noProof/>
              </w:rPr>
              <w:t>CONFIDENCIALIDAD Y TITULARIDAD de LA INFORMACIÓN MOLECULAR</w:t>
            </w:r>
            <w:r w:rsidR="00106B4A">
              <w:rPr>
                <w:noProof/>
                <w:webHidden/>
              </w:rPr>
              <w:tab/>
            </w:r>
            <w:r w:rsidR="00106B4A">
              <w:rPr>
                <w:noProof/>
                <w:webHidden/>
              </w:rPr>
              <w:fldChar w:fldCharType="begin"/>
            </w:r>
            <w:r w:rsidR="00106B4A">
              <w:rPr>
                <w:noProof/>
                <w:webHidden/>
              </w:rPr>
              <w:instrText xml:space="preserve"> PAGEREF _Toc116635414 \h </w:instrText>
            </w:r>
            <w:r w:rsidR="00106B4A">
              <w:rPr>
                <w:noProof/>
                <w:webHidden/>
              </w:rPr>
            </w:r>
            <w:r w:rsidR="00106B4A">
              <w:rPr>
                <w:noProof/>
                <w:webHidden/>
              </w:rPr>
              <w:fldChar w:fldCharType="separate"/>
            </w:r>
            <w:r w:rsidR="00106B4A">
              <w:rPr>
                <w:noProof/>
                <w:webHidden/>
              </w:rPr>
              <w:t>6</w:t>
            </w:r>
            <w:r w:rsidR="00106B4A">
              <w:rPr>
                <w:noProof/>
                <w:webHidden/>
              </w:rPr>
              <w:fldChar w:fldCharType="end"/>
            </w:r>
          </w:hyperlink>
        </w:p>
        <w:p w:rsidR="00A41015" w:rsidRDefault="00D60C58" w:rsidP="006D4EAD">
          <w:pPr>
            <w:tabs>
              <w:tab w:val="center" w:pos="4479"/>
            </w:tabs>
            <w:spacing w:before="120"/>
            <w:ind w:right="851"/>
            <w:contextualSpacing/>
            <w:jc w:val="left"/>
            <w:rPr>
              <w:b/>
              <w:bCs/>
              <w:smallCaps/>
              <w:noProof/>
              <w:sz w:val="18"/>
              <w:szCs w:val="18"/>
            </w:rPr>
          </w:pPr>
          <w:r w:rsidRPr="00025F1B">
            <w:rPr>
              <w:b/>
              <w:bCs/>
              <w:smallCaps/>
              <w:noProof/>
              <w:sz w:val="18"/>
              <w:szCs w:val="18"/>
            </w:rPr>
            <w:fldChar w:fldCharType="end"/>
          </w:r>
        </w:p>
      </w:sdtContent>
    </w:sdt>
    <w:bookmarkStart w:id="1" w:name="_Toc460313637" w:displacedByCustomXml="prev"/>
    <w:bookmarkStart w:id="2" w:name="_Toc410822402" w:displacedByCustomXml="prev"/>
    <w:bookmarkStart w:id="3" w:name="_Toc410822806" w:displacedByCustomXml="prev"/>
    <w:bookmarkStart w:id="4" w:name="_Toc410823313" w:displacedByCustomXml="prev"/>
    <w:bookmarkStart w:id="5" w:name="_Toc410899581" w:displacedByCustomXml="prev"/>
    <w:p w:rsidR="00095775" w:rsidRDefault="0009548D" w:rsidP="006D3A03">
      <w:pPr>
        <w:spacing w:before="60" w:after="120"/>
        <w:ind w:left="1134" w:hanging="1134"/>
        <w:rPr>
          <w:snapToGrid w:val="0"/>
          <w:sz w:val="18"/>
          <w:szCs w:val="18"/>
          <w:lang w:eastAsia="ja-JP"/>
        </w:rPr>
      </w:pPr>
      <w:r w:rsidRPr="006D3A03">
        <w:rPr>
          <w:snapToGrid w:val="0"/>
          <w:sz w:val="18"/>
          <w:szCs w:val="18"/>
          <w:lang w:eastAsia="ja-JP"/>
        </w:rPr>
        <w:t>ANEXO</w:t>
      </w:r>
      <w:r w:rsidR="006D4EAD" w:rsidRPr="00025F1B">
        <w:rPr>
          <w:snapToGrid w:val="0"/>
          <w:sz w:val="18"/>
          <w:szCs w:val="18"/>
          <w:lang w:eastAsia="ja-JP"/>
        </w:rPr>
        <w:t xml:space="preserve"> </w:t>
      </w:r>
      <w:r w:rsidR="006D4EAD" w:rsidRPr="00025F1B">
        <w:rPr>
          <w:snapToGrid w:val="0"/>
          <w:sz w:val="18"/>
          <w:szCs w:val="18"/>
          <w:lang w:eastAsia="ja-JP"/>
        </w:rPr>
        <w:tab/>
      </w:r>
      <w:r w:rsidR="00024EF1" w:rsidRPr="006D3A03">
        <w:rPr>
          <w:snapToGrid w:val="0"/>
          <w:sz w:val="18"/>
          <w:szCs w:val="18"/>
          <w:lang w:eastAsia="ja-JP"/>
        </w:rPr>
        <w:t>ENCUESTA SOBRE LA UTILIZACIÓN DE TÉCNICAS BASADAS EN MARCADORES MOLECULARES, POR CULTIVOS</w:t>
      </w:r>
    </w:p>
    <w:p w:rsidR="00095775" w:rsidRPr="000454E5" w:rsidRDefault="00095775" w:rsidP="006D4EAD">
      <w:pPr>
        <w:rPr>
          <w:snapToGrid w:val="0"/>
          <w:sz w:val="16"/>
          <w:lang w:eastAsia="ja-JP"/>
        </w:rPr>
      </w:pPr>
    </w:p>
    <w:p w:rsidR="00095775" w:rsidRPr="000454E5" w:rsidRDefault="00095775" w:rsidP="006D4EAD">
      <w:pPr>
        <w:rPr>
          <w:snapToGrid w:val="0"/>
          <w:sz w:val="16"/>
          <w:lang w:eastAsia="ja-JP"/>
        </w:rPr>
      </w:pPr>
    </w:p>
    <w:p w:rsidR="00095775" w:rsidRDefault="00024EF1" w:rsidP="006D4EAD">
      <w:pPr>
        <w:pStyle w:val="Heading1"/>
        <w:rPr>
          <w:lang w:val="es-ES_tradnl" w:eastAsia="ja-JP"/>
        </w:rPr>
      </w:pPr>
      <w:bookmarkStart w:id="6" w:name="_Toc116635403"/>
      <w:r w:rsidRPr="006D3A03">
        <w:rPr>
          <w:lang w:val="es-ES_tradnl" w:eastAsia="ja-JP"/>
        </w:rPr>
        <w:t>Cooperación entre las organizaciones internacionales</w:t>
      </w:r>
      <w:bookmarkEnd w:id="6"/>
    </w:p>
    <w:p w:rsidR="00095775" w:rsidRDefault="00095775" w:rsidP="006D4EAD">
      <w:pPr>
        <w:keepNext/>
        <w:rPr>
          <w:rFonts w:cs="Arial"/>
          <w:iCs/>
        </w:rPr>
      </w:pPr>
    </w:p>
    <w:p w:rsidR="00095775" w:rsidRDefault="00024EF1" w:rsidP="006D4EAD">
      <w:pPr>
        <w:pStyle w:val="Heading2"/>
        <w:rPr>
          <w:lang w:val="es-ES_tradnl"/>
        </w:rPr>
      </w:pPr>
      <w:bookmarkStart w:id="7" w:name="_Toc116635404"/>
      <w:r w:rsidRPr="006D3A03">
        <w:rPr>
          <w:lang w:val="es-ES_tradnl"/>
        </w:rPr>
        <w:t>Antecedentes</w:t>
      </w:r>
      <w:bookmarkEnd w:id="7"/>
    </w:p>
    <w:p w:rsidR="00095775" w:rsidRDefault="00095775" w:rsidP="006D4EAD"/>
    <w:p w:rsidR="00095775" w:rsidRDefault="00D60C58" w:rsidP="006D4EAD">
      <w:pPr>
        <w:rPr>
          <w:rFonts w:eastAsiaTheme="minorEastAsia"/>
          <w:lang w:eastAsia="ja-JP"/>
        </w:rPr>
      </w:pPr>
      <w:r w:rsidRPr="00025F1B">
        <w:fldChar w:fldCharType="begin"/>
      </w:r>
      <w:r w:rsidR="006D4EAD" w:rsidRPr="00025F1B">
        <w:instrText xml:space="preserve"> AUTONUM  </w:instrText>
      </w:r>
      <w:r w:rsidRPr="00025F1B">
        <w:fldChar w:fldCharType="end"/>
      </w:r>
      <w:r w:rsidR="006D4EAD" w:rsidRPr="00025F1B">
        <w:tab/>
      </w:r>
      <w:r w:rsidR="00024EF1" w:rsidRPr="006D3A03">
        <w:rPr>
          <w:rFonts w:eastAsiaTheme="minorEastAsia"/>
          <w:lang w:eastAsia="ja-JP"/>
        </w:rPr>
        <w:t>Los antecedentes de esta cuestión figuran en los documentos TC/57/8</w:t>
      </w:r>
      <w:r w:rsidR="00024EF1" w:rsidRPr="006D3A03">
        <w:rPr>
          <w:lang w:eastAsia="ja-JP"/>
        </w:rPr>
        <w:t xml:space="preserve"> “Técnicas moleculares” y TC/57/8 </w:t>
      </w:r>
      <w:proofErr w:type="spellStart"/>
      <w:r w:rsidR="00024EF1" w:rsidRPr="006D3A03">
        <w:rPr>
          <w:lang w:eastAsia="ja-JP"/>
        </w:rPr>
        <w:t>Add</w:t>
      </w:r>
      <w:proofErr w:type="spellEnd"/>
      <w:r w:rsidR="00024EF1" w:rsidRPr="006D3A03">
        <w:rPr>
          <w:lang w:eastAsia="ja-JP"/>
        </w:rPr>
        <w:t xml:space="preserve">. </w:t>
      </w:r>
      <w:r w:rsidR="00024EF1" w:rsidRPr="006D3A03">
        <w:rPr>
          <w:rFonts w:eastAsiaTheme="minorEastAsia"/>
          <w:lang w:eastAsia="ja-JP"/>
        </w:rPr>
        <w:t xml:space="preserve">“Adición a las técnicas </w:t>
      </w:r>
      <w:r w:rsidR="006D3A03" w:rsidRPr="006D3A03">
        <w:rPr>
          <w:rFonts w:eastAsiaTheme="minorEastAsia"/>
          <w:lang w:eastAsia="ja-JP"/>
        </w:rPr>
        <w:t>moleculares</w:t>
      </w:r>
      <w:r w:rsidR="00024EF1" w:rsidRPr="006D3A03">
        <w:rPr>
          <w:rFonts w:eastAsiaTheme="minorEastAsia"/>
          <w:lang w:eastAsia="ja-JP"/>
        </w:rPr>
        <w:t>”.</w:t>
      </w:r>
    </w:p>
    <w:p w:rsidR="00095775" w:rsidRDefault="00095775" w:rsidP="006D4EAD">
      <w:pPr>
        <w:rPr>
          <w:rFonts w:eastAsiaTheme="minorEastAsia"/>
          <w:lang w:eastAsia="ja-JP"/>
        </w:rPr>
      </w:pPr>
    </w:p>
    <w:p w:rsidR="00095775" w:rsidRDefault="00D60C58" w:rsidP="006D4EAD">
      <w:pPr>
        <w:rPr>
          <w:rFonts w:eastAsiaTheme="minorEastAsia"/>
          <w:lang w:eastAsia="ja-JP"/>
        </w:rPr>
      </w:pPr>
      <w:r w:rsidRPr="00025F1B">
        <w:rPr>
          <w:rFonts w:eastAsiaTheme="minorEastAsia"/>
          <w:lang w:eastAsia="ja-JP"/>
        </w:rPr>
        <w:fldChar w:fldCharType="begin"/>
      </w:r>
      <w:r w:rsidR="006D4EAD" w:rsidRPr="00025F1B">
        <w:rPr>
          <w:rFonts w:eastAsiaTheme="minorEastAsia"/>
          <w:lang w:eastAsia="ja-JP"/>
        </w:rPr>
        <w:instrText xml:space="preserve"> AUTONUM  </w:instrText>
      </w:r>
      <w:r w:rsidRPr="00025F1B">
        <w:rPr>
          <w:rFonts w:eastAsiaTheme="minorEastAsia"/>
          <w:lang w:eastAsia="ja-JP"/>
        </w:rPr>
        <w:fldChar w:fldCharType="end"/>
      </w:r>
      <w:r w:rsidR="006D4EAD" w:rsidRPr="00025F1B">
        <w:rPr>
          <w:rFonts w:eastAsiaTheme="minorEastAsia"/>
          <w:lang w:eastAsia="ja-JP"/>
        </w:rPr>
        <w:tab/>
      </w:r>
      <w:r w:rsidR="00CF52B9" w:rsidRPr="006D3A03">
        <w:rPr>
          <w:rFonts w:eastAsiaTheme="minorEastAsia"/>
          <w:lang w:eastAsia="ja-JP"/>
        </w:rPr>
        <w:t>En su quincuagésima cuarta sesión,</w:t>
      </w:r>
      <w:r w:rsidR="00CF52B9" w:rsidRPr="006D3A03">
        <w:rPr>
          <w:rStyle w:val="FootnoteReference"/>
          <w:rFonts w:eastAsiaTheme="minorEastAsia"/>
          <w:lang w:eastAsia="ja-JP"/>
        </w:rPr>
        <w:footnoteReference w:id="2"/>
      </w:r>
      <w:r w:rsidR="00CF52B9" w:rsidRPr="006D3A03">
        <w:rPr>
          <w:rFonts w:eastAsiaTheme="minorEastAsia"/>
          <w:lang w:eastAsia="ja-JP"/>
        </w:rPr>
        <w:t xml:space="preserve"> el TC convino en que la</w:t>
      </w:r>
      <w:r w:rsidR="006D3A03" w:rsidRPr="006D3A03">
        <w:rPr>
          <w:rFonts w:eastAsiaTheme="minorEastAsia"/>
          <w:lang w:eastAsia="ja-JP"/>
        </w:rPr>
        <w:t> UPOV y la </w:t>
      </w:r>
      <w:r w:rsidR="00CF52B9" w:rsidRPr="006D3A03">
        <w:rPr>
          <w:rFonts w:eastAsiaTheme="minorEastAsia"/>
          <w:lang w:eastAsia="ja-JP"/>
        </w:rPr>
        <w:t>OCDE avancen en los siguientes asuntos convenidos con anterioridad por el TC (véanse los párrafos 267 a 271 del documento TC/54/31 “Informe”):</w:t>
      </w:r>
    </w:p>
    <w:p w:rsidR="00095775" w:rsidRDefault="00095775" w:rsidP="006D4EAD">
      <w:pPr>
        <w:rPr>
          <w:rFonts w:eastAsiaTheme="minorEastAsia"/>
          <w:lang w:eastAsia="ja-JP"/>
        </w:rPr>
      </w:pPr>
    </w:p>
    <w:p w:rsidR="00095775" w:rsidRDefault="006D4EAD" w:rsidP="006D4EAD">
      <w:pPr>
        <w:ind w:firstLine="567"/>
        <w:rPr>
          <w:rFonts w:eastAsiaTheme="minorEastAsia"/>
          <w:lang w:eastAsia="ja-JP"/>
        </w:rPr>
      </w:pPr>
      <w:r w:rsidRPr="00B17B1A">
        <w:rPr>
          <w:rFonts w:eastAsiaTheme="minorEastAsia"/>
          <w:lang w:eastAsia="ja-JP"/>
        </w:rPr>
        <w:t>a)</w:t>
      </w:r>
      <w:r w:rsidRPr="00B17B1A">
        <w:rPr>
          <w:rFonts w:eastAsiaTheme="minorEastAsia"/>
          <w:lang w:eastAsia="ja-JP"/>
        </w:rPr>
        <w:tab/>
      </w:r>
      <w:r w:rsidR="00CF52B9" w:rsidRPr="006D3A03">
        <w:rPr>
          <w:rFonts w:eastAsiaTheme="minorEastAsia"/>
          <w:lang w:eastAsia="ja-JP"/>
        </w:rPr>
        <w:t>la elaboración de un documento conjunto en el que se expliquen las características principales de los sistemas de la OCDE, la UPOV y la ISTA;</w:t>
      </w:r>
    </w:p>
    <w:p w:rsidR="00095775" w:rsidRDefault="00095775" w:rsidP="006D4EAD">
      <w:pPr>
        <w:ind w:firstLine="567"/>
        <w:rPr>
          <w:rFonts w:eastAsiaTheme="minorEastAsia"/>
          <w:lang w:eastAsia="ja-JP"/>
        </w:rPr>
      </w:pPr>
    </w:p>
    <w:p w:rsidR="00095775" w:rsidRDefault="006D4EAD" w:rsidP="006D4EAD">
      <w:pPr>
        <w:ind w:firstLine="567"/>
        <w:rPr>
          <w:rFonts w:eastAsiaTheme="minorEastAsia"/>
          <w:lang w:eastAsia="ja-JP"/>
        </w:rPr>
      </w:pPr>
      <w:r w:rsidRPr="00B17B1A">
        <w:rPr>
          <w:rFonts w:eastAsiaTheme="minorEastAsia"/>
          <w:lang w:eastAsia="ja-JP"/>
        </w:rPr>
        <w:t>b)</w:t>
      </w:r>
      <w:r w:rsidRPr="00B17B1A">
        <w:rPr>
          <w:rFonts w:eastAsiaTheme="minorEastAsia"/>
          <w:lang w:eastAsia="ja-JP"/>
        </w:rPr>
        <w:tab/>
      </w:r>
      <w:r w:rsidR="00CF52B9" w:rsidRPr="002122F0">
        <w:rPr>
          <w:rFonts w:eastAsiaTheme="minorEastAsia"/>
          <w:lang w:eastAsia="ja-JP"/>
        </w:rPr>
        <w:t>la realización de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w:t>
      </w:r>
    </w:p>
    <w:p w:rsidR="00095775" w:rsidRDefault="00095775" w:rsidP="006D4EAD">
      <w:pPr>
        <w:ind w:firstLine="567"/>
        <w:rPr>
          <w:rFonts w:eastAsiaTheme="minorEastAsia"/>
          <w:lang w:eastAsia="ja-JP"/>
        </w:rPr>
      </w:pPr>
    </w:p>
    <w:p w:rsidR="00095775" w:rsidRDefault="006D4EAD" w:rsidP="006D4EAD">
      <w:pPr>
        <w:ind w:firstLine="567"/>
        <w:rPr>
          <w:rFonts w:eastAsiaTheme="minorEastAsia"/>
          <w:lang w:eastAsia="ja-JP"/>
        </w:rPr>
      </w:pPr>
      <w:r w:rsidRPr="00B17B1A">
        <w:rPr>
          <w:rFonts w:eastAsiaTheme="minorEastAsia"/>
          <w:lang w:eastAsia="ja-JP"/>
        </w:rPr>
        <w:t>c)</w:t>
      </w:r>
      <w:r w:rsidRPr="00B17B1A">
        <w:rPr>
          <w:rFonts w:eastAsiaTheme="minorEastAsia"/>
          <w:lang w:eastAsia="ja-JP"/>
        </w:rPr>
        <w:tab/>
      </w:r>
      <w:r w:rsidR="00CF52B9" w:rsidRPr="002122F0">
        <w:rPr>
          <w:rFonts w:eastAsiaTheme="minorEastAsia"/>
          <w:lang w:eastAsia="ja-JP"/>
        </w:rPr>
        <w:t>la elaboración, por parte del BMT, de listas de posibles iniciativas conjuntas con la OCDE y la ISTA relacionadas con las técnicas moleculares a fin de que las examine el TC.</w:t>
      </w:r>
    </w:p>
    <w:p w:rsidR="00095775" w:rsidRDefault="00095775" w:rsidP="006D4EAD">
      <w:pPr>
        <w:rPr>
          <w:rFonts w:eastAsiaTheme="minorEastAsia"/>
          <w:lang w:eastAsia="ja-JP"/>
        </w:rPr>
      </w:pPr>
    </w:p>
    <w:p w:rsidR="00095775" w:rsidRDefault="00D60C58" w:rsidP="006D4EAD">
      <w:pPr>
        <w:rPr>
          <w:rFonts w:eastAsiaTheme="minorEastAsia"/>
          <w:lang w:eastAsia="ja-JP"/>
        </w:rPr>
      </w:pPr>
      <w:r w:rsidRPr="00025F1B">
        <w:rPr>
          <w:rFonts w:eastAsiaTheme="minorEastAsia"/>
          <w:lang w:eastAsia="ja-JP"/>
        </w:rPr>
        <w:lastRenderedPageBreak/>
        <w:fldChar w:fldCharType="begin"/>
      </w:r>
      <w:r w:rsidR="006D4EAD" w:rsidRPr="00025F1B">
        <w:rPr>
          <w:rFonts w:eastAsiaTheme="minorEastAsia"/>
          <w:lang w:eastAsia="ja-JP"/>
        </w:rPr>
        <w:instrText xml:space="preserve"> AUTONUM  </w:instrText>
      </w:r>
      <w:r w:rsidRPr="00025F1B">
        <w:rPr>
          <w:rFonts w:eastAsiaTheme="minorEastAsia"/>
          <w:lang w:eastAsia="ja-JP"/>
        </w:rPr>
        <w:fldChar w:fldCharType="end"/>
      </w:r>
      <w:r w:rsidR="006D4EAD" w:rsidRPr="00025F1B">
        <w:rPr>
          <w:rFonts w:eastAsiaTheme="minorEastAsia"/>
          <w:lang w:eastAsia="ja-JP"/>
        </w:rPr>
        <w:tab/>
      </w:r>
      <w:r w:rsidR="00CF52B9" w:rsidRPr="002122F0">
        <w:rPr>
          <w:rFonts w:eastAsiaTheme="minorEastAsia"/>
          <w:lang w:eastAsia="ja-JP"/>
        </w:rPr>
        <w:t xml:space="preserve">En su </w:t>
      </w:r>
      <w:r w:rsidR="002122F0" w:rsidRPr="002122F0">
        <w:rPr>
          <w:rFonts w:eastAsiaTheme="minorEastAsia"/>
          <w:lang w:eastAsia="ja-JP"/>
        </w:rPr>
        <w:t>quincuagésima cuarta sesión, el </w:t>
      </w:r>
      <w:r w:rsidR="00CF52B9" w:rsidRPr="002122F0">
        <w:rPr>
          <w:rFonts w:eastAsiaTheme="minorEastAsia"/>
          <w:lang w:eastAsia="ja-JP"/>
        </w:rPr>
        <w:t>TC convino en invitar a la ISTA a sumarse a las iniciativas en el momento en que lo disponga.</w:t>
      </w:r>
    </w:p>
    <w:p w:rsidR="00095775" w:rsidRDefault="00D60C58" w:rsidP="006D4EAD">
      <w:pPr>
        <w:keepNext/>
        <w:keepLines/>
      </w:pPr>
      <w:r w:rsidRPr="00025F1B">
        <w:fldChar w:fldCharType="begin"/>
      </w:r>
      <w:r w:rsidR="006D4EAD" w:rsidRPr="00025F1B">
        <w:instrText xml:space="preserve"> AUTONUM  </w:instrText>
      </w:r>
      <w:r w:rsidRPr="00025F1B">
        <w:fldChar w:fldCharType="end"/>
      </w:r>
      <w:r w:rsidR="006D4EAD" w:rsidRPr="00025F1B">
        <w:tab/>
      </w:r>
      <w:r w:rsidR="00CF52B9" w:rsidRPr="002122F0">
        <w:t>En sus sesiones de 2022, el TWV,</w:t>
      </w:r>
      <w:r w:rsidR="00CF52B9" w:rsidRPr="002122F0">
        <w:rPr>
          <w:vertAlign w:val="superscript"/>
        </w:rPr>
        <w:footnoteReference w:id="3"/>
      </w:r>
      <w:r w:rsidR="00CF52B9" w:rsidRPr="002122F0">
        <w:t xml:space="preserve"> el TWA,</w:t>
      </w:r>
      <w:r w:rsidR="00CF52B9" w:rsidRPr="002122F0">
        <w:rPr>
          <w:vertAlign w:val="superscript"/>
        </w:rPr>
        <w:footnoteReference w:id="4"/>
      </w:r>
      <w:r w:rsidR="00CF52B9" w:rsidRPr="002122F0">
        <w:t xml:space="preserve"> el TWO</w:t>
      </w:r>
      <w:r w:rsidR="00CF52B9" w:rsidRPr="002122F0">
        <w:rPr>
          <w:vertAlign w:val="superscript"/>
        </w:rPr>
        <w:footnoteReference w:id="5"/>
      </w:r>
      <w:r w:rsidR="00CF52B9" w:rsidRPr="002122F0">
        <w:t>, el TWF</w:t>
      </w:r>
      <w:r w:rsidR="00CF52B9" w:rsidRPr="002122F0">
        <w:rPr>
          <w:vertAlign w:val="superscript"/>
        </w:rPr>
        <w:footnoteReference w:id="6"/>
      </w:r>
      <w:r w:rsidR="00CF52B9" w:rsidRPr="002122F0">
        <w:t xml:space="preserve"> y el </w:t>
      </w:r>
      <w:r w:rsidR="00CF52B9" w:rsidRPr="002122F0">
        <w:rPr>
          <w:snapToGrid w:val="0"/>
        </w:rPr>
        <w:t>TWM</w:t>
      </w:r>
      <w:r w:rsidR="00CF52B9" w:rsidRPr="002122F0">
        <w:rPr>
          <w:snapToGrid w:val="0"/>
          <w:vertAlign w:val="superscript"/>
        </w:rPr>
        <w:footnoteReference w:id="7"/>
      </w:r>
      <w:r w:rsidR="00CF52B9" w:rsidRPr="002122F0">
        <w:t xml:space="preserve"> examinaron el documento TWP/6/7 “</w:t>
      </w:r>
      <w:r w:rsidR="00CF52B9" w:rsidRPr="002122F0">
        <w:rPr>
          <w:i/>
        </w:rPr>
        <w:t xml:space="preserve">Molecular </w:t>
      </w:r>
      <w:proofErr w:type="spellStart"/>
      <w:r w:rsidR="00CF52B9" w:rsidRPr="002122F0">
        <w:rPr>
          <w:i/>
        </w:rPr>
        <w:t>Techniques</w:t>
      </w:r>
      <w:proofErr w:type="spellEnd"/>
      <w:r w:rsidR="00CF52B9" w:rsidRPr="002122F0">
        <w:t>”</w:t>
      </w:r>
      <w:r w:rsidR="00F0547E" w:rsidRPr="002122F0">
        <w:t xml:space="preserve"> </w:t>
      </w:r>
      <w:r w:rsidR="00CF52B9" w:rsidRPr="002122F0">
        <w:t>(Técnicas moleculares) (</w:t>
      </w:r>
      <w:r w:rsidR="00F0547E" w:rsidRPr="002122F0">
        <w:t>véanse los párrafos 51 a 59 del documento</w:t>
      </w:r>
      <w:r w:rsidR="00CF52B9" w:rsidRPr="002122F0">
        <w:t xml:space="preserve"> TWV/56/22 </w:t>
      </w:r>
      <w:r w:rsidR="00F0547E" w:rsidRPr="002122F0">
        <w:t>“</w:t>
      </w:r>
      <w:proofErr w:type="spellStart"/>
      <w:r w:rsidR="00F0547E" w:rsidRPr="002122F0">
        <w:rPr>
          <w:i/>
        </w:rPr>
        <w:t>Report</w:t>
      </w:r>
      <w:proofErr w:type="spellEnd"/>
      <w:r w:rsidR="00F0547E" w:rsidRPr="002122F0">
        <w:t xml:space="preserve">” (Informe), los párrafos 71 a 75 del documento </w:t>
      </w:r>
      <w:r w:rsidR="00CF52B9" w:rsidRPr="002122F0">
        <w:t>TWA/51/11 “</w:t>
      </w:r>
      <w:proofErr w:type="spellStart"/>
      <w:r w:rsidR="00CF52B9" w:rsidRPr="002122F0">
        <w:rPr>
          <w:i/>
        </w:rPr>
        <w:t>Report</w:t>
      </w:r>
      <w:proofErr w:type="spellEnd"/>
      <w:r w:rsidR="00CF52B9" w:rsidRPr="002122F0">
        <w:t xml:space="preserve">”, </w:t>
      </w:r>
      <w:r w:rsidR="00F0547E" w:rsidRPr="002122F0">
        <w:t xml:space="preserve">los párrafos 66 a 70 del documento </w:t>
      </w:r>
      <w:r w:rsidR="00CF52B9" w:rsidRPr="002122F0">
        <w:t>TWO/54/6 “</w:t>
      </w:r>
      <w:proofErr w:type="spellStart"/>
      <w:r w:rsidR="00CF52B9" w:rsidRPr="002122F0">
        <w:rPr>
          <w:i/>
        </w:rPr>
        <w:t>Report</w:t>
      </w:r>
      <w:proofErr w:type="spellEnd"/>
      <w:r w:rsidR="00CF52B9" w:rsidRPr="002122F0">
        <w:t>”,</w:t>
      </w:r>
      <w:r w:rsidR="00F0547E" w:rsidRPr="002122F0">
        <w:t xml:space="preserve"> los</w:t>
      </w:r>
      <w:r w:rsidR="00CF52B9" w:rsidRPr="002122F0">
        <w:t xml:space="preserve"> párrafos</w:t>
      </w:r>
      <w:r w:rsidR="00F0547E" w:rsidRPr="002122F0">
        <w:t> </w:t>
      </w:r>
      <w:r w:rsidR="00CF52B9" w:rsidRPr="002122F0">
        <w:t xml:space="preserve">80 </w:t>
      </w:r>
      <w:r w:rsidR="00F0547E" w:rsidRPr="002122F0">
        <w:t>a </w:t>
      </w:r>
      <w:r w:rsidR="00CF52B9" w:rsidRPr="002122F0">
        <w:t>84</w:t>
      </w:r>
      <w:r w:rsidR="00F0547E" w:rsidRPr="002122F0">
        <w:t xml:space="preserve"> del documento TWF/53/14 “</w:t>
      </w:r>
      <w:proofErr w:type="spellStart"/>
      <w:r w:rsidR="00F0547E" w:rsidRPr="002122F0">
        <w:rPr>
          <w:i/>
        </w:rPr>
        <w:t>Report</w:t>
      </w:r>
      <w:proofErr w:type="spellEnd"/>
      <w:r w:rsidR="00F0547E" w:rsidRPr="002122F0">
        <w:t>”</w:t>
      </w:r>
      <w:r w:rsidR="00CF52B9" w:rsidRPr="002122F0">
        <w:t xml:space="preserve"> y </w:t>
      </w:r>
      <w:r w:rsidR="00F0547E" w:rsidRPr="002122F0">
        <w:t xml:space="preserve">los párrafos 70 a 80 del documento </w:t>
      </w:r>
      <w:r w:rsidR="00CF52B9" w:rsidRPr="002122F0">
        <w:t>TWM/1/26 “</w:t>
      </w:r>
      <w:proofErr w:type="spellStart"/>
      <w:r w:rsidR="00CF52B9" w:rsidRPr="002122F0">
        <w:rPr>
          <w:i/>
        </w:rPr>
        <w:t>Report</w:t>
      </w:r>
      <w:proofErr w:type="spellEnd"/>
      <w:r w:rsidR="00CF52B9" w:rsidRPr="002122F0">
        <w:t>”)</w:t>
      </w:r>
      <w:r w:rsidR="00CF52B9" w:rsidRPr="002122F0">
        <w:rPr>
          <w:lang w:eastAsia="ja-JP"/>
        </w:rPr>
        <w:t>.</w:t>
      </w:r>
    </w:p>
    <w:p w:rsidR="00095775" w:rsidRPr="000454E5" w:rsidRDefault="00095775" w:rsidP="006D4EAD">
      <w:pPr>
        <w:rPr>
          <w:rFonts w:eastAsiaTheme="minorEastAsia"/>
          <w:sz w:val="18"/>
        </w:rPr>
      </w:pPr>
    </w:p>
    <w:p w:rsidR="00095775" w:rsidRDefault="00F0547E" w:rsidP="006D4EAD">
      <w:pPr>
        <w:pStyle w:val="Heading2"/>
        <w:rPr>
          <w:rFonts w:eastAsiaTheme="minorEastAsia"/>
          <w:lang w:val="es-ES_tradnl"/>
        </w:rPr>
      </w:pPr>
      <w:bookmarkStart w:id="8" w:name="_Toc116635405"/>
      <w:r w:rsidRPr="002122F0">
        <w:rPr>
          <w:rFonts w:eastAsiaTheme="minorEastAsia"/>
          <w:lang w:val="es-ES_tradnl"/>
        </w:rPr>
        <w:t>Inventario sobre la utilización de técnicas basadas en marcadores moleculares, por cultivos</w:t>
      </w:r>
      <w:bookmarkEnd w:id="8"/>
    </w:p>
    <w:p w:rsidR="00095775" w:rsidRDefault="00095775" w:rsidP="006D4EAD">
      <w:pPr>
        <w:rPr>
          <w:rFonts w:eastAsiaTheme="minorEastAsia"/>
        </w:rPr>
      </w:pPr>
      <w:bookmarkStart w:id="9" w:name="_Toc14980927"/>
      <w:bookmarkStart w:id="10" w:name="_Toc15059497"/>
      <w:bookmarkStart w:id="11" w:name="_Toc15295342"/>
      <w:bookmarkStart w:id="12" w:name="_Toc22564625"/>
      <w:bookmarkStart w:id="13" w:name="_Toc27663379"/>
    </w:p>
    <w:p w:rsidR="00095775" w:rsidRDefault="00D60C58" w:rsidP="006D4EAD">
      <w:pPr>
        <w:keepNext/>
        <w:keepLines/>
      </w:pPr>
      <w:r w:rsidRPr="00025F1B">
        <w:fldChar w:fldCharType="begin"/>
      </w:r>
      <w:r w:rsidR="006D4EAD" w:rsidRPr="00025F1B">
        <w:instrText xml:space="preserve"> AUTONUM  </w:instrText>
      </w:r>
      <w:r w:rsidRPr="00025F1B">
        <w:fldChar w:fldCharType="end"/>
      </w:r>
      <w:r w:rsidR="006D4EAD" w:rsidRPr="00025F1B">
        <w:tab/>
      </w:r>
      <w:r w:rsidR="00495845" w:rsidRPr="002122F0">
        <w:t>En su quincuagésima séptima sesión,</w:t>
      </w:r>
      <w:r w:rsidR="00495845" w:rsidRPr="002122F0">
        <w:rPr>
          <w:rStyle w:val="FootnoteReference"/>
        </w:rPr>
        <w:footnoteReference w:id="8"/>
      </w:r>
      <w:r w:rsidR="00495845" w:rsidRPr="002122F0">
        <w:t xml:space="preserve"> el TC </w:t>
      </w:r>
      <w:r w:rsidR="00414913" w:rsidRPr="002122F0">
        <w:t xml:space="preserve">solicitó a la Oficina de la Unión que </w:t>
      </w:r>
      <w:r w:rsidR="00495845" w:rsidRPr="002122F0">
        <w:t xml:space="preserve">comunique a la OCDE el resultado de la encuesta, que se recoge en el documento TC/57/8 “Técnicas </w:t>
      </w:r>
      <w:r w:rsidR="002122F0" w:rsidRPr="002122F0">
        <w:t>moleculares</w:t>
      </w:r>
      <w:r w:rsidR="00495845" w:rsidRPr="002122F0">
        <w:t xml:space="preserve">”, y </w:t>
      </w:r>
      <w:r w:rsidR="0016029C" w:rsidRPr="002122F0">
        <w:t>que</w:t>
      </w:r>
      <w:r w:rsidR="00495845" w:rsidRPr="002122F0">
        <w:t xml:space="preserve"> </w:t>
      </w:r>
      <w:r w:rsidR="0016029C" w:rsidRPr="002122F0">
        <w:t xml:space="preserve">informe al TC, en su quincuagésima octava sesión, sobre las novedades que se produzcan </w:t>
      </w:r>
      <w:r w:rsidR="00495845" w:rsidRPr="002122F0">
        <w:t xml:space="preserve">(véase el </w:t>
      </w:r>
      <w:r w:rsidR="0016029C" w:rsidRPr="002122F0">
        <w:t xml:space="preserve">párrafo 48 del </w:t>
      </w:r>
      <w:r w:rsidR="00495845" w:rsidRPr="002122F0">
        <w:t>documento TC/57/25 “</w:t>
      </w:r>
      <w:r w:rsidR="0016029C" w:rsidRPr="002122F0">
        <w:t>Informe</w:t>
      </w:r>
      <w:r w:rsidR="00495845" w:rsidRPr="002122F0">
        <w:t>”).</w:t>
      </w:r>
      <w:r w:rsidR="006D4EAD" w:rsidRPr="00025F1B">
        <w:t xml:space="preserve"> </w:t>
      </w:r>
      <w:r w:rsidR="00F841D3" w:rsidRPr="002122F0">
        <w:t>La Oficina de la Unión informó a la OCDE de los resultados de la encuesta el 13 de diciembre de 2021.</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F07616" w:rsidRPr="002122F0">
        <w:t>En su quincuagésima séptima sesión, el TC convino en mantener la encuesta sobre la utilización de técnicas basadas en marcadores moleculares para obtener información de un mayor número de miembros de la UPOV e investigar las razones de algunos miembros para no responder a la primera encuesta.</w:t>
      </w:r>
    </w:p>
    <w:p w:rsidR="00095775" w:rsidRDefault="00095775" w:rsidP="006D4EAD"/>
    <w:p w:rsidR="00095775" w:rsidRDefault="00D60C58" w:rsidP="006D4EAD">
      <w:pPr>
        <w:rPr>
          <w:rFonts w:cs="Arial"/>
          <w:snapToGrid w:val="0"/>
        </w:rPr>
      </w:pPr>
      <w:r w:rsidRPr="00025F1B">
        <w:fldChar w:fldCharType="begin"/>
      </w:r>
      <w:r w:rsidR="006D4EAD" w:rsidRPr="00025F1B">
        <w:instrText xml:space="preserve"> AUTONUM  </w:instrText>
      </w:r>
      <w:r w:rsidRPr="00025F1B">
        <w:fldChar w:fldCharType="end"/>
      </w:r>
      <w:r w:rsidR="006D4EAD" w:rsidRPr="00025F1B">
        <w:tab/>
      </w:r>
      <w:r w:rsidR="00F07616" w:rsidRPr="002122F0">
        <w:t xml:space="preserve">El 1 de febrero de 2022, la Oficina de la Unión envió la circular E-22/009, en la que se </w:t>
      </w:r>
      <w:r w:rsidR="00F07616" w:rsidRPr="002122F0">
        <w:rPr>
          <w:rFonts w:cs="Arial"/>
          <w:snapToGrid w:val="0"/>
        </w:rPr>
        <w:t>invitaba a los miembros de la Unión a indicar si utilizan técnicas basadas en marcadores moleculares y a continuar la encuesta sobre su uso.</w:t>
      </w:r>
    </w:p>
    <w:p w:rsidR="00095775" w:rsidRDefault="00095775" w:rsidP="006D4EAD">
      <w:pPr>
        <w:rPr>
          <w:rFonts w:cs="Arial"/>
          <w:snapToGrid w:val="0"/>
        </w:rPr>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F07616" w:rsidRPr="002122F0">
        <w:t xml:space="preserve">Se recibieron respuestas de 28 miembros de la Unión a la circular E-22/009, 15 de las cuales eran </w:t>
      </w:r>
      <w:r w:rsidR="002122F0" w:rsidRPr="002122F0">
        <w:t>respuestas nuevas y en ocho</w:t>
      </w:r>
      <w:r w:rsidR="00F07616" w:rsidRPr="002122F0">
        <w:t xml:space="preserve"> se facilitaba información adicional sobre la utilización de técnicas basadas en marcadores moleculares.</w:t>
      </w:r>
      <w:r w:rsidR="006D4EAD" w:rsidRPr="00025F1B">
        <w:t xml:space="preserve"> </w:t>
      </w:r>
      <w:r w:rsidR="000C0C1B" w:rsidRPr="002122F0">
        <w:t>Se ofrece a continuación un resumen de las respuestas a las encuestas realizadas en 2020 y 2022:</w:t>
      </w:r>
    </w:p>
    <w:p w:rsidR="00095775" w:rsidRDefault="00095775" w:rsidP="006D4EAD"/>
    <w:p w:rsidR="006D4EAD" w:rsidRPr="000454E5" w:rsidRDefault="006D4EAD" w:rsidP="006D4EAD">
      <w:pPr>
        <w:jc w:val="center"/>
        <w:rPr>
          <w:rFonts w:cs="Arial"/>
          <w:bCs/>
          <w:color w:val="000000"/>
          <w:lang w:eastAsia="ja-JP"/>
        </w:rPr>
        <w:sectPr w:rsidR="006D4EAD" w:rsidRPr="000454E5" w:rsidSect="000454E5">
          <w:headerReference w:type="default" r:id="rId8"/>
          <w:pgSz w:w="11907" w:h="16840" w:code="9"/>
          <w:pgMar w:top="510" w:right="1134" w:bottom="993"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381"/>
        <w:gridCol w:w="2439"/>
      </w:tblGrid>
      <w:tr w:rsidR="006D4EAD" w:rsidRPr="00025F1B" w:rsidTr="004C2D76">
        <w:trPr>
          <w:trHeight w:val="326"/>
        </w:trPr>
        <w:tc>
          <w:tcPr>
            <w:tcW w:w="2381" w:type="dxa"/>
            <w:hideMark/>
          </w:tcPr>
          <w:p w:rsidR="006D4EAD" w:rsidRPr="00025F1B" w:rsidRDefault="007C1890" w:rsidP="00B17B1A">
            <w:pPr>
              <w:jc w:val="center"/>
              <w:rPr>
                <w:rFonts w:cs="Arial"/>
                <w:bCs/>
                <w:color w:val="000000"/>
                <w:sz w:val="20"/>
                <w:szCs w:val="20"/>
                <w:lang w:eastAsia="ja-JP"/>
              </w:rPr>
            </w:pPr>
            <w:r w:rsidRPr="002122F0">
              <w:rPr>
                <w:rFonts w:cs="Arial"/>
                <w:bCs/>
                <w:color w:val="000000"/>
                <w:sz w:val="20"/>
                <w:szCs w:val="20"/>
                <w:lang w:eastAsia="ja-JP"/>
              </w:rPr>
              <w:t>Miembro</w:t>
            </w:r>
          </w:p>
        </w:tc>
        <w:tc>
          <w:tcPr>
            <w:tcW w:w="2439" w:type="dxa"/>
            <w:hideMark/>
          </w:tcPr>
          <w:p w:rsidR="006D4EAD" w:rsidRPr="00025F1B" w:rsidRDefault="007C1890" w:rsidP="00B17B1A">
            <w:pPr>
              <w:jc w:val="center"/>
              <w:rPr>
                <w:rFonts w:cs="Arial"/>
                <w:bCs/>
                <w:color w:val="000000"/>
                <w:sz w:val="20"/>
                <w:szCs w:val="20"/>
                <w:lang w:eastAsia="ja-JP"/>
              </w:rPr>
            </w:pPr>
            <w:r w:rsidRPr="002122F0">
              <w:rPr>
                <w:rFonts w:cs="Arial"/>
                <w:bCs/>
                <w:color w:val="000000"/>
                <w:sz w:val="20"/>
                <w:szCs w:val="20"/>
                <w:lang w:eastAsia="ja-JP"/>
              </w:rPr>
              <w:t>Utilización de técnicas basadas en marcadores moleculares (SÍ/NO)</w:t>
            </w:r>
          </w:p>
        </w:tc>
      </w:tr>
      <w:tr w:rsidR="00DF5217" w:rsidRPr="00025F1B" w:rsidTr="004C2D76">
        <w:trPr>
          <w:trHeight w:val="276"/>
        </w:trPr>
        <w:tc>
          <w:tcPr>
            <w:tcW w:w="2381" w:type="dxa"/>
            <w:hideMark/>
          </w:tcPr>
          <w:p w:rsidR="00DF5217" w:rsidRPr="00025F1B" w:rsidRDefault="00DF5217" w:rsidP="00A15D7D">
            <w:pPr>
              <w:jc w:val="center"/>
              <w:rPr>
                <w:rFonts w:cs="Arial"/>
                <w:color w:val="000000"/>
                <w:sz w:val="20"/>
                <w:szCs w:val="20"/>
                <w:lang w:eastAsia="ja-JP"/>
              </w:rPr>
            </w:pPr>
            <w:r w:rsidRPr="007C1890">
              <w:rPr>
                <w:rFonts w:cs="Arial"/>
                <w:color w:val="000000"/>
                <w:sz w:val="20"/>
                <w:szCs w:val="20"/>
                <w:lang w:eastAsia="ja-JP"/>
              </w:rPr>
              <w:t>Alemania</w:t>
            </w:r>
          </w:p>
        </w:tc>
        <w:tc>
          <w:tcPr>
            <w:tcW w:w="2439" w:type="dxa"/>
            <w:hideMark/>
          </w:tcPr>
          <w:p w:rsidR="00DF5217" w:rsidRPr="00025F1B" w:rsidRDefault="00DF5217" w:rsidP="00A15D7D">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Argentina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Australia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Austria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Bélgica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Bolivia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Brasil</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Canadá</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China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DF5217" w:rsidRPr="00025F1B" w:rsidTr="004C2D76">
        <w:trPr>
          <w:trHeight w:val="276"/>
        </w:trPr>
        <w:tc>
          <w:tcPr>
            <w:tcW w:w="2381" w:type="dxa"/>
            <w:hideMark/>
          </w:tcPr>
          <w:p w:rsidR="00DF5217" w:rsidRPr="00025F1B" w:rsidRDefault="00DF5217" w:rsidP="006162EB">
            <w:pPr>
              <w:jc w:val="center"/>
              <w:rPr>
                <w:rFonts w:cs="Arial"/>
                <w:color w:val="000000"/>
                <w:sz w:val="20"/>
                <w:szCs w:val="20"/>
                <w:lang w:eastAsia="ja-JP"/>
              </w:rPr>
            </w:pPr>
            <w:r w:rsidRPr="007C1890">
              <w:rPr>
                <w:rFonts w:cs="Arial"/>
                <w:color w:val="000000"/>
                <w:sz w:val="20"/>
                <w:szCs w:val="20"/>
                <w:lang w:eastAsia="ja-JP"/>
              </w:rPr>
              <w:t>Eslovaquia</w:t>
            </w:r>
          </w:p>
        </w:tc>
        <w:tc>
          <w:tcPr>
            <w:tcW w:w="2439" w:type="dxa"/>
            <w:hideMark/>
          </w:tcPr>
          <w:p w:rsidR="00DF5217" w:rsidRPr="00025F1B" w:rsidRDefault="00DF5217" w:rsidP="006162EB">
            <w:pPr>
              <w:jc w:val="center"/>
              <w:rPr>
                <w:rFonts w:cs="Arial"/>
                <w:bCs/>
                <w:color w:val="000000"/>
                <w:sz w:val="20"/>
                <w:szCs w:val="20"/>
                <w:lang w:eastAsia="ja-JP"/>
              </w:rPr>
            </w:pPr>
            <w:r w:rsidRPr="007C1890">
              <w:rPr>
                <w:rFonts w:cs="Arial"/>
                <w:bCs/>
                <w:color w:val="000000"/>
                <w:sz w:val="20"/>
                <w:szCs w:val="20"/>
                <w:lang w:eastAsia="ja-JP"/>
              </w:rPr>
              <w:t>SÍ</w:t>
            </w:r>
          </w:p>
        </w:tc>
      </w:tr>
      <w:tr w:rsidR="00DF5217" w:rsidRPr="00025F1B" w:rsidTr="004C2D76">
        <w:trPr>
          <w:trHeight w:val="276"/>
        </w:trPr>
        <w:tc>
          <w:tcPr>
            <w:tcW w:w="2381" w:type="dxa"/>
            <w:hideMark/>
          </w:tcPr>
          <w:p w:rsidR="00DF5217" w:rsidRPr="00025F1B" w:rsidRDefault="00DF5217" w:rsidP="00E154A2">
            <w:pPr>
              <w:jc w:val="center"/>
              <w:rPr>
                <w:rFonts w:cs="Arial"/>
                <w:color w:val="000000"/>
                <w:sz w:val="20"/>
                <w:szCs w:val="20"/>
                <w:lang w:eastAsia="ja-JP"/>
              </w:rPr>
            </w:pPr>
            <w:r w:rsidRPr="007C1890">
              <w:rPr>
                <w:rFonts w:cs="Arial"/>
                <w:color w:val="000000"/>
                <w:sz w:val="20"/>
                <w:szCs w:val="20"/>
                <w:lang w:eastAsia="ja-JP"/>
              </w:rPr>
              <w:t>España</w:t>
            </w:r>
          </w:p>
        </w:tc>
        <w:tc>
          <w:tcPr>
            <w:tcW w:w="2439" w:type="dxa"/>
            <w:hideMark/>
          </w:tcPr>
          <w:p w:rsidR="00DF5217" w:rsidRPr="00025F1B" w:rsidRDefault="00DF5217" w:rsidP="00E154A2">
            <w:pPr>
              <w:jc w:val="center"/>
              <w:rPr>
                <w:rFonts w:cs="Arial"/>
                <w:bCs/>
                <w:color w:val="000000"/>
                <w:sz w:val="20"/>
                <w:szCs w:val="20"/>
                <w:lang w:eastAsia="ja-JP"/>
              </w:rPr>
            </w:pPr>
            <w:r w:rsidRPr="007C1890">
              <w:rPr>
                <w:rFonts w:cs="Arial"/>
                <w:bCs/>
                <w:color w:val="000000"/>
                <w:sz w:val="20"/>
                <w:szCs w:val="20"/>
                <w:lang w:eastAsia="ja-JP"/>
              </w:rPr>
              <w:t>SÍ</w:t>
            </w:r>
          </w:p>
        </w:tc>
      </w:tr>
      <w:tr w:rsidR="00E92C5D" w:rsidRPr="00025F1B" w:rsidTr="00EC43C2">
        <w:trPr>
          <w:trHeight w:val="300"/>
        </w:trPr>
        <w:tc>
          <w:tcPr>
            <w:tcW w:w="2381" w:type="dxa"/>
            <w:hideMark/>
          </w:tcPr>
          <w:p w:rsidR="00E92C5D" w:rsidRPr="00025F1B" w:rsidRDefault="00E92C5D" w:rsidP="00EC43C2">
            <w:pPr>
              <w:jc w:val="center"/>
              <w:rPr>
                <w:rFonts w:cs="Arial"/>
                <w:color w:val="000000"/>
                <w:sz w:val="20"/>
                <w:szCs w:val="20"/>
                <w:lang w:eastAsia="ja-JP"/>
              </w:rPr>
            </w:pPr>
            <w:r w:rsidRPr="007C1890">
              <w:rPr>
                <w:rFonts w:cs="Arial"/>
                <w:color w:val="000000"/>
                <w:sz w:val="20"/>
                <w:szCs w:val="20"/>
                <w:lang w:eastAsia="ja-JP"/>
              </w:rPr>
              <w:t>Estados Unidos de América</w:t>
            </w:r>
          </w:p>
        </w:tc>
        <w:tc>
          <w:tcPr>
            <w:tcW w:w="2439" w:type="dxa"/>
            <w:hideMark/>
          </w:tcPr>
          <w:p w:rsidR="00E92C5D" w:rsidRPr="00025F1B" w:rsidRDefault="00E92C5D" w:rsidP="00EC43C2">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Estonia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DF5217" w:rsidRPr="00025F1B" w:rsidTr="004C2D76">
        <w:trPr>
          <w:trHeight w:val="276"/>
        </w:trPr>
        <w:tc>
          <w:tcPr>
            <w:tcW w:w="2381" w:type="dxa"/>
            <w:hideMark/>
          </w:tcPr>
          <w:p w:rsidR="00DF5217" w:rsidRPr="00025F1B" w:rsidRDefault="00DF5217" w:rsidP="00CE54EB">
            <w:pPr>
              <w:jc w:val="center"/>
              <w:rPr>
                <w:rFonts w:cs="Arial"/>
                <w:color w:val="000000"/>
                <w:sz w:val="20"/>
                <w:szCs w:val="20"/>
                <w:lang w:eastAsia="ja-JP"/>
              </w:rPr>
            </w:pPr>
            <w:r w:rsidRPr="007C1890">
              <w:rPr>
                <w:rFonts w:cs="Arial"/>
                <w:color w:val="000000"/>
                <w:sz w:val="20"/>
                <w:szCs w:val="20"/>
                <w:lang w:eastAsia="ja-JP"/>
              </w:rPr>
              <w:t>Federación de Rusia</w:t>
            </w:r>
          </w:p>
        </w:tc>
        <w:tc>
          <w:tcPr>
            <w:tcW w:w="2439" w:type="dxa"/>
            <w:hideMark/>
          </w:tcPr>
          <w:p w:rsidR="00DF5217" w:rsidRPr="00025F1B" w:rsidRDefault="00DF5217" w:rsidP="00CE54EB">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300"/>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Francia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Hungría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Irlanda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Israel</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NO</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Italia</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hideMark/>
          </w:tcPr>
          <w:p w:rsidR="006D4EAD" w:rsidRPr="00025F1B" w:rsidRDefault="007C1890" w:rsidP="00B17B1A">
            <w:pPr>
              <w:jc w:val="center"/>
              <w:rPr>
                <w:rFonts w:cs="Arial"/>
                <w:color w:val="000000"/>
                <w:sz w:val="20"/>
                <w:szCs w:val="20"/>
                <w:lang w:eastAsia="ja-JP"/>
              </w:rPr>
            </w:pPr>
            <w:r w:rsidRPr="007C1890">
              <w:rPr>
                <w:rFonts w:cs="Arial"/>
                <w:color w:val="000000"/>
                <w:sz w:val="20"/>
                <w:szCs w:val="20"/>
                <w:lang w:eastAsia="ja-JP"/>
              </w:rPr>
              <w:t>Japón</w:t>
            </w:r>
          </w:p>
        </w:tc>
        <w:tc>
          <w:tcPr>
            <w:tcW w:w="2439" w:type="dxa"/>
            <w:hideMark/>
          </w:tcPr>
          <w:p w:rsidR="006D4EAD" w:rsidRPr="00025F1B" w:rsidRDefault="007C1890" w:rsidP="00B17B1A">
            <w:pPr>
              <w:jc w:val="center"/>
              <w:rPr>
                <w:rFonts w:cs="Arial"/>
                <w:bCs/>
                <w:color w:val="000000"/>
                <w:sz w:val="20"/>
                <w:szCs w:val="20"/>
                <w:lang w:eastAsia="ja-JP"/>
              </w:rPr>
            </w:pPr>
            <w:r w:rsidRPr="007C1890">
              <w:rPr>
                <w:rFonts w:cs="Arial"/>
                <w:bCs/>
                <w:color w:val="000000"/>
                <w:sz w:val="20"/>
                <w:szCs w:val="20"/>
                <w:lang w:eastAsia="ja-JP"/>
              </w:rPr>
              <w:t>SÍ</w:t>
            </w:r>
          </w:p>
        </w:tc>
      </w:tr>
      <w:tr w:rsidR="006D4EAD" w:rsidRPr="00025F1B" w:rsidTr="004C2D76">
        <w:trPr>
          <w:trHeight w:val="276"/>
        </w:trPr>
        <w:tc>
          <w:tcPr>
            <w:tcW w:w="2381" w:type="dxa"/>
          </w:tcPr>
          <w:p w:rsidR="006D4EAD" w:rsidRPr="00025F1B" w:rsidRDefault="007C1890" w:rsidP="00B17B1A">
            <w:pPr>
              <w:jc w:val="center"/>
              <w:rPr>
                <w:rFonts w:cs="Arial"/>
                <w:color w:val="000000"/>
                <w:lang w:eastAsia="ja-JP"/>
              </w:rPr>
            </w:pPr>
            <w:r w:rsidRPr="007C1890">
              <w:rPr>
                <w:rFonts w:cs="Arial"/>
                <w:bCs/>
                <w:color w:val="000000"/>
                <w:sz w:val="20"/>
                <w:szCs w:val="20"/>
                <w:lang w:eastAsia="ja-JP"/>
              </w:rPr>
              <w:t>Miembro</w:t>
            </w:r>
          </w:p>
        </w:tc>
        <w:tc>
          <w:tcPr>
            <w:tcW w:w="2439" w:type="dxa"/>
          </w:tcPr>
          <w:p w:rsidR="006D4EAD" w:rsidRPr="00025F1B" w:rsidRDefault="007C1890" w:rsidP="00B17B1A">
            <w:pPr>
              <w:jc w:val="center"/>
              <w:rPr>
                <w:rFonts w:cs="Arial"/>
                <w:bCs/>
                <w:color w:val="000000"/>
                <w:lang w:eastAsia="ja-JP"/>
              </w:rPr>
            </w:pPr>
            <w:r w:rsidRPr="007C1890">
              <w:rPr>
                <w:rFonts w:cs="Arial"/>
                <w:bCs/>
                <w:color w:val="000000"/>
                <w:sz w:val="20"/>
                <w:szCs w:val="20"/>
                <w:lang w:eastAsia="ja-JP"/>
              </w:rPr>
              <w:t>Utilización de técnicas basadas en marcadores moleculares (SÍ/NO)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proofErr w:type="spellStart"/>
            <w:r w:rsidRPr="007C1890">
              <w:rPr>
                <w:rFonts w:cs="Arial"/>
                <w:color w:val="000000"/>
                <w:sz w:val="20"/>
                <w:szCs w:val="20"/>
                <w:lang w:eastAsia="ja-JP"/>
              </w:rPr>
              <w:t>Kenya</w:t>
            </w:r>
            <w:proofErr w:type="spellEnd"/>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Letonia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Lituania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México</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Noruega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Nueva Zelandia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Países Bajos</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SÍ</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Panamá</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Perú</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Polonia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Reino Unido</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SÍ</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República Checa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SÍ</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 xml:space="preserve">República de </w:t>
            </w:r>
            <w:proofErr w:type="spellStart"/>
            <w:r w:rsidRPr="007C1890">
              <w:rPr>
                <w:rFonts w:cs="Arial"/>
                <w:color w:val="000000"/>
                <w:sz w:val="20"/>
                <w:szCs w:val="20"/>
                <w:lang w:eastAsia="ja-JP"/>
              </w:rPr>
              <w:t>Moldova</w:t>
            </w:r>
            <w:proofErr w:type="spellEnd"/>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Rumania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Ucrania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SÍ</w:t>
            </w:r>
          </w:p>
        </w:tc>
      </w:tr>
      <w:tr w:rsidR="00CB68CB" w:rsidRPr="00025F1B" w:rsidTr="004C2D76">
        <w:trPr>
          <w:trHeight w:val="300"/>
        </w:trPr>
        <w:tc>
          <w:tcPr>
            <w:tcW w:w="2381" w:type="dxa"/>
            <w:hideMark/>
          </w:tcPr>
          <w:p w:rsidR="00CB68CB" w:rsidRPr="00025F1B" w:rsidRDefault="00CB68CB" w:rsidP="00560FF7">
            <w:pPr>
              <w:jc w:val="center"/>
              <w:rPr>
                <w:rFonts w:cs="Arial"/>
                <w:color w:val="000000"/>
                <w:sz w:val="20"/>
                <w:szCs w:val="20"/>
                <w:lang w:eastAsia="ja-JP"/>
              </w:rPr>
            </w:pPr>
            <w:r w:rsidRPr="007C1890">
              <w:rPr>
                <w:rFonts w:cs="Arial"/>
                <w:color w:val="000000"/>
                <w:sz w:val="20"/>
                <w:szCs w:val="20"/>
                <w:lang w:eastAsia="ja-JP"/>
              </w:rPr>
              <w:t>Unión Europea</w:t>
            </w:r>
          </w:p>
        </w:tc>
        <w:tc>
          <w:tcPr>
            <w:tcW w:w="2439" w:type="dxa"/>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SÍ</w:t>
            </w:r>
          </w:p>
        </w:tc>
      </w:tr>
      <w:tr w:rsidR="00CB68CB" w:rsidRPr="00025F1B" w:rsidTr="004C2D76">
        <w:trPr>
          <w:trHeight w:val="288"/>
        </w:trPr>
        <w:tc>
          <w:tcPr>
            <w:tcW w:w="2381" w:type="dxa"/>
            <w:tcBorders>
              <w:bottom w:val="single" w:sz="8" w:space="0" w:color="auto"/>
            </w:tcBorders>
            <w:hideMark/>
          </w:tcPr>
          <w:p w:rsidR="00CB68CB" w:rsidRPr="00025F1B" w:rsidRDefault="00CB68CB" w:rsidP="00560FF7">
            <w:pPr>
              <w:jc w:val="center"/>
              <w:rPr>
                <w:rFonts w:cs="Arial"/>
                <w:color w:val="000000"/>
                <w:sz w:val="20"/>
                <w:szCs w:val="20"/>
                <w:lang w:eastAsia="ja-JP"/>
              </w:rPr>
            </w:pPr>
            <w:proofErr w:type="spellStart"/>
            <w:r w:rsidRPr="007C1890">
              <w:rPr>
                <w:rFonts w:cs="Arial"/>
                <w:color w:val="000000"/>
                <w:sz w:val="20"/>
                <w:szCs w:val="20"/>
                <w:lang w:eastAsia="ja-JP"/>
              </w:rPr>
              <w:t>Zimbabwe</w:t>
            </w:r>
            <w:proofErr w:type="spellEnd"/>
          </w:p>
        </w:tc>
        <w:tc>
          <w:tcPr>
            <w:tcW w:w="2439" w:type="dxa"/>
            <w:tcBorders>
              <w:bottom w:val="single" w:sz="8" w:space="0" w:color="auto"/>
            </w:tcBorders>
            <w:hideMark/>
          </w:tcPr>
          <w:p w:rsidR="00CB68CB" w:rsidRPr="00025F1B" w:rsidRDefault="00CB68CB" w:rsidP="00560FF7">
            <w:pPr>
              <w:jc w:val="center"/>
              <w:rPr>
                <w:rFonts w:cs="Arial"/>
                <w:bCs/>
                <w:color w:val="000000"/>
                <w:sz w:val="20"/>
                <w:szCs w:val="20"/>
                <w:lang w:eastAsia="ja-JP"/>
              </w:rPr>
            </w:pPr>
            <w:r w:rsidRPr="007C1890">
              <w:rPr>
                <w:rFonts w:cs="Arial"/>
                <w:bCs/>
                <w:color w:val="000000"/>
                <w:sz w:val="20"/>
                <w:szCs w:val="20"/>
                <w:lang w:eastAsia="ja-JP"/>
              </w:rPr>
              <w:t>NO</w:t>
            </w:r>
          </w:p>
        </w:tc>
      </w:tr>
      <w:tr w:rsidR="00CB68CB" w:rsidRPr="00025F1B" w:rsidTr="004C2D76">
        <w:trPr>
          <w:trHeight w:val="276"/>
        </w:trPr>
        <w:tc>
          <w:tcPr>
            <w:tcW w:w="2381" w:type="dxa"/>
            <w:tcBorders>
              <w:top w:val="single" w:sz="8" w:space="0" w:color="auto"/>
            </w:tcBorders>
            <w:hideMark/>
          </w:tcPr>
          <w:p w:rsidR="00CB68CB" w:rsidRPr="00025F1B" w:rsidRDefault="00CB68CB" w:rsidP="00B17B1A">
            <w:pPr>
              <w:jc w:val="center"/>
              <w:rPr>
                <w:rFonts w:cs="Arial"/>
                <w:bCs/>
                <w:color w:val="000000"/>
                <w:sz w:val="20"/>
                <w:szCs w:val="20"/>
                <w:lang w:eastAsia="ja-JP"/>
              </w:rPr>
            </w:pPr>
            <w:r w:rsidRPr="007C1890">
              <w:rPr>
                <w:rFonts w:cs="Arial"/>
                <w:bCs/>
                <w:color w:val="000000"/>
                <w:sz w:val="20"/>
                <w:szCs w:val="20"/>
                <w:lang w:eastAsia="ja-JP"/>
              </w:rPr>
              <w:t>SÍ</w:t>
            </w:r>
          </w:p>
        </w:tc>
        <w:tc>
          <w:tcPr>
            <w:tcW w:w="2439" w:type="dxa"/>
            <w:tcBorders>
              <w:top w:val="single" w:sz="8" w:space="0" w:color="auto"/>
            </w:tcBorders>
            <w:noWrap/>
            <w:hideMark/>
          </w:tcPr>
          <w:p w:rsidR="00CB68CB" w:rsidRPr="00025F1B" w:rsidRDefault="00CB68CB" w:rsidP="00025F1B">
            <w:pPr>
              <w:jc w:val="center"/>
              <w:rPr>
                <w:rFonts w:cs="Arial"/>
                <w:bCs/>
                <w:color w:val="000000"/>
                <w:sz w:val="20"/>
                <w:szCs w:val="20"/>
                <w:lang w:eastAsia="ja-JP"/>
              </w:rPr>
            </w:pPr>
            <w:r w:rsidRPr="00025F1B">
              <w:rPr>
                <w:rFonts w:cs="Arial"/>
                <w:bCs/>
                <w:color w:val="000000"/>
                <w:sz w:val="20"/>
                <w:szCs w:val="20"/>
                <w:lang w:eastAsia="ja-JP"/>
              </w:rPr>
              <w:t>20</w:t>
            </w:r>
          </w:p>
        </w:tc>
      </w:tr>
      <w:tr w:rsidR="00CB68CB" w:rsidRPr="00025F1B" w:rsidTr="004C2D76">
        <w:trPr>
          <w:trHeight w:val="276"/>
        </w:trPr>
        <w:tc>
          <w:tcPr>
            <w:tcW w:w="2381" w:type="dxa"/>
            <w:tcBorders>
              <w:bottom w:val="single" w:sz="8" w:space="0" w:color="auto"/>
            </w:tcBorders>
            <w:hideMark/>
          </w:tcPr>
          <w:p w:rsidR="00CB68CB" w:rsidRPr="00025F1B" w:rsidRDefault="00CB68CB" w:rsidP="00B17B1A">
            <w:pPr>
              <w:jc w:val="center"/>
              <w:rPr>
                <w:rFonts w:cs="Arial"/>
                <w:bCs/>
                <w:color w:val="000000"/>
                <w:sz w:val="20"/>
                <w:szCs w:val="20"/>
                <w:lang w:eastAsia="ja-JP"/>
              </w:rPr>
            </w:pPr>
            <w:r w:rsidRPr="007C1890">
              <w:rPr>
                <w:rFonts w:cs="Arial"/>
                <w:bCs/>
                <w:color w:val="000000"/>
                <w:sz w:val="20"/>
                <w:szCs w:val="20"/>
                <w:lang w:eastAsia="ja-JP"/>
              </w:rPr>
              <w:t>NO</w:t>
            </w:r>
          </w:p>
        </w:tc>
        <w:tc>
          <w:tcPr>
            <w:tcW w:w="2439" w:type="dxa"/>
            <w:tcBorders>
              <w:bottom w:val="single" w:sz="8" w:space="0" w:color="auto"/>
            </w:tcBorders>
            <w:noWrap/>
            <w:hideMark/>
          </w:tcPr>
          <w:p w:rsidR="00CB68CB" w:rsidRPr="00025F1B" w:rsidRDefault="00CB68CB" w:rsidP="00025F1B">
            <w:pPr>
              <w:jc w:val="center"/>
              <w:rPr>
                <w:rFonts w:cs="Arial"/>
                <w:bCs/>
                <w:color w:val="000000"/>
                <w:sz w:val="20"/>
                <w:szCs w:val="20"/>
                <w:lang w:eastAsia="ja-JP"/>
              </w:rPr>
            </w:pPr>
            <w:r w:rsidRPr="00025F1B">
              <w:rPr>
                <w:rFonts w:cs="Arial"/>
                <w:bCs/>
                <w:color w:val="000000"/>
                <w:sz w:val="20"/>
                <w:szCs w:val="20"/>
                <w:lang w:eastAsia="ja-JP"/>
              </w:rPr>
              <w:t>18</w:t>
            </w:r>
          </w:p>
        </w:tc>
      </w:tr>
      <w:tr w:rsidR="00CB68CB" w:rsidRPr="00025F1B" w:rsidTr="004C2D76">
        <w:trPr>
          <w:trHeight w:val="288"/>
        </w:trPr>
        <w:tc>
          <w:tcPr>
            <w:tcW w:w="2381" w:type="dxa"/>
            <w:tcBorders>
              <w:top w:val="single" w:sz="8" w:space="0" w:color="auto"/>
            </w:tcBorders>
            <w:hideMark/>
          </w:tcPr>
          <w:p w:rsidR="00CB68CB" w:rsidRPr="00025F1B" w:rsidRDefault="00CB68CB" w:rsidP="00B17B1A">
            <w:pPr>
              <w:jc w:val="center"/>
              <w:rPr>
                <w:rFonts w:cs="Arial"/>
                <w:bCs/>
                <w:color w:val="000000"/>
                <w:sz w:val="20"/>
                <w:szCs w:val="20"/>
                <w:lang w:eastAsia="ja-JP"/>
              </w:rPr>
            </w:pPr>
            <w:r w:rsidRPr="007C1890">
              <w:rPr>
                <w:rFonts w:cs="Arial"/>
                <w:bCs/>
                <w:color w:val="000000"/>
                <w:sz w:val="20"/>
                <w:szCs w:val="20"/>
                <w:lang w:eastAsia="ja-JP"/>
              </w:rPr>
              <w:t>TOTAL</w:t>
            </w:r>
          </w:p>
        </w:tc>
        <w:tc>
          <w:tcPr>
            <w:tcW w:w="2439" w:type="dxa"/>
            <w:tcBorders>
              <w:top w:val="single" w:sz="8" w:space="0" w:color="auto"/>
            </w:tcBorders>
            <w:noWrap/>
            <w:hideMark/>
          </w:tcPr>
          <w:p w:rsidR="00CB68CB" w:rsidRPr="00025F1B" w:rsidRDefault="00CB68CB" w:rsidP="00025F1B">
            <w:pPr>
              <w:jc w:val="center"/>
              <w:rPr>
                <w:rFonts w:cs="Arial"/>
                <w:bCs/>
                <w:color w:val="000000"/>
                <w:sz w:val="20"/>
                <w:szCs w:val="20"/>
                <w:lang w:eastAsia="ja-JP"/>
              </w:rPr>
            </w:pPr>
            <w:r w:rsidRPr="00025F1B">
              <w:rPr>
                <w:rFonts w:cs="Arial"/>
                <w:bCs/>
                <w:color w:val="000000"/>
                <w:sz w:val="20"/>
                <w:szCs w:val="20"/>
                <w:lang w:eastAsia="ja-JP"/>
              </w:rPr>
              <w:t>38</w:t>
            </w:r>
          </w:p>
        </w:tc>
      </w:tr>
    </w:tbl>
    <w:p w:rsidR="006D4EAD" w:rsidRPr="00025F1B" w:rsidRDefault="006D4EAD" w:rsidP="006D4EAD">
      <w:pPr>
        <w:sectPr w:rsidR="006D4EAD" w:rsidRPr="00025F1B" w:rsidSect="00025F1B">
          <w:type w:val="continuous"/>
          <w:pgSz w:w="11907" w:h="16840" w:code="9"/>
          <w:pgMar w:top="510" w:right="1134" w:bottom="1134" w:left="1134" w:header="510" w:footer="680" w:gutter="0"/>
          <w:pgNumType w:start="1"/>
          <w:cols w:num="2" w:space="720"/>
          <w:titlePg/>
        </w:sectPr>
      </w:pP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7C1890" w:rsidRPr="00C73392">
        <w:t>En el Anexo del presente documento se recogen los resultados detallados de la encuesta.</w:t>
      </w:r>
    </w:p>
    <w:p w:rsidR="00095775" w:rsidRDefault="00095775" w:rsidP="006D4EAD"/>
    <w:p w:rsidR="00095775" w:rsidRDefault="00095775" w:rsidP="006D4EAD">
      <w:pPr>
        <w:tabs>
          <w:tab w:val="left" w:pos="5387"/>
          <w:tab w:val="left" w:pos="5954"/>
        </w:tabs>
        <w:ind w:left="4820"/>
        <w:rPr>
          <w:rFonts w:eastAsiaTheme="minorEastAsia"/>
        </w:rPr>
      </w:pPr>
    </w:p>
    <w:p w:rsidR="00095775" w:rsidRDefault="007C1890" w:rsidP="006D4EAD">
      <w:pPr>
        <w:pStyle w:val="Heading2"/>
        <w:rPr>
          <w:rFonts w:eastAsiaTheme="minorEastAsia"/>
          <w:lang w:val="es-ES_tradnl"/>
        </w:rPr>
      </w:pPr>
      <w:bookmarkStart w:id="14" w:name="_Toc116635406"/>
      <w:bookmarkEnd w:id="9"/>
      <w:bookmarkEnd w:id="10"/>
      <w:bookmarkEnd w:id="11"/>
      <w:bookmarkEnd w:id="12"/>
      <w:bookmarkEnd w:id="13"/>
      <w:r w:rsidRPr="00C73392">
        <w:rPr>
          <w:rFonts w:eastAsiaTheme="minorEastAsia"/>
          <w:lang w:val="es-ES_tradnl"/>
        </w:rPr>
        <w:t>Documento conjunto en el que se expliquen las características principales de los sistemas de la OCDE, la UPOV y la ISTA</w:t>
      </w:r>
      <w:bookmarkEnd w:id="14"/>
    </w:p>
    <w:p w:rsidR="00095775" w:rsidRDefault="00095775" w:rsidP="006D4EAD">
      <w:bookmarkStart w:id="15" w:name="_Toc22569703"/>
    </w:p>
    <w:p w:rsidR="00095775" w:rsidRDefault="007C1890" w:rsidP="006D4EAD">
      <w:pPr>
        <w:pStyle w:val="Heading3"/>
        <w:rPr>
          <w:lang w:val="es-ES_tradnl"/>
        </w:rPr>
      </w:pPr>
      <w:bookmarkStart w:id="16" w:name="_Toc116635407"/>
      <w:r w:rsidRPr="00C73392">
        <w:rPr>
          <w:lang w:val="es-ES_tradnl"/>
        </w:rPr>
        <w:t>Antecedentes</w:t>
      </w:r>
      <w:bookmarkEnd w:id="16"/>
    </w:p>
    <w:p w:rsidR="00095775" w:rsidRDefault="00095775" w:rsidP="006D4EAD"/>
    <w:p w:rsidR="00095775" w:rsidRDefault="00D60C58" w:rsidP="006D4EAD">
      <w:pPr>
        <w:keepNext/>
        <w:rPr>
          <w:rFonts w:eastAsiaTheme="minorEastAsia"/>
          <w:iCs/>
        </w:rPr>
      </w:pPr>
      <w:r w:rsidRPr="00025F1B">
        <w:rPr>
          <w:rFonts w:eastAsiaTheme="minorEastAsia"/>
        </w:rPr>
        <w:fldChar w:fldCharType="begin"/>
      </w:r>
      <w:r w:rsidR="006D4EAD" w:rsidRPr="00025F1B">
        <w:rPr>
          <w:rFonts w:eastAsiaTheme="minorEastAsia"/>
        </w:rPr>
        <w:instrText xml:space="preserve"> AUTONUM  </w:instrText>
      </w:r>
      <w:r w:rsidRPr="00025F1B">
        <w:rPr>
          <w:rFonts w:eastAsiaTheme="minorEastAsia"/>
        </w:rPr>
        <w:fldChar w:fldCharType="end"/>
      </w:r>
      <w:r w:rsidR="006D4EAD" w:rsidRPr="00025F1B">
        <w:rPr>
          <w:rFonts w:eastAsiaTheme="minorEastAsia"/>
        </w:rPr>
        <w:tab/>
      </w:r>
      <w:r w:rsidR="00182159" w:rsidRPr="00C73392">
        <w:rPr>
          <w:rFonts w:eastAsiaTheme="minorEastAsia"/>
        </w:rPr>
        <w:t>En su quincuagésima quinta sesión, el TC convino con el BMT, en su decimoctava sesión, en que los elementos pertinentes de la Alianza Mundial por las Semillas y la pregunta frecuente sobre la utilización de técnicas moleculares en el examen DHE constituyen una base adecuada para que la Oficina de la Unión elabore, previa consulta con la OCDE, un proyecto de documento conjunto en el que se expliquen las características principales de los sistemas de la OCDE, la UPOV y la ISTA (véase el párrafo 182 del documento TC/55/25 “Informe”).</w:t>
      </w:r>
    </w:p>
    <w:p w:rsidR="00095775" w:rsidRDefault="00095775" w:rsidP="006D4EAD">
      <w:pPr>
        <w:rPr>
          <w:rFonts w:eastAsiaTheme="minorEastAsia"/>
        </w:rPr>
      </w:pPr>
    </w:p>
    <w:p w:rsidR="00095775" w:rsidRDefault="00182159" w:rsidP="006D4EAD">
      <w:pPr>
        <w:pStyle w:val="Heading3"/>
        <w:rPr>
          <w:rFonts w:eastAsiaTheme="minorEastAsia"/>
          <w:lang w:val="es-ES_tradnl"/>
        </w:rPr>
      </w:pPr>
      <w:bookmarkStart w:id="17" w:name="_Toc116635408"/>
      <w:r w:rsidRPr="00C73392">
        <w:rPr>
          <w:rFonts w:eastAsiaTheme="minorEastAsia"/>
          <w:lang w:val="es-ES_tradnl"/>
        </w:rPr>
        <w:t>Proyecto de documento conjunto</w:t>
      </w:r>
      <w:bookmarkEnd w:id="17"/>
    </w:p>
    <w:p w:rsidR="00095775" w:rsidRDefault="00095775" w:rsidP="006D4EAD">
      <w:pPr>
        <w:keepNext/>
        <w:rPr>
          <w:rFonts w:eastAsiaTheme="minorEastAsia"/>
        </w:rPr>
      </w:pPr>
    </w:p>
    <w:p w:rsidR="00095775" w:rsidRDefault="00D60C58" w:rsidP="006D4EAD">
      <w:pPr>
        <w:keepNext/>
        <w:keepLines/>
      </w:pPr>
      <w:r w:rsidRPr="00025F1B">
        <w:fldChar w:fldCharType="begin"/>
      </w:r>
      <w:r w:rsidR="006D4EAD" w:rsidRPr="00025F1B">
        <w:instrText xml:space="preserve"> AUTONUM  </w:instrText>
      </w:r>
      <w:r w:rsidRPr="00025F1B">
        <w:fldChar w:fldCharType="end"/>
      </w:r>
      <w:r w:rsidR="006D4EAD" w:rsidRPr="00025F1B">
        <w:tab/>
      </w:r>
      <w:r w:rsidR="00182159" w:rsidRPr="00C73392">
        <w:t>En su quincuagésima séptima sesión, el TC observó que había aprobado por correspondencia el proyecto de documento conjunto en el que se explican las características principales de los sistemas de la OCDE, la UPOV y la ISTA.</w:t>
      </w:r>
      <w:r w:rsidR="006D4EAD" w:rsidRPr="00025F1B">
        <w:t xml:space="preserve"> </w:t>
      </w:r>
      <w:r w:rsidR="00182159" w:rsidRPr="00C73392">
        <w:t>El TC solicitó a la Oficina de la Unión que se informe a la OCDE y a la ISTA al respecto (véase el párrafo 52 del documento TC/57/25 “Informe”).</w:t>
      </w:r>
    </w:p>
    <w:p w:rsidR="00095775" w:rsidRDefault="00095775" w:rsidP="006D4EAD">
      <w:pPr>
        <w:keepNext/>
        <w:keepLines/>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182159" w:rsidRPr="00C73392">
        <w:t>La Oficina de la Unión transmitió el proyecto de documento conjunto a la OCDE y a la ISTA el 13 de diciembre de 2021.</w:t>
      </w:r>
      <w:r w:rsidR="006D4EAD" w:rsidRPr="00025F1B">
        <w:t xml:space="preserve"> </w:t>
      </w:r>
      <w:r w:rsidR="003F73F1" w:rsidRPr="00C73392">
        <w:t>Las respuestas de la OCDE y la ISTA se comunicarán al Comité Técnico cuando se disponga de ellas.</w:t>
      </w:r>
    </w:p>
    <w:bookmarkEnd w:id="15"/>
    <w:p w:rsidR="00095775" w:rsidRDefault="00095775" w:rsidP="006D4EAD">
      <w:pPr>
        <w:rPr>
          <w:rFonts w:eastAsiaTheme="minorEastAsia"/>
        </w:rPr>
      </w:pPr>
    </w:p>
    <w:p w:rsidR="00095775" w:rsidRDefault="003F73F1" w:rsidP="006D4EAD">
      <w:pPr>
        <w:pStyle w:val="Heading2"/>
        <w:rPr>
          <w:lang w:val="es-ES_tradnl"/>
        </w:rPr>
      </w:pPr>
      <w:bookmarkStart w:id="18" w:name="_Toc116635409"/>
      <w:r w:rsidRPr="00C73392">
        <w:rPr>
          <w:lang w:val="es-ES_tradnl"/>
        </w:rPr>
        <w:t>Listas de posibles iniciativas conjuntas con la OCDE y la ISTA relacionadas con las técnicas moleculares</w:t>
      </w:r>
      <w:bookmarkEnd w:id="18"/>
    </w:p>
    <w:p w:rsidR="00095775" w:rsidRDefault="00095775" w:rsidP="006D4EAD">
      <w:pPr>
        <w:keepNext/>
        <w:jc w:val="left"/>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3F73F1" w:rsidRPr="00C73392">
        <w:t>En su quincuagésima séptima sesión, el TC acordó proponer los siguientes posibles temas para un futuro taller conjunto de la UPOV, la OCDE y la ISTA:</w:t>
      </w:r>
    </w:p>
    <w:p w:rsidR="00095775" w:rsidRDefault="00095775" w:rsidP="006D4EAD"/>
    <w:p w:rsidR="00095775" w:rsidRDefault="006D4EAD" w:rsidP="00025F1B">
      <w:pPr>
        <w:ind w:left="567"/>
        <w:jc w:val="left"/>
      </w:pPr>
      <w:r w:rsidRPr="00B17B1A">
        <w:t>i)</w:t>
      </w:r>
      <w:r w:rsidRPr="00B17B1A">
        <w:tab/>
      </w:r>
      <w:r w:rsidR="003F73F1" w:rsidRPr="00C73392">
        <w:t>Presentación de información acerca del uso de técnicas moleculares en cada organización;</w:t>
      </w:r>
    </w:p>
    <w:p w:rsidR="00095775" w:rsidRDefault="006D4EAD" w:rsidP="00025F1B">
      <w:pPr>
        <w:ind w:left="567"/>
        <w:jc w:val="left"/>
      </w:pPr>
      <w:r w:rsidRPr="00B17B1A">
        <w:t>ii)</w:t>
      </w:r>
      <w:r w:rsidRPr="00B17B1A">
        <w:tab/>
      </w:r>
      <w:r w:rsidR="003F73F1" w:rsidRPr="00C73392">
        <w:t>Procedimiento para la aprobación de métodos bioquímicos y moleculares en cada organización; y</w:t>
      </w:r>
    </w:p>
    <w:p w:rsidR="00095775" w:rsidRDefault="006D4EAD" w:rsidP="00025F1B">
      <w:pPr>
        <w:ind w:left="567"/>
        <w:jc w:val="left"/>
      </w:pPr>
      <w:r w:rsidRPr="00B17B1A">
        <w:t>iii)</w:t>
      </w:r>
      <w:r w:rsidRPr="00B17B1A">
        <w:tab/>
      </w:r>
      <w:r w:rsidR="003F73F1" w:rsidRPr="00C73392">
        <w:t>Posibilidades de armonización de los términos, las definiciones y los métodos de la UPOV, la OCDE y la ISTA.</w:t>
      </w:r>
    </w:p>
    <w:p w:rsidR="00095775" w:rsidRDefault="00095775" w:rsidP="006D4EAD">
      <w:pPr>
        <w:jc w:val="left"/>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3F73F1" w:rsidRPr="00C73392">
        <w:t xml:space="preserve">El TC </w:t>
      </w:r>
      <w:r w:rsidR="007F1FEF" w:rsidRPr="00C73392">
        <w:t>convino en solicitar a la Oficina de la Unión que se ponga en contacto con la OCDE y la ISTA a fin de buscar fechas adecuadas para un futuro taller conjunto, como por ejemplo en coincidencia con la primera sesión del TWM</w:t>
      </w:r>
      <w:r w:rsidR="00C73392" w:rsidRPr="00C73392">
        <w:t>,</w:t>
      </w:r>
      <w:r w:rsidR="007F1FEF" w:rsidRPr="00C73392">
        <w:t xml:space="preserve"> que se celebrará en septiembre de 2022</w:t>
      </w:r>
      <w:r w:rsidR="003F73F1" w:rsidRPr="00C73392">
        <w:t>.</w:t>
      </w:r>
    </w:p>
    <w:p w:rsidR="00095775" w:rsidRDefault="00095775" w:rsidP="006D4EAD">
      <w:pPr>
        <w:keepNext/>
        <w:keepLines/>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792C4D" w:rsidRPr="007B61B9">
        <w:t>El 13 de diciembre de 2021</w:t>
      </w:r>
      <w:r w:rsidR="007F1FEF" w:rsidRPr="007B61B9">
        <w:t xml:space="preserve">, la Oficina de la Unión </w:t>
      </w:r>
      <w:r w:rsidR="00792C4D" w:rsidRPr="007B61B9">
        <w:t>transmitió</w:t>
      </w:r>
      <w:r w:rsidR="007F1FEF" w:rsidRPr="007B61B9">
        <w:t xml:space="preserve"> </w:t>
      </w:r>
      <w:r w:rsidR="00792C4D" w:rsidRPr="007B61B9">
        <w:t xml:space="preserve">una </w:t>
      </w:r>
      <w:r w:rsidR="007F1FEF" w:rsidRPr="007B61B9">
        <w:t xml:space="preserve">invitación </w:t>
      </w:r>
      <w:r w:rsidR="00792C4D" w:rsidRPr="007B61B9">
        <w:t xml:space="preserve">a la OCDE y a la ISTA para celebrar </w:t>
      </w:r>
      <w:r w:rsidR="007F1FEF" w:rsidRPr="007B61B9">
        <w:t xml:space="preserve">otro taller conjunto </w:t>
      </w:r>
      <w:r w:rsidR="00792C4D" w:rsidRPr="007B61B9">
        <w:t>sobre</w:t>
      </w:r>
      <w:r w:rsidR="007F1FEF" w:rsidRPr="007B61B9">
        <w:t xml:space="preserve"> técnicas moleculares en </w:t>
      </w:r>
      <w:r w:rsidR="00792C4D" w:rsidRPr="007B61B9">
        <w:t xml:space="preserve">coincidencia con la primera sesión del TWM, </w:t>
      </w:r>
      <w:r w:rsidR="007F1FEF" w:rsidRPr="007B61B9">
        <w:t xml:space="preserve">prevista para </w:t>
      </w:r>
      <w:r w:rsidR="00792C4D" w:rsidRPr="007B61B9">
        <w:t>el </w:t>
      </w:r>
      <w:r w:rsidR="007F1FEF" w:rsidRPr="007B61B9">
        <w:t>21</w:t>
      </w:r>
      <w:r w:rsidR="00792C4D" w:rsidRPr="007B61B9">
        <w:t xml:space="preserve"> de septiembre de 2022</w:t>
      </w:r>
      <w:r w:rsidR="007F1FEF" w:rsidRPr="007B61B9">
        <w:t xml:space="preserve"> por medios electrónicos, </w:t>
      </w:r>
      <w:r w:rsidR="00792C4D" w:rsidRPr="007B61B9">
        <w:t>en el que se examinen los temas </w:t>
      </w:r>
      <w:r w:rsidR="007F1FEF" w:rsidRPr="007B61B9">
        <w:t xml:space="preserve">i) </w:t>
      </w:r>
      <w:r w:rsidR="00792C4D" w:rsidRPr="007B61B9">
        <w:t>a </w:t>
      </w:r>
      <w:r w:rsidR="007F1FEF" w:rsidRPr="007B61B9">
        <w:t xml:space="preserve">iii) </w:t>
      </w:r>
      <w:r w:rsidR="00792C4D" w:rsidRPr="007B61B9">
        <w:t>indicados más arriba</w:t>
      </w:r>
      <w:r w:rsidR="007F1FEF" w:rsidRPr="007B61B9">
        <w:t>.</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9E4E2D" w:rsidRPr="009551CA">
        <w:t>El 15 de mayo de 2022, con ocasión del Congreso Mundial de Semillas de la </w:t>
      </w:r>
      <w:r w:rsidR="009E4E2D" w:rsidRPr="009551CA">
        <w:rPr>
          <w:i/>
        </w:rPr>
        <w:t xml:space="preserve">International </w:t>
      </w:r>
      <w:proofErr w:type="spellStart"/>
      <w:r w:rsidR="009E4E2D" w:rsidRPr="009551CA">
        <w:rPr>
          <w:i/>
        </w:rPr>
        <w:t>Seed</w:t>
      </w:r>
      <w:proofErr w:type="spellEnd"/>
      <w:r w:rsidR="009E4E2D" w:rsidRPr="009551CA">
        <w:rPr>
          <w:i/>
        </w:rPr>
        <w:t xml:space="preserve"> </w:t>
      </w:r>
      <w:proofErr w:type="spellStart"/>
      <w:r w:rsidR="009E4E2D" w:rsidRPr="009551CA">
        <w:rPr>
          <w:i/>
        </w:rPr>
        <w:t>Federation</w:t>
      </w:r>
      <w:proofErr w:type="spellEnd"/>
      <w:r w:rsidR="009E4E2D" w:rsidRPr="009551CA">
        <w:t xml:space="preserve">, la Oficina de la Unión se reunió con la OCDE y la ISTA y examinó la cooperación entre dichas organizaciones y la UPOV en </w:t>
      </w:r>
      <w:r w:rsidR="007B61B9" w:rsidRPr="009551CA">
        <w:t>materia de</w:t>
      </w:r>
      <w:r w:rsidR="007B552F" w:rsidRPr="009551CA">
        <w:t xml:space="preserve"> </w:t>
      </w:r>
      <w:r w:rsidR="00681E32" w:rsidRPr="009551CA">
        <w:t>técnicas bioquímicas y moleculares</w:t>
      </w:r>
      <w:r w:rsidR="009E4E2D" w:rsidRPr="009551CA">
        <w:t>.</w:t>
      </w:r>
      <w:r w:rsidR="006D4EAD" w:rsidRPr="00025F1B">
        <w:t xml:space="preserve"> </w:t>
      </w:r>
      <w:r w:rsidR="009E4E2D" w:rsidRPr="009551CA">
        <w:t>La UPOV había planteado la idea de un taller conjunto de la UPOV, la OCDE y la ISTA en coincidencia con la sesión del TWM, que se celebrará en septiembre de 2022.</w:t>
      </w:r>
      <w:r w:rsidR="006D4EAD" w:rsidRPr="00025F1B">
        <w:t xml:space="preserve"> </w:t>
      </w:r>
      <w:r w:rsidR="009E4E2D" w:rsidRPr="009551CA">
        <w:t xml:space="preserve">Se convino en que no se han producido novedades relevantes que examinar </w:t>
      </w:r>
      <w:r w:rsidR="0074008D" w:rsidRPr="009551CA">
        <w:t xml:space="preserve">por el momento y </w:t>
      </w:r>
      <w:r w:rsidR="009551CA" w:rsidRPr="009551CA">
        <w:t xml:space="preserve">en que </w:t>
      </w:r>
      <w:r w:rsidR="00806440" w:rsidRPr="009551CA">
        <w:t>sería mejor planear un taller conjunto que se celebre no antes de 2023</w:t>
      </w:r>
      <w:r w:rsidR="009E4E2D" w:rsidRPr="009551CA">
        <w:t>.</w:t>
      </w:r>
    </w:p>
    <w:p w:rsidR="00095775" w:rsidRDefault="00095775" w:rsidP="006D4EAD"/>
    <w:p w:rsidR="00095775" w:rsidRDefault="009E4E2D" w:rsidP="006D4EAD">
      <w:pPr>
        <w:pStyle w:val="Heading2"/>
        <w:rPr>
          <w:lang w:val="es-ES_tradnl"/>
        </w:rPr>
      </w:pPr>
      <w:bookmarkStart w:id="19" w:name="_Toc116635410"/>
      <w:r w:rsidRPr="009551CA">
        <w:rPr>
          <w:lang w:val="es-ES_tradnl"/>
        </w:rPr>
        <w:t>Asociación Internacional para el Ensayo de Semillas</w:t>
      </w:r>
      <w:bookmarkEnd w:id="19"/>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9E4E2D" w:rsidRPr="009551CA">
        <w:t>El TWM asistió a una ponencia a cargo de la Sra. Ana Laura Vicario (</w:t>
      </w:r>
      <w:r w:rsidR="009E4E2D" w:rsidRPr="009551CA">
        <w:rPr>
          <w:rFonts w:cs="Arial"/>
        </w:rPr>
        <w:t xml:space="preserve">ISTA) </w:t>
      </w:r>
      <w:r w:rsidR="009E4E2D" w:rsidRPr="009551CA">
        <w:t xml:space="preserve">titulada </w:t>
      </w:r>
      <w:r w:rsidR="009E4E2D" w:rsidRPr="009551CA">
        <w:rPr>
          <w:rFonts w:cs="Arial"/>
        </w:rPr>
        <w:t>“</w:t>
      </w:r>
      <w:r w:rsidR="007B552F" w:rsidRPr="009551CA">
        <w:t>Informe de la </w:t>
      </w:r>
      <w:r w:rsidR="009E4E2D" w:rsidRPr="009551CA">
        <w:t xml:space="preserve">ISTA </w:t>
      </w:r>
      <w:r w:rsidR="007B552F" w:rsidRPr="009551CA">
        <w:t>sobre el uso</w:t>
      </w:r>
      <w:r w:rsidR="009E4E2D" w:rsidRPr="009551CA">
        <w:t xml:space="preserve"> de técnicas moleculares</w:t>
      </w:r>
      <w:r w:rsidR="009E4E2D" w:rsidRPr="009551CA">
        <w:rPr>
          <w:rFonts w:cs="Arial"/>
        </w:rPr>
        <w:t>”</w:t>
      </w:r>
      <w:r w:rsidR="009E4E2D" w:rsidRPr="009551CA">
        <w:rPr>
          <w:rFonts w:cs="Arial"/>
          <w:iCs/>
        </w:rPr>
        <w:t>,</w:t>
      </w:r>
      <w:r w:rsidR="009E4E2D" w:rsidRPr="009551CA">
        <w:t xml:space="preserve"> </w:t>
      </w:r>
      <w:r w:rsidR="009E4E2D" w:rsidRPr="009551CA">
        <w:rPr>
          <w:rFonts w:cs="Arial"/>
          <w:iCs/>
        </w:rPr>
        <w:t>de la cual figura una copia en el documento</w:t>
      </w:r>
      <w:r w:rsidR="007B552F" w:rsidRPr="009551CA">
        <w:rPr>
          <w:rFonts w:cs="Arial"/>
          <w:iCs/>
        </w:rPr>
        <w:t xml:space="preserve"> </w:t>
      </w:r>
      <w:r w:rsidR="009E4E2D" w:rsidRPr="009551CA">
        <w:t>TWM/1/23.</w:t>
      </w:r>
    </w:p>
    <w:p w:rsidR="00095775" w:rsidRDefault="00095775" w:rsidP="006D4EAD"/>
    <w:p w:rsidR="00095775" w:rsidRDefault="00095775" w:rsidP="006D4EAD"/>
    <w:p w:rsidR="00095775" w:rsidRDefault="007B552F" w:rsidP="006D4EAD">
      <w:pPr>
        <w:pStyle w:val="Heading2"/>
        <w:rPr>
          <w:rFonts w:cs="Arial"/>
          <w:lang w:val="es-ES_tradnl"/>
        </w:rPr>
      </w:pPr>
      <w:bookmarkStart w:id="20" w:name="_Toc116635411"/>
      <w:r w:rsidRPr="009551CA">
        <w:rPr>
          <w:lang w:val="es-ES_tradnl"/>
        </w:rPr>
        <w:t>Organización para la Cooperación y el Desarrollo Económicos</w:t>
      </w:r>
      <w:bookmarkEnd w:id="20"/>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7B552F" w:rsidRPr="00A15BBB">
        <w:t>El TWM asistió a una ponencia a cargo del Sr. Christophe</w:t>
      </w:r>
      <w:r w:rsidR="007B552F" w:rsidRPr="00A15BBB" w:rsidDel="00CF09B9">
        <w:t xml:space="preserve"> </w:t>
      </w:r>
      <w:proofErr w:type="spellStart"/>
      <w:r w:rsidR="007B552F" w:rsidRPr="00A15BBB">
        <w:t>Rouillard</w:t>
      </w:r>
      <w:proofErr w:type="spellEnd"/>
      <w:r w:rsidR="007B552F" w:rsidRPr="00A15BBB">
        <w:t xml:space="preserve"> (OCDE</w:t>
      </w:r>
      <w:r w:rsidR="007B552F" w:rsidRPr="00A15BBB">
        <w:rPr>
          <w:rFonts w:cs="Arial"/>
        </w:rPr>
        <w:t xml:space="preserve">) </w:t>
      </w:r>
      <w:r w:rsidR="007B552F" w:rsidRPr="00A15BBB">
        <w:t xml:space="preserve">titulada </w:t>
      </w:r>
      <w:r w:rsidR="007B552F" w:rsidRPr="00A15BBB">
        <w:rPr>
          <w:rFonts w:cs="Arial"/>
        </w:rPr>
        <w:t>“</w:t>
      </w:r>
      <w:r w:rsidR="0036609E" w:rsidRPr="00A15BBB">
        <w:t>Últimas</w:t>
      </w:r>
      <w:r w:rsidR="007B552F" w:rsidRPr="00A15BBB">
        <w:t xml:space="preserve"> novedades</w:t>
      </w:r>
      <w:r w:rsidR="0036609E" w:rsidRPr="00A15BBB">
        <w:t xml:space="preserve"> </w:t>
      </w:r>
      <w:r w:rsidR="007B552F" w:rsidRPr="00A15BBB">
        <w:t xml:space="preserve">en </w:t>
      </w:r>
      <w:r w:rsidR="0036609E" w:rsidRPr="00A15BBB">
        <w:t xml:space="preserve">la </w:t>
      </w:r>
      <w:r w:rsidR="007B552F" w:rsidRPr="00A15BBB">
        <w:t xml:space="preserve">aplicación de </w:t>
      </w:r>
      <w:r w:rsidR="0036609E" w:rsidRPr="00A15BBB">
        <w:t>técnicas bioquímicas y moleculares en el marco de los Sistemas de semillas de la </w:t>
      </w:r>
      <w:r w:rsidR="007B552F" w:rsidRPr="00A15BBB">
        <w:t>OCDE</w:t>
      </w:r>
      <w:r w:rsidR="007B552F" w:rsidRPr="00A15BBB">
        <w:rPr>
          <w:rFonts w:cs="Arial"/>
        </w:rPr>
        <w:t>”</w:t>
      </w:r>
      <w:r w:rsidR="007B552F" w:rsidRPr="00A15BBB">
        <w:rPr>
          <w:rFonts w:cs="Arial"/>
          <w:iCs/>
        </w:rPr>
        <w:t>,</w:t>
      </w:r>
      <w:r w:rsidR="007B552F" w:rsidRPr="00A15BBB">
        <w:t xml:space="preserve"> </w:t>
      </w:r>
      <w:r w:rsidR="007B552F" w:rsidRPr="00A15BBB">
        <w:rPr>
          <w:rFonts w:cs="Arial"/>
          <w:iCs/>
        </w:rPr>
        <w:t>de la cual figura una copia en el documento</w:t>
      </w:r>
      <w:r w:rsidR="0036609E" w:rsidRPr="00A15BBB">
        <w:rPr>
          <w:rFonts w:cs="Arial"/>
          <w:iCs/>
        </w:rPr>
        <w:t xml:space="preserve"> </w:t>
      </w:r>
      <w:r w:rsidR="007B552F" w:rsidRPr="00A15BBB">
        <w:t>TWM/1/24.</w:t>
      </w:r>
    </w:p>
    <w:p w:rsidR="00095775" w:rsidRDefault="00095775" w:rsidP="006D4EAD">
      <w:pPr>
        <w:rPr>
          <w:rFonts w:cs="Arial"/>
          <w:iCs/>
        </w:rPr>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36609E" w:rsidRPr="00A15BBB">
        <w:t xml:space="preserve">El TWM tomó nota de que la OCDE ha creado el Grupo Asesor sobre Técnicas Bioquímicas y Moleculares </w:t>
      </w:r>
      <w:r w:rsidR="0074008D" w:rsidRPr="00A15BBB">
        <w:t>para que se ocupe de</w:t>
      </w:r>
      <w:r w:rsidR="0036609E" w:rsidRPr="00A15BBB">
        <w:t xml:space="preserve"> todas las cuestiones relacionadas con dichas técnicas en el marco de los sistemas de semillas, en particular</w:t>
      </w:r>
      <w:r w:rsidR="0074008D" w:rsidRPr="00A15BBB">
        <w:t xml:space="preserve"> las</w:t>
      </w:r>
      <w:r w:rsidR="0036609E" w:rsidRPr="00A15BBB">
        <w:t xml:space="preserve"> relati</w:t>
      </w:r>
      <w:r w:rsidR="0074008D" w:rsidRPr="00A15BBB">
        <w:t>vas</w:t>
      </w:r>
      <w:r w:rsidR="0036609E" w:rsidRPr="00A15BBB">
        <w:t xml:space="preserve"> </w:t>
      </w:r>
      <w:r w:rsidR="0074008D" w:rsidRPr="00A15BBB">
        <w:t>a la</w:t>
      </w:r>
      <w:r w:rsidR="0036609E" w:rsidRPr="00A15BBB">
        <w:t xml:space="preserve"> cooperación con otr</w:t>
      </w:r>
      <w:r w:rsidR="0074008D" w:rsidRPr="00A15BBB">
        <w:t>as</w:t>
      </w:r>
      <w:r w:rsidR="0036609E" w:rsidRPr="00A15BBB">
        <w:t xml:space="preserve"> organizaciones internacionales.</w:t>
      </w:r>
    </w:p>
    <w:p w:rsidR="00095775" w:rsidRDefault="00095775" w:rsidP="006D4EAD"/>
    <w:p w:rsidR="00095775" w:rsidRDefault="00D60C58" w:rsidP="006D4EAD">
      <w:pPr>
        <w:pStyle w:val="DecisionParagraphs"/>
        <w:keepNext/>
        <w:keepLines/>
      </w:pPr>
      <w:r w:rsidRPr="00025F1B">
        <w:fldChar w:fldCharType="begin"/>
      </w:r>
      <w:r w:rsidR="006D4EAD" w:rsidRPr="00025F1B">
        <w:instrText xml:space="preserve"> AUTONUM  </w:instrText>
      </w:r>
      <w:r w:rsidRPr="00025F1B">
        <w:fldChar w:fldCharType="end"/>
      </w:r>
      <w:r w:rsidR="006D4EAD" w:rsidRPr="00025F1B">
        <w:tab/>
      </w:r>
      <w:r w:rsidR="0074008D" w:rsidRPr="00A15BBB">
        <w:t>Se invita al TC a:</w:t>
      </w:r>
    </w:p>
    <w:p w:rsidR="00095775" w:rsidRDefault="00095775" w:rsidP="006D4EAD">
      <w:pPr>
        <w:pStyle w:val="DecisionParagraphs"/>
        <w:keepNext/>
        <w:keepLines/>
      </w:pPr>
    </w:p>
    <w:p w:rsidR="00095775" w:rsidRDefault="006D4EAD" w:rsidP="00025F1B">
      <w:pPr>
        <w:pStyle w:val="DecisionParagraphs"/>
        <w:keepLines/>
        <w:ind w:firstLine="567"/>
      </w:pPr>
      <w:r w:rsidRPr="00B17B1A">
        <w:t>a)</w:t>
      </w:r>
      <w:r w:rsidRPr="00B17B1A">
        <w:tab/>
      </w:r>
      <w:r w:rsidR="0074008D" w:rsidRPr="00A15BBB">
        <w:t>tomar nota de los resultados de las encuestas sobre el uso de técnicas basadas en marcadores moleculares, por miembros y por cultivos, que se recogen en el Anexo del presente documento;</w:t>
      </w:r>
    </w:p>
    <w:p w:rsidR="00095775" w:rsidRDefault="00095775" w:rsidP="006D4EAD">
      <w:pPr>
        <w:pStyle w:val="DecisionParagraphs"/>
      </w:pPr>
    </w:p>
    <w:p w:rsidR="00095775" w:rsidRDefault="006D4EAD" w:rsidP="00025F1B">
      <w:pPr>
        <w:pStyle w:val="DecisionParagraphs"/>
        <w:keepLines/>
        <w:ind w:firstLine="567"/>
        <w:rPr>
          <w:i w:val="0"/>
        </w:rPr>
      </w:pPr>
      <w:r w:rsidRPr="00B17B1A">
        <w:t>b)</w:t>
      </w:r>
      <w:r w:rsidRPr="00B17B1A">
        <w:tab/>
      </w:r>
      <w:r w:rsidR="0074008D" w:rsidRPr="00A15BBB">
        <w:t>tomar nota del documento conjunto en el que se explican las características principales de los sistemas de la OCDE, la UPOV y la ISTA;</w:t>
      </w:r>
    </w:p>
    <w:p w:rsidR="00095775" w:rsidRDefault="00095775" w:rsidP="006D4EAD">
      <w:pPr>
        <w:tabs>
          <w:tab w:val="left" w:pos="5387"/>
          <w:tab w:val="left" w:pos="5954"/>
        </w:tabs>
        <w:ind w:left="4820"/>
        <w:rPr>
          <w:i/>
          <w:highlight w:val="cyan"/>
        </w:rPr>
      </w:pPr>
    </w:p>
    <w:p w:rsidR="00095775" w:rsidRDefault="006D4EAD" w:rsidP="00025F1B">
      <w:pPr>
        <w:pStyle w:val="DecisionParagraphs"/>
        <w:keepLines/>
        <w:ind w:firstLine="567"/>
        <w:rPr>
          <w:i w:val="0"/>
          <w:highlight w:val="cyan"/>
        </w:rPr>
      </w:pPr>
      <w:r w:rsidRPr="00B17B1A">
        <w:t>c)</w:t>
      </w:r>
      <w:r w:rsidRPr="00B17B1A">
        <w:tab/>
      </w:r>
      <w:r w:rsidR="0074008D" w:rsidRPr="00A15BBB">
        <w:t>tomar nota de los temas propuestos por el TC para un futuro taller conjunto de la UPOV, la OCDE y la ISTA, que se exponen en el párrafo 17 del presente documento; y</w:t>
      </w:r>
    </w:p>
    <w:p w:rsidR="00095775" w:rsidRDefault="00095775" w:rsidP="006D4EAD">
      <w:pPr>
        <w:tabs>
          <w:tab w:val="left" w:pos="5387"/>
          <w:tab w:val="left" w:pos="5954"/>
        </w:tabs>
        <w:ind w:left="4820"/>
        <w:rPr>
          <w:i/>
          <w:highlight w:val="cyan"/>
        </w:rPr>
      </w:pPr>
    </w:p>
    <w:p w:rsidR="00095775" w:rsidRDefault="00581F0C" w:rsidP="006D4EAD">
      <w:pPr>
        <w:tabs>
          <w:tab w:val="left" w:pos="5387"/>
          <w:tab w:val="left" w:pos="5954"/>
        </w:tabs>
        <w:ind w:left="4820"/>
        <w:rPr>
          <w:i/>
        </w:rPr>
      </w:pPr>
      <w:r>
        <w:rPr>
          <w:i/>
        </w:rPr>
        <w:tab/>
      </w:r>
      <w:r w:rsidR="006D4EAD" w:rsidRPr="00B17B1A">
        <w:rPr>
          <w:i/>
        </w:rPr>
        <w:t>d)</w:t>
      </w:r>
      <w:r w:rsidR="006D4EAD" w:rsidRPr="00B17B1A">
        <w:rPr>
          <w:i/>
        </w:rPr>
        <w:tab/>
      </w:r>
      <w:r w:rsidR="003010B0" w:rsidRPr="00A15BBB">
        <w:rPr>
          <w:i/>
        </w:rPr>
        <w:t>tomar nota de la información suministrada por la OCDE y la ISTA, según la cual no se han producido novedades relevantes que examinar por el momento y sería mejor planear un taller conjunto que se celebre no antes de 2023.</w:t>
      </w:r>
    </w:p>
    <w:p w:rsidR="00095775" w:rsidRDefault="00095775" w:rsidP="006D4EAD"/>
    <w:p w:rsidR="00095775" w:rsidRDefault="00095775" w:rsidP="006D4EAD"/>
    <w:p w:rsidR="00095775" w:rsidRDefault="00095775" w:rsidP="006D4EAD"/>
    <w:p w:rsidR="00095775" w:rsidRDefault="002F5F2F" w:rsidP="006D4EAD">
      <w:pPr>
        <w:pStyle w:val="Heading1"/>
        <w:rPr>
          <w:lang w:val="es-ES_tradnl"/>
        </w:rPr>
      </w:pPr>
      <w:bookmarkStart w:id="21" w:name="_Toc116635412"/>
      <w:r w:rsidRPr="00A15BBB">
        <w:rPr>
          <w:snapToGrid w:val="0"/>
          <w:lang w:val="es-ES_tradnl"/>
        </w:rPr>
        <w:t>SESIÓN PARA FACILITAR LA COOPERACIÓN EN EL USO DE TÉCNICAS MOLECULARES</w:t>
      </w:r>
      <w:bookmarkEnd w:id="21"/>
    </w:p>
    <w:p w:rsidR="00095775" w:rsidRDefault="00095775" w:rsidP="006D4EAD">
      <w:pPr>
        <w:keepNext/>
      </w:pPr>
    </w:p>
    <w:p w:rsidR="00095775" w:rsidRDefault="00D60C58" w:rsidP="006D4EAD">
      <w:pPr>
        <w:keepNext/>
      </w:pPr>
      <w:r w:rsidRPr="00025F1B">
        <w:fldChar w:fldCharType="begin"/>
      </w:r>
      <w:r w:rsidR="006D4EAD" w:rsidRPr="00025F1B">
        <w:instrText xml:space="preserve"> AUTONUM  </w:instrText>
      </w:r>
      <w:r w:rsidRPr="00025F1B">
        <w:fldChar w:fldCharType="end"/>
      </w:r>
      <w:r w:rsidR="006D4EAD" w:rsidRPr="00025F1B">
        <w:tab/>
      </w:r>
      <w:r w:rsidR="002F5F2F" w:rsidRPr="00550B87">
        <w:t>En su quincuagésima cuarta sesión,</w:t>
      </w:r>
      <w:r w:rsidR="002F5F2F" w:rsidRPr="00550B87">
        <w:rPr>
          <w:rStyle w:val="FootnoteReference"/>
        </w:rPr>
        <w:footnoteReference w:id="9"/>
      </w:r>
      <w:r w:rsidR="002F5F2F" w:rsidRPr="00550B87">
        <w:t xml:space="preserve"> el TC </w:t>
      </w:r>
      <w:r w:rsidR="00B26D8A" w:rsidRPr="00550B87">
        <w:t xml:space="preserve">convino en que se creen grupos de debate en todos los TWP respecto de los principales cultivos con objeto de que los asistentes intercambien información sobre su labor y definan ámbitos de cooperación </w:t>
      </w:r>
      <w:r w:rsidR="002F5F2F" w:rsidRPr="00550B87">
        <w:t>(véase el párrafo 281 del documento TC/54/31 “Informe”).</w:t>
      </w:r>
    </w:p>
    <w:p w:rsidR="00095775" w:rsidRDefault="00095775" w:rsidP="006D4EAD">
      <w:pPr>
        <w:keepNext/>
      </w:pPr>
    </w:p>
    <w:p w:rsidR="00095775" w:rsidRDefault="002F1F82" w:rsidP="006D4EAD">
      <w:pPr>
        <w:pStyle w:val="Heading2"/>
        <w:rPr>
          <w:lang w:val="es-ES_tradnl"/>
        </w:rPr>
      </w:pPr>
      <w:bookmarkStart w:id="22" w:name="_Toc116635413"/>
      <w:r w:rsidRPr="00550B87">
        <w:rPr>
          <w:lang w:val="es-ES_tradnl"/>
        </w:rPr>
        <w:t>Grupos de Trabajo Técnico (TWP)</w:t>
      </w:r>
      <w:bookmarkEnd w:id="22"/>
    </w:p>
    <w:p w:rsidR="00095775" w:rsidRDefault="00095775" w:rsidP="006D4EAD">
      <w:pPr>
        <w:keepNext/>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B82DF9" w:rsidRPr="00550B87">
        <w:t>En su quincuagésima primera sesión,</w:t>
      </w:r>
      <w:r w:rsidR="005077F5" w:rsidRPr="00550B87">
        <w:rPr>
          <w:vertAlign w:val="superscript"/>
        </w:rPr>
        <w:footnoteReference w:id="10"/>
      </w:r>
      <w:r w:rsidR="00B82DF9" w:rsidRPr="00550B87">
        <w:t xml:space="preserve"> el TWA mantuvo un debate en el que los asistentes tuvieron oportunidad de intercambiar información sobre su labor en materia de técnicas bioquímicas y moleculares y definir </w:t>
      </w:r>
      <w:r w:rsidR="00C44451" w:rsidRPr="00550B87">
        <w:t>posibles ámbitos de cooperación</w:t>
      </w:r>
      <w:r w:rsidR="00B82DF9" w:rsidRPr="00550B87">
        <w:t>.</w:t>
      </w:r>
      <w:r w:rsidR="006D4EAD" w:rsidRPr="00025F1B">
        <w:t xml:space="preserve"> </w:t>
      </w:r>
      <w:r w:rsidR="0049556E" w:rsidRPr="00550B87">
        <w:t xml:space="preserve">El TWA </w:t>
      </w:r>
      <w:r w:rsidR="000C455C" w:rsidRPr="00550B87">
        <w:t>consideró si la UPOV podría prestar apoyo a la armonización y la cooperación entre los miembros que ya utilizan marcadores moleculares en el examen DHE o poner a disposición de otros miembros de la UPOV información o servicios de técnicas bioquímicas y moleculares.</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0C455C" w:rsidRPr="00550B87">
        <w:t>El TWA convino en que los</w:t>
      </w:r>
      <w:r w:rsidR="00550B87" w:rsidRPr="00550B87">
        <w:t xml:space="preserve"> TWP </w:t>
      </w:r>
      <w:r w:rsidR="000C455C" w:rsidRPr="00550B87">
        <w:t>constituyen una plataforma para el intercambio de información sobre marcadores moleculares en el examen DHE, en particular sobre proyectos, colaboraciones y servicios que pued</w:t>
      </w:r>
      <w:r w:rsidR="00550B87" w:rsidRPr="00550B87">
        <w:t>e</w:t>
      </w:r>
      <w:r w:rsidR="000C455C" w:rsidRPr="00550B87">
        <w:t>n prestar los miembros.</w:t>
      </w:r>
      <w:r w:rsidR="006D4EAD" w:rsidRPr="00025F1B">
        <w:t xml:space="preserve"> </w:t>
      </w:r>
      <w:r w:rsidR="000C455C" w:rsidRPr="00550B87">
        <w:t xml:space="preserve">Convino asimismo en que la UPOV </w:t>
      </w:r>
      <w:r w:rsidR="00FD245D" w:rsidRPr="00550B87">
        <w:t>ha de seguir promoviendo la presentación de</w:t>
      </w:r>
      <w:r w:rsidR="000C455C" w:rsidRPr="00550B87">
        <w:t xml:space="preserve"> ponencias </w:t>
      </w:r>
      <w:r w:rsidR="00FD245D" w:rsidRPr="00550B87">
        <w:t xml:space="preserve">sobre la utilización de </w:t>
      </w:r>
      <w:r w:rsidR="000C455C" w:rsidRPr="00550B87">
        <w:t xml:space="preserve">marcadores moleculares en </w:t>
      </w:r>
      <w:r w:rsidR="00FD245D" w:rsidRPr="00550B87">
        <w:t xml:space="preserve">el </w:t>
      </w:r>
      <w:r w:rsidR="000C455C" w:rsidRPr="00550B87">
        <w:t>examen DHE, en particular</w:t>
      </w:r>
      <w:r w:rsidR="00FD245D" w:rsidRPr="00550B87">
        <w:t xml:space="preserve"> sobre los</w:t>
      </w:r>
      <w:r w:rsidR="000C455C" w:rsidRPr="00550B87">
        <w:t xml:space="preserve"> </w:t>
      </w:r>
      <w:r w:rsidR="00FD245D" w:rsidRPr="00550B87">
        <w:t>aspect</w:t>
      </w:r>
      <w:r w:rsidR="00F371D5" w:rsidRPr="00550B87">
        <w:t>o</w:t>
      </w:r>
      <w:r w:rsidR="00FD245D" w:rsidRPr="00550B87">
        <w:t xml:space="preserve">s </w:t>
      </w:r>
      <w:r w:rsidR="000C455C" w:rsidRPr="00550B87">
        <w:t>técnico</w:t>
      </w:r>
      <w:r w:rsidR="00FD245D" w:rsidRPr="00550B87">
        <w:t>s</w:t>
      </w:r>
      <w:r w:rsidR="000C455C" w:rsidRPr="00550B87">
        <w:t xml:space="preserve">, </w:t>
      </w:r>
      <w:r w:rsidR="00FD245D" w:rsidRPr="00550B87">
        <w:t xml:space="preserve">la </w:t>
      </w:r>
      <w:r w:rsidR="000C455C" w:rsidRPr="00550B87">
        <w:t xml:space="preserve">confidencialidad y </w:t>
      </w:r>
      <w:r w:rsidR="00FD245D" w:rsidRPr="00550B87">
        <w:t xml:space="preserve">el </w:t>
      </w:r>
      <w:r w:rsidR="000C455C" w:rsidRPr="00550B87">
        <w:t xml:space="preserve">acceso a </w:t>
      </w:r>
      <w:r w:rsidR="00FD245D" w:rsidRPr="00550B87">
        <w:t xml:space="preserve">los </w:t>
      </w:r>
      <w:r w:rsidR="000C455C" w:rsidRPr="00550B87">
        <w:t>datos.</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F371D5" w:rsidRPr="00550B87">
        <w:t>El TWA asistió a una ponencia titulada “Utilización de técnicas moleculares en el examen DHE: informe de la Argentina” a cargo de un experto de la Argentina.</w:t>
      </w:r>
      <w:r w:rsidR="006D4EAD" w:rsidRPr="00025F1B">
        <w:t xml:space="preserve"> </w:t>
      </w:r>
      <w:r w:rsidR="00F371D5" w:rsidRPr="00550B87">
        <w:t>En el documento TWA/51/4 se facilita una copia de dicha ponencia.</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F371D5" w:rsidRPr="008130A3">
        <w:t>El TWA asistió a una ponencia titulada “Desarrollo de una estrategia para aplicar marcadores moleculares del tipo de polimorfismo de nucleótido único (SNP) en el marco del examen DHE de la colza de invierno” a cargo de un experto de Francia.</w:t>
      </w:r>
      <w:r w:rsidR="006D4EAD" w:rsidRPr="00025F1B">
        <w:t xml:space="preserve"> </w:t>
      </w:r>
      <w:r w:rsidR="00F371D5" w:rsidRPr="008130A3">
        <w:t>En el documento TWA/51/4 </w:t>
      </w:r>
      <w:proofErr w:type="spellStart"/>
      <w:r w:rsidR="00F371D5" w:rsidRPr="008130A3">
        <w:t>Add</w:t>
      </w:r>
      <w:proofErr w:type="spellEnd"/>
      <w:r w:rsidR="00F371D5" w:rsidRPr="008130A3">
        <w:t>. se facilita una copia de dicha ponencia.</w:t>
      </w:r>
    </w:p>
    <w:p w:rsidR="00095775" w:rsidRDefault="00095775" w:rsidP="006D4EAD">
      <w:pPr>
        <w:jc w:val="left"/>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8442B3" w:rsidRPr="00810B0E">
        <w:t>En su quincuagésima tercera sesión,</w:t>
      </w:r>
      <w:r w:rsidR="008442B3" w:rsidRPr="00810B0E">
        <w:rPr>
          <w:vertAlign w:val="superscript"/>
        </w:rPr>
        <w:footnoteReference w:id="11"/>
      </w:r>
      <w:r w:rsidR="00F371D5" w:rsidRPr="00810B0E">
        <w:t xml:space="preserve"> e</w:t>
      </w:r>
      <w:r w:rsidR="008442B3" w:rsidRPr="00810B0E">
        <w:t>l</w:t>
      </w:r>
      <w:r w:rsidR="00F371D5" w:rsidRPr="00810B0E">
        <w:t> TWF</w:t>
      </w:r>
      <w:r w:rsidR="008442B3" w:rsidRPr="00810B0E">
        <w:t xml:space="preserve"> </w:t>
      </w:r>
      <w:r w:rsidR="00F371D5" w:rsidRPr="00810B0E">
        <w:t>asistió a una ponencia</w:t>
      </w:r>
      <w:r w:rsidR="008442B3" w:rsidRPr="00810B0E">
        <w:t xml:space="preserve"> titulada</w:t>
      </w:r>
      <w:r w:rsidR="00F371D5" w:rsidRPr="00810B0E">
        <w:t xml:space="preserve"> “Aplicación </w:t>
      </w:r>
      <w:r w:rsidR="008442B3" w:rsidRPr="00810B0E">
        <w:t>de</w:t>
      </w:r>
      <w:r w:rsidR="00F371D5" w:rsidRPr="00810B0E">
        <w:t xml:space="preserve"> técnicas moleculares </w:t>
      </w:r>
      <w:r w:rsidR="008442B3" w:rsidRPr="00810B0E">
        <w:t>e</w:t>
      </w:r>
      <w:r w:rsidR="00F371D5" w:rsidRPr="00810B0E">
        <w:t xml:space="preserve">n </w:t>
      </w:r>
      <w:r w:rsidR="008442B3" w:rsidRPr="00810B0E">
        <w:t xml:space="preserve">el </w:t>
      </w:r>
      <w:r w:rsidR="00F371D5" w:rsidRPr="00810B0E">
        <w:t xml:space="preserve">examen DHE </w:t>
      </w:r>
      <w:r w:rsidR="00982587" w:rsidRPr="00810B0E">
        <w:t xml:space="preserve">y </w:t>
      </w:r>
      <w:r w:rsidR="00810B0E" w:rsidRPr="00810B0E">
        <w:t>defensa</w:t>
      </w:r>
      <w:r w:rsidR="005B4E57" w:rsidRPr="00810B0E">
        <w:t xml:space="preserve"> de los derechos de obtentor del sector frutícola </w:t>
      </w:r>
      <w:r w:rsidR="00F371D5" w:rsidRPr="00810B0E">
        <w:t xml:space="preserve">en China” </w:t>
      </w:r>
      <w:r w:rsidR="00982587" w:rsidRPr="00810B0E">
        <w:t>a cargo de</w:t>
      </w:r>
      <w:r w:rsidR="00F371D5" w:rsidRPr="00810B0E">
        <w:t xml:space="preserve"> un experto de China.</w:t>
      </w:r>
      <w:r w:rsidR="006D4EAD" w:rsidRPr="00025F1B">
        <w:t xml:space="preserve"> </w:t>
      </w:r>
      <w:r w:rsidR="009141E2" w:rsidRPr="00810B0E">
        <w:t>En el documento TWF/53/12 se facilita una copia de dicha ponencia.</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9141E2" w:rsidRPr="00810B0E">
        <w:t xml:space="preserve">El TWF tomó nota de que en China se pueden emplear marcadores moleculares como prueba </w:t>
      </w:r>
      <w:r w:rsidR="0009459D" w:rsidRPr="00810B0E">
        <w:t>en</w:t>
      </w:r>
      <w:r w:rsidR="009141E2" w:rsidRPr="00810B0E">
        <w:t xml:space="preserve"> primera instanci</w:t>
      </w:r>
      <w:r w:rsidR="002E25C5" w:rsidRPr="00810B0E">
        <w:t>a</w:t>
      </w:r>
      <w:r w:rsidR="009141E2" w:rsidRPr="00810B0E">
        <w:t xml:space="preserve"> para la defensa de los derechos de obtentor, </w:t>
      </w:r>
      <w:r w:rsidR="002E25C5" w:rsidRPr="00810B0E">
        <w:t>seguid</w:t>
      </w:r>
      <w:r w:rsidR="00721322" w:rsidRPr="00810B0E">
        <w:t>os</w:t>
      </w:r>
      <w:r w:rsidR="002E25C5" w:rsidRPr="00810B0E">
        <w:t xml:space="preserve"> de</w:t>
      </w:r>
      <w:r w:rsidR="009141E2" w:rsidRPr="00810B0E">
        <w:t xml:space="preserve"> </w:t>
      </w:r>
      <w:r w:rsidR="002E25C5" w:rsidRPr="00810B0E">
        <w:t xml:space="preserve">un </w:t>
      </w:r>
      <w:r w:rsidR="009141E2" w:rsidRPr="00810B0E">
        <w:t xml:space="preserve">ensayo en cultivo en caso </w:t>
      </w:r>
      <w:r w:rsidR="002E25C5" w:rsidRPr="00810B0E">
        <w:t>necesario</w:t>
      </w:r>
      <w:r w:rsidR="009141E2" w:rsidRPr="00810B0E">
        <w:t>.</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032BA9" w:rsidRPr="00810B0E">
        <w:t>Tras la ponencia de China, el TWF mantuvo un debate abierto en torno al uso de marcadores moleculares en el examen DHE y en la identificación de variedades.</w:t>
      </w:r>
      <w:r w:rsidR="006D4EAD" w:rsidRPr="00025F1B">
        <w:t xml:space="preserve"> </w:t>
      </w:r>
      <w:r w:rsidR="00032BA9" w:rsidRPr="00810B0E">
        <w:t>Los asistentes mencionaron los aspectos siguientes:</w:t>
      </w:r>
    </w:p>
    <w:p w:rsidR="00095775" w:rsidRDefault="00095775" w:rsidP="006D4EAD"/>
    <w:p w:rsidR="00095775" w:rsidRDefault="00B25336" w:rsidP="006B169B">
      <w:pPr>
        <w:pStyle w:val="ListParagraph"/>
        <w:numPr>
          <w:ilvl w:val="0"/>
          <w:numId w:val="2"/>
        </w:numPr>
        <w:spacing w:line="280" w:lineRule="auto"/>
        <w:ind w:left="567" w:firstLine="0"/>
        <w:rPr>
          <w:lang w:val="es-ES_tradnl"/>
        </w:rPr>
      </w:pPr>
      <w:r w:rsidRPr="00810B0E">
        <w:rPr>
          <w:lang w:val="es-ES_tradnl"/>
        </w:rPr>
        <w:t xml:space="preserve">Posibilidades </w:t>
      </w:r>
      <w:r w:rsidR="00E1295E" w:rsidRPr="00810B0E">
        <w:rPr>
          <w:lang w:val="es-ES_tradnl"/>
        </w:rPr>
        <w:t>de</w:t>
      </w:r>
      <w:r w:rsidRPr="00810B0E">
        <w:rPr>
          <w:lang w:val="es-ES_tradnl"/>
        </w:rPr>
        <w:t xml:space="preserve"> cooperación </w:t>
      </w:r>
      <w:r w:rsidR="00E1295E" w:rsidRPr="00810B0E">
        <w:rPr>
          <w:lang w:val="es-ES_tradnl"/>
        </w:rPr>
        <w:t>respecto de la</w:t>
      </w:r>
      <w:r w:rsidRPr="00810B0E">
        <w:rPr>
          <w:lang w:val="es-ES_tradnl"/>
        </w:rPr>
        <w:t xml:space="preserve"> constitución de </w:t>
      </w:r>
      <w:r w:rsidR="00E1295E" w:rsidRPr="00810B0E">
        <w:rPr>
          <w:lang w:val="es-ES_tradnl"/>
        </w:rPr>
        <w:t xml:space="preserve">bases de datos </w:t>
      </w:r>
      <w:r w:rsidRPr="00810B0E">
        <w:rPr>
          <w:lang w:val="es-ES_tradnl"/>
        </w:rPr>
        <w:t>com</w:t>
      </w:r>
      <w:r w:rsidR="00E1295E" w:rsidRPr="00810B0E">
        <w:rPr>
          <w:lang w:val="es-ES_tradnl"/>
        </w:rPr>
        <w:t>unes</w:t>
      </w:r>
      <w:r w:rsidRPr="00810B0E">
        <w:rPr>
          <w:lang w:val="es-ES_tradnl"/>
        </w:rPr>
        <w:t>, en particular</w:t>
      </w:r>
      <w:r w:rsidR="00E1295E" w:rsidRPr="00810B0E">
        <w:rPr>
          <w:lang w:val="es-ES_tradnl"/>
        </w:rPr>
        <w:t xml:space="preserve"> para las</w:t>
      </w:r>
      <w:r w:rsidRPr="00810B0E">
        <w:rPr>
          <w:lang w:val="es-ES_tradnl"/>
        </w:rPr>
        <w:t xml:space="preserve"> autoridades </w:t>
      </w:r>
      <w:r w:rsidR="00E1295E" w:rsidRPr="00810B0E">
        <w:rPr>
          <w:lang w:val="es-ES_tradnl"/>
        </w:rPr>
        <w:t>que reciben</w:t>
      </w:r>
      <w:r w:rsidRPr="00810B0E">
        <w:rPr>
          <w:lang w:val="es-ES_tradnl"/>
        </w:rPr>
        <w:t xml:space="preserve"> relativamente </w:t>
      </w:r>
      <w:r w:rsidR="00E1295E" w:rsidRPr="00810B0E">
        <w:rPr>
          <w:lang w:val="es-ES_tradnl"/>
        </w:rPr>
        <w:t>pocas</w:t>
      </w:r>
      <w:r w:rsidRPr="00810B0E">
        <w:rPr>
          <w:lang w:val="es-ES_tradnl"/>
        </w:rPr>
        <w:t xml:space="preserve"> solicitudes </w:t>
      </w:r>
      <w:r w:rsidR="00E1295E" w:rsidRPr="00810B0E">
        <w:rPr>
          <w:lang w:val="es-ES_tradnl"/>
        </w:rPr>
        <w:t>de determinados</w:t>
      </w:r>
      <w:r w:rsidRPr="00810B0E">
        <w:rPr>
          <w:lang w:val="es-ES_tradnl"/>
        </w:rPr>
        <w:t xml:space="preserve"> cultivos</w:t>
      </w:r>
      <w:r w:rsidR="00215D1C" w:rsidRPr="00810B0E">
        <w:rPr>
          <w:lang w:val="es-ES_tradnl"/>
        </w:rPr>
        <w:t>;</w:t>
      </w:r>
    </w:p>
    <w:p w:rsidR="00095775" w:rsidRDefault="00E1295E" w:rsidP="00810B0E">
      <w:pPr>
        <w:pStyle w:val="ListParagraph"/>
        <w:numPr>
          <w:ilvl w:val="0"/>
          <w:numId w:val="2"/>
        </w:numPr>
        <w:spacing w:line="280" w:lineRule="auto"/>
        <w:ind w:left="567" w:firstLine="0"/>
        <w:rPr>
          <w:lang w:val="es-ES_tradnl"/>
        </w:rPr>
      </w:pPr>
      <w:r w:rsidRPr="00810B0E">
        <w:rPr>
          <w:lang w:val="es-ES_tradnl"/>
        </w:rPr>
        <w:t>Origen del material vegetal para la extracción de ADN (por ejemplo, el material suministrado para el examen DHE)</w:t>
      </w:r>
      <w:r w:rsidR="00215D1C" w:rsidRPr="00810B0E">
        <w:rPr>
          <w:lang w:val="es-ES_tradnl"/>
        </w:rPr>
        <w:t>;</w:t>
      </w:r>
    </w:p>
    <w:p w:rsidR="00095775" w:rsidRDefault="00215D1C" w:rsidP="006B169B">
      <w:pPr>
        <w:pStyle w:val="ListParagraph"/>
        <w:numPr>
          <w:ilvl w:val="0"/>
          <w:numId w:val="2"/>
        </w:numPr>
        <w:spacing w:line="280" w:lineRule="auto"/>
        <w:ind w:left="567" w:firstLine="0"/>
        <w:rPr>
          <w:lang w:val="es-ES_tradnl"/>
        </w:rPr>
      </w:pPr>
      <w:r w:rsidRPr="00810B0E">
        <w:rPr>
          <w:lang w:val="es-ES_tradnl"/>
        </w:rPr>
        <w:t>Selección de marcadores para cada cultivo según el uso previsto (por ejemplo, para el derecho de obtentor o la identificación de variedades);</w:t>
      </w:r>
    </w:p>
    <w:p w:rsidR="00095775" w:rsidRDefault="00E45E29" w:rsidP="006B169B">
      <w:pPr>
        <w:pStyle w:val="ListParagraph"/>
        <w:numPr>
          <w:ilvl w:val="0"/>
          <w:numId w:val="2"/>
        </w:numPr>
        <w:spacing w:line="280" w:lineRule="auto"/>
        <w:ind w:left="567" w:firstLine="0"/>
        <w:rPr>
          <w:lang w:val="es-ES_tradnl"/>
        </w:rPr>
      </w:pPr>
      <w:r w:rsidRPr="00810B0E">
        <w:rPr>
          <w:lang w:val="es-ES_tradnl"/>
        </w:rPr>
        <w:t xml:space="preserve">Selección de uno o más laboratorios que puedan proporcionar perfiles moleculares de alta calidad (por ejemplo, </w:t>
      </w:r>
      <w:r w:rsidR="00097B73" w:rsidRPr="00810B0E">
        <w:rPr>
          <w:lang w:val="es-ES_tradnl"/>
        </w:rPr>
        <w:t xml:space="preserve">copia de </w:t>
      </w:r>
      <w:r w:rsidRPr="00810B0E">
        <w:rPr>
          <w:lang w:val="es-ES_tradnl"/>
        </w:rPr>
        <w:t>seguridad);</w:t>
      </w:r>
    </w:p>
    <w:p w:rsidR="00095775" w:rsidRDefault="00876279" w:rsidP="00810B0E">
      <w:pPr>
        <w:pStyle w:val="ListParagraph"/>
        <w:numPr>
          <w:ilvl w:val="0"/>
          <w:numId w:val="2"/>
        </w:numPr>
        <w:spacing w:line="280" w:lineRule="auto"/>
        <w:ind w:left="567" w:firstLine="0"/>
        <w:rPr>
          <w:lang w:val="es-ES_tradnl"/>
        </w:rPr>
      </w:pPr>
      <w:r w:rsidRPr="00810B0E">
        <w:rPr>
          <w:lang w:val="es-ES_tradnl"/>
        </w:rPr>
        <w:t>El elevado costo de la armonización de metodologías para la determinación de perfiles de ADN entre distintos laboratorios;</w:t>
      </w:r>
    </w:p>
    <w:p w:rsidR="00095775" w:rsidRDefault="00876279" w:rsidP="00810B0E">
      <w:pPr>
        <w:pStyle w:val="ListParagraph"/>
        <w:numPr>
          <w:ilvl w:val="0"/>
          <w:numId w:val="2"/>
        </w:numPr>
        <w:spacing w:line="280" w:lineRule="auto"/>
        <w:ind w:left="567" w:firstLine="0"/>
        <w:rPr>
          <w:lang w:val="es-ES_tradnl"/>
        </w:rPr>
      </w:pPr>
      <w:r w:rsidRPr="00810B0E">
        <w:rPr>
          <w:lang w:val="es-ES_tradnl"/>
        </w:rPr>
        <w:t>Las dificultades para obtener los mismos resultados, incluso en laboratorios que emplean metodologías armonizadas.</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C44451" w:rsidRPr="00376F48">
        <w:t>En su quincuagésima cuarta sesión,</w:t>
      </w:r>
      <w:r w:rsidR="00C44451" w:rsidRPr="00376F48">
        <w:rPr>
          <w:vertAlign w:val="superscript"/>
        </w:rPr>
        <w:footnoteReference w:id="12"/>
      </w:r>
      <w:r w:rsidR="00C44451" w:rsidRPr="00376F48">
        <w:t xml:space="preserve"> el TWO observó que no se han elaborado informes sobre la utilización de técnicas bioquímicas y moleculares en el examen DHE de plantas ornamentales.</w:t>
      </w:r>
    </w:p>
    <w:p w:rsidR="00095775" w:rsidRDefault="00095775" w:rsidP="006D4EAD">
      <w:pPr>
        <w:keepNext/>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C44451" w:rsidRPr="00376F48">
        <w:t>En su primera sesión,</w:t>
      </w:r>
      <w:r w:rsidR="00C44451" w:rsidRPr="00376F48">
        <w:rPr>
          <w:snapToGrid w:val="0"/>
          <w:vertAlign w:val="superscript"/>
        </w:rPr>
        <w:footnoteReference w:id="13"/>
      </w:r>
      <w:r w:rsidR="00C44451" w:rsidRPr="00376F48">
        <w:t xml:space="preserve"> el TWM mantuvo un debate en el que los asistentes tuvieron oportunidad de intercambiar información sobre su labor en materia de técnicas bioquímicas y moleculares y definir posibles ámbitos de cooperación.</w:t>
      </w:r>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C44451" w:rsidRPr="00376F48">
        <w:t xml:space="preserve">El TWM </w:t>
      </w:r>
      <w:r w:rsidR="00317822" w:rsidRPr="00376F48">
        <w:t xml:space="preserve">decidió que en el futuro plan de trabajo de la reunión se asigne tiempo suficiente para examinar los puntos del </w:t>
      </w:r>
      <w:r w:rsidR="00C44451" w:rsidRPr="00376F48">
        <w:t xml:space="preserve">orden del día y </w:t>
      </w:r>
      <w:r w:rsidR="002E41A4" w:rsidRPr="00376F48">
        <w:t xml:space="preserve">convino en que </w:t>
      </w:r>
      <w:r w:rsidR="00C44451" w:rsidRPr="00376F48">
        <w:t xml:space="preserve">no </w:t>
      </w:r>
      <w:r w:rsidR="002E41A4" w:rsidRPr="00376F48">
        <w:t xml:space="preserve">será </w:t>
      </w:r>
      <w:r w:rsidR="00C44451" w:rsidRPr="00376F48">
        <w:t xml:space="preserve">necesario </w:t>
      </w:r>
      <w:r w:rsidR="002E41A4" w:rsidRPr="00376F48">
        <w:t>mantener un</w:t>
      </w:r>
      <w:r w:rsidR="00C44451" w:rsidRPr="00376F48">
        <w:t xml:space="preserve"> debate</w:t>
      </w:r>
      <w:r w:rsidR="002E41A4" w:rsidRPr="00376F48">
        <w:t xml:space="preserve"> abierto</w:t>
      </w:r>
      <w:r w:rsidR="00C44451" w:rsidRPr="00376F48">
        <w:t>.</w:t>
      </w:r>
    </w:p>
    <w:p w:rsidR="00095775" w:rsidRDefault="00095775" w:rsidP="006D4EAD">
      <w:pPr>
        <w:rPr>
          <w:lang w:eastAsia="ja-JP"/>
        </w:rPr>
      </w:pPr>
    </w:p>
    <w:p w:rsidR="00095775" w:rsidRDefault="00D60C58" w:rsidP="006D4EAD">
      <w:pPr>
        <w:keepNext/>
        <w:keepLines/>
        <w:tabs>
          <w:tab w:val="left" w:pos="5387"/>
        </w:tabs>
        <w:ind w:left="4820" w:hanging="5"/>
        <w:rPr>
          <w:i/>
        </w:rPr>
      </w:pPr>
      <w:r w:rsidRPr="00025F1B">
        <w:rPr>
          <w:i/>
        </w:rPr>
        <w:fldChar w:fldCharType="begin"/>
      </w:r>
      <w:r w:rsidR="006D4EAD" w:rsidRPr="00025F1B">
        <w:rPr>
          <w:i/>
        </w:rPr>
        <w:instrText xml:space="preserve"> AUTONUM  </w:instrText>
      </w:r>
      <w:r w:rsidRPr="00025F1B">
        <w:rPr>
          <w:i/>
        </w:rPr>
        <w:fldChar w:fldCharType="end"/>
      </w:r>
      <w:r w:rsidR="006D4EAD" w:rsidRPr="00025F1B">
        <w:rPr>
          <w:i/>
        </w:rPr>
        <w:tab/>
      </w:r>
      <w:r w:rsidR="00EB7FD5" w:rsidRPr="00376F48">
        <w:rPr>
          <w:i/>
        </w:rPr>
        <w:t>Se invita al TC a considerar si procede invitar a los TWP a que creen grupos de debate con objeto de que los asistentes puedan intercambiar información sobre su labor y definir ámbitos de cooperación respecto de la utilización de técnicas bioquímicas y moleculares en el examen DHE.</w:t>
      </w:r>
    </w:p>
    <w:bookmarkEnd w:id="1"/>
    <w:p w:rsidR="00095775" w:rsidRDefault="00095775" w:rsidP="006D4EAD">
      <w:pPr>
        <w:pStyle w:val="DecisionParagraphs"/>
      </w:pPr>
    </w:p>
    <w:p w:rsidR="00095775" w:rsidRDefault="00095775" w:rsidP="006D4EAD">
      <w:pPr>
        <w:pStyle w:val="DecisionParagraphs"/>
      </w:pPr>
    </w:p>
    <w:p w:rsidR="00095775" w:rsidRDefault="00573006" w:rsidP="006D4EAD">
      <w:pPr>
        <w:pStyle w:val="Heading1"/>
        <w:rPr>
          <w:lang w:val="es-ES_tradnl"/>
        </w:rPr>
      </w:pPr>
      <w:bookmarkStart w:id="23" w:name="_Toc116635414"/>
      <w:r w:rsidRPr="00376F48">
        <w:rPr>
          <w:caps w:val="0"/>
          <w:lang w:val="es-ES_tradnl"/>
        </w:rPr>
        <w:t>CONFIDENCIALIDAD</w:t>
      </w:r>
      <w:r w:rsidRPr="00376F48">
        <w:rPr>
          <w:lang w:val="es-ES_tradnl"/>
        </w:rPr>
        <w:t xml:space="preserve"> Y </w:t>
      </w:r>
      <w:r w:rsidRPr="00376F48">
        <w:rPr>
          <w:caps w:val="0"/>
          <w:lang w:val="es-ES_tradnl"/>
        </w:rPr>
        <w:t>TITULARIDAD</w:t>
      </w:r>
      <w:r w:rsidRPr="00376F48">
        <w:rPr>
          <w:lang w:val="es-ES_tradnl"/>
        </w:rPr>
        <w:t xml:space="preserve"> de LA </w:t>
      </w:r>
      <w:r w:rsidRPr="00376F48">
        <w:rPr>
          <w:caps w:val="0"/>
          <w:lang w:val="es-ES_tradnl"/>
        </w:rPr>
        <w:t>INFORMACIÓN MOLECULAR</w:t>
      </w:r>
      <w:bookmarkEnd w:id="23"/>
    </w:p>
    <w:p w:rsidR="00095775" w:rsidRDefault="00095775" w:rsidP="006D4EAD"/>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573006" w:rsidRPr="00376F48">
        <w:t>Los antecedentes de esta cuestión figuran en el documento TC/57/INF/6 “Técnicas moleculares”.</w:t>
      </w:r>
    </w:p>
    <w:p w:rsidR="00095775" w:rsidRDefault="00095775" w:rsidP="006D4EAD"/>
    <w:p w:rsidR="00095775" w:rsidRDefault="00D60C58" w:rsidP="00CC3D78">
      <w:pPr>
        <w:keepNext/>
        <w:keepLines/>
      </w:pPr>
      <w:r w:rsidRPr="00025F1B">
        <w:fldChar w:fldCharType="begin"/>
      </w:r>
      <w:r w:rsidR="006D4EAD" w:rsidRPr="00025F1B">
        <w:instrText xml:space="preserve"> AUTONUM  </w:instrText>
      </w:r>
      <w:r w:rsidRPr="00025F1B">
        <w:fldChar w:fldCharType="end"/>
      </w:r>
      <w:r w:rsidR="006D4EAD" w:rsidRPr="00025F1B">
        <w:tab/>
      </w:r>
      <w:r w:rsidR="00573006" w:rsidRPr="00015858">
        <w:t>En sus sesiones de 2021, los TWP y el BMT asistieron a una ponencia titulada “Confidencialidad y titularidad de la información molecular” a cargo de un experto en nombre de la </w:t>
      </w:r>
      <w:proofErr w:type="spellStart"/>
      <w:r w:rsidR="00573006" w:rsidRPr="00015858">
        <w:rPr>
          <w:i/>
        </w:rPr>
        <w:t>African</w:t>
      </w:r>
      <w:proofErr w:type="spellEnd"/>
      <w:r w:rsidR="00573006" w:rsidRPr="00015858">
        <w:rPr>
          <w:i/>
        </w:rPr>
        <w:t xml:space="preserve"> </w:t>
      </w:r>
      <w:proofErr w:type="spellStart"/>
      <w:r w:rsidR="00573006" w:rsidRPr="00015858">
        <w:rPr>
          <w:i/>
        </w:rPr>
        <w:t>Seed</w:t>
      </w:r>
      <w:proofErr w:type="spellEnd"/>
      <w:r w:rsidR="00573006" w:rsidRPr="00015858">
        <w:rPr>
          <w:i/>
        </w:rPr>
        <w:t xml:space="preserve"> </w:t>
      </w:r>
      <w:proofErr w:type="spellStart"/>
      <w:r w:rsidR="00573006" w:rsidRPr="00015858">
        <w:rPr>
          <w:i/>
        </w:rPr>
        <w:t>Trade</w:t>
      </w:r>
      <w:proofErr w:type="spellEnd"/>
      <w:r w:rsidR="00573006" w:rsidRPr="00015858">
        <w:rPr>
          <w:i/>
        </w:rPr>
        <w:t xml:space="preserve"> </w:t>
      </w:r>
      <w:proofErr w:type="spellStart"/>
      <w:r w:rsidR="00573006" w:rsidRPr="00015858">
        <w:rPr>
          <w:i/>
        </w:rPr>
        <w:t>Association</w:t>
      </w:r>
      <w:proofErr w:type="spellEnd"/>
      <w:r w:rsidR="00573006" w:rsidRPr="00015858">
        <w:t xml:space="preserve"> (AFSTA), la </w:t>
      </w:r>
      <w:r w:rsidR="00573006" w:rsidRPr="00015858">
        <w:rPr>
          <w:i/>
        </w:rPr>
        <w:t xml:space="preserve">Asia and </w:t>
      </w:r>
      <w:proofErr w:type="spellStart"/>
      <w:r w:rsidR="00573006" w:rsidRPr="00015858">
        <w:rPr>
          <w:i/>
        </w:rPr>
        <w:t>Pacific</w:t>
      </w:r>
      <w:proofErr w:type="spellEnd"/>
      <w:r w:rsidR="00573006" w:rsidRPr="00015858">
        <w:rPr>
          <w:i/>
        </w:rPr>
        <w:t xml:space="preserve"> </w:t>
      </w:r>
      <w:proofErr w:type="spellStart"/>
      <w:r w:rsidR="00573006" w:rsidRPr="00015858">
        <w:rPr>
          <w:i/>
        </w:rPr>
        <w:t>Seed</w:t>
      </w:r>
      <w:proofErr w:type="spellEnd"/>
      <w:r w:rsidR="00573006" w:rsidRPr="00015858">
        <w:rPr>
          <w:i/>
        </w:rPr>
        <w:t xml:space="preserve"> </w:t>
      </w:r>
      <w:proofErr w:type="spellStart"/>
      <w:r w:rsidR="00573006" w:rsidRPr="00015858">
        <w:rPr>
          <w:i/>
        </w:rPr>
        <w:t>Association</w:t>
      </w:r>
      <w:proofErr w:type="spellEnd"/>
      <w:r w:rsidR="00573006" w:rsidRPr="00015858">
        <w:t xml:space="preserve"> (APSA), la Comunidad Internacional de </w:t>
      </w:r>
      <w:proofErr w:type="spellStart"/>
      <w:r w:rsidR="00573006" w:rsidRPr="00015858">
        <w:t>Fitomejoradores</w:t>
      </w:r>
      <w:proofErr w:type="spellEnd"/>
      <w:r w:rsidR="00573006" w:rsidRPr="00015858">
        <w:t xml:space="preserve"> de Plantas Hortícolas de Reproducción Asexuada (CIOPORA), </w:t>
      </w:r>
      <w:proofErr w:type="spellStart"/>
      <w:r w:rsidR="00573006" w:rsidRPr="00015858">
        <w:t>CropLife</w:t>
      </w:r>
      <w:proofErr w:type="spellEnd"/>
      <w:r w:rsidR="00573006" w:rsidRPr="00015858">
        <w:t xml:space="preserve"> International, </w:t>
      </w:r>
      <w:proofErr w:type="spellStart"/>
      <w:r w:rsidR="00573006" w:rsidRPr="00015858">
        <w:t>Euroseeds</w:t>
      </w:r>
      <w:proofErr w:type="spellEnd"/>
      <w:r w:rsidR="00573006" w:rsidRPr="00015858">
        <w:t>, la </w:t>
      </w:r>
      <w:r w:rsidR="00573006" w:rsidRPr="00015858">
        <w:rPr>
          <w:i/>
        </w:rPr>
        <w:t xml:space="preserve">International </w:t>
      </w:r>
      <w:proofErr w:type="spellStart"/>
      <w:r w:rsidR="00573006" w:rsidRPr="00015858">
        <w:rPr>
          <w:i/>
        </w:rPr>
        <w:t>Seed</w:t>
      </w:r>
      <w:proofErr w:type="spellEnd"/>
      <w:r w:rsidR="00573006" w:rsidRPr="00015858">
        <w:rPr>
          <w:i/>
        </w:rPr>
        <w:t xml:space="preserve"> </w:t>
      </w:r>
      <w:proofErr w:type="spellStart"/>
      <w:r w:rsidR="00573006" w:rsidRPr="00015858">
        <w:rPr>
          <w:i/>
        </w:rPr>
        <w:t>Federation</w:t>
      </w:r>
      <w:proofErr w:type="spellEnd"/>
      <w:r w:rsidR="00573006" w:rsidRPr="00015858">
        <w:rPr>
          <w:i/>
        </w:rPr>
        <w:t xml:space="preserve"> </w:t>
      </w:r>
      <w:r w:rsidR="00573006" w:rsidRPr="00015858">
        <w:t>(ISF) y la </w:t>
      </w:r>
      <w:proofErr w:type="spellStart"/>
      <w:r w:rsidR="00573006" w:rsidRPr="00015858">
        <w:rPr>
          <w:i/>
        </w:rPr>
        <w:t>Seed</w:t>
      </w:r>
      <w:proofErr w:type="spellEnd"/>
      <w:r w:rsidR="00573006" w:rsidRPr="00015858">
        <w:rPr>
          <w:i/>
        </w:rPr>
        <w:t xml:space="preserve"> </w:t>
      </w:r>
      <w:proofErr w:type="spellStart"/>
      <w:r w:rsidR="00573006" w:rsidRPr="00015858">
        <w:rPr>
          <w:i/>
        </w:rPr>
        <w:t>Association</w:t>
      </w:r>
      <w:proofErr w:type="spellEnd"/>
      <w:r w:rsidR="00573006" w:rsidRPr="00015858">
        <w:rPr>
          <w:i/>
        </w:rPr>
        <w:t xml:space="preserve"> of </w:t>
      </w:r>
      <w:proofErr w:type="spellStart"/>
      <w:r w:rsidR="00573006" w:rsidRPr="00015858">
        <w:rPr>
          <w:i/>
        </w:rPr>
        <w:t>the</w:t>
      </w:r>
      <w:proofErr w:type="spellEnd"/>
      <w:r w:rsidR="00573006" w:rsidRPr="00015858">
        <w:rPr>
          <w:i/>
        </w:rPr>
        <w:t xml:space="preserve"> </w:t>
      </w:r>
      <w:proofErr w:type="spellStart"/>
      <w:r w:rsidR="00573006" w:rsidRPr="00015858">
        <w:rPr>
          <w:i/>
        </w:rPr>
        <w:t>Americas</w:t>
      </w:r>
      <w:proofErr w:type="spellEnd"/>
      <w:r w:rsidR="00573006" w:rsidRPr="00015858">
        <w:t xml:space="preserve"> (SAA).</w:t>
      </w:r>
      <w:r w:rsidR="006D4EAD" w:rsidRPr="00025F1B">
        <w:t xml:space="preserve"> </w:t>
      </w:r>
      <w:r w:rsidR="00485D5D" w:rsidRPr="00015858">
        <w:t>Los TWP y el BMT examinaron la propuesta de revisar la sección 3: Formulario tipo de solicitud del documento TGP/5, a fin de incluir la siguiente petición de confidencialidad de la información molecular de las variedades candidatas:</w:t>
      </w:r>
    </w:p>
    <w:p w:rsidR="00095775" w:rsidRDefault="00095775" w:rsidP="00CC3D78">
      <w:pPr>
        <w:keepNext/>
        <w:keepLines/>
        <w:ind w:left="567" w:right="567"/>
      </w:pPr>
    </w:p>
    <w:p w:rsidR="00095775" w:rsidRDefault="00485D5D" w:rsidP="00CC3D78">
      <w:pPr>
        <w:keepNext/>
        <w:keepLines/>
        <w:ind w:left="567" w:right="567"/>
        <w:rPr>
          <w:i/>
        </w:rPr>
      </w:pPr>
      <w:r w:rsidRPr="00015858">
        <w:rPr>
          <w:i/>
        </w:rPr>
        <w:t>“Solicito/solicitamos que se mantenga el carácter confidencial de la información molecular referida a la variedad y que el intercambio con otro miembro de la UPOV u oficina de examen esté sujeto al consentimiento del solicitante.”</w:t>
      </w:r>
    </w:p>
    <w:p w:rsidR="00095775" w:rsidRDefault="00095775" w:rsidP="006D4EAD"/>
    <w:p w:rsidR="00095775" w:rsidRDefault="00D60C58" w:rsidP="006D4EAD">
      <w:pPr>
        <w:keepNext/>
        <w:rPr>
          <w:rFonts w:cs="Arial"/>
          <w:iCs/>
        </w:rPr>
      </w:pPr>
      <w:r w:rsidRPr="00025F1B">
        <w:fldChar w:fldCharType="begin"/>
      </w:r>
      <w:r w:rsidR="006D4EAD" w:rsidRPr="00025F1B">
        <w:instrText xml:space="preserve"> AUTONUM  </w:instrText>
      </w:r>
      <w:r w:rsidRPr="00025F1B">
        <w:fldChar w:fldCharType="end"/>
      </w:r>
      <w:r w:rsidR="006D4EAD" w:rsidRPr="00025F1B">
        <w:tab/>
      </w:r>
      <w:r w:rsidR="00485D5D" w:rsidRPr="00015858">
        <w:t>En sus sesiones de 2022, el TWV,</w:t>
      </w:r>
      <w:r w:rsidR="00485D5D" w:rsidRPr="00015858">
        <w:rPr>
          <w:vertAlign w:val="superscript"/>
        </w:rPr>
        <w:footnoteReference w:id="14"/>
      </w:r>
      <w:r w:rsidR="00485D5D" w:rsidRPr="00015858">
        <w:t xml:space="preserve"> el TWA,</w:t>
      </w:r>
      <w:r w:rsidR="00485D5D" w:rsidRPr="00015858">
        <w:rPr>
          <w:vertAlign w:val="superscript"/>
        </w:rPr>
        <w:footnoteReference w:id="15"/>
      </w:r>
      <w:r w:rsidR="00485D5D" w:rsidRPr="00015858">
        <w:t xml:space="preserve"> el TWO,</w:t>
      </w:r>
      <w:r w:rsidR="00485D5D" w:rsidRPr="00015858">
        <w:rPr>
          <w:vertAlign w:val="superscript"/>
        </w:rPr>
        <w:footnoteReference w:id="16"/>
      </w:r>
      <w:r w:rsidR="00485D5D" w:rsidRPr="00015858">
        <w:t xml:space="preserve"> el TWF</w:t>
      </w:r>
      <w:r w:rsidR="00485D5D" w:rsidRPr="00015858">
        <w:rPr>
          <w:vertAlign w:val="superscript"/>
        </w:rPr>
        <w:footnoteReference w:id="17"/>
      </w:r>
      <w:r w:rsidR="00485D5D" w:rsidRPr="00015858">
        <w:t xml:space="preserve"> y el </w:t>
      </w:r>
      <w:r w:rsidR="00485D5D" w:rsidRPr="00015858">
        <w:rPr>
          <w:snapToGrid w:val="0"/>
        </w:rPr>
        <w:t>TWM</w:t>
      </w:r>
      <w:r w:rsidR="00485D5D" w:rsidRPr="00015858">
        <w:rPr>
          <w:snapToGrid w:val="0"/>
          <w:vertAlign w:val="superscript"/>
        </w:rPr>
        <w:footnoteReference w:id="18"/>
      </w:r>
      <w:r w:rsidR="00485D5D" w:rsidRPr="00015858">
        <w:rPr>
          <w:snapToGrid w:val="0"/>
        </w:rPr>
        <w:t xml:space="preserve"> </w:t>
      </w:r>
      <w:r w:rsidR="00485D5D" w:rsidRPr="00015858">
        <w:t>tomaron nota de los debates mantenidos en las sesiones de 2021 de los TWP acerca de la confidencialidad y la titularidad de la información molecular</w:t>
      </w:r>
      <w:r w:rsidR="00485D5D" w:rsidRPr="00015858">
        <w:rPr>
          <w:rFonts w:cs="Arial"/>
          <w:iCs/>
        </w:rPr>
        <w:t>.</w:t>
      </w:r>
    </w:p>
    <w:p w:rsidR="00095775" w:rsidRDefault="00095775" w:rsidP="006D4EAD">
      <w:pPr>
        <w:rPr>
          <w:rFonts w:cs="Arial"/>
          <w:iCs/>
        </w:rPr>
      </w:pPr>
    </w:p>
    <w:p w:rsidR="00095775" w:rsidRDefault="00D60C58" w:rsidP="006D4EAD">
      <w:pPr>
        <w:keepNext/>
      </w:pPr>
      <w:r w:rsidRPr="00025F1B">
        <w:rPr>
          <w:rFonts w:cs="Arial"/>
        </w:rPr>
        <w:fldChar w:fldCharType="begin"/>
      </w:r>
      <w:r w:rsidR="006D4EAD" w:rsidRPr="00025F1B">
        <w:rPr>
          <w:rFonts w:cs="Arial"/>
        </w:rPr>
        <w:instrText xml:space="preserve"> AUTONUM  </w:instrText>
      </w:r>
      <w:r w:rsidRPr="00025F1B">
        <w:rPr>
          <w:rFonts w:cs="Arial"/>
        </w:rPr>
        <w:fldChar w:fldCharType="end"/>
      </w:r>
      <w:r w:rsidR="006D4EAD" w:rsidRPr="00025F1B">
        <w:rPr>
          <w:rFonts w:cs="Arial"/>
        </w:rPr>
        <w:tab/>
      </w:r>
      <w:r w:rsidR="00086677" w:rsidRPr="001B5DD0">
        <w:t>En su quincuagésima primera sesión,</w:t>
      </w:r>
      <w:r w:rsidR="00086677" w:rsidRPr="001B5DD0">
        <w:rPr>
          <w:rFonts w:cs="Arial"/>
        </w:rPr>
        <w:t xml:space="preserve"> el TWA</w:t>
      </w:r>
      <w:r w:rsidR="00086677" w:rsidRPr="001B5DD0">
        <w:t xml:space="preserve"> tomó nota de la información procedente </w:t>
      </w:r>
      <w:r w:rsidR="00086677" w:rsidRPr="001B5DD0">
        <w:rPr>
          <w:rFonts w:cs="Arial"/>
        </w:rPr>
        <w:t>de</w:t>
      </w:r>
      <w:r w:rsidR="00C65E2B" w:rsidRPr="001B5DD0">
        <w:rPr>
          <w:rFonts w:cs="Arial"/>
        </w:rPr>
        <w:t xml:space="preserve"> </w:t>
      </w:r>
      <w:r w:rsidR="00086677" w:rsidRPr="001B5DD0">
        <w:rPr>
          <w:rFonts w:cs="Arial"/>
        </w:rPr>
        <w:t>l</w:t>
      </w:r>
      <w:r w:rsidR="00C65E2B" w:rsidRPr="001B5DD0">
        <w:rPr>
          <w:rFonts w:cs="Arial"/>
        </w:rPr>
        <w:t>as</w:t>
      </w:r>
      <w:r w:rsidR="00086677" w:rsidRPr="001B5DD0">
        <w:rPr>
          <w:rFonts w:cs="Arial"/>
        </w:rPr>
        <w:t xml:space="preserve"> organizaciones </w:t>
      </w:r>
      <w:r w:rsidR="00C65E2B" w:rsidRPr="001B5DD0">
        <w:rPr>
          <w:rFonts w:cs="Arial"/>
        </w:rPr>
        <w:t xml:space="preserve">conjuntas </w:t>
      </w:r>
      <w:r w:rsidR="00086677" w:rsidRPr="001B5DD0">
        <w:rPr>
          <w:rFonts w:cs="Arial"/>
        </w:rPr>
        <w:t xml:space="preserve">de obtentores según la </w:t>
      </w:r>
      <w:r w:rsidR="001B5DD0" w:rsidRPr="001B5DD0">
        <w:rPr>
          <w:rFonts w:cs="Arial"/>
        </w:rPr>
        <w:t xml:space="preserve">cual </w:t>
      </w:r>
      <w:r w:rsidR="001B5DD0" w:rsidRPr="001B5DD0">
        <w:t>varias</w:t>
      </w:r>
      <w:r w:rsidR="00015858" w:rsidRPr="001B5DD0">
        <w:t xml:space="preserve"> organizaciones </w:t>
      </w:r>
      <w:r w:rsidR="00086677" w:rsidRPr="001B5DD0">
        <w:t>está</w:t>
      </w:r>
      <w:r w:rsidR="00015858" w:rsidRPr="001B5DD0">
        <w:t>n</w:t>
      </w:r>
      <w:r w:rsidR="00086677" w:rsidRPr="001B5DD0">
        <w:t xml:space="preserve"> llevando a cabo una encuesta </w:t>
      </w:r>
      <w:r w:rsidR="00015858" w:rsidRPr="001B5DD0">
        <w:t xml:space="preserve">entre las empresas de </w:t>
      </w:r>
      <w:proofErr w:type="spellStart"/>
      <w:r w:rsidR="00015858" w:rsidRPr="001B5DD0">
        <w:t>fitomejoramiento</w:t>
      </w:r>
      <w:proofErr w:type="spellEnd"/>
      <w:r w:rsidR="00015858" w:rsidRPr="001B5DD0">
        <w:t xml:space="preserve"> </w:t>
      </w:r>
      <w:r w:rsidR="00086677" w:rsidRPr="001B5DD0">
        <w:t>sobre la confidencialidad de los datos moleculares.</w:t>
      </w:r>
      <w:r w:rsidR="006D4EAD" w:rsidRPr="00025F1B">
        <w:t xml:space="preserve"> </w:t>
      </w:r>
      <w:r w:rsidR="00C65E2B" w:rsidRPr="001B5DD0">
        <w:t>El TWA tomó nota de que los resultados de la encuesta se presentarán al TWV en su primera sesión.</w:t>
      </w:r>
      <w:r w:rsidR="006D4EAD" w:rsidRPr="00025F1B">
        <w:t xml:space="preserve"> </w:t>
      </w:r>
      <w:r w:rsidR="00C65E2B" w:rsidRPr="001B5DD0">
        <w:t>El TWA acordó invitar a las organizaciones conjuntas de obtentores a informar de las novedades en su quincuagésima segunda sesión.</w:t>
      </w:r>
    </w:p>
    <w:p w:rsidR="00095775" w:rsidRDefault="00095775" w:rsidP="006D4EAD">
      <w:pPr>
        <w:keepNext/>
        <w:rPr>
          <w:rFonts w:cs="Arial"/>
        </w:rPr>
      </w:pPr>
    </w:p>
    <w:p w:rsidR="00095775" w:rsidRDefault="00D60C58" w:rsidP="006D4EAD">
      <w:r w:rsidRPr="00025F1B">
        <w:fldChar w:fldCharType="begin"/>
      </w:r>
      <w:r w:rsidR="006D4EAD" w:rsidRPr="00025F1B">
        <w:instrText xml:space="preserve"> AUTONUM  </w:instrText>
      </w:r>
      <w:r w:rsidRPr="00025F1B">
        <w:fldChar w:fldCharType="end"/>
      </w:r>
      <w:r w:rsidR="006D4EAD" w:rsidRPr="00025F1B">
        <w:tab/>
      </w:r>
      <w:r w:rsidR="00C65E2B" w:rsidRPr="001B5DD0">
        <w:t>En su primera sesión, el TWM asistió a una ponencia a cargo del Sr. </w:t>
      </w:r>
      <w:r w:rsidR="00C65E2B" w:rsidRPr="001B5DD0">
        <w:rPr>
          <w:rFonts w:cs="Arial"/>
        </w:rPr>
        <w:t xml:space="preserve">Marcel </w:t>
      </w:r>
      <w:proofErr w:type="spellStart"/>
      <w:r w:rsidR="00C65E2B" w:rsidRPr="001B5DD0">
        <w:rPr>
          <w:rFonts w:cs="Arial"/>
        </w:rPr>
        <w:t>Bruins</w:t>
      </w:r>
      <w:proofErr w:type="spellEnd"/>
      <w:r w:rsidR="00C65E2B" w:rsidRPr="001B5DD0">
        <w:rPr>
          <w:rFonts w:cs="Arial"/>
        </w:rPr>
        <w:t xml:space="preserve"> </w:t>
      </w:r>
      <w:r w:rsidR="00C65E2B" w:rsidRPr="001B5DD0">
        <w:t>(</w:t>
      </w:r>
      <w:proofErr w:type="spellStart"/>
      <w:r w:rsidR="00C65E2B" w:rsidRPr="001B5DD0">
        <w:t>CropLife</w:t>
      </w:r>
      <w:proofErr w:type="spellEnd"/>
      <w:r w:rsidR="00C65E2B" w:rsidRPr="001B5DD0">
        <w:t> International</w:t>
      </w:r>
      <w:r w:rsidR="00C65E2B" w:rsidRPr="001B5DD0">
        <w:rPr>
          <w:rFonts w:cs="Arial"/>
        </w:rPr>
        <w:t xml:space="preserve">) </w:t>
      </w:r>
      <w:r w:rsidR="00C65E2B" w:rsidRPr="001B5DD0">
        <w:t xml:space="preserve">titulada </w:t>
      </w:r>
      <w:r w:rsidR="00C65E2B" w:rsidRPr="001B5DD0">
        <w:rPr>
          <w:rFonts w:cs="Arial"/>
        </w:rPr>
        <w:t>“</w:t>
      </w:r>
      <w:r w:rsidR="00C65E2B" w:rsidRPr="001B5DD0">
        <w:t>Confidencialidad y titularidad de la información molecular</w:t>
      </w:r>
      <w:r w:rsidR="00C65E2B" w:rsidRPr="001B5DD0">
        <w:rPr>
          <w:rFonts w:cs="Arial"/>
        </w:rPr>
        <w:t>”</w:t>
      </w:r>
      <w:r w:rsidR="00C65E2B" w:rsidRPr="001B5DD0">
        <w:rPr>
          <w:rFonts w:cs="Arial"/>
          <w:iCs/>
        </w:rPr>
        <w:t>,</w:t>
      </w:r>
      <w:r w:rsidR="00C65E2B" w:rsidRPr="001B5DD0">
        <w:t xml:space="preserve"> </w:t>
      </w:r>
      <w:r w:rsidR="00C65E2B" w:rsidRPr="001B5DD0">
        <w:rPr>
          <w:rFonts w:cs="Arial"/>
          <w:iCs/>
        </w:rPr>
        <w:t xml:space="preserve">de la cual figura una copia en el documento </w:t>
      </w:r>
      <w:r w:rsidR="00C65E2B" w:rsidRPr="001B5DD0">
        <w:t>TWM/1/22.</w:t>
      </w:r>
    </w:p>
    <w:p w:rsidR="00095775" w:rsidRDefault="00095775" w:rsidP="006D4EAD"/>
    <w:p w:rsidR="00095775" w:rsidRDefault="00D60C58" w:rsidP="006D4EAD">
      <w:pPr>
        <w:rPr>
          <w:rFonts w:cs="Arial"/>
          <w:iCs/>
        </w:rPr>
      </w:pPr>
      <w:r w:rsidRPr="00025F1B">
        <w:rPr>
          <w:rFonts w:cs="Arial"/>
          <w:iCs/>
        </w:rPr>
        <w:fldChar w:fldCharType="begin"/>
      </w:r>
      <w:r w:rsidR="006D4EAD" w:rsidRPr="00025F1B">
        <w:rPr>
          <w:rFonts w:cs="Arial"/>
          <w:iCs/>
        </w:rPr>
        <w:instrText xml:space="preserve"> AUTONUM  </w:instrText>
      </w:r>
      <w:r w:rsidRPr="00025F1B">
        <w:rPr>
          <w:rFonts w:cs="Arial"/>
          <w:iCs/>
        </w:rPr>
        <w:fldChar w:fldCharType="end"/>
      </w:r>
      <w:r w:rsidR="006D4EAD" w:rsidRPr="00025F1B">
        <w:rPr>
          <w:rFonts w:cs="Arial"/>
          <w:iCs/>
        </w:rPr>
        <w:tab/>
      </w:r>
      <w:r w:rsidR="00ED1D3E" w:rsidRPr="00C22925">
        <w:rPr>
          <w:rFonts w:cs="Arial"/>
          <w:iCs/>
        </w:rPr>
        <w:t xml:space="preserve">El TWM </w:t>
      </w:r>
      <w:r w:rsidR="00C65E2B" w:rsidRPr="00C22925">
        <w:rPr>
          <w:rFonts w:cs="Arial"/>
          <w:iCs/>
        </w:rPr>
        <w:t>tom</w:t>
      </w:r>
      <w:r w:rsidR="00ED1D3E" w:rsidRPr="00C22925">
        <w:rPr>
          <w:rFonts w:cs="Arial"/>
          <w:iCs/>
        </w:rPr>
        <w:t>ó</w:t>
      </w:r>
      <w:r w:rsidR="00C65E2B" w:rsidRPr="00C22925">
        <w:rPr>
          <w:rFonts w:cs="Arial"/>
          <w:iCs/>
        </w:rPr>
        <w:t xml:space="preserve"> nota de la inquietud manifestada por las organizaciones de obtentores </w:t>
      </w:r>
      <w:r w:rsidR="00ED1D3E" w:rsidRPr="00C22925">
        <w:rPr>
          <w:rFonts w:cs="Arial"/>
          <w:iCs/>
        </w:rPr>
        <w:t xml:space="preserve">en cuanto a que la información </w:t>
      </w:r>
      <w:r w:rsidR="00C65E2B" w:rsidRPr="00C22925">
        <w:rPr>
          <w:rFonts w:cs="Arial"/>
          <w:iCs/>
        </w:rPr>
        <w:t xml:space="preserve">molecular facilitada para el examen de una variedad no debe proporcionarse </w:t>
      </w:r>
      <w:r w:rsidR="00E716F1" w:rsidRPr="00C22925">
        <w:rPr>
          <w:rFonts w:cs="Arial"/>
          <w:iCs/>
        </w:rPr>
        <w:t>sin el permiso del obtentor a terceros ajenos a la autoridad que ha recibido la solicitud</w:t>
      </w:r>
      <w:r w:rsidR="00ED1D3E" w:rsidRPr="00C22925">
        <w:rPr>
          <w:rFonts w:cs="Arial"/>
          <w:iCs/>
        </w:rPr>
        <w:t>.</w:t>
      </w:r>
      <w:r w:rsidR="006D4EAD" w:rsidRPr="00025F1B">
        <w:rPr>
          <w:rFonts w:cs="Arial"/>
          <w:iCs/>
        </w:rPr>
        <w:t xml:space="preserve"> </w:t>
      </w:r>
      <w:r w:rsidR="00013D40" w:rsidRPr="00C22925">
        <w:rPr>
          <w:rFonts w:cs="Arial"/>
          <w:iCs/>
        </w:rPr>
        <w:t>Tomó nota asimismo de la preocupación por el hecho de que a los</w:t>
      </w:r>
      <w:r w:rsidR="00ED1D3E" w:rsidRPr="00C22925">
        <w:rPr>
          <w:rFonts w:cs="Arial"/>
          <w:iCs/>
        </w:rPr>
        <w:t xml:space="preserve"> obtentores </w:t>
      </w:r>
      <w:r w:rsidR="0028469B" w:rsidRPr="00C22925">
        <w:rPr>
          <w:rFonts w:cs="Arial"/>
          <w:iCs/>
        </w:rPr>
        <w:t xml:space="preserve">no se </w:t>
      </w:r>
      <w:r w:rsidR="00013D40" w:rsidRPr="00C22925">
        <w:rPr>
          <w:rFonts w:cs="Arial"/>
          <w:iCs/>
        </w:rPr>
        <w:t xml:space="preserve">les </w:t>
      </w:r>
      <w:r w:rsidR="0028469B" w:rsidRPr="00C22925">
        <w:rPr>
          <w:rFonts w:cs="Arial"/>
          <w:iCs/>
        </w:rPr>
        <w:t>explica</w:t>
      </w:r>
      <w:r w:rsidR="00ED1D3E" w:rsidRPr="00C22925">
        <w:rPr>
          <w:rFonts w:cs="Arial"/>
          <w:iCs/>
        </w:rPr>
        <w:t xml:space="preserve"> </w:t>
      </w:r>
      <w:r w:rsidR="0028469B" w:rsidRPr="00C22925">
        <w:rPr>
          <w:rFonts w:cs="Arial"/>
          <w:iCs/>
        </w:rPr>
        <w:t>ni</w:t>
      </w:r>
      <w:r w:rsidR="00ED1D3E" w:rsidRPr="00C22925">
        <w:rPr>
          <w:rFonts w:cs="Arial"/>
          <w:iCs/>
        </w:rPr>
        <w:t xml:space="preserve"> informa</w:t>
      </w:r>
      <w:r w:rsidR="0028469B" w:rsidRPr="00C22925">
        <w:rPr>
          <w:rFonts w:cs="Arial"/>
          <w:iCs/>
        </w:rPr>
        <w:t xml:space="preserve"> suficientemente</w:t>
      </w:r>
      <w:r w:rsidR="00ED1D3E" w:rsidRPr="00C22925">
        <w:rPr>
          <w:rFonts w:cs="Arial"/>
          <w:iCs/>
        </w:rPr>
        <w:t xml:space="preserve"> </w:t>
      </w:r>
      <w:r w:rsidR="0028469B" w:rsidRPr="00C22925">
        <w:rPr>
          <w:rFonts w:cs="Arial"/>
          <w:iCs/>
        </w:rPr>
        <w:t xml:space="preserve">acerca del </w:t>
      </w:r>
      <w:r w:rsidR="00013D40" w:rsidRPr="00C22925">
        <w:rPr>
          <w:rFonts w:cs="Arial"/>
          <w:iCs/>
        </w:rPr>
        <w:t>uso que se da a la</w:t>
      </w:r>
      <w:r w:rsidR="00ED1D3E" w:rsidRPr="00C22925">
        <w:rPr>
          <w:rFonts w:cs="Arial"/>
          <w:iCs/>
        </w:rPr>
        <w:t xml:space="preserve"> información </w:t>
      </w:r>
      <w:r w:rsidR="0028469B" w:rsidRPr="00C22925">
        <w:rPr>
          <w:rFonts w:cs="Arial"/>
          <w:iCs/>
        </w:rPr>
        <w:t>ni</w:t>
      </w:r>
      <w:r w:rsidR="00013D40" w:rsidRPr="00C22925">
        <w:rPr>
          <w:rFonts w:cs="Arial"/>
          <w:iCs/>
        </w:rPr>
        <w:t>,</w:t>
      </w:r>
      <w:r w:rsidR="00ED1D3E" w:rsidRPr="00C22925">
        <w:rPr>
          <w:rFonts w:cs="Arial"/>
          <w:iCs/>
        </w:rPr>
        <w:t xml:space="preserve"> sobre todo</w:t>
      </w:r>
      <w:r w:rsidR="00013D40" w:rsidRPr="00C22925">
        <w:rPr>
          <w:rFonts w:cs="Arial"/>
          <w:iCs/>
        </w:rPr>
        <w:t>,</w:t>
      </w:r>
      <w:r w:rsidR="00ED1D3E" w:rsidRPr="00C22925">
        <w:rPr>
          <w:rFonts w:cs="Arial"/>
          <w:iCs/>
        </w:rPr>
        <w:t xml:space="preserve"> </w:t>
      </w:r>
      <w:r w:rsidR="0028469B" w:rsidRPr="00C22925">
        <w:rPr>
          <w:rFonts w:cs="Arial"/>
          <w:iCs/>
        </w:rPr>
        <w:t xml:space="preserve">de </w:t>
      </w:r>
      <w:r w:rsidR="00013D40" w:rsidRPr="00C22925">
        <w:rPr>
          <w:rFonts w:cs="Arial"/>
          <w:iCs/>
        </w:rPr>
        <w:t>cómo se comparte</w:t>
      </w:r>
      <w:r w:rsidR="00ED1D3E" w:rsidRPr="00C22925">
        <w:rPr>
          <w:rFonts w:cs="Arial"/>
          <w:iCs/>
        </w:rPr>
        <w:t>.</w:t>
      </w:r>
    </w:p>
    <w:p w:rsidR="00095775" w:rsidRDefault="00095775" w:rsidP="006D4EAD">
      <w:pPr>
        <w:rPr>
          <w:rFonts w:cs="Arial"/>
          <w:iCs/>
        </w:rPr>
      </w:pPr>
    </w:p>
    <w:p w:rsidR="00095775" w:rsidRDefault="00D60C58" w:rsidP="006D4EAD">
      <w:pPr>
        <w:rPr>
          <w:rFonts w:cs="Arial"/>
          <w:iCs/>
        </w:rPr>
      </w:pPr>
      <w:r w:rsidRPr="00025F1B">
        <w:rPr>
          <w:rFonts w:cs="Arial"/>
          <w:iCs/>
        </w:rPr>
        <w:fldChar w:fldCharType="begin"/>
      </w:r>
      <w:r w:rsidR="006D4EAD" w:rsidRPr="00025F1B">
        <w:rPr>
          <w:rFonts w:cs="Arial"/>
          <w:iCs/>
        </w:rPr>
        <w:instrText xml:space="preserve"> AUTONUM  </w:instrText>
      </w:r>
      <w:r w:rsidRPr="00025F1B">
        <w:rPr>
          <w:rFonts w:cs="Arial"/>
          <w:iCs/>
        </w:rPr>
        <w:fldChar w:fldCharType="end"/>
      </w:r>
      <w:r w:rsidR="006D4EAD" w:rsidRPr="00025F1B">
        <w:rPr>
          <w:rFonts w:cs="Arial"/>
          <w:iCs/>
        </w:rPr>
        <w:tab/>
      </w:r>
      <w:r w:rsidR="00013D40" w:rsidRPr="00C22925">
        <w:rPr>
          <w:rFonts w:cs="Arial"/>
          <w:iCs/>
        </w:rPr>
        <w:t xml:space="preserve">El TWM </w:t>
      </w:r>
      <w:r w:rsidR="00875005" w:rsidRPr="00C22925">
        <w:rPr>
          <w:rFonts w:cs="Arial"/>
          <w:iCs/>
        </w:rPr>
        <w:t xml:space="preserve">convino en que se precisan más </w:t>
      </w:r>
      <w:r w:rsidR="00013D40" w:rsidRPr="00C22925">
        <w:rPr>
          <w:rFonts w:cs="Arial"/>
          <w:iCs/>
        </w:rPr>
        <w:t>aclaraci</w:t>
      </w:r>
      <w:r w:rsidR="00875005" w:rsidRPr="00C22925">
        <w:rPr>
          <w:rFonts w:cs="Arial"/>
          <w:iCs/>
        </w:rPr>
        <w:t xml:space="preserve">ones sobre el </w:t>
      </w:r>
      <w:r w:rsidR="00013D40" w:rsidRPr="00C22925">
        <w:rPr>
          <w:rFonts w:cs="Arial"/>
          <w:iCs/>
        </w:rPr>
        <w:t xml:space="preserve">tipo de información y </w:t>
      </w:r>
      <w:r w:rsidR="00875005" w:rsidRPr="00C22925">
        <w:rPr>
          <w:rFonts w:cs="Arial"/>
          <w:iCs/>
        </w:rPr>
        <w:t xml:space="preserve">la finalidad </w:t>
      </w:r>
      <w:r w:rsidR="00013D40" w:rsidRPr="00C22925">
        <w:rPr>
          <w:rFonts w:cs="Arial"/>
          <w:iCs/>
        </w:rPr>
        <w:t>de</w:t>
      </w:r>
      <w:r w:rsidR="00875005" w:rsidRPr="00C22925">
        <w:rPr>
          <w:rFonts w:cs="Arial"/>
          <w:iCs/>
        </w:rPr>
        <w:t>l</w:t>
      </w:r>
      <w:r w:rsidR="00013D40" w:rsidRPr="00C22925">
        <w:rPr>
          <w:rFonts w:cs="Arial"/>
          <w:iCs/>
        </w:rPr>
        <w:t xml:space="preserve"> us</w:t>
      </w:r>
      <w:r w:rsidR="00875005" w:rsidRPr="00C22925">
        <w:rPr>
          <w:rFonts w:cs="Arial"/>
          <w:iCs/>
        </w:rPr>
        <w:t>o</w:t>
      </w:r>
      <w:r w:rsidR="00013D40" w:rsidRPr="00C22925">
        <w:rPr>
          <w:rFonts w:cs="Arial"/>
          <w:iCs/>
        </w:rPr>
        <w:t xml:space="preserve"> de </w:t>
      </w:r>
      <w:r w:rsidR="00875005" w:rsidRPr="00C22925">
        <w:rPr>
          <w:rFonts w:cs="Arial"/>
          <w:iCs/>
        </w:rPr>
        <w:t xml:space="preserve">los </w:t>
      </w:r>
      <w:r w:rsidR="00013D40" w:rsidRPr="00C22925">
        <w:rPr>
          <w:rFonts w:cs="Arial"/>
          <w:iCs/>
        </w:rPr>
        <w:t xml:space="preserve">datos </w:t>
      </w:r>
      <w:r w:rsidR="00875005" w:rsidRPr="00C22925">
        <w:rPr>
          <w:rFonts w:cs="Arial"/>
          <w:iCs/>
        </w:rPr>
        <w:t xml:space="preserve">que se han de facilitar </w:t>
      </w:r>
      <w:r w:rsidR="00013D40" w:rsidRPr="00C22925">
        <w:rPr>
          <w:rFonts w:cs="Arial"/>
          <w:iCs/>
        </w:rPr>
        <w:t>(</w:t>
      </w:r>
      <w:r w:rsidR="00875005" w:rsidRPr="00C22925">
        <w:rPr>
          <w:rFonts w:cs="Arial"/>
          <w:iCs/>
        </w:rPr>
        <w:t xml:space="preserve">por ejemplo, las </w:t>
      </w:r>
      <w:r w:rsidR="00013D40" w:rsidRPr="00C22925">
        <w:rPr>
          <w:rFonts w:cs="Arial"/>
          <w:iCs/>
        </w:rPr>
        <w:t xml:space="preserve">distancias moleculares entre variedades, </w:t>
      </w:r>
      <w:r w:rsidR="00875005" w:rsidRPr="00C22925">
        <w:rPr>
          <w:rFonts w:cs="Arial"/>
          <w:iCs/>
        </w:rPr>
        <w:t xml:space="preserve">las secuencias </w:t>
      </w:r>
      <w:r w:rsidR="00013D40" w:rsidRPr="00C22925">
        <w:rPr>
          <w:rFonts w:cs="Arial"/>
          <w:iCs/>
        </w:rPr>
        <w:t>gen</w:t>
      </w:r>
      <w:r w:rsidR="00875005" w:rsidRPr="00C22925">
        <w:rPr>
          <w:rFonts w:cs="Arial"/>
          <w:iCs/>
        </w:rPr>
        <w:t>éticas</w:t>
      </w:r>
      <w:r w:rsidR="00013D40" w:rsidRPr="00C22925">
        <w:rPr>
          <w:rFonts w:cs="Arial"/>
          <w:iCs/>
        </w:rPr>
        <w:t>)</w:t>
      </w:r>
      <w:r w:rsidR="001939B5" w:rsidRPr="00C22925">
        <w:rPr>
          <w:rFonts w:cs="Arial"/>
          <w:iCs/>
        </w:rPr>
        <w:t>,</w:t>
      </w:r>
      <w:r w:rsidR="00013D40" w:rsidRPr="00C22925">
        <w:rPr>
          <w:rFonts w:cs="Arial"/>
          <w:iCs/>
        </w:rPr>
        <w:t xml:space="preserve"> </w:t>
      </w:r>
      <w:r w:rsidR="001939B5" w:rsidRPr="00C22925">
        <w:rPr>
          <w:rFonts w:cs="Arial"/>
          <w:iCs/>
        </w:rPr>
        <w:t>para los cuales se</w:t>
      </w:r>
      <w:r w:rsidR="00013D40" w:rsidRPr="00C22925">
        <w:rPr>
          <w:rFonts w:cs="Arial"/>
          <w:iCs/>
        </w:rPr>
        <w:t xml:space="preserve"> requ</w:t>
      </w:r>
      <w:r w:rsidR="001939B5" w:rsidRPr="00C22925">
        <w:rPr>
          <w:rFonts w:cs="Arial"/>
          <w:iCs/>
        </w:rPr>
        <w:t xml:space="preserve">eriría un </w:t>
      </w:r>
      <w:r w:rsidR="00013D40" w:rsidRPr="00C22925">
        <w:rPr>
          <w:rFonts w:cs="Arial"/>
          <w:iCs/>
        </w:rPr>
        <w:t xml:space="preserve">permiso antes </w:t>
      </w:r>
      <w:r w:rsidR="001939B5" w:rsidRPr="00C22925">
        <w:rPr>
          <w:rFonts w:cs="Arial"/>
          <w:iCs/>
        </w:rPr>
        <w:t>de que las</w:t>
      </w:r>
      <w:r w:rsidR="00013D40" w:rsidRPr="00C22925">
        <w:rPr>
          <w:rFonts w:cs="Arial"/>
          <w:iCs/>
        </w:rPr>
        <w:t xml:space="preserve"> oficinas de protección de las obtenciones vegetales </w:t>
      </w:r>
      <w:r w:rsidR="001939B5" w:rsidRPr="00C22925">
        <w:rPr>
          <w:rFonts w:cs="Arial"/>
          <w:iCs/>
        </w:rPr>
        <w:t>los compartan con</w:t>
      </w:r>
      <w:r w:rsidR="00013D40" w:rsidRPr="00C22925">
        <w:rPr>
          <w:rFonts w:cs="Arial"/>
          <w:iCs/>
        </w:rPr>
        <w:t xml:space="preserve"> otr</w:t>
      </w:r>
      <w:r w:rsidR="001939B5" w:rsidRPr="00C22925">
        <w:rPr>
          <w:rFonts w:cs="Arial"/>
          <w:iCs/>
        </w:rPr>
        <w:t>as</w:t>
      </w:r>
      <w:r w:rsidR="00013D40" w:rsidRPr="00C22925">
        <w:rPr>
          <w:rFonts w:cs="Arial"/>
          <w:iCs/>
        </w:rPr>
        <w:t xml:space="preserve"> oficinas.</w:t>
      </w:r>
    </w:p>
    <w:p w:rsidR="00095775" w:rsidRDefault="00095775" w:rsidP="006D4EAD">
      <w:pPr>
        <w:rPr>
          <w:rFonts w:cs="Arial"/>
          <w:iCs/>
        </w:rPr>
      </w:pPr>
    </w:p>
    <w:p w:rsidR="00095775" w:rsidRDefault="00D60C58" w:rsidP="006D4EAD">
      <w:pPr>
        <w:rPr>
          <w:rFonts w:cs="Arial"/>
          <w:iCs/>
        </w:rPr>
      </w:pPr>
      <w:r w:rsidRPr="00025F1B">
        <w:rPr>
          <w:rFonts w:cs="Arial"/>
          <w:iCs/>
        </w:rPr>
        <w:fldChar w:fldCharType="begin"/>
      </w:r>
      <w:r w:rsidR="006D4EAD" w:rsidRPr="00025F1B">
        <w:rPr>
          <w:rFonts w:cs="Arial"/>
          <w:iCs/>
        </w:rPr>
        <w:instrText xml:space="preserve"> AUTONUM  </w:instrText>
      </w:r>
      <w:r w:rsidRPr="00025F1B">
        <w:rPr>
          <w:rFonts w:cs="Arial"/>
          <w:iCs/>
        </w:rPr>
        <w:fldChar w:fldCharType="end"/>
      </w:r>
      <w:r w:rsidR="006D4EAD" w:rsidRPr="00025F1B">
        <w:rPr>
          <w:rFonts w:cs="Arial"/>
          <w:iCs/>
        </w:rPr>
        <w:tab/>
      </w:r>
      <w:r w:rsidR="001939B5" w:rsidRPr="00E62892">
        <w:rPr>
          <w:rFonts w:cs="Arial"/>
          <w:iCs/>
        </w:rPr>
        <w:t>El TWM acordó invitar a los miembros y observadores a que</w:t>
      </w:r>
      <w:r w:rsidR="00CD2808" w:rsidRPr="00E62892">
        <w:rPr>
          <w:rFonts w:cs="Arial"/>
          <w:iCs/>
        </w:rPr>
        <w:t>,</w:t>
      </w:r>
      <w:r w:rsidR="001939B5" w:rsidRPr="00E62892">
        <w:rPr>
          <w:rFonts w:cs="Arial"/>
          <w:iCs/>
        </w:rPr>
        <w:t xml:space="preserve"> </w:t>
      </w:r>
      <w:r w:rsidR="00CD2808" w:rsidRPr="00E62892">
        <w:rPr>
          <w:rFonts w:cs="Arial"/>
          <w:iCs/>
        </w:rPr>
        <w:t xml:space="preserve">en su segunda sesión, </w:t>
      </w:r>
      <w:r w:rsidR="001939B5" w:rsidRPr="00E62892">
        <w:rPr>
          <w:rFonts w:cs="Arial"/>
          <w:iCs/>
        </w:rPr>
        <w:t xml:space="preserve">informen </w:t>
      </w:r>
      <w:r w:rsidR="00CD2808" w:rsidRPr="00E62892">
        <w:rPr>
          <w:rFonts w:cs="Arial"/>
          <w:iCs/>
        </w:rPr>
        <w:t>acerca de las políticas vigentes sobre la confidencialidad de la información molecular.</w:t>
      </w:r>
    </w:p>
    <w:p w:rsidR="00095775" w:rsidRDefault="00095775" w:rsidP="006D4EAD">
      <w:pPr>
        <w:rPr>
          <w:rFonts w:cs="Arial"/>
          <w:iCs/>
        </w:rPr>
      </w:pPr>
    </w:p>
    <w:p w:rsidR="00095775" w:rsidRDefault="00D60C58" w:rsidP="006D4EAD">
      <w:pPr>
        <w:tabs>
          <w:tab w:val="left" w:pos="5387"/>
          <w:tab w:val="left" w:pos="5954"/>
        </w:tabs>
        <w:ind w:left="4820"/>
        <w:rPr>
          <w:i/>
        </w:rPr>
      </w:pPr>
      <w:r w:rsidRPr="00025F1B">
        <w:rPr>
          <w:i/>
        </w:rPr>
        <w:fldChar w:fldCharType="begin"/>
      </w:r>
      <w:r w:rsidR="006D4EAD" w:rsidRPr="00025F1B">
        <w:rPr>
          <w:i/>
        </w:rPr>
        <w:instrText xml:space="preserve"> AUTONUM  </w:instrText>
      </w:r>
      <w:r w:rsidRPr="00025F1B">
        <w:rPr>
          <w:i/>
        </w:rPr>
        <w:fldChar w:fldCharType="end"/>
      </w:r>
      <w:r w:rsidR="006D4EAD" w:rsidRPr="00025F1B">
        <w:rPr>
          <w:i/>
        </w:rPr>
        <w:tab/>
      </w:r>
      <w:r w:rsidR="00CD2808" w:rsidRPr="00E62892">
        <w:rPr>
          <w:i/>
        </w:rPr>
        <w:t>Se invita al TC a:</w:t>
      </w:r>
    </w:p>
    <w:p w:rsidR="00095775" w:rsidRDefault="00095775" w:rsidP="006D4EAD">
      <w:pPr>
        <w:tabs>
          <w:tab w:val="left" w:pos="5387"/>
          <w:tab w:val="left" w:pos="5954"/>
        </w:tabs>
        <w:ind w:left="4820"/>
        <w:rPr>
          <w:i/>
        </w:rPr>
      </w:pPr>
    </w:p>
    <w:p w:rsidR="00095775" w:rsidRDefault="006D4EAD" w:rsidP="006D4EAD">
      <w:pPr>
        <w:tabs>
          <w:tab w:val="left" w:pos="5387"/>
          <w:tab w:val="left" w:pos="5954"/>
        </w:tabs>
        <w:ind w:left="4820"/>
        <w:rPr>
          <w:i/>
        </w:rPr>
      </w:pPr>
      <w:r w:rsidRPr="00B17B1A">
        <w:rPr>
          <w:i/>
        </w:rPr>
        <w:t>a)</w:t>
      </w:r>
      <w:r w:rsidRPr="00B17B1A">
        <w:rPr>
          <w:i/>
        </w:rPr>
        <w:tab/>
      </w:r>
      <w:r w:rsidR="00CD2808" w:rsidRPr="00E62892">
        <w:rPr>
          <w:i/>
        </w:rPr>
        <w:t>tomar nota de los debates mantenidos en las sesiones de 2022 de los TWP acerca de la confidencialidad y la titularidad de la información molecular;</w:t>
      </w:r>
    </w:p>
    <w:p w:rsidR="00095775" w:rsidRDefault="00095775" w:rsidP="006D4EAD">
      <w:pPr>
        <w:tabs>
          <w:tab w:val="left" w:pos="5387"/>
          <w:tab w:val="left" w:pos="5954"/>
        </w:tabs>
        <w:ind w:left="4820"/>
        <w:rPr>
          <w:i/>
        </w:rPr>
      </w:pPr>
    </w:p>
    <w:p w:rsidR="00095775" w:rsidRDefault="006D4EAD" w:rsidP="006D4EAD">
      <w:pPr>
        <w:tabs>
          <w:tab w:val="left" w:pos="5387"/>
          <w:tab w:val="left" w:pos="5954"/>
        </w:tabs>
        <w:ind w:left="4820"/>
        <w:rPr>
          <w:rFonts w:cs="Arial"/>
          <w:i/>
          <w:iCs/>
        </w:rPr>
      </w:pPr>
      <w:r w:rsidRPr="00B17B1A">
        <w:rPr>
          <w:i/>
        </w:rPr>
        <w:t>b)</w:t>
      </w:r>
      <w:r w:rsidRPr="00B17B1A">
        <w:rPr>
          <w:i/>
        </w:rPr>
        <w:tab/>
      </w:r>
      <w:r w:rsidR="00CD2808" w:rsidRPr="00E62892">
        <w:rPr>
          <w:i/>
        </w:rPr>
        <w:t xml:space="preserve">tomar nota de la inquietud manifestada por las organizaciones de obtentores ante el TWM en cuanto a que la información molecular facilitada para el examen de una variedad no debe proporcionarse </w:t>
      </w:r>
      <w:r w:rsidR="00E716F1" w:rsidRPr="00E62892">
        <w:rPr>
          <w:i/>
        </w:rPr>
        <w:t>sin el permiso del obtentor a terceros ajenos a la autoridad que ha recibido la solicitud</w:t>
      </w:r>
      <w:r w:rsidR="00CD2808" w:rsidRPr="00E62892">
        <w:rPr>
          <w:i/>
        </w:rPr>
        <w:t>;</w:t>
      </w:r>
    </w:p>
    <w:p w:rsidR="00095775" w:rsidRDefault="00095775" w:rsidP="006D4EAD">
      <w:pPr>
        <w:tabs>
          <w:tab w:val="left" w:pos="5387"/>
          <w:tab w:val="left" w:pos="5954"/>
        </w:tabs>
        <w:ind w:left="4820"/>
        <w:rPr>
          <w:i/>
        </w:rPr>
      </w:pPr>
    </w:p>
    <w:p w:rsidR="00095775" w:rsidRDefault="006D4EAD" w:rsidP="006D4EAD">
      <w:pPr>
        <w:tabs>
          <w:tab w:val="left" w:pos="5387"/>
          <w:tab w:val="left" w:pos="5954"/>
        </w:tabs>
        <w:ind w:left="4820"/>
        <w:rPr>
          <w:i/>
        </w:rPr>
      </w:pPr>
      <w:r w:rsidRPr="00B17B1A">
        <w:rPr>
          <w:i/>
        </w:rPr>
        <w:t>c)</w:t>
      </w:r>
      <w:r w:rsidRPr="00B17B1A">
        <w:rPr>
          <w:i/>
        </w:rPr>
        <w:tab/>
      </w:r>
      <w:r w:rsidR="00CD2808" w:rsidRPr="00E62892">
        <w:rPr>
          <w:i/>
        </w:rPr>
        <w:t xml:space="preserve">considerar si procede invitar a los miembros </w:t>
      </w:r>
      <w:r w:rsidR="006D3A03" w:rsidRPr="00E62892">
        <w:rPr>
          <w:i/>
        </w:rPr>
        <w:t xml:space="preserve">a que faciliten información </w:t>
      </w:r>
      <w:r w:rsidR="00CD2808" w:rsidRPr="00E62892">
        <w:rPr>
          <w:i/>
        </w:rPr>
        <w:t>sobre el tipo y la finalidad de la información molecular que utilizan o comparten; y</w:t>
      </w:r>
    </w:p>
    <w:p w:rsidR="00095775" w:rsidRDefault="00095775" w:rsidP="006D4EAD">
      <w:pPr>
        <w:tabs>
          <w:tab w:val="left" w:pos="5387"/>
          <w:tab w:val="left" w:pos="5954"/>
        </w:tabs>
        <w:ind w:left="4820"/>
        <w:rPr>
          <w:rFonts w:cs="Arial"/>
          <w:i/>
          <w:iCs/>
        </w:rPr>
      </w:pPr>
    </w:p>
    <w:p w:rsidR="00095775" w:rsidRDefault="006D4EAD" w:rsidP="006D4EAD">
      <w:pPr>
        <w:tabs>
          <w:tab w:val="left" w:pos="5387"/>
          <w:tab w:val="left" w:pos="5954"/>
        </w:tabs>
        <w:ind w:left="4820"/>
        <w:rPr>
          <w:rFonts w:cs="Arial"/>
          <w:i/>
          <w:iCs/>
        </w:rPr>
      </w:pPr>
      <w:r w:rsidRPr="00B17B1A">
        <w:rPr>
          <w:rFonts w:cs="Arial"/>
          <w:i/>
          <w:iCs/>
        </w:rPr>
        <w:t>d)</w:t>
      </w:r>
      <w:r w:rsidRPr="00B17B1A">
        <w:rPr>
          <w:rFonts w:cs="Arial"/>
          <w:i/>
          <w:iCs/>
        </w:rPr>
        <w:tab/>
      </w:r>
      <w:r w:rsidR="00CD2808" w:rsidRPr="00E62892">
        <w:rPr>
          <w:rFonts w:cs="Arial"/>
          <w:i/>
          <w:iCs/>
        </w:rPr>
        <w:t>considerar si procede invitar a los miembros y observadores a que informen a los TWP, en sus sesiones de 2023, acerca de las políticas vigentes sobre la confidencialidad de la información molecular.</w:t>
      </w:r>
    </w:p>
    <w:p w:rsidR="00095775" w:rsidRDefault="00095775" w:rsidP="006D4EAD">
      <w:pPr>
        <w:tabs>
          <w:tab w:val="left" w:pos="5387"/>
          <w:tab w:val="left" w:pos="5954"/>
        </w:tabs>
        <w:ind w:left="4820"/>
        <w:rPr>
          <w:i/>
        </w:rPr>
      </w:pPr>
    </w:p>
    <w:p w:rsidR="00095775" w:rsidRDefault="00095775" w:rsidP="006D4EAD">
      <w:pPr>
        <w:pStyle w:val="DecisionParagraphs"/>
      </w:pPr>
    </w:p>
    <w:p w:rsidR="00095775" w:rsidRDefault="00095775" w:rsidP="006D4EAD">
      <w:pPr>
        <w:pStyle w:val="DecisionParagraphs"/>
      </w:pPr>
    </w:p>
    <w:bookmarkEnd w:id="5"/>
    <w:bookmarkEnd w:id="4"/>
    <w:bookmarkEnd w:id="3"/>
    <w:bookmarkEnd w:id="2"/>
    <w:p w:rsidR="00095775" w:rsidRDefault="00CD2808" w:rsidP="006D4EAD">
      <w:pPr>
        <w:pStyle w:val="DecisionParagraphs"/>
        <w:jc w:val="right"/>
        <w:rPr>
          <w:i w:val="0"/>
        </w:rPr>
      </w:pPr>
      <w:r w:rsidRPr="00E62892">
        <w:rPr>
          <w:i w:val="0"/>
        </w:rPr>
        <w:t>[Sigue el Anexo]</w:t>
      </w:r>
    </w:p>
    <w:p w:rsidR="00025F1B" w:rsidRPr="00025F1B" w:rsidRDefault="00025F1B" w:rsidP="006D4EAD">
      <w:pPr>
        <w:pStyle w:val="DecisionParagraphs"/>
        <w:jc w:val="right"/>
        <w:sectPr w:rsidR="00025F1B" w:rsidRPr="00025F1B" w:rsidSect="00025F1B">
          <w:type w:val="continuous"/>
          <w:pgSz w:w="11907" w:h="16840" w:code="9"/>
          <w:pgMar w:top="510" w:right="1134" w:bottom="1134" w:left="1134" w:header="510" w:footer="680" w:gutter="0"/>
          <w:pgNumType w:start="3"/>
          <w:cols w:space="720"/>
          <w:titlePg/>
        </w:sectPr>
      </w:pPr>
    </w:p>
    <w:p w:rsidR="00095775" w:rsidRDefault="00095775" w:rsidP="006D4EAD"/>
    <w:p w:rsidR="00095775" w:rsidRDefault="00CD2808" w:rsidP="006D4EAD">
      <w:pPr>
        <w:jc w:val="center"/>
        <w:rPr>
          <w:u w:val="single"/>
        </w:rPr>
      </w:pPr>
      <w:r w:rsidRPr="00E62892">
        <w:rPr>
          <w:u w:val="single"/>
        </w:rPr>
        <w:t>ENCUESTA SOBRE LA UTILIZACIÓN DE TÉCNICAS BASADAS EN MARCADORES MOLECULARES, POR CULTIVOS</w:t>
      </w:r>
    </w:p>
    <w:p w:rsidR="00095775" w:rsidRDefault="00095775" w:rsidP="006D4EAD"/>
    <w:p w:rsidR="00095775" w:rsidRDefault="00095775" w:rsidP="006D4EAD">
      <w:pPr>
        <w:rPr>
          <w:rFonts w:eastAsia="Cambria"/>
        </w:rPr>
      </w:pPr>
    </w:p>
    <w:p w:rsidR="00095775" w:rsidRDefault="00095775" w:rsidP="006D4EAD">
      <w:pPr>
        <w:rPr>
          <w:snapToGrid w:val="0"/>
        </w:rPr>
      </w:pPr>
    </w:p>
    <w:p w:rsidR="00095775" w:rsidRDefault="00095775" w:rsidP="006D4EAD">
      <w:pPr>
        <w:rPr>
          <w:snapToGrid w:val="0"/>
        </w:rPr>
      </w:pPr>
    </w:p>
    <w:p w:rsidR="00095775" w:rsidRDefault="00F27262" w:rsidP="006D4EAD">
      <w:pPr>
        <w:jc w:val="center"/>
        <w:rPr>
          <w:rFonts w:cs="Arial"/>
          <w:i/>
        </w:rPr>
      </w:pPr>
      <w:r w:rsidRPr="00E62892">
        <w:rPr>
          <w:rFonts w:cs="Arial"/>
          <w:i/>
        </w:rPr>
        <w:t>Las respuestas recibidas figuran en la hoja de cálculo de Excel.</w:t>
      </w:r>
    </w:p>
    <w:p w:rsidR="00095775" w:rsidRDefault="00095775" w:rsidP="006D4EAD"/>
    <w:p w:rsidR="00095775" w:rsidRDefault="00095775" w:rsidP="006D4EAD">
      <w:pPr>
        <w:rPr>
          <w:u w:val="single"/>
        </w:rPr>
      </w:pPr>
    </w:p>
    <w:p w:rsidR="00095775" w:rsidRDefault="00095775" w:rsidP="006D4EAD">
      <w:pPr>
        <w:rPr>
          <w:u w:val="single"/>
        </w:rPr>
      </w:pPr>
    </w:p>
    <w:p w:rsidR="00095775" w:rsidRDefault="00F27262" w:rsidP="006D4EAD">
      <w:pPr>
        <w:pStyle w:val="DecisionParagraphs"/>
        <w:jc w:val="right"/>
        <w:rPr>
          <w:i w:val="0"/>
        </w:rPr>
      </w:pPr>
      <w:r w:rsidRPr="00E62892">
        <w:rPr>
          <w:i w:val="0"/>
        </w:rPr>
        <w:t>[Sigue el Apéndice del Anexo]</w:t>
      </w:r>
    </w:p>
    <w:p w:rsidR="00095775" w:rsidRDefault="00095775" w:rsidP="006D4EAD">
      <w:pPr>
        <w:pStyle w:val="DecisionParagraphs"/>
      </w:pPr>
    </w:p>
    <w:p w:rsidR="006D4EAD" w:rsidRPr="00025F1B" w:rsidRDefault="006D4EAD" w:rsidP="006D4EAD">
      <w:pPr>
        <w:rPr>
          <w:u w:val="single"/>
        </w:rPr>
        <w:sectPr w:rsidR="006D4EAD" w:rsidRPr="00025F1B" w:rsidSect="00025F1B">
          <w:headerReference w:type="default" r:id="rId9"/>
          <w:headerReference w:type="first" r:id="rId10"/>
          <w:pgSz w:w="11907" w:h="16840" w:code="9"/>
          <w:pgMar w:top="510" w:right="1134" w:bottom="1134" w:left="1134" w:header="510" w:footer="624" w:gutter="0"/>
          <w:pgNumType w:start="1"/>
          <w:cols w:space="720"/>
          <w:titlePg/>
          <w:docGrid w:linePitch="272"/>
        </w:sectPr>
      </w:pPr>
    </w:p>
    <w:p w:rsidR="00095775" w:rsidRDefault="00095775" w:rsidP="006D4EAD">
      <w:pPr>
        <w:rPr>
          <w:u w:val="single"/>
        </w:rPr>
      </w:pPr>
    </w:p>
    <w:p w:rsidR="00095775" w:rsidRDefault="00095775" w:rsidP="006D4EAD">
      <w:pPr>
        <w:rPr>
          <w:u w:val="single"/>
        </w:rPr>
      </w:pPr>
    </w:p>
    <w:p w:rsidR="00095775" w:rsidRDefault="0070153D" w:rsidP="006D4EAD">
      <w:pPr>
        <w:rPr>
          <w:u w:val="single"/>
        </w:rPr>
      </w:pPr>
      <w:r w:rsidRPr="00E62892">
        <w:rPr>
          <w:u w:val="single"/>
        </w:rPr>
        <w:t>Respuesta de la Unión Europea:</w:t>
      </w:r>
    </w:p>
    <w:p w:rsidR="00095775" w:rsidRDefault="00095775" w:rsidP="006D4EAD"/>
    <w:p w:rsidR="00095775" w:rsidRDefault="00095775" w:rsidP="006D4EAD"/>
    <w:p w:rsidR="00095775" w:rsidRDefault="0070153D" w:rsidP="006D4EAD">
      <w:pPr>
        <w:jc w:val="center"/>
        <w:rPr>
          <w:rFonts w:eastAsia="Cambria"/>
        </w:rPr>
      </w:pPr>
      <w:r w:rsidRPr="0070153D">
        <w:rPr>
          <w:rFonts w:eastAsia="Cambria"/>
        </w:rPr>
        <w:t>UTILIZACIÓN DE TÉCNICAS BASADAS EN MARCADORES MOLECULARES EN EL EXAMEN DHE EN EL MARCO DE LA PROTECCIÓN COMUNITARIA DE LAS OBTENCIONES VEGETALES</w:t>
      </w:r>
    </w:p>
    <w:p w:rsidR="00095775" w:rsidRDefault="00095775" w:rsidP="006D4EAD">
      <w:pPr>
        <w:rPr>
          <w:rFonts w:eastAsia="Cambria"/>
        </w:rPr>
      </w:pPr>
    </w:p>
    <w:p w:rsidR="00095775" w:rsidRDefault="00095775" w:rsidP="006D4EAD">
      <w:pPr>
        <w:rPr>
          <w:rFonts w:eastAsia="Cambria"/>
        </w:rPr>
      </w:pPr>
    </w:p>
    <w:p w:rsidR="00095775" w:rsidRDefault="0070153D" w:rsidP="006D4EAD">
      <w:pPr>
        <w:keepNext/>
        <w:outlineLvl w:val="1"/>
        <w:rPr>
          <w:rFonts w:eastAsia="Cambria"/>
          <w:u w:val="single"/>
        </w:rPr>
      </w:pPr>
      <w:bookmarkStart w:id="24" w:name="_Toc116635415"/>
      <w:r w:rsidRPr="0070153D">
        <w:rPr>
          <w:rFonts w:eastAsia="Cambria"/>
          <w:u w:val="single"/>
        </w:rPr>
        <w:t>Elementos de contexto</w:t>
      </w:r>
      <w:bookmarkEnd w:id="24"/>
    </w:p>
    <w:p w:rsidR="00095775" w:rsidRDefault="00095775" w:rsidP="006D4EAD">
      <w:pPr>
        <w:rPr>
          <w:rFonts w:eastAsia="Cambria"/>
        </w:rPr>
      </w:pPr>
    </w:p>
    <w:p w:rsidR="00095775" w:rsidRDefault="0000777E" w:rsidP="006D4EAD">
      <w:pPr>
        <w:rPr>
          <w:rFonts w:eastAsia="Cambria"/>
        </w:rPr>
      </w:pPr>
      <w:r w:rsidRPr="0000777E">
        <w:rPr>
          <w:rFonts w:eastAsia="Cambria"/>
        </w:rPr>
        <w:t>En su quincuagésima quinta sesión, celebrada en Ginebra los días 28 y 29 de octubre de 2019, el Comité Técnico (TC) de la UPOV acordó invitar a los miembros de la Unión a responder a una encuesta como punto de partida de la elaboración de un inventario sobre la utilización de técnicas basadas en marcadores moleculares, por cultivos, en coordinación con los Sistemas de semillas de la OCDE (véanse los párrafos 184 y 185 del documento TC/55/25 “Informe”).</w:t>
      </w:r>
    </w:p>
    <w:p w:rsidR="00095775" w:rsidRDefault="00095775" w:rsidP="006D4EAD">
      <w:pPr>
        <w:rPr>
          <w:rFonts w:eastAsia="Cambria"/>
        </w:rPr>
      </w:pPr>
    </w:p>
    <w:p w:rsidR="00095775" w:rsidRDefault="00276C62" w:rsidP="006D4EAD">
      <w:pPr>
        <w:rPr>
          <w:rFonts w:eastAsia="Cambria"/>
        </w:rPr>
      </w:pPr>
      <w:r w:rsidRPr="004A2CF3">
        <w:rPr>
          <w:rFonts w:eastAsia="Cambria"/>
        </w:rPr>
        <w:t>La información sobre las técnicas basadas en marcadores moleculares empleadas por los miembros de la Unión servirá para elaborar un documento conjunto de la UPOV, la OCDE y la ISTA en el que figure dicha información en un formato similar al del documento UPOV/INF/16 “Programas informáticos para intercambio”, con sujeción a la aprobación por el Consejo y en coordinación con la OCDE y la ISTA.</w:t>
      </w:r>
    </w:p>
    <w:p w:rsidR="00095775" w:rsidRDefault="00095775" w:rsidP="006D4EAD">
      <w:pPr>
        <w:rPr>
          <w:rFonts w:eastAsia="Cambria"/>
        </w:rPr>
      </w:pPr>
    </w:p>
    <w:p w:rsidR="00095775" w:rsidRDefault="004A2CF3" w:rsidP="006D4EAD">
      <w:pPr>
        <w:rPr>
          <w:rFonts w:eastAsia="Cambria"/>
        </w:rPr>
      </w:pPr>
      <w:r w:rsidRPr="004A2CF3">
        <w:rPr>
          <w:rFonts w:eastAsia="Cambria"/>
        </w:rPr>
        <w:t>En el presente documento, que constituye la aportación de la OCVV a dicha encuesta, se indican las técnicas basadas en marcadores moleculares que se pueden utilizar en un examen DHE que tenga por objeto la concesión de protección comunitaria a una obtención vegetal en el marco de la política de la OCVV.</w:t>
      </w:r>
    </w:p>
    <w:p w:rsidR="00095775" w:rsidRDefault="004A2CF3" w:rsidP="004A2CF3">
      <w:pPr>
        <w:keepNext/>
        <w:numPr>
          <w:ilvl w:val="0"/>
          <w:numId w:val="1"/>
        </w:numPr>
        <w:suppressAutoHyphens/>
        <w:spacing w:before="360" w:after="240" w:line="260" w:lineRule="auto"/>
        <w:jc w:val="left"/>
        <w:outlineLvl w:val="0"/>
        <w:rPr>
          <w:rFonts w:cs="Arial"/>
          <w:spacing w:val="-3"/>
          <w:kern w:val="32"/>
          <w:szCs w:val="32"/>
        </w:rPr>
      </w:pPr>
      <w:bookmarkStart w:id="25" w:name="_Toc116635416"/>
      <w:r w:rsidRPr="004A2CF3">
        <w:rPr>
          <w:rFonts w:cs="Arial"/>
          <w:spacing w:val="-3"/>
          <w:kern w:val="32"/>
          <w:szCs w:val="32"/>
        </w:rPr>
        <w:t>Marco jurídico del uso de técnicas moleculares en el examen DHE para la concesión de protección comunitaria a obtenciones vegetales</w:t>
      </w:r>
      <w:bookmarkEnd w:id="25"/>
    </w:p>
    <w:p w:rsidR="00095775" w:rsidRDefault="00FD3E32" w:rsidP="006D4EAD">
      <w:pPr>
        <w:rPr>
          <w:rFonts w:eastAsia="Cambria"/>
        </w:rPr>
      </w:pPr>
      <w:r w:rsidRPr="00FD3E32">
        <w:rPr>
          <w:rFonts w:eastAsia="Cambria"/>
        </w:rPr>
        <w:t>El marco jurídico para la realización de exámenes DHE a efectos de la protección comunitaria de las obtenciones vegetales está compuesto por el Reglamento de base n.º 2100/94 de la OCVV y sus disposiciones de aplicación, los protocolos técnicos de la OCVV y los documentos de orientación aprobados por la UPOV.</w:t>
      </w:r>
    </w:p>
    <w:p w:rsidR="00095775" w:rsidRDefault="00095775" w:rsidP="006D4EAD">
      <w:pPr>
        <w:rPr>
          <w:rFonts w:eastAsia="Cambria"/>
        </w:rPr>
      </w:pPr>
    </w:p>
    <w:p w:rsidR="00095775" w:rsidRDefault="00FD3E32" w:rsidP="006D4EAD">
      <w:pPr>
        <w:rPr>
          <w:rFonts w:eastAsia="Cambria"/>
        </w:rPr>
      </w:pPr>
      <w:r w:rsidRPr="00FD3E32">
        <w:rPr>
          <w:rFonts w:eastAsia="Cambria"/>
        </w:rPr>
        <w:t xml:space="preserve">La OCVV no se encarga de la realización de exámenes DHE, si bien, como se establece en el artículo 55 del Reglamento de base, “dispondrá lo necesario para que se realice el examen técnico </w:t>
      </w:r>
      <w:proofErr w:type="gramStart"/>
      <w:r w:rsidRPr="00FD3E32">
        <w:rPr>
          <w:rFonts w:eastAsia="Cambria"/>
        </w:rPr>
        <w:t>[...]  por</w:t>
      </w:r>
      <w:proofErr w:type="gramEnd"/>
      <w:r w:rsidRPr="00FD3E32">
        <w:rPr>
          <w:rFonts w:eastAsia="Cambria"/>
        </w:rPr>
        <w:t xml:space="preserve"> la oficina u oficinas competentes [...] por lo menos en uno de los Estados miembros, facultadas por el consejo de administración para el examen técnico de variedades de las especies de que se trate”.</w:t>
      </w:r>
    </w:p>
    <w:p w:rsidR="00095775" w:rsidRDefault="00095775" w:rsidP="006D4EAD">
      <w:pPr>
        <w:rPr>
          <w:rFonts w:eastAsia="Cambria"/>
        </w:rPr>
      </w:pPr>
    </w:p>
    <w:p w:rsidR="00095775" w:rsidRDefault="00FD3E32" w:rsidP="006D4EAD">
      <w:pPr>
        <w:rPr>
          <w:rFonts w:eastAsia="Cambria"/>
        </w:rPr>
      </w:pPr>
      <w:r w:rsidRPr="00FD3E32">
        <w:rPr>
          <w:rFonts w:eastAsia="Cambria"/>
        </w:rPr>
        <w:t>Cuando se lleve a cabo un examen técnico, “[…] las Oficinas de examen cultivarán la variedad o emprenderán cualquier otra investigación que sea necesaria, a efectos del examen técnico” (artículo 56 del Reglamento de base).</w:t>
      </w:r>
      <w:r w:rsidR="006D4EAD" w:rsidRPr="00025F1B">
        <w:rPr>
          <w:rFonts w:eastAsia="Cambria"/>
        </w:rPr>
        <w:t xml:space="preserve"> </w:t>
      </w:r>
      <w:r w:rsidRPr="00FD3E32">
        <w:rPr>
          <w:rFonts w:eastAsia="Cambria"/>
        </w:rPr>
        <w:t>Por consiguiente, las oficinas encargadas del examen pueden utilizar técnicas moleculares en apoyo del examen DHE, siempre y cuando el examen técnico se efectúe de conformidad con las directrices de examen publicadas por el Consejo de Administración de la OCVV.</w:t>
      </w:r>
    </w:p>
    <w:p w:rsidR="00095775" w:rsidRDefault="00095775" w:rsidP="006D4EAD">
      <w:pPr>
        <w:rPr>
          <w:rFonts w:eastAsia="Cambria"/>
        </w:rPr>
      </w:pPr>
    </w:p>
    <w:p w:rsidR="00095775" w:rsidRDefault="00FD3E32" w:rsidP="006D4EAD">
      <w:pPr>
        <w:rPr>
          <w:rFonts w:eastAsia="Cambria"/>
        </w:rPr>
      </w:pPr>
      <w:r w:rsidRPr="00FD3E32">
        <w:rPr>
          <w:rFonts w:eastAsia="Cambria"/>
        </w:rPr>
        <w:t>Dado que tanto para la protección como para la inscripción de las variedades en la Unión Europea se aplican las mismas directrices, también se tienen en cuenta las directivas referentes al catálogo común (Directivas 2002/53/CE y 2002/55/CE del Consejo).</w:t>
      </w:r>
      <w:r w:rsidR="006D4EAD" w:rsidRPr="00025F1B">
        <w:rPr>
          <w:rFonts w:eastAsia="Cambria"/>
        </w:rPr>
        <w:t xml:space="preserve"> </w:t>
      </w:r>
      <w:r w:rsidRPr="00FD3E32">
        <w:rPr>
          <w:rFonts w:eastAsia="Cambria"/>
        </w:rPr>
        <w:t>De conformidad con esas directivas, la admisión de las variedades será el resultado de exámenes oficiales, efectuados especialmente en cultivo y sobre un número suficiente de caracteres que permita describir la variedad.</w:t>
      </w:r>
      <w:r w:rsidR="006D4EAD" w:rsidRPr="00025F1B">
        <w:rPr>
          <w:rFonts w:eastAsia="Cambria"/>
        </w:rPr>
        <w:t xml:space="preserve"> </w:t>
      </w:r>
      <w:r w:rsidRPr="00FD3E32">
        <w:rPr>
          <w:rFonts w:eastAsia="Cambria"/>
        </w:rPr>
        <w:t>Por consiguiente, las técnicas moleculares solo se podrán utilizar como complemento de los exámenes en cultivo.</w:t>
      </w:r>
    </w:p>
    <w:p w:rsidR="00095775" w:rsidRDefault="00095775" w:rsidP="006D4EAD">
      <w:pPr>
        <w:rPr>
          <w:rFonts w:eastAsia="Cambria"/>
        </w:rPr>
      </w:pPr>
    </w:p>
    <w:p w:rsidR="00095775" w:rsidRDefault="00B307AF" w:rsidP="006D4EAD">
      <w:pPr>
        <w:rPr>
          <w:rFonts w:eastAsia="Cambria"/>
        </w:rPr>
      </w:pPr>
      <w:r w:rsidRPr="00B307AF">
        <w:rPr>
          <w:rFonts w:eastAsia="Cambria"/>
        </w:rPr>
        <w:t>Como miembro de la UPOV, la OCVV respeta el marco acordado para el uso de técnicas moleculares en el examen DHE, establecido en los documentos UPOV/INF/18 (aprobado por el Consejo de la UPOV en 2011) y UPOV/TGP/15/3 (aprobado por el Consejo de la UPOV en 2020).</w:t>
      </w:r>
      <w:r w:rsidR="006D4EAD" w:rsidRPr="00025F1B">
        <w:rPr>
          <w:rFonts w:eastAsia="Cambria"/>
        </w:rPr>
        <w:t xml:space="preserve"> </w:t>
      </w:r>
      <w:r w:rsidRPr="00B307AF">
        <w:rPr>
          <w:rFonts w:eastAsia="Cambria"/>
        </w:rPr>
        <w:t>Más concretamente, la OCVV respalda la utilización de instrumentos moleculares por su red de oficinas encargadas del examen, con arreglo a los modelos que hayan sido considerados conformes con el Convenio de la UPOV.</w:t>
      </w:r>
    </w:p>
    <w:p w:rsidR="00095775" w:rsidRDefault="00B307AF" w:rsidP="00B307AF">
      <w:pPr>
        <w:keepNext/>
        <w:numPr>
          <w:ilvl w:val="0"/>
          <w:numId w:val="1"/>
        </w:numPr>
        <w:suppressAutoHyphens/>
        <w:spacing w:before="360" w:after="240" w:line="260" w:lineRule="auto"/>
        <w:jc w:val="left"/>
        <w:outlineLvl w:val="0"/>
        <w:rPr>
          <w:rFonts w:cs="Arial"/>
          <w:spacing w:val="-3"/>
          <w:kern w:val="32"/>
          <w:szCs w:val="32"/>
        </w:rPr>
      </w:pPr>
      <w:bookmarkStart w:id="26" w:name="_Toc116635417"/>
      <w:r w:rsidRPr="00B307AF">
        <w:rPr>
          <w:rFonts w:cs="Arial"/>
          <w:spacing w:val="-3"/>
          <w:kern w:val="32"/>
          <w:szCs w:val="32"/>
        </w:rPr>
        <w:t>Modelos admitidos por la OCVV y ejemplos de aplicación</w:t>
      </w:r>
      <w:bookmarkStart w:id="27" w:name="_GoBack"/>
      <w:bookmarkEnd w:id="26"/>
      <w:bookmarkEnd w:id="27"/>
    </w:p>
    <w:p w:rsidR="00095775" w:rsidRDefault="00B307AF" w:rsidP="00B307AF">
      <w:pPr>
        <w:keepNext/>
        <w:numPr>
          <w:ilvl w:val="1"/>
          <w:numId w:val="1"/>
        </w:numPr>
        <w:suppressAutoHyphens/>
        <w:spacing w:before="360" w:after="240" w:line="260" w:lineRule="auto"/>
        <w:jc w:val="left"/>
        <w:outlineLvl w:val="1"/>
        <w:rPr>
          <w:rFonts w:cs="Arial"/>
          <w:spacing w:val="-3"/>
          <w:kern w:val="32"/>
        </w:rPr>
      </w:pPr>
      <w:bookmarkStart w:id="28" w:name="_Toc116635418"/>
      <w:r w:rsidRPr="00B307AF">
        <w:rPr>
          <w:rFonts w:cs="Arial"/>
          <w:spacing w:val="-3"/>
          <w:kern w:val="32"/>
        </w:rPr>
        <w:t>Marcadores ligados a caracteres</w:t>
      </w:r>
      <w:bookmarkEnd w:id="28"/>
    </w:p>
    <w:p w:rsidR="00095775" w:rsidRDefault="00B307AF" w:rsidP="006D4EAD">
      <w:pPr>
        <w:rPr>
          <w:rFonts w:eastAsia="Cambria"/>
        </w:rPr>
      </w:pPr>
      <w:r w:rsidRPr="00B307AF">
        <w:rPr>
          <w:rFonts w:eastAsia="Cambria"/>
        </w:rPr>
        <w:t>Si existe un vínculo claro, se pueden emplear marcadores moleculares como alternativa a la observación fenotípica, para predecir caracteres convencionales cuya evaluación resulte difícil o laboriosa.</w:t>
      </w:r>
      <w:r w:rsidR="006D4EAD" w:rsidRPr="00025F1B">
        <w:rPr>
          <w:rFonts w:eastAsia="Cambria"/>
        </w:rPr>
        <w:t xml:space="preserve"> </w:t>
      </w:r>
      <w:r w:rsidRPr="00B307AF">
        <w:rPr>
          <w:rFonts w:eastAsia="Cambria"/>
        </w:rPr>
        <w:t>La correlación que se establezca entre dichos marcadores y el fenotipo puede ser total o parcial.</w:t>
      </w:r>
      <w:r w:rsidR="006D4EAD" w:rsidRPr="00025F1B">
        <w:rPr>
          <w:rFonts w:eastAsia="Cambria"/>
        </w:rPr>
        <w:t xml:space="preserve"> </w:t>
      </w:r>
      <w:r w:rsidRPr="00B307AF">
        <w:rPr>
          <w:rFonts w:eastAsia="Cambria"/>
        </w:rPr>
        <w:t>Estos métodos se incluyen en los protocolos técnicos de la OCVV sobre la base de la evaluación/validación y las indicaciones de los grupos de expertos en cultivos de la OCVV.</w:t>
      </w:r>
    </w:p>
    <w:p w:rsidR="00095775" w:rsidRDefault="00B307AF" w:rsidP="00B307AF">
      <w:pPr>
        <w:keepNext/>
        <w:numPr>
          <w:ilvl w:val="2"/>
          <w:numId w:val="1"/>
        </w:numPr>
        <w:suppressAutoHyphens/>
        <w:spacing w:before="360" w:after="240" w:line="260" w:lineRule="auto"/>
        <w:jc w:val="left"/>
        <w:outlineLvl w:val="2"/>
        <w:rPr>
          <w:rFonts w:eastAsia="Cambria" w:cs="Arial"/>
          <w:bCs/>
          <w:spacing w:val="-3"/>
        </w:rPr>
      </w:pPr>
      <w:bookmarkStart w:id="29" w:name="_Toc116635419"/>
      <w:r w:rsidRPr="00B307AF">
        <w:rPr>
          <w:rFonts w:eastAsia="Cambria" w:cs="Arial"/>
          <w:bCs/>
          <w:spacing w:val="-3"/>
        </w:rPr>
        <w:t>Marcadores que guardan una correlación del 100% con un determinado nivel de expresión del carácter</w:t>
      </w:r>
      <w:bookmarkEnd w:id="29"/>
    </w:p>
    <w:p w:rsidR="00095775" w:rsidRDefault="00B307AF" w:rsidP="006D4EAD">
      <w:pPr>
        <w:rPr>
          <w:rFonts w:eastAsia="Cambria"/>
        </w:rPr>
      </w:pPr>
      <w:r w:rsidRPr="00B307AF">
        <w:rPr>
          <w:rFonts w:eastAsia="Cambria"/>
        </w:rPr>
        <w:t>En ese caso, el marcador puede reemplazar a la observación fenotípica.</w:t>
      </w:r>
    </w:p>
    <w:p w:rsidR="00095775" w:rsidRDefault="00095775" w:rsidP="006D4EAD">
      <w:pPr>
        <w:rPr>
          <w:rFonts w:eastAsia="Cambria"/>
        </w:rPr>
      </w:pPr>
    </w:p>
    <w:p w:rsidR="00095775" w:rsidRDefault="00B307AF" w:rsidP="006D4EAD">
      <w:pPr>
        <w:rPr>
          <w:rFonts w:eastAsia="Cambria"/>
        </w:rPr>
      </w:pPr>
      <w:r w:rsidRPr="00B307AF">
        <w:rPr>
          <w:rFonts w:eastAsia="Cambria"/>
        </w:rPr>
        <w:t>Ejemplos de tales caracteres:</w:t>
      </w:r>
    </w:p>
    <w:p w:rsidR="00095775" w:rsidRDefault="006D4EAD" w:rsidP="006D4EAD">
      <w:pPr>
        <w:ind w:left="567"/>
        <w:rPr>
          <w:rFonts w:eastAsia="Cambria"/>
        </w:rPr>
      </w:pPr>
      <w:r w:rsidRPr="00025F1B">
        <w:rPr>
          <w:rFonts w:eastAsia="Cambria"/>
        </w:rPr>
        <w:t xml:space="preserve">- </w:t>
      </w:r>
      <w:r w:rsidR="00B307AF" w:rsidRPr="00B307AF">
        <w:rPr>
          <w:rFonts w:eastAsia="Cambria"/>
        </w:rPr>
        <w:t xml:space="preserve">resistencia a enfermedades mono- u </w:t>
      </w:r>
      <w:proofErr w:type="spellStart"/>
      <w:r w:rsidR="00B307AF" w:rsidRPr="00B307AF">
        <w:rPr>
          <w:rFonts w:eastAsia="Cambria"/>
        </w:rPr>
        <w:t>oligogénicas</w:t>
      </w:r>
      <w:proofErr w:type="spellEnd"/>
      <w:r w:rsidR="00B307AF" w:rsidRPr="00B307AF">
        <w:rPr>
          <w:rFonts w:eastAsia="Cambria"/>
        </w:rPr>
        <w:t xml:space="preserve"> (por ejemplo, enfermedades de plantas hortícolas, resistencia al nematodo </w:t>
      </w:r>
      <w:proofErr w:type="spellStart"/>
      <w:r w:rsidR="00B307AF" w:rsidRPr="00B307AF">
        <w:rPr>
          <w:rFonts w:eastAsia="Cambria"/>
          <w:i/>
        </w:rPr>
        <w:t>Heterodera</w:t>
      </w:r>
      <w:proofErr w:type="spellEnd"/>
      <w:r w:rsidR="00B307AF" w:rsidRPr="00B307AF">
        <w:rPr>
          <w:rFonts w:eastAsia="Cambria"/>
          <w:i/>
        </w:rPr>
        <w:t xml:space="preserve"> </w:t>
      </w:r>
      <w:proofErr w:type="spellStart"/>
      <w:r w:rsidR="00B307AF" w:rsidRPr="00B307AF">
        <w:rPr>
          <w:rFonts w:eastAsia="Cambria"/>
          <w:i/>
        </w:rPr>
        <w:t>schachtii</w:t>
      </w:r>
      <w:proofErr w:type="spellEnd"/>
      <w:r w:rsidR="00B307AF" w:rsidRPr="00B307AF">
        <w:rPr>
          <w:rFonts w:eastAsia="Cambria"/>
        </w:rPr>
        <w:t xml:space="preserve"> en la remolacha azucarera);</w:t>
      </w:r>
    </w:p>
    <w:p w:rsidR="00095775" w:rsidRDefault="006D4EAD" w:rsidP="006D4EAD">
      <w:pPr>
        <w:ind w:left="567"/>
        <w:rPr>
          <w:rFonts w:eastAsia="Cambria"/>
        </w:rPr>
      </w:pPr>
      <w:r w:rsidRPr="00025F1B">
        <w:rPr>
          <w:rFonts w:eastAsia="Cambria"/>
        </w:rPr>
        <w:t xml:space="preserve">- </w:t>
      </w:r>
      <w:proofErr w:type="spellStart"/>
      <w:r w:rsidR="00B307AF" w:rsidRPr="00B307AF">
        <w:rPr>
          <w:rFonts w:eastAsia="Cambria"/>
        </w:rPr>
        <w:t>androesterilidad</w:t>
      </w:r>
      <w:proofErr w:type="spellEnd"/>
      <w:r w:rsidR="00B307AF" w:rsidRPr="00B307AF">
        <w:rPr>
          <w:rFonts w:eastAsia="Cambria"/>
        </w:rPr>
        <w:t xml:space="preserve"> citoplasmática en coles;</w:t>
      </w:r>
    </w:p>
    <w:p w:rsidR="00095775" w:rsidRDefault="006D4EAD" w:rsidP="006D4EAD">
      <w:pPr>
        <w:ind w:left="567"/>
        <w:rPr>
          <w:rFonts w:eastAsia="Cambria"/>
        </w:rPr>
      </w:pPr>
      <w:r w:rsidRPr="00025F1B">
        <w:rPr>
          <w:rFonts w:eastAsia="Cambria"/>
        </w:rPr>
        <w:t xml:space="preserve">- </w:t>
      </w:r>
      <w:r w:rsidR="00B307AF" w:rsidRPr="00B307AF">
        <w:rPr>
          <w:rFonts w:eastAsia="Cambria"/>
        </w:rPr>
        <w:t>herbicidas (por ejemplo, el girasol, la colza).</w:t>
      </w:r>
    </w:p>
    <w:p w:rsidR="00095775" w:rsidRDefault="00095775" w:rsidP="006D4EAD">
      <w:pPr>
        <w:rPr>
          <w:rFonts w:eastAsia="Cambria"/>
        </w:rPr>
      </w:pPr>
    </w:p>
    <w:p w:rsidR="00095775" w:rsidRDefault="00B307AF" w:rsidP="006D4EAD">
      <w:pPr>
        <w:rPr>
          <w:rFonts w:eastAsia="Cambria"/>
        </w:rPr>
      </w:pPr>
      <w:r w:rsidRPr="00B307AF">
        <w:rPr>
          <w:rFonts w:eastAsia="Cambria"/>
        </w:rPr>
        <w:t>Por el momento, ninguno de estos marcadores ha sido incluido en los protocolos técnicos de la OCVV.</w:t>
      </w:r>
    </w:p>
    <w:p w:rsidR="00095775" w:rsidRDefault="00B307AF" w:rsidP="00B307AF">
      <w:pPr>
        <w:keepNext/>
        <w:numPr>
          <w:ilvl w:val="2"/>
          <w:numId w:val="1"/>
        </w:numPr>
        <w:suppressAutoHyphens/>
        <w:spacing w:before="360" w:after="240" w:line="260" w:lineRule="auto"/>
        <w:jc w:val="left"/>
        <w:outlineLvl w:val="2"/>
        <w:rPr>
          <w:rFonts w:eastAsia="Cambria" w:cs="Arial"/>
          <w:bCs/>
          <w:spacing w:val="-3"/>
        </w:rPr>
      </w:pPr>
      <w:bookmarkStart w:id="30" w:name="_Toc116635420"/>
      <w:r w:rsidRPr="00B307AF">
        <w:rPr>
          <w:rFonts w:eastAsia="Cambria" w:cs="Arial"/>
          <w:bCs/>
          <w:spacing w:val="-3"/>
        </w:rPr>
        <w:t>Marcadores que aportan información incompleta sobre el nivel de expresión del carácter</w:t>
      </w:r>
      <w:bookmarkEnd w:id="30"/>
    </w:p>
    <w:p w:rsidR="00095775" w:rsidRDefault="00B307AF" w:rsidP="006D4EAD">
      <w:pPr>
        <w:rPr>
          <w:rFonts w:eastAsia="Cambria"/>
        </w:rPr>
      </w:pPr>
      <w:r w:rsidRPr="00B307AF">
        <w:rPr>
          <w:rFonts w:eastAsia="Cambria"/>
        </w:rPr>
        <w:t>En ese caso, el marcador está solo parcialmente ligado al carácter y aporta información incompleta sobre su nivel de expresión.</w:t>
      </w:r>
      <w:r w:rsidR="006D4EAD" w:rsidRPr="00025F1B">
        <w:rPr>
          <w:rFonts w:eastAsia="Cambria"/>
        </w:rPr>
        <w:t xml:space="preserve"> </w:t>
      </w:r>
      <w:r w:rsidRPr="008859E5">
        <w:rPr>
          <w:rFonts w:eastAsia="Cambria"/>
        </w:rPr>
        <w:t>Su uso ha de describirse en un sistema de evaluación en el que se detallen las situaciones en que puede utilizarse y cuándo debe complementarse con la observación fenotípica.</w:t>
      </w:r>
    </w:p>
    <w:p w:rsidR="00095775" w:rsidRDefault="00095775" w:rsidP="006D4EAD">
      <w:pPr>
        <w:rPr>
          <w:rFonts w:eastAsia="Cambria"/>
        </w:rPr>
      </w:pPr>
    </w:p>
    <w:p w:rsidR="00095775" w:rsidRDefault="008859E5" w:rsidP="006D4EAD">
      <w:pPr>
        <w:rPr>
          <w:rFonts w:eastAsia="Cambria"/>
        </w:rPr>
      </w:pPr>
      <w:r w:rsidRPr="008859E5">
        <w:rPr>
          <w:rFonts w:eastAsia="Cambria"/>
        </w:rPr>
        <w:t>Ejemplos de tales caracteres:</w:t>
      </w:r>
      <w:r w:rsidR="006D4EAD" w:rsidRPr="00025F1B">
        <w:rPr>
          <w:rFonts w:eastAsia="Cambria"/>
        </w:rPr>
        <w:t xml:space="preserve"> </w:t>
      </w:r>
      <w:r w:rsidRPr="008859E5">
        <w:rPr>
          <w:rFonts w:eastAsia="Cambria"/>
        </w:rPr>
        <w:t>resistencia cuantitativa a enfermedades en plantas hortícolas, por ejemplo:</w:t>
      </w:r>
    </w:p>
    <w:p w:rsidR="00095775" w:rsidRDefault="006D4EAD" w:rsidP="006D4EAD">
      <w:pPr>
        <w:ind w:left="567"/>
        <w:rPr>
          <w:rFonts w:eastAsia="Cambria"/>
        </w:rPr>
      </w:pPr>
      <w:r w:rsidRPr="00025F1B">
        <w:rPr>
          <w:rFonts w:eastAsia="Cambria"/>
        </w:rPr>
        <w:t xml:space="preserve">- </w:t>
      </w:r>
      <w:r w:rsidR="008859E5" w:rsidRPr="008859E5">
        <w:rPr>
          <w:rFonts w:eastAsia="Cambria"/>
        </w:rPr>
        <w:t>el virus del mosaico del tomate (</w:t>
      </w:r>
      <w:proofErr w:type="spellStart"/>
      <w:r w:rsidR="008859E5" w:rsidRPr="008859E5">
        <w:rPr>
          <w:rFonts w:eastAsia="Cambria"/>
        </w:rPr>
        <w:t>ToMV</w:t>
      </w:r>
      <w:proofErr w:type="spellEnd"/>
      <w:r w:rsidR="008859E5" w:rsidRPr="008859E5">
        <w:rPr>
          <w:rFonts w:eastAsia="Cambria"/>
        </w:rPr>
        <w:t>);</w:t>
      </w:r>
    </w:p>
    <w:p w:rsidR="00095775" w:rsidRDefault="006D4EAD" w:rsidP="006D4EAD">
      <w:pPr>
        <w:ind w:left="567"/>
        <w:rPr>
          <w:rFonts w:eastAsia="Cambria"/>
        </w:rPr>
      </w:pPr>
      <w:r w:rsidRPr="00025F1B">
        <w:rPr>
          <w:rFonts w:eastAsia="Cambria"/>
        </w:rPr>
        <w:t xml:space="preserve">- </w:t>
      </w:r>
      <w:r w:rsidR="008859E5" w:rsidRPr="008859E5">
        <w:rPr>
          <w:rFonts w:eastAsia="Cambria"/>
        </w:rPr>
        <w:t>el virus del bronceado del tomate (TSWV).</w:t>
      </w:r>
    </w:p>
    <w:p w:rsidR="00095775" w:rsidRDefault="00095775" w:rsidP="006D4EAD">
      <w:pPr>
        <w:rPr>
          <w:rFonts w:eastAsia="Cambria"/>
        </w:rPr>
      </w:pPr>
    </w:p>
    <w:p w:rsidR="00095775" w:rsidRDefault="00E313E0" w:rsidP="006D4EAD">
      <w:pPr>
        <w:rPr>
          <w:rFonts w:eastAsia="Cambria"/>
        </w:rPr>
      </w:pPr>
      <w:r w:rsidRPr="00E313E0">
        <w:rPr>
          <w:rFonts w:eastAsia="Cambria"/>
        </w:rPr>
        <w:t xml:space="preserve">En los protocolos técnicos de la OCVV para el tomate (4.4-2) y el </w:t>
      </w:r>
      <w:proofErr w:type="spellStart"/>
      <w:r w:rsidRPr="00E313E0">
        <w:rPr>
          <w:rFonts w:eastAsia="Cambria"/>
        </w:rPr>
        <w:t>portainjertos</w:t>
      </w:r>
      <w:proofErr w:type="spellEnd"/>
      <w:r w:rsidRPr="00E313E0">
        <w:rPr>
          <w:rFonts w:eastAsia="Cambria"/>
        </w:rPr>
        <w:t xml:space="preserve"> de tomate (1.4) se han incluido los dos conjuntos de marcadores </w:t>
      </w:r>
      <w:proofErr w:type="spellStart"/>
      <w:r w:rsidRPr="00E313E0">
        <w:rPr>
          <w:rFonts w:eastAsia="Cambria"/>
        </w:rPr>
        <w:t>codominantes</w:t>
      </w:r>
      <w:proofErr w:type="spellEnd"/>
      <w:r w:rsidRPr="00E313E0">
        <w:rPr>
          <w:rFonts w:eastAsia="Cambria"/>
        </w:rPr>
        <w:t xml:space="preserve"> desarrollados para estos dos virus del tomate como posible alternativa a los bioensayos en determinados casos.</w:t>
      </w:r>
    </w:p>
    <w:p w:rsidR="00095775" w:rsidRDefault="00E313E0" w:rsidP="00E313E0">
      <w:pPr>
        <w:keepNext/>
        <w:numPr>
          <w:ilvl w:val="1"/>
          <w:numId w:val="1"/>
        </w:numPr>
        <w:suppressAutoHyphens/>
        <w:spacing w:before="360" w:after="240" w:line="260" w:lineRule="auto"/>
        <w:jc w:val="left"/>
        <w:outlineLvl w:val="1"/>
        <w:rPr>
          <w:rFonts w:cs="Arial"/>
          <w:spacing w:val="-3"/>
          <w:kern w:val="32"/>
        </w:rPr>
      </w:pPr>
      <w:bookmarkStart w:id="31" w:name="_Toc116635421"/>
      <w:r w:rsidRPr="00E313E0">
        <w:rPr>
          <w:rFonts w:cs="Arial"/>
          <w:spacing w:val="-3"/>
          <w:kern w:val="32"/>
        </w:rPr>
        <w:t>Gestión de las colecciones de variedades</w:t>
      </w:r>
      <w:bookmarkEnd w:id="31"/>
    </w:p>
    <w:p w:rsidR="00095775" w:rsidRDefault="00E313E0" w:rsidP="00E313E0">
      <w:pPr>
        <w:keepNext/>
        <w:numPr>
          <w:ilvl w:val="2"/>
          <w:numId w:val="1"/>
        </w:numPr>
        <w:suppressAutoHyphens/>
        <w:spacing w:before="360" w:after="240" w:line="260" w:lineRule="auto"/>
        <w:jc w:val="left"/>
        <w:outlineLvl w:val="2"/>
        <w:rPr>
          <w:rFonts w:eastAsia="Cambria" w:cs="Arial"/>
          <w:bCs/>
          <w:spacing w:val="-3"/>
        </w:rPr>
      </w:pPr>
      <w:bookmarkStart w:id="32" w:name="_Toc116635422"/>
      <w:r w:rsidRPr="00E313E0">
        <w:rPr>
          <w:rFonts w:eastAsia="Cambria" w:cs="Arial"/>
          <w:bCs/>
          <w:spacing w:val="-3"/>
        </w:rPr>
        <w:t>Combinación de umbrales moleculares y fenotípicos para excluir variedades con “distinción calificada” a partir del segundo ensayo en cultivo</w:t>
      </w:r>
      <w:bookmarkEnd w:id="32"/>
    </w:p>
    <w:p w:rsidR="00095775" w:rsidRDefault="00736A0A" w:rsidP="006D4EAD">
      <w:pPr>
        <w:rPr>
          <w:rFonts w:eastAsia="Cambria"/>
        </w:rPr>
      </w:pPr>
      <w:r w:rsidRPr="00736A0A">
        <w:rPr>
          <w:rFonts w:eastAsia="Cambria"/>
        </w:rPr>
        <w:t>En este modelo, se establecen dos umbrales independientes para seleccionar las variedades similares que se incluirán en el ensayo en cultivo.</w:t>
      </w:r>
      <w:r w:rsidR="006D4EAD" w:rsidRPr="00025F1B">
        <w:rPr>
          <w:rFonts w:eastAsia="Cambria"/>
        </w:rPr>
        <w:t xml:space="preserve"> </w:t>
      </w:r>
      <w:r w:rsidRPr="00736A0A">
        <w:rPr>
          <w:rFonts w:eastAsia="Cambria"/>
        </w:rPr>
        <w:t>El primer umbral se basa en la información de los caracteres morfológicos y el segundo se basa en la distancia genética calculada a partir de un conjunto de marcadores distribuidos por todo el genoma.</w:t>
      </w:r>
      <w:r w:rsidR="006D4EAD" w:rsidRPr="00025F1B">
        <w:rPr>
          <w:rFonts w:eastAsia="Cambria"/>
        </w:rPr>
        <w:t xml:space="preserve"> </w:t>
      </w:r>
      <w:r w:rsidRPr="00736A0A">
        <w:rPr>
          <w:rFonts w:eastAsia="Cambria"/>
        </w:rPr>
        <w:t>Salvo si se trata de variedades muy similares desde el punto de vista morfológico, no es necesario incluir en el ensayo en cultivo aquellas variedades de referencia que superen los dos umbrales (se consideran variedades con distinción “calificada” (o “plus”)).</w:t>
      </w:r>
    </w:p>
    <w:p w:rsidR="00095775" w:rsidRDefault="00095775" w:rsidP="006D4EAD">
      <w:pPr>
        <w:rPr>
          <w:rFonts w:eastAsia="Cambria"/>
        </w:rPr>
      </w:pPr>
    </w:p>
    <w:p w:rsidR="00095775" w:rsidRDefault="00736A0A" w:rsidP="006D4EAD">
      <w:pPr>
        <w:rPr>
          <w:rFonts w:eastAsia="Cambria"/>
        </w:rPr>
      </w:pPr>
      <w:r w:rsidRPr="00736A0A">
        <w:rPr>
          <w:rFonts w:eastAsia="Cambria"/>
        </w:rPr>
        <w:t>Algunas oficinas encargadas del examen aplican sistemáticamente este modelo con especies como el maíz, la lechuga, el trigo y la cebada, y actualmente se está ensayando con la colza oleaginosa en proyectos de I+D cofinanciados por la OCVV.</w:t>
      </w:r>
    </w:p>
    <w:p w:rsidR="00095775" w:rsidRDefault="00736A0A" w:rsidP="00736A0A">
      <w:pPr>
        <w:keepNext/>
        <w:numPr>
          <w:ilvl w:val="2"/>
          <w:numId w:val="1"/>
        </w:numPr>
        <w:suppressAutoHyphens/>
        <w:spacing w:before="360" w:after="240" w:line="260" w:lineRule="auto"/>
        <w:jc w:val="left"/>
        <w:outlineLvl w:val="2"/>
        <w:rPr>
          <w:rFonts w:eastAsia="Cambria" w:cs="Arial"/>
          <w:bCs/>
          <w:spacing w:val="-3"/>
        </w:rPr>
      </w:pPr>
      <w:bookmarkStart w:id="33" w:name="_Toc116635423"/>
      <w:r w:rsidRPr="00736A0A">
        <w:rPr>
          <w:rFonts w:eastAsia="Cambria" w:cs="Arial"/>
          <w:bCs/>
          <w:spacing w:val="-3"/>
        </w:rPr>
        <w:t>Selección genética de variedades similares para el primer ciclo de cultivo</w:t>
      </w:r>
      <w:bookmarkEnd w:id="33"/>
    </w:p>
    <w:p w:rsidR="00095775" w:rsidRDefault="00736A0A" w:rsidP="006D4EAD">
      <w:pPr>
        <w:rPr>
          <w:rFonts w:eastAsia="Cambria"/>
        </w:rPr>
      </w:pPr>
      <w:r w:rsidRPr="00736A0A">
        <w:rPr>
          <w:rFonts w:eastAsia="Cambria"/>
        </w:rPr>
        <w:t>Se determina el genotipo de la variedad candidata a partir de un conjunto predefinido de marcadores y se compara su perfil con el de las variedades de la colección de referencia.</w:t>
      </w:r>
      <w:r w:rsidR="006D4EAD" w:rsidRPr="00025F1B">
        <w:rPr>
          <w:rFonts w:eastAsia="Cambria"/>
        </w:rPr>
        <w:t xml:space="preserve"> </w:t>
      </w:r>
      <w:r w:rsidRPr="00736A0A">
        <w:rPr>
          <w:rFonts w:eastAsia="Cambria"/>
        </w:rPr>
        <w:t>En el primer ciclo de cultivo se incluyen todas las variedades de referencia que presenten respecto de la variedad candidata una similitud genética superior a un porcentaje determinado (por ejemplo, 80%) y todas las demás se excluyen.</w:t>
      </w:r>
    </w:p>
    <w:p w:rsidR="00095775" w:rsidRDefault="00095775" w:rsidP="006D4EAD">
      <w:pPr>
        <w:rPr>
          <w:rFonts w:eastAsia="Cambria"/>
        </w:rPr>
      </w:pPr>
    </w:p>
    <w:p w:rsidR="00095775" w:rsidRDefault="00CB077B" w:rsidP="006D4EAD">
      <w:pPr>
        <w:rPr>
          <w:rFonts w:eastAsia="Cambria"/>
        </w:rPr>
      </w:pPr>
      <w:r w:rsidRPr="00CB077B">
        <w:rPr>
          <w:rFonts w:eastAsia="Cambria"/>
        </w:rPr>
        <w:t>En el primer ciclo se evalúa la homogeneidad de la variedad candidata y se describe esta desde el punto de vista morfológico conforme al protocolo técnico.</w:t>
      </w:r>
      <w:r w:rsidR="006D4EAD" w:rsidRPr="00025F1B">
        <w:rPr>
          <w:rFonts w:eastAsia="Cambria"/>
        </w:rPr>
        <w:t xml:space="preserve"> </w:t>
      </w:r>
      <w:r w:rsidRPr="00CB077B">
        <w:rPr>
          <w:rFonts w:eastAsia="Cambria"/>
        </w:rPr>
        <w:t>A continuación, por medios informáticos, se compara su descripción morfológica con las descripciones de todas las variedades de referencia.</w:t>
      </w:r>
    </w:p>
    <w:p w:rsidR="00095775" w:rsidRDefault="00095775" w:rsidP="006D4EAD">
      <w:pPr>
        <w:rPr>
          <w:rFonts w:eastAsia="Cambria"/>
        </w:rPr>
      </w:pPr>
    </w:p>
    <w:p w:rsidR="00095775" w:rsidRDefault="00CB077B" w:rsidP="006D4EAD">
      <w:pPr>
        <w:rPr>
          <w:rFonts w:eastAsia="Cambria"/>
          <w:i/>
          <w:sz w:val="16"/>
        </w:rPr>
      </w:pPr>
      <w:r w:rsidRPr="00CB077B">
        <w:rPr>
          <w:rFonts w:eastAsia="Cambria"/>
          <w:i/>
          <w:sz w:val="16"/>
        </w:rPr>
        <w:t>Observación:</w:t>
      </w:r>
      <w:r w:rsidR="006D4EAD" w:rsidRPr="00025F1B">
        <w:rPr>
          <w:rFonts w:eastAsia="Cambria"/>
          <w:i/>
          <w:sz w:val="16"/>
        </w:rPr>
        <w:t xml:space="preserve"> </w:t>
      </w:r>
      <w:r w:rsidRPr="00CB077B">
        <w:rPr>
          <w:rFonts w:eastAsia="Cambria"/>
          <w:i/>
          <w:sz w:val="16"/>
        </w:rPr>
        <w:t>las descripciones morfológicas de las variedades de referencia utilizadas para la comparación informática deberán basarse en las observaciones realizadas por la oficina de examen (descripciones de variedades de elaboración propia).</w:t>
      </w:r>
      <w:r w:rsidR="006D4EAD" w:rsidRPr="00025F1B">
        <w:rPr>
          <w:rFonts w:eastAsia="Cambria"/>
          <w:i/>
          <w:sz w:val="16"/>
        </w:rPr>
        <w:t xml:space="preserve"> </w:t>
      </w:r>
      <w:r w:rsidRPr="00CB077B">
        <w:rPr>
          <w:rFonts w:eastAsia="Cambria"/>
          <w:i/>
          <w:sz w:val="16"/>
        </w:rPr>
        <w:t>Si las descripciones de variedades no son de elaboración propia, solo se podrán utilizar si se han armonizado (por ejemplo, mediante pruebas de comparación (</w:t>
      </w:r>
      <w:r w:rsidRPr="00CB077B">
        <w:rPr>
          <w:rFonts w:eastAsia="Cambria"/>
          <w:sz w:val="16"/>
        </w:rPr>
        <w:t xml:space="preserve">ring </w:t>
      </w:r>
      <w:proofErr w:type="spellStart"/>
      <w:r w:rsidRPr="00CB077B">
        <w:rPr>
          <w:rFonts w:eastAsia="Cambria"/>
          <w:sz w:val="16"/>
        </w:rPr>
        <w:t>tests</w:t>
      </w:r>
      <w:proofErr w:type="spellEnd"/>
      <w:r w:rsidRPr="00CB077B">
        <w:rPr>
          <w:rFonts w:eastAsia="Cambria"/>
          <w:i/>
          <w:sz w:val="16"/>
        </w:rPr>
        <w:t>)) las escalas de notación de las oficinas de examen que hayan generado las descripciones y las de las oficinas que las utilicen.</w:t>
      </w:r>
    </w:p>
    <w:p w:rsidR="00095775" w:rsidRDefault="00095775" w:rsidP="006D4EAD">
      <w:pPr>
        <w:rPr>
          <w:rFonts w:eastAsia="Cambria"/>
        </w:rPr>
      </w:pPr>
    </w:p>
    <w:p w:rsidR="00095775" w:rsidRDefault="00CB077B" w:rsidP="006D4EAD">
      <w:pPr>
        <w:rPr>
          <w:rFonts w:eastAsia="Cambria"/>
        </w:rPr>
      </w:pPr>
      <w:r w:rsidRPr="00CB077B">
        <w:rPr>
          <w:rFonts w:eastAsia="Cambria"/>
        </w:rPr>
        <w:t>Las variedades de referencia que resulten similares desde el punto de vista morfológico a la variedad candidata se incluirán en un segundo ensayo en cultivo para su comparación.</w:t>
      </w:r>
      <w:r w:rsidR="006D4EAD" w:rsidRPr="00025F1B">
        <w:rPr>
          <w:rFonts w:eastAsia="Cambria"/>
        </w:rPr>
        <w:t xml:space="preserve"> </w:t>
      </w:r>
      <w:r w:rsidR="0053352E" w:rsidRPr="00B1381B">
        <w:rPr>
          <w:rFonts w:eastAsia="Cambria"/>
        </w:rPr>
        <w:t>Si la variedad es claramente distinta de las variedades similares en el primer ciclo de cultivo y después de este no se detectan variedades similares con arreglo a la descripción de la variedad, se puede adoptar una decisión favorable respecto de la distinción tras un solo ciclo de cultivo.</w:t>
      </w:r>
    </w:p>
    <w:p w:rsidR="00095775" w:rsidRDefault="00095775" w:rsidP="006D4EAD">
      <w:pPr>
        <w:rPr>
          <w:rFonts w:eastAsia="Cambria"/>
        </w:rPr>
      </w:pPr>
    </w:p>
    <w:p w:rsidR="00095775" w:rsidRDefault="00B1381B" w:rsidP="006D4EAD">
      <w:pPr>
        <w:rPr>
          <w:rFonts w:eastAsia="Cambria"/>
        </w:rPr>
      </w:pPr>
      <w:r w:rsidRPr="00B1381B">
        <w:rPr>
          <w:rFonts w:eastAsia="Cambria"/>
        </w:rPr>
        <w:t>Este es el modelo que aplican algunas oficinas encargadas del examen con especies como la judía común/alubia y la papa/patata.</w:t>
      </w:r>
      <w:r w:rsidR="006D4EAD" w:rsidRPr="00025F1B">
        <w:rPr>
          <w:rFonts w:eastAsia="Cambria"/>
        </w:rPr>
        <w:t xml:space="preserve"> </w:t>
      </w:r>
      <w:r w:rsidRPr="00B1381B">
        <w:rPr>
          <w:rFonts w:eastAsia="Cambria"/>
        </w:rPr>
        <w:t>Actualmente se está ensayando con el trigo duro y se va a ensayar con el tomate y el cáñamo en proyectos de I+D cofinanciados por la OCVV.</w:t>
      </w:r>
    </w:p>
    <w:p w:rsidR="00095775" w:rsidRDefault="00095775" w:rsidP="006D4EAD">
      <w:pPr>
        <w:rPr>
          <w:rFonts w:eastAsia="Cambria"/>
        </w:rPr>
      </w:pPr>
    </w:p>
    <w:p w:rsidR="00095775" w:rsidRDefault="00B1381B" w:rsidP="006D4EAD">
      <w:pPr>
        <w:rPr>
          <w:rFonts w:eastAsia="Cambria"/>
        </w:rPr>
      </w:pPr>
      <w:r w:rsidRPr="00B1381B">
        <w:rPr>
          <w:rFonts w:eastAsia="Cambria"/>
        </w:rPr>
        <w:t>Los métodos son evaluados por grupos de expertos en cultivos de la OCVV.</w:t>
      </w:r>
    </w:p>
    <w:p w:rsidR="00095775" w:rsidRDefault="00B1381B" w:rsidP="00B1381B">
      <w:pPr>
        <w:keepNext/>
        <w:numPr>
          <w:ilvl w:val="1"/>
          <w:numId w:val="1"/>
        </w:numPr>
        <w:suppressAutoHyphens/>
        <w:spacing w:before="360" w:after="240" w:line="260" w:lineRule="auto"/>
        <w:jc w:val="left"/>
        <w:outlineLvl w:val="1"/>
        <w:rPr>
          <w:rFonts w:cs="Arial"/>
          <w:spacing w:val="-3"/>
          <w:kern w:val="32"/>
        </w:rPr>
      </w:pPr>
      <w:bookmarkStart w:id="34" w:name="_Toc116635424"/>
      <w:r w:rsidRPr="00B1381B">
        <w:rPr>
          <w:rFonts w:cs="Arial"/>
          <w:spacing w:val="-3"/>
          <w:kern w:val="32"/>
        </w:rPr>
        <w:t>Otros usos</w:t>
      </w:r>
      <w:bookmarkEnd w:id="34"/>
    </w:p>
    <w:p w:rsidR="00095775" w:rsidRDefault="00A157BB" w:rsidP="00A157BB">
      <w:pPr>
        <w:keepNext/>
        <w:numPr>
          <w:ilvl w:val="2"/>
          <w:numId w:val="1"/>
        </w:numPr>
        <w:suppressAutoHyphens/>
        <w:spacing w:before="360" w:after="240" w:line="260" w:lineRule="auto"/>
        <w:jc w:val="left"/>
        <w:outlineLvl w:val="2"/>
        <w:rPr>
          <w:rFonts w:eastAsia="Cambria" w:cs="Arial"/>
          <w:bCs/>
          <w:spacing w:val="-3"/>
        </w:rPr>
      </w:pPr>
      <w:bookmarkStart w:id="35" w:name="_Toc116635425"/>
      <w:r w:rsidRPr="00A157BB">
        <w:rPr>
          <w:rFonts w:eastAsia="Cambria" w:cs="Arial"/>
          <w:bCs/>
          <w:spacing w:val="-3"/>
        </w:rPr>
        <w:t>Identificación a efectos del mantenimiento de las colecciones de variedades</w:t>
      </w:r>
      <w:bookmarkEnd w:id="35"/>
    </w:p>
    <w:p w:rsidR="00095775" w:rsidRDefault="00A157BB" w:rsidP="006D4EAD">
      <w:pPr>
        <w:rPr>
          <w:rFonts w:eastAsia="Cambria"/>
        </w:rPr>
      </w:pPr>
      <w:r w:rsidRPr="00A157BB">
        <w:rPr>
          <w:rFonts w:eastAsia="Cambria"/>
        </w:rPr>
        <w:t>Todos los marcadores moleculares mencionados en los ejemplos precedentes se pueden utilizar con fines de identificación como ayuda para el mantenimiento de las colecciones de variedades de referencia.</w:t>
      </w:r>
    </w:p>
    <w:p w:rsidR="00095775" w:rsidRDefault="00095775" w:rsidP="006D4EAD">
      <w:pPr>
        <w:rPr>
          <w:rFonts w:eastAsia="Cambria"/>
        </w:rPr>
      </w:pPr>
    </w:p>
    <w:p w:rsidR="00095775" w:rsidRDefault="00A157BB" w:rsidP="006D4EAD">
      <w:pPr>
        <w:rPr>
          <w:rFonts w:eastAsia="Cambria"/>
        </w:rPr>
      </w:pPr>
      <w:r w:rsidRPr="00A157BB">
        <w:rPr>
          <w:rFonts w:eastAsia="Cambria"/>
        </w:rPr>
        <w:t>Asimismo, algunas oficinas encargadas del examen pueden utilizar otros conjuntos de marcadores moleculares con fines de identificación en especies como el rosal, el cerezo, el duraznero/melocotonero, la vid, los cítricos… Esos conjuntos de marcadores pueden estar armonizados entre las oficinas encargadas del examen (por ejemplo, la papa/patata gracias a un proyecto apoyado por la OCVV) o no.</w:t>
      </w:r>
    </w:p>
    <w:p w:rsidR="00095775" w:rsidRDefault="00A157BB" w:rsidP="00A157BB">
      <w:pPr>
        <w:keepNext/>
        <w:numPr>
          <w:ilvl w:val="2"/>
          <w:numId w:val="1"/>
        </w:numPr>
        <w:suppressAutoHyphens/>
        <w:spacing w:before="360" w:after="240" w:line="260" w:lineRule="auto"/>
        <w:jc w:val="left"/>
        <w:outlineLvl w:val="2"/>
        <w:rPr>
          <w:rFonts w:eastAsia="Cambria" w:cs="Arial"/>
          <w:bCs/>
          <w:spacing w:val="-3"/>
        </w:rPr>
      </w:pPr>
      <w:bookmarkStart w:id="36" w:name="_Toc116635426"/>
      <w:r w:rsidRPr="00A157BB">
        <w:rPr>
          <w:rFonts w:eastAsia="Cambria" w:cs="Arial"/>
          <w:bCs/>
          <w:spacing w:val="-3"/>
        </w:rPr>
        <w:t>Detección de organismos modificados genéticamente (conforme a la Directiva 2001/18/CE)</w:t>
      </w:r>
      <w:bookmarkEnd w:id="36"/>
    </w:p>
    <w:p w:rsidR="00095775" w:rsidRDefault="00A157BB" w:rsidP="006D4EAD">
      <w:pPr>
        <w:rPr>
          <w:rFonts w:eastAsia="Cambria"/>
        </w:rPr>
      </w:pPr>
      <w:r w:rsidRPr="00A157BB">
        <w:rPr>
          <w:rFonts w:eastAsia="Cambria"/>
        </w:rPr>
        <w:t xml:space="preserve">En determinados casos, las oficinas encargadas del examen utilizan marcadores para detectar variedades producidas con la ayuda de técnicas de transgénesis o </w:t>
      </w:r>
      <w:proofErr w:type="spellStart"/>
      <w:r w:rsidRPr="00A157BB">
        <w:rPr>
          <w:rFonts w:eastAsia="Cambria"/>
        </w:rPr>
        <w:t>mutagénesis</w:t>
      </w:r>
      <w:proofErr w:type="spellEnd"/>
      <w:r w:rsidRPr="00A157BB">
        <w:rPr>
          <w:rFonts w:eastAsia="Cambria"/>
        </w:rPr>
        <w:t xml:space="preserve"> dirigida, con objeto de:</w:t>
      </w:r>
    </w:p>
    <w:p w:rsidR="00095775" w:rsidRDefault="006D4EAD" w:rsidP="006D4EAD">
      <w:pPr>
        <w:ind w:left="567"/>
        <w:rPr>
          <w:rFonts w:eastAsia="Cambria"/>
        </w:rPr>
      </w:pPr>
      <w:r w:rsidRPr="00025F1B">
        <w:rPr>
          <w:rFonts w:eastAsia="Cambria"/>
        </w:rPr>
        <w:t xml:space="preserve">- </w:t>
      </w:r>
      <w:r w:rsidR="00A157BB" w:rsidRPr="00A157BB">
        <w:rPr>
          <w:rFonts w:eastAsia="Cambria"/>
        </w:rPr>
        <w:t xml:space="preserve">confirmar la presencia de una transformación genética declarada (inserción de </w:t>
      </w:r>
      <w:proofErr w:type="spellStart"/>
      <w:r w:rsidR="00A157BB" w:rsidRPr="00A157BB">
        <w:rPr>
          <w:rFonts w:eastAsia="Cambria"/>
        </w:rPr>
        <w:t>transgenes</w:t>
      </w:r>
      <w:proofErr w:type="spellEnd"/>
      <w:r w:rsidR="00A157BB" w:rsidRPr="00A157BB">
        <w:rPr>
          <w:rFonts w:eastAsia="Cambria"/>
        </w:rPr>
        <w:t xml:space="preserve"> o mutaciones puntuales provocadas mediante técnicas de modificación de genes);</w:t>
      </w:r>
    </w:p>
    <w:p w:rsidR="00095775" w:rsidRDefault="006D4EAD" w:rsidP="006D4EAD">
      <w:pPr>
        <w:ind w:left="567"/>
        <w:rPr>
          <w:rFonts w:eastAsia="Cambria"/>
        </w:rPr>
      </w:pPr>
      <w:r w:rsidRPr="00025F1B">
        <w:rPr>
          <w:rFonts w:eastAsia="Cambria"/>
        </w:rPr>
        <w:t xml:space="preserve">- </w:t>
      </w:r>
      <w:r w:rsidR="00A157BB" w:rsidRPr="00A157BB">
        <w:rPr>
          <w:rFonts w:eastAsia="Cambria"/>
        </w:rPr>
        <w:t>detectar la presencia accidental de semillas modificadas genéticamente en los lotes de referencia presentados.</w:t>
      </w:r>
    </w:p>
    <w:p w:rsidR="00095775" w:rsidRDefault="00095775" w:rsidP="006D4EAD">
      <w:pPr>
        <w:rPr>
          <w:rFonts w:eastAsia="Cambria"/>
        </w:rPr>
      </w:pPr>
    </w:p>
    <w:p w:rsidR="00095775" w:rsidRDefault="00A157BB" w:rsidP="00A157BB">
      <w:pPr>
        <w:suppressAutoHyphens/>
        <w:spacing w:line="260" w:lineRule="auto"/>
        <w:rPr>
          <w:rFonts w:eastAsia="Cambria" w:cs="Arial"/>
          <w:bCs/>
          <w:spacing w:val="-3"/>
          <w:szCs w:val="18"/>
        </w:rPr>
      </w:pPr>
      <w:r w:rsidRPr="00A157BB">
        <w:rPr>
          <w:rFonts w:eastAsia="Cambria" w:cs="Arial"/>
          <w:bCs/>
          <w:spacing w:val="-3"/>
          <w:szCs w:val="18"/>
        </w:rPr>
        <w:t>Conclusiones</w:t>
      </w:r>
    </w:p>
    <w:p w:rsidR="00095775" w:rsidRDefault="00095775" w:rsidP="006D4EAD">
      <w:pPr>
        <w:rPr>
          <w:rFonts w:eastAsia="Cambria"/>
        </w:rPr>
      </w:pPr>
    </w:p>
    <w:p w:rsidR="00095775" w:rsidRDefault="00A157BB" w:rsidP="006D4EAD">
      <w:pPr>
        <w:rPr>
          <w:rFonts w:eastAsia="Cambria"/>
        </w:rPr>
      </w:pPr>
      <w:r w:rsidRPr="00A157BB">
        <w:rPr>
          <w:rFonts w:eastAsia="Cambria"/>
        </w:rPr>
        <w:t>En resumen, cabe decir que, en la actualidad, las oficinas encargadas del examen pertenecientes a la red de la OCVV utilizan, o están desarrollando, múltiples métodos moleculares en apoyo del examen DHE.</w:t>
      </w:r>
    </w:p>
    <w:p w:rsidR="00095775" w:rsidRDefault="00A157BB" w:rsidP="006D4EAD">
      <w:pPr>
        <w:rPr>
          <w:rFonts w:eastAsia="Cambria"/>
        </w:rPr>
      </w:pPr>
      <w:r w:rsidRPr="00A157BB">
        <w:rPr>
          <w:rFonts w:eastAsia="Cambria"/>
        </w:rPr>
        <w:t>Sin embargo, en los protocolos técnicos de la OCVV solo se encuentran descritos oficialmente dos conjuntos de marcadores moleculares ligados a caracteres, sobre la base de la evaluación/validación de los grupos de expertos de la OCVV.</w:t>
      </w:r>
      <w:r w:rsidR="006D4EAD" w:rsidRPr="00025F1B">
        <w:rPr>
          <w:rFonts w:eastAsia="Cambria"/>
        </w:rPr>
        <w:t xml:space="preserve"> </w:t>
      </w:r>
      <w:r w:rsidRPr="00A157BB">
        <w:rPr>
          <w:rFonts w:eastAsia="Cambria"/>
        </w:rPr>
        <w:t>Se trata de marcadores de dominio público.</w:t>
      </w:r>
    </w:p>
    <w:p w:rsidR="00095775" w:rsidRDefault="00A157BB" w:rsidP="006D4EAD">
      <w:pPr>
        <w:rPr>
          <w:rFonts w:eastAsia="Cambria"/>
        </w:rPr>
      </w:pPr>
      <w:r w:rsidRPr="00A157BB">
        <w:rPr>
          <w:rFonts w:eastAsia="Cambria"/>
        </w:rPr>
        <w:t>Por consiguiente, corresponde a las oficinas encargadas del examen describir los instrumentos moleculares que utilizan en relación con la política de la OCVV sobre los métodos relativos a las colecciones de variedades de referencia.</w:t>
      </w:r>
    </w:p>
    <w:p w:rsidR="00095775" w:rsidRDefault="00095775" w:rsidP="006D4EAD">
      <w:pPr>
        <w:rPr>
          <w:rFonts w:eastAsia="Cambria"/>
        </w:rPr>
      </w:pPr>
    </w:p>
    <w:p w:rsidR="00095775" w:rsidRDefault="00095775" w:rsidP="006D4EAD">
      <w:pPr>
        <w:jc w:val="left"/>
      </w:pPr>
    </w:p>
    <w:p w:rsidR="00095775" w:rsidRDefault="00095775" w:rsidP="006D4EAD"/>
    <w:p w:rsidR="00050E16" w:rsidRPr="00B17B1A" w:rsidRDefault="006D4EAD" w:rsidP="006D4EAD">
      <w:pPr>
        <w:jc w:val="right"/>
      </w:pPr>
      <w:r w:rsidRPr="00B17B1A">
        <w:t>[Fin del Apéndice y del documento]</w:t>
      </w:r>
    </w:p>
    <w:sectPr w:rsidR="00050E16" w:rsidRPr="00B17B1A" w:rsidSect="006D4EA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2E" w:rsidRDefault="0053352E" w:rsidP="006655D3">
      <w:r>
        <w:separator/>
      </w:r>
    </w:p>
    <w:p w:rsidR="0053352E" w:rsidRDefault="0053352E" w:rsidP="006655D3"/>
    <w:p w:rsidR="0053352E" w:rsidRDefault="0053352E" w:rsidP="006655D3"/>
  </w:endnote>
  <w:endnote w:type="continuationSeparator" w:id="0">
    <w:p w:rsidR="0053352E" w:rsidRDefault="0053352E" w:rsidP="006655D3">
      <w:r>
        <w:separator/>
      </w:r>
    </w:p>
    <w:p w:rsidR="0053352E" w:rsidRPr="00294751" w:rsidRDefault="0053352E">
      <w:pPr>
        <w:pStyle w:val="Footer"/>
        <w:spacing w:after="60"/>
        <w:rPr>
          <w:sz w:val="18"/>
          <w:lang w:val="fr-FR"/>
        </w:rPr>
      </w:pPr>
      <w:r w:rsidRPr="00294751">
        <w:rPr>
          <w:sz w:val="18"/>
          <w:lang w:val="fr-FR"/>
        </w:rPr>
        <w:t>[Suite de la note de la page précédente]</w:t>
      </w:r>
    </w:p>
    <w:p w:rsidR="0053352E" w:rsidRPr="00294751" w:rsidRDefault="0053352E" w:rsidP="006655D3">
      <w:pPr>
        <w:rPr>
          <w:lang w:val="fr-FR"/>
        </w:rPr>
      </w:pPr>
    </w:p>
    <w:p w:rsidR="0053352E" w:rsidRPr="00294751" w:rsidRDefault="0053352E" w:rsidP="006655D3">
      <w:pPr>
        <w:rPr>
          <w:lang w:val="fr-FR"/>
        </w:rPr>
      </w:pPr>
    </w:p>
  </w:endnote>
  <w:endnote w:type="continuationNotice" w:id="1">
    <w:p w:rsidR="0053352E" w:rsidRPr="00294751" w:rsidRDefault="0053352E" w:rsidP="006655D3">
      <w:pPr>
        <w:rPr>
          <w:lang w:val="fr-FR"/>
        </w:rPr>
      </w:pPr>
      <w:r w:rsidRPr="00294751">
        <w:rPr>
          <w:lang w:val="fr-FR"/>
        </w:rPr>
        <w:t>[Suite de la note page suivante]</w:t>
      </w:r>
    </w:p>
    <w:p w:rsidR="0053352E" w:rsidRPr="00294751" w:rsidRDefault="0053352E" w:rsidP="006655D3">
      <w:pPr>
        <w:rPr>
          <w:lang w:val="fr-FR"/>
        </w:rPr>
      </w:pPr>
    </w:p>
    <w:p w:rsidR="0053352E" w:rsidRPr="00294751" w:rsidRDefault="005335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2E" w:rsidRDefault="0053352E" w:rsidP="006655D3">
      <w:r>
        <w:separator/>
      </w:r>
    </w:p>
  </w:footnote>
  <w:footnote w:type="continuationSeparator" w:id="0">
    <w:p w:rsidR="0053352E" w:rsidRDefault="0053352E" w:rsidP="006655D3">
      <w:r>
        <w:separator/>
      </w:r>
    </w:p>
  </w:footnote>
  <w:footnote w:type="continuationNotice" w:id="1">
    <w:p w:rsidR="0053352E" w:rsidRPr="00AB530F" w:rsidRDefault="0053352E" w:rsidP="00AB530F">
      <w:pPr>
        <w:pStyle w:val="Footer"/>
      </w:pPr>
    </w:p>
  </w:footnote>
  <w:footnote w:id="2">
    <w:p w:rsidR="0053352E" w:rsidRDefault="0053352E" w:rsidP="006D4EAD">
      <w:pPr>
        <w:pStyle w:val="FootnoteText"/>
      </w:pPr>
      <w:r>
        <w:rPr>
          <w:rStyle w:val="FootnoteReference"/>
        </w:rPr>
        <w:footnoteRef/>
      </w:r>
      <w:r>
        <w:t xml:space="preserve"> </w:t>
      </w:r>
      <w:r w:rsidRPr="00E348A3">
        <w:rPr>
          <w:rFonts w:eastAsiaTheme="minorEastAsia"/>
          <w:lang w:eastAsia="ja-JP"/>
        </w:rPr>
        <w:t>Celebrada en Ginebra los días 29 y 30 de octubre de 2018.</w:t>
      </w:r>
    </w:p>
  </w:footnote>
  <w:footnote w:id="3">
    <w:p w:rsidR="0053352E" w:rsidRPr="0067537F" w:rsidRDefault="0053352E" w:rsidP="006D4EAD">
      <w:pPr>
        <w:pStyle w:val="FootnoteText"/>
      </w:pPr>
      <w:r w:rsidRPr="0067537F">
        <w:rPr>
          <w:rStyle w:val="FootnoteReference"/>
        </w:rPr>
        <w:footnoteRef/>
      </w:r>
      <w:r w:rsidRPr="0067537F">
        <w:t xml:space="preserve"> </w:t>
      </w:r>
      <w:r w:rsidRPr="00627A39">
        <w:t>En su quincuagésima sexta sesión, celebrada por medios electrónicos del 18 al 22 de abril de 2022.</w:t>
      </w:r>
    </w:p>
  </w:footnote>
  <w:footnote w:id="4">
    <w:p w:rsidR="0053352E" w:rsidRPr="0067537F" w:rsidRDefault="0053352E" w:rsidP="006D4EAD">
      <w:pPr>
        <w:pStyle w:val="FootnoteText"/>
        <w:rPr>
          <w:highlight w:val="cyan"/>
        </w:rPr>
      </w:pPr>
      <w:r w:rsidRPr="0067537F">
        <w:rPr>
          <w:rStyle w:val="FootnoteReference"/>
        </w:rPr>
        <w:footnoteRef/>
      </w:r>
      <w:r w:rsidRPr="0067537F">
        <w:t xml:space="preserve"> </w:t>
      </w:r>
      <w:r w:rsidRPr="00627A39">
        <w:t>En su quincuagésima primera sesión, organizada por el Reino Unido y celebrada por medios electrónicos del 23 al 27 de mayo de 2022.</w:t>
      </w:r>
    </w:p>
  </w:footnote>
  <w:footnote w:id="5">
    <w:p w:rsidR="0053352E" w:rsidRPr="0067537F" w:rsidRDefault="0053352E" w:rsidP="006D4EAD">
      <w:pPr>
        <w:pStyle w:val="FootnoteText"/>
        <w:rPr>
          <w:highlight w:val="cyan"/>
        </w:rPr>
      </w:pPr>
      <w:r w:rsidRPr="00D27BB4">
        <w:rPr>
          <w:rStyle w:val="FootnoteReference"/>
        </w:rPr>
        <w:footnoteRef/>
      </w:r>
      <w:r w:rsidRPr="00D27BB4">
        <w:t xml:space="preserve"> </w:t>
      </w:r>
      <w:r w:rsidRPr="00C46447">
        <w:t>En su quincuagésima cuarta sesión, organizada por Alemania y celebrada por medios electrónicos del 13 al 17 de junio de 2022.</w:t>
      </w:r>
    </w:p>
  </w:footnote>
  <w:footnote w:id="6">
    <w:p w:rsidR="0053352E" w:rsidRDefault="0053352E" w:rsidP="006D4EAD">
      <w:pPr>
        <w:pStyle w:val="FootnoteText"/>
      </w:pPr>
      <w:r w:rsidRPr="00D27BB4">
        <w:rPr>
          <w:rStyle w:val="FootnoteReference"/>
        </w:rPr>
        <w:footnoteRef/>
      </w:r>
      <w:r w:rsidRPr="00D27BB4">
        <w:t xml:space="preserve"> </w:t>
      </w:r>
      <w:r w:rsidRPr="00C46447">
        <w:t>En su quincuagésima tercera sesión, celebrada por medios electrónicos del 11 al 15 de julio de 2022.</w:t>
      </w:r>
    </w:p>
  </w:footnote>
  <w:footnote w:id="7">
    <w:p w:rsidR="0053352E" w:rsidRPr="005F1F78" w:rsidRDefault="0053352E" w:rsidP="006D4EAD">
      <w:pPr>
        <w:pStyle w:val="FootnoteText"/>
      </w:pPr>
      <w:r w:rsidRPr="005F1F78">
        <w:rPr>
          <w:rStyle w:val="FootnoteReference"/>
        </w:rPr>
        <w:footnoteRef/>
      </w:r>
      <w:r w:rsidRPr="005F1F78">
        <w:t xml:space="preserve"> </w:t>
      </w:r>
      <w:r w:rsidRPr="00C46447">
        <w:t>En su primera sesión, celebrada por medios electrónicos del 19 al 23 de septiembre de 2022.</w:t>
      </w:r>
    </w:p>
  </w:footnote>
  <w:footnote w:id="8">
    <w:p w:rsidR="0053352E" w:rsidRDefault="0053352E" w:rsidP="00495845">
      <w:pPr>
        <w:pStyle w:val="FootnoteText"/>
      </w:pPr>
      <w:r>
        <w:rPr>
          <w:rStyle w:val="FootnoteReference"/>
        </w:rPr>
        <w:footnoteRef/>
      </w:r>
      <w:r>
        <w:t xml:space="preserve"> </w:t>
      </w:r>
      <w:r w:rsidRPr="00C46447">
        <w:t>Celebrada por medios electrónicos los días 26 y 27 de octubre de 2021.</w:t>
      </w:r>
    </w:p>
  </w:footnote>
  <w:footnote w:id="9">
    <w:p w:rsidR="0053352E" w:rsidRPr="00A5329B" w:rsidRDefault="0053352E" w:rsidP="002F5F2F">
      <w:pPr>
        <w:pStyle w:val="FootnoteText"/>
      </w:pPr>
      <w:r>
        <w:rPr>
          <w:rStyle w:val="FootnoteReference"/>
        </w:rPr>
        <w:footnoteRef/>
      </w:r>
      <w:r>
        <w:t xml:space="preserve"> </w:t>
      </w:r>
      <w:r w:rsidRPr="00371D3B">
        <w:t>Celebrada en Ginebra los días 29 y 30 de octubre de 2018.</w:t>
      </w:r>
      <w:r>
        <w:t xml:space="preserve"> </w:t>
      </w:r>
    </w:p>
  </w:footnote>
  <w:footnote w:id="10">
    <w:p w:rsidR="0053352E" w:rsidRDefault="0053352E" w:rsidP="005077F5">
      <w:pPr>
        <w:pStyle w:val="FootnoteText"/>
      </w:pPr>
      <w:r>
        <w:rPr>
          <w:rStyle w:val="FootnoteReference"/>
        </w:rPr>
        <w:footnoteRef/>
      </w:r>
      <w:r>
        <w:t xml:space="preserve"> </w:t>
      </w:r>
      <w:r w:rsidRPr="007D07F6">
        <w:t>Organizada por el Reino Unido y celebrada por medios electrónicos del 23 al 27 de mayo de 2022.</w:t>
      </w:r>
    </w:p>
  </w:footnote>
  <w:footnote w:id="11">
    <w:p w:rsidR="0053352E" w:rsidRDefault="0053352E" w:rsidP="008442B3">
      <w:pPr>
        <w:pStyle w:val="FootnoteText"/>
      </w:pPr>
      <w:r w:rsidRPr="00D27BB4">
        <w:rPr>
          <w:rStyle w:val="FootnoteReference"/>
        </w:rPr>
        <w:footnoteRef/>
      </w:r>
      <w:r w:rsidRPr="00D27BB4">
        <w:t xml:space="preserve"> </w:t>
      </w:r>
      <w:r w:rsidRPr="00371D3B">
        <w:t>Celebrada por medios electrónicos del 11 al 15 de julio de 2022.</w:t>
      </w:r>
    </w:p>
  </w:footnote>
  <w:footnote w:id="12">
    <w:p w:rsidR="0053352E" w:rsidRPr="0067537F" w:rsidRDefault="0053352E" w:rsidP="00C44451">
      <w:pPr>
        <w:pStyle w:val="FootnoteText"/>
        <w:rPr>
          <w:highlight w:val="cyan"/>
        </w:rPr>
      </w:pPr>
      <w:r w:rsidRPr="00D27BB4">
        <w:rPr>
          <w:rStyle w:val="FootnoteReference"/>
        </w:rPr>
        <w:footnoteRef/>
      </w:r>
      <w:r>
        <w:t xml:space="preserve"> </w:t>
      </w:r>
      <w:r w:rsidRPr="000131A8">
        <w:t>Organizada por Alemania y celebrada por medios electrónicos del 13 al 17 de junio de 2022.</w:t>
      </w:r>
    </w:p>
  </w:footnote>
  <w:footnote w:id="13">
    <w:p w:rsidR="0053352E" w:rsidRPr="005F1F78" w:rsidRDefault="0053352E" w:rsidP="00C44451">
      <w:pPr>
        <w:pStyle w:val="FootnoteText"/>
      </w:pPr>
      <w:r w:rsidRPr="005F1F78">
        <w:rPr>
          <w:rStyle w:val="FootnoteReference"/>
        </w:rPr>
        <w:footnoteRef/>
      </w:r>
      <w:r w:rsidRPr="005F1F78">
        <w:t xml:space="preserve"> </w:t>
      </w:r>
      <w:r w:rsidRPr="000131A8">
        <w:t>Celebrada por medios electrónicos del 19 al 23 de septiembre de 2022.</w:t>
      </w:r>
    </w:p>
  </w:footnote>
  <w:footnote w:id="14">
    <w:p w:rsidR="0053352E" w:rsidRPr="0067537F" w:rsidRDefault="0053352E" w:rsidP="006D4EAD">
      <w:pPr>
        <w:pStyle w:val="FootnoteText"/>
      </w:pPr>
      <w:r w:rsidRPr="0067537F">
        <w:rPr>
          <w:rStyle w:val="FootnoteReference"/>
        </w:rPr>
        <w:footnoteRef/>
      </w:r>
      <w:r w:rsidRPr="0067537F">
        <w:t xml:space="preserve"> </w:t>
      </w:r>
      <w:r w:rsidRPr="00F05435">
        <w:t>En su quincuagésima sexta sesión, celebrada por medios electrónicos del 18 al 22 de abril de 2022.</w:t>
      </w:r>
    </w:p>
  </w:footnote>
  <w:footnote w:id="15">
    <w:p w:rsidR="0053352E" w:rsidRPr="0067537F" w:rsidRDefault="0053352E" w:rsidP="006D4EAD">
      <w:pPr>
        <w:pStyle w:val="FootnoteText"/>
        <w:rPr>
          <w:highlight w:val="cyan"/>
        </w:rPr>
      </w:pPr>
      <w:r w:rsidRPr="0067537F">
        <w:rPr>
          <w:rStyle w:val="FootnoteReference"/>
        </w:rPr>
        <w:footnoteRef/>
      </w:r>
      <w:r w:rsidRPr="0067537F">
        <w:t xml:space="preserve"> </w:t>
      </w:r>
      <w:r w:rsidRPr="00F05435">
        <w:t>En su quincuagésima primera sesión, organizada por el Reino Unido y celebrada por medios electrónicos del 23 al 27 de mayo de 2022.</w:t>
      </w:r>
    </w:p>
  </w:footnote>
  <w:footnote w:id="16">
    <w:p w:rsidR="0053352E" w:rsidRPr="0067537F" w:rsidRDefault="0053352E" w:rsidP="006D4EAD">
      <w:pPr>
        <w:pStyle w:val="FootnoteText"/>
        <w:rPr>
          <w:highlight w:val="cyan"/>
        </w:rPr>
      </w:pPr>
      <w:r w:rsidRPr="00D27BB4">
        <w:rPr>
          <w:rStyle w:val="FootnoteReference"/>
        </w:rPr>
        <w:footnoteRef/>
      </w:r>
      <w:r w:rsidRPr="00D27BB4">
        <w:t xml:space="preserve"> </w:t>
      </w:r>
      <w:r w:rsidRPr="00F05435">
        <w:t>En su quincuagésima cuarta sesión, organizada por Alemania y celebrada por medios electrónicos del 13 al 17 de junio de 2022.</w:t>
      </w:r>
    </w:p>
  </w:footnote>
  <w:footnote w:id="17">
    <w:p w:rsidR="0053352E" w:rsidRDefault="0053352E" w:rsidP="006D4EAD">
      <w:pPr>
        <w:pStyle w:val="FootnoteText"/>
      </w:pPr>
      <w:r w:rsidRPr="00D27BB4">
        <w:rPr>
          <w:rStyle w:val="FootnoteReference"/>
        </w:rPr>
        <w:footnoteRef/>
      </w:r>
      <w:r w:rsidRPr="00D27BB4">
        <w:t xml:space="preserve"> </w:t>
      </w:r>
      <w:r w:rsidRPr="00F05435">
        <w:t>En su quincuagésima tercera sesión, celebrada por medios electrónicos del 11 al 15 de julio de 2022.</w:t>
      </w:r>
    </w:p>
  </w:footnote>
  <w:footnote w:id="18">
    <w:p w:rsidR="0053352E" w:rsidRPr="005F1F78" w:rsidRDefault="0053352E" w:rsidP="006D4EAD">
      <w:pPr>
        <w:pStyle w:val="FootnoteText"/>
      </w:pPr>
      <w:r w:rsidRPr="005F1F78">
        <w:rPr>
          <w:rStyle w:val="FootnoteReference"/>
        </w:rPr>
        <w:footnoteRef/>
      </w:r>
      <w:r w:rsidRPr="005F1F78">
        <w:t xml:space="preserve"> </w:t>
      </w:r>
      <w:r w:rsidRPr="00F05435">
        <w:t>En su primera sesión, celebrada por medios electrónicos del 19 al 23 de septiembre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E" w:rsidRPr="006D4EAD" w:rsidRDefault="0053352E" w:rsidP="00EB048E">
    <w:pPr>
      <w:pStyle w:val="Header"/>
      <w:rPr>
        <w:rStyle w:val="PageNumber"/>
      </w:rPr>
    </w:pPr>
    <w:r w:rsidRPr="006D4EAD">
      <w:rPr>
        <w:rStyle w:val="PageNumber"/>
      </w:rPr>
      <w:t>TC/58/7</w:t>
    </w:r>
  </w:p>
  <w:p w:rsidR="0053352E" w:rsidRPr="006D4EAD" w:rsidRDefault="0053352E" w:rsidP="00EB048E">
    <w:pPr>
      <w:pStyle w:val="Header"/>
    </w:pPr>
    <w:r w:rsidRPr="006D4EAD">
      <w:t xml:space="preserve">página </w:t>
    </w:r>
    <w:r w:rsidR="00D60C58" w:rsidRPr="006D4EAD">
      <w:rPr>
        <w:rStyle w:val="PageNumber"/>
      </w:rPr>
      <w:fldChar w:fldCharType="begin"/>
    </w:r>
    <w:r w:rsidRPr="006D4EAD">
      <w:rPr>
        <w:rStyle w:val="PageNumber"/>
      </w:rPr>
      <w:instrText xml:space="preserve"> PAGE </w:instrText>
    </w:r>
    <w:r w:rsidR="00D60C58" w:rsidRPr="006D4EAD">
      <w:rPr>
        <w:rStyle w:val="PageNumber"/>
      </w:rPr>
      <w:fldChar w:fldCharType="separate"/>
    </w:r>
    <w:r w:rsidR="00CC3D78">
      <w:rPr>
        <w:rStyle w:val="PageNumber"/>
        <w:noProof/>
      </w:rPr>
      <w:t>7</w:t>
    </w:r>
    <w:r w:rsidR="00D60C58" w:rsidRPr="006D4EAD">
      <w:rPr>
        <w:rStyle w:val="PageNumber"/>
      </w:rPr>
      <w:fldChar w:fldCharType="end"/>
    </w:r>
  </w:p>
  <w:p w:rsidR="0053352E" w:rsidRPr="006D4EAD" w:rsidRDefault="0053352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E" w:rsidRPr="00956417" w:rsidRDefault="0053352E">
    <w:pPr>
      <w:pStyle w:val="Header"/>
      <w:rPr>
        <w:lang w:val="en-US"/>
      </w:rPr>
    </w:pPr>
    <w:r w:rsidRPr="00956417">
      <w:rPr>
        <w:lang w:val="en-US"/>
      </w:rPr>
      <w:t>TC/5</w:t>
    </w:r>
    <w:r>
      <w:rPr>
        <w:lang w:val="en-US"/>
      </w:rPr>
      <w:t>8</w:t>
    </w:r>
    <w:r w:rsidRPr="00956417">
      <w:rPr>
        <w:lang w:val="en-US"/>
      </w:rPr>
      <w:t>/</w:t>
    </w:r>
    <w:r>
      <w:rPr>
        <w:lang w:val="en-US"/>
      </w:rPr>
      <w:t>7</w:t>
    </w:r>
  </w:p>
  <w:p w:rsidR="0053352E" w:rsidRPr="00956417" w:rsidRDefault="0053352E">
    <w:pPr>
      <w:pStyle w:val="Header"/>
      <w:rPr>
        <w:noProof/>
        <w:lang w:val="en-US"/>
      </w:rPr>
    </w:pPr>
    <w:r w:rsidRPr="00956417">
      <w:rPr>
        <w:lang w:val="en-US"/>
      </w:rPr>
      <w:t xml:space="preserve">Appendix to Annex, page </w:t>
    </w:r>
    <w:r w:rsidR="00D60C58" w:rsidRPr="00EF6C3B">
      <w:rPr>
        <w:lang w:val="fr-CH"/>
      </w:rPr>
      <w:fldChar w:fldCharType="begin"/>
    </w:r>
    <w:r w:rsidRPr="00956417">
      <w:rPr>
        <w:lang w:val="en-US"/>
      </w:rPr>
      <w:instrText xml:space="preserve"> PAGE   \* MERGEFORMAT </w:instrText>
    </w:r>
    <w:r w:rsidR="00D60C58" w:rsidRPr="00EF6C3B">
      <w:rPr>
        <w:lang w:val="fr-CH"/>
      </w:rPr>
      <w:fldChar w:fldCharType="separate"/>
    </w:r>
    <w:r>
      <w:rPr>
        <w:noProof/>
        <w:lang w:val="en-US"/>
      </w:rPr>
      <w:t>3</w:t>
    </w:r>
    <w:r w:rsidR="00D60C58" w:rsidRPr="00EF6C3B">
      <w:rPr>
        <w:noProof/>
        <w:lang w:val="fr-CH"/>
      </w:rPr>
      <w:fldChar w:fldCharType="end"/>
    </w:r>
  </w:p>
  <w:p w:rsidR="0053352E" w:rsidRPr="00956417" w:rsidRDefault="0053352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E" w:rsidRDefault="0053352E">
    <w:pPr>
      <w:pStyle w:val="Header"/>
      <w:rPr>
        <w:lang w:val="fr-CH"/>
      </w:rPr>
    </w:pPr>
    <w:r>
      <w:rPr>
        <w:lang w:val="fr-CH"/>
      </w:rPr>
      <w:t>TC/58/7</w:t>
    </w:r>
  </w:p>
  <w:p w:rsidR="0053352E" w:rsidRDefault="0053352E">
    <w:pPr>
      <w:pStyle w:val="Header"/>
      <w:rPr>
        <w:lang w:val="fr-CH"/>
      </w:rPr>
    </w:pPr>
  </w:p>
  <w:p w:rsidR="0053352E" w:rsidRDefault="0053352E">
    <w:pPr>
      <w:pStyle w:val="Header"/>
      <w:rPr>
        <w:lang w:val="fr-CH"/>
      </w:rPr>
    </w:pPr>
    <w:r>
      <w:rPr>
        <w:lang w:val="fr-CH"/>
      </w:rPr>
      <w:t>ANEXO</w:t>
    </w:r>
  </w:p>
  <w:p w:rsidR="0053352E" w:rsidRPr="0077337F" w:rsidRDefault="0053352E">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E" w:rsidRPr="000A23DC" w:rsidRDefault="0053352E" w:rsidP="000A23DC">
    <w:pPr>
      <w:pStyle w:val="Header"/>
      <w:rPr>
        <w:rStyle w:val="PageNumber"/>
      </w:rPr>
    </w:pPr>
    <w:r>
      <w:rPr>
        <w:rStyle w:val="PageNumber"/>
      </w:rPr>
      <w:t>TC/58</w:t>
    </w:r>
    <w:r w:rsidRPr="000A23DC">
      <w:rPr>
        <w:rStyle w:val="PageNumber"/>
      </w:rPr>
      <w:t>/</w:t>
    </w:r>
    <w:r w:rsidR="00CC3D78">
      <w:rPr>
        <w:rStyle w:val="PageNumber"/>
      </w:rPr>
      <w:t>7</w:t>
    </w:r>
  </w:p>
  <w:p w:rsidR="0053352E" w:rsidRPr="001D7A66" w:rsidRDefault="0053352E" w:rsidP="008B3D8D">
    <w:pPr>
      <w:pStyle w:val="Header"/>
      <w:rPr>
        <w:lang w:val="es-ES"/>
      </w:rPr>
    </w:pPr>
    <w:r w:rsidRPr="006D4EAD">
      <w:rPr>
        <w:lang w:val="es-ES"/>
      </w:rPr>
      <w:t>Apéndice del Anexo</w:t>
    </w:r>
    <w:r>
      <w:rPr>
        <w:lang w:val="es-ES"/>
      </w:rPr>
      <w:t>,</w:t>
    </w:r>
    <w:r w:rsidRPr="008B3D8D">
      <w:t xml:space="preserve"> página</w:t>
    </w:r>
    <w:r w:rsidRPr="001D7A66">
      <w:rPr>
        <w:lang w:val="es-ES"/>
      </w:rPr>
      <w:t xml:space="preserve"> </w:t>
    </w:r>
    <w:r w:rsidR="00D60C58" w:rsidRPr="00202E38">
      <w:rPr>
        <w:rStyle w:val="PageNumber"/>
        <w:lang w:val="de-DE"/>
      </w:rPr>
      <w:fldChar w:fldCharType="begin"/>
    </w:r>
    <w:r w:rsidRPr="001D7A66">
      <w:rPr>
        <w:rStyle w:val="PageNumber"/>
        <w:lang w:val="es-ES"/>
      </w:rPr>
      <w:instrText xml:space="preserve"> PAGE </w:instrText>
    </w:r>
    <w:r w:rsidR="00D60C58" w:rsidRPr="00202E38">
      <w:rPr>
        <w:rStyle w:val="PageNumber"/>
        <w:lang w:val="de-DE"/>
      </w:rPr>
      <w:fldChar w:fldCharType="separate"/>
    </w:r>
    <w:r w:rsidR="00CC3D78">
      <w:rPr>
        <w:rStyle w:val="PageNumber"/>
        <w:noProof/>
        <w:lang w:val="es-ES"/>
      </w:rPr>
      <w:t>3</w:t>
    </w:r>
    <w:r w:rsidR="00D60C58" w:rsidRPr="00202E38">
      <w:rPr>
        <w:rStyle w:val="PageNumber"/>
        <w:lang w:val="de-DE"/>
      </w:rPr>
      <w:fldChar w:fldCharType="end"/>
    </w:r>
  </w:p>
  <w:p w:rsidR="0053352E" w:rsidRPr="001D7A66" w:rsidRDefault="0053352E" w:rsidP="006655D3">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E" w:rsidRPr="006D4EAD" w:rsidRDefault="0053352E">
    <w:pPr>
      <w:pStyle w:val="Header"/>
      <w:rPr>
        <w:lang w:val="es-ES"/>
      </w:rPr>
    </w:pPr>
    <w:r w:rsidRPr="006D4EAD">
      <w:rPr>
        <w:lang w:val="es-ES"/>
      </w:rPr>
      <w:t>TC/58/7</w:t>
    </w:r>
  </w:p>
  <w:p w:rsidR="0053352E" w:rsidRPr="006D4EAD" w:rsidRDefault="0053352E">
    <w:pPr>
      <w:pStyle w:val="Header"/>
      <w:rPr>
        <w:lang w:val="es-ES"/>
      </w:rPr>
    </w:pPr>
  </w:p>
  <w:p w:rsidR="0053352E" w:rsidRPr="006D4EAD" w:rsidRDefault="00CC3D78">
    <w:pPr>
      <w:pStyle w:val="Header"/>
      <w:rPr>
        <w:lang w:val="es-ES"/>
      </w:rPr>
    </w:pPr>
    <w:r w:rsidRPr="006D4EAD">
      <w:rPr>
        <w:lang w:val="es-ES"/>
      </w:rPr>
      <w:t>APÉNDICE DEL ANEXO</w:t>
    </w:r>
  </w:p>
  <w:p w:rsidR="0053352E" w:rsidRPr="006D4EAD" w:rsidRDefault="0053352E">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6"/>
  </w:docVars>
  <w:rsids>
    <w:rsidRoot w:val="006D4EAD"/>
    <w:rsid w:val="0000777E"/>
    <w:rsid w:val="00010CF3"/>
    <w:rsid w:val="00011E27"/>
    <w:rsid w:val="000131A8"/>
    <w:rsid w:val="00013D40"/>
    <w:rsid w:val="000148BC"/>
    <w:rsid w:val="00015858"/>
    <w:rsid w:val="00024AB8"/>
    <w:rsid w:val="00024EF1"/>
    <w:rsid w:val="00025F1B"/>
    <w:rsid w:val="00030854"/>
    <w:rsid w:val="00032BA9"/>
    <w:rsid w:val="00036028"/>
    <w:rsid w:val="00037C28"/>
    <w:rsid w:val="00044642"/>
    <w:rsid w:val="000446B9"/>
    <w:rsid w:val="000454E5"/>
    <w:rsid w:val="00047E21"/>
    <w:rsid w:val="00050E16"/>
    <w:rsid w:val="000638A9"/>
    <w:rsid w:val="00085505"/>
    <w:rsid w:val="00086677"/>
    <w:rsid w:val="00087119"/>
    <w:rsid w:val="0009459D"/>
    <w:rsid w:val="0009548D"/>
    <w:rsid w:val="00095775"/>
    <w:rsid w:val="00097B73"/>
    <w:rsid w:val="000A23DC"/>
    <w:rsid w:val="000B7BB9"/>
    <w:rsid w:val="000C0C1B"/>
    <w:rsid w:val="000C455C"/>
    <w:rsid w:val="000C4E25"/>
    <w:rsid w:val="000C7021"/>
    <w:rsid w:val="000D6BBC"/>
    <w:rsid w:val="000D7780"/>
    <w:rsid w:val="000E636A"/>
    <w:rsid w:val="000F2F11"/>
    <w:rsid w:val="00105929"/>
    <w:rsid w:val="001066E7"/>
    <w:rsid w:val="00106B4A"/>
    <w:rsid w:val="00110C36"/>
    <w:rsid w:val="001131D5"/>
    <w:rsid w:val="00141DB8"/>
    <w:rsid w:val="0016029C"/>
    <w:rsid w:val="00172084"/>
    <w:rsid w:val="0017474A"/>
    <w:rsid w:val="001758C6"/>
    <w:rsid w:val="00182159"/>
    <w:rsid w:val="00182B99"/>
    <w:rsid w:val="001939B5"/>
    <w:rsid w:val="001B5DD0"/>
    <w:rsid w:val="001D7A66"/>
    <w:rsid w:val="001E5754"/>
    <w:rsid w:val="001F64BF"/>
    <w:rsid w:val="00202E38"/>
    <w:rsid w:val="002103B5"/>
    <w:rsid w:val="002122F0"/>
    <w:rsid w:val="0021332C"/>
    <w:rsid w:val="00213982"/>
    <w:rsid w:val="00215D1C"/>
    <w:rsid w:val="0024416D"/>
    <w:rsid w:val="002458C3"/>
    <w:rsid w:val="002464A3"/>
    <w:rsid w:val="00271911"/>
    <w:rsid w:val="00276C62"/>
    <w:rsid w:val="002800A0"/>
    <w:rsid w:val="002801B3"/>
    <w:rsid w:val="00281060"/>
    <w:rsid w:val="0028469B"/>
    <w:rsid w:val="00294073"/>
    <w:rsid w:val="002940E8"/>
    <w:rsid w:val="00294751"/>
    <w:rsid w:val="002A6E50"/>
    <w:rsid w:val="002B4298"/>
    <w:rsid w:val="002C256A"/>
    <w:rsid w:val="002C3D98"/>
    <w:rsid w:val="002E25C5"/>
    <w:rsid w:val="002E41A4"/>
    <w:rsid w:val="002E5944"/>
    <w:rsid w:val="002F1F82"/>
    <w:rsid w:val="002F5F2F"/>
    <w:rsid w:val="003010B0"/>
    <w:rsid w:val="00305A7F"/>
    <w:rsid w:val="00311998"/>
    <w:rsid w:val="003152FE"/>
    <w:rsid w:val="00316812"/>
    <w:rsid w:val="00317822"/>
    <w:rsid w:val="00324098"/>
    <w:rsid w:val="00327436"/>
    <w:rsid w:val="00340D6C"/>
    <w:rsid w:val="00344BD6"/>
    <w:rsid w:val="0035528D"/>
    <w:rsid w:val="00361821"/>
    <w:rsid w:val="00361E9E"/>
    <w:rsid w:val="0036609E"/>
    <w:rsid w:val="00371D3B"/>
    <w:rsid w:val="00376F48"/>
    <w:rsid w:val="003B031A"/>
    <w:rsid w:val="003C7FBE"/>
    <w:rsid w:val="003D227C"/>
    <w:rsid w:val="003D2B4D"/>
    <w:rsid w:val="003F73F1"/>
    <w:rsid w:val="0040557F"/>
    <w:rsid w:val="00414913"/>
    <w:rsid w:val="00421806"/>
    <w:rsid w:val="00444A88"/>
    <w:rsid w:val="00455222"/>
    <w:rsid w:val="00463541"/>
    <w:rsid w:val="00463EF5"/>
    <w:rsid w:val="00467B42"/>
    <w:rsid w:val="00474DA4"/>
    <w:rsid w:val="00476B4D"/>
    <w:rsid w:val="004805FA"/>
    <w:rsid w:val="00485D5D"/>
    <w:rsid w:val="004935D2"/>
    <w:rsid w:val="0049556E"/>
    <w:rsid w:val="00495845"/>
    <w:rsid w:val="004A2CF3"/>
    <w:rsid w:val="004B1215"/>
    <w:rsid w:val="004C2D76"/>
    <w:rsid w:val="004D047D"/>
    <w:rsid w:val="004F1E9E"/>
    <w:rsid w:val="004F305A"/>
    <w:rsid w:val="005077F5"/>
    <w:rsid w:val="00512164"/>
    <w:rsid w:val="00520297"/>
    <w:rsid w:val="00531072"/>
    <w:rsid w:val="0053352E"/>
    <w:rsid w:val="005338F9"/>
    <w:rsid w:val="0054281C"/>
    <w:rsid w:val="00544581"/>
    <w:rsid w:val="00545E42"/>
    <w:rsid w:val="00550B87"/>
    <w:rsid w:val="0055268D"/>
    <w:rsid w:val="00573006"/>
    <w:rsid w:val="00576836"/>
    <w:rsid w:val="00576BE4"/>
    <w:rsid w:val="00581F0C"/>
    <w:rsid w:val="0058391B"/>
    <w:rsid w:val="005A1EC1"/>
    <w:rsid w:val="005A400A"/>
    <w:rsid w:val="005B4E57"/>
    <w:rsid w:val="005F3C44"/>
    <w:rsid w:val="005F7B92"/>
    <w:rsid w:val="00612379"/>
    <w:rsid w:val="006153B6"/>
    <w:rsid w:val="0061555F"/>
    <w:rsid w:val="00627A39"/>
    <w:rsid w:val="00631E71"/>
    <w:rsid w:val="00636CA6"/>
    <w:rsid w:val="00637EDD"/>
    <w:rsid w:val="00641200"/>
    <w:rsid w:val="00645CA8"/>
    <w:rsid w:val="006632D1"/>
    <w:rsid w:val="006655D3"/>
    <w:rsid w:val="00667404"/>
    <w:rsid w:val="00667588"/>
    <w:rsid w:val="00681E32"/>
    <w:rsid w:val="0068690E"/>
    <w:rsid w:val="00687EB4"/>
    <w:rsid w:val="00695C56"/>
    <w:rsid w:val="006A5CDE"/>
    <w:rsid w:val="006A644A"/>
    <w:rsid w:val="006B169B"/>
    <w:rsid w:val="006B17D2"/>
    <w:rsid w:val="006C224E"/>
    <w:rsid w:val="006D3A03"/>
    <w:rsid w:val="006D4EAD"/>
    <w:rsid w:val="006D780A"/>
    <w:rsid w:val="0070153D"/>
    <w:rsid w:val="00711B90"/>
    <w:rsid w:val="0071271E"/>
    <w:rsid w:val="00721322"/>
    <w:rsid w:val="00732DEC"/>
    <w:rsid w:val="00735BD5"/>
    <w:rsid w:val="00736A0A"/>
    <w:rsid w:val="0074008D"/>
    <w:rsid w:val="00751613"/>
    <w:rsid w:val="007556F6"/>
    <w:rsid w:val="00760EEF"/>
    <w:rsid w:val="007715B9"/>
    <w:rsid w:val="00772B51"/>
    <w:rsid w:val="00777EE5"/>
    <w:rsid w:val="00783722"/>
    <w:rsid w:val="00784836"/>
    <w:rsid w:val="00785B47"/>
    <w:rsid w:val="0079023E"/>
    <w:rsid w:val="00792C4D"/>
    <w:rsid w:val="007A2854"/>
    <w:rsid w:val="007B552F"/>
    <w:rsid w:val="007B61B9"/>
    <w:rsid w:val="007C1890"/>
    <w:rsid w:val="007C1D92"/>
    <w:rsid w:val="007C4CB9"/>
    <w:rsid w:val="007D07F6"/>
    <w:rsid w:val="007D0B9D"/>
    <w:rsid w:val="007D19B0"/>
    <w:rsid w:val="007D508C"/>
    <w:rsid w:val="007F1FEF"/>
    <w:rsid w:val="007F498F"/>
    <w:rsid w:val="00806440"/>
    <w:rsid w:val="0080679D"/>
    <w:rsid w:val="008108B0"/>
    <w:rsid w:val="00810B0E"/>
    <w:rsid w:val="00811B20"/>
    <w:rsid w:val="008130A3"/>
    <w:rsid w:val="008211B5"/>
    <w:rsid w:val="0082296E"/>
    <w:rsid w:val="00824099"/>
    <w:rsid w:val="00825412"/>
    <w:rsid w:val="008442B3"/>
    <w:rsid w:val="00846D7C"/>
    <w:rsid w:val="00864C55"/>
    <w:rsid w:val="00867AC1"/>
    <w:rsid w:val="00875005"/>
    <w:rsid w:val="00875FF0"/>
    <w:rsid w:val="00876279"/>
    <w:rsid w:val="008859E5"/>
    <w:rsid w:val="00885AED"/>
    <w:rsid w:val="00890DF8"/>
    <w:rsid w:val="008A743F"/>
    <w:rsid w:val="008B3D8D"/>
    <w:rsid w:val="008C0970"/>
    <w:rsid w:val="008D0BC5"/>
    <w:rsid w:val="008D2CF7"/>
    <w:rsid w:val="00900C26"/>
    <w:rsid w:val="0090197F"/>
    <w:rsid w:val="00906DDC"/>
    <w:rsid w:val="009141E2"/>
    <w:rsid w:val="00933142"/>
    <w:rsid w:val="00934E09"/>
    <w:rsid w:val="00936253"/>
    <w:rsid w:val="00936AA3"/>
    <w:rsid w:val="00940D46"/>
    <w:rsid w:val="00952DD4"/>
    <w:rsid w:val="009551CA"/>
    <w:rsid w:val="0096175D"/>
    <w:rsid w:val="00965AE7"/>
    <w:rsid w:val="00970FED"/>
    <w:rsid w:val="00982587"/>
    <w:rsid w:val="00990195"/>
    <w:rsid w:val="00992D82"/>
    <w:rsid w:val="00997029"/>
    <w:rsid w:val="009A7339"/>
    <w:rsid w:val="009B440E"/>
    <w:rsid w:val="009D690D"/>
    <w:rsid w:val="009E4E2D"/>
    <w:rsid w:val="009E65B6"/>
    <w:rsid w:val="00A043E9"/>
    <w:rsid w:val="00A157BB"/>
    <w:rsid w:val="00A15BBB"/>
    <w:rsid w:val="00A24C10"/>
    <w:rsid w:val="00A36881"/>
    <w:rsid w:val="00A41015"/>
    <w:rsid w:val="00A42AC3"/>
    <w:rsid w:val="00A430CF"/>
    <w:rsid w:val="00A461F8"/>
    <w:rsid w:val="00A54309"/>
    <w:rsid w:val="00A706D3"/>
    <w:rsid w:val="00AA1CB2"/>
    <w:rsid w:val="00AB2B93"/>
    <w:rsid w:val="00AB530F"/>
    <w:rsid w:val="00AB7E5B"/>
    <w:rsid w:val="00AC2883"/>
    <w:rsid w:val="00AE0EF1"/>
    <w:rsid w:val="00AE2937"/>
    <w:rsid w:val="00B07301"/>
    <w:rsid w:val="00B11F3E"/>
    <w:rsid w:val="00B1381B"/>
    <w:rsid w:val="00B17B1A"/>
    <w:rsid w:val="00B224DE"/>
    <w:rsid w:val="00B25336"/>
    <w:rsid w:val="00B26D8A"/>
    <w:rsid w:val="00B307AF"/>
    <w:rsid w:val="00B324D4"/>
    <w:rsid w:val="00B3462E"/>
    <w:rsid w:val="00B46575"/>
    <w:rsid w:val="00B61777"/>
    <w:rsid w:val="00B82DF9"/>
    <w:rsid w:val="00B84BBD"/>
    <w:rsid w:val="00BA43FB"/>
    <w:rsid w:val="00BC0BD4"/>
    <w:rsid w:val="00BC127D"/>
    <w:rsid w:val="00BC1FE6"/>
    <w:rsid w:val="00C02667"/>
    <w:rsid w:val="00C061B6"/>
    <w:rsid w:val="00C22925"/>
    <w:rsid w:val="00C2446C"/>
    <w:rsid w:val="00C26B8B"/>
    <w:rsid w:val="00C36AE5"/>
    <w:rsid w:val="00C41F17"/>
    <w:rsid w:val="00C44451"/>
    <w:rsid w:val="00C46447"/>
    <w:rsid w:val="00C527FA"/>
    <w:rsid w:val="00C5280D"/>
    <w:rsid w:val="00C53EB3"/>
    <w:rsid w:val="00C5791C"/>
    <w:rsid w:val="00C65E2B"/>
    <w:rsid w:val="00C66290"/>
    <w:rsid w:val="00C72B7A"/>
    <w:rsid w:val="00C73392"/>
    <w:rsid w:val="00C973F2"/>
    <w:rsid w:val="00CA304C"/>
    <w:rsid w:val="00CA774A"/>
    <w:rsid w:val="00CB077B"/>
    <w:rsid w:val="00CB68CB"/>
    <w:rsid w:val="00CC11B0"/>
    <w:rsid w:val="00CC2841"/>
    <w:rsid w:val="00CC3D78"/>
    <w:rsid w:val="00CD2808"/>
    <w:rsid w:val="00CE49AB"/>
    <w:rsid w:val="00CF1330"/>
    <w:rsid w:val="00CF52B9"/>
    <w:rsid w:val="00CF7E36"/>
    <w:rsid w:val="00D3708D"/>
    <w:rsid w:val="00D40426"/>
    <w:rsid w:val="00D57C96"/>
    <w:rsid w:val="00D57D18"/>
    <w:rsid w:val="00D60C58"/>
    <w:rsid w:val="00D73302"/>
    <w:rsid w:val="00D91203"/>
    <w:rsid w:val="00D95174"/>
    <w:rsid w:val="00DA4973"/>
    <w:rsid w:val="00DA6F36"/>
    <w:rsid w:val="00DB596E"/>
    <w:rsid w:val="00DB7773"/>
    <w:rsid w:val="00DC00EA"/>
    <w:rsid w:val="00DC3802"/>
    <w:rsid w:val="00DF5217"/>
    <w:rsid w:val="00E07D87"/>
    <w:rsid w:val="00E1295E"/>
    <w:rsid w:val="00E251E1"/>
    <w:rsid w:val="00E313E0"/>
    <w:rsid w:val="00E32F7E"/>
    <w:rsid w:val="00E348A3"/>
    <w:rsid w:val="00E45E29"/>
    <w:rsid w:val="00E5267B"/>
    <w:rsid w:val="00E62892"/>
    <w:rsid w:val="00E63C0E"/>
    <w:rsid w:val="00E716F1"/>
    <w:rsid w:val="00E72D49"/>
    <w:rsid w:val="00E7593C"/>
    <w:rsid w:val="00E7678A"/>
    <w:rsid w:val="00E92C5D"/>
    <w:rsid w:val="00E935F1"/>
    <w:rsid w:val="00E94A81"/>
    <w:rsid w:val="00EA1FFB"/>
    <w:rsid w:val="00EB048E"/>
    <w:rsid w:val="00EB4E9C"/>
    <w:rsid w:val="00EB7FD5"/>
    <w:rsid w:val="00EC2265"/>
    <w:rsid w:val="00EC68BE"/>
    <w:rsid w:val="00ED1D3E"/>
    <w:rsid w:val="00EE34DF"/>
    <w:rsid w:val="00EF2749"/>
    <w:rsid w:val="00EF2F89"/>
    <w:rsid w:val="00F03E98"/>
    <w:rsid w:val="00F05435"/>
    <w:rsid w:val="00F0547E"/>
    <w:rsid w:val="00F07616"/>
    <w:rsid w:val="00F1237A"/>
    <w:rsid w:val="00F22CBD"/>
    <w:rsid w:val="00F27262"/>
    <w:rsid w:val="00F272F1"/>
    <w:rsid w:val="00F371D5"/>
    <w:rsid w:val="00F45372"/>
    <w:rsid w:val="00F560F7"/>
    <w:rsid w:val="00F6334D"/>
    <w:rsid w:val="00F841D3"/>
    <w:rsid w:val="00F871D5"/>
    <w:rsid w:val="00FA49AB"/>
    <w:rsid w:val="00FD245D"/>
    <w:rsid w:val="00FD3E3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DE3E49"/>
  <w15:docId w15:val="{B40EF400-247B-4DB3-9104-29DCFE16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D508C"/>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1D7A66"/>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D4EAD"/>
    <w:rPr>
      <w:rFonts w:ascii="Arial" w:hAnsi="Arial"/>
      <w:caps/>
    </w:rPr>
  </w:style>
  <w:style w:type="character" w:customStyle="1" w:styleId="Heading2Char">
    <w:name w:val="Heading 2 Char"/>
    <w:aliases w:val="VARIETY Char,variety Char"/>
    <w:link w:val="Heading2"/>
    <w:locked/>
    <w:rsid w:val="006D4EAD"/>
    <w:rPr>
      <w:rFonts w:ascii="Arial" w:hAnsi="Arial"/>
      <w:u w:val="single"/>
    </w:rPr>
  </w:style>
  <w:style w:type="character" w:customStyle="1" w:styleId="Heading3Char">
    <w:name w:val="Heading 3 Char"/>
    <w:basedOn w:val="DefaultParagraphFont"/>
    <w:link w:val="Heading3"/>
    <w:rsid w:val="006D4EAD"/>
    <w:rPr>
      <w:rFonts w:ascii="Arial" w:hAnsi="Arial"/>
      <w:i/>
    </w:rPr>
  </w:style>
  <w:style w:type="character" w:customStyle="1" w:styleId="FootnoteTextChar">
    <w:name w:val="Footnote Text Char"/>
    <w:basedOn w:val="DefaultParagraphFont"/>
    <w:link w:val="FootnoteText"/>
    <w:rsid w:val="006D4EAD"/>
    <w:rPr>
      <w:rFonts w:ascii="Arial" w:hAnsi="Arial"/>
      <w:sz w:val="16"/>
      <w:lang w:val="es-ES_tradnl"/>
    </w:rPr>
  </w:style>
  <w:style w:type="paragraph" w:styleId="ListParagraph">
    <w:name w:val="List Paragraph"/>
    <w:aliases w:val="auto_list_(i),List Paragraph1"/>
    <w:basedOn w:val="Normal"/>
    <w:link w:val="ListParagraphChar"/>
    <w:uiPriority w:val="34"/>
    <w:qFormat/>
    <w:rsid w:val="006D4EAD"/>
    <w:pPr>
      <w:ind w:left="720"/>
      <w:contextualSpacing/>
    </w:pPr>
    <w:rPr>
      <w:lang w:val="en-US"/>
    </w:rPr>
  </w:style>
  <w:style w:type="table" w:styleId="TableGrid">
    <w:name w:val="Table Grid"/>
    <w:basedOn w:val="TableNormal"/>
    <w:uiPriority w:val="39"/>
    <w:rsid w:val="006D4EA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6D4E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5231</Words>
  <Characters>28381</Characters>
  <Application>Microsoft Office Word</Application>
  <DocSecurity>0</DocSecurity>
  <Lines>675</Lines>
  <Paragraphs>317</Paragraphs>
  <ScaleCrop>false</ScaleCrop>
  <HeadingPairs>
    <vt:vector size="2" baseType="variant">
      <vt:variant>
        <vt:lpstr>Title</vt:lpstr>
      </vt:variant>
      <vt:variant>
        <vt:i4>1</vt:i4>
      </vt:variant>
    </vt:vector>
  </HeadingPairs>
  <TitlesOfParts>
    <vt:vector size="1" baseType="lpstr">
      <vt:lpstr>TC/58/7</vt:lpstr>
    </vt:vector>
  </TitlesOfParts>
  <Company>UPOV</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TC/58/7</dc:title>
  <dc:creator>Antonio Sanguino</dc:creator>
  <cp:lastModifiedBy>MAY Jessica</cp:lastModifiedBy>
  <cp:revision>6</cp:revision>
  <cp:lastPrinted>2016-11-22T15:41:00Z</cp:lastPrinted>
  <dcterms:created xsi:type="dcterms:W3CDTF">2022-10-14T09:07:00Z</dcterms:created>
  <dcterms:modified xsi:type="dcterms:W3CDTF">2022-10-18T14:53:00Z</dcterms:modified>
</cp:coreProperties>
</file>