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192094" w14:paraId="5EE10560" w14:textId="77777777" w:rsidTr="00EB4E9C">
        <w:tc>
          <w:tcPr>
            <w:tcW w:w="6522" w:type="dxa"/>
          </w:tcPr>
          <w:p w14:paraId="3E4E9CFD" w14:textId="77777777" w:rsidR="00DC3802" w:rsidRPr="00192094" w:rsidRDefault="00DC3802" w:rsidP="00AC2883">
            <w:pPr>
              <w:rPr>
                <w:lang w:val="es-ES_tradnl"/>
              </w:rPr>
            </w:pPr>
            <w:r w:rsidRPr="00192094">
              <w:rPr>
                <w:noProof/>
                <w:lang w:val="en-US" w:eastAsia="ja-JP"/>
              </w:rPr>
              <w:drawing>
                <wp:inline distT="0" distB="0" distL="0" distR="0" wp14:anchorId="61F00690" wp14:editId="5038A04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8E972AB" w14:textId="77777777" w:rsidR="00DC3802" w:rsidRPr="00192094" w:rsidRDefault="002E5944" w:rsidP="00AC2883">
            <w:pPr>
              <w:pStyle w:val="Lettrine"/>
              <w:rPr>
                <w:lang w:val="es-ES_tradnl"/>
              </w:rPr>
            </w:pPr>
            <w:r w:rsidRPr="00192094">
              <w:rPr>
                <w:lang w:val="es-ES_tradnl"/>
              </w:rPr>
              <w:t>S</w:t>
            </w:r>
          </w:p>
        </w:tc>
      </w:tr>
      <w:tr w:rsidR="00DC3802" w:rsidRPr="00192094" w14:paraId="0D5F99EB" w14:textId="77777777" w:rsidTr="00645CA8">
        <w:trPr>
          <w:trHeight w:val="219"/>
        </w:trPr>
        <w:tc>
          <w:tcPr>
            <w:tcW w:w="6522" w:type="dxa"/>
          </w:tcPr>
          <w:p w14:paraId="79982C5B" w14:textId="77777777" w:rsidR="00DC3802" w:rsidRPr="00192094" w:rsidRDefault="002E5944" w:rsidP="00BC0BD4">
            <w:pPr>
              <w:pStyle w:val="upove"/>
              <w:rPr>
                <w:lang w:val="es-ES_tradnl"/>
              </w:rPr>
            </w:pPr>
            <w:r w:rsidRPr="00192094">
              <w:rPr>
                <w:lang w:val="es-ES_tradnl"/>
              </w:rPr>
              <w:t>Unión Internacional para la Protección de las Obtenciones Vegetales</w:t>
            </w:r>
          </w:p>
        </w:tc>
        <w:tc>
          <w:tcPr>
            <w:tcW w:w="3117" w:type="dxa"/>
          </w:tcPr>
          <w:p w14:paraId="5DEAA242" w14:textId="77777777" w:rsidR="00DC3802" w:rsidRPr="00192094" w:rsidRDefault="00DC3802" w:rsidP="00DA4973">
            <w:pPr>
              <w:rPr>
                <w:lang w:val="es-ES_tradnl"/>
              </w:rPr>
            </w:pPr>
          </w:p>
        </w:tc>
      </w:tr>
    </w:tbl>
    <w:p w14:paraId="27A07AFA" w14:textId="77777777" w:rsidR="00DC3802" w:rsidRPr="00192094" w:rsidRDefault="00DC3802" w:rsidP="00DC3802">
      <w:pPr>
        <w:rPr>
          <w:lang w:val="es-ES_tradnl"/>
        </w:rPr>
      </w:pPr>
    </w:p>
    <w:p w14:paraId="529AA1E9" w14:textId="77777777" w:rsidR="00DA4973" w:rsidRPr="00192094"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92094" w14:paraId="4FB4EB0A" w14:textId="77777777" w:rsidTr="00EB4E9C">
        <w:tc>
          <w:tcPr>
            <w:tcW w:w="6512" w:type="dxa"/>
          </w:tcPr>
          <w:p w14:paraId="1142405D" w14:textId="77777777" w:rsidR="00EB4E9C" w:rsidRPr="00192094" w:rsidRDefault="002E5944" w:rsidP="00AC2883">
            <w:pPr>
              <w:pStyle w:val="Sessiontc"/>
              <w:spacing w:line="240" w:lineRule="auto"/>
              <w:rPr>
                <w:lang w:val="es-ES_tradnl"/>
              </w:rPr>
            </w:pPr>
            <w:r w:rsidRPr="00192094">
              <w:rPr>
                <w:lang w:val="es-ES_tradnl"/>
              </w:rPr>
              <w:t>Comité Técnico</w:t>
            </w:r>
          </w:p>
          <w:p w14:paraId="35ABE5A9" w14:textId="77777777" w:rsidR="002458C3" w:rsidRPr="00192094" w:rsidRDefault="002E5944" w:rsidP="00324098">
            <w:pPr>
              <w:pStyle w:val="Sessiontcplacedate"/>
              <w:rPr>
                <w:lang w:val="es-ES_tradnl"/>
              </w:rPr>
            </w:pPr>
            <w:r w:rsidRPr="00192094">
              <w:rPr>
                <w:lang w:val="es-ES_tradnl"/>
              </w:rPr>
              <w:t>Quincuagésima octava sesión</w:t>
            </w:r>
          </w:p>
          <w:p w14:paraId="1E964EE0" w14:textId="77777777" w:rsidR="00EB4E9C" w:rsidRPr="00192094" w:rsidRDefault="002E5944" w:rsidP="00324098">
            <w:pPr>
              <w:pStyle w:val="Sessiontcplacedate"/>
              <w:rPr>
                <w:sz w:val="22"/>
                <w:lang w:val="es-ES_tradnl"/>
              </w:rPr>
            </w:pPr>
            <w:r w:rsidRPr="00192094">
              <w:rPr>
                <w:lang w:val="es-ES_tradnl"/>
              </w:rPr>
              <w:t>Ginebra, 24 y 25 de octubre de 2022</w:t>
            </w:r>
          </w:p>
        </w:tc>
        <w:tc>
          <w:tcPr>
            <w:tcW w:w="3127" w:type="dxa"/>
          </w:tcPr>
          <w:p w14:paraId="075CAFFC" w14:textId="77777777" w:rsidR="00EB4E9C" w:rsidRPr="00192094" w:rsidRDefault="002458C3" w:rsidP="003C7FBE">
            <w:pPr>
              <w:pStyle w:val="Doccode"/>
              <w:rPr>
                <w:lang w:val="es-ES_tradnl"/>
              </w:rPr>
            </w:pPr>
            <w:r w:rsidRPr="00192094">
              <w:rPr>
                <w:lang w:val="es-ES_tradnl"/>
              </w:rPr>
              <w:t>TC/58/6</w:t>
            </w:r>
          </w:p>
          <w:p w14:paraId="09D80A67" w14:textId="77777777" w:rsidR="00EB4E9C" w:rsidRPr="00192094" w:rsidRDefault="00EB4E9C" w:rsidP="003C7FBE">
            <w:pPr>
              <w:pStyle w:val="Docoriginal"/>
              <w:rPr>
                <w:lang w:val="es-ES_tradnl"/>
              </w:rPr>
            </w:pPr>
            <w:r w:rsidRPr="00192094">
              <w:rPr>
                <w:lang w:val="es-ES_tradnl"/>
              </w:rPr>
              <w:t>Original:</w:t>
            </w:r>
            <w:r w:rsidRPr="00192094">
              <w:rPr>
                <w:b w:val="0"/>
                <w:lang w:val="es-ES_tradnl"/>
              </w:rPr>
              <w:t xml:space="preserve"> </w:t>
            </w:r>
            <w:proofErr w:type="gramStart"/>
            <w:r w:rsidRPr="00192094">
              <w:rPr>
                <w:b w:val="0"/>
                <w:lang w:val="es-ES_tradnl"/>
              </w:rPr>
              <w:t>Inglés</w:t>
            </w:r>
            <w:proofErr w:type="gramEnd"/>
          </w:p>
          <w:p w14:paraId="4013B935" w14:textId="77777777" w:rsidR="00EB4E9C" w:rsidRPr="00192094" w:rsidRDefault="002E5944" w:rsidP="00D63F86">
            <w:pPr>
              <w:pStyle w:val="Docoriginal"/>
              <w:rPr>
                <w:lang w:val="es-ES_tradnl"/>
              </w:rPr>
            </w:pPr>
            <w:r w:rsidRPr="00192094">
              <w:rPr>
                <w:lang w:val="es-ES_tradnl"/>
              </w:rPr>
              <w:t>Fecha:</w:t>
            </w:r>
            <w:r w:rsidRPr="00192094">
              <w:rPr>
                <w:b w:val="0"/>
                <w:lang w:val="es-ES_tradnl"/>
              </w:rPr>
              <w:t xml:space="preserve"> 5 de octubre de 2022</w:t>
            </w:r>
          </w:p>
        </w:tc>
      </w:tr>
    </w:tbl>
    <w:p w14:paraId="6AA9AEBB" w14:textId="77777777" w:rsidR="000D7780" w:rsidRPr="00192094" w:rsidRDefault="00D63F86" w:rsidP="006A644A">
      <w:pPr>
        <w:pStyle w:val="Titleofdoc0"/>
        <w:rPr>
          <w:lang w:val="es-ES_tradnl"/>
        </w:rPr>
      </w:pPr>
      <w:r w:rsidRPr="00192094">
        <w:rPr>
          <w:lang w:val="es-ES_tradnl"/>
        </w:rPr>
        <w:t>Criterio combinado interanual de homogeneidad (COYU)</w:t>
      </w:r>
    </w:p>
    <w:p w14:paraId="0AA11C72" w14:textId="77777777" w:rsidR="006A644A" w:rsidRPr="00192094" w:rsidRDefault="000638A9" w:rsidP="006A644A">
      <w:pPr>
        <w:pStyle w:val="preparedby1"/>
        <w:jc w:val="left"/>
        <w:rPr>
          <w:lang w:val="es-ES_tradnl"/>
        </w:rPr>
      </w:pPr>
      <w:r w:rsidRPr="00192094">
        <w:rPr>
          <w:lang w:val="es-ES_tradnl"/>
        </w:rPr>
        <w:t>Documento preparado por la Oficina de la Unión</w:t>
      </w:r>
    </w:p>
    <w:p w14:paraId="61CCF317" w14:textId="77777777" w:rsidR="00050E16" w:rsidRPr="00192094" w:rsidRDefault="000638A9" w:rsidP="006A644A">
      <w:pPr>
        <w:pStyle w:val="Disclaimer"/>
        <w:rPr>
          <w:lang w:val="es-ES_tradnl"/>
        </w:rPr>
      </w:pPr>
      <w:r w:rsidRPr="00192094">
        <w:rPr>
          <w:lang w:val="es-ES_tradnl"/>
        </w:rPr>
        <w:t>Descargo de responsabilidad: el presente documento no constituye un documento de política u orientación de la UPOV</w:t>
      </w:r>
    </w:p>
    <w:p w14:paraId="0E96A39B" w14:textId="77777777" w:rsidR="00D63F86" w:rsidRPr="00192094" w:rsidRDefault="00D63F86" w:rsidP="00D63F86">
      <w:pPr>
        <w:keepNext/>
        <w:outlineLvl w:val="0"/>
        <w:rPr>
          <w:rFonts w:eastAsiaTheme="minorEastAsia"/>
          <w:caps/>
          <w:lang w:val="es-ES_tradnl"/>
        </w:rPr>
      </w:pPr>
      <w:bookmarkStart w:id="0" w:name="_Toc524691135"/>
      <w:bookmarkStart w:id="1" w:name="_Toc483235547"/>
      <w:bookmarkStart w:id="2" w:name="_Toc474404967"/>
      <w:bookmarkStart w:id="3" w:name="_Ref438649598"/>
      <w:bookmarkStart w:id="4" w:name="_Toc116941326"/>
      <w:bookmarkStart w:id="5" w:name="_Toc17894057"/>
      <w:bookmarkStart w:id="6" w:name="_Toc475955714"/>
      <w:r w:rsidRPr="00192094">
        <w:rPr>
          <w:caps/>
          <w:lang w:val="es-ES_tradnl"/>
        </w:rPr>
        <w:t>RESUMEN</w:t>
      </w:r>
      <w:bookmarkEnd w:id="0"/>
      <w:bookmarkEnd w:id="1"/>
      <w:bookmarkEnd w:id="2"/>
      <w:bookmarkEnd w:id="3"/>
      <w:bookmarkEnd w:id="4"/>
    </w:p>
    <w:p w14:paraId="440F3A83" w14:textId="77777777" w:rsidR="00D63F86" w:rsidRPr="00192094" w:rsidRDefault="00D63F86" w:rsidP="00D63F86">
      <w:pPr>
        <w:rPr>
          <w:rFonts w:eastAsiaTheme="minorEastAsia"/>
          <w:lang w:val="es-ES_tradnl" w:eastAsia="ja-JP"/>
        </w:rPr>
      </w:pPr>
    </w:p>
    <w:p w14:paraId="17449F31" w14:textId="59D3A7AD" w:rsidR="00D63F86" w:rsidRPr="00192094" w:rsidRDefault="00D63F86" w:rsidP="00D63F86">
      <w:pPr>
        <w:rPr>
          <w:lang w:val="es-ES_tradnl"/>
        </w:rPr>
      </w:pPr>
      <w:r w:rsidRPr="00192094">
        <w:rPr>
          <w:lang w:val="es-ES_tradnl"/>
        </w:rPr>
        <w:fldChar w:fldCharType="begin"/>
      </w:r>
      <w:r w:rsidRPr="00192094">
        <w:rPr>
          <w:rFonts w:eastAsiaTheme="minorEastAsia"/>
          <w:lang w:val="es-ES_tradnl"/>
        </w:rPr>
        <w:instrText xml:space="preserve"> AUTONUM  </w:instrText>
      </w:r>
      <w:r w:rsidRPr="00192094">
        <w:rPr>
          <w:lang w:val="es-ES_tradnl"/>
        </w:rPr>
        <w:fldChar w:fldCharType="end"/>
      </w:r>
      <w:r w:rsidRPr="00192094">
        <w:rPr>
          <w:lang w:val="es-ES_tradnl"/>
        </w:rPr>
        <w:tab/>
        <w:t>Este documento tiene por objeto examinar una propuesta de proyecto de revisión de la sección</w:t>
      </w:r>
      <w:r w:rsidR="003D099F">
        <w:rPr>
          <w:lang w:val="es-ES_tradnl"/>
        </w:rPr>
        <w:t> </w:t>
      </w:r>
      <w:r w:rsidRPr="00192094">
        <w:rPr>
          <w:lang w:val="es-ES_tradnl"/>
        </w:rPr>
        <w:t>9 “Criterio combinado interanual de homogeneidad (COYU)” del documento</w:t>
      </w:r>
      <w:r w:rsidR="003D099F">
        <w:rPr>
          <w:lang w:val="es-ES_tradnl"/>
        </w:rPr>
        <w:t> </w:t>
      </w:r>
      <w:r w:rsidRPr="00192094">
        <w:rPr>
          <w:lang w:val="es-ES_tradnl"/>
        </w:rPr>
        <w:t>TGP/8: “Diseño de ensayos y técnicas utilizados en el examen de la distinción, la homogeneidad y la estabilidad”.</w:t>
      </w:r>
    </w:p>
    <w:p w14:paraId="3E9BC7FC" w14:textId="77777777" w:rsidR="00D63F86" w:rsidRPr="00192094" w:rsidRDefault="00D63F86" w:rsidP="00D63F86">
      <w:pPr>
        <w:rPr>
          <w:lang w:val="es-ES_tradnl"/>
        </w:rPr>
      </w:pPr>
    </w:p>
    <w:p w14:paraId="7953D653" w14:textId="2022302F" w:rsidR="00D63F86" w:rsidRPr="00192094" w:rsidRDefault="00D63F86" w:rsidP="00D63F86">
      <w:pPr>
        <w:tabs>
          <w:tab w:val="left" w:pos="567"/>
          <w:tab w:val="left" w:pos="1134"/>
          <w:tab w:val="left" w:pos="5387"/>
        </w:tabs>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Se invita al</w:t>
      </w:r>
      <w:r w:rsidR="003D099F">
        <w:rPr>
          <w:lang w:val="es-ES_tradnl"/>
        </w:rPr>
        <w:t> </w:t>
      </w:r>
      <w:r w:rsidRPr="00192094">
        <w:rPr>
          <w:lang w:val="es-ES_tradnl"/>
        </w:rPr>
        <w:t>TC a:</w:t>
      </w:r>
    </w:p>
    <w:p w14:paraId="20522ECE" w14:textId="77777777" w:rsidR="00D63F86" w:rsidRPr="00192094" w:rsidRDefault="00D63F86" w:rsidP="00D63F86">
      <w:pPr>
        <w:tabs>
          <w:tab w:val="left" w:pos="567"/>
          <w:tab w:val="left" w:pos="1134"/>
          <w:tab w:val="left" w:pos="5387"/>
        </w:tabs>
        <w:rPr>
          <w:lang w:val="es-ES_tradnl"/>
        </w:rPr>
      </w:pPr>
    </w:p>
    <w:p w14:paraId="0BDA6A08" w14:textId="7A058BB9" w:rsidR="00D63F86" w:rsidRPr="00192094" w:rsidRDefault="00D63F86" w:rsidP="00D63F86">
      <w:pPr>
        <w:ind w:firstLine="630"/>
        <w:rPr>
          <w:lang w:val="es-ES_tradnl"/>
        </w:rPr>
      </w:pPr>
      <w:r w:rsidRPr="00192094">
        <w:rPr>
          <w:lang w:val="es-ES_tradnl"/>
        </w:rPr>
        <w:t>a)</w:t>
      </w:r>
      <w:r w:rsidRPr="00192094">
        <w:rPr>
          <w:lang w:val="es-ES_tradnl"/>
        </w:rPr>
        <w:tab/>
        <w:t xml:space="preserve">tomar nota de que está previsto que se ponga en marcha una nueva versión de DUSTNT que incorpore COYU con </w:t>
      </w:r>
      <w:proofErr w:type="spellStart"/>
      <w:r w:rsidRPr="00192094">
        <w:rPr>
          <w:i/>
          <w:lang w:val="es-ES_tradnl"/>
        </w:rPr>
        <w:t>splines</w:t>
      </w:r>
      <w:proofErr w:type="spellEnd"/>
      <w:r w:rsidRPr="00192094">
        <w:rPr>
          <w:lang w:val="es-ES_tradnl"/>
        </w:rPr>
        <w:t xml:space="preserve"> (DUST9NT) en septiembre de</w:t>
      </w:r>
      <w:r w:rsidR="003D099F">
        <w:rPr>
          <w:lang w:val="es-ES_tradnl"/>
        </w:rPr>
        <w:t> </w:t>
      </w:r>
      <w:r w:rsidRPr="00192094">
        <w:rPr>
          <w:lang w:val="es-ES_tradnl"/>
        </w:rPr>
        <w:t xml:space="preserve">2023, una vez que se hayan incorporado las mejoras identificadas a </w:t>
      </w:r>
      <w:r w:rsidR="003D099F">
        <w:rPr>
          <w:lang w:val="es-ES_tradnl"/>
        </w:rPr>
        <w:t xml:space="preserve">partir </w:t>
      </w:r>
      <w:r w:rsidRPr="00192094">
        <w:rPr>
          <w:lang w:val="es-ES_tradnl"/>
        </w:rPr>
        <w:t>de la campaña de pruebas, a excepción de la extrapolación;</w:t>
      </w:r>
    </w:p>
    <w:p w14:paraId="55227C89" w14:textId="77777777" w:rsidR="00D63F86" w:rsidRPr="00192094" w:rsidRDefault="00D63F86" w:rsidP="00D63F86">
      <w:pPr>
        <w:ind w:firstLine="630"/>
        <w:rPr>
          <w:lang w:val="es-ES_tradnl"/>
        </w:rPr>
      </w:pPr>
    </w:p>
    <w:p w14:paraId="2710867D" w14:textId="1D0F6012" w:rsidR="00D63F86" w:rsidRPr="00192094" w:rsidRDefault="00D63F86" w:rsidP="00D63F86">
      <w:pPr>
        <w:ind w:firstLine="630"/>
        <w:rPr>
          <w:lang w:val="es-ES_tradnl"/>
        </w:rPr>
      </w:pPr>
      <w:r w:rsidRPr="00192094">
        <w:rPr>
          <w:lang w:val="es-ES_tradnl"/>
        </w:rPr>
        <w:t>b)</w:t>
      </w:r>
      <w:r w:rsidRPr="00192094">
        <w:rPr>
          <w:lang w:val="es-ES_tradnl"/>
        </w:rPr>
        <w:tab/>
        <w:t>tomar nota de que se necesitarán nuevas revisiones del documento</w:t>
      </w:r>
      <w:r w:rsidR="003D099F">
        <w:rPr>
          <w:lang w:val="es-ES_tradnl"/>
        </w:rPr>
        <w:t> </w:t>
      </w:r>
      <w:r w:rsidRPr="00192094">
        <w:rPr>
          <w:lang w:val="es-ES_tradnl"/>
        </w:rPr>
        <w:t>TGP/8 para incorporar orientaciones sobre la extrapolación y los requisitos mínimos relativos a los datos;</w:t>
      </w:r>
    </w:p>
    <w:p w14:paraId="40042068" w14:textId="77777777" w:rsidR="00D63F86" w:rsidRPr="00192094" w:rsidRDefault="00D63F86" w:rsidP="00D63F86">
      <w:pPr>
        <w:ind w:firstLine="630"/>
        <w:rPr>
          <w:lang w:val="es-ES_tradnl"/>
        </w:rPr>
      </w:pPr>
    </w:p>
    <w:p w14:paraId="795C1C0E" w14:textId="77777777" w:rsidR="00D63F86" w:rsidRPr="00192094" w:rsidRDefault="00D63F86" w:rsidP="00D63F86">
      <w:pPr>
        <w:ind w:firstLine="630"/>
        <w:rPr>
          <w:lang w:val="es-ES_tradnl"/>
        </w:rPr>
      </w:pPr>
      <w:r w:rsidRPr="00192094">
        <w:rPr>
          <w:lang w:val="es-ES_tradnl"/>
        </w:rPr>
        <w:t>c)</w:t>
      </w:r>
      <w:r w:rsidRPr="00192094">
        <w:rPr>
          <w:lang w:val="es-ES_tradnl"/>
        </w:rPr>
        <w:tab/>
        <w:t xml:space="preserve">tomar nota de que se recomienda que los expertos en los cultivos consideren de forma especial la homogeneidad cuando haya extrapolación; </w:t>
      </w:r>
    </w:p>
    <w:p w14:paraId="5DAD42F7" w14:textId="77777777" w:rsidR="00D63F86" w:rsidRPr="00192094" w:rsidRDefault="00D63F86" w:rsidP="00D63F86">
      <w:pPr>
        <w:ind w:firstLine="630"/>
        <w:rPr>
          <w:lang w:val="es-ES_tradnl"/>
        </w:rPr>
      </w:pPr>
    </w:p>
    <w:p w14:paraId="5AEEDD90" w14:textId="383C49C8" w:rsidR="00D63F86" w:rsidRPr="00192094" w:rsidRDefault="00D63F86" w:rsidP="00D63F86">
      <w:pPr>
        <w:ind w:firstLine="630"/>
        <w:rPr>
          <w:lang w:val="es-ES_tradnl"/>
        </w:rPr>
      </w:pPr>
      <w:r w:rsidRPr="00192094">
        <w:rPr>
          <w:lang w:val="es-ES_tradnl"/>
        </w:rPr>
        <w:t>d)</w:t>
      </w:r>
      <w:r w:rsidRPr="00192094">
        <w:rPr>
          <w:lang w:val="es-ES_tradnl"/>
        </w:rPr>
        <w:tab/>
        <w:t>tomar nota de que el</w:t>
      </w:r>
      <w:r w:rsidR="003D099F">
        <w:rPr>
          <w:lang w:val="es-ES_tradnl"/>
        </w:rPr>
        <w:t> </w:t>
      </w:r>
      <w:r w:rsidRPr="00192094">
        <w:rPr>
          <w:lang w:val="es-ES_tradnl"/>
        </w:rPr>
        <w:t xml:space="preserve">TWM convino en que será necesario seguir manteniendo debates sobre los </w:t>
      </w:r>
      <w:r w:rsidR="003D099F">
        <w:rPr>
          <w:lang w:val="es-ES_tradnl"/>
        </w:rPr>
        <w:t xml:space="preserve">posibles </w:t>
      </w:r>
      <w:r w:rsidRPr="00192094">
        <w:rPr>
          <w:lang w:val="es-ES_tradnl"/>
        </w:rPr>
        <w:t>enfoques cuando la extrapolación esté indicada e invitó al</w:t>
      </w:r>
      <w:r w:rsidR="003D099F">
        <w:rPr>
          <w:lang w:val="es-ES_tradnl"/>
        </w:rPr>
        <w:t> </w:t>
      </w:r>
      <w:r w:rsidRPr="00192094">
        <w:rPr>
          <w:lang w:val="es-ES_tradnl"/>
        </w:rPr>
        <w:t>Reino</w:t>
      </w:r>
      <w:r w:rsidR="003D099F">
        <w:rPr>
          <w:lang w:val="es-ES_tradnl"/>
        </w:rPr>
        <w:t> </w:t>
      </w:r>
      <w:r w:rsidRPr="00192094">
        <w:rPr>
          <w:lang w:val="es-ES_tradnl"/>
        </w:rPr>
        <w:t>Unido y a otros miembros a presentar un informe en la segunda sesión del</w:t>
      </w:r>
      <w:r w:rsidR="003D099F">
        <w:rPr>
          <w:lang w:val="es-ES_tradnl"/>
        </w:rPr>
        <w:t> </w:t>
      </w:r>
      <w:r w:rsidRPr="00192094">
        <w:rPr>
          <w:lang w:val="es-ES_tradnl"/>
        </w:rPr>
        <w:t>TWM; y</w:t>
      </w:r>
    </w:p>
    <w:p w14:paraId="18B6C35E" w14:textId="77777777" w:rsidR="00D63F86" w:rsidRPr="00192094" w:rsidRDefault="00D63F86" w:rsidP="00D63F86">
      <w:pPr>
        <w:ind w:firstLine="630"/>
        <w:rPr>
          <w:lang w:val="es-ES_tradnl"/>
        </w:rPr>
      </w:pPr>
    </w:p>
    <w:p w14:paraId="3671AFC3" w14:textId="2175FF6A" w:rsidR="00D63F86" w:rsidRPr="00192094" w:rsidRDefault="00D63F86" w:rsidP="00D63F86">
      <w:pPr>
        <w:ind w:firstLine="630"/>
        <w:rPr>
          <w:lang w:val="es-ES_tradnl"/>
        </w:rPr>
      </w:pPr>
      <w:r w:rsidRPr="00192094">
        <w:rPr>
          <w:lang w:val="es-ES_tradnl"/>
        </w:rPr>
        <w:t>e)</w:t>
      </w:r>
      <w:r w:rsidRPr="00192094">
        <w:rPr>
          <w:lang w:val="es-ES_tradnl"/>
        </w:rPr>
        <w:tab/>
        <w:t>solicitar al</w:t>
      </w:r>
      <w:r w:rsidR="003D099F">
        <w:rPr>
          <w:lang w:val="es-ES_tradnl"/>
        </w:rPr>
        <w:t> </w:t>
      </w:r>
      <w:r w:rsidRPr="00192094">
        <w:rPr>
          <w:lang w:val="es-ES_tradnl"/>
        </w:rPr>
        <w:t>TWM que elabore un informe de los resultados de la campaña de pruebas del programa informático para el</w:t>
      </w:r>
      <w:r w:rsidR="003D099F">
        <w:rPr>
          <w:lang w:val="es-ES_tradnl"/>
        </w:rPr>
        <w:t xml:space="preserve"> </w:t>
      </w:r>
      <w:r w:rsidRPr="00192094">
        <w:rPr>
          <w:lang w:val="es-ES_tradnl"/>
        </w:rPr>
        <w:t xml:space="preserve">COYU con </w:t>
      </w:r>
      <w:proofErr w:type="spellStart"/>
      <w:r w:rsidRPr="00192094">
        <w:rPr>
          <w:i/>
          <w:lang w:val="es-ES_tradnl"/>
        </w:rPr>
        <w:t>splines</w:t>
      </w:r>
      <w:proofErr w:type="spellEnd"/>
      <w:r w:rsidRPr="00192094">
        <w:rPr>
          <w:lang w:val="es-ES_tradnl"/>
        </w:rPr>
        <w:t>, a fin de que este Comité lo examine en coincidencia con la revisión del documento</w:t>
      </w:r>
      <w:r w:rsidR="003D099F">
        <w:rPr>
          <w:lang w:val="es-ES_tradnl"/>
        </w:rPr>
        <w:t> </w:t>
      </w:r>
      <w:r w:rsidRPr="00192094">
        <w:rPr>
          <w:lang w:val="es-ES_tradnl"/>
        </w:rPr>
        <w:t xml:space="preserve">TGP/8. </w:t>
      </w:r>
    </w:p>
    <w:p w14:paraId="427091AC" w14:textId="77777777" w:rsidR="00D63F86" w:rsidRPr="00192094" w:rsidRDefault="00D63F86" w:rsidP="00D63F86">
      <w:pPr>
        <w:ind w:firstLine="630"/>
        <w:rPr>
          <w:rFonts w:eastAsia="MS Mincho"/>
          <w:i/>
          <w:lang w:val="es-ES_tradnl"/>
        </w:rPr>
      </w:pPr>
    </w:p>
    <w:p w14:paraId="73915869" w14:textId="77777777" w:rsidR="00D63F86" w:rsidRPr="00192094" w:rsidRDefault="00D63F86" w:rsidP="00D63F86">
      <w:pPr>
        <w:keepNext/>
        <w:keepLines/>
        <w:spacing w:after="240"/>
        <w:rPr>
          <w:snapToGrid w:val="0"/>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r>
      <w:r w:rsidRPr="00192094">
        <w:rPr>
          <w:snapToGrid w:val="0"/>
          <w:lang w:val="es-ES_tradnl"/>
        </w:rPr>
        <w:t>El presente documento se estructura del siguiente modo:</w:t>
      </w:r>
    </w:p>
    <w:p w14:paraId="29F9A7B0" w14:textId="77777777" w:rsidR="00192094" w:rsidRPr="00192094" w:rsidRDefault="00D63F86" w:rsidP="002D4B30">
      <w:pPr>
        <w:pStyle w:val="TOC1"/>
        <w:rPr>
          <w:rFonts w:asciiTheme="minorHAnsi" w:eastAsiaTheme="minorEastAsia" w:hAnsiTheme="minorHAnsi" w:cstheme="minorBidi"/>
          <w:noProof/>
          <w:sz w:val="22"/>
          <w:szCs w:val="22"/>
          <w:lang w:val="es-ES_tradnl" w:eastAsia="es-ES"/>
        </w:rPr>
      </w:pPr>
      <w:r w:rsidRPr="00192094">
        <w:rPr>
          <w:szCs w:val="18"/>
          <w:lang w:val="es-ES_tradnl"/>
        </w:rPr>
        <w:fldChar w:fldCharType="begin"/>
      </w:r>
      <w:r w:rsidRPr="00192094">
        <w:rPr>
          <w:rFonts w:cs="Arial"/>
          <w:snapToGrid w:val="0"/>
          <w:szCs w:val="18"/>
          <w:lang w:val="es-ES_tradnl"/>
        </w:rPr>
        <w:instrText xml:space="preserve"> TOC \o "1-3" \u </w:instrText>
      </w:r>
      <w:r w:rsidRPr="00192094">
        <w:rPr>
          <w:szCs w:val="18"/>
          <w:lang w:val="es-ES_tradnl"/>
        </w:rPr>
        <w:fldChar w:fldCharType="separate"/>
      </w:r>
      <w:r w:rsidR="00192094" w:rsidRPr="00192094">
        <w:rPr>
          <w:noProof/>
          <w:lang w:val="es-ES_tradnl"/>
        </w:rPr>
        <w:t>RESUMEN</w:t>
      </w:r>
      <w:r w:rsidR="00192094" w:rsidRPr="00192094">
        <w:rPr>
          <w:noProof/>
          <w:lang w:val="es-ES_tradnl"/>
        </w:rPr>
        <w:tab/>
      </w:r>
      <w:r w:rsidR="00192094" w:rsidRPr="00192094">
        <w:rPr>
          <w:noProof/>
          <w:lang w:val="es-ES_tradnl"/>
        </w:rPr>
        <w:fldChar w:fldCharType="begin"/>
      </w:r>
      <w:r w:rsidR="00192094" w:rsidRPr="00192094">
        <w:rPr>
          <w:noProof/>
          <w:lang w:val="es-ES_tradnl"/>
        </w:rPr>
        <w:instrText xml:space="preserve"> PAGEREF _Toc116941326 \h </w:instrText>
      </w:r>
      <w:r w:rsidR="00192094" w:rsidRPr="00192094">
        <w:rPr>
          <w:noProof/>
          <w:lang w:val="es-ES_tradnl"/>
        </w:rPr>
      </w:r>
      <w:r w:rsidR="00192094" w:rsidRPr="00192094">
        <w:rPr>
          <w:noProof/>
          <w:lang w:val="es-ES_tradnl"/>
        </w:rPr>
        <w:fldChar w:fldCharType="separate"/>
      </w:r>
      <w:r w:rsidR="00192094" w:rsidRPr="00192094">
        <w:rPr>
          <w:noProof/>
          <w:lang w:val="es-ES_tradnl"/>
        </w:rPr>
        <w:t>1</w:t>
      </w:r>
      <w:r w:rsidR="00192094" w:rsidRPr="00192094">
        <w:rPr>
          <w:noProof/>
          <w:lang w:val="es-ES_tradnl"/>
        </w:rPr>
        <w:fldChar w:fldCharType="end"/>
      </w:r>
    </w:p>
    <w:p w14:paraId="69A2C202" w14:textId="77777777" w:rsidR="00192094" w:rsidRPr="00192094" w:rsidRDefault="00192094" w:rsidP="002D4B30">
      <w:pPr>
        <w:pStyle w:val="TOC1"/>
        <w:rPr>
          <w:rFonts w:asciiTheme="minorHAnsi" w:eastAsiaTheme="minorEastAsia" w:hAnsiTheme="minorHAnsi" w:cstheme="minorBidi"/>
          <w:noProof/>
          <w:sz w:val="22"/>
          <w:szCs w:val="22"/>
          <w:lang w:val="es-ES_tradnl" w:eastAsia="es-ES"/>
        </w:rPr>
      </w:pPr>
      <w:r w:rsidRPr="00192094">
        <w:rPr>
          <w:noProof/>
          <w:lang w:val="es-ES_tradnl"/>
        </w:rPr>
        <w:t>ANTECEDENTES</w:t>
      </w:r>
      <w:r w:rsidRPr="00192094">
        <w:rPr>
          <w:noProof/>
          <w:lang w:val="es-ES_tradnl"/>
        </w:rPr>
        <w:tab/>
      </w:r>
      <w:r w:rsidRPr="00192094">
        <w:rPr>
          <w:noProof/>
          <w:lang w:val="es-ES_tradnl"/>
        </w:rPr>
        <w:fldChar w:fldCharType="begin"/>
      </w:r>
      <w:r w:rsidRPr="00192094">
        <w:rPr>
          <w:noProof/>
          <w:lang w:val="es-ES_tradnl"/>
        </w:rPr>
        <w:instrText xml:space="preserve"> PAGEREF _Toc116941327 \h </w:instrText>
      </w:r>
      <w:r w:rsidRPr="00192094">
        <w:rPr>
          <w:noProof/>
          <w:lang w:val="es-ES_tradnl"/>
        </w:rPr>
      </w:r>
      <w:r w:rsidRPr="00192094">
        <w:rPr>
          <w:noProof/>
          <w:lang w:val="es-ES_tradnl"/>
        </w:rPr>
        <w:fldChar w:fldCharType="separate"/>
      </w:r>
      <w:r w:rsidRPr="00192094">
        <w:rPr>
          <w:noProof/>
          <w:lang w:val="es-ES_tradnl"/>
        </w:rPr>
        <w:t>2</w:t>
      </w:r>
      <w:r w:rsidRPr="00192094">
        <w:rPr>
          <w:noProof/>
          <w:lang w:val="es-ES_tradnl"/>
        </w:rPr>
        <w:fldChar w:fldCharType="end"/>
      </w:r>
    </w:p>
    <w:p w14:paraId="23F9B3F9" w14:textId="77777777" w:rsidR="00192094" w:rsidRPr="00192094" w:rsidRDefault="00192094" w:rsidP="002D4B30">
      <w:pPr>
        <w:pStyle w:val="TOC1"/>
        <w:rPr>
          <w:rFonts w:asciiTheme="minorHAnsi" w:eastAsiaTheme="minorEastAsia" w:hAnsiTheme="minorHAnsi" w:cstheme="minorBidi"/>
          <w:noProof/>
          <w:sz w:val="22"/>
          <w:szCs w:val="22"/>
          <w:lang w:val="es-ES_tradnl" w:eastAsia="es-ES"/>
        </w:rPr>
      </w:pPr>
      <w:r w:rsidRPr="00192094">
        <w:rPr>
          <w:noProof/>
          <w:lang w:val="es-ES_tradnl"/>
        </w:rPr>
        <w:t>novedades que se han producido en los Grupos de Trabajo Técnico</w:t>
      </w:r>
      <w:r w:rsidRPr="00192094">
        <w:rPr>
          <w:noProof/>
          <w:lang w:val="es-ES_tradnl"/>
        </w:rPr>
        <w:tab/>
      </w:r>
      <w:r w:rsidRPr="00192094">
        <w:rPr>
          <w:noProof/>
          <w:lang w:val="es-ES_tradnl"/>
        </w:rPr>
        <w:fldChar w:fldCharType="begin"/>
      </w:r>
      <w:r w:rsidRPr="00192094">
        <w:rPr>
          <w:noProof/>
          <w:lang w:val="es-ES_tradnl"/>
        </w:rPr>
        <w:instrText xml:space="preserve"> PAGEREF _Toc116941328 \h </w:instrText>
      </w:r>
      <w:r w:rsidRPr="00192094">
        <w:rPr>
          <w:noProof/>
          <w:lang w:val="es-ES_tradnl"/>
        </w:rPr>
      </w:r>
      <w:r w:rsidRPr="00192094">
        <w:rPr>
          <w:noProof/>
          <w:lang w:val="es-ES_tradnl"/>
        </w:rPr>
        <w:fldChar w:fldCharType="separate"/>
      </w:r>
      <w:r w:rsidRPr="00192094">
        <w:rPr>
          <w:noProof/>
          <w:lang w:val="es-ES_tradnl"/>
        </w:rPr>
        <w:t>3</w:t>
      </w:r>
      <w:r w:rsidRPr="00192094">
        <w:rPr>
          <w:noProof/>
          <w:lang w:val="es-ES_tradnl"/>
        </w:rPr>
        <w:fldChar w:fldCharType="end"/>
      </w:r>
    </w:p>
    <w:p w14:paraId="0936CAF4" w14:textId="77777777" w:rsidR="00192094" w:rsidRPr="00192094" w:rsidRDefault="00192094" w:rsidP="002D4B30">
      <w:pPr>
        <w:pStyle w:val="TOC1"/>
        <w:rPr>
          <w:rFonts w:asciiTheme="minorHAnsi" w:eastAsiaTheme="minorEastAsia" w:hAnsiTheme="minorHAnsi" w:cstheme="minorBidi"/>
          <w:noProof/>
          <w:sz w:val="22"/>
          <w:szCs w:val="22"/>
          <w:lang w:val="es-ES_tradnl" w:eastAsia="es-ES"/>
        </w:rPr>
      </w:pPr>
      <w:r w:rsidRPr="00192094">
        <w:rPr>
          <w:noProof/>
          <w:lang w:val="es-ES_tradnl"/>
        </w:rPr>
        <w:t>Próximos pasos</w:t>
      </w:r>
      <w:r w:rsidRPr="00192094">
        <w:rPr>
          <w:noProof/>
          <w:lang w:val="es-ES_tradnl"/>
        </w:rPr>
        <w:tab/>
      </w:r>
      <w:r w:rsidRPr="00192094">
        <w:rPr>
          <w:noProof/>
          <w:lang w:val="es-ES_tradnl"/>
        </w:rPr>
        <w:fldChar w:fldCharType="begin"/>
      </w:r>
      <w:r w:rsidRPr="00192094">
        <w:rPr>
          <w:noProof/>
          <w:lang w:val="es-ES_tradnl"/>
        </w:rPr>
        <w:instrText xml:space="preserve"> PAGEREF _Toc116941331 \h </w:instrText>
      </w:r>
      <w:r w:rsidRPr="00192094">
        <w:rPr>
          <w:noProof/>
          <w:lang w:val="es-ES_tradnl"/>
        </w:rPr>
      </w:r>
      <w:r w:rsidRPr="00192094">
        <w:rPr>
          <w:noProof/>
          <w:lang w:val="es-ES_tradnl"/>
        </w:rPr>
        <w:fldChar w:fldCharType="separate"/>
      </w:r>
      <w:r w:rsidRPr="00192094">
        <w:rPr>
          <w:noProof/>
          <w:lang w:val="es-ES_tradnl"/>
        </w:rPr>
        <w:t>4</w:t>
      </w:r>
      <w:r w:rsidRPr="00192094">
        <w:rPr>
          <w:noProof/>
          <w:lang w:val="es-ES_tradnl"/>
        </w:rPr>
        <w:fldChar w:fldCharType="end"/>
      </w:r>
    </w:p>
    <w:p w14:paraId="228C4D27" w14:textId="54B05B04" w:rsidR="00D63F86" w:rsidRPr="00192094" w:rsidRDefault="00D63F86" w:rsidP="002D4B30">
      <w:pPr>
        <w:spacing w:before="120"/>
        <w:ind w:left="1140" w:hanging="1140"/>
        <w:rPr>
          <w:sz w:val="18"/>
          <w:szCs w:val="18"/>
          <w:lang w:val="es-ES_tradnl"/>
        </w:rPr>
      </w:pPr>
      <w:r w:rsidRPr="00192094">
        <w:rPr>
          <w:sz w:val="18"/>
          <w:szCs w:val="18"/>
          <w:lang w:val="es-ES_tradnl"/>
        </w:rPr>
        <w:fldChar w:fldCharType="end"/>
      </w:r>
      <w:r w:rsidRPr="00192094">
        <w:rPr>
          <w:sz w:val="18"/>
          <w:szCs w:val="18"/>
          <w:lang w:val="es-ES_tradnl"/>
        </w:rPr>
        <w:t>ANEXO I:</w:t>
      </w:r>
      <w:r w:rsidRPr="00192094">
        <w:rPr>
          <w:sz w:val="18"/>
          <w:szCs w:val="18"/>
          <w:lang w:val="es-ES_tradnl"/>
        </w:rPr>
        <w:tab/>
        <w:t>DOCUMENTO TWM/1/7 COMBINED-OVER-YEAR UNIFORMITY (COYU) CRITERION: EXTRAPOLA</w:t>
      </w:r>
      <w:r w:rsidR="003D099F">
        <w:rPr>
          <w:sz w:val="18"/>
          <w:szCs w:val="18"/>
          <w:lang w:val="es-ES_tradnl"/>
        </w:rPr>
        <w:t>TION</w:t>
      </w:r>
      <w:r w:rsidRPr="00192094">
        <w:rPr>
          <w:sz w:val="18"/>
          <w:szCs w:val="18"/>
          <w:lang w:val="es-ES_tradnl"/>
        </w:rPr>
        <w:t xml:space="preserve"> (CRITERIO COMBINADO INTERANUAL DE HOMOGENEIDAD (COYU): EXTRAPOLACIÓN)</w:t>
      </w:r>
    </w:p>
    <w:p w14:paraId="7B789BDE" w14:textId="77777777" w:rsidR="00D63F86" w:rsidRPr="00192094" w:rsidRDefault="00D63F86" w:rsidP="00D63F86">
      <w:pPr>
        <w:spacing w:before="120"/>
        <w:ind w:left="1138" w:hanging="1138"/>
        <w:rPr>
          <w:sz w:val="18"/>
          <w:szCs w:val="18"/>
          <w:lang w:val="es-ES_tradnl"/>
        </w:rPr>
      </w:pPr>
      <w:r w:rsidRPr="00192094">
        <w:rPr>
          <w:sz w:val="18"/>
          <w:szCs w:val="18"/>
          <w:lang w:val="es-ES_tradnl"/>
        </w:rPr>
        <w:t xml:space="preserve">ANEXO II: </w:t>
      </w:r>
      <w:r w:rsidRPr="00192094">
        <w:rPr>
          <w:sz w:val="18"/>
          <w:szCs w:val="18"/>
          <w:lang w:val="es-ES_tradnl"/>
        </w:rPr>
        <w:tab/>
        <w:t xml:space="preserve">DOCUMENTO TWM/1/7 DEVELOPMENTS ON THE IMPROVED COYU METHOD (SPLINES) (NOVEDADES RELATIVAS AL MÉTODO COYU MEJORADO </w:t>
      </w:r>
      <w:r w:rsidRPr="00EE4E6E">
        <w:rPr>
          <w:i/>
          <w:iCs/>
          <w:sz w:val="18"/>
          <w:szCs w:val="18"/>
          <w:lang w:val="es-ES_tradnl"/>
        </w:rPr>
        <w:t>(SPLINES</w:t>
      </w:r>
      <w:r w:rsidRPr="00192094">
        <w:rPr>
          <w:sz w:val="18"/>
          <w:szCs w:val="18"/>
          <w:lang w:val="es-ES_tradnl"/>
        </w:rPr>
        <w:t>))</w:t>
      </w:r>
    </w:p>
    <w:p w14:paraId="5D009785" w14:textId="77777777" w:rsidR="00D63F86" w:rsidRPr="00192094" w:rsidRDefault="00D63F86" w:rsidP="00D63F86">
      <w:pPr>
        <w:rPr>
          <w:noProof/>
          <w:snapToGrid w:val="0"/>
          <w:lang w:val="es-ES_tradnl"/>
        </w:rPr>
      </w:pPr>
    </w:p>
    <w:p w14:paraId="7AC1BD87" w14:textId="77777777"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En el presente documento se utilizan las siguientes abreviaturas:</w:t>
      </w:r>
    </w:p>
    <w:p w14:paraId="7590D9AD" w14:textId="77777777" w:rsidR="00D63F86" w:rsidRPr="00192094" w:rsidRDefault="00D63F86" w:rsidP="00D63F86">
      <w:pPr>
        <w:rPr>
          <w:lang w:val="es-ES_tradnl"/>
        </w:rPr>
      </w:pPr>
    </w:p>
    <w:p w14:paraId="50FBC8F1" w14:textId="77777777" w:rsidR="00D63F86" w:rsidRPr="00192094" w:rsidRDefault="00D63F86" w:rsidP="00D63F86">
      <w:pPr>
        <w:ind w:left="1701" w:hanging="1134"/>
        <w:rPr>
          <w:lang w:val="es-ES_tradnl"/>
        </w:rPr>
      </w:pPr>
      <w:r w:rsidRPr="00192094">
        <w:rPr>
          <w:lang w:val="es-ES_tradnl"/>
        </w:rPr>
        <w:t xml:space="preserve">TC: </w:t>
      </w:r>
      <w:r w:rsidRPr="00192094">
        <w:rPr>
          <w:lang w:val="es-ES_tradnl"/>
        </w:rPr>
        <w:tab/>
        <w:t>Comité Técnico</w:t>
      </w:r>
    </w:p>
    <w:p w14:paraId="6658B292" w14:textId="77777777" w:rsidR="00D63F86" w:rsidRPr="00192094" w:rsidRDefault="00D63F86" w:rsidP="00D63F86">
      <w:pPr>
        <w:ind w:left="1701" w:hanging="1134"/>
        <w:rPr>
          <w:lang w:val="es-ES_tradnl"/>
        </w:rPr>
      </w:pPr>
      <w:r w:rsidRPr="00192094">
        <w:rPr>
          <w:lang w:val="es-ES_tradnl"/>
        </w:rPr>
        <w:t xml:space="preserve">TC-EDC: </w:t>
      </w:r>
      <w:r w:rsidRPr="00192094">
        <w:rPr>
          <w:lang w:val="es-ES_tradnl"/>
        </w:rPr>
        <w:tab/>
        <w:t>Comité de Redacción Ampliado</w:t>
      </w:r>
    </w:p>
    <w:p w14:paraId="73C76FE4" w14:textId="77777777" w:rsidR="00D63F86" w:rsidRPr="00192094" w:rsidRDefault="00D63F86" w:rsidP="00D63F86">
      <w:pPr>
        <w:ind w:left="1701" w:hanging="1134"/>
        <w:rPr>
          <w:lang w:val="es-ES_tradnl"/>
        </w:rPr>
      </w:pPr>
      <w:r w:rsidRPr="00192094">
        <w:rPr>
          <w:lang w:val="es-ES_tradnl"/>
        </w:rPr>
        <w:t xml:space="preserve">TWA: </w:t>
      </w:r>
      <w:r w:rsidRPr="00192094">
        <w:rPr>
          <w:lang w:val="es-ES_tradnl"/>
        </w:rPr>
        <w:tab/>
        <w:t>Grupo de Trabajo Técnico sobre Plantas Agrícolas</w:t>
      </w:r>
    </w:p>
    <w:p w14:paraId="451C6A66" w14:textId="77777777" w:rsidR="00D63F86" w:rsidRPr="00192094" w:rsidRDefault="00D63F86" w:rsidP="00D63F86">
      <w:pPr>
        <w:ind w:left="1701" w:hanging="1134"/>
        <w:rPr>
          <w:lang w:val="es-ES_tradnl"/>
        </w:rPr>
      </w:pPr>
      <w:r w:rsidRPr="00192094">
        <w:rPr>
          <w:lang w:val="es-ES_tradnl"/>
        </w:rPr>
        <w:lastRenderedPageBreak/>
        <w:t xml:space="preserve">TWC: </w:t>
      </w:r>
      <w:r w:rsidRPr="00192094">
        <w:rPr>
          <w:lang w:val="es-ES_tradnl"/>
        </w:rPr>
        <w:tab/>
        <w:t>Grupo de Trabajo Técnico sobre Automatización y Programas Informáticos</w:t>
      </w:r>
    </w:p>
    <w:p w14:paraId="6E2AAC89" w14:textId="77777777" w:rsidR="00D63F86" w:rsidRPr="00192094" w:rsidRDefault="00D63F86" w:rsidP="00D63F86">
      <w:pPr>
        <w:ind w:left="1701" w:hanging="1134"/>
        <w:rPr>
          <w:lang w:val="es-ES_tradnl"/>
        </w:rPr>
      </w:pPr>
      <w:r w:rsidRPr="00192094">
        <w:rPr>
          <w:lang w:val="es-ES_tradnl"/>
        </w:rPr>
        <w:t xml:space="preserve">TWF: </w:t>
      </w:r>
      <w:r w:rsidRPr="00192094">
        <w:rPr>
          <w:lang w:val="es-ES_tradnl"/>
        </w:rPr>
        <w:tab/>
        <w:t>Grupo de Trabajo Técnico sobre Plantas Frutales</w:t>
      </w:r>
    </w:p>
    <w:p w14:paraId="7629E9AB" w14:textId="77777777" w:rsidR="00D63F86" w:rsidRPr="00192094" w:rsidRDefault="00D63F86" w:rsidP="00D63F86">
      <w:pPr>
        <w:ind w:left="1701" w:hanging="1134"/>
        <w:rPr>
          <w:lang w:val="es-ES_tradnl"/>
        </w:rPr>
      </w:pPr>
      <w:r w:rsidRPr="00192094">
        <w:rPr>
          <w:lang w:val="es-ES_tradnl"/>
        </w:rPr>
        <w:t>TWM:</w:t>
      </w:r>
      <w:r w:rsidRPr="00192094">
        <w:rPr>
          <w:lang w:val="es-ES_tradnl"/>
        </w:rPr>
        <w:tab/>
        <w:t xml:space="preserve">Grupo de Trabajo Técnico sobre Métodos y Técnicas de Examen </w:t>
      </w:r>
    </w:p>
    <w:p w14:paraId="40F64686" w14:textId="77777777" w:rsidR="00D63F86" w:rsidRPr="00192094" w:rsidRDefault="00D63F86" w:rsidP="00D63F86">
      <w:pPr>
        <w:ind w:left="1701" w:hanging="1134"/>
        <w:rPr>
          <w:lang w:val="es-ES_tradnl"/>
        </w:rPr>
      </w:pPr>
      <w:r w:rsidRPr="00192094">
        <w:rPr>
          <w:lang w:val="es-ES_tradnl"/>
        </w:rPr>
        <w:t xml:space="preserve">TWO: </w:t>
      </w:r>
      <w:r w:rsidRPr="00192094">
        <w:rPr>
          <w:lang w:val="es-ES_tradnl"/>
        </w:rPr>
        <w:tab/>
        <w:t xml:space="preserve">Grupo de Trabajo Técnico sobre Plantas Ornamentales y Árboles Forestales </w:t>
      </w:r>
    </w:p>
    <w:p w14:paraId="42FC50D4" w14:textId="77777777" w:rsidR="00D63F86" w:rsidRPr="00192094" w:rsidRDefault="00D63F86" w:rsidP="00D63F86">
      <w:pPr>
        <w:ind w:left="1701" w:hanging="1134"/>
        <w:rPr>
          <w:color w:val="000000"/>
          <w:lang w:val="es-ES_tradnl"/>
        </w:rPr>
      </w:pPr>
      <w:r w:rsidRPr="00192094">
        <w:rPr>
          <w:color w:val="000000"/>
          <w:lang w:val="es-ES_tradnl"/>
        </w:rPr>
        <w:t>TWP:</w:t>
      </w:r>
      <w:r w:rsidRPr="00192094">
        <w:rPr>
          <w:color w:val="000000"/>
          <w:lang w:val="es-ES_tradnl"/>
        </w:rPr>
        <w:tab/>
        <w:t>Grupos de Trabajo Técnico</w:t>
      </w:r>
    </w:p>
    <w:p w14:paraId="64B5C029" w14:textId="77777777" w:rsidR="00D63F86" w:rsidRPr="00192094" w:rsidRDefault="00D63F86" w:rsidP="00D63F86">
      <w:pPr>
        <w:ind w:left="1701" w:hanging="1134"/>
        <w:rPr>
          <w:lang w:val="es-ES_tradnl"/>
        </w:rPr>
      </w:pPr>
      <w:r w:rsidRPr="00192094">
        <w:rPr>
          <w:lang w:val="es-ES_tradnl"/>
        </w:rPr>
        <w:t xml:space="preserve">TWV: </w:t>
      </w:r>
      <w:r w:rsidRPr="00192094">
        <w:rPr>
          <w:lang w:val="es-ES_tradnl"/>
        </w:rPr>
        <w:tab/>
        <w:t>Grupo de Trabajo Técnico sobre Hortalizas</w:t>
      </w:r>
    </w:p>
    <w:p w14:paraId="2B99DB5C" w14:textId="77777777" w:rsidR="00D63F86" w:rsidRPr="00192094" w:rsidRDefault="00D63F86" w:rsidP="00D63F86">
      <w:pPr>
        <w:rPr>
          <w:lang w:val="es-ES_tradnl"/>
        </w:rPr>
      </w:pPr>
    </w:p>
    <w:p w14:paraId="48811291" w14:textId="77777777" w:rsidR="00D63F86" w:rsidRPr="00192094" w:rsidRDefault="00D63F86" w:rsidP="00D63F86">
      <w:pPr>
        <w:rPr>
          <w:lang w:val="es-ES_tradnl"/>
        </w:rPr>
      </w:pPr>
    </w:p>
    <w:p w14:paraId="1AB21CB8" w14:textId="77777777" w:rsidR="00D63F86" w:rsidRPr="00192094" w:rsidRDefault="00D63F86" w:rsidP="00D63F86">
      <w:pPr>
        <w:keepNext/>
        <w:outlineLvl w:val="0"/>
        <w:rPr>
          <w:caps/>
          <w:lang w:val="es-ES_tradnl"/>
        </w:rPr>
      </w:pPr>
      <w:bookmarkStart w:id="7" w:name="_Toc524691136"/>
      <w:bookmarkStart w:id="8" w:name="_Toc474404968"/>
      <w:bookmarkStart w:id="9" w:name="_Toc116941327"/>
      <w:bookmarkEnd w:id="5"/>
      <w:bookmarkEnd w:id="6"/>
      <w:r w:rsidRPr="00192094">
        <w:rPr>
          <w:caps/>
          <w:lang w:val="es-ES_tradnl"/>
        </w:rPr>
        <w:t>ANTECEDENTES</w:t>
      </w:r>
      <w:bookmarkEnd w:id="7"/>
      <w:bookmarkEnd w:id="8"/>
      <w:bookmarkEnd w:id="9"/>
    </w:p>
    <w:p w14:paraId="3E0482BB" w14:textId="77777777" w:rsidR="00D63F86" w:rsidRPr="00192094" w:rsidRDefault="00D63F86" w:rsidP="00D63F86">
      <w:pPr>
        <w:rPr>
          <w:szCs w:val="24"/>
          <w:lang w:val="es-ES_tradnl" w:eastAsia="ja-JP"/>
        </w:rPr>
      </w:pPr>
    </w:p>
    <w:p w14:paraId="4E180923" w14:textId="5C3911A4" w:rsidR="00D63F86" w:rsidRPr="00192094" w:rsidRDefault="00D63F86" w:rsidP="00D63F86">
      <w:pPr>
        <w:rPr>
          <w:szCs w:val="24"/>
          <w:lang w:val="es-ES_tradnl"/>
        </w:rPr>
      </w:pPr>
      <w:r w:rsidRPr="00192094">
        <w:rPr>
          <w:rFonts w:eastAsia="Calibri"/>
          <w:lang w:val="es-ES_tradnl"/>
        </w:rPr>
        <w:fldChar w:fldCharType="begin"/>
      </w:r>
      <w:r w:rsidRPr="00192094">
        <w:rPr>
          <w:rFonts w:eastAsia="Calibri"/>
          <w:lang w:val="es-ES_tradnl"/>
        </w:rPr>
        <w:instrText xml:space="preserve"> AUTONUM  </w:instrText>
      </w:r>
      <w:r w:rsidRPr="00192094">
        <w:rPr>
          <w:rFonts w:eastAsia="Calibri"/>
          <w:lang w:val="es-ES_tradnl"/>
        </w:rPr>
        <w:fldChar w:fldCharType="end"/>
      </w:r>
      <w:r w:rsidRPr="00192094">
        <w:rPr>
          <w:lang w:val="es-ES_tradnl"/>
        </w:rPr>
        <w:tab/>
        <w:t>El criterio combinado interanual de homogeneidad (COYU) es un método utilizado para evaluar la homogeneidad sobre la base de caracteres cuantitativos medidos (véase el documento</w:t>
      </w:r>
      <w:r w:rsidR="005221B2">
        <w:rPr>
          <w:lang w:val="es-ES_tradnl"/>
        </w:rPr>
        <w:t> </w:t>
      </w:r>
      <w:r w:rsidRPr="00192094">
        <w:rPr>
          <w:lang w:val="es-ES_tradnl"/>
        </w:rPr>
        <w:t xml:space="preserve">TGP/8/3 “Diseño de ensayos y técnicas utilizados en el examen de la distinción, la homogeneidad y la estabilidad”). </w:t>
      </w:r>
    </w:p>
    <w:p w14:paraId="0B236F51" w14:textId="77777777" w:rsidR="00D63F86" w:rsidRPr="00192094" w:rsidRDefault="00D63F86" w:rsidP="00D63F86">
      <w:pPr>
        <w:rPr>
          <w:szCs w:val="24"/>
          <w:lang w:val="es-ES_tradnl" w:eastAsia="ja-JP"/>
        </w:rPr>
      </w:pPr>
    </w:p>
    <w:p w14:paraId="6972239B" w14:textId="02FEDA33" w:rsidR="00D63F86" w:rsidRPr="00192094" w:rsidRDefault="00D63F86" w:rsidP="00D63F86">
      <w:pPr>
        <w:keepNext/>
        <w:rPr>
          <w:iCs/>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En su quincuagésima cuarta sesión</w:t>
      </w:r>
      <w:r w:rsidRPr="00192094">
        <w:rPr>
          <w:vertAlign w:val="superscript"/>
          <w:lang w:val="es-ES_tradnl"/>
        </w:rPr>
        <w:footnoteReference w:id="2"/>
      </w:r>
      <w:r w:rsidRPr="00192094">
        <w:rPr>
          <w:lang w:val="es-ES_tradnl"/>
        </w:rPr>
        <w:t>, el</w:t>
      </w:r>
      <w:r w:rsidR="005221B2">
        <w:rPr>
          <w:lang w:val="es-ES_tradnl"/>
        </w:rPr>
        <w:t> </w:t>
      </w:r>
      <w:r w:rsidRPr="00192094">
        <w:rPr>
          <w:lang w:val="es-ES_tradnl"/>
        </w:rPr>
        <w:t>TC tomó nota de que se ha completado el desarrollo estadístico del nuevo método de cálculo del</w:t>
      </w:r>
      <w:r w:rsidR="005221B2">
        <w:rPr>
          <w:lang w:val="es-ES_tradnl"/>
        </w:rPr>
        <w:t> </w:t>
      </w:r>
      <w:r w:rsidRPr="00192094">
        <w:rPr>
          <w:lang w:val="es-ES_tradnl"/>
        </w:rPr>
        <w:t>COYU, en particular la determinación de los niveles de probabilidad necesarios para que las decisiones sean equiparables a las tomadas con el actual método de cálculo del</w:t>
      </w:r>
      <w:r w:rsidR="005221B2">
        <w:rPr>
          <w:lang w:val="es-ES_tradnl"/>
        </w:rPr>
        <w:t> </w:t>
      </w:r>
      <w:r w:rsidRPr="00192094">
        <w:rPr>
          <w:lang w:val="es-ES_tradnl"/>
        </w:rPr>
        <w:t>COYU. El</w:t>
      </w:r>
      <w:r w:rsidR="005221B2">
        <w:rPr>
          <w:lang w:val="es-ES_tradnl"/>
        </w:rPr>
        <w:t> </w:t>
      </w:r>
      <w:r w:rsidRPr="00192094">
        <w:rPr>
          <w:lang w:val="es-ES_tradnl"/>
        </w:rPr>
        <w:t>TC tomó nota de que el</w:t>
      </w:r>
      <w:r w:rsidR="005221B2">
        <w:rPr>
          <w:lang w:val="es-ES_tradnl"/>
        </w:rPr>
        <w:t> </w:t>
      </w:r>
      <w:r w:rsidRPr="00192094">
        <w:rPr>
          <w:lang w:val="es-ES_tradnl"/>
        </w:rPr>
        <w:t>TWC invitó al experto del</w:t>
      </w:r>
      <w:r w:rsidR="005221B2">
        <w:rPr>
          <w:lang w:val="es-ES_tradnl"/>
        </w:rPr>
        <w:t> </w:t>
      </w:r>
      <w:r w:rsidRPr="00192094">
        <w:rPr>
          <w:lang w:val="es-ES_tradnl"/>
        </w:rPr>
        <w:t>Reino Unido a elaborar una sección sobre el método de cálculo del</w:t>
      </w:r>
      <w:r w:rsidR="005221B2">
        <w:rPr>
          <w:lang w:val="es-ES_tradnl"/>
        </w:rPr>
        <w:t> </w:t>
      </w:r>
      <w:r w:rsidRPr="00192094">
        <w:rPr>
          <w:lang w:val="es-ES_tradnl"/>
        </w:rPr>
        <w:t>COYU para sustituir a la que figura en el documento</w:t>
      </w:r>
      <w:r w:rsidR="005221B2">
        <w:rPr>
          <w:lang w:val="es-ES_tradnl"/>
        </w:rPr>
        <w:t> </w:t>
      </w:r>
      <w:r w:rsidRPr="00192094">
        <w:rPr>
          <w:lang w:val="es-ES_tradnl"/>
        </w:rPr>
        <w:t>TGP/8 (véanse los párrafos</w:t>
      </w:r>
      <w:r w:rsidR="005221B2">
        <w:rPr>
          <w:lang w:val="es-ES_tradnl"/>
        </w:rPr>
        <w:t> </w:t>
      </w:r>
      <w:r w:rsidRPr="00192094">
        <w:rPr>
          <w:lang w:val="es-ES_tradnl"/>
        </w:rPr>
        <w:t>221 a</w:t>
      </w:r>
      <w:r w:rsidR="005221B2">
        <w:rPr>
          <w:lang w:val="es-ES_tradnl"/>
        </w:rPr>
        <w:t> </w:t>
      </w:r>
      <w:r w:rsidRPr="00192094">
        <w:rPr>
          <w:lang w:val="es-ES_tradnl"/>
        </w:rPr>
        <w:t>224 del documento</w:t>
      </w:r>
      <w:r w:rsidR="005221B2">
        <w:rPr>
          <w:lang w:val="es-ES_tradnl"/>
        </w:rPr>
        <w:t> </w:t>
      </w:r>
      <w:r w:rsidRPr="00192094">
        <w:rPr>
          <w:lang w:val="es-ES_tradnl"/>
        </w:rPr>
        <w:t>TC/54/25 “Informe”).</w:t>
      </w:r>
    </w:p>
    <w:p w14:paraId="5ACCDF74" w14:textId="77777777" w:rsidR="00D63F86" w:rsidRPr="00192094" w:rsidRDefault="00D63F86" w:rsidP="00D63F86">
      <w:pPr>
        <w:rPr>
          <w:u w:val="single"/>
          <w:lang w:val="es-ES_tradnl" w:eastAsia="ja-JP"/>
        </w:rPr>
      </w:pPr>
    </w:p>
    <w:p w14:paraId="00A53F6F" w14:textId="1E60D078" w:rsidR="00D63F86" w:rsidRPr="00192094" w:rsidRDefault="00D63F86" w:rsidP="00D63F86">
      <w:pPr>
        <w:rPr>
          <w:szCs w:val="24"/>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Se ofrecen más antecedentes de esta cuestión en el documento</w:t>
      </w:r>
      <w:r w:rsidR="005221B2">
        <w:rPr>
          <w:lang w:val="es-ES_tradnl"/>
        </w:rPr>
        <w:t> </w:t>
      </w:r>
      <w:r w:rsidRPr="00192094">
        <w:rPr>
          <w:lang w:val="es-ES_tradnl"/>
        </w:rPr>
        <w:t>TC/57/7 “Criterio combinado interanual de homogeneidad (COYU)”.</w:t>
      </w:r>
    </w:p>
    <w:p w14:paraId="5E7F3414" w14:textId="77777777" w:rsidR="00D63F86" w:rsidRPr="00192094" w:rsidRDefault="00D63F86" w:rsidP="00D63F86">
      <w:pPr>
        <w:rPr>
          <w:szCs w:val="24"/>
          <w:lang w:val="es-ES_tradnl" w:eastAsia="ja-JP"/>
        </w:rPr>
      </w:pPr>
    </w:p>
    <w:p w14:paraId="50FDCA4B" w14:textId="2A5C2187"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En su quincuagésima séptima sesión</w:t>
      </w:r>
      <w:r w:rsidRPr="00192094">
        <w:rPr>
          <w:rStyle w:val="FootnoteReference"/>
          <w:lang w:val="es-ES_tradnl"/>
        </w:rPr>
        <w:footnoteReference w:id="3"/>
      </w:r>
      <w:r w:rsidRPr="00192094">
        <w:rPr>
          <w:lang w:val="es-ES_tradnl"/>
        </w:rPr>
        <w:t>, el</w:t>
      </w:r>
      <w:r w:rsidR="005221B2">
        <w:rPr>
          <w:lang w:val="es-ES_tradnl"/>
        </w:rPr>
        <w:t> </w:t>
      </w:r>
      <w:r w:rsidRPr="00192094">
        <w:rPr>
          <w:lang w:val="es-ES_tradnl"/>
        </w:rPr>
        <w:t>TC tomó nota de que se estaba evaluando el programa informático para el</w:t>
      </w:r>
      <w:r w:rsidR="005221B2">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xml:space="preserve"> y que estaba previsto ponerlo en funcionamiento en el</w:t>
      </w:r>
      <w:r w:rsidR="005221B2">
        <w:rPr>
          <w:lang w:val="es-ES_tradnl"/>
        </w:rPr>
        <w:t> </w:t>
      </w:r>
      <w:r w:rsidRPr="00192094">
        <w:rPr>
          <w:lang w:val="es-ES_tradnl"/>
        </w:rPr>
        <w:t>Reino</w:t>
      </w:r>
      <w:r w:rsidR="005221B2">
        <w:rPr>
          <w:lang w:val="es-ES_tradnl"/>
        </w:rPr>
        <w:t> </w:t>
      </w:r>
      <w:r w:rsidRPr="00192094">
        <w:rPr>
          <w:lang w:val="es-ES_tradnl"/>
        </w:rPr>
        <w:t>Unido a partir de 2022.</w:t>
      </w:r>
    </w:p>
    <w:p w14:paraId="33467B2F" w14:textId="77777777" w:rsidR="00D63F86" w:rsidRPr="00192094" w:rsidRDefault="00D63F86" w:rsidP="00D63F86">
      <w:pPr>
        <w:jc w:val="left"/>
        <w:rPr>
          <w:lang w:val="es-ES_tradnl"/>
        </w:rPr>
      </w:pPr>
    </w:p>
    <w:p w14:paraId="31F08F0B" w14:textId="31F732A1"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El</w:t>
      </w:r>
      <w:r w:rsidR="005221B2">
        <w:rPr>
          <w:lang w:val="es-ES_tradnl"/>
        </w:rPr>
        <w:t> </w:t>
      </w:r>
      <w:r w:rsidRPr="00192094">
        <w:rPr>
          <w:lang w:val="es-ES_tradnl"/>
        </w:rPr>
        <w:t>TC tomó nota de que las versiones de prueba del programa informático para el</w:t>
      </w:r>
      <w:r w:rsidR="005221B2">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xml:space="preserve"> se pusieron a disposición en agosto de</w:t>
      </w:r>
      <w:r w:rsidR="005221B2">
        <w:rPr>
          <w:lang w:val="es-ES_tradnl"/>
        </w:rPr>
        <w:t> </w:t>
      </w:r>
      <w:r w:rsidRPr="00192094">
        <w:rPr>
          <w:lang w:val="es-ES_tradnl"/>
        </w:rPr>
        <w:t>2021.</w:t>
      </w:r>
    </w:p>
    <w:p w14:paraId="74AC7215" w14:textId="77777777" w:rsidR="00D63F86" w:rsidRPr="00192094" w:rsidRDefault="00D63F86" w:rsidP="00D63F86">
      <w:pPr>
        <w:jc w:val="left"/>
        <w:rPr>
          <w:lang w:val="es-ES_tradnl"/>
        </w:rPr>
      </w:pPr>
    </w:p>
    <w:p w14:paraId="16A18EB6" w14:textId="682A0986"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El</w:t>
      </w:r>
      <w:r w:rsidR="005221B2">
        <w:rPr>
          <w:lang w:val="es-ES_tradnl"/>
        </w:rPr>
        <w:t> </w:t>
      </w:r>
      <w:r w:rsidRPr="00192094">
        <w:rPr>
          <w:lang w:val="es-ES_tradnl"/>
        </w:rPr>
        <w:t>TC tomó nota de la invitación cursada a los miembros de la</w:t>
      </w:r>
      <w:r w:rsidR="005221B2">
        <w:rPr>
          <w:lang w:val="es-ES_tradnl"/>
        </w:rPr>
        <w:t> </w:t>
      </w:r>
      <w:r w:rsidRPr="00192094">
        <w:rPr>
          <w:lang w:val="es-ES_tradnl"/>
        </w:rPr>
        <w:t>Unión para que participen en la campaña de pruebas del programa informático para el</w:t>
      </w:r>
      <w:r w:rsidR="005221B2">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xml:space="preserve"> y comuniquen los resultados al experto del</w:t>
      </w:r>
      <w:r w:rsidR="005221B2">
        <w:rPr>
          <w:lang w:val="es-ES_tradnl"/>
        </w:rPr>
        <w:t> </w:t>
      </w:r>
      <w:r w:rsidRPr="00192094">
        <w:rPr>
          <w:lang w:val="es-ES_tradnl"/>
        </w:rPr>
        <w:t>Reino</w:t>
      </w:r>
      <w:r w:rsidR="005221B2">
        <w:rPr>
          <w:lang w:val="es-ES_tradnl"/>
        </w:rPr>
        <w:t> </w:t>
      </w:r>
      <w:r w:rsidRPr="00192094">
        <w:rPr>
          <w:lang w:val="es-ES_tradnl"/>
        </w:rPr>
        <w:t>Unido a más tardar el</w:t>
      </w:r>
      <w:r w:rsidR="005221B2">
        <w:rPr>
          <w:lang w:val="es-ES_tradnl"/>
        </w:rPr>
        <w:t> </w:t>
      </w:r>
      <w:r w:rsidRPr="00192094">
        <w:rPr>
          <w:lang w:val="es-ES_tradnl"/>
        </w:rPr>
        <w:t>31 de diciembre de</w:t>
      </w:r>
      <w:r w:rsidR="005221B2">
        <w:rPr>
          <w:lang w:val="es-ES_tradnl"/>
        </w:rPr>
        <w:t> </w:t>
      </w:r>
      <w:r w:rsidRPr="00192094">
        <w:rPr>
          <w:lang w:val="es-ES_tradnl"/>
        </w:rPr>
        <w:t>2021.</w:t>
      </w:r>
    </w:p>
    <w:p w14:paraId="4EEC91FD" w14:textId="77777777" w:rsidR="00D63F86" w:rsidRPr="00192094" w:rsidRDefault="00D63F86" w:rsidP="00D63F86">
      <w:pPr>
        <w:jc w:val="left"/>
        <w:rPr>
          <w:lang w:val="es-ES_tradnl"/>
        </w:rPr>
      </w:pPr>
    </w:p>
    <w:p w14:paraId="64A987C0" w14:textId="7FBFB572"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El</w:t>
      </w:r>
      <w:r w:rsidR="005221B2">
        <w:rPr>
          <w:lang w:val="es-ES_tradnl"/>
        </w:rPr>
        <w:t> </w:t>
      </w:r>
      <w:r w:rsidRPr="00192094">
        <w:rPr>
          <w:lang w:val="es-ES_tradnl"/>
        </w:rPr>
        <w:t>TC convino en solicitar al</w:t>
      </w:r>
      <w:r w:rsidR="005221B2">
        <w:rPr>
          <w:lang w:val="es-ES_tradnl"/>
        </w:rPr>
        <w:t> </w:t>
      </w:r>
      <w:r w:rsidRPr="00192094">
        <w:rPr>
          <w:lang w:val="es-ES_tradnl"/>
        </w:rPr>
        <w:t>TWC que elabore un informe de los resultados de la campaña de pruebas del programa informático para el</w:t>
      </w:r>
      <w:r w:rsidR="005221B2">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a fin de que este</w:t>
      </w:r>
      <w:r w:rsidR="005221B2">
        <w:rPr>
          <w:lang w:val="es-ES_tradnl"/>
        </w:rPr>
        <w:t> </w:t>
      </w:r>
      <w:r w:rsidRPr="00192094">
        <w:rPr>
          <w:lang w:val="es-ES_tradnl"/>
        </w:rPr>
        <w:t>Comité lo examine, en su quincuagésima octava sesión, en coincidencia con la revisión del documento</w:t>
      </w:r>
      <w:r w:rsidR="005221B2">
        <w:rPr>
          <w:lang w:val="es-ES_tradnl"/>
        </w:rPr>
        <w:t> </w:t>
      </w:r>
      <w:r w:rsidRPr="00192094">
        <w:rPr>
          <w:lang w:val="es-ES_tradnl"/>
        </w:rPr>
        <w:t>TGP/8 (véase el párrafo</w:t>
      </w:r>
      <w:r w:rsidR="005221B2">
        <w:rPr>
          <w:lang w:val="es-ES_tradnl"/>
        </w:rPr>
        <w:t> </w:t>
      </w:r>
      <w:r w:rsidRPr="00192094">
        <w:rPr>
          <w:lang w:val="es-ES_tradnl"/>
        </w:rPr>
        <w:t>33 del documento</w:t>
      </w:r>
      <w:r w:rsidR="005221B2">
        <w:rPr>
          <w:lang w:val="es-ES_tradnl"/>
        </w:rPr>
        <w:t> </w:t>
      </w:r>
      <w:r w:rsidRPr="00192094">
        <w:rPr>
          <w:lang w:val="es-ES_tradnl"/>
        </w:rPr>
        <w:t>TC/57/25 “Informe”).</w:t>
      </w:r>
    </w:p>
    <w:p w14:paraId="56C9BFB8" w14:textId="77777777" w:rsidR="00D63F86" w:rsidRPr="00192094" w:rsidRDefault="00D63F86" w:rsidP="00D63F86">
      <w:pPr>
        <w:rPr>
          <w:lang w:val="es-ES_tradnl"/>
        </w:rPr>
      </w:pPr>
    </w:p>
    <w:p w14:paraId="14CCD00F" w14:textId="77777777" w:rsidR="00D63F86" w:rsidRPr="00192094" w:rsidRDefault="00D63F86" w:rsidP="00D63F86">
      <w:pPr>
        <w:rPr>
          <w:iCs/>
          <w:lang w:val="es-ES_tradnl"/>
        </w:rPr>
      </w:pPr>
    </w:p>
    <w:p w14:paraId="10569D9A" w14:textId="77777777" w:rsidR="00D63F86" w:rsidRPr="00192094" w:rsidRDefault="00D63F86" w:rsidP="00D63F86">
      <w:pPr>
        <w:keepNext/>
        <w:keepLines/>
        <w:outlineLvl w:val="0"/>
        <w:rPr>
          <w:caps/>
          <w:lang w:val="es-ES_tradnl"/>
        </w:rPr>
      </w:pPr>
      <w:bookmarkStart w:id="10" w:name="_Toc116941328"/>
      <w:r w:rsidRPr="00192094">
        <w:rPr>
          <w:caps/>
          <w:lang w:val="es-ES_tradnl"/>
        </w:rPr>
        <w:t>novedades que se han producido en los Grupos de Trabajo Técnico</w:t>
      </w:r>
      <w:bookmarkEnd w:id="10"/>
    </w:p>
    <w:p w14:paraId="65E8E1BA" w14:textId="77777777" w:rsidR="00D63F86" w:rsidRPr="00192094" w:rsidRDefault="00D63F86" w:rsidP="00D63F86">
      <w:pPr>
        <w:keepNext/>
        <w:keepLines/>
        <w:outlineLvl w:val="0"/>
        <w:rPr>
          <w:rFonts w:cs="Arial"/>
          <w:caps/>
          <w:lang w:val="es-ES_tradnl"/>
        </w:rPr>
      </w:pPr>
    </w:p>
    <w:p w14:paraId="32289308" w14:textId="6B4EAB2D" w:rsidR="00D63F86" w:rsidRPr="00192094" w:rsidRDefault="00D63F86" w:rsidP="00D63F86">
      <w:pPr>
        <w:keepNext/>
        <w:keepLines/>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En sus sesiones de 2022, el TWV</w:t>
      </w:r>
      <w:r w:rsidRPr="00192094">
        <w:rPr>
          <w:vertAlign w:val="superscript"/>
          <w:lang w:val="es-ES_tradnl"/>
        </w:rPr>
        <w:footnoteReference w:id="4"/>
      </w:r>
      <w:r w:rsidRPr="00192094">
        <w:rPr>
          <w:lang w:val="es-ES_tradnl"/>
        </w:rPr>
        <w:t>, el</w:t>
      </w:r>
      <w:r w:rsidR="005221B2">
        <w:rPr>
          <w:lang w:val="es-ES_tradnl"/>
        </w:rPr>
        <w:t> </w:t>
      </w:r>
      <w:r w:rsidRPr="00192094">
        <w:rPr>
          <w:lang w:val="es-ES_tradnl"/>
        </w:rPr>
        <w:t>TWA</w:t>
      </w:r>
      <w:r w:rsidRPr="00192094">
        <w:rPr>
          <w:vertAlign w:val="superscript"/>
          <w:lang w:val="es-ES_tradnl"/>
        </w:rPr>
        <w:footnoteReference w:id="5"/>
      </w:r>
      <w:r w:rsidRPr="00192094">
        <w:rPr>
          <w:lang w:val="es-ES_tradnl"/>
        </w:rPr>
        <w:t>, el</w:t>
      </w:r>
      <w:r w:rsidR="005221B2">
        <w:rPr>
          <w:lang w:val="es-ES_tradnl"/>
        </w:rPr>
        <w:t> </w:t>
      </w:r>
      <w:r w:rsidRPr="00192094">
        <w:rPr>
          <w:lang w:val="es-ES_tradnl"/>
        </w:rPr>
        <w:t>TWO</w:t>
      </w:r>
      <w:r w:rsidRPr="00192094">
        <w:rPr>
          <w:vertAlign w:val="superscript"/>
          <w:lang w:val="es-ES_tradnl"/>
        </w:rPr>
        <w:footnoteReference w:id="6"/>
      </w:r>
      <w:r w:rsidRPr="00192094">
        <w:rPr>
          <w:lang w:val="es-ES_tradnl"/>
        </w:rPr>
        <w:t>, el</w:t>
      </w:r>
      <w:r w:rsidR="005221B2">
        <w:rPr>
          <w:lang w:val="es-ES_tradnl"/>
        </w:rPr>
        <w:t> </w:t>
      </w:r>
      <w:r w:rsidRPr="00192094">
        <w:rPr>
          <w:lang w:val="es-ES_tradnl"/>
        </w:rPr>
        <w:t>TWF</w:t>
      </w:r>
      <w:r w:rsidRPr="00192094">
        <w:rPr>
          <w:vertAlign w:val="superscript"/>
          <w:lang w:val="es-ES_tradnl"/>
        </w:rPr>
        <w:footnoteReference w:id="7"/>
      </w:r>
      <w:r w:rsidRPr="00192094">
        <w:rPr>
          <w:lang w:val="es-ES_tradnl"/>
        </w:rPr>
        <w:t xml:space="preserve"> y el</w:t>
      </w:r>
      <w:r w:rsidR="005221B2">
        <w:rPr>
          <w:lang w:val="es-ES_tradnl"/>
        </w:rPr>
        <w:t> </w:t>
      </w:r>
      <w:r w:rsidRPr="00192094">
        <w:rPr>
          <w:lang w:val="es-ES_tradnl"/>
        </w:rPr>
        <w:t>TWM</w:t>
      </w:r>
      <w:r w:rsidRPr="00192094">
        <w:rPr>
          <w:snapToGrid w:val="0"/>
          <w:vertAlign w:val="superscript"/>
          <w:lang w:val="es-ES_tradnl"/>
        </w:rPr>
        <w:footnoteReference w:id="8"/>
      </w:r>
      <w:r w:rsidRPr="00192094">
        <w:rPr>
          <w:lang w:val="es-ES_tradnl"/>
        </w:rPr>
        <w:t xml:space="preserve"> examinaron el documento TWP/6/11 “</w:t>
      </w:r>
      <w:proofErr w:type="spellStart"/>
      <w:r w:rsidRPr="00192094">
        <w:rPr>
          <w:lang w:val="es-ES_tradnl"/>
        </w:rPr>
        <w:t>The</w:t>
      </w:r>
      <w:proofErr w:type="spellEnd"/>
      <w:r w:rsidRPr="00192094">
        <w:rPr>
          <w:lang w:val="es-ES_tradnl"/>
        </w:rPr>
        <w:t xml:space="preserve"> </w:t>
      </w:r>
      <w:proofErr w:type="spellStart"/>
      <w:r w:rsidRPr="00192094">
        <w:rPr>
          <w:lang w:val="es-ES_tradnl"/>
        </w:rPr>
        <w:t>Combined</w:t>
      </w:r>
      <w:proofErr w:type="spellEnd"/>
      <w:r w:rsidRPr="00192094">
        <w:rPr>
          <w:lang w:val="es-ES_tradnl"/>
        </w:rPr>
        <w:t xml:space="preserve"> </w:t>
      </w:r>
      <w:proofErr w:type="spellStart"/>
      <w:r w:rsidRPr="00192094">
        <w:rPr>
          <w:lang w:val="es-ES_tradnl"/>
        </w:rPr>
        <w:t>Over</w:t>
      </w:r>
      <w:proofErr w:type="spellEnd"/>
      <w:r w:rsidRPr="00192094">
        <w:rPr>
          <w:lang w:val="es-ES_tradnl"/>
        </w:rPr>
        <w:t xml:space="preserve"> </w:t>
      </w:r>
      <w:proofErr w:type="spellStart"/>
      <w:r w:rsidRPr="00192094">
        <w:rPr>
          <w:lang w:val="es-ES_tradnl"/>
        </w:rPr>
        <w:t>Years</w:t>
      </w:r>
      <w:proofErr w:type="spellEnd"/>
      <w:r w:rsidRPr="00192094">
        <w:rPr>
          <w:lang w:val="es-ES_tradnl"/>
        </w:rPr>
        <w:t xml:space="preserve"> </w:t>
      </w:r>
      <w:proofErr w:type="spellStart"/>
      <w:r w:rsidRPr="00192094">
        <w:rPr>
          <w:lang w:val="es-ES_tradnl"/>
        </w:rPr>
        <w:t>Uniformity</w:t>
      </w:r>
      <w:proofErr w:type="spellEnd"/>
      <w:r w:rsidRPr="00192094">
        <w:rPr>
          <w:lang w:val="es-ES_tradnl"/>
        </w:rPr>
        <w:t xml:space="preserve"> </w:t>
      </w:r>
      <w:proofErr w:type="spellStart"/>
      <w:r w:rsidRPr="00192094">
        <w:rPr>
          <w:lang w:val="es-ES_tradnl"/>
        </w:rPr>
        <w:t>Criterion</w:t>
      </w:r>
      <w:proofErr w:type="spellEnd"/>
      <w:r w:rsidRPr="00192094">
        <w:rPr>
          <w:lang w:val="es-ES_tradnl"/>
        </w:rPr>
        <w:t xml:space="preserve"> (COYU)” (Criterio combinado interanual de homogeneidad (COYU)) (véanse los párrafos</w:t>
      </w:r>
      <w:r w:rsidR="005221B2">
        <w:rPr>
          <w:lang w:val="es-ES_tradnl"/>
        </w:rPr>
        <w:t> </w:t>
      </w:r>
      <w:r w:rsidRPr="00192094">
        <w:rPr>
          <w:lang w:val="es-ES_tradnl"/>
        </w:rPr>
        <w:t>12 a</w:t>
      </w:r>
      <w:r w:rsidR="005221B2">
        <w:rPr>
          <w:lang w:val="es-ES_tradnl"/>
        </w:rPr>
        <w:t> </w:t>
      </w:r>
      <w:r w:rsidRPr="00192094">
        <w:rPr>
          <w:lang w:val="es-ES_tradnl"/>
        </w:rPr>
        <w:t>15 del documento TWV/56/22 “</w:t>
      </w:r>
      <w:proofErr w:type="spellStart"/>
      <w:r w:rsidRPr="00192094">
        <w:rPr>
          <w:i/>
          <w:lang w:val="es-ES_tradnl"/>
        </w:rPr>
        <w:t>Report</w:t>
      </w:r>
      <w:proofErr w:type="spellEnd"/>
      <w:r w:rsidRPr="00192094">
        <w:rPr>
          <w:lang w:val="es-ES_tradnl"/>
        </w:rPr>
        <w:t>” (Informe); 30 a</w:t>
      </w:r>
      <w:r w:rsidR="005221B2">
        <w:rPr>
          <w:lang w:val="es-ES_tradnl"/>
        </w:rPr>
        <w:t> </w:t>
      </w:r>
      <w:r w:rsidRPr="00192094">
        <w:rPr>
          <w:lang w:val="es-ES_tradnl"/>
        </w:rPr>
        <w:t>35 de</w:t>
      </w:r>
      <w:r w:rsidR="005221B2">
        <w:rPr>
          <w:lang w:val="es-ES_tradnl"/>
        </w:rPr>
        <w:t> </w:t>
      </w:r>
      <w:r w:rsidRPr="00192094">
        <w:rPr>
          <w:lang w:val="es-ES_tradnl"/>
        </w:rPr>
        <w:t>TWA/51/11 “</w:t>
      </w:r>
      <w:proofErr w:type="spellStart"/>
      <w:r w:rsidRPr="00192094">
        <w:rPr>
          <w:i/>
          <w:lang w:val="es-ES_tradnl"/>
        </w:rPr>
        <w:t>Report</w:t>
      </w:r>
      <w:proofErr w:type="spellEnd"/>
      <w:r w:rsidRPr="00192094">
        <w:rPr>
          <w:lang w:val="es-ES_tradnl"/>
        </w:rPr>
        <w:t>” (Informe); 29 a</w:t>
      </w:r>
      <w:r w:rsidR="005221B2">
        <w:rPr>
          <w:lang w:val="es-ES_tradnl"/>
        </w:rPr>
        <w:t> </w:t>
      </w:r>
      <w:r w:rsidRPr="00192094">
        <w:rPr>
          <w:lang w:val="es-ES_tradnl"/>
        </w:rPr>
        <w:t>33 de</w:t>
      </w:r>
      <w:r w:rsidR="005221B2">
        <w:rPr>
          <w:lang w:val="es-ES_tradnl"/>
        </w:rPr>
        <w:t> </w:t>
      </w:r>
      <w:r w:rsidRPr="00192094">
        <w:rPr>
          <w:lang w:val="es-ES_tradnl"/>
        </w:rPr>
        <w:t>TWO/54/6 “</w:t>
      </w:r>
      <w:proofErr w:type="spellStart"/>
      <w:r w:rsidRPr="00192094">
        <w:rPr>
          <w:i/>
          <w:lang w:val="es-ES_tradnl"/>
        </w:rPr>
        <w:t>Report</w:t>
      </w:r>
      <w:proofErr w:type="spellEnd"/>
      <w:r w:rsidRPr="00192094">
        <w:rPr>
          <w:lang w:val="es-ES_tradnl"/>
        </w:rPr>
        <w:t>” (Informe); 14 a</w:t>
      </w:r>
      <w:r w:rsidR="005221B2">
        <w:rPr>
          <w:lang w:val="es-ES_tradnl"/>
        </w:rPr>
        <w:t> </w:t>
      </w:r>
      <w:r w:rsidRPr="00192094">
        <w:rPr>
          <w:lang w:val="es-ES_tradnl"/>
        </w:rPr>
        <w:t>18 de</w:t>
      </w:r>
      <w:r w:rsidR="005221B2">
        <w:rPr>
          <w:lang w:val="es-ES_tradnl"/>
        </w:rPr>
        <w:t> </w:t>
      </w:r>
      <w:r w:rsidRPr="00192094">
        <w:rPr>
          <w:lang w:val="es-ES_tradnl"/>
        </w:rPr>
        <w:t>TWF/53/14 “</w:t>
      </w:r>
      <w:proofErr w:type="spellStart"/>
      <w:r w:rsidRPr="00192094">
        <w:rPr>
          <w:i/>
          <w:lang w:val="es-ES_tradnl"/>
        </w:rPr>
        <w:t>Report</w:t>
      </w:r>
      <w:proofErr w:type="spellEnd"/>
      <w:r w:rsidRPr="00192094">
        <w:rPr>
          <w:lang w:val="es-ES_tradnl"/>
        </w:rPr>
        <w:t>” (Informe) y</w:t>
      </w:r>
      <w:r w:rsidR="005221B2">
        <w:rPr>
          <w:lang w:val="es-ES_tradnl"/>
        </w:rPr>
        <w:t> </w:t>
      </w:r>
      <w:r w:rsidRPr="00192094">
        <w:rPr>
          <w:lang w:val="es-ES_tradnl"/>
        </w:rPr>
        <w:t>37 a</w:t>
      </w:r>
      <w:r w:rsidR="005221B2">
        <w:rPr>
          <w:lang w:val="es-ES_tradnl"/>
        </w:rPr>
        <w:t> </w:t>
      </w:r>
      <w:r w:rsidRPr="00192094">
        <w:rPr>
          <w:lang w:val="es-ES_tradnl"/>
        </w:rPr>
        <w:t>42 de</w:t>
      </w:r>
      <w:r w:rsidR="005221B2">
        <w:rPr>
          <w:lang w:val="es-ES_tradnl"/>
        </w:rPr>
        <w:t> </w:t>
      </w:r>
      <w:r w:rsidRPr="00192094">
        <w:rPr>
          <w:lang w:val="es-ES_tradnl"/>
        </w:rPr>
        <w:t>TWM/1/26 “</w:t>
      </w:r>
      <w:proofErr w:type="spellStart"/>
      <w:r w:rsidRPr="00192094">
        <w:rPr>
          <w:i/>
          <w:lang w:val="es-ES_tradnl"/>
        </w:rPr>
        <w:t>Report</w:t>
      </w:r>
      <w:proofErr w:type="spellEnd"/>
      <w:r w:rsidRPr="00192094">
        <w:rPr>
          <w:lang w:val="es-ES_tradnl"/>
        </w:rPr>
        <w:t>” (Informe).</w:t>
      </w:r>
    </w:p>
    <w:p w14:paraId="599D7A6A" w14:textId="77777777" w:rsidR="00D63F86" w:rsidRPr="00192094" w:rsidRDefault="00D63F86" w:rsidP="00D63F86">
      <w:pPr>
        <w:rPr>
          <w:snapToGrid w:val="0"/>
          <w:lang w:val="es-ES_tradnl"/>
        </w:rPr>
      </w:pPr>
    </w:p>
    <w:p w14:paraId="096E0C8D" w14:textId="2AA800E6" w:rsidR="00D63F86" w:rsidRPr="00192094" w:rsidRDefault="00D63F86" w:rsidP="00D63F86">
      <w:pPr>
        <w:rPr>
          <w:rFonts w:cs="Arial"/>
          <w:lang w:val="es-ES_tradnl"/>
        </w:rPr>
      </w:pPr>
      <w:r w:rsidRPr="00192094">
        <w:rPr>
          <w:snapToGrid w:val="0"/>
          <w:lang w:val="es-ES_tradnl"/>
        </w:rPr>
        <w:fldChar w:fldCharType="begin"/>
      </w:r>
      <w:r w:rsidRPr="00192094">
        <w:rPr>
          <w:snapToGrid w:val="0"/>
          <w:lang w:val="es-ES_tradnl"/>
        </w:rPr>
        <w:instrText xml:space="preserve"> AUTONUM  </w:instrText>
      </w:r>
      <w:r w:rsidRPr="00192094">
        <w:rPr>
          <w:snapToGrid w:val="0"/>
          <w:lang w:val="es-ES_tradnl"/>
        </w:rPr>
        <w:fldChar w:fldCharType="end"/>
      </w:r>
      <w:r w:rsidRPr="00192094">
        <w:rPr>
          <w:snapToGrid w:val="0"/>
          <w:lang w:val="es-ES_tradnl"/>
        </w:rPr>
        <w:tab/>
      </w:r>
      <w:r w:rsidRPr="00192094">
        <w:rPr>
          <w:lang w:val="es-ES_tradnl"/>
        </w:rPr>
        <w:t>El</w:t>
      </w:r>
      <w:r w:rsidR="005221B2">
        <w:rPr>
          <w:lang w:val="es-ES_tradnl"/>
        </w:rPr>
        <w:t> </w:t>
      </w:r>
      <w:r w:rsidRPr="00192094">
        <w:rPr>
          <w:lang w:val="es-ES_tradnl"/>
        </w:rPr>
        <w:t>TWV, el</w:t>
      </w:r>
      <w:r w:rsidR="005221B2">
        <w:rPr>
          <w:lang w:val="es-ES_tradnl"/>
        </w:rPr>
        <w:t> </w:t>
      </w:r>
      <w:r w:rsidRPr="00192094">
        <w:rPr>
          <w:lang w:val="es-ES_tradnl"/>
        </w:rPr>
        <w:t>TWA, el</w:t>
      </w:r>
      <w:r w:rsidR="005221B2">
        <w:rPr>
          <w:lang w:val="es-ES_tradnl"/>
        </w:rPr>
        <w:t> </w:t>
      </w:r>
      <w:r w:rsidRPr="00192094">
        <w:rPr>
          <w:lang w:val="es-ES_tradnl"/>
        </w:rPr>
        <w:t>TWO, el</w:t>
      </w:r>
      <w:r w:rsidR="005221B2">
        <w:rPr>
          <w:lang w:val="es-ES_tradnl"/>
        </w:rPr>
        <w:t> </w:t>
      </w:r>
      <w:r w:rsidRPr="00192094">
        <w:rPr>
          <w:lang w:val="es-ES_tradnl"/>
        </w:rPr>
        <w:t>TWF y el</w:t>
      </w:r>
      <w:r w:rsidR="005221B2">
        <w:rPr>
          <w:lang w:val="es-ES_tradnl"/>
        </w:rPr>
        <w:t> </w:t>
      </w:r>
      <w:r w:rsidRPr="00192094">
        <w:rPr>
          <w:lang w:val="es-ES_tradnl"/>
        </w:rPr>
        <w:t>TWM tomaron nota de que se estaba evaluando el programa informático para el</w:t>
      </w:r>
      <w:r w:rsidR="005221B2">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xml:space="preserve"> y </w:t>
      </w:r>
      <w:r w:rsidR="005221B2">
        <w:rPr>
          <w:lang w:val="es-ES_tradnl"/>
        </w:rPr>
        <w:t xml:space="preserve">de </w:t>
      </w:r>
      <w:r w:rsidRPr="00192094">
        <w:rPr>
          <w:lang w:val="es-ES_tradnl"/>
        </w:rPr>
        <w:t>que estaba previsto ponerlo en funcionamiento en el</w:t>
      </w:r>
      <w:r w:rsidR="005221B2">
        <w:rPr>
          <w:lang w:val="es-ES_tradnl"/>
        </w:rPr>
        <w:t> </w:t>
      </w:r>
      <w:r w:rsidRPr="00192094">
        <w:rPr>
          <w:lang w:val="es-ES_tradnl"/>
        </w:rPr>
        <w:t>Reino</w:t>
      </w:r>
      <w:r w:rsidR="005221B2">
        <w:rPr>
          <w:lang w:val="es-ES_tradnl"/>
        </w:rPr>
        <w:t> </w:t>
      </w:r>
      <w:r w:rsidRPr="00192094">
        <w:rPr>
          <w:lang w:val="es-ES_tradnl"/>
        </w:rPr>
        <w:t>Unido a partir de</w:t>
      </w:r>
      <w:r w:rsidR="005221B2">
        <w:rPr>
          <w:lang w:val="es-ES_tradnl"/>
        </w:rPr>
        <w:t> </w:t>
      </w:r>
      <w:r w:rsidRPr="00192094">
        <w:rPr>
          <w:lang w:val="es-ES_tradnl"/>
        </w:rPr>
        <w:t>2022. El</w:t>
      </w:r>
      <w:r w:rsidR="005221B2">
        <w:rPr>
          <w:lang w:val="es-ES_tradnl"/>
        </w:rPr>
        <w:t> </w:t>
      </w:r>
      <w:r w:rsidRPr="00192094">
        <w:rPr>
          <w:lang w:val="es-ES_tradnl"/>
        </w:rPr>
        <w:t>TWV, el</w:t>
      </w:r>
      <w:r w:rsidR="005221B2">
        <w:rPr>
          <w:lang w:val="es-ES_tradnl"/>
        </w:rPr>
        <w:t> </w:t>
      </w:r>
      <w:r w:rsidRPr="00192094">
        <w:rPr>
          <w:lang w:val="es-ES_tradnl"/>
        </w:rPr>
        <w:t>TWA, el</w:t>
      </w:r>
      <w:r w:rsidR="005221B2">
        <w:rPr>
          <w:lang w:val="es-ES_tradnl"/>
        </w:rPr>
        <w:t> </w:t>
      </w:r>
      <w:r w:rsidRPr="00192094">
        <w:rPr>
          <w:lang w:val="es-ES_tradnl"/>
        </w:rPr>
        <w:t>TWO, el</w:t>
      </w:r>
      <w:r w:rsidR="005221B2">
        <w:rPr>
          <w:lang w:val="es-ES_tradnl"/>
        </w:rPr>
        <w:t> </w:t>
      </w:r>
      <w:r w:rsidRPr="00192094">
        <w:rPr>
          <w:lang w:val="es-ES_tradnl"/>
        </w:rPr>
        <w:t>TWF y el</w:t>
      </w:r>
      <w:r w:rsidR="005221B2">
        <w:rPr>
          <w:lang w:val="es-ES_tradnl"/>
        </w:rPr>
        <w:t> </w:t>
      </w:r>
      <w:r w:rsidRPr="00192094">
        <w:rPr>
          <w:lang w:val="es-ES_tradnl"/>
        </w:rPr>
        <w:t>TWM tomaron nota de que las versiones de prueba del programa informático para el</w:t>
      </w:r>
      <w:r w:rsidR="005C1272">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xml:space="preserve"> se pusieron a disposición en agosto de</w:t>
      </w:r>
      <w:r w:rsidR="005C1272">
        <w:rPr>
          <w:lang w:val="es-ES_tradnl"/>
        </w:rPr>
        <w:t> </w:t>
      </w:r>
      <w:r w:rsidRPr="00192094">
        <w:rPr>
          <w:lang w:val="es-ES_tradnl"/>
        </w:rPr>
        <w:t xml:space="preserve">2021. </w:t>
      </w:r>
    </w:p>
    <w:p w14:paraId="5DE4411B" w14:textId="77777777" w:rsidR="00D63F86" w:rsidRPr="00192094" w:rsidRDefault="00D63F86" w:rsidP="00D63F86">
      <w:pPr>
        <w:rPr>
          <w:rFonts w:cs="Arial"/>
          <w:lang w:val="es-ES_tradnl"/>
        </w:rPr>
      </w:pPr>
    </w:p>
    <w:p w14:paraId="18A29861" w14:textId="4BB5510E" w:rsidR="00D63F86" w:rsidRPr="00192094" w:rsidRDefault="00D63F86" w:rsidP="00D63F86">
      <w:pPr>
        <w:rPr>
          <w:lang w:val="es-ES_tradnl"/>
        </w:rPr>
      </w:pPr>
      <w:r w:rsidRPr="00192094">
        <w:rPr>
          <w:lang w:val="es-ES_tradnl"/>
        </w:rPr>
        <w:lastRenderedPageBreak/>
        <w:fldChar w:fldCharType="begin"/>
      </w:r>
      <w:r w:rsidRPr="00192094">
        <w:rPr>
          <w:lang w:val="es-ES_tradnl"/>
        </w:rPr>
        <w:instrText xml:space="preserve"> AUTONUM  </w:instrText>
      </w:r>
      <w:r w:rsidRPr="00192094">
        <w:rPr>
          <w:lang w:val="es-ES_tradnl"/>
        </w:rPr>
        <w:fldChar w:fldCharType="end"/>
      </w:r>
      <w:r w:rsidRPr="00192094">
        <w:rPr>
          <w:lang w:val="es-ES_tradnl"/>
        </w:rPr>
        <w:tab/>
        <w:t>El</w:t>
      </w:r>
      <w:r w:rsidR="005C1272">
        <w:rPr>
          <w:lang w:val="es-ES_tradnl"/>
        </w:rPr>
        <w:t> </w:t>
      </w:r>
      <w:r w:rsidRPr="00192094">
        <w:rPr>
          <w:lang w:val="es-ES_tradnl"/>
        </w:rPr>
        <w:t>TWV, el</w:t>
      </w:r>
      <w:r w:rsidR="005C1272">
        <w:rPr>
          <w:lang w:val="es-ES_tradnl"/>
        </w:rPr>
        <w:t> </w:t>
      </w:r>
      <w:r w:rsidRPr="00192094">
        <w:rPr>
          <w:lang w:val="es-ES_tradnl"/>
        </w:rPr>
        <w:t>TWA, el</w:t>
      </w:r>
      <w:r w:rsidR="005C1272">
        <w:rPr>
          <w:lang w:val="es-ES_tradnl"/>
        </w:rPr>
        <w:t> </w:t>
      </w:r>
      <w:r w:rsidRPr="00192094">
        <w:rPr>
          <w:lang w:val="es-ES_tradnl"/>
        </w:rPr>
        <w:t>TWO, el</w:t>
      </w:r>
      <w:r w:rsidR="005C1272">
        <w:rPr>
          <w:lang w:val="es-ES_tradnl"/>
        </w:rPr>
        <w:t> </w:t>
      </w:r>
      <w:r w:rsidRPr="00192094">
        <w:rPr>
          <w:lang w:val="es-ES_tradnl"/>
        </w:rPr>
        <w:t>TWF y el</w:t>
      </w:r>
      <w:r w:rsidR="005C1272">
        <w:rPr>
          <w:lang w:val="es-ES_tradnl"/>
        </w:rPr>
        <w:t> </w:t>
      </w:r>
      <w:r w:rsidRPr="00192094">
        <w:rPr>
          <w:lang w:val="es-ES_tradnl"/>
        </w:rPr>
        <w:t>TWM tomaron nota de la invitación cursada a los miembros de la</w:t>
      </w:r>
      <w:r w:rsidR="005C1272">
        <w:rPr>
          <w:lang w:val="es-ES_tradnl"/>
        </w:rPr>
        <w:t> </w:t>
      </w:r>
      <w:r w:rsidRPr="00192094">
        <w:rPr>
          <w:lang w:val="es-ES_tradnl"/>
        </w:rPr>
        <w:t>Unión para que participen en la campaña de pruebas del programa informático para el</w:t>
      </w:r>
      <w:r w:rsidR="005C1272">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xml:space="preserve"> y comuniquen los resultados al experto del</w:t>
      </w:r>
      <w:r w:rsidR="005C1272">
        <w:rPr>
          <w:lang w:val="es-ES_tradnl"/>
        </w:rPr>
        <w:t> </w:t>
      </w:r>
      <w:r w:rsidRPr="00192094">
        <w:rPr>
          <w:lang w:val="es-ES_tradnl"/>
        </w:rPr>
        <w:t>Reino</w:t>
      </w:r>
      <w:r w:rsidR="005C1272">
        <w:rPr>
          <w:lang w:val="es-ES_tradnl"/>
        </w:rPr>
        <w:t> </w:t>
      </w:r>
      <w:r w:rsidRPr="00192094">
        <w:rPr>
          <w:lang w:val="es-ES_tradnl"/>
        </w:rPr>
        <w:t>Unido. El</w:t>
      </w:r>
      <w:r w:rsidR="005C1272">
        <w:rPr>
          <w:lang w:val="es-ES_tradnl"/>
        </w:rPr>
        <w:t> </w:t>
      </w:r>
      <w:r w:rsidRPr="00192094">
        <w:rPr>
          <w:lang w:val="es-ES_tradnl"/>
        </w:rPr>
        <w:t>TWM tomó nota de que se han recibido comentarios de Eslovaquia, Finlandia, Reino</w:t>
      </w:r>
      <w:r w:rsidR="005C1272">
        <w:rPr>
          <w:lang w:val="es-ES_tradnl"/>
        </w:rPr>
        <w:t> </w:t>
      </w:r>
      <w:r w:rsidRPr="00192094">
        <w:rPr>
          <w:lang w:val="es-ES_tradnl"/>
        </w:rPr>
        <w:t>Unido y República</w:t>
      </w:r>
      <w:r w:rsidR="005C1272">
        <w:rPr>
          <w:lang w:val="es-ES_tradnl"/>
        </w:rPr>
        <w:t> </w:t>
      </w:r>
      <w:r w:rsidRPr="00192094">
        <w:rPr>
          <w:lang w:val="es-ES_tradnl"/>
        </w:rPr>
        <w:t>Checa.</w:t>
      </w:r>
    </w:p>
    <w:p w14:paraId="30BC8679" w14:textId="77777777" w:rsidR="00D63F86" w:rsidRPr="00192094" w:rsidRDefault="00D63F86" w:rsidP="00D63F86">
      <w:pPr>
        <w:rPr>
          <w:lang w:val="es-ES_tradnl"/>
        </w:rPr>
      </w:pPr>
    </w:p>
    <w:p w14:paraId="4B7FA380" w14:textId="69A432DB" w:rsidR="00D63F86" w:rsidRPr="00192094" w:rsidRDefault="00D63F86" w:rsidP="00D63F86">
      <w:pPr>
        <w:rPr>
          <w:rFonts w:cs="Arial"/>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r>
      <w:r w:rsidR="005C1272" w:rsidRPr="00192094">
        <w:rPr>
          <w:lang w:val="es-ES_tradnl"/>
        </w:rPr>
        <w:t>El</w:t>
      </w:r>
      <w:r w:rsidR="005C1272">
        <w:rPr>
          <w:lang w:val="es-ES_tradnl"/>
        </w:rPr>
        <w:t> </w:t>
      </w:r>
      <w:r w:rsidR="005C1272" w:rsidRPr="00192094">
        <w:rPr>
          <w:lang w:val="es-ES_tradnl"/>
        </w:rPr>
        <w:t>TWV, el</w:t>
      </w:r>
      <w:r w:rsidR="005C1272">
        <w:rPr>
          <w:lang w:val="es-ES_tradnl"/>
        </w:rPr>
        <w:t> </w:t>
      </w:r>
      <w:r w:rsidR="005C1272" w:rsidRPr="00192094">
        <w:rPr>
          <w:lang w:val="es-ES_tradnl"/>
        </w:rPr>
        <w:t>TWA, el</w:t>
      </w:r>
      <w:r w:rsidR="005C1272">
        <w:rPr>
          <w:lang w:val="es-ES_tradnl"/>
        </w:rPr>
        <w:t> </w:t>
      </w:r>
      <w:r w:rsidR="005C1272" w:rsidRPr="00192094">
        <w:rPr>
          <w:lang w:val="es-ES_tradnl"/>
        </w:rPr>
        <w:t>TWO, el</w:t>
      </w:r>
      <w:r w:rsidR="005C1272">
        <w:rPr>
          <w:lang w:val="es-ES_tradnl"/>
        </w:rPr>
        <w:t> </w:t>
      </w:r>
      <w:r w:rsidR="005C1272" w:rsidRPr="00192094">
        <w:rPr>
          <w:lang w:val="es-ES_tradnl"/>
        </w:rPr>
        <w:t>TWF y el</w:t>
      </w:r>
      <w:r w:rsidR="005C1272">
        <w:rPr>
          <w:lang w:val="es-ES_tradnl"/>
        </w:rPr>
        <w:t> </w:t>
      </w:r>
      <w:r w:rsidR="005C1272" w:rsidRPr="00192094">
        <w:rPr>
          <w:lang w:val="es-ES_tradnl"/>
        </w:rPr>
        <w:t>TWM</w:t>
      </w:r>
      <w:r w:rsidRPr="00192094">
        <w:rPr>
          <w:lang w:val="es-ES_tradnl"/>
        </w:rPr>
        <w:t xml:space="preserve"> tomaron nota de la solicitud presentada al</w:t>
      </w:r>
      <w:r w:rsidR="005C1272">
        <w:rPr>
          <w:lang w:val="es-ES_tradnl"/>
        </w:rPr>
        <w:t> </w:t>
      </w:r>
      <w:r w:rsidRPr="00192094">
        <w:rPr>
          <w:lang w:val="es-ES_tradnl"/>
        </w:rPr>
        <w:t>TWM para que elabore un informe de los resultados de la campaña de pruebas del programa informático para el</w:t>
      </w:r>
      <w:r w:rsidR="005C1272">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a fin de que el</w:t>
      </w:r>
      <w:r w:rsidR="005C1272">
        <w:rPr>
          <w:lang w:val="es-ES_tradnl"/>
        </w:rPr>
        <w:t> </w:t>
      </w:r>
      <w:r w:rsidRPr="00192094">
        <w:rPr>
          <w:lang w:val="es-ES_tradnl"/>
        </w:rPr>
        <w:t>TC lo examine en coincidencia con la revisión del documento</w:t>
      </w:r>
      <w:r w:rsidR="005C1272">
        <w:rPr>
          <w:lang w:val="es-ES_tradnl"/>
        </w:rPr>
        <w:t> </w:t>
      </w:r>
      <w:r w:rsidRPr="00192094">
        <w:rPr>
          <w:lang w:val="es-ES_tradnl"/>
        </w:rPr>
        <w:t>TGP/8, en su quincuagésima octava sesión.</w:t>
      </w:r>
    </w:p>
    <w:p w14:paraId="7AB053A4" w14:textId="77777777" w:rsidR="00D63F86" w:rsidRPr="00192094" w:rsidRDefault="00D63F86" w:rsidP="00D63F86">
      <w:pPr>
        <w:rPr>
          <w:lang w:val="es-ES_tradnl"/>
        </w:rPr>
      </w:pPr>
    </w:p>
    <w:p w14:paraId="5985BB3B" w14:textId="77777777" w:rsidR="00D63F86" w:rsidRPr="00192094" w:rsidRDefault="00D63F86" w:rsidP="00D63F86">
      <w:pPr>
        <w:rPr>
          <w:lang w:val="es-ES_tradnl"/>
        </w:rPr>
      </w:pPr>
    </w:p>
    <w:p w14:paraId="7A6C9BA0" w14:textId="77777777" w:rsidR="00D63F86" w:rsidRPr="00192094" w:rsidRDefault="00D63F86" w:rsidP="00D63F86">
      <w:pPr>
        <w:pStyle w:val="Heading2"/>
        <w:rPr>
          <w:lang w:val="es-ES_tradnl"/>
        </w:rPr>
      </w:pPr>
      <w:bookmarkStart w:id="11" w:name="_Toc116941329"/>
      <w:r w:rsidRPr="00192094">
        <w:rPr>
          <w:lang w:val="es-ES_tradnl"/>
        </w:rPr>
        <w:t>Desarrollo de un programa informático para el método COYU mejorado (</w:t>
      </w:r>
      <w:proofErr w:type="spellStart"/>
      <w:r w:rsidRPr="00192094">
        <w:rPr>
          <w:i/>
          <w:lang w:val="es-ES_tradnl"/>
        </w:rPr>
        <w:t>splines</w:t>
      </w:r>
      <w:proofErr w:type="spellEnd"/>
      <w:r w:rsidRPr="00192094">
        <w:rPr>
          <w:lang w:val="es-ES_tradnl"/>
        </w:rPr>
        <w:t>)</w:t>
      </w:r>
      <w:bookmarkEnd w:id="11"/>
    </w:p>
    <w:p w14:paraId="339B371F" w14:textId="77777777" w:rsidR="00D63F86" w:rsidRPr="00192094" w:rsidRDefault="00D63F86" w:rsidP="00D63F86">
      <w:pPr>
        <w:jc w:val="left"/>
        <w:rPr>
          <w:lang w:val="es-ES_tradnl"/>
        </w:rPr>
      </w:pPr>
    </w:p>
    <w:p w14:paraId="649E6C9D" w14:textId="5F4C9B35"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El</w:t>
      </w:r>
      <w:r w:rsidR="005C1272">
        <w:rPr>
          <w:lang w:val="es-ES_tradnl"/>
        </w:rPr>
        <w:t> </w:t>
      </w:r>
      <w:r w:rsidRPr="00192094">
        <w:rPr>
          <w:lang w:val="es-ES_tradnl"/>
        </w:rPr>
        <w:t xml:space="preserve">TWA asistió a una </w:t>
      </w:r>
      <w:r w:rsidRPr="00192094">
        <w:rPr>
          <w:snapToGrid w:val="0"/>
          <w:lang w:val="es-ES_tradnl"/>
        </w:rPr>
        <w:t xml:space="preserve">ponencia titulada “COYU </w:t>
      </w:r>
      <w:proofErr w:type="spellStart"/>
      <w:r w:rsidR="00EE4E6E">
        <w:rPr>
          <w:snapToGrid w:val="0"/>
          <w:lang w:val="es-ES_tradnl"/>
        </w:rPr>
        <w:t>s</w:t>
      </w:r>
      <w:r w:rsidRPr="00EE4E6E">
        <w:rPr>
          <w:i/>
          <w:iCs/>
          <w:snapToGrid w:val="0"/>
          <w:lang w:val="es-ES_tradnl"/>
        </w:rPr>
        <w:t>plines</w:t>
      </w:r>
      <w:proofErr w:type="spellEnd"/>
      <w:r w:rsidRPr="00192094">
        <w:rPr>
          <w:snapToGrid w:val="0"/>
          <w:lang w:val="es-ES_tradnl"/>
        </w:rPr>
        <w:t>: Ruta para su implantación en el</w:t>
      </w:r>
      <w:r w:rsidR="005C1272">
        <w:rPr>
          <w:snapToGrid w:val="0"/>
          <w:lang w:val="es-ES_tradnl"/>
        </w:rPr>
        <w:t> </w:t>
      </w:r>
      <w:r w:rsidRPr="00192094">
        <w:rPr>
          <w:snapToGrid w:val="0"/>
          <w:lang w:val="es-ES_tradnl"/>
        </w:rPr>
        <w:t>Reino</w:t>
      </w:r>
      <w:r w:rsidR="005C1272">
        <w:rPr>
          <w:snapToGrid w:val="0"/>
          <w:lang w:val="es-ES_tradnl"/>
        </w:rPr>
        <w:t> </w:t>
      </w:r>
      <w:r w:rsidRPr="00192094">
        <w:rPr>
          <w:snapToGrid w:val="0"/>
          <w:lang w:val="es-ES_tradnl"/>
        </w:rPr>
        <w:t>Unido” a cargo de un experto del</w:t>
      </w:r>
      <w:r w:rsidR="005C1272">
        <w:rPr>
          <w:snapToGrid w:val="0"/>
          <w:lang w:val="es-ES_tradnl"/>
        </w:rPr>
        <w:t> </w:t>
      </w:r>
      <w:r w:rsidRPr="00192094">
        <w:rPr>
          <w:snapToGrid w:val="0"/>
          <w:lang w:val="es-ES_tradnl"/>
        </w:rPr>
        <w:t>Reino</w:t>
      </w:r>
      <w:r w:rsidR="005C1272">
        <w:rPr>
          <w:snapToGrid w:val="0"/>
          <w:lang w:val="es-ES_tradnl"/>
        </w:rPr>
        <w:t> </w:t>
      </w:r>
      <w:r w:rsidRPr="00192094">
        <w:rPr>
          <w:snapToGrid w:val="0"/>
          <w:lang w:val="es-ES_tradnl"/>
        </w:rPr>
        <w:t xml:space="preserve">Unido. </w:t>
      </w:r>
      <w:r w:rsidRPr="00192094">
        <w:rPr>
          <w:lang w:val="es-ES_tradnl"/>
        </w:rPr>
        <w:t>Se facilita una copia de la ponencia en el documento TWA/51/8. El</w:t>
      </w:r>
      <w:r w:rsidR="005C1272">
        <w:rPr>
          <w:lang w:val="es-ES_tradnl"/>
        </w:rPr>
        <w:t> </w:t>
      </w:r>
      <w:r w:rsidRPr="00192094">
        <w:rPr>
          <w:lang w:val="es-ES_tradnl"/>
        </w:rPr>
        <w:t>TWA tomó nota del trabajo presentado y acordó invitar al experto del Reino Unido a informar de los avances en su quincuagésima segunda sesión.</w:t>
      </w:r>
    </w:p>
    <w:p w14:paraId="2CB9A066" w14:textId="77777777" w:rsidR="00D63F86" w:rsidRPr="00192094" w:rsidRDefault="00D63F86" w:rsidP="00D63F86">
      <w:pPr>
        <w:rPr>
          <w:lang w:val="es-ES_tradnl"/>
        </w:rPr>
      </w:pPr>
    </w:p>
    <w:p w14:paraId="684B28F7" w14:textId="278C1092"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El</w:t>
      </w:r>
      <w:r w:rsidR="005C1272">
        <w:rPr>
          <w:lang w:val="es-ES_tradnl"/>
        </w:rPr>
        <w:t> </w:t>
      </w:r>
      <w:r w:rsidRPr="00192094">
        <w:rPr>
          <w:lang w:val="es-ES_tradnl"/>
        </w:rPr>
        <w:t>TWM examinó el documento</w:t>
      </w:r>
      <w:r w:rsidR="005C1272">
        <w:rPr>
          <w:lang w:val="es-ES_tradnl"/>
        </w:rPr>
        <w:t> </w:t>
      </w:r>
      <w:r w:rsidRPr="00192094">
        <w:rPr>
          <w:lang w:val="es-ES_tradnl"/>
        </w:rPr>
        <w:t>TWM/1/8, según se expone en el Anexo</w:t>
      </w:r>
      <w:r w:rsidR="005C1272">
        <w:rPr>
          <w:lang w:val="es-ES_tradnl"/>
        </w:rPr>
        <w:t> </w:t>
      </w:r>
      <w:r w:rsidRPr="00192094">
        <w:rPr>
          <w:lang w:val="es-ES_tradnl"/>
        </w:rPr>
        <w:t>I del presente documento, y asistió a una ponencia, a cargo del Sr.</w:t>
      </w:r>
      <w:r w:rsidR="005C1272">
        <w:rPr>
          <w:lang w:val="es-ES_tradnl"/>
        </w:rPr>
        <w:t> </w:t>
      </w:r>
      <w:proofErr w:type="spellStart"/>
      <w:r w:rsidRPr="00192094">
        <w:rPr>
          <w:lang w:val="es-ES_tradnl"/>
        </w:rPr>
        <w:t>Adrian</w:t>
      </w:r>
      <w:proofErr w:type="spellEnd"/>
      <w:r w:rsidRPr="00192094">
        <w:rPr>
          <w:lang w:val="es-ES_tradnl"/>
        </w:rPr>
        <w:t xml:space="preserve"> Roberts y de la Sra. </w:t>
      </w:r>
      <w:proofErr w:type="spellStart"/>
      <w:r w:rsidRPr="00192094">
        <w:rPr>
          <w:lang w:val="es-ES_tradnl"/>
        </w:rPr>
        <w:t>Haidee</w:t>
      </w:r>
      <w:proofErr w:type="spellEnd"/>
      <w:r w:rsidRPr="00192094">
        <w:rPr>
          <w:lang w:val="es-ES_tradnl"/>
        </w:rPr>
        <w:t xml:space="preserve"> </w:t>
      </w:r>
      <w:proofErr w:type="spellStart"/>
      <w:r w:rsidRPr="00192094">
        <w:rPr>
          <w:lang w:val="es-ES_tradnl"/>
        </w:rPr>
        <w:t>Philpott</w:t>
      </w:r>
      <w:proofErr w:type="spellEnd"/>
      <w:r w:rsidRPr="00192094">
        <w:rPr>
          <w:lang w:val="es-ES_tradnl"/>
        </w:rPr>
        <w:t xml:space="preserve"> (Reino Unido), titulada “Novedades relativas al método COYU mejorado (</w:t>
      </w:r>
      <w:proofErr w:type="spellStart"/>
      <w:r w:rsidRPr="00192094">
        <w:rPr>
          <w:i/>
          <w:lang w:val="es-ES_tradnl"/>
        </w:rPr>
        <w:t>splines</w:t>
      </w:r>
      <w:proofErr w:type="spellEnd"/>
      <w:r w:rsidRPr="00192094">
        <w:rPr>
          <w:lang w:val="es-ES_tradnl"/>
        </w:rPr>
        <w:t>)”, que se reproduce en el documento</w:t>
      </w:r>
      <w:r w:rsidR="005C1272">
        <w:rPr>
          <w:lang w:val="es-ES_tradnl"/>
        </w:rPr>
        <w:t> </w:t>
      </w:r>
      <w:r w:rsidRPr="00192094">
        <w:rPr>
          <w:lang w:val="es-ES_tradnl"/>
        </w:rPr>
        <w:t>TWM/1/8</w:t>
      </w:r>
      <w:r w:rsidR="005C1272">
        <w:rPr>
          <w:lang w:val="es-ES_tradnl"/>
        </w:rPr>
        <w:t> </w:t>
      </w:r>
      <w:proofErr w:type="spellStart"/>
      <w:r w:rsidRPr="00192094">
        <w:rPr>
          <w:lang w:val="es-ES_tradnl"/>
        </w:rPr>
        <w:t>Add</w:t>
      </w:r>
      <w:proofErr w:type="spellEnd"/>
      <w:r w:rsidRPr="00192094">
        <w:rPr>
          <w:lang w:val="es-ES_tradnl"/>
        </w:rPr>
        <w:t>.</w:t>
      </w:r>
    </w:p>
    <w:p w14:paraId="266F899D" w14:textId="77777777" w:rsidR="00D63F86" w:rsidRPr="00192094" w:rsidRDefault="00D63F86" w:rsidP="00D63F86">
      <w:pPr>
        <w:rPr>
          <w:rFonts w:eastAsiaTheme="minorEastAsia"/>
          <w:lang w:val="es-ES_tradnl" w:eastAsia="ja-JP"/>
        </w:rPr>
      </w:pPr>
    </w:p>
    <w:p w14:paraId="1FFF0582" w14:textId="0A6EB3CB"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El</w:t>
      </w:r>
      <w:r w:rsidR="005C1272">
        <w:rPr>
          <w:lang w:val="es-ES_tradnl"/>
        </w:rPr>
        <w:t> </w:t>
      </w:r>
      <w:r w:rsidRPr="00192094">
        <w:rPr>
          <w:lang w:val="es-ES_tradnl"/>
        </w:rPr>
        <w:t xml:space="preserve">TWM tomó nota de que está previsto que se ponga en marcha una nueva versión de DUSTNT que incorpore COYU con </w:t>
      </w:r>
      <w:proofErr w:type="spellStart"/>
      <w:r w:rsidRPr="00192094">
        <w:rPr>
          <w:i/>
          <w:lang w:val="es-ES_tradnl"/>
        </w:rPr>
        <w:t>splines</w:t>
      </w:r>
      <w:proofErr w:type="spellEnd"/>
      <w:r w:rsidRPr="00192094">
        <w:rPr>
          <w:lang w:val="es-ES_tradnl"/>
        </w:rPr>
        <w:t xml:space="preserve"> (DUST9NT) en septiembre de</w:t>
      </w:r>
      <w:r w:rsidR="005C1272">
        <w:rPr>
          <w:lang w:val="es-ES_tradnl"/>
        </w:rPr>
        <w:t> </w:t>
      </w:r>
      <w:r w:rsidRPr="00192094">
        <w:rPr>
          <w:lang w:val="es-ES_tradnl"/>
        </w:rPr>
        <w:t xml:space="preserve">2023, una vez que se hayan incorporado las mejoras identificadas a </w:t>
      </w:r>
      <w:r w:rsidR="005C1272">
        <w:rPr>
          <w:lang w:val="es-ES_tradnl"/>
        </w:rPr>
        <w:t xml:space="preserve">partir </w:t>
      </w:r>
      <w:r w:rsidRPr="00192094">
        <w:rPr>
          <w:lang w:val="es-ES_tradnl"/>
        </w:rPr>
        <w:t>de la campaña de pruebas, a excepción de la extrapolación.</w:t>
      </w:r>
    </w:p>
    <w:p w14:paraId="15830BEB" w14:textId="77777777" w:rsidR="00D63F86" w:rsidRPr="00192094" w:rsidRDefault="00D63F86" w:rsidP="00D63F86">
      <w:pPr>
        <w:rPr>
          <w:rFonts w:cs="Arial"/>
          <w:lang w:val="es-ES_tradnl"/>
        </w:rPr>
      </w:pPr>
    </w:p>
    <w:p w14:paraId="5F6CF8FB" w14:textId="20B3CB5A" w:rsidR="00D63F86" w:rsidRPr="00192094" w:rsidRDefault="00D63F86" w:rsidP="00D63F86">
      <w:pPr>
        <w:rPr>
          <w:rFonts w:cs="Arial"/>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El experto del</w:t>
      </w:r>
      <w:r w:rsidR="005C1272">
        <w:rPr>
          <w:lang w:val="es-ES_tradnl"/>
        </w:rPr>
        <w:t> </w:t>
      </w:r>
      <w:r w:rsidRPr="00192094">
        <w:rPr>
          <w:lang w:val="es-ES_tradnl"/>
        </w:rPr>
        <w:t>Reino</w:t>
      </w:r>
      <w:r w:rsidR="005C1272">
        <w:rPr>
          <w:lang w:val="es-ES_tradnl"/>
        </w:rPr>
        <w:t> </w:t>
      </w:r>
      <w:r w:rsidRPr="00192094">
        <w:rPr>
          <w:lang w:val="es-ES_tradnl"/>
        </w:rPr>
        <w:t xml:space="preserve">Unido </w:t>
      </w:r>
      <w:r w:rsidR="005C1272">
        <w:rPr>
          <w:lang w:val="es-ES_tradnl"/>
        </w:rPr>
        <w:t xml:space="preserve">indicó </w:t>
      </w:r>
      <w:r w:rsidRPr="00192094">
        <w:rPr>
          <w:lang w:val="es-ES_tradnl"/>
        </w:rPr>
        <w:t>que se necesitarán nuevas revisiones del documento TGP/8 para incorporar orientaciones sobre la extrapolación y los requisitos mínimos relativos a los datos.</w:t>
      </w:r>
    </w:p>
    <w:p w14:paraId="7298A161" w14:textId="77777777" w:rsidR="00D63F86" w:rsidRPr="00192094" w:rsidRDefault="00D63F86" w:rsidP="00D63F86">
      <w:pPr>
        <w:rPr>
          <w:lang w:val="es-ES_tradnl"/>
        </w:rPr>
      </w:pPr>
    </w:p>
    <w:p w14:paraId="6473EB2A" w14:textId="77777777" w:rsidR="00D63F86" w:rsidRPr="00192094" w:rsidRDefault="00D63F86" w:rsidP="00D63F86">
      <w:pPr>
        <w:rPr>
          <w:lang w:val="es-ES_tradnl"/>
        </w:rPr>
      </w:pPr>
    </w:p>
    <w:p w14:paraId="4E119DDF" w14:textId="77777777" w:rsidR="00D63F86" w:rsidRPr="00192094" w:rsidRDefault="00D63F86" w:rsidP="00D63F86">
      <w:pPr>
        <w:pStyle w:val="Heading2"/>
        <w:rPr>
          <w:lang w:val="es-ES_tradnl"/>
        </w:rPr>
      </w:pPr>
      <w:bookmarkStart w:id="12" w:name="_Toc116941330"/>
      <w:r w:rsidRPr="00192094">
        <w:rPr>
          <w:lang w:val="es-ES_tradnl"/>
        </w:rPr>
        <w:t>Extrapolación en relación con el COYU</w:t>
      </w:r>
      <w:bookmarkEnd w:id="12"/>
    </w:p>
    <w:p w14:paraId="14E25845" w14:textId="77777777" w:rsidR="00D63F86" w:rsidRPr="00192094" w:rsidRDefault="00D63F86" w:rsidP="00D63F86">
      <w:pPr>
        <w:jc w:val="left"/>
        <w:rPr>
          <w:lang w:val="es-ES_tradnl"/>
        </w:rPr>
      </w:pPr>
    </w:p>
    <w:p w14:paraId="4A6103E4" w14:textId="4AB794E0"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El</w:t>
      </w:r>
      <w:r w:rsidR="00E13F8E">
        <w:rPr>
          <w:lang w:val="es-ES_tradnl"/>
        </w:rPr>
        <w:t> </w:t>
      </w:r>
      <w:r w:rsidRPr="00192094">
        <w:rPr>
          <w:lang w:val="es-ES_tradnl"/>
        </w:rPr>
        <w:t>TWM examinó el documento TWM/1/7, según se expone en el Anexo</w:t>
      </w:r>
      <w:r w:rsidR="00E13F8E">
        <w:rPr>
          <w:lang w:val="es-ES_tradnl"/>
        </w:rPr>
        <w:t> </w:t>
      </w:r>
      <w:r w:rsidRPr="00192094">
        <w:rPr>
          <w:lang w:val="es-ES_tradnl"/>
        </w:rPr>
        <w:t>II del presente documento, y asistió a una ponencia del Sr. </w:t>
      </w:r>
      <w:proofErr w:type="spellStart"/>
      <w:r w:rsidRPr="00192094">
        <w:rPr>
          <w:lang w:val="es-ES_tradnl"/>
        </w:rPr>
        <w:t>Adrian</w:t>
      </w:r>
      <w:proofErr w:type="spellEnd"/>
      <w:r w:rsidRPr="00192094">
        <w:rPr>
          <w:lang w:val="es-ES_tradnl"/>
        </w:rPr>
        <w:t xml:space="preserve"> Roberts (Reino</w:t>
      </w:r>
      <w:r w:rsidR="00E13F8E">
        <w:rPr>
          <w:lang w:val="es-ES_tradnl"/>
        </w:rPr>
        <w:t> </w:t>
      </w:r>
      <w:r w:rsidRPr="00192094">
        <w:rPr>
          <w:lang w:val="es-ES_tradnl"/>
        </w:rPr>
        <w:t xml:space="preserve">Unido) titulada “Criterio combinado interanual de homogeneidad (COYU): Extrapolación”, que se reproduce en el documento TWM/1/7 </w:t>
      </w:r>
      <w:proofErr w:type="spellStart"/>
      <w:r w:rsidRPr="00192094">
        <w:rPr>
          <w:lang w:val="es-ES_tradnl"/>
        </w:rPr>
        <w:t>Add</w:t>
      </w:r>
      <w:proofErr w:type="spellEnd"/>
      <w:r w:rsidRPr="00192094">
        <w:rPr>
          <w:lang w:val="es-ES_tradnl"/>
        </w:rPr>
        <w:t>.</w:t>
      </w:r>
    </w:p>
    <w:p w14:paraId="06DF1DD8" w14:textId="77777777" w:rsidR="00D63F86" w:rsidRPr="00192094" w:rsidRDefault="00D63F86" w:rsidP="00D63F86">
      <w:pPr>
        <w:rPr>
          <w:lang w:val="es-ES_tradnl"/>
        </w:rPr>
      </w:pPr>
    </w:p>
    <w:p w14:paraId="38889D0B" w14:textId="1028994D"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El</w:t>
      </w:r>
      <w:r w:rsidR="00E13F8E">
        <w:rPr>
          <w:lang w:val="es-ES_tradnl"/>
        </w:rPr>
        <w:t> </w:t>
      </w:r>
      <w:r w:rsidRPr="00192094">
        <w:rPr>
          <w:lang w:val="es-ES_tradnl"/>
        </w:rPr>
        <w:t>TWM tomó nota de que se recomienda que los expertos en los cultivos consideren de forma especial la homogeneidad cuando haya extrapolación. Independientemente del tipo de</w:t>
      </w:r>
      <w:r w:rsidR="00E13F8E">
        <w:rPr>
          <w:lang w:val="es-ES_tradnl"/>
        </w:rPr>
        <w:t> </w:t>
      </w:r>
      <w:r w:rsidRPr="00192094">
        <w:rPr>
          <w:lang w:val="es-ES_tradnl"/>
        </w:rPr>
        <w:t xml:space="preserve">COYU que se utilice (media móvil o </w:t>
      </w:r>
      <w:proofErr w:type="spellStart"/>
      <w:r w:rsidRPr="00192094">
        <w:rPr>
          <w:i/>
          <w:lang w:val="es-ES_tradnl"/>
        </w:rPr>
        <w:t>splines</w:t>
      </w:r>
      <w:proofErr w:type="spellEnd"/>
      <w:r w:rsidRPr="00192094">
        <w:rPr>
          <w:lang w:val="es-ES_tradnl"/>
        </w:rPr>
        <w:t>), los expertos en los cultivos deben confirmar el veredicto sobre la homogeneidad (en caso de que haya extrapolación).</w:t>
      </w:r>
    </w:p>
    <w:p w14:paraId="6BFD83F6" w14:textId="77777777" w:rsidR="00D63F86" w:rsidRPr="00192094" w:rsidRDefault="00D63F86" w:rsidP="00D63F86">
      <w:pPr>
        <w:rPr>
          <w:lang w:val="es-ES_tradnl"/>
        </w:rPr>
      </w:pPr>
    </w:p>
    <w:p w14:paraId="77BC73D1" w14:textId="24FEBA09"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El</w:t>
      </w:r>
      <w:r w:rsidR="00E13F8E">
        <w:rPr>
          <w:lang w:val="es-ES_tradnl"/>
        </w:rPr>
        <w:t> </w:t>
      </w:r>
      <w:r w:rsidRPr="00192094">
        <w:rPr>
          <w:lang w:val="es-ES_tradnl"/>
        </w:rPr>
        <w:t xml:space="preserve">TWM convino en que será necesario seguir manteniendo debates sobre los </w:t>
      </w:r>
      <w:r w:rsidR="00E13F8E">
        <w:rPr>
          <w:lang w:val="es-ES_tradnl"/>
        </w:rPr>
        <w:t xml:space="preserve">posibles </w:t>
      </w:r>
      <w:r w:rsidRPr="00192094">
        <w:rPr>
          <w:lang w:val="es-ES_tradnl"/>
        </w:rPr>
        <w:t>enfoques cuando la extrapolación esté indicada e invitó al</w:t>
      </w:r>
      <w:r w:rsidR="00E13F8E">
        <w:rPr>
          <w:lang w:val="es-ES_tradnl"/>
        </w:rPr>
        <w:t> </w:t>
      </w:r>
      <w:r w:rsidRPr="00192094">
        <w:rPr>
          <w:lang w:val="es-ES_tradnl"/>
        </w:rPr>
        <w:t>Reino</w:t>
      </w:r>
      <w:r w:rsidR="00E13F8E">
        <w:rPr>
          <w:lang w:val="es-ES_tradnl"/>
        </w:rPr>
        <w:t> </w:t>
      </w:r>
      <w:r w:rsidRPr="00192094">
        <w:rPr>
          <w:lang w:val="es-ES_tradnl"/>
        </w:rPr>
        <w:t>Unido y a otros miembros a presentar un informe en la segunda sesión del</w:t>
      </w:r>
      <w:r w:rsidR="00E13F8E">
        <w:rPr>
          <w:lang w:val="es-ES_tradnl"/>
        </w:rPr>
        <w:t> </w:t>
      </w:r>
      <w:r w:rsidRPr="00192094">
        <w:rPr>
          <w:lang w:val="es-ES_tradnl"/>
        </w:rPr>
        <w:t>TWM.</w:t>
      </w:r>
    </w:p>
    <w:p w14:paraId="13B41815" w14:textId="77777777" w:rsidR="00D63F86" w:rsidRPr="00192094" w:rsidRDefault="00D63F86" w:rsidP="00D63F86">
      <w:pPr>
        <w:rPr>
          <w:lang w:val="es-ES_tradnl"/>
        </w:rPr>
      </w:pPr>
    </w:p>
    <w:p w14:paraId="7F0C9A8B" w14:textId="77777777" w:rsidR="00D63F86" w:rsidRPr="00192094" w:rsidRDefault="00D63F86" w:rsidP="00D63F86">
      <w:pPr>
        <w:rPr>
          <w:lang w:val="es-ES_tradnl"/>
        </w:rPr>
      </w:pPr>
    </w:p>
    <w:p w14:paraId="2191BA30" w14:textId="77777777" w:rsidR="00D63F86" w:rsidRPr="00192094" w:rsidRDefault="00D63F86" w:rsidP="00D63F86">
      <w:pPr>
        <w:keepNext/>
        <w:outlineLvl w:val="0"/>
        <w:rPr>
          <w:caps/>
          <w:lang w:val="es-ES_tradnl"/>
        </w:rPr>
      </w:pPr>
      <w:bookmarkStart w:id="13" w:name="_Toc116941331"/>
      <w:r w:rsidRPr="00192094">
        <w:rPr>
          <w:caps/>
          <w:lang w:val="es-ES_tradnl"/>
        </w:rPr>
        <w:t>Próximos pasos</w:t>
      </w:r>
      <w:bookmarkEnd w:id="13"/>
    </w:p>
    <w:p w14:paraId="6EA0884B" w14:textId="77777777" w:rsidR="00D63F86" w:rsidRPr="00192094" w:rsidRDefault="00D63F86" w:rsidP="00D63F86">
      <w:pPr>
        <w:rPr>
          <w:lang w:val="es-ES_tradnl"/>
        </w:rPr>
      </w:pPr>
    </w:p>
    <w:p w14:paraId="1F99A2AE" w14:textId="7A1553EE" w:rsidR="00D63F86" w:rsidRPr="00192094" w:rsidRDefault="00D63F86" w:rsidP="00D63F86">
      <w:pPr>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Se invita al</w:t>
      </w:r>
      <w:r w:rsidR="00E13F8E">
        <w:rPr>
          <w:lang w:val="es-ES_tradnl"/>
        </w:rPr>
        <w:t> </w:t>
      </w:r>
      <w:r w:rsidRPr="00192094">
        <w:rPr>
          <w:lang w:val="es-ES_tradnl"/>
        </w:rPr>
        <w:t>TC a que vuelva a solicitar al</w:t>
      </w:r>
      <w:r w:rsidR="00E13F8E">
        <w:rPr>
          <w:lang w:val="es-ES_tradnl"/>
        </w:rPr>
        <w:t> </w:t>
      </w:r>
      <w:r w:rsidRPr="00192094">
        <w:rPr>
          <w:lang w:val="es-ES_tradnl"/>
        </w:rPr>
        <w:t xml:space="preserve">TWM que elabore un informe de los resultados de la campaña de pruebas del programa informático para </w:t>
      </w:r>
      <w:proofErr w:type="gramStart"/>
      <w:r w:rsidRPr="00192094">
        <w:rPr>
          <w:lang w:val="es-ES_tradnl"/>
        </w:rPr>
        <w:t>e</w:t>
      </w:r>
      <w:r w:rsidR="00E13F8E">
        <w:rPr>
          <w:lang w:val="es-ES_tradnl"/>
        </w:rPr>
        <w:t> </w:t>
      </w:r>
      <w:r w:rsidRPr="00192094">
        <w:rPr>
          <w:lang w:val="es-ES_tradnl"/>
        </w:rPr>
        <w:t xml:space="preserve"> COYU</w:t>
      </w:r>
      <w:proofErr w:type="gramEnd"/>
      <w:r w:rsidRPr="00192094">
        <w:rPr>
          <w:lang w:val="es-ES_tradnl"/>
        </w:rPr>
        <w:t xml:space="preserve"> con </w:t>
      </w:r>
      <w:proofErr w:type="spellStart"/>
      <w:r w:rsidRPr="00192094">
        <w:rPr>
          <w:i/>
          <w:lang w:val="es-ES_tradnl"/>
        </w:rPr>
        <w:t>splines</w:t>
      </w:r>
      <w:proofErr w:type="spellEnd"/>
      <w:r w:rsidRPr="00192094">
        <w:rPr>
          <w:lang w:val="es-ES_tradnl"/>
        </w:rPr>
        <w:t>, a fin de que este</w:t>
      </w:r>
      <w:r w:rsidR="00E13F8E">
        <w:rPr>
          <w:lang w:val="es-ES_tradnl"/>
        </w:rPr>
        <w:t> </w:t>
      </w:r>
      <w:r w:rsidRPr="00192094">
        <w:rPr>
          <w:lang w:val="es-ES_tradnl"/>
        </w:rPr>
        <w:t>Comité lo examine en coincidencia con la revisión del documento</w:t>
      </w:r>
      <w:r w:rsidR="00E13F8E">
        <w:rPr>
          <w:lang w:val="es-ES_tradnl"/>
        </w:rPr>
        <w:t> </w:t>
      </w:r>
      <w:r w:rsidRPr="00192094">
        <w:rPr>
          <w:lang w:val="es-ES_tradnl"/>
        </w:rPr>
        <w:t>TGP/8.</w:t>
      </w:r>
    </w:p>
    <w:p w14:paraId="6402A362" w14:textId="77777777" w:rsidR="00D63F86" w:rsidRPr="00192094" w:rsidRDefault="00D63F86" w:rsidP="00D63F86">
      <w:pPr>
        <w:rPr>
          <w:lang w:val="es-ES_tradnl"/>
        </w:rPr>
      </w:pPr>
    </w:p>
    <w:p w14:paraId="5442CCF4" w14:textId="77777777" w:rsidR="00D63F86" w:rsidRPr="00192094" w:rsidRDefault="00D63F86" w:rsidP="00D63F86">
      <w:pPr>
        <w:rPr>
          <w:lang w:val="es-ES_tradnl"/>
        </w:rPr>
      </w:pPr>
    </w:p>
    <w:p w14:paraId="21BD8B21" w14:textId="3C3A6B50" w:rsidR="00D63F86" w:rsidRPr="00192094" w:rsidRDefault="00D63F86" w:rsidP="00D63F86">
      <w:pPr>
        <w:pStyle w:val="DecisionParagraphs"/>
        <w:rPr>
          <w:lang w:val="es-ES_tradnl"/>
        </w:rPr>
      </w:pPr>
      <w:r w:rsidRPr="00192094">
        <w:rPr>
          <w:lang w:val="es-ES_tradnl"/>
        </w:rPr>
        <w:fldChar w:fldCharType="begin"/>
      </w:r>
      <w:r w:rsidRPr="00192094">
        <w:rPr>
          <w:lang w:val="es-ES_tradnl"/>
        </w:rPr>
        <w:instrText xml:space="preserve"> AUTONUM  </w:instrText>
      </w:r>
      <w:r w:rsidRPr="00192094">
        <w:rPr>
          <w:lang w:val="es-ES_tradnl"/>
        </w:rPr>
        <w:fldChar w:fldCharType="end"/>
      </w:r>
      <w:r w:rsidRPr="00192094">
        <w:rPr>
          <w:lang w:val="es-ES_tradnl"/>
        </w:rPr>
        <w:tab/>
        <w:t>Se invita al</w:t>
      </w:r>
      <w:r w:rsidR="00E13F8E">
        <w:rPr>
          <w:lang w:val="es-ES_tradnl"/>
        </w:rPr>
        <w:t> </w:t>
      </w:r>
      <w:r w:rsidRPr="00192094">
        <w:rPr>
          <w:lang w:val="es-ES_tradnl"/>
        </w:rPr>
        <w:t>TC a:</w:t>
      </w:r>
    </w:p>
    <w:p w14:paraId="7F8F2655" w14:textId="77777777" w:rsidR="00D63F86" w:rsidRPr="00192094" w:rsidRDefault="00D63F86" w:rsidP="00D63F86">
      <w:pPr>
        <w:pStyle w:val="DecisionParagraphs"/>
        <w:rPr>
          <w:lang w:val="es-ES_tradnl"/>
        </w:rPr>
      </w:pPr>
    </w:p>
    <w:p w14:paraId="31BE97AC" w14:textId="561A69F3" w:rsidR="00D63F86" w:rsidRPr="00192094" w:rsidRDefault="00D63F86" w:rsidP="00D63F86">
      <w:pPr>
        <w:pStyle w:val="DecisionParagraphs"/>
        <w:rPr>
          <w:lang w:val="es-ES_tradnl"/>
        </w:rPr>
      </w:pPr>
      <w:r w:rsidRPr="00192094">
        <w:rPr>
          <w:lang w:val="es-ES_tradnl"/>
        </w:rPr>
        <w:tab/>
        <w:t>a)</w:t>
      </w:r>
      <w:r w:rsidRPr="00192094">
        <w:rPr>
          <w:lang w:val="es-ES_tradnl"/>
        </w:rPr>
        <w:tab/>
        <w:t>tomar nota de que está previsto que se ponga en marcha una nueva versión de</w:t>
      </w:r>
      <w:r w:rsidR="00E13F8E">
        <w:rPr>
          <w:lang w:val="es-ES_tradnl"/>
        </w:rPr>
        <w:t> </w:t>
      </w:r>
      <w:r w:rsidRPr="00192094">
        <w:rPr>
          <w:lang w:val="es-ES_tradnl"/>
        </w:rPr>
        <w:t xml:space="preserve">DUSTNT que incorpore COYU con </w:t>
      </w:r>
      <w:proofErr w:type="spellStart"/>
      <w:r w:rsidRPr="00192094">
        <w:rPr>
          <w:lang w:val="es-ES_tradnl"/>
        </w:rPr>
        <w:t>splines</w:t>
      </w:r>
      <w:proofErr w:type="spellEnd"/>
      <w:r w:rsidRPr="00192094">
        <w:rPr>
          <w:lang w:val="es-ES_tradnl"/>
        </w:rPr>
        <w:t xml:space="preserve"> (DUST9NT) en septiembre de</w:t>
      </w:r>
      <w:r w:rsidR="00E13F8E">
        <w:rPr>
          <w:lang w:val="es-ES_tradnl"/>
        </w:rPr>
        <w:t> </w:t>
      </w:r>
      <w:r w:rsidRPr="00192094">
        <w:rPr>
          <w:lang w:val="es-ES_tradnl"/>
        </w:rPr>
        <w:t xml:space="preserve">2023, una vez que las mejoras identificadas a </w:t>
      </w:r>
      <w:r w:rsidR="00E13F8E">
        <w:rPr>
          <w:lang w:val="es-ES_tradnl"/>
        </w:rPr>
        <w:t xml:space="preserve">partir </w:t>
      </w:r>
      <w:r w:rsidRPr="00192094">
        <w:rPr>
          <w:lang w:val="es-ES_tradnl"/>
        </w:rPr>
        <w:t>de la campaña de pruebas se hayan incorporado, a excepción de la extrapolación;</w:t>
      </w:r>
    </w:p>
    <w:p w14:paraId="77CD60A5" w14:textId="77777777" w:rsidR="00D63F86" w:rsidRPr="00192094" w:rsidRDefault="00D63F86" w:rsidP="00D63F86">
      <w:pPr>
        <w:pStyle w:val="DecisionParagraphs"/>
        <w:rPr>
          <w:lang w:val="es-ES_tradnl"/>
        </w:rPr>
      </w:pPr>
    </w:p>
    <w:p w14:paraId="1D019EDE" w14:textId="3C1A038A" w:rsidR="00D63F86" w:rsidRPr="00192094" w:rsidRDefault="00D63F86" w:rsidP="00D63F86">
      <w:pPr>
        <w:pStyle w:val="DecisionParagraphs"/>
        <w:rPr>
          <w:lang w:val="es-ES_tradnl"/>
        </w:rPr>
      </w:pPr>
      <w:r w:rsidRPr="00192094">
        <w:rPr>
          <w:lang w:val="es-ES_tradnl"/>
        </w:rPr>
        <w:lastRenderedPageBreak/>
        <w:tab/>
        <w:t>b)</w:t>
      </w:r>
      <w:r w:rsidRPr="00192094">
        <w:rPr>
          <w:lang w:val="es-ES_tradnl"/>
        </w:rPr>
        <w:tab/>
        <w:t>tomar nota de que se necesitarán nuevas revisiones del documento</w:t>
      </w:r>
      <w:r w:rsidR="00E13F8E">
        <w:rPr>
          <w:lang w:val="es-ES_tradnl"/>
        </w:rPr>
        <w:t> </w:t>
      </w:r>
      <w:r w:rsidRPr="00192094">
        <w:rPr>
          <w:lang w:val="es-ES_tradnl"/>
        </w:rPr>
        <w:t>TGP/8 para incorporar orientaciones sobre la extrapolación y los requisitos mínimos relativos a los datos;</w:t>
      </w:r>
    </w:p>
    <w:p w14:paraId="6238671D" w14:textId="77777777" w:rsidR="00D63F86" w:rsidRPr="00192094" w:rsidRDefault="00D63F86" w:rsidP="00D63F86">
      <w:pPr>
        <w:pStyle w:val="DecisionParagraphs"/>
        <w:rPr>
          <w:lang w:val="es-ES_tradnl"/>
        </w:rPr>
      </w:pPr>
    </w:p>
    <w:p w14:paraId="28D8B3C8" w14:textId="77777777" w:rsidR="00D63F86" w:rsidRPr="00192094" w:rsidRDefault="00D63F86" w:rsidP="00D63F86">
      <w:pPr>
        <w:pStyle w:val="DecisionParagraphs"/>
        <w:rPr>
          <w:lang w:val="es-ES_tradnl"/>
        </w:rPr>
      </w:pPr>
      <w:r w:rsidRPr="00192094">
        <w:rPr>
          <w:lang w:val="es-ES_tradnl"/>
        </w:rPr>
        <w:tab/>
        <w:t>c)</w:t>
      </w:r>
      <w:r w:rsidRPr="00192094">
        <w:rPr>
          <w:lang w:val="es-ES_tradnl"/>
        </w:rPr>
        <w:tab/>
        <w:t xml:space="preserve">tomar nota de que se recomienda que los expertos en los cultivos consideren de forma especial la homogeneidad cuando haya extrapolación; </w:t>
      </w:r>
    </w:p>
    <w:p w14:paraId="1C75B6E2" w14:textId="77777777" w:rsidR="00D63F86" w:rsidRPr="00192094" w:rsidRDefault="00D63F86" w:rsidP="00D63F86">
      <w:pPr>
        <w:pStyle w:val="DecisionParagraphs"/>
        <w:rPr>
          <w:lang w:val="es-ES_tradnl"/>
        </w:rPr>
      </w:pPr>
    </w:p>
    <w:p w14:paraId="6AF5AA8E" w14:textId="40235FE5" w:rsidR="00D63F86" w:rsidRPr="00192094" w:rsidRDefault="00D63F86" w:rsidP="00D63F86">
      <w:pPr>
        <w:pStyle w:val="DecisionParagraphs"/>
        <w:rPr>
          <w:lang w:val="es-ES_tradnl"/>
        </w:rPr>
      </w:pPr>
      <w:r w:rsidRPr="00192094">
        <w:rPr>
          <w:lang w:val="es-ES_tradnl"/>
        </w:rPr>
        <w:tab/>
        <w:t>d)</w:t>
      </w:r>
      <w:r w:rsidRPr="00192094">
        <w:rPr>
          <w:lang w:val="es-ES_tradnl"/>
        </w:rPr>
        <w:tab/>
        <w:t>tomar nota de que el</w:t>
      </w:r>
      <w:r w:rsidR="00E13F8E">
        <w:rPr>
          <w:lang w:val="es-ES_tradnl"/>
        </w:rPr>
        <w:t> </w:t>
      </w:r>
      <w:r w:rsidRPr="00192094">
        <w:rPr>
          <w:lang w:val="es-ES_tradnl"/>
        </w:rPr>
        <w:t>TWM convino en que será necesario seguir manteniendo debates sobre los</w:t>
      </w:r>
      <w:r w:rsidR="00E13F8E">
        <w:rPr>
          <w:lang w:val="es-ES_tradnl"/>
        </w:rPr>
        <w:t xml:space="preserve"> posibles</w:t>
      </w:r>
      <w:r w:rsidRPr="00192094">
        <w:rPr>
          <w:lang w:val="es-ES_tradnl"/>
        </w:rPr>
        <w:t xml:space="preserve"> enfoques cuando la extrapolación esté indicada e invitó al</w:t>
      </w:r>
      <w:r w:rsidR="00E13F8E">
        <w:rPr>
          <w:lang w:val="es-ES_tradnl"/>
        </w:rPr>
        <w:t> </w:t>
      </w:r>
      <w:r w:rsidRPr="00192094">
        <w:rPr>
          <w:lang w:val="es-ES_tradnl"/>
        </w:rPr>
        <w:t>Reino</w:t>
      </w:r>
      <w:r w:rsidR="00E13F8E">
        <w:rPr>
          <w:lang w:val="es-ES_tradnl"/>
        </w:rPr>
        <w:t> </w:t>
      </w:r>
      <w:r w:rsidRPr="00192094">
        <w:rPr>
          <w:lang w:val="es-ES_tradnl"/>
        </w:rPr>
        <w:t>Unido y a otros miembros a presentar un informe en la segunda sesión del</w:t>
      </w:r>
      <w:r w:rsidR="00E13F8E">
        <w:rPr>
          <w:lang w:val="es-ES_tradnl"/>
        </w:rPr>
        <w:t> </w:t>
      </w:r>
      <w:r w:rsidRPr="00192094">
        <w:rPr>
          <w:lang w:val="es-ES_tradnl"/>
        </w:rPr>
        <w:t>TWM; y</w:t>
      </w:r>
    </w:p>
    <w:p w14:paraId="6D9CFB1A" w14:textId="77777777" w:rsidR="00D63F86" w:rsidRPr="00192094" w:rsidRDefault="00D63F86" w:rsidP="00D63F86">
      <w:pPr>
        <w:pStyle w:val="DecisionParagraphs"/>
        <w:rPr>
          <w:lang w:val="es-ES_tradnl"/>
        </w:rPr>
      </w:pPr>
    </w:p>
    <w:p w14:paraId="3A59F57A" w14:textId="69E9CF88" w:rsidR="00D63F86" w:rsidRPr="00192094" w:rsidRDefault="00D63F86" w:rsidP="00D63F86">
      <w:pPr>
        <w:pStyle w:val="DecisionParagraphs"/>
        <w:rPr>
          <w:lang w:val="es-ES_tradnl"/>
        </w:rPr>
      </w:pPr>
      <w:r w:rsidRPr="00192094">
        <w:rPr>
          <w:lang w:val="es-ES_tradnl"/>
        </w:rPr>
        <w:tab/>
        <w:t>e)</w:t>
      </w:r>
      <w:r w:rsidRPr="00192094">
        <w:rPr>
          <w:lang w:val="es-ES_tradnl"/>
        </w:rPr>
        <w:tab/>
        <w:t>solicitar al</w:t>
      </w:r>
      <w:r w:rsidR="00E13F8E">
        <w:rPr>
          <w:lang w:val="es-ES_tradnl"/>
        </w:rPr>
        <w:t> </w:t>
      </w:r>
      <w:r w:rsidRPr="00192094">
        <w:rPr>
          <w:lang w:val="es-ES_tradnl"/>
        </w:rPr>
        <w:t>TWM que elabore un informe de los resultados de la campaña de pruebas del programa informático para el</w:t>
      </w:r>
      <w:r w:rsidR="00E13F8E">
        <w:rPr>
          <w:lang w:val="es-ES_tradnl"/>
        </w:rPr>
        <w:t> </w:t>
      </w:r>
      <w:r w:rsidRPr="00192094">
        <w:rPr>
          <w:lang w:val="es-ES_tradnl"/>
        </w:rPr>
        <w:t xml:space="preserve">COYU con </w:t>
      </w:r>
      <w:proofErr w:type="spellStart"/>
      <w:r w:rsidRPr="00192094">
        <w:rPr>
          <w:lang w:val="es-ES_tradnl"/>
        </w:rPr>
        <w:t>splines</w:t>
      </w:r>
      <w:proofErr w:type="spellEnd"/>
      <w:r w:rsidRPr="00192094">
        <w:rPr>
          <w:lang w:val="es-ES_tradnl"/>
        </w:rPr>
        <w:t>, a fin de que este Comité lo examine en coincidencia con la revisión del documento</w:t>
      </w:r>
      <w:r w:rsidR="00E13F8E">
        <w:rPr>
          <w:lang w:val="es-ES_tradnl"/>
        </w:rPr>
        <w:t> </w:t>
      </w:r>
      <w:r w:rsidRPr="00192094">
        <w:rPr>
          <w:lang w:val="es-ES_tradnl"/>
        </w:rPr>
        <w:t xml:space="preserve">TGP/8. </w:t>
      </w:r>
    </w:p>
    <w:p w14:paraId="282B2BDA" w14:textId="77777777" w:rsidR="00D63F86" w:rsidRPr="00192094" w:rsidRDefault="00D63F86" w:rsidP="00D63F86">
      <w:pPr>
        <w:rPr>
          <w:lang w:val="es-ES_tradnl"/>
        </w:rPr>
      </w:pPr>
    </w:p>
    <w:p w14:paraId="1B3E1E91" w14:textId="4F9C2736" w:rsidR="00D63F86" w:rsidRPr="00192094" w:rsidRDefault="00D63F86" w:rsidP="00D63F86">
      <w:pPr>
        <w:rPr>
          <w:lang w:val="es-ES_tradnl"/>
        </w:rPr>
      </w:pPr>
    </w:p>
    <w:p w14:paraId="39276862" w14:textId="77777777" w:rsidR="00D63F86" w:rsidRPr="00192094" w:rsidRDefault="00D63F86" w:rsidP="00D63F86">
      <w:pPr>
        <w:rPr>
          <w:lang w:val="es-ES_tradnl"/>
        </w:rPr>
      </w:pPr>
    </w:p>
    <w:p w14:paraId="37DC4AEC" w14:textId="77777777" w:rsidR="00D63F86" w:rsidRPr="00192094" w:rsidRDefault="00D63F86" w:rsidP="00D63F86">
      <w:pPr>
        <w:jc w:val="right"/>
        <w:rPr>
          <w:rFonts w:cs="Arial"/>
          <w:lang w:val="es-ES_tradnl"/>
        </w:rPr>
      </w:pPr>
      <w:r w:rsidRPr="00192094">
        <w:rPr>
          <w:lang w:val="es-ES_tradnl"/>
        </w:rPr>
        <w:t>[Siguen los Anexos]</w:t>
      </w:r>
    </w:p>
    <w:p w14:paraId="193318FA" w14:textId="77777777" w:rsidR="00D63F86" w:rsidRPr="00192094" w:rsidRDefault="00D63F86" w:rsidP="00D63F86">
      <w:pPr>
        <w:jc w:val="right"/>
        <w:rPr>
          <w:rFonts w:cs="Arial"/>
          <w:lang w:val="es-ES_tradnl"/>
        </w:rPr>
        <w:sectPr w:rsidR="00D63F86" w:rsidRPr="00192094" w:rsidSect="0004198B">
          <w:headerReference w:type="default" r:id="rId8"/>
          <w:pgSz w:w="11907" w:h="16840" w:code="9"/>
          <w:pgMar w:top="510" w:right="1134" w:bottom="1134" w:left="1134" w:header="510" w:footer="680" w:gutter="0"/>
          <w:pgNumType w:start="1"/>
          <w:cols w:space="720"/>
          <w:titlePg/>
        </w:sect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D63F86" w:rsidRPr="00192094" w14:paraId="1DEE11DA" w14:textId="77777777" w:rsidTr="00707306">
        <w:tc>
          <w:tcPr>
            <w:tcW w:w="6522" w:type="dxa"/>
          </w:tcPr>
          <w:p w14:paraId="5851EF1C" w14:textId="77777777" w:rsidR="00D63F86" w:rsidRPr="00192094" w:rsidRDefault="00D63F86" w:rsidP="00707306">
            <w:pPr>
              <w:rPr>
                <w:lang w:val="es-ES_tradnl"/>
              </w:rPr>
            </w:pPr>
            <w:r w:rsidRPr="00192094">
              <w:rPr>
                <w:noProof/>
                <w:lang w:val="en-US" w:eastAsia="ja-JP"/>
              </w:rPr>
              <w:lastRenderedPageBreak/>
              <w:drawing>
                <wp:inline distT="0" distB="0" distL="0" distR="0" wp14:anchorId="27696EBB" wp14:editId="12C9B27C">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A4ED92A" w14:textId="77777777" w:rsidR="00D63F86" w:rsidRPr="00192094" w:rsidRDefault="00D63F86" w:rsidP="00707306">
            <w:pPr>
              <w:pStyle w:val="Lettrine"/>
              <w:rPr>
                <w:lang w:val="es-ES_tradnl"/>
              </w:rPr>
            </w:pPr>
            <w:r w:rsidRPr="00192094">
              <w:rPr>
                <w:lang w:val="es-ES_tradnl"/>
              </w:rPr>
              <w:t>S</w:t>
            </w:r>
          </w:p>
        </w:tc>
      </w:tr>
      <w:tr w:rsidR="00D63F86" w:rsidRPr="00192094" w14:paraId="3B50F65E" w14:textId="77777777" w:rsidTr="00707306">
        <w:trPr>
          <w:trHeight w:val="219"/>
        </w:trPr>
        <w:tc>
          <w:tcPr>
            <w:tcW w:w="6522" w:type="dxa"/>
          </w:tcPr>
          <w:p w14:paraId="512F99C2" w14:textId="77777777" w:rsidR="00D63F86" w:rsidRPr="00192094" w:rsidRDefault="00D63F86" w:rsidP="00707306">
            <w:pPr>
              <w:pStyle w:val="upove"/>
              <w:rPr>
                <w:lang w:val="es-ES_tradnl"/>
              </w:rPr>
            </w:pPr>
            <w:r w:rsidRPr="00192094">
              <w:rPr>
                <w:lang w:val="es-ES_tradnl"/>
              </w:rPr>
              <w:t>Unión Internacional para la Protección de las Obtenciones Vegetales</w:t>
            </w:r>
          </w:p>
        </w:tc>
        <w:tc>
          <w:tcPr>
            <w:tcW w:w="3117" w:type="dxa"/>
          </w:tcPr>
          <w:p w14:paraId="2A2A7ED8" w14:textId="77777777" w:rsidR="00D63F86" w:rsidRPr="00192094" w:rsidRDefault="00D63F86" w:rsidP="00707306">
            <w:pPr>
              <w:rPr>
                <w:lang w:val="es-ES_tradnl"/>
              </w:rPr>
            </w:pPr>
          </w:p>
        </w:tc>
      </w:tr>
    </w:tbl>
    <w:p w14:paraId="2C083C15" w14:textId="77777777" w:rsidR="00D63F86" w:rsidRPr="00192094" w:rsidRDefault="00D63F86" w:rsidP="00D63F86">
      <w:pPr>
        <w:rPr>
          <w:lang w:val="es-ES_tradnl"/>
        </w:rPr>
      </w:pPr>
    </w:p>
    <w:p w14:paraId="52F5B37D" w14:textId="77777777" w:rsidR="00D63F86" w:rsidRPr="00192094" w:rsidRDefault="00D63F86" w:rsidP="00D63F86">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63F86" w:rsidRPr="00192094" w14:paraId="768D3589" w14:textId="77777777" w:rsidTr="00707306">
        <w:tc>
          <w:tcPr>
            <w:tcW w:w="6512" w:type="dxa"/>
          </w:tcPr>
          <w:p w14:paraId="36F3B5A7" w14:textId="77777777" w:rsidR="00D63F86" w:rsidRPr="00192094" w:rsidRDefault="00D63F86" w:rsidP="00707306">
            <w:pPr>
              <w:pStyle w:val="Sessiontc"/>
              <w:rPr>
                <w:lang w:val="es-ES_tradnl"/>
              </w:rPr>
            </w:pPr>
            <w:r w:rsidRPr="00192094">
              <w:rPr>
                <w:lang w:val="es-ES_tradnl"/>
              </w:rPr>
              <w:t>Grupo de Trabajo Técnico sobre Métodos y Técnicas de Examen</w:t>
            </w:r>
          </w:p>
          <w:p w14:paraId="3E8C8915" w14:textId="0BB542C7" w:rsidR="00D63F86" w:rsidRPr="00192094" w:rsidRDefault="00D63F86" w:rsidP="00707306">
            <w:pPr>
              <w:pStyle w:val="Sessiontcplacedate"/>
              <w:rPr>
                <w:sz w:val="22"/>
                <w:lang w:val="es-ES_tradnl"/>
              </w:rPr>
            </w:pPr>
            <w:r w:rsidRPr="00192094">
              <w:rPr>
                <w:lang w:val="es-ES_tradnl"/>
              </w:rPr>
              <w:t>Primera sesión</w:t>
            </w:r>
            <w:r w:rsidRPr="00192094">
              <w:rPr>
                <w:lang w:val="es-ES_tradnl"/>
              </w:rPr>
              <w:br/>
              <w:t>Reunión virtual, del</w:t>
            </w:r>
            <w:r w:rsidR="00E13F8E">
              <w:rPr>
                <w:lang w:val="es-ES_tradnl"/>
              </w:rPr>
              <w:t> </w:t>
            </w:r>
            <w:r w:rsidRPr="00192094">
              <w:rPr>
                <w:lang w:val="es-ES_tradnl"/>
              </w:rPr>
              <w:t>19 al</w:t>
            </w:r>
            <w:r w:rsidR="00E13F8E">
              <w:rPr>
                <w:lang w:val="es-ES_tradnl"/>
              </w:rPr>
              <w:t> </w:t>
            </w:r>
            <w:r w:rsidRPr="00192094">
              <w:rPr>
                <w:lang w:val="es-ES_tradnl"/>
              </w:rPr>
              <w:t>23 de septiembre de</w:t>
            </w:r>
            <w:r w:rsidR="00E13F8E">
              <w:rPr>
                <w:lang w:val="es-ES_tradnl"/>
              </w:rPr>
              <w:t> </w:t>
            </w:r>
            <w:r w:rsidRPr="00192094">
              <w:rPr>
                <w:lang w:val="es-ES_tradnl"/>
              </w:rPr>
              <w:t>2022</w:t>
            </w:r>
          </w:p>
        </w:tc>
        <w:tc>
          <w:tcPr>
            <w:tcW w:w="3127" w:type="dxa"/>
          </w:tcPr>
          <w:p w14:paraId="3073B40F" w14:textId="77777777" w:rsidR="00D63F86" w:rsidRPr="00192094" w:rsidRDefault="00D63F86" w:rsidP="00707306">
            <w:pPr>
              <w:pStyle w:val="Doccode"/>
              <w:rPr>
                <w:lang w:val="es-ES_tradnl"/>
              </w:rPr>
            </w:pPr>
            <w:r w:rsidRPr="00192094">
              <w:rPr>
                <w:lang w:val="es-ES_tradnl"/>
              </w:rPr>
              <w:t>TWM/1/8</w:t>
            </w:r>
          </w:p>
          <w:p w14:paraId="61CF7D96" w14:textId="77777777" w:rsidR="00D63F86" w:rsidRPr="00192094" w:rsidRDefault="00D63F86" w:rsidP="00707306">
            <w:pPr>
              <w:pStyle w:val="Docoriginal"/>
              <w:rPr>
                <w:lang w:val="es-ES_tradnl"/>
              </w:rPr>
            </w:pPr>
            <w:r w:rsidRPr="00192094">
              <w:rPr>
                <w:lang w:val="es-ES_tradnl"/>
              </w:rPr>
              <w:t>Original:</w:t>
            </w:r>
            <w:r w:rsidRPr="00192094">
              <w:rPr>
                <w:b w:val="0"/>
                <w:lang w:val="es-ES_tradnl"/>
              </w:rPr>
              <w:t xml:space="preserve"> </w:t>
            </w:r>
            <w:proofErr w:type="gramStart"/>
            <w:r w:rsidRPr="00192094">
              <w:rPr>
                <w:b w:val="0"/>
                <w:lang w:val="es-ES_tradnl"/>
              </w:rPr>
              <w:t>Inglés</w:t>
            </w:r>
            <w:proofErr w:type="gramEnd"/>
          </w:p>
          <w:p w14:paraId="7011D109" w14:textId="77777777" w:rsidR="00D63F86" w:rsidRPr="00192094" w:rsidRDefault="00D63F86" w:rsidP="00707306">
            <w:pPr>
              <w:pStyle w:val="Docoriginal"/>
              <w:rPr>
                <w:lang w:val="es-ES_tradnl"/>
              </w:rPr>
            </w:pPr>
            <w:r w:rsidRPr="00192094">
              <w:rPr>
                <w:lang w:val="es-ES_tradnl"/>
              </w:rPr>
              <w:t>Fecha:</w:t>
            </w:r>
            <w:r w:rsidRPr="00192094">
              <w:rPr>
                <w:b w:val="0"/>
                <w:lang w:val="es-ES_tradnl"/>
              </w:rPr>
              <w:t xml:space="preserve"> 29 de agosto de 2022</w:t>
            </w:r>
          </w:p>
        </w:tc>
      </w:tr>
    </w:tbl>
    <w:p w14:paraId="224BBEEF" w14:textId="77777777" w:rsidR="00D63F86" w:rsidRPr="00192094" w:rsidRDefault="00D63F86" w:rsidP="00D63F86">
      <w:pPr>
        <w:pStyle w:val="Titleofdoc0"/>
        <w:rPr>
          <w:lang w:val="es-ES_tradnl"/>
        </w:rPr>
      </w:pPr>
      <w:r w:rsidRPr="00192094">
        <w:rPr>
          <w:lang w:val="es-ES_tradnl"/>
        </w:rPr>
        <w:t>Novedades relativas al método COYU mejorado (</w:t>
      </w:r>
      <w:r w:rsidRPr="00EE4E6E">
        <w:rPr>
          <w:i/>
          <w:iCs/>
          <w:lang w:val="es-ES_tradnl"/>
        </w:rPr>
        <w:t>splines</w:t>
      </w:r>
      <w:r w:rsidRPr="00192094">
        <w:rPr>
          <w:lang w:val="es-ES_tradnl"/>
        </w:rPr>
        <w:t>)</w:t>
      </w:r>
    </w:p>
    <w:p w14:paraId="4EE89B88" w14:textId="0C2BA5CF" w:rsidR="00D63F86" w:rsidRPr="00192094" w:rsidRDefault="00D63F86" w:rsidP="00D63F86">
      <w:pPr>
        <w:pStyle w:val="preparedby1"/>
        <w:jc w:val="left"/>
        <w:rPr>
          <w:lang w:val="es-ES_tradnl"/>
        </w:rPr>
      </w:pPr>
      <w:r w:rsidRPr="00192094">
        <w:rPr>
          <w:lang w:val="es-ES_tradnl"/>
        </w:rPr>
        <w:t>Documento preparado por expertos del Reino</w:t>
      </w:r>
      <w:r w:rsidR="00E13F8E">
        <w:rPr>
          <w:lang w:val="es-ES_tradnl"/>
        </w:rPr>
        <w:t> </w:t>
      </w:r>
      <w:r w:rsidRPr="00192094">
        <w:rPr>
          <w:lang w:val="es-ES_tradnl"/>
        </w:rPr>
        <w:t>Unido</w:t>
      </w:r>
    </w:p>
    <w:p w14:paraId="4CA39FE6" w14:textId="77777777" w:rsidR="00D63F86" w:rsidRPr="00192094" w:rsidRDefault="00D63F86" w:rsidP="00D63F86">
      <w:pPr>
        <w:pStyle w:val="Disclaimer"/>
        <w:rPr>
          <w:lang w:val="es-ES_tradnl"/>
        </w:rPr>
      </w:pPr>
      <w:r w:rsidRPr="00192094">
        <w:rPr>
          <w:lang w:val="es-ES_tradnl"/>
        </w:rPr>
        <w:t>Descargo de responsabilidad: el presente documento no constituye un documento de política u orientación de la UPOV</w:t>
      </w:r>
    </w:p>
    <w:p w14:paraId="3C3A1F2F" w14:textId="77777777" w:rsidR="00D63F86" w:rsidRPr="00192094" w:rsidRDefault="00D63F86" w:rsidP="00D63F86">
      <w:pPr>
        <w:pStyle w:val="Heading1"/>
        <w:rPr>
          <w:snapToGrid w:val="0"/>
          <w:lang w:val="es-ES_tradnl"/>
        </w:rPr>
      </w:pPr>
      <w:bookmarkStart w:id="14" w:name="_Toc116941332"/>
      <w:r w:rsidRPr="00192094">
        <w:rPr>
          <w:snapToGrid w:val="0"/>
          <w:lang w:val="es-ES_tradnl"/>
        </w:rPr>
        <w:t>Resumen</w:t>
      </w:r>
      <w:bookmarkEnd w:id="14"/>
    </w:p>
    <w:p w14:paraId="1CCB25BE" w14:textId="77777777" w:rsidR="00D63F86" w:rsidRPr="00192094" w:rsidRDefault="00D63F86" w:rsidP="00D63F86">
      <w:pPr>
        <w:rPr>
          <w:rFonts w:eastAsia="Calibri"/>
          <w:lang w:val="es-ES_tradnl"/>
        </w:rPr>
      </w:pPr>
    </w:p>
    <w:p w14:paraId="3873B16E" w14:textId="77777777"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 xml:space="preserve">El presente documento tiene por objeto proporcionar información actualizada sobre las novedades relativas a la versión mejorada del criterio combinado interanual de homogeneidad (COYU) con </w:t>
      </w:r>
      <w:proofErr w:type="spellStart"/>
      <w:r w:rsidRPr="00192094">
        <w:rPr>
          <w:i/>
          <w:lang w:val="es-ES_tradnl"/>
        </w:rPr>
        <w:t>splines</w:t>
      </w:r>
      <w:proofErr w:type="spellEnd"/>
      <w:r w:rsidRPr="00192094">
        <w:rPr>
          <w:lang w:val="es-ES_tradnl"/>
        </w:rPr>
        <w:t xml:space="preserve">. Se presenta información sobre una campaña de pruebas del programa informático que aplica el nuevo método y sobre el posterior desarrollo del programa. </w:t>
      </w:r>
    </w:p>
    <w:p w14:paraId="496AA6C5" w14:textId="77777777" w:rsidR="00D63F86" w:rsidRPr="00192094" w:rsidRDefault="00D63F86" w:rsidP="00D63F86">
      <w:pPr>
        <w:contextualSpacing/>
        <w:rPr>
          <w:rFonts w:eastAsia="Calibri" w:cs="Arial"/>
          <w:lang w:val="es-ES_tradnl"/>
        </w:rPr>
      </w:pPr>
    </w:p>
    <w:p w14:paraId="1B8CBD4B" w14:textId="77777777"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El documento debe considerarse junto con el documento TWP/6/11 “</w:t>
      </w:r>
      <w:proofErr w:type="spellStart"/>
      <w:r w:rsidRPr="00192094">
        <w:rPr>
          <w:lang w:val="es-ES_tradnl"/>
        </w:rPr>
        <w:t>The</w:t>
      </w:r>
      <w:proofErr w:type="spellEnd"/>
      <w:r w:rsidRPr="00192094">
        <w:rPr>
          <w:lang w:val="es-ES_tradnl"/>
        </w:rPr>
        <w:t xml:space="preserve"> </w:t>
      </w:r>
      <w:proofErr w:type="spellStart"/>
      <w:r w:rsidRPr="00192094">
        <w:rPr>
          <w:lang w:val="es-ES_tradnl"/>
        </w:rPr>
        <w:t>Combined</w:t>
      </w:r>
      <w:proofErr w:type="spellEnd"/>
      <w:r w:rsidRPr="00192094">
        <w:rPr>
          <w:lang w:val="es-ES_tradnl"/>
        </w:rPr>
        <w:t xml:space="preserve"> </w:t>
      </w:r>
      <w:proofErr w:type="spellStart"/>
      <w:r w:rsidRPr="00192094">
        <w:rPr>
          <w:lang w:val="es-ES_tradnl"/>
        </w:rPr>
        <w:t>Over</w:t>
      </w:r>
      <w:proofErr w:type="spellEnd"/>
      <w:r w:rsidRPr="00192094">
        <w:rPr>
          <w:lang w:val="es-ES_tradnl"/>
        </w:rPr>
        <w:t xml:space="preserve"> </w:t>
      </w:r>
      <w:proofErr w:type="spellStart"/>
      <w:r w:rsidRPr="00192094">
        <w:rPr>
          <w:lang w:val="es-ES_tradnl"/>
        </w:rPr>
        <w:t>Years</w:t>
      </w:r>
      <w:proofErr w:type="spellEnd"/>
      <w:r w:rsidRPr="00192094">
        <w:rPr>
          <w:lang w:val="es-ES_tradnl"/>
        </w:rPr>
        <w:t xml:space="preserve"> </w:t>
      </w:r>
      <w:proofErr w:type="spellStart"/>
      <w:r w:rsidRPr="00192094">
        <w:rPr>
          <w:lang w:val="es-ES_tradnl"/>
        </w:rPr>
        <w:t>Uniformity</w:t>
      </w:r>
      <w:proofErr w:type="spellEnd"/>
      <w:r w:rsidRPr="00192094">
        <w:rPr>
          <w:lang w:val="es-ES_tradnl"/>
        </w:rPr>
        <w:t xml:space="preserve"> </w:t>
      </w:r>
      <w:proofErr w:type="spellStart"/>
      <w:r w:rsidRPr="00192094">
        <w:rPr>
          <w:lang w:val="es-ES_tradnl"/>
        </w:rPr>
        <w:t>Criterion</w:t>
      </w:r>
      <w:proofErr w:type="spellEnd"/>
      <w:r w:rsidRPr="00192094">
        <w:rPr>
          <w:lang w:val="es-ES_tradnl"/>
        </w:rPr>
        <w:t xml:space="preserve"> (COYU)” (Criterio combinado interanual de homogeneidad (COYU)).</w:t>
      </w:r>
    </w:p>
    <w:p w14:paraId="0146A50A" w14:textId="77777777" w:rsidR="00D63F86" w:rsidRPr="00192094" w:rsidRDefault="00D63F86" w:rsidP="00D63F86">
      <w:pPr>
        <w:rPr>
          <w:rFonts w:eastAsia="Calibri" w:cs="Arial"/>
          <w:lang w:val="es-ES_tradnl"/>
        </w:rPr>
      </w:pPr>
    </w:p>
    <w:p w14:paraId="0E362C5B" w14:textId="6AECF0CB" w:rsidR="00D63F86" w:rsidRPr="00192094" w:rsidRDefault="00D63F86" w:rsidP="00D63F86">
      <w:pPr>
        <w:numPr>
          <w:ilvl w:val="0"/>
          <w:numId w:val="5"/>
        </w:numPr>
        <w:ind w:left="1134" w:hanging="567"/>
        <w:contextualSpacing/>
        <w:rPr>
          <w:rFonts w:eastAsia="Calibri" w:cs="Arial"/>
          <w:lang w:val="es-ES_tradnl"/>
        </w:rPr>
      </w:pPr>
      <w:r w:rsidRPr="00192094">
        <w:rPr>
          <w:lang w:val="es-ES_tradnl"/>
        </w:rPr>
        <w:t>Se invita al</w:t>
      </w:r>
      <w:r w:rsidR="00C13E39">
        <w:rPr>
          <w:lang w:val="es-ES_tradnl"/>
        </w:rPr>
        <w:t> </w:t>
      </w:r>
      <w:r w:rsidRPr="00192094">
        <w:rPr>
          <w:lang w:val="es-ES_tradnl"/>
        </w:rPr>
        <w:t>TWM a tomar nota de las novedades.</w:t>
      </w:r>
    </w:p>
    <w:p w14:paraId="4F50499E" w14:textId="77777777" w:rsidR="00D63F86" w:rsidRPr="00192094" w:rsidRDefault="00D63F86" w:rsidP="00D63F86">
      <w:pPr>
        <w:rPr>
          <w:rFonts w:eastAsia="Calibri" w:cs="Arial"/>
          <w:lang w:val="es-ES_tradnl"/>
        </w:rPr>
      </w:pPr>
    </w:p>
    <w:p w14:paraId="56251E55" w14:textId="77777777" w:rsidR="00D63F86" w:rsidRPr="00192094" w:rsidRDefault="00D63F86" w:rsidP="00D63F86">
      <w:pPr>
        <w:rPr>
          <w:rFonts w:eastAsia="Calibri" w:cs="Arial"/>
          <w:lang w:val="es-ES_tradnl"/>
        </w:rPr>
      </w:pPr>
    </w:p>
    <w:p w14:paraId="690982A3" w14:textId="77777777" w:rsidR="00D63F86" w:rsidRPr="00192094" w:rsidRDefault="00D63F86" w:rsidP="00D63F86">
      <w:pPr>
        <w:pStyle w:val="Heading1"/>
        <w:rPr>
          <w:rFonts w:eastAsia="Calibri"/>
          <w:lang w:val="es-ES_tradnl"/>
        </w:rPr>
      </w:pPr>
      <w:bookmarkStart w:id="15" w:name="_Toc116941333"/>
      <w:r w:rsidRPr="00192094">
        <w:rPr>
          <w:lang w:val="es-ES_tradnl"/>
        </w:rPr>
        <w:t>ANTECEDENTES</w:t>
      </w:r>
      <w:bookmarkEnd w:id="15"/>
    </w:p>
    <w:p w14:paraId="2CE5864D" w14:textId="77777777" w:rsidR="00D63F86" w:rsidRPr="00192094" w:rsidRDefault="00D63F86" w:rsidP="00D63F86">
      <w:pPr>
        <w:rPr>
          <w:rFonts w:eastAsia="Calibri"/>
          <w:lang w:val="es-ES_tradnl"/>
        </w:rPr>
      </w:pPr>
    </w:p>
    <w:p w14:paraId="7C5DFEB4" w14:textId="59B331D2"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El criterio combinado interanual de homogeneidad (COYU) es un método utilizado para evaluar la homogeneidad sobre la base de caracteres cuantitativos medidos (véase el documento TGP/8/3 “Diseño de ensayos y técnicas utilizados en el examen de la distinción, la homogeneidad y la estabilidad”). Anteriormente se ha informado del desarrollo de un método mejorado. Se ofrecen más antecedentes de esta cuestión en el documento</w:t>
      </w:r>
      <w:r w:rsidR="00C13E39">
        <w:rPr>
          <w:lang w:val="es-ES_tradnl"/>
        </w:rPr>
        <w:t> </w:t>
      </w:r>
      <w:r w:rsidRPr="00192094">
        <w:rPr>
          <w:lang w:val="es-ES_tradnl"/>
        </w:rPr>
        <w:t>TWC/38/6 “</w:t>
      </w:r>
      <w:proofErr w:type="spellStart"/>
      <w:r w:rsidRPr="00192094">
        <w:rPr>
          <w:lang w:val="es-ES_tradnl"/>
        </w:rPr>
        <w:t>The</w:t>
      </w:r>
      <w:proofErr w:type="spellEnd"/>
      <w:r w:rsidRPr="00192094">
        <w:rPr>
          <w:lang w:val="es-ES_tradnl"/>
        </w:rPr>
        <w:t xml:space="preserve"> </w:t>
      </w:r>
      <w:proofErr w:type="spellStart"/>
      <w:r w:rsidRPr="00192094">
        <w:rPr>
          <w:lang w:val="es-ES_tradnl"/>
        </w:rPr>
        <w:t>Combined</w:t>
      </w:r>
      <w:proofErr w:type="spellEnd"/>
      <w:r w:rsidRPr="00192094">
        <w:rPr>
          <w:lang w:val="es-ES_tradnl"/>
        </w:rPr>
        <w:t xml:space="preserve"> </w:t>
      </w:r>
      <w:proofErr w:type="spellStart"/>
      <w:r w:rsidRPr="00192094">
        <w:rPr>
          <w:lang w:val="es-ES_tradnl"/>
        </w:rPr>
        <w:t>Over</w:t>
      </w:r>
      <w:proofErr w:type="spellEnd"/>
      <w:r w:rsidRPr="00192094">
        <w:rPr>
          <w:lang w:val="es-ES_tradnl"/>
        </w:rPr>
        <w:t xml:space="preserve"> </w:t>
      </w:r>
      <w:proofErr w:type="spellStart"/>
      <w:r w:rsidRPr="00192094">
        <w:rPr>
          <w:lang w:val="es-ES_tradnl"/>
        </w:rPr>
        <w:t>Years</w:t>
      </w:r>
      <w:proofErr w:type="spellEnd"/>
      <w:r w:rsidRPr="00192094">
        <w:rPr>
          <w:lang w:val="es-ES_tradnl"/>
        </w:rPr>
        <w:t xml:space="preserve"> </w:t>
      </w:r>
      <w:proofErr w:type="spellStart"/>
      <w:r w:rsidRPr="00192094">
        <w:rPr>
          <w:lang w:val="es-ES_tradnl"/>
        </w:rPr>
        <w:t>Criterion</w:t>
      </w:r>
      <w:proofErr w:type="spellEnd"/>
      <w:r w:rsidRPr="00192094">
        <w:rPr>
          <w:lang w:val="es-ES_tradnl"/>
        </w:rPr>
        <w:t xml:space="preserve"> (COYU)” (Criterio combinado interanual (COYU)).</w:t>
      </w:r>
    </w:p>
    <w:p w14:paraId="3D012B37" w14:textId="77777777" w:rsidR="00D63F86" w:rsidRPr="00192094" w:rsidRDefault="00D63F86" w:rsidP="00D63F86">
      <w:pPr>
        <w:rPr>
          <w:rFonts w:eastAsia="Calibri" w:cs="Arial"/>
          <w:lang w:val="es-ES_tradnl"/>
        </w:rPr>
      </w:pPr>
    </w:p>
    <w:p w14:paraId="70E39F24" w14:textId="4CED3868"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Anteriormente, se tomó nota del desarrollo de un programa informático para la aplicación del</w:t>
      </w:r>
      <w:r w:rsidR="00C13E39">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Este programa informático se puede obtener como paquete de R y como un módulo en</w:t>
      </w:r>
      <w:r w:rsidR="00C13E39">
        <w:rPr>
          <w:lang w:val="es-ES_tradnl"/>
        </w:rPr>
        <w:t> </w:t>
      </w:r>
      <w:r w:rsidRPr="00192094">
        <w:rPr>
          <w:lang w:val="es-ES_tradnl"/>
        </w:rPr>
        <w:t xml:space="preserve">DUSTNT. </w:t>
      </w:r>
    </w:p>
    <w:p w14:paraId="675D10D3" w14:textId="77777777" w:rsidR="00D63F86" w:rsidRPr="00192094" w:rsidRDefault="00D63F86" w:rsidP="00D63F86">
      <w:pPr>
        <w:ind w:left="720"/>
        <w:contextualSpacing/>
        <w:rPr>
          <w:rFonts w:eastAsia="Calibri" w:cs="Arial"/>
          <w:lang w:val="es-ES_tradnl"/>
        </w:rPr>
      </w:pPr>
    </w:p>
    <w:p w14:paraId="785B6C74" w14:textId="5597F186"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DUSTNT es un programa informático para el análisis de los datos recabados de ensayos</w:t>
      </w:r>
      <w:r w:rsidR="00C13E39">
        <w:rPr>
          <w:lang w:val="es-ES_tradnl"/>
        </w:rPr>
        <w:t> </w:t>
      </w:r>
      <w:r w:rsidRPr="00192094">
        <w:rPr>
          <w:lang w:val="es-ES_tradnl"/>
        </w:rPr>
        <w:t>DHE y está disponible gratuitamente (véase el documento</w:t>
      </w:r>
      <w:r w:rsidR="00C13E39">
        <w:rPr>
          <w:lang w:val="es-ES_tradnl"/>
        </w:rPr>
        <w:t> </w:t>
      </w:r>
      <w:r w:rsidRPr="00192094">
        <w:rPr>
          <w:lang w:val="es-ES_tradnl"/>
        </w:rPr>
        <w:t>UPOV/INF/16/9 “Programas informáticos para intercambio”). Este programa informático no solo es utilizado sistemáticamente por varios miembros, sino que también se ha usado como programa informático de referencia para</w:t>
      </w:r>
      <w:r w:rsidR="00C13E39">
        <w:rPr>
          <w:lang w:val="es-ES_tradnl"/>
        </w:rPr>
        <w:t> </w:t>
      </w:r>
      <w:r w:rsidRPr="00192094">
        <w:rPr>
          <w:lang w:val="es-ES_tradnl"/>
        </w:rPr>
        <w:t>COYD y</w:t>
      </w:r>
      <w:r w:rsidR="00C13E39">
        <w:rPr>
          <w:lang w:val="es-ES_tradnl"/>
        </w:rPr>
        <w:t> </w:t>
      </w:r>
      <w:r w:rsidRPr="00192094">
        <w:rPr>
          <w:lang w:val="es-ES_tradnl"/>
        </w:rPr>
        <w:t>COYU. Como parte del proceso de incorporación del nuevo módulo, se ha actualizado el procedimiento de instalación para ajustarlo al modelo actual de Windows.</w:t>
      </w:r>
    </w:p>
    <w:p w14:paraId="665C9D5E" w14:textId="77777777" w:rsidR="00D63F86" w:rsidRPr="00192094" w:rsidRDefault="00D63F86" w:rsidP="00D63F86">
      <w:pPr>
        <w:rPr>
          <w:rFonts w:eastAsia="Calibri" w:cs="Arial"/>
          <w:lang w:val="es-ES_tradnl"/>
        </w:rPr>
      </w:pPr>
    </w:p>
    <w:p w14:paraId="0A0E097A" w14:textId="7AA63CDC"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La versión en forma de paquete de</w:t>
      </w:r>
      <w:r w:rsidR="00C13E39">
        <w:rPr>
          <w:lang w:val="es-ES_tradnl"/>
        </w:rPr>
        <w:t> </w:t>
      </w:r>
      <w:r w:rsidRPr="00192094">
        <w:rPr>
          <w:lang w:val="es-ES_tradnl"/>
        </w:rPr>
        <w:t>R es adecuada para aquellos miembros que ya utilizan el programa informático</w:t>
      </w:r>
      <w:r w:rsidR="00C13E39">
        <w:rPr>
          <w:lang w:val="es-ES_tradnl"/>
        </w:rPr>
        <w:t> </w:t>
      </w:r>
      <w:r w:rsidRPr="00192094">
        <w:rPr>
          <w:lang w:val="es-ES_tradnl"/>
        </w:rPr>
        <w:t>R para sus análisis de</w:t>
      </w:r>
      <w:r w:rsidR="00C13E39">
        <w:rPr>
          <w:lang w:val="es-ES_tradnl"/>
        </w:rPr>
        <w:t> </w:t>
      </w:r>
      <w:r w:rsidRPr="00192094">
        <w:rPr>
          <w:lang w:val="es-ES_tradnl"/>
        </w:rPr>
        <w:t>DHE. Tanto R como el paquete</w:t>
      </w:r>
      <w:r w:rsidR="00C13E39">
        <w:rPr>
          <w:lang w:val="es-ES_tradnl"/>
        </w:rPr>
        <w:t> </w:t>
      </w:r>
      <w:r w:rsidRPr="00192094">
        <w:rPr>
          <w:lang w:val="es-ES_tradnl"/>
        </w:rPr>
        <w:t>COYU pu</w:t>
      </w:r>
      <w:r w:rsidR="00192094">
        <w:rPr>
          <w:lang w:val="es-ES_tradnl"/>
        </w:rPr>
        <w:t>e</w:t>
      </w:r>
      <w:r w:rsidRPr="00192094">
        <w:rPr>
          <w:lang w:val="es-ES_tradnl"/>
        </w:rPr>
        <w:t>den obtenerse gratuitamente. El paquete informático para el</w:t>
      </w:r>
      <w:r w:rsidR="00C13E39">
        <w:rPr>
          <w:lang w:val="es-ES_tradnl"/>
        </w:rPr>
        <w:t> </w:t>
      </w:r>
      <w:r w:rsidRPr="00192094">
        <w:rPr>
          <w:lang w:val="es-ES_tradnl"/>
        </w:rPr>
        <w:t xml:space="preserve">COYU está disponible como código fuente o como un archivo binario </w:t>
      </w:r>
      <w:proofErr w:type="spellStart"/>
      <w:r w:rsidRPr="00192094">
        <w:rPr>
          <w:lang w:val="es-ES_tradnl"/>
        </w:rPr>
        <w:t>precompilado</w:t>
      </w:r>
      <w:proofErr w:type="spellEnd"/>
      <w:r w:rsidRPr="00192094">
        <w:rPr>
          <w:lang w:val="es-ES_tradnl"/>
        </w:rPr>
        <w:t xml:space="preserve">, más fácil de instalar. </w:t>
      </w:r>
    </w:p>
    <w:p w14:paraId="578E3721" w14:textId="77777777" w:rsidR="00D63F86" w:rsidRPr="00192094" w:rsidRDefault="00D63F86" w:rsidP="00D63F86">
      <w:pPr>
        <w:rPr>
          <w:rFonts w:eastAsia="Calibri"/>
          <w:lang w:val="es-ES_tradnl"/>
        </w:rPr>
      </w:pPr>
    </w:p>
    <w:p w14:paraId="05E5D478" w14:textId="5679C446" w:rsidR="00D63F86" w:rsidRDefault="00D63F86" w:rsidP="00D63F86">
      <w:pPr>
        <w:rPr>
          <w:rFonts w:eastAsia="Calibri"/>
          <w:lang w:val="es-ES_tradnl"/>
        </w:rPr>
      </w:pPr>
    </w:p>
    <w:p w14:paraId="186B911E" w14:textId="71AADDA6" w:rsidR="00C13E39" w:rsidRDefault="00C13E39" w:rsidP="00D63F86">
      <w:pPr>
        <w:rPr>
          <w:rFonts w:eastAsia="Calibri"/>
          <w:lang w:val="es-ES_tradnl"/>
        </w:rPr>
      </w:pPr>
    </w:p>
    <w:p w14:paraId="43061A85" w14:textId="77777777" w:rsidR="00C13E39" w:rsidRPr="00192094" w:rsidRDefault="00C13E39" w:rsidP="00D63F86">
      <w:pPr>
        <w:rPr>
          <w:rFonts w:eastAsia="Calibri"/>
          <w:lang w:val="es-ES_tradnl"/>
        </w:rPr>
      </w:pPr>
    </w:p>
    <w:p w14:paraId="5D14AD26" w14:textId="77777777" w:rsidR="00D63F86" w:rsidRPr="00192094" w:rsidRDefault="00D63F86" w:rsidP="00D63F86">
      <w:pPr>
        <w:pStyle w:val="Heading1"/>
        <w:rPr>
          <w:rFonts w:eastAsia="Calibri"/>
          <w:lang w:val="es-ES_tradnl"/>
        </w:rPr>
      </w:pPr>
      <w:bookmarkStart w:id="16" w:name="_Toc116941334"/>
      <w:r w:rsidRPr="00192094">
        <w:rPr>
          <w:lang w:val="es-ES_tradnl"/>
        </w:rPr>
        <w:lastRenderedPageBreak/>
        <w:t>Evaluación del nuevo programa informático</w:t>
      </w:r>
      <w:bookmarkEnd w:id="16"/>
    </w:p>
    <w:p w14:paraId="7D43756D" w14:textId="77777777" w:rsidR="00D63F86" w:rsidRPr="00192094" w:rsidRDefault="00D63F86" w:rsidP="00D63F86">
      <w:pPr>
        <w:rPr>
          <w:rFonts w:eastAsia="Calibri"/>
          <w:lang w:val="es-ES_tradnl"/>
        </w:rPr>
      </w:pPr>
    </w:p>
    <w:p w14:paraId="1FFCC2A6" w14:textId="58F196C1"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A principios de agosto de</w:t>
      </w:r>
      <w:r w:rsidR="00C13E39">
        <w:rPr>
          <w:lang w:val="es-ES_tradnl"/>
        </w:rPr>
        <w:t> </w:t>
      </w:r>
      <w:r w:rsidRPr="00192094">
        <w:rPr>
          <w:lang w:val="es-ES_tradnl"/>
        </w:rPr>
        <w:t>2021, la</w:t>
      </w:r>
      <w:r w:rsidR="00C13E39">
        <w:rPr>
          <w:lang w:val="es-ES_tradnl"/>
        </w:rPr>
        <w:t> </w:t>
      </w:r>
      <w:r w:rsidRPr="00192094">
        <w:rPr>
          <w:lang w:val="es-ES_tradnl"/>
        </w:rPr>
        <w:t>Oficina de la</w:t>
      </w:r>
      <w:r w:rsidR="00C13E39">
        <w:rPr>
          <w:lang w:val="es-ES_tradnl"/>
        </w:rPr>
        <w:t> </w:t>
      </w:r>
      <w:r w:rsidRPr="00192094">
        <w:rPr>
          <w:lang w:val="es-ES_tradnl"/>
        </w:rPr>
        <w:t>UPOV envió una circular para solicitar participación en las pruebas de un nuevo programa informático. Esta campaña debía terminar a finales de diciembre de</w:t>
      </w:r>
      <w:r w:rsidR="006B7ABB">
        <w:rPr>
          <w:lang w:val="es-ES_tradnl"/>
        </w:rPr>
        <w:t> </w:t>
      </w:r>
      <w:r w:rsidRPr="00192094">
        <w:rPr>
          <w:lang w:val="es-ES_tradnl"/>
        </w:rPr>
        <w:t xml:space="preserve">2021. Se pusieron a disposición las dos formas del programa informático para su evaluación. </w:t>
      </w:r>
    </w:p>
    <w:p w14:paraId="3EC40B15" w14:textId="77777777" w:rsidR="00D63F86" w:rsidRPr="00192094" w:rsidRDefault="00D63F86" w:rsidP="00D63F86">
      <w:pPr>
        <w:ind w:left="720"/>
        <w:contextualSpacing/>
        <w:rPr>
          <w:rFonts w:eastAsia="Calibri" w:cs="Arial"/>
          <w:lang w:val="es-ES_tradnl"/>
        </w:rPr>
      </w:pPr>
    </w:p>
    <w:p w14:paraId="01EA07FD" w14:textId="0680EABD"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Muchos miembros participaron en el ejercicio, como demuestra el número de descargas de la versión de evaluación de DUSTNT. Los siguientes miembros aportaron observaciones tras sus evaluaciones: Eslovaquia, Finlandia, Reino</w:t>
      </w:r>
      <w:r w:rsidR="006B7ABB">
        <w:rPr>
          <w:lang w:val="es-ES_tradnl"/>
        </w:rPr>
        <w:t> </w:t>
      </w:r>
      <w:r w:rsidRPr="00192094">
        <w:rPr>
          <w:lang w:val="es-ES_tradnl"/>
        </w:rPr>
        <w:t>Unido</w:t>
      </w:r>
      <w:r w:rsidR="006B7ABB">
        <w:rPr>
          <w:lang w:val="es-ES_tradnl"/>
        </w:rPr>
        <w:t xml:space="preserve"> y</w:t>
      </w:r>
      <w:r w:rsidRPr="00192094">
        <w:rPr>
          <w:lang w:val="es-ES_tradnl"/>
        </w:rPr>
        <w:t xml:space="preserve"> República</w:t>
      </w:r>
      <w:r w:rsidR="006B7ABB">
        <w:rPr>
          <w:lang w:val="es-ES_tradnl"/>
        </w:rPr>
        <w:t> </w:t>
      </w:r>
      <w:r w:rsidRPr="00192094">
        <w:rPr>
          <w:lang w:val="es-ES_tradnl"/>
        </w:rPr>
        <w:t>Checa</w:t>
      </w:r>
      <w:r w:rsidR="006B7ABB">
        <w:rPr>
          <w:lang w:val="es-ES_tradnl"/>
        </w:rPr>
        <w:t>.</w:t>
      </w:r>
      <w:r w:rsidRPr="00192094">
        <w:rPr>
          <w:lang w:val="es-ES_tradnl"/>
        </w:rPr>
        <w:t xml:space="preserve"> El equipo de desarrollo está muy agradecido por estas valiosas respuestas.</w:t>
      </w:r>
    </w:p>
    <w:p w14:paraId="0A4122D8" w14:textId="77777777" w:rsidR="00D63F86" w:rsidRPr="00192094" w:rsidRDefault="00D63F86" w:rsidP="00D63F86">
      <w:pPr>
        <w:ind w:left="720"/>
        <w:contextualSpacing/>
        <w:rPr>
          <w:rFonts w:eastAsia="Calibri" w:cs="Arial"/>
          <w:lang w:val="es-ES_tradnl"/>
        </w:rPr>
      </w:pPr>
    </w:p>
    <w:p w14:paraId="7FE27935" w14:textId="6FD9813C"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Aunque los comentarios generales fueron positivos, se identificaron varias mejoras del programa informático para la versión de</w:t>
      </w:r>
      <w:r w:rsidR="006B7ABB">
        <w:rPr>
          <w:lang w:val="es-ES_tradnl"/>
        </w:rPr>
        <w:t> </w:t>
      </w:r>
      <w:r w:rsidRPr="00192094">
        <w:rPr>
          <w:lang w:val="es-ES_tradnl"/>
        </w:rPr>
        <w:t>DUST.</w:t>
      </w:r>
    </w:p>
    <w:p w14:paraId="2E50D4B1" w14:textId="77777777" w:rsidR="00D63F86" w:rsidRPr="00192094" w:rsidRDefault="00D63F86" w:rsidP="00D63F86">
      <w:pPr>
        <w:rPr>
          <w:rFonts w:eastAsia="Calibri" w:cs="Arial"/>
          <w:lang w:val="es-ES_tradnl"/>
        </w:rPr>
      </w:pPr>
    </w:p>
    <w:p w14:paraId="6DFC4AF6" w14:textId="77777777" w:rsidR="00D63F86" w:rsidRPr="00192094" w:rsidRDefault="00D63F86" w:rsidP="00D63F86">
      <w:pPr>
        <w:rPr>
          <w:rFonts w:eastAsia="Calibri" w:cs="Arial"/>
          <w:lang w:val="es-ES_tradnl"/>
        </w:rPr>
      </w:pPr>
    </w:p>
    <w:p w14:paraId="02D4B635" w14:textId="77777777" w:rsidR="00D63F86" w:rsidRPr="00192094" w:rsidRDefault="00D63F86" w:rsidP="00D63F86">
      <w:pPr>
        <w:pStyle w:val="Heading1"/>
        <w:rPr>
          <w:rFonts w:eastAsia="Calibri"/>
          <w:lang w:val="es-ES_tradnl"/>
        </w:rPr>
      </w:pPr>
      <w:bookmarkStart w:id="17" w:name="_Toc116941335"/>
      <w:r w:rsidRPr="00192094">
        <w:rPr>
          <w:lang w:val="es-ES_tradnl"/>
        </w:rPr>
        <w:t>Perfeccionamiento del programa informático que incorpore el nuevo método COYU</w:t>
      </w:r>
      <w:bookmarkEnd w:id="17"/>
    </w:p>
    <w:p w14:paraId="355EC607" w14:textId="77777777" w:rsidR="00D63F86" w:rsidRPr="00192094" w:rsidRDefault="00D63F86" w:rsidP="00D63F86">
      <w:pPr>
        <w:rPr>
          <w:rFonts w:eastAsia="Calibri"/>
          <w:lang w:val="es-ES_tradnl"/>
        </w:rPr>
      </w:pPr>
    </w:p>
    <w:p w14:paraId="0FDFCBEC" w14:textId="77777777"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A partir de la campaña de pruebas se identificaron las siguientes mejoras para el programa informático DUSTNT:</w:t>
      </w:r>
    </w:p>
    <w:p w14:paraId="179ECAE5" w14:textId="77777777" w:rsidR="00D63F86" w:rsidRPr="00192094" w:rsidRDefault="00D63F86" w:rsidP="00D63F86">
      <w:pPr>
        <w:numPr>
          <w:ilvl w:val="0"/>
          <w:numId w:val="6"/>
        </w:numPr>
        <w:contextualSpacing/>
        <w:rPr>
          <w:rFonts w:eastAsia="Calibri" w:cs="Arial"/>
          <w:lang w:val="es-ES_tradnl"/>
        </w:rPr>
      </w:pPr>
      <w:r w:rsidRPr="00192094">
        <w:rPr>
          <w:lang w:val="es-ES_tradnl"/>
        </w:rPr>
        <w:t>Mejoras en los informes, incluido el formato y la información adicional;</w:t>
      </w:r>
    </w:p>
    <w:p w14:paraId="41DA6279" w14:textId="77777777" w:rsidR="00D63F86" w:rsidRPr="00192094" w:rsidRDefault="00D63F86" w:rsidP="00D63F86">
      <w:pPr>
        <w:numPr>
          <w:ilvl w:val="0"/>
          <w:numId w:val="6"/>
        </w:numPr>
        <w:contextualSpacing/>
        <w:rPr>
          <w:rFonts w:eastAsia="Calibri" w:cs="Arial"/>
          <w:lang w:val="es-ES_tradnl"/>
        </w:rPr>
      </w:pPr>
      <w:r w:rsidRPr="00192094">
        <w:rPr>
          <w:lang w:val="es-ES_tradnl"/>
        </w:rPr>
        <w:t>Criterios para la señalización de conjuntos de datos demasiado pequeños;</w:t>
      </w:r>
    </w:p>
    <w:p w14:paraId="72008708" w14:textId="77777777" w:rsidR="00D63F86" w:rsidRPr="00192094" w:rsidRDefault="00D63F86" w:rsidP="00D63F86">
      <w:pPr>
        <w:numPr>
          <w:ilvl w:val="0"/>
          <w:numId w:val="6"/>
        </w:numPr>
        <w:contextualSpacing/>
        <w:rPr>
          <w:rFonts w:eastAsia="Calibri" w:cs="Arial"/>
          <w:lang w:val="es-ES_tradnl"/>
        </w:rPr>
      </w:pPr>
      <w:r w:rsidRPr="00192094">
        <w:rPr>
          <w:lang w:val="es-ES_tradnl"/>
        </w:rPr>
        <w:t xml:space="preserve">Tablas adicionales en formato </w:t>
      </w:r>
      <w:proofErr w:type="spellStart"/>
      <w:r w:rsidRPr="00192094">
        <w:rPr>
          <w:lang w:val="es-ES_tradnl"/>
        </w:rPr>
        <w:t>csv</w:t>
      </w:r>
      <w:proofErr w:type="spellEnd"/>
      <w:r w:rsidRPr="00192094">
        <w:rPr>
          <w:lang w:val="es-ES_tradnl"/>
        </w:rPr>
        <w:t>;</w:t>
      </w:r>
    </w:p>
    <w:p w14:paraId="19493E43" w14:textId="77777777" w:rsidR="00D63F86" w:rsidRPr="00192094" w:rsidRDefault="00D63F86" w:rsidP="00D63F86">
      <w:pPr>
        <w:numPr>
          <w:ilvl w:val="0"/>
          <w:numId w:val="6"/>
        </w:numPr>
        <w:contextualSpacing/>
        <w:rPr>
          <w:rFonts w:eastAsia="Calibri" w:cs="Arial"/>
          <w:lang w:val="es-ES_tradnl"/>
        </w:rPr>
      </w:pPr>
      <w:r w:rsidRPr="00192094">
        <w:rPr>
          <w:lang w:val="es-ES_tradnl"/>
        </w:rPr>
        <w:t>Mejoras en los gráficos;</w:t>
      </w:r>
    </w:p>
    <w:p w14:paraId="29E649A9" w14:textId="77777777" w:rsidR="00D63F86" w:rsidRPr="00192094" w:rsidRDefault="00D63F86" w:rsidP="00D63F86">
      <w:pPr>
        <w:numPr>
          <w:ilvl w:val="0"/>
          <w:numId w:val="6"/>
        </w:numPr>
        <w:contextualSpacing/>
        <w:rPr>
          <w:rFonts w:eastAsia="Calibri" w:cs="Arial"/>
          <w:lang w:val="es-ES_tradnl"/>
        </w:rPr>
      </w:pPr>
      <w:r w:rsidRPr="00192094">
        <w:rPr>
          <w:lang w:val="es-ES_tradnl"/>
        </w:rPr>
        <w:t>Modificación de la señalización en los casos de extrapolación;</w:t>
      </w:r>
    </w:p>
    <w:p w14:paraId="02A4B084" w14:textId="77777777" w:rsidR="00D63F86" w:rsidRPr="00192094" w:rsidRDefault="00D63F86" w:rsidP="00D63F86">
      <w:pPr>
        <w:numPr>
          <w:ilvl w:val="0"/>
          <w:numId w:val="6"/>
        </w:numPr>
        <w:contextualSpacing/>
        <w:rPr>
          <w:rFonts w:eastAsia="Calibri" w:cs="Arial"/>
          <w:lang w:val="es-ES_tradnl"/>
        </w:rPr>
      </w:pPr>
      <w:r w:rsidRPr="00192094">
        <w:rPr>
          <w:lang w:val="es-ES_tradnl"/>
        </w:rPr>
        <w:t>Gestión de caracteres diacríticos en nombres de archivos y directorios.</w:t>
      </w:r>
    </w:p>
    <w:p w14:paraId="03145C72" w14:textId="77777777" w:rsidR="00D63F86" w:rsidRPr="00192094" w:rsidRDefault="00D63F86" w:rsidP="00D63F86">
      <w:pPr>
        <w:contextualSpacing/>
        <w:rPr>
          <w:rFonts w:eastAsia="Calibri" w:cs="Arial"/>
          <w:lang w:val="es-ES_tradnl"/>
        </w:rPr>
      </w:pPr>
    </w:p>
    <w:p w14:paraId="3F2B4680" w14:textId="595FD094"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 xml:space="preserve"> En el momento de redactar el presente documento, ya se han programado muchas de estas mejoras. Se presentará información actualizada ante el</w:t>
      </w:r>
      <w:r w:rsidR="006B7ABB">
        <w:rPr>
          <w:lang w:val="es-ES_tradnl"/>
        </w:rPr>
        <w:t> </w:t>
      </w:r>
      <w:r w:rsidRPr="00192094">
        <w:rPr>
          <w:lang w:val="es-ES_tradnl"/>
        </w:rPr>
        <w:t>TWM.</w:t>
      </w:r>
    </w:p>
    <w:p w14:paraId="7A3C791A" w14:textId="77777777" w:rsidR="00D63F86" w:rsidRPr="00192094" w:rsidRDefault="00D63F86" w:rsidP="00D63F86">
      <w:pPr>
        <w:rPr>
          <w:rFonts w:eastAsia="Calibri" w:cs="Arial"/>
          <w:lang w:val="es-ES_tradnl"/>
        </w:rPr>
      </w:pPr>
    </w:p>
    <w:p w14:paraId="7CFEE67C" w14:textId="43D9F9A9"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Una vez que las mejoras se hayan incorporado y probado, se pondrá en marcha una nueva versión de DUSTNT que incorpore el</w:t>
      </w:r>
      <w:r w:rsidR="006B7ABB">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w:t>
      </w:r>
    </w:p>
    <w:p w14:paraId="59DD0F9E" w14:textId="77777777" w:rsidR="00D63F86" w:rsidRPr="00192094" w:rsidRDefault="00D63F86" w:rsidP="00D63F86">
      <w:pPr>
        <w:rPr>
          <w:rFonts w:eastAsia="Calibri"/>
          <w:lang w:val="es-ES_tradnl"/>
        </w:rPr>
      </w:pPr>
    </w:p>
    <w:p w14:paraId="10AD01E2" w14:textId="77777777" w:rsidR="00D63F86" w:rsidRPr="00192094" w:rsidRDefault="00D63F86" w:rsidP="00D63F86">
      <w:pPr>
        <w:rPr>
          <w:rFonts w:eastAsia="Calibri"/>
          <w:lang w:val="es-ES_tradnl"/>
        </w:rPr>
      </w:pPr>
    </w:p>
    <w:p w14:paraId="582DFAA4" w14:textId="77777777" w:rsidR="00D63F86" w:rsidRPr="00192094" w:rsidRDefault="00D63F86" w:rsidP="00D63F86">
      <w:pPr>
        <w:pStyle w:val="Heading1"/>
        <w:rPr>
          <w:rFonts w:eastAsia="Calibri"/>
          <w:lang w:val="es-ES_tradnl"/>
        </w:rPr>
      </w:pPr>
      <w:bookmarkStart w:id="18" w:name="_Toc116941336"/>
      <w:r w:rsidRPr="00192094">
        <w:rPr>
          <w:lang w:val="es-ES_tradnl"/>
        </w:rPr>
        <w:t xml:space="preserve">Introducción de COYU con </w:t>
      </w:r>
      <w:r w:rsidRPr="00192094">
        <w:rPr>
          <w:i/>
          <w:lang w:val="es-ES_tradnl"/>
        </w:rPr>
        <w:t>splines</w:t>
      </w:r>
      <w:r w:rsidRPr="00192094">
        <w:rPr>
          <w:lang w:val="es-ES_tradnl"/>
        </w:rPr>
        <w:t xml:space="preserve"> en el Reino Unido</w:t>
      </w:r>
      <w:bookmarkEnd w:id="18"/>
    </w:p>
    <w:p w14:paraId="76F5409D" w14:textId="77777777" w:rsidR="00D63F86" w:rsidRPr="00192094" w:rsidRDefault="00D63F86" w:rsidP="00D63F86">
      <w:pPr>
        <w:rPr>
          <w:rFonts w:eastAsia="Calibri"/>
          <w:lang w:val="es-ES_tradnl"/>
        </w:rPr>
      </w:pPr>
    </w:p>
    <w:p w14:paraId="39BCBB79" w14:textId="4F8AE479"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El</w:t>
      </w:r>
      <w:r w:rsidR="006B7ABB">
        <w:rPr>
          <w:lang w:val="es-ES_tradnl"/>
        </w:rPr>
        <w:t> </w:t>
      </w:r>
      <w:r w:rsidRPr="00192094">
        <w:rPr>
          <w:lang w:val="es-ES_tradnl"/>
        </w:rPr>
        <w:t>Reino</w:t>
      </w:r>
      <w:r w:rsidR="006B7ABB">
        <w:rPr>
          <w:lang w:val="es-ES_tradnl"/>
        </w:rPr>
        <w:t> </w:t>
      </w:r>
      <w:r w:rsidRPr="00192094">
        <w:rPr>
          <w:lang w:val="es-ES_tradnl"/>
        </w:rPr>
        <w:t>Unido ha iniciado un proceso para introducir el</w:t>
      </w:r>
      <w:r w:rsidR="006B7ABB">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xml:space="preserve"> en los exámenes</w:t>
      </w:r>
      <w:r w:rsidR="006B7ABB">
        <w:rPr>
          <w:lang w:val="es-ES_tradnl"/>
        </w:rPr>
        <w:t> </w:t>
      </w:r>
      <w:r w:rsidRPr="00192094">
        <w:rPr>
          <w:lang w:val="es-ES_tradnl"/>
        </w:rPr>
        <w:t xml:space="preserve">DHE. </w:t>
      </w:r>
    </w:p>
    <w:p w14:paraId="1870F54A" w14:textId="77777777" w:rsidR="00D63F86" w:rsidRPr="00192094" w:rsidRDefault="00D63F86" w:rsidP="00D63F86">
      <w:pPr>
        <w:contextualSpacing/>
        <w:rPr>
          <w:rFonts w:eastAsia="Calibri" w:cs="Arial"/>
          <w:lang w:val="es-ES_tradnl"/>
        </w:rPr>
      </w:pPr>
    </w:p>
    <w:p w14:paraId="407ED3AD" w14:textId="343E1CE4"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Este año, se realizaron comparaciones entre el antiguo método</w:t>
      </w:r>
      <w:r w:rsidR="006B7ABB">
        <w:rPr>
          <w:lang w:val="es-ES_tradnl"/>
        </w:rPr>
        <w:t> </w:t>
      </w:r>
      <w:r w:rsidRPr="00192094">
        <w:rPr>
          <w:lang w:val="es-ES_tradnl"/>
        </w:rPr>
        <w:t>COYU (media móvil) y el</w:t>
      </w:r>
      <w:r w:rsidR="006B7ABB">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xml:space="preserve"> empleando datos históricos. Se consideraron los siguientes cultivos: cebolla, colinabo, colza oleaginosa, guisante y </w:t>
      </w:r>
      <w:proofErr w:type="spellStart"/>
      <w:r w:rsidRPr="00192094">
        <w:rPr>
          <w:lang w:val="es-ES_tradnl"/>
        </w:rPr>
        <w:t>raygrás</w:t>
      </w:r>
      <w:proofErr w:type="spellEnd"/>
      <w:r w:rsidRPr="00192094">
        <w:rPr>
          <w:lang w:val="es-ES_tradnl"/>
        </w:rPr>
        <w:t xml:space="preserve"> inglés. Se encontraron pocas diferencias en las decisiones, y solo en un reducido número de casos marginales, como cabía esperar. El trabajo realizado señaló la importancia del problema de la extrapolación (véase más adelante). </w:t>
      </w:r>
    </w:p>
    <w:p w14:paraId="5C8B6BBD" w14:textId="77777777" w:rsidR="00D63F86" w:rsidRPr="00192094" w:rsidRDefault="00D63F86" w:rsidP="00D63F86">
      <w:pPr>
        <w:ind w:left="720"/>
        <w:contextualSpacing/>
        <w:rPr>
          <w:rFonts w:eastAsia="Calibri" w:cs="Arial"/>
          <w:lang w:val="es-ES_tradnl"/>
        </w:rPr>
      </w:pPr>
    </w:p>
    <w:p w14:paraId="6BB10DF8" w14:textId="10EE0F00"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Después de este estudio, el</w:t>
      </w:r>
      <w:r w:rsidR="006B7ABB">
        <w:rPr>
          <w:lang w:val="es-ES_tradnl"/>
        </w:rPr>
        <w:t> </w:t>
      </w:r>
      <w:r w:rsidRPr="00192094">
        <w:rPr>
          <w:lang w:val="es-ES_tradnl"/>
        </w:rPr>
        <w:t>Reino</w:t>
      </w:r>
      <w:r w:rsidR="006B7ABB">
        <w:rPr>
          <w:lang w:val="es-ES_tradnl"/>
        </w:rPr>
        <w:t> </w:t>
      </w:r>
      <w:r w:rsidRPr="00192094">
        <w:rPr>
          <w:lang w:val="es-ES_tradnl"/>
        </w:rPr>
        <w:t>Unido va a examinar las posibles vías para seguir avanzando.</w:t>
      </w:r>
    </w:p>
    <w:p w14:paraId="0271DAE8" w14:textId="77777777" w:rsidR="00D63F86" w:rsidRPr="00192094" w:rsidRDefault="00D63F86" w:rsidP="00D63F86">
      <w:pPr>
        <w:rPr>
          <w:rFonts w:eastAsia="Calibri" w:cs="Arial"/>
          <w:lang w:val="es-ES_tradnl"/>
        </w:rPr>
      </w:pPr>
    </w:p>
    <w:p w14:paraId="64E7BAD7" w14:textId="77777777" w:rsidR="00D63F86" w:rsidRPr="00192094" w:rsidRDefault="00D63F86" w:rsidP="00D63F86">
      <w:pPr>
        <w:rPr>
          <w:rFonts w:eastAsia="Calibri" w:cs="Arial"/>
          <w:lang w:val="es-ES_tradnl"/>
        </w:rPr>
      </w:pPr>
    </w:p>
    <w:p w14:paraId="28F7ABAB" w14:textId="77777777" w:rsidR="00D63F86" w:rsidRPr="00192094" w:rsidRDefault="00D63F86" w:rsidP="00D63F86">
      <w:pPr>
        <w:pStyle w:val="Heading1"/>
        <w:rPr>
          <w:rFonts w:eastAsia="Calibri"/>
          <w:lang w:val="es-ES_tradnl"/>
        </w:rPr>
      </w:pPr>
      <w:bookmarkStart w:id="19" w:name="_Toc116941337"/>
      <w:r w:rsidRPr="00192094">
        <w:rPr>
          <w:lang w:val="es-ES_tradnl"/>
        </w:rPr>
        <w:t>Extrapolación</w:t>
      </w:r>
      <w:bookmarkEnd w:id="19"/>
    </w:p>
    <w:p w14:paraId="40817645" w14:textId="77777777" w:rsidR="00D63F86" w:rsidRPr="00192094" w:rsidRDefault="00D63F86" w:rsidP="00D63F86">
      <w:pPr>
        <w:rPr>
          <w:rFonts w:eastAsia="Calibri"/>
          <w:lang w:val="es-ES_tradnl"/>
        </w:rPr>
      </w:pPr>
    </w:p>
    <w:p w14:paraId="41A302EB" w14:textId="36C1D3EB"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La extrapolación, una cuestión clave para el</w:t>
      </w:r>
      <w:r w:rsidR="006B7ABB">
        <w:rPr>
          <w:lang w:val="es-ES_tradnl"/>
        </w:rPr>
        <w:t> </w:t>
      </w:r>
      <w:r w:rsidRPr="00192094">
        <w:rPr>
          <w:lang w:val="es-ES_tradnl"/>
        </w:rPr>
        <w:t>COYU, se analiza en el documento TWM/1/7. Se trata de una cuestión que atañe en particular a las dos versiones del</w:t>
      </w:r>
      <w:r w:rsidR="006B7ABB">
        <w:rPr>
          <w:lang w:val="es-ES_tradnl"/>
        </w:rPr>
        <w:t> </w:t>
      </w:r>
      <w:r w:rsidRPr="00192094">
        <w:rPr>
          <w:lang w:val="es-ES_tradnl"/>
        </w:rPr>
        <w:t>COYU, pero que no se detectó con el</w:t>
      </w:r>
      <w:r w:rsidR="006B7ABB">
        <w:rPr>
          <w:lang w:val="es-ES_tradnl"/>
        </w:rPr>
        <w:t> </w:t>
      </w:r>
      <w:r w:rsidRPr="00192094">
        <w:rPr>
          <w:lang w:val="es-ES_tradnl"/>
        </w:rPr>
        <w:t xml:space="preserve">COYU (media móvil). </w:t>
      </w:r>
    </w:p>
    <w:p w14:paraId="25B3C0A6" w14:textId="77777777" w:rsidR="00D63F86" w:rsidRPr="00192094" w:rsidRDefault="00D63F86" w:rsidP="00D63F86">
      <w:pPr>
        <w:rPr>
          <w:rFonts w:eastAsia="Calibri" w:cs="Arial"/>
          <w:lang w:val="es-ES_tradnl"/>
        </w:rPr>
      </w:pPr>
    </w:p>
    <w:p w14:paraId="7BF25A85" w14:textId="77777777" w:rsidR="00D63F86" w:rsidRPr="00192094" w:rsidRDefault="00D63F86" w:rsidP="00D63F86">
      <w:pPr>
        <w:rPr>
          <w:rFonts w:eastAsia="Calibri" w:cs="Arial"/>
          <w:lang w:val="es-ES_tradnl"/>
        </w:rPr>
      </w:pPr>
    </w:p>
    <w:p w14:paraId="1B87A5B1" w14:textId="0FDE89CA" w:rsidR="00D63F86" w:rsidRPr="00192094" w:rsidRDefault="00D63F86" w:rsidP="00D63F86">
      <w:pPr>
        <w:pStyle w:val="Heading1"/>
        <w:rPr>
          <w:rFonts w:eastAsia="Calibri"/>
          <w:lang w:val="es-ES_tradnl"/>
        </w:rPr>
      </w:pPr>
      <w:bookmarkStart w:id="20" w:name="_Toc116941338"/>
      <w:r w:rsidRPr="00192094">
        <w:rPr>
          <w:lang w:val="es-ES_tradnl"/>
        </w:rPr>
        <w:t xml:space="preserve">Orientaciones sobre </w:t>
      </w:r>
      <w:r w:rsidR="006B7ABB">
        <w:rPr>
          <w:lang w:val="es-ES_tradnl"/>
        </w:rPr>
        <w:t xml:space="preserve">EL </w:t>
      </w:r>
      <w:r w:rsidRPr="00192094">
        <w:rPr>
          <w:lang w:val="es-ES_tradnl"/>
        </w:rPr>
        <w:t xml:space="preserve">COYU con </w:t>
      </w:r>
      <w:r w:rsidRPr="00192094">
        <w:rPr>
          <w:i/>
          <w:lang w:val="es-ES_tradnl"/>
        </w:rPr>
        <w:t>splines</w:t>
      </w:r>
      <w:bookmarkEnd w:id="20"/>
    </w:p>
    <w:p w14:paraId="3DEC3711" w14:textId="77777777" w:rsidR="00D63F86" w:rsidRPr="00192094" w:rsidRDefault="00D63F86" w:rsidP="00D63F86">
      <w:pPr>
        <w:rPr>
          <w:rFonts w:eastAsia="Calibri"/>
          <w:lang w:val="es-ES_tradnl"/>
        </w:rPr>
      </w:pPr>
    </w:p>
    <w:p w14:paraId="2A0950C2" w14:textId="77777777"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 xml:space="preserve">Se han redactado orientaciones para el nuevo método del COYU con </w:t>
      </w:r>
      <w:proofErr w:type="spellStart"/>
      <w:r w:rsidRPr="00192094">
        <w:rPr>
          <w:i/>
          <w:lang w:val="es-ES_tradnl"/>
        </w:rPr>
        <w:t>splines</w:t>
      </w:r>
      <w:proofErr w:type="spellEnd"/>
      <w:r w:rsidRPr="00192094">
        <w:rPr>
          <w:lang w:val="es-ES_tradnl"/>
        </w:rPr>
        <w:t xml:space="preserve"> (véase el documento TWP/5/11 Criterio combinado interanual de homogeneidad (COYU)).</w:t>
      </w:r>
    </w:p>
    <w:p w14:paraId="426BE430" w14:textId="77777777" w:rsidR="00D63F86" w:rsidRPr="00192094" w:rsidRDefault="00D63F86" w:rsidP="00D63F86">
      <w:pPr>
        <w:contextualSpacing/>
        <w:rPr>
          <w:rFonts w:eastAsia="Calibri" w:cs="Arial"/>
          <w:lang w:val="es-ES_tradnl"/>
        </w:rPr>
      </w:pPr>
    </w:p>
    <w:p w14:paraId="401DEABE" w14:textId="77777777"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Las pruebas realizadas señalaron dos ámbitos en los que se puede mejorar el proyecto de orientación:</w:t>
      </w:r>
    </w:p>
    <w:p w14:paraId="56C344AD" w14:textId="77777777" w:rsidR="00D63F86" w:rsidRPr="00192094" w:rsidRDefault="00D63F86" w:rsidP="00D63F86">
      <w:pPr>
        <w:numPr>
          <w:ilvl w:val="0"/>
          <w:numId w:val="7"/>
        </w:numPr>
        <w:contextualSpacing/>
        <w:rPr>
          <w:rFonts w:eastAsia="Calibri" w:cs="Arial"/>
          <w:lang w:val="es-ES_tradnl"/>
        </w:rPr>
      </w:pPr>
      <w:r w:rsidRPr="00192094">
        <w:rPr>
          <w:lang w:val="es-ES_tradnl"/>
        </w:rPr>
        <w:t>Los criterios que determinan si un conjunto de datos es lo suficientemente grande para poder usarse en el COYU;</w:t>
      </w:r>
    </w:p>
    <w:p w14:paraId="1C2E8FE5" w14:textId="77777777" w:rsidR="00D63F86" w:rsidRPr="00192094" w:rsidRDefault="00D63F86" w:rsidP="00D63F86">
      <w:pPr>
        <w:numPr>
          <w:ilvl w:val="0"/>
          <w:numId w:val="7"/>
        </w:numPr>
        <w:contextualSpacing/>
        <w:rPr>
          <w:rFonts w:eastAsia="Calibri" w:cs="Arial"/>
          <w:lang w:val="es-ES_tradnl"/>
        </w:rPr>
      </w:pPr>
      <w:r w:rsidRPr="00192094">
        <w:rPr>
          <w:lang w:val="es-ES_tradnl"/>
        </w:rPr>
        <w:t>La orientación sobre extrapolación.</w:t>
      </w:r>
    </w:p>
    <w:p w14:paraId="4152FF03" w14:textId="77777777" w:rsidR="00D63F86" w:rsidRPr="00192094" w:rsidRDefault="00D63F86" w:rsidP="00D63F86">
      <w:pPr>
        <w:ind w:left="720"/>
        <w:contextualSpacing/>
        <w:rPr>
          <w:rFonts w:eastAsia="Calibri" w:cs="Arial"/>
          <w:lang w:val="es-ES_tradnl"/>
        </w:rPr>
      </w:pPr>
    </w:p>
    <w:p w14:paraId="280DE01F" w14:textId="5530134C" w:rsidR="00D63F86" w:rsidRPr="00192094" w:rsidRDefault="00D63F86" w:rsidP="00D63F86">
      <w:pPr>
        <w:numPr>
          <w:ilvl w:val="0"/>
          <w:numId w:val="4"/>
        </w:numPr>
        <w:ind w:left="0" w:firstLine="0"/>
        <w:contextualSpacing/>
        <w:rPr>
          <w:rFonts w:eastAsia="Calibri" w:cs="Arial"/>
          <w:lang w:val="es-ES_tradnl"/>
        </w:rPr>
      </w:pPr>
      <w:r w:rsidRPr="00192094">
        <w:rPr>
          <w:lang w:val="es-ES_tradnl"/>
        </w:rPr>
        <w:t>Los autores pretenden proponer mejoras para el proyecto de orientación después de la sesión del</w:t>
      </w:r>
      <w:r w:rsidR="006B7ABB">
        <w:rPr>
          <w:lang w:val="es-ES_tradnl"/>
        </w:rPr>
        <w:t> </w:t>
      </w:r>
      <w:r w:rsidRPr="00192094">
        <w:rPr>
          <w:lang w:val="es-ES_tradnl"/>
        </w:rPr>
        <w:t xml:space="preserve">TWM.  </w:t>
      </w:r>
    </w:p>
    <w:p w14:paraId="375BCA6C" w14:textId="77777777" w:rsidR="00D63F86" w:rsidRPr="00192094" w:rsidRDefault="00D63F86" w:rsidP="00D63F86">
      <w:pPr>
        <w:contextualSpacing/>
        <w:rPr>
          <w:rFonts w:eastAsia="Calibri" w:cs="Arial"/>
          <w:lang w:val="es-ES_tradnl"/>
        </w:rPr>
      </w:pPr>
    </w:p>
    <w:p w14:paraId="57715DCF" w14:textId="77777777" w:rsidR="00D63F86" w:rsidRPr="00192094" w:rsidRDefault="00D63F86" w:rsidP="00D63F86">
      <w:pPr>
        <w:contextualSpacing/>
        <w:rPr>
          <w:rFonts w:eastAsia="Calibri" w:cs="Arial"/>
          <w:lang w:val="es-ES_tradnl"/>
        </w:rPr>
      </w:pPr>
    </w:p>
    <w:p w14:paraId="3328C077" w14:textId="19B4A1F8" w:rsidR="00D63F86" w:rsidRPr="00192094" w:rsidRDefault="00D63F86" w:rsidP="00D63F86">
      <w:pPr>
        <w:pStyle w:val="DecisionParagraphs"/>
        <w:rPr>
          <w:rFonts w:eastAsia="Calibri"/>
          <w:lang w:val="es-ES_tradnl"/>
        </w:rPr>
      </w:pPr>
      <w:r w:rsidRPr="00192094">
        <w:rPr>
          <w:lang w:val="es-ES_tradnl"/>
        </w:rPr>
        <w:t>Se invita al</w:t>
      </w:r>
      <w:r w:rsidR="006B7ABB">
        <w:rPr>
          <w:lang w:val="es-ES_tradnl"/>
        </w:rPr>
        <w:t> </w:t>
      </w:r>
      <w:r w:rsidRPr="00192094">
        <w:rPr>
          <w:lang w:val="es-ES_tradnl"/>
        </w:rPr>
        <w:t>TWM a tomar nota de estas novedades.</w:t>
      </w:r>
    </w:p>
    <w:p w14:paraId="3D6C6F25" w14:textId="77777777" w:rsidR="00D63F86" w:rsidRPr="00192094" w:rsidRDefault="00D63F86" w:rsidP="00D63F86">
      <w:pPr>
        <w:rPr>
          <w:rFonts w:cs="Arial"/>
          <w:lang w:val="es-ES_tradnl"/>
        </w:rPr>
      </w:pPr>
    </w:p>
    <w:p w14:paraId="03F0B716" w14:textId="77777777" w:rsidR="00D63F86" w:rsidRPr="00192094" w:rsidRDefault="00D63F86" w:rsidP="00D63F86">
      <w:pPr>
        <w:rPr>
          <w:rFonts w:cs="Arial"/>
          <w:lang w:val="es-ES_tradnl"/>
        </w:rPr>
      </w:pPr>
    </w:p>
    <w:p w14:paraId="44AC75E6" w14:textId="77777777" w:rsidR="00D63F86" w:rsidRPr="00192094" w:rsidRDefault="00D63F86" w:rsidP="00D63F86">
      <w:pPr>
        <w:rPr>
          <w:rFonts w:cs="Arial"/>
          <w:lang w:val="es-ES_tradnl"/>
        </w:rPr>
      </w:pPr>
    </w:p>
    <w:p w14:paraId="2733C728" w14:textId="77777777" w:rsidR="00D63F86" w:rsidRPr="00192094" w:rsidRDefault="00D63F86" w:rsidP="00D63F86">
      <w:pPr>
        <w:rPr>
          <w:rFonts w:cs="Arial"/>
          <w:lang w:val="es-ES_tradnl"/>
        </w:rPr>
      </w:pPr>
    </w:p>
    <w:p w14:paraId="086C11C4" w14:textId="77777777" w:rsidR="00D63F86" w:rsidRPr="00192094" w:rsidRDefault="00D63F86" w:rsidP="00D63F86">
      <w:pPr>
        <w:jc w:val="right"/>
        <w:rPr>
          <w:rFonts w:cs="Arial"/>
          <w:lang w:val="es-ES_tradnl"/>
        </w:rPr>
      </w:pPr>
      <w:r w:rsidRPr="00192094">
        <w:rPr>
          <w:lang w:val="es-ES_tradnl"/>
        </w:rPr>
        <w:t xml:space="preserve">[Sigue el Anexo II] </w:t>
      </w:r>
    </w:p>
    <w:p w14:paraId="34F24393" w14:textId="77777777" w:rsidR="00D63F86" w:rsidRPr="00192094" w:rsidRDefault="00D63F86" w:rsidP="00D63F86">
      <w:pPr>
        <w:jc w:val="right"/>
        <w:rPr>
          <w:rFonts w:cs="Arial"/>
          <w:lang w:val="es-ES_tradnl"/>
        </w:rPr>
        <w:sectPr w:rsidR="00D63F86" w:rsidRPr="00192094" w:rsidSect="0004198B">
          <w:headerReference w:type="default" r:id="rId9"/>
          <w:headerReference w:type="first" r:id="rId10"/>
          <w:pgSz w:w="11907" w:h="16840" w:code="9"/>
          <w:pgMar w:top="510" w:right="1134" w:bottom="1134" w:left="1134" w:header="510" w:footer="680" w:gutter="0"/>
          <w:pgNumType w:start="1"/>
          <w:cols w:space="720"/>
          <w:titlePg/>
        </w:sectPr>
      </w:pPr>
    </w:p>
    <w:p w14:paraId="4D174128" w14:textId="77777777" w:rsidR="00D63F86" w:rsidRPr="00192094" w:rsidRDefault="00D63F86" w:rsidP="00D63F86">
      <w:pPr>
        <w:jc w:val="right"/>
        <w:rPr>
          <w:rFonts w:cs="Arial"/>
          <w:lang w:val="es-ES_tradnl"/>
        </w:rPr>
      </w:pPr>
    </w:p>
    <w:tbl>
      <w:tblPr>
        <w:tblW w:w="5000" w:type="pct"/>
        <w:tblLayout w:type="fixed"/>
        <w:tblCellMar>
          <w:left w:w="0" w:type="dxa"/>
          <w:right w:w="0" w:type="dxa"/>
        </w:tblCellMar>
        <w:tblLook w:val="0000" w:firstRow="0" w:lastRow="0" w:firstColumn="0" w:lastColumn="0" w:noHBand="0" w:noVBand="0"/>
      </w:tblPr>
      <w:tblGrid>
        <w:gridCol w:w="6522"/>
        <w:gridCol w:w="3117"/>
      </w:tblGrid>
      <w:tr w:rsidR="00D63F86" w:rsidRPr="00192094" w14:paraId="47250CF1" w14:textId="77777777" w:rsidTr="00707306">
        <w:tc>
          <w:tcPr>
            <w:tcW w:w="6522" w:type="dxa"/>
          </w:tcPr>
          <w:p w14:paraId="102B84CF" w14:textId="77777777" w:rsidR="00D63F86" w:rsidRPr="00192094" w:rsidRDefault="00D63F86" w:rsidP="00707306">
            <w:pPr>
              <w:rPr>
                <w:lang w:val="es-ES_tradnl"/>
              </w:rPr>
            </w:pPr>
            <w:r w:rsidRPr="00192094">
              <w:rPr>
                <w:noProof/>
                <w:lang w:val="en-US" w:eastAsia="ja-JP"/>
              </w:rPr>
              <w:drawing>
                <wp:inline distT="0" distB="0" distL="0" distR="0" wp14:anchorId="5ED0FB83" wp14:editId="124DC0D6">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092B48A" w14:textId="77777777" w:rsidR="00D63F86" w:rsidRPr="00192094" w:rsidRDefault="00D63F86" w:rsidP="00707306">
            <w:pPr>
              <w:pStyle w:val="Lettrine"/>
              <w:rPr>
                <w:lang w:val="es-ES_tradnl"/>
              </w:rPr>
            </w:pPr>
            <w:r w:rsidRPr="00192094">
              <w:rPr>
                <w:lang w:val="es-ES_tradnl"/>
              </w:rPr>
              <w:t>S</w:t>
            </w:r>
          </w:p>
        </w:tc>
      </w:tr>
      <w:tr w:rsidR="00D63F86" w:rsidRPr="00192094" w14:paraId="55EBA2B8" w14:textId="77777777" w:rsidTr="00707306">
        <w:trPr>
          <w:trHeight w:val="219"/>
        </w:trPr>
        <w:tc>
          <w:tcPr>
            <w:tcW w:w="6522" w:type="dxa"/>
          </w:tcPr>
          <w:p w14:paraId="736E484C" w14:textId="77777777" w:rsidR="00D63F86" w:rsidRPr="00192094" w:rsidRDefault="00D63F86" w:rsidP="00707306">
            <w:pPr>
              <w:pStyle w:val="upove"/>
              <w:rPr>
                <w:lang w:val="es-ES_tradnl"/>
              </w:rPr>
            </w:pPr>
            <w:r w:rsidRPr="00192094">
              <w:rPr>
                <w:lang w:val="es-ES_tradnl"/>
              </w:rPr>
              <w:t>Unión Internacional para la Protección de las Obtenciones Vegetales</w:t>
            </w:r>
          </w:p>
        </w:tc>
        <w:tc>
          <w:tcPr>
            <w:tcW w:w="3117" w:type="dxa"/>
          </w:tcPr>
          <w:p w14:paraId="68D88823" w14:textId="77777777" w:rsidR="00D63F86" w:rsidRPr="00192094" w:rsidRDefault="00D63F86" w:rsidP="00707306">
            <w:pPr>
              <w:rPr>
                <w:lang w:val="es-ES_tradnl"/>
              </w:rPr>
            </w:pPr>
          </w:p>
        </w:tc>
      </w:tr>
    </w:tbl>
    <w:p w14:paraId="4BCE5E49" w14:textId="77777777" w:rsidR="00D63F86" w:rsidRPr="00192094" w:rsidRDefault="00D63F86" w:rsidP="00D63F86">
      <w:pPr>
        <w:rPr>
          <w:lang w:val="es-ES_tradnl"/>
        </w:rPr>
      </w:pPr>
    </w:p>
    <w:p w14:paraId="4703F082" w14:textId="77777777" w:rsidR="00D63F86" w:rsidRPr="00192094" w:rsidRDefault="00D63F86" w:rsidP="00D63F86">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63F86" w:rsidRPr="00192094" w14:paraId="66087BA1" w14:textId="77777777" w:rsidTr="00707306">
        <w:tc>
          <w:tcPr>
            <w:tcW w:w="6512" w:type="dxa"/>
          </w:tcPr>
          <w:p w14:paraId="7D2E8AD5" w14:textId="77777777" w:rsidR="00D63F86" w:rsidRPr="00192094" w:rsidRDefault="00D63F86" w:rsidP="00707306">
            <w:pPr>
              <w:pStyle w:val="Sessiontc"/>
              <w:rPr>
                <w:lang w:val="es-ES_tradnl"/>
              </w:rPr>
            </w:pPr>
            <w:r w:rsidRPr="00192094">
              <w:rPr>
                <w:lang w:val="es-ES_tradnl"/>
              </w:rPr>
              <w:t>Grupo de Trabajo Técnico sobre Métodos y Técnicas de Examen</w:t>
            </w:r>
          </w:p>
          <w:p w14:paraId="7D9104E3" w14:textId="55A01BD8" w:rsidR="00D63F86" w:rsidRPr="00192094" w:rsidRDefault="00D63F86" w:rsidP="00707306">
            <w:pPr>
              <w:pStyle w:val="Sessiontcplacedate"/>
              <w:rPr>
                <w:sz w:val="22"/>
                <w:lang w:val="es-ES_tradnl"/>
              </w:rPr>
            </w:pPr>
            <w:r w:rsidRPr="00192094">
              <w:rPr>
                <w:lang w:val="es-ES_tradnl"/>
              </w:rPr>
              <w:t>Primera sesión</w:t>
            </w:r>
            <w:r w:rsidRPr="00192094">
              <w:rPr>
                <w:lang w:val="es-ES_tradnl"/>
              </w:rPr>
              <w:br/>
              <w:t>Reunión virtual, 19 a</w:t>
            </w:r>
            <w:r w:rsidR="006B7ABB">
              <w:rPr>
                <w:lang w:val="es-ES_tradnl"/>
              </w:rPr>
              <w:t> </w:t>
            </w:r>
            <w:r w:rsidRPr="00192094">
              <w:rPr>
                <w:lang w:val="es-ES_tradnl"/>
              </w:rPr>
              <w:t>23 de septiembre de</w:t>
            </w:r>
            <w:r w:rsidR="006B7ABB">
              <w:rPr>
                <w:lang w:val="es-ES_tradnl"/>
              </w:rPr>
              <w:t> </w:t>
            </w:r>
            <w:r w:rsidRPr="00192094">
              <w:rPr>
                <w:lang w:val="es-ES_tradnl"/>
              </w:rPr>
              <w:t>2022</w:t>
            </w:r>
          </w:p>
        </w:tc>
        <w:tc>
          <w:tcPr>
            <w:tcW w:w="3127" w:type="dxa"/>
          </w:tcPr>
          <w:p w14:paraId="3F756DE1" w14:textId="77777777" w:rsidR="00D63F86" w:rsidRPr="00192094" w:rsidRDefault="00D63F86" w:rsidP="00707306">
            <w:pPr>
              <w:pStyle w:val="Doccode"/>
              <w:rPr>
                <w:lang w:val="es-ES_tradnl"/>
              </w:rPr>
            </w:pPr>
            <w:r w:rsidRPr="00192094">
              <w:rPr>
                <w:lang w:val="es-ES_tradnl"/>
              </w:rPr>
              <w:t>TWM/1/7</w:t>
            </w:r>
          </w:p>
          <w:p w14:paraId="17051C7E" w14:textId="77777777" w:rsidR="00D63F86" w:rsidRPr="00192094" w:rsidRDefault="00D63F86" w:rsidP="00707306">
            <w:pPr>
              <w:pStyle w:val="Docoriginal"/>
              <w:rPr>
                <w:lang w:val="es-ES_tradnl"/>
              </w:rPr>
            </w:pPr>
            <w:r w:rsidRPr="00192094">
              <w:rPr>
                <w:lang w:val="es-ES_tradnl"/>
              </w:rPr>
              <w:t>Original:</w:t>
            </w:r>
            <w:r w:rsidRPr="00192094">
              <w:rPr>
                <w:b w:val="0"/>
                <w:lang w:val="es-ES_tradnl"/>
              </w:rPr>
              <w:t xml:space="preserve"> </w:t>
            </w:r>
            <w:proofErr w:type="gramStart"/>
            <w:r w:rsidRPr="00192094">
              <w:rPr>
                <w:b w:val="0"/>
                <w:lang w:val="es-ES_tradnl"/>
              </w:rPr>
              <w:t>Inglés</w:t>
            </w:r>
            <w:proofErr w:type="gramEnd"/>
          </w:p>
          <w:p w14:paraId="3A22D9C0" w14:textId="77777777" w:rsidR="00D63F86" w:rsidRPr="00192094" w:rsidRDefault="00D63F86" w:rsidP="00707306">
            <w:pPr>
              <w:pStyle w:val="Docoriginal"/>
              <w:rPr>
                <w:lang w:val="es-ES_tradnl"/>
              </w:rPr>
            </w:pPr>
            <w:r w:rsidRPr="00192094">
              <w:rPr>
                <w:lang w:val="es-ES_tradnl"/>
              </w:rPr>
              <w:t>Fecha:</w:t>
            </w:r>
            <w:r w:rsidRPr="00192094">
              <w:rPr>
                <w:b w:val="0"/>
                <w:lang w:val="es-ES_tradnl"/>
              </w:rPr>
              <w:t xml:space="preserve"> 29 de agosto de 2022</w:t>
            </w:r>
          </w:p>
        </w:tc>
      </w:tr>
    </w:tbl>
    <w:p w14:paraId="6E7BCA5E" w14:textId="77777777" w:rsidR="00D63F86" w:rsidRPr="00192094" w:rsidRDefault="00D63F86" w:rsidP="00D63F86">
      <w:pPr>
        <w:pStyle w:val="Titleofdoc0"/>
        <w:rPr>
          <w:lang w:val="es-ES_tradnl"/>
        </w:rPr>
      </w:pPr>
      <w:bookmarkStart w:id="21" w:name="TitleOfDoc"/>
      <w:bookmarkEnd w:id="21"/>
      <w:r w:rsidRPr="00192094">
        <w:rPr>
          <w:lang w:val="es-ES_tradnl"/>
        </w:rPr>
        <w:t>Criterio combinado interanual de homogeneidad (COYU): Extrapolación</w:t>
      </w:r>
    </w:p>
    <w:p w14:paraId="1E0F7428" w14:textId="6DF336ED" w:rsidR="00D63F86" w:rsidRPr="00192094" w:rsidRDefault="00D63F86" w:rsidP="00D63F86">
      <w:pPr>
        <w:pStyle w:val="preparedby1"/>
        <w:jc w:val="left"/>
        <w:rPr>
          <w:lang w:val="es-ES_tradnl"/>
        </w:rPr>
      </w:pPr>
      <w:bookmarkStart w:id="22" w:name="Prepared"/>
      <w:bookmarkEnd w:id="22"/>
      <w:r w:rsidRPr="00192094">
        <w:rPr>
          <w:lang w:val="es-ES_tradnl"/>
        </w:rPr>
        <w:t>Documento preparado por expertos del</w:t>
      </w:r>
      <w:r w:rsidR="006B7ABB">
        <w:rPr>
          <w:lang w:val="es-ES_tradnl"/>
        </w:rPr>
        <w:t> </w:t>
      </w:r>
      <w:r w:rsidRPr="00192094">
        <w:rPr>
          <w:lang w:val="es-ES_tradnl"/>
        </w:rPr>
        <w:t>Reino</w:t>
      </w:r>
      <w:r w:rsidR="006B7ABB">
        <w:rPr>
          <w:lang w:val="es-ES_tradnl"/>
        </w:rPr>
        <w:t> </w:t>
      </w:r>
      <w:r w:rsidRPr="00192094">
        <w:rPr>
          <w:lang w:val="es-ES_tradnl"/>
        </w:rPr>
        <w:t>Unido</w:t>
      </w:r>
    </w:p>
    <w:p w14:paraId="51E7EDAF" w14:textId="77777777" w:rsidR="00D63F86" w:rsidRPr="00192094" w:rsidRDefault="00D63F86" w:rsidP="00D63F86">
      <w:pPr>
        <w:pStyle w:val="Disclaimer"/>
        <w:rPr>
          <w:lang w:val="es-ES_tradnl"/>
        </w:rPr>
      </w:pPr>
      <w:r w:rsidRPr="00192094">
        <w:rPr>
          <w:lang w:val="es-ES_tradnl"/>
        </w:rPr>
        <w:t>Descargo de responsabilidad: el presente documento no constituye un documento de política u orientación de la UPOV</w:t>
      </w:r>
    </w:p>
    <w:p w14:paraId="49963388" w14:textId="77777777" w:rsidR="00D63F86" w:rsidRPr="00192094" w:rsidRDefault="00D63F86" w:rsidP="00D63F86">
      <w:pPr>
        <w:pStyle w:val="Heading1"/>
        <w:rPr>
          <w:lang w:val="es-ES_tradnl"/>
        </w:rPr>
      </w:pPr>
      <w:bookmarkStart w:id="23" w:name="_Toc116941339"/>
      <w:r w:rsidRPr="00192094">
        <w:rPr>
          <w:lang w:val="es-ES_tradnl"/>
        </w:rPr>
        <w:t>Introducción</w:t>
      </w:r>
      <w:bookmarkEnd w:id="23"/>
    </w:p>
    <w:p w14:paraId="2243C3E5" w14:textId="77777777" w:rsidR="00D63F86" w:rsidRPr="00192094" w:rsidRDefault="00D63F86" w:rsidP="00D63F86">
      <w:pPr>
        <w:rPr>
          <w:rFonts w:eastAsia="Calibri"/>
          <w:lang w:val="es-ES_tradnl"/>
        </w:rPr>
      </w:pPr>
    </w:p>
    <w:p w14:paraId="1CBEF9B7" w14:textId="38045941" w:rsidR="00D63F86" w:rsidRPr="00192094" w:rsidRDefault="00D63F86" w:rsidP="00D63F86">
      <w:pPr>
        <w:numPr>
          <w:ilvl w:val="0"/>
          <w:numId w:val="1"/>
        </w:numPr>
        <w:contextualSpacing/>
        <w:rPr>
          <w:rFonts w:eastAsia="Calibri" w:cs="Arial"/>
          <w:lang w:val="es-ES_tradnl"/>
        </w:rPr>
      </w:pPr>
      <w:r w:rsidRPr="00192094">
        <w:rPr>
          <w:lang w:val="es-ES_tradnl"/>
        </w:rPr>
        <w:t xml:space="preserve">El presente documento describe </w:t>
      </w:r>
      <w:r w:rsidR="00846FCE">
        <w:rPr>
          <w:lang w:val="es-ES_tradnl"/>
        </w:rPr>
        <w:t xml:space="preserve">el problema </w:t>
      </w:r>
      <w:r w:rsidRPr="00192094">
        <w:rPr>
          <w:lang w:val="es-ES_tradnl"/>
        </w:rPr>
        <w:t>de la extrapolación en relación con el</w:t>
      </w:r>
      <w:r w:rsidR="006B7ABB">
        <w:rPr>
          <w:lang w:val="es-ES_tradnl"/>
        </w:rPr>
        <w:t> </w:t>
      </w:r>
      <w:r w:rsidRPr="00192094">
        <w:rPr>
          <w:lang w:val="es-ES_tradnl"/>
        </w:rPr>
        <w:t>COYU. Recoge propuestas sobre cómo manejar est</w:t>
      </w:r>
      <w:r w:rsidR="00846FCE">
        <w:rPr>
          <w:lang w:val="es-ES_tradnl"/>
        </w:rPr>
        <w:t>a cuestión</w:t>
      </w:r>
      <w:r w:rsidRPr="00192094">
        <w:rPr>
          <w:lang w:val="es-ES_tradnl"/>
        </w:rPr>
        <w:t>. Estas propuestas están abiertas para el debate entre expertos.</w:t>
      </w:r>
    </w:p>
    <w:p w14:paraId="657EACEE" w14:textId="77777777" w:rsidR="00D63F86" w:rsidRPr="00192094" w:rsidRDefault="00D63F86" w:rsidP="00D63F86">
      <w:pPr>
        <w:rPr>
          <w:rFonts w:eastAsia="Calibri" w:cs="Arial"/>
          <w:lang w:val="es-ES_tradnl"/>
        </w:rPr>
      </w:pPr>
    </w:p>
    <w:p w14:paraId="47BD234B" w14:textId="0F253F03" w:rsidR="00D63F86" w:rsidRPr="00192094" w:rsidRDefault="00D63F86" w:rsidP="00D63F86">
      <w:pPr>
        <w:numPr>
          <w:ilvl w:val="0"/>
          <w:numId w:val="1"/>
        </w:numPr>
        <w:contextualSpacing/>
        <w:rPr>
          <w:rFonts w:eastAsia="Calibri" w:cs="Arial"/>
          <w:lang w:val="es-ES_tradnl"/>
        </w:rPr>
      </w:pPr>
      <w:r w:rsidRPr="00192094">
        <w:rPr>
          <w:lang w:val="es-ES_tradnl"/>
        </w:rPr>
        <w:t>En el documento de la</w:t>
      </w:r>
      <w:r w:rsidR="006B7ABB">
        <w:rPr>
          <w:lang w:val="es-ES_tradnl"/>
        </w:rPr>
        <w:t> </w:t>
      </w:r>
      <w:r w:rsidRPr="00192094">
        <w:rPr>
          <w:lang w:val="es-ES_tradnl"/>
        </w:rPr>
        <w:t>UPOV</w:t>
      </w:r>
      <w:r w:rsidR="006B7ABB">
        <w:rPr>
          <w:lang w:val="es-ES_tradnl"/>
        </w:rPr>
        <w:t> </w:t>
      </w:r>
      <w:r w:rsidRPr="00192094">
        <w:rPr>
          <w:lang w:val="es-ES_tradnl"/>
        </w:rPr>
        <w:t xml:space="preserve">TWC/31/15 </w:t>
      </w:r>
      <w:proofErr w:type="spellStart"/>
      <w:r w:rsidRPr="00192094">
        <w:rPr>
          <w:lang w:val="es-ES_tradnl"/>
        </w:rPr>
        <w:t>corr</w:t>
      </w:r>
      <w:proofErr w:type="spellEnd"/>
      <w:r w:rsidRPr="00192094">
        <w:rPr>
          <w:lang w:val="es-ES_tradnl"/>
        </w:rPr>
        <w:t>., se plante</w:t>
      </w:r>
      <w:r w:rsidR="006B7ABB">
        <w:rPr>
          <w:lang w:val="es-ES_tradnl"/>
        </w:rPr>
        <w:t>a</w:t>
      </w:r>
      <w:r w:rsidRPr="00192094">
        <w:rPr>
          <w:lang w:val="es-ES_tradnl"/>
        </w:rPr>
        <w:t xml:space="preserve"> la cuestión de la extrapolación en relación con el</w:t>
      </w:r>
      <w:r w:rsidR="006B7ABB">
        <w:rPr>
          <w:lang w:val="es-ES_tradnl"/>
        </w:rPr>
        <w:t> </w:t>
      </w:r>
      <w:r w:rsidRPr="00192094">
        <w:rPr>
          <w:lang w:val="es-ES_tradnl"/>
        </w:rPr>
        <w:t>COYU. Aunque este asunto afecta tanto al método de</w:t>
      </w:r>
      <w:r w:rsidR="006B7ABB">
        <w:rPr>
          <w:lang w:val="es-ES_tradnl"/>
        </w:rPr>
        <w:t>l </w:t>
      </w:r>
      <w:r w:rsidRPr="00192094">
        <w:rPr>
          <w:lang w:val="es-ES_tradnl"/>
        </w:rPr>
        <w:t>COYU antiguo como al mejorado, se detectó durante el desarrollo del método mejorado.</w:t>
      </w:r>
    </w:p>
    <w:p w14:paraId="3DFFBF40" w14:textId="77777777" w:rsidR="00D63F86" w:rsidRPr="00192094" w:rsidRDefault="00D63F86" w:rsidP="00D63F86">
      <w:pPr>
        <w:rPr>
          <w:rFonts w:eastAsia="Calibri" w:cs="Arial"/>
          <w:lang w:val="es-ES_tradnl"/>
        </w:rPr>
      </w:pPr>
    </w:p>
    <w:p w14:paraId="1758CD46" w14:textId="1650B518" w:rsidR="00D63F86" w:rsidRPr="00192094" w:rsidRDefault="00D63F86" w:rsidP="00D63F86">
      <w:pPr>
        <w:numPr>
          <w:ilvl w:val="0"/>
          <w:numId w:val="1"/>
        </w:numPr>
        <w:contextualSpacing/>
        <w:rPr>
          <w:rFonts w:eastAsia="Calibri" w:cs="Arial"/>
          <w:lang w:val="es-ES_tradnl"/>
        </w:rPr>
      </w:pPr>
      <w:r w:rsidRPr="00192094">
        <w:rPr>
          <w:lang w:val="es-ES_tradnl"/>
        </w:rPr>
        <w:t>En el ámbito del</w:t>
      </w:r>
      <w:r w:rsidR="006B7ABB">
        <w:rPr>
          <w:lang w:val="es-ES_tradnl"/>
        </w:rPr>
        <w:t> </w:t>
      </w:r>
      <w:r w:rsidRPr="00192094">
        <w:rPr>
          <w:lang w:val="es-ES_tradnl"/>
        </w:rPr>
        <w:t>COYU, la extrapolación se produce cuando una variedad candidata tiene una puntuación media que está fuera del rango de puntuaciones expresadas por las variedades de referencia en un determinado año. En la figura</w:t>
      </w:r>
      <w:r w:rsidR="006B7ABB">
        <w:rPr>
          <w:lang w:val="es-ES_tradnl"/>
        </w:rPr>
        <w:t> </w:t>
      </w:r>
      <w:r w:rsidRPr="00192094">
        <w:rPr>
          <w:lang w:val="es-ES_tradnl"/>
        </w:rPr>
        <w:t>1 se muestra un ejemplo.</w:t>
      </w:r>
    </w:p>
    <w:p w14:paraId="44C7B3CC" w14:textId="77777777" w:rsidR="00D63F86" w:rsidRPr="00192094" w:rsidRDefault="00D63F86" w:rsidP="00D63F86">
      <w:pPr>
        <w:rPr>
          <w:rFonts w:eastAsia="Calibri"/>
          <w:lang w:val="es-ES_tradnl"/>
        </w:rPr>
      </w:pPr>
    </w:p>
    <w:p w14:paraId="3C4969E2" w14:textId="77777777" w:rsidR="00D63F86" w:rsidRPr="00192094" w:rsidRDefault="00D63F86" w:rsidP="00D63F86">
      <w:pPr>
        <w:ind w:left="720"/>
        <w:contextualSpacing/>
        <w:jc w:val="left"/>
        <w:rPr>
          <w:rFonts w:ascii="Calibri" w:eastAsia="Calibri" w:hAnsi="Calibri"/>
          <w:sz w:val="22"/>
          <w:szCs w:val="22"/>
          <w:lang w:val="es-ES_tradnl"/>
        </w:rPr>
      </w:pPr>
      <w:r w:rsidRPr="00192094">
        <w:rPr>
          <w:rFonts w:ascii="Calibri" w:hAnsi="Calibri"/>
          <w:noProof/>
          <w:sz w:val="22"/>
          <w:szCs w:val="22"/>
          <w:lang w:val="en-US" w:eastAsia="ja-JP"/>
        </w:rPr>
        <w:drawing>
          <wp:inline distT="0" distB="0" distL="0" distR="0" wp14:anchorId="4BEB88F7" wp14:editId="25F2408D">
            <wp:extent cx="2895012" cy="281381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fig1.wmf"/>
                    <pic:cNvPicPr/>
                  </pic:nvPicPr>
                  <pic:blipFill rotWithShape="1">
                    <a:blip r:embed="rId11">
                      <a:extLst>
                        <a:ext uri="{28A0092B-C50C-407E-A947-70E740481C1C}">
                          <a14:useLocalDpi xmlns:a14="http://schemas.microsoft.com/office/drawing/2010/main" val="0"/>
                        </a:ext>
                      </a:extLst>
                    </a:blip>
                    <a:srcRect r="31628" b="33545"/>
                    <a:stretch/>
                  </pic:blipFill>
                  <pic:spPr bwMode="auto">
                    <a:xfrm>
                      <a:off x="0" y="0"/>
                      <a:ext cx="2897117" cy="2815855"/>
                    </a:xfrm>
                    <a:prstGeom prst="rect">
                      <a:avLst/>
                    </a:prstGeom>
                    <a:ln>
                      <a:noFill/>
                    </a:ln>
                    <a:extLst>
                      <a:ext uri="{53640926-AAD7-44D8-BBD7-CCE9431645EC}">
                        <a14:shadowObscured xmlns:a14="http://schemas.microsoft.com/office/drawing/2010/main"/>
                      </a:ext>
                    </a:extLst>
                  </pic:spPr>
                </pic:pic>
              </a:graphicData>
            </a:graphic>
          </wp:inline>
        </w:drawing>
      </w:r>
    </w:p>
    <w:p w14:paraId="676FD598" w14:textId="1266DDD4" w:rsidR="00D63F86" w:rsidRPr="00192094" w:rsidRDefault="00D63F86" w:rsidP="00D63F86">
      <w:pPr>
        <w:rPr>
          <w:rFonts w:eastAsia="Calibri" w:cs="Arial"/>
          <w:i/>
          <w:sz w:val="18"/>
          <w:lang w:val="es-ES_tradnl"/>
        </w:rPr>
      </w:pPr>
      <w:r w:rsidRPr="00192094">
        <w:rPr>
          <w:b/>
          <w:i/>
          <w:sz w:val="18"/>
          <w:lang w:val="es-ES_tradnl"/>
        </w:rPr>
        <w:t>Figura</w:t>
      </w:r>
      <w:r w:rsidR="006B7ABB">
        <w:rPr>
          <w:b/>
          <w:i/>
          <w:sz w:val="18"/>
          <w:lang w:val="es-ES_tradnl"/>
        </w:rPr>
        <w:t> </w:t>
      </w:r>
      <w:r w:rsidRPr="00192094">
        <w:rPr>
          <w:b/>
          <w:i/>
          <w:sz w:val="18"/>
          <w:lang w:val="es-ES_tradnl"/>
        </w:rPr>
        <w:t>1:</w:t>
      </w:r>
      <w:r w:rsidRPr="00192094">
        <w:rPr>
          <w:i/>
          <w:sz w:val="18"/>
          <w:lang w:val="es-ES_tradnl"/>
        </w:rPr>
        <w:t xml:space="preserve"> Ejemplo de extrapolación Para un solo año</w:t>
      </w:r>
      <w:r w:rsidR="00846FCE">
        <w:rPr>
          <w:i/>
          <w:sz w:val="18"/>
          <w:lang w:val="es-ES_tradnl"/>
        </w:rPr>
        <w:t>/</w:t>
      </w:r>
      <w:r w:rsidRPr="00192094">
        <w:rPr>
          <w:i/>
          <w:sz w:val="18"/>
          <w:lang w:val="es-ES_tradnl"/>
        </w:rPr>
        <w:t xml:space="preserve"> ciclo, se representa una medida de variabilidad (log de la desviación típica de las puntuaciones de cada parcela) frente a la puntuación media (véase el documento TGP/8 para obtener más información sobre el</w:t>
      </w:r>
      <w:r w:rsidR="006B7ABB">
        <w:rPr>
          <w:i/>
          <w:sz w:val="18"/>
          <w:lang w:val="es-ES_tradnl"/>
        </w:rPr>
        <w:t> </w:t>
      </w:r>
      <w:r w:rsidRPr="00192094">
        <w:rPr>
          <w:i/>
          <w:sz w:val="18"/>
          <w:lang w:val="es-ES_tradnl"/>
        </w:rPr>
        <w:t>COYU). Las variedades de referencia están representadas por ‘x’ y la candidata por ‘c’. La media de la candidata es mayor que la de cualquiera de las variedades de referencia. Se observa una tendencia en las variedades de referencia, pero ¿podemos extenderla a la variedad candidata?</w:t>
      </w:r>
    </w:p>
    <w:p w14:paraId="486227E5" w14:textId="77777777" w:rsidR="00D63F86" w:rsidRPr="00192094" w:rsidRDefault="00D63F86" w:rsidP="00D63F86">
      <w:pPr>
        <w:rPr>
          <w:rFonts w:eastAsia="Calibri"/>
          <w:lang w:val="es-ES_tradnl"/>
        </w:rPr>
      </w:pPr>
    </w:p>
    <w:p w14:paraId="78A169CF" w14:textId="77777777" w:rsidR="00D63F86" w:rsidRPr="00192094" w:rsidRDefault="00D63F86" w:rsidP="00D63F86">
      <w:pPr>
        <w:rPr>
          <w:rFonts w:eastAsia="Calibri"/>
          <w:lang w:val="es-ES_tradnl"/>
        </w:rPr>
      </w:pPr>
    </w:p>
    <w:p w14:paraId="6365206F" w14:textId="47F0C529" w:rsidR="00D63F86" w:rsidRPr="00192094" w:rsidRDefault="00D63F86" w:rsidP="00D63F86">
      <w:pPr>
        <w:keepNext/>
        <w:numPr>
          <w:ilvl w:val="0"/>
          <w:numId w:val="1"/>
        </w:numPr>
        <w:contextualSpacing/>
        <w:jc w:val="left"/>
        <w:rPr>
          <w:rFonts w:eastAsia="Calibri" w:cs="Arial"/>
          <w:lang w:val="es-ES_tradnl"/>
        </w:rPr>
      </w:pPr>
      <w:r w:rsidRPr="00192094">
        <w:rPr>
          <w:lang w:val="es-ES_tradnl"/>
        </w:rPr>
        <w:t xml:space="preserve">La extrapolación es un problema tanto </w:t>
      </w:r>
      <w:r w:rsidR="00846FCE">
        <w:rPr>
          <w:lang w:val="es-ES_tradnl"/>
        </w:rPr>
        <w:t>a nivel</w:t>
      </w:r>
      <w:r w:rsidRPr="00192094">
        <w:rPr>
          <w:lang w:val="es-ES_tradnl"/>
        </w:rPr>
        <w:t xml:space="preserve"> conceptual como técnico. Con respecto a la homogeneidad, en la Introducción general al examen de la distinción, la homogeneidad y la estabilidad y al desarrollo de descripciones armonizadas de las obtenciones vegetales (TG/1/3), se dice:</w:t>
      </w:r>
    </w:p>
    <w:p w14:paraId="399A3471" w14:textId="77777777" w:rsidR="00D63F86" w:rsidRPr="00192094" w:rsidRDefault="00D63F86" w:rsidP="00D63F86">
      <w:pPr>
        <w:keepNext/>
        <w:rPr>
          <w:rFonts w:eastAsia="Calibri"/>
          <w:lang w:val="es-ES_tradnl"/>
        </w:rPr>
      </w:pPr>
    </w:p>
    <w:p w14:paraId="6BDA9F07" w14:textId="77777777" w:rsidR="00D63F86" w:rsidRPr="00192094" w:rsidRDefault="00D63F86" w:rsidP="00D63F86">
      <w:pPr>
        <w:keepNext/>
        <w:ind w:left="720"/>
        <w:rPr>
          <w:rFonts w:eastAsia="Calibri" w:cs="Arial"/>
          <w:i/>
          <w:lang w:val="es-ES_tradnl"/>
        </w:rPr>
      </w:pPr>
      <w:r w:rsidRPr="00192094">
        <w:rPr>
          <w:i/>
          <w:lang w:val="es-ES_tradnl"/>
        </w:rPr>
        <w:t>“6.4.2.2.1 Para los caracteres medidos, el nivel de variació</w:t>
      </w:r>
      <w:bookmarkStart w:id="24" w:name="_GoBack"/>
      <w:bookmarkEnd w:id="24"/>
      <w:r w:rsidRPr="00192094">
        <w:rPr>
          <w:i/>
          <w:lang w:val="es-ES_tradnl"/>
        </w:rPr>
        <w:t>n aceptable no deberá exceder significativamente el nivel de variación hallado en las variedades comparables</w:t>
      </w:r>
      <w:r w:rsidRPr="00192094">
        <w:rPr>
          <w:rFonts w:eastAsia="Calibri" w:cs="Arial"/>
          <w:i/>
          <w:vertAlign w:val="superscript"/>
          <w:lang w:val="es-ES_tradnl"/>
        </w:rPr>
        <w:footnoteReference w:id="9"/>
      </w:r>
      <w:r w:rsidRPr="00192094">
        <w:rPr>
          <w:i/>
          <w:lang w:val="es-ES_tradnl"/>
        </w:rPr>
        <w:t xml:space="preserve"> ya conocidas.”</w:t>
      </w:r>
    </w:p>
    <w:p w14:paraId="3D13B06D" w14:textId="77777777" w:rsidR="00D63F86" w:rsidRPr="00192094" w:rsidRDefault="00D63F86" w:rsidP="00D63F86">
      <w:pPr>
        <w:rPr>
          <w:rFonts w:eastAsia="Calibri"/>
          <w:lang w:val="es-ES_tradnl"/>
        </w:rPr>
      </w:pPr>
    </w:p>
    <w:p w14:paraId="37641A31" w14:textId="77777777" w:rsidR="00D63F86" w:rsidRPr="00192094" w:rsidRDefault="00D63F86" w:rsidP="00D63F86">
      <w:pPr>
        <w:rPr>
          <w:rFonts w:eastAsia="Calibri"/>
          <w:lang w:val="es-ES_tradnl"/>
        </w:rPr>
      </w:pPr>
      <w:r w:rsidRPr="00192094">
        <w:rPr>
          <w:lang w:val="es-ES_tradnl"/>
        </w:rPr>
        <w:t xml:space="preserve">Si el nivel de expresión de la variedad candidata es muy distinto del </w:t>
      </w:r>
      <w:proofErr w:type="spellStart"/>
      <w:r w:rsidRPr="00192094">
        <w:rPr>
          <w:lang w:val="es-ES_tradnl"/>
        </w:rPr>
        <w:t>del</w:t>
      </w:r>
      <w:proofErr w:type="spellEnd"/>
      <w:r w:rsidRPr="00192094">
        <w:rPr>
          <w:lang w:val="es-ES_tradnl"/>
        </w:rPr>
        <w:t xml:space="preserve"> conjunto de variedades “comparables”, cabe preguntarse si estas variedades son realmente comparables. </w:t>
      </w:r>
    </w:p>
    <w:p w14:paraId="164DA66A" w14:textId="77777777" w:rsidR="00D63F86" w:rsidRPr="00192094" w:rsidRDefault="00D63F86" w:rsidP="00D63F86">
      <w:pPr>
        <w:rPr>
          <w:rFonts w:eastAsia="Calibri"/>
          <w:lang w:val="es-ES_tradnl"/>
        </w:rPr>
      </w:pPr>
    </w:p>
    <w:p w14:paraId="3BF5F777" w14:textId="7DA222F9" w:rsidR="00D63F86" w:rsidRPr="00192094" w:rsidRDefault="00D63F86" w:rsidP="00D63F86">
      <w:pPr>
        <w:numPr>
          <w:ilvl w:val="0"/>
          <w:numId w:val="1"/>
        </w:numPr>
        <w:contextualSpacing/>
        <w:rPr>
          <w:rFonts w:eastAsia="Calibri" w:cs="Arial"/>
          <w:lang w:val="es-ES_tradnl"/>
        </w:rPr>
      </w:pPr>
      <w:r w:rsidRPr="00192094">
        <w:rPr>
          <w:lang w:val="es-ES_tradnl"/>
        </w:rPr>
        <w:t>La extrapolación es particularmente importante porque en el</w:t>
      </w:r>
      <w:r w:rsidR="006B7ABB">
        <w:rPr>
          <w:lang w:val="es-ES_tradnl"/>
        </w:rPr>
        <w:t> </w:t>
      </w:r>
      <w:r w:rsidRPr="00192094">
        <w:rPr>
          <w:lang w:val="es-ES_tradnl"/>
        </w:rPr>
        <w:t>COYU se tiene en cuenta la relación existente entre la variabilidad entre las plantas y la media. Esta relación se da en muchos caracteres. Dentro del rango de las variedades de referencia, la relación puede basarse en la evidencia proporcionada por estas variedades. Fuera de ese rango, la relación es tan solo una especulación. De hecho, los métodos antiguo y nuevo del</w:t>
      </w:r>
      <w:r w:rsidR="006B7ABB">
        <w:rPr>
          <w:lang w:val="es-ES_tradnl"/>
        </w:rPr>
        <w:t> </w:t>
      </w:r>
      <w:r w:rsidRPr="00192094">
        <w:rPr>
          <w:lang w:val="es-ES_tradnl"/>
        </w:rPr>
        <w:t>COYU proporcionan “predicciones” sustancialmente diferentes en cuanto a la relación (véase más adelante).</w:t>
      </w:r>
    </w:p>
    <w:p w14:paraId="66236A98" w14:textId="77777777" w:rsidR="00D63F86" w:rsidRPr="00192094" w:rsidRDefault="00D63F86" w:rsidP="00D63F86">
      <w:pPr>
        <w:rPr>
          <w:rFonts w:eastAsia="Calibri" w:cs="Arial"/>
          <w:lang w:val="es-ES_tradnl"/>
        </w:rPr>
      </w:pPr>
    </w:p>
    <w:p w14:paraId="77BD254D" w14:textId="2BC3658F" w:rsidR="00D63F86" w:rsidRPr="00192094" w:rsidRDefault="00D63F86" w:rsidP="00D63F86">
      <w:pPr>
        <w:numPr>
          <w:ilvl w:val="0"/>
          <w:numId w:val="1"/>
        </w:numPr>
        <w:contextualSpacing/>
        <w:rPr>
          <w:rFonts w:eastAsia="Calibri" w:cs="Arial"/>
          <w:lang w:val="es-ES_tradnl"/>
        </w:rPr>
      </w:pPr>
      <w:r w:rsidRPr="00192094">
        <w:rPr>
          <w:lang w:val="es-ES_tradnl"/>
        </w:rPr>
        <w:t>Anteriormente, los casos de extrapolación no se señalizaban sistemáticamente. Para el nuevo método, hemos sugerido que los casos de extrapolación se señalicen y reciban especial atención de los expertos en</w:t>
      </w:r>
      <w:r w:rsidR="006B7ABB">
        <w:rPr>
          <w:lang w:val="es-ES_tradnl"/>
        </w:rPr>
        <w:t> </w:t>
      </w:r>
      <w:r w:rsidRPr="00192094">
        <w:rPr>
          <w:lang w:val="es-ES_tradnl"/>
        </w:rPr>
        <w:t>DHE. En esos casos, el veredicto indicado por el</w:t>
      </w:r>
      <w:r w:rsidR="006B7ABB">
        <w:rPr>
          <w:lang w:val="es-ES_tradnl"/>
        </w:rPr>
        <w:t> </w:t>
      </w:r>
      <w:r w:rsidRPr="00192094">
        <w:rPr>
          <w:lang w:val="es-ES_tradnl"/>
        </w:rPr>
        <w:t>COYU, ya sea el antiguo o el nuevo, no debe aceptarse automáticamente. De hecho, es posible que cuando haya extrapolación las decisiones de los dos métodos sean muy diferentes.</w:t>
      </w:r>
    </w:p>
    <w:p w14:paraId="2E4D043E" w14:textId="77777777" w:rsidR="00D63F86" w:rsidRPr="00192094" w:rsidRDefault="00D63F86" w:rsidP="00D63F86">
      <w:pPr>
        <w:rPr>
          <w:rFonts w:eastAsia="Calibri"/>
          <w:lang w:val="es-ES_tradnl"/>
        </w:rPr>
      </w:pPr>
    </w:p>
    <w:p w14:paraId="5BA88F5F" w14:textId="77777777" w:rsidR="00D63F86" w:rsidRPr="00192094" w:rsidRDefault="00D63F86" w:rsidP="00D63F86">
      <w:pPr>
        <w:rPr>
          <w:rFonts w:eastAsia="Calibri"/>
          <w:lang w:val="es-ES_tradnl"/>
        </w:rPr>
      </w:pPr>
    </w:p>
    <w:p w14:paraId="6C9108F9" w14:textId="11B32CA6" w:rsidR="00D63F86" w:rsidRPr="00192094" w:rsidRDefault="00D63F86" w:rsidP="00D63F86">
      <w:pPr>
        <w:pStyle w:val="Heading1"/>
        <w:rPr>
          <w:lang w:val="es-ES_tradnl"/>
        </w:rPr>
      </w:pPr>
      <w:bookmarkStart w:id="25" w:name="_Toc116941340"/>
      <w:r w:rsidRPr="00192094">
        <w:rPr>
          <w:lang w:val="es-ES_tradnl"/>
        </w:rPr>
        <w:t xml:space="preserve">Comportamiento de los métodos </w:t>
      </w:r>
      <w:r w:rsidR="006B7ABB">
        <w:rPr>
          <w:lang w:val="es-ES_tradnl"/>
        </w:rPr>
        <w:t xml:space="preserve">DEL </w:t>
      </w:r>
      <w:r w:rsidRPr="00192094">
        <w:rPr>
          <w:lang w:val="es-ES_tradnl"/>
        </w:rPr>
        <w:t>COYU antiguo y nuevo con la extrapolación</w:t>
      </w:r>
      <w:bookmarkEnd w:id="25"/>
    </w:p>
    <w:p w14:paraId="13123404" w14:textId="77777777" w:rsidR="00D63F86" w:rsidRPr="00192094" w:rsidRDefault="00D63F86" w:rsidP="00D63F86">
      <w:pPr>
        <w:rPr>
          <w:rFonts w:eastAsia="Calibri"/>
          <w:lang w:val="es-ES_tradnl"/>
        </w:rPr>
      </w:pPr>
    </w:p>
    <w:p w14:paraId="3C624529" w14:textId="77777777" w:rsidR="00D63F86" w:rsidRPr="00192094" w:rsidRDefault="00D63F86" w:rsidP="00D63F86">
      <w:pPr>
        <w:numPr>
          <w:ilvl w:val="0"/>
          <w:numId w:val="1"/>
        </w:numPr>
        <w:contextualSpacing/>
        <w:rPr>
          <w:rFonts w:eastAsia="Calibri" w:cs="Arial"/>
          <w:lang w:val="es-ES_tradnl"/>
        </w:rPr>
      </w:pPr>
      <w:r w:rsidRPr="00192094">
        <w:rPr>
          <w:lang w:val="es-ES_tradnl"/>
        </w:rPr>
        <w:t xml:space="preserve">El método del COYU antiguo y el nuevo se diferencian en el modelo estadístico empleado para relacionar la variabilidad con las puntuaciones medias. El antiguo método usa medias móviles y el nuevo usa </w:t>
      </w:r>
      <w:proofErr w:type="spellStart"/>
      <w:r w:rsidRPr="00192094">
        <w:rPr>
          <w:i/>
          <w:lang w:val="es-ES_tradnl"/>
        </w:rPr>
        <w:t>splines</w:t>
      </w:r>
      <w:proofErr w:type="spellEnd"/>
      <w:r w:rsidRPr="00192094">
        <w:rPr>
          <w:lang w:val="es-ES_tradnl"/>
        </w:rPr>
        <w:t xml:space="preserve">. </w:t>
      </w:r>
    </w:p>
    <w:p w14:paraId="21040938" w14:textId="77777777" w:rsidR="00D63F86" w:rsidRPr="00192094" w:rsidRDefault="00D63F86" w:rsidP="00D63F86">
      <w:pPr>
        <w:ind w:left="360"/>
        <w:contextualSpacing/>
        <w:rPr>
          <w:rFonts w:eastAsia="Calibri" w:cs="Arial"/>
          <w:lang w:val="es-ES_tradnl"/>
        </w:rPr>
      </w:pPr>
    </w:p>
    <w:p w14:paraId="32E25C39" w14:textId="77777777" w:rsidR="00D63F86" w:rsidRPr="00192094" w:rsidRDefault="00D63F86" w:rsidP="00D63F86">
      <w:pPr>
        <w:numPr>
          <w:ilvl w:val="0"/>
          <w:numId w:val="1"/>
        </w:numPr>
        <w:contextualSpacing/>
        <w:rPr>
          <w:rFonts w:eastAsia="Calibri" w:cs="Arial"/>
          <w:lang w:val="es-ES_tradnl"/>
        </w:rPr>
      </w:pPr>
      <w:r w:rsidRPr="00192094">
        <w:rPr>
          <w:lang w:val="es-ES_tradnl"/>
        </w:rPr>
        <w:t>Esto tiene las siguientes repercusiones en caso de extrapolación:</w:t>
      </w:r>
    </w:p>
    <w:p w14:paraId="30F8B6FF" w14:textId="5ADF5890" w:rsidR="00D63F86" w:rsidRPr="00192094" w:rsidRDefault="00D63F86" w:rsidP="00D63F86">
      <w:pPr>
        <w:numPr>
          <w:ilvl w:val="1"/>
          <w:numId w:val="1"/>
        </w:numPr>
        <w:contextualSpacing/>
        <w:rPr>
          <w:rFonts w:eastAsia="Calibri" w:cs="Arial"/>
          <w:lang w:val="es-ES_tradnl"/>
        </w:rPr>
      </w:pPr>
      <w:r w:rsidRPr="00192094">
        <w:rPr>
          <w:lang w:val="es-ES_tradnl"/>
        </w:rPr>
        <w:t xml:space="preserve">Fuera del rango de las variedades de referencia, para las medias móviles la línea es horizontal (siguiendo la tendencia de las variedades más externas) y para los </w:t>
      </w:r>
      <w:proofErr w:type="spellStart"/>
      <w:r w:rsidRPr="00192094">
        <w:rPr>
          <w:i/>
          <w:lang w:val="es-ES_tradnl"/>
        </w:rPr>
        <w:t>splines</w:t>
      </w:r>
      <w:proofErr w:type="spellEnd"/>
      <w:r w:rsidRPr="00192094">
        <w:rPr>
          <w:lang w:val="es-ES_tradnl"/>
        </w:rPr>
        <w:t xml:space="preserve"> es lineal pero no necesariamente horizontal. Esto se ilustra en la figura</w:t>
      </w:r>
      <w:r w:rsidR="003A5714">
        <w:rPr>
          <w:lang w:val="es-ES_tradnl"/>
        </w:rPr>
        <w:t> </w:t>
      </w:r>
      <w:r w:rsidRPr="00192094">
        <w:rPr>
          <w:lang w:val="es-ES_tradnl"/>
        </w:rPr>
        <w:t>2.</w:t>
      </w:r>
    </w:p>
    <w:p w14:paraId="509128A1" w14:textId="2D2028D7" w:rsidR="00D63F86" w:rsidRPr="00192094" w:rsidRDefault="00D63F86" w:rsidP="00D63F86">
      <w:pPr>
        <w:numPr>
          <w:ilvl w:val="1"/>
          <w:numId w:val="1"/>
        </w:numPr>
        <w:contextualSpacing/>
        <w:rPr>
          <w:rFonts w:eastAsia="Calibri" w:cs="Arial"/>
          <w:lang w:val="es-ES_tradnl"/>
        </w:rPr>
      </w:pPr>
      <w:r w:rsidRPr="00192094">
        <w:rPr>
          <w:lang w:val="es-ES_tradnl"/>
        </w:rPr>
        <w:t xml:space="preserve">En relación a la </w:t>
      </w:r>
      <w:r w:rsidR="00846FCE">
        <w:rPr>
          <w:lang w:val="es-ES_tradnl"/>
        </w:rPr>
        <w:t>curva de ajuste</w:t>
      </w:r>
      <w:r w:rsidRPr="00192094">
        <w:rPr>
          <w:lang w:val="es-ES_tradnl"/>
        </w:rPr>
        <w:t>, la incertidumbre empleada para obtener el umbral del COYU es indeterminada, y se supone que constante, para el COYU con medias móviles fuera del rango de las variedades de referencia, pero con el nuevo</w:t>
      </w:r>
      <w:r w:rsidR="003A5714">
        <w:rPr>
          <w:lang w:val="es-ES_tradnl"/>
        </w:rPr>
        <w:t> </w:t>
      </w:r>
      <w:r w:rsidRPr="00192094">
        <w:rPr>
          <w:lang w:val="es-ES_tradnl"/>
        </w:rPr>
        <w:t>COYU aumenta cuanto más se aleja de las variedades de referencia. Esto se ilustra en la figura</w:t>
      </w:r>
      <w:r w:rsidR="003A5714">
        <w:rPr>
          <w:lang w:val="es-ES_tradnl"/>
        </w:rPr>
        <w:t> </w:t>
      </w:r>
      <w:r w:rsidRPr="00192094">
        <w:rPr>
          <w:lang w:val="es-ES_tradnl"/>
        </w:rPr>
        <w:t>3.</w:t>
      </w:r>
    </w:p>
    <w:p w14:paraId="6BD09A14" w14:textId="77777777" w:rsidR="00D63F86" w:rsidRPr="00192094" w:rsidRDefault="00D63F86" w:rsidP="00D63F86">
      <w:pPr>
        <w:rPr>
          <w:rFonts w:eastAsia="Calibri"/>
          <w:lang w:val="es-ES_tradnl"/>
        </w:rPr>
      </w:pPr>
    </w:p>
    <w:p w14:paraId="3CB3D931" w14:textId="77777777" w:rsidR="00D63F86" w:rsidRPr="00192094" w:rsidRDefault="00D63F86" w:rsidP="00D63F86">
      <w:pPr>
        <w:rPr>
          <w:rFonts w:ascii="Calibri" w:eastAsia="Calibri" w:hAnsi="Calibri"/>
          <w:sz w:val="22"/>
          <w:szCs w:val="22"/>
          <w:highlight w:val="yellow"/>
          <w:lang w:val="es-ES_tradnl"/>
        </w:rPr>
      </w:pPr>
      <w:r w:rsidRPr="00192094">
        <w:rPr>
          <w:rFonts w:ascii="Calibri" w:hAnsi="Calibri"/>
          <w:noProof/>
          <w:sz w:val="22"/>
          <w:szCs w:val="22"/>
          <w:lang w:val="en-US" w:eastAsia="ja-JP"/>
        </w:rPr>
        <w:drawing>
          <wp:inline distT="0" distB="0" distL="0" distR="0" wp14:anchorId="59A32C60" wp14:editId="63EA3FD5">
            <wp:extent cx="3135086" cy="2732608"/>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fig2.wmf"/>
                    <pic:cNvPicPr/>
                  </pic:nvPicPr>
                  <pic:blipFill rotWithShape="1">
                    <a:blip r:embed="rId12" cstate="print">
                      <a:extLst>
                        <a:ext uri="{28A0092B-C50C-407E-A947-70E740481C1C}">
                          <a14:useLocalDpi xmlns:a14="http://schemas.microsoft.com/office/drawing/2010/main" val="0"/>
                        </a:ext>
                      </a:extLst>
                    </a:blip>
                    <a:srcRect r="24381" b="34089"/>
                    <a:stretch/>
                  </pic:blipFill>
                  <pic:spPr bwMode="auto">
                    <a:xfrm>
                      <a:off x="0" y="0"/>
                      <a:ext cx="3135782" cy="2733214"/>
                    </a:xfrm>
                    <a:prstGeom prst="rect">
                      <a:avLst/>
                    </a:prstGeom>
                    <a:ln>
                      <a:noFill/>
                    </a:ln>
                    <a:extLst>
                      <a:ext uri="{53640926-AAD7-44D8-BBD7-CCE9431645EC}">
                        <a14:shadowObscured xmlns:a14="http://schemas.microsoft.com/office/drawing/2010/main"/>
                      </a:ext>
                    </a:extLst>
                  </pic:spPr>
                </pic:pic>
              </a:graphicData>
            </a:graphic>
          </wp:inline>
        </w:drawing>
      </w:r>
    </w:p>
    <w:p w14:paraId="5AA0043E" w14:textId="164648B1" w:rsidR="00D63F86" w:rsidRPr="00192094" w:rsidRDefault="00D63F86" w:rsidP="00D63F86">
      <w:pPr>
        <w:rPr>
          <w:rFonts w:eastAsia="Calibri" w:cs="Arial"/>
          <w:i/>
          <w:sz w:val="18"/>
          <w:lang w:val="es-ES_tradnl"/>
        </w:rPr>
      </w:pPr>
      <w:r w:rsidRPr="00192094">
        <w:rPr>
          <w:b/>
          <w:sz w:val="18"/>
          <w:lang w:val="es-ES_tradnl"/>
        </w:rPr>
        <w:lastRenderedPageBreak/>
        <w:t>Figura</w:t>
      </w:r>
      <w:r w:rsidR="003A5714">
        <w:rPr>
          <w:b/>
          <w:sz w:val="18"/>
          <w:lang w:val="es-ES_tradnl"/>
        </w:rPr>
        <w:t> </w:t>
      </w:r>
      <w:r w:rsidRPr="00192094">
        <w:rPr>
          <w:b/>
          <w:sz w:val="18"/>
          <w:lang w:val="es-ES_tradnl"/>
        </w:rPr>
        <w:t>2:</w:t>
      </w:r>
      <w:r w:rsidRPr="00192094">
        <w:rPr>
          <w:sz w:val="18"/>
          <w:lang w:val="es-ES_tradnl"/>
        </w:rPr>
        <w:t xml:space="preserve"> </w:t>
      </w:r>
      <w:r w:rsidRPr="00192094">
        <w:rPr>
          <w:i/>
          <w:sz w:val="18"/>
          <w:lang w:val="es-ES_tradnl"/>
        </w:rPr>
        <w:t>Ejemplo de la figura</w:t>
      </w:r>
      <w:r w:rsidR="003A5714">
        <w:rPr>
          <w:i/>
          <w:sz w:val="18"/>
          <w:lang w:val="es-ES_tradnl"/>
        </w:rPr>
        <w:t> </w:t>
      </w:r>
      <w:r w:rsidRPr="00192094">
        <w:rPr>
          <w:i/>
          <w:sz w:val="18"/>
          <w:lang w:val="es-ES_tradnl"/>
        </w:rPr>
        <w:t xml:space="preserve">1 en el que se muestra cómo la media móvil y la tendencia del </w:t>
      </w:r>
      <w:proofErr w:type="spellStart"/>
      <w:r w:rsidRPr="00192094">
        <w:rPr>
          <w:i/>
          <w:sz w:val="18"/>
          <w:lang w:val="es-ES_tradnl"/>
        </w:rPr>
        <w:t>spline</w:t>
      </w:r>
      <w:proofErr w:type="spellEnd"/>
      <w:r w:rsidRPr="00192094">
        <w:rPr>
          <w:i/>
          <w:sz w:val="18"/>
          <w:lang w:val="es-ES_tradnl"/>
        </w:rPr>
        <w:t xml:space="preserve"> se extienden cuando se extrapola fuera del rango de las variedades de referencia. Las variedades de referencia están representadas por ‘x’ y la candidata por ‘c’. La línea discontinua roja </w:t>
      </w:r>
      <w:r w:rsidR="00846FCE">
        <w:rPr>
          <w:i/>
          <w:sz w:val="18"/>
          <w:lang w:val="es-ES_tradnl"/>
        </w:rPr>
        <w:t>representa</w:t>
      </w:r>
      <w:r w:rsidRPr="00192094">
        <w:rPr>
          <w:i/>
          <w:sz w:val="18"/>
          <w:lang w:val="es-ES_tradnl"/>
        </w:rPr>
        <w:t xml:space="preserve"> el método de la media móvil y la azul el </w:t>
      </w:r>
      <w:proofErr w:type="spellStart"/>
      <w:r w:rsidRPr="00192094">
        <w:rPr>
          <w:i/>
          <w:sz w:val="18"/>
          <w:lang w:val="es-ES_tradnl"/>
        </w:rPr>
        <w:t>spline</w:t>
      </w:r>
      <w:proofErr w:type="spellEnd"/>
      <w:r w:rsidRPr="00192094">
        <w:rPr>
          <w:i/>
          <w:sz w:val="18"/>
          <w:lang w:val="es-ES_tradnl"/>
        </w:rPr>
        <w:t>.</w:t>
      </w:r>
    </w:p>
    <w:p w14:paraId="47CF9763" w14:textId="77777777" w:rsidR="00D63F86" w:rsidRPr="00192094" w:rsidRDefault="00D63F86" w:rsidP="00D63F86">
      <w:pPr>
        <w:rPr>
          <w:rFonts w:ascii="Calibri" w:eastAsia="Calibri" w:hAnsi="Calibri"/>
          <w:i/>
          <w:sz w:val="22"/>
          <w:szCs w:val="22"/>
          <w:lang w:val="es-ES_tradnl"/>
        </w:rPr>
      </w:pPr>
    </w:p>
    <w:p w14:paraId="01EF9B24" w14:textId="77777777" w:rsidR="00D63F86" w:rsidRPr="00192094" w:rsidRDefault="00D63F86" w:rsidP="00D63F86">
      <w:pPr>
        <w:rPr>
          <w:rFonts w:ascii="Calibri" w:eastAsia="Calibri" w:hAnsi="Calibri"/>
          <w:i/>
          <w:sz w:val="22"/>
          <w:szCs w:val="22"/>
          <w:lang w:val="es-ES_tradnl"/>
        </w:rPr>
      </w:pPr>
      <w:r w:rsidRPr="00192094">
        <w:rPr>
          <w:rFonts w:ascii="Calibri" w:hAnsi="Calibri"/>
          <w:i/>
          <w:noProof/>
          <w:sz w:val="22"/>
          <w:szCs w:val="22"/>
          <w:lang w:val="en-US" w:eastAsia="ja-JP"/>
        </w:rPr>
        <w:drawing>
          <wp:inline distT="0" distB="0" distL="0" distR="0" wp14:anchorId="2C9FA9DE" wp14:editId="04447B2D">
            <wp:extent cx="3205696" cy="2969153"/>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fig3.wmf"/>
                    <pic:cNvPicPr/>
                  </pic:nvPicPr>
                  <pic:blipFill rotWithShape="1">
                    <a:blip r:embed="rId13">
                      <a:extLst>
                        <a:ext uri="{28A0092B-C50C-407E-A947-70E740481C1C}">
                          <a14:useLocalDpi xmlns:a14="http://schemas.microsoft.com/office/drawing/2010/main" val="0"/>
                        </a:ext>
                      </a:extLst>
                    </a:blip>
                    <a:srcRect r="27320" b="32683"/>
                    <a:stretch/>
                  </pic:blipFill>
                  <pic:spPr bwMode="auto">
                    <a:xfrm>
                      <a:off x="0" y="0"/>
                      <a:ext cx="3208412" cy="2971669"/>
                    </a:xfrm>
                    <a:prstGeom prst="rect">
                      <a:avLst/>
                    </a:prstGeom>
                    <a:ln>
                      <a:noFill/>
                    </a:ln>
                    <a:extLst>
                      <a:ext uri="{53640926-AAD7-44D8-BBD7-CCE9431645EC}">
                        <a14:shadowObscured xmlns:a14="http://schemas.microsoft.com/office/drawing/2010/main"/>
                      </a:ext>
                    </a:extLst>
                  </pic:spPr>
                </pic:pic>
              </a:graphicData>
            </a:graphic>
          </wp:inline>
        </w:drawing>
      </w:r>
    </w:p>
    <w:p w14:paraId="601F7650" w14:textId="77777777" w:rsidR="00D63F86" w:rsidRPr="00192094" w:rsidRDefault="00D63F86" w:rsidP="00D63F86">
      <w:pPr>
        <w:rPr>
          <w:rFonts w:eastAsia="Calibri"/>
          <w:lang w:val="es-ES_tradnl"/>
        </w:rPr>
      </w:pPr>
    </w:p>
    <w:p w14:paraId="320ACAC9" w14:textId="4D054E66" w:rsidR="00D63F86" w:rsidRPr="00192094" w:rsidRDefault="00D63F86" w:rsidP="00D63F86">
      <w:pPr>
        <w:rPr>
          <w:rFonts w:eastAsia="Calibri" w:cs="Arial"/>
          <w:i/>
          <w:sz w:val="18"/>
          <w:lang w:val="es-ES_tradnl"/>
        </w:rPr>
      </w:pPr>
      <w:r w:rsidRPr="00192094">
        <w:rPr>
          <w:b/>
          <w:i/>
          <w:sz w:val="18"/>
          <w:lang w:val="es-ES_tradnl"/>
        </w:rPr>
        <w:t>Figura</w:t>
      </w:r>
      <w:r w:rsidR="003A5714">
        <w:rPr>
          <w:b/>
          <w:i/>
          <w:sz w:val="18"/>
          <w:lang w:val="es-ES_tradnl"/>
        </w:rPr>
        <w:t> </w:t>
      </w:r>
      <w:r w:rsidRPr="00192094">
        <w:rPr>
          <w:b/>
          <w:i/>
          <w:sz w:val="18"/>
          <w:lang w:val="es-ES_tradnl"/>
        </w:rPr>
        <w:t>3:</w:t>
      </w:r>
      <w:r w:rsidRPr="00192094">
        <w:rPr>
          <w:i/>
          <w:sz w:val="18"/>
          <w:lang w:val="es-ES_tradnl"/>
        </w:rPr>
        <w:t xml:space="preserve"> Continuación del ejemplo de la figura</w:t>
      </w:r>
      <w:r w:rsidR="003A5714">
        <w:rPr>
          <w:i/>
          <w:sz w:val="18"/>
          <w:lang w:val="es-ES_tradnl"/>
        </w:rPr>
        <w:t> </w:t>
      </w:r>
      <w:r w:rsidRPr="00192094">
        <w:rPr>
          <w:i/>
          <w:sz w:val="18"/>
          <w:lang w:val="es-ES_tradnl"/>
        </w:rPr>
        <w:t xml:space="preserve">2. Aquí, la línea discontinua azul representa </w:t>
      </w:r>
      <w:r w:rsidR="00846FCE" w:rsidRPr="00192094">
        <w:rPr>
          <w:i/>
          <w:sz w:val="18"/>
          <w:lang w:val="es-ES_tradnl"/>
        </w:rPr>
        <w:t>la predicció</w:t>
      </w:r>
      <w:r w:rsidR="00846FCE">
        <w:rPr>
          <w:i/>
          <w:sz w:val="18"/>
          <w:lang w:val="es-ES_tradnl"/>
        </w:rPr>
        <w:t xml:space="preserve">n de </w:t>
      </w:r>
      <w:r w:rsidRPr="00192094">
        <w:rPr>
          <w:i/>
          <w:sz w:val="18"/>
          <w:lang w:val="es-ES_tradnl"/>
        </w:rPr>
        <w:t xml:space="preserve">un error </w:t>
      </w:r>
      <w:r w:rsidR="00846FCE">
        <w:rPr>
          <w:i/>
          <w:sz w:val="18"/>
          <w:lang w:val="es-ES_tradnl"/>
        </w:rPr>
        <w:t xml:space="preserve">típico </w:t>
      </w:r>
      <w:r w:rsidRPr="00192094">
        <w:rPr>
          <w:i/>
          <w:sz w:val="18"/>
          <w:lang w:val="es-ES_tradnl"/>
        </w:rPr>
        <w:t xml:space="preserve">por encima de la línea de tendencia del </w:t>
      </w:r>
      <w:proofErr w:type="spellStart"/>
      <w:r w:rsidRPr="00192094">
        <w:rPr>
          <w:i/>
          <w:sz w:val="18"/>
          <w:lang w:val="es-ES_tradnl"/>
        </w:rPr>
        <w:t>spline</w:t>
      </w:r>
      <w:proofErr w:type="spellEnd"/>
      <w:r w:rsidRPr="00192094">
        <w:rPr>
          <w:i/>
          <w:sz w:val="18"/>
          <w:lang w:val="es-ES_tradnl"/>
        </w:rPr>
        <w:t xml:space="preserve">. Obsérvese que este error </w:t>
      </w:r>
      <w:r w:rsidR="00846FCE">
        <w:rPr>
          <w:i/>
          <w:sz w:val="18"/>
          <w:lang w:val="es-ES_tradnl"/>
        </w:rPr>
        <w:t>típico</w:t>
      </w:r>
      <w:r w:rsidRPr="00192094">
        <w:rPr>
          <w:i/>
          <w:sz w:val="18"/>
          <w:lang w:val="es-ES_tradnl"/>
        </w:rPr>
        <w:t xml:space="preserve"> no se usa directamente, sino que se introduce en los cálculos del</w:t>
      </w:r>
      <w:r w:rsidR="003A5714">
        <w:rPr>
          <w:i/>
          <w:sz w:val="18"/>
          <w:lang w:val="es-ES_tradnl"/>
        </w:rPr>
        <w:t> </w:t>
      </w:r>
      <w:r w:rsidRPr="00192094">
        <w:rPr>
          <w:i/>
          <w:sz w:val="18"/>
          <w:lang w:val="es-ES_tradnl"/>
        </w:rPr>
        <w:t>COYU mediante la agrupación con los otros años</w:t>
      </w:r>
      <w:r w:rsidR="00846FCE">
        <w:rPr>
          <w:i/>
          <w:sz w:val="18"/>
          <w:lang w:val="es-ES_tradnl"/>
        </w:rPr>
        <w:t>/</w:t>
      </w:r>
      <w:r w:rsidRPr="00192094">
        <w:rPr>
          <w:i/>
          <w:sz w:val="18"/>
          <w:lang w:val="es-ES_tradnl"/>
        </w:rPr>
        <w:t>ciclos. Es manifiesto, sin embargo, el marcado aumento de la incertidumbre causado por la extrapolación</w:t>
      </w:r>
    </w:p>
    <w:p w14:paraId="631244D4" w14:textId="77777777" w:rsidR="00D63F86" w:rsidRPr="00192094" w:rsidRDefault="00D63F86" w:rsidP="00D63F86">
      <w:pPr>
        <w:rPr>
          <w:rFonts w:eastAsia="Calibri"/>
          <w:lang w:val="es-ES_tradnl"/>
        </w:rPr>
      </w:pPr>
    </w:p>
    <w:p w14:paraId="4EE7619D" w14:textId="77777777" w:rsidR="00D63F86" w:rsidRPr="00192094" w:rsidRDefault="00D63F86" w:rsidP="00D63F86">
      <w:pPr>
        <w:rPr>
          <w:rFonts w:eastAsia="Calibri"/>
          <w:lang w:val="es-ES_tradnl"/>
        </w:rPr>
      </w:pPr>
    </w:p>
    <w:p w14:paraId="1D98B3C1" w14:textId="6415E39D" w:rsidR="00D63F86" w:rsidRPr="00192094" w:rsidRDefault="00D63F86" w:rsidP="00D63F86">
      <w:pPr>
        <w:numPr>
          <w:ilvl w:val="0"/>
          <w:numId w:val="1"/>
        </w:numPr>
        <w:contextualSpacing/>
        <w:rPr>
          <w:rFonts w:eastAsia="Calibri" w:cs="Arial"/>
          <w:lang w:val="es-ES_tradnl"/>
        </w:rPr>
      </w:pPr>
      <w:r w:rsidRPr="00192094">
        <w:rPr>
          <w:lang w:val="es-ES_tradnl"/>
        </w:rPr>
        <w:t>La figura</w:t>
      </w:r>
      <w:r w:rsidR="003A5714">
        <w:rPr>
          <w:lang w:val="es-ES_tradnl"/>
        </w:rPr>
        <w:t> </w:t>
      </w:r>
      <w:r w:rsidRPr="00192094">
        <w:rPr>
          <w:lang w:val="es-ES_tradnl"/>
        </w:rPr>
        <w:t>2 muestra cómo los dos métodos</w:t>
      </w:r>
      <w:r w:rsidR="003A5714">
        <w:rPr>
          <w:lang w:val="es-ES_tradnl"/>
        </w:rPr>
        <w:t xml:space="preserve"> del </w:t>
      </w:r>
      <w:r w:rsidRPr="00192094">
        <w:rPr>
          <w:lang w:val="es-ES_tradnl"/>
        </w:rPr>
        <w:t xml:space="preserve">COYU pueden llevar a diferentes conclusiones. La variedad candidata </w:t>
      </w:r>
      <w:r w:rsidR="00846FCE">
        <w:rPr>
          <w:lang w:val="es-ES_tradnl"/>
        </w:rPr>
        <w:t>queda por de</w:t>
      </w:r>
      <w:r w:rsidRPr="00192094">
        <w:rPr>
          <w:lang w:val="es-ES_tradnl"/>
        </w:rPr>
        <w:t xml:space="preserve">bajo de la línea de tendencia de la media móvil para la media </w:t>
      </w:r>
      <w:proofErr w:type="gramStart"/>
      <w:r w:rsidRPr="00192094">
        <w:rPr>
          <w:lang w:val="es-ES_tradnl"/>
        </w:rPr>
        <w:t>móvil</w:t>
      </w:r>
      <w:proofErr w:type="gramEnd"/>
      <w:r w:rsidRPr="00192094">
        <w:rPr>
          <w:lang w:val="es-ES_tradnl"/>
        </w:rPr>
        <w:t xml:space="preserve"> pero considerablemente por encima para el </w:t>
      </w:r>
      <w:proofErr w:type="spellStart"/>
      <w:r w:rsidRPr="00192094">
        <w:rPr>
          <w:i/>
          <w:lang w:val="es-ES_tradnl"/>
        </w:rPr>
        <w:t>spline</w:t>
      </w:r>
      <w:proofErr w:type="spellEnd"/>
      <w:r w:rsidRPr="00192094">
        <w:rPr>
          <w:lang w:val="es-ES_tradnl"/>
        </w:rPr>
        <w:t>. Es posible que el</w:t>
      </w:r>
      <w:r w:rsidR="003A5714">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xml:space="preserve"> tenga más sensibilidad para los casos de extrapolación. La línea ajustada parece ser una mejor estimación de lo que podría suceder y la creciente incertidumbre refleja de forma más fiel la realidad.</w:t>
      </w:r>
    </w:p>
    <w:p w14:paraId="0634C64A" w14:textId="77777777" w:rsidR="00D63F86" w:rsidRPr="00192094" w:rsidRDefault="00D63F86" w:rsidP="00D63F86">
      <w:pPr>
        <w:rPr>
          <w:rFonts w:eastAsia="Calibri"/>
          <w:highlight w:val="yellow"/>
          <w:lang w:val="es-ES_tradnl"/>
        </w:rPr>
      </w:pPr>
    </w:p>
    <w:p w14:paraId="31A7A9D3" w14:textId="77777777" w:rsidR="00D63F86" w:rsidRPr="00192094" w:rsidRDefault="00D63F86" w:rsidP="00D63F86">
      <w:pPr>
        <w:rPr>
          <w:rFonts w:eastAsia="Calibri"/>
          <w:lang w:val="es-ES_tradnl"/>
        </w:rPr>
      </w:pPr>
    </w:p>
    <w:p w14:paraId="082ACC30" w14:textId="77777777" w:rsidR="00D63F86" w:rsidRPr="00192094" w:rsidRDefault="00D63F86" w:rsidP="00D63F86">
      <w:pPr>
        <w:pStyle w:val="Heading1"/>
        <w:rPr>
          <w:lang w:val="es-ES_tradnl"/>
        </w:rPr>
      </w:pPr>
      <w:bookmarkStart w:id="26" w:name="_Toc116941341"/>
      <w:r w:rsidRPr="00192094">
        <w:rPr>
          <w:lang w:val="es-ES_tradnl"/>
        </w:rPr>
        <w:t>Definición de extrapolación</w:t>
      </w:r>
      <w:bookmarkEnd w:id="26"/>
    </w:p>
    <w:p w14:paraId="6CE7FA51" w14:textId="77777777" w:rsidR="00D63F86" w:rsidRPr="00192094" w:rsidRDefault="00D63F86" w:rsidP="00D63F86">
      <w:pPr>
        <w:rPr>
          <w:rFonts w:eastAsia="Calibri"/>
          <w:lang w:val="es-ES_tradnl"/>
        </w:rPr>
      </w:pPr>
    </w:p>
    <w:p w14:paraId="1A7AEE10" w14:textId="0DFE7903" w:rsidR="00D63F86" w:rsidRPr="00192094" w:rsidRDefault="00D63F86" w:rsidP="00D63F86">
      <w:pPr>
        <w:numPr>
          <w:ilvl w:val="0"/>
          <w:numId w:val="1"/>
        </w:numPr>
        <w:contextualSpacing/>
        <w:rPr>
          <w:rFonts w:eastAsia="Calibri" w:cs="Arial"/>
          <w:lang w:val="es-ES_tradnl"/>
        </w:rPr>
      </w:pPr>
      <w:r w:rsidRPr="00192094">
        <w:rPr>
          <w:lang w:val="es-ES_tradnl"/>
        </w:rPr>
        <w:t>¿Cómo debemos definir la extrapolación en la práctica? Una definición estricta, en la que la puntuación de la variedad candidata queda fuera del rango de las variedades de referencia, incluso por una cantidad minúscula, podría llevar a un elevado número de casos que necesiten la consideración de un experto. En un estudio anterior presentado ante el</w:t>
      </w:r>
      <w:r w:rsidR="003A5714">
        <w:rPr>
          <w:lang w:val="es-ES_tradnl"/>
        </w:rPr>
        <w:t> </w:t>
      </w:r>
      <w:r w:rsidRPr="00192094">
        <w:rPr>
          <w:lang w:val="es-ES_tradnl"/>
        </w:rPr>
        <w:t>TWC (</w:t>
      </w:r>
      <w:hyperlink r:id="rId14" w:history="1">
        <w:r w:rsidRPr="00192094">
          <w:rPr>
            <w:color w:val="0563C1"/>
            <w:u w:val="single"/>
            <w:lang w:val="es-ES_tradnl"/>
          </w:rPr>
          <w:t>https://www.upov.int/edocs/mdocs/upov/en/twc_35/twc_35_6.pdf</w:t>
        </w:r>
      </w:hyperlink>
      <w:r w:rsidRPr="00192094">
        <w:rPr>
          <w:lang w:val="es-ES_tradnl"/>
        </w:rPr>
        <w:t>, véase la página</w:t>
      </w:r>
      <w:r w:rsidR="003A5714">
        <w:rPr>
          <w:lang w:val="es-ES_tradnl"/>
        </w:rPr>
        <w:t> </w:t>
      </w:r>
      <w:r w:rsidRPr="00192094">
        <w:rPr>
          <w:lang w:val="es-ES_tradnl"/>
        </w:rPr>
        <w:t xml:space="preserve">9 del anexo), los niveles de extrapolación estricta varían según el cultivo, siendo, por ejemplo, relativamente altos para </w:t>
      </w:r>
      <w:proofErr w:type="spellStart"/>
      <w:r w:rsidRPr="00192094">
        <w:rPr>
          <w:lang w:val="es-ES_tradnl"/>
        </w:rPr>
        <w:t>raygrás</w:t>
      </w:r>
      <w:proofErr w:type="spellEnd"/>
      <w:r w:rsidRPr="00192094">
        <w:rPr>
          <w:lang w:val="es-ES_tradnl"/>
        </w:rPr>
        <w:t xml:space="preserve"> inglés (13%) y bajos para la colza oleaginosa (1-2%).</w:t>
      </w:r>
    </w:p>
    <w:p w14:paraId="790BA05E" w14:textId="77777777" w:rsidR="00D63F86" w:rsidRPr="00192094" w:rsidRDefault="00D63F86" w:rsidP="00D63F86">
      <w:pPr>
        <w:ind w:left="360"/>
        <w:contextualSpacing/>
        <w:rPr>
          <w:rFonts w:eastAsia="Calibri" w:cs="Arial"/>
          <w:lang w:val="es-ES_tradnl"/>
        </w:rPr>
      </w:pPr>
    </w:p>
    <w:p w14:paraId="4E143E11" w14:textId="77777777" w:rsidR="00D63F86" w:rsidRPr="00192094" w:rsidRDefault="00D63F86" w:rsidP="00D63F86">
      <w:pPr>
        <w:numPr>
          <w:ilvl w:val="0"/>
          <w:numId w:val="1"/>
        </w:numPr>
        <w:contextualSpacing/>
        <w:rPr>
          <w:rFonts w:eastAsia="Calibri" w:cs="Arial"/>
          <w:lang w:val="es-ES_tradnl"/>
        </w:rPr>
      </w:pPr>
      <w:r w:rsidRPr="00192094">
        <w:rPr>
          <w:lang w:val="es-ES_tradnl"/>
        </w:rPr>
        <w:t>En el documento TWC/35/6, se proponen dos métodos para indicar el grado de extrapolación (párrafo 19). De conformidad con este documento, se adoptó el segundo de los dos métodos (19b) en el proyecto de orientación y en el código del programa informático desarrollado.</w:t>
      </w:r>
    </w:p>
    <w:p w14:paraId="799DFF31" w14:textId="77777777" w:rsidR="00D63F86" w:rsidRPr="00192094" w:rsidRDefault="00D63F86" w:rsidP="00D63F86">
      <w:pPr>
        <w:ind w:left="720"/>
        <w:contextualSpacing/>
        <w:rPr>
          <w:rFonts w:eastAsia="Calibri" w:cs="Arial"/>
          <w:lang w:val="es-ES_tradnl"/>
        </w:rPr>
      </w:pPr>
    </w:p>
    <w:p w14:paraId="3D540605" w14:textId="067B722B" w:rsidR="00D63F86" w:rsidRPr="00192094" w:rsidRDefault="00D63F86" w:rsidP="00D63F86">
      <w:pPr>
        <w:numPr>
          <w:ilvl w:val="0"/>
          <w:numId w:val="1"/>
        </w:numPr>
        <w:contextualSpacing/>
        <w:rPr>
          <w:rFonts w:eastAsia="Calibri" w:cs="Arial"/>
          <w:lang w:val="es-ES_tradnl"/>
        </w:rPr>
      </w:pPr>
      <w:r w:rsidRPr="00192094">
        <w:rPr>
          <w:lang w:val="es-ES_tradnl"/>
        </w:rPr>
        <w:t>El índice de extrapolación mide la inflación del criterio</w:t>
      </w:r>
      <w:r w:rsidR="003A5714">
        <w:rPr>
          <w:lang w:val="es-ES_tradnl"/>
        </w:rPr>
        <w:t> </w:t>
      </w:r>
      <w:r w:rsidRPr="00192094">
        <w:rPr>
          <w:lang w:val="es-ES_tradnl"/>
        </w:rPr>
        <w:t xml:space="preserve">COYU para la variedad candidata en cuestión, en comparación con la variedad de referencia más próxima. </w:t>
      </w:r>
    </w:p>
    <w:p w14:paraId="5B77B42C" w14:textId="77777777" w:rsidR="00D63F86" w:rsidRPr="00192094" w:rsidRDefault="00D63F86" w:rsidP="00D63F86">
      <w:pPr>
        <w:ind w:left="720"/>
        <w:contextualSpacing/>
        <w:rPr>
          <w:rFonts w:eastAsia="Calibri" w:cs="Arial"/>
          <w:lang w:val="es-ES_tradnl"/>
        </w:rPr>
      </w:pPr>
    </w:p>
    <w:p w14:paraId="1A47EB55" w14:textId="7AD71C44" w:rsidR="00D63F86" w:rsidRPr="00192094" w:rsidRDefault="00D63F86" w:rsidP="00D63F86">
      <w:pPr>
        <w:numPr>
          <w:ilvl w:val="0"/>
          <w:numId w:val="1"/>
        </w:numPr>
        <w:contextualSpacing/>
        <w:rPr>
          <w:rFonts w:eastAsia="Calibri" w:cs="Arial"/>
          <w:lang w:val="es-ES_tradnl"/>
        </w:rPr>
      </w:pPr>
      <w:r w:rsidRPr="00192094">
        <w:rPr>
          <w:lang w:val="es-ES_tradnl"/>
        </w:rPr>
        <w:t>Más en concreto, para cada año</w:t>
      </w:r>
      <w:r w:rsidR="00846FCE">
        <w:rPr>
          <w:lang w:val="es-ES_tradnl"/>
        </w:rPr>
        <w:t>/</w:t>
      </w:r>
      <w:r w:rsidRPr="00192094">
        <w:rPr>
          <w:lang w:val="es-ES_tradnl"/>
        </w:rPr>
        <w:t xml:space="preserve">ciclo, el índice de extrapolación es la relación entre las raíces cuadradas de los errores de predicción del </w:t>
      </w:r>
      <w:proofErr w:type="spellStart"/>
      <w:r w:rsidRPr="00192094">
        <w:rPr>
          <w:i/>
          <w:lang w:val="es-ES_tradnl"/>
        </w:rPr>
        <w:t>spline</w:t>
      </w:r>
      <w:proofErr w:type="spellEnd"/>
      <w:r w:rsidRPr="00192094">
        <w:rPr>
          <w:lang w:val="es-ES_tradnl"/>
        </w:rPr>
        <w:t xml:space="preserve"> y la variedad más cercana. Su valor es</w:t>
      </w:r>
      <w:r w:rsidR="003A5714">
        <w:rPr>
          <w:lang w:val="es-ES_tradnl"/>
        </w:rPr>
        <w:t> </w:t>
      </w:r>
      <w:r w:rsidRPr="00192094">
        <w:rPr>
          <w:lang w:val="es-ES_tradnl"/>
        </w:rPr>
        <w:t>1 cuando estrictamente no hay extrapolación y mayor que</w:t>
      </w:r>
      <w:r w:rsidR="003A5714">
        <w:rPr>
          <w:lang w:val="es-ES_tradnl"/>
        </w:rPr>
        <w:t> </w:t>
      </w:r>
      <w:r w:rsidRPr="00192094">
        <w:rPr>
          <w:lang w:val="es-ES_tradnl"/>
        </w:rPr>
        <w:t>1 cuando la variedad candidata está fuera del rango de las variedades de referencia. El valor aumenta con el grado de extrapolación. En el programa informático desarrollado, el máximo índice a lo largo de los años</w:t>
      </w:r>
      <w:r w:rsidR="00846FCE">
        <w:rPr>
          <w:lang w:val="es-ES_tradnl"/>
        </w:rPr>
        <w:t>/</w:t>
      </w:r>
      <w:r w:rsidRPr="00192094">
        <w:rPr>
          <w:lang w:val="es-ES_tradnl"/>
        </w:rPr>
        <w:t>ciclos se presenta como el índice de extrapolación global para la variedad candidata.</w:t>
      </w:r>
    </w:p>
    <w:p w14:paraId="541BCC35" w14:textId="77777777" w:rsidR="00D63F86" w:rsidRPr="00192094" w:rsidRDefault="00D63F86" w:rsidP="00D63F86">
      <w:pPr>
        <w:ind w:left="720"/>
        <w:contextualSpacing/>
        <w:rPr>
          <w:rFonts w:eastAsia="Calibri" w:cs="Arial"/>
          <w:lang w:val="es-ES_tradnl"/>
        </w:rPr>
      </w:pPr>
    </w:p>
    <w:p w14:paraId="4975ED29" w14:textId="52614020" w:rsidR="00D63F86" w:rsidRPr="00192094" w:rsidRDefault="00D63F86" w:rsidP="00D63F86">
      <w:pPr>
        <w:numPr>
          <w:ilvl w:val="0"/>
          <w:numId w:val="1"/>
        </w:numPr>
        <w:contextualSpacing/>
        <w:rPr>
          <w:rFonts w:eastAsia="Calibri" w:cs="Arial"/>
          <w:lang w:val="es-ES_tradnl"/>
        </w:rPr>
      </w:pPr>
      <w:r w:rsidRPr="00192094">
        <w:rPr>
          <w:lang w:val="es-ES_tradnl"/>
        </w:rPr>
        <w:lastRenderedPageBreak/>
        <w:t>En la figura</w:t>
      </w:r>
      <w:r w:rsidR="003A5714">
        <w:rPr>
          <w:lang w:val="es-ES_tradnl"/>
        </w:rPr>
        <w:t> </w:t>
      </w:r>
      <w:r w:rsidRPr="00192094">
        <w:rPr>
          <w:lang w:val="es-ES_tradnl"/>
        </w:rPr>
        <w:t xml:space="preserve">4 se observa cómo el índice de extrapolación aumenta al alejarse de las variedades de referencia. El índice crece más despacio cuantas más variedades de referencia hay. Esto refleja </w:t>
      </w:r>
      <w:r w:rsidR="00846FCE">
        <w:rPr>
          <w:lang w:val="es-ES_tradnl"/>
        </w:rPr>
        <w:t xml:space="preserve">el incremento de certidumbre en la estimación de </w:t>
      </w:r>
      <w:r w:rsidRPr="00192094">
        <w:rPr>
          <w:lang w:val="es-ES_tradnl"/>
        </w:rPr>
        <w:t>la tendenci</w:t>
      </w:r>
      <w:r w:rsidR="00846FCE">
        <w:rPr>
          <w:lang w:val="es-ES_tradnl"/>
        </w:rPr>
        <w:t>a</w:t>
      </w:r>
      <w:r w:rsidRPr="00192094">
        <w:rPr>
          <w:lang w:val="es-ES_trad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51"/>
      </w:tblGrid>
      <w:tr w:rsidR="00D63F86" w:rsidRPr="00192094" w14:paraId="05F2DF7F" w14:textId="77777777" w:rsidTr="00707306">
        <w:tc>
          <w:tcPr>
            <w:tcW w:w="4513" w:type="dxa"/>
          </w:tcPr>
          <w:p w14:paraId="4C182AEA" w14:textId="77777777" w:rsidR="00D63F86" w:rsidRPr="00192094" w:rsidRDefault="00D63F86" w:rsidP="00707306">
            <w:pPr>
              <w:rPr>
                <w:rFonts w:ascii="Calibri" w:hAnsi="Calibri"/>
                <w:lang w:val="es-ES_tradnl"/>
              </w:rPr>
            </w:pPr>
            <w:r w:rsidRPr="00192094">
              <w:rPr>
                <w:rFonts w:ascii="Calibri" w:hAnsi="Calibri"/>
                <w:noProof/>
                <w:lang w:val="en-US" w:eastAsia="ja-JP"/>
              </w:rPr>
              <w:drawing>
                <wp:inline distT="0" distB="0" distL="0" distR="0" wp14:anchorId="52361270" wp14:editId="7F6E2927">
                  <wp:extent cx="2879725" cy="288000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madeup_example_extrap_20obs.wmf"/>
                          <pic:cNvPicPr/>
                        </pic:nvPicPr>
                        <pic:blipFill rotWithShape="1">
                          <a:blip r:embed="rId15">
                            <a:extLst>
                              <a:ext uri="{28A0092B-C50C-407E-A947-70E740481C1C}">
                                <a14:useLocalDpi xmlns:a14="http://schemas.microsoft.com/office/drawing/2010/main" val="0"/>
                              </a:ext>
                            </a:extLst>
                          </a:blip>
                          <a:srcRect r="33857" b="33850"/>
                          <a:stretch/>
                        </pic:blipFill>
                        <pic:spPr bwMode="auto">
                          <a:xfrm>
                            <a:off x="0" y="0"/>
                            <a:ext cx="2883600" cy="2883875"/>
                          </a:xfrm>
                          <a:prstGeom prst="rect">
                            <a:avLst/>
                          </a:prstGeom>
                          <a:ln>
                            <a:noFill/>
                          </a:ln>
                          <a:extLst>
                            <a:ext uri="{53640926-AAD7-44D8-BBD7-CCE9431645EC}">
                              <a14:shadowObscured xmlns:a14="http://schemas.microsoft.com/office/drawing/2010/main"/>
                            </a:ext>
                          </a:extLst>
                        </pic:spPr>
                      </pic:pic>
                    </a:graphicData>
                  </a:graphic>
                </wp:inline>
              </w:drawing>
            </w:r>
          </w:p>
        </w:tc>
        <w:tc>
          <w:tcPr>
            <w:tcW w:w="4513" w:type="dxa"/>
          </w:tcPr>
          <w:p w14:paraId="563337DC" w14:textId="77777777" w:rsidR="00D63F86" w:rsidRPr="00192094" w:rsidRDefault="00D63F86" w:rsidP="00707306">
            <w:pPr>
              <w:rPr>
                <w:rFonts w:ascii="Calibri" w:hAnsi="Calibri"/>
                <w:lang w:val="es-ES_tradnl"/>
              </w:rPr>
            </w:pPr>
            <w:r w:rsidRPr="00192094">
              <w:rPr>
                <w:rFonts w:ascii="Calibri" w:hAnsi="Calibri"/>
                <w:noProof/>
                <w:lang w:val="en-US" w:eastAsia="ja-JP"/>
              </w:rPr>
              <w:drawing>
                <wp:inline distT="0" distB="0" distL="0" distR="0" wp14:anchorId="402DAE89" wp14:editId="338D90DE">
                  <wp:extent cx="2879725" cy="28800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madeup_example_extrap_50obs.wmf"/>
                          <pic:cNvPicPr/>
                        </pic:nvPicPr>
                        <pic:blipFill rotWithShape="1">
                          <a:blip r:embed="rId16">
                            <a:extLst>
                              <a:ext uri="{28A0092B-C50C-407E-A947-70E740481C1C}">
                                <a14:useLocalDpi xmlns:a14="http://schemas.microsoft.com/office/drawing/2010/main" val="0"/>
                              </a:ext>
                            </a:extLst>
                          </a:blip>
                          <a:srcRect r="33905" b="33899"/>
                          <a:stretch/>
                        </pic:blipFill>
                        <pic:spPr bwMode="auto">
                          <a:xfrm>
                            <a:off x="0" y="0"/>
                            <a:ext cx="2882184" cy="2882459"/>
                          </a:xfrm>
                          <a:prstGeom prst="rect">
                            <a:avLst/>
                          </a:prstGeom>
                          <a:ln>
                            <a:noFill/>
                          </a:ln>
                          <a:extLst>
                            <a:ext uri="{53640926-AAD7-44D8-BBD7-CCE9431645EC}">
                              <a14:shadowObscured xmlns:a14="http://schemas.microsoft.com/office/drawing/2010/main"/>
                            </a:ext>
                          </a:extLst>
                        </pic:spPr>
                      </pic:pic>
                    </a:graphicData>
                  </a:graphic>
                </wp:inline>
              </w:drawing>
            </w:r>
          </w:p>
        </w:tc>
      </w:tr>
      <w:tr w:rsidR="00D63F86" w:rsidRPr="00192094" w14:paraId="4522E61A" w14:textId="77777777" w:rsidTr="00707306">
        <w:tc>
          <w:tcPr>
            <w:tcW w:w="4513" w:type="dxa"/>
          </w:tcPr>
          <w:p w14:paraId="5174C62E" w14:textId="77777777" w:rsidR="00D63F86" w:rsidRPr="00192094" w:rsidRDefault="00D63F86" w:rsidP="00D63F86">
            <w:pPr>
              <w:numPr>
                <w:ilvl w:val="0"/>
                <w:numId w:val="2"/>
              </w:numPr>
              <w:contextualSpacing/>
              <w:jc w:val="left"/>
              <w:rPr>
                <w:rFonts w:ascii="Calibri" w:hAnsi="Calibri"/>
                <w:i/>
                <w:noProof/>
                <w:lang w:val="es-ES_tradnl"/>
              </w:rPr>
            </w:pPr>
            <w:r w:rsidRPr="00192094">
              <w:rPr>
                <w:rFonts w:ascii="Calibri" w:hAnsi="Calibri"/>
                <w:i/>
                <w:lang w:val="es-ES_tradnl"/>
              </w:rPr>
              <w:t>20 variedades de referencia</w:t>
            </w:r>
          </w:p>
        </w:tc>
        <w:tc>
          <w:tcPr>
            <w:tcW w:w="4513" w:type="dxa"/>
          </w:tcPr>
          <w:p w14:paraId="07E3B1A6" w14:textId="77777777" w:rsidR="00D63F86" w:rsidRPr="00192094" w:rsidRDefault="00D63F86" w:rsidP="00D63F86">
            <w:pPr>
              <w:numPr>
                <w:ilvl w:val="0"/>
                <w:numId w:val="2"/>
              </w:numPr>
              <w:contextualSpacing/>
              <w:jc w:val="left"/>
              <w:rPr>
                <w:rFonts w:ascii="Calibri" w:hAnsi="Calibri"/>
                <w:i/>
                <w:noProof/>
                <w:lang w:val="es-ES_tradnl"/>
              </w:rPr>
            </w:pPr>
            <w:r w:rsidRPr="00192094">
              <w:rPr>
                <w:rFonts w:ascii="Calibri" w:hAnsi="Calibri"/>
                <w:i/>
                <w:lang w:val="es-ES_tradnl"/>
              </w:rPr>
              <w:t>50 variedades de referencia</w:t>
            </w:r>
          </w:p>
        </w:tc>
      </w:tr>
    </w:tbl>
    <w:p w14:paraId="66E24125" w14:textId="77777777" w:rsidR="00D63F86" w:rsidRPr="00192094" w:rsidRDefault="00D63F86" w:rsidP="00D63F86">
      <w:pPr>
        <w:rPr>
          <w:rFonts w:eastAsia="Calibri"/>
          <w:lang w:val="es-ES_tradnl"/>
        </w:rPr>
      </w:pPr>
    </w:p>
    <w:p w14:paraId="10EA1025" w14:textId="75B7FD9D" w:rsidR="00D63F86" w:rsidRPr="00192094" w:rsidRDefault="00D63F86" w:rsidP="00D63F86">
      <w:pPr>
        <w:rPr>
          <w:rFonts w:eastAsia="Calibri" w:cs="Arial"/>
          <w:i/>
          <w:sz w:val="18"/>
          <w:szCs w:val="18"/>
          <w:lang w:val="es-ES_tradnl"/>
        </w:rPr>
      </w:pPr>
      <w:r w:rsidRPr="00192094">
        <w:rPr>
          <w:b/>
          <w:i/>
          <w:sz w:val="18"/>
          <w:szCs w:val="18"/>
          <w:lang w:val="es-ES_tradnl"/>
        </w:rPr>
        <w:t>Figura</w:t>
      </w:r>
      <w:r w:rsidR="00B92563">
        <w:rPr>
          <w:b/>
          <w:i/>
          <w:sz w:val="18"/>
          <w:szCs w:val="18"/>
          <w:lang w:val="es-ES_tradnl"/>
        </w:rPr>
        <w:t> </w:t>
      </w:r>
      <w:r w:rsidRPr="00192094">
        <w:rPr>
          <w:b/>
          <w:i/>
          <w:sz w:val="18"/>
          <w:szCs w:val="18"/>
          <w:lang w:val="es-ES_tradnl"/>
        </w:rPr>
        <w:t>4:</w:t>
      </w:r>
      <w:r w:rsidRPr="00192094">
        <w:rPr>
          <w:i/>
          <w:sz w:val="18"/>
          <w:szCs w:val="18"/>
          <w:lang w:val="es-ES_tradnl"/>
        </w:rPr>
        <w:t xml:space="preserve"> Dos ejemplos que muestran cómo el índice de extrapolación aumenta con la distancia a las variedades de referencia más externas Las líneas discontinuas verticales corresponden al índice de extrapolación, con valores entre</w:t>
      </w:r>
      <w:r w:rsidR="00B92563">
        <w:rPr>
          <w:i/>
          <w:sz w:val="18"/>
          <w:szCs w:val="18"/>
          <w:lang w:val="es-ES_tradnl"/>
        </w:rPr>
        <w:t> </w:t>
      </w:r>
      <w:r w:rsidRPr="00192094">
        <w:rPr>
          <w:i/>
          <w:sz w:val="18"/>
          <w:szCs w:val="18"/>
          <w:lang w:val="es-ES_tradnl"/>
        </w:rPr>
        <w:t>1,1 y</w:t>
      </w:r>
      <w:r w:rsidR="00B92563">
        <w:rPr>
          <w:i/>
          <w:sz w:val="18"/>
          <w:szCs w:val="18"/>
          <w:lang w:val="es-ES_tradnl"/>
        </w:rPr>
        <w:t> </w:t>
      </w:r>
      <w:r w:rsidRPr="00192094">
        <w:rPr>
          <w:i/>
          <w:sz w:val="18"/>
          <w:szCs w:val="18"/>
          <w:lang w:val="es-ES_tradnl"/>
        </w:rPr>
        <w:t>2,0. En a), hay 20</w:t>
      </w:r>
      <w:r w:rsidR="00B92563">
        <w:rPr>
          <w:i/>
          <w:sz w:val="18"/>
          <w:szCs w:val="18"/>
          <w:lang w:val="es-ES_tradnl"/>
        </w:rPr>
        <w:t> </w:t>
      </w:r>
      <w:r w:rsidRPr="00192094">
        <w:rPr>
          <w:i/>
          <w:sz w:val="18"/>
          <w:szCs w:val="18"/>
          <w:lang w:val="es-ES_tradnl"/>
        </w:rPr>
        <w:t>variedades de referencia y en b) hay 50</w:t>
      </w:r>
    </w:p>
    <w:p w14:paraId="7E7A1DE6" w14:textId="77777777" w:rsidR="00D63F86" w:rsidRPr="00192094" w:rsidRDefault="00D63F86" w:rsidP="00D63F86">
      <w:pPr>
        <w:rPr>
          <w:rFonts w:eastAsia="Calibri"/>
          <w:lang w:val="es-ES_tradnl"/>
        </w:rPr>
      </w:pPr>
    </w:p>
    <w:p w14:paraId="2DDA052E" w14:textId="77777777" w:rsidR="00D63F86" w:rsidRPr="00192094" w:rsidRDefault="00D63F86" w:rsidP="00D63F86">
      <w:pPr>
        <w:rPr>
          <w:rFonts w:eastAsia="Calibri"/>
          <w:lang w:val="es-ES_tradnl"/>
        </w:rPr>
      </w:pPr>
    </w:p>
    <w:p w14:paraId="20057CAC" w14:textId="297E16AD" w:rsidR="00D63F86" w:rsidRPr="00192094" w:rsidRDefault="00D63F86" w:rsidP="00D63F86">
      <w:pPr>
        <w:numPr>
          <w:ilvl w:val="0"/>
          <w:numId w:val="1"/>
        </w:numPr>
        <w:contextualSpacing/>
        <w:rPr>
          <w:rFonts w:eastAsia="Calibri" w:cs="Arial"/>
          <w:lang w:val="es-ES_tradnl"/>
        </w:rPr>
      </w:pPr>
      <w:r w:rsidRPr="00192094">
        <w:rPr>
          <w:lang w:val="es-ES_tradnl"/>
        </w:rPr>
        <w:t>Proponemos que se establezca un umbral para el índice de extrapolación, de modo que no se use el</w:t>
      </w:r>
      <w:r w:rsidR="00B92563">
        <w:rPr>
          <w:lang w:val="es-ES_tradnl"/>
        </w:rPr>
        <w:t> </w:t>
      </w:r>
      <w:r w:rsidRPr="00192094">
        <w:rPr>
          <w:lang w:val="es-ES_tradnl"/>
        </w:rPr>
        <w:t>COYU si se supera este umbral. La elección del umbral es subjetiva y requiere equilibrar los aspectos prácticos que supone tener demasiados casos con extrapolación y la necesidad de tomar decisiones bien fundamentadas. Sería ventajoso acordar un umbral fijo para su uso en el</w:t>
      </w:r>
      <w:r w:rsidR="00B92563">
        <w:rPr>
          <w:lang w:val="es-ES_tradnl"/>
        </w:rPr>
        <w:t> </w:t>
      </w:r>
      <w:r w:rsidRPr="00192094">
        <w:rPr>
          <w:lang w:val="es-ES_tradnl"/>
        </w:rPr>
        <w:t>COYU, para lo que es necesario mantener debates.</w:t>
      </w:r>
    </w:p>
    <w:p w14:paraId="0D8C867D" w14:textId="77777777" w:rsidR="00D63F86" w:rsidRPr="00192094" w:rsidRDefault="00D63F86" w:rsidP="00D63F86">
      <w:pPr>
        <w:rPr>
          <w:rFonts w:eastAsia="Calibri" w:cs="Arial"/>
          <w:lang w:val="es-ES_tradnl"/>
        </w:rPr>
      </w:pPr>
    </w:p>
    <w:p w14:paraId="63101F22" w14:textId="45BD0659" w:rsidR="00D63F86" w:rsidRPr="00192094" w:rsidRDefault="00D63F86" w:rsidP="00D63F86">
      <w:pPr>
        <w:numPr>
          <w:ilvl w:val="0"/>
          <w:numId w:val="1"/>
        </w:numPr>
        <w:contextualSpacing/>
        <w:rPr>
          <w:rFonts w:eastAsia="Calibri" w:cs="Arial"/>
          <w:lang w:val="es-ES_tradnl"/>
        </w:rPr>
      </w:pPr>
      <w:r w:rsidRPr="00192094">
        <w:rPr>
          <w:lang w:val="es-ES_tradnl"/>
        </w:rPr>
        <w:t>Como parte de un estudio realizado recientemente en el</w:t>
      </w:r>
      <w:r w:rsidR="00B92563">
        <w:rPr>
          <w:lang w:val="es-ES_tradnl"/>
        </w:rPr>
        <w:t> </w:t>
      </w:r>
      <w:r w:rsidRPr="00192094">
        <w:rPr>
          <w:lang w:val="es-ES_tradnl"/>
        </w:rPr>
        <w:t>Reino</w:t>
      </w:r>
      <w:r w:rsidR="00B92563">
        <w:rPr>
          <w:lang w:val="es-ES_tradnl"/>
        </w:rPr>
        <w:t> </w:t>
      </w:r>
      <w:r w:rsidRPr="00192094">
        <w:rPr>
          <w:lang w:val="es-ES_tradnl"/>
        </w:rPr>
        <w:t>Unido en el que se comparan los métodos antiguo y nuevo del</w:t>
      </w:r>
      <w:r w:rsidR="0072205F">
        <w:rPr>
          <w:lang w:val="es-ES_tradnl"/>
        </w:rPr>
        <w:t> </w:t>
      </w:r>
      <w:r w:rsidRPr="00192094">
        <w:rPr>
          <w:lang w:val="es-ES_tradnl"/>
        </w:rPr>
        <w:t>COYU, se incluye un análisis de cómo los diferentes umbrales del índice de extrapolación afectan al número de casos identificados. El estudio abarca tres años de resultados, en cuatro subgrupos de</w:t>
      </w:r>
      <w:r w:rsidR="00192094">
        <w:rPr>
          <w:lang w:val="es-ES_tradnl"/>
        </w:rPr>
        <w:t xml:space="preserve"> </w:t>
      </w:r>
      <w:proofErr w:type="spellStart"/>
      <w:r w:rsidR="00192094">
        <w:rPr>
          <w:lang w:val="es-ES_tradnl"/>
        </w:rPr>
        <w:t>raygrás</w:t>
      </w:r>
      <w:proofErr w:type="spellEnd"/>
      <w:r w:rsidRPr="00192094">
        <w:rPr>
          <w:lang w:val="es-ES_tradnl"/>
        </w:rPr>
        <w:t xml:space="preserve"> inglés.</w:t>
      </w:r>
    </w:p>
    <w:p w14:paraId="7C873E41" w14:textId="77777777" w:rsidR="00D63F86" w:rsidRPr="00192094" w:rsidRDefault="00D63F86" w:rsidP="00D63F86">
      <w:pPr>
        <w:ind w:left="720"/>
        <w:contextualSpacing/>
        <w:rPr>
          <w:rFonts w:eastAsia="Calibri" w:cs="Arial"/>
          <w:lang w:val="es-ES_tradnl"/>
        </w:rPr>
      </w:pPr>
    </w:p>
    <w:p w14:paraId="6B6C3AD2" w14:textId="148B4E82" w:rsidR="00D63F86" w:rsidRPr="00192094" w:rsidRDefault="00D63F86" w:rsidP="00D63F86">
      <w:pPr>
        <w:numPr>
          <w:ilvl w:val="0"/>
          <w:numId w:val="1"/>
        </w:numPr>
        <w:spacing w:after="160" w:line="259" w:lineRule="auto"/>
        <w:contextualSpacing/>
        <w:rPr>
          <w:rFonts w:eastAsia="Calibri" w:cs="Arial"/>
          <w:i/>
          <w:lang w:val="es-ES_tradnl"/>
        </w:rPr>
      </w:pPr>
      <w:r w:rsidRPr="00192094">
        <w:rPr>
          <w:lang w:val="es-ES_tradnl"/>
        </w:rPr>
        <w:t xml:space="preserve">En el estudio del </w:t>
      </w:r>
      <w:proofErr w:type="spellStart"/>
      <w:r w:rsidR="00846FCE">
        <w:rPr>
          <w:lang w:val="es-ES_tradnl"/>
        </w:rPr>
        <w:t>raygrás</w:t>
      </w:r>
      <w:proofErr w:type="spellEnd"/>
      <w:r w:rsidRPr="00192094">
        <w:rPr>
          <w:lang w:val="es-ES_tradnl"/>
        </w:rPr>
        <w:t xml:space="preserve">, se </w:t>
      </w:r>
      <w:r w:rsidR="00846FCE">
        <w:rPr>
          <w:lang w:val="es-ES_tradnl"/>
        </w:rPr>
        <w:t>consideraron</w:t>
      </w:r>
      <w:r w:rsidRPr="00192094">
        <w:rPr>
          <w:lang w:val="es-ES_tradnl"/>
        </w:rPr>
        <w:t xml:space="preserve"> 4640</w:t>
      </w:r>
      <w:r w:rsidR="00EE5663">
        <w:rPr>
          <w:lang w:val="es-ES_tradnl"/>
        </w:rPr>
        <w:t> </w:t>
      </w:r>
      <w:r w:rsidRPr="00192094">
        <w:rPr>
          <w:lang w:val="es-ES_tradnl"/>
        </w:rPr>
        <w:t>casos en total (número de variedades candidatas multiplicado por las combinaciones de caracteres) y 105</w:t>
      </w:r>
      <w:r w:rsidR="00EE5663">
        <w:rPr>
          <w:lang w:val="es-ES_tradnl"/>
        </w:rPr>
        <w:t> </w:t>
      </w:r>
      <w:r w:rsidRPr="00192094">
        <w:rPr>
          <w:lang w:val="es-ES_tradnl"/>
        </w:rPr>
        <w:t>variedades candidatas. La Tabla</w:t>
      </w:r>
      <w:r w:rsidR="00EE5663">
        <w:rPr>
          <w:lang w:val="es-ES_tradnl"/>
        </w:rPr>
        <w:t> </w:t>
      </w:r>
      <w:r w:rsidRPr="00192094">
        <w:rPr>
          <w:lang w:val="es-ES_tradnl"/>
        </w:rPr>
        <w:t xml:space="preserve">1 muestra que el número de casos depende del umbral adoptado. Obsérvese que incluso solo un 1% de casos supondría un número considerable de casos que tienen que </w:t>
      </w:r>
      <w:r w:rsidR="00846FCE">
        <w:rPr>
          <w:lang w:val="es-ES_tradnl"/>
        </w:rPr>
        <w:t xml:space="preserve">ser </w:t>
      </w:r>
      <w:r w:rsidRPr="00192094">
        <w:rPr>
          <w:lang w:val="es-ES_tradnl"/>
        </w:rPr>
        <w:t>examina</w:t>
      </w:r>
      <w:r w:rsidR="00846FCE">
        <w:rPr>
          <w:lang w:val="es-ES_tradnl"/>
        </w:rPr>
        <w:t>dos</w:t>
      </w:r>
      <w:r w:rsidRPr="00192094">
        <w:rPr>
          <w:lang w:val="es-ES_tradnl"/>
        </w:rPr>
        <w:t xml:space="preserve"> con más detenimiento (46</w:t>
      </w:r>
      <w:r w:rsidR="00EE5663">
        <w:rPr>
          <w:lang w:val="es-ES_tradnl"/>
        </w:rPr>
        <w:t> </w:t>
      </w:r>
      <w:r w:rsidRPr="00192094">
        <w:rPr>
          <w:lang w:val="es-ES_tradnl"/>
        </w:rPr>
        <w:t>en este ejemplo).</w:t>
      </w:r>
    </w:p>
    <w:p w14:paraId="32198A31" w14:textId="77777777" w:rsidR="00D63F86" w:rsidRPr="00192094" w:rsidRDefault="00D63F86" w:rsidP="00D63F86">
      <w:pPr>
        <w:rPr>
          <w:rFonts w:eastAsia="Calibri"/>
          <w:lang w:val="es-ES_tradnl"/>
        </w:rPr>
      </w:pPr>
    </w:p>
    <w:p w14:paraId="18D7560A" w14:textId="423E59DC" w:rsidR="00D63F86" w:rsidRPr="00192094" w:rsidRDefault="00D63F86" w:rsidP="00D63F86">
      <w:pPr>
        <w:spacing w:after="160" w:line="259" w:lineRule="auto"/>
        <w:contextualSpacing/>
        <w:rPr>
          <w:rFonts w:eastAsia="Calibri" w:cs="Arial"/>
          <w:i/>
          <w:lang w:val="es-ES_tradnl"/>
        </w:rPr>
      </w:pPr>
      <w:r w:rsidRPr="00192094">
        <w:rPr>
          <w:b/>
          <w:i/>
          <w:lang w:val="es-ES_tradnl"/>
        </w:rPr>
        <w:t>Tabla</w:t>
      </w:r>
      <w:r w:rsidR="00EE5663">
        <w:rPr>
          <w:b/>
          <w:i/>
          <w:lang w:val="es-ES_tradnl"/>
        </w:rPr>
        <w:t> </w:t>
      </w:r>
      <w:r w:rsidRPr="00192094">
        <w:rPr>
          <w:b/>
          <w:i/>
          <w:lang w:val="es-ES_tradnl"/>
        </w:rPr>
        <w:t>1:</w:t>
      </w:r>
      <w:r w:rsidRPr="00192094">
        <w:rPr>
          <w:i/>
          <w:lang w:val="es-ES_tradnl"/>
        </w:rPr>
        <w:t xml:space="preserve"> Número de casos y de variedades candidatas afectadas por la extrapolación con distintos umbrales</w:t>
      </w:r>
    </w:p>
    <w:p w14:paraId="180C881D" w14:textId="77777777" w:rsidR="00D63F86" w:rsidRPr="00192094" w:rsidRDefault="00D63F86" w:rsidP="00D63F86">
      <w:pPr>
        <w:rPr>
          <w:rFonts w:eastAsia="Calibri"/>
          <w:lang w:val="es-ES_tradnl"/>
        </w:rPr>
      </w:pPr>
    </w:p>
    <w:tbl>
      <w:tblPr>
        <w:tblStyle w:val="PlainTable51"/>
        <w:tblW w:w="0" w:type="auto"/>
        <w:tblLook w:val="04A0" w:firstRow="1" w:lastRow="0" w:firstColumn="1" w:lastColumn="0" w:noHBand="0" w:noVBand="1"/>
      </w:tblPr>
      <w:tblGrid>
        <w:gridCol w:w="3005"/>
        <w:gridCol w:w="3005"/>
        <w:gridCol w:w="3006"/>
      </w:tblGrid>
      <w:tr w:rsidR="00D63F86" w:rsidRPr="00192094" w14:paraId="086130D8" w14:textId="77777777" w:rsidTr="0070730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005" w:type="dxa"/>
          </w:tcPr>
          <w:p w14:paraId="33CE8924" w14:textId="77777777" w:rsidR="00D63F86" w:rsidRPr="00192094" w:rsidRDefault="00D63F86" w:rsidP="00EE5663">
            <w:pPr>
              <w:jc w:val="left"/>
              <w:rPr>
                <w:rFonts w:ascii="Calibri Light" w:hAnsi="Calibri Light"/>
                <w:sz w:val="22"/>
                <w:lang w:val="es-ES_tradnl"/>
              </w:rPr>
            </w:pPr>
            <w:r w:rsidRPr="00192094">
              <w:rPr>
                <w:rFonts w:ascii="Calibri Light" w:hAnsi="Calibri Light"/>
                <w:sz w:val="22"/>
                <w:lang w:val="es-ES_tradnl"/>
              </w:rPr>
              <w:t>Umbral del índice de extrapolación</w:t>
            </w:r>
          </w:p>
        </w:tc>
        <w:tc>
          <w:tcPr>
            <w:tcW w:w="3005" w:type="dxa"/>
          </w:tcPr>
          <w:p w14:paraId="1570044B" w14:textId="77777777" w:rsidR="00D63F86" w:rsidRPr="00192094" w:rsidRDefault="00D63F86" w:rsidP="00707306">
            <w:pPr>
              <w:cnfStyle w:val="100000000000" w:firstRow="1" w:lastRow="0" w:firstColumn="0" w:lastColumn="0" w:oddVBand="0" w:evenVBand="0" w:oddHBand="0" w:evenHBand="0" w:firstRowFirstColumn="0" w:firstRowLastColumn="0" w:lastRowFirstColumn="0" w:lastRowLastColumn="0"/>
              <w:rPr>
                <w:rFonts w:ascii="Calibri Light" w:hAnsi="Calibri Light"/>
                <w:sz w:val="22"/>
                <w:lang w:val="es-ES_tradnl"/>
              </w:rPr>
            </w:pPr>
            <w:r w:rsidRPr="00192094">
              <w:rPr>
                <w:rFonts w:ascii="Calibri Light" w:hAnsi="Calibri Light"/>
                <w:sz w:val="22"/>
                <w:lang w:val="es-ES_tradnl"/>
              </w:rPr>
              <w:t>Casos con extrapolación</w:t>
            </w:r>
          </w:p>
        </w:tc>
        <w:tc>
          <w:tcPr>
            <w:tcW w:w="3006" w:type="dxa"/>
          </w:tcPr>
          <w:p w14:paraId="05617F66" w14:textId="77777777" w:rsidR="00D63F86" w:rsidRPr="00192094" w:rsidRDefault="00D63F86" w:rsidP="00707306">
            <w:pPr>
              <w:cnfStyle w:val="100000000000" w:firstRow="1" w:lastRow="0" w:firstColumn="0" w:lastColumn="0" w:oddVBand="0" w:evenVBand="0" w:oddHBand="0" w:evenHBand="0" w:firstRowFirstColumn="0" w:firstRowLastColumn="0" w:lastRowFirstColumn="0" w:lastRowLastColumn="0"/>
              <w:rPr>
                <w:rFonts w:ascii="Calibri Light" w:hAnsi="Calibri Light"/>
                <w:sz w:val="22"/>
                <w:lang w:val="es-ES_tradnl"/>
              </w:rPr>
            </w:pPr>
            <w:r w:rsidRPr="00192094">
              <w:rPr>
                <w:rFonts w:ascii="Calibri Light" w:hAnsi="Calibri Light"/>
                <w:sz w:val="22"/>
                <w:lang w:val="es-ES_tradnl"/>
              </w:rPr>
              <w:t>Candidatas con extrapolación en algún carácter</w:t>
            </w:r>
          </w:p>
        </w:tc>
      </w:tr>
      <w:tr w:rsidR="00D63F86" w:rsidRPr="00192094" w14:paraId="7B711AF7" w14:textId="77777777" w:rsidTr="0070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39B7835" w14:textId="77777777" w:rsidR="00D63F86" w:rsidRPr="00192094" w:rsidRDefault="00D63F86" w:rsidP="00707306">
            <w:pPr>
              <w:rPr>
                <w:rFonts w:ascii="Calibri Light" w:hAnsi="Calibri Light"/>
                <w:sz w:val="22"/>
                <w:lang w:val="es-ES_tradnl"/>
              </w:rPr>
            </w:pPr>
            <w:r w:rsidRPr="00192094">
              <w:rPr>
                <w:rFonts w:ascii="Calibri Light" w:hAnsi="Calibri Light"/>
                <w:sz w:val="22"/>
                <w:lang w:val="es-ES_tradnl"/>
              </w:rPr>
              <w:t>1 (= extrapolación estricta)</w:t>
            </w:r>
          </w:p>
        </w:tc>
        <w:tc>
          <w:tcPr>
            <w:tcW w:w="3005" w:type="dxa"/>
          </w:tcPr>
          <w:p w14:paraId="4E5F4366" w14:textId="77777777" w:rsidR="00D63F86" w:rsidRPr="00192094" w:rsidRDefault="00D63F86" w:rsidP="00707306">
            <w:pPr>
              <w:jc w:val="center"/>
              <w:cnfStyle w:val="000000100000" w:firstRow="0" w:lastRow="0" w:firstColumn="0" w:lastColumn="0" w:oddVBand="0" w:evenVBand="0" w:oddHBand="1" w:evenHBand="0" w:firstRowFirstColumn="0" w:firstRowLastColumn="0" w:lastRowFirstColumn="0" w:lastRowLastColumn="0"/>
              <w:rPr>
                <w:rFonts w:ascii="Calibri" w:hAnsi="Calibri"/>
                <w:lang w:val="es-ES_tradnl"/>
              </w:rPr>
            </w:pPr>
            <w:r w:rsidRPr="00192094">
              <w:rPr>
                <w:rFonts w:ascii="Calibri" w:hAnsi="Calibri"/>
                <w:lang w:val="es-ES_tradnl"/>
              </w:rPr>
              <w:t>8,4%</w:t>
            </w:r>
          </w:p>
        </w:tc>
        <w:tc>
          <w:tcPr>
            <w:tcW w:w="3006" w:type="dxa"/>
          </w:tcPr>
          <w:p w14:paraId="37A97819" w14:textId="77777777" w:rsidR="00D63F86" w:rsidRPr="00192094" w:rsidRDefault="00D63F86" w:rsidP="00707306">
            <w:pPr>
              <w:jc w:val="center"/>
              <w:cnfStyle w:val="000000100000" w:firstRow="0" w:lastRow="0" w:firstColumn="0" w:lastColumn="0" w:oddVBand="0" w:evenVBand="0" w:oddHBand="1" w:evenHBand="0" w:firstRowFirstColumn="0" w:firstRowLastColumn="0" w:lastRowFirstColumn="0" w:lastRowLastColumn="0"/>
              <w:rPr>
                <w:rFonts w:ascii="Calibri" w:hAnsi="Calibri"/>
                <w:lang w:val="es-ES_tradnl"/>
              </w:rPr>
            </w:pPr>
            <w:r w:rsidRPr="00192094">
              <w:rPr>
                <w:rFonts w:ascii="Calibri" w:hAnsi="Calibri"/>
                <w:lang w:val="es-ES_tradnl"/>
              </w:rPr>
              <w:t>67%</w:t>
            </w:r>
          </w:p>
        </w:tc>
      </w:tr>
      <w:tr w:rsidR="00D63F86" w:rsidRPr="00192094" w14:paraId="7E1C1E24" w14:textId="77777777" w:rsidTr="00707306">
        <w:tc>
          <w:tcPr>
            <w:cnfStyle w:val="001000000000" w:firstRow="0" w:lastRow="0" w:firstColumn="1" w:lastColumn="0" w:oddVBand="0" w:evenVBand="0" w:oddHBand="0" w:evenHBand="0" w:firstRowFirstColumn="0" w:firstRowLastColumn="0" w:lastRowFirstColumn="0" w:lastRowLastColumn="0"/>
            <w:tcW w:w="3005" w:type="dxa"/>
          </w:tcPr>
          <w:p w14:paraId="3D24654D" w14:textId="77777777" w:rsidR="00D63F86" w:rsidRPr="00192094" w:rsidRDefault="00D63F86" w:rsidP="00707306">
            <w:pPr>
              <w:rPr>
                <w:rFonts w:ascii="Calibri Light" w:hAnsi="Calibri Light"/>
                <w:sz w:val="22"/>
                <w:lang w:val="es-ES_tradnl"/>
              </w:rPr>
            </w:pPr>
            <w:r w:rsidRPr="00192094">
              <w:rPr>
                <w:rFonts w:ascii="Calibri Light" w:hAnsi="Calibri Light"/>
                <w:sz w:val="22"/>
                <w:lang w:val="es-ES_tradnl"/>
              </w:rPr>
              <w:t>1,1</w:t>
            </w:r>
          </w:p>
        </w:tc>
        <w:tc>
          <w:tcPr>
            <w:tcW w:w="3005" w:type="dxa"/>
          </w:tcPr>
          <w:p w14:paraId="384F0048" w14:textId="77777777" w:rsidR="00D63F86" w:rsidRPr="00192094" w:rsidRDefault="00D63F86" w:rsidP="00707306">
            <w:pPr>
              <w:jc w:val="center"/>
              <w:cnfStyle w:val="000000000000" w:firstRow="0" w:lastRow="0" w:firstColumn="0" w:lastColumn="0" w:oddVBand="0" w:evenVBand="0" w:oddHBand="0" w:evenHBand="0" w:firstRowFirstColumn="0" w:firstRowLastColumn="0" w:lastRowFirstColumn="0" w:lastRowLastColumn="0"/>
              <w:rPr>
                <w:rFonts w:ascii="Calibri" w:hAnsi="Calibri"/>
                <w:lang w:val="es-ES_tradnl"/>
              </w:rPr>
            </w:pPr>
            <w:r w:rsidRPr="00192094">
              <w:rPr>
                <w:rFonts w:ascii="Calibri" w:hAnsi="Calibri"/>
                <w:lang w:val="es-ES_tradnl"/>
              </w:rPr>
              <w:t>3,8%</w:t>
            </w:r>
          </w:p>
        </w:tc>
        <w:tc>
          <w:tcPr>
            <w:tcW w:w="3006" w:type="dxa"/>
          </w:tcPr>
          <w:p w14:paraId="49CAA4AB" w14:textId="77777777" w:rsidR="00D63F86" w:rsidRPr="00192094" w:rsidRDefault="00D63F86" w:rsidP="00707306">
            <w:pPr>
              <w:jc w:val="center"/>
              <w:cnfStyle w:val="000000000000" w:firstRow="0" w:lastRow="0" w:firstColumn="0" w:lastColumn="0" w:oddVBand="0" w:evenVBand="0" w:oddHBand="0" w:evenHBand="0" w:firstRowFirstColumn="0" w:firstRowLastColumn="0" w:lastRowFirstColumn="0" w:lastRowLastColumn="0"/>
              <w:rPr>
                <w:rFonts w:ascii="Calibri" w:hAnsi="Calibri"/>
                <w:lang w:val="es-ES_tradnl"/>
              </w:rPr>
            </w:pPr>
            <w:r w:rsidRPr="00192094">
              <w:rPr>
                <w:rFonts w:ascii="Calibri" w:hAnsi="Calibri"/>
                <w:lang w:val="es-ES_tradnl"/>
              </w:rPr>
              <w:t>38%</w:t>
            </w:r>
          </w:p>
        </w:tc>
      </w:tr>
      <w:tr w:rsidR="00D63F86" w:rsidRPr="00192094" w14:paraId="1CDC3A05" w14:textId="77777777" w:rsidTr="0070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7BD4C1C" w14:textId="77777777" w:rsidR="00D63F86" w:rsidRPr="00192094" w:rsidRDefault="00D63F86" w:rsidP="00707306">
            <w:pPr>
              <w:rPr>
                <w:rFonts w:ascii="Calibri Light" w:hAnsi="Calibri Light"/>
                <w:sz w:val="22"/>
                <w:lang w:val="es-ES_tradnl"/>
              </w:rPr>
            </w:pPr>
            <w:r w:rsidRPr="00192094">
              <w:rPr>
                <w:rFonts w:ascii="Calibri Light" w:hAnsi="Calibri Light"/>
                <w:sz w:val="22"/>
                <w:lang w:val="es-ES_tradnl"/>
              </w:rPr>
              <w:t>1,2</w:t>
            </w:r>
          </w:p>
        </w:tc>
        <w:tc>
          <w:tcPr>
            <w:tcW w:w="3005" w:type="dxa"/>
          </w:tcPr>
          <w:p w14:paraId="541D798E" w14:textId="77777777" w:rsidR="00D63F86" w:rsidRPr="00192094" w:rsidRDefault="00D63F86" w:rsidP="00707306">
            <w:pPr>
              <w:jc w:val="center"/>
              <w:cnfStyle w:val="000000100000" w:firstRow="0" w:lastRow="0" w:firstColumn="0" w:lastColumn="0" w:oddVBand="0" w:evenVBand="0" w:oddHBand="1" w:evenHBand="0" w:firstRowFirstColumn="0" w:firstRowLastColumn="0" w:lastRowFirstColumn="0" w:lastRowLastColumn="0"/>
              <w:rPr>
                <w:rFonts w:ascii="Calibri" w:hAnsi="Calibri"/>
                <w:lang w:val="es-ES_tradnl"/>
              </w:rPr>
            </w:pPr>
            <w:r w:rsidRPr="00192094">
              <w:rPr>
                <w:rFonts w:ascii="Calibri" w:hAnsi="Calibri"/>
                <w:lang w:val="es-ES_tradnl"/>
              </w:rPr>
              <w:t>2,3%</w:t>
            </w:r>
          </w:p>
        </w:tc>
        <w:tc>
          <w:tcPr>
            <w:tcW w:w="3006" w:type="dxa"/>
          </w:tcPr>
          <w:p w14:paraId="09CD1CF3" w14:textId="77777777" w:rsidR="00D63F86" w:rsidRPr="00192094" w:rsidRDefault="00D63F86" w:rsidP="00707306">
            <w:pPr>
              <w:jc w:val="center"/>
              <w:cnfStyle w:val="000000100000" w:firstRow="0" w:lastRow="0" w:firstColumn="0" w:lastColumn="0" w:oddVBand="0" w:evenVBand="0" w:oddHBand="1" w:evenHBand="0" w:firstRowFirstColumn="0" w:firstRowLastColumn="0" w:lastRowFirstColumn="0" w:lastRowLastColumn="0"/>
              <w:rPr>
                <w:rFonts w:ascii="Calibri" w:hAnsi="Calibri"/>
                <w:lang w:val="es-ES_tradnl"/>
              </w:rPr>
            </w:pPr>
            <w:r w:rsidRPr="00192094">
              <w:rPr>
                <w:rFonts w:ascii="Calibri" w:hAnsi="Calibri"/>
                <w:lang w:val="es-ES_tradnl"/>
              </w:rPr>
              <w:t>30%</w:t>
            </w:r>
          </w:p>
        </w:tc>
      </w:tr>
      <w:tr w:rsidR="00D63F86" w:rsidRPr="00192094" w14:paraId="128880EE" w14:textId="77777777" w:rsidTr="00707306">
        <w:tc>
          <w:tcPr>
            <w:cnfStyle w:val="001000000000" w:firstRow="0" w:lastRow="0" w:firstColumn="1" w:lastColumn="0" w:oddVBand="0" w:evenVBand="0" w:oddHBand="0" w:evenHBand="0" w:firstRowFirstColumn="0" w:firstRowLastColumn="0" w:lastRowFirstColumn="0" w:lastRowLastColumn="0"/>
            <w:tcW w:w="3005" w:type="dxa"/>
          </w:tcPr>
          <w:p w14:paraId="47AA9DF2" w14:textId="77777777" w:rsidR="00D63F86" w:rsidRPr="00192094" w:rsidRDefault="00D63F86" w:rsidP="00707306">
            <w:pPr>
              <w:rPr>
                <w:rFonts w:ascii="Calibri Light" w:hAnsi="Calibri Light"/>
                <w:sz w:val="22"/>
                <w:lang w:val="es-ES_tradnl"/>
              </w:rPr>
            </w:pPr>
            <w:r w:rsidRPr="00192094">
              <w:rPr>
                <w:rFonts w:ascii="Calibri Light" w:hAnsi="Calibri Light"/>
                <w:sz w:val="22"/>
                <w:lang w:val="es-ES_tradnl"/>
              </w:rPr>
              <w:t>1,3</w:t>
            </w:r>
          </w:p>
        </w:tc>
        <w:tc>
          <w:tcPr>
            <w:tcW w:w="3005" w:type="dxa"/>
          </w:tcPr>
          <w:p w14:paraId="777A155E" w14:textId="77777777" w:rsidR="00D63F86" w:rsidRPr="00192094" w:rsidRDefault="00D63F86" w:rsidP="00707306">
            <w:pPr>
              <w:jc w:val="center"/>
              <w:cnfStyle w:val="000000000000" w:firstRow="0" w:lastRow="0" w:firstColumn="0" w:lastColumn="0" w:oddVBand="0" w:evenVBand="0" w:oddHBand="0" w:evenHBand="0" w:firstRowFirstColumn="0" w:firstRowLastColumn="0" w:lastRowFirstColumn="0" w:lastRowLastColumn="0"/>
              <w:rPr>
                <w:rFonts w:ascii="Calibri" w:hAnsi="Calibri"/>
                <w:lang w:val="es-ES_tradnl"/>
              </w:rPr>
            </w:pPr>
            <w:r w:rsidRPr="00192094">
              <w:rPr>
                <w:rFonts w:ascii="Calibri" w:hAnsi="Calibri"/>
                <w:lang w:val="es-ES_tradnl"/>
              </w:rPr>
              <w:t>1,5%</w:t>
            </w:r>
          </w:p>
        </w:tc>
        <w:tc>
          <w:tcPr>
            <w:tcW w:w="3006" w:type="dxa"/>
          </w:tcPr>
          <w:p w14:paraId="2192A9CA" w14:textId="77777777" w:rsidR="00D63F86" w:rsidRPr="00192094" w:rsidRDefault="00D63F86" w:rsidP="00707306">
            <w:pPr>
              <w:jc w:val="center"/>
              <w:cnfStyle w:val="000000000000" w:firstRow="0" w:lastRow="0" w:firstColumn="0" w:lastColumn="0" w:oddVBand="0" w:evenVBand="0" w:oddHBand="0" w:evenHBand="0" w:firstRowFirstColumn="0" w:firstRowLastColumn="0" w:lastRowFirstColumn="0" w:lastRowLastColumn="0"/>
              <w:rPr>
                <w:rFonts w:ascii="Calibri" w:hAnsi="Calibri"/>
                <w:lang w:val="es-ES_tradnl"/>
              </w:rPr>
            </w:pPr>
            <w:r w:rsidRPr="00192094">
              <w:rPr>
                <w:rFonts w:ascii="Calibri" w:hAnsi="Calibri"/>
                <w:lang w:val="es-ES_tradnl"/>
              </w:rPr>
              <w:t>27%</w:t>
            </w:r>
          </w:p>
        </w:tc>
      </w:tr>
      <w:tr w:rsidR="00D63F86" w:rsidRPr="00192094" w14:paraId="06F62C00" w14:textId="77777777" w:rsidTr="00707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19C6D612" w14:textId="77777777" w:rsidR="00D63F86" w:rsidRPr="00192094" w:rsidRDefault="00D63F86" w:rsidP="00707306">
            <w:pPr>
              <w:rPr>
                <w:rFonts w:ascii="Calibri Light" w:hAnsi="Calibri Light"/>
                <w:lang w:val="es-ES_tradnl"/>
              </w:rPr>
            </w:pPr>
            <w:r w:rsidRPr="00192094">
              <w:rPr>
                <w:rFonts w:ascii="Calibri Light" w:hAnsi="Calibri Light"/>
                <w:sz w:val="22"/>
                <w:lang w:val="es-ES_tradnl"/>
              </w:rPr>
              <w:t>1,4</w:t>
            </w:r>
          </w:p>
        </w:tc>
        <w:tc>
          <w:tcPr>
            <w:tcW w:w="3005" w:type="dxa"/>
          </w:tcPr>
          <w:p w14:paraId="7C0F3F6F" w14:textId="77777777" w:rsidR="00D63F86" w:rsidRPr="00192094" w:rsidRDefault="00D63F86" w:rsidP="00707306">
            <w:pPr>
              <w:jc w:val="center"/>
              <w:cnfStyle w:val="000000100000" w:firstRow="0" w:lastRow="0" w:firstColumn="0" w:lastColumn="0" w:oddVBand="0" w:evenVBand="0" w:oddHBand="1" w:evenHBand="0" w:firstRowFirstColumn="0" w:firstRowLastColumn="0" w:lastRowFirstColumn="0" w:lastRowLastColumn="0"/>
              <w:rPr>
                <w:rFonts w:ascii="Calibri" w:hAnsi="Calibri"/>
                <w:lang w:val="es-ES_tradnl"/>
              </w:rPr>
            </w:pPr>
            <w:r w:rsidRPr="00192094">
              <w:rPr>
                <w:rFonts w:ascii="Calibri" w:hAnsi="Calibri"/>
                <w:lang w:val="es-ES_tradnl"/>
              </w:rPr>
              <w:t>1,0%</w:t>
            </w:r>
          </w:p>
        </w:tc>
        <w:tc>
          <w:tcPr>
            <w:tcW w:w="3006" w:type="dxa"/>
          </w:tcPr>
          <w:p w14:paraId="70018FCA" w14:textId="77777777" w:rsidR="00D63F86" w:rsidRPr="00192094" w:rsidRDefault="00D63F86" w:rsidP="00707306">
            <w:pPr>
              <w:jc w:val="center"/>
              <w:cnfStyle w:val="000000100000" w:firstRow="0" w:lastRow="0" w:firstColumn="0" w:lastColumn="0" w:oddVBand="0" w:evenVBand="0" w:oddHBand="1" w:evenHBand="0" w:firstRowFirstColumn="0" w:firstRowLastColumn="0" w:lastRowFirstColumn="0" w:lastRowLastColumn="0"/>
              <w:rPr>
                <w:rFonts w:ascii="Calibri" w:hAnsi="Calibri"/>
                <w:lang w:val="es-ES_tradnl"/>
              </w:rPr>
            </w:pPr>
            <w:r w:rsidRPr="00192094">
              <w:rPr>
                <w:rFonts w:ascii="Calibri" w:hAnsi="Calibri"/>
                <w:lang w:val="es-ES_tradnl"/>
              </w:rPr>
              <w:t>17%</w:t>
            </w:r>
          </w:p>
        </w:tc>
      </w:tr>
      <w:tr w:rsidR="00D63F86" w:rsidRPr="00192094" w14:paraId="779BD55E" w14:textId="77777777" w:rsidTr="00707306">
        <w:tc>
          <w:tcPr>
            <w:cnfStyle w:val="001000000000" w:firstRow="0" w:lastRow="0" w:firstColumn="1" w:lastColumn="0" w:oddVBand="0" w:evenVBand="0" w:oddHBand="0" w:evenHBand="0" w:firstRowFirstColumn="0" w:firstRowLastColumn="0" w:lastRowFirstColumn="0" w:lastRowLastColumn="0"/>
            <w:tcW w:w="3005" w:type="dxa"/>
          </w:tcPr>
          <w:p w14:paraId="2D02B9F8" w14:textId="77777777" w:rsidR="00D63F86" w:rsidRPr="00192094" w:rsidRDefault="00D63F86" w:rsidP="00707306">
            <w:pPr>
              <w:rPr>
                <w:rFonts w:ascii="Calibri Light" w:hAnsi="Calibri Light"/>
                <w:sz w:val="22"/>
                <w:lang w:val="es-ES_tradnl"/>
              </w:rPr>
            </w:pPr>
            <w:r w:rsidRPr="00192094">
              <w:rPr>
                <w:rFonts w:ascii="Calibri Light" w:hAnsi="Calibri Light"/>
                <w:sz w:val="22"/>
                <w:lang w:val="es-ES_tradnl"/>
              </w:rPr>
              <w:t>1,5</w:t>
            </w:r>
          </w:p>
        </w:tc>
        <w:tc>
          <w:tcPr>
            <w:tcW w:w="3005" w:type="dxa"/>
          </w:tcPr>
          <w:p w14:paraId="5CA51AE3" w14:textId="77777777" w:rsidR="00D63F86" w:rsidRPr="00192094" w:rsidRDefault="00D63F86" w:rsidP="00707306">
            <w:pPr>
              <w:jc w:val="center"/>
              <w:cnfStyle w:val="000000000000" w:firstRow="0" w:lastRow="0" w:firstColumn="0" w:lastColumn="0" w:oddVBand="0" w:evenVBand="0" w:oddHBand="0" w:evenHBand="0" w:firstRowFirstColumn="0" w:firstRowLastColumn="0" w:lastRowFirstColumn="0" w:lastRowLastColumn="0"/>
              <w:rPr>
                <w:rFonts w:ascii="Calibri" w:hAnsi="Calibri"/>
                <w:lang w:val="es-ES_tradnl"/>
              </w:rPr>
            </w:pPr>
            <w:r w:rsidRPr="00192094">
              <w:rPr>
                <w:rFonts w:ascii="Calibri" w:hAnsi="Calibri"/>
                <w:lang w:val="es-ES_tradnl"/>
              </w:rPr>
              <w:t>0,9%</w:t>
            </w:r>
          </w:p>
        </w:tc>
        <w:tc>
          <w:tcPr>
            <w:tcW w:w="3006" w:type="dxa"/>
          </w:tcPr>
          <w:p w14:paraId="45054E5B" w14:textId="77777777" w:rsidR="00D63F86" w:rsidRPr="00192094" w:rsidRDefault="00D63F86" w:rsidP="00707306">
            <w:pPr>
              <w:jc w:val="center"/>
              <w:cnfStyle w:val="000000000000" w:firstRow="0" w:lastRow="0" w:firstColumn="0" w:lastColumn="0" w:oddVBand="0" w:evenVBand="0" w:oddHBand="0" w:evenHBand="0" w:firstRowFirstColumn="0" w:firstRowLastColumn="0" w:lastRowFirstColumn="0" w:lastRowLastColumn="0"/>
              <w:rPr>
                <w:rFonts w:ascii="Calibri" w:hAnsi="Calibri"/>
                <w:lang w:val="es-ES_tradnl"/>
              </w:rPr>
            </w:pPr>
            <w:r w:rsidRPr="00192094">
              <w:rPr>
                <w:rFonts w:ascii="Calibri" w:hAnsi="Calibri"/>
                <w:lang w:val="es-ES_tradnl"/>
              </w:rPr>
              <w:t>14%</w:t>
            </w:r>
          </w:p>
        </w:tc>
      </w:tr>
    </w:tbl>
    <w:p w14:paraId="30556EF6" w14:textId="77777777" w:rsidR="00D63F86" w:rsidRPr="00192094" w:rsidRDefault="00D63F86" w:rsidP="00D63F86">
      <w:pPr>
        <w:rPr>
          <w:rFonts w:eastAsia="Calibri"/>
          <w:lang w:val="es-ES_tradnl"/>
        </w:rPr>
      </w:pPr>
    </w:p>
    <w:p w14:paraId="588E97ED" w14:textId="77777777" w:rsidR="00D63F86" w:rsidRPr="00192094" w:rsidRDefault="00D63F86" w:rsidP="00D63F86">
      <w:pPr>
        <w:rPr>
          <w:rFonts w:eastAsia="Calibri"/>
          <w:lang w:val="es-ES_tradnl"/>
        </w:rPr>
      </w:pPr>
    </w:p>
    <w:p w14:paraId="716740A7" w14:textId="000294EC" w:rsidR="00D63F86" w:rsidRPr="00192094" w:rsidRDefault="00D63F86" w:rsidP="00D63F86">
      <w:pPr>
        <w:numPr>
          <w:ilvl w:val="0"/>
          <w:numId w:val="1"/>
        </w:numPr>
        <w:contextualSpacing/>
        <w:jc w:val="left"/>
        <w:rPr>
          <w:rFonts w:eastAsia="Calibri" w:cs="Arial"/>
          <w:lang w:val="es-ES_tradnl"/>
        </w:rPr>
      </w:pPr>
      <w:r w:rsidRPr="00192094">
        <w:rPr>
          <w:lang w:val="es-ES_tradnl"/>
        </w:rPr>
        <w:t>En base a la figura</w:t>
      </w:r>
      <w:r w:rsidR="00EE5663">
        <w:rPr>
          <w:lang w:val="es-ES_tradnl"/>
        </w:rPr>
        <w:t> </w:t>
      </w:r>
      <w:r w:rsidRPr="00192094">
        <w:rPr>
          <w:lang w:val="es-ES_tradnl"/>
        </w:rPr>
        <w:t>4, la reducción del número de casos observada en el ejemplo y las implicaciones en las decisiones, proponemos un umbral de</w:t>
      </w:r>
      <w:r w:rsidR="00EE5663">
        <w:rPr>
          <w:lang w:val="es-ES_tradnl"/>
        </w:rPr>
        <w:t> </w:t>
      </w:r>
      <w:r w:rsidRPr="00192094">
        <w:rPr>
          <w:lang w:val="es-ES_tradnl"/>
        </w:rPr>
        <w:t>1,2 como punto de partida para los debates del</w:t>
      </w:r>
      <w:r w:rsidR="00EE5663">
        <w:rPr>
          <w:lang w:val="es-ES_tradnl"/>
        </w:rPr>
        <w:t> </w:t>
      </w:r>
      <w:r w:rsidRPr="00192094">
        <w:rPr>
          <w:lang w:val="es-ES_tradnl"/>
        </w:rPr>
        <w:t>TWM.</w:t>
      </w:r>
    </w:p>
    <w:p w14:paraId="2128338A" w14:textId="77777777" w:rsidR="00D63F86" w:rsidRPr="00192094" w:rsidRDefault="00D63F86" w:rsidP="00D63F86">
      <w:pPr>
        <w:rPr>
          <w:rFonts w:eastAsia="Calibri"/>
          <w:lang w:val="es-ES_tradnl"/>
        </w:rPr>
      </w:pPr>
    </w:p>
    <w:p w14:paraId="1E4E0C20" w14:textId="77777777" w:rsidR="00D63F86" w:rsidRPr="00192094" w:rsidRDefault="00D63F86" w:rsidP="00D63F86">
      <w:pPr>
        <w:rPr>
          <w:rFonts w:eastAsia="Calibri"/>
          <w:lang w:val="es-ES_tradnl"/>
        </w:rPr>
      </w:pPr>
    </w:p>
    <w:p w14:paraId="3333FD0B" w14:textId="77777777" w:rsidR="00D63F86" w:rsidRPr="00192094" w:rsidRDefault="00D63F86" w:rsidP="00D63F86">
      <w:pPr>
        <w:pStyle w:val="Heading1"/>
        <w:rPr>
          <w:lang w:val="es-ES_tradnl"/>
        </w:rPr>
      </w:pPr>
      <w:bookmarkStart w:id="27" w:name="_Toc116941342"/>
      <w:r w:rsidRPr="00192094">
        <w:rPr>
          <w:lang w:val="es-ES_tradnl"/>
        </w:rPr>
        <w:t>¿Qué hacer en caso de extrapolación?</w:t>
      </w:r>
      <w:bookmarkEnd w:id="27"/>
    </w:p>
    <w:p w14:paraId="6C7F6B88" w14:textId="77777777" w:rsidR="00D63F86" w:rsidRPr="00192094" w:rsidRDefault="00D63F86" w:rsidP="00D63F86">
      <w:pPr>
        <w:keepNext/>
        <w:rPr>
          <w:rFonts w:eastAsia="Calibri"/>
          <w:lang w:val="es-ES_tradnl"/>
        </w:rPr>
      </w:pPr>
    </w:p>
    <w:p w14:paraId="6F4D26C1" w14:textId="75273598" w:rsidR="00D63F86" w:rsidRPr="00192094" w:rsidRDefault="00D63F86" w:rsidP="00D63F86">
      <w:pPr>
        <w:keepNext/>
        <w:numPr>
          <w:ilvl w:val="0"/>
          <w:numId w:val="1"/>
        </w:numPr>
        <w:contextualSpacing/>
        <w:rPr>
          <w:rFonts w:eastAsia="Calibri" w:cs="Arial"/>
          <w:lang w:val="es-ES_tradnl"/>
        </w:rPr>
      </w:pPr>
      <w:r w:rsidRPr="00192094">
        <w:rPr>
          <w:lang w:val="es-ES_tradnl"/>
        </w:rPr>
        <w:t>Sin extrapolación, el criterio</w:t>
      </w:r>
      <w:r w:rsidR="00EE5663">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xml:space="preserve"> ofrece una base clara para la homogeneidad. Con extrapolación, los expertos en los cultivos tienen que aplicar su propio criterio. Para ello, puede ser de utilidad el resultado del programa informático, junto con los gráficos. A </w:t>
      </w:r>
      <w:proofErr w:type="gramStart"/>
      <w:r w:rsidRPr="00192094">
        <w:rPr>
          <w:lang w:val="es-ES_tradnl"/>
        </w:rPr>
        <w:t>continuación</w:t>
      </w:r>
      <w:proofErr w:type="gramEnd"/>
      <w:r w:rsidRPr="00192094">
        <w:rPr>
          <w:lang w:val="es-ES_tradnl"/>
        </w:rPr>
        <w:t xml:space="preserve"> se discuten los factores que pueden influir en la decisión, con ejemplos.</w:t>
      </w:r>
    </w:p>
    <w:p w14:paraId="7DD4BF1C" w14:textId="77777777" w:rsidR="00D63F86" w:rsidRPr="00192094" w:rsidRDefault="00D63F86" w:rsidP="00D63F86">
      <w:pPr>
        <w:ind w:left="360"/>
        <w:contextualSpacing/>
        <w:rPr>
          <w:rFonts w:eastAsia="Calibri" w:cs="Arial"/>
          <w:lang w:val="es-ES_tradnl"/>
        </w:rPr>
      </w:pPr>
    </w:p>
    <w:p w14:paraId="65B47EE5" w14:textId="77777777" w:rsidR="00D63F86" w:rsidRPr="00192094" w:rsidRDefault="00D63F86" w:rsidP="00D63F86">
      <w:pPr>
        <w:numPr>
          <w:ilvl w:val="0"/>
          <w:numId w:val="1"/>
        </w:numPr>
        <w:contextualSpacing/>
        <w:rPr>
          <w:rFonts w:eastAsia="Calibri" w:cs="Arial"/>
          <w:lang w:val="es-ES_tradnl"/>
        </w:rPr>
      </w:pPr>
      <w:r w:rsidRPr="00192094">
        <w:rPr>
          <w:lang w:val="es-ES_tradnl"/>
        </w:rPr>
        <w:t xml:space="preserve"> Debe considerarse lo siguiente:</w:t>
      </w:r>
    </w:p>
    <w:p w14:paraId="5874FC6B" w14:textId="77777777" w:rsidR="00D63F86" w:rsidRPr="00192094" w:rsidRDefault="00D63F86" w:rsidP="00D63F86">
      <w:pPr>
        <w:ind w:left="720"/>
        <w:contextualSpacing/>
        <w:rPr>
          <w:rFonts w:eastAsia="Calibri" w:cs="Arial"/>
          <w:lang w:val="es-ES_tradnl"/>
        </w:rPr>
      </w:pPr>
    </w:p>
    <w:p w14:paraId="1B047DEC" w14:textId="77777777" w:rsidR="00D63F86" w:rsidRPr="00192094" w:rsidRDefault="00D63F86" w:rsidP="00D63F86">
      <w:pPr>
        <w:numPr>
          <w:ilvl w:val="0"/>
          <w:numId w:val="3"/>
        </w:numPr>
        <w:contextualSpacing/>
        <w:rPr>
          <w:rFonts w:eastAsia="Calibri" w:cs="Arial"/>
          <w:lang w:val="es-ES_tradnl"/>
        </w:rPr>
      </w:pPr>
      <w:r w:rsidRPr="00192094">
        <w:rPr>
          <w:lang w:val="es-ES_tradnl"/>
        </w:rPr>
        <w:t>El grado de extrapolación;</w:t>
      </w:r>
    </w:p>
    <w:p w14:paraId="165F938A" w14:textId="1DE517CB" w:rsidR="00D63F86" w:rsidRPr="00192094" w:rsidRDefault="00D63F86" w:rsidP="00D63F86">
      <w:pPr>
        <w:numPr>
          <w:ilvl w:val="0"/>
          <w:numId w:val="3"/>
        </w:numPr>
        <w:contextualSpacing/>
        <w:rPr>
          <w:rFonts w:eastAsia="Calibri" w:cs="Arial"/>
          <w:lang w:val="es-ES_tradnl"/>
        </w:rPr>
      </w:pPr>
      <w:r w:rsidRPr="00192094">
        <w:rPr>
          <w:lang w:val="es-ES_tradnl"/>
        </w:rPr>
        <w:t xml:space="preserve">¿Es </w:t>
      </w:r>
      <w:r w:rsidR="00846FCE">
        <w:rPr>
          <w:lang w:val="es-ES_tradnl"/>
        </w:rPr>
        <w:t xml:space="preserve">verosímil extender </w:t>
      </w:r>
      <w:r w:rsidRPr="00192094">
        <w:rPr>
          <w:lang w:val="es-ES_tradnl"/>
        </w:rPr>
        <w:t>la tendencia observada en las variedades de referencia a la candidata?</w:t>
      </w:r>
    </w:p>
    <w:p w14:paraId="6BABCF93" w14:textId="77777777" w:rsidR="00D63F86" w:rsidRPr="00192094" w:rsidRDefault="00D63F86" w:rsidP="00D63F86">
      <w:pPr>
        <w:numPr>
          <w:ilvl w:val="0"/>
          <w:numId w:val="3"/>
        </w:numPr>
        <w:contextualSpacing/>
        <w:rPr>
          <w:rFonts w:eastAsia="Calibri" w:cs="Arial"/>
          <w:lang w:val="es-ES_tradnl"/>
        </w:rPr>
      </w:pPr>
      <w:r w:rsidRPr="00192094">
        <w:rPr>
          <w:lang w:val="es-ES_tradnl"/>
        </w:rPr>
        <w:t>¿Cuál es la situación en otros ciclos? ¿También hay extrapolación?</w:t>
      </w:r>
    </w:p>
    <w:p w14:paraId="39472E51" w14:textId="77777777" w:rsidR="00D63F86" w:rsidRPr="00192094" w:rsidRDefault="00D63F86" w:rsidP="00D63F86">
      <w:pPr>
        <w:rPr>
          <w:rFonts w:eastAsia="Calibri" w:cs="Arial"/>
          <w:lang w:val="es-ES_tradnl"/>
        </w:rPr>
      </w:pPr>
    </w:p>
    <w:p w14:paraId="7AC8B343" w14:textId="77777777" w:rsidR="00D63F86" w:rsidRPr="00192094" w:rsidRDefault="00D63F86" w:rsidP="00D63F86">
      <w:pPr>
        <w:numPr>
          <w:ilvl w:val="0"/>
          <w:numId w:val="1"/>
        </w:numPr>
        <w:contextualSpacing/>
        <w:rPr>
          <w:rFonts w:eastAsia="Calibri" w:cs="Arial"/>
          <w:lang w:val="es-ES_tradnl"/>
        </w:rPr>
      </w:pPr>
      <w:r w:rsidRPr="00192094">
        <w:rPr>
          <w:lang w:val="es-ES_tradnl"/>
        </w:rPr>
        <w:t>El grado de extrapolación es clave. Aunque no es ideal, quizá sea posible tomar decisiones a partir de las tendencias observadas en las variedades de referencia. Si es muy alto, se puede interpretar que la candidata no tiene variedades comparables. En esta situación, habría que conceder el beneficio de la duda a la variedad candidata.</w:t>
      </w:r>
    </w:p>
    <w:p w14:paraId="00920961" w14:textId="77777777" w:rsidR="00D63F86" w:rsidRPr="00192094" w:rsidRDefault="00D63F86" w:rsidP="00D63F86">
      <w:pPr>
        <w:rPr>
          <w:rFonts w:eastAsia="Calibri" w:cs="Arial"/>
          <w:lang w:val="es-ES_tradnl"/>
        </w:rPr>
      </w:pPr>
    </w:p>
    <w:p w14:paraId="7D7E8169" w14:textId="55EB53D1" w:rsidR="00D63F86" w:rsidRPr="00192094" w:rsidRDefault="00846FCE" w:rsidP="00D63F86">
      <w:pPr>
        <w:numPr>
          <w:ilvl w:val="0"/>
          <w:numId w:val="1"/>
        </w:numPr>
        <w:contextualSpacing/>
        <w:rPr>
          <w:rFonts w:eastAsia="Calibri" w:cs="Arial"/>
          <w:lang w:val="es-ES_tradnl"/>
        </w:rPr>
      </w:pPr>
      <w:r>
        <w:rPr>
          <w:lang w:val="es-ES_tradnl"/>
        </w:rPr>
        <w:t>Es esperable que l</w:t>
      </w:r>
      <w:r w:rsidR="00D63F86" w:rsidRPr="00192094">
        <w:rPr>
          <w:lang w:val="es-ES_tradnl"/>
        </w:rPr>
        <w:t xml:space="preserve">a tendencia observada en las variedades de referencia </w:t>
      </w:r>
      <w:r>
        <w:rPr>
          <w:lang w:val="es-ES_tradnl"/>
        </w:rPr>
        <w:t xml:space="preserve">sea aplicable en </w:t>
      </w:r>
      <w:r w:rsidR="00D63F86" w:rsidRPr="00192094">
        <w:rPr>
          <w:lang w:val="es-ES_tradnl"/>
        </w:rPr>
        <w:t>algunos caracteres. En estos casos, la extrapolación</w:t>
      </w:r>
      <w:r>
        <w:rPr>
          <w:lang w:val="es-ES_tradnl"/>
        </w:rPr>
        <w:t xml:space="preserve"> puede ser fiable</w:t>
      </w:r>
      <w:r w:rsidR="00D63F86" w:rsidRPr="00192094">
        <w:rPr>
          <w:lang w:val="es-ES_tradnl"/>
        </w:rPr>
        <w:t>.</w:t>
      </w:r>
    </w:p>
    <w:p w14:paraId="79379BAB" w14:textId="77777777" w:rsidR="00D63F86" w:rsidRPr="00192094" w:rsidRDefault="00D63F86" w:rsidP="00D63F86">
      <w:pPr>
        <w:ind w:left="720"/>
        <w:contextualSpacing/>
        <w:rPr>
          <w:rFonts w:eastAsia="Calibri" w:cs="Arial"/>
          <w:lang w:val="es-ES_tradnl"/>
        </w:rPr>
      </w:pPr>
    </w:p>
    <w:p w14:paraId="655BE488" w14:textId="139F5354" w:rsidR="00D63F86" w:rsidRPr="00192094" w:rsidRDefault="00D63F86" w:rsidP="00D63F86">
      <w:pPr>
        <w:numPr>
          <w:ilvl w:val="0"/>
          <w:numId w:val="1"/>
        </w:numPr>
        <w:contextualSpacing/>
        <w:rPr>
          <w:rFonts w:eastAsia="Calibri" w:cs="Arial"/>
          <w:lang w:val="es-ES_tradnl"/>
        </w:rPr>
      </w:pPr>
      <w:r w:rsidRPr="00192094">
        <w:rPr>
          <w:lang w:val="es-ES_tradnl"/>
        </w:rPr>
        <w:t>Es importante examinar otros ciclos</w:t>
      </w:r>
      <w:r w:rsidR="00846FCE">
        <w:rPr>
          <w:lang w:val="es-ES_tradnl"/>
        </w:rPr>
        <w:t>/</w:t>
      </w:r>
      <w:r w:rsidRPr="00192094">
        <w:rPr>
          <w:lang w:val="es-ES_tradnl"/>
        </w:rPr>
        <w:t>años. La decisión del</w:t>
      </w:r>
      <w:r w:rsidR="00EE5663">
        <w:rPr>
          <w:lang w:val="es-ES_tradnl"/>
        </w:rPr>
        <w:t> </w:t>
      </w:r>
      <w:r w:rsidRPr="00192094">
        <w:rPr>
          <w:lang w:val="es-ES_tradnl"/>
        </w:rPr>
        <w:t>COYU se toma a lo largo de ciclos</w:t>
      </w:r>
      <w:r w:rsidR="00846FCE">
        <w:rPr>
          <w:lang w:val="es-ES_tradnl"/>
        </w:rPr>
        <w:t>/</w:t>
      </w:r>
      <w:r w:rsidRPr="00192094">
        <w:rPr>
          <w:lang w:val="es-ES_tradnl"/>
        </w:rPr>
        <w:t xml:space="preserve">años y puede resultar complicado combinar los resultados de forma subjetiva si hay </w:t>
      </w:r>
      <w:r w:rsidR="00FF6995">
        <w:rPr>
          <w:lang w:val="es-ES_tradnl"/>
        </w:rPr>
        <w:t>falta de consistencia</w:t>
      </w:r>
      <w:r w:rsidRPr="00192094">
        <w:rPr>
          <w:lang w:val="es-ES_tradnl"/>
        </w:rPr>
        <w:t>.</w:t>
      </w:r>
    </w:p>
    <w:p w14:paraId="115B2786" w14:textId="77777777" w:rsidR="00D63F86" w:rsidRPr="00192094" w:rsidRDefault="00D63F86" w:rsidP="00D63F86">
      <w:pPr>
        <w:ind w:left="720"/>
        <w:contextualSpacing/>
        <w:rPr>
          <w:rFonts w:eastAsia="Calibri" w:cs="Arial"/>
          <w:lang w:val="es-ES_tradnl"/>
        </w:rPr>
      </w:pPr>
    </w:p>
    <w:p w14:paraId="71080BA8" w14:textId="3F00BC14" w:rsidR="00D63F86" w:rsidRPr="00192094" w:rsidRDefault="00D63F86" w:rsidP="00D63F86">
      <w:pPr>
        <w:numPr>
          <w:ilvl w:val="0"/>
          <w:numId w:val="1"/>
        </w:numPr>
        <w:contextualSpacing/>
        <w:rPr>
          <w:rFonts w:eastAsia="Calibri" w:cs="Arial"/>
          <w:lang w:val="es-ES_tradnl"/>
        </w:rPr>
      </w:pPr>
      <w:r w:rsidRPr="00192094">
        <w:rPr>
          <w:lang w:val="es-ES_tradnl"/>
        </w:rPr>
        <w:t xml:space="preserve">A </w:t>
      </w:r>
      <w:proofErr w:type="gramStart"/>
      <w:r w:rsidRPr="00192094">
        <w:rPr>
          <w:lang w:val="es-ES_tradnl"/>
        </w:rPr>
        <w:t>continuación</w:t>
      </w:r>
      <w:proofErr w:type="gramEnd"/>
      <w:r w:rsidRPr="00192094">
        <w:rPr>
          <w:lang w:val="es-ES_tradnl"/>
        </w:rPr>
        <w:t xml:space="preserve"> se presentan varios ejemplos para su consideración. En la figura 5, se expone un caso en el que la tendencia en las variedades de referencia </w:t>
      </w:r>
      <w:r w:rsidR="009B3FC5">
        <w:rPr>
          <w:lang w:val="es-ES_tradnl"/>
        </w:rPr>
        <w:t xml:space="preserve">no </w:t>
      </w:r>
      <w:r w:rsidRPr="00192094">
        <w:rPr>
          <w:lang w:val="es-ES_tradnl"/>
        </w:rPr>
        <w:t xml:space="preserve">es </w:t>
      </w:r>
      <w:r w:rsidR="009B3FC5">
        <w:rPr>
          <w:lang w:val="es-ES_tradnl"/>
        </w:rPr>
        <w:t>marcada</w:t>
      </w:r>
      <w:r w:rsidRPr="00192094">
        <w:rPr>
          <w:lang w:val="es-ES_tradnl"/>
        </w:rPr>
        <w:t>. La variabilidad de la candidata</w:t>
      </w:r>
      <w:r w:rsidR="00EE5663">
        <w:rPr>
          <w:lang w:val="es-ES_tradnl"/>
        </w:rPr>
        <w:t> </w:t>
      </w:r>
      <w:r w:rsidRPr="00192094">
        <w:rPr>
          <w:lang w:val="es-ES_tradnl"/>
        </w:rPr>
        <w:t>1 es claramente baja con respecto a la de las variedades de referencia, lo que podría indicar una homogeneidad satisfactoria si los demás ciclos</w:t>
      </w:r>
      <w:r w:rsidR="00846FCE">
        <w:rPr>
          <w:lang w:val="es-ES_tradnl"/>
        </w:rPr>
        <w:t>/</w:t>
      </w:r>
      <w:r w:rsidRPr="00192094">
        <w:rPr>
          <w:lang w:val="es-ES_tradnl"/>
        </w:rPr>
        <w:t>años son similares. Por otro lado, la variedad candidata</w:t>
      </w:r>
      <w:r w:rsidR="00EE5663">
        <w:rPr>
          <w:lang w:val="es-ES_tradnl"/>
        </w:rPr>
        <w:t> </w:t>
      </w:r>
      <w:r w:rsidRPr="00192094">
        <w:rPr>
          <w:lang w:val="es-ES_tradnl"/>
        </w:rPr>
        <w:t>2 muestra unos altos niveles de variabilidad en comparación con las variedades de referencia, lo que puede suscitar preocupación por la falta de homogeneidad.</w:t>
      </w:r>
    </w:p>
    <w:p w14:paraId="5CB40CEA" w14:textId="77777777" w:rsidR="00D63F86" w:rsidRPr="00192094" w:rsidRDefault="00D63F86" w:rsidP="00D63F86">
      <w:pPr>
        <w:rPr>
          <w:rFonts w:ascii="Calibri" w:eastAsia="Calibri" w:hAnsi="Calibri"/>
          <w:sz w:val="22"/>
          <w:szCs w:val="22"/>
          <w:lang w:val="es-ES_tradnl"/>
        </w:rPr>
      </w:pPr>
      <w:r w:rsidRPr="00192094">
        <w:rPr>
          <w:rFonts w:ascii="Calibri" w:hAnsi="Calibri"/>
          <w:sz w:val="22"/>
          <w:szCs w:val="22"/>
          <w:lang w:val="es-ES_tradnl"/>
        </w:rPr>
        <w:t xml:space="preserve"> </w:t>
      </w:r>
      <w:r w:rsidRPr="00192094">
        <w:rPr>
          <w:noProof/>
          <w:lang w:val="en-US" w:eastAsia="ja-JP"/>
        </w:rPr>
        <w:drawing>
          <wp:inline distT="0" distB="0" distL="0" distR="0" wp14:anchorId="58FB58FB" wp14:editId="3D918833">
            <wp:extent cx="3375160" cy="3064476"/>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fig4.wmf"/>
                    <pic:cNvPicPr/>
                  </pic:nvPicPr>
                  <pic:blipFill rotWithShape="1">
                    <a:blip r:embed="rId17">
                      <a:extLst>
                        <a:ext uri="{28A0092B-C50C-407E-A947-70E740481C1C}">
                          <a14:useLocalDpi xmlns:a14="http://schemas.microsoft.com/office/drawing/2010/main" val="0"/>
                        </a:ext>
                      </a:extLst>
                    </a:blip>
                    <a:srcRect r="27428" b="34107"/>
                    <a:stretch/>
                  </pic:blipFill>
                  <pic:spPr bwMode="auto">
                    <a:xfrm>
                      <a:off x="0" y="0"/>
                      <a:ext cx="3376275" cy="3065488"/>
                    </a:xfrm>
                    <a:prstGeom prst="rect">
                      <a:avLst/>
                    </a:prstGeom>
                    <a:ln>
                      <a:noFill/>
                    </a:ln>
                    <a:extLst>
                      <a:ext uri="{53640926-AAD7-44D8-BBD7-CCE9431645EC}">
                        <a14:shadowObscured xmlns:a14="http://schemas.microsoft.com/office/drawing/2010/main"/>
                      </a:ext>
                    </a:extLst>
                  </pic:spPr>
                </pic:pic>
              </a:graphicData>
            </a:graphic>
          </wp:inline>
        </w:drawing>
      </w:r>
    </w:p>
    <w:p w14:paraId="0260419B" w14:textId="4215FF53" w:rsidR="00D63F86" w:rsidRPr="00192094" w:rsidRDefault="00D63F86" w:rsidP="00D63F86">
      <w:pPr>
        <w:rPr>
          <w:rFonts w:eastAsia="Calibri" w:cs="Arial"/>
          <w:i/>
          <w:sz w:val="18"/>
          <w:szCs w:val="18"/>
          <w:lang w:val="es-ES_tradnl"/>
        </w:rPr>
      </w:pPr>
      <w:r w:rsidRPr="00192094">
        <w:rPr>
          <w:b/>
          <w:sz w:val="18"/>
          <w:szCs w:val="18"/>
          <w:lang w:val="es-ES_tradnl"/>
        </w:rPr>
        <w:t>Figura</w:t>
      </w:r>
      <w:r w:rsidR="00EE5663">
        <w:rPr>
          <w:b/>
          <w:sz w:val="18"/>
          <w:szCs w:val="18"/>
          <w:lang w:val="es-ES_tradnl"/>
        </w:rPr>
        <w:t> </w:t>
      </w:r>
      <w:r w:rsidRPr="00192094">
        <w:rPr>
          <w:b/>
          <w:sz w:val="18"/>
          <w:szCs w:val="18"/>
          <w:lang w:val="es-ES_tradnl"/>
        </w:rPr>
        <w:t>5:</w:t>
      </w:r>
      <w:r w:rsidRPr="00192094">
        <w:rPr>
          <w:sz w:val="18"/>
          <w:szCs w:val="18"/>
          <w:lang w:val="es-ES_tradnl"/>
        </w:rPr>
        <w:t xml:space="preserve"> </w:t>
      </w:r>
      <w:r w:rsidRPr="00192094">
        <w:rPr>
          <w:i/>
          <w:sz w:val="18"/>
          <w:szCs w:val="18"/>
          <w:lang w:val="es-ES_tradnl"/>
        </w:rPr>
        <w:t xml:space="preserve">Ejemplo </w:t>
      </w:r>
      <w:r w:rsidR="00FF6995">
        <w:rPr>
          <w:i/>
          <w:sz w:val="18"/>
          <w:szCs w:val="18"/>
          <w:lang w:val="es-ES_tradnl"/>
        </w:rPr>
        <w:t>de</w:t>
      </w:r>
      <w:r w:rsidRPr="00192094">
        <w:rPr>
          <w:i/>
          <w:sz w:val="18"/>
          <w:szCs w:val="18"/>
          <w:lang w:val="es-ES_tradnl"/>
        </w:rPr>
        <w:t xml:space="preserve"> tendencia poco evidente. Las variedades de referencia están representadas por ‘x’ y las candidatas por ‘1’ y ‘2’. La línea azul es para el </w:t>
      </w:r>
      <w:proofErr w:type="spellStart"/>
      <w:r w:rsidRPr="00192094">
        <w:rPr>
          <w:i/>
          <w:sz w:val="18"/>
          <w:szCs w:val="18"/>
          <w:lang w:val="es-ES_tradnl"/>
        </w:rPr>
        <w:t>spline</w:t>
      </w:r>
      <w:proofErr w:type="spellEnd"/>
      <w:r w:rsidRPr="00192094">
        <w:rPr>
          <w:i/>
          <w:sz w:val="18"/>
          <w:szCs w:val="18"/>
          <w:lang w:val="es-ES_tradnl"/>
        </w:rPr>
        <w:t>.</w:t>
      </w:r>
    </w:p>
    <w:p w14:paraId="41C18D8F" w14:textId="77777777" w:rsidR="00D63F86" w:rsidRPr="00192094" w:rsidRDefault="00D63F86" w:rsidP="00D63F86">
      <w:pPr>
        <w:rPr>
          <w:rFonts w:eastAsia="Calibri"/>
          <w:lang w:val="es-ES_tradnl"/>
        </w:rPr>
      </w:pPr>
    </w:p>
    <w:p w14:paraId="39606DE9" w14:textId="77777777" w:rsidR="00D63F86" w:rsidRPr="00192094" w:rsidRDefault="00D63F86" w:rsidP="00D63F86">
      <w:pPr>
        <w:rPr>
          <w:rFonts w:eastAsia="Calibri"/>
          <w:lang w:val="es-ES_tradnl"/>
        </w:rPr>
      </w:pPr>
    </w:p>
    <w:p w14:paraId="43654EA6" w14:textId="78D1AE38" w:rsidR="00D63F86" w:rsidRPr="00192094" w:rsidRDefault="00D63F86" w:rsidP="002D4B30">
      <w:pPr>
        <w:keepNext/>
        <w:keepLines/>
        <w:numPr>
          <w:ilvl w:val="0"/>
          <w:numId w:val="1"/>
        </w:numPr>
        <w:contextualSpacing/>
        <w:rPr>
          <w:rFonts w:eastAsia="Calibri" w:cs="Arial"/>
          <w:lang w:val="es-ES_tradnl"/>
        </w:rPr>
      </w:pPr>
      <w:r w:rsidRPr="00192094">
        <w:rPr>
          <w:lang w:val="es-ES_tradnl"/>
        </w:rPr>
        <w:lastRenderedPageBreak/>
        <w:t>En el siguiente ejemplo, volvemos a los mismos datos de la figura</w:t>
      </w:r>
      <w:r w:rsidR="00EE5663">
        <w:rPr>
          <w:lang w:val="es-ES_tradnl"/>
        </w:rPr>
        <w:t> </w:t>
      </w:r>
      <w:r w:rsidRPr="00192094">
        <w:rPr>
          <w:lang w:val="es-ES_tradnl"/>
        </w:rPr>
        <w:t>1. La figura</w:t>
      </w:r>
      <w:r w:rsidR="00EE5663">
        <w:rPr>
          <w:lang w:val="es-ES_tradnl"/>
        </w:rPr>
        <w:t> </w:t>
      </w:r>
      <w:r w:rsidRPr="00192094">
        <w:rPr>
          <w:lang w:val="es-ES_tradnl"/>
        </w:rPr>
        <w:t xml:space="preserve">6 muestra los mismos datos de la variedad de referencia, pero con dos nuevas </w:t>
      </w:r>
      <w:r w:rsidR="00EE5663">
        <w:rPr>
          <w:lang w:val="es-ES_tradnl"/>
        </w:rPr>
        <w:t xml:space="preserve">variedades </w:t>
      </w:r>
      <w:r w:rsidRPr="00192094">
        <w:rPr>
          <w:lang w:val="es-ES_tradnl"/>
        </w:rPr>
        <w:t>candidatas. En este caso, la candidata</w:t>
      </w:r>
      <w:r w:rsidR="00EE5663">
        <w:rPr>
          <w:lang w:val="es-ES_tradnl"/>
        </w:rPr>
        <w:t> </w:t>
      </w:r>
      <w:r w:rsidRPr="00192094">
        <w:rPr>
          <w:lang w:val="es-ES_tradnl"/>
        </w:rPr>
        <w:t>1 está principalmente en línea con la tendencia y probablemente no habría preocupación por la homogeneidad. Sin embargo, la candidata</w:t>
      </w:r>
      <w:r w:rsidR="00EE5663">
        <w:rPr>
          <w:lang w:val="es-ES_tradnl"/>
        </w:rPr>
        <w:t> </w:t>
      </w:r>
      <w:r w:rsidRPr="00192094">
        <w:rPr>
          <w:lang w:val="es-ES_tradnl"/>
        </w:rPr>
        <w:t>2 está significativamente por encima de la línea de tendencia.</w:t>
      </w:r>
    </w:p>
    <w:p w14:paraId="20870954" w14:textId="77777777" w:rsidR="00D63F86" w:rsidRPr="00192094" w:rsidRDefault="00D63F86" w:rsidP="002D4B30">
      <w:pPr>
        <w:keepNext/>
        <w:keepLines/>
        <w:rPr>
          <w:rFonts w:ascii="Calibri" w:eastAsia="Calibri" w:hAnsi="Calibri"/>
          <w:sz w:val="22"/>
          <w:szCs w:val="22"/>
          <w:lang w:val="es-ES_tradnl"/>
        </w:rPr>
      </w:pPr>
      <w:r w:rsidRPr="00192094">
        <w:rPr>
          <w:rFonts w:ascii="Calibri" w:hAnsi="Calibri"/>
          <w:noProof/>
          <w:sz w:val="22"/>
          <w:szCs w:val="22"/>
          <w:lang w:val="en-US" w:eastAsia="ja-JP"/>
        </w:rPr>
        <w:drawing>
          <wp:inline distT="0" distB="0" distL="0" distR="0" wp14:anchorId="1322DF67" wp14:editId="3BE121D9">
            <wp:extent cx="3230175" cy="3152738"/>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fig6.wmf"/>
                    <pic:cNvPicPr/>
                  </pic:nvPicPr>
                  <pic:blipFill rotWithShape="1">
                    <a:blip r:embed="rId18">
                      <a:extLst>
                        <a:ext uri="{28A0092B-C50C-407E-A947-70E740481C1C}">
                          <a14:useLocalDpi xmlns:a14="http://schemas.microsoft.com/office/drawing/2010/main" val="0"/>
                        </a:ext>
                      </a:extLst>
                    </a:blip>
                    <a:srcRect r="31150" b="32801"/>
                    <a:stretch/>
                  </pic:blipFill>
                  <pic:spPr bwMode="auto">
                    <a:xfrm>
                      <a:off x="0" y="0"/>
                      <a:ext cx="3234502" cy="3156961"/>
                    </a:xfrm>
                    <a:prstGeom prst="rect">
                      <a:avLst/>
                    </a:prstGeom>
                    <a:ln>
                      <a:noFill/>
                    </a:ln>
                    <a:extLst>
                      <a:ext uri="{53640926-AAD7-44D8-BBD7-CCE9431645EC}">
                        <a14:shadowObscured xmlns:a14="http://schemas.microsoft.com/office/drawing/2010/main"/>
                      </a:ext>
                    </a:extLst>
                  </pic:spPr>
                </pic:pic>
              </a:graphicData>
            </a:graphic>
          </wp:inline>
        </w:drawing>
      </w:r>
    </w:p>
    <w:p w14:paraId="777D98E1" w14:textId="7DD81722" w:rsidR="00D63F86" w:rsidRPr="00192094" w:rsidRDefault="00D63F86" w:rsidP="002D4B30">
      <w:pPr>
        <w:keepNext/>
        <w:keepLines/>
        <w:rPr>
          <w:rFonts w:eastAsia="Calibri" w:cs="Arial"/>
          <w:i/>
          <w:sz w:val="18"/>
          <w:szCs w:val="18"/>
          <w:lang w:val="es-ES_tradnl"/>
        </w:rPr>
      </w:pPr>
      <w:r w:rsidRPr="00192094">
        <w:rPr>
          <w:b/>
          <w:sz w:val="18"/>
          <w:szCs w:val="18"/>
          <w:lang w:val="es-ES_tradnl"/>
        </w:rPr>
        <w:t>Figura</w:t>
      </w:r>
      <w:r w:rsidR="00EE5663">
        <w:rPr>
          <w:b/>
          <w:sz w:val="18"/>
          <w:szCs w:val="18"/>
          <w:lang w:val="es-ES_tradnl"/>
        </w:rPr>
        <w:t> </w:t>
      </w:r>
      <w:r w:rsidRPr="00192094">
        <w:rPr>
          <w:b/>
          <w:sz w:val="18"/>
          <w:szCs w:val="18"/>
          <w:lang w:val="es-ES_tradnl"/>
        </w:rPr>
        <w:t>6:</w:t>
      </w:r>
      <w:r w:rsidRPr="00192094">
        <w:rPr>
          <w:sz w:val="18"/>
          <w:szCs w:val="18"/>
          <w:lang w:val="es-ES_tradnl"/>
        </w:rPr>
        <w:t xml:space="preserve"> </w:t>
      </w:r>
      <w:r w:rsidRPr="00192094">
        <w:rPr>
          <w:i/>
          <w:sz w:val="18"/>
          <w:szCs w:val="18"/>
          <w:lang w:val="es-ES_tradnl"/>
        </w:rPr>
        <w:t xml:space="preserve">Ejemplo </w:t>
      </w:r>
      <w:r w:rsidR="00FF6995">
        <w:rPr>
          <w:i/>
          <w:sz w:val="18"/>
          <w:szCs w:val="18"/>
          <w:lang w:val="es-ES_tradnl"/>
        </w:rPr>
        <w:t>de</w:t>
      </w:r>
      <w:r w:rsidRPr="00192094">
        <w:rPr>
          <w:i/>
          <w:sz w:val="18"/>
          <w:szCs w:val="18"/>
          <w:lang w:val="es-ES_tradnl"/>
        </w:rPr>
        <w:t xml:space="preserve"> tendencia marcada. Las variedades de referencia están representadas por ‘x’ y las candidatas por ‘1’ y ‘2’. La línea azul </w:t>
      </w:r>
      <w:r w:rsidR="00FF6995">
        <w:rPr>
          <w:i/>
          <w:sz w:val="18"/>
          <w:szCs w:val="18"/>
          <w:lang w:val="es-ES_tradnl"/>
        </w:rPr>
        <w:t xml:space="preserve">representa </w:t>
      </w:r>
      <w:r w:rsidRPr="00192094">
        <w:rPr>
          <w:i/>
          <w:sz w:val="18"/>
          <w:szCs w:val="18"/>
          <w:lang w:val="es-ES_tradnl"/>
        </w:rPr>
        <w:t xml:space="preserve">el </w:t>
      </w:r>
      <w:proofErr w:type="spellStart"/>
      <w:r w:rsidRPr="00192094">
        <w:rPr>
          <w:i/>
          <w:sz w:val="18"/>
          <w:szCs w:val="18"/>
          <w:lang w:val="es-ES_tradnl"/>
        </w:rPr>
        <w:t>spline</w:t>
      </w:r>
      <w:proofErr w:type="spellEnd"/>
      <w:r w:rsidRPr="00192094">
        <w:rPr>
          <w:i/>
          <w:sz w:val="18"/>
          <w:szCs w:val="18"/>
          <w:lang w:val="es-ES_tradnl"/>
        </w:rPr>
        <w:t>.</w:t>
      </w:r>
    </w:p>
    <w:p w14:paraId="285EE6E0" w14:textId="77777777" w:rsidR="00D63F86" w:rsidRPr="00192094" w:rsidRDefault="00D63F86" w:rsidP="00D63F86">
      <w:pPr>
        <w:rPr>
          <w:rFonts w:eastAsia="Calibri"/>
          <w:lang w:val="es-ES_tradnl"/>
        </w:rPr>
      </w:pPr>
    </w:p>
    <w:p w14:paraId="5BCBF205" w14:textId="77777777" w:rsidR="00D63F86" w:rsidRPr="00192094" w:rsidRDefault="00D63F86" w:rsidP="00D63F86">
      <w:pPr>
        <w:rPr>
          <w:rFonts w:eastAsia="Calibri"/>
          <w:lang w:val="es-ES_tradnl"/>
        </w:rPr>
      </w:pPr>
    </w:p>
    <w:p w14:paraId="3A109111" w14:textId="77777777" w:rsidR="00D63F86" w:rsidRPr="00192094" w:rsidRDefault="00D63F86" w:rsidP="00D63F86">
      <w:pPr>
        <w:pStyle w:val="Heading1"/>
        <w:rPr>
          <w:lang w:val="es-ES_tradnl"/>
        </w:rPr>
      </w:pPr>
      <w:bookmarkStart w:id="28" w:name="_Toc116941343"/>
      <w:r w:rsidRPr="00192094">
        <w:rPr>
          <w:lang w:val="es-ES_tradnl"/>
        </w:rPr>
        <w:t>Es necesario mantener debates</w:t>
      </w:r>
      <w:bookmarkEnd w:id="28"/>
    </w:p>
    <w:p w14:paraId="289A1E8E" w14:textId="77777777" w:rsidR="00D63F86" w:rsidRPr="00192094" w:rsidRDefault="00D63F86" w:rsidP="00D63F86">
      <w:pPr>
        <w:rPr>
          <w:rFonts w:eastAsia="Calibri"/>
          <w:lang w:val="es-ES_tradnl"/>
        </w:rPr>
      </w:pPr>
    </w:p>
    <w:p w14:paraId="3B92FE36" w14:textId="3EDCB5EA" w:rsidR="00D63F86" w:rsidRPr="00192094" w:rsidRDefault="00D63F86" w:rsidP="00D63F86">
      <w:pPr>
        <w:numPr>
          <w:ilvl w:val="0"/>
          <w:numId w:val="1"/>
        </w:numPr>
        <w:contextualSpacing/>
        <w:rPr>
          <w:rFonts w:eastAsia="Calibri" w:cs="Arial"/>
          <w:lang w:val="es-ES_tradnl"/>
        </w:rPr>
      </w:pPr>
      <w:r w:rsidRPr="00192094">
        <w:rPr>
          <w:lang w:val="es-ES_tradnl"/>
        </w:rPr>
        <w:t>La extrapolación es un problema recientemente identificado en el</w:t>
      </w:r>
      <w:r w:rsidR="00EE5663">
        <w:rPr>
          <w:lang w:val="es-ES_tradnl"/>
        </w:rPr>
        <w:t> </w:t>
      </w:r>
      <w:r w:rsidRPr="00192094">
        <w:rPr>
          <w:lang w:val="es-ES_tradnl"/>
        </w:rPr>
        <w:t>COYU y se dispone de poca experiencia práctica en su manejo. Aunque el problema se señaló en el desarrollo del</w:t>
      </w:r>
      <w:r w:rsidR="00EE5663">
        <w:rPr>
          <w:lang w:val="es-ES_tradnl"/>
        </w:rPr>
        <w:t> </w:t>
      </w:r>
      <w:r w:rsidRPr="00192094">
        <w:rPr>
          <w:lang w:val="es-ES_tradnl"/>
        </w:rPr>
        <w:t xml:space="preserve">COYU con </w:t>
      </w:r>
      <w:proofErr w:type="spellStart"/>
      <w:r w:rsidRPr="00192094">
        <w:rPr>
          <w:i/>
          <w:lang w:val="es-ES_tradnl"/>
        </w:rPr>
        <w:t>splines</w:t>
      </w:r>
      <w:proofErr w:type="spellEnd"/>
      <w:r w:rsidRPr="00192094">
        <w:rPr>
          <w:lang w:val="es-ES_tradnl"/>
        </w:rPr>
        <w:t xml:space="preserve">, es igual de pertinente para el antiguo método. Por lo tanto, es necesario mantener debates sobre cómo </w:t>
      </w:r>
      <w:r w:rsidR="00192094" w:rsidRPr="00192094">
        <w:rPr>
          <w:lang w:val="es-ES_tradnl"/>
        </w:rPr>
        <w:t>definirlo</w:t>
      </w:r>
      <w:r w:rsidRPr="00192094">
        <w:rPr>
          <w:lang w:val="es-ES_tradnl"/>
        </w:rPr>
        <w:t xml:space="preserve"> en términos prácticos y sobre qué hacer cuando la extrapolación está indicada.</w:t>
      </w:r>
    </w:p>
    <w:p w14:paraId="112F222E" w14:textId="77777777" w:rsidR="00D63F86" w:rsidRPr="00192094" w:rsidRDefault="00D63F86" w:rsidP="00D63F86">
      <w:pPr>
        <w:ind w:left="360"/>
        <w:contextualSpacing/>
        <w:rPr>
          <w:rFonts w:eastAsia="Calibri" w:cs="Arial"/>
          <w:lang w:val="es-ES_tradnl"/>
        </w:rPr>
      </w:pPr>
    </w:p>
    <w:p w14:paraId="583EF9E7" w14:textId="4328230C" w:rsidR="00D63F86" w:rsidRPr="00192094" w:rsidRDefault="00D63F86" w:rsidP="00D63F86">
      <w:pPr>
        <w:numPr>
          <w:ilvl w:val="0"/>
          <w:numId w:val="1"/>
        </w:numPr>
        <w:contextualSpacing/>
        <w:rPr>
          <w:rFonts w:eastAsia="Calibri" w:cs="Arial"/>
          <w:lang w:val="es-ES_tradnl"/>
        </w:rPr>
      </w:pPr>
      <w:r w:rsidRPr="00192094">
        <w:rPr>
          <w:lang w:val="es-ES_tradnl"/>
        </w:rPr>
        <w:t>Expertos del</w:t>
      </w:r>
      <w:r w:rsidR="00EE5663">
        <w:rPr>
          <w:lang w:val="es-ES_tradnl"/>
        </w:rPr>
        <w:t> </w:t>
      </w:r>
      <w:r w:rsidRPr="00192094">
        <w:rPr>
          <w:lang w:val="es-ES_tradnl"/>
        </w:rPr>
        <w:t>Reino</w:t>
      </w:r>
      <w:r w:rsidR="00EE5663">
        <w:rPr>
          <w:lang w:val="es-ES_tradnl"/>
        </w:rPr>
        <w:t> </w:t>
      </w:r>
      <w:r w:rsidRPr="00192094">
        <w:rPr>
          <w:lang w:val="es-ES_tradnl"/>
        </w:rPr>
        <w:t>Unido han planteado propuestas para iniciar los debates en el foro del</w:t>
      </w:r>
      <w:r w:rsidR="00EE5663">
        <w:rPr>
          <w:lang w:val="es-ES_tradnl"/>
        </w:rPr>
        <w:t> </w:t>
      </w:r>
      <w:r w:rsidRPr="00192094">
        <w:rPr>
          <w:lang w:val="es-ES_tradnl"/>
        </w:rPr>
        <w:t xml:space="preserve">TWM. </w:t>
      </w:r>
    </w:p>
    <w:p w14:paraId="0305FFCB" w14:textId="77777777" w:rsidR="00D63F86" w:rsidRPr="00192094" w:rsidRDefault="00D63F86" w:rsidP="00D63F86">
      <w:pPr>
        <w:rPr>
          <w:rFonts w:eastAsia="Calibri" w:cs="Arial"/>
          <w:lang w:val="es-ES_tradnl"/>
        </w:rPr>
      </w:pPr>
    </w:p>
    <w:p w14:paraId="1832BF4D" w14:textId="15F218DD" w:rsidR="00D63F86" w:rsidRPr="00192094" w:rsidRDefault="00D63F86" w:rsidP="00D63F86">
      <w:pPr>
        <w:numPr>
          <w:ilvl w:val="0"/>
          <w:numId w:val="1"/>
        </w:numPr>
        <w:contextualSpacing/>
        <w:rPr>
          <w:rFonts w:eastAsia="Calibri" w:cs="Arial"/>
          <w:lang w:val="es-ES_tradnl"/>
        </w:rPr>
      </w:pPr>
      <w:r w:rsidRPr="00192094">
        <w:rPr>
          <w:lang w:val="es-ES_tradnl"/>
        </w:rPr>
        <w:t>Una vez que se haya elaborado la orientación, podrá incorporarse en el documento</w:t>
      </w:r>
      <w:r w:rsidR="00EE5663">
        <w:rPr>
          <w:lang w:val="es-ES_tradnl"/>
        </w:rPr>
        <w:t> </w:t>
      </w:r>
      <w:r w:rsidRPr="00192094">
        <w:rPr>
          <w:lang w:val="es-ES_tradnl"/>
        </w:rPr>
        <w:t>TGP/8 y reflejarse en el programa informático.</w:t>
      </w:r>
    </w:p>
    <w:p w14:paraId="6DE1BB6C" w14:textId="77777777" w:rsidR="00D63F86" w:rsidRPr="00192094" w:rsidRDefault="00D63F86" w:rsidP="00D63F86">
      <w:pPr>
        <w:rPr>
          <w:rFonts w:eastAsia="Calibri" w:cs="Arial"/>
          <w:lang w:val="es-ES_tradnl"/>
        </w:rPr>
      </w:pPr>
    </w:p>
    <w:p w14:paraId="07E015E6" w14:textId="77777777" w:rsidR="00D63F86" w:rsidRPr="00192094" w:rsidRDefault="00D63F86" w:rsidP="00D63F86">
      <w:pPr>
        <w:rPr>
          <w:lang w:val="es-ES_tradnl"/>
        </w:rPr>
      </w:pPr>
    </w:p>
    <w:p w14:paraId="3AB4CF2E" w14:textId="77777777" w:rsidR="00D63F86" w:rsidRPr="00192094" w:rsidRDefault="00D63F86" w:rsidP="00D63F86">
      <w:pPr>
        <w:rPr>
          <w:lang w:val="es-ES_tradnl"/>
        </w:rPr>
      </w:pPr>
    </w:p>
    <w:p w14:paraId="457CDB25" w14:textId="2ACF1F67" w:rsidR="00D63F86" w:rsidRPr="00192094" w:rsidRDefault="00D63F86" w:rsidP="00D63F86">
      <w:pPr>
        <w:jc w:val="right"/>
        <w:rPr>
          <w:lang w:val="es-ES_tradnl"/>
        </w:rPr>
      </w:pPr>
      <w:r w:rsidRPr="00192094">
        <w:rPr>
          <w:lang w:val="es-ES_tradnl"/>
        </w:rPr>
        <w:t>[Fin del Anexo</w:t>
      </w:r>
      <w:r w:rsidR="00EE5663">
        <w:rPr>
          <w:lang w:val="es-ES_tradnl"/>
        </w:rPr>
        <w:t> </w:t>
      </w:r>
      <w:r w:rsidRPr="00192094">
        <w:rPr>
          <w:lang w:val="es-ES_tradnl"/>
        </w:rPr>
        <w:t>II y del documento]</w:t>
      </w:r>
    </w:p>
    <w:sectPr w:rsidR="00D63F86" w:rsidRPr="00192094" w:rsidSect="00D63F86">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9FE39" w14:textId="77777777" w:rsidR="00836AFB" w:rsidRDefault="00836AFB" w:rsidP="006655D3">
      <w:r>
        <w:separator/>
      </w:r>
    </w:p>
    <w:p w14:paraId="623A9A96" w14:textId="77777777" w:rsidR="00836AFB" w:rsidRDefault="00836AFB" w:rsidP="006655D3"/>
    <w:p w14:paraId="7D494A13" w14:textId="77777777" w:rsidR="00836AFB" w:rsidRDefault="00836AFB" w:rsidP="006655D3"/>
  </w:endnote>
  <w:endnote w:type="continuationSeparator" w:id="0">
    <w:p w14:paraId="79753524" w14:textId="77777777" w:rsidR="00836AFB" w:rsidRDefault="00836AFB" w:rsidP="006655D3">
      <w:r>
        <w:separator/>
      </w:r>
    </w:p>
    <w:p w14:paraId="2084AD7A" w14:textId="77777777" w:rsidR="00836AFB" w:rsidRPr="00294751" w:rsidRDefault="00836AFB">
      <w:pPr>
        <w:pStyle w:val="Footer"/>
        <w:spacing w:after="60"/>
        <w:rPr>
          <w:sz w:val="18"/>
          <w:lang w:val="fr-FR"/>
        </w:rPr>
      </w:pPr>
      <w:r w:rsidRPr="00294751">
        <w:rPr>
          <w:sz w:val="18"/>
          <w:lang w:val="fr-FR"/>
        </w:rPr>
        <w:t>[Suite de la note de la page précédente]</w:t>
      </w:r>
    </w:p>
    <w:p w14:paraId="1CFFDD7D" w14:textId="77777777" w:rsidR="00836AFB" w:rsidRPr="00294751" w:rsidRDefault="00836AFB" w:rsidP="006655D3">
      <w:pPr>
        <w:rPr>
          <w:lang w:val="fr-FR"/>
        </w:rPr>
      </w:pPr>
    </w:p>
    <w:p w14:paraId="1EE0D8C8" w14:textId="77777777" w:rsidR="00836AFB" w:rsidRPr="00294751" w:rsidRDefault="00836AFB" w:rsidP="006655D3">
      <w:pPr>
        <w:rPr>
          <w:lang w:val="fr-FR"/>
        </w:rPr>
      </w:pPr>
    </w:p>
  </w:endnote>
  <w:endnote w:type="continuationNotice" w:id="1">
    <w:p w14:paraId="38241B1B" w14:textId="77777777" w:rsidR="00836AFB" w:rsidRPr="00294751" w:rsidRDefault="00836AFB" w:rsidP="006655D3">
      <w:pPr>
        <w:rPr>
          <w:lang w:val="fr-FR"/>
        </w:rPr>
      </w:pPr>
      <w:r w:rsidRPr="00294751">
        <w:rPr>
          <w:lang w:val="fr-FR"/>
        </w:rPr>
        <w:t>[Suite de la note page suivante]</w:t>
      </w:r>
    </w:p>
    <w:p w14:paraId="5C30B40C" w14:textId="77777777" w:rsidR="00836AFB" w:rsidRPr="00294751" w:rsidRDefault="00836AFB" w:rsidP="006655D3">
      <w:pPr>
        <w:rPr>
          <w:lang w:val="fr-FR"/>
        </w:rPr>
      </w:pPr>
    </w:p>
    <w:p w14:paraId="53781703" w14:textId="77777777" w:rsidR="00836AFB" w:rsidRPr="00294751" w:rsidRDefault="00836AF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B493B" w14:textId="77777777" w:rsidR="00836AFB" w:rsidRDefault="00836AFB" w:rsidP="006655D3">
      <w:r>
        <w:separator/>
      </w:r>
    </w:p>
  </w:footnote>
  <w:footnote w:type="continuationSeparator" w:id="0">
    <w:p w14:paraId="41E3D035" w14:textId="77777777" w:rsidR="00836AFB" w:rsidRDefault="00836AFB" w:rsidP="006655D3">
      <w:r>
        <w:separator/>
      </w:r>
    </w:p>
  </w:footnote>
  <w:footnote w:type="continuationNotice" w:id="1">
    <w:p w14:paraId="24CC9248" w14:textId="77777777" w:rsidR="00836AFB" w:rsidRPr="00AB530F" w:rsidRDefault="00836AFB" w:rsidP="00AB530F">
      <w:pPr>
        <w:pStyle w:val="Footer"/>
      </w:pPr>
    </w:p>
  </w:footnote>
  <w:footnote w:id="2">
    <w:p w14:paraId="595FB4D6" w14:textId="6BB16C4F" w:rsidR="00D63F86" w:rsidRDefault="00D63F86" w:rsidP="00D63F86">
      <w:pPr>
        <w:pStyle w:val="FootnoteText"/>
      </w:pPr>
      <w:r>
        <w:rPr>
          <w:rStyle w:val="FootnoteReference"/>
        </w:rPr>
        <w:footnoteRef/>
      </w:r>
      <w:r>
        <w:t xml:space="preserve"> Celebrada en Ginebra los días</w:t>
      </w:r>
      <w:r w:rsidR="005C1272">
        <w:t> </w:t>
      </w:r>
      <w:r>
        <w:t>29 y</w:t>
      </w:r>
      <w:r w:rsidR="005C1272">
        <w:t> </w:t>
      </w:r>
      <w:r>
        <w:t>30 de octubre de</w:t>
      </w:r>
      <w:r w:rsidR="005C1272">
        <w:t> </w:t>
      </w:r>
      <w:r>
        <w:t>2018</w:t>
      </w:r>
    </w:p>
  </w:footnote>
  <w:footnote w:id="3">
    <w:p w14:paraId="47A95EA4" w14:textId="77777777" w:rsidR="00D63F86" w:rsidRDefault="00D63F86" w:rsidP="00D63F86">
      <w:pPr>
        <w:pStyle w:val="FootnoteText"/>
      </w:pPr>
      <w:r>
        <w:rPr>
          <w:rStyle w:val="FootnoteReference"/>
        </w:rPr>
        <w:footnoteRef/>
      </w:r>
      <w:r>
        <w:t xml:space="preserve"> En su quincuagésima séptima sesión, celebrada por medios electrónicos los días 25 y 26 de octubre de 2021</w:t>
      </w:r>
    </w:p>
  </w:footnote>
  <w:footnote w:id="4">
    <w:p w14:paraId="47A09ECE" w14:textId="0D0F4D69" w:rsidR="00D63F86" w:rsidRPr="0067537F" w:rsidRDefault="00D63F86" w:rsidP="00D63F86">
      <w:pPr>
        <w:pStyle w:val="FootnoteText"/>
      </w:pPr>
      <w:r>
        <w:rPr>
          <w:rStyle w:val="FootnoteReference"/>
        </w:rPr>
        <w:footnoteRef/>
      </w:r>
      <w:r>
        <w:t xml:space="preserve"> </w:t>
      </w:r>
      <w:r w:rsidR="005C1272">
        <w:t>E</w:t>
      </w:r>
      <w:r>
        <w:t>n su quincuagésima sexta sesión, celebrada por medios electrónicos del</w:t>
      </w:r>
      <w:r w:rsidR="005C1272">
        <w:t> </w:t>
      </w:r>
      <w:r>
        <w:t>18 al 22 de abril de 2022</w:t>
      </w:r>
    </w:p>
  </w:footnote>
  <w:footnote w:id="5">
    <w:p w14:paraId="77F92DE2" w14:textId="4291C2E3" w:rsidR="00D63F86" w:rsidRPr="0067537F" w:rsidRDefault="00D63F86" w:rsidP="00D63F86">
      <w:pPr>
        <w:pStyle w:val="FootnoteText"/>
        <w:rPr>
          <w:highlight w:val="cyan"/>
        </w:rPr>
      </w:pPr>
      <w:r>
        <w:rPr>
          <w:rStyle w:val="FootnoteReference"/>
        </w:rPr>
        <w:footnoteRef/>
      </w:r>
      <w:r>
        <w:t xml:space="preserve"> </w:t>
      </w:r>
      <w:r w:rsidR="005C1272">
        <w:t>E</w:t>
      </w:r>
      <w:r>
        <w:t>n su quincuagésima primera sesión, organizada por el Reino Unido y celebrada por medios electrónicos del</w:t>
      </w:r>
      <w:r w:rsidR="005C1272">
        <w:t> </w:t>
      </w:r>
      <w:r>
        <w:t>23 al</w:t>
      </w:r>
      <w:r w:rsidR="005C1272">
        <w:t> </w:t>
      </w:r>
      <w:r>
        <w:t>27 de mayo de 2022</w:t>
      </w:r>
    </w:p>
  </w:footnote>
  <w:footnote w:id="6">
    <w:p w14:paraId="2D622A45" w14:textId="61A8273C" w:rsidR="00D63F86" w:rsidRPr="0067537F" w:rsidRDefault="00D63F86" w:rsidP="00D63F86">
      <w:pPr>
        <w:pStyle w:val="FootnoteText"/>
        <w:rPr>
          <w:highlight w:val="cyan"/>
        </w:rPr>
      </w:pPr>
      <w:r>
        <w:rPr>
          <w:rStyle w:val="FootnoteReference"/>
        </w:rPr>
        <w:footnoteRef/>
      </w:r>
      <w:r>
        <w:t xml:space="preserve"> </w:t>
      </w:r>
      <w:r w:rsidR="005C1272">
        <w:t>E</w:t>
      </w:r>
      <w:r>
        <w:t>n su quincuagésima cuarta sesión, organizada por Alemania y celebrada por medios electrónicos del</w:t>
      </w:r>
      <w:r w:rsidR="005C1272">
        <w:t> </w:t>
      </w:r>
      <w:r>
        <w:t>13 al</w:t>
      </w:r>
      <w:r w:rsidR="005C1272">
        <w:t> </w:t>
      </w:r>
      <w:r>
        <w:t>17 de junio de 2022</w:t>
      </w:r>
    </w:p>
  </w:footnote>
  <w:footnote w:id="7">
    <w:p w14:paraId="29FC5396" w14:textId="0290B3FB" w:rsidR="00D63F86" w:rsidRDefault="00D63F86" w:rsidP="00D63F86">
      <w:pPr>
        <w:pStyle w:val="FootnoteText"/>
      </w:pPr>
      <w:r>
        <w:rPr>
          <w:rStyle w:val="FootnoteReference"/>
        </w:rPr>
        <w:footnoteRef/>
      </w:r>
      <w:r>
        <w:t xml:space="preserve"> </w:t>
      </w:r>
      <w:r w:rsidR="005C1272">
        <w:t>E</w:t>
      </w:r>
      <w:r>
        <w:t>n su quincuagésima tercera sesión, celebrada por medios electrónicos del</w:t>
      </w:r>
      <w:r w:rsidR="005C1272">
        <w:t> </w:t>
      </w:r>
      <w:r>
        <w:t>11 al</w:t>
      </w:r>
      <w:r w:rsidR="005C1272">
        <w:t> </w:t>
      </w:r>
      <w:r>
        <w:t>15 de julio de 2022</w:t>
      </w:r>
    </w:p>
  </w:footnote>
  <w:footnote w:id="8">
    <w:p w14:paraId="501F7603" w14:textId="6131F9E3" w:rsidR="00D63F86" w:rsidRPr="005F1F78" w:rsidRDefault="00D63F86" w:rsidP="00D63F86">
      <w:pPr>
        <w:pStyle w:val="FootnoteText"/>
      </w:pPr>
      <w:r>
        <w:rPr>
          <w:rStyle w:val="FootnoteReference"/>
        </w:rPr>
        <w:footnoteRef/>
      </w:r>
      <w:r>
        <w:t xml:space="preserve"> </w:t>
      </w:r>
      <w:r w:rsidR="005C1272">
        <w:t>E</w:t>
      </w:r>
      <w:r>
        <w:t>n su primera sesión, celebrada por medios electrónicos del</w:t>
      </w:r>
      <w:r w:rsidR="005C1272">
        <w:t> </w:t>
      </w:r>
      <w:r>
        <w:t>19 al</w:t>
      </w:r>
      <w:r w:rsidR="005C1272">
        <w:t> </w:t>
      </w:r>
      <w:r>
        <w:t>23 de septiembre de 2022</w:t>
      </w:r>
    </w:p>
  </w:footnote>
  <w:footnote w:id="9">
    <w:p w14:paraId="61FF26BB" w14:textId="77777777" w:rsidR="00D63F86" w:rsidRDefault="00D63F86" w:rsidP="00D63F86">
      <w:pPr>
        <w:pStyle w:val="FootnoteText"/>
      </w:pPr>
      <w:r>
        <w:rPr>
          <w:rStyle w:val="FootnoteReference"/>
        </w:rPr>
        <w:footnoteRef/>
      </w:r>
      <w:r>
        <w:t xml:space="preserve"> Las variedades comparables son variedades conocidas consideradas de un tipo o naturaleza similar a la de la nueva variedad en cuestión. En este contexto, en los documentos TG/1/3 y TGP/8/3 se prefiere esta terminología al término variedades de referencia.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ED05A" w14:textId="77777777" w:rsidR="00D63F86" w:rsidRPr="00D63F86" w:rsidRDefault="00D63F86" w:rsidP="00EB048E">
    <w:pPr>
      <w:pStyle w:val="Header"/>
      <w:rPr>
        <w:rStyle w:val="PageNumber"/>
      </w:rPr>
    </w:pPr>
    <w:r>
      <w:rPr>
        <w:rStyle w:val="PageNumber"/>
      </w:rPr>
      <w:t>TC/58/6</w:t>
    </w:r>
  </w:p>
  <w:p w14:paraId="049BF812" w14:textId="61F56E4F" w:rsidR="00D63F86" w:rsidRPr="00D63F86" w:rsidRDefault="00D63F86" w:rsidP="00B06F4E">
    <w:pPr>
      <w:jc w:val="center"/>
    </w:pPr>
    <w:r>
      <w:t xml:space="preserve">página </w:t>
    </w:r>
    <w:r w:rsidRPr="00D63F86">
      <w:fldChar w:fldCharType="begin"/>
    </w:r>
    <w:r w:rsidRPr="00D63F86">
      <w:instrText xml:space="preserve"> PAGE </w:instrText>
    </w:r>
    <w:r w:rsidRPr="00D63F86">
      <w:fldChar w:fldCharType="separate"/>
    </w:r>
    <w:r w:rsidR="0093209B">
      <w:rPr>
        <w:noProof/>
      </w:rPr>
      <w:t>4</w:t>
    </w:r>
    <w:r w:rsidRPr="00D63F86">
      <w:fldChar w:fldCharType="end"/>
    </w:r>
  </w:p>
  <w:p w14:paraId="6E88892D" w14:textId="77777777" w:rsidR="00D63F86" w:rsidRPr="00D63F86" w:rsidRDefault="00D63F86"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013CD" w14:textId="77777777" w:rsidR="00D63F86" w:rsidRPr="00D63F86" w:rsidRDefault="00D63F86" w:rsidP="00D63F86">
    <w:pPr>
      <w:pStyle w:val="Header"/>
      <w:rPr>
        <w:rStyle w:val="PageNumber"/>
      </w:rPr>
    </w:pPr>
    <w:r>
      <w:rPr>
        <w:rStyle w:val="PageNumber"/>
      </w:rPr>
      <w:t>TC/58/6</w:t>
    </w:r>
  </w:p>
  <w:p w14:paraId="1A045FC4" w14:textId="5A332F31" w:rsidR="00D63F86" w:rsidRPr="00D63F86" w:rsidRDefault="00D63F86" w:rsidP="00D63F86">
    <w:pPr>
      <w:jc w:val="center"/>
    </w:pPr>
    <w:r>
      <w:t xml:space="preserve">Anexo I, página </w:t>
    </w:r>
    <w:r w:rsidRPr="00D63F86">
      <w:fldChar w:fldCharType="begin"/>
    </w:r>
    <w:r w:rsidRPr="00D63F86">
      <w:instrText xml:space="preserve"> PAGE </w:instrText>
    </w:r>
    <w:r w:rsidRPr="00D63F86">
      <w:fldChar w:fldCharType="separate"/>
    </w:r>
    <w:r w:rsidR="0093209B">
      <w:rPr>
        <w:noProof/>
      </w:rPr>
      <w:t>3</w:t>
    </w:r>
    <w:r w:rsidRPr="00D63F86">
      <w:fldChar w:fldCharType="end"/>
    </w:r>
  </w:p>
  <w:p w14:paraId="34DA8FD6" w14:textId="77777777" w:rsidR="00D63F86" w:rsidRPr="00D63F86" w:rsidRDefault="00D63F86" w:rsidP="00D63F86">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34505" w14:textId="77777777" w:rsidR="00D63F86" w:rsidRDefault="00D63F86" w:rsidP="00A16EC8">
    <w:pPr>
      <w:jc w:val="center"/>
      <w:rPr>
        <w:rStyle w:val="PageNumber"/>
      </w:rPr>
    </w:pPr>
    <w:r>
      <w:rPr>
        <w:rStyle w:val="PageNumber"/>
      </w:rPr>
      <w:t>TC/58/6</w:t>
    </w:r>
  </w:p>
  <w:p w14:paraId="288BA82F" w14:textId="77777777" w:rsidR="00D63F86" w:rsidRDefault="00D63F86" w:rsidP="00A16EC8">
    <w:pPr>
      <w:jc w:val="center"/>
      <w:rPr>
        <w:rStyle w:val="PageNumber"/>
      </w:rPr>
    </w:pPr>
  </w:p>
  <w:p w14:paraId="10BFE4F9" w14:textId="77777777" w:rsidR="00D63F86" w:rsidRDefault="00D63F86" w:rsidP="00A16EC8">
    <w:pPr>
      <w:jc w:val="center"/>
    </w:pPr>
    <w:r>
      <w:t>ANEXO I</w:t>
    </w:r>
  </w:p>
  <w:p w14:paraId="2CBFEC64" w14:textId="77777777" w:rsidR="00D63F86" w:rsidRPr="0004198B" w:rsidRDefault="00D63F86" w:rsidP="00A16EC8">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876AD" w14:textId="05B76DD9" w:rsidR="00182B99" w:rsidRPr="00D63F86" w:rsidRDefault="002458C3" w:rsidP="00D63F86">
    <w:pPr>
      <w:pStyle w:val="Header"/>
      <w:rPr>
        <w:rStyle w:val="PageNumber"/>
      </w:rPr>
    </w:pPr>
    <w:r>
      <w:rPr>
        <w:rStyle w:val="PageNumber"/>
      </w:rPr>
      <w:t>TC/58/</w:t>
    </w:r>
    <w:r w:rsidR="0093209B">
      <w:rPr>
        <w:rStyle w:val="PageNumber"/>
      </w:rPr>
      <w:t>6</w:t>
    </w:r>
  </w:p>
  <w:p w14:paraId="48FDB2A0" w14:textId="3B343CF1" w:rsidR="00182B99" w:rsidRPr="00D63F86" w:rsidRDefault="00D63F86" w:rsidP="00D63F86">
    <w:pPr>
      <w:pStyle w:val="Header"/>
    </w:pPr>
    <w:r>
      <w:t xml:space="preserve">Anexo II, página </w:t>
    </w:r>
    <w:r w:rsidR="00182B99" w:rsidRPr="00D63F86">
      <w:rPr>
        <w:rStyle w:val="PageNumber"/>
      </w:rPr>
      <w:fldChar w:fldCharType="begin"/>
    </w:r>
    <w:r w:rsidR="00182B99" w:rsidRPr="00D63F86">
      <w:rPr>
        <w:rStyle w:val="PageNumber"/>
      </w:rPr>
      <w:instrText xml:space="preserve"> PAGE </w:instrText>
    </w:r>
    <w:r w:rsidR="00182B99" w:rsidRPr="00D63F86">
      <w:rPr>
        <w:rStyle w:val="PageNumber"/>
      </w:rPr>
      <w:fldChar w:fldCharType="separate"/>
    </w:r>
    <w:r w:rsidR="0093209B">
      <w:rPr>
        <w:rStyle w:val="PageNumber"/>
        <w:noProof/>
      </w:rPr>
      <w:t>6</w:t>
    </w:r>
    <w:r w:rsidR="00182B99" w:rsidRPr="00D63F86">
      <w:rPr>
        <w:rStyle w:val="PageNumber"/>
      </w:rPr>
      <w:fldChar w:fldCharType="end"/>
    </w:r>
  </w:p>
  <w:p w14:paraId="47BA6DA1" w14:textId="77777777" w:rsidR="00182B99" w:rsidRPr="00D63F86" w:rsidRDefault="00182B99" w:rsidP="00D63F86">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3A2A5" w14:textId="77777777" w:rsidR="00D63F86" w:rsidRDefault="00D63F86" w:rsidP="00A16EC8">
    <w:pPr>
      <w:jc w:val="center"/>
      <w:rPr>
        <w:rStyle w:val="PageNumber"/>
      </w:rPr>
    </w:pPr>
    <w:r>
      <w:rPr>
        <w:rStyle w:val="PageNumber"/>
      </w:rPr>
      <w:t>TC/58/6</w:t>
    </w:r>
  </w:p>
  <w:p w14:paraId="06D35D3A" w14:textId="77777777" w:rsidR="00D63F86" w:rsidRDefault="00D63F86" w:rsidP="00A16EC8">
    <w:pPr>
      <w:jc w:val="center"/>
      <w:rPr>
        <w:rStyle w:val="PageNumber"/>
      </w:rPr>
    </w:pPr>
  </w:p>
  <w:p w14:paraId="75AC1FE8" w14:textId="77777777" w:rsidR="00D63F86" w:rsidRDefault="00D63F86" w:rsidP="00A16EC8">
    <w:pPr>
      <w:jc w:val="center"/>
    </w:pPr>
    <w:r>
      <w:t>ANEXO II</w:t>
    </w:r>
  </w:p>
  <w:p w14:paraId="6750FD11" w14:textId="77777777" w:rsidR="00D63F86" w:rsidRPr="0004198B" w:rsidRDefault="00D63F86" w:rsidP="00A16EC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7EF2"/>
    <w:multiLevelType w:val="hybridMultilevel"/>
    <w:tmpl w:val="C352DB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D6439B4"/>
    <w:multiLevelType w:val="hybridMultilevel"/>
    <w:tmpl w:val="E9F037C2"/>
    <w:lvl w:ilvl="0" w:tplc="0C0A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EB783F"/>
    <w:multiLevelType w:val="hybridMultilevel"/>
    <w:tmpl w:val="354C1F2A"/>
    <w:lvl w:ilvl="0" w:tplc="EE26DAB2">
      <w:start w:val="1"/>
      <w:numFmt w:val="decimal"/>
      <w:lvlText w:val="%1."/>
      <w:lvlJc w:val="left"/>
      <w:pPr>
        <w:ind w:left="360" w:hanging="360"/>
      </w:pPr>
      <w:rPr>
        <w:rFonts w:ascii="Arial" w:hAnsi="Arial" w:cs="Arial" w:hint="default"/>
        <w:i w:val="0"/>
        <w:sz w:val="20"/>
        <w:szCs w:val="2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D04FC4"/>
    <w:multiLevelType w:val="hybridMultilevel"/>
    <w:tmpl w:val="9780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533CFD"/>
    <w:multiLevelType w:val="hybridMultilevel"/>
    <w:tmpl w:val="F894C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6B30A8"/>
    <w:multiLevelType w:val="hybridMultilevel"/>
    <w:tmpl w:val="E1C4E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A5320D"/>
    <w:multiLevelType w:val="hybridMultilevel"/>
    <w:tmpl w:val="FEBAD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F86"/>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541E5"/>
    <w:rsid w:val="00172084"/>
    <w:rsid w:val="0017474A"/>
    <w:rsid w:val="001758C6"/>
    <w:rsid w:val="00182B99"/>
    <w:rsid w:val="00192094"/>
    <w:rsid w:val="001F64BF"/>
    <w:rsid w:val="00200103"/>
    <w:rsid w:val="00202E38"/>
    <w:rsid w:val="002103B5"/>
    <w:rsid w:val="0021332C"/>
    <w:rsid w:val="00213982"/>
    <w:rsid w:val="0024416D"/>
    <w:rsid w:val="002458C3"/>
    <w:rsid w:val="002464A3"/>
    <w:rsid w:val="00271911"/>
    <w:rsid w:val="002800A0"/>
    <w:rsid w:val="002801B3"/>
    <w:rsid w:val="00281060"/>
    <w:rsid w:val="002940E8"/>
    <w:rsid w:val="00294751"/>
    <w:rsid w:val="002A6E50"/>
    <w:rsid w:val="002B4298"/>
    <w:rsid w:val="002C256A"/>
    <w:rsid w:val="002C3D98"/>
    <w:rsid w:val="002D4B30"/>
    <w:rsid w:val="002E5944"/>
    <w:rsid w:val="002F2837"/>
    <w:rsid w:val="00305A7F"/>
    <w:rsid w:val="003152FE"/>
    <w:rsid w:val="00324098"/>
    <w:rsid w:val="00327436"/>
    <w:rsid w:val="00340D6C"/>
    <w:rsid w:val="00344BD6"/>
    <w:rsid w:val="0035528D"/>
    <w:rsid w:val="00361821"/>
    <w:rsid w:val="00361E9E"/>
    <w:rsid w:val="003A5714"/>
    <w:rsid w:val="003B031A"/>
    <w:rsid w:val="003C7FBE"/>
    <w:rsid w:val="003D099F"/>
    <w:rsid w:val="003D227C"/>
    <w:rsid w:val="003D2B4D"/>
    <w:rsid w:val="0040557F"/>
    <w:rsid w:val="00413592"/>
    <w:rsid w:val="00444A88"/>
    <w:rsid w:val="00467B42"/>
    <w:rsid w:val="00474DA4"/>
    <w:rsid w:val="00476B4D"/>
    <w:rsid w:val="004805FA"/>
    <w:rsid w:val="004935D2"/>
    <w:rsid w:val="004B1215"/>
    <w:rsid w:val="004D047D"/>
    <w:rsid w:val="004F1E9E"/>
    <w:rsid w:val="004F305A"/>
    <w:rsid w:val="00512164"/>
    <w:rsid w:val="00520297"/>
    <w:rsid w:val="005221B2"/>
    <w:rsid w:val="005338F9"/>
    <w:rsid w:val="0054281C"/>
    <w:rsid w:val="00544581"/>
    <w:rsid w:val="00545E42"/>
    <w:rsid w:val="0055268D"/>
    <w:rsid w:val="00576BE4"/>
    <w:rsid w:val="005A1EC1"/>
    <w:rsid w:val="005A400A"/>
    <w:rsid w:val="005C1272"/>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B7ABB"/>
    <w:rsid w:val="006C224E"/>
    <w:rsid w:val="006D780A"/>
    <w:rsid w:val="0071271E"/>
    <w:rsid w:val="0072205F"/>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6AFB"/>
    <w:rsid w:val="00846D7C"/>
    <w:rsid w:val="00846FCE"/>
    <w:rsid w:val="00864C55"/>
    <w:rsid w:val="00867AC1"/>
    <w:rsid w:val="00890DF8"/>
    <w:rsid w:val="008A743F"/>
    <w:rsid w:val="008B3D8D"/>
    <w:rsid w:val="008C0970"/>
    <w:rsid w:val="008D0BC5"/>
    <w:rsid w:val="008D2CF7"/>
    <w:rsid w:val="00900C26"/>
    <w:rsid w:val="0090197F"/>
    <w:rsid w:val="00906DDC"/>
    <w:rsid w:val="0093209B"/>
    <w:rsid w:val="00934E09"/>
    <w:rsid w:val="00936253"/>
    <w:rsid w:val="00940D46"/>
    <w:rsid w:val="00952DD4"/>
    <w:rsid w:val="0096175D"/>
    <w:rsid w:val="00965AE7"/>
    <w:rsid w:val="00970FED"/>
    <w:rsid w:val="00992D82"/>
    <w:rsid w:val="00997029"/>
    <w:rsid w:val="009A7339"/>
    <w:rsid w:val="009B3FC5"/>
    <w:rsid w:val="009B440E"/>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92563"/>
    <w:rsid w:val="00BA43FB"/>
    <w:rsid w:val="00BB519F"/>
    <w:rsid w:val="00BC0BD4"/>
    <w:rsid w:val="00BC127D"/>
    <w:rsid w:val="00BC1FE6"/>
    <w:rsid w:val="00C061B6"/>
    <w:rsid w:val="00C13E39"/>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63F86"/>
    <w:rsid w:val="00D91203"/>
    <w:rsid w:val="00D95174"/>
    <w:rsid w:val="00DA4973"/>
    <w:rsid w:val="00DA6F36"/>
    <w:rsid w:val="00DB596E"/>
    <w:rsid w:val="00DB7773"/>
    <w:rsid w:val="00DC00EA"/>
    <w:rsid w:val="00DC3802"/>
    <w:rsid w:val="00E07D87"/>
    <w:rsid w:val="00E13F8E"/>
    <w:rsid w:val="00E32F7E"/>
    <w:rsid w:val="00E5267B"/>
    <w:rsid w:val="00E63C0E"/>
    <w:rsid w:val="00E72D49"/>
    <w:rsid w:val="00E7593C"/>
    <w:rsid w:val="00E7678A"/>
    <w:rsid w:val="00E935F1"/>
    <w:rsid w:val="00E94A81"/>
    <w:rsid w:val="00EA1FFB"/>
    <w:rsid w:val="00EB048E"/>
    <w:rsid w:val="00EB4E9C"/>
    <w:rsid w:val="00EC2265"/>
    <w:rsid w:val="00ED7D18"/>
    <w:rsid w:val="00EE34DF"/>
    <w:rsid w:val="00EE4E6E"/>
    <w:rsid w:val="00EE5663"/>
    <w:rsid w:val="00EF2F89"/>
    <w:rsid w:val="00F03E98"/>
    <w:rsid w:val="00F1237A"/>
    <w:rsid w:val="00F22CBD"/>
    <w:rsid w:val="00F272F1"/>
    <w:rsid w:val="00F45372"/>
    <w:rsid w:val="00F560F7"/>
    <w:rsid w:val="00F6334D"/>
    <w:rsid w:val="00FA49AB"/>
    <w:rsid w:val="00FD3F87"/>
    <w:rsid w:val="00FE39C7"/>
    <w:rsid w:val="00FF4D07"/>
    <w:rsid w:val="00FF6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B76E4"/>
  <w15:docId w15:val="{49AEE26C-0D9F-4C8F-8563-5EB5B147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D63F86"/>
    <w:pPr>
      <w:spacing w:before="60"/>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2D4B30"/>
    <w:pPr>
      <w:tabs>
        <w:tab w:val="right" w:leader="dot" w:pos="9639"/>
      </w:tabs>
      <w:spacing w:before="60" w:after="60"/>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D63F86"/>
    <w:rPr>
      <w:rFonts w:ascii="Arial" w:hAnsi="Arial"/>
      <w:sz w:val="16"/>
      <w:lang w:val="es-ES"/>
    </w:rPr>
  </w:style>
  <w:style w:type="character" w:customStyle="1" w:styleId="TitleofdocChar">
    <w:name w:val="Title_of_doc Char"/>
    <w:link w:val="Titleofdoc0"/>
    <w:rsid w:val="00D63F86"/>
    <w:rPr>
      <w:rFonts w:ascii="Arial" w:hAnsi="Arial"/>
      <w:b/>
      <w:caps/>
      <w:lang w:val="es-ES"/>
    </w:rPr>
  </w:style>
  <w:style w:type="table" w:styleId="TableGrid">
    <w:name w:val="Table Grid"/>
    <w:basedOn w:val="TableNormal"/>
    <w:uiPriority w:val="39"/>
    <w:rsid w:val="00D63F8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next w:val="PlainTable5"/>
    <w:uiPriority w:val="45"/>
    <w:rsid w:val="00D63F86"/>
    <w:rPr>
      <w:rFonts w:ascii="Calibri" w:eastAsia="Calibri" w:hAnsi="Calibri"/>
      <w:sz w:val="22"/>
      <w:szCs w:val="22"/>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D63F8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header" Target="header3.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upov.int/edocs/mdocs/upov/en/twc_35/twc_35_6.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4610</Words>
  <Characters>24410</Characters>
  <Application>Microsoft Office Word</Application>
  <DocSecurity>0</DocSecurity>
  <Lines>203</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TC/58/6</vt:lpstr>
      <vt:lpstr>TC/58/6</vt:lpstr>
    </vt:vector>
  </TitlesOfParts>
  <Company>UPOV</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TC/58/6</dc:title>
  <dc:creator>BOU LLORET Amparo</dc:creator>
  <cp:lastModifiedBy>FALQUET Kasumi</cp:lastModifiedBy>
  <cp:revision>4</cp:revision>
  <cp:lastPrinted>2016-11-22T15:41:00Z</cp:lastPrinted>
  <dcterms:created xsi:type="dcterms:W3CDTF">2022-10-18T09:02:00Z</dcterms:created>
  <dcterms:modified xsi:type="dcterms:W3CDTF">2022-10-18T14:25:00Z</dcterms:modified>
</cp:coreProperties>
</file>