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8570F" w:rsidTr="00EB4E9C">
        <w:tc>
          <w:tcPr>
            <w:tcW w:w="6522" w:type="dxa"/>
          </w:tcPr>
          <w:p w:rsidR="00DC3802" w:rsidRPr="00C8570F" w:rsidRDefault="00DC3802" w:rsidP="00CF1D83">
            <w:pPr>
              <w:rPr>
                <w:dstrike/>
              </w:rPr>
            </w:pPr>
            <w:r w:rsidRPr="00CF1D83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F1D83" w:rsidRDefault="002E5944" w:rsidP="00AC2883">
            <w:pPr>
              <w:pStyle w:val="Lettrine"/>
            </w:pPr>
            <w:r w:rsidRPr="00CF1D83">
              <w:t>S</w:t>
            </w:r>
          </w:p>
        </w:tc>
      </w:tr>
      <w:tr w:rsidR="00DC3802" w:rsidRPr="00C8570F" w:rsidTr="00645CA8">
        <w:trPr>
          <w:trHeight w:val="219"/>
        </w:trPr>
        <w:tc>
          <w:tcPr>
            <w:tcW w:w="6522" w:type="dxa"/>
          </w:tcPr>
          <w:p w:rsidR="00DC3802" w:rsidRPr="00C8570F" w:rsidRDefault="002E5944" w:rsidP="00BC0BD4">
            <w:pPr>
              <w:pStyle w:val="upove"/>
              <w:rPr>
                <w:dstrike/>
              </w:rPr>
            </w:pPr>
            <w:r w:rsidRPr="00CF1D83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CF1D83" w:rsidRDefault="00DC3802" w:rsidP="00DA4973"/>
        </w:tc>
      </w:tr>
    </w:tbl>
    <w:p w:rsidR="00DC3802" w:rsidRPr="00CF1D83" w:rsidRDefault="00DC3802" w:rsidP="00DC3802"/>
    <w:p w:rsidR="00DA4973" w:rsidRPr="00CF1D83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8570F" w:rsidTr="00EB4E9C">
        <w:tc>
          <w:tcPr>
            <w:tcW w:w="6512" w:type="dxa"/>
          </w:tcPr>
          <w:p w:rsidR="00EB4E9C" w:rsidRPr="00CF1D83" w:rsidRDefault="002E5944" w:rsidP="00AC2883">
            <w:pPr>
              <w:pStyle w:val="Sessiontc"/>
              <w:spacing w:line="240" w:lineRule="auto"/>
            </w:pPr>
            <w:r w:rsidRPr="00CF1D83">
              <w:t>Comité Técnico</w:t>
            </w:r>
          </w:p>
          <w:p w:rsidR="002458C3" w:rsidRPr="00CF1D83" w:rsidRDefault="002E5944" w:rsidP="00324098">
            <w:pPr>
              <w:pStyle w:val="Sessiontcplacedate"/>
            </w:pPr>
            <w:r w:rsidRPr="00CF1D83">
              <w:t xml:space="preserve">Quincuagésima </w:t>
            </w:r>
            <w:r w:rsidR="002458C3" w:rsidRPr="00CF1D83">
              <w:t>octava</w:t>
            </w:r>
            <w:r w:rsidRPr="00CF1D83">
              <w:t xml:space="preserve"> sesión</w:t>
            </w:r>
          </w:p>
          <w:p w:rsidR="00EB4E9C" w:rsidRPr="00C8570F" w:rsidRDefault="002E5944" w:rsidP="00324098">
            <w:pPr>
              <w:pStyle w:val="Sessiontcplacedate"/>
              <w:rPr>
                <w:dstrike/>
                <w:sz w:val="22"/>
              </w:rPr>
            </w:pPr>
            <w:r w:rsidRPr="00CF1D83">
              <w:t>Ginebra</w:t>
            </w:r>
            <w:r w:rsidR="00EB4E9C" w:rsidRPr="00CF1D83">
              <w:t xml:space="preserve">, </w:t>
            </w:r>
            <w:r w:rsidR="002458C3" w:rsidRPr="00CF1D83">
              <w:t>24</w:t>
            </w:r>
            <w:r w:rsidR="005A1EC1" w:rsidRPr="00CF1D83">
              <w:t xml:space="preserve"> y </w:t>
            </w:r>
            <w:r w:rsidR="002458C3" w:rsidRPr="00CF1D83">
              <w:t>25</w:t>
            </w:r>
            <w:r w:rsidR="005A1EC1" w:rsidRPr="00CF1D83">
              <w:t xml:space="preserve"> de octubre </w:t>
            </w:r>
            <w:r w:rsidRPr="00CF1D83">
              <w:t>de</w:t>
            </w:r>
            <w:r w:rsidR="00A706D3" w:rsidRPr="00CF1D83">
              <w:t xml:space="preserve"> </w:t>
            </w:r>
            <w:r w:rsidR="002458C3" w:rsidRPr="00CF1D83">
              <w:t>2022</w:t>
            </w:r>
          </w:p>
        </w:tc>
        <w:tc>
          <w:tcPr>
            <w:tcW w:w="3127" w:type="dxa"/>
          </w:tcPr>
          <w:p w:rsidR="00EB4E9C" w:rsidRPr="00CF1D83" w:rsidRDefault="002458C3" w:rsidP="003C7FBE">
            <w:pPr>
              <w:pStyle w:val="Doccode"/>
              <w:rPr>
                <w:lang w:val="es-ES_tradnl"/>
              </w:rPr>
            </w:pPr>
            <w:r w:rsidRPr="00CF1D83">
              <w:rPr>
                <w:lang w:val="es-ES_tradnl"/>
              </w:rPr>
              <w:t>TC/58</w:t>
            </w:r>
            <w:r w:rsidR="00EB4E9C" w:rsidRPr="00CF1D83">
              <w:rPr>
                <w:lang w:val="es-ES_tradnl"/>
              </w:rPr>
              <w:t>/</w:t>
            </w:r>
            <w:r w:rsidR="000C681A" w:rsidRPr="00CF1D83">
              <w:rPr>
                <w:lang w:val="es-ES_tradnl"/>
              </w:rPr>
              <w:t>3</w:t>
            </w:r>
          </w:p>
          <w:p w:rsidR="00EB4E9C" w:rsidRPr="00CF1D83" w:rsidRDefault="00EB4E9C" w:rsidP="003C7FBE">
            <w:pPr>
              <w:pStyle w:val="Docoriginal"/>
            </w:pPr>
            <w:r w:rsidRPr="00CF1D83">
              <w:t>Original:</w:t>
            </w:r>
            <w:r w:rsidR="000A2B1C" w:rsidRPr="00CF1D83">
              <w:rPr>
                <w:b w:val="0"/>
                <w:spacing w:val="0"/>
              </w:rPr>
              <w:t xml:space="preserve"> </w:t>
            </w:r>
            <w:r w:rsidR="002E5944" w:rsidRPr="00CF1D83">
              <w:rPr>
                <w:b w:val="0"/>
                <w:spacing w:val="0"/>
              </w:rPr>
              <w:t>Inglés</w:t>
            </w:r>
          </w:p>
          <w:p w:rsidR="00EB4E9C" w:rsidRPr="00CF1D83" w:rsidRDefault="002E5944" w:rsidP="000C681A">
            <w:pPr>
              <w:pStyle w:val="Docoriginal"/>
            </w:pPr>
            <w:r w:rsidRPr="00CF1D83">
              <w:t>Fecha</w:t>
            </w:r>
            <w:r w:rsidR="00EB4E9C" w:rsidRPr="00CF1D83">
              <w:t>:</w:t>
            </w:r>
            <w:r w:rsidR="000A2B1C" w:rsidRPr="00CF1D83">
              <w:rPr>
                <w:b w:val="0"/>
                <w:spacing w:val="0"/>
              </w:rPr>
              <w:t xml:space="preserve"> </w:t>
            </w:r>
            <w:r w:rsidR="000C681A" w:rsidRPr="00CF1D83">
              <w:rPr>
                <w:b w:val="0"/>
                <w:spacing w:val="0"/>
              </w:rPr>
              <w:t>5 de octubre de</w:t>
            </w:r>
            <w:r w:rsidRPr="00CF1D83">
              <w:rPr>
                <w:b w:val="0"/>
                <w:spacing w:val="0"/>
              </w:rPr>
              <w:t xml:space="preserve"> </w:t>
            </w:r>
            <w:r w:rsidR="002458C3" w:rsidRPr="00CF1D83">
              <w:rPr>
                <w:b w:val="0"/>
                <w:spacing w:val="0"/>
              </w:rPr>
              <w:t>2022</w:t>
            </w:r>
          </w:p>
        </w:tc>
      </w:tr>
    </w:tbl>
    <w:p w:rsidR="000D7780" w:rsidRPr="000A2B1C" w:rsidRDefault="00E30F29" w:rsidP="001469BE">
      <w:pPr>
        <w:pStyle w:val="Titleofdoc0"/>
      </w:pPr>
      <w:r w:rsidRPr="001469BE">
        <w:t>Cuestiones planteadas por los Grupos de Trabajo Técnico</w:t>
      </w:r>
    </w:p>
    <w:p w:rsidR="006A644A" w:rsidRPr="00CF1D83" w:rsidRDefault="000638A9" w:rsidP="006A644A">
      <w:pPr>
        <w:pStyle w:val="preparedby1"/>
        <w:jc w:val="left"/>
      </w:pPr>
      <w:r w:rsidRPr="00CF1D83">
        <w:t>Documento preparado por la Oficina de la Unión</w:t>
      </w:r>
    </w:p>
    <w:p w:rsidR="00050E16" w:rsidRPr="00CF1D83" w:rsidRDefault="000638A9" w:rsidP="006A644A">
      <w:pPr>
        <w:pStyle w:val="Disclaimer"/>
      </w:pPr>
      <w:r w:rsidRPr="00CF1D83">
        <w:t>Descargo de responsabilidad: el presente documento no constituye un documento de política u orientación de la UPOV</w:t>
      </w:r>
    </w:p>
    <w:p w:rsidR="000C681A" w:rsidRPr="000A2B1C" w:rsidRDefault="00E30F29" w:rsidP="000C681A">
      <w:pPr>
        <w:pStyle w:val="Heading1"/>
        <w:rPr>
          <w:lang w:val="es-ES_tradnl"/>
        </w:rPr>
      </w:pPr>
      <w:bookmarkStart w:id="0" w:name="_Toc116317882"/>
      <w:r w:rsidRPr="001469BE">
        <w:rPr>
          <w:lang w:val="es-ES_tradnl"/>
        </w:rPr>
        <w:t>RESUMEN</w:t>
      </w:r>
      <w:bookmarkEnd w:id="0"/>
    </w:p>
    <w:p w:rsidR="000C681A" w:rsidRPr="000A2B1C" w:rsidRDefault="000C681A" w:rsidP="000C681A">
      <w:pPr>
        <w:rPr>
          <w:color w:val="000000"/>
        </w:rPr>
      </w:pPr>
    </w:p>
    <w:p w:rsidR="000C681A" w:rsidRPr="000A2B1C" w:rsidRDefault="007022E0" w:rsidP="000C681A">
      <w:pPr>
        <w:rPr>
          <w:color w:val="000000"/>
        </w:rPr>
      </w:pPr>
      <w:r w:rsidRPr="000A2B1C">
        <w:rPr>
          <w:color w:val="000000"/>
        </w:rPr>
        <w:fldChar w:fldCharType="begin"/>
      </w:r>
      <w:r w:rsidR="000C681A" w:rsidRPr="000A2B1C">
        <w:rPr>
          <w:color w:val="000000"/>
        </w:rPr>
        <w:instrText xml:space="preserve"> AUTONUM  </w:instrText>
      </w:r>
      <w:r w:rsidRPr="000A2B1C">
        <w:rPr>
          <w:color w:val="000000"/>
        </w:rPr>
        <w:fldChar w:fldCharType="end"/>
      </w:r>
      <w:r w:rsidR="000C681A" w:rsidRPr="000A2B1C">
        <w:rPr>
          <w:color w:val="000000"/>
        </w:rPr>
        <w:tab/>
      </w:r>
      <w:r w:rsidR="00E30F29" w:rsidRPr="001469BE">
        <w:rPr>
          <w:color w:val="000000"/>
        </w:rPr>
        <w:t xml:space="preserve">En el presente documento se resumen algunas de las cuestiones planteadas en las respectivas sesiones de 2022 del </w:t>
      </w:r>
      <w:r w:rsidR="00E30F29" w:rsidRPr="001469BE">
        <w:rPr>
          <w:rFonts w:eastAsia="PMingLiU"/>
          <w:szCs w:val="24"/>
        </w:rPr>
        <w:t>Grupo de Trabajo Técnico sobre Hortalizas (TWV),</w:t>
      </w:r>
      <w:r w:rsidR="00E30F29" w:rsidRPr="001469BE">
        <w:rPr>
          <w:rFonts w:eastAsia="PMingLiU"/>
          <w:szCs w:val="24"/>
          <w:vertAlign w:val="superscript"/>
        </w:rPr>
        <w:footnoteReference w:id="2"/>
      </w:r>
      <w:r w:rsidR="00E30F29" w:rsidRPr="001469BE">
        <w:rPr>
          <w:rFonts w:eastAsia="PMingLiU"/>
          <w:szCs w:val="24"/>
        </w:rPr>
        <w:t xml:space="preserve"> el Grupo de Trabajo Técnico sobre Plantas Agrícolas (TWA),</w:t>
      </w:r>
      <w:r w:rsidR="00E30F29" w:rsidRPr="001469BE">
        <w:rPr>
          <w:rFonts w:eastAsia="PMingLiU"/>
          <w:szCs w:val="24"/>
          <w:vertAlign w:val="superscript"/>
        </w:rPr>
        <w:footnoteReference w:id="3"/>
      </w:r>
      <w:r w:rsidR="00E30F29" w:rsidRPr="001469BE">
        <w:rPr>
          <w:color w:val="000000"/>
        </w:rPr>
        <w:t xml:space="preserve"> el Grupo de Trabajo Técnico sobre Plantas Ornamentales y Cultivos Forestales (TWO)</w:t>
      </w:r>
      <w:r w:rsidR="008069FA" w:rsidRPr="001469BE">
        <w:rPr>
          <w:color w:val="000000"/>
        </w:rPr>
        <w:t>,</w:t>
      </w:r>
      <w:r w:rsidR="00E30F29" w:rsidRPr="001469BE">
        <w:rPr>
          <w:rFonts w:eastAsia="PMingLiU"/>
          <w:szCs w:val="24"/>
          <w:vertAlign w:val="superscript"/>
        </w:rPr>
        <w:footnoteReference w:id="4"/>
      </w:r>
      <w:r w:rsidR="00E30F29" w:rsidRPr="001469BE">
        <w:rPr>
          <w:rFonts w:eastAsia="PMingLiU"/>
          <w:szCs w:val="24"/>
        </w:rPr>
        <w:t xml:space="preserve"> </w:t>
      </w:r>
      <w:r w:rsidR="00E30F29" w:rsidRPr="001469BE">
        <w:rPr>
          <w:color w:val="000000"/>
        </w:rPr>
        <w:t>el Grupo de Trabajo Técnico sobre Plantas Frutales(TWF)</w:t>
      </w:r>
      <w:r w:rsidR="00E30F29" w:rsidRPr="001469BE">
        <w:rPr>
          <w:color w:val="000000"/>
          <w:vertAlign w:val="superscript"/>
        </w:rPr>
        <w:footnoteReference w:id="5"/>
      </w:r>
      <w:r w:rsidR="00E30F29" w:rsidRPr="001469BE">
        <w:rPr>
          <w:color w:val="000000"/>
        </w:rPr>
        <w:t xml:space="preserve"> y el Grupo de Trabajo Técnico sobre Métodos y Técnicas de Examen (TWM) que no se incluyeron de manera explícita en ningún punto del orden del día.</w:t>
      </w:r>
      <w:r w:rsidR="000A2B1C">
        <w:rPr>
          <w:color w:val="000000"/>
        </w:rPr>
        <w:t xml:space="preserve"> </w:t>
      </w:r>
    </w:p>
    <w:p w:rsidR="000C681A" w:rsidRPr="000A2B1C" w:rsidRDefault="000C681A" w:rsidP="000C681A">
      <w:pPr>
        <w:rPr>
          <w:color w:val="000000"/>
        </w:rPr>
      </w:pPr>
    </w:p>
    <w:p w:rsidR="000C681A" w:rsidRPr="000A2B1C" w:rsidRDefault="007022E0" w:rsidP="000C681A">
      <w:r w:rsidRPr="000A2B1C">
        <w:rPr>
          <w:color w:val="000000"/>
        </w:rPr>
        <w:fldChar w:fldCharType="begin"/>
      </w:r>
      <w:r w:rsidR="000C681A" w:rsidRPr="000A2B1C">
        <w:rPr>
          <w:color w:val="000000"/>
        </w:rPr>
        <w:instrText xml:space="preserve"> AUTONUM  </w:instrText>
      </w:r>
      <w:r w:rsidRPr="000A2B1C">
        <w:rPr>
          <w:color w:val="000000"/>
        </w:rPr>
        <w:fldChar w:fldCharType="end"/>
      </w:r>
      <w:r w:rsidR="000C681A" w:rsidRPr="000A2B1C">
        <w:rPr>
          <w:color w:val="000000"/>
        </w:rPr>
        <w:tab/>
      </w:r>
      <w:r w:rsidR="003319BB" w:rsidRPr="001469BE">
        <w:t>Las cuestiones planteadas por los Grupos de Trabajo Técnico (TWP) se presentan en dos secciones.</w:t>
      </w:r>
      <w:r w:rsidR="000A2B1C">
        <w:t xml:space="preserve"> </w:t>
      </w:r>
      <w:r w:rsidR="00A43C55" w:rsidRPr="001469BE">
        <w:t>En la primera sección, “Cuestiones para información y para una eventual decisión del Comité Técnico (TC)”, se exponen las cuestiones planteadas sobre las que el</w:t>
      </w:r>
      <w:r w:rsidR="001469BE" w:rsidRPr="001469BE">
        <w:t> </w:t>
      </w:r>
      <w:r w:rsidR="00A43C55" w:rsidRPr="001469BE">
        <w:t xml:space="preserve">TC </w:t>
      </w:r>
      <w:r w:rsidR="001010AE" w:rsidRPr="001469BE">
        <w:t>podría</w:t>
      </w:r>
      <w:r w:rsidR="00A43C55" w:rsidRPr="001469BE">
        <w:t xml:space="preserve"> adoptar una decisión.</w:t>
      </w:r>
      <w:r w:rsidR="000A2B1C">
        <w:t xml:space="preserve"> </w:t>
      </w:r>
      <w:r w:rsidR="001469BE" w:rsidRPr="001469BE">
        <w:t>La Oficina de la Unión (“la </w:t>
      </w:r>
      <w:r w:rsidR="00E41EAB" w:rsidRPr="001469BE">
        <w:t>Oficina”) ha destacado los aspectos sobre los que el</w:t>
      </w:r>
      <w:r w:rsidR="001469BE" w:rsidRPr="001469BE">
        <w:t> </w:t>
      </w:r>
      <w:r w:rsidR="00E41EAB" w:rsidRPr="001469BE">
        <w:t xml:space="preserve">TC </w:t>
      </w:r>
      <w:r w:rsidR="001010AE" w:rsidRPr="001469BE">
        <w:t>podría adoptar</w:t>
      </w:r>
      <w:r w:rsidR="00E41EAB" w:rsidRPr="001469BE">
        <w:t xml:space="preserve"> una decisión mediante la inclusión de un párrafo que contiene una propuesta de decisión.</w:t>
      </w:r>
      <w:r w:rsidR="000A2B1C">
        <w:t xml:space="preserve"> </w:t>
      </w:r>
      <w:r w:rsidR="00600CDB" w:rsidRPr="001469BE">
        <w:t>En la segunda sección, “Cuestiones para información”, se exponen cuestiones para información del</w:t>
      </w:r>
      <w:r w:rsidR="001469BE" w:rsidRPr="001469BE">
        <w:t> </w:t>
      </w:r>
      <w:r w:rsidR="00600CDB" w:rsidRPr="001469BE">
        <w:t>TC, acerca de las cuales no es necesario tomar decisiones en la presente etapa.</w:t>
      </w:r>
    </w:p>
    <w:p w:rsidR="000C681A" w:rsidRPr="000A2B1C" w:rsidRDefault="000C681A" w:rsidP="000C681A">
      <w:pPr>
        <w:tabs>
          <w:tab w:val="left" w:pos="567"/>
          <w:tab w:val="left" w:pos="1701"/>
        </w:tabs>
        <w:ind w:left="1695" w:hanging="1695"/>
        <w:rPr>
          <w:rFonts w:eastAsia="PMingLiU"/>
          <w:szCs w:val="24"/>
        </w:rPr>
      </w:pPr>
    </w:p>
    <w:p w:rsidR="000C681A" w:rsidRPr="000A2B1C" w:rsidRDefault="007022E0" w:rsidP="000C681A">
      <w:pPr>
        <w:tabs>
          <w:tab w:val="left" w:pos="567"/>
        </w:tabs>
      </w:pPr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600CDB" w:rsidRPr="001469BE">
        <w:t>Se invita al TC a tomar nota de las novedades acaecidas en los</w:t>
      </w:r>
      <w:r w:rsidR="001469BE" w:rsidRPr="001469BE">
        <w:t> </w:t>
      </w:r>
      <w:r w:rsidR="00600CDB" w:rsidRPr="001469BE">
        <w:t>TWP en relación con las siguientes cuestiones:</w:t>
      </w:r>
    </w:p>
    <w:p w:rsidR="000C681A" w:rsidRPr="000A2B1C" w:rsidRDefault="000C681A" w:rsidP="000C681A">
      <w:pPr>
        <w:tabs>
          <w:tab w:val="left" w:pos="567"/>
        </w:tabs>
      </w:pPr>
    </w:p>
    <w:p w:rsidR="000C681A" w:rsidRPr="000A2B1C" w:rsidRDefault="000C681A" w:rsidP="000C681A">
      <w:pPr>
        <w:tabs>
          <w:tab w:val="left" w:pos="1701"/>
        </w:tabs>
        <w:ind w:left="1134" w:hanging="567"/>
      </w:pPr>
      <w:r w:rsidRPr="00CF1D83">
        <w:t>i)</w:t>
      </w:r>
      <w:r w:rsidRPr="00CF1D83">
        <w:tab/>
      </w:r>
      <w:r w:rsidR="00600CDB" w:rsidRPr="001469BE">
        <w:t>Información necesaria para potenciar el uso de los informes de examen DHE existentes;</w:t>
      </w:r>
    </w:p>
    <w:p w:rsidR="000C681A" w:rsidRPr="000A2B1C" w:rsidRDefault="000C681A" w:rsidP="000C681A">
      <w:pPr>
        <w:tabs>
          <w:tab w:val="left" w:pos="1701"/>
        </w:tabs>
        <w:ind w:left="1134" w:hanging="567"/>
      </w:pPr>
      <w:r w:rsidRPr="00CF1D83">
        <w:t>ii)</w:t>
      </w:r>
      <w:r w:rsidRPr="00CF1D83">
        <w:tab/>
      </w:r>
      <w:r w:rsidR="00DC3822" w:rsidRPr="001469BE">
        <w:t>Examen DHE de variedades mutantes de manzano;</w:t>
      </w:r>
    </w:p>
    <w:p w:rsidR="000C681A" w:rsidRPr="000A2B1C" w:rsidRDefault="000C681A" w:rsidP="000C681A">
      <w:pPr>
        <w:tabs>
          <w:tab w:val="left" w:pos="1701"/>
        </w:tabs>
        <w:ind w:left="1134" w:hanging="567"/>
      </w:pPr>
      <w:r w:rsidRPr="00CF1D83">
        <w:t>iii)</w:t>
      </w:r>
      <w:r w:rsidRPr="00CF1D83">
        <w:tab/>
      </w:r>
      <w:r w:rsidR="00DC3822" w:rsidRPr="001469BE">
        <w:t>Acceso al material vegetal a efectos de la gestión de las colecciones de variedades y el examen DHE;</w:t>
      </w:r>
    </w:p>
    <w:p w:rsidR="000C681A" w:rsidRPr="000A2B1C" w:rsidRDefault="000C681A" w:rsidP="000C681A">
      <w:pPr>
        <w:tabs>
          <w:tab w:val="left" w:pos="1701"/>
        </w:tabs>
        <w:ind w:left="1134" w:hanging="567"/>
      </w:pPr>
      <w:r w:rsidRPr="00CF1D83">
        <w:t>iv)</w:t>
      </w:r>
      <w:r w:rsidRPr="00CF1D83">
        <w:tab/>
      </w:r>
      <w:r w:rsidR="00F61F9C" w:rsidRPr="001469BE">
        <w:t>Utilización de</w:t>
      </w:r>
      <w:r w:rsidR="00DC3822" w:rsidRPr="001469BE">
        <w:t xml:space="preserve"> caracteres de resistencia a las enfermedades</w:t>
      </w:r>
      <w:r w:rsidR="00F61F9C" w:rsidRPr="001469BE">
        <w:t>;</w:t>
      </w:r>
    </w:p>
    <w:p w:rsidR="000C681A" w:rsidRPr="000A2B1C" w:rsidRDefault="000C681A" w:rsidP="000C681A">
      <w:pPr>
        <w:tabs>
          <w:tab w:val="left" w:pos="1701"/>
        </w:tabs>
        <w:ind w:left="1134" w:hanging="567"/>
      </w:pPr>
      <w:r w:rsidRPr="00CF1D83">
        <w:t>v)</w:t>
      </w:r>
      <w:r w:rsidRPr="00CF1D83">
        <w:tab/>
      </w:r>
      <w:r w:rsidR="00F61F9C" w:rsidRPr="001469BE">
        <w:t>Resistencia a las enfermedades en las especies ornamentales;</w:t>
      </w:r>
    </w:p>
    <w:p w:rsidR="000C681A" w:rsidRPr="000A2B1C" w:rsidRDefault="000C681A" w:rsidP="000C681A">
      <w:pPr>
        <w:tabs>
          <w:tab w:val="left" w:pos="1701"/>
        </w:tabs>
        <w:ind w:left="1134" w:hanging="567"/>
      </w:pPr>
      <w:r w:rsidRPr="00CF1D83">
        <w:t>vi)</w:t>
      </w:r>
      <w:r w:rsidRPr="00CF1D83">
        <w:tab/>
      </w:r>
      <w:r w:rsidR="00F61F9C" w:rsidRPr="001469BE">
        <w:rPr>
          <w:snapToGrid w:val="0"/>
        </w:rPr>
        <w:t>Nuevas cuestiones que se plantean en relación con el examen DHE;</w:t>
      </w:r>
    </w:p>
    <w:p w:rsidR="000C681A" w:rsidRPr="000A2B1C" w:rsidRDefault="000C681A" w:rsidP="000C681A">
      <w:pPr>
        <w:tabs>
          <w:tab w:val="left" w:pos="1701"/>
        </w:tabs>
        <w:ind w:left="1134" w:hanging="567"/>
      </w:pPr>
      <w:r w:rsidRPr="00CF1D83">
        <w:t>vii)</w:t>
      </w:r>
      <w:r w:rsidRPr="00CF1D83">
        <w:tab/>
      </w:r>
      <w:r w:rsidR="00F61F9C" w:rsidRPr="001469BE">
        <w:t>Experiencias con nuevos tipos y especies;</w:t>
      </w:r>
    </w:p>
    <w:p w:rsidR="000C681A" w:rsidRPr="000A2B1C" w:rsidRDefault="000C681A" w:rsidP="000C681A">
      <w:pPr>
        <w:tabs>
          <w:tab w:val="left" w:pos="1701"/>
        </w:tabs>
        <w:ind w:left="1134" w:hanging="567"/>
      </w:pPr>
      <w:r w:rsidRPr="00CF1D83">
        <w:t>viii)</w:t>
      </w:r>
      <w:r w:rsidRPr="00CF1D83">
        <w:tab/>
      </w:r>
      <w:r w:rsidR="00F61F9C" w:rsidRPr="001469BE">
        <w:t>Examen de variedades híbridas;</w:t>
      </w:r>
      <w:r w:rsidRPr="000A2B1C">
        <w:t xml:space="preserve"> </w:t>
      </w:r>
    </w:p>
    <w:p w:rsidR="000C681A" w:rsidRPr="000A2B1C" w:rsidRDefault="000C681A" w:rsidP="000C681A">
      <w:pPr>
        <w:tabs>
          <w:tab w:val="left" w:pos="1701"/>
        </w:tabs>
        <w:ind w:left="1134" w:hanging="567"/>
      </w:pPr>
      <w:r w:rsidRPr="00CF1D83">
        <w:t>ix)</w:t>
      </w:r>
      <w:r w:rsidRPr="00CF1D83">
        <w:tab/>
      </w:r>
      <w:r w:rsidR="00F61F9C" w:rsidRPr="001469BE">
        <w:t>Nuevas tecnologías en el examen DHE;</w:t>
      </w:r>
    </w:p>
    <w:p w:rsidR="000C681A" w:rsidRPr="000A2B1C" w:rsidRDefault="000C681A" w:rsidP="000C681A">
      <w:pPr>
        <w:tabs>
          <w:tab w:val="left" w:pos="1701"/>
        </w:tabs>
        <w:ind w:left="1134" w:hanging="567"/>
      </w:pPr>
      <w:r w:rsidRPr="00CF1D83">
        <w:t>x)</w:t>
      </w:r>
      <w:r w:rsidRPr="00CF1D83">
        <w:tab/>
      </w:r>
      <w:r w:rsidR="0081743D" w:rsidRPr="001469BE">
        <w:t>Plataforma de macrodatos para el examen DHE</w:t>
      </w:r>
      <w:r w:rsidR="00F61F9C" w:rsidRPr="001469BE">
        <w:t>;</w:t>
      </w:r>
    </w:p>
    <w:p w:rsidR="000C681A" w:rsidRPr="000A2B1C" w:rsidRDefault="000C681A" w:rsidP="000C681A">
      <w:pPr>
        <w:tabs>
          <w:tab w:val="left" w:pos="1701"/>
        </w:tabs>
        <w:ind w:left="1134" w:hanging="567"/>
      </w:pPr>
      <w:r w:rsidRPr="00CF1D83">
        <w:t>xi)</w:t>
      </w:r>
      <w:r w:rsidRPr="00CF1D83">
        <w:tab/>
      </w:r>
      <w:r w:rsidR="0081743D" w:rsidRPr="001469BE">
        <w:t>La determinación del color en plantas frutales; y</w:t>
      </w:r>
    </w:p>
    <w:p w:rsidR="000C681A" w:rsidRPr="000A2B1C" w:rsidRDefault="000C681A" w:rsidP="000C681A">
      <w:pPr>
        <w:tabs>
          <w:tab w:val="left" w:pos="1701"/>
        </w:tabs>
        <w:ind w:left="1134" w:hanging="567"/>
      </w:pPr>
      <w:r w:rsidRPr="00CF1D83">
        <w:t>xii)</w:t>
      </w:r>
      <w:r w:rsidRPr="00CF1D83">
        <w:tab/>
      </w:r>
      <w:r w:rsidR="001D1D83" w:rsidRPr="001469BE">
        <w:t>Fenotipado y análisis de imágenes.</w:t>
      </w:r>
    </w:p>
    <w:p w:rsidR="000C681A" w:rsidRPr="000A2B1C" w:rsidRDefault="000C681A" w:rsidP="000C681A">
      <w:pPr>
        <w:tabs>
          <w:tab w:val="left" w:pos="1701"/>
        </w:tabs>
        <w:rPr>
          <w:rFonts w:cs="Arial"/>
        </w:rPr>
      </w:pPr>
    </w:p>
    <w:p w:rsidR="000C681A" w:rsidRPr="000A2B1C" w:rsidRDefault="007022E0" w:rsidP="000C681A">
      <w:pPr>
        <w:keepNext/>
        <w:rPr>
          <w:color w:val="000000"/>
        </w:rPr>
      </w:pPr>
      <w:r w:rsidRPr="000A2B1C">
        <w:rPr>
          <w:color w:val="000000"/>
        </w:rPr>
        <w:lastRenderedPageBreak/>
        <w:fldChar w:fldCharType="begin"/>
      </w:r>
      <w:r w:rsidR="000C681A" w:rsidRPr="000A2B1C">
        <w:rPr>
          <w:color w:val="000000"/>
        </w:rPr>
        <w:instrText xml:space="preserve"> AUTONUM  </w:instrText>
      </w:r>
      <w:r w:rsidRPr="000A2B1C">
        <w:rPr>
          <w:color w:val="000000"/>
        </w:rPr>
        <w:fldChar w:fldCharType="end"/>
      </w:r>
      <w:r w:rsidR="000C681A" w:rsidRPr="000A2B1C">
        <w:rPr>
          <w:color w:val="000000"/>
        </w:rPr>
        <w:tab/>
      </w:r>
      <w:r w:rsidR="001D1D83" w:rsidRPr="001469BE">
        <w:rPr>
          <w:color w:val="000000"/>
        </w:rPr>
        <w:t>En el presente documento se utilizan las abreviaturas siguientes:</w:t>
      </w:r>
    </w:p>
    <w:p w:rsidR="000C681A" w:rsidRPr="000A2B1C" w:rsidRDefault="000C681A" w:rsidP="000C681A">
      <w:pPr>
        <w:keepNext/>
        <w:ind w:left="1692" w:hanging="1125"/>
        <w:jc w:val="left"/>
        <w:rPr>
          <w:color w:val="000000"/>
        </w:rPr>
      </w:pPr>
    </w:p>
    <w:p w:rsidR="000C681A" w:rsidRPr="000A2B1C" w:rsidRDefault="000C681A" w:rsidP="000C681A">
      <w:pPr>
        <w:keepNext/>
        <w:tabs>
          <w:tab w:val="left" w:pos="567"/>
          <w:tab w:val="left" w:pos="1701"/>
        </w:tabs>
      </w:pPr>
      <w:r w:rsidRPr="00CF1D83">
        <w:tab/>
        <w:t>CAJ:</w:t>
      </w:r>
      <w:r w:rsidRPr="00CF1D83">
        <w:tab/>
      </w:r>
      <w:r w:rsidR="001D1D83" w:rsidRPr="001469BE">
        <w:t>Comité Administrativo y Jurídico</w:t>
      </w:r>
      <w:r w:rsidRPr="000A2B1C">
        <w:t xml:space="preserve"> </w:t>
      </w:r>
    </w:p>
    <w:p w:rsidR="000C681A" w:rsidRPr="000A2B1C" w:rsidRDefault="000C681A" w:rsidP="000A2B1C">
      <w:pPr>
        <w:keepNext/>
        <w:tabs>
          <w:tab w:val="left" w:pos="567"/>
          <w:tab w:val="left" w:pos="1701"/>
          <w:tab w:val="center" w:pos="4819"/>
          <w:tab w:val="left" w:pos="5209"/>
        </w:tabs>
      </w:pPr>
      <w:r w:rsidRPr="00CF1D83">
        <w:tab/>
        <w:t>TC:</w:t>
      </w:r>
      <w:r w:rsidRPr="00CF1D83">
        <w:tab/>
      </w:r>
      <w:r w:rsidR="001D1D83" w:rsidRPr="001469BE">
        <w:t>Comité Técnico</w:t>
      </w:r>
    </w:p>
    <w:p w:rsidR="000C681A" w:rsidRPr="000A2B1C" w:rsidRDefault="000C681A" w:rsidP="000C681A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CF1D83">
        <w:rPr>
          <w:rFonts w:eastAsia="PMingLiU"/>
          <w:szCs w:val="24"/>
        </w:rPr>
        <w:tab/>
        <w:t>TC-EDC:</w:t>
      </w:r>
      <w:r w:rsidRPr="00CF1D83">
        <w:rPr>
          <w:rFonts w:eastAsia="PMingLiU"/>
          <w:szCs w:val="24"/>
        </w:rPr>
        <w:tab/>
      </w:r>
      <w:r w:rsidR="001D1D83" w:rsidRPr="001469BE">
        <w:rPr>
          <w:rFonts w:eastAsia="PMingLiU"/>
          <w:szCs w:val="24"/>
        </w:rPr>
        <w:t>Comité de Redacción Ampliado</w:t>
      </w:r>
    </w:p>
    <w:p w:rsidR="000C681A" w:rsidRPr="000A2B1C" w:rsidRDefault="000C681A" w:rsidP="000C681A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CF1D83">
        <w:rPr>
          <w:rFonts w:eastAsia="PMingLiU"/>
          <w:szCs w:val="24"/>
        </w:rPr>
        <w:tab/>
        <w:t>TWA:</w:t>
      </w:r>
      <w:r w:rsidRPr="00CF1D83">
        <w:rPr>
          <w:rFonts w:eastAsia="PMingLiU"/>
          <w:szCs w:val="24"/>
        </w:rPr>
        <w:tab/>
      </w:r>
      <w:r w:rsidR="001D1D83" w:rsidRPr="001469BE">
        <w:rPr>
          <w:rFonts w:eastAsia="PMingLiU"/>
          <w:szCs w:val="24"/>
        </w:rPr>
        <w:t>Grupo de Trabajo Técnico sobre Plantas Agrícolas</w:t>
      </w:r>
    </w:p>
    <w:p w:rsidR="000C681A" w:rsidRPr="000A2B1C" w:rsidRDefault="000C681A" w:rsidP="000C681A">
      <w:pPr>
        <w:tabs>
          <w:tab w:val="left" w:pos="567"/>
          <w:tab w:val="left" w:pos="1701"/>
        </w:tabs>
        <w:rPr>
          <w:rFonts w:eastAsia="PMingLiU"/>
          <w:szCs w:val="24"/>
        </w:rPr>
      </w:pPr>
      <w:r w:rsidRPr="00CF1D83">
        <w:rPr>
          <w:rFonts w:eastAsia="PMingLiU"/>
          <w:szCs w:val="24"/>
        </w:rPr>
        <w:tab/>
        <w:t>TWC:</w:t>
      </w:r>
      <w:r w:rsidRPr="00CF1D83">
        <w:rPr>
          <w:rFonts w:eastAsia="PMingLiU"/>
          <w:szCs w:val="24"/>
        </w:rPr>
        <w:tab/>
      </w:r>
      <w:r w:rsidR="001D1D83" w:rsidRPr="001469BE">
        <w:rPr>
          <w:rFonts w:eastAsia="PMingLiU"/>
          <w:szCs w:val="24"/>
        </w:rPr>
        <w:t>Grupo de Trabajo Técnico sobre Automatización y Programas Informáticos</w:t>
      </w:r>
    </w:p>
    <w:p w:rsidR="000C681A" w:rsidRPr="000A2B1C" w:rsidRDefault="000C681A" w:rsidP="000C681A">
      <w:pPr>
        <w:tabs>
          <w:tab w:val="left" w:pos="567"/>
          <w:tab w:val="left" w:pos="1701"/>
        </w:tabs>
        <w:rPr>
          <w:rFonts w:eastAsia="PMingLiU"/>
          <w:szCs w:val="24"/>
        </w:rPr>
      </w:pPr>
      <w:r w:rsidRPr="00CF1D83">
        <w:rPr>
          <w:rFonts w:eastAsia="PMingLiU"/>
          <w:szCs w:val="24"/>
        </w:rPr>
        <w:tab/>
        <w:t xml:space="preserve">TWF: </w:t>
      </w:r>
      <w:r w:rsidRPr="00CF1D83">
        <w:rPr>
          <w:rFonts w:eastAsia="PMingLiU"/>
          <w:szCs w:val="24"/>
        </w:rPr>
        <w:tab/>
      </w:r>
      <w:r w:rsidR="001D1D83" w:rsidRPr="001469BE">
        <w:rPr>
          <w:rFonts w:eastAsia="PMingLiU"/>
          <w:szCs w:val="24"/>
        </w:rPr>
        <w:t>Grupo de Trabajo Técnico sobre Plantas Frutales</w:t>
      </w:r>
    </w:p>
    <w:p w:rsidR="000C681A" w:rsidRPr="000A2B1C" w:rsidRDefault="000C681A" w:rsidP="000C681A">
      <w:pPr>
        <w:tabs>
          <w:tab w:val="left" w:pos="567"/>
          <w:tab w:val="left" w:pos="1701"/>
        </w:tabs>
        <w:rPr>
          <w:rFonts w:eastAsia="PMingLiU"/>
          <w:szCs w:val="24"/>
        </w:rPr>
      </w:pPr>
      <w:r w:rsidRPr="00CF1D83">
        <w:rPr>
          <w:rFonts w:eastAsia="PMingLiU"/>
          <w:szCs w:val="24"/>
        </w:rPr>
        <w:tab/>
        <w:t>TWM:</w:t>
      </w:r>
      <w:r w:rsidRPr="00CF1D83">
        <w:rPr>
          <w:rFonts w:eastAsia="PMingLiU"/>
          <w:szCs w:val="24"/>
        </w:rPr>
        <w:tab/>
      </w:r>
      <w:r w:rsidR="001D1D83" w:rsidRPr="001469BE">
        <w:rPr>
          <w:rFonts w:eastAsia="PMingLiU"/>
          <w:szCs w:val="24"/>
        </w:rPr>
        <w:t>Grupo de Trabajo Técnico sobre Métodos y Técnicas de Examen</w:t>
      </w:r>
      <w:r w:rsidRPr="000A2B1C">
        <w:rPr>
          <w:rFonts w:eastAsia="PMingLiU"/>
          <w:szCs w:val="24"/>
        </w:rPr>
        <w:t xml:space="preserve"> </w:t>
      </w:r>
    </w:p>
    <w:p w:rsidR="000C681A" w:rsidRPr="000A2B1C" w:rsidRDefault="000C681A" w:rsidP="000C681A">
      <w:pPr>
        <w:tabs>
          <w:tab w:val="left" w:pos="567"/>
          <w:tab w:val="left" w:pos="1701"/>
        </w:tabs>
        <w:rPr>
          <w:rFonts w:eastAsia="PMingLiU"/>
          <w:szCs w:val="24"/>
        </w:rPr>
      </w:pPr>
      <w:r w:rsidRPr="00CF1D83">
        <w:rPr>
          <w:rFonts w:eastAsia="PMingLiU"/>
          <w:szCs w:val="24"/>
        </w:rPr>
        <w:tab/>
        <w:t>TWO:</w:t>
      </w:r>
      <w:r w:rsidRPr="00CF1D83">
        <w:rPr>
          <w:rFonts w:eastAsia="PMingLiU"/>
          <w:szCs w:val="24"/>
        </w:rPr>
        <w:tab/>
      </w:r>
      <w:r w:rsidR="001D1D83" w:rsidRPr="001469BE">
        <w:rPr>
          <w:rFonts w:eastAsia="PMingLiU"/>
          <w:szCs w:val="24"/>
        </w:rPr>
        <w:t>Grupo de Trabajo Técnico sobre Plantas Ornamentales y Árboles Forestales</w:t>
      </w:r>
    </w:p>
    <w:p w:rsidR="000C681A" w:rsidRPr="000A2B1C" w:rsidRDefault="000C681A" w:rsidP="000C681A">
      <w:pPr>
        <w:tabs>
          <w:tab w:val="left" w:pos="567"/>
          <w:tab w:val="left" w:pos="1701"/>
        </w:tabs>
        <w:rPr>
          <w:rFonts w:eastAsia="PMingLiU"/>
          <w:szCs w:val="24"/>
        </w:rPr>
      </w:pPr>
      <w:r w:rsidRPr="00CF1D83">
        <w:rPr>
          <w:rFonts w:eastAsia="PMingLiU"/>
          <w:szCs w:val="24"/>
        </w:rPr>
        <w:tab/>
        <w:t>TWP:</w:t>
      </w:r>
      <w:r w:rsidRPr="00CF1D83">
        <w:rPr>
          <w:rFonts w:eastAsia="PMingLiU"/>
          <w:szCs w:val="24"/>
        </w:rPr>
        <w:tab/>
      </w:r>
      <w:r w:rsidR="001D1D83" w:rsidRPr="001469BE">
        <w:rPr>
          <w:rFonts w:eastAsia="PMingLiU"/>
          <w:szCs w:val="24"/>
        </w:rPr>
        <w:t>Grupos de Trabajo Técnico</w:t>
      </w:r>
    </w:p>
    <w:p w:rsidR="000C681A" w:rsidRPr="000A2B1C" w:rsidRDefault="000C681A" w:rsidP="000C681A">
      <w:pPr>
        <w:tabs>
          <w:tab w:val="left" w:pos="567"/>
          <w:tab w:val="left" w:pos="1701"/>
        </w:tabs>
        <w:rPr>
          <w:rFonts w:eastAsia="PMingLiU"/>
          <w:szCs w:val="24"/>
        </w:rPr>
      </w:pPr>
      <w:r w:rsidRPr="00CF1D83">
        <w:rPr>
          <w:rFonts w:eastAsia="PMingLiU"/>
          <w:szCs w:val="24"/>
        </w:rPr>
        <w:tab/>
        <w:t>TWV:</w:t>
      </w:r>
      <w:r w:rsidRPr="00CF1D83">
        <w:rPr>
          <w:rFonts w:eastAsia="PMingLiU"/>
          <w:szCs w:val="24"/>
        </w:rPr>
        <w:tab/>
      </w:r>
      <w:r w:rsidR="001D1D83" w:rsidRPr="001469BE">
        <w:rPr>
          <w:rFonts w:eastAsia="PMingLiU"/>
          <w:szCs w:val="24"/>
        </w:rPr>
        <w:t>Grupo de Trabajo Técnico sobre Hortalizas</w:t>
      </w:r>
    </w:p>
    <w:p w:rsidR="000C681A" w:rsidRPr="000A2B1C" w:rsidRDefault="000C681A" w:rsidP="000C681A">
      <w:pPr>
        <w:rPr>
          <w:highlight w:val="cyan"/>
        </w:rPr>
      </w:pPr>
    </w:p>
    <w:p w:rsidR="000C681A" w:rsidRPr="000A2B1C" w:rsidRDefault="007022E0" w:rsidP="000C681A">
      <w:r w:rsidRPr="000A2B1C">
        <w:rPr>
          <w:color w:val="000000"/>
        </w:rPr>
        <w:fldChar w:fldCharType="begin"/>
      </w:r>
      <w:r w:rsidR="000C681A" w:rsidRPr="000A2B1C">
        <w:rPr>
          <w:color w:val="000000"/>
        </w:rPr>
        <w:instrText xml:space="preserve"> AUTONUM  </w:instrText>
      </w:r>
      <w:r w:rsidRPr="000A2B1C">
        <w:rPr>
          <w:color w:val="000000"/>
        </w:rPr>
        <w:fldChar w:fldCharType="end"/>
      </w:r>
      <w:r w:rsidR="000C681A" w:rsidRPr="000A2B1C">
        <w:rPr>
          <w:color w:val="000000"/>
        </w:rPr>
        <w:tab/>
      </w:r>
      <w:r w:rsidR="001D1D83" w:rsidRPr="001469BE">
        <w:t>El presente documento se estructura del modo siguiente:</w:t>
      </w:r>
    </w:p>
    <w:p w:rsidR="000C681A" w:rsidRPr="000A2B1C" w:rsidRDefault="000C681A" w:rsidP="000C681A"/>
    <w:p w:rsidR="00DF08C8" w:rsidRDefault="007022E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r w:rsidRPr="000A2B1C">
        <w:rPr>
          <w:rFonts w:eastAsia="MS Mincho" w:cs="Arial"/>
          <w:noProof/>
          <w:lang w:eastAsia="ja-JP"/>
        </w:rPr>
        <w:fldChar w:fldCharType="begin"/>
      </w:r>
      <w:r w:rsidR="000C681A" w:rsidRPr="000A2B1C">
        <w:rPr>
          <w:rFonts w:eastAsia="MS Mincho" w:cs="Arial"/>
          <w:noProof/>
          <w:lang w:eastAsia="ja-JP"/>
        </w:rPr>
        <w:instrText xml:space="preserve"> TOC \o "1-2" \u </w:instrText>
      </w:r>
      <w:r w:rsidRPr="000A2B1C">
        <w:rPr>
          <w:rFonts w:eastAsia="MS Mincho" w:cs="Arial"/>
          <w:noProof/>
          <w:lang w:eastAsia="ja-JP"/>
        </w:rPr>
        <w:fldChar w:fldCharType="separate"/>
      </w:r>
      <w:r w:rsidR="00DF08C8" w:rsidRPr="00DE150E">
        <w:rPr>
          <w:noProof/>
        </w:rPr>
        <w:t>RESUMEN</w:t>
      </w:r>
      <w:r w:rsidR="00DF08C8">
        <w:rPr>
          <w:noProof/>
        </w:rPr>
        <w:tab/>
      </w:r>
      <w:r w:rsidR="00DF08C8">
        <w:rPr>
          <w:noProof/>
        </w:rPr>
        <w:fldChar w:fldCharType="begin"/>
      </w:r>
      <w:r w:rsidR="00DF08C8">
        <w:rPr>
          <w:noProof/>
        </w:rPr>
        <w:instrText xml:space="preserve"> PAGEREF _Toc116317882 \h </w:instrText>
      </w:r>
      <w:r w:rsidR="00DF08C8">
        <w:rPr>
          <w:noProof/>
        </w:rPr>
      </w:r>
      <w:r w:rsidR="00DF08C8">
        <w:rPr>
          <w:noProof/>
        </w:rPr>
        <w:fldChar w:fldCharType="separate"/>
      </w:r>
      <w:r w:rsidR="00DF08C8">
        <w:rPr>
          <w:noProof/>
        </w:rPr>
        <w:t>1</w:t>
      </w:r>
      <w:r w:rsidR="00DF08C8">
        <w:rPr>
          <w:noProof/>
        </w:rPr>
        <w:fldChar w:fldCharType="end"/>
      </w:r>
    </w:p>
    <w:p w:rsidR="00DF08C8" w:rsidRDefault="00DF08C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r w:rsidRPr="00DE150E">
        <w:rPr>
          <w:noProof/>
        </w:rPr>
        <w:t>Cuestiones para información y para una eventual decisión del Comité Técnico (TC)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_Toc116317883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DF08C8" w:rsidRDefault="00DF08C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r w:rsidRPr="00DE150E">
        <w:rPr>
          <w:noProof/>
        </w:rPr>
        <w:t>Cuestiones para información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_Toc116317884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DF08C8" w:rsidRDefault="00DF08C8" w:rsidP="00BB6E35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r w:rsidRPr="00DE150E">
        <w:rPr>
          <w:noProof/>
        </w:rPr>
        <w:t>Información necesaria para potenciar el uso de los informes de examen DHE existentes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_Toc116317885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DF08C8" w:rsidRDefault="00DF08C8" w:rsidP="00BB6E35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r w:rsidRPr="00DE150E">
        <w:rPr>
          <w:noProof/>
        </w:rPr>
        <w:t>Examen DHE de variedades mutantes de manzano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_Toc116317886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F08C8" w:rsidRDefault="00DF08C8" w:rsidP="00BB6E35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r w:rsidRPr="00DE150E">
        <w:rPr>
          <w:noProof/>
        </w:rPr>
        <w:t>Acceso al material vegetal a efectos de la gestión de las colecciones de variedades y el examen DHE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_Toc116317887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F08C8" w:rsidRDefault="00DF08C8" w:rsidP="00BB6E35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r w:rsidRPr="00DE150E">
        <w:rPr>
          <w:noProof/>
          <w:snapToGrid w:val="0"/>
        </w:rPr>
        <w:t>Utilización de caracteres de resistencia a las enfermedades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_Toc116317888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F08C8" w:rsidRDefault="00DF08C8" w:rsidP="00BB6E35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r w:rsidRPr="00DE150E">
        <w:rPr>
          <w:noProof/>
        </w:rPr>
        <w:t>Resistencia a las enfermedades en las especies ornamentales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_Toc116317889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F08C8" w:rsidRDefault="00DF08C8" w:rsidP="00BB6E35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r w:rsidRPr="00DE150E">
        <w:rPr>
          <w:noProof/>
          <w:snapToGrid w:val="0"/>
        </w:rPr>
        <w:t>Nuevas cuestiones que se plantean en relación con el examen DHE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_Toc116317890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F08C8" w:rsidRDefault="00DF08C8" w:rsidP="00BB6E35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r w:rsidRPr="00DE150E">
        <w:rPr>
          <w:noProof/>
        </w:rPr>
        <w:t>Experiencias con nuevos tipos y especies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_Toc116317891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F08C8" w:rsidRDefault="00DF08C8" w:rsidP="00BB6E35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r w:rsidRPr="00DE150E">
        <w:rPr>
          <w:noProof/>
        </w:rPr>
        <w:t>Examen de variedades híbridas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_Toc116317892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F08C8" w:rsidRDefault="00DF08C8" w:rsidP="00BB6E35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r w:rsidRPr="00DE150E">
        <w:rPr>
          <w:noProof/>
        </w:rPr>
        <w:t>Nuevas tecnologías en el examen DHE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_Toc116317893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F08C8" w:rsidRDefault="00DF08C8" w:rsidP="00BB6E35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r w:rsidRPr="00DE150E">
        <w:rPr>
          <w:noProof/>
        </w:rPr>
        <w:t>Plataforma de macrodatos para el examen DHE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_Toc116317894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F08C8" w:rsidRDefault="00DF08C8" w:rsidP="00BB6E35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r w:rsidRPr="00DE150E">
        <w:rPr>
          <w:noProof/>
        </w:rPr>
        <w:t>La determinación del color en plantas frutales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_Toc116317895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F08C8" w:rsidRDefault="00DF08C8" w:rsidP="00BB6E35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r w:rsidRPr="00DE150E">
        <w:rPr>
          <w:noProof/>
        </w:rPr>
        <w:t>Fenotipado y análisis de imágenes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_Toc116317896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C681A" w:rsidRPr="000A2B1C" w:rsidRDefault="007022E0" w:rsidP="000C681A">
      <w:pPr>
        <w:rPr>
          <w:rFonts w:ascii="Calibri" w:hAnsi="Calibri"/>
          <w:noProof/>
          <w:sz w:val="22"/>
          <w:szCs w:val="22"/>
        </w:rPr>
      </w:pPr>
      <w:r w:rsidRPr="000A2B1C">
        <w:rPr>
          <w:rFonts w:eastAsia="MS Mincho" w:cs="Arial"/>
          <w:bCs/>
          <w:i/>
          <w:noProof/>
          <w:lang w:eastAsia="ja-JP"/>
        </w:rPr>
        <w:fldChar w:fldCharType="end"/>
      </w:r>
      <w:r w:rsidRPr="000A2B1C">
        <w:rPr>
          <w:caps/>
          <w:sz w:val="18"/>
        </w:rPr>
        <w:fldChar w:fldCharType="begin"/>
      </w:r>
      <w:r w:rsidR="000C681A" w:rsidRPr="000A2B1C">
        <w:instrText xml:space="preserve"> TOC \o "1-3" \h \z \u </w:instrText>
      </w:r>
      <w:r w:rsidRPr="000A2B1C">
        <w:rPr>
          <w:caps/>
          <w:sz w:val="18"/>
        </w:rPr>
        <w:fldChar w:fldCharType="separate"/>
      </w:r>
    </w:p>
    <w:p w:rsidR="000C681A" w:rsidRPr="000A2B1C" w:rsidRDefault="007022E0" w:rsidP="000C681A">
      <w:pPr>
        <w:tabs>
          <w:tab w:val="left" w:pos="567"/>
        </w:tabs>
        <w:rPr>
          <w:rFonts w:cs="Arial"/>
        </w:rPr>
      </w:pPr>
      <w:r w:rsidRPr="000A2B1C">
        <w:fldChar w:fldCharType="end"/>
      </w:r>
    </w:p>
    <w:p w:rsidR="000C681A" w:rsidRPr="000A2B1C" w:rsidRDefault="001D1D83" w:rsidP="000C681A">
      <w:pPr>
        <w:keepNext/>
        <w:outlineLvl w:val="0"/>
        <w:rPr>
          <w:rFonts w:eastAsia="PMingLiU"/>
          <w:caps/>
          <w:szCs w:val="24"/>
        </w:rPr>
      </w:pPr>
      <w:bookmarkStart w:id="1" w:name="_Toc116317883"/>
      <w:r w:rsidRPr="001469BE">
        <w:rPr>
          <w:caps/>
        </w:rPr>
        <w:t>Cuestiones para información y para una eventual decisión del Comité Técnico (TC)</w:t>
      </w:r>
      <w:bookmarkEnd w:id="1"/>
    </w:p>
    <w:p w:rsidR="000C681A" w:rsidRPr="000A2B1C" w:rsidRDefault="000C681A" w:rsidP="000C681A"/>
    <w:p w:rsidR="000C681A" w:rsidRPr="000A2B1C" w:rsidRDefault="007022E0" w:rsidP="000C681A"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2D148C" w:rsidRPr="001469BE">
        <w:t>No se han planteado cuestiones sobre las que el Comité Técnico tenga que adoptar una decisión en su quincuagésima octava sesión.</w:t>
      </w:r>
    </w:p>
    <w:p w:rsidR="000C681A" w:rsidRPr="000A2B1C" w:rsidRDefault="000C681A" w:rsidP="000C681A"/>
    <w:p w:rsidR="000C681A" w:rsidRPr="000A2B1C" w:rsidRDefault="000C681A" w:rsidP="000C681A"/>
    <w:p w:rsidR="000C681A" w:rsidRPr="000A2B1C" w:rsidRDefault="00C63667" w:rsidP="000C681A">
      <w:pPr>
        <w:keepNext/>
        <w:outlineLvl w:val="0"/>
        <w:rPr>
          <w:caps/>
        </w:rPr>
      </w:pPr>
      <w:bookmarkStart w:id="2" w:name="_Toc116317884"/>
      <w:r w:rsidRPr="001469BE">
        <w:rPr>
          <w:caps/>
        </w:rPr>
        <w:t>Cuestiones para información</w:t>
      </w:r>
      <w:bookmarkEnd w:id="2"/>
    </w:p>
    <w:p w:rsidR="000C681A" w:rsidRPr="000A2B1C" w:rsidRDefault="000C681A" w:rsidP="000C681A"/>
    <w:p w:rsidR="000C681A" w:rsidRPr="000A2B1C" w:rsidRDefault="00C63667" w:rsidP="000C681A">
      <w:pPr>
        <w:pStyle w:val="Heading2"/>
        <w:rPr>
          <w:lang w:val="es-ES_tradnl"/>
        </w:rPr>
      </w:pPr>
      <w:bookmarkStart w:id="3" w:name="_Toc116317885"/>
      <w:r w:rsidRPr="001469BE">
        <w:rPr>
          <w:lang w:val="es-ES_tradnl"/>
        </w:rPr>
        <w:t>Información necesaria para potenciar el uso de los informes de examen DHE existentes</w:t>
      </w:r>
      <w:bookmarkEnd w:id="3"/>
    </w:p>
    <w:p w:rsidR="000C681A" w:rsidRPr="000A2B1C" w:rsidRDefault="000C681A" w:rsidP="000C681A"/>
    <w:p w:rsidR="000C681A" w:rsidRPr="000A2B1C" w:rsidRDefault="007022E0" w:rsidP="000C681A"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C63667" w:rsidRPr="001469BE">
        <w:t>El TWF examinó el documento TWF/53/6, presentado por un experto de Nueva Zelandia (véanse los párrafos 61 a 64 del documento TWF/53/14 “</w:t>
      </w:r>
      <w:r w:rsidR="00C63667" w:rsidRPr="001469BE">
        <w:rPr>
          <w:i/>
          <w:lang w:val="en-US"/>
        </w:rPr>
        <w:t>Report</w:t>
      </w:r>
      <w:r w:rsidR="00C63667" w:rsidRPr="001469BE">
        <w:t>” (Informe)).</w:t>
      </w:r>
    </w:p>
    <w:p w:rsidR="000C681A" w:rsidRPr="000A2B1C" w:rsidRDefault="000C681A" w:rsidP="000C681A"/>
    <w:p w:rsidR="000C681A" w:rsidRPr="000A2B1C" w:rsidRDefault="007022E0" w:rsidP="000C681A"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890FAB" w:rsidRPr="001469BE">
        <w:t xml:space="preserve">El TWF </w:t>
      </w:r>
      <w:r w:rsidR="00F50294" w:rsidRPr="001469BE">
        <w:t>examinó la</w:t>
      </w:r>
      <w:r w:rsidR="00890FAB" w:rsidRPr="001469BE">
        <w:t xml:space="preserve"> información </w:t>
      </w:r>
      <w:r w:rsidR="00F50294" w:rsidRPr="001469BE">
        <w:t>que se ha de facilitar</w:t>
      </w:r>
      <w:r w:rsidR="00890FAB" w:rsidRPr="001469BE">
        <w:t xml:space="preserve"> en </w:t>
      </w:r>
      <w:r w:rsidR="00F50294" w:rsidRPr="001469BE">
        <w:t>un</w:t>
      </w:r>
      <w:r w:rsidR="00890FAB" w:rsidRPr="001469BE">
        <w:t xml:space="preserve"> </w:t>
      </w:r>
      <w:r w:rsidR="00F50294" w:rsidRPr="001469BE">
        <w:t xml:space="preserve">formulario </w:t>
      </w:r>
      <w:r w:rsidR="00890FAB" w:rsidRPr="001469BE">
        <w:t xml:space="preserve">UPOV para la descripción de variedades </w:t>
      </w:r>
      <w:r w:rsidR="00F50294" w:rsidRPr="001469BE">
        <w:t xml:space="preserve">a fin de potenciar el </w:t>
      </w:r>
      <w:r w:rsidR="00890FAB" w:rsidRPr="001469BE">
        <w:t xml:space="preserve">intercambio y </w:t>
      </w:r>
      <w:r w:rsidR="00F50294" w:rsidRPr="001469BE">
        <w:t>la utilización</w:t>
      </w:r>
      <w:r w:rsidR="00890FAB" w:rsidRPr="001469BE">
        <w:t xml:space="preserve"> de informes de examen DHE.</w:t>
      </w:r>
      <w:r w:rsidR="000A2B1C">
        <w:t xml:space="preserve"> </w:t>
      </w:r>
      <w:r w:rsidR="00F50294" w:rsidRPr="001469BE">
        <w:t>El TWF convino en que la información siempre debe facilitarse en la sección 16 “Variedades similares y diferencias respecto de esas variedades” para aclarar si existen o no variedades similares.</w:t>
      </w:r>
      <w:r w:rsidR="000A2B1C">
        <w:t xml:space="preserve"> </w:t>
      </w:r>
    </w:p>
    <w:p w:rsidR="000C681A" w:rsidRPr="000A2B1C" w:rsidRDefault="000C681A" w:rsidP="000C681A"/>
    <w:p w:rsidR="000C681A" w:rsidRPr="000A2B1C" w:rsidRDefault="007022E0" w:rsidP="000C681A"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F50294" w:rsidRPr="00AF276E">
        <w:t xml:space="preserve">El TWF </w:t>
      </w:r>
      <w:r w:rsidR="0080381E" w:rsidRPr="00AF276E">
        <w:t>tomó nota de las</w:t>
      </w:r>
      <w:r w:rsidR="00F50294" w:rsidRPr="00AF276E">
        <w:t xml:space="preserve"> distint</w:t>
      </w:r>
      <w:r w:rsidR="0080381E" w:rsidRPr="00AF276E">
        <w:t>as</w:t>
      </w:r>
      <w:r w:rsidR="00F50294" w:rsidRPr="00AF276E">
        <w:t xml:space="preserve"> posibilidades </w:t>
      </w:r>
      <w:r w:rsidR="00DA0C67" w:rsidRPr="00AF276E">
        <w:t>para</w:t>
      </w:r>
      <w:r w:rsidR="0080381E" w:rsidRPr="00AF276E">
        <w:t xml:space="preserve"> </w:t>
      </w:r>
      <w:r w:rsidR="00F50294" w:rsidRPr="00AF276E">
        <w:t xml:space="preserve">proporcionar información en </w:t>
      </w:r>
      <w:r w:rsidR="0080381E" w:rsidRPr="00AF276E">
        <w:t>la sección </w:t>
      </w:r>
      <w:r w:rsidR="00F50294" w:rsidRPr="00AF276E">
        <w:t xml:space="preserve">16, en particular </w:t>
      </w:r>
      <w:r w:rsidR="00927E0B" w:rsidRPr="00AF276E">
        <w:t>enumerar</w:t>
      </w:r>
      <w:r w:rsidR="00F50294" w:rsidRPr="00AF276E">
        <w:t xml:space="preserve"> un</w:t>
      </w:r>
      <w:r w:rsidR="00927E0B" w:rsidRPr="00AF276E">
        <w:t>a</w:t>
      </w:r>
      <w:r w:rsidR="00F50294" w:rsidRPr="00AF276E">
        <w:t xml:space="preserve"> o </w:t>
      </w:r>
      <w:r w:rsidR="00DA0C67" w:rsidRPr="00AF276E">
        <w:t>más</w:t>
      </w:r>
      <w:r w:rsidR="00F50294" w:rsidRPr="00AF276E">
        <w:t xml:space="preserve"> </w:t>
      </w:r>
      <w:r w:rsidR="00F50294" w:rsidRPr="00AF276E">
        <w:rPr>
          <w:rFonts w:eastAsia="Calibri"/>
        </w:rPr>
        <w:t>variedades consider</w:t>
      </w:r>
      <w:r w:rsidR="00927E0B" w:rsidRPr="00AF276E">
        <w:rPr>
          <w:rFonts w:eastAsia="Calibri"/>
        </w:rPr>
        <w:t>adas</w:t>
      </w:r>
      <w:r w:rsidR="00F50294" w:rsidRPr="00AF276E">
        <w:rPr>
          <w:rFonts w:eastAsia="Calibri"/>
        </w:rPr>
        <w:t xml:space="preserve"> la</w:t>
      </w:r>
      <w:r w:rsidR="00927E0B" w:rsidRPr="00AF276E">
        <w:rPr>
          <w:rFonts w:eastAsia="Calibri"/>
        </w:rPr>
        <w:t>s</w:t>
      </w:r>
      <w:r w:rsidR="00F50294" w:rsidRPr="00AF276E">
        <w:rPr>
          <w:rFonts w:eastAsia="Calibri"/>
        </w:rPr>
        <w:t xml:space="preserve"> </w:t>
      </w:r>
      <w:r w:rsidR="00927E0B" w:rsidRPr="00AF276E">
        <w:rPr>
          <w:rFonts w:eastAsia="Calibri"/>
        </w:rPr>
        <w:t>más</w:t>
      </w:r>
      <w:r w:rsidR="00F50294" w:rsidRPr="00AF276E">
        <w:rPr>
          <w:rFonts w:eastAsia="Calibri"/>
        </w:rPr>
        <w:t xml:space="preserve"> similar</w:t>
      </w:r>
      <w:r w:rsidR="00927E0B" w:rsidRPr="00AF276E">
        <w:rPr>
          <w:rFonts w:eastAsia="Calibri"/>
        </w:rPr>
        <w:t>es</w:t>
      </w:r>
      <w:r w:rsidR="0045673C" w:rsidRPr="00AF276E">
        <w:rPr>
          <w:rFonts w:eastAsia="Calibri"/>
        </w:rPr>
        <w:t xml:space="preserve"> </w:t>
      </w:r>
      <w:r w:rsidR="00AF276E" w:rsidRPr="00AF276E">
        <w:rPr>
          <w:rFonts w:eastAsia="Calibri"/>
        </w:rPr>
        <w:t>y señalar</w:t>
      </w:r>
      <w:r w:rsidR="0045673C" w:rsidRPr="00AF276E">
        <w:rPr>
          <w:rFonts w:eastAsia="Calibri"/>
        </w:rPr>
        <w:t xml:space="preserve"> </w:t>
      </w:r>
      <w:r w:rsidR="001469BE" w:rsidRPr="00AF276E">
        <w:rPr>
          <w:rFonts w:eastAsia="Calibri"/>
        </w:rPr>
        <w:t xml:space="preserve">en cada variedad </w:t>
      </w:r>
      <w:r w:rsidR="0045673C" w:rsidRPr="00AF276E">
        <w:rPr>
          <w:rFonts w:eastAsia="Calibri"/>
        </w:rPr>
        <w:t xml:space="preserve">uno </w:t>
      </w:r>
      <w:r w:rsidR="00F50294" w:rsidRPr="00AF276E">
        <w:rPr>
          <w:rFonts w:eastAsia="Calibri"/>
        </w:rPr>
        <w:t xml:space="preserve">o </w:t>
      </w:r>
      <w:r w:rsidR="00DA0C67" w:rsidRPr="00AF276E">
        <w:rPr>
          <w:rFonts w:eastAsia="Calibri"/>
        </w:rPr>
        <w:t>más</w:t>
      </w:r>
      <w:r w:rsidR="0045673C" w:rsidRPr="00AF276E">
        <w:rPr>
          <w:rFonts w:eastAsia="Calibri"/>
        </w:rPr>
        <w:t xml:space="preserve"> </w:t>
      </w:r>
      <w:r w:rsidR="00F50294" w:rsidRPr="00AF276E">
        <w:rPr>
          <w:rFonts w:eastAsia="Calibri"/>
        </w:rPr>
        <w:t xml:space="preserve">caracteres </w:t>
      </w:r>
      <w:r w:rsidR="00933012" w:rsidRPr="00AF276E">
        <w:rPr>
          <w:rFonts w:eastAsia="Calibri"/>
        </w:rPr>
        <w:t>que confieran</w:t>
      </w:r>
      <w:r w:rsidR="00F50294" w:rsidRPr="00AF276E">
        <w:rPr>
          <w:rFonts w:eastAsia="Calibri"/>
        </w:rPr>
        <w:t xml:space="preserve"> distinción.</w:t>
      </w:r>
      <w:r w:rsidR="000A2B1C">
        <w:rPr>
          <w:rFonts w:eastAsia="Calibri"/>
        </w:rPr>
        <w:t xml:space="preserve"> </w:t>
      </w:r>
      <w:r w:rsidR="00C71F45" w:rsidRPr="00AF276E">
        <w:rPr>
          <w:rFonts w:eastAsia="Calibri"/>
        </w:rPr>
        <w:t>El TWF convino en que siempre debe indicarse si no se han encontrado variedades similares.</w:t>
      </w:r>
    </w:p>
    <w:p w:rsidR="000C681A" w:rsidRPr="000A2B1C" w:rsidRDefault="000C681A" w:rsidP="000C681A"/>
    <w:p w:rsidR="000C681A" w:rsidRPr="000A2B1C" w:rsidRDefault="007022E0" w:rsidP="000C681A"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CE1A22" w:rsidRPr="00AF276E">
        <w:t>El TWF convino en que continúen los debates e invitó al experto de Nueva Zelandia a que, con el apoyo de los expertos de Alemania, Australia, el Canadá, Francia, Italia y la Unión Europea, elabore una propuesta de orientación sobre el modo de cumplimentar la sección 16 del formulario UPOV para la descripción de variedades.</w:t>
      </w:r>
      <w:r w:rsidR="000A2B1C">
        <w:t xml:space="preserve"> </w:t>
      </w:r>
    </w:p>
    <w:p w:rsidR="000C681A" w:rsidRPr="000A2B1C" w:rsidRDefault="000C681A" w:rsidP="000C681A"/>
    <w:p w:rsidR="000C681A" w:rsidRPr="000A2B1C" w:rsidRDefault="000C681A" w:rsidP="000C681A"/>
    <w:p w:rsidR="000C681A" w:rsidRPr="000A2B1C" w:rsidRDefault="00CE1A22" w:rsidP="00BB6E35">
      <w:pPr>
        <w:pStyle w:val="Heading2"/>
        <w:rPr>
          <w:lang w:val="es-ES_tradnl"/>
        </w:rPr>
      </w:pPr>
      <w:bookmarkStart w:id="4" w:name="_Toc116317886"/>
      <w:r w:rsidRPr="00AF276E">
        <w:rPr>
          <w:lang w:val="es-ES_tradnl"/>
        </w:rPr>
        <w:lastRenderedPageBreak/>
        <w:t>Examen DHE de variedades mutantes de manzano</w:t>
      </w:r>
      <w:bookmarkEnd w:id="4"/>
    </w:p>
    <w:p w:rsidR="000C681A" w:rsidRPr="000A2B1C" w:rsidRDefault="000C681A" w:rsidP="00BB6E35">
      <w:pPr>
        <w:keepNext/>
      </w:pPr>
    </w:p>
    <w:p w:rsidR="000C681A" w:rsidRPr="000A2B1C" w:rsidRDefault="007022E0" w:rsidP="00BB6E35">
      <w:pPr>
        <w:keepNext/>
      </w:pPr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693717" w:rsidRPr="00AF276E">
        <w:t>El TWF asistió a una ponencia</w:t>
      </w:r>
      <w:r w:rsidR="00EE5548" w:rsidRPr="00AF276E">
        <w:t xml:space="preserve"> titulada</w:t>
      </w:r>
      <w:r w:rsidR="00693717" w:rsidRPr="00AF276E">
        <w:t xml:space="preserve"> “</w:t>
      </w:r>
      <w:r w:rsidR="00EE5548" w:rsidRPr="00AF276E">
        <w:t xml:space="preserve">Variedades mutantes de manzano </w:t>
      </w:r>
      <w:r w:rsidR="00693717" w:rsidRPr="00AF276E">
        <w:t xml:space="preserve">y </w:t>
      </w:r>
      <w:r w:rsidR="00EE5548" w:rsidRPr="00AF276E">
        <w:t xml:space="preserve">declaración </w:t>
      </w:r>
      <w:r w:rsidR="00693717" w:rsidRPr="00AF276E">
        <w:t xml:space="preserve">de </w:t>
      </w:r>
      <w:r w:rsidR="00EE5548" w:rsidRPr="00AF276E">
        <w:t xml:space="preserve">las líneas </w:t>
      </w:r>
      <w:r w:rsidR="009C1F10" w:rsidRPr="00AF276E">
        <w:t>progenitoras</w:t>
      </w:r>
      <w:r w:rsidR="00693717" w:rsidRPr="00AF276E">
        <w:t>”</w:t>
      </w:r>
      <w:r w:rsidR="00EE5548" w:rsidRPr="00AF276E">
        <w:t xml:space="preserve">, ofrecida por </w:t>
      </w:r>
      <w:r w:rsidR="00693717" w:rsidRPr="00AF276E">
        <w:t>un experto de</w:t>
      </w:r>
      <w:r w:rsidR="00EE5548" w:rsidRPr="00AF276E">
        <w:t>l </w:t>
      </w:r>
      <w:r w:rsidR="00693717" w:rsidRPr="00AF276E">
        <w:t>Canadá.</w:t>
      </w:r>
      <w:r w:rsidR="000A2B1C">
        <w:t xml:space="preserve"> </w:t>
      </w:r>
      <w:r w:rsidR="00D12793" w:rsidRPr="00AF276E">
        <w:t>En el documento TWF/53/10 se facilita una copia de dicha ponencia (véanse los párrafos 53 a 55 del documento TWF/53/14 “</w:t>
      </w:r>
      <w:r w:rsidR="00D12793" w:rsidRPr="00AF276E">
        <w:rPr>
          <w:i/>
          <w:lang w:val="en-US"/>
        </w:rPr>
        <w:t>Report</w:t>
      </w:r>
      <w:r w:rsidR="00D12793" w:rsidRPr="00AF276E">
        <w:t>”).</w:t>
      </w:r>
    </w:p>
    <w:p w:rsidR="000C681A" w:rsidRPr="000A2B1C" w:rsidRDefault="000C681A" w:rsidP="000C681A"/>
    <w:p w:rsidR="000C681A" w:rsidRPr="000A2B1C" w:rsidRDefault="007022E0" w:rsidP="000C681A"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D12793" w:rsidRPr="00AF276E">
        <w:t>El TWF consideró si procede crear una base de datos común de variedades mutantes de manzano a la que se pueda acceder a través del sitio web de la UPOV.</w:t>
      </w:r>
      <w:r w:rsidR="000A2B1C">
        <w:t xml:space="preserve"> </w:t>
      </w:r>
      <w:r w:rsidR="00D12793" w:rsidRPr="00AF276E">
        <w:t xml:space="preserve">El TWF tomó nota de los informes de Australia, el Brasil y el Canadá </w:t>
      </w:r>
      <w:r w:rsidR="00AF276E" w:rsidRPr="00AF276E">
        <w:t>según los cuales</w:t>
      </w:r>
      <w:r w:rsidR="007710DD" w:rsidRPr="00AF276E">
        <w:t xml:space="preserve"> en sus países podrían existir </w:t>
      </w:r>
      <w:r w:rsidR="00D12793" w:rsidRPr="00AF276E">
        <w:t xml:space="preserve">limitaciones </w:t>
      </w:r>
      <w:r w:rsidR="007710DD" w:rsidRPr="00AF276E">
        <w:t>a la</w:t>
      </w:r>
      <w:r w:rsidR="00D12793" w:rsidRPr="00AF276E">
        <w:t xml:space="preserve"> </w:t>
      </w:r>
      <w:r w:rsidR="007710DD" w:rsidRPr="00AF276E">
        <w:t xml:space="preserve">revelación de las líneas </w:t>
      </w:r>
      <w:r w:rsidR="009C1F10" w:rsidRPr="00AF276E">
        <w:t xml:space="preserve">progenitoras </w:t>
      </w:r>
      <w:r w:rsidR="00D12793" w:rsidRPr="00AF276E">
        <w:t>de las variedades candidatas.</w:t>
      </w:r>
      <w:r w:rsidR="000A2B1C">
        <w:t xml:space="preserve"> </w:t>
      </w:r>
      <w:r w:rsidR="009D4579" w:rsidRPr="00AF276E">
        <w:t>El TWF convino en que la información sobre las variedades resultaría útil de cara al examen DHE en el caso de que también se indiquen las líneas progenitoras.</w:t>
      </w:r>
    </w:p>
    <w:p w:rsidR="000C681A" w:rsidRPr="000A2B1C" w:rsidRDefault="000C681A" w:rsidP="000C681A"/>
    <w:p w:rsidR="000C681A" w:rsidRPr="000A2B1C" w:rsidRDefault="007022E0" w:rsidP="000C681A"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9D4579" w:rsidRPr="00AF276E">
        <w:t>El TWF acordó invitar a la Unión Europea a revisar la práctica anterior de recabar información sobre las solicitudes presentadas para la protección de las variedades mutantes de manzano e informar del resultado en la próxima sesión.</w:t>
      </w:r>
      <w:r w:rsidR="000A2B1C">
        <w:t xml:space="preserve"> </w:t>
      </w:r>
      <w:r w:rsidR="009D4579" w:rsidRPr="00AF276E">
        <w:t>El TWF convino en que la información recabada solo debe compartirse entre la</w:t>
      </w:r>
      <w:r w:rsidR="00DB1DE0">
        <w:t>s</w:t>
      </w:r>
      <w:r w:rsidR="009D4579" w:rsidRPr="00AF276E">
        <w:t xml:space="preserve"> autoridades y no </w:t>
      </w:r>
      <w:r w:rsidR="003B6338" w:rsidRPr="00AF276E">
        <w:t xml:space="preserve">debe </w:t>
      </w:r>
      <w:r w:rsidR="009D4579" w:rsidRPr="00AF276E">
        <w:t xml:space="preserve">ponerse </w:t>
      </w:r>
      <w:r w:rsidR="003B6338" w:rsidRPr="00AF276E">
        <w:t>a disposición del público</w:t>
      </w:r>
      <w:r w:rsidR="009D4579" w:rsidRPr="00AF276E">
        <w:t>.</w:t>
      </w:r>
    </w:p>
    <w:p w:rsidR="000C681A" w:rsidRPr="000A2B1C" w:rsidRDefault="000C681A" w:rsidP="000C681A"/>
    <w:p w:rsidR="000C681A" w:rsidRPr="000A2B1C" w:rsidRDefault="000C681A" w:rsidP="000C681A"/>
    <w:p w:rsidR="000C681A" w:rsidRPr="000A2B1C" w:rsidRDefault="00756106" w:rsidP="000C681A">
      <w:pPr>
        <w:pStyle w:val="Heading2"/>
        <w:rPr>
          <w:lang w:val="es-ES_tradnl"/>
        </w:rPr>
      </w:pPr>
      <w:bookmarkStart w:id="5" w:name="_Toc116317887"/>
      <w:r w:rsidRPr="00AF276E">
        <w:rPr>
          <w:lang w:val="es-ES_tradnl"/>
        </w:rPr>
        <w:t>Acceso al material vegetal a efectos de la gestión de las colecciones de variedades y el examen DHE</w:t>
      </w:r>
      <w:bookmarkEnd w:id="5"/>
    </w:p>
    <w:p w:rsidR="000C681A" w:rsidRPr="000A2B1C" w:rsidRDefault="000C681A" w:rsidP="000C681A">
      <w:pPr>
        <w:keepNext/>
      </w:pPr>
    </w:p>
    <w:p w:rsidR="000C681A" w:rsidRPr="000A2B1C" w:rsidRDefault="007022E0" w:rsidP="000C681A">
      <w:pPr>
        <w:keepNext/>
      </w:pPr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756106" w:rsidRPr="00AF276E">
        <w:t>El TWF asistió a una ponencia titulada “Acceso al material vegetal a efectos de la gestión de las colecciones de variedades y el examen DHE”, a cargo de un experto de la Unión Europea.</w:t>
      </w:r>
      <w:r w:rsidR="000A2B1C">
        <w:t xml:space="preserve"> </w:t>
      </w:r>
      <w:r w:rsidR="00756106" w:rsidRPr="00AF276E">
        <w:t>En el documento TWF/53/11 se facilita una copia de dicha ponencia y un modelo de carta para solicitar material vegetal (véanse los párrafos 56 a 57 del documento TWF/53/14 “</w:t>
      </w:r>
      <w:r w:rsidR="00756106" w:rsidRPr="00AF276E">
        <w:rPr>
          <w:i/>
          <w:lang w:val="en-US"/>
        </w:rPr>
        <w:t>Report</w:t>
      </w:r>
      <w:r w:rsidR="00756106" w:rsidRPr="00AF276E">
        <w:t>”).</w:t>
      </w:r>
    </w:p>
    <w:p w:rsidR="000C681A" w:rsidRPr="000A2B1C" w:rsidRDefault="000C681A" w:rsidP="000C681A"/>
    <w:p w:rsidR="000C681A" w:rsidRPr="000A2B1C" w:rsidRDefault="007022E0" w:rsidP="000C681A"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756106" w:rsidRPr="00AF276E">
        <w:t xml:space="preserve">El TWF acordó invitar a </w:t>
      </w:r>
      <w:r w:rsidR="001D17DD" w:rsidRPr="00AF276E">
        <w:t>la </w:t>
      </w:r>
      <w:r w:rsidR="00756106" w:rsidRPr="00AF276E">
        <w:t>Unión Europea</w:t>
      </w:r>
      <w:r w:rsidR="001D17DD" w:rsidRPr="00AF276E">
        <w:t>,</w:t>
      </w:r>
      <w:r w:rsidR="00756106" w:rsidRPr="00AF276E">
        <w:t xml:space="preserve"> con </w:t>
      </w:r>
      <w:r w:rsidR="001D17DD" w:rsidRPr="00AF276E">
        <w:t>el apoyo</w:t>
      </w:r>
      <w:r w:rsidR="00756106" w:rsidRPr="00AF276E">
        <w:t xml:space="preserve"> de</w:t>
      </w:r>
      <w:r w:rsidR="001D17DD" w:rsidRPr="00AF276E">
        <w:t xml:space="preserve"> Alemania, e</w:t>
      </w:r>
      <w:r w:rsidR="00756106" w:rsidRPr="00AF276E">
        <w:t>l Canadá, Francia, Italia y Nueva Zelandia</w:t>
      </w:r>
      <w:r w:rsidR="001D17DD" w:rsidRPr="00AF276E">
        <w:t>,</w:t>
      </w:r>
      <w:r w:rsidR="00756106" w:rsidRPr="00AF276E">
        <w:t xml:space="preserve"> </w:t>
      </w:r>
      <w:r w:rsidR="001D17DD" w:rsidRPr="00AF276E">
        <w:t xml:space="preserve">a que elabore una </w:t>
      </w:r>
      <w:r w:rsidR="00756106" w:rsidRPr="00AF276E">
        <w:t xml:space="preserve">lista </w:t>
      </w:r>
      <w:r w:rsidR="001D17DD" w:rsidRPr="00AF276E">
        <w:t xml:space="preserve">preliminar </w:t>
      </w:r>
      <w:r w:rsidR="00756106" w:rsidRPr="00AF276E">
        <w:t>de element</w:t>
      </w:r>
      <w:r w:rsidR="001D17DD" w:rsidRPr="00AF276E">
        <w:t>o</w:t>
      </w:r>
      <w:r w:rsidR="00756106" w:rsidRPr="00AF276E">
        <w:t xml:space="preserve">s </w:t>
      </w:r>
      <w:r w:rsidR="001D17DD" w:rsidRPr="00AF276E">
        <w:t>que deban</w:t>
      </w:r>
      <w:r w:rsidR="00756106" w:rsidRPr="00AF276E">
        <w:t xml:space="preserve"> inclu</w:t>
      </w:r>
      <w:r w:rsidR="001D17DD" w:rsidRPr="00AF276E">
        <w:t xml:space="preserve">irse </w:t>
      </w:r>
      <w:r w:rsidR="00756106" w:rsidRPr="00AF276E">
        <w:t xml:space="preserve">en </w:t>
      </w:r>
      <w:r w:rsidR="001D17DD" w:rsidRPr="00AF276E">
        <w:t xml:space="preserve">las solicitudes de presentación </w:t>
      </w:r>
      <w:r w:rsidR="00756106" w:rsidRPr="00AF276E">
        <w:t xml:space="preserve">de material vegetal de </w:t>
      </w:r>
      <w:r w:rsidR="001D17DD" w:rsidRPr="00AF276E">
        <w:t xml:space="preserve">la </w:t>
      </w:r>
      <w:r w:rsidR="00756106" w:rsidRPr="00AF276E">
        <w:t xml:space="preserve">variedad candidata y </w:t>
      </w:r>
      <w:r w:rsidR="001D17DD" w:rsidRPr="00AF276E">
        <w:t xml:space="preserve">las </w:t>
      </w:r>
      <w:r w:rsidR="00756106" w:rsidRPr="00AF276E">
        <w:t xml:space="preserve">variedades notoriamente conocidas </w:t>
      </w:r>
      <w:r w:rsidR="001D17DD" w:rsidRPr="00AF276E">
        <w:t>para el</w:t>
      </w:r>
      <w:r w:rsidR="00756106" w:rsidRPr="00AF276E">
        <w:t xml:space="preserve"> examen DHE.</w:t>
      </w:r>
      <w:r w:rsidR="000C681A" w:rsidRPr="000A2B1C">
        <w:t xml:space="preserve"> </w:t>
      </w:r>
      <w:r w:rsidR="001D17DD" w:rsidRPr="00AF276E">
        <w:t>El TWF convino en que se pueden desarrollar los elementos de esa lista preliminar para un futuro documento de orientación técnica.</w:t>
      </w:r>
      <w:r w:rsidR="000A2B1C">
        <w:t xml:space="preserve"> </w:t>
      </w:r>
      <w:r w:rsidR="001D17DD" w:rsidRPr="00AF276E">
        <w:t>El TWF acordó invitar a la Unión Europea a informar de l</w:t>
      </w:r>
      <w:r w:rsidR="00B910D6" w:rsidRPr="00AF276E">
        <w:t>o</w:t>
      </w:r>
      <w:r w:rsidR="001D17DD" w:rsidRPr="00AF276E">
        <w:t xml:space="preserve">s </w:t>
      </w:r>
      <w:r w:rsidR="00B910D6" w:rsidRPr="00AF276E">
        <w:t>avances</w:t>
      </w:r>
      <w:r w:rsidR="001D17DD" w:rsidRPr="00AF276E">
        <w:t xml:space="preserve"> en su quincuagésima cuarta sesión.</w:t>
      </w:r>
      <w:r w:rsidR="000C681A" w:rsidRPr="000A2B1C">
        <w:t xml:space="preserve"> </w:t>
      </w:r>
    </w:p>
    <w:p w:rsidR="000C681A" w:rsidRPr="000A2B1C" w:rsidRDefault="000C681A" w:rsidP="000C681A">
      <w:pPr>
        <w:jc w:val="left"/>
        <w:rPr>
          <w:snapToGrid w:val="0"/>
        </w:rPr>
      </w:pPr>
    </w:p>
    <w:p w:rsidR="000C681A" w:rsidRPr="000A2B1C" w:rsidRDefault="000C681A" w:rsidP="000C681A">
      <w:pPr>
        <w:jc w:val="left"/>
      </w:pPr>
    </w:p>
    <w:p w:rsidR="000C681A" w:rsidRPr="000A2B1C" w:rsidRDefault="00B910D6" w:rsidP="000C681A">
      <w:pPr>
        <w:pStyle w:val="Heading2"/>
        <w:rPr>
          <w:lang w:val="es-ES_tradnl"/>
        </w:rPr>
      </w:pPr>
      <w:bookmarkStart w:id="6" w:name="_Toc116317888"/>
      <w:r w:rsidRPr="00AF276E">
        <w:rPr>
          <w:snapToGrid w:val="0"/>
          <w:lang w:val="es-ES_tradnl"/>
        </w:rPr>
        <w:t>Utilización de caracteres de resistencia a las enfermedades</w:t>
      </w:r>
      <w:bookmarkEnd w:id="6"/>
    </w:p>
    <w:p w:rsidR="000C681A" w:rsidRPr="000A2B1C" w:rsidRDefault="000C681A" w:rsidP="000C681A"/>
    <w:p w:rsidR="000C681A" w:rsidRPr="000A2B1C" w:rsidRDefault="007022E0" w:rsidP="000C681A"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9500B8" w:rsidRPr="00AF276E">
        <w:t>El TWV asistió a una ponencia titulada “Harmorescoll: hacia una colección armonizada de material de referencia para los ensayos DHE de los caracteres de resistencia”</w:t>
      </w:r>
      <w:r w:rsidR="00AF276E" w:rsidRPr="00AF276E">
        <w:t>,</w:t>
      </w:r>
      <w:r w:rsidR="009500B8" w:rsidRPr="00AF276E">
        <w:t xml:space="preserve"> a cargo de un experto de Francia.</w:t>
      </w:r>
      <w:r w:rsidR="000A2B1C">
        <w:t xml:space="preserve"> </w:t>
      </w:r>
      <w:r w:rsidR="009500B8" w:rsidRPr="00AF276E">
        <w:t>En el documento TWV/56/6 Corr. se facilita una copia de dicha ponencia (véase el párrafo 74 del documento TWV/56/22 “</w:t>
      </w:r>
      <w:r w:rsidR="009500B8" w:rsidRPr="00AF276E">
        <w:rPr>
          <w:i/>
          <w:lang w:val="en-US"/>
        </w:rPr>
        <w:t>Report</w:t>
      </w:r>
      <w:r w:rsidR="009500B8" w:rsidRPr="00AF276E">
        <w:t>”).</w:t>
      </w:r>
    </w:p>
    <w:p w:rsidR="000C681A" w:rsidRPr="000A2B1C" w:rsidRDefault="000C681A" w:rsidP="000C681A"/>
    <w:p w:rsidR="000C681A" w:rsidRPr="000A2B1C" w:rsidRDefault="000C681A" w:rsidP="000C681A"/>
    <w:p w:rsidR="000C681A" w:rsidRPr="000A2B1C" w:rsidRDefault="009500B8" w:rsidP="000C681A">
      <w:pPr>
        <w:pStyle w:val="Heading2"/>
        <w:rPr>
          <w:lang w:val="es-ES_tradnl"/>
        </w:rPr>
      </w:pPr>
      <w:bookmarkStart w:id="7" w:name="_Toc116317889"/>
      <w:r w:rsidRPr="00AF276E">
        <w:rPr>
          <w:lang w:val="es-ES_tradnl"/>
        </w:rPr>
        <w:t>Resistencia a las enfermedades en las especies ornamentales</w:t>
      </w:r>
      <w:bookmarkEnd w:id="7"/>
    </w:p>
    <w:p w:rsidR="000C681A" w:rsidRPr="000A2B1C" w:rsidRDefault="000C681A" w:rsidP="000C681A">
      <w:pPr>
        <w:keepNext/>
      </w:pPr>
    </w:p>
    <w:p w:rsidR="000C681A" w:rsidRPr="000A2B1C" w:rsidRDefault="007022E0" w:rsidP="000C681A"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9500B8" w:rsidRPr="00AF276E">
        <w:t xml:space="preserve">El TWO asistió a una ponencia titulada “Resistencia a </w:t>
      </w:r>
      <w:r w:rsidR="009500B8" w:rsidRPr="00AF276E">
        <w:rPr>
          <w:i/>
        </w:rPr>
        <w:t>Puccinia horiana</w:t>
      </w:r>
      <w:r w:rsidR="009500B8" w:rsidRPr="00AF276E">
        <w:t xml:space="preserve"> en el crisantemo; informe sobre un posible nuevo carácter DHE”, ofrecida por un experto de los Países Bajos.</w:t>
      </w:r>
      <w:r w:rsidR="000A2B1C">
        <w:t xml:space="preserve"> </w:t>
      </w:r>
      <w:r w:rsidR="009500B8" w:rsidRPr="00AF276E">
        <w:t>En el documento TWO/54/4 Add. figura una copia de dicha ponencia.</w:t>
      </w:r>
      <w:r w:rsidR="000A2B1C">
        <w:t xml:space="preserve"> </w:t>
      </w:r>
      <w:r w:rsidR="009500B8" w:rsidRPr="00AF276E">
        <w:t>El TWO tomó nota del trabajo presentado y acordó invitar al experto de los Países Bajos a informar de los avances en su quincuagésima quinta sesión (véanse los párrafos 37 a 39 del documento TWO/54/6 “</w:t>
      </w:r>
      <w:r w:rsidR="009500B8" w:rsidRPr="00AF276E">
        <w:rPr>
          <w:i/>
          <w:lang w:val="en-US"/>
        </w:rPr>
        <w:t>Report</w:t>
      </w:r>
      <w:r w:rsidR="009500B8" w:rsidRPr="00AF276E">
        <w:t>”).</w:t>
      </w:r>
    </w:p>
    <w:p w:rsidR="000C681A" w:rsidRPr="000A2B1C" w:rsidRDefault="000C681A" w:rsidP="000C681A"/>
    <w:p w:rsidR="000C681A" w:rsidRPr="000A2B1C" w:rsidRDefault="007022E0" w:rsidP="000C681A"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9500B8" w:rsidRPr="00AF276E">
        <w:t xml:space="preserve">El TWO </w:t>
      </w:r>
      <w:r w:rsidR="00664BBB" w:rsidRPr="00AF276E">
        <w:t xml:space="preserve">tomó nota de que la </w:t>
      </w:r>
      <w:r w:rsidR="009500B8" w:rsidRPr="00AF276E">
        <w:t xml:space="preserve">resistencia a </w:t>
      </w:r>
      <w:r w:rsidR="00664BBB" w:rsidRPr="00AF276E">
        <w:rPr>
          <w:i/>
        </w:rPr>
        <w:t>P. </w:t>
      </w:r>
      <w:r w:rsidR="009500B8" w:rsidRPr="00AF276E">
        <w:rPr>
          <w:i/>
        </w:rPr>
        <w:t>horiana</w:t>
      </w:r>
      <w:r w:rsidR="009500B8" w:rsidRPr="00AF276E">
        <w:t xml:space="preserve"> </w:t>
      </w:r>
      <w:r w:rsidR="00664BBB" w:rsidRPr="00AF276E">
        <w:t>constituye</w:t>
      </w:r>
      <w:r w:rsidR="009500B8" w:rsidRPr="00AF276E">
        <w:t xml:space="preserve"> </w:t>
      </w:r>
      <w:r w:rsidR="00664BBB" w:rsidRPr="00AF276E">
        <w:t>en la actualidad un</w:t>
      </w:r>
      <w:r w:rsidR="009500B8" w:rsidRPr="00AF276E">
        <w:t xml:space="preserve"> </w:t>
      </w:r>
      <w:r w:rsidR="00664BBB" w:rsidRPr="00AF276E">
        <w:t xml:space="preserve">objetivo del </w:t>
      </w:r>
      <w:r w:rsidR="009500B8" w:rsidRPr="00AF276E">
        <w:t xml:space="preserve">fitomejoramiento y </w:t>
      </w:r>
      <w:r w:rsidR="00664BBB" w:rsidRPr="00AF276E">
        <w:t>de que aún</w:t>
      </w:r>
      <w:r w:rsidR="009500B8" w:rsidRPr="00AF276E">
        <w:t xml:space="preserve"> no </w:t>
      </w:r>
      <w:r w:rsidR="00664BBB" w:rsidRPr="00AF276E">
        <w:t xml:space="preserve">se ha utilizado </w:t>
      </w:r>
      <w:r w:rsidR="009500B8" w:rsidRPr="00AF276E">
        <w:t xml:space="preserve">en </w:t>
      </w:r>
      <w:r w:rsidR="00664BBB" w:rsidRPr="00AF276E">
        <w:t xml:space="preserve">el </w:t>
      </w:r>
      <w:r w:rsidR="009500B8" w:rsidRPr="00AF276E">
        <w:t>examen DHE.</w:t>
      </w:r>
      <w:r w:rsidR="000C681A" w:rsidRPr="000A2B1C">
        <w:t xml:space="preserve"> </w:t>
      </w:r>
      <w:r w:rsidR="00664BBB" w:rsidRPr="00AF276E">
        <w:t>También tomó nota de la invitación a seguir participando en el desarrollo de la metodología para evaluar el carácter.</w:t>
      </w:r>
      <w:r w:rsidR="000C681A" w:rsidRPr="000A2B1C">
        <w:t xml:space="preserve"> </w:t>
      </w:r>
    </w:p>
    <w:p w:rsidR="000C681A" w:rsidRPr="000A2B1C" w:rsidRDefault="000C681A" w:rsidP="000C681A"/>
    <w:p w:rsidR="000C681A" w:rsidRPr="000A2B1C" w:rsidRDefault="007022E0" w:rsidP="000C681A"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664BBB" w:rsidRPr="00AF276E">
        <w:t xml:space="preserve">El TWO </w:t>
      </w:r>
      <w:r w:rsidR="009B1250" w:rsidRPr="00AF276E">
        <w:t>tomó nota de los</w:t>
      </w:r>
      <w:r w:rsidR="00664BBB" w:rsidRPr="00AF276E">
        <w:t xml:space="preserve"> </w:t>
      </w:r>
      <w:r w:rsidR="009B1250" w:rsidRPr="00AF276E">
        <w:t>requisitos específicos</w:t>
      </w:r>
      <w:r w:rsidR="00664BBB" w:rsidRPr="00AF276E">
        <w:t xml:space="preserve"> </w:t>
      </w:r>
      <w:r w:rsidR="00AF276E" w:rsidRPr="00AF276E">
        <w:t>de</w:t>
      </w:r>
      <w:r w:rsidR="009B1250" w:rsidRPr="00AF276E">
        <w:t xml:space="preserve"> mantenimiento </w:t>
      </w:r>
      <w:r w:rsidR="00664BBB" w:rsidRPr="00AF276E">
        <w:t xml:space="preserve">de </w:t>
      </w:r>
      <w:r w:rsidR="009B1250" w:rsidRPr="00AF276E">
        <w:t xml:space="preserve">los </w:t>
      </w:r>
      <w:r w:rsidR="00664BBB" w:rsidRPr="00AF276E">
        <w:t xml:space="preserve">aislados de </w:t>
      </w:r>
      <w:r w:rsidR="00664BBB" w:rsidRPr="00AF276E">
        <w:rPr>
          <w:i/>
        </w:rPr>
        <w:t>P.</w:t>
      </w:r>
      <w:r w:rsidR="009B1250" w:rsidRPr="00AF276E">
        <w:rPr>
          <w:i/>
        </w:rPr>
        <w:t> </w:t>
      </w:r>
      <w:r w:rsidR="00664BBB" w:rsidRPr="00AF276E">
        <w:rPr>
          <w:i/>
        </w:rPr>
        <w:t>horiana</w:t>
      </w:r>
      <w:r w:rsidR="00664BBB" w:rsidRPr="00AF276E">
        <w:t xml:space="preserve"> y </w:t>
      </w:r>
      <w:r w:rsidR="004B301E" w:rsidRPr="00AF276E">
        <w:t xml:space="preserve">convino en que la cuestión debe estudiarse más detenidamente </w:t>
      </w:r>
      <w:r w:rsidR="00664BBB" w:rsidRPr="00AF276E">
        <w:t xml:space="preserve">antes </w:t>
      </w:r>
      <w:r w:rsidR="004B301E" w:rsidRPr="00AF276E">
        <w:t xml:space="preserve">de </w:t>
      </w:r>
      <w:r w:rsidR="00664BBB" w:rsidRPr="00AF276E">
        <w:t>introduci</w:t>
      </w:r>
      <w:r w:rsidR="004B301E" w:rsidRPr="00AF276E">
        <w:t>r</w:t>
      </w:r>
      <w:r w:rsidR="00664BBB" w:rsidRPr="00AF276E">
        <w:t xml:space="preserve"> </w:t>
      </w:r>
      <w:r w:rsidR="004B301E" w:rsidRPr="00AF276E">
        <w:t>ese</w:t>
      </w:r>
      <w:r w:rsidR="00664BBB" w:rsidRPr="00AF276E">
        <w:t xml:space="preserve"> carácter en </w:t>
      </w:r>
      <w:r w:rsidR="004B301E" w:rsidRPr="00AF276E">
        <w:t>las</w:t>
      </w:r>
      <w:r w:rsidR="00664BBB" w:rsidRPr="00AF276E">
        <w:t xml:space="preserve"> </w:t>
      </w:r>
      <w:r w:rsidR="004B301E" w:rsidRPr="00AF276E">
        <w:t>directrices de examen del crisantemo</w:t>
      </w:r>
      <w:r w:rsidR="00664BBB" w:rsidRPr="00AF276E">
        <w:t>.</w:t>
      </w:r>
    </w:p>
    <w:p w:rsidR="000C681A" w:rsidRPr="000A2B1C" w:rsidRDefault="000C681A" w:rsidP="000C681A"/>
    <w:p w:rsidR="000C681A" w:rsidRPr="000A2B1C" w:rsidRDefault="000C681A" w:rsidP="000C681A"/>
    <w:p w:rsidR="000C681A" w:rsidRPr="000A2B1C" w:rsidRDefault="004B301E" w:rsidP="00BB6E35">
      <w:pPr>
        <w:pStyle w:val="Heading2"/>
        <w:rPr>
          <w:lang w:val="es-ES_tradnl"/>
        </w:rPr>
      </w:pPr>
      <w:bookmarkStart w:id="8" w:name="_Toc116317890"/>
      <w:bookmarkStart w:id="9" w:name="_GoBack"/>
      <w:r w:rsidRPr="00AF276E">
        <w:rPr>
          <w:snapToGrid w:val="0"/>
          <w:lang w:val="es-ES_tradnl"/>
        </w:rPr>
        <w:t>Nuevas cuestiones que se plantean en relación con el examen DHE</w:t>
      </w:r>
      <w:bookmarkEnd w:id="8"/>
    </w:p>
    <w:p w:rsidR="000C681A" w:rsidRPr="000A2B1C" w:rsidRDefault="000C681A" w:rsidP="00BB6E35">
      <w:pPr>
        <w:keepNext/>
      </w:pPr>
    </w:p>
    <w:p w:rsidR="000C681A" w:rsidRPr="000A2B1C" w:rsidRDefault="007022E0" w:rsidP="00BB6E35">
      <w:pPr>
        <w:keepNext/>
      </w:pPr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4B301E" w:rsidRPr="007A60B2">
        <w:t xml:space="preserve">El TWV </w:t>
      </w:r>
      <w:r w:rsidR="00CD70FC" w:rsidRPr="007A60B2">
        <w:t>asistió</w:t>
      </w:r>
      <w:r w:rsidR="004B301E" w:rsidRPr="007A60B2">
        <w:t xml:space="preserve"> a las siguientes ponencias a cargo de expertos de la Unión Europea, de las cuales se facilitan copias en el documento TWV/56/14 (véase el párrafo 75):</w:t>
      </w:r>
    </w:p>
    <w:p w:rsidR="000C681A" w:rsidRPr="000A2B1C" w:rsidRDefault="000C681A" w:rsidP="00BB6E35">
      <w:pPr>
        <w:keepNext/>
      </w:pPr>
    </w:p>
    <w:p w:rsidR="000C681A" w:rsidRPr="000A2B1C" w:rsidRDefault="004B301E" w:rsidP="00BB6E35">
      <w:pPr>
        <w:pStyle w:val="ListParagraph"/>
        <w:keepNext/>
        <w:numPr>
          <w:ilvl w:val="2"/>
          <w:numId w:val="1"/>
        </w:numPr>
        <w:ind w:left="1134" w:hanging="567"/>
        <w:rPr>
          <w:lang w:val="es-ES_tradnl"/>
        </w:rPr>
      </w:pPr>
      <w:r w:rsidRPr="00AF276E">
        <w:rPr>
          <w:lang w:val="es-ES_tradnl"/>
        </w:rPr>
        <w:t>“Caracteres con una única observación en los exámenes plurianuales”;</w:t>
      </w:r>
    </w:p>
    <w:bookmarkEnd w:id="9"/>
    <w:p w:rsidR="000C681A" w:rsidRPr="000A2B1C" w:rsidRDefault="004B301E" w:rsidP="000C681A">
      <w:pPr>
        <w:pStyle w:val="ListParagraph"/>
        <w:numPr>
          <w:ilvl w:val="2"/>
          <w:numId w:val="1"/>
        </w:numPr>
        <w:ind w:left="1134" w:hanging="567"/>
        <w:rPr>
          <w:lang w:val="es-ES_tradnl"/>
        </w:rPr>
      </w:pPr>
      <w:r w:rsidRPr="00AF276E">
        <w:rPr>
          <w:lang w:val="es-ES_tradnl"/>
        </w:rPr>
        <w:t>“Aceptación de informes definitivos a partir de descripciones de variedades con las mismas notas”;</w:t>
      </w:r>
    </w:p>
    <w:p w:rsidR="000C681A" w:rsidRPr="000A2B1C" w:rsidRDefault="004B301E" w:rsidP="000C681A">
      <w:pPr>
        <w:pStyle w:val="ListParagraph"/>
        <w:numPr>
          <w:ilvl w:val="2"/>
          <w:numId w:val="1"/>
        </w:numPr>
        <w:ind w:left="1134" w:hanging="567"/>
        <w:rPr>
          <w:lang w:val="es-ES_tradnl"/>
        </w:rPr>
      </w:pPr>
      <w:r w:rsidRPr="00AF276E">
        <w:rPr>
          <w:lang w:val="es-ES_tradnl"/>
        </w:rPr>
        <w:t>“Presentación de informes de ausencia de variedades similares indicada en el capítulo 16 de las descripciones de variedades”.</w:t>
      </w:r>
    </w:p>
    <w:p w:rsidR="000C681A" w:rsidRPr="000A2B1C" w:rsidRDefault="000C681A" w:rsidP="000C681A"/>
    <w:p w:rsidR="000C681A" w:rsidRPr="000A2B1C" w:rsidRDefault="000C681A" w:rsidP="000C681A"/>
    <w:p w:rsidR="000C681A" w:rsidRPr="000A2B1C" w:rsidRDefault="004B301E" w:rsidP="000C681A">
      <w:pPr>
        <w:pStyle w:val="Heading2"/>
        <w:rPr>
          <w:lang w:val="es-ES_tradnl"/>
        </w:rPr>
      </w:pPr>
      <w:bookmarkStart w:id="10" w:name="_Toc116317891"/>
      <w:r w:rsidRPr="00AF276E">
        <w:rPr>
          <w:lang w:val="es-ES_tradnl"/>
        </w:rPr>
        <w:t>Experiencias con nuevos tipos y especies</w:t>
      </w:r>
      <w:bookmarkEnd w:id="10"/>
    </w:p>
    <w:p w:rsidR="000C681A" w:rsidRPr="000A2B1C" w:rsidRDefault="000C681A" w:rsidP="000C681A">
      <w:pPr>
        <w:keepNext/>
      </w:pPr>
    </w:p>
    <w:p w:rsidR="000C681A" w:rsidRPr="000A2B1C" w:rsidRDefault="007022E0" w:rsidP="000C681A">
      <w:pPr>
        <w:keepNext/>
      </w:pPr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4B301E" w:rsidRPr="00AF276E">
        <w:t xml:space="preserve">El TWO recibió un informe de un experto de la Unión Europea sobre las solicitudes presentadas respecto de variedades ornamentales de </w:t>
      </w:r>
      <w:r w:rsidR="004B301E" w:rsidRPr="00AF276E">
        <w:rPr>
          <w:i/>
        </w:rPr>
        <w:t>Colocasia esculenta</w:t>
      </w:r>
      <w:r w:rsidR="004B301E" w:rsidRPr="00AF276E">
        <w:t xml:space="preserve"> (L.) Schott.</w:t>
      </w:r>
      <w:r w:rsidR="000A2B1C">
        <w:t xml:space="preserve"> </w:t>
      </w:r>
      <w:r w:rsidR="004B301E" w:rsidRPr="00AF276E">
        <w:t xml:space="preserve">El TWO tomó nota de que las directrices de examen de </w:t>
      </w:r>
      <w:r w:rsidR="004B301E" w:rsidRPr="00AF276E">
        <w:rPr>
          <w:i/>
        </w:rPr>
        <w:t>Colocasia</w:t>
      </w:r>
      <w:r w:rsidR="004B301E" w:rsidRPr="00AF276E">
        <w:t xml:space="preserve"> (documento TG/255/1) no cubren las variedades ornamentales y de que los participantes en el examen DHE no poseen experiencia sobre ese cultivo (párrafo 63).</w:t>
      </w:r>
    </w:p>
    <w:p w:rsidR="000C681A" w:rsidRPr="000A2B1C" w:rsidRDefault="000C681A" w:rsidP="000C681A"/>
    <w:p w:rsidR="000C681A" w:rsidRPr="000A2B1C" w:rsidRDefault="000C681A" w:rsidP="000C681A"/>
    <w:p w:rsidR="000C681A" w:rsidRPr="000A2B1C" w:rsidRDefault="004B301E" w:rsidP="000C681A">
      <w:pPr>
        <w:pStyle w:val="Heading2"/>
        <w:rPr>
          <w:lang w:val="es-ES_tradnl"/>
        </w:rPr>
      </w:pPr>
      <w:bookmarkStart w:id="11" w:name="_Toc116317892"/>
      <w:r w:rsidRPr="00AF276E">
        <w:rPr>
          <w:lang w:val="es-ES_tradnl"/>
        </w:rPr>
        <w:t>Examen de variedades híbridas</w:t>
      </w:r>
      <w:bookmarkEnd w:id="11"/>
    </w:p>
    <w:p w:rsidR="000C681A" w:rsidRPr="000A2B1C" w:rsidRDefault="000C681A" w:rsidP="000C681A"/>
    <w:p w:rsidR="000C681A" w:rsidRPr="000A2B1C" w:rsidRDefault="007022E0" w:rsidP="000C681A"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4B301E" w:rsidRPr="00AF276E">
        <w:t>El TWA asistió a una ponencia titulada “El examen de variedades híbridas de trigo”, presentada por un experto del Reino Unido.</w:t>
      </w:r>
      <w:r w:rsidR="000A2B1C">
        <w:t xml:space="preserve"> </w:t>
      </w:r>
      <w:r w:rsidR="004B301E" w:rsidRPr="00AF276E">
        <w:t>En el documento TWA/51/10 se facilita una copia de dicha ponencia.</w:t>
      </w:r>
      <w:r w:rsidR="000A2B1C">
        <w:t xml:space="preserve"> </w:t>
      </w:r>
      <w:r w:rsidR="004B301E" w:rsidRPr="00AF276E">
        <w:t>El TWA convino en que no se posee suficiente experiencia sobre el examen DHE de variedades híbridas de trigo obtenidas mediante diferentes métodos de reproducción o multiplicación como para considerar una posible modificación de los criterios de homogeneidad que figuran en las directrices de examen (véase el párrafo 40 del documento TWA/51/11 “</w:t>
      </w:r>
      <w:r w:rsidR="004B301E" w:rsidRPr="00AF276E">
        <w:rPr>
          <w:i/>
          <w:lang w:val="en-US"/>
        </w:rPr>
        <w:t>Report</w:t>
      </w:r>
      <w:r w:rsidR="004B301E" w:rsidRPr="00AF276E">
        <w:t>”).</w:t>
      </w:r>
    </w:p>
    <w:p w:rsidR="000C681A" w:rsidRPr="000A2B1C" w:rsidRDefault="000C681A" w:rsidP="000C681A"/>
    <w:p w:rsidR="000C681A" w:rsidRPr="000A2B1C" w:rsidRDefault="000C681A" w:rsidP="000C681A">
      <w:pPr>
        <w:jc w:val="left"/>
      </w:pPr>
    </w:p>
    <w:p w:rsidR="000C681A" w:rsidRPr="000A2B1C" w:rsidRDefault="004B301E" w:rsidP="000C681A">
      <w:pPr>
        <w:pStyle w:val="Heading2"/>
        <w:rPr>
          <w:lang w:val="es-ES_tradnl"/>
        </w:rPr>
      </w:pPr>
      <w:bookmarkStart w:id="12" w:name="_Toc116317893"/>
      <w:r w:rsidRPr="00AF276E">
        <w:rPr>
          <w:lang w:val="es-ES_tradnl"/>
        </w:rPr>
        <w:t>Nuevas tecnologías en el examen DHE</w:t>
      </w:r>
      <w:bookmarkEnd w:id="12"/>
    </w:p>
    <w:p w:rsidR="000C681A" w:rsidRPr="000A2B1C" w:rsidRDefault="000C681A" w:rsidP="000C681A"/>
    <w:p w:rsidR="000C681A" w:rsidRPr="000A2B1C" w:rsidRDefault="007022E0" w:rsidP="000C681A"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977067" w:rsidRPr="00AF276E">
        <w:t xml:space="preserve">El TWA asistió a una ponencia titulada </w:t>
      </w:r>
      <w:r w:rsidR="00E137BD" w:rsidRPr="00AF276E">
        <w:t>“Estima</w:t>
      </w:r>
      <w:r w:rsidR="00977067" w:rsidRPr="00AF276E">
        <w:t>ció</w:t>
      </w:r>
      <w:r w:rsidR="00E137BD" w:rsidRPr="00AF276E">
        <w:t xml:space="preserve">n de </w:t>
      </w:r>
      <w:r w:rsidR="00977067" w:rsidRPr="00AF276E">
        <w:t xml:space="preserve">la </w:t>
      </w:r>
      <w:r w:rsidR="00E137BD" w:rsidRPr="00AF276E">
        <w:t>longitud de la</w:t>
      </w:r>
      <w:r w:rsidR="00977067" w:rsidRPr="00AF276E">
        <w:t>s</w:t>
      </w:r>
      <w:r w:rsidR="00E137BD" w:rsidRPr="00AF276E">
        <w:t xml:space="preserve"> planta</w:t>
      </w:r>
      <w:r w:rsidR="00977067" w:rsidRPr="00AF276E">
        <w:t>s</w:t>
      </w:r>
      <w:r w:rsidR="00E137BD" w:rsidRPr="00AF276E">
        <w:t xml:space="preserve"> en </w:t>
      </w:r>
      <w:r w:rsidR="00977067" w:rsidRPr="00AF276E">
        <w:t xml:space="preserve">trigo de </w:t>
      </w:r>
      <w:r w:rsidR="00E137BD" w:rsidRPr="00AF276E">
        <w:t xml:space="preserve">invierno </w:t>
      </w:r>
      <w:r w:rsidR="00977067" w:rsidRPr="00AF276E">
        <w:t>mediante imágenes</w:t>
      </w:r>
      <w:r w:rsidR="00E137BD" w:rsidRPr="00AF276E">
        <w:t xml:space="preserve"> </w:t>
      </w:r>
      <w:r w:rsidR="00977067" w:rsidRPr="00AF276E">
        <w:t xml:space="preserve">tomadas por un </w:t>
      </w:r>
      <w:r w:rsidR="00E137BD" w:rsidRPr="00AF276E">
        <w:t>dron”</w:t>
      </w:r>
      <w:r w:rsidR="00AF276E" w:rsidRPr="00AF276E">
        <w:t>,</w:t>
      </w:r>
      <w:r w:rsidR="00E137BD" w:rsidRPr="00AF276E">
        <w:t xml:space="preserve"> </w:t>
      </w:r>
      <w:r w:rsidR="00977067" w:rsidRPr="00AF276E">
        <w:t>a cargo de</w:t>
      </w:r>
      <w:r w:rsidR="00E137BD" w:rsidRPr="00AF276E">
        <w:t xml:space="preserve"> un experto de Dinamarca.</w:t>
      </w:r>
      <w:r w:rsidR="000A2B1C">
        <w:t xml:space="preserve"> </w:t>
      </w:r>
      <w:r w:rsidR="00977067" w:rsidRPr="00AF276E">
        <w:t>En el documento TWA/51/6 se facilita una copia de dicha ponencia.</w:t>
      </w:r>
      <w:r w:rsidR="000A2B1C">
        <w:t xml:space="preserve"> </w:t>
      </w:r>
      <w:r w:rsidR="00977067" w:rsidRPr="00AF276E">
        <w:t>El TWA tomó nota del trabajo presentado y acordó invitar al experto de Dinamarca a informar de los avances en su quincuagésima segunda sesión (véase el párrafo 38 del documento TWA/51/11 “</w:t>
      </w:r>
      <w:r w:rsidR="00977067" w:rsidRPr="00AF276E">
        <w:rPr>
          <w:i/>
          <w:lang w:val="en-US"/>
        </w:rPr>
        <w:t>Report</w:t>
      </w:r>
      <w:r w:rsidR="00977067" w:rsidRPr="00AF276E">
        <w:t>”).</w:t>
      </w:r>
    </w:p>
    <w:p w:rsidR="000C681A" w:rsidRPr="000A2B1C" w:rsidRDefault="000C681A" w:rsidP="000C681A">
      <w:pPr>
        <w:jc w:val="left"/>
      </w:pPr>
    </w:p>
    <w:p w:rsidR="000C681A" w:rsidRPr="000A2B1C" w:rsidRDefault="000C681A" w:rsidP="000C681A"/>
    <w:p w:rsidR="000C681A" w:rsidRPr="000A2B1C" w:rsidRDefault="00977067" w:rsidP="000C681A">
      <w:pPr>
        <w:pStyle w:val="Heading2"/>
        <w:rPr>
          <w:lang w:val="es-ES_tradnl"/>
        </w:rPr>
      </w:pPr>
      <w:bookmarkStart w:id="13" w:name="_Toc116317894"/>
      <w:r w:rsidRPr="00AF276E">
        <w:rPr>
          <w:lang w:val="es-ES_tradnl"/>
        </w:rPr>
        <w:t>Plataforma de macrodatos para el examen DHE</w:t>
      </w:r>
      <w:bookmarkEnd w:id="13"/>
    </w:p>
    <w:p w:rsidR="000C681A" w:rsidRPr="000A2B1C" w:rsidRDefault="000C681A" w:rsidP="000C681A"/>
    <w:p w:rsidR="000C681A" w:rsidRPr="000A2B1C" w:rsidRDefault="007022E0" w:rsidP="000C681A"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977067" w:rsidRPr="00AF276E">
        <w:t>El TWA asistió a una ponencia titulada “</w:t>
      </w:r>
      <w:r w:rsidR="00E3324E" w:rsidRPr="00AF276E">
        <w:t>Plataforma de macrodatos para el examen DHE</w:t>
      </w:r>
      <w:r w:rsidR="00977067" w:rsidRPr="00AF276E">
        <w:t>”, presentada por un experto de</w:t>
      </w:r>
      <w:r w:rsidR="00E3324E" w:rsidRPr="00AF276E">
        <w:t xml:space="preserve"> China</w:t>
      </w:r>
      <w:r w:rsidR="00977067" w:rsidRPr="00AF276E">
        <w:t>.</w:t>
      </w:r>
      <w:r w:rsidR="000A2B1C">
        <w:t xml:space="preserve"> </w:t>
      </w:r>
      <w:r w:rsidR="00996F63" w:rsidRPr="00AF276E">
        <w:t>En el documento TWA/51/7 se facilita una copia de dicha ponencia.</w:t>
      </w:r>
      <w:r w:rsidR="000A2B1C">
        <w:t xml:space="preserve"> </w:t>
      </w:r>
      <w:r w:rsidR="00996F63" w:rsidRPr="00AF276E">
        <w:t>El TWA tomó nota del trabajo presentado y acordó invitar al experto de China a informar de los avances en su quincuagésima segunda sesión (véase el párrafo 39 del documento TWA/51/11 “</w:t>
      </w:r>
      <w:r w:rsidR="00996F63" w:rsidRPr="00AF276E">
        <w:rPr>
          <w:i/>
          <w:lang w:val="en-US"/>
        </w:rPr>
        <w:t>Report</w:t>
      </w:r>
      <w:r w:rsidR="00996F63" w:rsidRPr="00AF276E">
        <w:t>”).</w:t>
      </w:r>
    </w:p>
    <w:p w:rsidR="000C681A" w:rsidRPr="000A2B1C" w:rsidRDefault="000C681A" w:rsidP="000C681A">
      <w:pPr>
        <w:jc w:val="left"/>
      </w:pPr>
    </w:p>
    <w:p w:rsidR="000C681A" w:rsidRPr="000A2B1C" w:rsidRDefault="000C681A" w:rsidP="000C681A"/>
    <w:p w:rsidR="000C681A" w:rsidRPr="000A2B1C" w:rsidRDefault="00996F63" w:rsidP="000C681A">
      <w:pPr>
        <w:keepNext/>
        <w:keepLines/>
      </w:pPr>
      <w:bookmarkStart w:id="14" w:name="_Toc116317895"/>
      <w:r w:rsidRPr="00AF276E">
        <w:rPr>
          <w:rStyle w:val="Heading2Char"/>
        </w:rPr>
        <w:t>La determinación del color en plantas frutales</w:t>
      </w:r>
      <w:bookmarkEnd w:id="14"/>
    </w:p>
    <w:p w:rsidR="000C681A" w:rsidRPr="000A2B1C" w:rsidRDefault="000C681A" w:rsidP="000C681A">
      <w:pPr>
        <w:keepNext/>
        <w:keepLines/>
      </w:pPr>
    </w:p>
    <w:p w:rsidR="000C681A" w:rsidRPr="000A2B1C" w:rsidRDefault="007022E0" w:rsidP="000C681A">
      <w:pPr>
        <w:keepNext/>
        <w:keepLines/>
        <w:autoSpaceDE w:val="0"/>
        <w:autoSpaceDN w:val="0"/>
        <w:adjustRightInd w:val="0"/>
      </w:pPr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067BCA" w:rsidRPr="00AF276E">
        <w:t>El TWF asistió a una ponencia titulada “La determinación del color en plantas frutales: ¿un enfoque diferente?”</w:t>
      </w:r>
      <w:r w:rsidR="00AF276E" w:rsidRPr="00AF276E">
        <w:t>,</w:t>
      </w:r>
      <w:r w:rsidR="00067BCA" w:rsidRPr="00AF276E">
        <w:t xml:space="preserve"> a cargo de un experto de Nueva Zelandia.</w:t>
      </w:r>
      <w:r w:rsidR="000A2B1C">
        <w:t xml:space="preserve"> </w:t>
      </w:r>
      <w:r w:rsidR="00067BCA" w:rsidRPr="00AF276E">
        <w:t>En el documento TWF/53/5 se facilita una copia de dicha ponencia (véanse los párrafos 58 a 60 del documento TWF/53/14 “</w:t>
      </w:r>
      <w:r w:rsidR="00067BCA" w:rsidRPr="00AF276E">
        <w:rPr>
          <w:i/>
          <w:lang w:val="en-US"/>
        </w:rPr>
        <w:t>Report</w:t>
      </w:r>
      <w:r w:rsidR="00067BCA" w:rsidRPr="00AF276E">
        <w:t>”).</w:t>
      </w:r>
    </w:p>
    <w:p w:rsidR="000C681A" w:rsidRPr="000A2B1C" w:rsidRDefault="000C681A" w:rsidP="000C681A">
      <w:pPr>
        <w:keepNext/>
        <w:keepLines/>
      </w:pPr>
    </w:p>
    <w:p w:rsidR="000C681A" w:rsidRPr="000A2B1C" w:rsidRDefault="007022E0" w:rsidP="000C681A"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067BCA" w:rsidRPr="00AF276E">
        <w:t xml:space="preserve">El TWF </w:t>
      </w:r>
      <w:r w:rsidR="000A40FA" w:rsidRPr="00AF276E">
        <w:t>tomó nota de que en Nueva Zelandia se está considerando la posibilidad de emplear la carta de colores RHS para determinar</w:t>
      </w:r>
      <w:r w:rsidR="00067BCA" w:rsidRPr="00AF276E">
        <w:t xml:space="preserve"> </w:t>
      </w:r>
      <w:r w:rsidR="000A40FA" w:rsidRPr="00AF276E">
        <w:t xml:space="preserve">el </w:t>
      </w:r>
      <w:r w:rsidR="00067BCA" w:rsidRPr="00AF276E">
        <w:t>color en plantas frutales.</w:t>
      </w:r>
      <w:r w:rsidR="000A2B1C">
        <w:t xml:space="preserve"> </w:t>
      </w:r>
      <w:r w:rsidR="000A40FA" w:rsidRPr="00AF276E">
        <w:t>También tomó nota de las diversas dificultades que conlleva la determinación del color en plantas frutales y convino en que cabría plantearse la utilización de cartas de colores para las descripciones de variedades y en apoyo de las observaciones.</w:t>
      </w:r>
      <w:r w:rsidR="000C681A" w:rsidRPr="000A2B1C">
        <w:t xml:space="preserve"> </w:t>
      </w:r>
    </w:p>
    <w:p w:rsidR="000C681A" w:rsidRPr="000A2B1C" w:rsidRDefault="000C681A" w:rsidP="000C681A"/>
    <w:p w:rsidR="000C681A" w:rsidRPr="000A2B1C" w:rsidRDefault="007022E0" w:rsidP="000C681A"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0A40FA" w:rsidRPr="00AF276E">
        <w:t>El TWF acordó incluir un punto del orden del día e invitar a que en su quincuagésima cuarta sesión se presenten ponencias sobre métodos alternativos para determinar el color en plantas frutales.</w:t>
      </w:r>
      <w:r w:rsidR="000A2B1C">
        <w:t xml:space="preserve"> </w:t>
      </w:r>
    </w:p>
    <w:p w:rsidR="000C681A" w:rsidRPr="000A2B1C" w:rsidRDefault="000C681A" w:rsidP="000C681A">
      <w:pPr>
        <w:jc w:val="left"/>
      </w:pPr>
    </w:p>
    <w:p w:rsidR="000C681A" w:rsidRPr="000A2B1C" w:rsidRDefault="000C681A" w:rsidP="000C681A">
      <w:pPr>
        <w:jc w:val="left"/>
      </w:pPr>
    </w:p>
    <w:p w:rsidR="000C681A" w:rsidRPr="000A2B1C" w:rsidRDefault="000A40FA" w:rsidP="000C681A">
      <w:pPr>
        <w:pStyle w:val="Heading2"/>
        <w:rPr>
          <w:lang w:val="es-ES_tradnl"/>
        </w:rPr>
      </w:pPr>
      <w:bookmarkStart w:id="15" w:name="_Toc116317896"/>
      <w:r w:rsidRPr="00AF276E">
        <w:rPr>
          <w:lang w:val="es-ES_tradnl"/>
        </w:rPr>
        <w:t>Fenotipado y análisis de imágenes</w:t>
      </w:r>
      <w:bookmarkEnd w:id="15"/>
    </w:p>
    <w:p w:rsidR="000C681A" w:rsidRPr="000A2B1C" w:rsidRDefault="000C681A" w:rsidP="000C681A">
      <w:pPr>
        <w:jc w:val="left"/>
      </w:pPr>
    </w:p>
    <w:p w:rsidR="000C681A" w:rsidRPr="000A2B1C" w:rsidRDefault="007022E0" w:rsidP="000C681A"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0A40FA" w:rsidRPr="00AF276E">
        <w:t>El TWM asistió a una ponencia a cargo del Sr. Woo Gun Shin (</w:t>
      </w:r>
      <w:r w:rsidR="007726DB" w:rsidRPr="00AF276E">
        <w:t>República de Corea</w:t>
      </w:r>
      <w:r w:rsidR="000A40FA" w:rsidRPr="00AF276E">
        <w:t xml:space="preserve">) titulada “Análisis de imágenes en el examen de variedades vegetales”, </w:t>
      </w:r>
      <w:r w:rsidR="000A40FA" w:rsidRPr="00AF276E">
        <w:rPr>
          <w:rFonts w:cs="Arial"/>
          <w:iCs/>
        </w:rPr>
        <w:t xml:space="preserve">de la cual figura una copia en el documento </w:t>
      </w:r>
      <w:r w:rsidR="000A40FA" w:rsidRPr="00AF276E">
        <w:t>TWM/1/4 (véanse los párrafos 61 a 68 del documento TWM/1/26 “</w:t>
      </w:r>
      <w:r w:rsidR="000A40FA" w:rsidRPr="00AF276E">
        <w:rPr>
          <w:i/>
          <w:lang w:val="en-US"/>
        </w:rPr>
        <w:t>Report</w:t>
      </w:r>
      <w:r w:rsidR="000A40FA" w:rsidRPr="00AF276E">
        <w:t>”).</w:t>
      </w:r>
      <w:r w:rsidR="000C681A" w:rsidRPr="000A2B1C">
        <w:t xml:space="preserve"> </w:t>
      </w:r>
    </w:p>
    <w:p w:rsidR="000C681A" w:rsidRPr="000A2B1C" w:rsidRDefault="000C681A" w:rsidP="000C681A"/>
    <w:p w:rsidR="000C681A" w:rsidRPr="000A2B1C" w:rsidRDefault="007022E0" w:rsidP="000C681A">
      <w:pPr>
        <w:rPr>
          <w:highlight w:val="yellow"/>
        </w:rPr>
      </w:pPr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7726DB" w:rsidRPr="00AF276E">
        <w:t xml:space="preserve">Se proporcionaron aclaraciones sobre las condiciones para la corrección de las imágenes en interiores y al aire libre y </w:t>
      </w:r>
      <w:r w:rsidR="00D465EE" w:rsidRPr="00AF276E">
        <w:t xml:space="preserve">sobre </w:t>
      </w:r>
      <w:r w:rsidR="007726DB" w:rsidRPr="00AF276E">
        <w:t>la utilización de programas informáticos en el análisis del color de las flores.</w:t>
      </w:r>
      <w:r w:rsidR="000A2B1C">
        <w:t xml:space="preserve"> </w:t>
      </w:r>
    </w:p>
    <w:p w:rsidR="000C681A" w:rsidRPr="000A2B1C" w:rsidRDefault="000C681A" w:rsidP="000C681A">
      <w:pPr>
        <w:jc w:val="left"/>
      </w:pPr>
    </w:p>
    <w:p w:rsidR="000C681A" w:rsidRPr="000A2B1C" w:rsidRDefault="007022E0" w:rsidP="000C681A"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D465EE" w:rsidRPr="00AF276E">
        <w:t>El TWM asistió a una ponencia a cargo de la Sra. Yanfang Liu (China) titulada “</w:t>
      </w:r>
      <w:r w:rsidR="00F343A7" w:rsidRPr="00AF276E">
        <w:t>Sistema de análisis de imágenes en color</w:t>
      </w:r>
      <w:r w:rsidR="00D465EE" w:rsidRPr="00AF276E">
        <w:t xml:space="preserve">”, </w:t>
      </w:r>
      <w:r w:rsidR="00D465EE" w:rsidRPr="00AF276E">
        <w:rPr>
          <w:rFonts w:cs="Arial"/>
          <w:iCs/>
        </w:rPr>
        <w:t xml:space="preserve">de la cual figura una copia en </w:t>
      </w:r>
      <w:r w:rsidR="00F343A7" w:rsidRPr="00AF276E">
        <w:rPr>
          <w:rFonts w:cs="Arial"/>
          <w:iCs/>
        </w:rPr>
        <w:t xml:space="preserve">el </w:t>
      </w:r>
      <w:r w:rsidR="00D465EE" w:rsidRPr="00AF276E">
        <w:rPr>
          <w:rFonts w:cs="Arial"/>
          <w:iCs/>
        </w:rPr>
        <w:t>documento</w:t>
      </w:r>
      <w:r w:rsidR="00F343A7" w:rsidRPr="00AF276E">
        <w:rPr>
          <w:rFonts w:cs="Arial"/>
          <w:iCs/>
        </w:rPr>
        <w:t xml:space="preserve"> </w:t>
      </w:r>
      <w:r w:rsidR="00D465EE" w:rsidRPr="00AF276E">
        <w:t>TWM/1/5.</w:t>
      </w:r>
      <w:r w:rsidR="000A2B1C">
        <w:t xml:space="preserve"> </w:t>
      </w:r>
    </w:p>
    <w:p w:rsidR="000C681A" w:rsidRPr="000A2B1C" w:rsidRDefault="000C681A" w:rsidP="000C681A">
      <w:pPr>
        <w:keepNext/>
        <w:jc w:val="left"/>
      </w:pPr>
    </w:p>
    <w:p w:rsidR="000C681A" w:rsidRPr="000A2B1C" w:rsidRDefault="007022E0" w:rsidP="000C681A">
      <w:pPr>
        <w:keepNext/>
      </w:pPr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F343A7" w:rsidRPr="00AF276E">
        <w:t xml:space="preserve">El TWM asistió a una ponencia a cargo del Sr. Yongxiang Tong (China) titulada “Procesador de imágenes de caracteres DHE”, </w:t>
      </w:r>
      <w:r w:rsidR="00F343A7" w:rsidRPr="00AF276E">
        <w:rPr>
          <w:rFonts w:cs="Arial"/>
          <w:iCs/>
        </w:rPr>
        <w:t xml:space="preserve">de la cual figura una copia en el documento </w:t>
      </w:r>
      <w:r w:rsidR="00F343A7" w:rsidRPr="00AF276E">
        <w:t>TWM/1/6.</w:t>
      </w:r>
    </w:p>
    <w:p w:rsidR="000C681A" w:rsidRPr="000A2B1C" w:rsidRDefault="000C681A" w:rsidP="000C681A">
      <w:pPr>
        <w:jc w:val="left"/>
      </w:pPr>
    </w:p>
    <w:p w:rsidR="000C681A" w:rsidRPr="000A2B1C" w:rsidRDefault="007022E0" w:rsidP="000C681A">
      <w:pPr>
        <w:keepNext/>
      </w:pPr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201B3D" w:rsidRPr="00AF276E">
        <w:t>El TWM asistió a una ponencia a cargo de la Sra. Margaret Wallace (Reino Unido) titulada “</w:t>
      </w:r>
      <w:r w:rsidR="006E59B5" w:rsidRPr="00AF276E">
        <w:t xml:space="preserve">Potencial de los vehículos aéreos no tripulados </w:t>
      </w:r>
      <w:r w:rsidR="00201B3D" w:rsidRPr="00AF276E">
        <w:t xml:space="preserve">en </w:t>
      </w:r>
      <w:r w:rsidR="006E59B5" w:rsidRPr="00AF276E">
        <w:t xml:space="preserve">el </w:t>
      </w:r>
      <w:r w:rsidR="00201B3D" w:rsidRPr="00AF276E">
        <w:t xml:space="preserve">examen DHE”, </w:t>
      </w:r>
      <w:r w:rsidR="00201B3D" w:rsidRPr="00AF276E">
        <w:rPr>
          <w:rFonts w:cs="Arial"/>
          <w:iCs/>
        </w:rPr>
        <w:t xml:space="preserve">de la cual figura una copia en el documento </w:t>
      </w:r>
      <w:r w:rsidR="00201B3D" w:rsidRPr="00AF276E">
        <w:t>TWM/1/20.</w:t>
      </w:r>
    </w:p>
    <w:p w:rsidR="000C681A" w:rsidRPr="000A2B1C" w:rsidRDefault="000C681A" w:rsidP="000C681A">
      <w:pPr>
        <w:jc w:val="left"/>
      </w:pPr>
    </w:p>
    <w:p w:rsidR="000C681A" w:rsidRPr="000A2B1C" w:rsidRDefault="007022E0" w:rsidP="000C681A">
      <w:pPr>
        <w:keepNext/>
      </w:pPr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6E59B5" w:rsidRPr="00AF276E">
        <w:t xml:space="preserve">El TWM asistió a una ponencia a cargo del Sr. Danilo Sarti (Universidad de Maynooth) titulada “El proyecto InnoVar de aprendizaje automático”, </w:t>
      </w:r>
      <w:r w:rsidR="006E59B5" w:rsidRPr="00AF276E">
        <w:rPr>
          <w:rFonts w:cs="Arial"/>
          <w:iCs/>
        </w:rPr>
        <w:t xml:space="preserve">de la cual figura una copia en el documento </w:t>
      </w:r>
      <w:r w:rsidR="006E59B5" w:rsidRPr="00AF276E">
        <w:t>TWM/1/25.</w:t>
      </w:r>
    </w:p>
    <w:p w:rsidR="000C681A" w:rsidRPr="000A2B1C" w:rsidRDefault="000C681A" w:rsidP="000C681A">
      <w:pPr>
        <w:keepNext/>
      </w:pPr>
    </w:p>
    <w:p w:rsidR="000C681A" w:rsidRPr="000A2B1C" w:rsidRDefault="007022E0" w:rsidP="000C681A"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6E59B5" w:rsidRPr="00AF276E">
        <w:t>Se aclaró que se podría utilizar el modelo AMBARTI para comprender y predecir el comportamiento de los atributos DHE y de valor agronómico (VCU) examinando las interacciones entre el genotipo y el medio ambiente en lo que respecta a los caracteres, en particular el rendimiento de los cultivos.</w:t>
      </w:r>
    </w:p>
    <w:p w:rsidR="000C681A" w:rsidRPr="000A2B1C" w:rsidRDefault="000C681A" w:rsidP="000C681A">
      <w:pPr>
        <w:jc w:val="left"/>
      </w:pPr>
      <w:r w:rsidRPr="000A2B1C">
        <w:t xml:space="preserve"> </w:t>
      </w:r>
    </w:p>
    <w:p w:rsidR="000C681A" w:rsidRPr="000A2B1C" w:rsidRDefault="007022E0" w:rsidP="000C681A">
      <w:r w:rsidRPr="000A2B1C">
        <w:fldChar w:fldCharType="begin"/>
      </w:r>
      <w:r w:rsidR="000C681A" w:rsidRPr="000A2B1C">
        <w:instrText xml:space="preserve"> AUTONUM  </w:instrText>
      </w:r>
      <w:r w:rsidRPr="000A2B1C">
        <w:fldChar w:fldCharType="end"/>
      </w:r>
      <w:r w:rsidR="000C681A" w:rsidRPr="000A2B1C">
        <w:tab/>
      </w:r>
      <w:r w:rsidR="006E59B5" w:rsidRPr="00AF276E">
        <w:t>El TWM acordó invitar a que en su segunda sesión se presenten los nuevos avances sobre la determinación del color mediante fenotipado y análisis de imágenes.</w:t>
      </w:r>
      <w:r w:rsidR="000A2B1C">
        <w:t xml:space="preserve"> </w:t>
      </w:r>
    </w:p>
    <w:p w:rsidR="000C681A" w:rsidRPr="000A2B1C" w:rsidRDefault="000C681A" w:rsidP="000C681A">
      <w:pPr>
        <w:keepNext/>
      </w:pPr>
    </w:p>
    <w:p w:rsidR="000C681A" w:rsidRPr="000A2B1C" w:rsidRDefault="000C681A" w:rsidP="000C681A">
      <w:pPr>
        <w:rPr>
          <w:i/>
        </w:rPr>
      </w:pPr>
    </w:p>
    <w:p w:rsidR="000C681A" w:rsidRPr="000A2B1C" w:rsidRDefault="007022E0" w:rsidP="000C681A">
      <w:pPr>
        <w:tabs>
          <w:tab w:val="left" w:pos="567"/>
          <w:tab w:val="left" w:pos="5387"/>
          <w:tab w:val="left" w:pos="5954"/>
        </w:tabs>
        <w:ind w:left="4820"/>
        <w:rPr>
          <w:i/>
        </w:rPr>
      </w:pPr>
      <w:r w:rsidRPr="000A2B1C">
        <w:rPr>
          <w:i/>
        </w:rPr>
        <w:fldChar w:fldCharType="begin"/>
      </w:r>
      <w:r w:rsidR="000C681A" w:rsidRPr="000A2B1C">
        <w:rPr>
          <w:i/>
        </w:rPr>
        <w:instrText xml:space="preserve"> AUTONUM  </w:instrText>
      </w:r>
      <w:r w:rsidRPr="000A2B1C">
        <w:rPr>
          <w:i/>
        </w:rPr>
        <w:fldChar w:fldCharType="end"/>
      </w:r>
      <w:r w:rsidR="000C681A" w:rsidRPr="000A2B1C">
        <w:rPr>
          <w:i/>
        </w:rPr>
        <w:tab/>
      </w:r>
      <w:r w:rsidR="00DD2CF8" w:rsidRPr="00AF276E">
        <w:rPr>
          <w:i/>
        </w:rPr>
        <w:t>Se invita al TC a tomar nota de las novedades acaecidas en los TWP en relación con las siguientes cuestiones:</w:t>
      </w:r>
    </w:p>
    <w:p w:rsidR="000C681A" w:rsidRPr="000A2B1C" w:rsidRDefault="000C681A" w:rsidP="000C681A">
      <w:pPr>
        <w:tabs>
          <w:tab w:val="left" w:pos="567"/>
          <w:tab w:val="left" w:pos="5387"/>
          <w:tab w:val="left" w:pos="5954"/>
        </w:tabs>
        <w:ind w:left="4820"/>
        <w:rPr>
          <w:i/>
        </w:rPr>
      </w:pPr>
    </w:p>
    <w:p w:rsidR="000C681A" w:rsidRPr="000A2B1C" w:rsidRDefault="000C681A" w:rsidP="000C681A">
      <w:pPr>
        <w:tabs>
          <w:tab w:val="left" w:pos="1701"/>
          <w:tab w:val="left" w:pos="5387"/>
          <w:tab w:val="left" w:pos="5954"/>
        </w:tabs>
        <w:ind w:left="5387" w:hanging="567"/>
        <w:rPr>
          <w:i/>
        </w:rPr>
      </w:pPr>
      <w:r w:rsidRPr="00CF1D83">
        <w:rPr>
          <w:i/>
        </w:rPr>
        <w:t>i)</w:t>
      </w:r>
      <w:r w:rsidRPr="00CF1D83">
        <w:rPr>
          <w:i/>
        </w:rPr>
        <w:tab/>
      </w:r>
      <w:r w:rsidR="00DD2CF8" w:rsidRPr="00AF276E">
        <w:rPr>
          <w:i/>
        </w:rPr>
        <w:t>Información necesaria para potenciar el uso de los informes de examen DHE existentes;</w:t>
      </w:r>
    </w:p>
    <w:p w:rsidR="000C681A" w:rsidRPr="000A2B1C" w:rsidRDefault="000C681A" w:rsidP="000C681A">
      <w:pPr>
        <w:tabs>
          <w:tab w:val="left" w:pos="1701"/>
          <w:tab w:val="left" w:pos="5387"/>
          <w:tab w:val="left" w:pos="5954"/>
        </w:tabs>
        <w:ind w:left="5387" w:hanging="567"/>
        <w:rPr>
          <w:i/>
        </w:rPr>
      </w:pPr>
      <w:r w:rsidRPr="00CF1D83">
        <w:rPr>
          <w:i/>
        </w:rPr>
        <w:t>ii)</w:t>
      </w:r>
      <w:r w:rsidRPr="00CF1D83">
        <w:rPr>
          <w:i/>
        </w:rPr>
        <w:tab/>
      </w:r>
      <w:r w:rsidR="00DD2CF8" w:rsidRPr="00AF276E">
        <w:rPr>
          <w:i/>
        </w:rPr>
        <w:t>Examen DHE de variedades mutantes de manzano;</w:t>
      </w:r>
    </w:p>
    <w:p w:rsidR="000C681A" w:rsidRPr="000A2B1C" w:rsidRDefault="000C681A" w:rsidP="000C681A">
      <w:pPr>
        <w:tabs>
          <w:tab w:val="left" w:pos="1701"/>
          <w:tab w:val="left" w:pos="5387"/>
          <w:tab w:val="left" w:pos="5954"/>
        </w:tabs>
        <w:ind w:left="5387" w:hanging="567"/>
        <w:rPr>
          <w:i/>
        </w:rPr>
      </w:pPr>
      <w:r w:rsidRPr="00CF1D83">
        <w:rPr>
          <w:i/>
        </w:rPr>
        <w:t>iii)</w:t>
      </w:r>
      <w:r w:rsidRPr="00CF1D83">
        <w:rPr>
          <w:i/>
        </w:rPr>
        <w:tab/>
      </w:r>
      <w:r w:rsidR="00DD2CF8" w:rsidRPr="00AF276E">
        <w:rPr>
          <w:i/>
        </w:rPr>
        <w:t>Acceso al material vegetal a efectos de la gestión de las colecciones de variedades y el examen DHE;</w:t>
      </w:r>
    </w:p>
    <w:p w:rsidR="000C681A" w:rsidRPr="000A2B1C" w:rsidRDefault="000C681A" w:rsidP="000C681A">
      <w:pPr>
        <w:tabs>
          <w:tab w:val="left" w:pos="1701"/>
          <w:tab w:val="left" w:pos="5387"/>
          <w:tab w:val="left" w:pos="5954"/>
        </w:tabs>
        <w:ind w:left="5387" w:hanging="567"/>
        <w:rPr>
          <w:i/>
        </w:rPr>
      </w:pPr>
      <w:r w:rsidRPr="00CF1D83">
        <w:rPr>
          <w:i/>
        </w:rPr>
        <w:t>iv)</w:t>
      </w:r>
      <w:r w:rsidRPr="00CF1D83">
        <w:rPr>
          <w:i/>
        </w:rPr>
        <w:tab/>
      </w:r>
      <w:r w:rsidR="00DD2CF8" w:rsidRPr="00AF276E">
        <w:rPr>
          <w:i/>
        </w:rPr>
        <w:t>Utilización de caracteres de resistencia a las enfermedades;</w:t>
      </w:r>
    </w:p>
    <w:p w:rsidR="000C681A" w:rsidRPr="000A2B1C" w:rsidRDefault="000C681A" w:rsidP="000C681A">
      <w:pPr>
        <w:tabs>
          <w:tab w:val="left" w:pos="1701"/>
          <w:tab w:val="left" w:pos="5387"/>
          <w:tab w:val="left" w:pos="5954"/>
        </w:tabs>
        <w:ind w:left="5387" w:hanging="567"/>
        <w:rPr>
          <w:i/>
        </w:rPr>
      </w:pPr>
      <w:r w:rsidRPr="00CF1D83">
        <w:rPr>
          <w:i/>
        </w:rPr>
        <w:t>v)</w:t>
      </w:r>
      <w:r w:rsidRPr="00CF1D83">
        <w:rPr>
          <w:i/>
        </w:rPr>
        <w:tab/>
      </w:r>
      <w:r w:rsidR="00DD2CF8" w:rsidRPr="00AF276E">
        <w:rPr>
          <w:i/>
        </w:rPr>
        <w:t>Resistencia a las enfermedades en las especies ornamentales;</w:t>
      </w:r>
    </w:p>
    <w:p w:rsidR="000C681A" w:rsidRPr="000A2B1C" w:rsidRDefault="000C681A" w:rsidP="000C681A">
      <w:pPr>
        <w:tabs>
          <w:tab w:val="left" w:pos="1701"/>
          <w:tab w:val="left" w:pos="5387"/>
          <w:tab w:val="left" w:pos="5954"/>
        </w:tabs>
        <w:ind w:left="5387" w:hanging="567"/>
        <w:rPr>
          <w:i/>
        </w:rPr>
      </w:pPr>
      <w:r w:rsidRPr="00CF1D83">
        <w:rPr>
          <w:i/>
        </w:rPr>
        <w:t>vi)</w:t>
      </w:r>
      <w:r w:rsidRPr="00CF1D83">
        <w:rPr>
          <w:i/>
        </w:rPr>
        <w:tab/>
      </w:r>
      <w:r w:rsidR="00DD2CF8" w:rsidRPr="00AF276E">
        <w:rPr>
          <w:i/>
          <w:snapToGrid w:val="0"/>
        </w:rPr>
        <w:t>Nuevas cuestiones que se plantean en relación con el examen DHE;</w:t>
      </w:r>
    </w:p>
    <w:p w:rsidR="000C681A" w:rsidRPr="000A2B1C" w:rsidRDefault="000C681A" w:rsidP="000C681A">
      <w:pPr>
        <w:tabs>
          <w:tab w:val="left" w:pos="1701"/>
          <w:tab w:val="left" w:pos="5387"/>
          <w:tab w:val="left" w:pos="5954"/>
        </w:tabs>
        <w:ind w:left="5387" w:hanging="567"/>
        <w:rPr>
          <w:i/>
        </w:rPr>
      </w:pPr>
      <w:r w:rsidRPr="00CF1D83">
        <w:rPr>
          <w:i/>
        </w:rPr>
        <w:t>vii)</w:t>
      </w:r>
      <w:r w:rsidRPr="00CF1D83">
        <w:rPr>
          <w:i/>
        </w:rPr>
        <w:tab/>
      </w:r>
      <w:r w:rsidR="00DD2CF8" w:rsidRPr="00AF276E">
        <w:rPr>
          <w:i/>
        </w:rPr>
        <w:t>Experiencias con nuevos tipos y especies;</w:t>
      </w:r>
    </w:p>
    <w:p w:rsidR="000C681A" w:rsidRPr="000A2B1C" w:rsidRDefault="000C681A" w:rsidP="000C681A">
      <w:pPr>
        <w:tabs>
          <w:tab w:val="left" w:pos="1701"/>
          <w:tab w:val="left" w:pos="5387"/>
          <w:tab w:val="left" w:pos="5954"/>
        </w:tabs>
        <w:ind w:left="5387" w:hanging="567"/>
        <w:rPr>
          <w:i/>
        </w:rPr>
      </w:pPr>
      <w:r w:rsidRPr="00CF1D83">
        <w:rPr>
          <w:i/>
        </w:rPr>
        <w:t>viii)</w:t>
      </w:r>
      <w:r w:rsidRPr="00CF1D83">
        <w:rPr>
          <w:i/>
        </w:rPr>
        <w:tab/>
      </w:r>
      <w:r w:rsidR="00DD2CF8" w:rsidRPr="00AF276E">
        <w:rPr>
          <w:i/>
        </w:rPr>
        <w:t>Examen de variedades híbridas;</w:t>
      </w:r>
      <w:r w:rsidRPr="000A2B1C">
        <w:rPr>
          <w:i/>
        </w:rPr>
        <w:t xml:space="preserve"> </w:t>
      </w:r>
    </w:p>
    <w:p w:rsidR="000C681A" w:rsidRPr="000A2B1C" w:rsidRDefault="000C681A" w:rsidP="000C681A">
      <w:pPr>
        <w:tabs>
          <w:tab w:val="left" w:pos="1701"/>
          <w:tab w:val="left" w:pos="5387"/>
          <w:tab w:val="left" w:pos="5954"/>
        </w:tabs>
        <w:ind w:left="5387" w:hanging="567"/>
        <w:rPr>
          <w:i/>
        </w:rPr>
      </w:pPr>
      <w:r w:rsidRPr="00CF1D83">
        <w:rPr>
          <w:i/>
        </w:rPr>
        <w:t>ix)</w:t>
      </w:r>
      <w:r w:rsidRPr="00CF1D83">
        <w:rPr>
          <w:i/>
        </w:rPr>
        <w:tab/>
      </w:r>
      <w:r w:rsidR="00DD2CF8" w:rsidRPr="00AF276E">
        <w:rPr>
          <w:i/>
        </w:rPr>
        <w:t>Nuevas tecnologías en el examen DHE;</w:t>
      </w:r>
    </w:p>
    <w:p w:rsidR="000C681A" w:rsidRPr="000A2B1C" w:rsidRDefault="000C681A" w:rsidP="000C681A">
      <w:pPr>
        <w:tabs>
          <w:tab w:val="left" w:pos="1701"/>
          <w:tab w:val="left" w:pos="5387"/>
          <w:tab w:val="left" w:pos="5954"/>
        </w:tabs>
        <w:ind w:left="5387" w:hanging="567"/>
        <w:rPr>
          <w:i/>
        </w:rPr>
      </w:pPr>
      <w:r w:rsidRPr="00CF1D83">
        <w:rPr>
          <w:i/>
        </w:rPr>
        <w:t>x)</w:t>
      </w:r>
      <w:r w:rsidRPr="00CF1D83">
        <w:rPr>
          <w:i/>
        </w:rPr>
        <w:tab/>
      </w:r>
      <w:r w:rsidR="00DD2CF8" w:rsidRPr="00AF276E">
        <w:rPr>
          <w:i/>
        </w:rPr>
        <w:t>Plataforma de macrodatos para el examen DHE;</w:t>
      </w:r>
    </w:p>
    <w:p w:rsidR="000C681A" w:rsidRPr="000A2B1C" w:rsidRDefault="000C681A" w:rsidP="000C681A">
      <w:pPr>
        <w:tabs>
          <w:tab w:val="left" w:pos="1701"/>
          <w:tab w:val="left" w:pos="5387"/>
          <w:tab w:val="left" w:pos="5954"/>
        </w:tabs>
        <w:ind w:left="5387" w:hanging="567"/>
        <w:rPr>
          <w:i/>
        </w:rPr>
      </w:pPr>
      <w:r w:rsidRPr="00CF1D83">
        <w:rPr>
          <w:i/>
        </w:rPr>
        <w:t>xi)</w:t>
      </w:r>
      <w:r w:rsidRPr="00CF1D83">
        <w:rPr>
          <w:i/>
        </w:rPr>
        <w:tab/>
      </w:r>
      <w:r w:rsidR="00DD2CF8" w:rsidRPr="00AF276E">
        <w:rPr>
          <w:i/>
        </w:rPr>
        <w:t>La determinación del color en plantas frutales; y</w:t>
      </w:r>
    </w:p>
    <w:p w:rsidR="000C681A" w:rsidRPr="000A2B1C" w:rsidRDefault="000C681A" w:rsidP="000C681A">
      <w:pPr>
        <w:tabs>
          <w:tab w:val="left" w:pos="1701"/>
          <w:tab w:val="left" w:pos="5387"/>
          <w:tab w:val="left" w:pos="5954"/>
        </w:tabs>
        <w:ind w:left="5387" w:hanging="567"/>
        <w:rPr>
          <w:i/>
        </w:rPr>
      </w:pPr>
      <w:r w:rsidRPr="00CF1D83">
        <w:rPr>
          <w:i/>
        </w:rPr>
        <w:t>xii)</w:t>
      </w:r>
      <w:r w:rsidRPr="00CF1D83">
        <w:rPr>
          <w:i/>
        </w:rPr>
        <w:tab/>
      </w:r>
      <w:r w:rsidR="00DD2CF8" w:rsidRPr="00AF276E">
        <w:rPr>
          <w:i/>
        </w:rPr>
        <w:t>Fenotipado y análisis de imágenes.</w:t>
      </w:r>
    </w:p>
    <w:p w:rsidR="000C681A" w:rsidRPr="000A2B1C" w:rsidRDefault="000C681A" w:rsidP="000C681A"/>
    <w:p w:rsidR="000C681A" w:rsidRPr="000A2B1C" w:rsidRDefault="000C681A" w:rsidP="000C681A"/>
    <w:p w:rsidR="000C681A" w:rsidRPr="000A2B1C" w:rsidRDefault="000C681A" w:rsidP="000C681A"/>
    <w:p w:rsidR="00050E16" w:rsidRPr="00CF1D83" w:rsidRDefault="00050E16" w:rsidP="000C681A">
      <w:pPr>
        <w:jc w:val="right"/>
      </w:pPr>
      <w:r w:rsidRPr="00CF1D83">
        <w:t>[</w:t>
      </w:r>
      <w:r w:rsidR="000638A9" w:rsidRPr="00CF1D83">
        <w:t>Fin del documento</w:t>
      </w:r>
      <w:r w:rsidRPr="00CF1D83">
        <w:t>]</w:t>
      </w:r>
    </w:p>
    <w:sectPr w:rsidR="00050E16" w:rsidRPr="00CF1D83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EE" w:rsidRDefault="00D465EE" w:rsidP="006655D3">
      <w:r>
        <w:separator/>
      </w:r>
    </w:p>
    <w:p w:rsidR="00D465EE" w:rsidRDefault="00D465EE" w:rsidP="006655D3"/>
    <w:p w:rsidR="00D465EE" w:rsidRDefault="00D465EE" w:rsidP="006655D3"/>
  </w:endnote>
  <w:endnote w:type="continuationSeparator" w:id="0">
    <w:p w:rsidR="00D465EE" w:rsidRDefault="00D465EE" w:rsidP="006655D3">
      <w:r>
        <w:separator/>
      </w:r>
    </w:p>
    <w:p w:rsidR="00D465EE" w:rsidRPr="00294751" w:rsidRDefault="00D465E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465EE" w:rsidRPr="00294751" w:rsidRDefault="00D465EE" w:rsidP="006655D3">
      <w:pPr>
        <w:rPr>
          <w:lang w:val="fr-FR"/>
        </w:rPr>
      </w:pPr>
    </w:p>
    <w:p w:rsidR="00D465EE" w:rsidRPr="00294751" w:rsidRDefault="00D465EE" w:rsidP="006655D3">
      <w:pPr>
        <w:rPr>
          <w:lang w:val="fr-FR"/>
        </w:rPr>
      </w:pPr>
    </w:p>
  </w:endnote>
  <w:endnote w:type="continuationNotice" w:id="1">
    <w:p w:rsidR="00D465EE" w:rsidRPr="00294751" w:rsidRDefault="00D465E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465EE" w:rsidRPr="00294751" w:rsidRDefault="00D465EE" w:rsidP="006655D3">
      <w:pPr>
        <w:rPr>
          <w:lang w:val="fr-FR"/>
        </w:rPr>
      </w:pPr>
    </w:p>
    <w:p w:rsidR="00D465EE" w:rsidRPr="00294751" w:rsidRDefault="00D465E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EE" w:rsidRDefault="00D465EE" w:rsidP="006655D3">
      <w:r>
        <w:separator/>
      </w:r>
    </w:p>
  </w:footnote>
  <w:footnote w:type="continuationSeparator" w:id="0">
    <w:p w:rsidR="00D465EE" w:rsidRDefault="00D465EE" w:rsidP="006655D3">
      <w:r>
        <w:separator/>
      </w:r>
    </w:p>
  </w:footnote>
  <w:footnote w:type="continuationNotice" w:id="1">
    <w:p w:rsidR="00D465EE" w:rsidRPr="00AB530F" w:rsidRDefault="00D465EE" w:rsidP="00AB530F">
      <w:pPr>
        <w:pStyle w:val="Footer"/>
      </w:pPr>
    </w:p>
  </w:footnote>
  <w:footnote w:id="2">
    <w:p w:rsidR="00D465EE" w:rsidRDefault="00D465EE" w:rsidP="000C68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E3B">
        <w:t>En su quincuagésima sexta sesión, celebrada por medios electrónicos del 18 al 22 de abril de 2022.</w:t>
      </w:r>
    </w:p>
  </w:footnote>
  <w:footnote w:id="3">
    <w:p w:rsidR="00D465EE" w:rsidRDefault="00D465EE" w:rsidP="000C68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E3B">
        <w:t>En su quincuagésima primera sesión, celebrada en Cambridge (Reino Unido) del 23 al 27 de mayo de 2022.</w:t>
      </w:r>
    </w:p>
  </w:footnote>
  <w:footnote w:id="4">
    <w:p w:rsidR="00D465EE" w:rsidRDefault="00D465EE" w:rsidP="000C68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E3B">
        <w:t>En su quincuagésima cuarta sesión, organizada por Alemania y celebrada por medios electrónicos del 13 al 17 de junio de 2022.</w:t>
      </w:r>
    </w:p>
  </w:footnote>
  <w:footnote w:id="5">
    <w:p w:rsidR="00D465EE" w:rsidRDefault="00D465EE" w:rsidP="000C681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54E3B">
        <w:t>En su quincuagésima tercera sesión, celebrada por medios electrónicos del 11 al 15 de julio de 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5EE" w:rsidRPr="000C681A" w:rsidRDefault="00D465EE" w:rsidP="000A23DC">
    <w:pPr>
      <w:pStyle w:val="Header"/>
      <w:rPr>
        <w:rStyle w:val="PageNumber"/>
      </w:rPr>
    </w:pPr>
    <w:r w:rsidRPr="000C681A">
      <w:rPr>
        <w:rStyle w:val="PageNumber"/>
      </w:rPr>
      <w:t>TC/58/3</w:t>
    </w:r>
  </w:p>
  <w:p w:rsidR="00D465EE" w:rsidRPr="000C681A" w:rsidRDefault="00D465EE" w:rsidP="008B3D8D">
    <w:pPr>
      <w:pStyle w:val="Header"/>
    </w:pPr>
    <w:r w:rsidRPr="000C681A">
      <w:t xml:space="preserve">página </w:t>
    </w:r>
    <w:r w:rsidR="007022E0" w:rsidRPr="000C681A">
      <w:rPr>
        <w:rStyle w:val="PageNumber"/>
      </w:rPr>
      <w:fldChar w:fldCharType="begin"/>
    </w:r>
    <w:r w:rsidRPr="000C681A">
      <w:rPr>
        <w:rStyle w:val="PageNumber"/>
      </w:rPr>
      <w:instrText xml:space="preserve"> PAGE </w:instrText>
    </w:r>
    <w:r w:rsidR="007022E0" w:rsidRPr="000C681A">
      <w:rPr>
        <w:rStyle w:val="PageNumber"/>
      </w:rPr>
      <w:fldChar w:fldCharType="separate"/>
    </w:r>
    <w:r w:rsidR="00BB6E35">
      <w:rPr>
        <w:rStyle w:val="PageNumber"/>
        <w:noProof/>
      </w:rPr>
      <w:t>5</w:t>
    </w:r>
    <w:r w:rsidR="007022E0" w:rsidRPr="000C681A">
      <w:rPr>
        <w:rStyle w:val="PageNumber"/>
      </w:rPr>
      <w:fldChar w:fldCharType="end"/>
    </w:r>
  </w:p>
  <w:p w:rsidR="00D465EE" w:rsidRPr="000C681A" w:rsidRDefault="00D465EE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27C56"/>
    <w:multiLevelType w:val="hybridMultilevel"/>
    <w:tmpl w:val="9CF4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3"/>
  </w:docVars>
  <w:rsids>
    <w:rsidRoot w:val="000C681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67BCA"/>
    <w:rsid w:val="00085505"/>
    <w:rsid w:val="000A23DC"/>
    <w:rsid w:val="000A2B1C"/>
    <w:rsid w:val="000A40FA"/>
    <w:rsid w:val="000B7BB9"/>
    <w:rsid w:val="000C4E25"/>
    <w:rsid w:val="000C681A"/>
    <w:rsid w:val="000C7021"/>
    <w:rsid w:val="000D6BBC"/>
    <w:rsid w:val="000D7780"/>
    <w:rsid w:val="000E06A0"/>
    <w:rsid w:val="000E636A"/>
    <w:rsid w:val="000F2F11"/>
    <w:rsid w:val="001010AE"/>
    <w:rsid w:val="00105929"/>
    <w:rsid w:val="001066E7"/>
    <w:rsid w:val="00110C36"/>
    <w:rsid w:val="001131D5"/>
    <w:rsid w:val="00114595"/>
    <w:rsid w:val="00141DB8"/>
    <w:rsid w:val="001469BE"/>
    <w:rsid w:val="00154E3B"/>
    <w:rsid w:val="00172084"/>
    <w:rsid w:val="0017474A"/>
    <w:rsid w:val="001758C6"/>
    <w:rsid w:val="00182B99"/>
    <w:rsid w:val="001D17DD"/>
    <w:rsid w:val="001D1D83"/>
    <w:rsid w:val="001F64BF"/>
    <w:rsid w:val="00201B3D"/>
    <w:rsid w:val="00202E38"/>
    <w:rsid w:val="002103B5"/>
    <w:rsid w:val="0021332C"/>
    <w:rsid w:val="00213982"/>
    <w:rsid w:val="0024416D"/>
    <w:rsid w:val="002458C3"/>
    <w:rsid w:val="002464A3"/>
    <w:rsid w:val="00271911"/>
    <w:rsid w:val="002800A0"/>
    <w:rsid w:val="002801B3"/>
    <w:rsid w:val="00281060"/>
    <w:rsid w:val="002940E8"/>
    <w:rsid w:val="00294751"/>
    <w:rsid w:val="002A3913"/>
    <w:rsid w:val="002A6E50"/>
    <w:rsid w:val="002B4298"/>
    <w:rsid w:val="002C256A"/>
    <w:rsid w:val="002C3D98"/>
    <w:rsid w:val="002D148C"/>
    <w:rsid w:val="002E5944"/>
    <w:rsid w:val="00305A7F"/>
    <w:rsid w:val="003152FE"/>
    <w:rsid w:val="00324098"/>
    <w:rsid w:val="00327436"/>
    <w:rsid w:val="003319BB"/>
    <w:rsid w:val="00340D6C"/>
    <w:rsid w:val="00344BD6"/>
    <w:rsid w:val="0035528D"/>
    <w:rsid w:val="00361821"/>
    <w:rsid w:val="00361E9E"/>
    <w:rsid w:val="003B031A"/>
    <w:rsid w:val="003B6338"/>
    <w:rsid w:val="003C7FBE"/>
    <w:rsid w:val="003D227C"/>
    <w:rsid w:val="003D2B4D"/>
    <w:rsid w:val="0040557F"/>
    <w:rsid w:val="00444A88"/>
    <w:rsid w:val="0045673C"/>
    <w:rsid w:val="00467B42"/>
    <w:rsid w:val="00474DA4"/>
    <w:rsid w:val="00476B4D"/>
    <w:rsid w:val="004805FA"/>
    <w:rsid w:val="004935D2"/>
    <w:rsid w:val="004B1215"/>
    <w:rsid w:val="004B301E"/>
    <w:rsid w:val="004D047D"/>
    <w:rsid w:val="004F1E9E"/>
    <w:rsid w:val="004F305A"/>
    <w:rsid w:val="00512164"/>
    <w:rsid w:val="00520297"/>
    <w:rsid w:val="005338F9"/>
    <w:rsid w:val="00535458"/>
    <w:rsid w:val="0054281C"/>
    <w:rsid w:val="00544581"/>
    <w:rsid w:val="00545E42"/>
    <w:rsid w:val="00546099"/>
    <w:rsid w:val="0055268D"/>
    <w:rsid w:val="0057141E"/>
    <w:rsid w:val="00576BE4"/>
    <w:rsid w:val="00581F43"/>
    <w:rsid w:val="005A1EC1"/>
    <w:rsid w:val="005A400A"/>
    <w:rsid w:val="005F7B92"/>
    <w:rsid w:val="00600CDB"/>
    <w:rsid w:val="00612379"/>
    <w:rsid w:val="006153B6"/>
    <w:rsid w:val="0061555F"/>
    <w:rsid w:val="00631E71"/>
    <w:rsid w:val="00636CA6"/>
    <w:rsid w:val="00637EDD"/>
    <w:rsid w:val="00641200"/>
    <w:rsid w:val="00645CA8"/>
    <w:rsid w:val="00664BBB"/>
    <w:rsid w:val="006655D3"/>
    <w:rsid w:val="00667404"/>
    <w:rsid w:val="00687EB4"/>
    <w:rsid w:val="00693717"/>
    <w:rsid w:val="00695C56"/>
    <w:rsid w:val="006A5CDE"/>
    <w:rsid w:val="006A644A"/>
    <w:rsid w:val="006A6F03"/>
    <w:rsid w:val="006B17D2"/>
    <w:rsid w:val="006C224E"/>
    <w:rsid w:val="006D780A"/>
    <w:rsid w:val="006E59B5"/>
    <w:rsid w:val="007022E0"/>
    <w:rsid w:val="0071271E"/>
    <w:rsid w:val="00730713"/>
    <w:rsid w:val="00732DEC"/>
    <w:rsid w:val="00735BD5"/>
    <w:rsid w:val="00751613"/>
    <w:rsid w:val="00753623"/>
    <w:rsid w:val="007556F6"/>
    <w:rsid w:val="00756106"/>
    <w:rsid w:val="00760EEF"/>
    <w:rsid w:val="007710DD"/>
    <w:rsid w:val="007726DB"/>
    <w:rsid w:val="00772B51"/>
    <w:rsid w:val="00777EE5"/>
    <w:rsid w:val="00783722"/>
    <w:rsid w:val="00784836"/>
    <w:rsid w:val="0079023E"/>
    <w:rsid w:val="007A2854"/>
    <w:rsid w:val="007A60B2"/>
    <w:rsid w:val="007C1D92"/>
    <w:rsid w:val="007C4CB9"/>
    <w:rsid w:val="007D0B9D"/>
    <w:rsid w:val="007D19B0"/>
    <w:rsid w:val="007F498F"/>
    <w:rsid w:val="0080381E"/>
    <w:rsid w:val="0080679D"/>
    <w:rsid w:val="008069FA"/>
    <w:rsid w:val="008108B0"/>
    <w:rsid w:val="00811B20"/>
    <w:rsid w:val="00816D9C"/>
    <w:rsid w:val="0081743D"/>
    <w:rsid w:val="008211B5"/>
    <w:rsid w:val="0082296E"/>
    <w:rsid w:val="00824099"/>
    <w:rsid w:val="00846D7C"/>
    <w:rsid w:val="00856930"/>
    <w:rsid w:val="00864C55"/>
    <w:rsid w:val="00867AC1"/>
    <w:rsid w:val="00890DF8"/>
    <w:rsid w:val="00890FAB"/>
    <w:rsid w:val="008A743F"/>
    <w:rsid w:val="008B3B99"/>
    <w:rsid w:val="008B3D8D"/>
    <w:rsid w:val="008C0970"/>
    <w:rsid w:val="008D0BC5"/>
    <w:rsid w:val="008D2CF7"/>
    <w:rsid w:val="00900C26"/>
    <w:rsid w:val="0090197F"/>
    <w:rsid w:val="00906DDC"/>
    <w:rsid w:val="00927E0B"/>
    <w:rsid w:val="00933012"/>
    <w:rsid w:val="00934E09"/>
    <w:rsid w:val="00936253"/>
    <w:rsid w:val="00940D46"/>
    <w:rsid w:val="009500B8"/>
    <w:rsid w:val="00952DD4"/>
    <w:rsid w:val="0096175D"/>
    <w:rsid w:val="00965AE7"/>
    <w:rsid w:val="00970FED"/>
    <w:rsid w:val="00977067"/>
    <w:rsid w:val="00992D82"/>
    <w:rsid w:val="00996F63"/>
    <w:rsid w:val="00997029"/>
    <w:rsid w:val="009A7339"/>
    <w:rsid w:val="009B1250"/>
    <w:rsid w:val="009B440E"/>
    <w:rsid w:val="009C1F10"/>
    <w:rsid w:val="009D4579"/>
    <w:rsid w:val="009D690D"/>
    <w:rsid w:val="009E65B6"/>
    <w:rsid w:val="009F5703"/>
    <w:rsid w:val="00A24C10"/>
    <w:rsid w:val="00A42AC3"/>
    <w:rsid w:val="00A430CF"/>
    <w:rsid w:val="00A43C55"/>
    <w:rsid w:val="00A54309"/>
    <w:rsid w:val="00A706D3"/>
    <w:rsid w:val="00AA610A"/>
    <w:rsid w:val="00AB2B93"/>
    <w:rsid w:val="00AB530F"/>
    <w:rsid w:val="00AB7E5B"/>
    <w:rsid w:val="00AC2883"/>
    <w:rsid w:val="00AE0EF1"/>
    <w:rsid w:val="00AE2937"/>
    <w:rsid w:val="00AF276E"/>
    <w:rsid w:val="00B07301"/>
    <w:rsid w:val="00B11F3E"/>
    <w:rsid w:val="00B224DE"/>
    <w:rsid w:val="00B324D4"/>
    <w:rsid w:val="00B46575"/>
    <w:rsid w:val="00B61777"/>
    <w:rsid w:val="00B84BBD"/>
    <w:rsid w:val="00B910D6"/>
    <w:rsid w:val="00BA43FB"/>
    <w:rsid w:val="00BB6E35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3667"/>
    <w:rsid w:val="00C66290"/>
    <w:rsid w:val="00C71F45"/>
    <w:rsid w:val="00C72B7A"/>
    <w:rsid w:val="00C84FF2"/>
    <w:rsid w:val="00C8570F"/>
    <w:rsid w:val="00C973F2"/>
    <w:rsid w:val="00CA304C"/>
    <w:rsid w:val="00CA774A"/>
    <w:rsid w:val="00CC11B0"/>
    <w:rsid w:val="00CC2841"/>
    <w:rsid w:val="00CD70FC"/>
    <w:rsid w:val="00CE1A22"/>
    <w:rsid w:val="00CE49AB"/>
    <w:rsid w:val="00CF1330"/>
    <w:rsid w:val="00CF1D83"/>
    <w:rsid w:val="00CF7E36"/>
    <w:rsid w:val="00D12793"/>
    <w:rsid w:val="00D3708D"/>
    <w:rsid w:val="00D40426"/>
    <w:rsid w:val="00D465EE"/>
    <w:rsid w:val="00D57C96"/>
    <w:rsid w:val="00D57D18"/>
    <w:rsid w:val="00D91203"/>
    <w:rsid w:val="00D95174"/>
    <w:rsid w:val="00DA0C67"/>
    <w:rsid w:val="00DA4973"/>
    <w:rsid w:val="00DA6F36"/>
    <w:rsid w:val="00DB1DE0"/>
    <w:rsid w:val="00DB596E"/>
    <w:rsid w:val="00DB7773"/>
    <w:rsid w:val="00DC00EA"/>
    <w:rsid w:val="00DC3802"/>
    <w:rsid w:val="00DC3822"/>
    <w:rsid w:val="00DD2CF8"/>
    <w:rsid w:val="00DF08C8"/>
    <w:rsid w:val="00E07D87"/>
    <w:rsid w:val="00E137BD"/>
    <w:rsid w:val="00E30F29"/>
    <w:rsid w:val="00E32F7E"/>
    <w:rsid w:val="00E3324E"/>
    <w:rsid w:val="00E41EAB"/>
    <w:rsid w:val="00E5154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E5548"/>
    <w:rsid w:val="00EF2F89"/>
    <w:rsid w:val="00F03E98"/>
    <w:rsid w:val="00F1237A"/>
    <w:rsid w:val="00F22CBD"/>
    <w:rsid w:val="00F272F1"/>
    <w:rsid w:val="00F343A7"/>
    <w:rsid w:val="00F45372"/>
    <w:rsid w:val="00F50294"/>
    <w:rsid w:val="00F560F7"/>
    <w:rsid w:val="00F61F9C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494E820-826E-40D5-AF94-8D4E985E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BB6E35"/>
    <w:pPr>
      <w:tabs>
        <w:tab w:val="right" w:leader="dot" w:pos="9639"/>
      </w:tabs>
      <w:ind w:left="568" w:right="851" w:hanging="284"/>
      <w:contextualSpacing/>
      <w:jc w:val="left"/>
    </w:pPr>
    <w:rPr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BB6E35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aliases w:val="VARIETY Char,variety Char"/>
    <w:link w:val="Heading2"/>
    <w:locked/>
    <w:rsid w:val="000C681A"/>
    <w:rPr>
      <w:rFonts w:ascii="Arial" w:hAnsi="Arial"/>
      <w:u w:val="single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0C681A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0C681A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0C681A"/>
    <w:rPr>
      <w:rFonts w:ascii="Arial" w:hAnsi="Arial"/>
      <w:sz w:val="16"/>
      <w:lang w:val="es-ES_tradnl"/>
    </w:rPr>
  </w:style>
  <w:style w:type="character" w:customStyle="1" w:styleId="Heading1Char">
    <w:name w:val="Heading 1 Char"/>
    <w:basedOn w:val="DefaultParagraphFont"/>
    <w:link w:val="Heading1"/>
    <w:rsid w:val="000C681A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2456</Words>
  <Characters>13539</Characters>
  <Application>Microsoft Office Word</Application>
  <DocSecurity>0</DocSecurity>
  <Lines>338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TC/58/3</vt:lpstr>
    </vt:vector>
  </TitlesOfParts>
  <Company>UPOV</Company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TC/58/3</dc:title>
  <dc:creator>Antonio Sanguino</dc:creator>
  <cp:lastModifiedBy>MAY Jessica</cp:lastModifiedBy>
  <cp:revision>4</cp:revision>
  <cp:lastPrinted>2016-11-22T15:41:00Z</cp:lastPrinted>
  <dcterms:created xsi:type="dcterms:W3CDTF">2022-10-11T06:32:00Z</dcterms:created>
  <dcterms:modified xsi:type="dcterms:W3CDTF">2022-10-11T09:24:00Z</dcterms:modified>
</cp:coreProperties>
</file>