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65EFF" w14:paraId="16D3D60C" w14:textId="77777777" w:rsidTr="00EB4E9C">
        <w:tc>
          <w:tcPr>
            <w:tcW w:w="6522" w:type="dxa"/>
          </w:tcPr>
          <w:p w14:paraId="0C96AEAA" w14:textId="77777777" w:rsidR="00DC3802" w:rsidRPr="00365EFF" w:rsidRDefault="00DC3802" w:rsidP="00AC2883">
            <w:pPr>
              <w:rPr>
                <w:lang w:val="es-419"/>
              </w:rPr>
            </w:pPr>
            <w:r w:rsidRPr="00365EFF">
              <w:rPr>
                <w:noProof/>
                <w:lang w:val="en-US"/>
              </w:rPr>
              <w:drawing>
                <wp:inline distT="0" distB="0" distL="0" distR="0" wp14:anchorId="78BAE7FE" wp14:editId="3562F2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B76CC1" w14:textId="77777777" w:rsidR="00DC3802" w:rsidRPr="00365EFF" w:rsidRDefault="002E5944" w:rsidP="00AC2883">
            <w:pPr>
              <w:pStyle w:val="Lettrine"/>
              <w:rPr>
                <w:lang w:val="es-419"/>
              </w:rPr>
            </w:pPr>
            <w:r w:rsidRPr="00365EFF">
              <w:rPr>
                <w:lang w:val="es-419"/>
              </w:rPr>
              <w:t>S</w:t>
            </w:r>
          </w:p>
        </w:tc>
      </w:tr>
      <w:tr w:rsidR="00DC3802" w:rsidRPr="00365EFF" w14:paraId="69444E8B" w14:textId="77777777" w:rsidTr="00645CA8">
        <w:trPr>
          <w:trHeight w:val="219"/>
        </w:trPr>
        <w:tc>
          <w:tcPr>
            <w:tcW w:w="6522" w:type="dxa"/>
          </w:tcPr>
          <w:p w14:paraId="57C74B19" w14:textId="77777777" w:rsidR="00DC3802" w:rsidRPr="00365EFF" w:rsidRDefault="002E5944" w:rsidP="00BC0BD4">
            <w:pPr>
              <w:pStyle w:val="upove"/>
              <w:rPr>
                <w:lang w:val="es-419"/>
              </w:rPr>
            </w:pPr>
            <w:r w:rsidRPr="00365EFF">
              <w:rPr>
                <w:lang w:val="es-419"/>
              </w:rPr>
              <w:t>Unión Internacional para la Protección de las Obtenciones Vegetales</w:t>
            </w:r>
          </w:p>
        </w:tc>
        <w:tc>
          <w:tcPr>
            <w:tcW w:w="3117" w:type="dxa"/>
          </w:tcPr>
          <w:p w14:paraId="1398D587" w14:textId="77777777" w:rsidR="00DC3802" w:rsidRPr="00365EFF" w:rsidRDefault="00DC3802" w:rsidP="00DA4973">
            <w:pPr>
              <w:rPr>
                <w:lang w:val="es-419"/>
              </w:rPr>
            </w:pPr>
          </w:p>
        </w:tc>
      </w:tr>
    </w:tbl>
    <w:p w14:paraId="7C8614AB" w14:textId="77777777" w:rsidR="00DC3802" w:rsidRPr="00365EFF" w:rsidRDefault="00DC3802" w:rsidP="00DC3802">
      <w:pPr>
        <w:rPr>
          <w:lang w:val="es-419"/>
        </w:rPr>
      </w:pPr>
    </w:p>
    <w:p w14:paraId="3ED3CCB9" w14:textId="77777777" w:rsidR="00DA4973" w:rsidRPr="00365EFF"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65EFF" w14:paraId="7CFDCCD2" w14:textId="77777777" w:rsidTr="00EB4E9C">
        <w:tc>
          <w:tcPr>
            <w:tcW w:w="6512" w:type="dxa"/>
          </w:tcPr>
          <w:p w14:paraId="5E619E8F" w14:textId="77777777" w:rsidR="00EB4E9C" w:rsidRPr="00365EFF" w:rsidRDefault="002E5944" w:rsidP="00AC2883">
            <w:pPr>
              <w:pStyle w:val="Sessiontc"/>
              <w:spacing w:line="240" w:lineRule="auto"/>
              <w:rPr>
                <w:lang w:val="es-419"/>
              </w:rPr>
            </w:pPr>
            <w:r w:rsidRPr="00365EFF">
              <w:rPr>
                <w:lang w:val="es-419"/>
              </w:rPr>
              <w:t>Comité Técnico</w:t>
            </w:r>
          </w:p>
          <w:p w14:paraId="620CCD7B" w14:textId="77777777" w:rsidR="002458C3" w:rsidRPr="00365EFF" w:rsidRDefault="002E5944" w:rsidP="00324098">
            <w:pPr>
              <w:pStyle w:val="Sessiontcplacedate"/>
              <w:rPr>
                <w:lang w:val="es-419"/>
              </w:rPr>
            </w:pPr>
            <w:r w:rsidRPr="00365EFF">
              <w:rPr>
                <w:lang w:val="es-419"/>
              </w:rPr>
              <w:t>Quincuagésima octava sesión</w:t>
            </w:r>
          </w:p>
          <w:p w14:paraId="2033D95A" w14:textId="77777777" w:rsidR="00EB4E9C" w:rsidRPr="00365EFF" w:rsidRDefault="002E5944" w:rsidP="00324098">
            <w:pPr>
              <w:pStyle w:val="Sessiontcplacedate"/>
              <w:rPr>
                <w:sz w:val="22"/>
                <w:lang w:val="es-419"/>
              </w:rPr>
            </w:pPr>
            <w:r w:rsidRPr="00365EFF">
              <w:rPr>
                <w:lang w:val="es-419"/>
              </w:rPr>
              <w:t>Ginebra, 24 y 25 de octubre de 2022</w:t>
            </w:r>
          </w:p>
        </w:tc>
        <w:tc>
          <w:tcPr>
            <w:tcW w:w="3127" w:type="dxa"/>
          </w:tcPr>
          <w:p w14:paraId="00261A3B" w14:textId="77777777" w:rsidR="00EB4E9C" w:rsidRPr="00365EFF" w:rsidRDefault="002458C3" w:rsidP="003C7FBE">
            <w:pPr>
              <w:pStyle w:val="Doccode"/>
              <w:rPr>
                <w:lang w:val="es-419"/>
              </w:rPr>
            </w:pPr>
            <w:r w:rsidRPr="00365EFF">
              <w:rPr>
                <w:lang w:val="es-419"/>
              </w:rPr>
              <w:t xml:space="preserve">TC/58/17 </w:t>
            </w:r>
            <w:proofErr w:type="spellStart"/>
            <w:r w:rsidRPr="00365EFF">
              <w:rPr>
                <w:lang w:val="es-419"/>
              </w:rPr>
              <w:t>Add</w:t>
            </w:r>
            <w:proofErr w:type="spellEnd"/>
            <w:r w:rsidRPr="00365EFF">
              <w:rPr>
                <w:lang w:val="es-419"/>
              </w:rPr>
              <w:t>.</w:t>
            </w:r>
          </w:p>
          <w:p w14:paraId="50C8F651" w14:textId="77777777" w:rsidR="00EB4E9C" w:rsidRPr="00365EFF" w:rsidRDefault="00EB4E9C" w:rsidP="003C7FBE">
            <w:pPr>
              <w:pStyle w:val="Docoriginal"/>
              <w:rPr>
                <w:lang w:val="es-419"/>
              </w:rPr>
            </w:pPr>
            <w:r w:rsidRPr="00365EFF">
              <w:rPr>
                <w:lang w:val="es-419"/>
              </w:rPr>
              <w:t>Original:</w:t>
            </w:r>
            <w:r w:rsidRPr="00365EFF">
              <w:rPr>
                <w:b w:val="0"/>
                <w:lang w:val="es-419"/>
              </w:rPr>
              <w:t xml:space="preserve"> </w:t>
            </w:r>
            <w:proofErr w:type="gramStart"/>
            <w:r w:rsidRPr="00365EFF">
              <w:rPr>
                <w:b w:val="0"/>
                <w:lang w:val="es-419"/>
              </w:rPr>
              <w:t>Inglés</w:t>
            </w:r>
            <w:proofErr w:type="gramEnd"/>
          </w:p>
          <w:p w14:paraId="489E53B3" w14:textId="77777777" w:rsidR="00EB4E9C" w:rsidRPr="00365EFF" w:rsidRDefault="002E5944" w:rsidP="002D2847">
            <w:pPr>
              <w:pStyle w:val="Docoriginal"/>
              <w:rPr>
                <w:lang w:val="es-419"/>
              </w:rPr>
            </w:pPr>
            <w:r w:rsidRPr="00365EFF">
              <w:rPr>
                <w:lang w:val="es-419"/>
              </w:rPr>
              <w:t>Fecha:</w:t>
            </w:r>
            <w:r w:rsidRPr="00365EFF">
              <w:rPr>
                <w:b w:val="0"/>
                <w:lang w:val="es-419"/>
              </w:rPr>
              <w:t xml:space="preserve"> 20 de octubre de 2022</w:t>
            </w:r>
          </w:p>
        </w:tc>
      </w:tr>
    </w:tbl>
    <w:p w14:paraId="2FA7897A" w14:textId="77777777" w:rsidR="000D7780" w:rsidRPr="00365EFF" w:rsidRDefault="00CE3999" w:rsidP="006A644A">
      <w:pPr>
        <w:pStyle w:val="Titleofdoc0"/>
        <w:rPr>
          <w:lang w:val="es-419"/>
        </w:rPr>
      </w:pPr>
      <w:r w:rsidRPr="00365EFF">
        <w:rPr>
          <w:lang w:val="es-419"/>
        </w:rPr>
        <w:t>Adición a</w:t>
      </w:r>
      <w:r w:rsidRPr="00365EFF">
        <w:rPr>
          <w:lang w:val="es-419"/>
        </w:rPr>
        <w:br/>
        <w:t>Informes sobre la labor de los Grupos de Trabajo Técnico</w:t>
      </w:r>
    </w:p>
    <w:p w14:paraId="4951EA75" w14:textId="77777777" w:rsidR="006A644A" w:rsidRPr="00365EFF" w:rsidRDefault="000638A9" w:rsidP="006A644A">
      <w:pPr>
        <w:pStyle w:val="preparedby1"/>
        <w:jc w:val="left"/>
        <w:rPr>
          <w:lang w:val="es-419"/>
        </w:rPr>
      </w:pPr>
      <w:r w:rsidRPr="00365EFF">
        <w:rPr>
          <w:lang w:val="es-419"/>
        </w:rPr>
        <w:t>Documento preparado por la Oficina de la Unión</w:t>
      </w:r>
    </w:p>
    <w:p w14:paraId="669C5BE0" w14:textId="77777777" w:rsidR="00050E16" w:rsidRPr="00365EFF" w:rsidRDefault="000638A9" w:rsidP="006A644A">
      <w:pPr>
        <w:pStyle w:val="Disclaimer"/>
        <w:rPr>
          <w:lang w:val="es-419"/>
        </w:rPr>
      </w:pPr>
      <w:r w:rsidRPr="00365EFF">
        <w:rPr>
          <w:lang w:val="es-419"/>
        </w:rPr>
        <w:t>Descargo de responsabilidad: el presente documento no constituye un documento de política u orientación de la UPOV</w:t>
      </w:r>
    </w:p>
    <w:p w14:paraId="177D8442" w14:textId="77777777" w:rsidR="00CE3999" w:rsidRPr="00365EFF" w:rsidRDefault="00CE3999" w:rsidP="00CE3999">
      <w:pPr>
        <w:rPr>
          <w:snapToGrid w:val="0"/>
          <w:lang w:val="es-419"/>
        </w:rPr>
      </w:pPr>
      <w:r w:rsidRPr="00365EFF">
        <w:rPr>
          <w:snapToGrid w:val="0"/>
          <w:lang w:val="es-419"/>
        </w:rPr>
        <w:fldChar w:fldCharType="begin"/>
      </w:r>
      <w:r w:rsidRPr="00365EFF">
        <w:rPr>
          <w:snapToGrid w:val="0"/>
          <w:lang w:val="es-419"/>
        </w:rPr>
        <w:instrText xml:space="preserve"> AUTONUM  </w:instrText>
      </w:r>
      <w:r w:rsidRPr="00365EFF">
        <w:rPr>
          <w:snapToGrid w:val="0"/>
          <w:lang w:val="es-419"/>
        </w:rPr>
        <w:fldChar w:fldCharType="end"/>
      </w:r>
      <w:r w:rsidRPr="00365EFF">
        <w:rPr>
          <w:snapToGrid w:val="0"/>
          <w:lang w:val="es-419"/>
        </w:rPr>
        <w:tab/>
        <w:t>La presente adición tiene por finalidad presentar el informe del presidente del Grupo de Trabajo Técnico sobre Métodos y Técnicas de Examen (TWM), en su sesión de 2022.</w:t>
      </w:r>
    </w:p>
    <w:p w14:paraId="45479053" w14:textId="77777777" w:rsidR="00CE3999" w:rsidRPr="00365EFF" w:rsidRDefault="00CE3999" w:rsidP="00CE3999">
      <w:pPr>
        <w:rPr>
          <w:snapToGrid w:val="0"/>
          <w:lang w:val="es-419"/>
        </w:rPr>
      </w:pPr>
    </w:p>
    <w:p w14:paraId="65788A68" w14:textId="77777777" w:rsidR="00CE3999" w:rsidRPr="00365EFF" w:rsidRDefault="00CE3999" w:rsidP="00CE3999">
      <w:pPr>
        <w:rPr>
          <w:snapToGrid w:val="0"/>
          <w:lang w:val="es-419"/>
        </w:rPr>
      </w:pPr>
      <w:r w:rsidRPr="00365EFF">
        <w:rPr>
          <w:snapToGrid w:val="0"/>
          <w:lang w:val="es-419"/>
        </w:rPr>
        <w:fldChar w:fldCharType="begin"/>
      </w:r>
      <w:r w:rsidRPr="00365EFF">
        <w:rPr>
          <w:snapToGrid w:val="0"/>
          <w:lang w:val="es-419"/>
        </w:rPr>
        <w:instrText xml:space="preserve"> AUTONUM  </w:instrText>
      </w:r>
      <w:r w:rsidRPr="00365EFF">
        <w:rPr>
          <w:snapToGrid w:val="0"/>
          <w:lang w:val="es-419"/>
        </w:rPr>
        <w:fldChar w:fldCharType="end"/>
      </w:r>
      <w:r w:rsidRPr="00365EFF">
        <w:rPr>
          <w:snapToGrid w:val="0"/>
          <w:lang w:val="es-419"/>
        </w:rPr>
        <w:tab/>
        <w:t>El presente documento se estructura del modo siguiente:</w:t>
      </w:r>
    </w:p>
    <w:p w14:paraId="5C6291D8" w14:textId="77777777" w:rsidR="00CE3999" w:rsidRPr="00365EFF" w:rsidRDefault="00CE3999" w:rsidP="00CE3999">
      <w:pPr>
        <w:rPr>
          <w:snapToGrid w:val="0"/>
          <w:lang w:val="es-419"/>
        </w:rPr>
      </w:pPr>
    </w:p>
    <w:p w14:paraId="4C81F20C" w14:textId="77777777" w:rsidR="00CE3999" w:rsidRPr="00365EFF" w:rsidRDefault="00CE3999" w:rsidP="00CE3999">
      <w:pPr>
        <w:rPr>
          <w:snapToGrid w:val="0"/>
          <w:lang w:val="es-419"/>
        </w:rPr>
      </w:pPr>
      <w:r w:rsidRPr="00365EFF">
        <w:rPr>
          <w:snapToGrid w:val="0"/>
          <w:lang w:val="es-419"/>
        </w:rPr>
        <w:t>Anexo</w:t>
      </w:r>
      <w:r w:rsidRPr="00365EFF">
        <w:rPr>
          <w:snapToGrid w:val="0"/>
          <w:lang w:val="es-419"/>
        </w:rPr>
        <w:tab/>
        <w:t>Grupo de Trabajo Técnico sobre Métodos y Técnicas de Examen (TWM)</w:t>
      </w:r>
    </w:p>
    <w:p w14:paraId="302F8363" w14:textId="77777777" w:rsidR="00CE3999" w:rsidRPr="00365EFF" w:rsidRDefault="00CE3999" w:rsidP="00CE3999">
      <w:pPr>
        <w:rPr>
          <w:lang w:val="es-419"/>
        </w:rPr>
      </w:pPr>
    </w:p>
    <w:p w14:paraId="29D03C51" w14:textId="77777777" w:rsidR="00CE3999" w:rsidRPr="00365EFF" w:rsidRDefault="00CE3999" w:rsidP="00CE3999">
      <w:pPr>
        <w:jc w:val="left"/>
        <w:rPr>
          <w:lang w:val="es-419"/>
        </w:rPr>
      </w:pPr>
    </w:p>
    <w:p w14:paraId="34A6B09D" w14:textId="77777777" w:rsidR="00CE3999" w:rsidRPr="00365EFF" w:rsidRDefault="00CE3999" w:rsidP="00CE3999">
      <w:pPr>
        <w:rPr>
          <w:lang w:val="es-419"/>
        </w:rPr>
      </w:pPr>
    </w:p>
    <w:p w14:paraId="79D251EC" w14:textId="500CCC29" w:rsidR="00CE3999" w:rsidRPr="00365EFF" w:rsidRDefault="00CE3999" w:rsidP="00CE3999">
      <w:pPr>
        <w:jc w:val="right"/>
        <w:rPr>
          <w:lang w:val="es-419"/>
        </w:rPr>
      </w:pPr>
      <w:r w:rsidRPr="00365EFF">
        <w:rPr>
          <w:lang w:val="es-419"/>
        </w:rPr>
        <w:t>[Sigue el Anexo]</w:t>
      </w:r>
    </w:p>
    <w:p w14:paraId="149DB13D" w14:textId="77777777" w:rsidR="00CE3999" w:rsidRPr="00365EFF" w:rsidRDefault="00CE3999" w:rsidP="00CE3999">
      <w:pPr>
        <w:jc w:val="left"/>
        <w:rPr>
          <w:lang w:val="es-419"/>
        </w:rPr>
        <w:sectPr w:rsidR="00CE3999" w:rsidRPr="00365EFF" w:rsidSect="0004198B">
          <w:headerReference w:type="default" r:id="rId8"/>
          <w:pgSz w:w="11907" w:h="16840" w:code="9"/>
          <w:pgMar w:top="510" w:right="1134" w:bottom="1134" w:left="1134" w:header="510" w:footer="680" w:gutter="0"/>
          <w:pgNumType w:start="1"/>
          <w:cols w:space="720"/>
          <w:titlePg/>
        </w:sectPr>
      </w:pPr>
    </w:p>
    <w:p w14:paraId="00A53739" w14:textId="77777777" w:rsidR="00CE3999" w:rsidRPr="00365EFF" w:rsidRDefault="00CE3999" w:rsidP="00CE3999">
      <w:pPr>
        <w:pStyle w:val="Heading1"/>
        <w:jc w:val="center"/>
        <w:rPr>
          <w:lang w:val="es-419"/>
        </w:rPr>
      </w:pPr>
    </w:p>
    <w:p w14:paraId="5D4432D0" w14:textId="77777777" w:rsidR="00CE3999" w:rsidRPr="00365EFF" w:rsidRDefault="00CE3999" w:rsidP="00CE3999">
      <w:pPr>
        <w:pStyle w:val="Heading1"/>
        <w:rPr>
          <w:lang w:val="es-419"/>
        </w:rPr>
      </w:pPr>
      <w:r w:rsidRPr="00365EFF">
        <w:rPr>
          <w:lang w:val="es-419"/>
        </w:rPr>
        <w:t>Primera sesión del Grupo de Trabajo Técnico sobre Métodos y Técnicas de Examen (TWM)</w:t>
      </w:r>
    </w:p>
    <w:p w14:paraId="1C5E3CBE" w14:textId="77777777" w:rsidR="00CE3999" w:rsidRPr="00365EFF" w:rsidRDefault="00CE3999" w:rsidP="00CE3999">
      <w:pPr>
        <w:rPr>
          <w:rFonts w:cs="Arial"/>
          <w:lang w:val="es-419"/>
        </w:rPr>
      </w:pPr>
    </w:p>
    <w:p w14:paraId="664D0888" w14:textId="77777777" w:rsidR="00CE3999" w:rsidRPr="00365EFF" w:rsidRDefault="00CE3999" w:rsidP="00CE3999">
      <w:pPr>
        <w:keepNext/>
        <w:outlineLvl w:val="2"/>
        <w:rPr>
          <w:i/>
          <w:lang w:val="es-419"/>
        </w:rPr>
      </w:pPr>
      <w:r w:rsidRPr="00365EFF">
        <w:rPr>
          <w:i/>
          <w:lang w:val="es-419"/>
        </w:rPr>
        <w:t>Informe de la Sra. </w:t>
      </w:r>
      <w:proofErr w:type="spellStart"/>
      <w:r w:rsidRPr="00365EFF">
        <w:rPr>
          <w:i/>
          <w:lang w:val="es-419"/>
        </w:rPr>
        <w:t>Beate</w:t>
      </w:r>
      <w:proofErr w:type="spellEnd"/>
      <w:r w:rsidRPr="00365EFF">
        <w:rPr>
          <w:i/>
          <w:lang w:val="es-419"/>
        </w:rPr>
        <w:t xml:space="preserve"> </w:t>
      </w:r>
      <w:proofErr w:type="spellStart"/>
      <w:r w:rsidRPr="00365EFF">
        <w:rPr>
          <w:i/>
          <w:lang w:val="es-419"/>
        </w:rPr>
        <w:t>Rücker</w:t>
      </w:r>
      <w:proofErr w:type="spellEnd"/>
      <w:r w:rsidRPr="00365EFF">
        <w:rPr>
          <w:i/>
          <w:lang w:val="es-419"/>
        </w:rPr>
        <w:t xml:space="preserve"> (Alemania), presidenta del TWM</w:t>
      </w:r>
    </w:p>
    <w:p w14:paraId="344D3C7F" w14:textId="77777777" w:rsidR="00CE3999" w:rsidRPr="00365EFF" w:rsidRDefault="00CE3999" w:rsidP="00CE3999">
      <w:pPr>
        <w:rPr>
          <w:rFonts w:cs="Arial"/>
          <w:lang w:val="es-419"/>
        </w:rPr>
      </w:pPr>
    </w:p>
    <w:p w14:paraId="1216ADFB" w14:textId="71C99737" w:rsidR="00CE3999" w:rsidRPr="000C1DBC" w:rsidRDefault="00CE3999" w:rsidP="000C1DBC">
      <w:pPr>
        <w:pStyle w:val="ListParagraph"/>
        <w:numPr>
          <w:ilvl w:val="0"/>
          <w:numId w:val="1"/>
        </w:numPr>
        <w:ind w:left="0" w:firstLine="0"/>
        <w:rPr>
          <w:lang w:val="es-419"/>
        </w:rPr>
      </w:pPr>
      <w:r w:rsidRPr="000C1DBC">
        <w:rPr>
          <w:lang w:val="es-419"/>
        </w:rPr>
        <w:t>El TWM celebró su primera sesión, organizada por medios electrónicos, del 19 al 23 de septiembre de</w:t>
      </w:r>
      <w:r w:rsidR="00850989" w:rsidRPr="000C1DBC">
        <w:rPr>
          <w:lang w:val="es-419"/>
        </w:rPr>
        <w:t> </w:t>
      </w:r>
      <w:r w:rsidRPr="000C1DBC">
        <w:rPr>
          <w:lang w:val="es-419"/>
        </w:rPr>
        <w:t xml:space="preserve">2022, bajo la presidencia de la Sra. </w:t>
      </w:r>
      <w:proofErr w:type="spellStart"/>
      <w:r w:rsidRPr="000C1DBC">
        <w:rPr>
          <w:lang w:val="es-419"/>
        </w:rPr>
        <w:t>Beate</w:t>
      </w:r>
      <w:proofErr w:type="spellEnd"/>
      <w:r w:rsidRPr="000C1DBC">
        <w:rPr>
          <w:lang w:val="es-419"/>
        </w:rPr>
        <w:t xml:space="preserve"> </w:t>
      </w:r>
      <w:proofErr w:type="spellStart"/>
      <w:r w:rsidRPr="000C1DBC">
        <w:rPr>
          <w:lang w:val="es-419"/>
        </w:rPr>
        <w:t>Rücker</w:t>
      </w:r>
      <w:proofErr w:type="spellEnd"/>
      <w:r w:rsidRPr="000C1DBC">
        <w:rPr>
          <w:lang w:val="es-419"/>
        </w:rPr>
        <w:t xml:space="preserve"> (Alemania).</w:t>
      </w:r>
      <w:r w:rsidR="00850989" w:rsidRPr="000C1DBC">
        <w:rPr>
          <w:lang w:val="es-419"/>
        </w:rPr>
        <w:t xml:space="preserve"> </w:t>
      </w:r>
      <w:r w:rsidRPr="000C1DBC">
        <w:rPr>
          <w:lang w:val="es-419"/>
        </w:rPr>
        <w:t>El informe de la sesión se facilita en el documento TWM/1/26 “</w:t>
      </w:r>
      <w:proofErr w:type="spellStart"/>
      <w:r w:rsidRPr="000C1DBC">
        <w:rPr>
          <w:i/>
          <w:iCs/>
          <w:lang w:val="es-419"/>
        </w:rPr>
        <w:t>Report</w:t>
      </w:r>
      <w:proofErr w:type="spellEnd"/>
      <w:r w:rsidRPr="000C1DBC">
        <w:rPr>
          <w:lang w:val="es-419"/>
        </w:rPr>
        <w:t>” (Informe).</w:t>
      </w:r>
    </w:p>
    <w:p w14:paraId="0B1D217F" w14:textId="77777777" w:rsidR="00CE3999" w:rsidRPr="00365EFF" w:rsidRDefault="00CE3999" w:rsidP="00CE3999">
      <w:pPr>
        <w:rPr>
          <w:lang w:val="es-419"/>
        </w:rPr>
      </w:pPr>
    </w:p>
    <w:p w14:paraId="779AB829" w14:textId="7470542F" w:rsidR="00CE3999" w:rsidRPr="00365EFF" w:rsidRDefault="00CE3999" w:rsidP="000C1DBC">
      <w:pPr>
        <w:pStyle w:val="ListParagraph"/>
        <w:numPr>
          <w:ilvl w:val="0"/>
          <w:numId w:val="1"/>
        </w:numPr>
        <w:ind w:left="0" w:firstLine="0"/>
        <w:rPr>
          <w:lang w:val="es-419"/>
        </w:rPr>
      </w:pPr>
      <w:r w:rsidRPr="00365EFF">
        <w:rPr>
          <w:lang w:val="es-419"/>
        </w:rPr>
        <w:fldChar w:fldCharType="begin"/>
      </w:r>
      <w:r w:rsidRPr="00365EFF">
        <w:rPr>
          <w:lang w:val="es-419"/>
        </w:rPr>
        <w:instrText xml:space="preserve"> 2. </w:instrText>
      </w:r>
      <w:r w:rsidRPr="00365EFF">
        <w:rPr>
          <w:lang w:val="es-419"/>
        </w:rPr>
        <w:fldChar w:fldCharType="end"/>
      </w:r>
      <w:r w:rsidRPr="00365EFF">
        <w:rPr>
          <w:lang w:val="es-419"/>
        </w:rPr>
        <w:t>Asistieron a la sesión 116 participantes procedentes de 28 miembros de la Unión, dos Estados en calidad de observadores y ocho organizaciones en calidad de observadoras.</w:t>
      </w:r>
    </w:p>
    <w:p w14:paraId="0597F17D" w14:textId="77777777" w:rsidR="00CE3999" w:rsidRPr="00365EFF" w:rsidRDefault="00CE3999" w:rsidP="00CE3999">
      <w:pPr>
        <w:rPr>
          <w:lang w:val="es-419"/>
        </w:rPr>
      </w:pPr>
    </w:p>
    <w:p w14:paraId="3117EDCD" w14:textId="3E186619" w:rsidR="00CE3999" w:rsidRPr="00365EFF" w:rsidRDefault="00CE3999" w:rsidP="00CE3999">
      <w:pPr>
        <w:spacing w:after="60"/>
        <w:rPr>
          <w:lang w:val="es-419"/>
        </w:rPr>
      </w:pPr>
      <w:r w:rsidRPr="00365EFF">
        <w:rPr>
          <w:rFonts w:cs="Arial"/>
          <w:lang w:val="es-419"/>
        </w:rPr>
        <w:fldChar w:fldCharType="begin"/>
      </w:r>
      <w:r w:rsidRPr="00365EFF">
        <w:rPr>
          <w:rFonts w:cs="Arial"/>
          <w:lang w:val="es-419"/>
        </w:rPr>
        <w:instrText xml:space="preserve"> AUTONUM  </w:instrText>
      </w:r>
      <w:r w:rsidRPr="00365EFF">
        <w:rPr>
          <w:rFonts w:cs="Arial"/>
          <w:lang w:val="es-419"/>
        </w:rPr>
        <w:fldChar w:fldCharType="end"/>
      </w:r>
      <w:r w:rsidRPr="00365EFF">
        <w:rPr>
          <w:lang w:val="es-419"/>
        </w:rPr>
        <w:tab/>
        <w:t>El TWM examinó el documento TWM/1/8 “</w:t>
      </w:r>
      <w:proofErr w:type="spellStart"/>
      <w:r w:rsidRPr="00365EFF">
        <w:rPr>
          <w:i/>
          <w:iCs/>
          <w:lang w:val="es-419"/>
        </w:rPr>
        <w:t>Developments</w:t>
      </w:r>
      <w:proofErr w:type="spellEnd"/>
      <w:r w:rsidRPr="00365EFF">
        <w:rPr>
          <w:i/>
          <w:iCs/>
          <w:lang w:val="es-419"/>
        </w:rPr>
        <w:t xml:space="preserve"> </w:t>
      </w:r>
      <w:proofErr w:type="spellStart"/>
      <w:r w:rsidRPr="00365EFF">
        <w:rPr>
          <w:i/>
          <w:iCs/>
          <w:lang w:val="es-419"/>
        </w:rPr>
        <w:t>on</w:t>
      </w:r>
      <w:proofErr w:type="spellEnd"/>
      <w:r w:rsidRPr="00365EFF">
        <w:rPr>
          <w:i/>
          <w:iCs/>
          <w:lang w:val="es-419"/>
        </w:rPr>
        <w:t xml:space="preserve"> </w:t>
      </w:r>
      <w:proofErr w:type="spellStart"/>
      <w:r w:rsidRPr="00365EFF">
        <w:rPr>
          <w:i/>
          <w:iCs/>
          <w:lang w:val="es-419"/>
        </w:rPr>
        <w:t>the</w:t>
      </w:r>
      <w:proofErr w:type="spellEnd"/>
      <w:r w:rsidRPr="00365EFF">
        <w:rPr>
          <w:i/>
          <w:iCs/>
          <w:lang w:val="es-419"/>
        </w:rPr>
        <w:t xml:space="preserve"> </w:t>
      </w:r>
      <w:proofErr w:type="spellStart"/>
      <w:r w:rsidRPr="00365EFF">
        <w:rPr>
          <w:i/>
          <w:iCs/>
          <w:lang w:val="es-419"/>
        </w:rPr>
        <w:t>improved</w:t>
      </w:r>
      <w:proofErr w:type="spellEnd"/>
      <w:r w:rsidRPr="00365EFF">
        <w:rPr>
          <w:i/>
          <w:iCs/>
          <w:lang w:val="es-419"/>
        </w:rPr>
        <w:t xml:space="preserve"> COYU </w:t>
      </w:r>
      <w:proofErr w:type="spellStart"/>
      <w:r w:rsidRPr="00365EFF">
        <w:rPr>
          <w:i/>
          <w:iCs/>
          <w:lang w:val="es-419"/>
        </w:rPr>
        <w:t>method</w:t>
      </w:r>
      <w:proofErr w:type="spellEnd"/>
      <w:r w:rsidRPr="00365EFF">
        <w:rPr>
          <w:i/>
          <w:iCs/>
          <w:lang w:val="es-419"/>
        </w:rPr>
        <w:t xml:space="preserve"> (</w:t>
      </w:r>
      <w:proofErr w:type="spellStart"/>
      <w:r w:rsidRPr="00365EFF">
        <w:rPr>
          <w:i/>
          <w:iCs/>
          <w:lang w:val="es-419"/>
        </w:rPr>
        <w:t>splines</w:t>
      </w:r>
      <w:proofErr w:type="spellEnd"/>
      <w:r w:rsidRPr="00365EFF">
        <w:rPr>
          <w:i/>
          <w:iCs/>
          <w:lang w:val="es-419"/>
        </w:rPr>
        <w:t>)</w:t>
      </w:r>
      <w:r w:rsidRPr="00365EFF">
        <w:rPr>
          <w:lang w:val="es-419"/>
        </w:rPr>
        <w:t>” (Novedades sobre el método COYU mejorado (</w:t>
      </w:r>
      <w:proofErr w:type="spellStart"/>
      <w:r w:rsidRPr="00365EFF">
        <w:rPr>
          <w:i/>
          <w:iCs/>
          <w:lang w:val="es-419"/>
        </w:rPr>
        <w:t>splines</w:t>
      </w:r>
      <w:proofErr w:type="spellEnd"/>
      <w:r w:rsidRPr="00365EFF">
        <w:rPr>
          <w:lang w:val="es-419"/>
        </w:rPr>
        <w:t>)) y escuchó una ponencia a cargo del Sr. </w:t>
      </w:r>
      <w:proofErr w:type="spellStart"/>
      <w:r w:rsidRPr="00365EFF">
        <w:rPr>
          <w:lang w:val="es-419"/>
        </w:rPr>
        <w:t>Adrian</w:t>
      </w:r>
      <w:proofErr w:type="spellEnd"/>
      <w:r w:rsidRPr="00365EFF">
        <w:rPr>
          <w:lang w:val="es-419"/>
        </w:rPr>
        <w:t xml:space="preserve"> Roberts y la Sra. </w:t>
      </w:r>
      <w:proofErr w:type="spellStart"/>
      <w:r w:rsidRPr="00365EFF">
        <w:rPr>
          <w:lang w:val="es-419"/>
        </w:rPr>
        <w:t>Haidee</w:t>
      </w:r>
      <w:proofErr w:type="spellEnd"/>
      <w:r w:rsidRPr="00365EFF">
        <w:rPr>
          <w:lang w:val="es-419"/>
        </w:rPr>
        <w:t xml:space="preserve"> </w:t>
      </w:r>
      <w:proofErr w:type="spellStart"/>
      <w:r w:rsidRPr="00365EFF">
        <w:rPr>
          <w:lang w:val="es-419"/>
        </w:rPr>
        <w:t>Philpott</w:t>
      </w:r>
      <w:proofErr w:type="spellEnd"/>
      <w:r w:rsidRPr="00365EFF">
        <w:rPr>
          <w:lang w:val="es-419"/>
        </w:rPr>
        <w:t xml:space="preserve"> (Reino Unido). El TWM tomó nota de que se presentará al TC, en su quincuagésima octava sesión, un informe de los resultados de la campaña de pruebas del programa informático para el COYU con </w:t>
      </w:r>
      <w:proofErr w:type="spellStart"/>
      <w:r w:rsidRPr="00365EFF">
        <w:rPr>
          <w:i/>
          <w:iCs/>
          <w:lang w:val="es-419"/>
        </w:rPr>
        <w:t>splines</w:t>
      </w:r>
      <w:proofErr w:type="spellEnd"/>
      <w:r w:rsidRPr="00365EFF">
        <w:rPr>
          <w:lang w:val="es-419"/>
        </w:rPr>
        <w:t>, a fin de que este Comité lo examine en coincidencia con la revisión del documento TGP/8.</w:t>
      </w:r>
    </w:p>
    <w:p w14:paraId="7E0A9D72" w14:textId="77777777" w:rsidR="00CE3999" w:rsidRPr="00365EFF" w:rsidRDefault="00CE3999" w:rsidP="00CE3999">
      <w:pPr>
        <w:autoSpaceDE w:val="0"/>
        <w:autoSpaceDN w:val="0"/>
        <w:adjustRightInd w:val="0"/>
        <w:rPr>
          <w:lang w:val="es-419"/>
        </w:rPr>
      </w:pPr>
    </w:p>
    <w:p w14:paraId="784725A8" w14:textId="77777777" w:rsidR="00CE3999" w:rsidRPr="00365EFF" w:rsidRDefault="00CE3999" w:rsidP="00CE3999">
      <w:pPr>
        <w:autoSpaceDE w:val="0"/>
        <w:autoSpaceDN w:val="0"/>
        <w:adjustRightInd w:val="0"/>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 xml:space="preserve">El TWM tomó nota de que la nueva versión del DUSTNT que incorpora el COYU con </w:t>
      </w:r>
      <w:proofErr w:type="spellStart"/>
      <w:r w:rsidRPr="00365EFF">
        <w:rPr>
          <w:i/>
          <w:iCs/>
          <w:lang w:val="es-419"/>
        </w:rPr>
        <w:t>splines</w:t>
      </w:r>
      <w:proofErr w:type="spellEnd"/>
      <w:r w:rsidRPr="00365EFF">
        <w:rPr>
          <w:lang w:val="es-419"/>
        </w:rPr>
        <w:t xml:space="preserve"> (DUST9NT) se pondrá en funcionamiento a más tardar en septiembre de 2023, una vez que se hayan incorporado las mejoras detectadas a partir de la campaña de pruebas, incluida la extrapolación. El experto tomó nota de que se necesitarán nuevas revisiones del documento TGP/8 para incorporar orientaciones sobre la extrapolación y los requisitos mínimos relativos a los datos.</w:t>
      </w:r>
    </w:p>
    <w:p w14:paraId="5C7C98FD" w14:textId="77777777" w:rsidR="00CE3999" w:rsidRPr="00365EFF" w:rsidRDefault="00CE3999" w:rsidP="00CE3999">
      <w:pPr>
        <w:autoSpaceDE w:val="0"/>
        <w:autoSpaceDN w:val="0"/>
        <w:adjustRightInd w:val="0"/>
        <w:rPr>
          <w:lang w:val="es-419"/>
        </w:rPr>
      </w:pPr>
    </w:p>
    <w:p w14:paraId="3305FE99" w14:textId="77777777" w:rsidR="00CE3999" w:rsidRPr="00365EFF" w:rsidRDefault="00CE3999" w:rsidP="00CE3999">
      <w:pPr>
        <w:autoSpaceDE w:val="0"/>
        <w:autoSpaceDN w:val="0"/>
        <w:adjustRightInd w:val="0"/>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examinó el documento TWM/1/7 “</w:t>
      </w:r>
      <w:proofErr w:type="spellStart"/>
      <w:r w:rsidRPr="00365EFF">
        <w:rPr>
          <w:i/>
          <w:iCs/>
          <w:lang w:val="es-419"/>
        </w:rPr>
        <w:t>Combined</w:t>
      </w:r>
      <w:proofErr w:type="spellEnd"/>
      <w:r w:rsidRPr="00365EFF">
        <w:rPr>
          <w:i/>
          <w:iCs/>
          <w:lang w:val="es-419"/>
        </w:rPr>
        <w:t xml:space="preserve"> </w:t>
      </w:r>
      <w:proofErr w:type="spellStart"/>
      <w:r w:rsidRPr="00365EFF">
        <w:rPr>
          <w:i/>
          <w:iCs/>
          <w:lang w:val="es-419"/>
        </w:rPr>
        <w:t>Over</w:t>
      </w:r>
      <w:proofErr w:type="spellEnd"/>
      <w:r w:rsidRPr="00365EFF">
        <w:rPr>
          <w:i/>
          <w:iCs/>
          <w:lang w:val="es-419"/>
        </w:rPr>
        <w:t xml:space="preserve"> </w:t>
      </w:r>
      <w:proofErr w:type="spellStart"/>
      <w:r w:rsidRPr="00365EFF">
        <w:rPr>
          <w:i/>
          <w:iCs/>
          <w:lang w:val="es-419"/>
        </w:rPr>
        <w:t>Years</w:t>
      </w:r>
      <w:proofErr w:type="spellEnd"/>
      <w:r w:rsidRPr="00365EFF">
        <w:rPr>
          <w:i/>
          <w:iCs/>
          <w:lang w:val="es-419"/>
        </w:rPr>
        <w:t xml:space="preserve"> </w:t>
      </w:r>
      <w:proofErr w:type="spellStart"/>
      <w:r w:rsidRPr="00365EFF">
        <w:rPr>
          <w:i/>
          <w:iCs/>
          <w:lang w:val="es-419"/>
        </w:rPr>
        <w:t>Uniformity</w:t>
      </w:r>
      <w:proofErr w:type="spellEnd"/>
      <w:r w:rsidRPr="00365EFF">
        <w:rPr>
          <w:i/>
          <w:iCs/>
          <w:lang w:val="es-419"/>
        </w:rPr>
        <w:t xml:space="preserve"> (COYU) </w:t>
      </w:r>
      <w:proofErr w:type="spellStart"/>
      <w:r w:rsidRPr="00365EFF">
        <w:rPr>
          <w:i/>
          <w:iCs/>
          <w:lang w:val="es-419"/>
        </w:rPr>
        <w:t>Criterion</w:t>
      </w:r>
      <w:proofErr w:type="spellEnd"/>
      <w:r w:rsidRPr="00365EFF">
        <w:rPr>
          <w:i/>
          <w:iCs/>
          <w:lang w:val="es-419"/>
        </w:rPr>
        <w:t xml:space="preserve">: </w:t>
      </w:r>
      <w:proofErr w:type="spellStart"/>
      <w:r w:rsidRPr="00365EFF">
        <w:rPr>
          <w:i/>
          <w:iCs/>
          <w:lang w:val="es-419"/>
        </w:rPr>
        <w:t>Extrapolation</w:t>
      </w:r>
      <w:proofErr w:type="spellEnd"/>
      <w:r w:rsidRPr="00365EFF">
        <w:rPr>
          <w:lang w:val="es-419"/>
        </w:rPr>
        <w:t>” (Criterio combinado interanual de homogeneidad (COYU): extrapolación) y escuchó una ponencia a cargo del Sr. </w:t>
      </w:r>
      <w:proofErr w:type="spellStart"/>
      <w:r w:rsidRPr="00365EFF">
        <w:rPr>
          <w:lang w:val="es-419"/>
        </w:rPr>
        <w:t>Adrian</w:t>
      </w:r>
      <w:proofErr w:type="spellEnd"/>
      <w:r w:rsidRPr="00365EFF">
        <w:rPr>
          <w:lang w:val="es-419"/>
        </w:rPr>
        <w:t xml:space="preserve"> Roberts (Reino Unido). El TWM tomó nota de que se recomienda que los expertos en cultivos examinen con especial atención la homogeneidad cuando exista extrapolación. El TWM convino en que será necesario seguir manteniendo debates sobre los posibles enfoques cuando el método indique que existe extrapolación y convino en invitar al Reino Unido y a otros miembros a presentar un informe en la segunda sesión del TWM.</w:t>
      </w:r>
    </w:p>
    <w:p w14:paraId="08050183" w14:textId="77777777" w:rsidR="00CE3999" w:rsidRPr="00365EFF" w:rsidRDefault="00CE3999" w:rsidP="00CE3999">
      <w:pPr>
        <w:autoSpaceDE w:val="0"/>
        <w:autoSpaceDN w:val="0"/>
        <w:adjustRightInd w:val="0"/>
        <w:rPr>
          <w:lang w:val="es-419"/>
        </w:rPr>
      </w:pPr>
    </w:p>
    <w:p w14:paraId="4317AE78" w14:textId="61032BA8" w:rsidR="00CE3999" w:rsidRPr="00365EFF" w:rsidRDefault="00CE3999" w:rsidP="00CE3999">
      <w:pPr>
        <w:autoSpaceDE w:val="0"/>
        <w:autoSpaceDN w:val="0"/>
        <w:adjustRightInd w:val="0"/>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examinó el documento TWP/6/5. El TWM tomó nota de que no se ha recibido información de</w:t>
      </w:r>
      <w:r w:rsidR="00C07886" w:rsidRPr="00365EFF">
        <w:rPr>
          <w:lang w:val="es-419"/>
        </w:rPr>
        <w:t> </w:t>
      </w:r>
      <w:r w:rsidRPr="00365EFF">
        <w:rPr>
          <w:lang w:val="es-419"/>
        </w:rPr>
        <w:t>China, Francia, Polonia, la República Checa y Uzbekistán para actualizar el documento UPOV/INF/16. El</w:t>
      </w:r>
      <w:r w:rsidR="00C07886" w:rsidRPr="00365EFF">
        <w:rPr>
          <w:lang w:val="es-419"/>
        </w:rPr>
        <w:t> </w:t>
      </w:r>
      <w:r w:rsidRPr="00365EFF">
        <w:rPr>
          <w:lang w:val="es-419"/>
        </w:rPr>
        <w:t xml:space="preserve">TWM convino </w:t>
      </w:r>
      <w:r w:rsidR="00C07886" w:rsidRPr="00365EFF">
        <w:rPr>
          <w:lang w:val="es-419"/>
        </w:rPr>
        <w:t>en</w:t>
      </w:r>
      <w:r w:rsidRPr="00365EFF">
        <w:rPr>
          <w:lang w:val="es-419"/>
        </w:rPr>
        <w:t xml:space="preserve"> que se requerirán aclaraciones sobre el programa informático propuesto por Uzbekistán, incluida su disponibilidad para el intercambio. </w:t>
      </w:r>
    </w:p>
    <w:p w14:paraId="7E8D0E0D" w14:textId="77777777" w:rsidR="00CE3999" w:rsidRPr="00365EFF" w:rsidRDefault="00CE3999" w:rsidP="00CE3999">
      <w:pPr>
        <w:autoSpaceDE w:val="0"/>
        <w:autoSpaceDN w:val="0"/>
        <w:adjustRightInd w:val="0"/>
        <w:rPr>
          <w:lang w:val="es-419"/>
        </w:rPr>
      </w:pPr>
    </w:p>
    <w:p w14:paraId="04610E79" w14:textId="77777777" w:rsidR="00CE3999" w:rsidRPr="00365EFF" w:rsidRDefault="00CE3999" w:rsidP="00CE3999">
      <w:pPr>
        <w:autoSpaceDE w:val="0"/>
        <w:autoSpaceDN w:val="0"/>
        <w:adjustRightInd w:val="0"/>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asistió a una ponencia a cargo del Sr. </w:t>
      </w:r>
      <w:proofErr w:type="spellStart"/>
      <w:r w:rsidRPr="00365EFF">
        <w:rPr>
          <w:lang w:val="es-419"/>
        </w:rPr>
        <w:t>Kun</w:t>
      </w:r>
      <w:proofErr w:type="spellEnd"/>
      <w:r w:rsidRPr="00365EFF">
        <w:rPr>
          <w:lang w:val="es-419"/>
        </w:rPr>
        <w:t xml:space="preserve"> Yang (China) sobre el “Desarrollo de programas informáticos para análisis estadístico: DUSCEL y DUSBIGDATA” (documento TWM/1/10). El TWM tomó nota de la extensa labor realizada y la ampliación del programa informático para incluir funcionalidades adicionales. El TWM convino en invitar a China a informar sobre las novedades en la segunda sesión del TWM.</w:t>
      </w:r>
    </w:p>
    <w:p w14:paraId="1A74F447" w14:textId="77777777" w:rsidR="00CE3999" w:rsidRPr="00365EFF" w:rsidRDefault="00CE3999" w:rsidP="00CE3999">
      <w:pPr>
        <w:autoSpaceDE w:val="0"/>
        <w:autoSpaceDN w:val="0"/>
        <w:adjustRightInd w:val="0"/>
        <w:rPr>
          <w:lang w:val="es-419"/>
        </w:rPr>
      </w:pPr>
    </w:p>
    <w:p w14:paraId="13CC03BD" w14:textId="11D44907" w:rsidR="00CE3999" w:rsidRPr="00365EFF" w:rsidRDefault="00CE3999" w:rsidP="00CE3999">
      <w:pPr>
        <w:autoSpaceDE w:val="0"/>
        <w:autoSpaceDN w:val="0"/>
        <w:adjustRightInd w:val="0"/>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asistió a una ponencia a cargo del Sr. </w:t>
      </w:r>
      <w:proofErr w:type="spellStart"/>
      <w:r w:rsidRPr="00365EFF">
        <w:rPr>
          <w:lang w:val="es-419"/>
        </w:rPr>
        <w:t>Thibaud</w:t>
      </w:r>
      <w:proofErr w:type="spellEnd"/>
      <w:r w:rsidRPr="00365EFF">
        <w:rPr>
          <w:lang w:val="es-419"/>
        </w:rPr>
        <w:t xml:space="preserve"> </w:t>
      </w:r>
      <w:proofErr w:type="spellStart"/>
      <w:r w:rsidRPr="00365EFF">
        <w:rPr>
          <w:lang w:val="es-419"/>
        </w:rPr>
        <w:t>Quémar</w:t>
      </w:r>
      <w:proofErr w:type="spellEnd"/>
      <w:r w:rsidRPr="00365EFF">
        <w:rPr>
          <w:lang w:val="es-419"/>
        </w:rPr>
        <w:t xml:space="preserve"> (Francia) sobre la “aplicación PATHOSTAT” (documento TWM/1/11). El TWM tomó nota de que PATHOSTAT es una aplicación en Internet puesta a disposición para que la utilicen los miembros de la Unión. El TWM tomó nota de las condiciones </w:t>
      </w:r>
      <w:r w:rsidR="00C07886" w:rsidRPr="00365EFF">
        <w:rPr>
          <w:lang w:val="es-419"/>
        </w:rPr>
        <w:t>en que PATHOSTAT se pone</w:t>
      </w:r>
      <w:r w:rsidRPr="00365EFF">
        <w:rPr>
          <w:lang w:val="es-419"/>
        </w:rPr>
        <w:t xml:space="preserve"> a disposición, como un servicio en Internet y no como un programa informático que pueda descargarse. El TWM recomendó al TC que, en su quincuagésima octava sesión, proponga incluir la aplicación PATHOSTAT en el documento UPOV/INF/16.</w:t>
      </w:r>
    </w:p>
    <w:p w14:paraId="14B82921" w14:textId="77777777" w:rsidR="00CE3999" w:rsidRPr="00365EFF" w:rsidRDefault="00CE3999" w:rsidP="00CE3999">
      <w:pPr>
        <w:autoSpaceDE w:val="0"/>
        <w:autoSpaceDN w:val="0"/>
        <w:adjustRightInd w:val="0"/>
        <w:rPr>
          <w:lang w:val="es-419"/>
        </w:rPr>
      </w:pPr>
    </w:p>
    <w:p w14:paraId="780E84B1" w14:textId="4BE48E1E" w:rsidR="00CE3999" w:rsidRPr="00365EFF" w:rsidRDefault="00CE3999" w:rsidP="00CE3999">
      <w:pPr>
        <w:autoSpaceDE w:val="0"/>
        <w:autoSpaceDN w:val="0"/>
        <w:adjustRightInd w:val="0"/>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 xml:space="preserve">El TWM escuchó ponencias sobre </w:t>
      </w:r>
      <w:proofErr w:type="spellStart"/>
      <w:r w:rsidRPr="00365EFF">
        <w:rPr>
          <w:lang w:val="es-419"/>
        </w:rPr>
        <w:t>fenotipado</w:t>
      </w:r>
      <w:proofErr w:type="spellEnd"/>
      <w:r w:rsidRPr="00365EFF">
        <w:rPr>
          <w:lang w:val="es-419"/>
        </w:rPr>
        <w:t xml:space="preserve"> y análisis de imágenes, a cargo de expertos de China, el</w:t>
      </w:r>
      <w:r w:rsidR="006D5240" w:rsidRPr="00365EFF">
        <w:rPr>
          <w:lang w:val="es-419"/>
        </w:rPr>
        <w:t> </w:t>
      </w:r>
      <w:r w:rsidRPr="00365EFF">
        <w:rPr>
          <w:lang w:val="es-419"/>
        </w:rPr>
        <w:t xml:space="preserve">Reino Unido, la República de Corea y la Universidad </w:t>
      </w:r>
      <w:proofErr w:type="spellStart"/>
      <w:r w:rsidRPr="00365EFF">
        <w:rPr>
          <w:lang w:val="es-419"/>
        </w:rPr>
        <w:t>Maynooth</w:t>
      </w:r>
      <w:proofErr w:type="spellEnd"/>
      <w:r w:rsidRPr="00365EFF">
        <w:rPr>
          <w:lang w:val="es-419"/>
        </w:rPr>
        <w:t xml:space="preserve"> (Irlanda). El TWM convino en invitar a que, en su segunda sesión, se presenten las novedades que se hayan producido acerca de la determinación del color mediante </w:t>
      </w:r>
      <w:proofErr w:type="spellStart"/>
      <w:r w:rsidRPr="00365EFF">
        <w:rPr>
          <w:lang w:val="es-419"/>
        </w:rPr>
        <w:t>fenotipado</w:t>
      </w:r>
      <w:proofErr w:type="spellEnd"/>
      <w:r w:rsidRPr="00365EFF">
        <w:rPr>
          <w:lang w:val="es-419"/>
        </w:rPr>
        <w:t xml:space="preserve"> y análisis de imágenes.</w:t>
      </w:r>
    </w:p>
    <w:p w14:paraId="600572DC" w14:textId="77777777" w:rsidR="00CE3999" w:rsidRPr="00365EFF" w:rsidRDefault="00CE3999" w:rsidP="00CE3999">
      <w:pPr>
        <w:autoSpaceDE w:val="0"/>
        <w:autoSpaceDN w:val="0"/>
        <w:adjustRightInd w:val="0"/>
        <w:rPr>
          <w:lang w:val="es-419"/>
        </w:rPr>
      </w:pPr>
    </w:p>
    <w:p w14:paraId="4C1445CD" w14:textId="5704ED83" w:rsidR="00CE3999" w:rsidRPr="00365EFF" w:rsidRDefault="00CE3999" w:rsidP="00CE3999">
      <w:pPr>
        <w:autoSpaceDE w:val="0"/>
        <w:autoSpaceDN w:val="0"/>
        <w:adjustRightInd w:val="0"/>
        <w:jc w:val="left"/>
        <w:rPr>
          <w:rFonts w:eastAsia="CIDFont+F1" w:cs="Arial"/>
          <w:lang w:val="es-419"/>
        </w:rPr>
      </w:pPr>
      <w:r w:rsidRPr="00365EFF">
        <w:rPr>
          <w:rFonts w:eastAsia="CIDFont+F1" w:cs="Arial"/>
          <w:lang w:val="es-419"/>
        </w:rPr>
        <w:fldChar w:fldCharType="begin"/>
      </w:r>
      <w:r w:rsidRPr="00365EFF">
        <w:rPr>
          <w:rFonts w:eastAsia="CIDFont+F1" w:cs="Arial"/>
          <w:lang w:val="es-419"/>
        </w:rPr>
        <w:instrText xml:space="preserve"> AUTONUM  </w:instrText>
      </w:r>
      <w:r w:rsidRPr="00365EFF">
        <w:rPr>
          <w:rFonts w:eastAsia="CIDFont+F1" w:cs="Arial"/>
          <w:lang w:val="es-419"/>
        </w:rPr>
        <w:fldChar w:fldCharType="end"/>
      </w:r>
      <w:r w:rsidRPr="00365EFF">
        <w:rPr>
          <w:lang w:val="es-419"/>
        </w:rPr>
        <w:tab/>
        <w:t xml:space="preserve">El TWM </w:t>
      </w:r>
      <w:r w:rsidR="005B4C8C" w:rsidRPr="00365EFF">
        <w:rPr>
          <w:lang w:val="es-419"/>
        </w:rPr>
        <w:t>escuchó</w:t>
      </w:r>
      <w:r w:rsidRPr="00365EFF">
        <w:rPr>
          <w:lang w:val="es-419"/>
        </w:rPr>
        <w:t xml:space="preserve"> </w:t>
      </w:r>
      <w:r w:rsidR="006D5240" w:rsidRPr="00365EFF">
        <w:rPr>
          <w:lang w:val="es-419"/>
        </w:rPr>
        <w:t xml:space="preserve">las </w:t>
      </w:r>
      <w:r w:rsidRPr="00365EFF">
        <w:rPr>
          <w:lang w:val="es-419"/>
        </w:rPr>
        <w:t>ponencia</w:t>
      </w:r>
      <w:r w:rsidR="006D5240" w:rsidRPr="00365EFF">
        <w:rPr>
          <w:lang w:val="es-419"/>
        </w:rPr>
        <w:t>s</w:t>
      </w:r>
      <w:r w:rsidRPr="00365EFF">
        <w:rPr>
          <w:lang w:val="es-419"/>
        </w:rPr>
        <w:t xml:space="preserve"> a cargo de la Sra. Ana Laura Vicario (Asociación Internacional para el Ensayo de Semillas (ISTA)) “Informe de la ISTA sobre el uso de técnicas moleculares” (documento TWM/1/23)</w:t>
      </w:r>
      <w:r w:rsidR="00996276" w:rsidRPr="00365EFF">
        <w:rPr>
          <w:lang w:val="es-419"/>
        </w:rPr>
        <w:t xml:space="preserve"> </w:t>
      </w:r>
      <w:r w:rsidRPr="00365EFF">
        <w:rPr>
          <w:lang w:val="es-419"/>
        </w:rPr>
        <w:t xml:space="preserve">y del Sr. Christophe </w:t>
      </w:r>
      <w:proofErr w:type="spellStart"/>
      <w:r w:rsidRPr="00365EFF">
        <w:rPr>
          <w:lang w:val="es-419"/>
        </w:rPr>
        <w:t>Rouillard</w:t>
      </w:r>
      <w:proofErr w:type="spellEnd"/>
      <w:r w:rsidRPr="00365EFF">
        <w:rPr>
          <w:lang w:val="es-419"/>
        </w:rPr>
        <w:t xml:space="preserve"> (Organización de Cooperación y Desarrollo Económicos (OCDE)) “Últimas novedades en la aplicación de técnicas bioquímicas y moleculares en el marco de los Sistemas de semillas de la OCDE” (documento TWM/1/24). El TWM tomó nota de que </w:t>
      </w:r>
      <w:r w:rsidRPr="00365EFF">
        <w:rPr>
          <w:lang w:val="es-419"/>
        </w:rPr>
        <w:lastRenderedPageBreak/>
        <w:t>la</w:t>
      </w:r>
      <w:r w:rsidR="00996276" w:rsidRPr="00365EFF">
        <w:rPr>
          <w:lang w:val="es-419"/>
        </w:rPr>
        <w:t> </w:t>
      </w:r>
      <w:r w:rsidRPr="00365EFF">
        <w:rPr>
          <w:lang w:val="es-419"/>
        </w:rPr>
        <w:t>OCDE ha creado el Grupo Asesor sobre Técnicas Bioquímicas y Moleculares para que se ocupe de todas las cuestiones relacionadas con dichas técnicas en el marco de los sistemas de semillas, en particular las relativas a la cooperación con otras organizaciones internacionales.</w:t>
      </w:r>
    </w:p>
    <w:p w14:paraId="40C6A82F" w14:textId="77777777" w:rsidR="00CE3999" w:rsidRPr="00365EFF" w:rsidRDefault="00CE3999" w:rsidP="00CE3999">
      <w:pPr>
        <w:autoSpaceDE w:val="0"/>
        <w:autoSpaceDN w:val="0"/>
        <w:adjustRightInd w:val="0"/>
        <w:jc w:val="left"/>
        <w:rPr>
          <w:rFonts w:eastAsia="CIDFont+F1" w:cs="Arial"/>
          <w:lang w:val="es-419"/>
        </w:rPr>
      </w:pPr>
    </w:p>
    <w:p w14:paraId="202EDD55" w14:textId="77777777" w:rsidR="00CE3999" w:rsidRPr="00365EFF" w:rsidRDefault="00CE3999" w:rsidP="00CE3999">
      <w:pPr>
        <w:keepNext/>
        <w:autoSpaceDE w:val="0"/>
        <w:autoSpaceDN w:val="0"/>
        <w:adjustRightInd w:val="0"/>
        <w:jc w:val="left"/>
        <w:rPr>
          <w:rFonts w:eastAsia="CIDFont+F1" w:cs="Arial"/>
          <w:lang w:val="es-419"/>
        </w:rPr>
      </w:pPr>
      <w:r w:rsidRPr="00365EFF">
        <w:rPr>
          <w:rFonts w:eastAsia="CIDFont+F1" w:cs="Arial"/>
          <w:lang w:val="es-419"/>
        </w:rPr>
        <w:fldChar w:fldCharType="begin"/>
      </w:r>
      <w:r w:rsidRPr="00365EFF">
        <w:rPr>
          <w:rFonts w:eastAsia="CIDFont+F1" w:cs="Arial"/>
          <w:lang w:val="es-419"/>
        </w:rPr>
        <w:instrText xml:space="preserve"> AUTONUM  </w:instrText>
      </w:r>
      <w:r w:rsidRPr="00365EFF">
        <w:rPr>
          <w:rFonts w:eastAsia="CIDFont+F1" w:cs="Arial"/>
          <w:lang w:val="es-419"/>
        </w:rPr>
        <w:fldChar w:fldCharType="end"/>
      </w:r>
      <w:r w:rsidRPr="00365EFF">
        <w:rPr>
          <w:lang w:val="es-419"/>
        </w:rPr>
        <w:tab/>
        <w:t>El TWM escuchó las siguientes ponencias:</w:t>
      </w:r>
    </w:p>
    <w:p w14:paraId="40EDB994" w14:textId="77777777" w:rsidR="00CE3999" w:rsidRPr="00365EFF" w:rsidRDefault="00CE3999" w:rsidP="00CE3999">
      <w:pPr>
        <w:keepNext/>
        <w:autoSpaceDE w:val="0"/>
        <w:autoSpaceDN w:val="0"/>
        <w:adjustRightInd w:val="0"/>
        <w:jc w:val="left"/>
        <w:rPr>
          <w:rFonts w:eastAsia="CIDFont+F1" w:cs="Arial"/>
          <w:lang w:val="es-419"/>
        </w:rPr>
      </w:pPr>
    </w:p>
    <w:p w14:paraId="7AF54957" w14:textId="7EA68A0C" w:rsidR="00CE3999" w:rsidRPr="00365EFF" w:rsidRDefault="00CE3999" w:rsidP="00CE3999">
      <w:pPr>
        <w:keepNext/>
        <w:autoSpaceDE w:val="0"/>
        <w:autoSpaceDN w:val="0"/>
        <w:adjustRightInd w:val="0"/>
        <w:ind w:left="993" w:hanging="284"/>
        <w:jc w:val="left"/>
        <w:rPr>
          <w:rFonts w:eastAsia="CIDFont+F1" w:cs="Arial"/>
          <w:lang w:val="es-419"/>
        </w:rPr>
      </w:pPr>
      <w:r w:rsidRPr="00365EFF">
        <w:rPr>
          <w:lang w:val="es-419"/>
        </w:rPr>
        <w:t>-</w:t>
      </w:r>
      <w:r w:rsidR="00CD6B54" w:rsidRPr="00365EFF">
        <w:rPr>
          <w:lang w:val="es-419"/>
        </w:rPr>
        <w:tab/>
      </w:r>
      <w:r w:rsidRPr="00365EFF">
        <w:rPr>
          <w:lang w:val="es-419"/>
        </w:rPr>
        <w:t>Informes sobre la labor en materia de técnicas moleculares en relación con el examen DHE</w:t>
      </w:r>
    </w:p>
    <w:p w14:paraId="2F0B81FF" w14:textId="7C100066" w:rsidR="00CE3999" w:rsidRPr="00365EFF" w:rsidRDefault="00CE3999" w:rsidP="00CE3999">
      <w:pPr>
        <w:autoSpaceDE w:val="0"/>
        <w:autoSpaceDN w:val="0"/>
        <w:adjustRightInd w:val="0"/>
        <w:ind w:left="993" w:hanging="284"/>
        <w:jc w:val="left"/>
        <w:rPr>
          <w:rFonts w:eastAsia="CIDFont+F1" w:cs="Arial"/>
          <w:lang w:val="es-419"/>
        </w:rPr>
      </w:pPr>
      <w:r w:rsidRPr="00365EFF">
        <w:rPr>
          <w:lang w:val="es-419"/>
        </w:rPr>
        <w:t>-</w:t>
      </w:r>
      <w:r w:rsidR="00CD6B54" w:rsidRPr="00365EFF">
        <w:rPr>
          <w:lang w:val="es-419"/>
        </w:rPr>
        <w:tab/>
      </w:r>
      <w:r w:rsidRPr="00365EFF">
        <w:rPr>
          <w:lang w:val="es-419"/>
        </w:rPr>
        <w:t>Métodos de análisis de datos moleculares, gestión de bases de datos e intercambio de datos y material</w:t>
      </w:r>
    </w:p>
    <w:p w14:paraId="6786E2FC" w14:textId="5F2AE1A7" w:rsidR="00CE3999" w:rsidRPr="00365EFF" w:rsidRDefault="00CE3999" w:rsidP="00CE3999">
      <w:pPr>
        <w:autoSpaceDE w:val="0"/>
        <w:autoSpaceDN w:val="0"/>
        <w:adjustRightInd w:val="0"/>
        <w:ind w:left="993" w:hanging="284"/>
        <w:jc w:val="left"/>
        <w:rPr>
          <w:rFonts w:eastAsia="CIDFont+F1" w:cs="Arial"/>
          <w:lang w:val="es-419"/>
        </w:rPr>
      </w:pPr>
      <w:r w:rsidRPr="00365EFF">
        <w:rPr>
          <w:lang w:val="es-419"/>
        </w:rPr>
        <w:t>-</w:t>
      </w:r>
      <w:r w:rsidR="00CD6B54" w:rsidRPr="00365EFF">
        <w:rPr>
          <w:lang w:val="es-419"/>
        </w:rPr>
        <w:tab/>
      </w:r>
      <w:r w:rsidRPr="00365EFF">
        <w:rPr>
          <w:lang w:val="es-419"/>
        </w:rPr>
        <w:t>Confidencialidad, titularidad y acceso a datos moleculares incluido un modelo de acuerdo</w:t>
      </w:r>
    </w:p>
    <w:p w14:paraId="3CBEC519" w14:textId="572C72EC" w:rsidR="00CE3999" w:rsidRPr="00365EFF" w:rsidRDefault="00CE3999" w:rsidP="00CE3999">
      <w:pPr>
        <w:autoSpaceDE w:val="0"/>
        <w:autoSpaceDN w:val="0"/>
        <w:adjustRightInd w:val="0"/>
        <w:ind w:left="993" w:hanging="284"/>
        <w:jc w:val="left"/>
        <w:rPr>
          <w:rFonts w:eastAsia="CIDFont+F1" w:cs="Arial"/>
          <w:lang w:val="es-419"/>
        </w:rPr>
      </w:pPr>
      <w:r w:rsidRPr="00365EFF">
        <w:rPr>
          <w:lang w:val="es-419"/>
        </w:rPr>
        <w:t>-</w:t>
      </w:r>
      <w:r w:rsidR="00CD6B54" w:rsidRPr="00365EFF">
        <w:rPr>
          <w:lang w:val="es-419"/>
        </w:rPr>
        <w:tab/>
      </w:r>
      <w:r w:rsidRPr="00365EFF">
        <w:rPr>
          <w:lang w:val="es-419"/>
        </w:rPr>
        <w:t>La utilización de técnicas moleculares en la identificación de variedades</w:t>
      </w:r>
    </w:p>
    <w:p w14:paraId="7D9C2AF7" w14:textId="76DA13CD" w:rsidR="00CE3999" w:rsidRPr="00365EFF" w:rsidRDefault="00CE3999" w:rsidP="00CE3999">
      <w:pPr>
        <w:autoSpaceDE w:val="0"/>
        <w:autoSpaceDN w:val="0"/>
        <w:adjustRightInd w:val="0"/>
        <w:ind w:left="993" w:hanging="284"/>
        <w:jc w:val="left"/>
        <w:rPr>
          <w:rFonts w:eastAsia="CIDFont+F1" w:cs="Arial"/>
          <w:lang w:val="es-419"/>
        </w:rPr>
      </w:pPr>
      <w:r w:rsidRPr="00365EFF">
        <w:rPr>
          <w:lang w:val="es-419"/>
        </w:rPr>
        <w:t>-</w:t>
      </w:r>
      <w:r w:rsidR="00CD6B54" w:rsidRPr="00365EFF">
        <w:rPr>
          <w:lang w:val="es-419"/>
        </w:rPr>
        <w:tab/>
      </w:r>
      <w:r w:rsidRPr="00365EFF">
        <w:rPr>
          <w:lang w:val="es-419"/>
        </w:rPr>
        <w:t>Uso de técnicas moleculares para hacer cumplir la normativa</w:t>
      </w:r>
    </w:p>
    <w:p w14:paraId="6B295298" w14:textId="77777777" w:rsidR="00CE3999" w:rsidRPr="00365EFF" w:rsidRDefault="00CE3999" w:rsidP="00CE3999">
      <w:pPr>
        <w:autoSpaceDE w:val="0"/>
        <w:autoSpaceDN w:val="0"/>
        <w:adjustRightInd w:val="0"/>
        <w:jc w:val="left"/>
        <w:rPr>
          <w:rFonts w:eastAsia="CIDFont+F1" w:cs="Arial"/>
          <w:lang w:val="es-419"/>
        </w:rPr>
      </w:pPr>
    </w:p>
    <w:p w14:paraId="2B527DA4" w14:textId="159D333B" w:rsidR="00CE3999" w:rsidRPr="00365EFF" w:rsidRDefault="00CE3999" w:rsidP="00CE3999">
      <w:pPr>
        <w:autoSpaceDE w:val="0"/>
        <w:autoSpaceDN w:val="0"/>
        <w:adjustRightInd w:val="0"/>
        <w:rPr>
          <w:rFonts w:eastAsia="CIDFont+F1" w:cs="Arial"/>
          <w:lang w:val="es-419"/>
        </w:rPr>
      </w:pPr>
      <w:r w:rsidRPr="00365EFF">
        <w:rPr>
          <w:rFonts w:eastAsia="CIDFont+F1" w:cs="Arial"/>
          <w:lang w:val="es-419"/>
        </w:rPr>
        <w:fldChar w:fldCharType="begin"/>
      </w:r>
      <w:r w:rsidRPr="00365EFF">
        <w:rPr>
          <w:rFonts w:eastAsia="CIDFont+F1" w:cs="Arial"/>
          <w:lang w:val="es-419"/>
        </w:rPr>
        <w:instrText xml:space="preserve"> AUTONUM  </w:instrText>
      </w:r>
      <w:r w:rsidRPr="00365EFF">
        <w:rPr>
          <w:rFonts w:eastAsia="CIDFont+F1" w:cs="Arial"/>
          <w:lang w:val="es-419"/>
        </w:rPr>
        <w:fldChar w:fldCharType="end"/>
      </w:r>
      <w:r w:rsidRPr="00365EFF">
        <w:rPr>
          <w:lang w:val="es-419"/>
        </w:rPr>
        <w:tab/>
        <w:t xml:space="preserve">El TWM asistió a una ponencia a cargo del Sr. Marcel </w:t>
      </w:r>
      <w:proofErr w:type="spellStart"/>
      <w:r w:rsidRPr="00365EFF">
        <w:rPr>
          <w:lang w:val="es-419"/>
        </w:rPr>
        <w:t>Bruins</w:t>
      </w:r>
      <w:proofErr w:type="spellEnd"/>
      <w:r w:rsidRPr="00365EFF">
        <w:rPr>
          <w:lang w:val="es-419"/>
        </w:rPr>
        <w:t xml:space="preserve"> (</w:t>
      </w:r>
      <w:proofErr w:type="spellStart"/>
      <w:r w:rsidRPr="00365EFF">
        <w:rPr>
          <w:i/>
          <w:iCs/>
          <w:lang w:val="es-419"/>
        </w:rPr>
        <w:t>CropLife</w:t>
      </w:r>
      <w:proofErr w:type="spellEnd"/>
      <w:r w:rsidRPr="00365EFF">
        <w:rPr>
          <w:i/>
          <w:iCs/>
          <w:lang w:val="es-419"/>
        </w:rPr>
        <w:t xml:space="preserve"> International</w:t>
      </w:r>
      <w:r w:rsidRPr="00365EFF">
        <w:rPr>
          <w:lang w:val="es-419"/>
        </w:rPr>
        <w:t xml:space="preserve">) sobre “Confidencialidad y titularidad de la información molecular” (documento TWM/1/22). El TWM tomó nota de la inquietud manifestada por las organizaciones de obtentores </w:t>
      </w:r>
      <w:r w:rsidR="00165AD1" w:rsidRPr="00365EFF">
        <w:rPr>
          <w:lang w:val="es-419"/>
        </w:rPr>
        <w:t xml:space="preserve">por la posibilidad de </w:t>
      </w:r>
      <w:r w:rsidRPr="00365EFF">
        <w:rPr>
          <w:lang w:val="es-419"/>
        </w:rPr>
        <w:t xml:space="preserve">que la información molecular facilitada para el examen de una variedad </w:t>
      </w:r>
      <w:r w:rsidR="00165AD1" w:rsidRPr="00365EFF">
        <w:rPr>
          <w:lang w:val="es-419"/>
        </w:rPr>
        <w:t>se</w:t>
      </w:r>
      <w:r w:rsidRPr="00365EFF">
        <w:rPr>
          <w:lang w:val="es-419"/>
        </w:rPr>
        <w:t xml:space="preserve"> proporcion</w:t>
      </w:r>
      <w:r w:rsidR="00165AD1" w:rsidRPr="00365EFF">
        <w:rPr>
          <w:lang w:val="es-419"/>
        </w:rPr>
        <w:t>e</w:t>
      </w:r>
      <w:r w:rsidRPr="00365EFF">
        <w:rPr>
          <w:lang w:val="es-419"/>
        </w:rPr>
        <w:t xml:space="preserve"> sin el permiso del obtentor a terceros ajenos a la autoridad que ha recibido la solicitud. Tomó nota asimismo de la preocupación por el hecho de que a los obtentores no se les explica ni informa suficientemente acerca del uso que se da a la información ni, sobre todo, de cómo se comparte.</w:t>
      </w:r>
    </w:p>
    <w:p w14:paraId="16AAD020" w14:textId="77777777" w:rsidR="00CE3999" w:rsidRPr="00365EFF" w:rsidRDefault="00CE3999" w:rsidP="00CE3999">
      <w:pPr>
        <w:autoSpaceDE w:val="0"/>
        <w:autoSpaceDN w:val="0"/>
        <w:adjustRightInd w:val="0"/>
        <w:rPr>
          <w:rFonts w:eastAsia="CIDFont+F1" w:cs="Arial"/>
          <w:lang w:val="es-419"/>
        </w:rPr>
      </w:pPr>
    </w:p>
    <w:p w14:paraId="31FF2368" w14:textId="3CCC4378" w:rsidR="00CE3999" w:rsidRPr="00365EFF" w:rsidRDefault="00CE3999" w:rsidP="00CE3999">
      <w:pPr>
        <w:autoSpaceDE w:val="0"/>
        <w:autoSpaceDN w:val="0"/>
        <w:adjustRightInd w:val="0"/>
        <w:rPr>
          <w:rFonts w:eastAsia="CIDFont+F1" w:cs="Arial"/>
          <w:lang w:val="es-419"/>
        </w:rPr>
      </w:pPr>
      <w:r w:rsidRPr="00365EFF">
        <w:rPr>
          <w:rFonts w:eastAsia="CIDFont+F1" w:cs="Arial"/>
          <w:lang w:val="es-419"/>
        </w:rPr>
        <w:fldChar w:fldCharType="begin"/>
      </w:r>
      <w:r w:rsidRPr="00365EFF">
        <w:rPr>
          <w:rFonts w:eastAsia="CIDFont+F1" w:cs="Arial"/>
          <w:lang w:val="es-419"/>
        </w:rPr>
        <w:instrText xml:space="preserve"> AUTONUM  </w:instrText>
      </w:r>
      <w:r w:rsidRPr="00365EFF">
        <w:rPr>
          <w:rFonts w:eastAsia="CIDFont+F1" w:cs="Arial"/>
          <w:lang w:val="es-419"/>
        </w:rPr>
        <w:fldChar w:fldCharType="end"/>
      </w:r>
      <w:r w:rsidRPr="00365EFF">
        <w:rPr>
          <w:lang w:val="es-419"/>
        </w:rPr>
        <w:tab/>
        <w:t>El TWM convino en que se precisan más aclaraciones sobre el tipo de información y la finalidad del uso de los datos que se han de facilitar (por ejemplo, las distancias moleculares entre variedades, las secuencias genéticas), para los cuales se requeriría un permiso antes de que las oficinas de protección de las obtenciones vegetales los compartan con otras oficinas. El TWM acordó invitar a los miembros y observadores a que, en su segunda sesión, informen acerca de las políticas vigentes sobre la confidencialidad de la información molecular.</w:t>
      </w:r>
      <w:r w:rsidR="00850989" w:rsidRPr="00365EFF">
        <w:rPr>
          <w:lang w:val="es-419"/>
        </w:rPr>
        <w:t xml:space="preserve"> </w:t>
      </w:r>
    </w:p>
    <w:p w14:paraId="23FE2712" w14:textId="77777777" w:rsidR="00CE3999" w:rsidRPr="00365EFF" w:rsidRDefault="00CE3999" w:rsidP="00CE3999">
      <w:pPr>
        <w:autoSpaceDE w:val="0"/>
        <w:autoSpaceDN w:val="0"/>
        <w:adjustRightInd w:val="0"/>
        <w:jc w:val="left"/>
        <w:rPr>
          <w:rFonts w:eastAsia="CIDFont+F1" w:cs="Arial"/>
          <w:lang w:val="es-419"/>
        </w:rPr>
      </w:pPr>
    </w:p>
    <w:p w14:paraId="682DB2A8" w14:textId="77777777" w:rsidR="00CE3999" w:rsidRPr="00365EFF" w:rsidRDefault="00CE3999" w:rsidP="00CE3999">
      <w:pPr>
        <w:autoSpaceDE w:val="0"/>
        <w:autoSpaceDN w:val="0"/>
        <w:adjustRightInd w:val="0"/>
        <w:rPr>
          <w:rFonts w:eastAsia="CIDFont+F1" w:cs="Arial"/>
          <w:lang w:val="es-419"/>
        </w:rPr>
      </w:pPr>
      <w:r w:rsidRPr="00365EFF">
        <w:rPr>
          <w:rFonts w:eastAsia="CIDFont+F1" w:cs="Arial"/>
          <w:lang w:val="es-419"/>
        </w:rPr>
        <w:fldChar w:fldCharType="begin"/>
      </w:r>
      <w:r w:rsidRPr="00365EFF">
        <w:rPr>
          <w:rFonts w:eastAsia="CIDFont+F1" w:cs="Arial"/>
          <w:lang w:val="es-419"/>
        </w:rPr>
        <w:instrText xml:space="preserve"> AUTONUM  </w:instrText>
      </w:r>
      <w:r w:rsidRPr="00365EFF">
        <w:rPr>
          <w:rFonts w:eastAsia="CIDFont+F1" w:cs="Arial"/>
          <w:lang w:val="es-419"/>
        </w:rPr>
        <w:fldChar w:fldCharType="end"/>
      </w:r>
      <w:r w:rsidRPr="00365EFF">
        <w:rPr>
          <w:lang w:val="es-419"/>
        </w:rPr>
        <w:tab/>
        <w:t>El TWM examinó el documento TWP/6/7. El TWM mantuvo una sesión debate en la que los asistentes tuvieron oportunidad de intercambiar información sobre su labor en materia de técnicas bioquímicas y moleculares y definir posibles ámbitos de cooperación. El TWM acordó que, en el futuro plan de trabajo de la sesión, se asigne tiempo suficiente para examinar los puntos del orden del día y convino en que no será necesario mantener un debate abierto.</w:t>
      </w:r>
    </w:p>
    <w:p w14:paraId="3C2BBE0F" w14:textId="77777777" w:rsidR="00CE3999" w:rsidRPr="00365EFF" w:rsidRDefault="00CE3999" w:rsidP="00CE3999">
      <w:pPr>
        <w:autoSpaceDE w:val="0"/>
        <w:autoSpaceDN w:val="0"/>
        <w:adjustRightInd w:val="0"/>
        <w:jc w:val="left"/>
        <w:rPr>
          <w:rFonts w:cs="Arial"/>
          <w:lang w:val="es-419"/>
        </w:rPr>
      </w:pPr>
    </w:p>
    <w:p w14:paraId="752715EB" w14:textId="77777777" w:rsidR="00CE3999" w:rsidRPr="00365EFF" w:rsidRDefault="00CE3999" w:rsidP="00CE3999">
      <w:pPr>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convino en celebrar su segunda sesión del 8 al 12 de abril de 2024.</w:t>
      </w:r>
    </w:p>
    <w:p w14:paraId="7780DBB8" w14:textId="77777777" w:rsidR="00CE3999" w:rsidRPr="00365EFF" w:rsidRDefault="00CE3999" w:rsidP="00CE3999">
      <w:pPr>
        <w:rPr>
          <w:lang w:val="es-419"/>
        </w:rPr>
      </w:pPr>
    </w:p>
    <w:p w14:paraId="257A0BB8" w14:textId="77777777" w:rsidR="00CE3999" w:rsidRPr="00365EFF" w:rsidRDefault="00CE3999" w:rsidP="00CE3999">
      <w:pPr>
        <w:keepNext/>
        <w:rPr>
          <w:rFonts w:cs="Arial"/>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convino en que las sesiones virtuales son útiles para incentivar la participación de expertos y convino en que las sesiones presenciales son importantes para la cooperación. El TWM convino en proponer que se celebre una futura sesión en formato híbrido.</w:t>
      </w:r>
    </w:p>
    <w:p w14:paraId="56205EA5" w14:textId="77777777" w:rsidR="00CE3999" w:rsidRPr="00365EFF" w:rsidRDefault="00CE3999" w:rsidP="00CE3999">
      <w:pPr>
        <w:keepNext/>
        <w:rPr>
          <w:rFonts w:cs="Arial"/>
          <w:u w:val="single"/>
          <w:lang w:val="es-419"/>
        </w:rPr>
      </w:pPr>
    </w:p>
    <w:p w14:paraId="32DBC0C0" w14:textId="77777777" w:rsidR="00CE3999" w:rsidRPr="00365EFF" w:rsidRDefault="00CE3999" w:rsidP="00CE3999">
      <w:pPr>
        <w:rPr>
          <w:rFonts w:cs="Arial"/>
          <w:lang w:val="es-419"/>
        </w:rPr>
      </w:pPr>
      <w:r w:rsidRPr="00365EFF">
        <w:rPr>
          <w:rFonts w:cs="Arial"/>
          <w:lang w:val="es-419"/>
        </w:rPr>
        <w:fldChar w:fldCharType="begin"/>
      </w:r>
      <w:r w:rsidRPr="00365EFF">
        <w:rPr>
          <w:rFonts w:cs="Arial"/>
          <w:lang w:val="es-419"/>
        </w:rPr>
        <w:instrText xml:space="preserve"> AUTONUM  </w:instrText>
      </w:r>
      <w:r w:rsidRPr="00365EFF">
        <w:rPr>
          <w:rFonts w:cs="Arial"/>
          <w:lang w:val="es-419"/>
        </w:rPr>
        <w:fldChar w:fldCharType="end"/>
      </w:r>
      <w:r w:rsidRPr="00365EFF">
        <w:rPr>
          <w:lang w:val="es-419"/>
        </w:rPr>
        <w:tab/>
        <w:t>El TWM tomó nota de que la Asociación de Semillas de las Américas (SAA) manifestó interés en apoyar la organización de una futura sesión presencial de este Grupo de Trabajo en un miembro de la UPOV.</w:t>
      </w:r>
    </w:p>
    <w:p w14:paraId="337E534D" w14:textId="77777777" w:rsidR="00CE3999" w:rsidRPr="00365EFF" w:rsidRDefault="00CE3999" w:rsidP="00CE3999">
      <w:pPr>
        <w:rPr>
          <w:rFonts w:cs="Arial"/>
          <w:lang w:val="es-419"/>
        </w:rPr>
      </w:pPr>
    </w:p>
    <w:p w14:paraId="104E8ABD" w14:textId="2816E435" w:rsidR="00CE3999" w:rsidRPr="00365EFF" w:rsidRDefault="00CE3999" w:rsidP="00CE3999">
      <w:pPr>
        <w:keepNext/>
        <w:rPr>
          <w:lang w:val="es-419"/>
        </w:rPr>
      </w:pPr>
      <w:r w:rsidRPr="00365EFF">
        <w:rPr>
          <w:lang w:val="es-419"/>
        </w:rPr>
        <w:fldChar w:fldCharType="begin"/>
      </w:r>
      <w:r w:rsidRPr="00365EFF">
        <w:rPr>
          <w:lang w:val="es-419"/>
        </w:rPr>
        <w:instrText xml:space="preserve"> AUTONUM  </w:instrText>
      </w:r>
      <w:r w:rsidRPr="00365EFF">
        <w:rPr>
          <w:lang w:val="es-419"/>
        </w:rPr>
        <w:fldChar w:fldCharType="end"/>
      </w:r>
      <w:r w:rsidRPr="00365EFF">
        <w:rPr>
          <w:lang w:val="es-419"/>
        </w:rPr>
        <w:tab/>
        <w:t>El TWM convino en que los documentos para su segunda sesión han de presentarse a la Oficina de la</w:t>
      </w:r>
      <w:r w:rsidR="007463C5" w:rsidRPr="00365EFF">
        <w:rPr>
          <w:lang w:val="es-419"/>
        </w:rPr>
        <w:t> </w:t>
      </w:r>
      <w:r w:rsidRPr="00365EFF">
        <w:rPr>
          <w:lang w:val="es-419"/>
        </w:rPr>
        <w:t>Unión a más tardar el 23 de febrero de 2024. El TWM tomó nota de que se suprimirán los puntos del orden del día cuyos documentos previstos no se reciban en la Oficina de la UPOV en el plazo acordado.</w:t>
      </w:r>
    </w:p>
    <w:p w14:paraId="302D3F5D" w14:textId="77777777" w:rsidR="00CE3999" w:rsidRPr="00365EFF" w:rsidRDefault="00CE3999" w:rsidP="00CE3999">
      <w:pPr>
        <w:rPr>
          <w:lang w:val="es-419"/>
        </w:rPr>
      </w:pPr>
    </w:p>
    <w:p w14:paraId="52E4B04B" w14:textId="77777777" w:rsidR="00CE3999" w:rsidRPr="00365EFF" w:rsidRDefault="00CE3999" w:rsidP="00CE3999">
      <w:pPr>
        <w:keepNext/>
        <w:rPr>
          <w:snapToGrid w:val="0"/>
          <w:lang w:val="es-419"/>
        </w:rPr>
      </w:pPr>
      <w:r w:rsidRPr="00365EFF">
        <w:rPr>
          <w:snapToGrid w:val="0"/>
          <w:lang w:val="es-419"/>
        </w:rPr>
        <w:fldChar w:fldCharType="begin"/>
      </w:r>
      <w:r w:rsidRPr="00365EFF">
        <w:rPr>
          <w:snapToGrid w:val="0"/>
          <w:lang w:val="es-419"/>
        </w:rPr>
        <w:instrText xml:space="preserve"> AUTONUM  </w:instrText>
      </w:r>
      <w:r w:rsidRPr="00365EFF">
        <w:rPr>
          <w:snapToGrid w:val="0"/>
          <w:lang w:val="es-419"/>
        </w:rPr>
        <w:fldChar w:fldCharType="end"/>
      </w:r>
      <w:r w:rsidRPr="00365EFF">
        <w:rPr>
          <w:snapToGrid w:val="0"/>
          <w:lang w:val="es-419"/>
        </w:rPr>
        <w:tab/>
        <w:t>El TWM propuso debatir los siguientes puntos en</w:t>
      </w:r>
      <w:r w:rsidRPr="00365EFF">
        <w:rPr>
          <w:lang w:val="es-419"/>
        </w:rPr>
        <w:t xml:space="preserve"> su segunda sesión</w:t>
      </w:r>
      <w:r w:rsidRPr="00365EFF">
        <w:rPr>
          <w:snapToGrid w:val="0"/>
          <w:lang w:val="es-419"/>
        </w:rPr>
        <w:t>:</w:t>
      </w:r>
    </w:p>
    <w:p w14:paraId="2A4C2176" w14:textId="77777777" w:rsidR="00CE3999" w:rsidRPr="00365EFF" w:rsidRDefault="00CE3999" w:rsidP="00CE3999">
      <w:pPr>
        <w:keepNext/>
        <w:rPr>
          <w:snapToGrid w:val="0"/>
          <w:lang w:val="es-419"/>
        </w:rPr>
      </w:pPr>
    </w:p>
    <w:p w14:paraId="45AC7B24" w14:textId="77777777" w:rsidR="00CE3999" w:rsidRPr="00365EFF" w:rsidRDefault="00CE3999" w:rsidP="00CE3999">
      <w:pPr>
        <w:spacing w:after="120" w:line="276" w:lineRule="auto"/>
        <w:ind w:left="567"/>
        <w:rPr>
          <w:lang w:val="es-419"/>
        </w:rPr>
      </w:pPr>
      <w:r w:rsidRPr="00365EFF">
        <w:rPr>
          <w:lang w:val="es-419"/>
        </w:rPr>
        <w:t>1.</w:t>
      </w:r>
      <w:r w:rsidRPr="00365EFF">
        <w:rPr>
          <w:lang w:val="es-419"/>
        </w:rPr>
        <w:tab/>
        <w:t>Apertura de la sesión</w:t>
      </w:r>
    </w:p>
    <w:p w14:paraId="04FCF4AA" w14:textId="77777777" w:rsidR="00CE3999" w:rsidRPr="00365EFF" w:rsidRDefault="00CE3999" w:rsidP="00CE3999">
      <w:pPr>
        <w:spacing w:after="120" w:line="276" w:lineRule="auto"/>
        <w:ind w:left="567"/>
        <w:rPr>
          <w:lang w:val="es-419"/>
        </w:rPr>
      </w:pPr>
      <w:r w:rsidRPr="00365EFF">
        <w:rPr>
          <w:lang w:val="es-419"/>
        </w:rPr>
        <w:t>2.</w:t>
      </w:r>
      <w:r w:rsidRPr="00365EFF">
        <w:rPr>
          <w:lang w:val="es-419"/>
        </w:rPr>
        <w:tab/>
        <w:t>Aprobación del orden del día</w:t>
      </w:r>
    </w:p>
    <w:p w14:paraId="7742D667" w14:textId="77777777" w:rsidR="00CE3999" w:rsidRPr="00365EFF" w:rsidRDefault="00CE3999" w:rsidP="00CE3999">
      <w:pPr>
        <w:spacing w:after="120" w:line="276" w:lineRule="auto"/>
        <w:ind w:left="567"/>
        <w:rPr>
          <w:lang w:val="es-419"/>
        </w:rPr>
      </w:pPr>
      <w:r w:rsidRPr="00365EFF">
        <w:rPr>
          <w:lang w:val="es-419"/>
        </w:rPr>
        <w:t>3.</w:t>
      </w:r>
      <w:r w:rsidRPr="00365EFF">
        <w:rPr>
          <w:lang w:val="es-419"/>
        </w:rPr>
        <w:tab/>
        <w:t>Novedades en materia de protección de obtenciones vegetales:</w:t>
      </w:r>
    </w:p>
    <w:p w14:paraId="5A28138B" w14:textId="77777777" w:rsidR="00CE3999" w:rsidRPr="00365EFF" w:rsidRDefault="00CE3999" w:rsidP="00CE3999">
      <w:pPr>
        <w:tabs>
          <w:tab w:val="left" w:pos="1701"/>
        </w:tabs>
        <w:spacing w:after="120" w:line="276" w:lineRule="auto"/>
        <w:ind w:left="1701" w:hanging="567"/>
        <w:rPr>
          <w:lang w:val="es-419"/>
        </w:rPr>
      </w:pPr>
      <w:r w:rsidRPr="00365EFF">
        <w:rPr>
          <w:lang w:val="es-419"/>
        </w:rPr>
        <w:t>a)</w:t>
      </w:r>
      <w:r w:rsidRPr="00365EFF">
        <w:rPr>
          <w:lang w:val="es-419"/>
        </w:rPr>
        <w:tab/>
        <w:t>Informes de los miembros y observadores (los miembros y observadores elaborarán informes escritos)</w:t>
      </w:r>
    </w:p>
    <w:p w14:paraId="4E82AB83" w14:textId="77777777" w:rsidR="00CE3999" w:rsidRPr="00365EFF" w:rsidRDefault="00CE3999" w:rsidP="00CE3999">
      <w:pPr>
        <w:tabs>
          <w:tab w:val="left" w:pos="1701"/>
        </w:tabs>
        <w:spacing w:after="120" w:line="276" w:lineRule="auto"/>
        <w:ind w:left="1701" w:hanging="567"/>
        <w:rPr>
          <w:lang w:val="es-419"/>
        </w:rPr>
      </w:pPr>
      <w:r w:rsidRPr="00365EFF">
        <w:rPr>
          <w:lang w:val="es-419"/>
        </w:rPr>
        <w:t>b)</w:t>
      </w:r>
      <w:r w:rsidRPr="00365EFF">
        <w:rPr>
          <w:lang w:val="es-419"/>
        </w:rPr>
        <w:tab/>
        <w:t xml:space="preserve">Informe sobre los avances logrados en la UPOV (informe de la Oficina de la Unión) </w:t>
      </w:r>
    </w:p>
    <w:p w14:paraId="05FAAFA3" w14:textId="77777777" w:rsidR="00CE3999" w:rsidRPr="00365EFF" w:rsidRDefault="00CE3999" w:rsidP="00CE3999">
      <w:pPr>
        <w:tabs>
          <w:tab w:val="left" w:pos="1134"/>
        </w:tabs>
        <w:spacing w:after="120" w:line="276" w:lineRule="auto"/>
        <w:ind w:left="1134" w:hanging="567"/>
        <w:rPr>
          <w:i/>
          <w:lang w:val="es-419"/>
        </w:rPr>
      </w:pPr>
      <w:r w:rsidRPr="00365EFF">
        <w:rPr>
          <w:lang w:val="es-419"/>
        </w:rPr>
        <w:t>4.</w:t>
      </w:r>
      <w:r w:rsidRPr="00365EFF">
        <w:rPr>
          <w:lang w:val="es-419"/>
        </w:rPr>
        <w:tab/>
        <w:t>Orientación y cooperación</w:t>
      </w:r>
      <w:r w:rsidRPr="00365EFF">
        <w:rPr>
          <w:i/>
          <w:lang w:val="es-419"/>
        </w:rPr>
        <w:t xml:space="preserve"> </w:t>
      </w:r>
    </w:p>
    <w:p w14:paraId="7D30BB08" w14:textId="77777777" w:rsidR="00CE3999" w:rsidRPr="00365EFF" w:rsidRDefault="00CE3999" w:rsidP="00CE3999">
      <w:pPr>
        <w:spacing w:after="120" w:line="276" w:lineRule="auto"/>
        <w:ind w:left="1710" w:hanging="630"/>
        <w:rPr>
          <w:lang w:val="es-419"/>
        </w:rPr>
      </w:pPr>
      <w:r w:rsidRPr="00365EFF">
        <w:rPr>
          <w:lang w:val="es-419"/>
        </w:rPr>
        <w:t>a)</w:t>
      </w:r>
      <w:r w:rsidRPr="00365EFF">
        <w:rPr>
          <w:lang w:val="es-419"/>
        </w:rPr>
        <w:tab/>
        <w:t>Elaboración de orientaciones y material de información (la Oficina de la Unión elaborará un documento)</w:t>
      </w:r>
    </w:p>
    <w:p w14:paraId="5184124C" w14:textId="77777777" w:rsidR="00CE3999" w:rsidRPr="00365EFF" w:rsidRDefault="00CE3999" w:rsidP="00CE3999">
      <w:pPr>
        <w:spacing w:after="120" w:line="276" w:lineRule="auto"/>
        <w:ind w:left="1710" w:hanging="630"/>
        <w:rPr>
          <w:lang w:val="es-419"/>
        </w:rPr>
      </w:pPr>
      <w:r w:rsidRPr="00365EFF">
        <w:rPr>
          <w:lang w:val="es-419"/>
        </w:rPr>
        <w:t>b)</w:t>
      </w:r>
      <w:r w:rsidRPr="00365EFF">
        <w:rPr>
          <w:lang w:val="es-419"/>
        </w:rPr>
        <w:tab/>
        <w:t>Aumento de la participación en la labor del TC y de los TWP (la Oficina de la Unión elaborará un documento)</w:t>
      </w:r>
    </w:p>
    <w:p w14:paraId="52BED921" w14:textId="77777777" w:rsidR="00CE3999" w:rsidRPr="00365EFF" w:rsidRDefault="00CE3999" w:rsidP="00CE3999">
      <w:pPr>
        <w:spacing w:after="120" w:line="276" w:lineRule="auto"/>
        <w:ind w:left="1710" w:hanging="630"/>
        <w:rPr>
          <w:lang w:val="es-419"/>
        </w:rPr>
      </w:pPr>
      <w:r w:rsidRPr="00365EFF">
        <w:rPr>
          <w:lang w:val="es-419"/>
        </w:rPr>
        <w:t>c)</w:t>
      </w:r>
      <w:r w:rsidRPr="00365EFF">
        <w:rPr>
          <w:lang w:val="es-419"/>
        </w:rPr>
        <w:tab/>
        <w:t>Cooperación en materia de examen (la Oficina de la Unión elaborará un documento)</w:t>
      </w:r>
    </w:p>
    <w:p w14:paraId="7E9CB9ED" w14:textId="77777777" w:rsidR="00CE3999" w:rsidRPr="00365EFF" w:rsidRDefault="00CE3999" w:rsidP="00CE3999">
      <w:pPr>
        <w:keepNext/>
        <w:spacing w:after="120" w:line="276" w:lineRule="auto"/>
        <w:ind w:left="1710" w:hanging="630"/>
        <w:rPr>
          <w:lang w:val="es-419"/>
        </w:rPr>
      </w:pPr>
      <w:r w:rsidRPr="00365EFF">
        <w:rPr>
          <w:lang w:val="es-419"/>
        </w:rPr>
        <w:t>d)</w:t>
      </w:r>
      <w:r w:rsidRPr="00365EFF">
        <w:rPr>
          <w:lang w:val="es-419"/>
        </w:rPr>
        <w:tab/>
        <w:t>Información y bases de datos</w:t>
      </w:r>
    </w:p>
    <w:p w14:paraId="5D95AB5D" w14:textId="77777777" w:rsidR="00CE3999" w:rsidRPr="00365EFF" w:rsidRDefault="00CE3999" w:rsidP="00CE3999">
      <w:pPr>
        <w:keepNext/>
        <w:spacing w:after="120" w:line="276" w:lineRule="auto"/>
        <w:ind w:left="2160" w:hanging="450"/>
        <w:rPr>
          <w:lang w:val="es-419"/>
        </w:rPr>
      </w:pPr>
      <w:r w:rsidRPr="00365EFF">
        <w:rPr>
          <w:lang w:val="es-419"/>
        </w:rPr>
        <w:t>-</w:t>
      </w:r>
      <w:r w:rsidRPr="00365EFF">
        <w:rPr>
          <w:lang w:val="es-419"/>
        </w:rPr>
        <w:tab/>
        <w:t xml:space="preserve">UPOV PRISMA (la Oficina de la Unión elaborará un documento) </w:t>
      </w:r>
    </w:p>
    <w:p w14:paraId="51DBE8C6" w14:textId="77777777" w:rsidR="00CE3999" w:rsidRPr="00365EFF" w:rsidRDefault="00CE3999" w:rsidP="00CE3999">
      <w:pPr>
        <w:spacing w:after="120" w:line="276" w:lineRule="auto"/>
        <w:ind w:left="2160" w:hanging="450"/>
        <w:rPr>
          <w:lang w:val="es-419"/>
        </w:rPr>
      </w:pPr>
      <w:r w:rsidRPr="00365EFF">
        <w:rPr>
          <w:lang w:val="es-419"/>
        </w:rPr>
        <w:t>-</w:t>
      </w:r>
      <w:r w:rsidRPr="00365EFF">
        <w:rPr>
          <w:lang w:val="es-419"/>
        </w:rPr>
        <w:tab/>
        <w:t>Bases de datos de información de la UPOV (la Oficina de la Unión elaborará un documento)</w:t>
      </w:r>
    </w:p>
    <w:p w14:paraId="7C7DD389" w14:textId="033E36B5" w:rsidR="00CE3999" w:rsidRPr="00365EFF" w:rsidRDefault="00CE3999" w:rsidP="00CE3999">
      <w:pPr>
        <w:spacing w:after="120" w:line="276" w:lineRule="auto"/>
        <w:ind w:left="2160" w:hanging="450"/>
        <w:rPr>
          <w:lang w:val="es-419"/>
        </w:rPr>
      </w:pPr>
      <w:r w:rsidRPr="00365EFF">
        <w:rPr>
          <w:lang w:val="es-419"/>
        </w:rPr>
        <w:t>-</w:t>
      </w:r>
      <w:r w:rsidR="007463C5" w:rsidRPr="00365EFF">
        <w:rPr>
          <w:lang w:val="es-419"/>
        </w:rPr>
        <w:tab/>
      </w:r>
      <w:r w:rsidRPr="00365EFF">
        <w:rPr>
          <w:lang w:val="es-419"/>
        </w:rPr>
        <w:t xml:space="preserve">Bases de datos de descripciones de variedades, incluidas las que contienen datos moleculares (la Oficina de la Unión elaborará un documento y se invita a presentar ponencias) </w:t>
      </w:r>
    </w:p>
    <w:p w14:paraId="02292649" w14:textId="23FD8879" w:rsidR="00CE3999" w:rsidRPr="00365EFF" w:rsidRDefault="00CE3999" w:rsidP="00CE3999">
      <w:pPr>
        <w:spacing w:after="120" w:line="276" w:lineRule="auto"/>
        <w:ind w:left="2160" w:hanging="450"/>
        <w:rPr>
          <w:lang w:val="es-419"/>
        </w:rPr>
      </w:pPr>
      <w:r w:rsidRPr="00365EFF">
        <w:rPr>
          <w:lang w:val="es-419"/>
        </w:rPr>
        <w:t>-</w:t>
      </w:r>
      <w:r w:rsidR="007463C5" w:rsidRPr="00365EFF">
        <w:rPr>
          <w:lang w:val="es-419"/>
        </w:rPr>
        <w:tab/>
      </w:r>
      <w:r w:rsidRPr="00365EFF">
        <w:rPr>
          <w:lang w:val="es-419"/>
        </w:rPr>
        <w:t>Denominaciones de variedades (la Oficina de la Unión elaborará un documento)</w:t>
      </w:r>
    </w:p>
    <w:p w14:paraId="7FAE6734" w14:textId="77777777" w:rsidR="00CE3999" w:rsidRPr="00365EFF" w:rsidRDefault="00CE3999" w:rsidP="00CE3999">
      <w:pPr>
        <w:spacing w:after="120" w:line="276" w:lineRule="auto"/>
        <w:ind w:left="1134" w:hanging="567"/>
        <w:rPr>
          <w:i/>
          <w:lang w:val="es-419"/>
        </w:rPr>
      </w:pPr>
      <w:r w:rsidRPr="00365EFF">
        <w:rPr>
          <w:lang w:val="es-419"/>
        </w:rPr>
        <w:t>5.</w:t>
      </w:r>
      <w:r w:rsidRPr="00365EFF">
        <w:rPr>
          <w:lang w:val="es-419"/>
        </w:rPr>
        <w:tab/>
        <w:t>Programas informáticos y métodos de análisis estadístico para el examen DHE</w:t>
      </w:r>
    </w:p>
    <w:p w14:paraId="60BA27EF" w14:textId="77777777" w:rsidR="00CE3999" w:rsidRPr="00365EFF" w:rsidRDefault="00CE3999" w:rsidP="00CE3999">
      <w:pPr>
        <w:spacing w:after="120" w:line="276" w:lineRule="auto"/>
        <w:ind w:left="1530" w:hanging="450"/>
        <w:rPr>
          <w:lang w:val="es-419"/>
        </w:rPr>
      </w:pPr>
      <w:r w:rsidRPr="00365EFF">
        <w:rPr>
          <w:lang w:val="es-419"/>
        </w:rPr>
        <w:t xml:space="preserve"> a)</w:t>
      </w:r>
      <w:r w:rsidRPr="00365EFF">
        <w:rPr>
          <w:lang w:val="es-419"/>
        </w:rPr>
        <w:tab/>
        <w:t>Herramientas y métodos estadísticos para el examen DHE (se invita a presentar ponencias)</w:t>
      </w:r>
    </w:p>
    <w:p w14:paraId="609AD7E9" w14:textId="77777777" w:rsidR="00CE3999" w:rsidRPr="00365EFF" w:rsidRDefault="00CE3999" w:rsidP="00CE3999">
      <w:pPr>
        <w:spacing w:after="120" w:line="276" w:lineRule="auto"/>
        <w:ind w:left="2160" w:hanging="450"/>
        <w:rPr>
          <w:lang w:val="es-419"/>
        </w:rPr>
      </w:pPr>
      <w:r w:rsidRPr="00365EFF">
        <w:rPr>
          <w:lang w:val="es-419"/>
        </w:rPr>
        <w:t>-</w:t>
      </w:r>
      <w:r w:rsidRPr="00365EFF">
        <w:rPr>
          <w:lang w:val="es-419"/>
        </w:rPr>
        <w:tab/>
        <w:t>Criterio combinado interanual de homogeneidad (COYU) (la Oficina de la Unión elaborará un documento)</w:t>
      </w:r>
    </w:p>
    <w:p w14:paraId="2F59E88D" w14:textId="2444AE2F" w:rsidR="00CE3999" w:rsidRPr="00365EFF" w:rsidRDefault="00CE3999" w:rsidP="00CE3999">
      <w:pPr>
        <w:spacing w:after="120" w:line="276" w:lineRule="auto"/>
        <w:ind w:left="2160" w:hanging="450"/>
        <w:rPr>
          <w:lang w:val="es-419"/>
        </w:rPr>
      </w:pPr>
      <w:r w:rsidRPr="00365EFF">
        <w:rPr>
          <w:lang w:val="es-419"/>
        </w:rPr>
        <w:t>-</w:t>
      </w:r>
      <w:r w:rsidRPr="00365EFF">
        <w:rPr>
          <w:lang w:val="es-419"/>
        </w:rPr>
        <w:tab/>
        <w:t>Desarrollo de un programa informático para el método COYU mejorado (</w:t>
      </w:r>
      <w:proofErr w:type="spellStart"/>
      <w:r w:rsidRPr="00365EFF">
        <w:rPr>
          <w:i/>
          <w:iCs/>
          <w:lang w:val="es-419"/>
        </w:rPr>
        <w:t>splines</w:t>
      </w:r>
      <w:proofErr w:type="spellEnd"/>
      <w:r w:rsidRPr="00365EFF">
        <w:rPr>
          <w:lang w:val="es-419"/>
        </w:rPr>
        <w:t>) (el</w:t>
      </w:r>
      <w:r w:rsidR="00925A01" w:rsidRPr="00365EFF">
        <w:rPr>
          <w:lang w:val="es-419"/>
        </w:rPr>
        <w:t> </w:t>
      </w:r>
      <w:r w:rsidRPr="00365EFF">
        <w:rPr>
          <w:lang w:val="es-419"/>
        </w:rPr>
        <w:t>Reino Unido elaborará un documento)</w:t>
      </w:r>
    </w:p>
    <w:p w14:paraId="273B3A12" w14:textId="77777777" w:rsidR="00CE3999" w:rsidRPr="00365EFF" w:rsidRDefault="00CE3999" w:rsidP="00CE3999">
      <w:pPr>
        <w:spacing w:after="120" w:line="276" w:lineRule="auto"/>
        <w:ind w:left="2160" w:hanging="450"/>
        <w:rPr>
          <w:lang w:val="es-419"/>
        </w:rPr>
      </w:pPr>
      <w:r w:rsidRPr="00365EFF">
        <w:rPr>
          <w:lang w:val="es-419"/>
        </w:rPr>
        <w:t>-</w:t>
      </w:r>
      <w:r w:rsidRPr="00365EFF">
        <w:rPr>
          <w:lang w:val="es-419"/>
        </w:rPr>
        <w:tab/>
        <w:t xml:space="preserve">Extrapolación en relación con el método COYU (el Reino Unido elaborará un documento y se invita a presentar ponencias) </w:t>
      </w:r>
    </w:p>
    <w:p w14:paraId="262F9E01" w14:textId="77777777" w:rsidR="00CE3999" w:rsidRPr="00365EFF" w:rsidRDefault="00CE3999" w:rsidP="00CE3999">
      <w:pPr>
        <w:spacing w:after="120" w:line="276" w:lineRule="auto"/>
        <w:ind w:left="2160" w:hanging="450"/>
        <w:rPr>
          <w:lang w:val="es-419"/>
        </w:rPr>
      </w:pPr>
      <w:r w:rsidRPr="00365EFF">
        <w:rPr>
          <w:lang w:val="es-419"/>
        </w:rPr>
        <w:t>-</w:t>
      </w:r>
      <w:r w:rsidRPr="00365EFF">
        <w:rPr>
          <w:lang w:val="es-419"/>
        </w:rPr>
        <w:tab/>
        <w:t>Comparación de los resultados obtenidos para los procedimientos COYD y COYU utilizando diferentes programas informáticos (Francia elaborará un documento)</w:t>
      </w:r>
    </w:p>
    <w:p w14:paraId="0BCD618F" w14:textId="6234BC40" w:rsidR="00CE3999" w:rsidRPr="00365EFF" w:rsidRDefault="00CE3999" w:rsidP="00CE3999">
      <w:pPr>
        <w:spacing w:after="120" w:line="276" w:lineRule="auto"/>
        <w:ind w:left="2160" w:hanging="450"/>
        <w:rPr>
          <w:lang w:val="es-419"/>
        </w:rPr>
      </w:pPr>
      <w:r w:rsidRPr="00365EFF">
        <w:rPr>
          <w:lang w:val="es-419"/>
        </w:rPr>
        <w:t>-</w:t>
      </w:r>
      <w:r w:rsidR="00925A01" w:rsidRPr="00365EFF">
        <w:rPr>
          <w:lang w:val="es-419"/>
        </w:rPr>
        <w:tab/>
      </w:r>
      <w:r w:rsidRPr="00365EFF">
        <w:rPr>
          <w:lang w:val="es-419"/>
        </w:rPr>
        <w:t xml:space="preserve">Elaboración de una plataforma de </w:t>
      </w:r>
      <w:proofErr w:type="spellStart"/>
      <w:r w:rsidRPr="00365EFF">
        <w:rPr>
          <w:lang w:val="es-419"/>
        </w:rPr>
        <w:t>macrodatos</w:t>
      </w:r>
      <w:proofErr w:type="spellEnd"/>
      <w:r w:rsidRPr="00365EFF">
        <w:rPr>
          <w:lang w:val="es-419"/>
        </w:rPr>
        <w:t xml:space="preserve"> para el examen DHE (China elaborará un documento)</w:t>
      </w:r>
    </w:p>
    <w:p w14:paraId="61247294" w14:textId="77777777" w:rsidR="00CE3999" w:rsidRPr="00365EFF" w:rsidRDefault="00CE3999" w:rsidP="00CE3999">
      <w:pPr>
        <w:spacing w:after="120" w:line="276" w:lineRule="auto"/>
        <w:ind w:left="1530" w:hanging="450"/>
        <w:rPr>
          <w:lang w:val="es-419"/>
        </w:rPr>
      </w:pPr>
      <w:r w:rsidRPr="00365EFF">
        <w:rPr>
          <w:lang w:val="es-419"/>
        </w:rPr>
        <w:t>b)</w:t>
      </w:r>
      <w:r w:rsidRPr="00365EFF">
        <w:rPr>
          <w:lang w:val="es-419"/>
        </w:rPr>
        <w:tab/>
        <w:t>Intercambio y uso de programas informáticos y equipos (la Oficina de la Unión elaborará un documento y se invita a presentar ponencias)</w:t>
      </w:r>
    </w:p>
    <w:p w14:paraId="4E4C8A7B" w14:textId="77777777" w:rsidR="00CE3999" w:rsidRPr="00365EFF" w:rsidRDefault="00CE3999" w:rsidP="00CE3999">
      <w:pPr>
        <w:spacing w:after="120" w:line="276" w:lineRule="auto"/>
        <w:ind w:left="2160" w:hanging="450"/>
        <w:rPr>
          <w:lang w:val="es-419"/>
        </w:rPr>
      </w:pPr>
      <w:r w:rsidRPr="00365EFF">
        <w:rPr>
          <w:lang w:val="es-419"/>
        </w:rPr>
        <w:t>-</w:t>
      </w:r>
      <w:r w:rsidRPr="00365EFF">
        <w:rPr>
          <w:lang w:val="es-419"/>
        </w:rPr>
        <w:tab/>
        <w:t>Desarrollo de un programa informático de análisis estadístico: DUSCEL (China elaborará un documento)</w:t>
      </w:r>
    </w:p>
    <w:p w14:paraId="69696E0B" w14:textId="77777777" w:rsidR="00CE3999" w:rsidRPr="00365EFF" w:rsidRDefault="00CE3999" w:rsidP="00CE3999">
      <w:pPr>
        <w:spacing w:after="120" w:line="276" w:lineRule="auto"/>
        <w:ind w:left="1134" w:hanging="567"/>
        <w:rPr>
          <w:lang w:val="es-419"/>
        </w:rPr>
      </w:pPr>
      <w:r w:rsidRPr="00365EFF">
        <w:rPr>
          <w:lang w:val="es-419"/>
        </w:rPr>
        <w:t>6.</w:t>
      </w:r>
      <w:r w:rsidRPr="00365EFF">
        <w:rPr>
          <w:lang w:val="es-419"/>
        </w:rPr>
        <w:tab/>
      </w:r>
      <w:proofErr w:type="spellStart"/>
      <w:r w:rsidRPr="00365EFF">
        <w:rPr>
          <w:lang w:val="es-419"/>
        </w:rPr>
        <w:t>Fenotipado</w:t>
      </w:r>
      <w:proofErr w:type="spellEnd"/>
      <w:r w:rsidRPr="00365EFF">
        <w:rPr>
          <w:lang w:val="es-419"/>
        </w:rPr>
        <w:t xml:space="preserve"> y análisis de imágenes (se invita a presentar ponencias)</w:t>
      </w:r>
    </w:p>
    <w:p w14:paraId="0CAF8247" w14:textId="77777777" w:rsidR="00CE3999" w:rsidRPr="00365EFF" w:rsidRDefault="00CE3999" w:rsidP="00925A01">
      <w:pPr>
        <w:spacing w:after="120" w:line="276" w:lineRule="auto"/>
        <w:ind w:left="2160" w:hanging="450"/>
        <w:rPr>
          <w:lang w:val="es-419"/>
        </w:rPr>
      </w:pPr>
      <w:r w:rsidRPr="00365EFF">
        <w:rPr>
          <w:lang w:val="es-419"/>
        </w:rPr>
        <w:t>-</w:t>
      </w:r>
      <w:r w:rsidRPr="00365EFF">
        <w:rPr>
          <w:lang w:val="es-419"/>
        </w:rPr>
        <w:tab/>
        <w:t>Examen de los caracteres de color mediante análisis de imágenes (se invita a presentar ponencias)</w:t>
      </w:r>
    </w:p>
    <w:p w14:paraId="44258EF2" w14:textId="77777777" w:rsidR="00CE3999" w:rsidRPr="00365EFF" w:rsidRDefault="00CE3999" w:rsidP="00CE3999">
      <w:pPr>
        <w:spacing w:after="120" w:line="276" w:lineRule="auto"/>
        <w:ind w:left="1134" w:hanging="567"/>
        <w:rPr>
          <w:lang w:val="es-419"/>
        </w:rPr>
      </w:pPr>
      <w:r w:rsidRPr="00365EFF">
        <w:rPr>
          <w:lang w:val="es-419"/>
        </w:rPr>
        <w:t>7.</w:t>
      </w:r>
      <w:r w:rsidRPr="00365EFF">
        <w:rPr>
          <w:lang w:val="es-419"/>
        </w:rPr>
        <w:tab/>
        <w:t>Novedades en materia de técnicas moleculares y de bioinformática</w:t>
      </w:r>
    </w:p>
    <w:p w14:paraId="6FE9B9BF" w14:textId="77777777" w:rsidR="00CE3999" w:rsidRPr="00365EFF" w:rsidRDefault="00CE3999" w:rsidP="00CE3999">
      <w:pPr>
        <w:spacing w:after="120" w:line="276" w:lineRule="auto"/>
        <w:ind w:left="1530" w:hanging="450"/>
        <w:rPr>
          <w:lang w:val="es-419"/>
        </w:rPr>
      </w:pPr>
      <w:r w:rsidRPr="00365EFF">
        <w:rPr>
          <w:lang w:val="es-419"/>
        </w:rPr>
        <w:t>a)</w:t>
      </w:r>
      <w:r w:rsidRPr="00365EFF">
        <w:rPr>
          <w:lang w:val="es-419"/>
        </w:rPr>
        <w:tab/>
        <w:t>Últimas novedades en materia de técnicas moleculares y de bioinformática (se invita a presentar ponencias)</w:t>
      </w:r>
    </w:p>
    <w:p w14:paraId="7487BA70" w14:textId="77777777" w:rsidR="00CE3999" w:rsidRPr="00365EFF" w:rsidRDefault="00CE3999" w:rsidP="00CE3999">
      <w:pPr>
        <w:spacing w:after="120" w:line="276" w:lineRule="auto"/>
        <w:ind w:left="1530" w:hanging="450"/>
        <w:rPr>
          <w:lang w:val="es-419"/>
        </w:rPr>
      </w:pPr>
      <w:r w:rsidRPr="00365EFF">
        <w:rPr>
          <w:lang w:val="es-419"/>
        </w:rPr>
        <w:t>b)</w:t>
      </w:r>
      <w:r w:rsidRPr="00365EFF">
        <w:rPr>
          <w:lang w:val="es-419"/>
        </w:rPr>
        <w:tab/>
        <w:t>Cooperación entre organizaciones internacionales (la Oficina de la Unión elaborará un documento y se invita a presentar ponencias)</w:t>
      </w:r>
    </w:p>
    <w:p w14:paraId="160843D1" w14:textId="77777777" w:rsidR="00CE3999" w:rsidRPr="00365EFF" w:rsidRDefault="00CE3999" w:rsidP="00CE3999">
      <w:pPr>
        <w:spacing w:after="120" w:line="276" w:lineRule="auto"/>
        <w:ind w:left="1530" w:hanging="450"/>
        <w:rPr>
          <w:lang w:val="es-419"/>
        </w:rPr>
      </w:pPr>
      <w:r w:rsidRPr="00365EFF">
        <w:rPr>
          <w:lang w:val="es-419"/>
        </w:rPr>
        <w:t>c)</w:t>
      </w:r>
      <w:r w:rsidRPr="00365EFF">
        <w:rPr>
          <w:lang w:val="es-419"/>
        </w:rPr>
        <w:tab/>
        <w:t>Informe sobre la labor en materia de técnicas moleculares en relación con el examen DHE (se invita a presentar ponencias)</w:t>
      </w:r>
    </w:p>
    <w:p w14:paraId="561E5668" w14:textId="77777777" w:rsidR="00CE3999" w:rsidRPr="00365EFF" w:rsidRDefault="00CE3999" w:rsidP="00CE3999">
      <w:pPr>
        <w:spacing w:after="120" w:line="276" w:lineRule="auto"/>
        <w:ind w:left="1530" w:hanging="450"/>
        <w:rPr>
          <w:lang w:val="es-419"/>
        </w:rPr>
      </w:pPr>
      <w:r w:rsidRPr="00365EFF">
        <w:rPr>
          <w:lang w:val="es-419"/>
        </w:rPr>
        <w:t>d)</w:t>
      </w:r>
      <w:r w:rsidRPr="00365EFF">
        <w:rPr>
          <w:lang w:val="es-419"/>
        </w:rPr>
        <w:tab/>
        <w:t xml:space="preserve">Métodos de análisis de datos moleculares, gestión de bases de datos e intercambio de datos y material (se invita a presentar ponencias) </w:t>
      </w:r>
    </w:p>
    <w:p w14:paraId="64E5B76F" w14:textId="77777777" w:rsidR="00CE3999" w:rsidRPr="00365EFF" w:rsidRDefault="00CE3999" w:rsidP="00CE3999">
      <w:pPr>
        <w:spacing w:after="120" w:line="276" w:lineRule="auto"/>
        <w:ind w:left="1530" w:hanging="450"/>
        <w:rPr>
          <w:lang w:val="es-419"/>
        </w:rPr>
      </w:pPr>
      <w:r w:rsidRPr="00365EFF">
        <w:rPr>
          <w:lang w:val="es-419"/>
        </w:rPr>
        <w:t>e)</w:t>
      </w:r>
      <w:r w:rsidRPr="00365EFF">
        <w:rPr>
          <w:lang w:val="es-419"/>
        </w:rPr>
        <w:tab/>
        <w:t>Confidencialidad, titularidad y acceso a datos moleculares, incluido un modelo de acuerdo</w:t>
      </w:r>
      <w:r w:rsidRPr="00365EFF">
        <w:rPr>
          <w:vertAlign w:val="superscript"/>
          <w:lang w:val="es-419"/>
        </w:rPr>
        <w:t>1</w:t>
      </w:r>
      <w:r w:rsidRPr="00365EFF">
        <w:rPr>
          <w:lang w:val="es-419"/>
        </w:rPr>
        <w:t xml:space="preserve"> (se invita a presentar ponencias)</w:t>
      </w:r>
    </w:p>
    <w:p w14:paraId="5BBB0D7E" w14:textId="77777777" w:rsidR="00CE3999" w:rsidRPr="00365EFF" w:rsidRDefault="00CE3999" w:rsidP="00CE3999">
      <w:pPr>
        <w:spacing w:after="120" w:line="276" w:lineRule="auto"/>
        <w:ind w:left="2160" w:hanging="450"/>
        <w:rPr>
          <w:vertAlign w:val="superscript"/>
          <w:lang w:val="es-419"/>
        </w:rPr>
      </w:pPr>
      <w:r w:rsidRPr="00365EFF">
        <w:rPr>
          <w:lang w:val="es-419"/>
        </w:rPr>
        <w:t>-</w:t>
      </w:r>
      <w:r w:rsidRPr="00365EFF">
        <w:rPr>
          <w:lang w:val="es-419"/>
        </w:rPr>
        <w:tab/>
        <w:t>Ejemplos sobre políticas en materia de confidencialidad y de acceso a los datos moleculares (se invita a presentar ponencias)</w:t>
      </w:r>
    </w:p>
    <w:p w14:paraId="32017164" w14:textId="77777777" w:rsidR="00CE3999" w:rsidRPr="00365EFF" w:rsidRDefault="00CE3999" w:rsidP="00CE3999">
      <w:pPr>
        <w:spacing w:after="120" w:line="276" w:lineRule="auto"/>
        <w:ind w:left="1530" w:hanging="450"/>
        <w:rPr>
          <w:lang w:val="es-419"/>
        </w:rPr>
      </w:pPr>
      <w:r w:rsidRPr="00365EFF">
        <w:rPr>
          <w:lang w:val="es-419"/>
        </w:rPr>
        <w:t>f)</w:t>
      </w:r>
      <w:r w:rsidRPr="00365EFF">
        <w:rPr>
          <w:lang w:val="es-419"/>
        </w:rPr>
        <w:tab/>
        <w:t>Uso de técnicas moleculares en el e</w:t>
      </w:r>
      <w:bookmarkStart w:id="0" w:name="_GoBack"/>
      <w:bookmarkEnd w:id="0"/>
      <w:r w:rsidRPr="00365EFF">
        <w:rPr>
          <w:lang w:val="es-419"/>
        </w:rPr>
        <w:t>xamen de derivaciones esenciales</w:t>
      </w:r>
      <w:r w:rsidRPr="00365EFF">
        <w:rPr>
          <w:rStyle w:val="FootnoteReference"/>
          <w:lang w:val="es-419"/>
        </w:rPr>
        <w:footnoteReference w:id="2"/>
      </w:r>
      <w:r w:rsidRPr="00365EFF">
        <w:rPr>
          <w:lang w:val="es-419"/>
        </w:rPr>
        <w:t xml:space="preserve"> (se invita a presentar ponencias)</w:t>
      </w:r>
    </w:p>
    <w:p w14:paraId="7C67E244" w14:textId="77777777" w:rsidR="00CE3999" w:rsidRPr="00365EFF" w:rsidRDefault="00CE3999" w:rsidP="00CE3999">
      <w:pPr>
        <w:spacing w:after="120" w:line="276" w:lineRule="auto"/>
        <w:ind w:left="1530" w:hanging="450"/>
        <w:rPr>
          <w:lang w:val="es-419"/>
        </w:rPr>
      </w:pPr>
      <w:r w:rsidRPr="00365EFF">
        <w:rPr>
          <w:lang w:val="es-419"/>
        </w:rPr>
        <w:t>g)</w:t>
      </w:r>
      <w:r w:rsidRPr="00365EFF">
        <w:rPr>
          <w:lang w:val="es-419"/>
        </w:rPr>
        <w:tab/>
        <w:t>Uso de técnicas moleculares en la identificación de variedades</w:t>
      </w:r>
      <w:r w:rsidRPr="00365EFF">
        <w:rPr>
          <w:vertAlign w:val="superscript"/>
          <w:lang w:val="es-419"/>
        </w:rPr>
        <w:t>1</w:t>
      </w:r>
      <w:r w:rsidRPr="00365EFF">
        <w:rPr>
          <w:lang w:val="es-419"/>
        </w:rPr>
        <w:t xml:space="preserve"> (se invita a presentar ponencias)</w:t>
      </w:r>
    </w:p>
    <w:p w14:paraId="38603BD8" w14:textId="77777777" w:rsidR="00CE3999" w:rsidRPr="00365EFF" w:rsidRDefault="00CE3999" w:rsidP="00CE3999">
      <w:pPr>
        <w:spacing w:after="120" w:line="276" w:lineRule="auto"/>
        <w:ind w:left="1530" w:hanging="450"/>
        <w:rPr>
          <w:lang w:val="es-419"/>
        </w:rPr>
      </w:pPr>
      <w:r w:rsidRPr="00365EFF">
        <w:rPr>
          <w:lang w:val="es-419"/>
        </w:rPr>
        <w:t>h)</w:t>
      </w:r>
      <w:r w:rsidRPr="00365EFF">
        <w:rPr>
          <w:lang w:val="es-419"/>
        </w:rPr>
        <w:tab/>
        <w:t>Uso de técnicas moleculares para hacer cumplir la normativa</w:t>
      </w:r>
      <w:r w:rsidRPr="00365EFF">
        <w:rPr>
          <w:vertAlign w:val="superscript"/>
          <w:lang w:val="es-419"/>
        </w:rPr>
        <w:t>1</w:t>
      </w:r>
      <w:r w:rsidRPr="00365EFF">
        <w:rPr>
          <w:lang w:val="es-419"/>
        </w:rPr>
        <w:t xml:space="preserve"> (se invita a presentar ponencias)</w:t>
      </w:r>
    </w:p>
    <w:p w14:paraId="5EE4B219" w14:textId="77777777" w:rsidR="00CE3999" w:rsidRPr="00365EFF" w:rsidRDefault="00CE3999" w:rsidP="00CE3999">
      <w:pPr>
        <w:spacing w:after="120" w:line="276" w:lineRule="auto"/>
        <w:ind w:left="1134" w:hanging="567"/>
        <w:rPr>
          <w:lang w:val="es-419"/>
        </w:rPr>
      </w:pPr>
      <w:r w:rsidRPr="00365EFF">
        <w:rPr>
          <w:lang w:val="es-419"/>
        </w:rPr>
        <w:t>8.</w:t>
      </w:r>
      <w:r w:rsidRPr="00365EFF">
        <w:rPr>
          <w:lang w:val="es-419"/>
        </w:rPr>
        <w:tab/>
        <w:t>Fecha y lugar de la próxima sesión</w:t>
      </w:r>
    </w:p>
    <w:p w14:paraId="069140C1" w14:textId="77777777" w:rsidR="00CE3999" w:rsidRPr="00365EFF" w:rsidRDefault="00CE3999" w:rsidP="00CE3999">
      <w:pPr>
        <w:spacing w:after="120" w:line="276" w:lineRule="auto"/>
        <w:ind w:left="1134" w:hanging="567"/>
        <w:rPr>
          <w:lang w:val="es-419"/>
        </w:rPr>
      </w:pPr>
      <w:r w:rsidRPr="00365EFF">
        <w:rPr>
          <w:lang w:val="es-419"/>
        </w:rPr>
        <w:t>9.</w:t>
      </w:r>
      <w:r w:rsidRPr="00365EFF">
        <w:rPr>
          <w:lang w:val="es-419"/>
        </w:rPr>
        <w:tab/>
        <w:t>Programa previsto</w:t>
      </w:r>
    </w:p>
    <w:p w14:paraId="0D6DCD29" w14:textId="77777777" w:rsidR="00CE3999" w:rsidRPr="00365EFF" w:rsidRDefault="00CE3999" w:rsidP="00CE3999">
      <w:pPr>
        <w:spacing w:after="120" w:line="276" w:lineRule="auto"/>
        <w:ind w:left="1134" w:hanging="567"/>
        <w:rPr>
          <w:lang w:val="es-419"/>
        </w:rPr>
      </w:pPr>
      <w:r w:rsidRPr="00365EFF">
        <w:rPr>
          <w:lang w:val="es-419"/>
        </w:rPr>
        <w:t>10.</w:t>
      </w:r>
      <w:r w:rsidRPr="00365EFF">
        <w:rPr>
          <w:lang w:val="es-419"/>
        </w:rPr>
        <w:tab/>
        <w:t>Aprobación del informe de la sesión (si se dispone de tiempo suficiente)</w:t>
      </w:r>
    </w:p>
    <w:p w14:paraId="48645557" w14:textId="77777777" w:rsidR="00CE3999" w:rsidRPr="00365EFF" w:rsidRDefault="00CE3999" w:rsidP="00CE3999">
      <w:pPr>
        <w:spacing w:after="120" w:line="276" w:lineRule="auto"/>
        <w:ind w:left="1134" w:hanging="567"/>
        <w:rPr>
          <w:lang w:val="es-419"/>
        </w:rPr>
      </w:pPr>
      <w:r w:rsidRPr="00365EFF">
        <w:rPr>
          <w:lang w:val="es-419"/>
        </w:rPr>
        <w:t>11.</w:t>
      </w:r>
      <w:r w:rsidRPr="00365EFF">
        <w:rPr>
          <w:lang w:val="es-419"/>
        </w:rPr>
        <w:tab/>
        <w:t>Clausura de la sesión</w:t>
      </w:r>
    </w:p>
    <w:p w14:paraId="4C2AD454" w14:textId="77777777" w:rsidR="00CE3999" w:rsidRPr="00365EFF" w:rsidRDefault="00CE3999" w:rsidP="00CE3999">
      <w:pPr>
        <w:jc w:val="left"/>
        <w:rPr>
          <w:lang w:val="es-419"/>
        </w:rPr>
      </w:pPr>
    </w:p>
    <w:p w14:paraId="22207FAC" w14:textId="77777777" w:rsidR="00CE3999" w:rsidRPr="00365EFF" w:rsidRDefault="00CE3999" w:rsidP="00CE3999">
      <w:pPr>
        <w:jc w:val="left"/>
        <w:rPr>
          <w:lang w:val="es-419"/>
        </w:rPr>
      </w:pPr>
    </w:p>
    <w:p w14:paraId="53CEA534" w14:textId="77777777" w:rsidR="00CE3999" w:rsidRPr="00365EFF" w:rsidRDefault="00CE3999" w:rsidP="00CE3999">
      <w:pPr>
        <w:jc w:val="right"/>
        <w:rPr>
          <w:lang w:val="es-419"/>
        </w:rPr>
      </w:pPr>
      <w:r w:rsidRPr="00365EFF">
        <w:rPr>
          <w:lang w:val="es-419"/>
        </w:rPr>
        <w:t>[Final del Anexo y del documento]</w:t>
      </w:r>
    </w:p>
    <w:p w14:paraId="39A48CD0" w14:textId="77777777" w:rsidR="00050E16" w:rsidRPr="00365EFF" w:rsidRDefault="00050E16" w:rsidP="00CE3999">
      <w:pPr>
        <w:rPr>
          <w:lang w:val="es-419"/>
        </w:rPr>
      </w:pPr>
    </w:p>
    <w:sectPr w:rsidR="00050E16" w:rsidRPr="00365EFF" w:rsidSect="00CE3999">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9AE7" w14:textId="77777777" w:rsidR="003427D7" w:rsidRDefault="003427D7" w:rsidP="006655D3">
      <w:r>
        <w:separator/>
      </w:r>
    </w:p>
    <w:p w14:paraId="43633F80" w14:textId="77777777" w:rsidR="003427D7" w:rsidRDefault="003427D7" w:rsidP="006655D3"/>
    <w:p w14:paraId="5187E915" w14:textId="77777777" w:rsidR="003427D7" w:rsidRDefault="003427D7" w:rsidP="006655D3"/>
  </w:endnote>
  <w:endnote w:type="continuationSeparator" w:id="0">
    <w:p w14:paraId="012A4547" w14:textId="77777777" w:rsidR="003427D7" w:rsidRDefault="003427D7" w:rsidP="006655D3">
      <w:r>
        <w:separator/>
      </w:r>
    </w:p>
    <w:p w14:paraId="4DB0747B" w14:textId="77777777" w:rsidR="003427D7" w:rsidRPr="00294751" w:rsidRDefault="003427D7">
      <w:pPr>
        <w:pStyle w:val="Footer"/>
        <w:spacing w:after="60"/>
        <w:rPr>
          <w:sz w:val="18"/>
          <w:lang w:val="fr-FR"/>
        </w:rPr>
      </w:pPr>
      <w:r w:rsidRPr="00294751">
        <w:rPr>
          <w:sz w:val="18"/>
          <w:lang w:val="fr-FR"/>
        </w:rPr>
        <w:t>[Suite de la note de la page précédente]</w:t>
      </w:r>
    </w:p>
    <w:p w14:paraId="05717BAA" w14:textId="77777777" w:rsidR="003427D7" w:rsidRPr="00294751" w:rsidRDefault="003427D7" w:rsidP="006655D3">
      <w:pPr>
        <w:rPr>
          <w:lang w:val="fr-FR"/>
        </w:rPr>
      </w:pPr>
    </w:p>
    <w:p w14:paraId="6DA1D3B0" w14:textId="77777777" w:rsidR="003427D7" w:rsidRPr="00294751" w:rsidRDefault="003427D7" w:rsidP="006655D3">
      <w:pPr>
        <w:rPr>
          <w:lang w:val="fr-FR"/>
        </w:rPr>
      </w:pPr>
    </w:p>
  </w:endnote>
  <w:endnote w:type="continuationNotice" w:id="1">
    <w:p w14:paraId="4AEB9C73" w14:textId="77777777" w:rsidR="003427D7" w:rsidRPr="00294751" w:rsidRDefault="003427D7" w:rsidP="006655D3">
      <w:pPr>
        <w:rPr>
          <w:lang w:val="fr-FR"/>
        </w:rPr>
      </w:pPr>
      <w:r w:rsidRPr="00294751">
        <w:rPr>
          <w:lang w:val="fr-FR"/>
        </w:rPr>
        <w:t>[Suite de la note page suivante]</w:t>
      </w:r>
    </w:p>
    <w:p w14:paraId="4BDDB1BB" w14:textId="77777777" w:rsidR="003427D7" w:rsidRPr="00294751" w:rsidRDefault="003427D7" w:rsidP="006655D3">
      <w:pPr>
        <w:rPr>
          <w:lang w:val="fr-FR"/>
        </w:rPr>
      </w:pPr>
    </w:p>
    <w:p w14:paraId="12F8377E" w14:textId="77777777" w:rsidR="003427D7" w:rsidRPr="00294751" w:rsidRDefault="003427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BF3" w14:textId="77777777" w:rsidR="003427D7" w:rsidRDefault="003427D7" w:rsidP="006655D3">
      <w:r>
        <w:separator/>
      </w:r>
    </w:p>
  </w:footnote>
  <w:footnote w:type="continuationSeparator" w:id="0">
    <w:p w14:paraId="1C13155B" w14:textId="77777777" w:rsidR="003427D7" w:rsidRDefault="003427D7" w:rsidP="006655D3">
      <w:r>
        <w:separator/>
      </w:r>
    </w:p>
  </w:footnote>
  <w:footnote w:type="continuationNotice" w:id="1">
    <w:p w14:paraId="290A1369" w14:textId="77777777" w:rsidR="003427D7" w:rsidRPr="00AB530F" w:rsidRDefault="003427D7" w:rsidP="00AB530F">
      <w:pPr>
        <w:pStyle w:val="Footer"/>
      </w:pPr>
    </w:p>
  </w:footnote>
  <w:footnote w:id="2">
    <w:p w14:paraId="3FDB0B30" w14:textId="77777777" w:rsidR="00CE3999" w:rsidRDefault="00CE3999" w:rsidP="00CE3999">
      <w:pPr>
        <w:pStyle w:val="FootnoteText"/>
      </w:pPr>
      <w:r>
        <w:rPr>
          <w:rStyle w:val="FootnoteReference"/>
        </w:rPr>
        <w:footnoteRef/>
      </w:r>
      <w:r>
        <w:t xml:space="preserve"> “Día del obtentor”, 11 de abril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89C7" w14:textId="77777777" w:rsidR="00CE3999" w:rsidRPr="00C5280D" w:rsidRDefault="00CE3999" w:rsidP="00EB048E">
    <w:pPr>
      <w:pStyle w:val="Header"/>
      <w:rPr>
        <w:rStyle w:val="PageNumber"/>
      </w:rPr>
    </w:pPr>
    <w:r>
      <w:rPr>
        <w:rStyle w:val="PageNumber"/>
      </w:rPr>
      <w:t>TC/58/INF/8</w:t>
    </w:r>
  </w:p>
  <w:p w14:paraId="5A879180" w14:textId="77777777" w:rsidR="00CE3999" w:rsidRPr="00C5280D" w:rsidRDefault="00CE3999" w:rsidP="00EB048E">
    <w:pPr>
      <w:pStyle w:val="Header"/>
    </w:pPr>
    <w:r>
      <w:t>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1DE5BF28" w14:textId="77777777" w:rsidR="00CE3999" w:rsidRPr="00C5280D" w:rsidRDefault="00CE39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58DC" w14:textId="77777777" w:rsidR="00182B99" w:rsidRPr="000A23DC" w:rsidRDefault="002458C3" w:rsidP="000A23DC">
    <w:pPr>
      <w:pStyle w:val="Header"/>
      <w:rPr>
        <w:rStyle w:val="PageNumber"/>
      </w:rPr>
    </w:pPr>
    <w:r>
      <w:rPr>
        <w:rStyle w:val="PageNumber"/>
      </w:rPr>
      <w:t xml:space="preserve">TC/58/17 </w:t>
    </w:r>
    <w:proofErr w:type="spellStart"/>
    <w:r>
      <w:rPr>
        <w:rStyle w:val="PageNumber"/>
      </w:rPr>
      <w:t>Add</w:t>
    </w:r>
    <w:proofErr w:type="spellEnd"/>
    <w:r>
      <w:rPr>
        <w:rStyle w:val="PageNumber"/>
      </w:rPr>
      <w:t>.</w:t>
    </w:r>
  </w:p>
  <w:p w14:paraId="1C17C8DD" w14:textId="44DD086D" w:rsidR="00182B99" w:rsidRPr="00202E38" w:rsidRDefault="00CE3999" w:rsidP="008B3D8D">
    <w:pPr>
      <w:pStyle w:val="Header"/>
    </w:pPr>
    <w:r>
      <w:t>Anexo</w:t>
    </w:r>
    <w:r w:rsidR="000C1DBC">
      <w:t>,</w:t>
    </w:r>
    <w:r>
      <w:t xml:space="preserve"> 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0C1DBC">
      <w:rPr>
        <w:rStyle w:val="PageNumber"/>
        <w:noProof/>
      </w:rPr>
      <w:t>4</w:t>
    </w:r>
    <w:r w:rsidR="00182B99" w:rsidRPr="00202E38">
      <w:rPr>
        <w:rStyle w:val="PageNumber"/>
      </w:rPr>
      <w:fldChar w:fldCharType="end"/>
    </w:r>
  </w:p>
  <w:p w14:paraId="57819110" w14:textId="77777777"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C1FA" w14:textId="77777777" w:rsidR="00CE3999" w:rsidRDefault="00CE3999">
    <w:pPr>
      <w:pStyle w:val="Header"/>
    </w:pPr>
    <w:r>
      <w:t xml:space="preserve">TC/58/17 </w:t>
    </w:r>
    <w:proofErr w:type="spellStart"/>
    <w:r>
      <w:t>Add</w:t>
    </w:r>
    <w:proofErr w:type="spellEnd"/>
    <w:r>
      <w:t>.</w:t>
    </w:r>
  </w:p>
  <w:p w14:paraId="34436378" w14:textId="77777777" w:rsidR="00CE3999" w:rsidRDefault="00CE3999">
    <w:pPr>
      <w:pStyle w:val="Header"/>
    </w:pPr>
  </w:p>
  <w:p w14:paraId="184BCFA8" w14:textId="77777777" w:rsidR="00CE3999" w:rsidRDefault="00CE3999">
    <w:pPr>
      <w:pStyle w:val="Header"/>
    </w:pPr>
    <w:r>
      <w:t>ANEXO</w:t>
    </w:r>
  </w:p>
  <w:p w14:paraId="2F6A2A70" w14:textId="77777777" w:rsidR="00CE3999" w:rsidRPr="00CE3999" w:rsidRDefault="00CE3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50D4"/>
    <w:multiLevelType w:val="hybridMultilevel"/>
    <w:tmpl w:val="4BF8CD06"/>
    <w:lvl w:ilvl="0" w:tplc="356C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4A"/>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1DBC"/>
    <w:rsid w:val="000C4E25"/>
    <w:rsid w:val="000C7021"/>
    <w:rsid w:val="000D6BBC"/>
    <w:rsid w:val="000D7780"/>
    <w:rsid w:val="000E636A"/>
    <w:rsid w:val="000F2F11"/>
    <w:rsid w:val="00105929"/>
    <w:rsid w:val="001066E7"/>
    <w:rsid w:val="00110C36"/>
    <w:rsid w:val="001131D5"/>
    <w:rsid w:val="00141DB8"/>
    <w:rsid w:val="00165AD1"/>
    <w:rsid w:val="00172084"/>
    <w:rsid w:val="0017474A"/>
    <w:rsid w:val="001758C6"/>
    <w:rsid w:val="00182B99"/>
    <w:rsid w:val="001F64BF"/>
    <w:rsid w:val="00202E38"/>
    <w:rsid w:val="002103B5"/>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D2847"/>
    <w:rsid w:val="002E5944"/>
    <w:rsid w:val="00305A7F"/>
    <w:rsid w:val="003152FE"/>
    <w:rsid w:val="00324098"/>
    <w:rsid w:val="00327436"/>
    <w:rsid w:val="00340D6C"/>
    <w:rsid w:val="003427D7"/>
    <w:rsid w:val="00344BD6"/>
    <w:rsid w:val="0035528D"/>
    <w:rsid w:val="00361821"/>
    <w:rsid w:val="00361E9E"/>
    <w:rsid w:val="00365EFF"/>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B4C8C"/>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5240"/>
    <w:rsid w:val="006D780A"/>
    <w:rsid w:val="0071271E"/>
    <w:rsid w:val="00732DEC"/>
    <w:rsid w:val="00735BD5"/>
    <w:rsid w:val="007463C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0989"/>
    <w:rsid w:val="00864C55"/>
    <w:rsid w:val="00867AC1"/>
    <w:rsid w:val="00890DF8"/>
    <w:rsid w:val="008A743F"/>
    <w:rsid w:val="008B3D8D"/>
    <w:rsid w:val="008C0970"/>
    <w:rsid w:val="008D0BC5"/>
    <w:rsid w:val="008D2CF7"/>
    <w:rsid w:val="008D4410"/>
    <w:rsid w:val="00900C26"/>
    <w:rsid w:val="0090197F"/>
    <w:rsid w:val="00906DDC"/>
    <w:rsid w:val="00925A01"/>
    <w:rsid w:val="00934E09"/>
    <w:rsid w:val="00936253"/>
    <w:rsid w:val="00940D46"/>
    <w:rsid w:val="00952DD4"/>
    <w:rsid w:val="0096175D"/>
    <w:rsid w:val="00965AE7"/>
    <w:rsid w:val="00970FED"/>
    <w:rsid w:val="00992D82"/>
    <w:rsid w:val="00996276"/>
    <w:rsid w:val="00997029"/>
    <w:rsid w:val="009A7339"/>
    <w:rsid w:val="009B440E"/>
    <w:rsid w:val="009D690D"/>
    <w:rsid w:val="009E65B6"/>
    <w:rsid w:val="00A1254A"/>
    <w:rsid w:val="00A24C10"/>
    <w:rsid w:val="00A42AC3"/>
    <w:rsid w:val="00A430CF"/>
    <w:rsid w:val="00A54309"/>
    <w:rsid w:val="00A706D3"/>
    <w:rsid w:val="00AB2B93"/>
    <w:rsid w:val="00AB530F"/>
    <w:rsid w:val="00AB7E5B"/>
    <w:rsid w:val="00AC2883"/>
    <w:rsid w:val="00AE0EF1"/>
    <w:rsid w:val="00AE2937"/>
    <w:rsid w:val="00B05E73"/>
    <w:rsid w:val="00B07301"/>
    <w:rsid w:val="00B11F3E"/>
    <w:rsid w:val="00B224DE"/>
    <w:rsid w:val="00B324D4"/>
    <w:rsid w:val="00B33D2E"/>
    <w:rsid w:val="00B46575"/>
    <w:rsid w:val="00B61777"/>
    <w:rsid w:val="00B84BBD"/>
    <w:rsid w:val="00BA43FB"/>
    <w:rsid w:val="00BC0BD4"/>
    <w:rsid w:val="00BC127D"/>
    <w:rsid w:val="00BC1FE6"/>
    <w:rsid w:val="00C061B6"/>
    <w:rsid w:val="00C07886"/>
    <w:rsid w:val="00C2446C"/>
    <w:rsid w:val="00C36AE5"/>
    <w:rsid w:val="00C36BD8"/>
    <w:rsid w:val="00C41F17"/>
    <w:rsid w:val="00C527FA"/>
    <w:rsid w:val="00C5280D"/>
    <w:rsid w:val="00C53EB3"/>
    <w:rsid w:val="00C5791C"/>
    <w:rsid w:val="00C66290"/>
    <w:rsid w:val="00C72B7A"/>
    <w:rsid w:val="00C973F2"/>
    <w:rsid w:val="00CA304C"/>
    <w:rsid w:val="00CA774A"/>
    <w:rsid w:val="00CC11B0"/>
    <w:rsid w:val="00CC2841"/>
    <w:rsid w:val="00CD6B54"/>
    <w:rsid w:val="00CE3999"/>
    <w:rsid w:val="00CE49AB"/>
    <w:rsid w:val="00CF1330"/>
    <w:rsid w:val="00CF7E36"/>
    <w:rsid w:val="00D27E89"/>
    <w:rsid w:val="00D31910"/>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460A8"/>
    <w:rsid w:val="00F560F7"/>
    <w:rsid w:val="00F6334D"/>
    <w:rsid w:val="00F90CB0"/>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03F34"/>
  <w15:docId w15:val="{F0C462E1-8510-4E44-8690-5BDC3919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CE3999"/>
    <w:rPr>
      <w:rFonts w:ascii="Arial" w:hAnsi="Arial"/>
      <w:caps/>
    </w:rPr>
  </w:style>
  <w:style w:type="character" w:customStyle="1" w:styleId="HeaderChar">
    <w:name w:val="Header Char"/>
    <w:basedOn w:val="DefaultParagraphFont"/>
    <w:link w:val="Header"/>
    <w:rsid w:val="00CE3999"/>
    <w:rPr>
      <w:rFonts w:ascii="Arial" w:hAnsi="Arial"/>
      <w:lang w:val="es-ES"/>
    </w:rPr>
  </w:style>
  <w:style w:type="character" w:customStyle="1" w:styleId="FootnoteTextChar">
    <w:name w:val="Footnote Text Char"/>
    <w:basedOn w:val="DefaultParagraphFont"/>
    <w:link w:val="FootnoteText"/>
    <w:rsid w:val="00CE3999"/>
    <w:rPr>
      <w:rFonts w:ascii="Arial" w:hAnsi="Arial"/>
      <w:sz w:val="16"/>
      <w:lang w:val="es-ES"/>
    </w:rPr>
  </w:style>
  <w:style w:type="paragraph" w:styleId="ListParagraph">
    <w:name w:val="List Paragraph"/>
    <w:basedOn w:val="Normal"/>
    <w:uiPriority w:val="34"/>
    <w:qFormat/>
    <w:rsid w:val="000C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10286</Characters>
  <Application>Microsoft Office Word</Application>
  <DocSecurity>0</DocSecurity>
  <Lines>201</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TC/58/17 Add.</vt:lpstr>
      <vt:lpstr>TC/58/17 Add.</vt:lpstr>
    </vt:vector>
  </TitlesOfParts>
  <Company>UPOV</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TC/58/17 Add.</dc:title>
  <dc:creator>CEVALLOS DUQUE Nilo</dc:creator>
  <cp:lastModifiedBy>MAY Jessica</cp:lastModifiedBy>
  <cp:revision>3</cp:revision>
  <cp:lastPrinted>2016-11-22T15:41:00Z</cp:lastPrinted>
  <dcterms:created xsi:type="dcterms:W3CDTF">2022-10-26T14:54:00Z</dcterms:created>
  <dcterms:modified xsi:type="dcterms:W3CDTF">2022-10-26T15:23:00Z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a86cc0e7-2496-4c51-844e-036f25f6671a</vt:lpwstr>
  </property>
</Properties>
</file>