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86563" w:rsidTr="00EB4E9C">
        <w:tc>
          <w:tcPr>
            <w:tcW w:w="6522" w:type="dxa"/>
          </w:tcPr>
          <w:p w:rsidR="00DC3802" w:rsidRPr="00686563" w:rsidRDefault="00DC3802" w:rsidP="00AC2883">
            <w:pPr>
              <w:rPr>
                <w:lang w:val="es-ES"/>
              </w:rPr>
            </w:pPr>
            <w:r w:rsidRPr="00686563">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86563" w:rsidRDefault="002E5944" w:rsidP="00AC2883">
            <w:pPr>
              <w:pStyle w:val="Lettrine"/>
              <w:rPr>
                <w:lang w:val="es-ES"/>
              </w:rPr>
            </w:pPr>
            <w:r w:rsidRPr="00686563">
              <w:rPr>
                <w:lang w:val="es-ES"/>
              </w:rPr>
              <w:t>S</w:t>
            </w:r>
          </w:p>
        </w:tc>
      </w:tr>
      <w:tr w:rsidR="00DC3802" w:rsidRPr="00686563" w:rsidTr="00645CA8">
        <w:trPr>
          <w:trHeight w:val="219"/>
        </w:trPr>
        <w:tc>
          <w:tcPr>
            <w:tcW w:w="6522" w:type="dxa"/>
          </w:tcPr>
          <w:p w:rsidR="00DC3802" w:rsidRPr="00686563" w:rsidRDefault="002E5944" w:rsidP="00BC0BD4">
            <w:pPr>
              <w:pStyle w:val="upove"/>
              <w:rPr>
                <w:lang w:val="es-ES"/>
              </w:rPr>
            </w:pPr>
            <w:r w:rsidRPr="00686563">
              <w:rPr>
                <w:lang w:val="es-ES"/>
              </w:rPr>
              <w:t>Unión Internacional para la Protección de las Obtenciones Vegetales</w:t>
            </w:r>
          </w:p>
        </w:tc>
        <w:tc>
          <w:tcPr>
            <w:tcW w:w="3117" w:type="dxa"/>
          </w:tcPr>
          <w:p w:rsidR="00DC3802" w:rsidRPr="00686563" w:rsidRDefault="00DC3802" w:rsidP="00DA4973">
            <w:pPr>
              <w:rPr>
                <w:lang w:val="es-ES"/>
              </w:rPr>
            </w:pPr>
          </w:p>
        </w:tc>
      </w:tr>
    </w:tbl>
    <w:p w:rsidR="00DC3802" w:rsidRPr="00686563" w:rsidRDefault="00DC3802" w:rsidP="00DC3802">
      <w:pPr>
        <w:rPr>
          <w:lang w:val="es-ES"/>
        </w:rPr>
      </w:pPr>
    </w:p>
    <w:p w:rsidR="00DA4973" w:rsidRPr="00686563"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86563" w:rsidTr="00EE3C81">
        <w:tc>
          <w:tcPr>
            <w:tcW w:w="6512" w:type="dxa"/>
            <w:tcBorders>
              <w:bottom w:val="single" w:sz="4" w:space="0" w:color="auto"/>
            </w:tcBorders>
          </w:tcPr>
          <w:p w:rsidR="00EB4E9C" w:rsidRPr="00686563" w:rsidRDefault="002E5944" w:rsidP="00AC2883">
            <w:pPr>
              <w:pStyle w:val="Sessiontc"/>
              <w:spacing w:line="240" w:lineRule="auto"/>
              <w:rPr>
                <w:lang w:val="es-ES"/>
              </w:rPr>
            </w:pPr>
            <w:r w:rsidRPr="00686563">
              <w:rPr>
                <w:lang w:val="es-ES"/>
              </w:rPr>
              <w:t>Comité Técnico</w:t>
            </w:r>
          </w:p>
          <w:p w:rsidR="00EB4E9C" w:rsidRPr="00686563" w:rsidRDefault="002E5944" w:rsidP="008E66C1">
            <w:pPr>
              <w:pStyle w:val="Sessiontcplacedate"/>
              <w:rPr>
                <w:sz w:val="22"/>
                <w:lang w:val="es-ES"/>
              </w:rPr>
            </w:pPr>
            <w:r w:rsidRPr="00686563">
              <w:rPr>
                <w:lang w:val="es-ES"/>
              </w:rPr>
              <w:t xml:space="preserve">Quincuagésima </w:t>
            </w:r>
            <w:r w:rsidR="008E66C1" w:rsidRPr="00686563">
              <w:rPr>
                <w:lang w:val="es-ES"/>
              </w:rPr>
              <w:t>octava</w:t>
            </w:r>
            <w:r w:rsidRPr="00686563">
              <w:rPr>
                <w:lang w:val="es-ES"/>
              </w:rPr>
              <w:t xml:space="preserve"> sesión</w:t>
            </w:r>
            <w:r w:rsidR="00EB4E9C" w:rsidRPr="00686563">
              <w:rPr>
                <w:lang w:val="es-ES"/>
              </w:rPr>
              <w:br/>
            </w:r>
            <w:r w:rsidRPr="00686563">
              <w:rPr>
                <w:lang w:val="es-ES"/>
              </w:rPr>
              <w:t>Ginebra</w:t>
            </w:r>
            <w:r w:rsidR="00EB4E9C" w:rsidRPr="00686563">
              <w:rPr>
                <w:lang w:val="es-ES"/>
              </w:rPr>
              <w:t xml:space="preserve">, </w:t>
            </w:r>
            <w:r w:rsidR="005A1EC1" w:rsidRPr="00686563">
              <w:rPr>
                <w:lang w:val="es-ES"/>
              </w:rPr>
              <w:t>2</w:t>
            </w:r>
            <w:r w:rsidR="008E66C1" w:rsidRPr="00686563">
              <w:rPr>
                <w:lang w:val="es-ES"/>
              </w:rPr>
              <w:t>4</w:t>
            </w:r>
            <w:r w:rsidR="005A1EC1" w:rsidRPr="00686563">
              <w:rPr>
                <w:lang w:val="es-ES"/>
              </w:rPr>
              <w:t xml:space="preserve"> y </w:t>
            </w:r>
            <w:r w:rsidR="000B7BB9" w:rsidRPr="00686563">
              <w:rPr>
                <w:lang w:val="es-ES"/>
              </w:rPr>
              <w:t>2</w:t>
            </w:r>
            <w:r w:rsidR="008E66C1" w:rsidRPr="00686563">
              <w:rPr>
                <w:lang w:val="es-ES"/>
              </w:rPr>
              <w:t>5</w:t>
            </w:r>
            <w:r w:rsidR="005A1EC1" w:rsidRPr="00686563">
              <w:rPr>
                <w:lang w:val="es-ES"/>
              </w:rPr>
              <w:t xml:space="preserve"> de octubre </w:t>
            </w:r>
            <w:r w:rsidRPr="00686563">
              <w:rPr>
                <w:lang w:val="es-ES"/>
              </w:rPr>
              <w:t>de</w:t>
            </w:r>
            <w:r w:rsidR="00A706D3" w:rsidRPr="00686563">
              <w:rPr>
                <w:lang w:val="es-ES"/>
              </w:rPr>
              <w:t xml:space="preserve"> </w:t>
            </w:r>
            <w:r w:rsidR="00467B42" w:rsidRPr="00686563">
              <w:rPr>
                <w:lang w:val="es-ES"/>
              </w:rPr>
              <w:t>202</w:t>
            </w:r>
            <w:r w:rsidR="008E66C1" w:rsidRPr="00686563">
              <w:rPr>
                <w:lang w:val="es-ES"/>
              </w:rPr>
              <w:t>2</w:t>
            </w:r>
          </w:p>
        </w:tc>
        <w:tc>
          <w:tcPr>
            <w:tcW w:w="3127" w:type="dxa"/>
            <w:tcBorders>
              <w:bottom w:val="single" w:sz="4" w:space="0" w:color="auto"/>
            </w:tcBorders>
          </w:tcPr>
          <w:p w:rsidR="00EB4E9C" w:rsidRPr="00686563" w:rsidRDefault="00467B42" w:rsidP="003C7FBE">
            <w:pPr>
              <w:pStyle w:val="Doccode"/>
              <w:rPr>
                <w:lang w:val="es-ES"/>
              </w:rPr>
            </w:pPr>
            <w:r w:rsidRPr="00686563">
              <w:rPr>
                <w:lang w:val="es-ES"/>
              </w:rPr>
              <w:t>TC/5</w:t>
            </w:r>
            <w:r w:rsidR="008E66C1" w:rsidRPr="00686563">
              <w:rPr>
                <w:lang w:val="es-ES"/>
              </w:rPr>
              <w:t>8</w:t>
            </w:r>
            <w:r w:rsidR="00EB4E9C" w:rsidRPr="00686563">
              <w:rPr>
                <w:lang w:val="es-ES"/>
              </w:rPr>
              <w:t>/</w:t>
            </w:r>
            <w:r w:rsidR="006E0285" w:rsidRPr="00686563">
              <w:rPr>
                <w:lang w:val="es-ES"/>
              </w:rPr>
              <w:t>1</w:t>
            </w:r>
            <w:r w:rsidR="008E66C1" w:rsidRPr="00686563">
              <w:rPr>
                <w:lang w:val="es-ES"/>
              </w:rPr>
              <w:t>4</w:t>
            </w:r>
          </w:p>
          <w:p w:rsidR="00EB4E9C" w:rsidRPr="00686563" w:rsidRDefault="00EB4E9C" w:rsidP="003C7FBE">
            <w:pPr>
              <w:pStyle w:val="Docoriginal"/>
              <w:rPr>
                <w:lang w:val="es-ES"/>
              </w:rPr>
            </w:pPr>
            <w:r w:rsidRPr="00686563">
              <w:rPr>
                <w:lang w:val="es-ES"/>
              </w:rPr>
              <w:t>Original:</w:t>
            </w:r>
            <w:r w:rsidR="00686563">
              <w:rPr>
                <w:b w:val="0"/>
                <w:spacing w:val="0"/>
                <w:lang w:val="es-ES"/>
              </w:rPr>
              <w:t xml:space="preserve"> </w:t>
            </w:r>
            <w:proofErr w:type="gramStart"/>
            <w:r w:rsidR="002E5944" w:rsidRPr="00686563">
              <w:rPr>
                <w:b w:val="0"/>
                <w:spacing w:val="0"/>
                <w:lang w:val="es-ES"/>
              </w:rPr>
              <w:t>Inglés</w:t>
            </w:r>
            <w:proofErr w:type="gramEnd"/>
          </w:p>
          <w:p w:rsidR="00EE3C81" w:rsidRPr="00686563" w:rsidRDefault="002E5944" w:rsidP="008E66C1">
            <w:pPr>
              <w:pStyle w:val="Docoriginal"/>
              <w:rPr>
                <w:b w:val="0"/>
                <w:spacing w:val="0"/>
                <w:lang w:val="es-ES"/>
              </w:rPr>
            </w:pPr>
            <w:r w:rsidRPr="00686563">
              <w:rPr>
                <w:lang w:val="es-ES"/>
              </w:rPr>
              <w:t>Fecha</w:t>
            </w:r>
            <w:r w:rsidR="00EB4E9C" w:rsidRPr="00686563">
              <w:rPr>
                <w:lang w:val="es-ES"/>
              </w:rPr>
              <w:t>:</w:t>
            </w:r>
            <w:r w:rsidR="00686563">
              <w:rPr>
                <w:b w:val="0"/>
                <w:spacing w:val="0"/>
                <w:lang w:val="es-ES"/>
              </w:rPr>
              <w:t xml:space="preserve"> </w:t>
            </w:r>
            <w:r w:rsidR="008E66C1" w:rsidRPr="00686563">
              <w:rPr>
                <w:b w:val="0"/>
                <w:spacing w:val="0"/>
                <w:lang w:val="es-ES"/>
              </w:rPr>
              <w:t>6 de octubre de 2022</w:t>
            </w:r>
          </w:p>
        </w:tc>
      </w:tr>
    </w:tbl>
    <w:p w:rsidR="000D7780" w:rsidRPr="00686563" w:rsidRDefault="006E0285" w:rsidP="006A644A">
      <w:pPr>
        <w:pStyle w:val="Titleofdoc0"/>
        <w:rPr>
          <w:lang w:val="es-ES"/>
        </w:rPr>
      </w:pPr>
      <w:bookmarkStart w:id="0" w:name="TitleOfDoc"/>
      <w:bookmarkEnd w:id="0"/>
      <w:r w:rsidRPr="00686563">
        <w:rPr>
          <w:lang w:val="es-ES"/>
        </w:rPr>
        <w:t>TALLERES PREPARATORIOS</w:t>
      </w:r>
    </w:p>
    <w:p w:rsidR="006A644A" w:rsidRPr="00686563" w:rsidRDefault="000638A9" w:rsidP="006A644A">
      <w:pPr>
        <w:pStyle w:val="preparedby1"/>
        <w:jc w:val="left"/>
        <w:rPr>
          <w:lang w:val="es-ES"/>
        </w:rPr>
      </w:pPr>
      <w:bookmarkStart w:id="1" w:name="Prepared"/>
      <w:bookmarkEnd w:id="1"/>
      <w:r w:rsidRPr="00686563">
        <w:rPr>
          <w:lang w:val="es-ES"/>
        </w:rPr>
        <w:t>Documento preparado por la Oficina de la Unión</w:t>
      </w:r>
    </w:p>
    <w:p w:rsidR="00050E16" w:rsidRPr="00686563" w:rsidRDefault="000638A9" w:rsidP="006A644A">
      <w:pPr>
        <w:pStyle w:val="Disclaimer"/>
        <w:rPr>
          <w:lang w:val="es-ES"/>
        </w:rPr>
      </w:pPr>
      <w:r w:rsidRPr="00686563">
        <w:rPr>
          <w:lang w:val="es-ES"/>
        </w:rPr>
        <w:t>Descargo de responsabilidad: el presente documento no constituye un documento de política u orientación de la UPOV</w:t>
      </w:r>
    </w:p>
    <w:p w:rsidR="006E0285" w:rsidRPr="00686563" w:rsidRDefault="006E0285" w:rsidP="006E0285">
      <w:pPr>
        <w:pStyle w:val="Heading1"/>
        <w:rPr>
          <w:lang w:val="es-ES"/>
        </w:rPr>
      </w:pPr>
      <w:bookmarkStart w:id="2" w:name="_Toc117008630"/>
      <w:r w:rsidRPr="00686563">
        <w:rPr>
          <w:lang w:val="es-ES"/>
        </w:rPr>
        <w:t>RESUMEN</w:t>
      </w:r>
      <w:bookmarkEnd w:id="2"/>
    </w:p>
    <w:p w:rsidR="006E0285" w:rsidRPr="00686563" w:rsidRDefault="006E0285" w:rsidP="006E0285">
      <w:pPr>
        <w:autoSpaceDE w:val="0"/>
        <w:autoSpaceDN w:val="0"/>
        <w:adjustRightInd w:val="0"/>
        <w:rPr>
          <w:rFonts w:cs="Arial"/>
          <w:lang w:val="es-ES"/>
        </w:rPr>
      </w:pPr>
    </w:p>
    <w:p w:rsidR="006E0285" w:rsidRPr="00686563" w:rsidRDefault="006E0285" w:rsidP="006E0285">
      <w:pPr>
        <w:rPr>
          <w:rFonts w:cs="Arial"/>
          <w:lang w:val="es-ES"/>
        </w:rPr>
      </w:pPr>
      <w:r w:rsidRPr="00686563">
        <w:rPr>
          <w:rFonts w:cs="Arial"/>
          <w:lang w:val="es-ES"/>
        </w:rPr>
        <w:fldChar w:fldCharType="begin"/>
      </w:r>
      <w:r w:rsidRPr="00686563">
        <w:rPr>
          <w:rFonts w:cs="Arial"/>
          <w:lang w:val="es-ES"/>
        </w:rPr>
        <w:instrText xml:space="preserve"> AUTONUM  </w:instrText>
      </w:r>
      <w:r w:rsidRPr="00686563">
        <w:rPr>
          <w:rFonts w:cs="Arial"/>
          <w:lang w:val="es-ES"/>
        </w:rPr>
        <w:fldChar w:fldCharType="end"/>
      </w:r>
      <w:r w:rsidRPr="00686563">
        <w:rPr>
          <w:rFonts w:cs="Arial"/>
          <w:lang w:val="es-ES"/>
        </w:rPr>
        <w:tab/>
        <w:t>El presente documento tiene por objeto proporcionar un informe sobre los talleres preparatorios realizados en 202</w:t>
      </w:r>
      <w:r w:rsidR="00203F4F" w:rsidRPr="00686563">
        <w:rPr>
          <w:rFonts w:cs="Arial"/>
          <w:lang w:val="es-ES"/>
        </w:rPr>
        <w:t>2</w:t>
      </w:r>
      <w:r w:rsidRPr="00686563">
        <w:rPr>
          <w:rFonts w:cs="Arial"/>
          <w:lang w:val="es-ES"/>
        </w:rPr>
        <w:t xml:space="preserve"> y presentar propuestas para 202</w:t>
      </w:r>
      <w:r w:rsidR="00203F4F" w:rsidRPr="00686563">
        <w:rPr>
          <w:rFonts w:cs="Arial"/>
          <w:lang w:val="es-ES"/>
        </w:rPr>
        <w:t>3</w:t>
      </w:r>
      <w:r w:rsidRPr="00686563">
        <w:rPr>
          <w:rFonts w:cs="Arial"/>
          <w:lang w:val="es-ES"/>
        </w:rPr>
        <w:t>.</w:t>
      </w:r>
    </w:p>
    <w:p w:rsidR="006E0285" w:rsidRPr="00686563" w:rsidRDefault="006E0285" w:rsidP="006E0285">
      <w:pPr>
        <w:tabs>
          <w:tab w:val="left" w:pos="567"/>
          <w:tab w:val="left" w:pos="1134"/>
        </w:tabs>
        <w:autoSpaceDE w:val="0"/>
        <w:autoSpaceDN w:val="0"/>
        <w:adjustRightInd w:val="0"/>
        <w:rPr>
          <w:rFonts w:cs="Arial"/>
          <w:lang w:val="es-ES"/>
        </w:rPr>
      </w:pPr>
    </w:p>
    <w:p w:rsidR="006E0285" w:rsidRPr="00686563" w:rsidRDefault="006E0285" w:rsidP="006E0285">
      <w:pPr>
        <w:pStyle w:val="DecisionParagraphs"/>
        <w:tabs>
          <w:tab w:val="left" w:pos="567"/>
          <w:tab w:val="left" w:pos="1134"/>
        </w:tabs>
        <w:ind w:left="0"/>
        <w:rPr>
          <w:rFonts w:cs="Arial"/>
          <w:i w:val="0"/>
          <w:lang w:val="es-ES"/>
        </w:rPr>
      </w:pPr>
      <w:r w:rsidRPr="00686563">
        <w:rPr>
          <w:rFonts w:cs="Arial"/>
          <w:i w:val="0"/>
          <w:lang w:val="es-ES"/>
        </w:rPr>
        <w:fldChar w:fldCharType="begin"/>
      </w:r>
      <w:r w:rsidRPr="00686563">
        <w:rPr>
          <w:rFonts w:cs="Arial"/>
          <w:i w:val="0"/>
          <w:lang w:val="es-ES"/>
        </w:rPr>
        <w:instrText xml:space="preserve"> AUTONUM  </w:instrText>
      </w:r>
      <w:r w:rsidRPr="00686563">
        <w:rPr>
          <w:rFonts w:cs="Arial"/>
          <w:i w:val="0"/>
          <w:lang w:val="es-ES"/>
        </w:rPr>
        <w:fldChar w:fldCharType="end"/>
      </w:r>
      <w:r w:rsidRPr="00686563">
        <w:rPr>
          <w:rFonts w:cs="Arial"/>
          <w:i w:val="0"/>
          <w:lang w:val="es-ES"/>
        </w:rPr>
        <w:tab/>
        <w:t xml:space="preserve"> Se invita al Comité Técnico (TC) a considerar la posibilidad de organizar talleres preparatorios en forma de una serie de seminarios web en fechas acordes al calendario de reuniones de 202</w:t>
      </w:r>
      <w:r w:rsidR="00203F4F" w:rsidRPr="00686563">
        <w:rPr>
          <w:rFonts w:cs="Arial"/>
          <w:i w:val="0"/>
          <w:lang w:val="es-ES"/>
        </w:rPr>
        <w:t>3</w:t>
      </w:r>
      <w:r w:rsidRPr="00686563">
        <w:rPr>
          <w:rFonts w:cs="Arial"/>
          <w:i w:val="0"/>
          <w:lang w:val="es-ES"/>
        </w:rPr>
        <w:t xml:space="preserve"> de los Grupos de Trabajo Técnico (TWP), conjuntamente con talleres presenciales, cuando así se solicite, conforme a lo expuesto en los párrafos </w:t>
      </w:r>
      <w:r w:rsidR="00203F4F" w:rsidRPr="00686563">
        <w:rPr>
          <w:rFonts w:cs="Arial"/>
          <w:i w:val="0"/>
          <w:lang w:val="es-ES"/>
        </w:rPr>
        <w:t>15</w:t>
      </w:r>
      <w:r w:rsidRPr="00686563">
        <w:rPr>
          <w:rFonts w:cs="Arial"/>
          <w:i w:val="0"/>
          <w:lang w:val="es-ES"/>
        </w:rPr>
        <w:t xml:space="preserve"> a </w:t>
      </w:r>
      <w:r w:rsidR="00203F4F" w:rsidRPr="00686563">
        <w:rPr>
          <w:rFonts w:cs="Arial"/>
          <w:i w:val="0"/>
          <w:lang w:val="es-ES"/>
        </w:rPr>
        <w:t>18</w:t>
      </w:r>
      <w:r w:rsidRPr="00686563">
        <w:rPr>
          <w:rFonts w:cs="Arial"/>
          <w:i w:val="0"/>
          <w:lang w:val="es-ES"/>
        </w:rPr>
        <w:t xml:space="preserve"> del presente documento.</w:t>
      </w:r>
    </w:p>
    <w:p w:rsidR="006E0285" w:rsidRPr="00686563" w:rsidRDefault="006E0285" w:rsidP="006E0285">
      <w:pPr>
        <w:pStyle w:val="DecisionParagraphs"/>
        <w:tabs>
          <w:tab w:val="left" w:pos="567"/>
          <w:tab w:val="left" w:pos="1134"/>
          <w:tab w:val="num" w:pos="5387"/>
        </w:tabs>
        <w:ind w:left="567"/>
        <w:rPr>
          <w:rFonts w:cs="Arial"/>
          <w:i w:val="0"/>
          <w:lang w:val="es-ES"/>
        </w:rPr>
      </w:pPr>
    </w:p>
    <w:p w:rsidR="006E0285" w:rsidRPr="00686563" w:rsidRDefault="006E0285" w:rsidP="006E0285">
      <w:pPr>
        <w:rPr>
          <w:rFonts w:cs="Arial"/>
          <w:color w:val="000000"/>
          <w:lang w:val="es-ES"/>
        </w:rPr>
      </w:pPr>
      <w:r w:rsidRPr="00686563">
        <w:rPr>
          <w:rFonts w:cs="Arial"/>
          <w:color w:val="000000"/>
          <w:lang w:val="es-ES"/>
        </w:rPr>
        <w:fldChar w:fldCharType="begin"/>
      </w:r>
      <w:r w:rsidRPr="00686563">
        <w:rPr>
          <w:rFonts w:cs="Arial"/>
          <w:color w:val="000000"/>
          <w:lang w:val="es-ES"/>
        </w:rPr>
        <w:instrText xml:space="preserve"> AUTONUM  </w:instrText>
      </w:r>
      <w:r w:rsidRPr="00686563">
        <w:rPr>
          <w:rFonts w:cs="Arial"/>
          <w:color w:val="000000"/>
          <w:lang w:val="es-ES"/>
        </w:rPr>
        <w:fldChar w:fldCharType="end"/>
      </w:r>
      <w:r w:rsidRPr="00686563">
        <w:rPr>
          <w:rFonts w:cs="Arial"/>
          <w:color w:val="000000"/>
          <w:lang w:val="es-ES"/>
        </w:rPr>
        <w:tab/>
        <w:t>En el presente documento se utilizan las abreviaturas siguientes:</w:t>
      </w:r>
    </w:p>
    <w:p w:rsidR="006E0285" w:rsidRPr="00686563" w:rsidRDefault="006E0285" w:rsidP="006E0285">
      <w:pPr>
        <w:rPr>
          <w:rFonts w:cs="Arial"/>
          <w:color w:val="000000"/>
          <w:lang w:val="es-ES"/>
        </w:rPr>
      </w:pPr>
    </w:p>
    <w:p w:rsidR="006E0285" w:rsidRPr="00686563" w:rsidRDefault="006E0285" w:rsidP="006E0285">
      <w:pPr>
        <w:tabs>
          <w:tab w:val="left" w:pos="567"/>
        </w:tabs>
        <w:ind w:left="1418" w:hanging="851"/>
        <w:rPr>
          <w:rFonts w:cs="Arial"/>
          <w:color w:val="000000"/>
          <w:lang w:val="es-ES"/>
        </w:rPr>
      </w:pPr>
      <w:r w:rsidRPr="00686563">
        <w:rPr>
          <w:rFonts w:cs="Arial"/>
          <w:color w:val="000000"/>
          <w:lang w:val="es-ES"/>
        </w:rPr>
        <w:t>TC:</w:t>
      </w:r>
      <w:r w:rsidRPr="00686563">
        <w:rPr>
          <w:rFonts w:cs="Arial"/>
          <w:color w:val="000000"/>
          <w:lang w:val="es-ES"/>
        </w:rPr>
        <w:tab/>
        <w:t>Comité Técnico</w:t>
      </w:r>
    </w:p>
    <w:p w:rsidR="006E0285" w:rsidRPr="00686563" w:rsidRDefault="006E0285" w:rsidP="006E0285">
      <w:pPr>
        <w:tabs>
          <w:tab w:val="left" w:pos="567"/>
        </w:tabs>
        <w:ind w:left="1418" w:hanging="851"/>
        <w:rPr>
          <w:rFonts w:cs="Arial"/>
          <w:color w:val="000000"/>
          <w:lang w:val="es-ES"/>
        </w:rPr>
      </w:pPr>
      <w:r w:rsidRPr="00686563">
        <w:rPr>
          <w:rFonts w:cs="Arial"/>
          <w:color w:val="000000"/>
          <w:lang w:val="es-ES"/>
        </w:rPr>
        <w:t>TWA:</w:t>
      </w:r>
      <w:r w:rsidRPr="00686563">
        <w:rPr>
          <w:rFonts w:cs="Arial"/>
          <w:color w:val="000000"/>
          <w:lang w:val="es-ES"/>
        </w:rPr>
        <w:tab/>
        <w:t>Grupo de Trabajo Técnico sobre Plantas Agrícolas</w:t>
      </w:r>
    </w:p>
    <w:p w:rsidR="006E0285" w:rsidRPr="00686563" w:rsidRDefault="006E0285" w:rsidP="006E0285">
      <w:pPr>
        <w:ind w:left="1418" w:hanging="851"/>
        <w:rPr>
          <w:rFonts w:cs="Arial"/>
          <w:color w:val="000000"/>
          <w:lang w:val="es-ES"/>
        </w:rPr>
      </w:pPr>
      <w:r w:rsidRPr="00686563">
        <w:rPr>
          <w:rFonts w:cs="Arial"/>
          <w:color w:val="000000"/>
          <w:lang w:val="es-ES"/>
        </w:rPr>
        <w:t>TWF:</w:t>
      </w:r>
      <w:r w:rsidRPr="00686563">
        <w:rPr>
          <w:rFonts w:cs="Arial"/>
          <w:color w:val="000000"/>
          <w:lang w:val="es-ES"/>
        </w:rPr>
        <w:tab/>
        <w:t>Grupo de Trabajo Técnico sobre Plantas Frutales</w:t>
      </w:r>
    </w:p>
    <w:p w:rsidR="006E0285" w:rsidRPr="00686563" w:rsidRDefault="006E0285" w:rsidP="006E0285">
      <w:pPr>
        <w:ind w:left="1418" w:hanging="851"/>
        <w:rPr>
          <w:rFonts w:cs="Arial"/>
          <w:color w:val="000000"/>
          <w:lang w:val="es-ES"/>
        </w:rPr>
      </w:pPr>
      <w:r w:rsidRPr="00686563">
        <w:rPr>
          <w:rFonts w:cs="Arial"/>
          <w:color w:val="000000"/>
          <w:lang w:val="es-ES"/>
        </w:rPr>
        <w:t>TWM:</w:t>
      </w:r>
      <w:r w:rsidRPr="00686563">
        <w:rPr>
          <w:rFonts w:cs="Arial"/>
          <w:color w:val="000000"/>
          <w:lang w:val="es-ES"/>
        </w:rPr>
        <w:tab/>
        <w:t>Grupo de Trabajo Técnico sobre Métodos y Técnicas de Examen</w:t>
      </w:r>
    </w:p>
    <w:p w:rsidR="006E0285" w:rsidRPr="00686563" w:rsidRDefault="006E0285" w:rsidP="006E0285">
      <w:pPr>
        <w:ind w:left="1418" w:hanging="851"/>
        <w:rPr>
          <w:rFonts w:cs="Arial"/>
          <w:color w:val="000000"/>
          <w:lang w:val="es-ES"/>
        </w:rPr>
      </w:pPr>
      <w:r w:rsidRPr="00686563">
        <w:rPr>
          <w:rFonts w:cs="Arial"/>
          <w:color w:val="000000"/>
          <w:lang w:val="es-ES"/>
        </w:rPr>
        <w:t>TWO:</w:t>
      </w:r>
      <w:r w:rsidRPr="00686563">
        <w:rPr>
          <w:rFonts w:cs="Arial"/>
          <w:color w:val="000000"/>
          <w:lang w:val="es-ES"/>
        </w:rPr>
        <w:tab/>
        <w:t>Grupo de Trabajo Técnico sobre Plantas Ornamentales y Árboles Forestales</w:t>
      </w:r>
    </w:p>
    <w:p w:rsidR="006E0285" w:rsidRPr="00686563" w:rsidRDefault="006E0285" w:rsidP="006E0285">
      <w:pPr>
        <w:pStyle w:val="BodyTextIndent3"/>
        <w:tabs>
          <w:tab w:val="left" w:pos="567"/>
        </w:tabs>
        <w:ind w:left="1418" w:hanging="851"/>
        <w:rPr>
          <w:rFonts w:ascii="Arial" w:hAnsi="Arial" w:cs="Arial"/>
          <w:sz w:val="20"/>
          <w:szCs w:val="20"/>
          <w:lang w:val="es-ES"/>
        </w:rPr>
      </w:pPr>
      <w:r w:rsidRPr="00686563">
        <w:rPr>
          <w:rFonts w:ascii="Arial" w:hAnsi="Arial" w:cs="Arial"/>
          <w:sz w:val="20"/>
          <w:szCs w:val="20"/>
          <w:lang w:val="es-ES"/>
        </w:rPr>
        <w:t>TWP:</w:t>
      </w:r>
      <w:r w:rsidRPr="00686563">
        <w:rPr>
          <w:rFonts w:ascii="Arial" w:hAnsi="Arial" w:cs="Arial"/>
          <w:sz w:val="20"/>
          <w:szCs w:val="20"/>
          <w:lang w:val="es-ES"/>
        </w:rPr>
        <w:tab/>
        <w:t>Grupos de Trabajo Técnico</w:t>
      </w:r>
    </w:p>
    <w:p w:rsidR="006E0285" w:rsidRPr="00686563" w:rsidRDefault="006E0285" w:rsidP="006E0285">
      <w:pPr>
        <w:ind w:left="1418" w:hanging="851"/>
        <w:rPr>
          <w:rFonts w:cs="Arial"/>
          <w:color w:val="000000"/>
          <w:lang w:val="es-ES"/>
        </w:rPr>
      </w:pPr>
      <w:r w:rsidRPr="00686563">
        <w:rPr>
          <w:rFonts w:cs="Arial"/>
          <w:color w:val="000000"/>
          <w:lang w:val="es-ES"/>
        </w:rPr>
        <w:t>TWV:</w:t>
      </w:r>
      <w:r w:rsidRPr="00686563">
        <w:rPr>
          <w:rFonts w:cs="Arial"/>
          <w:color w:val="000000"/>
          <w:lang w:val="es-ES"/>
        </w:rPr>
        <w:tab/>
        <w:t>Grupo de Trabajo Técnico sobre Hortalizas</w:t>
      </w:r>
    </w:p>
    <w:p w:rsidR="006E0285" w:rsidRPr="00686563" w:rsidRDefault="006E0285" w:rsidP="006E0285">
      <w:pPr>
        <w:autoSpaceDE w:val="0"/>
        <w:autoSpaceDN w:val="0"/>
        <w:adjustRightInd w:val="0"/>
        <w:rPr>
          <w:rFonts w:cs="Arial"/>
          <w:snapToGrid w:val="0"/>
          <w:lang w:val="es-ES"/>
        </w:rPr>
      </w:pPr>
    </w:p>
    <w:p w:rsidR="006E0285" w:rsidRPr="00686563" w:rsidRDefault="006E0285" w:rsidP="006E0285">
      <w:pPr>
        <w:autoSpaceDE w:val="0"/>
        <w:autoSpaceDN w:val="0"/>
        <w:adjustRightInd w:val="0"/>
        <w:rPr>
          <w:rFonts w:cs="Arial"/>
          <w:snapToGrid w:val="0"/>
          <w:lang w:val="es-ES" w:eastAsia="ja-JP"/>
        </w:rPr>
      </w:pPr>
      <w:r w:rsidRPr="00686563">
        <w:rPr>
          <w:rFonts w:cs="Arial"/>
          <w:snapToGrid w:val="0"/>
          <w:lang w:val="es-ES"/>
        </w:rPr>
        <w:fldChar w:fldCharType="begin"/>
      </w:r>
      <w:r w:rsidRPr="00686563">
        <w:rPr>
          <w:rFonts w:cs="Arial"/>
          <w:snapToGrid w:val="0"/>
          <w:lang w:val="es-ES"/>
        </w:rPr>
        <w:instrText xml:space="preserve"> AUTONUM  </w:instrText>
      </w:r>
      <w:r w:rsidRPr="00686563">
        <w:rPr>
          <w:rFonts w:cs="Arial"/>
          <w:snapToGrid w:val="0"/>
          <w:lang w:val="es-ES"/>
        </w:rPr>
        <w:fldChar w:fldCharType="end"/>
      </w:r>
      <w:r w:rsidRPr="00686563">
        <w:rPr>
          <w:rFonts w:cs="Arial"/>
          <w:snapToGrid w:val="0"/>
          <w:lang w:val="es-ES"/>
        </w:rPr>
        <w:tab/>
        <w:t>El presente documento se estructura del modo siguiente:</w:t>
      </w:r>
    </w:p>
    <w:p w:rsidR="006E0285" w:rsidRPr="00686563" w:rsidRDefault="006E0285" w:rsidP="006E0285">
      <w:pPr>
        <w:autoSpaceDE w:val="0"/>
        <w:autoSpaceDN w:val="0"/>
        <w:adjustRightInd w:val="0"/>
        <w:rPr>
          <w:rFonts w:cs="Arial"/>
          <w:snapToGrid w:val="0"/>
          <w:lang w:val="es-ES" w:eastAsia="ja-JP"/>
        </w:rPr>
      </w:pPr>
    </w:p>
    <w:p w:rsidR="0082381F" w:rsidRPr="00686563" w:rsidRDefault="006E0285" w:rsidP="00C31A05">
      <w:pPr>
        <w:pStyle w:val="TOC1"/>
        <w:rPr>
          <w:rFonts w:asciiTheme="minorHAnsi" w:eastAsiaTheme="minorEastAsia" w:hAnsiTheme="minorHAnsi" w:cstheme="minorBidi"/>
          <w:sz w:val="22"/>
          <w:szCs w:val="22"/>
          <w:lang w:val="es-ES"/>
        </w:rPr>
      </w:pPr>
      <w:r w:rsidRPr="00686563">
        <w:rPr>
          <w:rFonts w:eastAsiaTheme="minorEastAsia"/>
          <w:bCs/>
          <w:snapToGrid w:val="0"/>
          <w:szCs w:val="18"/>
          <w:lang w:val="es-ES" w:eastAsia="ja-JP"/>
        </w:rPr>
        <w:fldChar w:fldCharType="begin"/>
      </w:r>
      <w:r w:rsidRPr="00686563">
        <w:rPr>
          <w:snapToGrid w:val="0"/>
          <w:szCs w:val="18"/>
          <w:lang w:val="es-ES"/>
        </w:rPr>
        <w:instrText xml:space="preserve"> TOC \o "1-3" \h \z \u </w:instrText>
      </w:r>
      <w:r w:rsidRPr="00686563">
        <w:rPr>
          <w:rFonts w:eastAsiaTheme="minorEastAsia"/>
          <w:bCs/>
          <w:snapToGrid w:val="0"/>
          <w:szCs w:val="18"/>
          <w:lang w:val="es-ES" w:eastAsia="ja-JP"/>
        </w:rPr>
        <w:fldChar w:fldCharType="separate"/>
      </w:r>
      <w:hyperlink w:anchor="_Toc117008630" w:history="1">
        <w:r w:rsidR="0082381F" w:rsidRPr="00686563">
          <w:rPr>
            <w:rStyle w:val="Hyperlink"/>
            <w:lang w:val="es-ES"/>
          </w:rPr>
          <w:t>RESUMEN</w:t>
        </w:r>
        <w:r w:rsidR="0082381F" w:rsidRPr="00686563">
          <w:rPr>
            <w:webHidden/>
            <w:lang w:val="es-ES"/>
          </w:rPr>
          <w:tab/>
        </w:r>
        <w:r w:rsidR="0082381F" w:rsidRPr="00686563">
          <w:rPr>
            <w:webHidden/>
            <w:lang w:val="es-ES"/>
          </w:rPr>
          <w:fldChar w:fldCharType="begin"/>
        </w:r>
        <w:r w:rsidR="0082381F" w:rsidRPr="00686563">
          <w:rPr>
            <w:webHidden/>
            <w:lang w:val="es-ES"/>
          </w:rPr>
          <w:instrText xml:space="preserve"> PAGEREF _Toc117008630 \h </w:instrText>
        </w:r>
        <w:r w:rsidR="0082381F" w:rsidRPr="00686563">
          <w:rPr>
            <w:webHidden/>
            <w:lang w:val="es-ES"/>
          </w:rPr>
        </w:r>
        <w:r w:rsidR="0082381F" w:rsidRPr="00686563">
          <w:rPr>
            <w:webHidden/>
            <w:lang w:val="es-ES"/>
          </w:rPr>
          <w:fldChar w:fldCharType="separate"/>
        </w:r>
        <w:r w:rsidR="0082381F" w:rsidRPr="00686563">
          <w:rPr>
            <w:webHidden/>
            <w:lang w:val="es-ES"/>
          </w:rPr>
          <w:t>1</w:t>
        </w:r>
        <w:r w:rsidR="0082381F" w:rsidRPr="00686563">
          <w:rPr>
            <w:webHidden/>
            <w:lang w:val="es-ES"/>
          </w:rPr>
          <w:fldChar w:fldCharType="end"/>
        </w:r>
      </w:hyperlink>
    </w:p>
    <w:p w:rsidR="0082381F" w:rsidRPr="00686563" w:rsidRDefault="00596B04" w:rsidP="00C31A05">
      <w:pPr>
        <w:pStyle w:val="TOC1"/>
        <w:rPr>
          <w:rFonts w:asciiTheme="minorHAnsi" w:eastAsiaTheme="minorEastAsia" w:hAnsiTheme="minorHAnsi" w:cstheme="minorBidi"/>
          <w:sz w:val="22"/>
          <w:szCs w:val="22"/>
          <w:lang w:val="es-ES"/>
        </w:rPr>
      </w:pPr>
      <w:hyperlink w:anchor="_Toc117008631" w:history="1">
        <w:r w:rsidR="0082381F" w:rsidRPr="00686563">
          <w:rPr>
            <w:rStyle w:val="Hyperlink"/>
            <w:lang w:val="es-ES"/>
          </w:rPr>
          <w:t>ANTECEDENTES</w:t>
        </w:r>
        <w:r w:rsidR="0082381F" w:rsidRPr="00686563">
          <w:rPr>
            <w:webHidden/>
            <w:lang w:val="es-ES"/>
          </w:rPr>
          <w:tab/>
        </w:r>
        <w:r w:rsidR="0082381F" w:rsidRPr="00686563">
          <w:rPr>
            <w:webHidden/>
            <w:lang w:val="es-ES"/>
          </w:rPr>
          <w:fldChar w:fldCharType="begin"/>
        </w:r>
        <w:r w:rsidR="0082381F" w:rsidRPr="00686563">
          <w:rPr>
            <w:webHidden/>
            <w:lang w:val="es-ES"/>
          </w:rPr>
          <w:instrText xml:space="preserve"> PAGEREF _Toc117008631 \h </w:instrText>
        </w:r>
        <w:r w:rsidR="0082381F" w:rsidRPr="00686563">
          <w:rPr>
            <w:webHidden/>
            <w:lang w:val="es-ES"/>
          </w:rPr>
        </w:r>
        <w:r w:rsidR="0082381F" w:rsidRPr="00686563">
          <w:rPr>
            <w:webHidden/>
            <w:lang w:val="es-ES"/>
          </w:rPr>
          <w:fldChar w:fldCharType="separate"/>
        </w:r>
        <w:r w:rsidR="0082381F" w:rsidRPr="00686563">
          <w:rPr>
            <w:webHidden/>
            <w:lang w:val="es-ES"/>
          </w:rPr>
          <w:t>1</w:t>
        </w:r>
        <w:r w:rsidR="0082381F" w:rsidRPr="00686563">
          <w:rPr>
            <w:webHidden/>
            <w:lang w:val="es-ES"/>
          </w:rPr>
          <w:fldChar w:fldCharType="end"/>
        </w:r>
      </w:hyperlink>
    </w:p>
    <w:p w:rsidR="0082381F" w:rsidRPr="00686563" w:rsidRDefault="00596B04" w:rsidP="00C31A05">
      <w:pPr>
        <w:pStyle w:val="TOC1"/>
        <w:rPr>
          <w:rFonts w:asciiTheme="minorHAnsi" w:eastAsiaTheme="minorEastAsia" w:hAnsiTheme="minorHAnsi" w:cstheme="minorBidi"/>
          <w:sz w:val="22"/>
          <w:szCs w:val="22"/>
          <w:lang w:val="es-ES"/>
        </w:rPr>
      </w:pPr>
      <w:hyperlink w:anchor="_Toc117008632" w:history="1">
        <w:r w:rsidR="0082381F" w:rsidRPr="00686563">
          <w:rPr>
            <w:rStyle w:val="Hyperlink"/>
            <w:lang w:val="es-ES"/>
          </w:rPr>
          <w:t>INFORME SOBRE LOS TALLERES PREPARATORIOS DE 2022</w:t>
        </w:r>
        <w:r w:rsidR="0082381F" w:rsidRPr="00686563">
          <w:rPr>
            <w:webHidden/>
            <w:lang w:val="es-ES"/>
          </w:rPr>
          <w:tab/>
        </w:r>
        <w:r w:rsidR="0082381F" w:rsidRPr="00686563">
          <w:rPr>
            <w:webHidden/>
            <w:lang w:val="es-ES"/>
          </w:rPr>
          <w:fldChar w:fldCharType="begin"/>
        </w:r>
        <w:r w:rsidR="0082381F" w:rsidRPr="00686563">
          <w:rPr>
            <w:webHidden/>
            <w:lang w:val="es-ES"/>
          </w:rPr>
          <w:instrText xml:space="preserve"> PAGEREF _Toc117008632 \h </w:instrText>
        </w:r>
        <w:r w:rsidR="0082381F" w:rsidRPr="00686563">
          <w:rPr>
            <w:webHidden/>
            <w:lang w:val="es-ES"/>
          </w:rPr>
        </w:r>
        <w:r w:rsidR="0082381F" w:rsidRPr="00686563">
          <w:rPr>
            <w:webHidden/>
            <w:lang w:val="es-ES"/>
          </w:rPr>
          <w:fldChar w:fldCharType="separate"/>
        </w:r>
        <w:r w:rsidR="0082381F" w:rsidRPr="00686563">
          <w:rPr>
            <w:webHidden/>
            <w:lang w:val="es-ES"/>
          </w:rPr>
          <w:t>2</w:t>
        </w:r>
        <w:r w:rsidR="0082381F" w:rsidRPr="00686563">
          <w:rPr>
            <w:webHidden/>
            <w:lang w:val="es-ES"/>
          </w:rPr>
          <w:fldChar w:fldCharType="end"/>
        </w:r>
      </w:hyperlink>
    </w:p>
    <w:p w:rsidR="0082381F" w:rsidRPr="00686563" w:rsidRDefault="00596B04" w:rsidP="00C31A05">
      <w:pPr>
        <w:pStyle w:val="TOC1"/>
        <w:rPr>
          <w:rFonts w:asciiTheme="minorHAnsi" w:eastAsiaTheme="minorEastAsia" w:hAnsiTheme="minorHAnsi" w:cstheme="minorBidi"/>
          <w:sz w:val="22"/>
          <w:szCs w:val="22"/>
          <w:lang w:val="es-ES"/>
        </w:rPr>
      </w:pPr>
      <w:hyperlink w:anchor="_Toc117008633" w:history="1">
        <w:r w:rsidR="0082381F" w:rsidRPr="00686563">
          <w:rPr>
            <w:rStyle w:val="Hyperlink"/>
            <w:lang w:val="es-ES"/>
          </w:rPr>
          <w:t>PROGRAMA Y FORMATO DE LA LABOR PREPARATORIA DE 2023</w:t>
        </w:r>
        <w:r w:rsidR="0082381F" w:rsidRPr="00686563">
          <w:rPr>
            <w:webHidden/>
            <w:lang w:val="es-ES"/>
          </w:rPr>
          <w:tab/>
        </w:r>
        <w:r w:rsidR="0082381F" w:rsidRPr="00686563">
          <w:rPr>
            <w:webHidden/>
            <w:lang w:val="es-ES"/>
          </w:rPr>
          <w:fldChar w:fldCharType="begin"/>
        </w:r>
        <w:r w:rsidR="0082381F" w:rsidRPr="00686563">
          <w:rPr>
            <w:webHidden/>
            <w:lang w:val="es-ES"/>
          </w:rPr>
          <w:instrText xml:space="preserve"> PAGEREF _Toc117008633 \h </w:instrText>
        </w:r>
        <w:r w:rsidR="0082381F" w:rsidRPr="00686563">
          <w:rPr>
            <w:webHidden/>
            <w:lang w:val="es-ES"/>
          </w:rPr>
        </w:r>
        <w:r w:rsidR="0082381F" w:rsidRPr="00686563">
          <w:rPr>
            <w:webHidden/>
            <w:lang w:val="es-ES"/>
          </w:rPr>
          <w:fldChar w:fldCharType="separate"/>
        </w:r>
        <w:r w:rsidR="0082381F" w:rsidRPr="00686563">
          <w:rPr>
            <w:webHidden/>
            <w:lang w:val="es-ES"/>
          </w:rPr>
          <w:t>3</w:t>
        </w:r>
        <w:r w:rsidR="0082381F" w:rsidRPr="00686563">
          <w:rPr>
            <w:webHidden/>
            <w:lang w:val="es-ES"/>
          </w:rPr>
          <w:fldChar w:fldCharType="end"/>
        </w:r>
      </w:hyperlink>
    </w:p>
    <w:p w:rsidR="0082381F" w:rsidRPr="00686563" w:rsidRDefault="00596B04" w:rsidP="0082381F">
      <w:pPr>
        <w:pStyle w:val="TOC2"/>
        <w:rPr>
          <w:rFonts w:asciiTheme="minorHAnsi" w:eastAsiaTheme="minorEastAsia" w:hAnsiTheme="minorHAnsi" w:cstheme="minorBidi"/>
          <w:smallCaps/>
          <w:noProof w:val="0"/>
          <w:sz w:val="22"/>
          <w:szCs w:val="22"/>
          <w:lang w:val="es-ES"/>
        </w:rPr>
      </w:pPr>
      <w:hyperlink w:anchor="_Toc117008634" w:history="1">
        <w:r w:rsidR="0082381F" w:rsidRPr="00686563">
          <w:rPr>
            <w:rStyle w:val="Hyperlink"/>
            <w:noProof w:val="0"/>
            <w:lang w:val="es-ES"/>
          </w:rPr>
          <w:t>Propuesta:</w:t>
        </w:r>
        <w:r w:rsidR="0082381F" w:rsidRPr="00686563">
          <w:rPr>
            <w:noProof w:val="0"/>
            <w:webHidden/>
            <w:lang w:val="es-ES"/>
          </w:rPr>
          <w:tab/>
        </w:r>
        <w:r w:rsidR="0082381F" w:rsidRPr="00686563">
          <w:rPr>
            <w:noProof w:val="0"/>
            <w:webHidden/>
            <w:lang w:val="es-ES"/>
          </w:rPr>
          <w:fldChar w:fldCharType="begin"/>
        </w:r>
        <w:r w:rsidR="0082381F" w:rsidRPr="00686563">
          <w:rPr>
            <w:noProof w:val="0"/>
            <w:webHidden/>
            <w:lang w:val="es-ES"/>
          </w:rPr>
          <w:instrText xml:space="preserve"> PAGEREF _Toc117008634 \h </w:instrText>
        </w:r>
        <w:r w:rsidR="0082381F" w:rsidRPr="00686563">
          <w:rPr>
            <w:noProof w:val="0"/>
            <w:webHidden/>
            <w:lang w:val="es-ES"/>
          </w:rPr>
        </w:r>
        <w:r w:rsidR="0082381F" w:rsidRPr="00686563">
          <w:rPr>
            <w:noProof w:val="0"/>
            <w:webHidden/>
            <w:lang w:val="es-ES"/>
          </w:rPr>
          <w:fldChar w:fldCharType="separate"/>
        </w:r>
        <w:r w:rsidR="0082381F" w:rsidRPr="00686563">
          <w:rPr>
            <w:noProof w:val="0"/>
            <w:webHidden/>
            <w:lang w:val="es-ES"/>
          </w:rPr>
          <w:t>3</w:t>
        </w:r>
        <w:r w:rsidR="0082381F" w:rsidRPr="00686563">
          <w:rPr>
            <w:noProof w:val="0"/>
            <w:webHidden/>
            <w:lang w:val="es-ES"/>
          </w:rPr>
          <w:fldChar w:fldCharType="end"/>
        </w:r>
      </w:hyperlink>
    </w:p>
    <w:p w:rsidR="0082381F" w:rsidRPr="00686563" w:rsidRDefault="00596B04" w:rsidP="00C31A05">
      <w:pPr>
        <w:pStyle w:val="TOC1"/>
        <w:rPr>
          <w:rFonts w:asciiTheme="minorHAnsi" w:eastAsiaTheme="minorEastAsia" w:hAnsiTheme="minorHAnsi" w:cstheme="minorBidi"/>
          <w:sz w:val="22"/>
          <w:szCs w:val="22"/>
          <w:lang w:val="es-ES"/>
        </w:rPr>
      </w:pPr>
      <w:hyperlink w:anchor="_Toc117008635" w:history="1">
        <w:r w:rsidR="0082381F" w:rsidRPr="00686563">
          <w:rPr>
            <w:rStyle w:val="Hyperlink"/>
            <w:rFonts w:cs="Arial"/>
            <w:lang w:val="es-ES"/>
          </w:rPr>
          <w:t>PROGRAMA DE LOS SEMINARIOS WEB PREPARATORIOS DE 2022</w:t>
        </w:r>
        <w:r w:rsidR="0082381F" w:rsidRPr="00686563">
          <w:rPr>
            <w:webHidden/>
            <w:lang w:val="es-ES"/>
          </w:rPr>
          <w:tab/>
        </w:r>
        <w:r w:rsidR="0082381F" w:rsidRPr="00686563">
          <w:rPr>
            <w:webHidden/>
            <w:lang w:val="es-ES"/>
          </w:rPr>
          <w:fldChar w:fldCharType="begin"/>
        </w:r>
        <w:r w:rsidR="0082381F" w:rsidRPr="00686563">
          <w:rPr>
            <w:webHidden/>
            <w:lang w:val="es-ES"/>
          </w:rPr>
          <w:instrText xml:space="preserve"> PAGEREF _Toc117008635 \h </w:instrText>
        </w:r>
        <w:r w:rsidR="0082381F" w:rsidRPr="00686563">
          <w:rPr>
            <w:webHidden/>
            <w:lang w:val="es-ES"/>
          </w:rPr>
        </w:r>
        <w:r w:rsidR="0082381F" w:rsidRPr="00686563">
          <w:rPr>
            <w:webHidden/>
            <w:lang w:val="es-ES"/>
          </w:rPr>
          <w:fldChar w:fldCharType="separate"/>
        </w:r>
        <w:r w:rsidR="0082381F" w:rsidRPr="00686563">
          <w:rPr>
            <w:webHidden/>
            <w:lang w:val="es-ES"/>
          </w:rPr>
          <w:t>1</w:t>
        </w:r>
        <w:r w:rsidR="0082381F" w:rsidRPr="00686563">
          <w:rPr>
            <w:webHidden/>
            <w:lang w:val="es-ES"/>
          </w:rPr>
          <w:fldChar w:fldCharType="end"/>
        </w:r>
      </w:hyperlink>
    </w:p>
    <w:p w:rsidR="0082381F" w:rsidRPr="00686563" w:rsidRDefault="00596B04" w:rsidP="0082381F">
      <w:pPr>
        <w:pStyle w:val="TOC2"/>
        <w:rPr>
          <w:rFonts w:asciiTheme="minorHAnsi" w:eastAsiaTheme="minorEastAsia" w:hAnsiTheme="minorHAnsi" w:cstheme="minorBidi"/>
          <w:smallCaps/>
          <w:noProof w:val="0"/>
          <w:sz w:val="22"/>
          <w:szCs w:val="22"/>
          <w:lang w:val="es-ES"/>
        </w:rPr>
      </w:pPr>
      <w:hyperlink w:anchor="_Toc117008636" w:history="1">
        <w:r w:rsidR="0082381F" w:rsidRPr="00686563">
          <w:rPr>
            <w:rStyle w:val="Hyperlink"/>
            <w:noProof w:val="0"/>
            <w:lang w:val="es-ES"/>
          </w:rPr>
          <w:t>Ponencias introductorias</w:t>
        </w:r>
        <w:r w:rsidR="0082381F" w:rsidRPr="00686563">
          <w:rPr>
            <w:noProof w:val="0"/>
            <w:webHidden/>
            <w:lang w:val="es-ES"/>
          </w:rPr>
          <w:tab/>
        </w:r>
        <w:r w:rsidR="0082381F" w:rsidRPr="00686563">
          <w:rPr>
            <w:noProof w:val="0"/>
            <w:webHidden/>
            <w:lang w:val="es-ES"/>
          </w:rPr>
          <w:fldChar w:fldCharType="begin"/>
        </w:r>
        <w:r w:rsidR="0082381F" w:rsidRPr="00686563">
          <w:rPr>
            <w:noProof w:val="0"/>
            <w:webHidden/>
            <w:lang w:val="es-ES"/>
          </w:rPr>
          <w:instrText xml:space="preserve"> PAGEREF _Toc117008636 \h </w:instrText>
        </w:r>
        <w:r w:rsidR="0082381F" w:rsidRPr="00686563">
          <w:rPr>
            <w:noProof w:val="0"/>
            <w:webHidden/>
            <w:lang w:val="es-ES"/>
          </w:rPr>
        </w:r>
        <w:r w:rsidR="0082381F" w:rsidRPr="00686563">
          <w:rPr>
            <w:noProof w:val="0"/>
            <w:webHidden/>
            <w:lang w:val="es-ES"/>
          </w:rPr>
          <w:fldChar w:fldCharType="separate"/>
        </w:r>
        <w:r w:rsidR="0082381F" w:rsidRPr="00686563">
          <w:rPr>
            <w:noProof w:val="0"/>
            <w:webHidden/>
            <w:lang w:val="es-ES"/>
          </w:rPr>
          <w:t>1</w:t>
        </w:r>
        <w:r w:rsidR="0082381F" w:rsidRPr="00686563">
          <w:rPr>
            <w:noProof w:val="0"/>
            <w:webHidden/>
            <w:lang w:val="es-ES"/>
          </w:rPr>
          <w:fldChar w:fldCharType="end"/>
        </w:r>
      </w:hyperlink>
    </w:p>
    <w:p w:rsidR="006E0285" w:rsidRPr="00686563" w:rsidRDefault="006E0285" w:rsidP="006E0285">
      <w:pPr>
        <w:rPr>
          <w:rFonts w:cs="Arial"/>
          <w:snapToGrid w:val="0"/>
          <w:sz w:val="18"/>
          <w:szCs w:val="18"/>
          <w:lang w:val="es-ES"/>
        </w:rPr>
      </w:pPr>
      <w:r w:rsidRPr="00686563">
        <w:rPr>
          <w:rFonts w:cs="Arial"/>
          <w:snapToGrid w:val="0"/>
          <w:sz w:val="18"/>
          <w:szCs w:val="18"/>
          <w:lang w:val="es-ES"/>
        </w:rPr>
        <w:fldChar w:fldCharType="end"/>
      </w:r>
    </w:p>
    <w:p w:rsidR="006E0285" w:rsidRPr="00686563" w:rsidRDefault="006E0285" w:rsidP="006E0285">
      <w:pPr>
        <w:rPr>
          <w:rFonts w:cs="Arial"/>
          <w:snapToGrid w:val="0"/>
          <w:lang w:val="es-ES"/>
        </w:rPr>
      </w:pPr>
      <w:r w:rsidRPr="00686563">
        <w:rPr>
          <w:rFonts w:cs="Arial"/>
          <w:snapToGrid w:val="0"/>
          <w:lang w:val="es-ES"/>
        </w:rPr>
        <w:t>A</w:t>
      </w:r>
      <w:r w:rsidR="00203F4F" w:rsidRPr="00686563">
        <w:rPr>
          <w:rFonts w:cs="Arial"/>
          <w:snapToGrid w:val="0"/>
          <w:lang w:val="es-ES"/>
        </w:rPr>
        <w:t>nexo</w:t>
      </w:r>
      <w:r w:rsidRPr="00686563">
        <w:rPr>
          <w:rFonts w:cs="Arial"/>
          <w:snapToGrid w:val="0"/>
          <w:lang w:val="es-ES"/>
        </w:rPr>
        <w:t>: Programa de los semi</w:t>
      </w:r>
      <w:r w:rsidR="00203F4F" w:rsidRPr="00686563">
        <w:rPr>
          <w:rFonts w:cs="Arial"/>
          <w:snapToGrid w:val="0"/>
          <w:lang w:val="es-ES"/>
        </w:rPr>
        <w:t>narios web preparatorios de 2022</w:t>
      </w:r>
    </w:p>
    <w:p w:rsidR="006E0285" w:rsidRPr="00686563" w:rsidRDefault="006E0285" w:rsidP="006E0285">
      <w:pPr>
        <w:rPr>
          <w:rFonts w:cs="Arial"/>
          <w:snapToGrid w:val="0"/>
          <w:lang w:val="es-ES"/>
        </w:rPr>
      </w:pPr>
    </w:p>
    <w:p w:rsidR="006E0285" w:rsidRPr="00686563" w:rsidRDefault="006E0285" w:rsidP="006E0285">
      <w:pPr>
        <w:rPr>
          <w:lang w:val="es-ES"/>
        </w:rPr>
      </w:pPr>
      <w:r w:rsidRPr="00686563">
        <w:rPr>
          <w:noProof/>
          <w:lang w:val="en-US"/>
        </w:rPr>
        <mc:AlternateContent>
          <mc:Choice Requires="wps">
            <w:drawing>
              <wp:anchor distT="0" distB="0" distL="114300" distR="114300" simplePos="0" relativeHeight="251659264" behindDoc="0" locked="0" layoutInCell="1" allowOverlap="1" wp14:anchorId="3F915AB0" wp14:editId="4650E662">
                <wp:simplePos x="0" y="0"/>
                <wp:positionH relativeFrom="column">
                  <wp:posOffset>-694690</wp:posOffset>
                </wp:positionH>
                <wp:positionV relativeFrom="paragraph">
                  <wp:posOffset>155575</wp:posOffset>
                </wp:positionV>
                <wp:extent cx="317500" cy="635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wps:spPr>
                      <wps:txbx>
                        <w:txbxContent>
                          <w:p w:rsidR="006E0285" w:rsidRPr="00D31BFA" w:rsidRDefault="006E0285" w:rsidP="006E0285">
                            <w:pPr>
                              <w:jc w:val="right"/>
                              <w:rPr>
                                <w:rFonts w:cs="Arial"/>
                                <w:color w:val="000000"/>
                              </w:rPr>
                            </w:pPr>
                            <w:r w:rsidRPr="00D31BFA">
                              <w:rPr>
                                <w:rFonts w:cs="Arial"/>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F915AB0" id="_x0000_t202" coordsize="21600,21600" o:spt="202" path="m,l,21600r21600,l21600,xe">
                <v:stroke joinstyle="miter"/>
                <v:path gradientshapeok="t" o:connecttype="rect"/>
              </v:shapetype>
              <v:shape id="Text Box 1" o:spid="_x0000_s1026" type="#_x0000_t202" style="position:absolute;left:0;text-align:left;margin-left:-54.7pt;margin-top:12.25pt;width:25pt;height: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" fillcolor="black" strokeweight=".5pt">
                <v:fill opacity="0"/>
                <v:stroke opacity="0" joinstyle="round"/>
                <v:textbox inset="0,0,0,0">
                  <w:txbxContent>
                    <w:p w:rsidR="006E0285" w:rsidRPr="00D31BFA" w:rsidRDefault="006E0285" w:rsidP="006E0285">
                      <w:pPr>
                        <w:jc w:val="right"/>
                        <w:rPr>
                          <w:rFonts w:cs="Arial"/>
                          <w:color w:val="000000"/>
                        </w:rPr>
                      </w:pPr>
                      <w:r w:rsidRPr="00D31BFA">
                        <w:rPr>
                          <w:rFonts w:cs="Arial"/>
                          <w:color w:val="000000"/>
                        </w:rPr>
                        <w:t xml:space="preserve">./. </w:t>
                      </w:r>
                    </w:p>
                  </w:txbxContent>
                </v:textbox>
              </v:shape>
            </w:pict>
          </mc:Fallback>
        </mc:AlternateContent>
      </w:r>
    </w:p>
    <w:p w:rsidR="006E0285" w:rsidRPr="00686563" w:rsidRDefault="006E0285" w:rsidP="006E0285">
      <w:pPr>
        <w:pStyle w:val="Heading1"/>
        <w:rPr>
          <w:lang w:val="es-ES"/>
        </w:rPr>
      </w:pPr>
      <w:bookmarkStart w:id="3" w:name="_Toc117008631"/>
      <w:r w:rsidRPr="00686563">
        <w:rPr>
          <w:lang w:val="es-ES"/>
        </w:rPr>
        <w:t>ANTECEDENTES</w:t>
      </w:r>
      <w:bookmarkEnd w:id="3"/>
    </w:p>
    <w:p w:rsidR="006E0285" w:rsidRPr="00686563" w:rsidRDefault="006E0285" w:rsidP="006E0285">
      <w:pPr>
        <w:keepNext/>
        <w:keepLines/>
        <w:rPr>
          <w:lang w:val="es-ES"/>
        </w:rPr>
      </w:pPr>
    </w:p>
    <w:p w:rsidR="006E0285" w:rsidRPr="00686563" w:rsidRDefault="006E0285" w:rsidP="006E0285">
      <w:pPr>
        <w:keepLines/>
        <w:autoSpaceDE w:val="0"/>
        <w:autoSpaceDN w:val="0"/>
        <w:adjustRightInd w:val="0"/>
        <w:rPr>
          <w:rFonts w:cs="Arial"/>
          <w:snapToGrid w:val="0"/>
          <w:lang w:val="es-ES"/>
        </w:rPr>
      </w:pPr>
      <w:r w:rsidRPr="00686563">
        <w:rPr>
          <w:rFonts w:cs="Arial"/>
          <w:lang w:val="es-ES"/>
        </w:rPr>
        <w:fldChar w:fldCharType="begin"/>
      </w:r>
      <w:r w:rsidRPr="00686563">
        <w:rPr>
          <w:rFonts w:cs="Arial"/>
          <w:lang w:val="es-ES"/>
        </w:rPr>
        <w:instrText xml:space="preserve"> AUTONUM  </w:instrText>
      </w:r>
      <w:r w:rsidRPr="00686563">
        <w:rPr>
          <w:rFonts w:cs="Arial"/>
          <w:lang w:val="es-ES"/>
        </w:rPr>
        <w:fldChar w:fldCharType="end"/>
      </w:r>
      <w:r w:rsidRPr="00686563">
        <w:rPr>
          <w:rFonts w:cs="Arial"/>
          <w:lang w:val="es-ES"/>
        </w:rPr>
        <w:tab/>
        <w:t>En su trigésima octava sesión</w:t>
      </w:r>
      <w:r w:rsidR="00203F4F" w:rsidRPr="00686563">
        <w:rPr>
          <w:rFonts w:cs="Arial"/>
          <w:lang w:val="es-ES"/>
        </w:rPr>
        <w:t>,</w:t>
      </w:r>
      <w:r w:rsidRPr="00686563">
        <w:rPr>
          <w:rStyle w:val="FootnoteReference"/>
          <w:rFonts w:cs="Arial"/>
          <w:lang w:val="es-ES"/>
        </w:rPr>
        <w:footnoteReference w:id="2"/>
      </w:r>
      <w:r w:rsidRPr="00686563">
        <w:rPr>
          <w:rFonts w:cs="Arial"/>
          <w:lang w:val="es-ES"/>
        </w:rPr>
        <w:t xml:space="preserve"> sobre la base del documento TC/38/12, el TC decidió que se organi</w:t>
      </w:r>
      <w:r w:rsidR="00F62AB6" w:rsidRPr="00686563">
        <w:rPr>
          <w:rFonts w:cs="Arial"/>
          <w:lang w:val="es-ES"/>
        </w:rPr>
        <w:t>zaran</w:t>
      </w:r>
      <w:r w:rsidRPr="00686563">
        <w:rPr>
          <w:rFonts w:cs="Arial"/>
          <w:lang w:val="es-ES"/>
        </w:rPr>
        <w:t xml:space="preserve"> talleres preparatorios antes de cada reunión de los TWP a fin de ayudar a algunos de los delegados a participar de forma más activa en las reuniones (véanse los párrafos 215 a 218 del documento TC/38/16 “Informe”).</w:t>
      </w:r>
    </w:p>
    <w:p w:rsidR="006E0285" w:rsidRPr="00686563" w:rsidRDefault="006E0285" w:rsidP="006E0285">
      <w:pPr>
        <w:rPr>
          <w:lang w:val="es-ES"/>
        </w:rPr>
      </w:pPr>
    </w:p>
    <w:p w:rsidR="00203F4F" w:rsidRPr="00686563" w:rsidRDefault="006E0285" w:rsidP="006E0285">
      <w:pPr>
        <w:rPr>
          <w:lang w:val="es-ES"/>
        </w:rPr>
      </w:pPr>
      <w:r w:rsidRPr="00686563">
        <w:rPr>
          <w:lang w:val="es-ES"/>
        </w:rPr>
        <w:lastRenderedPageBreak/>
        <w:fldChar w:fldCharType="begin"/>
      </w:r>
      <w:r w:rsidRPr="00686563">
        <w:rPr>
          <w:lang w:val="es-ES"/>
        </w:rPr>
        <w:instrText xml:space="preserve"> AUTONUM  </w:instrText>
      </w:r>
      <w:r w:rsidRPr="00686563">
        <w:rPr>
          <w:lang w:val="es-ES"/>
        </w:rPr>
        <w:fldChar w:fldCharType="end"/>
      </w:r>
      <w:r w:rsidRPr="00686563">
        <w:rPr>
          <w:lang w:val="es-ES"/>
        </w:rPr>
        <w:tab/>
        <w:t>En su quincuagésima quinta sesión</w:t>
      </w:r>
      <w:r w:rsidR="00203F4F" w:rsidRPr="00686563">
        <w:rPr>
          <w:lang w:val="es-ES"/>
        </w:rPr>
        <w:t>,</w:t>
      </w:r>
      <w:r w:rsidRPr="00686563">
        <w:rPr>
          <w:rStyle w:val="FootnoteReference"/>
          <w:lang w:val="es-ES"/>
        </w:rPr>
        <w:footnoteReference w:id="3"/>
      </w:r>
      <w:r w:rsidRPr="00686563">
        <w:rPr>
          <w:lang w:val="es-ES"/>
        </w:rPr>
        <w:t xml:space="preserve"> </w:t>
      </w:r>
      <w:r w:rsidR="00E40179" w:rsidRPr="00686563">
        <w:rPr>
          <w:lang w:val="es-ES"/>
        </w:rPr>
        <w:t>el TC recordó que los talleres preparatorios constituyen una oportunidad para la formación de los participantes locales y acordó que los anfitriones de los TWP deben tener la posibilidad de decidir si organizan o no un taller preparatorio antes de la sesión del TWP en cuestión (véanse los párrafos 226 y 227 del documento TC/55/25 “Informe”).</w:t>
      </w:r>
    </w:p>
    <w:p w:rsidR="00203F4F" w:rsidRPr="00686563" w:rsidRDefault="00203F4F" w:rsidP="006E0285">
      <w:pPr>
        <w:rPr>
          <w:lang w:val="es-ES"/>
        </w:rPr>
      </w:pPr>
    </w:p>
    <w:p w:rsidR="00DD4CD1" w:rsidRPr="00686563" w:rsidRDefault="00A121D5" w:rsidP="006E0285">
      <w:pPr>
        <w:rPr>
          <w:lang w:val="es-ES"/>
        </w:rPr>
      </w:pPr>
      <w:r w:rsidRPr="00686563">
        <w:rPr>
          <w:lang w:val="es-ES"/>
        </w:rPr>
        <w:fldChar w:fldCharType="begin"/>
      </w:r>
      <w:r w:rsidRPr="00686563">
        <w:rPr>
          <w:lang w:val="es-ES"/>
        </w:rPr>
        <w:instrText xml:space="preserve"> AUTONUM  </w:instrText>
      </w:r>
      <w:r w:rsidRPr="00686563">
        <w:rPr>
          <w:lang w:val="es-ES"/>
        </w:rPr>
        <w:fldChar w:fldCharType="end"/>
      </w:r>
      <w:r w:rsidR="00DD4CD1" w:rsidRPr="00686563">
        <w:rPr>
          <w:lang w:val="es-ES"/>
        </w:rPr>
        <w:tab/>
      </w:r>
      <w:r w:rsidR="00E40179" w:rsidRPr="00686563">
        <w:rPr>
          <w:lang w:val="es-ES"/>
        </w:rPr>
        <w:t>En su quincuagésima quinta sesión, el TC convino en que se debe invitar a los TWP a examinar la posibilidad de la organización de talleres preparatorios al estudiar el lugar y la fecha de sus futuras reuniones.</w:t>
      </w:r>
    </w:p>
    <w:p w:rsidR="00DD4CD1" w:rsidRPr="00686563" w:rsidRDefault="00DD4CD1" w:rsidP="006E0285">
      <w:pPr>
        <w:rPr>
          <w:lang w:val="es-ES"/>
        </w:rPr>
      </w:pPr>
    </w:p>
    <w:p w:rsidR="00DD4CD1" w:rsidRPr="00686563" w:rsidRDefault="00626FED" w:rsidP="00DD4CD1">
      <w:pPr>
        <w:rPr>
          <w:snapToGrid w:val="0"/>
          <w:lang w:val="es-ES"/>
        </w:rPr>
      </w:pPr>
      <w:r w:rsidRPr="00686563">
        <w:rPr>
          <w:lang w:val="es-ES"/>
        </w:rPr>
        <w:fldChar w:fldCharType="begin"/>
      </w:r>
      <w:r w:rsidRPr="00686563">
        <w:rPr>
          <w:lang w:val="es-ES"/>
        </w:rPr>
        <w:instrText xml:space="preserve"> AUTONUM  </w:instrText>
      </w:r>
      <w:r w:rsidRPr="00686563">
        <w:rPr>
          <w:lang w:val="es-ES"/>
        </w:rPr>
        <w:fldChar w:fldCharType="end"/>
      </w:r>
      <w:r w:rsidR="00DD4CD1" w:rsidRPr="00686563">
        <w:rPr>
          <w:lang w:val="es-ES"/>
        </w:rPr>
        <w:tab/>
      </w:r>
      <w:r w:rsidR="00E40179" w:rsidRPr="00686563">
        <w:rPr>
          <w:lang w:val="es-ES"/>
        </w:rPr>
        <w:t>En su quincuagésima sexta sesión,</w:t>
      </w:r>
      <w:r w:rsidR="00E40179" w:rsidRPr="00686563">
        <w:rPr>
          <w:vertAlign w:val="superscript"/>
          <w:lang w:val="es-ES"/>
        </w:rPr>
        <w:footnoteReference w:id="4"/>
      </w:r>
      <w:r w:rsidR="00E40179" w:rsidRPr="00686563">
        <w:rPr>
          <w:lang w:val="es-ES"/>
        </w:rPr>
        <w:t xml:space="preserve"> </w:t>
      </w:r>
      <w:r w:rsidR="00DD4CD1" w:rsidRPr="00686563">
        <w:rPr>
          <w:lang w:val="es-ES"/>
        </w:rPr>
        <w:t xml:space="preserve">el TC </w:t>
      </w:r>
      <w:r w:rsidR="00DD4CD1" w:rsidRPr="00686563">
        <w:rPr>
          <w:snapToGrid w:val="0"/>
          <w:lang w:val="es-ES"/>
        </w:rPr>
        <w:t>tomó nota de que las presentaciones de los seminarios web se grabarían y se publicarían en línea, pero no los debates. El TC tomó nota de que la Oficina de la Unión propondría contenidos para los seminarios web e invitaría a los expertos de los miembros a servir de panelistas en los debates y a proporcionar ejemplos prácticos</w:t>
      </w:r>
      <w:r w:rsidR="00E40179" w:rsidRPr="00686563">
        <w:rPr>
          <w:snapToGrid w:val="0"/>
          <w:lang w:val="es-ES"/>
        </w:rPr>
        <w:t xml:space="preserve"> </w:t>
      </w:r>
      <w:r w:rsidR="00E40179" w:rsidRPr="00686563">
        <w:rPr>
          <w:lang w:val="es-ES"/>
        </w:rPr>
        <w:t>(véanse los párrafos 71 y 75 del documento TC/56/23, “Informe”)</w:t>
      </w:r>
      <w:r w:rsidR="00DD4CD1" w:rsidRPr="00686563">
        <w:rPr>
          <w:snapToGrid w:val="0"/>
          <w:lang w:val="es-ES"/>
        </w:rPr>
        <w:t>.</w:t>
      </w:r>
    </w:p>
    <w:p w:rsidR="00DD4CD1" w:rsidRPr="00686563" w:rsidRDefault="00DD4CD1" w:rsidP="006E0285">
      <w:pPr>
        <w:rPr>
          <w:lang w:val="es-ES"/>
        </w:rPr>
      </w:pPr>
    </w:p>
    <w:p w:rsidR="006E0285" w:rsidRPr="00686563" w:rsidRDefault="00A121D5" w:rsidP="006E0285">
      <w:pPr>
        <w:rPr>
          <w:snapToGrid w:val="0"/>
          <w:lang w:val="es-ES"/>
        </w:rPr>
      </w:pPr>
      <w:r w:rsidRPr="00686563">
        <w:rPr>
          <w:snapToGrid w:val="0"/>
          <w:lang w:val="es-ES"/>
        </w:rPr>
        <w:fldChar w:fldCharType="begin"/>
      </w:r>
      <w:r w:rsidRPr="00686563">
        <w:rPr>
          <w:snapToGrid w:val="0"/>
          <w:lang w:val="es-ES"/>
        </w:rPr>
        <w:instrText xml:space="preserve"> AUTONUM  </w:instrText>
      </w:r>
      <w:r w:rsidRPr="00686563">
        <w:rPr>
          <w:snapToGrid w:val="0"/>
          <w:lang w:val="es-ES"/>
        </w:rPr>
        <w:fldChar w:fldCharType="end"/>
      </w:r>
      <w:r w:rsidR="006E0285" w:rsidRPr="00686563">
        <w:rPr>
          <w:snapToGrid w:val="0"/>
          <w:lang w:val="es-ES"/>
        </w:rPr>
        <w:tab/>
      </w:r>
      <w:r w:rsidR="00E40179" w:rsidRPr="00686563">
        <w:rPr>
          <w:lang w:val="es-ES"/>
        </w:rPr>
        <w:t>En su quincuagésima sexta sesión</w:t>
      </w:r>
      <w:r w:rsidR="00E40179" w:rsidRPr="00686563">
        <w:rPr>
          <w:snapToGrid w:val="0"/>
          <w:lang w:val="es-ES"/>
        </w:rPr>
        <w:t xml:space="preserve">, el </w:t>
      </w:r>
      <w:r w:rsidR="006E0285" w:rsidRPr="00686563">
        <w:rPr>
          <w:snapToGrid w:val="0"/>
          <w:lang w:val="es-ES"/>
        </w:rPr>
        <w:t>TC tomó nota de que la Oficina de la Unión ultimaría los detalles relativos a los seminarios web en coordinación con los presidentes del TC y los TWP.</w:t>
      </w:r>
    </w:p>
    <w:p w:rsidR="006E0285" w:rsidRPr="00686563" w:rsidRDefault="006E0285" w:rsidP="006E0285">
      <w:pPr>
        <w:rPr>
          <w:rFonts w:cs="Arial"/>
          <w:lang w:val="es-ES"/>
        </w:rPr>
      </w:pPr>
    </w:p>
    <w:p w:rsidR="006E0285" w:rsidRPr="00686563" w:rsidRDefault="00A121D5" w:rsidP="006E0285">
      <w:pPr>
        <w:rPr>
          <w:rFonts w:cs="Arial"/>
          <w:lang w:val="es-ES"/>
        </w:rPr>
      </w:pPr>
      <w:r w:rsidRPr="00686563">
        <w:rPr>
          <w:rFonts w:cs="Arial"/>
          <w:lang w:val="es-ES"/>
        </w:rPr>
        <w:fldChar w:fldCharType="begin"/>
      </w:r>
      <w:r w:rsidRPr="00686563">
        <w:rPr>
          <w:rFonts w:cs="Arial"/>
          <w:lang w:val="es-ES"/>
        </w:rPr>
        <w:instrText xml:space="preserve"> AUTONUM  </w:instrText>
      </w:r>
      <w:r w:rsidRPr="00686563">
        <w:rPr>
          <w:rFonts w:cs="Arial"/>
          <w:lang w:val="es-ES"/>
        </w:rPr>
        <w:fldChar w:fldCharType="end"/>
      </w:r>
      <w:r w:rsidR="006E0285" w:rsidRPr="00686563">
        <w:rPr>
          <w:rFonts w:cs="Arial"/>
          <w:lang w:val="es-ES"/>
        </w:rPr>
        <w:tab/>
      </w:r>
      <w:r w:rsidR="00E40179" w:rsidRPr="00686563">
        <w:rPr>
          <w:lang w:val="es-ES"/>
        </w:rPr>
        <w:t>En su quincuagésima sexta sesión</w:t>
      </w:r>
      <w:r w:rsidR="00E40179" w:rsidRPr="00686563">
        <w:rPr>
          <w:snapToGrid w:val="0"/>
          <w:lang w:val="es-ES"/>
        </w:rPr>
        <w:t xml:space="preserve">, el </w:t>
      </w:r>
      <w:r w:rsidR="006E0285" w:rsidRPr="00686563">
        <w:rPr>
          <w:rFonts w:cs="Arial"/>
          <w:lang w:val="es-ES"/>
        </w:rPr>
        <w:t>TC tomó nota de que, previa petición de los anfitriones de los TWP, se podrían organizar talleres con participación presencial junto con las reuniones de los TWP. En ese caso, el contenido se adaptaría al contexto particular.</w:t>
      </w:r>
    </w:p>
    <w:p w:rsidR="006E0285" w:rsidRPr="00686563" w:rsidRDefault="006E0285" w:rsidP="006E0285">
      <w:pPr>
        <w:rPr>
          <w:lang w:val="es-ES"/>
        </w:rPr>
      </w:pPr>
    </w:p>
    <w:p w:rsidR="006E0285" w:rsidRPr="00686563" w:rsidRDefault="006E0285" w:rsidP="006E0285">
      <w:pPr>
        <w:pStyle w:val="Heading1"/>
        <w:rPr>
          <w:lang w:val="es-ES"/>
        </w:rPr>
      </w:pPr>
      <w:bookmarkStart w:id="4" w:name="_Toc117008632"/>
      <w:r w:rsidRPr="00686563">
        <w:rPr>
          <w:lang w:val="es-ES"/>
        </w:rPr>
        <w:t>INFORME SOBRE LOS TALLERES PREPARATORIOS DE 202</w:t>
      </w:r>
      <w:r w:rsidR="00E40179" w:rsidRPr="00686563">
        <w:rPr>
          <w:lang w:val="es-ES"/>
        </w:rPr>
        <w:t>2</w:t>
      </w:r>
      <w:bookmarkEnd w:id="4"/>
    </w:p>
    <w:p w:rsidR="006E0285" w:rsidRPr="00686563" w:rsidRDefault="006E0285" w:rsidP="006E0285">
      <w:pPr>
        <w:jc w:val="left"/>
        <w:rPr>
          <w:snapToGrid w:val="0"/>
          <w:lang w:val="es-ES"/>
        </w:rPr>
      </w:pPr>
    </w:p>
    <w:p w:rsidR="006E0285" w:rsidRPr="00686563" w:rsidRDefault="00A121D5" w:rsidP="006E0285">
      <w:pPr>
        <w:rPr>
          <w:snapToGrid w:val="0"/>
          <w:lang w:val="es-ES"/>
        </w:rPr>
      </w:pPr>
      <w:r w:rsidRPr="00686563">
        <w:rPr>
          <w:snapToGrid w:val="0"/>
          <w:lang w:val="es-ES"/>
        </w:rPr>
        <w:fldChar w:fldCharType="begin"/>
      </w:r>
      <w:r w:rsidRPr="00686563">
        <w:rPr>
          <w:snapToGrid w:val="0"/>
          <w:lang w:val="es-ES"/>
        </w:rPr>
        <w:instrText xml:space="preserve"> AUTONUM  </w:instrText>
      </w:r>
      <w:r w:rsidRPr="00686563">
        <w:rPr>
          <w:snapToGrid w:val="0"/>
          <w:lang w:val="es-ES"/>
        </w:rPr>
        <w:fldChar w:fldCharType="end"/>
      </w:r>
      <w:r w:rsidR="006E0285" w:rsidRPr="00686563">
        <w:rPr>
          <w:snapToGrid w:val="0"/>
          <w:lang w:val="es-ES"/>
        </w:rPr>
        <w:tab/>
      </w:r>
      <w:r w:rsidR="00E40179" w:rsidRPr="00686563">
        <w:rPr>
          <w:snapToGrid w:val="0"/>
          <w:lang w:val="es-ES"/>
        </w:rPr>
        <w:t>Se realizaron seis seminarios web preparatorios en total, en la mañana y la tarde de los días 12, 13 y 14 de abril de 2022.</w:t>
      </w:r>
    </w:p>
    <w:p w:rsidR="006E0285" w:rsidRPr="00686563" w:rsidRDefault="006E0285" w:rsidP="006E0285">
      <w:pPr>
        <w:rPr>
          <w:snapToGrid w:val="0"/>
          <w:lang w:val="es-ES"/>
        </w:rPr>
      </w:pPr>
    </w:p>
    <w:p w:rsidR="006E0285" w:rsidRPr="00686563" w:rsidRDefault="00A121D5" w:rsidP="006E0285">
      <w:pPr>
        <w:rPr>
          <w:snapToGrid w:val="0"/>
          <w:lang w:val="es-ES"/>
        </w:rPr>
      </w:pPr>
      <w:r w:rsidRPr="00686563">
        <w:rPr>
          <w:snapToGrid w:val="0"/>
          <w:lang w:val="es-ES"/>
        </w:rPr>
        <w:fldChar w:fldCharType="begin"/>
      </w:r>
      <w:r w:rsidRPr="00686563">
        <w:rPr>
          <w:snapToGrid w:val="0"/>
          <w:lang w:val="es-ES"/>
        </w:rPr>
        <w:instrText xml:space="preserve"> AUTONUM  </w:instrText>
      </w:r>
      <w:r w:rsidRPr="00686563">
        <w:rPr>
          <w:snapToGrid w:val="0"/>
          <w:lang w:val="es-ES"/>
        </w:rPr>
        <w:fldChar w:fldCharType="end"/>
      </w:r>
      <w:r w:rsidR="006E0285" w:rsidRPr="00686563">
        <w:rPr>
          <w:snapToGrid w:val="0"/>
          <w:lang w:val="es-ES"/>
        </w:rPr>
        <w:tab/>
        <w:t>El contenido de los seminarios web fue el siguiente:</w:t>
      </w:r>
    </w:p>
    <w:p w:rsidR="006E0285" w:rsidRPr="00686563" w:rsidRDefault="006E0285" w:rsidP="006E0285">
      <w:pPr>
        <w:rPr>
          <w:snapToGrid w:val="0"/>
          <w:lang w:val="es-ES"/>
        </w:rPr>
      </w:pPr>
    </w:p>
    <w:p w:rsidR="006E0285" w:rsidRPr="00686563" w:rsidRDefault="006E0285" w:rsidP="006E0285">
      <w:pPr>
        <w:pStyle w:val="ListParagraph"/>
        <w:numPr>
          <w:ilvl w:val="0"/>
          <w:numId w:val="7"/>
        </w:numPr>
        <w:rPr>
          <w:rFonts w:cs="Arial"/>
          <w:color w:val="000000" w:themeColor="text1"/>
          <w:szCs w:val="18"/>
          <w:lang w:val="es-ES"/>
        </w:rPr>
      </w:pPr>
      <w:r w:rsidRPr="00686563">
        <w:rPr>
          <w:rFonts w:cs="Arial"/>
          <w:color w:val="000000" w:themeColor="text1"/>
          <w:szCs w:val="18"/>
          <w:lang w:val="es-ES"/>
        </w:rPr>
        <w:t xml:space="preserve">Seminario web 1: </w:t>
      </w:r>
      <w:r w:rsidR="00626FED" w:rsidRPr="00686563">
        <w:rPr>
          <w:rFonts w:cs="Arial"/>
          <w:color w:val="000000" w:themeColor="text1"/>
          <w:szCs w:val="18"/>
          <w:lang w:val="es-ES"/>
        </w:rPr>
        <w:t>Organización de exámenes</w:t>
      </w:r>
      <w:r w:rsidRPr="00686563">
        <w:rPr>
          <w:rFonts w:cs="Arial"/>
          <w:color w:val="000000" w:themeColor="text1"/>
          <w:szCs w:val="18"/>
          <w:lang w:val="es-ES"/>
        </w:rPr>
        <w:t xml:space="preserve"> DHE </w:t>
      </w:r>
      <w:r w:rsidR="00626FED" w:rsidRPr="00686563">
        <w:rPr>
          <w:rFonts w:cs="Arial"/>
          <w:color w:val="000000" w:themeColor="text1"/>
          <w:szCs w:val="18"/>
          <w:lang w:val="es-ES"/>
        </w:rPr>
        <w:t>con información suministrada por el solicitante</w:t>
      </w:r>
    </w:p>
    <w:p w:rsidR="006E0285" w:rsidRPr="00686563" w:rsidRDefault="006E0285" w:rsidP="00626FED">
      <w:pPr>
        <w:pStyle w:val="ListParagraph"/>
        <w:numPr>
          <w:ilvl w:val="0"/>
          <w:numId w:val="7"/>
        </w:numPr>
        <w:rPr>
          <w:rFonts w:cs="Arial"/>
          <w:color w:val="000000" w:themeColor="text1"/>
          <w:szCs w:val="18"/>
          <w:lang w:val="es-ES"/>
        </w:rPr>
      </w:pPr>
      <w:r w:rsidRPr="00686563">
        <w:rPr>
          <w:rFonts w:cs="Arial"/>
          <w:color w:val="000000" w:themeColor="text1"/>
          <w:szCs w:val="18"/>
          <w:lang w:val="es-ES"/>
        </w:rPr>
        <w:t xml:space="preserve">Seminario web 2: </w:t>
      </w:r>
      <w:r w:rsidR="00626FED" w:rsidRPr="00686563">
        <w:rPr>
          <w:rFonts w:cs="Arial"/>
          <w:color w:val="000000" w:themeColor="text1"/>
          <w:szCs w:val="18"/>
          <w:lang w:val="es-ES"/>
        </w:rPr>
        <w:t>Caracteres fisiológicos y de resistencia a las enfermedades en el examen DHE</w:t>
      </w:r>
    </w:p>
    <w:p w:rsidR="006E0285" w:rsidRPr="00686563" w:rsidRDefault="006E0285" w:rsidP="00626FED">
      <w:pPr>
        <w:pStyle w:val="ListParagraph"/>
        <w:numPr>
          <w:ilvl w:val="0"/>
          <w:numId w:val="7"/>
        </w:numPr>
        <w:rPr>
          <w:rFonts w:cs="Arial"/>
          <w:color w:val="000000" w:themeColor="text1"/>
          <w:szCs w:val="18"/>
          <w:lang w:val="es-ES"/>
        </w:rPr>
      </w:pPr>
      <w:r w:rsidRPr="00686563">
        <w:rPr>
          <w:rFonts w:cs="Arial"/>
          <w:color w:val="000000" w:themeColor="text1"/>
          <w:szCs w:val="18"/>
          <w:lang w:val="es-ES"/>
        </w:rPr>
        <w:t xml:space="preserve">Seminario web 3: </w:t>
      </w:r>
      <w:r w:rsidR="00626FED" w:rsidRPr="00686563">
        <w:rPr>
          <w:rFonts w:cs="Arial"/>
          <w:color w:val="000000" w:themeColor="text1"/>
          <w:szCs w:val="18"/>
          <w:lang w:val="es-ES"/>
        </w:rPr>
        <w:t>Técnicas de tratamiento de datos en el examen DHE</w:t>
      </w:r>
    </w:p>
    <w:p w:rsidR="006E0285" w:rsidRPr="00686563" w:rsidRDefault="006E0285" w:rsidP="006E0285">
      <w:pPr>
        <w:rPr>
          <w:snapToGrid w:val="0"/>
          <w:lang w:val="es-ES"/>
        </w:rPr>
      </w:pPr>
    </w:p>
    <w:p w:rsidR="00626FED" w:rsidRPr="00686563" w:rsidRDefault="00626FED" w:rsidP="00626FED">
      <w:pPr>
        <w:rPr>
          <w:rFonts w:cs="Arial"/>
          <w:lang w:val="es-ES"/>
        </w:rPr>
      </w:pPr>
      <w:r w:rsidRPr="00686563">
        <w:rPr>
          <w:rFonts w:cs="Arial"/>
          <w:lang w:val="es-ES"/>
        </w:rPr>
        <w:fldChar w:fldCharType="begin"/>
      </w:r>
      <w:r w:rsidRPr="00686563">
        <w:rPr>
          <w:rFonts w:cs="Arial"/>
          <w:lang w:val="es-ES"/>
        </w:rPr>
        <w:instrText xml:space="preserve"> AUTONUM  </w:instrText>
      </w:r>
      <w:r w:rsidRPr="00686563">
        <w:rPr>
          <w:rFonts w:cs="Arial"/>
          <w:lang w:val="es-ES"/>
        </w:rPr>
        <w:fldChar w:fldCharType="end"/>
      </w:r>
      <w:r w:rsidRPr="00686563">
        <w:rPr>
          <w:rFonts w:cs="Arial"/>
          <w:lang w:val="es-ES"/>
        </w:rPr>
        <w:tab/>
      </w:r>
      <w:r w:rsidR="00B8262D" w:rsidRPr="00686563">
        <w:rPr>
          <w:rFonts w:cs="Arial"/>
          <w:lang w:val="es-ES"/>
        </w:rPr>
        <w:t>Las cifras de asistencia a los seminarios web fueron las siguientes</w:t>
      </w:r>
      <w:r w:rsidRPr="00686563">
        <w:rPr>
          <w:rFonts w:cs="Arial"/>
          <w:lang w:val="es-ES"/>
        </w:rPr>
        <w:t>:</w:t>
      </w:r>
    </w:p>
    <w:p w:rsidR="00626FED" w:rsidRPr="00686563" w:rsidRDefault="00626FED" w:rsidP="00626FED">
      <w:pPr>
        <w:rPr>
          <w:snapToGrid w:val="0"/>
          <w:lang w:val="es-ES"/>
        </w:rPr>
      </w:pPr>
    </w:p>
    <w:tbl>
      <w:tblPr>
        <w:tblW w:w="9632"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261"/>
        <w:gridCol w:w="2694"/>
        <w:gridCol w:w="2551"/>
        <w:gridCol w:w="2126"/>
      </w:tblGrid>
      <w:tr w:rsidR="00626FED" w:rsidRPr="00686563" w:rsidTr="00B3725A">
        <w:trPr>
          <w:trHeight w:val="315"/>
        </w:trPr>
        <w:tc>
          <w:tcPr>
            <w:tcW w:w="2261" w:type="dxa"/>
            <w:shd w:val="clear" w:color="auto" w:fill="auto"/>
            <w:noWrap/>
            <w:tcMar>
              <w:top w:w="0" w:type="dxa"/>
              <w:left w:w="108" w:type="dxa"/>
              <w:bottom w:w="0" w:type="dxa"/>
              <w:right w:w="108" w:type="dxa"/>
            </w:tcMar>
            <w:vAlign w:val="center"/>
          </w:tcPr>
          <w:p w:rsidR="00626FED" w:rsidRPr="00686563" w:rsidRDefault="00B8262D" w:rsidP="00B3725A">
            <w:pPr>
              <w:jc w:val="left"/>
              <w:rPr>
                <w:color w:val="000000"/>
                <w:sz w:val="18"/>
                <w:lang w:val="es-ES"/>
              </w:rPr>
            </w:pPr>
            <w:r w:rsidRPr="00686563">
              <w:rPr>
                <w:color w:val="000000"/>
                <w:sz w:val="18"/>
                <w:lang w:val="es-ES"/>
              </w:rPr>
              <w:t>Cifras agregadas de ambas sesiones (mañana / tarde)</w:t>
            </w:r>
          </w:p>
        </w:tc>
        <w:tc>
          <w:tcPr>
            <w:tcW w:w="2694" w:type="dxa"/>
            <w:shd w:val="clear" w:color="auto" w:fill="auto"/>
            <w:noWrap/>
            <w:tcMar>
              <w:top w:w="0" w:type="dxa"/>
              <w:left w:w="108" w:type="dxa"/>
              <w:bottom w:w="0" w:type="dxa"/>
              <w:right w:w="108" w:type="dxa"/>
            </w:tcMar>
            <w:vAlign w:val="center"/>
          </w:tcPr>
          <w:p w:rsidR="00626FED" w:rsidRPr="00686563" w:rsidRDefault="00B8262D" w:rsidP="00B3725A">
            <w:pPr>
              <w:jc w:val="center"/>
              <w:rPr>
                <w:color w:val="000000"/>
                <w:sz w:val="18"/>
                <w:lang w:val="es-ES"/>
              </w:rPr>
            </w:pPr>
            <w:r w:rsidRPr="00686563">
              <w:rPr>
                <w:rFonts w:cs="Arial"/>
                <w:color w:val="000000" w:themeColor="text1"/>
                <w:sz w:val="18"/>
                <w:szCs w:val="18"/>
                <w:lang w:val="es-ES"/>
              </w:rPr>
              <w:t>Organización de exámenes DHE con información suministrada por el solicitante</w:t>
            </w:r>
          </w:p>
        </w:tc>
        <w:tc>
          <w:tcPr>
            <w:tcW w:w="2551" w:type="dxa"/>
            <w:vAlign w:val="center"/>
          </w:tcPr>
          <w:p w:rsidR="00626FED" w:rsidRPr="00686563" w:rsidRDefault="00B8262D" w:rsidP="00B3725A">
            <w:pPr>
              <w:jc w:val="center"/>
              <w:rPr>
                <w:color w:val="000000"/>
                <w:sz w:val="18"/>
                <w:lang w:val="es-ES"/>
              </w:rPr>
            </w:pPr>
            <w:r w:rsidRPr="00686563">
              <w:rPr>
                <w:rFonts w:cs="Arial"/>
                <w:color w:val="000000" w:themeColor="text1"/>
                <w:sz w:val="18"/>
                <w:szCs w:val="18"/>
                <w:lang w:val="es-ES"/>
              </w:rPr>
              <w:t>Caracteres fisiológicos y de resistencia a las enfermedades en el examen DHE</w:t>
            </w:r>
          </w:p>
        </w:tc>
        <w:tc>
          <w:tcPr>
            <w:tcW w:w="2126" w:type="dxa"/>
            <w:vAlign w:val="center"/>
          </w:tcPr>
          <w:p w:rsidR="00626FED" w:rsidRPr="00686563" w:rsidRDefault="00B8262D" w:rsidP="00B3725A">
            <w:pPr>
              <w:jc w:val="center"/>
              <w:rPr>
                <w:color w:val="000000"/>
                <w:sz w:val="18"/>
                <w:lang w:val="es-ES"/>
              </w:rPr>
            </w:pPr>
            <w:r w:rsidRPr="00686563">
              <w:rPr>
                <w:rFonts w:cs="Arial"/>
                <w:color w:val="000000" w:themeColor="text1"/>
                <w:sz w:val="18"/>
                <w:szCs w:val="18"/>
                <w:lang w:val="es-ES"/>
              </w:rPr>
              <w:t>Técnicas de tratamiento de datos en el examen DHE</w:t>
            </w:r>
          </w:p>
        </w:tc>
      </w:tr>
      <w:tr w:rsidR="00626FED" w:rsidRPr="00686563" w:rsidTr="00B3725A">
        <w:trPr>
          <w:trHeight w:val="263"/>
        </w:trPr>
        <w:tc>
          <w:tcPr>
            <w:tcW w:w="2261" w:type="dxa"/>
            <w:shd w:val="clear" w:color="auto" w:fill="auto"/>
            <w:noWrap/>
            <w:tcMar>
              <w:top w:w="0" w:type="dxa"/>
              <w:left w:w="108" w:type="dxa"/>
              <w:bottom w:w="0" w:type="dxa"/>
              <w:right w:w="108" w:type="dxa"/>
            </w:tcMar>
            <w:vAlign w:val="center"/>
            <w:hideMark/>
          </w:tcPr>
          <w:p w:rsidR="00626FED" w:rsidRPr="00686563" w:rsidRDefault="00B24848" w:rsidP="00B3725A">
            <w:pPr>
              <w:jc w:val="left"/>
              <w:rPr>
                <w:rFonts w:ascii="Calibri" w:hAnsi="Calibri" w:cs="Calibri"/>
                <w:color w:val="000000"/>
                <w:sz w:val="22"/>
                <w:szCs w:val="22"/>
                <w:lang w:val="es-ES"/>
              </w:rPr>
            </w:pPr>
            <w:r w:rsidRPr="00686563">
              <w:rPr>
                <w:color w:val="000000"/>
                <w:lang w:val="es-ES"/>
              </w:rPr>
              <w:t>Cifra</w:t>
            </w:r>
            <w:r w:rsidR="00B8262D" w:rsidRPr="00686563">
              <w:rPr>
                <w:color w:val="000000"/>
                <w:lang w:val="es-ES"/>
              </w:rPr>
              <w:t xml:space="preserve"> total de participantes</w:t>
            </w:r>
            <w:r w:rsidR="00626FED" w:rsidRPr="00686563">
              <w:rPr>
                <w:color w:val="000000"/>
                <w:lang w:val="es-ES"/>
              </w:rPr>
              <w:t xml:space="preserve"> </w:t>
            </w:r>
          </w:p>
        </w:tc>
        <w:tc>
          <w:tcPr>
            <w:tcW w:w="2694" w:type="dxa"/>
            <w:shd w:val="clear" w:color="auto" w:fill="auto"/>
            <w:noWrap/>
            <w:tcMar>
              <w:top w:w="0" w:type="dxa"/>
              <w:left w:w="108" w:type="dxa"/>
              <w:bottom w:w="0" w:type="dxa"/>
              <w:right w:w="108" w:type="dxa"/>
            </w:tcMar>
            <w:vAlign w:val="center"/>
            <w:hideMark/>
          </w:tcPr>
          <w:p w:rsidR="00626FED" w:rsidRPr="00686563" w:rsidRDefault="00626FED" w:rsidP="00B3725A">
            <w:pPr>
              <w:jc w:val="center"/>
              <w:rPr>
                <w:color w:val="000000"/>
                <w:lang w:val="es-ES"/>
              </w:rPr>
            </w:pPr>
            <w:r w:rsidRPr="00686563">
              <w:rPr>
                <w:color w:val="000000"/>
                <w:lang w:val="es-ES"/>
              </w:rPr>
              <w:t>233</w:t>
            </w:r>
          </w:p>
        </w:tc>
        <w:tc>
          <w:tcPr>
            <w:tcW w:w="2551" w:type="dxa"/>
            <w:vAlign w:val="center"/>
          </w:tcPr>
          <w:p w:rsidR="00626FED" w:rsidRPr="00686563" w:rsidRDefault="00626FED" w:rsidP="00B3725A">
            <w:pPr>
              <w:jc w:val="center"/>
              <w:rPr>
                <w:color w:val="000000"/>
                <w:lang w:val="es-ES"/>
              </w:rPr>
            </w:pPr>
            <w:r w:rsidRPr="00686563">
              <w:rPr>
                <w:color w:val="000000"/>
                <w:lang w:val="es-ES"/>
              </w:rPr>
              <w:t>211</w:t>
            </w:r>
          </w:p>
        </w:tc>
        <w:tc>
          <w:tcPr>
            <w:tcW w:w="2126" w:type="dxa"/>
            <w:vAlign w:val="center"/>
          </w:tcPr>
          <w:p w:rsidR="00626FED" w:rsidRPr="00686563" w:rsidRDefault="00626FED" w:rsidP="00B3725A">
            <w:pPr>
              <w:jc w:val="center"/>
              <w:rPr>
                <w:color w:val="000000"/>
                <w:lang w:val="es-ES"/>
              </w:rPr>
            </w:pPr>
            <w:r w:rsidRPr="00686563">
              <w:rPr>
                <w:color w:val="000000"/>
                <w:lang w:val="es-ES"/>
              </w:rPr>
              <w:t>210</w:t>
            </w:r>
          </w:p>
        </w:tc>
      </w:tr>
      <w:tr w:rsidR="00626FED" w:rsidRPr="00686563" w:rsidTr="00B3725A">
        <w:trPr>
          <w:trHeight w:val="330"/>
        </w:trPr>
        <w:tc>
          <w:tcPr>
            <w:tcW w:w="2261" w:type="dxa"/>
            <w:shd w:val="clear" w:color="auto" w:fill="auto"/>
            <w:noWrap/>
            <w:tcMar>
              <w:top w:w="0" w:type="dxa"/>
              <w:left w:w="108" w:type="dxa"/>
              <w:bottom w:w="0" w:type="dxa"/>
              <w:right w:w="108" w:type="dxa"/>
            </w:tcMar>
            <w:vAlign w:val="center"/>
            <w:hideMark/>
          </w:tcPr>
          <w:p w:rsidR="00626FED" w:rsidRPr="00686563" w:rsidRDefault="00626FED" w:rsidP="00B8262D">
            <w:pPr>
              <w:jc w:val="left"/>
              <w:rPr>
                <w:color w:val="000000"/>
                <w:lang w:val="es-ES"/>
              </w:rPr>
            </w:pPr>
            <w:r w:rsidRPr="00686563">
              <w:rPr>
                <w:color w:val="000000"/>
                <w:lang w:val="es-ES"/>
              </w:rPr>
              <w:t>Participant</w:t>
            </w:r>
            <w:r w:rsidR="00B8262D" w:rsidRPr="00686563">
              <w:rPr>
                <w:color w:val="000000"/>
                <w:lang w:val="es-ES"/>
              </w:rPr>
              <w:t>e</w:t>
            </w:r>
            <w:r w:rsidRPr="00686563">
              <w:rPr>
                <w:color w:val="000000"/>
                <w:lang w:val="es-ES"/>
              </w:rPr>
              <w:t xml:space="preserve">s </w:t>
            </w:r>
            <w:r w:rsidR="00B8262D" w:rsidRPr="00686563">
              <w:rPr>
                <w:color w:val="000000"/>
                <w:lang w:val="es-ES"/>
              </w:rPr>
              <w:t>de miembros de la</w:t>
            </w:r>
            <w:r w:rsidRPr="00686563">
              <w:rPr>
                <w:color w:val="000000"/>
                <w:lang w:val="es-ES"/>
              </w:rPr>
              <w:t xml:space="preserve"> </w:t>
            </w:r>
            <w:r w:rsidR="00B8262D" w:rsidRPr="00686563">
              <w:rPr>
                <w:color w:val="000000"/>
                <w:lang w:val="es-ES"/>
              </w:rPr>
              <w:t>UPOV</w:t>
            </w:r>
          </w:p>
        </w:tc>
        <w:tc>
          <w:tcPr>
            <w:tcW w:w="2694" w:type="dxa"/>
            <w:shd w:val="clear" w:color="auto" w:fill="auto"/>
            <w:noWrap/>
            <w:tcMar>
              <w:top w:w="0" w:type="dxa"/>
              <w:left w:w="108" w:type="dxa"/>
              <w:bottom w:w="0" w:type="dxa"/>
              <w:right w:w="108" w:type="dxa"/>
            </w:tcMar>
            <w:vAlign w:val="center"/>
            <w:hideMark/>
          </w:tcPr>
          <w:p w:rsidR="00626FED" w:rsidRPr="00686563" w:rsidRDefault="00626FED" w:rsidP="00B3725A">
            <w:pPr>
              <w:jc w:val="center"/>
              <w:rPr>
                <w:color w:val="000000"/>
                <w:lang w:val="es-ES"/>
              </w:rPr>
            </w:pPr>
            <w:r w:rsidRPr="00686563">
              <w:rPr>
                <w:color w:val="000000"/>
                <w:lang w:val="es-ES"/>
              </w:rPr>
              <w:t xml:space="preserve">199 </w:t>
            </w:r>
          </w:p>
        </w:tc>
        <w:tc>
          <w:tcPr>
            <w:tcW w:w="2551" w:type="dxa"/>
            <w:vAlign w:val="center"/>
          </w:tcPr>
          <w:p w:rsidR="00626FED" w:rsidRPr="00686563" w:rsidRDefault="00626FED" w:rsidP="00B3725A">
            <w:pPr>
              <w:jc w:val="center"/>
              <w:rPr>
                <w:color w:val="000000"/>
                <w:lang w:val="es-ES"/>
              </w:rPr>
            </w:pPr>
            <w:r w:rsidRPr="00686563">
              <w:rPr>
                <w:color w:val="000000"/>
                <w:lang w:val="es-ES"/>
              </w:rPr>
              <w:t xml:space="preserve">179 </w:t>
            </w:r>
          </w:p>
        </w:tc>
        <w:tc>
          <w:tcPr>
            <w:tcW w:w="2126" w:type="dxa"/>
            <w:vAlign w:val="center"/>
          </w:tcPr>
          <w:p w:rsidR="00626FED" w:rsidRPr="00686563" w:rsidRDefault="00626FED" w:rsidP="00B3725A">
            <w:pPr>
              <w:jc w:val="center"/>
              <w:rPr>
                <w:color w:val="000000"/>
                <w:lang w:val="es-ES"/>
              </w:rPr>
            </w:pPr>
            <w:r w:rsidRPr="00686563">
              <w:rPr>
                <w:color w:val="000000"/>
                <w:lang w:val="es-ES"/>
              </w:rPr>
              <w:t xml:space="preserve">178 </w:t>
            </w:r>
          </w:p>
        </w:tc>
      </w:tr>
      <w:tr w:rsidR="00626FED" w:rsidRPr="00686563" w:rsidTr="00B3725A">
        <w:trPr>
          <w:trHeight w:val="330"/>
        </w:trPr>
        <w:tc>
          <w:tcPr>
            <w:tcW w:w="2261" w:type="dxa"/>
            <w:shd w:val="clear" w:color="auto" w:fill="auto"/>
            <w:noWrap/>
            <w:tcMar>
              <w:top w:w="0" w:type="dxa"/>
              <w:left w:w="108" w:type="dxa"/>
              <w:bottom w:w="0" w:type="dxa"/>
              <w:right w:w="108" w:type="dxa"/>
            </w:tcMar>
            <w:vAlign w:val="center"/>
            <w:hideMark/>
          </w:tcPr>
          <w:p w:rsidR="00626FED" w:rsidRPr="00686563" w:rsidRDefault="00626FED" w:rsidP="0013395A">
            <w:pPr>
              <w:jc w:val="left"/>
              <w:rPr>
                <w:color w:val="000000"/>
                <w:lang w:val="es-ES"/>
              </w:rPr>
            </w:pPr>
            <w:r w:rsidRPr="00686563">
              <w:rPr>
                <w:color w:val="000000"/>
                <w:lang w:val="es-ES"/>
              </w:rPr>
              <w:t>Participant</w:t>
            </w:r>
            <w:r w:rsidR="0013395A" w:rsidRPr="00686563">
              <w:rPr>
                <w:color w:val="000000"/>
                <w:lang w:val="es-ES"/>
              </w:rPr>
              <w:t>e</w:t>
            </w:r>
            <w:r w:rsidRPr="00686563">
              <w:rPr>
                <w:color w:val="000000"/>
                <w:lang w:val="es-ES"/>
              </w:rPr>
              <w:t xml:space="preserve">s </w:t>
            </w:r>
            <w:r w:rsidR="0013395A" w:rsidRPr="00686563">
              <w:rPr>
                <w:color w:val="000000"/>
                <w:lang w:val="es-ES"/>
              </w:rPr>
              <w:t>de</w:t>
            </w:r>
            <w:r w:rsidRPr="00686563">
              <w:rPr>
                <w:color w:val="000000"/>
                <w:lang w:val="es-ES"/>
              </w:rPr>
              <w:t xml:space="preserve"> </w:t>
            </w:r>
            <w:r w:rsidR="0013395A" w:rsidRPr="00686563">
              <w:rPr>
                <w:color w:val="000000"/>
                <w:lang w:val="es-ES"/>
              </w:rPr>
              <w:t>Estados observadores</w:t>
            </w:r>
          </w:p>
        </w:tc>
        <w:tc>
          <w:tcPr>
            <w:tcW w:w="2694" w:type="dxa"/>
            <w:shd w:val="clear" w:color="auto" w:fill="auto"/>
            <w:noWrap/>
            <w:tcMar>
              <w:top w:w="0" w:type="dxa"/>
              <w:left w:w="108" w:type="dxa"/>
              <w:bottom w:w="0" w:type="dxa"/>
              <w:right w:w="108" w:type="dxa"/>
            </w:tcMar>
            <w:vAlign w:val="center"/>
            <w:hideMark/>
          </w:tcPr>
          <w:p w:rsidR="00626FED" w:rsidRPr="00686563" w:rsidRDefault="00626FED" w:rsidP="00B3725A">
            <w:pPr>
              <w:jc w:val="center"/>
              <w:rPr>
                <w:color w:val="000000"/>
                <w:lang w:val="es-ES"/>
              </w:rPr>
            </w:pPr>
            <w:r w:rsidRPr="00686563">
              <w:rPr>
                <w:color w:val="000000"/>
                <w:lang w:val="es-ES"/>
              </w:rPr>
              <w:t xml:space="preserve">27 </w:t>
            </w:r>
          </w:p>
        </w:tc>
        <w:tc>
          <w:tcPr>
            <w:tcW w:w="2551" w:type="dxa"/>
            <w:vAlign w:val="center"/>
          </w:tcPr>
          <w:p w:rsidR="00626FED" w:rsidRPr="00686563" w:rsidRDefault="00626FED" w:rsidP="00B3725A">
            <w:pPr>
              <w:jc w:val="center"/>
              <w:rPr>
                <w:color w:val="000000"/>
                <w:lang w:val="es-ES"/>
              </w:rPr>
            </w:pPr>
            <w:r w:rsidRPr="00686563">
              <w:rPr>
                <w:color w:val="000000"/>
                <w:lang w:val="es-ES"/>
              </w:rPr>
              <w:t>24</w:t>
            </w:r>
          </w:p>
        </w:tc>
        <w:tc>
          <w:tcPr>
            <w:tcW w:w="2126" w:type="dxa"/>
            <w:vAlign w:val="center"/>
          </w:tcPr>
          <w:p w:rsidR="00626FED" w:rsidRPr="00686563" w:rsidRDefault="00626FED" w:rsidP="00B3725A">
            <w:pPr>
              <w:jc w:val="center"/>
              <w:rPr>
                <w:color w:val="000000"/>
                <w:lang w:val="es-ES"/>
              </w:rPr>
            </w:pPr>
            <w:r w:rsidRPr="00686563">
              <w:rPr>
                <w:color w:val="000000"/>
                <w:lang w:val="es-ES"/>
              </w:rPr>
              <w:t>27</w:t>
            </w:r>
          </w:p>
        </w:tc>
      </w:tr>
      <w:tr w:rsidR="00626FED" w:rsidRPr="00686563" w:rsidTr="00B3725A">
        <w:trPr>
          <w:trHeight w:val="330"/>
        </w:trPr>
        <w:tc>
          <w:tcPr>
            <w:tcW w:w="2261" w:type="dxa"/>
            <w:shd w:val="clear" w:color="auto" w:fill="auto"/>
            <w:noWrap/>
            <w:tcMar>
              <w:top w:w="0" w:type="dxa"/>
              <w:left w:w="108" w:type="dxa"/>
              <w:bottom w:w="0" w:type="dxa"/>
              <w:right w:w="108" w:type="dxa"/>
            </w:tcMar>
            <w:vAlign w:val="center"/>
            <w:hideMark/>
          </w:tcPr>
          <w:p w:rsidR="00626FED" w:rsidRPr="00686563" w:rsidRDefault="00626FED" w:rsidP="0013395A">
            <w:pPr>
              <w:jc w:val="left"/>
              <w:rPr>
                <w:color w:val="000000"/>
                <w:lang w:val="es-ES"/>
              </w:rPr>
            </w:pPr>
            <w:r w:rsidRPr="00686563">
              <w:rPr>
                <w:color w:val="000000"/>
                <w:lang w:val="es-ES"/>
              </w:rPr>
              <w:t>Participant</w:t>
            </w:r>
            <w:r w:rsidR="0013395A" w:rsidRPr="00686563">
              <w:rPr>
                <w:color w:val="000000"/>
                <w:lang w:val="es-ES"/>
              </w:rPr>
              <w:t>e</w:t>
            </w:r>
            <w:r w:rsidRPr="00686563">
              <w:rPr>
                <w:color w:val="000000"/>
                <w:lang w:val="es-ES"/>
              </w:rPr>
              <w:t xml:space="preserve">s </w:t>
            </w:r>
            <w:r w:rsidR="0013395A" w:rsidRPr="00686563">
              <w:rPr>
                <w:color w:val="000000"/>
                <w:lang w:val="es-ES"/>
              </w:rPr>
              <w:t>de organizaciones observadoras</w:t>
            </w:r>
          </w:p>
        </w:tc>
        <w:tc>
          <w:tcPr>
            <w:tcW w:w="2694" w:type="dxa"/>
            <w:shd w:val="clear" w:color="auto" w:fill="auto"/>
            <w:noWrap/>
            <w:tcMar>
              <w:top w:w="0" w:type="dxa"/>
              <w:left w:w="108" w:type="dxa"/>
              <w:bottom w:w="0" w:type="dxa"/>
              <w:right w:w="108" w:type="dxa"/>
            </w:tcMar>
            <w:vAlign w:val="center"/>
            <w:hideMark/>
          </w:tcPr>
          <w:p w:rsidR="00626FED" w:rsidRPr="00686563" w:rsidRDefault="00626FED" w:rsidP="00B3725A">
            <w:pPr>
              <w:jc w:val="center"/>
              <w:rPr>
                <w:color w:val="000000"/>
                <w:lang w:val="es-ES"/>
              </w:rPr>
            </w:pPr>
            <w:r w:rsidRPr="00686563">
              <w:rPr>
                <w:color w:val="000000"/>
                <w:lang w:val="es-ES"/>
              </w:rPr>
              <w:t xml:space="preserve">7 </w:t>
            </w:r>
          </w:p>
        </w:tc>
        <w:tc>
          <w:tcPr>
            <w:tcW w:w="2551" w:type="dxa"/>
            <w:vAlign w:val="center"/>
          </w:tcPr>
          <w:p w:rsidR="00626FED" w:rsidRPr="00686563" w:rsidRDefault="00626FED" w:rsidP="00B3725A">
            <w:pPr>
              <w:jc w:val="center"/>
              <w:rPr>
                <w:color w:val="000000"/>
                <w:lang w:val="es-ES"/>
              </w:rPr>
            </w:pPr>
            <w:r w:rsidRPr="00686563">
              <w:rPr>
                <w:color w:val="000000"/>
                <w:lang w:val="es-ES"/>
              </w:rPr>
              <w:t>0</w:t>
            </w:r>
          </w:p>
        </w:tc>
        <w:tc>
          <w:tcPr>
            <w:tcW w:w="2126" w:type="dxa"/>
            <w:vAlign w:val="center"/>
          </w:tcPr>
          <w:p w:rsidR="00626FED" w:rsidRPr="00686563" w:rsidRDefault="00626FED" w:rsidP="00B3725A">
            <w:pPr>
              <w:jc w:val="center"/>
              <w:rPr>
                <w:color w:val="000000"/>
                <w:lang w:val="es-ES"/>
              </w:rPr>
            </w:pPr>
            <w:r w:rsidRPr="00686563">
              <w:rPr>
                <w:color w:val="000000"/>
                <w:lang w:val="es-ES"/>
              </w:rPr>
              <w:t>7</w:t>
            </w:r>
          </w:p>
        </w:tc>
      </w:tr>
      <w:tr w:rsidR="00626FED" w:rsidRPr="00686563" w:rsidTr="00B3725A">
        <w:trPr>
          <w:trHeight w:val="330"/>
        </w:trPr>
        <w:tc>
          <w:tcPr>
            <w:tcW w:w="2261" w:type="dxa"/>
            <w:shd w:val="clear" w:color="auto" w:fill="auto"/>
            <w:noWrap/>
            <w:tcMar>
              <w:top w:w="0" w:type="dxa"/>
              <w:left w:w="108" w:type="dxa"/>
              <w:bottom w:w="0" w:type="dxa"/>
              <w:right w:w="108" w:type="dxa"/>
            </w:tcMar>
            <w:vAlign w:val="center"/>
            <w:hideMark/>
          </w:tcPr>
          <w:p w:rsidR="00626FED" w:rsidRPr="00686563" w:rsidRDefault="00626FED" w:rsidP="0013395A">
            <w:pPr>
              <w:jc w:val="left"/>
              <w:rPr>
                <w:color w:val="FF0000"/>
                <w:lang w:val="es-ES"/>
              </w:rPr>
            </w:pPr>
            <w:r w:rsidRPr="00686563">
              <w:rPr>
                <w:color w:val="000000" w:themeColor="text1"/>
                <w:lang w:val="es-ES"/>
              </w:rPr>
              <w:t>Participant</w:t>
            </w:r>
            <w:r w:rsidR="0013395A" w:rsidRPr="00686563">
              <w:rPr>
                <w:color w:val="000000" w:themeColor="text1"/>
                <w:lang w:val="es-ES"/>
              </w:rPr>
              <w:t>e</w:t>
            </w:r>
            <w:r w:rsidR="00B24848" w:rsidRPr="00686563">
              <w:rPr>
                <w:color w:val="000000" w:themeColor="text1"/>
                <w:lang w:val="es-ES"/>
              </w:rPr>
              <w:t>s</w:t>
            </w:r>
            <w:r w:rsidR="0013395A" w:rsidRPr="00686563">
              <w:rPr>
                <w:color w:val="000000" w:themeColor="text1"/>
                <w:lang w:val="es-ES"/>
              </w:rPr>
              <w:t xml:space="preserve"> que no habían asistido al</w:t>
            </w:r>
            <w:r w:rsidRPr="00686563">
              <w:rPr>
                <w:color w:val="000000" w:themeColor="text1"/>
                <w:lang w:val="es-ES"/>
              </w:rPr>
              <w:t xml:space="preserve"> TWP</w:t>
            </w:r>
          </w:p>
        </w:tc>
        <w:tc>
          <w:tcPr>
            <w:tcW w:w="2694" w:type="dxa"/>
            <w:shd w:val="clear" w:color="auto" w:fill="auto"/>
            <w:noWrap/>
            <w:tcMar>
              <w:top w:w="0" w:type="dxa"/>
              <w:left w:w="108" w:type="dxa"/>
              <w:bottom w:w="0" w:type="dxa"/>
              <w:right w:w="108" w:type="dxa"/>
            </w:tcMar>
            <w:vAlign w:val="center"/>
            <w:hideMark/>
          </w:tcPr>
          <w:p w:rsidR="00626FED" w:rsidRPr="00686563" w:rsidRDefault="00626FED" w:rsidP="00B3725A">
            <w:pPr>
              <w:jc w:val="center"/>
              <w:rPr>
                <w:color w:val="000000"/>
                <w:lang w:val="es-ES"/>
              </w:rPr>
            </w:pPr>
            <w:r w:rsidRPr="00686563">
              <w:rPr>
                <w:color w:val="000000"/>
                <w:lang w:val="es-ES"/>
              </w:rPr>
              <w:t>90</w:t>
            </w:r>
          </w:p>
        </w:tc>
        <w:tc>
          <w:tcPr>
            <w:tcW w:w="2551" w:type="dxa"/>
            <w:vAlign w:val="center"/>
          </w:tcPr>
          <w:p w:rsidR="00626FED" w:rsidRPr="00686563" w:rsidRDefault="00626FED" w:rsidP="00B3725A">
            <w:pPr>
              <w:jc w:val="center"/>
              <w:rPr>
                <w:color w:val="000000"/>
                <w:lang w:val="es-ES"/>
              </w:rPr>
            </w:pPr>
            <w:r w:rsidRPr="00686563">
              <w:rPr>
                <w:color w:val="000000"/>
                <w:lang w:val="es-ES"/>
              </w:rPr>
              <w:t>72</w:t>
            </w:r>
          </w:p>
        </w:tc>
        <w:tc>
          <w:tcPr>
            <w:tcW w:w="2126" w:type="dxa"/>
            <w:vAlign w:val="center"/>
          </w:tcPr>
          <w:p w:rsidR="00626FED" w:rsidRPr="00686563" w:rsidRDefault="00626FED" w:rsidP="00B3725A">
            <w:pPr>
              <w:jc w:val="center"/>
              <w:rPr>
                <w:color w:val="000000"/>
                <w:lang w:val="es-ES"/>
              </w:rPr>
            </w:pPr>
            <w:r w:rsidRPr="00686563">
              <w:rPr>
                <w:color w:val="000000"/>
                <w:lang w:val="es-ES"/>
              </w:rPr>
              <w:t>73</w:t>
            </w:r>
          </w:p>
        </w:tc>
      </w:tr>
    </w:tbl>
    <w:p w:rsidR="00626FED" w:rsidRPr="00686563" w:rsidRDefault="00626FED" w:rsidP="00626FED">
      <w:pPr>
        <w:rPr>
          <w:snapToGrid w:val="0"/>
          <w:lang w:val="es-ES"/>
        </w:rPr>
      </w:pPr>
    </w:p>
    <w:p w:rsidR="00626FED" w:rsidRPr="00686563" w:rsidRDefault="00626FED" w:rsidP="00626FED">
      <w:pPr>
        <w:rPr>
          <w:rFonts w:cs="Arial"/>
          <w:lang w:val="es-ES"/>
        </w:rPr>
      </w:pPr>
      <w:r w:rsidRPr="00686563">
        <w:rPr>
          <w:rFonts w:cs="Arial"/>
          <w:lang w:val="es-ES"/>
        </w:rPr>
        <w:fldChar w:fldCharType="begin"/>
      </w:r>
      <w:r w:rsidRPr="00686563">
        <w:rPr>
          <w:rFonts w:cs="Arial"/>
          <w:lang w:val="es-ES"/>
        </w:rPr>
        <w:instrText xml:space="preserve"> AUTONUM  </w:instrText>
      </w:r>
      <w:r w:rsidRPr="00686563">
        <w:rPr>
          <w:rFonts w:cs="Arial"/>
          <w:lang w:val="es-ES"/>
        </w:rPr>
        <w:fldChar w:fldCharType="end"/>
      </w:r>
      <w:r w:rsidRPr="00686563">
        <w:rPr>
          <w:rFonts w:cs="Arial"/>
          <w:lang w:val="es-ES"/>
        </w:rPr>
        <w:tab/>
      </w:r>
      <w:r w:rsidR="00B30313" w:rsidRPr="00686563">
        <w:rPr>
          <w:rFonts w:cs="Arial"/>
          <w:lang w:val="es-ES"/>
        </w:rPr>
        <w:t>Las grabaciones en vídeo de los seminarios web, sin incluir las sesiones de debate, se publicaron en la página web de la UPOV para el TC y para cada reunión del TWP en 2022 (</w:t>
      </w:r>
      <w:hyperlink r:id="rId8" w:history="1">
        <w:r w:rsidR="00B30313" w:rsidRPr="00686563">
          <w:rPr>
            <w:rStyle w:val="Hyperlink"/>
            <w:rFonts w:cs="Arial"/>
            <w:lang w:val="es-ES"/>
          </w:rPr>
          <w:t>https://www.upov.int/meetings/en/webinar_videos.html</w:t>
        </w:r>
      </w:hyperlink>
      <w:r w:rsidR="00B30313" w:rsidRPr="00686563">
        <w:rPr>
          <w:rFonts w:cs="Arial"/>
          <w:lang w:val="es-ES"/>
        </w:rPr>
        <w:t>) y en el canal de la UPOV en Youtube (</w:t>
      </w:r>
      <w:hyperlink r:id="rId9" w:history="1">
        <w:r w:rsidR="00B30313" w:rsidRPr="00686563">
          <w:rPr>
            <w:rStyle w:val="Hyperlink"/>
            <w:rFonts w:cs="Arial"/>
            <w:lang w:val="es-ES"/>
          </w:rPr>
          <w:t>https://www.youtube.com/user/upov</w:t>
        </w:r>
      </w:hyperlink>
      <w:r w:rsidR="00B30313" w:rsidRPr="00686563">
        <w:rPr>
          <w:rFonts w:cs="Arial"/>
          <w:lang w:val="es-ES"/>
        </w:rPr>
        <w:t>).</w:t>
      </w:r>
      <w:r w:rsidR="00686563">
        <w:rPr>
          <w:rFonts w:cs="Arial"/>
          <w:lang w:val="es-ES"/>
        </w:rPr>
        <w:t xml:space="preserve"> </w:t>
      </w:r>
      <w:r w:rsidR="00B30313" w:rsidRPr="00686563">
        <w:rPr>
          <w:rFonts w:cs="Arial"/>
          <w:lang w:val="es-ES"/>
        </w:rPr>
        <w:t>El canal de Youtube de la UPOV ofrece la posibilidad de ver los vídeos con transcripción de audio y también puede generar subtítulos automáticamente en diferentes idiomas</w:t>
      </w:r>
      <w:r w:rsidRPr="00686563">
        <w:rPr>
          <w:rFonts w:cs="Arial"/>
          <w:lang w:val="es-ES"/>
        </w:rPr>
        <w:t>.</w:t>
      </w:r>
      <w:r w:rsidR="00686563">
        <w:rPr>
          <w:rFonts w:cs="Arial"/>
          <w:lang w:val="es-ES"/>
        </w:rPr>
        <w:t xml:space="preserve"> </w:t>
      </w:r>
    </w:p>
    <w:p w:rsidR="00626FED" w:rsidRPr="00686563" w:rsidRDefault="00626FED" w:rsidP="00626FED">
      <w:pPr>
        <w:rPr>
          <w:rFonts w:cs="Arial"/>
          <w:lang w:val="es-ES"/>
        </w:rPr>
      </w:pPr>
      <w:bookmarkStart w:id="5" w:name="_GoBack"/>
      <w:bookmarkEnd w:id="5"/>
    </w:p>
    <w:p w:rsidR="00626FED" w:rsidRPr="00686563" w:rsidRDefault="00626FED" w:rsidP="00C31A05">
      <w:pPr>
        <w:keepNext/>
        <w:rPr>
          <w:rFonts w:cs="Arial"/>
          <w:lang w:val="es-ES"/>
        </w:rPr>
      </w:pPr>
      <w:r w:rsidRPr="00686563">
        <w:rPr>
          <w:rFonts w:cs="Arial"/>
          <w:lang w:val="es-ES"/>
        </w:rPr>
        <w:fldChar w:fldCharType="begin"/>
      </w:r>
      <w:r w:rsidRPr="00686563">
        <w:rPr>
          <w:rFonts w:cs="Arial"/>
          <w:lang w:val="es-ES"/>
        </w:rPr>
        <w:instrText xml:space="preserve"> AUTONUM  </w:instrText>
      </w:r>
      <w:r w:rsidRPr="00686563">
        <w:rPr>
          <w:rFonts w:cs="Arial"/>
          <w:lang w:val="es-ES"/>
        </w:rPr>
        <w:fldChar w:fldCharType="end"/>
      </w:r>
      <w:r w:rsidRPr="00686563">
        <w:rPr>
          <w:rFonts w:cs="Arial"/>
          <w:lang w:val="es-ES"/>
        </w:rPr>
        <w:tab/>
      </w:r>
      <w:r w:rsidR="00B30313" w:rsidRPr="00686563">
        <w:rPr>
          <w:rFonts w:cs="Arial"/>
          <w:lang w:val="es-ES"/>
        </w:rPr>
        <w:t>Hasta el 5 de octubre de 2022 se registró el siguiente número de visualizaciones</w:t>
      </w:r>
      <w:r w:rsidRPr="00686563">
        <w:rPr>
          <w:rFonts w:cs="Arial"/>
          <w:lang w:val="es-ES"/>
        </w:rPr>
        <w:t>:</w:t>
      </w:r>
    </w:p>
    <w:p w:rsidR="00626FED" w:rsidRPr="00686563" w:rsidRDefault="00626FED" w:rsidP="00C31A05">
      <w:pPr>
        <w:keepNext/>
        <w:rPr>
          <w:rFonts w:cs="Arial"/>
          <w:lang w:val="es-ES"/>
        </w:rPr>
      </w:pPr>
    </w:p>
    <w:p w:rsidR="00626FED" w:rsidRPr="00686563" w:rsidRDefault="00B30313" w:rsidP="00C31A05">
      <w:pPr>
        <w:keepNext/>
        <w:rPr>
          <w:rFonts w:cs="Arial"/>
          <w:lang w:val="es-ES"/>
        </w:rPr>
      </w:pPr>
      <w:r w:rsidRPr="00686563">
        <w:rPr>
          <w:rFonts w:cs="Arial"/>
          <w:lang w:val="es-ES"/>
        </w:rPr>
        <w:t>Páginas web de los TWP de la UPOV</w:t>
      </w:r>
      <w:r w:rsidR="00626FED" w:rsidRPr="00686563">
        <w:rPr>
          <w:rFonts w:cs="Arial"/>
          <w:lang w:val="es-ES"/>
        </w:rPr>
        <w:t>:</w:t>
      </w:r>
    </w:p>
    <w:p w:rsidR="00626FED" w:rsidRPr="00686563" w:rsidRDefault="00626FED" w:rsidP="00C31A05">
      <w:pPr>
        <w:keepNext/>
        <w:rPr>
          <w:rFonts w:cs="Arial"/>
          <w:lang w:val="es-ES"/>
        </w:rPr>
      </w:pPr>
    </w:p>
    <w:tbl>
      <w:tblPr>
        <w:tblW w:w="0" w:type="auto"/>
        <w:jc w:val="center"/>
        <w:tblCellMar>
          <w:left w:w="0" w:type="dxa"/>
          <w:right w:w="0" w:type="dxa"/>
        </w:tblCellMar>
        <w:tblLook w:val="04A0" w:firstRow="1" w:lastRow="0" w:firstColumn="1" w:lastColumn="0" w:noHBand="0" w:noVBand="1"/>
      </w:tblPr>
      <w:tblGrid>
        <w:gridCol w:w="2088"/>
        <w:gridCol w:w="1980"/>
      </w:tblGrid>
      <w:tr w:rsidR="00B30313" w:rsidRPr="00686563" w:rsidTr="00B3725A">
        <w:trPr>
          <w:cantSplit/>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30313" w:rsidRPr="00686563" w:rsidRDefault="00B30313" w:rsidP="00C31A05">
            <w:pPr>
              <w:keepNext/>
              <w:jc w:val="center"/>
              <w:rPr>
                <w:lang w:val="es-ES"/>
              </w:rPr>
            </w:pPr>
            <w:r w:rsidRPr="00686563">
              <w:rPr>
                <w:lang w:val="es-ES"/>
              </w:rPr>
              <w:t>Visualizaciones de página</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0313" w:rsidRPr="00686563" w:rsidRDefault="00B30313" w:rsidP="00C31A05">
            <w:pPr>
              <w:keepNext/>
              <w:jc w:val="center"/>
              <w:rPr>
                <w:lang w:val="es-ES"/>
              </w:rPr>
            </w:pPr>
            <w:r w:rsidRPr="00686563">
              <w:rPr>
                <w:lang w:val="es-ES"/>
              </w:rPr>
              <w:t>Visualizaciones únicas de página</w:t>
            </w:r>
          </w:p>
        </w:tc>
      </w:tr>
      <w:tr w:rsidR="00626FED" w:rsidRPr="00686563" w:rsidTr="00B3725A">
        <w:trPr>
          <w:cantSplit/>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6FED" w:rsidRPr="00686563" w:rsidRDefault="00626FED" w:rsidP="00C31A05">
            <w:pPr>
              <w:keepNext/>
              <w:jc w:val="center"/>
              <w:rPr>
                <w:lang w:val="es-ES"/>
              </w:rPr>
            </w:pPr>
            <w:r w:rsidRPr="00686563">
              <w:rPr>
                <w:lang w:val="es-ES"/>
              </w:rPr>
              <w:t>274</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626FED" w:rsidRPr="00686563" w:rsidRDefault="00626FED" w:rsidP="00C31A05">
            <w:pPr>
              <w:keepNext/>
              <w:jc w:val="center"/>
              <w:rPr>
                <w:lang w:val="es-ES"/>
              </w:rPr>
            </w:pPr>
            <w:r w:rsidRPr="00686563">
              <w:rPr>
                <w:lang w:val="es-ES"/>
              </w:rPr>
              <w:t>238</w:t>
            </w:r>
          </w:p>
        </w:tc>
      </w:tr>
    </w:tbl>
    <w:p w:rsidR="00626FED" w:rsidRPr="00686563" w:rsidRDefault="00626FED" w:rsidP="00626FED">
      <w:pPr>
        <w:rPr>
          <w:rFonts w:cs="Arial"/>
          <w:lang w:val="es-ES"/>
        </w:rPr>
      </w:pPr>
    </w:p>
    <w:p w:rsidR="00626FED" w:rsidRPr="00686563" w:rsidRDefault="00B30313" w:rsidP="00626FED">
      <w:pPr>
        <w:keepNext/>
        <w:keepLines/>
        <w:rPr>
          <w:lang w:val="es-ES"/>
        </w:rPr>
      </w:pPr>
      <w:r w:rsidRPr="00686563">
        <w:rPr>
          <w:lang w:val="es-ES"/>
        </w:rPr>
        <w:t>Canal de la UPOV en YouTube</w:t>
      </w:r>
      <w:r w:rsidR="00626FED" w:rsidRPr="00686563">
        <w:rPr>
          <w:lang w:val="es-ES"/>
        </w:rPr>
        <w:t>:</w:t>
      </w:r>
    </w:p>
    <w:p w:rsidR="00626FED" w:rsidRPr="00686563" w:rsidRDefault="00626FED" w:rsidP="00626FED">
      <w:pPr>
        <w:keepNext/>
        <w:keepLines/>
        <w:rPr>
          <w:lang w:val="es-ES"/>
        </w:rPr>
      </w:pPr>
    </w:p>
    <w:tbl>
      <w:tblPr>
        <w:tblW w:w="0" w:type="auto"/>
        <w:jc w:val="center"/>
        <w:tblCellMar>
          <w:left w:w="0" w:type="dxa"/>
          <w:right w:w="0" w:type="dxa"/>
        </w:tblCellMar>
        <w:tblLook w:val="04A0" w:firstRow="1" w:lastRow="0" w:firstColumn="1" w:lastColumn="0" w:noHBand="0" w:noVBand="1"/>
      </w:tblPr>
      <w:tblGrid>
        <w:gridCol w:w="3285"/>
        <w:gridCol w:w="1863"/>
        <w:gridCol w:w="1890"/>
      </w:tblGrid>
      <w:tr w:rsidR="00B30313" w:rsidRPr="00686563" w:rsidTr="00B3725A">
        <w:trPr>
          <w:jc w:val="center"/>
        </w:trPr>
        <w:tc>
          <w:tcPr>
            <w:tcW w:w="3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30313" w:rsidRPr="00686563" w:rsidRDefault="00B30313" w:rsidP="00B30313">
            <w:pPr>
              <w:rPr>
                <w:lang w:val="es-ES"/>
              </w:rPr>
            </w:pPr>
            <w:r w:rsidRPr="00686563">
              <w:rPr>
                <w:lang w:val="es-ES"/>
              </w:rPr>
              <w:t>Seminario web</w:t>
            </w:r>
          </w:p>
        </w:tc>
        <w:tc>
          <w:tcPr>
            <w:tcW w:w="18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0313" w:rsidRPr="00686563" w:rsidRDefault="00B30313" w:rsidP="00B30313">
            <w:pPr>
              <w:jc w:val="center"/>
              <w:rPr>
                <w:lang w:val="es-ES"/>
              </w:rPr>
            </w:pPr>
            <w:r w:rsidRPr="00686563">
              <w:rPr>
                <w:lang w:val="es-ES"/>
              </w:rPr>
              <w:t>Visualizaciones totales</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30313" w:rsidRPr="00686563" w:rsidRDefault="00B30313" w:rsidP="00B30313">
            <w:pPr>
              <w:jc w:val="center"/>
              <w:rPr>
                <w:lang w:val="es-ES"/>
              </w:rPr>
            </w:pPr>
            <w:r w:rsidRPr="00686563">
              <w:rPr>
                <w:lang w:val="es-ES"/>
              </w:rPr>
              <w:t>Transcripción de audio / subtítulos</w:t>
            </w:r>
          </w:p>
        </w:tc>
      </w:tr>
      <w:tr w:rsidR="00B30313" w:rsidRPr="00686563" w:rsidTr="00B3725A">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0313" w:rsidRPr="00686563" w:rsidRDefault="00B30313" w:rsidP="00B30313">
            <w:pPr>
              <w:rPr>
                <w:lang w:val="es-ES"/>
              </w:rPr>
            </w:pPr>
            <w:r w:rsidRPr="00686563">
              <w:rPr>
                <w:lang w:val="es-ES"/>
              </w:rPr>
              <w:t>Seminario web 1 del TWP</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B30313" w:rsidRPr="00686563" w:rsidRDefault="00B30313" w:rsidP="00B30313">
            <w:pPr>
              <w:jc w:val="center"/>
              <w:rPr>
                <w:lang w:val="es-ES"/>
              </w:rPr>
            </w:pPr>
            <w:r w:rsidRPr="00686563">
              <w:rPr>
                <w:lang w:val="es-ES"/>
              </w:rPr>
              <w:t>74</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B30313" w:rsidRPr="00686563" w:rsidRDefault="00B30313" w:rsidP="00B30313">
            <w:pPr>
              <w:jc w:val="center"/>
              <w:rPr>
                <w:lang w:val="es-ES"/>
              </w:rPr>
            </w:pPr>
            <w:r w:rsidRPr="00686563">
              <w:rPr>
                <w:lang w:val="es-ES"/>
              </w:rPr>
              <w:t>9 (EN)</w:t>
            </w:r>
          </w:p>
        </w:tc>
      </w:tr>
      <w:tr w:rsidR="00B30313" w:rsidRPr="00686563" w:rsidTr="00B3725A">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30313" w:rsidRPr="00686563" w:rsidRDefault="00B30313" w:rsidP="00B30313">
            <w:pPr>
              <w:rPr>
                <w:lang w:val="es-ES"/>
              </w:rPr>
            </w:pPr>
            <w:r w:rsidRPr="00686563">
              <w:rPr>
                <w:lang w:val="es-ES"/>
              </w:rPr>
              <w:t>Seminario web 2 del TWP</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B30313" w:rsidRPr="00686563" w:rsidRDefault="00B30313" w:rsidP="00B30313">
            <w:pPr>
              <w:jc w:val="center"/>
              <w:rPr>
                <w:lang w:val="es-ES"/>
              </w:rPr>
            </w:pPr>
            <w:r w:rsidRPr="00686563">
              <w:rPr>
                <w:lang w:val="es-ES"/>
              </w:rPr>
              <w:t>76</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B30313" w:rsidRPr="00686563" w:rsidRDefault="00B30313" w:rsidP="00B30313">
            <w:pPr>
              <w:jc w:val="center"/>
              <w:rPr>
                <w:lang w:val="es-ES"/>
              </w:rPr>
            </w:pPr>
            <w:r w:rsidRPr="00686563">
              <w:rPr>
                <w:lang w:val="es-ES"/>
              </w:rPr>
              <w:t>14 (EN)</w:t>
            </w:r>
          </w:p>
        </w:tc>
      </w:tr>
      <w:tr w:rsidR="00626FED" w:rsidRPr="00686563" w:rsidTr="00B3725A">
        <w:trPr>
          <w:jc w:val="center"/>
        </w:trPr>
        <w:tc>
          <w:tcPr>
            <w:tcW w:w="32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6FED" w:rsidRPr="00686563" w:rsidRDefault="00B30313" w:rsidP="00B3725A">
            <w:pPr>
              <w:keepNext/>
              <w:keepLines/>
              <w:rPr>
                <w:lang w:val="es-ES"/>
              </w:rPr>
            </w:pPr>
            <w:r w:rsidRPr="00686563">
              <w:rPr>
                <w:lang w:val="es-ES"/>
              </w:rPr>
              <w:t>Seminario web 3 del TWP</w:t>
            </w:r>
          </w:p>
        </w:tc>
        <w:tc>
          <w:tcPr>
            <w:tcW w:w="1863" w:type="dxa"/>
            <w:tcBorders>
              <w:top w:val="nil"/>
              <w:left w:val="nil"/>
              <w:bottom w:val="single" w:sz="8" w:space="0" w:color="auto"/>
              <w:right w:val="single" w:sz="8" w:space="0" w:color="auto"/>
            </w:tcBorders>
            <w:tcMar>
              <w:top w:w="0" w:type="dxa"/>
              <w:left w:w="108" w:type="dxa"/>
              <w:bottom w:w="0" w:type="dxa"/>
              <w:right w:w="108" w:type="dxa"/>
            </w:tcMar>
            <w:hideMark/>
          </w:tcPr>
          <w:p w:rsidR="00626FED" w:rsidRPr="00686563" w:rsidRDefault="00626FED" w:rsidP="00B3725A">
            <w:pPr>
              <w:jc w:val="center"/>
              <w:rPr>
                <w:lang w:val="es-ES"/>
              </w:rPr>
            </w:pPr>
            <w:r w:rsidRPr="00686563">
              <w:rPr>
                <w:lang w:val="es-ES"/>
              </w:rPr>
              <w:t>103</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626FED" w:rsidRPr="00686563" w:rsidRDefault="00626FED" w:rsidP="00B3725A">
            <w:pPr>
              <w:jc w:val="center"/>
              <w:rPr>
                <w:lang w:val="es-ES"/>
              </w:rPr>
            </w:pPr>
            <w:r w:rsidRPr="00686563">
              <w:rPr>
                <w:lang w:val="es-ES"/>
              </w:rPr>
              <w:t>6 (EN)</w:t>
            </w:r>
          </w:p>
        </w:tc>
      </w:tr>
    </w:tbl>
    <w:p w:rsidR="00626FED" w:rsidRPr="00686563" w:rsidRDefault="00626FED" w:rsidP="00626FED">
      <w:pPr>
        <w:rPr>
          <w:lang w:val="es-ES"/>
        </w:rPr>
      </w:pPr>
    </w:p>
    <w:p w:rsidR="00626FED" w:rsidRPr="00686563" w:rsidRDefault="00626FED" w:rsidP="00626FED">
      <w:pPr>
        <w:rPr>
          <w:lang w:val="es-ES"/>
        </w:rPr>
      </w:pPr>
    </w:p>
    <w:p w:rsidR="00626FED" w:rsidRPr="00686563" w:rsidRDefault="008B6E3B" w:rsidP="00626FED">
      <w:pPr>
        <w:keepNext/>
        <w:keepLines/>
        <w:outlineLvl w:val="0"/>
        <w:rPr>
          <w:i/>
          <w:caps/>
          <w:lang w:val="es-ES"/>
        </w:rPr>
      </w:pPr>
      <w:bookmarkStart w:id="6" w:name="_Toc524688363"/>
      <w:bookmarkStart w:id="7" w:name="_Toc115876311"/>
      <w:bookmarkStart w:id="8" w:name="_Toc117008633"/>
      <w:r w:rsidRPr="00686563">
        <w:rPr>
          <w:lang w:val="es-ES"/>
        </w:rPr>
        <w:t xml:space="preserve">PROGRAMA Y FORMATO DE LA LABOR PREPARATORIA DE </w:t>
      </w:r>
      <w:r w:rsidR="00626FED" w:rsidRPr="00686563">
        <w:rPr>
          <w:caps/>
          <w:lang w:val="es-ES"/>
        </w:rPr>
        <w:t>20</w:t>
      </w:r>
      <w:bookmarkEnd w:id="6"/>
      <w:r w:rsidR="00626FED" w:rsidRPr="00686563">
        <w:rPr>
          <w:caps/>
          <w:lang w:val="es-ES"/>
        </w:rPr>
        <w:t>23</w:t>
      </w:r>
      <w:bookmarkEnd w:id="7"/>
      <w:bookmarkEnd w:id="8"/>
    </w:p>
    <w:p w:rsidR="00626FED" w:rsidRPr="00686563" w:rsidRDefault="00626FED" w:rsidP="00626FED">
      <w:pPr>
        <w:keepNext/>
        <w:keepLines/>
        <w:rPr>
          <w:snapToGrid w:val="0"/>
          <w:lang w:val="es-ES"/>
        </w:rPr>
      </w:pPr>
    </w:p>
    <w:p w:rsidR="00626FED" w:rsidRPr="00686563" w:rsidRDefault="00626FED" w:rsidP="00626FED">
      <w:pPr>
        <w:keepNext/>
        <w:snapToGrid w:val="0"/>
        <w:outlineLvl w:val="1"/>
        <w:rPr>
          <w:u w:val="single"/>
          <w:lang w:val="es-ES"/>
        </w:rPr>
      </w:pPr>
      <w:bookmarkStart w:id="9" w:name="_Toc115876312"/>
      <w:bookmarkStart w:id="10" w:name="_Toc117008634"/>
      <w:r w:rsidRPr="00686563">
        <w:rPr>
          <w:u w:val="single"/>
          <w:lang w:val="es-ES"/>
        </w:rPr>
        <w:t>Prop</w:t>
      </w:r>
      <w:r w:rsidR="008B6E3B" w:rsidRPr="00686563">
        <w:rPr>
          <w:u w:val="single"/>
          <w:lang w:val="es-ES"/>
        </w:rPr>
        <w:t>uesta</w:t>
      </w:r>
      <w:r w:rsidRPr="00686563">
        <w:rPr>
          <w:u w:val="single"/>
          <w:lang w:val="es-ES"/>
        </w:rPr>
        <w:t>:</w:t>
      </w:r>
      <w:bookmarkEnd w:id="9"/>
      <w:bookmarkEnd w:id="10"/>
    </w:p>
    <w:p w:rsidR="00626FED" w:rsidRPr="00686563" w:rsidRDefault="00626FED" w:rsidP="00626FED">
      <w:pPr>
        <w:keepNext/>
        <w:keepLines/>
        <w:rPr>
          <w:snapToGrid w:val="0"/>
          <w:lang w:val="es-ES"/>
        </w:rPr>
      </w:pPr>
    </w:p>
    <w:p w:rsidR="00626FED" w:rsidRPr="00686563" w:rsidRDefault="00626FED" w:rsidP="00626FED">
      <w:pPr>
        <w:keepNext/>
        <w:keepLines/>
        <w:rPr>
          <w:snapToGrid w:val="0"/>
          <w:lang w:val="es-ES"/>
        </w:rPr>
      </w:pPr>
      <w:r w:rsidRPr="00686563">
        <w:rPr>
          <w:snapToGrid w:val="0"/>
          <w:lang w:val="es-ES"/>
        </w:rPr>
        <w:fldChar w:fldCharType="begin"/>
      </w:r>
      <w:r w:rsidRPr="00686563">
        <w:rPr>
          <w:snapToGrid w:val="0"/>
          <w:lang w:val="es-ES"/>
        </w:rPr>
        <w:instrText xml:space="preserve"> AUTONUM  </w:instrText>
      </w:r>
      <w:r w:rsidRPr="00686563">
        <w:rPr>
          <w:snapToGrid w:val="0"/>
          <w:lang w:val="es-ES"/>
        </w:rPr>
        <w:fldChar w:fldCharType="end"/>
      </w:r>
      <w:r w:rsidRPr="00686563">
        <w:rPr>
          <w:snapToGrid w:val="0"/>
          <w:lang w:val="es-ES"/>
        </w:rPr>
        <w:tab/>
      </w:r>
      <w:r w:rsidR="008B6E3B" w:rsidRPr="00686563">
        <w:rPr>
          <w:snapToGrid w:val="0"/>
          <w:lang w:val="es-ES"/>
        </w:rPr>
        <w:t>Se propone que los talleres preparatorios de 2023 se organicen en forma de seminarios web en fechas acordes al calendario de reuniones de los TWP. Las presentaciones de los seminarios web y los debates de los paneles se grabarían y publicarían en línea. La sesión de preguntas y respuestas no se grabaría ni publicaría en línea.</w:t>
      </w:r>
      <w:r w:rsidRPr="00686563">
        <w:rPr>
          <w:snapToGrid w:val="0"/>
          <w:lang w:val="es-ES"/>
        </w:rPr>
        <w:t xml:space="preserve"> </w:t>
      </w:r>
    </w:p>
    <w:p w:rsidR="00626FED" w:rsidRPr="00686563" w:rsidRDefault="00626FED" w:rsidP="00626FED">
      <w:pPr>
        <w:rPr>
          <w:snapToGrid w:val="0"/>
          <w:lang w:val="es-ES"/>
        </w:rPr>
      </w:pPr>
    </w:p>
    <w:p w:rsidR="00626FED" w:rsidRPr="00686563" w:rsidRDefault="00626FED" w:rsidP="00626FED">
      <w:pPr>
        <w:rPr>
          <w:snapToGrid w:val="0"/>
          <w:lang w:val="es-ES"/>
        </w:rPr>
      </w:pPr>
      <w:r w:rsidRPr="00686563">
        <w:rPr>
          <w:snapToGrid w:val="0"/>
          <w:lang w:val="es-ES"/>
        </w:rPr>
        <w:fldChar w:fldCharType="begin"/>
      </w:r>
      <w:r w:rsidRPr="00686563">
        <w:rPr>
          <w:snapToGrid w:val="0"/>
          <w:lang w:val="es-ES"/>
        </w:rPr>
        <w:instrText xml:space="preserve"> AUTONUM  </w:instrText>
      </w:r>
      <w:r w:rsidRPr="00686563">
        <w:rPr>
          <w:snapToGrid w:val="0"/>
          <w:lang w:val="es-ES"/>
        </w:rPr>
        <w:fldChar w:fldCharType="end"/>
      </w:r>
      <w:r w:rsidRPr="00686563">
        <w:rPr>
          <w:snapToGrid w:val="0"/>
          <w:lang w:val="es-ES"/>
        </w:rPr>
        <w:tab/>
      </w:r>
      <w:r w:rsidR="008B6E3B" w:rsidRPr="00686563">
        <w:rPr>
          <w:snapToGrid w:val="0"/>
          <w:lang w:val="es-ES"/>
        </w:rPr>
        <w:t>Se invitaría a los expertos de los miembros a presentar ponencias sobre determinados contenidos y participar en calidad de panelistas en los debates.</w:t>
      </w:r>
      <w:r w:rsidR="00686563">
        <w:rPr>
          <w:snapToGrid w:val="0"/>
          <w:lang w:val="es-ES"/>
        </w:rPr>
        <w:t xml:space="preserve"> </w:t>
      </w:r>
    </w:p>
    <w:p w:rsidR="00626FED" w:rsidRPr="00686563" w:rsidRDefault="00626FED" w:rsidP="00626FED">
      <w:pPr>
        <w:rPr>
          <w:snapToGrid w:val="0"/>
          <w:lang w:val="es-ES"/>
        </w:rPr>
      </w:pPr>
    </w:p>
    <w:p w:rsidR="00626FED" w:rsidRPr="00686563" w:rsidRDefault="00626FED" w:rsidP="00626FED">
      <w:pPr>
        <w:rPr>
          <w:snapToGrid w:val="0"/>
          <w:lang w:val="es-ES"/>
        </w:rPr>
      </w:pPr>
      <w:r w:rsidRPr="00686563">
        <w:rPr>
          <w:snapToGrid w:val="0"/>
          <w:lang w:val="es-ES"/>
        </w:rPr>
        <w:fldChar w:fldCharType="begin"/>
      </w:r>
      <w:r w:rsidRPr="00686563">
        <w:rPr>
          <w:snapToGrid w:val="0"/>
          <w:lang w:val="es-ES"/>
        </w:rPr>
        <w:instrText xml:space="preserve"> AUTONUM  </w:instrText>
      </w:r>
      <w:r w:rsidRPr="00686563">
        <w:rPr>
          <w:snapToGrid w:val="0"/>
          <w:lang w:val="es-ES"/>
        </w:rPr>
        <w:fldChar w:fldCharType="end"/>
      </w:r>
      <w:r w:rsidRPr="00686563">
        <w:rPr>
          <w:snapToGrid w:val="0"/>
          <w:lang w:val="es-ES"/>
        </w:rPr>
        <w:tab/>
      </w:r>
      <w:r w:rsidR="008B6E3B" w:rsidRPr="00686563">
        <w:rPr>
          <w:snapToGrid w:val="0"/>
          <w:lang w:val="es-ES"/>
        </w:rPr>
        <w:t>La Oficina de la Unión ultimaría los detalles relativos a los seminarios web en coordinación con los presidentes del TC y los TWP.</w:t>
      </w:r>
    </w:p>
    <w:p w:rsidR="00626FED" w:rsidRPr="00686563" w:rsidRDefault="00626FED" w:rsidP="00626FED">
      <w:pPr>
        <w:rPr>
          <w:rFonts w:cs="Arial"/>
          <w:lang w:val="es-ES"/>
        </w:rPr>
      </w:pPr>
    </w:p>
    <w:p w:rsidR="00626FED" w:rsidRPr="00686563" w:rsidRDefault="00626FED" w:rsidP="00626FED">
      <w:pPr>
        <w:rPr>
          <w:rFonts w:cs="Arial"/>
          <w:lang w:val="es-ES"/>
        </w:rPr>
      </w:pPr>
      <w:r w:rsidRPr="00686563">
        <w:rPr>
          <w:lang w:val="es-ES"/>
        </w:rPr>
        <w:fldChar w:fldCharType="begin"/>
      </w:r>
      <w:r w:rsidRPr="00686563">
        <w:rPr>
          <w:lang w:val="es-ES"/>
        </w:rPr>
        <w:instrText xml:space="preserve"> AUTONUM  </w:instrText>
      </w:r>
      <w:r w:rsidRPr="00686563">
        <w:rPr>
          <w:lang w:val="es-ES"/>
        </w:rPr>
        <w:fldChar w:fldCharType="end"/>
      </w:r>
      <w:r w:rsidRPr="00686563">
        <w:rPr>
          <w:lang w:val="es-ES"/>
        </w:rPr>
        <w:tab/>
      </w:r>
      <w:r w:rsidR="008B6E3B" w:rsidRPr="00686563">
        <w:rPr>
          <w:lang w:val="es-ES"/>
        </w:rPr>
        <w:t>A instancia de los anfitriones de los TWP, se podrían organizar talleres con participación presencial junto con las reuniones de los TWP. En ese caso, el contenido se adaptaría al contexto particular</w:t>
      </w:r>
      <w:r w:rsidRPr="00686563">
        <w:rPr>
          <w:rFonts w:cs="Arial"/>
          <w:lang w:val="es-ES"/>
        </w:rPr>
        <w:t>.</w:t>
      </w:r>
    </w:p>
    <w:p w:rsidR="006E0285" w:rsidRPr="00686563" w:rsidRDefault="006E0285" w:rsidP="006E0285">
      <w:pPr>
        <w:rPr>
          <w:rFonts w:eastAsiaTheme="minorHAnsi" w:cs="Arial"/>
          <w:lang w:val="es-ES"/>
        </w:rPr>
      </w:pPr>
    </w:p>
    <w:p w:rsidR="006E0285" w:rsidRPr="00686563" w:rsidRDefault="006E0285" w:rsidP="006E0285">
      <w:pPr>
        <w:pStyle w:val="DecisionParagraphs"/>
        <w:keepNext/>
        <w:keepLines/>
        <w:rPr>
          <w:rFonts w:cs="Arial"/>
          <w:lang w:val="es-ES"/>
        </w:rPr>
      </w:pPr>
      <w:r w:rsidRPr="00686563">
        <w:rPr>
          <w:rFonts w:cs="Arial"/>
          <w:i w:val="0"/>
          <w:lang w:val="es-ES"/>
        </w:rPr>
        <w:fldChar w:fldCharType="begin"/>
      </w:r>
      <w:r w:rsidRPr="00686563">
        <w:rPr>
          <w:rFonts w:cs="Arial"/>
          <w:lang w:val="es-ES"/>
        </w:rPr>
        <w:instrText xml:space="preserve"> AUTONUM  </w:instrText>
      </w:r>
      <w:r w:rsidRPr="00686563">
        <w:rPr>
          <w:rFonts w:cs="Arial"/>
          <w:i w:val="0"/>
          <w:lang w:val="es-ES"/>
        </w:rPr>
        <w:fldChar w:fldCharType="end"/>
      </w:r>
      <w:r w:rsidRPr="00686563">
        <w:rPr>
          <w:rFonts w:cs="Arial"/>
          <w:lang w:val="es-ES"/>
        </w:rPr>
        <w:tab/>
      </w:r>
      <w:r w:rsidR="008B6E3B" w:rsidRPr="00686563">
        <w:rPr>
          <w:rFonts w:cs="Arial"/>
          <w:lang w:val="es-ES"/>
        </w:rPr>
        <w:t>Se invita al TC a considerar la posibilidad de organizar talleres preparatorios en forma de una serie de seminarios web en fechas acordes al calendario de reuniones de 2022 de los Grupos de Trabajo Técnico (TWP), conjuntamente con talleres presenciales, cuando así se solicite, conforme a lo expuesto en los párrafos 15 a 18 del presente documento</w:t>
      </w:r>
      <w:r w:rsidRPr="00686563">
        <w:rPr>
          <w:rFonts w:cs="Arial"/>
          <w:lang w:val="es-ES"/>
        </w:rPr>
        <w:t>.</w:t>
      </w:r>
    </w:p>
    <w:p w:rsidR="006E0285" w:rsidRPr="00686563" w:rsidRDefault="006E0285" w:rsidP="006E0285">
      <w:pPr>
        <w:jc w:val="left"/>
        <w:rPr>
          <w:snapToGrid w:val="0"/>
          <w:lang w:val="es-ES"/>
        </w:rPr>
      </w:pPr>
    </w:p>
    <w:p w:rsidR="006E0285" w:rsidRPr="00686563" w:rsidRDefault="006E0285" w:rsidP="006E0285">
      <w:pPr>
        <w:jc w:val="left"/>
        <w:rPr>
          <w:snapToGrid w:val="0"/>
          <w:lang w:val="es-ES"/>
        </w:rPr>
      </w:pPr>
    </w:p>
    <w:p w:rsidR="006E0285" w:rsidRPr="00686563" w:rsidRDefault="006E0285" w:rsidP="006E0285">
      <w:pPr>
        <w:jc w:val="left"/>
        <w:rPr>
          <w:snapToGrid w:val="0"/>
          <w:lang w:val="es-ES"/>
        </w:rPr>
      </w:pPr>
    </w:p>
    <w:p w:rsidR="006E0285" w:rsidRPr="00686563" w:rsidRDefault="006E0285" w:rsidP="006E0285">
      <w:pPr>
        <w:jc w:val="right"/>
        <w:rPr>
          <w:snapToGrid w:val="0"/>
          <w:lang w:val="es-ES"/>
        </w:rPr>
      </w:pPr>
      <w:r w:rsidRPr="00686563">
        <w:rPr>
          <w:snapToGrid w:val="0"/>
          <w:lang w:val="es-ES"/>
        </w:rPr>
        <w:t>[Sigue el Anexo]</w:t>
      </w:r>
    </w:p>
    <w:p w:rsidR="006E0285" w:rsidRPr="00686563" w:rsidRDefault="006E0285" w:rsidP="006E0285">
      <w:pPr>
        <w:jc w:val="left"/>
        <w:rPr>
          <w:snapToGrid w:val="0"/>
          <w:lang w:val="es-ES"/>
        </w:rPr>
      </w:pPr>
    </w:p>
    <w:p w:rsidR="006E0285" w:rsidRPr="00686563" w:rsidRDefault="006E0285" w:rsidP="006E0285">
      <w:pPr>
        <w:jc w:val="left"/>
        <w:rPr>
          <w:snapToGrid w:val="0"/>
          <w:lang w:val="es-ES"/>
        </w:rPr>
        <w:sectPr w:rsidR="006E0285" w:rsidRPr="00686563" w:rsidSect="0004198B">
          <w:headerReference w:type="default" r:id="rId10"/>
          <w:pgSz w:w="11907" w:h="16840" w:code="9"/>
          <w:pgMar w:top="510" w:right="1134" w:bottom="1134" w:left="1134" w:header="510" w:footer="680" w:gutter="0"/>
          <w:pgNumType w:start="1"/>
          <w:cols w:space="720"/>
          <w:titlePg/>
        </w:sectPr>
      </w:pPr>
    </w:p>
    <w:p w:rsidR="006E0285" w:rsidRPr="00686563" w:rsidRDefault="006E0285" w:rsidP="006E0285">
      <w:pPr>
        <w:jc w:val="center"/>
        <w:outlineLvl w:val="0"/>
        <w:rPr>
          <w:rFonts w:cs="Arial"/>
          <w:caps/>
          <w:lang w:val="es-ES"/>
        </w:rPr>
      </w:pPr>
      <w:bookmarkStart w:id="11" w:name="_Toc117008635"/>
      <w:r w:rsidRPr="00686563">
        <w:rPr>
          <w:rFonts w:cs="Arial"/>
          <w:caps/>
          <w:lang w:val="es-ES"/>
        </w:rPr>
        <w:t>PROGRAMA DE LOS SEMINARIOS WEB PREPARATORIOS DE 202</w:t>
      </w:r>
      <w:r w:rsidR="00BC19DC" w:rsidRPr="00686563">
        <w:rPr>
          <w:rFonts w:cs="Arial"/>
          <w:caps/>
          <w:lang w:val="es-ES"/>
        </w:rPr>
        <w:t>2</w:t>
      </w:r>
      <w:bookmarkEnd w:id="11"/>
    </w:p>
    <w:p w:rsidR="006E0285" w:rsidRPr="00686563" w:rsidRDefault="006E0285" w:rsidP="006E0285">
      <w:pPr>
        <w:spacing w:line="276" w:lineRule="auto"/>
        <w:rPr>
          <w:rFonts w:cs="Arial"/>
          <w:sz w:val="16"/>
          <w:lang w:val="es-ES"/>
        </w:rPr>
      </w:pPr>
    </w:p>
    <w:p w:rsidR="006E0285" w:rsidRPr="00686563" w:rsidRDefault="00BC19DC" w:rsidP="006E0285">
      <w:pPr>
        <w:spacing w:line="276" w:lineRule="auto"/>
        <w:rPr>
          <w:rFonts w:cs="Arial"/>
          <w:lang w:val="es-ES"/>
        </w:rPr>
      </w:pPr>
      <w:r w:rsidRPr="00686563">
        <w:rPr>
          <w:rFonts w:cs="Arial"/>
          <w:lang w:val="es-ES"/>
        </w:rPr>
        <w:t>Todos los seminarios web se impartieron dos veces (a las 8 y a las 15 horas, hora de Ginebra)</w:t>
      </w:r>
      <w:r w:rsidR="006E0285" w:rsidRPr="00686563">
        <w:rPr>
          <w:rFonts w:cs="Arial"/>
          <w:lang w:val="es-ES"/>
        </w:rPr>
        <w:t>:</w:t>
      </w:r>
    </w:p>
    <w:p w:rsidR="006E0285" w:rsidRPr="00686563" w:rsidRDefault="006E0285" w:rsidP="006E0285">
      <w:pPr>
        <w:spacing w:line="276" w:lineRule="auto"/>
        <w:rPr>
          <w:rFonts w:cs="Arial"/>
          <w:sz w:val="16"/>
          <w:lang w:val="es-ES"/>
        </w:rPr>
      </w:pPr>
    </w:p>
    <w:tbl>
      <w:tblPr>
        <w:tblStyle w:val="TableGrid"/>
        <w:tblW w:w="9634" w:type="dxa"/>
        <w:tblLook w:val="04A0" w:firstRow="1" w:lastRow="0" w:firstColumn="1" w:lastColumn="0" w:noHBand="0" w:noVBand="1"/>
      </w:tblPr>
      <w:tblGrid>
        <w:gridCol w:w="6516"/>
        <w:gridCol w:w="3118"/>
      </w:tblGrid>
      <w:tr w:rsidR="00BC19DC" w:rsidRPr="00686563" w:rsidTr="00B3725A">
        <w:trPr>
          <w:trHeight w:val="604"/>
        </w:trPr>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43602E" w:rsidP="00E24BF5">
            <w:pPr>
              <w:spacing w:line="276" w:lineRule="auto"/>
              <w:jc w:val="left"/>
              <w:rPr>
                <w:color w:val="000000" w:themeColor="text1"/>
                <w:sz w:val="18"/>
                <w:szCs w:val="18"/>
                <w:lang w:val="es-ES"/>
              </w:rPr>
            </w:pPr>
            <w:r w:rsidRPr="00686563">
              <w:rPr>
                <w:color w:val="000000" w:themeColor="text1"/>
                <w:sz w:val="18"/>
                <w:szCs w:val="18"/>
                <w:lang w:val="es-ES"/>
              </w:rPr>
              <w:t>MARTES</w:t>
            </w:r>
            <w:r w:rsidR="00BC19DC" w:rsidRPr="00686563">
              <w:rPr>
                <w:color w:val="000000" w:themeColor="text1"/>
                <w:sz w:val="18"/>
                <w:szCs w:val="18"/>
                <w:lang w:val="es-ES"/>
              </w:rPr>
              <w:t xml:space="preserve"> </w:t>
            </w:r>
            <w:r w:rsidRPr="00686563">
              <w:rPr>
                <w:color w:val="000000" w:themeColor="text1"/>
                <w:sz w:val="18"/>
                <w:szCs w:val="18"/>
                <w:lang w:val="es-ES"/>
              </w:rPr>
              <w:t>12 DE ABRIL DE</w:t>
            </w:r>
            <w:r w:rsidR="00BC19DC" w:rsidRPr="00686563">
              <w:rPr>
                <w:color w:val="000000" w:themeColor="text1"/>
                <w:sz w:val="18"/>
                <w:szCs w:val="18"/>
                <w:lang w:val="es-ES"/>
              </w:rPr>
              <w:t xml:space="preserve"> 2022:</w:t>
            </w:r>
            <w:r w:rsidR="00686563">
              <w:rPr>
                <w:color w:val="000000" w:themeColor="text1"/>
                <w:sz w:val="18"/>
                <w:szCs w:val="18"/>
                <w:lang w:val="es-ES"/>
              </w:rPr>
              <w:t xml:space="preserve"> </w:t>
            </w:r>
            <w:r w:rsidRPr="00686563">
              <w:rPr>
                <w:color w:val="000000" w:themeColor="text1"/>
                <w:sz w:val="18"/>
                <w:szCs w:val="18"/>
                <w:lang w:val="es-ES"/>
              </w:rPr>
              <w:t xml:space="preserve">SEMINARIO WEB </w:t>
            </w:r>
            <w:r w:rsidR="00BC19DC" w:rsidRPr="00686563">
              <w:rPr>
                <w:color w:val="000000" w:themeColor="text1"/>
                <w:sz w:val="18"/>
                <w:szCs w:val="18"/>
                <w:lang w:val="es-ES"/>
              </w:rPr>
              <w:t>1:</w:t>
            </w:r>
            <w:r w:rsidR="00686563">
              <w:rPr>
                <w:color w:val="000000" w:themeColor="text1"/>
                <w:sz w:val="18"/>
                <w:szCs w:val="18"/>
                <w:lang w:val="es-ES"/>
              </w:rPr>
              <w:t xml:space="preserve"> </w:t>
            </w:r>
            <w:r w:rsidRPr="00686563">
              <w:rPr>
                <w:caps/>
                <w:color w:val="000000" w:themeColor="text1"/>
                <w:sz w:val="18"/>
                <w:szCs w:val="18"/>
                <w:lang w:val="es-ES"/>
              </w:rPr>
              <w:t>Organización de exámenes DHE con información suministrada por el solicitante</w:t>
            </w:r>
          </w:p>
        </w:tc>
        <w:tc>
          <w:tcPr>
            <w:tcW w:w="3118" w:type="dxa"/>
            <w:tcBorders>
              <w:top w:val="single" w:sz="4" w:space="0" w:color="auto"/>
              <w:left w:val="single" w:sz="4" w:space="0" w:color="auto"/>
              <w:bottom w:val="single" w:sz="4" w:space="0" w:color="auto"/>
              <w:right w:val="single" w:sz="4" w:space="0" w:color="auto"/>
            </w:tcBorders>
          </w:tcPr>
          <w:p w:rsidR="00F357F6" w:rsidRPr="00686563" w:rsidRDefault="00F357F6" w:rsidP="00F357F6">
            <w:pPr>
              <w:spacing w:line="276" w:lineRule="auto"/>
              <w:jc w:val="left"/>
              <w:rPr>
                <w:color w:val="000000" w:themeColor="text1"/>
                <w:sz w:val="18"/>
                <w:szCs w:val="18"/>
                <w:lang w:val="es-ES"/>
              </w:rPr>
            </w:pPr>
            <w:r w:rsidRPr="00686563">
              <w:rPr>
                <w:color w:val="000000" w:themeColor="text1"/>
                <w:sz w:val="18"/>
                <w:szCs w:val="18"/>
                <w:lang w:val="es-ES"/>
              </w:rPr>
              <w:t>Ponentes / Panelistas</w:t>
            </w:r>
          </w:p>
          <w:p w:rsidR="00BC19DC" w:rsidRPr="00686563" w:rsidRDefault="00BC19DC" w:rsidP="00B3725A">
            <w:pPr>
              <w:spacing w:line="276" w:lineRule="auto"/>
              <w:jc w:val="left"/>
              <w:rPr>
                <w:color w:val="000000" w:themeColor="text1"/>
                <w:sz w:val="18"/>
                <w:szCs w:val="18"/>
                <w:lang w:val="es-ES"/>
              </w:rPr>
            </w:pPr>
          </w:p>
        </w:tc>
      </w:tr>
      <w:tr w:rsidR="00BC19DC" w:rsidRPr="00686563" w:rsidTr="00B3725A">
        <w:trPr>
          <w:trHeight w:val="273"/>
        </w:trPr>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43602E" w:rsidP="00B3725A">
            <w:pPr>
              <w:spacing w:line="276" w:lineRule="auto"/>
              <w:ind w:left="332" w:hanging="332"/>
              <w:jc w:val="left"/>
              <w:rPr>
                <w:i/>
                <w:sz w:val="18"/>
                <w:szCs w:val="18"/>
                <w:lang w:val="es-ES"/>
              </w:rPr>
            </w:pPr>
            <w:r w:rsidRPr="00686563">
              <w:rPr>
                <w:i/>
                <w:sz w:val="18"/>
                <w:szCs w:val="18"/>
                <w:lang w:val="es-ES"/>
              </w:rPr>
              <w:t>Ponencias introductorias</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43602E" w:rsidP="00B3725A">
            <w:pPr>
              <w:keepNext/>
              <w:spacing w:line="276" w:lineRule="auto"/>
              <w:jc w:val="left"/>
              <w:rPr>
                <w:sz w:val="18"/>
                <w:szCs w:val="18"/>
                <w:lang w:val="es-ES"/>
              </w:rPr>
            </w:pPr>
            <w:r w:rsidRPr="00686563">
              <w:rPr>
                <w:sz w:val="18"/>
                <w:szCs w:val="18"/>
                <w:lang w:val="es-ES"/>
              </w:rPr>
              <w:t>¿Qué son los cuestionarios técnicos en</w:t>
            </w:r>
            <w:r w:rsidR="00BB64B3" w:rsidRPr="00686563">
              <w:rPr>
                <w:sz w:val="18"/>
                <w:szCs w:val="18"/>
                <w:lang w:val="es-ES"/>
              </w:rPr>
              <w:t xml:space="preserve"> los formularios de solicitud?</w:t>
            </w:r>
            <w:r w:rsidR="00BC19DC" w:rsidRPr="00686563">
              <w:rPr>
                <w:sz w:val="18"/>
                <w:szCs w:val="18"/>
                <w:lang w:val="es-ES"/>
              </w:rPr>
              <w:t>:</w:t>
            </w:r>
            <w:r w:rsidR="00686563">
              <w:rPr>
                <w:sz w:val="18"/>
                <w:szCs w:val="18"/>
                <w:lang w:val="es-ES"/>
              </w:rPr>
              <w:t xml:space="preserve"> </w:t>
            </w:r>
          </w:p>
          <w:p w:rsidR="00BC19DC" w:rsidRPr="00686563" w:rsidRDefault="00BC19DC" w:rsidP="00B3725A">
            <w:pPr>
              <w:keepNext/>
              <w:spacing w:line="276" w:lineRule="auto"/>
              <w:ind w:firstLine="567"/>
              <w:jc w:val="left"/>
              <w:rPr>
                <w:sz w:val="18"/>
                <w:szCs w:val="18"/>
                <w:lang w:val="es-ES"/>
              </w:rPr>
            </w:pPr>
            <w:r w:rsidRPr="00686563">
              <w:rPr>
                <w:sz w:val="18"/>
                <w:szCs w:val="18"/>
                <w:lang w:val="es-ES"/>
              </w:rPr>
              <w:t xml:space="preserve">- </w:t>
            </w:r>
            <w:r w:rsidR="00BB64B3" w:rsidRPr="00686563">
              <w:rPr>
                <w:sz w:val="18"/>
                <w:szCs w:val="18"/>
                <w:lang w:val="es-ES"/>
              </w:rPr>
              <w:t>características utilizadas para el agrupamiento de variedades</w:t>
            </w:r>
          </w:p>
          <w:p w:rsidR="00BC19DC" w:rsidRPr="00686563" w:rsidRDefault="00BC19DC" w:rsidP="00B3725A">
            <w:pPr>
              <w:keepNext/>
              <w:spacing w:line="276" w:lineRule="auto"/>
              <w:ind w:firstLine="567"/>
              <w:jc w:val="left"/>
              <w:rPr>
                <w:sz w:val="18"/>
                <w:szCs w:val="18"/>
                <w:lang w:val="es-ES"/>
              </w:rPr>
            </w:pPr>
            <w:r w:rsidRPr="00686563">
              <w:rPr>
                <w:sz w:val="18"/>
                <w:szCs w:val="18"/>
                <w:lang w:val="es-ES"/>
              </w:rPr>
              <w:t xml:space="preserve">- </w:t>
            </w:r>
            <w:r w:rsidR="00BB64B3" w:rsidRPr="00686563">
              <w:rPr>
                <w:sz w:val="18"/>
                <w:szCs w:val="18"/>
                <w:lang w:val="es-ES"/>
              </w:rPr>
              <w:t>método de obtención y otra información útil para distinguir las variedades</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r w:rsidRPr="00686563">
              <w:rPr>
                <w:sz w:val="18"/>
                <w:szCs w:val="18"/>
                <w:lang w:val="es-ES"/>
              </w:rPr>
              <w:t>Leontino Taveira</w:t>
            </w: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1B67B7" w:rsidP="00B3725A">
            <w:pPr>
              <w:keepNext/>
              <w:spacing w:line="276" w:lineRule="auto"/>
              <w:jc w:val="left"/>
              <w:rPr>
                <w:sz w:val="18"/>
                <w:szCs w:val="18"/>
                <w:lang w:val="es-ES"/>
              </w:rPr>
            </w:pPr>
            <w:r w:rsidRPr="00686563">
              <w:rPr>
                <w:sz w:val="18"/>
                <w:szCs w:val="18"/>
                <w:lang w:val="es-ES"/>
              </w:rPr>
              <w:t>Selección de variedades similares para organizar los exámenes DHE:</w:t>
            </w:r>
          </w:p>
          <w:p w:rsidR="00BC19DC" w:rsidRPr="00686563" w:rsidRDefault="00BC19DC" w:rsidP="00B3725A">
            <w:pPr>
              <w:keepNext/>
              <w:spacing w:line="276" w:lineRule="auto"/>
              <w:jc w:val="left"/>
              <w:rPr>
                <w:sz w:val="18"/>
                <w:szCs w:val="18"/>
                <w:lang w:val="es-ES"/>
              </w:rPr>
            </w:pPr>
            <w:r w:rsidRPr="00686563">
              <w:rPr>
                <w:sz w:val="18"/>
                <w:szCs w:val="18"/>
                <w:lang w:val="es-ES"/>
              </w:rPr>
              <w:tab/>
              <w:t xml:space="preserve">- </w:t>
            </w:r>
            <w:r w:rsidR="001B67B7" w:rsidRPr="00686563">
              <w:rPr>
                <w:sz w:val="18"/>
                <w:szCs w:val="18"/>
                <w:lang w:val="es-ES"/>
              </w:rPr>
              <w:t>constitución y mantenimiento de colecciones de variedades</w:t>
            </w:r>
          </w:p>
          <w:p w:rsidR="00BC19DC" w:rsidRPr="00686563" w:rsidRDefault="00BC19DC" w:rsidP="007139AF">
            <w:pPr>
              <w:keepNext/>
              <w:spacing w:line="276" w:lineRule="auto"/>
              <w:jc w:val="left"/>
              <w:rPr>
                <w:spacing w:val="-2"/>
                <w:sz w:val="18"/>
                <w:szCs w:val="18"/>
                <w:lang w:val="es-ES"/>
              </w:rPr>
            </w:pPr>
            <w:r w:rsidRPr="00686563">
              <w:rPr>
                <w:sz w:val="18"/>
                <w:szCs w:val="18"/>
                <w:lang w:val="es-ES"/>
              </w:rPr>
              <w:tab/>
              <w:t xml:space="preserve">- </w:t>
            </w:r>
            <w:r w:rsidR="001B67B7" w:rsidRPr="00686563">
              <w:rPr>
                <w:sz w:val="18"/>
                <w:szCs w:val="18"/>
                <w:lang w:val="es-ES"/>
              </w:rPr>
              <w:t>utilización de la información molecular para apoyar la organización de los ensayos</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r w:rsidRPr="00686563">
              <w:rPr>
                <w:sz w:val="18"/>
                <w:szCs w:val="18"/>
                <w:lang w:val="es-ES"/>
              </w:rPr>
              <w:t>Manabu Suzuki</w:t>
            </w: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hideMark/>
          </w:tcPr>
          <w:p w:rsidR="00BC19DC" w:rsidRPr="00686563" w:rsidRDefault="00F357F6" w:rsidP="00B3725A">
            <w:pPr>
              <w:spacing w:line="276" w:lineRule="auto"/>
              <w:jc w:val="left"/>
              <w:rPr>
                <w:i/>
                <w:sz w:val="18"/>
                <w:szCs w:val="18"/>
                <w:lang w:val="es-ES"/>
              </w:rPr>
            </w:pPr>
            <w:r w:rsidRPr="00686563">
              <w:rPr>
                <w:i/>
                <w:sz w:val="18"/>
                <w:szCs w:val="18"/>
                <w:lang w:val="es-ES"/>
              </w:rPr>
              <w:t>Mesa redonda</w:t>
            </w:r>
          </w:p>
        </w:tc>
        <w:tc>
          <w:tcPr>
            <w:tcW w:w="3118" w:type="dxa"/>
            <w:tcBorders>
              <w:top w:val="single" w:sz="4" w:space="0" w:color="auto"/>
              <w:left w:val="single" w:sz="4" w:space="0" w:color="auto"/>
              <w:bottom w:val="single" w:sz="4" w:space="0" w:color="auto"/>
              <w:right w:val="single" w:sz="4" w:space="0" w:color="auto"/>
            </w:tcBorders>
            <w:hideMark/>
          </w:tcPr>
          <w:p w:rsidR="00BC19DC" w:rsidRPr="00686563" w:rsidRDefault="00BC19DC" w:rsidP="00B3725A">
            <w:pPr>
              <w:spacing w:line="276" w:lineRule="auto"/>
              <w:jc w:val="left"/>
              <w:rPr>
                <w:sz w:val="18"/>
                <w:szCs w:val="18"/>
                <w:lang w:val="es-ES"/>
              </w:rPr>
            </w:pPr>
            <w:r w:rsidRPr="00686563">
              <w:rPr>
                <w:sz w:val="18"/>
                <w:szCs w:val="18"/>
                <w:lang w:val="es-ES"/>
              </w:rPr>
              <w:t>Anthony Parker (</w:t>
            </w:r>
            <w:r w:rsidR="001B67B7" w:rsidRPr="00686563">
              <w:rPr>
                <w:sz w:val="18"/>
                <w:szCs w:val="18"/>
                <w:lang w:val="es-ES"/>
              </w:rPr>
              <w:t>Canadá</w:t>
            </w:r>
            <w:r w:rsidRPr="00686563">
              <w:rPr>
                <w:sz w:val="18"/>
                <w:szCs w:val="18"/>
                <w:lang w:val="es-ES"/>
              </w:rPr>
              <w:t>)</w:t>
            </w:r>
            <w:r w:rsidR="00686563" w:rsidRPr="00686563">
              <w:rPr>
                <w:sz w:val="18"/>
                <w:szCs w:val="18"/>
                <w:lang w:val="es-ES"/>
              </w:rPr>
              <w:t>,</w:t>
            </w:r>
          </w:p>
          <w:p w:rsidR="00BC19DC" w:rsidRPr="00686563" w:rsidRDefault="00BC19DC" w:rsidP="00B3725A">
            <w:pPr>
              <w:spacing w:line="276" w:lineRule="auto"/>
              <w:jc w:val="left"/>
              <w:rPr>
                <w:sz w:val="18"/>
                <w:szCs w:val="18"/>
                <w:lang w:val="es-ES"/>
              </w:rPr>
            </w:pPr>
            <w:r w:rsidRPr="00686563">
              <w:rPr>
                <w:sz w:val="18"/>
                <w:szCs w:val="18"/>
                <w:lang w:val="es-ES"/>
              </w:rPr>
              <w:t>Cecile Marchenay (</w:t>
            </w:r>
            <w:r w:rsidR="001B67B7" w:rsidRPr="00686563">
              <w:rPr>
                <w:sz w:val="18"/>
                <w:szCs w:val="18"/>
                <w:lang w:val="es-ES"/>
              </w:rPr>
              <w:t>Países Bajos</w:t>
            </w:r>
            <w:r w:rsidRPr="00686563">
              <w:rPr>
                <w:sz w:val="18"/>
                <w:szCs w:val="18"/>
                <w:lang w:val="es-ES"/>
              </w:rPr>
              <w:t>)</w:t>
            </w:r>
            <w:r w:rsidR="00686563" w:rsidRPr="00686563">
              <w:rPr>
                <w:sz w:val="18"/>
                <w:szCs w:val="18"/>
                <w:lang w:val="es-ES"/>
              </w:rPr>
              <w:t>,</w:t>
            </w:r>
          </w:p>
          <w:p w:rsidR="00BC19DC" w:rsidRPr="00686563" w:rsidRDefault="00BC19DC" w:rsidP="00B3725A">
            <w:pPr>
              <w:spacing w:line="276" w:lineRule="auto"/>
              <w:jc w:val="left"/>
              <w:rPr>
                <w:strike/>
                <w:sz w:val="18"/>
                <w:szCs w:val="18"/>
                <w:lang w:val="es-ES"/>
              </w:rPr>
            </w:pPr>
            <w:r w:rsidRPr="00686563">
              <w:rPr>
                <w:sz w:val="18"/>
                <w:szCs w:val="18"/>
                <w:lang w:val="es-ES"/>
              </w:rPr>
              <w:t>Chris Barnaby (</w:t>
            </w:r>
            <w:r w:rsidR="001B67B7" w:rsidRPr="00686563">
              <w:rPr>
                <w:sz w:val="18"/>
                <w:szCs w:val="18"/>
                <w:lang w:val="es-ES"/>
              </w:rPr>
              <w:t>Nueva Zelandia</w:t>
            </w:r>
            <w:r w:rsidRPr="00686563">
              <w:rPr>
                <w:sz w:val="18"/>
                <w:szCs w:val="18"/>
                <w:lang w:val="es-ES"/>
              </w:rPr>
              <w:t>)</w:t>
            </w:r>
            <w:r w:rsidR="00686563" w:rsidRPr="00686563">
              <w:rPr>
                <w:sz w:val="18"/>
                <w:szCs w:val="18"/>
                <w:lang w:val="es-ES"/>
              </w:rPr>
              <w:t>,</w:t>
            </w:r>
            <w:r w:rsidRPr="00686563">
              <w:rPr>
                <w:sz w:val="18"/>
                <w:szCs w:val="18"/>
                <w:lang w:val="es-ES"/>
              </w:rPr>
              <w:t xml:space="preserve"> Leobigildo </w:t>
            </w:r>
            <w:r w:rsidR="001B67B7" w:rsidRPr="00686563">
              <w:rPr>
                <w:sz w:val="18"/>
                <w:szCs w:val="18"/>
                <w:lang w:val="es-ES"/>
              </w:rPr>
              <w:t>Cordova (Mé</w:t>
            </w:r>
            <w:r w:rsidRPr="00686563">
              <w:rPr>
                <w:sz w:val="18"/>
                <w:szCs w:val="18"/>
                <w:lang w:val="es-ES"/>
              </w:rPr>
              <w:t>xico)</w:t>
            </w:r>
            <w:r w:rsidR="00686563" w:rsidRPr="00686563">
              <w:rPr>
                <w:sz w:val="18"/>
                <w:szCs w:val="18"/>
                <w:lang w:val="es-ES"/>
              </w:rPr>
              <w:t>,</w:t>
            </w:r>
          </w:p>
          <w:p w:rsidR="00BC19DC" w:rsidRPr="00686563" w:rsidRDefault="00BC19DC" w:rsidP="00B3725A">
            <w:pPr>
              <w:spacing w:line="276" w:lineRule="auto"/>
              <w:jc w:val="left"/>
              <w:rPr>
                <w:sz w:val="18"/>
                <w:szCs w:val="18"/>
                <w:lang w:val="es-ES"/>
              </w:rPr>
            </w:pPr>
            <w:r w:rsidRPr="00686563">
              <w:rPr>
                <w:sz w:val="18"/>
                <w:szCs w:val="18"/>
                <w:lang w:val="es-ES"/>
              </w:rPr>
              <w:t>Liz Scott (</w:t>
            </w:r>
            <w:r w:rsidR="001B67B7" w:rsidRPr="00686563">
              <w:rPr>
                <w:sz w:val="18"/>
                <w:szCs w:val="18"/>
                <w:lang w:val="es-ES"/>
              </w:rPr>
              <w:t>Reino Unido</w:t>
            </w:r>
            <w:r w:rsidRPr="00686563">
              <w:rPr>
                <w:sz w:val="18"/>
                <w:szCs w:val="18"/>
                <w:lang w:val="es-ES"/>
              </w:rPr>
              <w:t>),</w:t>
            </w:r>
            <w:r w:rsidR="00686563">
              <w:rPr>
                <w:sz w:val="18"/>
                <w:szCs w:val="18"/>
                <w:lang w:val="es-ES"/>
              </w:rPr>
              <w:t xml:space="preserve"> </w:t>
            </w:r>
          </w:p>
          <w:p w:rsidR="00BC19DC" w:rsidRPr="00686563" w:rsidRDefault="00BC19DC" w:rsidP="00686563">
            <w:pPr>
              <w:spacing w:line="276" w:lineRule="auto"/>
              <w:jc w:val="left"/>
              <w:rPr>
                <w:sz w:val="18"/>
                <w:szCs w:val="18"/>
                <w:lang w:val="es-ES"/>
              </w:rPr>
            </w:pPr>
            <w:r w:rsidRPr="00686563">
              <w:rPr>
                <w:sz w:val="18"/>
                <w:szCs w:val="18"/>
                <w:lang w:val="es-ES"/>
              </w:rPr>
              <w:t xml:space="preserve">Malerotho Lekoane </w:t>
            </w:r>
            <w:r w:rsidR="00686563" w:rsidRPr="00686563">
              <w:rPr>
                <w:sz w:val="18"/>
                <w:szCs w:val="18"/>
                <w:lang w:val="es-ES"/>
              </w:rPr>
              <w:t>y</w:t>
            </w:r>
            <w:r w:rsidRPr="00686563">
              <w:rPr>
                <w:sz w:val="18"/>
                <w:szCs w:val="18"/>
                <w:lang w:val="es-ES"/>
              </w:rPr>
              <w:t xml:space="preserve"> Hennie Venter (</w:t>
            </w:r>
            <w:r w:rsidR="001B67B7" w:rsidRPr="00686563">
              <w:rPr>
                <w:sz w:val="18"/>
                <w:szCs w:val="18"/>
                <w:lang w:val="es-ES"/>
              </w:rPr>
              <w:t>Sudáfrica</w:t>
            </w:r>
            <w:r w:rsidRPr="00686563">
              <w:rPr>
                <w:sz w:val="18"/>
                <w:szCs w:val="18"/>
                <w:lang w:val="es-ES"/>
              </w:rPr>
              <w:t xml:space="preserve">) </w:t>
            </w: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hideMark/>
          </w:tcPr>
          <w:p w:rsidR="00BC19DC" w:rsidRPr="00686563" w:rsidRDefault="00F357F6" w:rsidP="00B3725A">
            <w:pPr>
              <w:spacing w:line="276" w:lineRule="auto"/>
              <w:jc w:val="left"/>
              <w:rPr>
                <w:i/>
                <w:sz w:val="18"/>
                <w:szCs w:val="18"/>
                <w:lang w:val="es-ES"/>
              </w:rPr>
            </w:pPr>
            <w:r w:rsidRPr="00686563">
              <w:rPr>
                <w:i/>
                <w:sz w:val="18"/>
                <w:szCs w:val="18"/>
                <w:lang w:val="es-ES"/>
              </w:rPr>
              <w:t>Sesión de preguntas y respuestas</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p>
        </w:tc>
      </w:tr>
    </w:tbl>
    <w:p w:rsidR="000735C5" w:rsidRPr="00686563" w:rsidRDefault="000735C5" w:rsidP="006E0285">
      <w:pPr>
        <w:tabs>
          <w:tab w:val="left" w:pos="567"/>
          <w:tab w:val="left" w:pos="1134"/>
          <w:tab w:val="left" w:pos="2268"/>
          <w:tab w:val="left" w:pos="2835"/>
          <w:tab w:val="left" w:pos="3402"/>
          <w:tab w:val="left" w:pos="3969"/>
          <w:tab w:val="left" w:pos="4536"/>
          <w:tab w:val="center" w:pos="5386"/>
        </w:tabs>
        <w:spacing w:line="276" w:lineRule="auto"/>
        <w:rPr>
          <w:rFonts w:cs="Arial"/>
          <w:sz w:val="18"/>
          <w:szCs w:val="18"/>
          <w:u w:val="single"/>
          <w:lang w:val="es-ES"/>
        </w:rPr>
      </w:pPr>
    </w:p>
    <w:tbl>
      <w:tblPr>
        <w:tblStyle w:val="TableGrid"/>
        <w:tblW w:w="9634" w:type="dxa"/>
        <w:tblLook w:val="04A0" w:firstRow="1" w:lastRow="0" w:firstColumn="1" w:lastColumn="0" w:noHBand="0" w:noVBand="1"/>
      </w:tblPr>
      <w:tblGrid>
        <w:gridCol w:w="6516"/>
        <w:gridCol w:w="3118"/>
      </w:tblGrid>
      <w:tr w:rsidR="00BC19DC" w:rsidRPr="00686563" w:rsidTr="00B3725A">
        <w:trPr>
          <w:trHeight w:val="620"/>
        </w:trPr>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43602E" w:rsidP="0043602E">
            <w:pPr>
              <w:spacing w:line="276" w:lineRule="auto"/>
              <w:jc w:val="left"/>
              <w:rPr>
                <w:color w:val="000000" w:themeColor="text1"/>
                <w:sz w:val="18"/>
                <w:szCs w:val="18"/>
                <w:lang w:val="es-ES"/>
              </w:rPr>
            </w:pPr>
            <w:r w:rsidRPr="00686563">
              <w:rPr>
                <w:color w:val="000000" w:themeColor="text1"/>
                <w:sz w:val="18"/>
                <w:szCs w:val="18"/>
                <w:lang w:val="es-ES"/>
              </w:rPr>
              <w:t>MIÉRCOLES</w:t>
            </w:r>
            <w:r w:rsidR="00BC19DC" w:rsidRPr="00686563">
              <w:rPr>
                <w:color w:val="000000" w:themeColor="text1"/>
                <w:sz w:val="18"/>
                <w:szCs w:val="18"/>
                <w:lang w:val="es-ES"/>
              </w:rPr>
              <w:t>, 13</w:t>
            </w:r>
            <w:r w:rsidRPr="00686563">
              <w:rPr>
                <w:color w:val="000000" w:themeColor="text1"/>
                <w:sz w:val="18"/>
                <w:szCs w:val="18"/>
                <w:lang w:val="es-ES"/>
              </w:rPr>
              <w:t xml:space="preserve"> DE ABRIL DE</w:t>
            </w:r>
            <w:r w:rsidR="00BC19DC" w:rsidRPr="00686563">
              <w:rPr>
                <w:color w:val="000000" w:themeColor="text1"/>
                <w:sz w:val="18"/>
                <w:szCs w:val="18"/>
                <w:lang w:val="es-ES"/>
              </w:rPr>
              <w:t xml:space="preserve"> 2022:</w:t>
            </w:r>
            <w:r w:rsidR="00686563">
              <w:rPr>
                <w:color w:val="000000" w:themeColor="text1"/>
                <w:sz w:val="18"/>
                <w:szCs w:val="18"/>
                <w:lang w:val="es-ES"/>
              </w:rPr>
              <w:t xml:space="preserve"> </w:t>
            </w:r>
            <w:r w:rsidRPr="00686563">
              <w:rPr>
                <w:color w:val="000000" w:themeColor="text1"/>
                <w:sz w:val="18"/>
                <w:szCs w:val="18"/>
                <w:lang w:val="es-ES"/>
              </w:rPr>
              <w:t>SEMINARIO WEB</w:t>
            </w:r>
            <w:r w:rsidR="00BC19DC" w:rsidRPr="00686563">
              <w:rPr>
                <w:color w:val="000000" w:themeColor="text1"/>
                <w:sz w:val="18"/>
                <w:szCs w:val="18"/>
                <w:lang w:val="es-ES"/>
              </w:rPr>
              <w:t xml:space="preserve"> 2:</w:t>
            </w:r>
            <w:r w:rsidR="00686563">
              <w:rPr>
                <w:color w:val="000000" w:themeColor="text1"/>
                <w:sz w:val="18"/>
                <w:szCs w:val="18"/>
                <w:lang w:val="es-ES"/>
              </w:rPr>
              <w:t xml:space="preserve"> </w:t>
            </w:r>
            <w:r w:rsidRPr="00686563">
              <w:rPr>
                <w:caps/>
                <w:color w:val="000000" w:themeColor="text1"/>
                <w:sz w:val="18"/>
                <w:szCs w:val="18"/>
                <w:lang w:val="es-ES"/>
              </w:rPr>
              <w:t>Caracteres fisiológicos y de resistencia a las enfermedades en el examen DHE</w:t>
            </w:r>
            <w:r w:rsidR="00BC19DC" w:rsidRPr="00686563">
              <w:rPr>
                <w:color w:val="000000" w:themeColor="text1"/>
                <w:sz w:val="18"/>
                <w:szCs w:val="18"/>
                <w:lang w:val="es-ES"/>
              </w:rPr>
              <w:t xml:space="preserve"> </w:t>
            </w:r>
          </w:p>
        </w:tc>
        <w:tc>
          <w:tcPr>
            <w:tcW w:w="3118" w:type="dxa"/>
            <w:tcBorders>
              <w:top w:val="single" w:sz="4" w:space="0" w:color="auto"/>
              <w:left w:val="single" w:sz="4" w:space="0" w:color="auto"/>
              <w:bottom w:val="single" w:sz="4" w:space="0" w:color="auto"/>
              <w:right w:val="single" w:sz="4" w:space="0" w:color="auto"/>
            </w:tcBorders>
          </w:tcPr>
          <w:p w:rsidR="00F357F6" w:rsidRPr="00686563" w:rsidRDefault="00F357F6" w:rsidP="00F357F6">
            <w:pPr>
              <w:spacing w:line="276" w:lineRule="auto"/>
              <w:jc w:val="left"/>
              <w:rPr>
                <w:color w:val="000000" w:themeColor="text1"/>
                <w:sz w:val="18"/>
                <w:szCs w:val="18"/>
                <w:lang w:val="es-ES"/>
              </w:rPr>
            </w:pPr>
            <w:r w:rsidRPr="00686563">
              <w:rPr>
                <w:color w:val="000000" w:themeColor="text1"/>
                <w:sz w:val="18"/>
                <w:szCs w:val="18"/>
                <w:lang w:val="es-ES"/>
              </w:rPr>
              <w:t>Ponentes / Panelistas</w:t>
            </w:r>
          </w:p>
          <w:p w:rsidR="00BC19DC" w:rsidRPr="00686563" w:rsidRDefault="00BC19DC" w:rsidP="00B3725A">
            <w:pPr>
              <w:spacing w:line="276" w:lineRule="auto"/>
              <w:jc w:val="left"/>
              <w:rPr>
                <w:color w:val="000000" w:themeColor="text1"/>
                <w:sz w:val="18"/>
                <w:szCs w:val="18"/>
                <w:lang w:val="es-ES"/>
              </w:rPr>
            </w:pPr>
          </w:p>
        </w:tc>
      </w:tr>
      <w:tr w:rsidR="00BC19DC" w:rsidRPr="00686563" w:rsidTr="00B3725A">
        <w:trPr>
          <w:trHeight w:val="274"/>
        </w:trPr>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43602E" w:rsidP="001B67B7">
            <w:pPr>
              <w:pStyle w:val="Heading2"/>
              <w:outlineLvl w:val="1"/>
              <w:rPr>
                <w:color w:val="000000" w:themeColor="text1"/>
                <w:lang w:val="es-ES"/>
              </w:rPr>
            </w:pPr>
            <w:bookmarkStart w:id="12" w:name="_Toc117008636"/>
            <w:r w:rsidRPr="00686563">
              <w:rPr>
                <w:lang w:val="es-ES"/>
              </w:rPr>
              <w:t>Ponencias introductorias</w:t>
            </w:r>
            <w:bookmarkEnd w:id="12"/>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color w:val="000000" w:themeColor="text1"/>
                <w:sz w:val="18"/>
                <w:szCs w:val="18"/>
                <w:lang w:val="es-ES"/>
              </w:rPr>
            </w:pP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BC19DC" w:rsidP="00B3725A">
            <w:pPr>
              <w:spacing w:line="276" w:lineRule="auto"/>
              <w:ind w:left="332" w:hanging="332"/>
              <w:jc w:val="left"/>
              <w:rPr>
                <w:sz w:val="18"/>
                <w:szCs w:val="18"/>
                <w:lang w:val="es-ES"/>
              </w:rPr>
            </w:pPr>
            <w:r w:rsidRPr="00686563">
              <w:rPr>
                <w:sz w:val="18"/>
                <w:szCs w:val="18"/>
                <w:lang w:val="es-ES"/>
              </w:rPr>
              <w:t xml:space="preserve">a) </w:t>
            </w:r>
            <w:r w:rsidR="0044140C" w:rsidRPr="00686563">
              <w:rPr>
                <w:sz w:val="18"/>
                <w:szCs w:val="18"/>
                <w:lang w:val="es-ES"/>
              </w:rPr>
              <w:t>Requisitos básicos de los caracteres en el examen DHE</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r w:rsidRPr="00686563">
              <w:rPr>
                <w:sz w:val="18"/>
                <w:szCs w:val="18"/>
                <w:lang w:val="es-ES"/>
              </w:rPr>
              <w:t>Nik Hulse</w:t>
            </w: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BC19DC" w:rsidP="004D4AC9">
            <w:pPr>
              <w:spacing w:line="276" w:lineRule="auto"/>
              <w:ind w:firstLine="6"/>
              <w:jc w:val="left"/>
              <w:rPr>
                <w:sz w:val="18"/>
                <w:szCs w:val="18"/>
                <w:lang w:val="es-ES"/>
              </w:rPr>
            </w:pPr>
            <w:r w:rsidRPr="00686563">
              <w:rPr>
                <w:sz w:val="18"/>
                <w:szCs w:val="18"/>
                <w:lang w:val="es-ES"/>
              </w:rPr>
              <w:t xml:space="preserve">b) </w:t>
            </w:r>
            <w:r w:rsidR="0044140C" w:rsidRPr="00686563">
              <w:rPr>
                <w:sz w:val="18"/>
                <w:szCs w:val="18"/>
                <w:lang w:val="es-ES"/>
              </w:rPr>
              <w:t>Orientaciones de la UPOV sobre los carac</w:t>
            </w:r>
            <w:r w:rsidR="004D4AC9">
              <w:rPr>
                <w:sz w:val="18"/>
                <w:szCs w:val="18"/>
                <w:lang w:val="es-ES"/>
              </w:rPr>
              <w:t>teres fisiológicos en el examen </w:t>
            </w:r>
            <w:r w:rsidR="0044140C" w:rsidRPr="00686563">
              <w:rPr>
                <w:sz w:val="18"/>
                <w:szCs w:val="18"/>
                <w:lang w:val="es-ES"/>
              </w:rPr>
              <w:t>DHE</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r w:rsidRPr="00686563">
              <w:rPr>
                <w:sz w:val="18"/>
                <w:szCs w:val="18"/>
                <w:lang w:val="es-ES"/>
              </w:rPr>
              <w:t>Leontino Taveira</w:t>
            </w: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hideMark/>
          </w:tcPr>
          <w:p w:rsidR="00BC19DC" w:rsidRPr="00686563" w:rsidRDefault="00F357F6" w:rsidP="00B3725A">
            <w:pPr>
              <w:spacing w:line="276" w:lineRule="auto"/>
              <w:jc w:val="left"/>
              <w:rPr>
                <w:i/>
                <w:sz w:val="18"/>
                <w:szCs w:val="18"/>
                <w:lang w:val="es-ES"/>
              </w:rPr>
            </w:pPr>
            <w:r w:rsidRPr="00686563">
              <w:rPr>
                <w:i/>
                <w:sz w:val="18"/>
                <w:szCs w:val="18"/>
                <w:lang w:val="es-ES"/>
              </w:rPr>
              <w:t>Mesa redonda</w:t>
            </w:r>
          </w:p>
        </w:tc>
        <w:tc>
          <w:tcPr>
            <w:tcW w:w="3118" w:type="dxa"/>
            <w:tcBorders>
              <w:top w:val="single" w:sz="4" w:space="0" w:color="auto"/>
              <w:left w:val="single" w:sz="4" w:space="0" w:color="auto"/>
              <w:bottom w:val="single" w:sz="4" w:space="0" w:color="auto"/>
              <w:right w:val="single" w:sz="4" w:space="0" w:color="auto"/>
            </w:tcBorders>
            <w:hideMark/>
          </w:tcPr>
          <w:p w:rsidR="00BC19DC" w:rsidRPr="00686563" w:rsidRDefault="00BC19DC" w:rsidP="00B3725A">
            <w:pPr>
              <w:tabs>
                <w:tab w:val="left" w:pos="567"/>
                <w:tab w:val="left" w:pos="1134"/>
                <w:tab w:val="left" w:pos="2268"/>
                <w:tab w:val="left" w:pos="2835"/>
                <w:tab w:val="left" w:pos="3402"/>
                <w:tab w:val="left" w:pos="3969"/>
                <w:tab w:val="left" w:pos="4536"/>
                <w:tab w:val="center" w:pos="5386"/>
              </w:tabs>
              <w:spacing w:line="276" w:lineRule="auto"/>
              <w:jc w:val="left"/>
              <w:rPr>
                <w:sz w:val="18"/>
                <w:szCs w:val="18"/>
                <w:lang w:val="es-ES"/>
              </w:rPr>
            </w:pPr>
            <w:r w:rsidRPr="00686563">
              <w:rPr>
                <w:sz w:val="18"/>
                <w:szCs w:val="18"/>
                <w:lang w:val="es-ES"/>
              </w:rPr>
              <w:t>Chystelle Jouy (Franc</w:t>
            </w:r>
            <w:r w:rsidR="0092208E" w:rsidRPr="00686563">
              <w:rPr>
                <w:sz w:val="18"/>
                <w:szCs w:val="18"/>
                <w:lang w:val="es-ES"/>
              </w:rPr>
              <w:t>ia</w:t>
            </w:r>
            <w:r w:rsidRPr="00686563">
              <w:rPr>
                <w:sz w:val="18"/>
                <w:szCs w:val="18"/>
                <w:lang w:val="es-ES"/>
              </w:rPr>
              <w:t>),</w:t>
            </w:r>
          </w:p>
          <w:p w:rsidR="004D4AC9" w:rsidRDefault="00BC19DC" w:rsidP="00B3725A">
            <w:pPr>
              <w:tabs>
                <w:tab w:val="left" w:pos="567"/>
                <w:tab w:val="left" w:pos="1134"/>
                <w:tab w:val="left" w:pos="2268"/>
                <w:tab w:val="left" w:pos="2835"/>
                <w:tab w:val="left" w:pos="3402"/>
                <w:tab w:val="left" w:pos="3969"/>
                <w:tab w:val="left" w:pos="4536"/>
                <w:tab w:val="center" w:pos="5386"/>
              </w:tabs>
              <w:spacing w:line="276" w:lineRule="auto"/>
              <w:jc w:val="left"/>
              <w:rPr>
                <w:sz w:val="18"/>
                <w:szCs w:val="18"/>
                <w:lang w:val="es-ES"/>
              </w:rPr>
            </w:pPr>
            <w:r w:rsidRPr="00686563">
              <w:rPr>
                <w:sz w:val="18"/>
                <w:szCs w:val="18"/>
                <w:lang w:val="es-ES"/>
              </w:rPr>
              <w:t>Gosia Blokker (</w:t>
            </w:r>
            <w:r w:rsidR="0092208E" w:rsidRPr="00686563">
              <w:rPr>
                <w:sz w:val="18"/>
                <w:szCs w:val="18"/>
                <w:lang w:val="es-ES"/>
              </w:rPr>
              <w:t>Países Bajos</w:t>
            </w:r>
            <w:r w:rsidR="004D4AC9">
              <w:rPr>
                <w:sz w:val="18"/>
                <w:szCs w:val="18"/>
                <w:lang w:val="es-ES"/>
              </w:rPr>
              <w:t>),</w:t>
            </w:r>
          </w:p>
          <w:p w:rsidR="00BC19DC" w:rsidRPr="00686563" w:rsidRDefault="00BC19DC" w:rsidP="00B3725A">
            <w:pPr>
              <w:tabs>
                <w:tab w:val="left" w:pos="567"/>
                <w:tab w:val="left" w:pos="1134"/>
                <w:tab w:val="left" w:pos="2268"/>
                <w:tab w:val="left" w:pos="2835"/>
                <w:tab w:val="left" w:pos="3402"/>
                <w:tab w:val="left" w:pos="3969"/>
                <w:tab w:val="left" w:pos="4536"/>
                <w:tab w:val="center" w:pos="5386"/>
              </w:tabs>
              <w:spacing w:line="276" w:lineRule="auto"/>
              <w:jc w:val="left"/>
              <w:rPr>
                <w:sz w:val="18"/>
                <w:szCs w:val="18"/>
                <w:lang w:val="es-ES"/>
              </w:rPr>
            </w:pPr>
            <w:r w:rsidRPr="00686563">
              <w:rPr>
                <w:sz w:val="18"/>
                <w:szCs w:val="18"/>
                <w:lang w:val="es-ES"/>
              </w:rPr>
              <w:t>Stefânia Palma (Bra</w:t>
            </w:r>
            <w:r w:rsidR="0092208E" w:rsidRPr="00686563">
              <w:rPr>
                <w:sz w:val="18"/>
                <w:szCs w:val="18"/>
                <w:lang w:val="es-ES"/>
              </w:rPr>
              <w:t>s</w:t>
            </w:r>
            <w:r w:rsidR="007139AF">
              <w:rPr>
                <w:sz w:val="18"/>
                <w:szCs w:val="18"/>
                <w:lang w:val="es-ES"/>
              </w:rPr>
              <w:t>il),</w:t>
            </w:r>
          </w:p>
          <w:p w:rsidR="00BC19DC" w:rsidRPr="00686563" w:rsidRDefault="00BC19DC" w:rsidP="0092208E">
            <w:pPr>
              <w:tabs>
                <w:tab w:val="left" w:pos="567"/>
                <w:tab w:val="left" w:pos="1134"/>
                <w:tab w:val="left" w:pos="2268"/>
                <w:tab w:val="left" w:pos="2835"/>
                <w:tab w:val="left" w:pos="3402"/>
                <w:tab w:val="left" w:pos="3969"/>
                <w:tab w:val="left" w:pos="4536"/>
                <w:tab w:val="center" w:pos="5386"/>
              </w:tabs>
              <w:spacing w:line="276" w:lineRule="auto"/>
              <w:jc w:val="left"/>
              <w:rPr>
                <w:sz w:val="18"/>
                <w:szCs w:val="18"/>
                <w:highlight w:val="cyan"/>
                <w:lang w:val="es-ES"/>
              </w:rPr>
            </w:pPr>
            <w:r w:rsidRPr="00686563">
              <w:rPr>
                <w:sz w:val="18"/>
                <w:szCs w:val="18"/>
                <w:lang w:val="es-ES" w:eastAsia="ja-JP"/>
              </w:rPr>
              <w:t>Yoshiyuki Ohno (Jap</w:t>
            </w:r>
            <w:r w:rsidR="0092208E" w:rsidRPr="00686563">
              <w:rPr>
                <w:sz w:val="18"/>
                <w:szCs w:val="18"/>
                <w:lang w:val="es-ES" w:eastAsia="ja-JP"/>
              </w:rPr>
              <w:t>ó</w:t>
            </w:r>
            <w:r w:rsidRPr="00686563">
              <w:rPr>
                <w:sz w:val="18"/>
                <w:szCs w:val="18"/>
                <w:lang w:val="es-ES" w:eastAsia="ja-JP"/>
              </w:rPr>
              <w:t>n)</w:t>
            </w:r>
            <w:r w:rsidRPr="00686563">
              <w:rPr>
                <w:sz w:val="18"/>
                <w:szCs w:val="18"/>
                <w:highlight w:val="cyan"/>
                <w:lang w:val="es-ES"/>
              </w:rPr>
              <w:t xml:space="preserve"> </w:t>
            </w: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hideMark/>
          </w:tcPr>
          <w:p w:rsidR="00BC19DC" w:rsidRPr="00686563" w:rsidRDefault="00F357F6" w:rsidP="00B3725A">
            <w:pPr>
              <w:spacing w:line="276" w:lineRule="auto"/>
              <w:jc w:val="left"/>
              <w:rPr>
                <w:i/>
                <w:sz w:val="18"/>
                <w:szCs w:val="18"/>
                <w:lang w:val="es-ES"/>
              </w:rPr>
            </w:pPr>
            <w:r w:rsidRPr="00686563">
              <w:rPr>
                <w:i/>
                <w:sz w:val="18"/>
                <w:szCs w:val="18"/>
                <w:lang w:val="es-ES"/>
              </w:rPr>
              <w:t>Sesión de preguntas y respuestas</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p>
        </w:tc>
      </w:tr>
    </w:tbl>
    <w:p w:rsidR="00BC19DC" w:rsidRPr="00686563" w:rsidRDefault="00BC19DC" w:rsidP="006E0285">
      <w:pPr>
        <w:tabs>
          <w:tab w:val="left" w:pos="567"/>
          <w:tab w:val="left" w:pos="1134"/>
          <w:tab w:val="left" w:pos="2268"/>
          <w:tab w:val="left" w:pos="2835"/>
          <w:tab w:val="left" w:pos="3402"/>
          <w:tab w:val="left" w:pos="3969"/>
          <w:tab w:val="left" w:pos="4536"/>
          <w:tab w:val="center" w:pos="5386"/>
        </w:tabs>
        <w:spacing w:line="276" w:lineRule="auto"/>
        <w:rPr>
          <w:rFonts w:cs="Arial"/>
          <w:sz w:val="18"/>
          <w:szCs w:val="18"/>
          <w:u w:val="single"/>
          <w:lang w:val="es-ES"/>
        </w:rPr>
      </w:pPr>
    </w:p>
    <w:tbl>
      <w:tblPr>
        <w:tblStyle w:val="TableGrid"/>
        <w:tblW w:w="9634" w:type="dxa"/>
        <w:tblLook w:val="04A0" w:firstRow="1" w:lastRow="0" w:firstColumn="1" w:lastColumn="0" w:noHBand="0" w:noVBand="1"/>
      </w:tblPr>
      <w:tblGrid>
        <w:gridCol w:w="6516"/>
        <w:gridCol w:w="3118"/>
      </w:tblGrid>
      <w:tr w:rsidR="00BC19DC" w:rsidRPr="00686563" w:rsidTr="00B3725A">
        <w:trPr>
          <w:trHeight w:val="551"/>
        </w:trPr>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43602E" w:rsidP="0043602E">
            <w:pPr>
              <w:spacing w:line="276" w:lineRule="auto"/>
              <w:jc w:val="left"/>
              <w:rPr>
                <w:color w:val="000000" w:themeColor="text1"/>
                <w:sz w:val="18"/>
                <w:szCs w:val="18"/>
                <w:lang w:val="es-ES"/>
              </w:rPr>
            </w:pPr>
            <w:r w:rsidRPr="00686563">
              <w:rPr>
                <w:color w:val="000000" w:themeColor="text1"/>
                <w:sz w:val="18"/>
                <w:szCs w:val="18"/>
                <w:lang w:val="es-ES"/>
              </w:rPr>
              <w:t>JUEVES</w:t>
            </w:r>
            <w:r w:rsidR="00BC19DC" w:rsidRPr="00686563">
              <w:rPr>
                <w:color w:val="000000" w:themeColor="text1"/>
                <w:sz w:val="18"/>
                <w:szCs w:val="18"/>
                <w:lang w:val="es-ES"/>
              </w:rPr>
              <w:t>, 14</w:t>
            </w:r>
            <w:r w:rsidRPr="00686563">
              <w:rPr>
                <w:color w:val="000000" w:themeColor="text1"/>
                <w:sz w:val="18"/>
                <w:szCs w:val="18"/>
                <w:lang w:val="es-ES"/>
              </w:rPr>
              <w:t xml:space="preserve"> DE ABRIL DE</w:t>
            </w:r>
            <w:r w:rsidR="00BC19DC" w:rsidRPr="00686563">
              <w:rPr>
                <w:color w:val="000000" w:themeColor="text1"/>
                <w:sz w:val="18"/>
                <w:szCs w:val="18"/>
                <w:lang w:val="es-ES"/>
              </w:rPr>
              <w:t xml:space="preserve"> 2022:</w:t>
            </w:r>
            <w:r w:rsidR="00686563">
              <w:rPr>
                <w:color w:val="000000" w:themeColor="text1"/>
                <w:sz w:val="18"/>
                <w:szCs w:val="18"/>
                <w:lang w:val="es-ES"/>
              </w:rPr>
              <w:t xml:space="preserve"> </w:t>
            </w:r>
            <w:r w:rsidRPr="00686563">
              <w:rPr>
                <w:color w:val="000000" w:themeColor="text1"/>
                <w:sz w:val="18"/>
                <w:szCs w:val="18"/>
                <w:lang w:val="es-ES"/>
              </w:rPr>
              <w:t>SEMINARIO WEB</w:t>
            </w:r>
            <w:r w:rsidR="00BC19DC" w:rsidRPr="00686563">
              <w:rPr>
                <w:color w:val="000000" w:themeColor="text1"/>
                <w:sz w:val="18"/>
                <w:szCs w:val="18"/>
                <w:lang w:val="es-ES"/>
              </w:rPr>
              <w:t xml:space="preserve"> 3:</w:t>
            </w:r>
            <w:r w:rsidR="00686563">
              <w:rPr>
                <w:color w:val="000000" w:themeColor="text1"/>
                <w:sz w:val="18"/>
                <w:szCs w:val="18"/>
                <w:lang w:val="es-ES"/>
              </w:rPr>
              <w:t xml:space="preserve"> </w:t>
            </w:r>
            <w:r w:rsidRPr="00686563">
              <w:rPr>
                <w:caps/>
                <w:color w:val="000000" w:themeColor="text1"/>
                <w:sz w:val="18"/>
                <w:szCs w:val="18"/>
                <w:lang w:val="es-ES"/>
              </w:rPr>
              <w:t>Técnicas de tratamiento de datos en el examen DHE</w:t>
            </w:r>
            <w:r w:rsidR="00BC19DC" w:rsidRPr="00686563">
              <w:rPr>
                <w:color w:val="000000" w:themeColor="text1"/>
                <w:sz w:val="18"/>
                <w:szCs w:val="18"/>
                <w:lang w:val="es-ES"/>
              </w:rPr>
              <w:t xml:space="preserve"> </w:t>
            </w:r>
          </w:p>
        </w:tc>
        <w:tc>
          <w:tcPr>
            <w:tcW w:w="3118" w:type="dxa"/>
            <w:tcBorders>
              <w:top w:val="single" w:sz="4" w:space="0" w:color="auto"/>
              <w:left w:val="single" w:sz="4" w:space="0" w:color="auto"/>
              <w:bottom w:val="single" w:sz="4" w:space="0" w:color="auto"/>
              <w:right w:val="single" w:sz="4" w:space="0" w:color="auto"/>
            </w:tcBorders>
          </w:tcPr>
          <w:p w:rsidR="00F357F6" w:rsidRPr="00686563" w:rsidRDefault="00F357F6" w:rsidP="00F357F6">
            <w:pPr>
              <w:spacing w:line="276" w:lineRule="auto"/>
              <w:jc w:val="left"/>
              <w:rPr>
                <w:color w:val="000000" w:themeColor="text1"/>
                <w:sz w:val="18"/>
                <w:szCs w:val="18"/>
                <w:lang w:val="es-ES"/>
              </w:rPr>
            </w:pPr>
            <w:r w:rsidRPr="00686563">
              <w:rPr>
                <w:color w:val="000000" w:themeColor="text1"/>
                <w:sz w:val="18"/>
                <w:szCs w:val="18"/>
                <w:lang w:val="es-ES"/>
              </w:rPr>
              <w:t>Ponentes / Panelistas</w:t>
            </w:r>
          </w:p>
          <w:p w:rsidR="00BC19DC" w:rsidRPr="00686563" w:rsidRDefault="00BC19DC" w:rsidP="00B3725A">
            <w:pPr>
              <w:spacing w:line="276" w:lineRule="auto"/>
              <w:jc w:val="left"/>
              <w:rPr>
                <w:color w:val="000000" w:themeColor="text1"/>
                <w:sz w:val="18"/>
                <w:szCs w:val="18"/>
                <w:lang w:val="es-ES"/>
              </w:rPr>
            </w:pPr>
          </w:p>
        </w:tc>
      </w:tr>
      <w:tr w:rsidR="00BC19DC" w:rsidRPr="00686563" w:rsidTr="00B3725A">
        <w:trPr>
          <w:trHeight w:val="325"/>
        </w:trPr>
        <w:tc>
          <w:tcPr>
            <w:tcW w:w="6516" w:type="dxa"/>
            <w:tcBorders>
              <w:top w:val="single" w:sz="4" w:space="0" w:color="auto"/>
              <w:left w:val="single" w:sz="4" w:space="0" w:color="auto"/>
              <w:bottom w:val="single" w:sz="4" w:space="0" w:color="auto"/>
              <w:right w:val="single" w:sz="4" w:space="0" w:color="auto"/>
            </w:tcBorders>
            <w:vAlign w:val="center"/>
            <w:hideMark/>
          </w:tcPr>
          <w:p w:rsidR="00BC19DC" w:rsidRPr="00686563" w:rsidRDefault="0043602E" w:rsidP="00B3725A">
            <w:pPr>
              <w:spacing w:line="276" w:lineRule="auto"/>
              <w:ind w:left="332" w:hanging="332"/>
              <w:jc w:val="left"/>
              <w:rPr>
                <w:sz w:val="18"/>
                <w:szCs w:val="18"/>
                <w:lang w:val="es-ES"/>
              </w:rPr>
            </w:pPr>
            <w:r w:rsidRPr="00686563">
              <w:rPr>
                <w:i/>
                <w:sz w:val="18"/>
                <w:szCs w:val="18"/>
                <w:lang w:val="es-ES"/>
              </w:rPr>
              <w:t>Ponencias introductorias</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BC19DC" w:rsidP="00B3725A">
            <w:pPr>
              <w:tabs>
                <w:tab w:val="left" w:pos="567"/>
                <w:tab w:val="left" w:pos="1134"/>
              </w:tabs>
              <w:spacing w:line="276" w:lineRule="auto"/>
              <w:ind w:left="332" w:hanging="332"/>
              <w:jc w:val="left"/>
              <w:rPr>
                <w:sz w:val="18"/>
                <w:szCs w:val="18"/>
                <w:lang w:val="es-ES"/>
              </w:rPr>
            </w:pPr>
            <w:r w:rsidRPr="00686563">
              <w:rPr>
                <w:sz w:val="18"/>
                <w:szCs w:val="18"/>
                <w:lang w:val="es-ES"/>
              </w:rPr>
              <w:t>a)</w:t>
            </w:r>
            <w:r w:rsidRPr="00686563">
              <w:rPr>
                <w:sz w:val="18"/>
                <w:szCs w:val="18"/>
                <w:lang w:val="es-ES"/>
              </w:rPr>
              <w:tab/>
            </w:r>
            <w:r w:rsidR="0044140C" w:rsidRPr="00686563">
              <w:rPr>
                <w:sz w:val="18"/>
                <w:szCs w:val="18"/>
                <w:lang w:val="es-ES"/>
              </w:rPr>
              <w:t>Introducción al documento TGP/8</w:t>
            </w:r>
            <w:r w:rsidRPr="00686563">
              <w:rPr>
                <w:sz w:val="18"/>
                <w:szCs w:val="18"/>
                <w:lang w:val="es-ES"/>
              </w:rPr>
              <w:t xml:space="preserve"> </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r w:rsidRPr="00686563">
              <w:rPr>
                <w:sz w:val="18"/>
                <w:szCs w:val="18"/>
                <w:lang w:val="es-ES"/>
              </w:rPr>
              <w:t>Manabu Suzuki</w:t>
            </w: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BC19DC" w:rsidP="00B3725A">
            <w:pPr>
              <w:tabs>
                <w:tab w:val="left" w:pos="567"/>
                <w:tab w:val="left" w:pos="1134"/>
              </w:tabs>
              <w:spacing w:line="276" w:lineRule="auto"/>
              <w:ind w:left="332" w:hanging="332"/>
              <w:jc w:val="left"/>
              <w:rPr>
                <w:sz w:val="18"/>
                <w:szCs w:val="18"/>
                <w:lang w:val="es-ES"/>
              </w:rPr>
            </w:pPr>
            <w:r w:rsidRPr="00686563">
              <w:rPr>
                <w:sz w:val="18"/>
                <w:szCs w:val="18"/>
                <w:lang w:val="es-ES"/>
              </w:rPr>
              <w:t>b)</w:t>
            </w:r>
            <w:r w:rsidRPr="00686563">
              <w:rPr>
                <w:sz w:val="18"/>
                <w:szCs w:val="18"/>
                <w:lang w:val="es-ES"/>
              </w:rPr>
              <w:tab/>
            </w:r>
            <w:r w:rsidR="0044140C" w:rsidRPr="00686563">
              <w:rPr>
                <w:sz w:val="18"/>
                <w:szCs w:val="18"/>
                <w:lang w:val="es-ES"/>
              </w:rPr>
              <w:t>Criterio combinado interanual</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r w:rsidRPr="00686563">
              <w:rPr>
                <w:sz w:val="18"/>
                <w:szCs w:val="18"/>
                <w:lang w:val="es-ES"/>
              </w:rPr>
              <w:t>Sally Watson (GB)</w:t>
            </w: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BC19DC" w:rsidP="00B3725A">
            <w:pPr>
              <w:spacing w:line="276" w:lineRule="auto"/>
              <w:ind w:left="332" w:hanging="332"/>
              <w:jc w:val="left"/>
              <w:rPr>
                <w:spacing w:val="-2"/>
                <w:sz w:val="18"/>
                <w:szCs w:val="18"/>
                <w:lang w:val="es-ES"/>
              </w:rPr>
            </w:pPr>
            <w:r w:rsidRPr="00686563">
              <w:rPr>
                <w:sz w:val="18"/>
                <w:szCs w:val="18"/>
                <w:lang w:val="es-ES"/>
              </w:rPr>
              <w:t>c)</w:t>
            </w:r>
            <w:r w:rsidRPr="00686563">
              <w:rPr>
                <w:sz w:val="18"/>
                <w:szCs w:val="18"/>
                <w:lang w:val="es-ES"/>
              </w:rPr>
              <w:tab/>
            </w:r>
            <w:r w:rsidR="0044140C" w:rsidRPr="00686563">
              <w:rPr>
                <w:sz w:val="18"/>
                <w:szCs w:val="18"/>
                <w:lang w:val="es-ES"/>
              </w:rPr>
              <w:t>Metodología GAIA</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r w:rsidRPr="00686563">
              <w:rPr>
                <w:sz w:val="18"/>
                <w:szCs w:val="18"/>
                <w:lang w:val="es-ES"/>
              </w:rPr>
              <w:t>Christelle Lavaud (FR)</w:t>
            </w: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tcPr>
          <w:p w:rsidR="00BC19DC" w:rsidRPr="00686563" w:rsidRDefault="00BC19DC" w:rsidP="00B3725A">
            <w:pPr>
              <w:spacing w:line="276" w:lineRule="auto"/>
              <w:ind w:left="332" w:hanging="332"/>
              <w:jc w:val="left"/>
              <w:rPr>
                <w:sz w:val="18"/>
                <w:szCs w:val="18"/>
                <w:lang w:val="es-ES"/>
              </w:rPr>
            </w:pPr>
            <w:r w:rsidRPr="00686563">
              <w:rPr>
                <w:sz w:val="18"/>
                <w:szCs w:val="18"/>
                <w:lang w:val="es-ES"/>
              </w:rPr>
              <w:t>d)</w:t>
            </w:r>
            <w:r w:rsidRPr="00686563">
              <w:rPr>
                <w:sz w:val="18"/>
                <w:szCs w:val="18"/>
                <w:lang w:val="es-ES"/>
              </w:rPr>
              <w:tab/>
            </w:r>
            <w:r w:rsidR="0044140C" w:rsidRPr="00686563">
              <w:rPr>
                <w:sz w:val="18"/>
                <w:szCs w:val="18"/>
                <w:lang w:val="es-ES"/>
              </w:rPr>
              <w:t>Integración de métodos y técnicas estadísticas en los programas informáticos</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r w:rsidRPr="00686563">
              <w:rPr>
                <w:sz w:val="18"/>
                <w:szCs w:val="18"/>
                <w:lang w:val="es-ES"/>
              </w:rPr>
              <w:t>Thomas Drobeck (DE)</w:t>
            </w: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hideMark/>
          </w:tcPr>
          <w:p w:rsidR="00BC19DC" w:rsidRPr="00686563" w:rsidRDefault="00F357F6" w:rsidP="00B3725A">
            <w:pPr>
              <w:spacing w:line="276" w:lineRule="auto"/>
              <w:jc w:val="left"/>
              <w:rPr>
                <w:i/>
                <w:sz w:val="18"/>
                <w:szCs w:val="18"/>
                <w:lang w:val="es-ES"/>
              </w:rPr>
            </w:pPr>
            <w:r w:rsidRPr="00686563">
              <w:rPr>
                <w:i/>
                <w:sz w:val="18"/>
                <w:szCs w:val="18"/>
                <w:lang w:val="es-ES"/>
              </w:rPr>
              <w:t>Mesa redonda</w:t>
            </w:r>
          </w:p>
        </w:tc>
        <w:tc>
          <w:tcPr>
            <w:tcW w:w="3118" w:type="dxa"/>
            <w:tcBorders>
              <w:top w:val="single" w:sz="4" w:space="0" w:color="auto"/>
              <w:left w:val="single" w:sz="4" w:space="0" w:color="auto"/>
              <w:bottom w:val="single" w:sz="4" w:space="0" w:color="auto"/>
              <w:right w:val="single" w:sz="4" w:space="0" w:color="auto"/>
            </w:tcBorders>
            <w:hideMark/>
          </w:tcPr>
          <w:p w:rsidR="00BC19DC" w:rsidRPr="00686563" w:rsidRDefault="00BC19DC" w:rsidP="00B3725A">
            <w:pPr>
              <w:tabs>
                <w:tab w:val="left" w:pos="567"/>
                <w:tab w:val="left" w:pos="1134"/>
                <w:tab w:val="left" w:pos="2268"/>
                <w:tab w:val="left" w:pos="2835"/>
                <w:tab w:val="left" w:pos="3402"/>
                <w:tab w:val="left" w:pos="3969"/>
                <w:tab w:val="left" w:pos="4536"/>
                <w:tab w:val="center" w:pos="5386"/>
              </w:tabs>
              <w:spacing w:line="276" w:lineRule="auto"/>
              <w:jc w:val="left"/>
              <w:rPr>
                <w:sz w:val="18"/>
                <w:szCs w:val="18"/>
                <w:lang w:val="es-ES"/>
              </w:rPr>
            </w:pPr>
            <w:r w:rsidRPr="00686563">
              <w:rPr>
                <w:sz w:val="18"/>
                <w:szCs w:val="18"/>
                <w:lang w:val="es-ES"/>
              </w:rPr>
              <w:t>Samuel Ogola (Kenya);</w:t>
            </w:r>
          </w:p>
          <w:p w:rsidR="00BC19DC" w:rsidRPr="00686563" w:rsidRDefault="00BC19DC" w:rsidP="0092208E">
            <w:pPr>
              <w:tabs>
                <w:tab w:val="left" w:pos="567"/>
                <w:tab w:val="left" w:pos="1134"/>
                <w:tab w:val="left" w:pos="2268"/>
                <w:tab w:val="left" w:pos="2835"/>
                <w:tab w:val="left" w:pos="3402"/>
                <w:tab w:val="left" w:pos="3969"/>
                <w:tab w:val="left" w:pos="4536"/>
                <w:tab w:val="center" w:pos="5386"/>
              </w:tabs>
              <w:spacing w:line="276" w:lineRule="auto"/>
              <w:jc w:val="left"/>
              <w:rPr>
                <w:sz w:val="18"/>
                <w:szCs w:val="18"/>
                <w:lang w:val="es-ES"/>
              </w:rPr>
            </w:pPr>
            <w:r w:rsidRPr="00686563">
              <w:rPr>
                <w:sz w:val="18"/>
                <w:szCs w:val="18"/>
                <w:lang w:val="es-ES" w:eastAsia="ja-JP"/>
              </w:rPr>
              <w:t>Yoshiyuki Ohno (Jap</w:t>
            </w:r>
            <w:r w:rsidR="0092208E" w:rsidRPr="00686563">
              <w:rPr>
                <w:sz w:val="18"/>
                <w:szCs w:val="18"/>
                <w:lang w:val="es-ES" w:eastAsia="ja-JP"/>
              </w:rPr>
              <w:t>ó</w:t>
            </w:r>
            <w:r w:rsidRPr="00686563">
              <w:rPr>
                <w:sz w:val="18"/>
                <w:szCs w:val="18"/>
                <w:lang w:val="es-ES" w:eastAsia="ja-JP"/>
              </w:rPr>
              <w:t>n)</w:t>
            </w:r>
            <w:r w:rsidRPr="00686563">
              <w:rPr>
                <w:sz w:val="18"/>
                <w:szCs w:val="18"/>
                <w:lang w:val="es-ES"/>
              </w:rPr>
              <w:t xml:space="preserve"> </w:t>
            </w:r>
          </w:p>
        </w:tc>
      </w:tr>
      <w:tr w:rsidR="00BC19DC" w:rsidRPr="00686563" w:rsidTr="00B3725A">
        <w:tc>
          <w:tcPr>
            <w:tcW w:w="6516" w:type="dxa"/>
            <w:tcBorders>
              <w:top w:val="single" w:sz="4" w:space="0" w:color="auto"/>
              <w:left w:val="single" w:sz="4" w:space="0" w:color="auto"/>
              <w:bottom w:val="single" w:sz="4" w:space="0" w:color="auto"/>
              <w:right w:val="single" w:sz="4" w:space="0" w:color="auto"/>
            </w:tcBorders>
            <w:vAlign w:val="center"/>
            <w:hideMark/>
          </w:tcPr>
          <w:p w:rsidR="00BC19DC" w:rsidRPr="00686563" w:rsidRDefault="00F357F6" w:rsidP="00B3725A">
            <w:pPr>
              <w:spacing w:line="276" w:lineRule="auto"/>
              <w:jc w:val="left"/>
              <w:rPr>
                <w:i/>
                <w:sz w:val="18"/>
                <w:szCs w:val="18"/>
                <w:lang w:val="es-ES"/>
              </w:rPr>
            </w:pPr>
            <w:r w:rsidRPr="00686563">
              <w:rPr>
                <w:i/>
                <w:sz w:val="18"/>
                <w:szCs w:val="18"/>
                <w:lang w:val="es-ES"/>
              </w:rPr>
              <w:t>Sesión de preguntas y respuestas</w:t>
            </w:r>
          </w:p>
        </w:tc>
        <w:tc>
          <w:tcPr>
            <w:tcW w:w="3118" w:type="dxa"/>
            <w:tcBorders>
              <w:top w:val="single" w:sz="4" w:space="0" w:color="auto"/>
              <w:left w:val="single" w:sz="4" w:space="0" w:color="auto"/>
              <w:bottom w:val="single" w:sz="4" w:space="0" w:color="auto"/>
              <w:right w:val="single" w:sz="4" w:space="0" w:color="auto"/>
            </w:tcBorders>
          </w:tcPr>
          <w:p w:rsidR="00BC19DC" w:rsidRPr="00686563" w:rsidRDefault="00BC19DC" w:rsidP="00B3725A">
            <w:pPr>
              <w:spacing w:line="276" w:lineRule="auto"/>
              <w:jc w:val="left"/>
              <w:rPr>
                <w:sz w:val="18"/>
                <w:szCs w:val="18"/>
                <w:lang w:val="es-ES"/>
              </w:rPr>
            </w:pPr>
          </w:p>
        </w:tc>
      </w:tr>
    </w:tbl>
    <w:p w:rsidR="006E0285" w:rsidRPr="00686563" w:rsidRDefault="006E0285" w:rsidP="00BC19DC">
      <w:pPr>
        <w:jc w:val="left"/>
        <w:rPr>
          <w:rFonts w:cs="Arial"/>
          <w:sz w:val="18"/>
          <w:szCs w:val="18"/>
          <w:u w:val="single"/>
          <w:lang w:val="es-ES"/>
        </w:rPr>
      </w:pPr>
    </w:p>
    <w:p w:rsidR="006E0285" w:rsidRPr="00686563" w:rsidRDefault="006E0285" w:rsidP="006E0285">
      <w:pPr>
        <w:jc w:val="left"/>
        <w:rPr>
          <w:snapToGrid w:val="0"/>
          <w:lang w:val="es-ES"/>
        </w:rPr>
      </w:pPr>
    </w:p>
    <w:p w:rsidR="006E0285" w:rsidRPr="00686563" w:rsidRDefault="006E0285" w:rsidP="006E0285">
      <w:pPr>
        <w:jc w:val="left"/>
        <w:rPr>
          <w:snapToGrid w:val="0"/>
          <w:lang w:val="es-ES"/>
        </w:rPr>
      </w:pPr>
    </w:p>
    <w:p w:rsidR="00050E16" w:rsidRPr="00686563" w:rsidRDefault="006E0285" w:rsidP="006E0285">
      <w:pPr>
        <w:jc w:val="right"/>
        <w:rPr>
          <w:lang w:val="es-ES"/>
        </w:rPr>
      </w:pPr>
      <w:r w:rsidRPr="00686563">
        <w:rPr>
          <w:lang w:val="es-ES"/>
        </w:rPr>
        <w:t>[Fin del Anexo y del documento]</w:t>
      </w:r>
    </w:p>
    <w:sectPr w:rsidR="00050E16" w:rsidRPr="00686563" w:rsidSect="006E0285">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7DE" w:rsidRDefault="00D717DE" w:rsidP="006655D3">
      <w:r>
        <w:separator/>
      </w:r>
    </w:p>
    <w:p w:rsidR="00D717DE" w:rsidRDefault="00D717DE" w:rsidP="006655D3"/>
    <w:p w:rsidR="00D717DE" w:rsidRDefault="00D717DE" w:rsidP="006655D3"/>
  </w:endnote>
  <w:endnote w:type="continuationSeparator" w:id="0">
    <w:p w:rsidR="00D717DE" w:rsidRDefault="00D717DE" w:rsidP="006655D3">
      <w:r>
        <w:separator/>
      </w:r>
    </w:p>
    <w:p w:rsidR="00D717DE" w:rsidRPr="00294751" w:rsidRDefault="00D717DE">
      <w:pPr>
        <w:pStyle w:val="Footer"/>
        <w:spacing w:after="60"/>
        <w:rPr>
          <w:sz w:val="18"/>
          <w:lang w:val="fr-FR"/>
        </w:rPr>
      </w:pPr>
      <w:r w:rsidRPr="00294751">
        <w:rPr>
          <w:sz w:val="18"/>
          <w:lang w:val="fr-FR"/>
        </w:rPr>
        <w:t>[Suite de la note de la page précédente]</w:t>
      </w:r>
    </w:p>
    <w:p w:rsidR="00D717DE" w:rsidRPr="00294751" w:rsidRDefault="00D717DE" w:rsidP="006655D3">
      <w:pPr>
        <w:rPr>
          <w:lang w:val="fr-FR"/>
        </w:rPr>
      </w:pPr>
    </w:p>
    <w:p w:rsidR="00D717DE" w:rsidRPr="00294751" w:rsidRDefault="00D717DE" w:rsidP="006655D3">
      <w:pPr>
        <w:rPr>
          <w:lang w:val="fr-FR"/>
        </w:rPr>
      </w:pPr>
    </w:p>
  </w:endnote>
  <w:endnote w:type="continuationNotice" w:id="1">
    <w:p w:rsidR="00D717DE" w:rsidRPr="00294751" w:rsidRDefault="00D717DE" w:rsidP="006655D3">
      <w:pPr>
        <w:rPr>
          <w:lang w:val="fr-FR"/>
        </w:rPr>
      </w:pPr>
      <w:r w:rsidRPr="00294751">
        <w:rPr>
          <w:lang w:val="fr-FR"/>
        </w:rPr>
        <w:t>[Suite de la note page suivante]</w:t>
      </w:r>
    </w:p>
    <w:p w:rsidR="00D717DE" w:rsidRPr="00294751" w:rsidRDefault="00D717DE" w:rsidP="006655D3">
      <w:pPr>
        <w:rPr>
          <w:lang w:val="fr-FR"/>
        </w:rPr>
      </w:pPr>
    </w:p>
    <w:p w:rsidR="00D717DE" w:rsidRPr="00294751" w:rsidRDefault="00D717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7DE" w:rsidRDefault="00D717DE" w:rsidP="006655D3">
      <w:r>
        <w:separator/>
      </w:r>
    </w:p>
  </w:footnote>
  <w:footnote w:type="continuationSeparator" w:id="0">
    <w:p w:rsidR="00D717DE" w:rsidRDefault="00D717DE" w:rsidP="006655D3">
      <w:r>
        <w:separator/>
      </w:r>
    </w:p>
  </w:footnote>
  <w:footnote w:type="continuationNotice" w:id="1">
    <w:p w:rsidR="00D717DE" w:rsidRPr="00AB530F" w:rsidRDefault="00D717DE" w:rsidP="00AB530F">
      <w:pPr>
        <w:pStyle w:val="Footer"/>
      </w:pPr>
    </w:p>
  </w:footnote>
  <w:footnote w:id="2">
    <w:p w:rsidR="006E0285" w:rsidRPr="00A04AC2" w:rsidRDefault="006E0285" w:rsidP="000735C5">
      <w:pPr>
        <w:pStyle w:val="FootnoteText"/>
        <w:rPr>
          <w:lang w:val="es-ES"/>
        </w:rPr>
      </w:pPr>
      <w:r>
        <w:rPr>
          <w:rStyle w:val="FootnoteReference"/>
        </w:rPr>
        <w:footnoteRef/>
      </w:r>
      <w:r w:rsidRPr="00A04AC2">
        <w:rPr>
          <w:lang w:val="es-ES"/>
        </w:rPr>
        <w:t xml:space="preserve"> </w:t>
      </w:r>
      <w:r w:rsidR="00E40179">
        <w:t>C</w:t>
      </w:r>
      <w:r w:rsidRPr="00A4649A">
        <w:t>elebrada en Ginebra del 15 al 17 de abril de 2002</w:t>
      </w:r>
      <w:r w:rsidR="00B24848">
        <w:t>.</w:t>
      </w:r>
    </w:p>
  </w:footnote>
  <w:footnote w:id="3">
    <w:p w:rsidR="006E0285" w:rsidRPr="00A04AC2" w:rsidRDefault="006E0285" w:rsidP="000735C5">
      <w:pPr>
        <w:pStyle w:val="FootnoteText"/>
        <w:rPr>
          <w:lang w:val="es-ES"/>
        </w:rPr>
      </w:pPr>
      <w:r>
        <w:rPr>
          <w:rStyle w:val="FootnoteReference"/>
        </w:rPr>
        <w:footnoteRef/>
      </w:r>
      <w:r w:rsidRPr="00A04AC2">
        <w:rPr>
          <w:lang w:val="es-ES"/>
        </w:rPr>
        <w:t xml:space="preserve"> </w:t>
      </w:r>
      <w:r w:rsidR="00E40179">
        <w:t>C</w:t>
      </w:r>
      <w:r w:rsidRPr="00A4649A">
        <w:t>elebrada en Ginebra los días 28 y 29 d</w:t>
      </w:r>
      <w:r>
        <w:t>e octubre de 2019</w:t>
      </w:r>
      <w:r w:rsidR="00B24848">
        <w:t>.</w:t>
      </w:r>
    </w:p>
  </w:footnote>
  <w:footnote w:id="4">
    <w:p w:rsidR="00E40179" w:rsidRDefault="00E40179" w:rsidP="00E40179">
      <w:pPr>
        <w:pStyle w:val="FootnoteText"/>
      </w:pPr>
      <w:r>
        <w:rPr>
          <w:rStyle w:val="FootnoteReference"/>
        </w:rPr>
        <w:footnoteRef/>
      </w:r>
      <w:r>
        <w:t xml:space="preserve"> C</w:t>
      </w:r>
      <w:r w:rsidRPr="00A4649A">
        <w:t xml:space="preserve">elebrada en Ginebra los días </w:t>
      </w:r>
      <w:r>
        <w:rPr>
          <w:snapToGrid w:val="0"/>
        </w:rPr>
        <w:t>26 y 27 de octubre de 2020</w:t>
      </w:r>
      <w:r w:rsidR="00B24848">
        <w:rPr>
          <w:snapToGrid w:val="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285" w:rsidRPr="00C5280D" w:rsidRDefault="00203F4F" w:rsidP="00EB048E">
    <w:pPr>
      <w:pStyle w:val="Header"/>
      <w:rPr>
        <w:rStyle w:val="PageNumber"/>
        <w:lang w:val="en-US"/>
      </w:rPr>
    </w:pPr>
    <w:r>
      <w:rPr>
        <w:rStyle w:val="PageNumber"/>
        <w:lang w:val="en-US"/>
      </w:rPr>
      <w:t>TC/58/14</w:t>
    </w:r>
  </w:p>
  <w:p w:rsidR="006E0285" w:rsidRPr="00C5280D" w:rsidRDefault="006E0285" w:rsidP="00D3737A">
    <w:pPr>
      <w:pStyle w:val="Header"/>
      <w:rPr>
        <w:lang w:val="en-US"/>
      </w:rPr>
    </w:pPr>
    <w:r w:rsidRPr="00D3737A">
      <w:t>página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6B04">
      <w:rPr>
        <w:rStyle w:val="PageNumber"/>
        <w:noProof/>
        <w:lang w:val="en-US"/>
      </w:rPr>
      <w:t>3</w:t>
    </w:r>
    <w:r w:rsidRPr="00C5280D">
      <w:rPr>
        <w:rStyle w:val="PageNumber"/>
        <w:lang w:val="en-US"/>
      </w:rPr>
      <w:fldChar w:fldCharType="end"/>
    </w:r>
  </w:p>
  <w:p w:rsidR="006E0285" w:rsidRPr="00C5280D" w:rsidRDefault="006E028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Default="00467B42" w:rsidP="000A23DC">
    <w:pPr>
      <w:pStyle w:val="Header"/>
      <w:rPr>
        <w:rStyle w:val="PageNumber"/>
      </w:rPr>
    </w:pPr>
    <w:r>
      <w:rPr>
        <w:rStyle w:val="PageNumber"/>
      </w:rPr>
      <w:t>TC/</w:t>
    </w:r>
    <w:r w:rsidR="00203F4F">
      <w:rPr>
        <w:rStyle w:val="PageNumber"/>
        <w:lang w:val="en-US"/>
      </w:rPr>
      <w:t>58/14</w:t>
    </w:r>
  </w:p>
  <w:p w:rsidR="00182B99" w:rsidRPr="00202E38" w:rsidRDefault="006E0285" w:rsidP="008B3D8D">
    <w:pPr>
      <w:pStyle w:val="Header"/>
      <w:rPr>
        <w:lang w:val="de-DE"/>
      </w:rPr>
    </w:pPr>
    <w:r>
      <w:rPr>
        <w:rStyle w:val="PageNumber"/>
      </w:rPr>
      <w:t>ANEXO</w:t>
    </w:r>
    <w:r w:rsidR="007167BE">
      <w:rPr>
        <w:rStyle w:val="PageNumber"/>
      </w:rPr>
      <w:t xml:space="preserve">, </w:t>
    </w:r>
    <w:r w:rsidR="008B3D8D"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BC19DC">
      <w:rPr>
        <w:rStyle w:val="PageNumber"/>
        <w:noProof/>
        <w:lang w:val="de-DE"/>
      </w:rPr>
      <w:t>2</w:t>
    </w:r>
    <w:r w:rsidR="00182B99" w:rsidRPr="00202E38">
      <w:rPr>
        <w:rStyle w:val="PageNumber"/>
        <w:lang w:val="de-DE"/>
      </w:rPr>
      <w:fldChar w:fldCharType="end"/>
    </w:r>
  </w:p>
  <w:p w:rsidR="00182B99" w:rsidRPr="00202E38" w:rsidRDefault="00182B9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285" w:rsidRDefault="006E0285" w:rsidP="0004198B">
    <w:pPr>
      <w:pStyle w:val="Header"/>
      <w:rPr>
        <w:lang w:val="es-ES"/>
      </w:rPr>
    </w:pPr>
    <w:r>
      <w:rPr>
        <w:lang w:val="es-ES"/>
      </w:rPr>
      <w:t>TC/</w:t>
    </w:r>
    <w:r w:rsidR="00203F4F">
      <w:rPr>
        <w:rStyle w:val="PageNumber"/>
        <w:lang w:val="en-US"/>
      </w:rPr>
      <w:t>58/14</w:t>
    </w:r>
  </w:p>
  <w:p w:rsidR="006E0285" w:rsidRDefault="006E0285" w:rsidP="0004198B">
    <w:pPr>
      <w:pStyle w:val="Header"/>
      <w:rPr>
        <w:lang w:val="es-ES"/>
      </w:rPr>
    </w:pPr>
  </w:p>
  <w:p w:rsidR="006E0285" w:rsidRDefault="006E0285" w:rsidP="0004198B">
    <w:pPr>
      <w:pStyle w:val="Header"/>
      <w:rPr>
        <w:lang w:val="es-ES"/>
      </w:rPr>
    </w:pPr>
    <w:r>
      <w:rPr>
        <w:lang w:val="es-ES"/>
      </w:rPr>
      <w:t>ANEXO</w:t>
    </w:r>
  </w:p>
  <w:p w:rsidR="006E0285" w:rsidRPr="006E0285" w:rsidRDefault="006E0285" w:rsidP="0004198B">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24EA"/>
    <w:multiLevelType w:val="hybridMultilevel"/>
    <w:tmpl w:val="82F21B5C"/>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04090017">
      <w:start w:val="1"/>
      <w:numFmt w:val="lowerLetter"/>
      <w:lvlText w:val="%3)"/>
      <w:lvlJc w:val="left"/>
      <w:pPr>
        <w:tabs>
          <w:tab w:val="num" w:pos="2742"/>
        </w:tabs>
        <w:ind w:left="2742" w:hanging="555"/>
      </w:pPr>
      <w:rPr>
        <w:rFonts w:hint="default"/>
      </w:r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1" w15:restartNumberingAfterBreak="0">
    <w:nsid w:val="34D0482C"/>
    <w:multiLevelType w:val="hybridMultilevel"/>
    <w:tmpl w:val="AE70962C"/>
    <w:lvl w:ilvl="0" w:tplc="04090017">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203F7B"/>
    <w:multiLevelType w:val="hybridMultilevel"/>
    <w:tmpl w:val="F2E02A9C"/>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699D0B31"/>
    <w:multiLevelType w:val="hybridMultilevel"/>
    <w:tmpl w:val="17EACA76"/>
    <w:lvl w:ilvl="0" w:tplc="04090017">
      <w:start w:val="1"/>
      <w:numFmt w:val="lowerLetter"/>
      <w:lvlText w:val="%1)"/>
      <w:lvlJc w:val="left"/>
      <w:pPr>
        <w:tabs>
          <w:tab w:val="num" w:pos="1689"/>
        </w:tabs>
        <w:ind w:left="1689"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cs="Times New Roman"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cs="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cs="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6" w15:restartNumberingAfterBreak="0">
    <w:nsid w:val="7EAE3516"/>
    <w:multiLevelType w:val="hybridMultilevel"/>
    <w:tmpl w:val="3746D1B8"/>
    <w:lvl w:ilvl="0" w:tplc="A49C906C">
      <w:start w:val="1"/>
      <w:numFmt w:val="bullet"/>
      <w:lvlText w:val="-"/>
      <w:lvlJc w:val="left"/>
      <w:pPr>
        <w:tabs>
          <w:tab w:val="num" w:pos="2064"/>
        </w:tabs>
        <w:ind w:left="2064" w:hanging="360"/>
      </w:pPr>
      <w:rPr>
        <w:rFonts w:ascii="Courier New" w:hAnsi="Courier New" w:cs="Times New Roman" w:hint="default"/>
      </w:rPr>
    </w:lvl>
    <w:lvl w:ilvl="1" w:tplc="04090017">
      <w:start w:val="1"/>
      <w:numFmt w:val="lowerLetter"/>
      <w:lvlText w:val="%2)"/>
      <w:lvlJc w:val="left"/>
      <w:pPr>
        <w:ind w:left="2007" w:hanging="360"/>
      </w:pPr>
      <w:rPr>
        <w:rFont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285"/>
    <w:rsid w:val="00010CF3"/>
    <w:rsid w:val="00011E27"/>
    <w:rsid w:val="000148BC"/>
    <w:rsid w:val="00024AB8"/>
    <w:rsid w:val="00030854"/>
    <w:rsid w:val="00036028"/>
    <w:rsid w:val="00044642"/>
    <w:rsid w:val="000446B9"/>
    <w:rsid w:val="00047E21"/>
    <w:rsid w:val="00050E16"/>
    <w:rsid w:val="000565C9"/>
    <w:rsid w:val="000638A9"/>
    <w:rsid w:val="000735C5"/>
    <w:rsid w:val="00085505"/>
    <w:rsid w:val="000A23DC"/>
    <w:rsid w:val="000B7BB9"/>
    <w:rsid w:val="000C4E25"/>
    <w:rsid w:val="000C7021"/>
    <w:rsid w:val="000D6BBC"/>
    <w:rsid w:val="000D7780"/>
    <w:rsid w:val="000E636A"/>
    <w:rsid w:val="000F2F11"/>
    <w:rsid w:val="00105929"/>
    <w:rsid w:val="001066E7"/>
    <w:rsid w:val="00110C36"/>
    <w:rsid w:val="001131D5"/>
    <w:rsid w:val="0013395A"/>
    <w:rsid w:val="00141DB8"/>
    <w:rsid w:val="00172084"/>
    <w:rsid w:val="0017474A"/>
    <w:rsid w:val="001758C6"/>
    <w:rsid w:val="00182B99"/>
    <w:rsid w:val="001B67B7"/>
    <w:rsid w:val="001F2AE0"/>
    <w:rsid w:val="001F64BF"/>
    <w:rsid w:val="00202E38"/>
    <w:rsid w:val="00203F4F"/>
    <w:rsid w:val="0021332C"/>
    <w:rsid w:val="00213982"/>
    <w:rsid w:val="0024416D"/>
    <w:rsid w:val="002464A3"/>
    <w:rsid w:val="00271911"/>
    <w:rsid w:val="002800A0"/>
    <w:rsid w:val="002801B3"/>
    <w:rsid w:val="00281060"/>
    <w:rsid w:val="002940E8"/>
    <w:rsid w:val="00294751"/>
    <w:rsid w:val="002A6E50"/>
    <w:rsid w:val="002B4298"/>
    <w:rsid w:val="002C256A"/>
    <w:rsid w:val="002C3D98"/>
    <w:rsid w:val="002E5944"/>
    <w:rsid w:val="00305A7F"/>
    <w:rsid w:val="003152FE"/>
    <w:rsid w:val="00324098"/>
    <w:rsid w:val="00327436"/>
    <w:rsid w:val="00344BD6"/>
    <w:rsid w:val="0035528D"/>
    <w:rsid w:val="00361821"/>
    <w:rsid w:val="00361E9E"/>
    <w:rsid w:val="003B031A"/>
    <w:rsid w:val="003C7FBE"/>
    <w:rsid w:val="003D227C"/>
    <w:rsid w:val="003D2B4D"/>
    <w:rsid w:val="0040557F"/>
    <w:rsid w:val="0042161D"/>
    <w:rsid w:val="0043602E"/>
    <w:rsid w:val="0044140C"/>
    <w:rsid w:val="00444A88"/>
    <w:rsid w:val="00467B42"/>
    <w:rsid w:val="00474DA4"/>
    <w:rsid w:val="00476B4D"/>
    <w:rsid w:val="004805FA"/>
    <w:rsid w:val="004935D2"/>
    <w:rsid w:val="004B1215"/>
    <w:rsid w:val="004D047D"/>
    <w:rsid w:val="004D4AC9"/>
    <w:rsid w:val="004F1E9E"/>
    <w:rsid w:val="004F305A"/>
    <w:rsid w:val="00512164"/>
    <w:rsid w:val="00520297"/>
    <w:rsid w:val="005338F9"/>
    <w:rsid w:val="0054281C"/>
    <w:rsid w:val="00544581"/>
    <w:rsid w:val="00545E42"/>
    <w:rsid w:val="0055268D"/>
    <w:rsid w:val="00576BE4"/>
    <w:rsid w:val="00596B04"/>
    <w:rsid w:val="005A1EC1"/>
    <w:rsid w:val="005A400A"/>
    <w:rsid w:val="005E6A79"/>
    <w:rsid w:val="005F7B92"/>
    <w:rsid w:val="00612379"/>
    <w:rsid w:val="006153B6"/>
    <w:rsid w:val="0061555F"/>
    <w:rsid w:val="00626FED"/>
    <w:rsid w:val="00631E71"/>
    <w:rsid w:val="00636CA6"/>
    <w:rsid w:val="00637EDD"/>
    <w:rsid w:val="00641200"/>
    <w:rsid w:val="00645CA8"/>
    <w:rsid w:val="006655D3"/>
    <w:rsid w:val="00667404"/>
    <w:rsid w:val="00685B0F"/>
    <w:rsid w:val="00686563"/>
    <w:rsid w:val="00687EB4"/>
    <w:rsid w:val="00695C56"/>
    <w:rsid w:val="006A5CDE"/>
    <w:rsid w:val="006A644A"/>
    <w:rsid w:val="006B17D2"/>
    <w:rsid w:val="006C224E"/>
    <w:rsid w:val="006D780A"/>
    <w:rsid w:val="006E0285"/>
    <w:rsid w:val="0071271E"/>
    <w:rsid w:val="007139AF"/>
    <w:rsid w:val="007167BE"/>
    <w:rsid w:val="00732DEC"/>
    <w:rsid w:val="00735BD5"/>
    <w:rsid w:val="00751613"/>
    <w:rsid w:val="007556F6"/>
    <w:rsid w:val="00760EEF"/>
    <w:rsid w:val="00763751"/>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381F"/>
    <w:rsid w:val="00824099"/>
    <w:rsid w:val="00846D7C"/>
    <w:rsid w:val="00861B6C"/>
    <w:rsid w:val="00864C55"/>
    <w:rsid w:val="00867AC1"/>
    <w:rsid w:val="00890DF8"/>
    <w:rsid w:val="008A743F"/>
    <w:rsid w:val="008B3D8D"/>
    <w:rsid w:val="008B6E3B"/>
    <w:rsid w:val="008C0970"/>
    <w:rsid w:val="008D0BC5"/>
    <w:rsid w:val="008D2CF7"/>
    <w:rsid w:val="008E66C1"/>
    <w:rsid w:val="008E70BE"/>
    <w:rsid w:val="00900C26"/>
    <w:rsid w:val="0090197F"/>
    <w:rsid w:val="00906DDC"/>
    <w:rsid w:val="0092208E"/>
    <w:rsid w:val="00934E09"/>
    <w:rsid w:val="00936253"/>
    <w:rsid w:val="00940D46"/>
    <w:rsid w:val="00952DD4"/>
    <w:rsid w:val="0096175D"/>
    <w:rsid w:val="00965AE7"/>
    <w:rsid w:val="00970FED"/>
    <w:rsid w:val="00992D82"/>
    <w:rsid w:val="00997029"/>
    <w:rsid w:val="009A7339"/>
    <w:rsid w:val="009B440E"/>
    <w:rsid w:val="009D0C15"/>
    <w:rsid w:val="009D690D"/>
    <w:rsid w:val="009E65B6"/>
    <w:rsid w:val="00A121D5"/>
    <w:rsid w:val="00A24C10"/>
    <w:rsid w:val="00A42AC3"/>
    <w:rsid w:val="00A430CF"/>
    <w:rsid w:val="00A54309"/>
    <w:rsid w:val="00A706D3"/>
    <w:rsid w:val="00AB2B93"/>
    <w:rsid w:val="00AB3673"/>
    <w:rsid w:val="00AB530F"/>
    <w:rsid w:val="00AB7E5B"/>
    <w:rsid w:val="00AC2883"/>
    <w:rsid w:val="00AE0EF1"/>
    <w:rsid w:val="00AE2937"/>
    <w:rsid w:val="00B07301"/>
    <w:rsid w:val="00B11F3E"/>
    <w:rsid w:val="00B224DE"/>
    <w:rsid w:val="00B24848"/>
    <w:rsid w:val="00B30313"/>
    <w:rsid w:val="00B324D4"/>
    <w:rsid w:val="00B46575"/>
    <w:rsid w:val="00B61777"/>
    <w:rsid w:val="00B8262D"/>
    <w:rsid w:val="00B84BBD"/>
    <w:rsid w:val="00BA43FB"/>
    <w:rsid w:val="00BB64B3"/>
    <w:rsid w:val="00BC0BD4"/>
    <w:rsid w:val="00BC127D"/>
    <w:rsid w:val="00BC19DC"/>
    <w:rsid w:val="00BC1FE6"/>
    <w:rsid w:val="00C061B6"/>
    <w:rsid w:val="00C2446C"/>
    <w:rsid w:val="00C31A05"/>
    <w:rsid w:val="00C36864"/>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717DE"/>
    <w:rsid w:val="00D91203"/>
    <w:rsid w:val="00D95174"/>
    <w:rsid w:val="00DA4973"/>
    <w:rsid w:val="00DA6F36"/>
    <w:rsid w:val="00DB596E"/>
    <w:rsid w:val="00DB7773"/>
    <w:rsid w:val="00DC00EA"/>
    <w:rsid w:val="00DC3802"/>
    <w:rsid w:val="00DD4CD1"/>
    <w:rsid w:val="00E07D87"/>
    <w:rsid w:val="00E24BF5"/>
    <w:rsid w:val="00E32F7E"/>
    <w:rsid w:val="00E40179"/>
    <w:rsid w:val="00E51430"/>
    <w:rsid w:val="00E5267B"/>
    <w:rsid w:val="00E63C0E"/>
    <w:rsid w:val="00E72D49"/>
    <w:rsid w:val="00E7593C"/>
    <w:rsid w:val="00E7678A"/>
    <w:rsid w:val="00E935F1"/>
    <w:rsid w:val="00E94A81"/>
    <w:rsid w:val="00E96173"/>
    <w:rsid w:val="00EA1FFB"/>
    <w:rsid w:val="00EB048E"/>
    <w:rsid w:val="00EB4E9C"/>
    <w:rsid w:val="00EC2265"/>
    <w:rsid w:val="00EE34DF"/>
    <w:rsid w:val="00EE3C81"/>
    <w:rsid w:val="00EF2F89"/>
    <w:rsid w:val="00F00892"/>
    <w:rsid w:val="00F03E98"/>
    <w:rsid w:val="00F1237A"/>
    <w:rsid w:val="00F22CBD"/>
    <w:rsid w:val="00F272F1"/>
    <w:rsid w:val="00F357F6"/>
    <w:rsid w:val="00F45372"/>
    <w:rsid w:val="00F560F7"/>
    <w:rsid w:val="00F62AB6"/>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9896DDB-6AAC-4B0C-9C93-DA06A186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1B67B7"/>
    <w:pPr>
      <w:keepNext/>
      <w:outlineLvl w:val="1"/>
    </w:pPr>
    <w:rPr>
      <w:rFonts w:ascii="Arial" w:hAnsi="Arial" w:cs="Arial"/>
      <w:i/>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0735C5"/>
    <w:pPr>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31A05"/>
    <w:pPr>
      <w:tabs>
        <w:tab w:val="right" w:leader="dot" w:pos="9639"/>
      </w:tabs>
      <w:ind w:left="568" w:right="851" w:hanging="284"/>
      <w:contextualSpacing/>
      <w:jc w:val="left"/>
    </w:pPr>
    <w:rPr>
      <w:noProof/>
      <w:sz w:val="18"/>
      <w:szCs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C31A05"/>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6E0285"/>
    <w:pPr>
      <w:ind w:left="720"/>
      <w:contextualSpacing/>
    </w:pPr>
    <w:rPr>
      <w:lang w:val="en-US"/>
    </w:rPr>
  </w:style>
  <w:style w:type="paragraph" w:styleId="BodyTextIndent3">
    <w:name w:val="Body Text Indent 3"/>
    <w:basedOn w:val="Normal"/>
    <w:link w:val="BodyTextIndent3Char"/>
    <w:rsid w:val="006E0285"/>
    <w:pPr>
      <w:ind w:left="1701" w:hanging="1701"/>
    </w:pPr>
    <w:rPr>
      <w:rFonts w:ascii="Times New Roman" w:hAnsi="Times New Roman" w:cs="Angsana New"/>
      <w:color w:val="000000"/>
      <w:sz w:val="24"/>
      <w:szCs w:val="24"/>
      <w:lang w:val="en-US" w:eastAsia="ja-JP" w:bidi="th-TH"/>
    </w:rPr>
  </w:style>
  <w:style w:type="character" w:customStyle="1" w:styleId="BodyTextIndent3Char">
    <w:name w:val="Body Text Indent 3 Char"/>
    <w:basedOn w:val="DefaultParagraphFont"/>
    <w:link w:val="BodyTextIndent3"/>
    <w:rsid w:val="006E0285"/>
    <w:rPr>
      <w:rFonts w:cs="Angsana New"/>
      <w:color w:val="000000"/>
      <w:sz w:val="24"/>
      <w:szCs w:val="24"/>
      <w:lang w:eastAsia="ja-JP" w:bidi="th-TH"/>
    </w:rPr>
  </w:style>
  <w:style w:type="table" w:styleId="TableGrid">
    <w:name w:val="Table Grid"/>
    <w:basedOn w:val="TableNormal"/>
    <w:rsid w:val="006E0285"/>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E40179"/>
    <w:rPr>
      <w:rFonts w:ascii="Arial" w:hAnsi="Arial"/>
      <w:sz w:val="16"/>
      <w:lang w:val="es-ES_tradnl"/>
    </w:rPr>
  </w:style>
  <w:style w:type="character" w:styleId="FollowedHyperlink">
    <w:name w:val="FollowedHyperlink"/>
    <w:basedOn w:val="DefaultParagraphFont"/>
    <w:semiHidden/>
    <w:unhideWhenUsed/>
    <w:rsid w:val="00B303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webinar_video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user/up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MATEOS CLERIGUÉ Roberto</dc:creator>
  <cp:lastModifiedBy>MAY Jessica</cp:lastModifiedBy>
  <cp:revision>4</cp:revision>
  <cp:lastPrinted>2016-11-22T15:41:00Z</cp:lastPrinted>
  <dcterms:created xsi:type="dcterms:W3CDTF">2022-10-19T06:52:00Z</dcterms:created>
  <dcterms:modified xsi:type="dcterms:W3CDTF">2022-10-19T07:48:00Z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3880fa08-f314-4c7e-bc29-a754c581cd4d</vt:lpwstr>
  </property>
</Properties>
</file>