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839C1" w14:paraId="555B4004" w14:textId="77777777" w:rsidTr="00EB4E9C">
        <w:tc>
          <w:tcPr>
            <w:tcW w:w="6522" w:type="dxa"/>
          </w:tcPr>
          <w:p w14:paraId="0BE89471" w14:textId="77777777" w:rsidR="00DC3802" w:rsidRPr="00A839C1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42AD6BF2" wp14:editId="1212F72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4936374" w14:textId="77777777" w:rsidR="00DC3802" w:rsidRPr="00A839C1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A839C1" w14:paraId="35CF3FAD" w14:textId="77777777" w:rsidTr="00645CA8">
        <w:trPr>
          <w:trHeight w:val="219"/>
        </w:trPr>
        <w:tc>
          <w:tcPr>
            <w:tcW w:w="6522" w:type="dxa"/>
          </w:tcPr>
          <w:p w14:paraId="28B3C26E" w14:textId="77777777" w:rsidR="00DC3802" w:rsidRPr="00A839C1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1336BBCC" w14:textId="77777777" w:rsidR="00DC3802" w:rsidRPr="00A839C1" w:rsidRDefault="00DC3802" w:rsidP="00DA4973"/>
        </w:tc>
      </w:tr>
    </w:tbl>
    <w:p w14:paraId="6ACA9D06" w14:textId="77777777" w:rsidR="00DC3802" w:rsidRPr="00A839C1" w:rsidRDefault="00DC3802" w:rsidP="00DC3802"/>
    <w:p w14:paraId="79F6CC76" w14:textId="77777777" w:rsidR="00DA4973" w:rsidRPr="00A839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839C1" w14:paraId="0149B562" w14:textId="77777777" w:rsidTr="00EB4E9C">
        <w:tc>
          <w:tcPr>
            <w:tcW w:w="6512" w:type="dxa"/>
          </w:tcPr>
          <w:p w14:paraId="0C0ED09E" w14:textId="77777777" w:rsidR="00EB4E9C" w:rsidRPr="00A839C1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2F65F9B8" w14:textId="77777777" w:rsidR="002458C3" w:rsidRPr="00A839C1" w:rsidRDefault="002E5944" w:rsidP="00324098">
            <w:pPr>
              <w:pStyle w:val="Sessiontcplacedate"/>
            </w:pPr>
            <w:r>
              <w:t>Quincuagésima octava sesión</w:t>
            </w:r>
          </w:p>
          <w:p w14:paraId="7629C3C9" w14:textId="77777777" w:rsidR="00EB4E9C" w:rsidRPr="00A839C1" w:rsidRDefault="002E5944" w:rsidP="00324098">
            <w:pPr>
              <w:pStyle w:val="Sessiontcplacedate"/>
              <w:rPr>
                <w:sz w:val="22"/>
              </w:rPr>
            </w:pPr>
            <w:r>
              <w:t>Ginebra, 24 y 25 de octubre de 2022</w:t>
            </w:r>
          </w:p>
        </w:tc>
        <w:tc>
          <w:tcPr>
            <w:tcW w:w="3127" w:type="dxa"/>
          </w:tcPr>
          <w:p w14:paraId="3B48DBD9" w14:textId="77777777" w:rsidR="00EB4E9C" w:rsidRPr="00A839C1" w:rsidRDefault="002458C3" w:rsidP="003C7FBE">
            <w:pPr>
              <w:pStyle w:val="Doccode"/>
            </w:pPr>
            <w:r>
              <w:t>TC/58/12</w:t>
            </w:r>
          </w:p>
          <w:p w14:paraId="7526E7F9" w14:textId="77777777" w:rsidR="00EB4E9C" w:rsidRPr="00A839C1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Inglés</w:t>
            </w:r>
          </w:p>
          <w:p w14:paraId="709E3AFB" w14:textId="461F005C" w:rsidR="00EB4E9C" w:rsidRPr="00A839C1" w:rsidRDefault="002E5944" w:rsidP="002824ED">
            <w:pPr>
              <w:pStyle w:val="Docoriginal"/>
            </w:pPr>
            <w:r>
              <w:t>Fecha:</w:t>
            </w:r>
            <w:r>
              <w:rPr>
                <w:b w:val="0"/>
              </w:rPr>
              <w:t xml:space="preserve"> </w:t>
            </w:r>
            <w:r w:rsidR="002824ED">
              <w:rPr>
                <w:b w:val="0"/>
              </w:rPr>
              <w:t>6 de octubre de</w:t>
            </w:r>
            <w:r>
              <w:rPr>
                <w:b w:val="0"/>
              </w:rPr>
              <w:t xml:space="preserve"> 2022</w:t>
            </w:r>
          </w:p>
        </w:tc>
      </w:tr>
    </w:tbl>
    <w:p w14:paraId="03C0305F" w14:textId="77777777" w:rsidR="000D7780" w:rsidRPr="00A839C1" w:rsidRDefault="006F4FE3" w:rsidP="006A644A">
      <w:pPr>
        <w:pStyle w:val="Titleofdoc0"/>
      </w:pPr>
      <w:r>
        <w:t>BASES DE DATOS DE DESCRIPCIONES DE VARIEDADES</w:t>
      </w:r>
    </w:p>
    <w:p w14:paraId="7F0C4FBA" w14:textId="77777777" w:rsidR="006A644A" w:rsidRPr="00A839C1" w:rsidRDefault="000638A9" w:rsidP="006A644A">
      <w:pPr>
        <w:pStyle w:val="preparedby1"/>
        <w:jc w:val="left"/>
      </w:pPr>
      <w:r>
        <w:t>Documento preparado por la Oficina de la Unión</w:t>
      </w:r>
    </w:p>
    <w:p w14:paraId="165B8625" w14:textId="77777777" w:rsidR="00050E16" w:rsidRPr="00A839C1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14:paraId="5035FF80" w14:textId="77777777" w:rsidR="006F4FE3" w:rsidRPr="00A839C1" w:rsidRDefault="006F4FE3" w:rsidP="006F4FE3">
      <w:pPr>
        <w:keepNext/>
        <w:outlineLvl w:val="0"/>
        <w:rPr>
          <w:caps/>
          <w:snapToGrid w:val="0"/>
        </w:rPr>
      </w:pPr>
      <w:bookmarkStart w:id="0" w:name="_Toc116369395"/>
      <w:r>
        <w:rPr>
          <w:caps/>
          <w:snapToGrid w:val="0"/>
        </w:rPr>
        <w:t>RESUMEN</w:t>
      </w:r>
      <w:bookmarkEnd w:id="0"/>
    </w:p>
    <w:p w14:paraId="4297A4F8" w14:textId="77777777" w:rsidR="006F4FE3" w:rsidRPr="00A839C1" w:rsidRDefault="006F4FE3" w:rsidP="006F4FE3">
      <w:pPr>
        <w:rPr>
          <w:snapToGrid w:val="0"/>
        </w:rPr>
      </w:pPr>
    </w:p>
    <w:p w14:paraId="4EA0A545" w14:textId="77777777" w:rsidR="006F4FE3" w:rsidRPr="00A839C1" w:rsidRDefault="006F4FE3" w:rsidP="006F4FE3"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  <w:t>El presente documento tiene por finalidad exponer las novedades relativas a las bases de datos de descripciones de variedades e invitar a los miembros de la Unión</w:t>
      </w:r>
      <w:r>
        <w:t xml:space="preserve"> a que informen sobre la labor concerniente a la elaboración de bases de datos que contengan datos morfológicos y/o moleculares.</w:t>
      </w:r>
    </w:p>
    <w:p w14:paraId="03F1267B" w14:textId="77777777" w:rsidR="006F4FE3" w:rsidRPr="00A839C1" w:rsidRDefault="006F4FE3" w:rsidP="006F4FE3"/>
    <w:p w14:paraId="555DEB10" w14:textId="77777777" w:rsidR="006F4FE3" w:rsidRPr="00A839C1" w:rsidRDefault="006F4FE3" w:rsidP="006F4FE3"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>Las cuestiones relativas a la elaboración de una plataforma para las bases de datos de los miembros de la UPOV que contienen información descriptiva de las variedades se exponen en el documento TC/58/8 “Cooperación en el examen”.</w:t>
      </w:r>
    </w:p>
    <w:p w14:paraId="0F0FAF5D" w14:textId="77777777" w:rsidR="006F4FE3" w:rsidRPr="00A839C1" w:rsidRDefault="006F4FE3" w:rsidP="006F4FE3"/>
    <w:p w14:paraId="67C7417F" w14:textId="3EB6CC80" w:rsidR="006F4FE3" w:rsidRPr="00A839C1" w:rsidRDefault="006F4FE3" w:rsidP="006F4FE3">
      <w:pPr>
        <w:tabs>
          <w:tab w:val="left" w:pos="567"/>
          <w:tab w:val="left" w:pos="1134"/>
          <w:tab w:val="left" w:pos="5387"/>
        </w:tabs>
      </w:pPr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>Se invita al TC a:</w:t>
      </w:r>
    </w:p>
    <w:p w14:paraId="6228A69C" w14:textId="77777777" w:rsidR="006F4FE3" w:rsidRPr="00A839C1" w:rsidRDefault="006F4FE3" w:rsidP="006F4FE3">
      <w:pPr>
        <w:tabs>
          <w:tab w:val="left" w:pos="567"/>
          <w:tab w:val="left" w:pos="1134"/>
          <w:tab w:val="left" w:pos="5387"/>
        </w:tabs>
      </w:pPr>
    </w:p>
    <w:p w14:paraId="4C8CAA14" w14:textId="77777777" w:rsidR="006F4FE3" w:rsidRPr="00A839C1" w:rsidRDefault="006F4FE3" w:rsidP="006F4FE3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szCs w:val="24"/>
        </w:rPr>
      </w:pPr>
      <w:r>
        <w:tab/>
        <w:t>a)</w:t>
      </w:r>
      <w:r>
        <w:tab/>
        <w:t xml:space="preserve">determinar si procede invitar a la Oficina de la Unión a que estudie las posibilidades de que la información sobre las páginas web con descripciones de variedades se ponga a disposición en el sitio web de la UPOV; y </w:t>
      </w:r>
    </w:p>
    <w:p w14:paraId="4B65A153" w14:textId="77777777" w:rsidR="006F4FE3" w:rsidRPr="00A839C1" w:rsidRDefault="006F4FE3" w:rsidP="006F4FE3">
      <w:pPr>
        <w:tabs>
          <w:tab w:val="left" w:pos="567"/>
          <w:tab w:val="left" w:pos="1134"/>
          <w:tab w:val="left" w:pos="5387"/>
        </w:tabs>
        <w:rPr>
          <w:snapToGrid w:val="0"/>
          <w:szCs w:val="24"/>
        </w:rPr>
      </w:pPr>
    </w:p>
    <w:p w14:paraId="14EAC1C0" w14:textId="77777777" w:rsidR="006F4FE3" w:rsidRPr="00A839C1" w:rsidRDefault="006F4FE3" w:rsidP="006F4FE3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szCs w:val="24"/>
        </w:rPr>
      </w:pPr>
      <w:r>
        <w:rPr>
          <w:snapToGrid w:val="0"/>
        </w:rPr>
        <w:tab/>
        <w:t>b)</w:t>
      </w:r>
      <w:r>
        <w:rPr>
          <w:snapToGrid w:val="0"/>
        </w:rPr>
        <w:tab/>
        <w:t>recordar la invitación cursada a los miembros de la Unión a informar al TC y los TWP sobre la labor relativa a la elaboración de bases de datos que contienen datos morfológicos o moleculares.</w:t>
      </w:r>
    </w:p>
    <w:p w14:paraId="0D179900" w14:textId="77777777" w:rsidR="006F4FE3" w:rsidRPr="00A839C1" w:rsidRDefault="006F4FE3" w:rsidP="006F4FE3"/>
    <w:p w14:paraId="5D555BF5" w14:textId="77777777" w:rsidR="006F4FE3" w:rsidRPr="00A839C1" w:rsidRDefault="006F4FE3" w:rsidP="006F4FE3"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>En el presente documento se utilizan las abreviaturas siguientes.</w:t>
      </w:r>
    </w:p>
    <w:p w14:paraId="2EB5A05E" w14:textId="77777777" w:rsidR="006F4FE3" w:rsidRPr="00A839C1" w:rsidRDefault="006F4FE3" w:rsidP="006F4FE3"/>
    <w:p w14:paraId="08D6123D" w14:textId="77777777" w:rsidR="006F4FE3" w:rsidRPr="00A839C1" w:rsidRDefault="006F4FE3" w:rsidP="006F4FE3">
      <w:r>
        <w:t>BMT:</w:t>
      </w:r>
      <w:r>
        <w:tab/>
      </w:r>
      <w:r>
        <w:tab/>
        <w:t>Grupo de Trabajo sobre Técnicas Bioquímicas y Moleculares, y Perfiles de ADN en Particular</w:t>
      </w:r>
    </w:p>
    <w:p w14:paraId="17866AB4" w14:textId="77777777" w:rsidR="006F4FE3" w:rsidRPr="00A839C1" w:rsidRDefault="006F4FE3" w:rsidP="006F4FE3">
      <w:r>
        <w:t xml:space="preserve">TC: </w:t>
      </w:r>
      <w:r>
        <w:tab/>
      </w:r>
      <w:r>
        <w:tab/>
        <w:t>Comité Técnico</w:t>
      </w:r>
    </w:p>
    <w:p w14:paraId="1AB84C3E" w14:textId="77777777" w:rsidR="006F4FE3" w:rsidRPr="00A839C1" w:rsidRDefault="006F4FE3" w:rsidP="006F4FE3">
      <w:r>
        <w:t xml:space="preserve">TC-EDC: </w:t>
      </w:r>
      <w:r>
        <w:tab/>
        <w:t>Comité de Redacción Ampliado</w:t>
      </w:r>
    </w:p>
    <w:p w14:paraId="2B5199A0" w14:textId="74F0A152" w:rsidR="006F4FE3" w:rsidRPr="00A839C1" w:rsidRDefault="006F4FE3" w:rsidP="006F4FE3">
      <w:r>
        <w:t>TWA:</w:t>
      </w:r>
      <w:r w:rsidR="00D30EA0">
        <w:tab/>
      </w:r>
      <w:r>
        <w:tab/>
        <w:t>Grupo de Trabajo Técnico sobre Plantas Agrícolas</w:t>
      </w:r>
    </w:p>
    <w:p w14:paraId="747F6451" w14:textId="49436432" w:rsidR="006F4FE3" w:rsidRPr="00A839C1" w:rsidRDefault="006F4FE3" w:rsidP="006F4FE3">
      <w:r>
        <w:t>TWC:</w:t>
      </w:r>
      <w:r w:rsidR="00D30EA0">
        <w:tab/>
      </w:r>
      <w:r>
        <w:tab/>
        <w:t>Grupo de Trabajo Técnico sobre Automatización y Programas Informáticos</w:t>
      </w:r>
    </w:p>
    <w:p w14:paraId="5638656B" w14:textId="58D418D2" w:rsidR="006F4FE3" w:rsidRPr="00A839C1" w:rsidRDefault="006F4FE3" w:rsidP="006F4FE3">
      <w:r>
        <w:t>TWF:</w:t>
      </w:r>
      <w:r w:rsidR="00D30EA0">
        <w:tab/>
      </w:r>
      <w:r>
        <w:tab/>
        <w:t xml:space="preserve">Grupo de Trabajo Técnico sobre Plantas Frutales </w:t>
      </w:r>
    </w:p>
    <w:p w14:paraId="4C97AC96" w14:textId="77777777" w:rsidR="006F4FE3" w:rsidRPr="00A839C1" w:rsidRDefault="006F4FE3" w:rsidP="006F4FE3">
      <w:r>
        <w:t>TWM:</w:t>
      </w:r>
      <w:r>
        <w:tab/>
      </w:r>
      <w:r>
        <w:tab/>
        <w:t>Grupo de Trabajo Técnico sobre Métodos y Técnicas de Examen (TWM)</w:t>
      </w:r>
    </w:p>
    <w:p w14:paraId="71C4D3DA" w14:textId="77777777" w:rsidR="006F4FE3" w:rsidRPr="00A839C1" w:rsidRDefault="006F4FE3" w:rsidP="006F4FE3">
      <w:r>
        <w:t xml:space="preserve">TWO: </w:t>
      </w:r>
      <w:r>
        <w:tab/>
        <w:t xml:space="preserve">Grupo de Trabajo Técnico sobre Plantas Ornamentales y Árboles Forestales </w:t>
      </w:r>
    </w:p>
    <w:p w14:paraId="27003879" w14:textId="4A5FC81E" w:rsidR="006F4FE3" w:rsidRPr="00A839C1" w:rsidRDefault="006F4FE3" w:rsidP="006F4FE3">
      <w:r>
        <w:t>TWV:</w:t>
      </w:r>
      <w:r w:rsidR="00D30EA0">
        <w:tab/>
      </w:r>
      <w:r>
        <w:tab/>
        <w:t>Grupo de Trabajo Técnico sobre Hortalizas</w:t>
      </w:r>
    </w:p>
    <w:p w14:paraId="4E83518C" w14:textId="6138DEA0" w:rsidR="006F4FE3" w:rsidRPr="00A839C1" w:rsidRDefault="006F4FE3" w:rsidP="006F4FE3">
      <w:r>
        <w:t>TWP:</w:t>
      </w:r>
      <w:r w:rsidR="00D30EA0">
        <w:tab/>
      </w:r>
      <w:r w:rsidR="00D30EA0">
        <w:tab/>
      </w:r>
      <w:r>
        <w:t>Grupos de Trabajo Técnico</w:t>
      </w:r>
    </w:p>
    <w:p w14:paraId="1EDC4EAA" w14:textId="77777777" w:rsidR="006F4FE3" w:rsidRPr="00A839C1" w:rsidRDefault="006F4FE3" w:rsidP="006F4FE3">
      <w:pPr>
        <w:rPr>
          <w:snapToGrid w:val="0"/>
        </w:rPr>
      </w:pPr>
    </w:p>
    <w:p w14:paraId="04C28B54" w14:textId="77777777" w:rsidR="006F4FE3" w:rsidRPr="00A839C1" w:rsidRDefault="006F4FE3" w:rsidP="006F4FE3">
      <w:pPr>
        <w:rPr>
          <w:snapToGrid w:val="0"/>
        </w:rPr>
      </w:pPr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  <w:t>El presente documento se estructura del modo siguiente:</w:t>
      </w:r>
    </w:p>
    <w:p w14:paraId="3667D881" w14:textId="4089158F" w:rsidR="00FC25F1" w:rsidRDefault="006F4FE3" w:rsidP="003A7CB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r w:rsidRPr="00A839C1">
        <w:rPr>
          <w:highlight w:val="yellow"/>
        </w:rPr>
        <w:fldChar w:fldCharType="begin"/>
      </w:r>
      <w:r w:rsidRPr="00A839C1">
        <w:rPr>
          <w:highlight w:val="yellow"/>
        </w:rPr>
        <w:instrText xml:space="preserve"> TOC \o "1-3" \h \z \u </w:instrText>
      </w:r>
      <w:r w:rsidRPr="00A839C1">
        <w:rPr>
          <w:highlight w:val="yellow"/>
        </w:rPr>
        <w:fldChar w:fldCharType="separate"/>
      </w:r>
      <w:hyperlink w:anchor="_Toc116369395" w:history="1">
        <w:r w:rsidR="00FC25F1" w:rsidRPr="00A34819">
          <w:rPr>
            <w:rStyle w:val="Hyperlink"/>
            <w:noProof/>
            <w:snapToGrid w:val="0"/>
          </w:rPr>
          <w:t>RESUMEN</w:t>
        </w:r>
        <w:r w:rsidR="00FC25F1">
          <w:rPr>
            <w:noProof/>
            <w:webHidden/>
          </w:rPr>
          <w:tab/>
        </w:r>
        <w:r w:rsidR="00FC25F1">
          <w:rPr>
            <w:noProof/>
            <w:webHidden/>
          </w:rPr>
          <w:fldChar w:fldCharType="begin"/>
        </w:r>
        <w:r w:rsidR="00FC25F1">
          <w:rPr>
            <w:noProof/>
            <w:webHidden/>
          </w:rPr>
          <w:instrText xml:space="preserve"> PAGEREF _Toc116369395 \h </w:instrText>
        </w:r>
        <w:r w:rsidR="00FC25F1">
          <w:rPr>
            <w:noProof/>
            <w:webHidden/>
          </w:rPr>
        </w:r>
        <w:r w:rsidR="00FC25F1">
          <w:rPr>
            <w:noProof/>
            <w:webHidden/>
          </w:rPr>
          <w:fldChar w:fldCharType="separate"/>
        </w:r>
        <w:r w:rsidR="00C041CC">
          <w:rPr>
            <w:noProof/>
            <w:webHidden/>
          </w:rPr>
          <w:t>1</w:t>
        </w:r>
        <w:r w:rsidR="00FC25F1">
          <w:rPr>
            <w:noProof/>
            <w:webHidden/>
          </w:rPr>
          <w:fldChar w:fldCharType="end"/>
        </w:r>
      </w:hyperlink>
    </w:p>
    <w:p w14:paraId="48E98F2D" w14:textId="794F824C" w:rsidR="00FC25F1" w:rsidRDefault="003A7CBD" w:rsidP="003A7CB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116369396" w:history="1">
        <w:r w:rsidR="00FC25F1" w:rsidRPr="00A34819">
          <w:rPr>
            <w:rStyle w:val="Hyperlink"/>
            <w:noProof/>
          </w:rPr>
          <w:t>ANTECEDENTES</w:t>
        </w:r>
        <w:r w:rsidR="00FC25F1">
          <w:rPr>
            <w:noProof/>
            <w:webHidden/>
          </w:rPr>
          <w:tab/>
        </w:r>
        <w:r w:rsidR="00FC25F1">
          <w:rPr>
            <w:noProof/>
            <w:webHidden/>
          </w:rPr>
          <w:fldChar w:fldCharType="begin"/>
        </w:r>
        <w:r w:rsidR="00FC25F1">
          <w:rPr>
            <w:noProof/>
            <w:webHidden/>
          </w:rPr>
          <w:instrText xml:space="preserve"> PAGEREF _Toc116369396 \h </w:instrText>
        </w:r>
        <w:r w:rsidR="00FC25F1">
          <w:rPr>
            <w:noProof/>
            <w:webHidden/>
          </w:rPr>
        </w:r>
        <w:r w:rsidR="00FC25F1">
          <w:rPr>
            <w:noProof/>
            <w:webHidden/>
          </w:rPr>
          <w:fldChar w:fldCharType="separate"/>
        </w:r>
        <w:r w:rsidR="00C041CC">
          <w:rPr>
            <w:noProof/>
            <w:webHidden/>
          </w:rPr>
          <w:t>2</w:t>
        </w:r>
        <w:r w:rsidR="00FC25F1">
          <w:rPr>
            <w:noProof/>
            <w:webHidden/>
          </w:rPr>
          <w:fldChar w:fldCharType="end"/>
        </w:r>
      </w:hyperlink>
    </w:p>
    <w:p w14:paraId="432681AC" w14:textId="5606D038" w:rsidR="00FC25F1" w:rsidRDefault="003A7CBD" w:rsidP="003A7CB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116369397" w:history="1">
        <w:r w:rsidR="00FC25F1" w:rsidRPr="00A34819">
          <w:rPr>
            <w:rStyle w:val="Hyperlink"/>
            <w:noProof/>
          </w:rPr>
          <w:t>NOVEDADES ACA</w:t>
        </w:r>
        <w:bookmarkStart w:id="1" w:name="_GoBack"/>
        <w:bookmarkEnd w:id="1"/>
        <w:r w:rsidR="00FC25F1" w:rsidRPr="00A34819">
          <w:rPr>
            <w:rStyle w:val="Hyperlink"/>
            <w:noProof/>
          </w:rPr>
          <w:t>ECIDAS EN LOS GRUPOS DE TRABAJO TÉCNICO EN SUS SESIONES DE 2022</w:t>
        </w:r>
        <w:r w:rsidR="00FC25F1">
          <w:rPr>
            <w:noProof/>
            <w:webHidden/>
          </w:rPr>
          <w:tab/>
        </w:r>
        <w:r w:rsidR="00FC25F1">
          <w:rPr>
            <w:noProof/>
            <w:webHidden/>
          </w:rPr>
          <w:fldChar w:fldCharType="begin"/>
        </w:r>
        <w:r w:rsidR="00FC25F1">
          <w:rPr>
            <w:noProof/>
            <w:webHidden/>
          </w:rPr>
          <w:instrText xml:space="preserve"> PAGEREF _Toc116369397 \h </w:instrText>
        </w:r>
        <w:r w:rsidR="00FC25F1">
          <w:rPr>
            <w:noProof/>
            <w:webHidden/>
          </w:rPr>
        </w:r>
        <w:r w:rsidR="00FC25F1">
          <w:rPr>
            <w:noProof/>
            <w:webHidden/>
          </w:rPr>
          <w:fldChar w:fldCharType="separate"/>
        </w:r>
        <w:r w:rsidR="00C041CC">
          <w:rPr>
            <w:noProof/>
            <w:webHidden/>
          </w:rPr>
          <w:t>2</w:t>
        </w:r>
        <w:r w:rsidR="00FC25F1">
          <w:rPr>
            <w:noProof/>
            <w:webHidden/>
          </w:rPr>
          <w:fldChar w:fldCharType="end"/>
        </w:r>
      </w:hyperlink>
    </w:p>
    <w:p w14:paraId="37497289" w14:textId="77777777" w:rsidR="006F4FE3" w:rsidRPr="00A839C1" w:rsidRDefault="006F4FE3" w:rsidP="006F4FE3">
      <w:pPr>
        <w:rPr>
          <w:rFonts w:cs="Arial"/>
        </w:rPr>
      </w:pPr>
      <w:r w:rsidRPr="00A839C1">
        <w:rPr>
          <w:rFonts w:cs="Arial"/>
          <w:highlight w:val="yellow"/>
        </w:rPr>
        <w:fldChar w:fldCharType="end"/>
      </w:r>
    </w:p>
    <w:p w14:paraId="17BBBD73" w14:textId="77777777" w:rsidR="006F4FE3" w:rsidRPr="00A839C1" w:rsidRDefault="006F4FE3" w:rsidP="006F4FE3"/>
    <w:p w14:paraId="185FA9CA" w14:textId="77777777" w:rsidR="006F4FE3" w:rsidRPr="00A839C1" w:rsidRDefault="006F4FE3" w:rsidP="006F4FE3">
      <w:pPr>
        <w:keepNext/>
        <w:keepLines/>
        <w:outlineLvl w:val="0"/>
        <w:rPr>
          <w:caps/>
        </w:rPr>
      </w:pPr>
      <w:bookmarkStart w:id="2" w:name="_Toc116369396"/>
      <w:r>
        <w:rPr>
          <w:caps/>
        </w:rPr>
        <w:lastRenderedPageBreak/>
        <w:t>ANTECEDENTES</w:t>
      </w:r>
      <w:bookmarkEnd w:id="2"/>
    </w:p>
    <w:p w14:paraId="29016906" w14:textId="77777777" w:rsidR="006F4FE3" w:rsidRPr="00A839C1" w:rsidRDefault="006F4FE3" w:rsidP="006F4FE3">
      <w:pPr>
        <w:keepNext/>
        <w:keepLines/>
      </w:pPr>
    </w:p>
    <w:p w14:paraId="3626DF53" w14:textId="77777777" w:rsidR="006F4FE3" w:rsidRPr="00A839C1" w:rsidRDefault="006F4FE3" w:rsidP="006F4FE3">
      <w:pPr>
        <w:keepNext/>
        <w:keepLines/>
      </w:pPr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>En su cuadragésima quinta sesión,</w:t>
      </w:r>
      <w:r w:rsidRPr="00A839C1">
        <w:rPr>
          <w:vertAlign w:val="superscript"/>
        </w:rPr>
        <w:footnoteReference w:id="2"/>
      </w:r>
      <w:r>
        <w:t xml:space="preserve"> </w:t>
      </w:r>
      <w:r>
        <w:rPr>
          <w:snapToGrid w:val="0"/>
        </w:rPr>
        <w:t xml:space="preserve">el TC observó, a partir de las novedades que se mencionan en el documento TC/45/9 “Publicación de descripciones de variedades”, que los miembros de la Unión están elaborando bases de datos que contienen datos morfológicos y moleculares y, cuando lo consideran pertinente, colaboran en la elaboración de bases de datos destinadas a la gestión de colecciones de variedades, especialmente en el plano regional. El TC convino en que puede resultar ventajoso ofrecer a los miembros de la Unión la posibilidad de informar sobre dicha labor de un modo coherente al TC, a los TWP y al BMT. Así, el TC acordó sustituir el punto del orden del día “Publicación de descripciones de variedades” por un punto relativo a “Bases de datos de descripciones de variedades” en los programas de las próximas sesiones del TC, los TWP y el BMT. A ese respecto, recordó la importancia que reviste la </w:t>
      </w:r>
      <w:r>
        <w:t xml:space="preserve">lista de criterios por examinar aplicables al uso de descripciones procedentes de distintas localidades y fuentes que figura en el párrafo 3 del documento TC/45/9 y se reproduce </w:t>
      </w:r>
      <w:r>
        <w:rPr>
          <w:i/>
          <w:iCs/>
        </w:rPr>
        <w:t>infra</w:t>
      </w:r>
      <w:r>
        <w:t xml:space="preserve">. El TC acordó además que la información presentada no tiene por qué estar relacionada con la publicación de descripciones (véase </w:t>
      </w:r>
      <w:r>
        <w:rPr>
          <w:snapToGrid w:val="0"/>
          <w:color w:val="000000"/>
        </w:rPr>
        <w:t>el párrafo 173 del documento TC/45/16 “Informe”).</w:t>
      </w:r>
    </w:p>
    <w:p w14:paraId="0C524C52" w14:textId="77777777" w:rsidR="006F4FE3" w:rsidRPr="00A839C1" w:rsidRDefault="006F4FE3" w:rsidP="006F4FE3"/>
    <w:p w14:paraId="4C469F1C" w14:textId="77777777" w:rsidR="006F4FE3" w:rsidRPr="00A839C1" w:rsidRDefault="006F4FE3" w:rsidP="006F4FE3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  <w:r>
        <w:rPr>
          <w:sz w:val="18"/>
        </w:rPr>
        <w:t>“3.</w:t>
      </w:r>
      <w:r>
        <w:rPr>
          <w:sz w:val="18"/>
        </w:rPr>
        <w:tab/>
        <w:t xml:space="preserve">En su cuadragésima tercera sesión, celebrada en Ginebra del 26 al 28 de marzo de 2007, el Comité Técnico (TC) llegó a un acuerdo sobre </w:t>
      </w:r>
      <w:r>
        <w:rPr>
          <w:snapToGrid w:val="0"/>
          <w:sz w:val="18"/>
        </w:rPr>
        <w:t>la</w:t>
      </w:r>
      <w:r>
        <w:rPr>
          <w:sz w:val="18"/>
        </w:rPr>
        <w:t xml:space="preserve"> lista de criterios que han de examinar los Grupos de Trabajo Técnico (TWP) para el uso de descripciones procedentes de distintas localidades y fuentes, que es la siguiente:</w:t>
      </w:r>
    </w:p>
    <w:p w14:paraId="4C52CD4A" w14:textId="77777777" w:rsidR="006F4FE3" w:rsidRPr="00A839C1" w:rsidRDefault="006F4FE3" w:rsidP="006F4FE3">
      <w:pPr>
        <w:tabs>
          <w:tab w:val="left" w:pos="1134"/>
          <w:tab w:val="left" w:pos="1701"/>
        </w:tabs>
        <w:ind w:left="567" w:right="567"/>
        <w:rPr>
          <w:rFonts w:cs="Arial"/>
          <w:sz w:val="18"/>
          <w:szCs w:val="18"/>
        </w:rPr>
      </w:pPr>
    </w:p>
    <w:p w14:paraId="1F9A5ABD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a)</w:t>
      </w:r>
      <w:r>
        <w:rPr>
          <w:sz w:val="18"/>
        </w:rPr>
        <w:tab/>
        <w:t>considerar las especies respecto de las que opinan que es realmente interesante crear una base de datos internacional de descripciones de variedades;</w:t>
      </w:r>
    </w:p>
    <w:p w14:paraId="7F97C9BE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b)</w:t>
      </w:r>
      <w:r>
        <w:rPr>
          <w:sz w:val="18"/>
        </w:rPr>
        <w:tab/>
        <w:t>especificar el objetivo y la utilidad previstos;</w:t>
      </w:r>
    </w:p>
    <w:p w14:paraId="7D2369FE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c)</w:t>
      </w:r>
      <w:r>
        <w:rPr>
          <w:sz w:val="18"/>
        </w:rPr>
        <w:tab/>
        <w:t xml:space="preserve">seleccionar los caracteres respecto de los que deben publicarse descripciones; </w:t>
      </w:r>
    </w:p>
    <w:p w14:paraId="52A62BBC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d)</w:t>
      </w:r>
      <w:r>
        <w:rPr>
          <w:sz w:val="18"/>
        </w:rPr>
        <w:tab/>
        <w:t xml:space="preserve">especificar para cada carácter el grado de armonización ya alcanzado o pretendido (en este último caso, especificar si deben adoptarse medidas para mejorar el grado de armonización: </w:t>
      </w:r>
      <w:r>
        <w:rPr>
          <w:i/>
          <w:iCs/>
          <w:sz w:val="18"/>
        </w:rPr>
        <w:t>ring tests</w:t>
      </w:r>
      <w:r>
        <w:rPr>
          <w:sz w:val="18"/>
        </w:rPr>
        <w:t>, revisión de la descripción del modo de observación en las directrices, ...);</w:t>
      </w:r>
    </w:p>
    <w:p w14:paraId="4BE8ABE1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e)</w:t>
      </w:r>
      <w:r>
        <w:rPr>
          <w:sz w:val="18"/>
        </w:rPr>
        <w:tab/>
        <w:t>estudiar la pertinencia de un “enfoque regional”, en lugar de un “enfoque internacional” (considerar grupos de países y comparar las descripciones solo dentro de esos grupos);</w:t>
      </w:r>
    </w:p>
    <w:p w14:paraId="3816B5C0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f)</w:t>
      </w:r>
      <w:r>
        <w:rPr>
          <w:sz w:val="18"/>
        </w:rPr>
        <w:tab/>
        <w:t>proponer distancias mínimas para los caracteres pertinentes al establecer comparaciones entre los datos;</w:t>
      </w:r>
    </w:p>
    <w:p w14:paraId="5A474683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g)</w:t>
      </w:r>
      <w:r>
        <w:rPr>
          <w:sz w:val="18"/>
        </w:rPr>
        <w:tab/>
        <w:t xml:space="preserve">indicar cuáles son los países que contribuirían a la publicación; </w:t>
      </w:r>
    </w:p>
    <w:p w14:paraId="7B68FF88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h)</w:t>
      </w:r>
      <w:r>
        <w:rPr>
          <w:sz w:val="18"/>
        </w:rPr>
        <w:tab/>
        <w:t>considerar el tipo de acceso (libre o limitado a los colaboradores); y</w:t>
      </w:r>
    </w:p>
    <w:p w14:paraId="061FEC7C" w14:textId="77777777" w:rsidR="006F4FE3" w:rsidRPr="00A839C1" w:rsidRDefault="006F4FE3" w:rsidP="006F4FE3">
      <w:pPr>
        <w:tabs>
          <w:tab w:val="left" w:pos="1701"/>
        </w:tabs>
        <w:spacing w:after="40" w:line="276" w:lineRule="auto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>i)</w:t>
      </w:r>
      <w:r>
        <w:rPr>
          <w:sz w:val="18"/>
        </w:rPr>
        <w:tab/>
        <w:t>considerar el costo de los proyectos correspondientes.”</w:t>
      </w:r>
    </w:p>
    <w:p w14:paraId="11C01011" w14:textId="77777777" w:rsidR="006F4FE3" w:rsidRPr="00A839C1" w:rsidRDefault="006F4FE3" w:rsidP="006F4FE3"/>
    <w:p w14:paraId="10350670" w14:textId="77777777" w:rsidR="006F4FE3" w:rsidRPr="00A839C1" w:rsidRDefault="006F4FE3" w:rsidP="006F4FE3"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 xml:space="preserve">De conformidad con la decisión adoptada por el TC en su cuadragésima quinta sesión, se recuerda que los miembros de la Unión están invitados a informar al </w:t>
      </w:r>
      <w:r>
        <w:rPr>
          <w:snapToGrid w:val="0"/>
        </w:rPr>
        <w:t>TC y a los TWP</w:t>
      </w:r>
      <w:r>
        <w:t xml:space="preserve"> sobre la labor relativa a la elaboración de bases de datos que contienen datos morfológicos y/o moleculares.</w:t>
      </w:r>
    </w:p>
    <w:p w14:paraId="5D44BB3F" w14:textId="77777777" w:rsidR="006F4FE3" w:rsidRPr="00A839C1" w:rsidRDefault="006F4FE3" w:rsidP="006F4FE3">
      <w:bookmarkStart w:id="3" w:name="_Toc512935370"/>
    </w:p>
    <w:p w14:paraId="30D04172" w14:textId="77777777" w:rsidR="006F4FE3" w:rsidRPr="00A839C1" w:rsidRDefault="006F4FE3" w:rsidP="006F4FE3"/>
    <w:p w14:paraId="406B78EC" w14:textId="77777777" w:rsidR="006F4FE3" w:rsidRPr="00A839C1" w:rsidRDefault="006F4FE3" w:rsidP="006F4FE3">
      <w:pPr>
        <w:keepNext/>
        <w:outlineLvl w:val="0"/>
        <w:rPr>
          <w:caps/>
        </w:rPr>
      </w:pPr>
      <w:bookmarkStart w:id="4" w:name="_Toc116369397"/>
      <w:bookmarkEnd w:id="3"/>
      <w:r>
        <w:rPr>
          <w:caps/>
        </w:rPr>
        <w:t>NOVEDADES ACAECIDAS EN LOS GRUPOS DE TRABAJO TÉCNICO EN SUS SESIONES DE 2022</w:t>
      </w:r>
      <w:bookmarkEnd w:id="4"/>
    </w:p>
    <w:p w14:paraId="760ACCA6" w14:textId="77777777" w:rsidR="006F4FE3" w:rsidRPr="00A839C1" w:rsidRDefault="006F4FE3" w:rsidP="006F4FE3"/>
    <w:p w14:paraId="1759F11F" w14:textId="77777777" w:rsidR="006F4FE3" w:rsidRPr="00A839C1" w:rsidRDefault="006F4FE3" w:rsidP="006F4FE3">
      <w:pPr>
        <w:keepNext/>
        <w:keepLines/>
      </w:pPr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</w:r>
      <w:r>
        <w:t>En sus sesiones de 2022, el TWV,</w:t>
      </w:r>
      <w:r w:rsidRPr="00A839C1">
        <w:rPr>
          <w:vertAlign w:val="superscript"/>
        </w:rPr>
        <w:footnoteReference w:id="3"/>
      </w:r>
      <w:r>
        <w:t xml:space="preserve"> el TWA,</w:t>
      </w:r>
      <w:r w:rsidRPr="00A839C1">
        <w:rPr>
          <w:vertAlign w:val="superscript"/>
        </w:rPr>
        <w:footnoteReference w:id="4"/>
      </w:r>
      <w:r>
        <w:t xml:space="preserve"> el TWO,</w:t>
      </w:r>
      <w:r w:rsidRPr="00A839C1">
        <w:rPr>
          <w:vertAlign w:val="superscript"/>
        </w:rPr>
        <w:footnoteReference w:id="5"/>
      </w:r>
      <w:r>
        <w:t xml:space="preserve"> el TWF</w:t>
      </w:r>
      <w:r w:rsidRPr="00A839C1">
        <w:rPr>
          <w:vertAlign w:val="superscript"/>
        </w:rPr>
        <w:footnoteReference w:id="6"/>
      </w:r>
      <w:r>
        <w:t xml:space="preserve"> y el </w:t>
      </w:r>
      <w:r>
        <w:rPr>
          <w:snapToGrid w:val="0"/>
        </w:rPr>
        <w:t>TWM</w:t>
      </w:r>
      <w:r w:rsidRPr="00A839C1">
        <w:rPr>
          <w:snapToGrid w:val="0"/>
          <w:vertAlign w:val="superscript"/>
        </w:rPr>
        <w:footnoteReference w:id="7"/>
      </w:r>
      <w:r>
        <w:t xml:space="preserve"> examinaron el documento TWP/6/2 “</w:t>
      </w:r>
      <w:r>
        <w:rPr>
          <w:i/>
          <w:iCs/>
        </w:rPr>
        <w:t>Variety description databases</w:t>
      </w:r>
      <w:r>
        <w:t>” (Bases de datos de descripciones de variedades) (véanse los párrafos 32 a 38 del documento TWV/56/22 “</w:t>
      </w:r>
      <w:r>
        <w:rPr>
          <w:i/>
          <w:iCs/>
        </w:rPr>
        <w:t>Report</w:t>
      </w:r>
      <w:r>
        <w:t>” (Informe); los párrafos 48 a 50 del documento TWA/51/11 “</w:t>
      </w:r>
      <w:r>
        <w:rPr>
          <w:i/>
          <w:iCs/>
        </w:rPr>
        <w:t>Report</w:t>
      </w:r>
      <w:r>
        <w:t>”, los párrafos 49 a 51 del documento TWO/54/6 “</w:t>
      </w:r>
      <w:r>
        <w:rPr>
          <w:i/>
          <w:iCs/>
        </w:rPr>
        <w:t>Report</w:t>
      </w:r>
      <w:r>
        <w:t>”; los párrafos 38 a 41 del TWF/53/14 “</w:t>
      </w:r>
      <w:r>
        <w:rPr>
          <w:i/>
          <w:iCs/>
        </w:rPr>
        <w:t>Report</w:t>
      </w:r>
      <w:r>
        <w:t>” y los párrafos 70 a 80 del documento TWM/1/26 “</w:t>
      </w:r>
      <w:r>
        <w:rPr>
          <w:i/>
          <w:iCs/>
        </w:rPr>
        <w:t>Report</w:t>
      </w:r>
      <w:r>
        <w:t>”).</w:t>
      </w:r>
    </w:p>
    <w:p w14:paraId="7083ECA1" w14:textId="77777777" w:rsidR="006F4FE3" w:rsidRPr="00A839C1" w:rsidRDefault="006F4FE3" w:rsidP="006F4FE3"/>
    <w:p w14:paraId="1019C970" w14:textId="77777777" w:rsidR="006F4FE3" w:rsidRPr="00A839C1" w:rsidRDefault="006F4FE3" w:rsidP="006F4FE3">
      <w:pPr>
        <w:rPr>
          <w:snapToGrid w:val="0"/>
        </w:rPr>
      </w:pPr>
      <w:r w:rsidRPr="00A839C1">
        <w:fldChar w:fldCharType="begin"/>
      </w:r>
      <w:r w:rsidRPr="00A839C1">
        <w:instrText xml:space="preserve"> AUTONUM  </w:instrText>
      </w:r>
      <w:r w:rsidRPr="00A839C1">
        <w:fldChar w:fldCharType="end"/>
      </w:r>
      <w:r>
        <w:tab/>
        <w:t>Los TWP tomaron nota de los informes presentados en sus sesiones de 2021 sobre bases de datos que contienen datos morfológicos o moleculares. Los TWP tomaron nota de la invitación cursada a los miembros de la Unión a informar a los TWP sobre la labor relativa a la elaboración de bases de datos que contienen datos morfológicos o moleculares.</w:t>
      </w:r>
    </w:p>
    <w:p w14:paraId="4851855C" w14:textId="77777777" w:rsidR="006F4FE3" w:rsidRPr="00A839C1" w:rsidRDefault="006F4FE3" w:rsidP="006F4FE3">
      <w:pPr>
        <w:rPr>
          <w:snapToGrid w:val="0"/>
        </w:rPr>
      </w:pPr>
    </w:p>
    <w:p w14:paraId="7A75F2AF" w14:textId="77777777" w:rsidR="006F4FE3" w:rsidRPr="00A839C1" w:rsidRDefault="006F4FE3" w:rsidP="006F4FE3">
      <w:pPr>
        <w:keepNext/>
        <w:keepLines/>
        <w:rPr>
          <w:snapToGrid w:val="0"/>
        </w:rPr>
      </w:pPr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  <w:t xml:space="preserve">En su quincuagésima sexta sesión, el TWV asistió a una ponencia sobre “La fuente de descripciones de variedades de los Países Bajos” a cargo de un experto de este país. Se facilita una copia de la ponencia en el documento TWV/56/11. El TWV tomó nota de que las descripciones de variedades de los Países Bajos están a disposición del público en el siguiente sitio web: </w:t>
      </w:r>
      <w:hyperlink r:id="rId8" w:history="1">
        <w:r>
          <w:rPr>
            <w:rStyle w:val="Hyperlink"/>
            <w:snapToGrid w:val="0"/>
          </w:rPr>
          <w:t>https://nederlandsrassenregister.nl/</w:t>
        </w:r>
      </w:hyperlink>
      <w:r>
        <w:rPr>
          <w:rStyle w:val="Hyperlink"/>
          <w:snapToGrid w:val="0"/>
        </w:rPr>
        <w:t>.</w:t>
      </w:r>
      <w:r>
        <w:rPr>
          <w:snapToGrid w:val="0"/>
        </w:rPr>
        <w:t xml:space="preserve"> </w:t>
      </w:r>
    </w:p>
    <w:p w14:paraId="19EC22BB" w14:textId="77777777" w:rsidR="006F4FE3" w:rsidRPr="00A839C1" w:rsidRDefault="006F4FE3" w:rsidP="006F4FE3">
      <w:pPr>
        <w:shd w:val="clear" w:color="auto" w:fill="FFFFFF" w:themeFill="background1"/>
        <w:rPr>
          <w:snapToGrid w:val="0"/>
        </w:rPr>
      </w:pPr>
    </w:p>
    <w:p w14:paraId="12FD1CDA" w14:textId="77777777" w:rsidR="006F4FE3" w:rsidRPr="00A839C1" w:rsidRDefault="006F4FE3" w:rsidP="006F4FE3">
      <w:pPr>
        <w:shd w:val="clear" w:color="auto" w:fill="FFFFFF" w:themeFill="background1"/>
        <w:rPr>
          <w:snapToGrid w:val="0"/>
        </w:rPr>
      </w:pPr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  <w:t>El TWV tomó nota de que los siguientes miembros también han publicado descripciones de variedades o facilitado información sobre variedades protegidas en las siguientes direcciones:</w:t>
      </w:r>
    </w:p>
    <w:p w14:paraId="1348A486" w14:textId="77777777" w:rsidR="006F4FE3" w:rsidRPr="00A839C1" w:rsidRDefault="006F4FE3" w:rsidP="006F4FE3">
      <w:pPr>
        <w:shd w:val="clear" w:color="auto" w:fill="FFFFFF" w:themeFill="background1"/>
        <w:rPr>
          <w:snapToGrid w:val="0"/>
        </w:rPr>
      </w:pPr>
    </w:p>
    <w:p w14:paraId="64DC6D89" w14:textId="77777777" w:rsidR="006F4FE3" w:rsidRPr="00A839C1" w:rsidRDefault="006F4FE3" w:rsidP="006F4FE3">
      <w:pPr>
        <w:pStyle w:val="ListParagraph"/>
        <w:numPr>
          <w:ilvl w:val="0"/>
          <w:numId w:val="1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 xml:space="preserve">Base de datos Australiana de derechos de obtentor: </w:t>
      </w:r>
      <w:hyperlink r:id="rId9" w:history="1">
        <w:r>
          <w:rPr>
            <w:rStyle w:val="Hyperlink"/>
            <w:snapToGrid w:val="0"/>
          </w:rPr>
          <w:t>http://pericles.ipaustralia.gov.au/pbr_db/</w:t>
        </w:r>
      </w:hyperlink>
      <w:r>
        <w:rPr>
          <w:snapToGrid w:val="0"/>
        </w:rPr>
        <w:t xml:space="preserve"> </w:t>
      </w:r>
    </w:p>
    <w:p w14:paraId="77631E32" w14:textId="77777777" w:rsidR="006F4FE3" w:rsidRPr="00A839C1" w:rsidRDefault="006F4FE3" w:rsidP="006F4FE3">
      <w:pPr>
        <w:shd w:val="clear" w:color="auto" w:fill="FFFFFF" w:themeFill="background1"/>
        <w:ind w:left="1134" w:hanging="567"/>
        <w:rPr>
          <w:snapToGrid w:val="0"/>
        </w:rPr>
      </w:pPr>
    </w:p>
    <w:p w14:paraId="308A66EA" w14:textId="77777777" w:rsidR="006F4FE3" w:rsidRPr="00A839C1" w:rsidRDefault="006F4FE3" w:rsidP="006F4FE3">
      <w:pPr>
        <w:pStyle w:val="ListParagraph"/>
        <w:numPr>
          <w:ilvl w:val="0"/>
          <w:numId w:val="1"/>
        </w:numPr>
        <w:ind w:left="1134" w:hanging="567"/>
        <w:rPr>
          <w:snapToGrid w:val="0"/>
        </w:rPr>
      </w:pPr>
      <w:r>
        <w:rPr>
          <w:snapToGrid w:val="0"/>
        </w:rPr>
        <w:t xml:space="preserve">Brasil: </w:t>
      </w:r>
      <w:hyperlink r:id="rId10" w:history="1">
        <w:r>
          <w:rPr>
            <w:rStyle w:val="Hyperlink"/>
            <w:snapToGrid w:val="0"/>
          </w:rPr>
          <w:t>https://sistemas.agricultura.gov.br/snpc/cultivarweb/cultivares_protegidas.php</w:t>
        </w:r>
      </w:hyperlink>
      <w:r>
        <w:rPr>
          <w:snapToGrid w:val="0"/>
        </w:rPr>
        <w:t xml:space="preserve"> </w:t>
      </w:r>
    </w:p>
    <w:p w14:paraId="489AF77F" w14:textId="77777777" w:rsidR="006F4FE3" w:rsidRPr="00A839C1" w:rsidRDefault="006F4FE3" w:rsidP="006F4FE3">
      <w:pPr>
        <w:shd w:val="clear" w:color="auto" w:fill="FFFFFF" w:themeFill="background1"/>
        <w:ind w:left="1134" w:hanging="567"/>
        <w:rPr>
          <w:snapToGrid w:val="0"/>
        </w:rPr>
      </w:pPr>
    </w:p>
    <w:p w14:paraId="7C15B0D4" w14:textId="77777777" w:rsidR="006F4FE3" w:rsidRPr="00A839C1" w:rsidRDefault="006F4FE3" w:rsidP="006F4FE3">
      <w:pPr>
        <w:pStyle w:val="ListParagraph"/>
        <w:numPr>
          <w:ilvl w:val="0"/>
          <w:numId w:val="1"/>
        </w:numPr>
        <w:shd w:val="clear" w:color="auto" w:fill="FFFFFF" w:themeFill="background1"/>
        <w:ind w:left="1134" w:hanging="567"/>
        <w:jc w:val="left"/>
        <w:rPr>
          <w:snapToGrid w:val="0"/>
        </w:rPr>
      </w:pPr>
      <w:r>
        <w:rPr>
          <w:snapToGrid w:val="0"/>
        </w:rPr>
        <w:t xml:space="preserve">Canadá: </w:t>
      </w:r>
      <w:hyperlink r:id="rId11" w:history="1">
        <w:r>
          <w:rPr>
            <w:rStyle w:val="Hyperlink"/>
            <w:snapToGrid w:val="0"/>
          </w:rPr>
          <w:t>https://inspection.canada.ca/plant-varieties/plant-breeders-rights/varieties/eng/1300463863953/1300463978655</w:t>
        </w:r>
      </w:hyperlink>
    </w:p>
    <w:p w14:paraId="672DB238" w14:textId="77777777" w:rsidR="006F4FE3" w:rsidRPr="00A839C1" w:rsidRDefault="006F4FE3" w:rsidP="006F4FE3">
      <w:pPr>
        <w:shd w:val="clear" w:color="auto" w:fill="FFFFFF" w:themeFill="background1"/>
        <w:ind w:left="1134" w:hanging="567"/>
        <w:rPr>
          <w:snapToGrid w:val="0"/>
        </w:rPr>
      </w:pPr>
    </w:p>
    <w:p w14:paraId="5F1AFC43" w14:textId="77777777" w:rsidR="006F4FE3" w:rsidRPr="00A839C1" w:rsidRDefault="006F4FE3" w:rsidP="006F4FE3">
      <w:pPr>
        <w:pStyle w:val="ListParagraph"/>
        <w:numPr>
          <w:ilvl w:val="0"/>
          <w:numId w:val="1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 xml:space="preserve">Unión Europea: </w:t>
      </w:r>
      <w:hyperlink r:id="rId12" w:history="1">
        <w:r>
          <w:rPr>
            <w:rStyle w:val="Hyperlink"/>
            <w:snapToGrid w:val="0"/>
          </w:rPr>
          <w:t>https://online.plantvarieties.eu/publicSearch</w:t>
        </w:r>
      </w:hyperlink>
      <w:r>
        <w:rPr>
          <w:snapToGrid w:val="0"/>
        </w:rPr>
        <w:t xml:space="preserve"> </w:t>
      </w:r>
    </w:p>
    <w:p w14:paraId="294C8217" w14:textId="77777777" w:rsidR="006F4FE3" w:rsidRPr="00A839C1" w:rsidRDefault="006F4FE3" w:rsidP="006F4FE3">
      <w:pPr>
        <w:shd w:val="clear" w:color="auto" w:fill="FFFFFF" w:themeFill="background1"/>
        <w:ind w:left="1134" w:hanging="567"/>
        <w:rPr>
          <w:snapToGrid w:val="0"/>
        </w:rPr>
      </w:pPr>
    </w:p>
    <w:p w14:paraId="77276779" w14:textId="77777777" w:rsidR="006F4FE3" w:rsidRPr="00A839C1" w:rsidRDefault="006F4FE3" w:rsidP="006F4FE3">
      <w:pPr>
        <w:pStyle w:val="ListParagraph"/>
        <w:numPr>
          <w:ilvl w:val="0"/>
          <w:numId w:val="1"/>
        </w:numPr>
        <w:shd w:val="clear" w:color="auto" w:fill="FFFFFF" w:themeFill="background1"/>
        <w:ind w:left="1134" w:hanging="567"/>
        <w:rPr>
          <w:snapToGrid w:val="0"/>
        </w:rPr>
      </w:pPr>
      <w:r>
        <w:rPr>
          <w:snapToGrid w:val="0"/>
        </w:rPr>
        <w:t xml:space="preserve">Francia: </w:t>
      </w:r>
      <w:hyperlink r:id="rId13" w:history="1">
        <w:r>
          <w:rPr>
            <w:rStyle w:val="Hyperlink"/>
            <w:snapToGrid w:val="0"/>
          </w:rPr>
          <w:t>https://www.geves.fr/catalogue-france/</w:t>
        </w:r>
      </w:hyperlink>
      <w:r>
        <w:rPr>
          <w:snapToGrid w:val="0"/>
        </w:rPr>
        <w:t xml:space="preserve"> </w:t>
      </w:r>
    </w:p>
    <w:p w14:paraId="3DB972DC" w14:textId="77777777" w:rsidR="006F4FE3" w:rsidRPr="00A839C1" w:rsidRDefault="006F4FE3" w:rsidP="006F4FE3">
      <w:pPr>
        <w:rPr>
          <w:snapToGrid w:val="0"/>
        </w:rPr>
      </w:pPr>
    </w:p>
    <w:p w14:paraId="0E783CF7" w14:textId="77777777" w:rsidR="006F4FE3" w:rsidRPr="00A839C1" w:rsidRDefault="006F4FE3" w:rsidP="006F4FE3">
      <w:pPr>
        <w:rPr>
          <w:snapToGrid w:val="0"/>
        </w:rPr>
      </w:pPr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  <w:t>El TWV tomó nota de que la Argentina y Alemania facilitan descripciones de variedades a los interesados que las soliciten.</w:t>
      </w:r>
    </w:p>
    <w:p w14:paraId="35C77772" w14:textId="77777777" w:rsidR="006F4FE3" w:rsidRPr="00A839C1" w:rsidRDefault="006F4FE3" w:rsidP="006F4FE3">
      <w:pPr>
        <w:rPr>
          <w:snapToGrid w:val="0"/>
        </w:rPr>
      </w:pPr>
    </w:p>
    <w:p w14:paraId="403E0E3B" w14:textId="46A305F8" w:rsidR="006F4FE3" w:rsidRPr="00A839C1" w:rsidRDefault="006F4FE3" w:rsidP="006F4FE3">
      <w:r w:rsidRPr="00A839C1">
        <w:rPr>
          <w:snapToGrid w:val="0"/>
        </w:rPr>
        <w:fldChar w:fldCharType="begin"/>
      </w:r>
      <w:r w:rsidRPr="00A839C1">
        <w:rPr>
          <w:snapToGrid w:val="0"/>
        </w:rPr>
        <w:instrText xml:space="preserve"> AUTONUM  </w:instrText>
      </w:r>
      <w:r w:rsidRPr="00A839C1">
        <w:rPr>
          <w:snapToGrid w:val="0"/>
        </w:rPr>
        <w:fldChar w:fldCharType="end"/>
      </w:r>
      <w:r>
        <w:rPr>
          <w:snapToGrid w:val="0"/>
        </w:rPr>
        <w:tab/>
      </w:r>
      <w:r>
        <w:t>En su quincuagésima segunda sesión, el </w:t>
      </w:r>
      <w:r>
        <w:rPr>
          <w:snapToGrid w:val="0"/>
        </w:rPr>
        <w:t>TWV convino con el TWF en que</w:t>
      </w:r>
      <w:r w:rsidR="00D30EA0">
        <w:rPr>
          <w:snapToGrid w:val="0"/>
        </w:rPr>
        <w:t xml:space="preserve"> </w:t>
      </w:r>
      <w:r>
        <w:t>se ha de invitar a la Oficina de la Unión a determinar si procede que la información sobre las páginas web con descripciones de variedades se ponga a disposición en el sitio web de la UPOV.</w:t>
      </w:r>
    </w:p>
    <w:p w14:paraId="27B4C1A8" w14:textId="77777777" w:rsidR="006F4FE3" w:rsidRPr="00A839C1" w:rsidRDefault="006F4FE3" w:rsidP="006F4FE3">
      <w:pPr>
        <w:rPr>
          <w:rFonts w:cs="Arial"/>
        </w:rPr>
      </w:pPr>
    </w:p>
    <w:p w14:paraId="5C7603CD" w14:textId="77777777" w:rsidR="006F4FE3" w:rsidRPr="00A839C1" w:rsidRDefault="006F4FE3" w:rsidP="006F4FE3">
      <w:pPr>
        <w:rPr>
          <w:rFonts w:cs="Arial"/>
        </w:rPr>
      </w:pPr>
      <w:r w:rsidRPr="00A839C1">
        <w:rPr>
          <w:rFonts w:cs="Arial"/>
        </w:rPr>
        <w:fldChar w:fldCharType="begin"/>
      </w:r>
      <w:r w:rsidRPr="00A839C1">
        <w:rPr>
          <w:rFonts w:cs="Arial"/>
        </w:rPr>
        <w:instrText xml:space="preserve"> AUTONUM  </w:instrText>
      </w:r>
      <w:r w:rsidRPr="00A839C1">
        <w:rPr>
          <w:rFonts w:cs="Arial"/>
        </w:rPr>
        <w:fldChar w:fldCharType="end"/>
      </w:r>
      <w:r>
        <w:tab/>
        <w:t>En su quincuagésima tercera sesión, el TWF tomó nota de que España puede proporcionar descripciones de variedades a los miembros que las soliciten.</w:t>
      </w:r>
    </w:p>
    <w:p w14:paraId="367CAB09" w14:textId="77777777" w:rsidR="006F4FE3" w:rsidRPr="00A839C1" w:rsidRDefault="006F4FE3" w:rsidP="006F4FE3"/>
    <w:p w14:paraId="67BA50C2" w14:textId="77777777" w:rsidR="006F4FE3" w:rsidRPr="00A839C1" w:rsidRDefault="006F4FE3" w:rsidP="006F4FE3">
      <w:pPr>
        <w:tabs>
          <w:tab w:val="left" w:pos="5387"/>
        </w:tabs>
        <w:ind w:left="4820"/>
        <w:rPr>
          <w:i/>
        </w:rPr>
      </w:pPr>
      <w:r w:rsidRPr="00A839C1">
        <w:rPr>
          <w:i/>
        </w:rPr>
        <w:fldChar w:fldCharType="begin"/>
      </w:r>
      <w:r w:rsidRPr="00A839C1">
        <w:rPr>
          <w:i/>
        </w:rPr>
        <w:instrText xml:space="preserve"> AUTONUM  </w:instrText>
      </w:r>
      <w:r w:rsidRPr="00A839C1">
        <w:rPr>
          <w:i/>
        </w:rPr>
        <w:fldChar w:fldCharType="end"/>
      </w:r>
      <w:r>
        <w:tab/>
      </w:r>
      <w:r>
        <w:rPr>
          <w:i/>
          <w:iCs/>
        </w:rPr>
        <w:t>Se invita al TC a:</w:t>
      </w:r>
    </w:p>
    <w:p w14:paraId="71B9102B" w14:textId="77777777" w:rsidR="006F4FE3" w:rsidRPr="00A839C1" w:rsidRDefault="006F4FE3" w:rsidP="006F4FE3">
      <w:pPr>
        <w:tabs>
          <w:tab w:val="left" w:pos="5387"/>
        </w:tabs>
        <w:ind w:left="4820"/>
        <w:rPr>
          <w:i/>
        </w:rPr>
      </w:pPr>
    </w:p>
    <w:p w14:paraId="63AE3ED3" w14:textId="77777777" w:rsidR="006F4FE3" w:rsidRPr="00A839C1" w:rsidRDefault="006F4FE3" w:rsidP="006F4FE3">
      <w:pPr>
        <w:tabs>
          <w:tab w:val="left" w:pos="5387"/>
          <w:tab w:val="left" w:pos="5954"/>
        </w:tabs>
        <w:ind w:left="4820"/>
        <w:rPr>
          <w:i/>
          <w:snapToGrid w:val="0"/>
          <w:szCs w:val="24"/>
        </w:rPr>
      </w:pPr>
      <w:r>
        <w:rPr>
          <w:i/>
        </w:rPr>
        <w:tab/>
        <w:t>a)</w:t>
      </w:r>
      <w:r>
        <w:rPr>
          <w:i/>
        </w:rPr>
        <w:tab/>
        <w:t xml:space="preserve">determinar si procede invitar a la Oficina de la Unión a que estudie las posibilidades de que la información sobre las páginas web con descripciones de variedades se ponga a disposición en el sitio web de la UPOV; y </w:t>
      </w:r>
    </w:p>
    <w:p w14:paraId="2EAD1293" w14:textId="77777777" w:rsidR="006F4FE3" w:rsidRPr="00A839C1" w:rsidRDefault="006F4FE3" w:rsidP="006F4FE3">
      <w:pPr>
        <w:tabs>
          <w:tab w:val="left" w:pos="5387"/>
        </w:tabs>
        <w:ind w:left="4820"/>
        <w:rPr>
          <w:i/>
          <w:snapToGrid w:val="0"/>
          <w:szCs w:val="24"/>
        </w:rPr>
      </w:pPr>
    </w:p>
    <w:p w14:paraId="40AE56C9" w14:textId="77777777" w:rsidR="006F4FE3" w:rsidRPr="00A839C1" w:rsidRDefault="006F4FE3" w:rsidP="006F4FE3">
      <w:pPr>
        <w:keepNext/>
        <w:keepLines/>
        <w:tabs>
          <w:tab w:val="left" w:pos="5387"/>
          <w:tab w:val="left" w:pos="5954"/>
        </w:tabs>
        <w:ind w:left="4820"/>
        <w:rPr>
          <w:i/>
          <w:snapToGrid w:val="0"/>
          <w:szCs w:val="24"/>
        </w:rPr>
      </w:pPr>
      <w:r>
        <w:rPr>
          <w:i/>
          <w:snapToGrid w:val="0"/>
        </w:rPr>
        <w:tab/>
        <w:t>b)</w:t>
      </w:r>
      <w:r>
        <w:rPr>
          <w:i/>
          <w:snapToGrid w:val="0"/>
        </w:rPr>
        <w:tab/>
        <w:t>recordar la invitación cursada a los miembros de la Unión a informar al TC y los TWP sobre la labor relativa a la elaboración de bases de datos que contienen datos morfológicos o moleculares.</w:t>
      </w:r>
    </w:p>
    <w:p w14:paraId="7B443E7F" w14:textId="77777777" w:rsidR="006F4FE3" w:rsidRPr="00A839C1" w:rsidRDefault="006F4FE3" w:rsidP="006F4FE3"/>
    <w:p w14:paraId="041E9A68" w14:textId="77777777" w:rsidR="006F4FE3" w:rsidRPr="00A839C1" w:rsidRDefault="006F4FE3" w:rsidP="006F4FE3"/>
    <w:p w14:paraId="25163C75" w14:textId="77777777" w:rsidR="006F4FE3" w:rsidRPr="00A839C1" w:rsidRDefault="006F4FE3" w:rsidP="006F4FE3"/>
    <w:p w14:paraId="611A2294" w14:textId="77777777" w:rsidR="00050E16" w:rsidRPr="00A839C1" w:rsidRDefault="006F4FE3" w:rsidP="006F4FE3">
      <w:pPr>
        <w:jc w:val="right"/>
      </w:pPr>
      <w:r>
        <w:t>[Fin del documento]</w:t>
      </w:r>
    </w:p>
    <w:sectPr w:rsidR="00050E16" w:rsidRPr="00A839C1" w:rsidSect="00906DDC">
      <w:headerReference w:type="defaul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06A4D" w14:textId="77777777" w:rsidR="002962AB" w:rsidRDefault="002962AB" w:rsidP="006655D3">
      <w:r>
        <w:separator/>
      </w:r>
    </w:p>
    <w:p w14:paraId="42DAD3C1" w14:textId="77777777" w:rsidR="002962AB" w:rsidRDefault="002962AB" w:rsidP="006655D3"/>
    <w:p w14:paraId="5FFA6D66" w14:textId="77777777" w:rsidR="002962AB" w:rsidRDefault="002962AB" w:rsidP="006655D3"/>
  </w:endnote>
  <w:endnote w:type="continuationSeparator" w:id="0">
    <w:p w14:paraId="3796B7CC" w14:textId="77777777" w:rsidR="002962AB" w:rsidRDefault="002962AB" w:rsidP="006655D3">
      <w:r>
        <w:separator/>
      </w:r>
    </w:p>
    <w:p w14:paraId="2C15DD95" w14:textId="77777777" w:rsidR="002962AB" w:rsidRPr="00294751" w:rsidRDefault="002962A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DE27A1D" w14:textId="77777777" w:rsidR="002962AB" w:rsidRPr="00294751" w:rsidRDefault="002962AB" w:rsidP="006655D3">
      <w:pPr>
        <w:rPr>
          <w:lang w:val="fr-FR"/>
        </w:rPr>
      </w:pPr>
    </w:p>
    <w:p w14:paraId="54739455" w14:textId="77777777" w:rsidR="002962AB" w:rsidRPr="00294751" w:rsidRDefault="002962AB" w:rsidP="006655D3">
      <w:pPr>
        <w:rPr>
          <w:lang w:val="fr-FR"/>
        </w:rPr>
      </w:pPr>
    </w:p>
  </w:endnote>
  <w:endnote w:type="continuationNotice" w:id="1">
    <w:p w14:paraId="517876F6" w14:textId="77777777" w:rsidR="002962AB" w:rsidRPr="00294751" w:rsidRDefault="002962A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5788CD1" w14:textId="77777777" w:rsidR="002962AB" w:rsidRPr="00294751" w:rsidRDefault="002962AB" w:rsidP="006655D3">
      <w:pPr>
        <w:rPr>
          <w:lang w:val="fr-FR"/>
        </w:rPr>
      </w:pPr>
    </w:p>
    <w:p w14:paraId="4CBEF269" w14:textId="77777777" w:rsidR="002962AB" w:rsidRPr="00294751" w:rsidRDefault="002962A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FF9B5" w14:textId="77777777" w:rsidR="002962AB" w:rsidRDefault="002962AB" w:rsidP="006655D3">
      <w:r>
        <w:separator/>
      </w:r>
    </w:p>
  </w:footnote>
  <w:footnote w:type="continuationSeparator" w:id="0">
    <w:p w14:paraId="50BEA598" w14:textId="77777777" w:rsidR="002962AB" w:rsidRDefault="002962AB" w:rsidP="006655D3">
      <w:r>
        <w:separator/>
      </w:r>
    </w:p>
  </w:footnote>
  <w:footnote w:type="continuationNotice" w:id="1">
    <w:p w14:paraId="03DC9ECD" w14:textId="77777777" w:rsidR="002962AB" w:rsidRPr="00AB530F" w:rsidRDefault="002962AB" w:rsidP="00AB530F">
      <w:pPr>
        <w:pStyle w:val="Footer"/>
      </w:pPr>
    </w:p>
  </w:footnote>
  <w:footnote w:id="2">
    <w:p w14:paraId="1B2E9EA8" w14:textId="77777777" w:rsidR="006F4FE3" w:rsidRPr="00A839C1" w:rsidRDefault="006F4FE3" w:rsidP="006F4FE3">
      <w:pPr>
        <w:pStyle w:val="FootnoteText"/>
      </w:pPr>
      <w:r>
        <w:rPr>
          <w:rStyle w:val="FootnoteReference"/>
        </w:rPr>
        <w:footnoteRef/>
      </w:r>
      <w:r>
        <w:tab/>
        <w:t>Celebrada en Ginebra del 30 de marzo al 1 de abril de 2009</w:t>
      </w:r>
    </w:p>
  </w:footnote>
  <w:footnote w:id="3">
    <w:p w14:paraId="66894DD9" w14:textId="77777777" w:rsidR="006F4FE3" w:rsidRPr="00A839C1" w:rsidRDefault="006F4FE3" w:rsidP="006F4FE3">
      <w:pPr>
        <w:pStyle w:val="FootnoteText"/>
      </w:pPr>
      <w:r>
        <w:rPr>
          <w:rStyle w:val="FootnoteReference"/>
        </w:rPr>
        <w:footnoteRef/>
      </w:r>
      <w:r>
        <w:tab/>
        <w:t>En su quincuagésima sexta sesión, celebrada por medios electrónicos del 18 al 22 de abril de 2022</w:t>
      </w:r>
    </w:p>
  </w:footnote>
  <w:footnote w:id="4">
    <w:p w14:paraId="3C7C6E3A" w14:textId="77777777" w:rsidR="006F4FE3" w:rsidRPr="00A839C1" w:rsidRDefault="006F4FE3" w:rsidP="006F4FE3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ab/>
        <w:t>En su quincuagésima primera sesión, organizada por el Reino Unido y celebrada por medios electrónicos del 23 al 27 de mayo de 2022</w:t>
      </w:r>
    </w:p>
  </w:footnote>
  <w:footnote w:id="5">
    <w:p w14:paraId="0C9D6C3C" w14:textId="77777777" w:rsidR="006F4FE3" w:rsidRPr="00A839C1" w:rsidRDefault="006F4FE3" w:rsidP="006F4FE3">
      <w:pPr>
        <w:pStyle w:val="FootnoteText"/>
        <w:rPr>
          <w:highlight w:val="cyan"/>
        </w:rPr>
      </w:pPr>
      <w:r>
        <w:rPr>
          <w:rStyle w:val="FootnoteReference"/>
        </w:rPr>
        <w:footnoteRef/>
      </w:r>
      <w:r>
        <w:tab/>
        <w:t>En su quincuagésima cuarta sesión, organizada por Alemania y celebrada por medios electrónicos del 13 al 17 de junio de 2022</w:t>
      </w:r>
    </w:p>
  </w:footnote>
  <w:footnote w:id="6">
    <w:p w14:paraId="0E4DE003" w14:textId="77777777" w:rsidR="006F4FE3" w:rsidRPr="00A839C1" w:rsidRDefault="006F4FE3" w:rsidP="006F4FE3">
      <w:pPr>
        <w:pStyle w:val="FootnoteText"/>
      </w:pPr>
      <w:r>
        <w:rPr>
          <w:rStyle w:val="FootnoteReference"/>
        </w:rPr>
        <w:footnoteRef/>
      </w:r>
      <w:r>
        <w:tab/>
        <w:t>En su quincuagésima tercera sesión, celebrada por medios electrónicos del 11 al 15 de julio de 2022</w:t>
      </w:r>
    </w:p>
  </w:footnote>
  <w:footnote w:id="7">
    <w:p w14:paraId="5C979EFE" w14:textId="77777777" w:rsidR="006F4FE3" w:rsidRPr="00A839C1" w:rsidRDefault="006F4FE3" w:rsidP="006F4FE3">
      <w:pPr>
        <w:pStyle w:val="FootnoteText"/>
      </w:pPr>
      <w:r>
        <w:rPr>
          <w:rStyle w:val="FootnoteReference"/>
        </w:rPr>
        <w:footnoteRef/>
      </w:r>
      <w:r>
        <w:tab/>
        <w:t>En su primera sesión, celebrada por medios electrónicos del 19 al 23 de septiembre de 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09ADD" w14:textId="77777777"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TC/58/12</w:t>
    </w:r>
  </w:p>
  <w:p w14:paraId="7DE1B140" w14:textId="0E7F3312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A7CBD">
      <w:rPr>
        <w:rStyle w:val="PageNumber"/>
        <w:noProof/>
      </w:rPr>
      <w:t>3</w:t>
    </w:r>
    <w:r w:rsidR="00182B99" w:rsidRPr="00202E38">
      <w:rPr>
        <w:rStyle w:val="PageNumber"/>
      </w:rPr>
      <w:fldChar w:fldCharType="end"/>
    </w:r>
  </w:p>
  <w:p w14:paraId="5659E175" w14:textId="77777777"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70CB"/>
    <w:multiLevelType w:val="hybridMultilevel"/>
    <w:tmpl w:val="C0643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FE3"/>
    <w:rsid w:val="00010CF3"/>
    <w:rsid w:val="00011E27"/>
    <w:rsid w:val="000148BC"/>
    <w:rsid w:val="00024AB8"/>
    <w:rsid w:val="00030854"/>
    <w:rsid w:val="00036028"/>
    <w:rsid w:val="00044642"/>
    <w:rsid w:val="000446B9"/>
    <w:rsid w:val="00044EE7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03B5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824ED"/>
    <w:rsid w:val="002940E8"/>
    <w:rsid w:val="00294751"/>
    <w:rsid w:val="002962AB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A7CBD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4FE3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009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839C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41C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0EA0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C25F1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F54688"/>
  <w15:docId w15:val="{CE3EAF3D-3C6A-4E39-9E17-9B100F7F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3A7CBD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6F4FE3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6F4FE3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6F4FE3"/>
    <w:rPr>
      <w:rFonts w:ascii="Arial" w:hAnsi="Arial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derlandsrassenregister.nl/" TargetMode="External"/><Relationship Id="rId13" Type="http://schemas.openxmlformats.org/officeDocument/2006/relationships/hyperlink" Target="https://www.geves.fr/catalogue-fran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nline.plantvarieties.eu/publicSearc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spection.canada.ca/plant-varieties/plant-breeders-rights/varieties/eng/1300463863953/130046397865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stemas.agricultura.gov.br/snpc/cultivarweb/cultivares_protegid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ricles.ipaustralia.gov.au/pbr_db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7615</Characters>
  <Application>Microsoft Office Word</Application>
  <DocSecurity>0</DocSecurity>
  <Lines>282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TC/58/12</vt:lpstr>
    </vt:vector>
  </TitlesOfParts>
  <Company>UPOV</Company>
  <LinksUpToDate>false</LinksUpToDate>
  <CharactersWithSpaces>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TC/58/12</dc:title>
  <dc:creator>Diana Gibson</dc:creator>
  <cp:lastModifiedBy>MAY Jessica</cp:lastModifiedBy>
  <cp:revision>5</cp:revision>
  <cp:lastPrinted>2016-11-22T15:41:00Z</cp:lastPrinted>
  <dcterms:created xsi:type="dcterms:W3CDTF">2022-10-11T07:03:00Z</dcterms:created>
  <dcterms:modified xsi:type="dcterms:W3CDTF">2022-10-11T09:41:00Z</dcterms:modified>
</cp:coreProperties>
</file>