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3022B" w14:paraId="6406D8BD" w14:textId="77777777" w:rsidTr="00EB4E9C">
        <w:tc>
          <w:tcPr>
            <w:tcW w:w="6522" w:type="dxa"/>
          </w:tcPr>
          <w:p w14:paraId="0B896EF4" w14:textId="77777777" w:rsidR="00DC3802" w:rsidRPr="0023022B" w:rsidRDefault="00DC3802" w:rsidP="00AC2883">
            <w:r>
              <w:rPr>
                <w:noProof/>
                <w:lang w:val="en-US"/>
              </w:rPr>
              <w:drawing>
                <wp:inline distT="0" distB="0" distL="0" distR="0" wp14:anchorId="1B9E0645" wp14:editId="186344C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2723FD0" w14:textId="77777777" w:rsidR="00DC3802" w:rsidRPr="0023022B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23022B" w14:paraId="5F77C33B" w14:textId="77777777" w:rsidTr="00645CA8">
        <w:trPr>
          <w:trHeight w:val="219"/>
        </w:trPr>
        <w:tc>
          <w:tcPr>
            <w:tcW w:w="6522" w:type="dxa"/>
          </w:tcPr>
          <w:p w14:paraId="75B5C41E" w14:textId="77777777" w:rsidR="00DC3802" w:rsidRPr="0023022B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14:paraId="59319D98" w14:textId="77777777" w:rsidR="00DC3802" w:rsidRPr="0023022B" w:rsidRDefault="00DC3802" w:rsidP="00DA4973"/>
        </w:tc>
      </w:tr>
    </w:tbl>
    <w:p w14:paraId="1089A7AC" w14:textId="77777777" w:rsidR="00DC3802" w:rsidRPr="0023022B" w:rsidRDefault="00DC3802" w:rsidP="00DC3802"/>
    <w:p w14:paraId="0BF220EB" w14:textId="77777777" w:rsidR="00DA4973" w:rsidRPr="0023022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3022B" w14:paraId="19E6A5BE" w14:textId="77777777" w:rsidTr="00EB4E9C">
        <w:tc>
          <w:tcPr>
            <w:tcW w:w="6512" w:type="dxa"/>
          </w:tcPr>
          <w:p w14:paraId="62E58A05" w14:textId="77777777" w:rsidR="00EB4E9C" w:rsidRPr="0023022B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14:paraId="1AECD9EE" w14:textId="77777777" w:rsidR="002458C3" w:rsidRPr="0023022B" w:rsidRDefault="002E5944" w:rsidP="00324098">
            <w:pPr>
              <w:pStyle w:val="Sessiontcplacedate"/>
            </w:pPr>
            <w:r>
              <w:t>Quincuagésima octava sesión</w:t>
            </w:r>
          </w:p>
          <w:p w14:paraId="0B713975" w14:textId="77777777" w:rsidR="00EB4E9C" w:rsidRPr="0023022B" w:rsidRDefault="002E5944" w:rsidP="00324098">
            <w:pPr>
              <w:pStyle w:val="Sessiontcplacedate"/>
              <w:rPr>
                <w:sz w:val="22"/>
              </w:rPr>
            </w:pPr>
            <w:r>
              <w:t>Ginebra, 24 y 25 de octubre de 2022</w:t>
            </w:r>
          </w:p>
        </w:tc>
        <w:tc>
          <w:tcPr>
            <w:tcW w:w="3127" w:type="dxa"/>
          </w:tcPr>
          <w:p w14:paraId="11B6079C" w14:textId="77777777" w:rsidR="00EB4E9C" w:rsidRPr="0023022B" w:rsidRDefault="002458C3" w:rsidP="003C7FBE">
            <w:pPr>
              <w:pStyle w:val="Doccode"/>
            </w:pPr>
            <w:r>
              <w:t>TC/58/11</w:t>
            </w:r>
          </w:p>
          <w:p w14:paraId="0F4EB7CD" w14:textId="77777777" w:rsidR="00EB4E9C" w:rsidRPr="0023022B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</w:rPr>
              <w:t xml:space="preserve"> </w:t>
            </w:r>
            <w:proofErr w:type="gramStart"/>
            <w:r>
              <w:rPr>
                <w:b w:val="0"/>
              </w:rPr>
              <w:t>Inglés</w:t>
            </w:r>
            <w:proofErr w:type="gramEnd"/>
          </w:p>
          <w:p w14:paraId="59EDFBED" w14:textId="77777777" w:rsidR="00EB4E9C" w:rsidRPr="0023022B" w:rsidRDefault="002E5944" w:rsidP="0023022B">
            <w:pPr>
              <w:pStyle w:val="Docoriginal"/>
            </w:pPr>
            <w:r>
              <w:t>Fecha:</w:t>
            </w:r>
            <w:r>
              <w:rPr>
                <w:b w:val="0"/>
              </w:rPr>
              <w:t xml:space="preserve"> 6 de octubre de 2022</w:t>
            </w:r>
          </w:p>
        </w:tc>
      </w:tr>
    </w:tbl>
    <w:p w14:paraId="40711A0E" w14:textId="77777777" w:rsidR="000D7780" w:rsidRPr="0023022B" w:rsidRDefault="0023022B" w:rsidP="006A644A">
      <w:pPr>
        <w:pStyle w:val="Titleofdoc0"/>
      </w:pPr>
      <w:r>
        <w:t>Intercambio y uso de programas informáticos y equipo</w:t>
      </w:r>
    </w:p>
    <w:p w14:paraId="4E014F1F" w14:textId="77777777" w:rsidR="006A644A" w:rsidRPr="0023022B" w:rsidRDefault="000638A9" w:rsidP="006A644A">
      <w:pPr>
        <w:pStyle w:val="preparedby1"/>
        <w:jc w:val="left"/>
      </w:pPr>
      <w:r>
        <w:t>Documento preparado por la Oficina de la Unión</w:t>
      </w:r>
    </w:p>
    <w:p w14:paraId="23452F68" w14:textId="77777777" w:rsidR="00050E16" w:rsidRPr="0023022B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14:paraId="303865C6" w14:textId="77777777" w:rsidR="0023022B" w:rsidRPr="0023022B" w:rsidRDefault="0023022B" w:rsidP="0023022B">
      <w:pPr>
        <w:pStyle w:val="Heading1"/>
      </w:pPr>
      <w:bookmarkStart w:id="0" w:name="_Toc481744310"/>
      <w:bookmarkStart w:id="1" w:name="_Toc73471181"/>
      <w:bookmarkStart w:id="2" w:name="_Toc116370295"/>
      <w:r>
        <w:t>RESUMEN</w:t>
      </w:r>
      <w:bookmarkEnd w:id="0"/>
      <w:bookmarkEnd w:id="1"/>
      <w:bookmarkEnd w:id="2"/>
    </w:p>
    <w:p w14:paraId="7EA53138" w14:textId="77777777" w:rsidR="0023022B" w:rsidRPr="0023022B" w:rsidRDefault="0023022B" w:rsidP="0023022B"/>
    <w:p w14:paraId="225E3ECF" w14:textId="77777777" w:rsidR="0023022B" w:rsidRPr="0023022B" w:rsidRDefault="0023022B" w:rsidP="0023022B"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  <w:t>El presente documento tiene por finalidad informar acerca de las novedades y proponer una revisión de los documentos </w:t>
      </w:r>
      <w:r>
        <w:t>UPOV/INF/16/10 “Programas informáticos para intercambio” y </w:t>
      </w:r>
      <w:r>
        <w:rPr>
          <w:color w:val="000000"/>
        </w:rPr>
        <w:t>UPOV/INF/22/8 “</w:t>
      </w:r>
      <w:r>
        <w:rPr>
          <w:snapToGrid w:val="0"/>
        </w:rPr>
        <w:t>Programas informáticos y equipos utilizados por los miembros de la Unión</w:t>
      </w:r>
      <w:r>
        <w:rPr>
          <w:color w:val="000000"/>
        </w:rPr>
        <w:t>”</w:t>
      </w:r>
      <w:r>
        <w:rPr>
          <w:snapToGrid w:val="0"/>
        </w:rPr>
        <w:t xml:space="preserve"> que se someterán a la aprobación del Consejo en </w:t>
      </w:r>
      <w:r>
        <w:t>2022, a reserva de la aprobación del CAJ.</w:t>
      </w:r>
    </w:p>
    <w:p w14:paraId="149C62A5" w14:textId="77777777" w:rsidR="0023022B" w:rsidRPr="0023022B" w:rsidRDefault="0023022B" w:rsidP="0023022B"/>
    <w:p w14:paraId="4E810671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>Se invita al TC a:</w:t>
      </w:r>
    </w:p>
    <w:p w14:paraId="46E10739" w14:textId="77777777" w:rsidR="0023022B" w:rsidRPr="0023022B" w:rsidRDefault="0023022B" w:rsidP="0023022B"/>
    <w:p w14:paraId="41DEFE4F" w14:textId="77777777" w:rsidR="0023022B" w:rsidRPr="0023022B" w:rsidRDefault="0023022B" w:rsidP="0023022B">
      <w:pPr>
        <w:spacing w:after="200"/>
      </w:pPr>
      <w:r>
        <w:tab/>
        <w:t>a)</w:t>
      </w:r>
      <w:r>
        <w:tab/>
        <w:t>tomar nota de que el Consejo, en su quincuagésima quinta sesión ordinaria, celebrada el 21 de septiembre de 2021, aprobó en virtud del procedimiento por correspondencia el documento UPOV/INF/16/10 “Programas informáticos para intercambio”;</w:t>
      </w:r>
    </w:p>
    <w:p w14:paraId="22CEE60E" w14:textId="77777777" w:rsidR="0023022B" w:rsidRPr="0023022B" w:rsidRDefault="0023022B" w:rsidP="0023022B">
      <w:pPr>
        <w:spacing w:after="200"/>
      </w:pPr>
      <w:r>
        <w:tab/>
        <w:t>b)</w:t>
      </w:r>
      <w:r>
        <w:tab/>
        <w:t>tomar nota de que la Oficina de la Unión ha recibido respuestas de China, Francia, Polonia, la República Checa y Uzbekistán atendiendo a la circular E-22/002 en la que se invita a los miembros a facilitar o actualizar la información relativa los programas informáticos para intercambio incluidos en el documento UPOV/INF/16;</w:t>
      </w:r>
    </w:p>
    <w:p w14:paraId="765C7A41" w14:textId="77777777" w:rsidR="0023022B" w:rsidRPr="0023022B" w:rsidRDefault="0023022B" w:rsidP="0023022B">
      <w:pPr>
        <w:spacing w:after="200"/>
      </w:pPr>
      <w:r>
        <w:tab/>
        <w:t>c)</w:t>
      </w:r>
      <w:r>
        <w:tab/>
        <w:t>tomar nota de que se requerirán aclaraciones sobre el programa informático propuesto por Uzbekistán, incluida su disponibilidad para el intercambio;</w:t>
      </w:r>
    </w:p>
    <w:p w14:paraId="54CB0147" w14:textId="77777777" w:rsidR="0023022B" w:rsidRPr="0023022B" w:rsidRDefault="0023022B" w:rsidP="0023022B">
      <w:pPr>
        <w:spacing w:after="200"/>
      </w:pPr>
      <w:r>
        <w:tab/>
        <w:t>d)</w:t>
      </w:r>
      <w:r>
        <w:tab/>
        <w:t>considerar la inclusión de la aplicación PATHOSTAT en el documento UPOV/INF/16, según se propone en el párrafo 15 del presente documento;</w:t>
      </w:r>
    </w:p>
    <w:p w14:paraId="0AFCEFC4" w14:textId="77777777" w:rsidR="0023022B" w:rsidRPr="0023022B" w:rsidRDefault="0023022B" w:rsidP="0023022B">
      <w:pPr>
        <w:spacing w:after="200"/>
      </w:pPr>
      <w:r>
        <w:tab/>
        <w:t>e)</w:t>
      </w:r>
      <w:r>
        <w:tab/>
        <w:t>tomar nota de que, a reserva de que el TC y el CAJ acuerden un proyecto documento UPOV/INF/16/11, sobre la base del documento UPOV/INF/16/11 </w:t>
      </w:r>
      <w:proofErr w:type="spellStart"/>
      <w:r>
        <w:t>Draft</w:t>
      </w:r>
      <w:proofErr w:type="spellEnd"/>
      <w:r>
        <w:t> 1, con inclusión de la aplicación PATHOSTAT según se propone en el párrafo 16, un proyecto acordado del documento UPOV/INF/16/11 se someterá al Consejo para que considere su aprobación en 2022;</w:t>
      </w:r>
    </w:p>
    <w:p w14:paraId="2486E60E" w14:textId="77777777" w:rsidR="0023022B" w:rsidRPr="0023022B" w:rsidRDefault="0023022B" w:rsidP="0023022B">
      <w:pPr>
        <w:spacing w:after="200"/>
        <w:rPr>
          <w:spacing w:val="-4"/>
        </w:rPr>
      </w:pPr>
      <w:r>
        <w:tab/>
        <w:t>f)</w:t>
      </w:r>
      <w:r>
        <w:tab/>
        <w:t xml:space="preserve">tomar nota de que el Consejo, en su quincuagésima quinta sesión ordinaria aprobó en virtud del procedimiento por correspondencia el documento UPOV/INF/22/8 “Programas informáticos y equipos utilizados por los miembros de la Unión”; </w:t>
      </w:r>
    </w:p>
    <w:p w14:paraId="6634753C" w14:textId="77777777" w:rsidR="0023022B" w:rsidRPr="0023022B" w:rsidRDefault="0023022B" w:rsidP="0023022B">
      <w:pPr>
        <w:spacing w:after="200"/>
        <w:rPr>
          <w:spacing w:val="-4"/>
        </w:rPr>
      </w:pPr>
      <w:r>
        <w:tab/>
        <w:t>g)</w:t>
      </w:r>
      <w:r>
        <w:tab/>
        <w:t xml:space="preserve">tomar nota de que la Oficina de la Unión ha recibido respuestas de </w:t>
      </w:r>
      <w:r>
        <w:rPr>
          <w:snapToGrid w:val="0"/>
        </w:rPr>
        <w:t xml:space="preserve">los Países Bajos, Polonia, la República Checa y Uzbekistán </w:t>
      </w:r>
      <w:r>
        <w:t>atendiendo a la circular E-22/002 en la que se invita a los miembros a facilitar o actualizar la información relativa al uso de los programas informáticos incluidos en el documento UPOV/INF/22;</w:t>
      </w:r>
    </w:p>
    <w:p w14:paraId="058269F3" w14:textId="77777777" w:rsidR="0023022B" w:rsidRPr="0023022B" w:rsidRDefault="0023022B" w:rsidP="0023022B">
      <w:pPr>
        <w:spacing w:after="200"/>
      </w:pPr>
      <w:r>
        <w:tab/>
        <w:t>h)</w:t>
      </w:r>
      <w:r>
        <w:tab/>
        <w:t xml:space="preserve">considerar si procede proponer la aprobación del documento UPOV/INF/22/9 </w:t>
      </w:r>
      <w:proofErr w:type="spellStart"/>
      <w:r>
        <w:t>Draft</w:t>
      </w:r>
      <w:proofErr w:type="spellEnd"/>
      <w:r>
        <w:t xml:space="preserve"> 1 o solicitar más orientación a otros órganos pertinentes (p. ej., el CAJ y los TWP); </w:t>
      </w:r>
    </w:p>
    <w:p w14:paraId="77273902" w14:textId="77777777" w:rsidR="0023022B" w:rsidRPr="0023022B" w:rsidRDefault="0023022B" w:rsidP="0023022B">
      <w:pPr>
        <w:spacing w:after="240"/>
      </w:pPr>
      <w:r>
        <w:tab/>
        <w:t>i)</w:t>
      </w:r>
      <w:r>
        <w:tab/>
        <w:t>tomar nota de que, a reserva de la aprobación del TC y el CAJ, un proyecto acordado del documento UPOV/INF/22/9 se someterá al Consejo para que considere su aprobación en 2022, sobre esta base.</w:t>
      </w:r>
    </w:p>
    <w:p w14:paraId="36C30899" w14:textId="77777777" w:rsidR="0023022B" w:rsidRPr="008A233B" w:rsidRDefault="0023022B" w:rsidP="0023022B">
      <w:pPr>
        <w:keepNext/>
        <w:spacing w:after="120"/>
        <w:rPr>
          <w:rFonts w:cs="Arial"/>
        </w:rPr>
      </w:pPr>
      <w:r w:rsidRPr="0023022B">
        <w:rPr>
          <w:rFonts w:cs="Arial"/>
        </w:rPr>
        <w:lastRenderedPageBreak/>
        <w:fldChar w:fldCharType="begin"/>
      </w:r>
      <w:r w:rsidRPr="0023022B">
        <w:rPr>
          <w:rFonts w:cs="Arial"/>
        </w:rPr>
        <w:instrText xml:space="preserve"> AUTONUM  </w:instrText>
      </w:r>
      <w:r w:rsidRPr="0023022B">
        <w:rPr>
          <w:rFonts w:cs="Arial"/>
        </w:rPr>
        <w:fldChar w:fldCharType="end"/>
      </w:r>
      <w:r>
        <w:tab/>
        <w:t>El presente documento se estructura del modo siguiente:</w:t>
      </w:r>
    </w:p>
    <w:p w14:paraId="732DAD9F" w14:textId="317BEFFB" w:rsidR="001D32C0" w:rsidRPr="008A233B" w:rsidRDefault="0023022B" w:rsidP="001D32C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r w:rsidRPr="008A233B">
        <w:rPr>
          <w:rFonts w:cs="Arial"/>
          <w:snapToGrid w:val="0"/>
        </w:rPr>
        <w:fldChar w:fldCharType="begin"/>
      </w:r>
      <w:r w:rsidRPr="008A233B">
        <w:rPr>
          <w:rFonts w:cs="Arial"/>
          <w:snapToGrid w:val="0"/>
        </w:rPr>
        <w:instrText xml:space="preserve"> TOC \o "1-4" \h \z \u </w:instrText>
      </w:r>
      <w:r w:rsidRPr="008A233B">
        <w:rPr>
          <w:rFonts w:cs="Arial"/>
          <w:snapToGrid w:val="0"/>
        </w:rPr>
        <w:fldChar w:fldCharType="separate"/>
      </w:r>
      <w:hyperlink w:anchor="_Toc116370295" w:history="1">
        <w:r w:rsidR="001D32C0" w:rsidRPr="008A233B">
          <w:rPr>
            <w:rStyle w:val="Hyperlink"/>
            <w:noProof/>
            <w:color w:val="auto"/>
          </w:rPr>
          <w:t>RESUMEN</w:t>
        </w:r>
        <w:r w:rsidR="001D32C0" w:rsidRPr="008A233B">
          <w:rPr>
            <w:noProof/>
            <w:webHidden/>
          </w:rPr>
          <w:tab/>
        </w:r>
        <w:r w:rsidR="001D32C0" w:rsidRPr="008A233B">
          <w:rPr>
            <w:noProof/>
            <w:webHidden/>
          </w:rPr>
          <w:fldChar w:fldCharType="begin"/>
        </w:r>
        <w:r w:rsidR="001D32C0" w:rsidRPr="008A233B">
          <w:rPr>
            <w:noProof/>
            <w:webHidden/>
          </w:rPr>
          <w:instrText xml:space="preserve"> PAGEREF _Toc116370295 \h </w:instrText>
        </w:r>
        <w:r w:rsidR="001D32C0" w:rsidRPr="008A233B">
          <w:rPr>
            <w:noProof/>
            <w:webHidden/>
          </w:rPr>
        </w:r>
        <w:r w:rsidR="001D32C0" w:rsidRPr="008A233B">
          <w:rPr>
            <w:noProof/>
            <w:webHidden/>
          </w:rPr>
          <w:fldChar w:fldCharType="separate"/>
        </w:r>
        <w:r w:rsidR="008A233B">
          <w:rPr>
            <w:noProof/>
            <w:webHidden/>
          </w:rPr>
          <w:t>1</w:t>
        </w:r>
        <w:r w:rsidR="001D32C0" w:rsidRPr="008A233B">
          <w:rPr>
            <w:noProof/>
            <w:webHidden/>
          </w:rPr>
          <w:fldChar w:fldCharType="end"/>
        </w:r>
      </w:hyperlink>
    </w:p>
    <w:p w14:paraId="3A6A9703" w14:textId="1B306B0E" w:rsidR="001D32C0" w:rsidRPr="008A233B" w:rsidRDefault="00564E9C" w:rsidP="001D32C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116370296" w:history="1">
        <w:r w:rsidR="001D32C0" w:rsidRPr="008A233B">
          <w:rPr>
            <w:rStyle w:val="Hyperlink"/>
            <w:noProof/>
            <w:color w:val="auto"/>
          </w:rPr>
          <w:t>documento UPOV/INF/16 “Programas informáticos para intercambio”</w:t>
        </w:r>
        <w:r w:rsidR="001D32C0" w:rsidRPr="008A233B">
          <w:rPr>
            <w:noProof/>
            <w:webHidden/>
          </w:rPr>
          <w:tab/>
        </w:r>
        <w:r w:rsidR="001D32C0" w:rsidRPr="008A233B">
          <w:rPr>
            <w:noProof/>
            <w:webHidden/>
          </w:rPr>
          <w:fldChar w:fldCharType="begin"/>
        </w:r>
        <w:r w:rsidR="001D32C0" w:rsidRPr="008A233B">
          <w:rPr>
            <w:noProof/>
            <w:webHidden/>
          </w:rPr>
          <w:instrText xml:space="preserve"> PAGEREF _Toc116370296 \h </w:instrText>
        </w:r>
        <w:r w:rsidR="001D32C0" w:rsidRPr="008A233B">
          <w:rPr>
            <w:noProof/>
            <w:webHidden/>
          </w:rPr>
        </w:r>
        <w:r w:rsidR="001D32C0" w:rsidRPr="008A233B">
          <w:rPr>
            <w:noProof/>
            <w:webHidden/>
          </w:rPr>
          <w:fldChar w:fldCharType="separate"/>
        </w:r>
        <w:r w:rsidR="008A233B">
          <w:rPr>
            <w:noProof/>
            <w:webHidden/>
          </w:rPr>
          <w:t>2</w:t>
        </w:r>
        <w:r w:rsidR="001D32C0" w:rsidRPr="008A233B">
          <w:rPr>
            <w:noProof/>
            <w:webHidden/>
          </w:rPr>
          <w:fldChar w:fldCharType="end"/>
        </w:r>
      </w:hyperlink>
    </w:p>
    <w:p w14:paraId="26301772" w14:textId="14E1D33E" w:rsidR="001D32C0" w:rsidRPr="008A233B" w:rsidRDefault="00564E9C" w:rsidP="00564E9C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"/>
        </w:rPr>
      </w:pPr>
      <w:hyperlink w:anchor="_Toc116370297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Aprobación del documento UPOV/INF/16/10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_Toc116370297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2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1E004396" w14:textId="3A91804F" w:rsidR="001D32C0" w:rsidRPr="008A233B" w:rsidRDefault="00564E9C" w:rsidP="00564E9C">
      <w:pPr>
        <w:pStyle w:val="TOC2"/>
        <w:rPr>
          <w:rStyle w:val="Hyperlink"/>
          <w:rFonts w:eastAsiaTheme="minorEastAsia"/>
          <w:noProof/>
          <w:color w:val="auto"/>
          <w:szCs w:val="18"/>
          <w:lang w:val="en-US"/>
        </w:rPr>
      </w:pPr>
      <w:hyperlink w:anchor="_Toc116370298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Revisión del documento UPOV/INF/16/10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_Toc116370298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2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0B2D9CCC" w14:textId="0B03366F" w:rsidR="001D32C0" w:rsidRPr="008A233B" w:rsidRDefault="00564E9C" w:rsidP="001D32C0">
      <w:pPr>
        <w:pStyle w:val="TOC3"/>
        <w:spacing w:before="0"/>
        <w:ind w:left="851"/>
        <w:contextualSpacing w:val="0"/>
        <w:rPr>
          <w:rStyle w:val="Hyperlink"/>
          <w:rFonts w:eastAsiaTheme="minorEastAsia"/>
          <w:i/>
          <w:noProof/>
          <w:color w:val="auto"/>
          <w:lang w:val="en-US"/>
        </w:rPr>
      </w:pPr>
      <w:hyperlink w:anchor="_Toc116370299" w:history="1">
        <w:r w:rsidR="001D32C0" w:rsidRPr="008A233B">
          <w:rPr>
            <w:rStyle w:val="Hyperlink"/>
            <w:rFonts w:eastAsiaTheme="minorEastAsia"/>
            <w:i/>
            <w:noProof/>
            <w:color w:val="auto"/>
            <w:lang w:val="en-US"/>
          </w:rPr>
          <w:t>Información sobre el uso por los miembros de la Unión</w: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tab/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instrText xml:space="preserve"> PAGEREF _Toc116370299 \h </w:instrTex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t>2</w: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end"/>
        </w:r>
      </w:hyperlink>
    </w:p>
    <w:p w14:paraId="6FE506A3" w14:textId="60DA9876" w:rsidR="001D32C0" w:rsidRPr="008A233B" w:rsidRDefault="00564E9C" w:rsidP="00564E9C">
      <w:pPr>
        <w:pStyle w:val="TOC2"/>
        <w:rPr>
          <w:rStyle w:val="Hyperlink"/>
          <w:rFonts w:eastAsiaTheme="minorEastAsia"/>
          <w:smallCaps/>
          <w:noProof/>
          <w:color w:val="auto"/>
          <w:szCs w:val="18"/>
          <w:lang w:val="en-US"/>
        </w:rPr>
      </w:pPr>
      <w:hyperlink w:anchor="_Toc116370300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Desarrollo de programas informáticos de análisis estadístico: DUSCEL y DUSBIGDATA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_Toc116370300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3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403C94D3" w14:textId="7F1F11B3" w:rsidR="001D32C0" w:rsidRPr="008A233B" w:rsidRDefault="00564E9C" w:rsidP="00564E9C">
      <w:pPr>
        <w:pStyle w:val="TOC2"/>
        <w:rPr>
          <w:rStyle w:val="Hyperlink"/>
          <w:rFonts w:eastAsiaTheme="minorEastAsia"/>
          <w:smallCaps/>
          <w:noProof/>
          <w:color w:val="auto"/>
          <w:szCs w:val="18"/>
          <w:lang w:val="en-US"/>
        </w:rPr>
      </w:pPr>
      <w:hyperlink w:anchor="_Toc116370301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Aplicación PATHOSTAT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_Toc116370301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3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6F2634FF" w14:textId="5C1EDE05" w:rsidR="001D32C0" w:rsidRPr="008A233B" w:rsidRDefault="00564E9C" w:rsidP="001D32C0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eastAsia="es-ES"/>
        </w:rPr>
      </w:pPr>
      <w:hyperlink w:anchor="_Toc116370302" w:history="1">
        <w:r w:rsidR="001D32C0" w:rsidRPr="008A233B">
          <w:rPr>
            <w:rStyle w:val="Hyperlink"/>
            <w:noProof/>
            <w:color w:val="auto"/>
          </w:rPr>
          <w:t>documento UPOV/INF/22 “Programas informáticos y equipos utilizados por los miembros de la Unión”</w:t>
        </w:r>
        <w:r w:rsidR="001D32C0" w:rsidRPr="008A233B">
          <w:rPr>
            <w:noProof/>
            <w:webHidden/>
          </w:rPr>
          <w:tab/>
        </w:r>
        <w:r w:rsidR="001D32C0" w:rsidRPr="008A233B">
          <w:rPr>
            <w:noProof/>
            <w:webHidden/>
          </w:rPr>
          <w:fldChar w:fldCharType="begin"/>
        </w:r>
        <w:r w:rsidR="001D32C0" w:rsidRPr="008A233B">
          <w:rPr>
            <w:noProof/>
            <w:webHidden/>
          </w:rPr>
          <w:instrText xml:space="preserve"> PAGEREF _Toc116370302 \h </w:instrText>
        </w:r>
        <w:r w:rsidR="001D32C0" w:rsidRPr="008A233B">
          <w:rPr>
            <w:noProof/>
            <w:webHidden/>
          </w:rPr>
        </w:r>
        <w:r w:rsidR="001D32C0" w:rsidRPr="008A233B">
          <w:rPr>
            <w:noProof/>
            <w:webHidden/>
          </w:rPr>
          <w:fldChar w:fldCharType="separate"/>
        </w:r>
        <w:r w:rsidR="008A233B">
          <w:rPr>
            <w:noProof/>
            <w:webHidden/>
          </w:rPr>
          <w:t>4</w:t>
        </w:r>
        <w:r w:rsidR="001D32C0" w:rsidRPr="008A233B">
          <w:rPr>
            <w:noProof/>
            <w:webHidden/>
          </w:rPr>
          <w:fldChar w:fldCharType="end"/>
        </w:r>
      </w:hyperlink>
    </w:p>
    <w:p w14:paraId="27CC0C61" w14:textId="312FE5E1" w:rsidR="001D32C0" w:rsidRPr="008A233B" w:rsidRDefault="00564E9C" w:rsidP="00564E9C">
      <w:pPr>
        <w:pStyle w:val="TOC2"/>
        <w:rPr>
          <w:rStyle w:val="Hyperlink"/>
          <w:rFonts w:eastAsiaTheme="minorEastAsia"/>
          <w:noProof/>
          <w:color w:val="auto"/>
          <w:szCs w:val="18"/>
          <w:lang w:val="en-US"/>
        </w:rPr>
      </w:pPr>
      <w:hyperlink w:anchor="_Toc116370303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Aprobación del documento UPOV/INF/22/8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_Toc116370303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4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5A03B4E3" w14:textId="2CF0607C" w:rsidR="001D32C0" w:rsidRPr="008A233B" w:rsidRDefault="00564E9C" w:rsidP="00564E9C">
      <w:pPr>
        <w:pStyle w:val="TOC2"/>
        <w:rPr>
          <w:rStyle w:val="Hyperlink"/>
          <w:rFonts w:eastAsiaTheme="minorEastAsia"/>
          <w:noProof/>
          <w:color w:val="auto"/>
          <w:szCs w:val="18"/>
          <w:lang w:val="en-US"/>
        </w:rPr>
      </w:pPr>
      <w:hyperlink w:anchor="_Toc116370304" w:history="1">
        <w:r w:rsidR="001D32C0" w:rsidRPr="008A233B">
          <w:rPr>
            <w:rStyle w:val="Hyperlink"/>
            <w:rFonts w:eastAsiaTheme="minorEastAsia"/>
            <w:noProof/>
            <w:color w:val="auto"/>
            <w:szCs w:val="18"/>
            <w:lang w:val="en-US"/>
          </w:rPr>
          <w:t>Revisión del documento UPOV/INF/22/8</w:t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ab/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instrText xml:space="preserve"> PAGEREF _Toc116370304 \h </w:instrTex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noProof/>
            <w:webHidden/>
            <w:color w:val="auto"/>
            <w:szCs w:val="18"/>
            <w:lang w:val="en-US"/>
          </w:rPr>
          <w:t>4</w:t>
        </w:r>
        <w:r w:rsidR="001D32C0" w:rsidRPr="008A233B">
          <w:rPr>
            <w:rStyle w:val="Hyperlink"/>
            <w:rFonts w:eastAsiaTheme="minorEastAsia"/>
            <w:smallCaps/>
            <w:noProof/>
            <w:webHidden/>
            <w:color w:val="auto"/>
            <w:szCs w:val="18"/>
            <w:lang w:val="en-US"/>
          </w:rPr>
          <w:fldChar w:fldCharType="end"/>
        </w:r>
      </w:hyperlink>
    </w:p>
    <w:p w14:paraId="5B3F4586" w14:textId="2B21062A" w:rsidR="001D32C0" w:rsidRPr="008A233B" w:rsidRDefault="00564E9C" w:rsidP="001D32C0">
      <w:pPr>
        <w:pStyle w:val="TOC3"/>
        <w:spacing w:before="0"/>
        <w:ind w:left="851"/>
        <w:contextualSpacing w:val="0"/>
        <w:rPr>
          <w:rStyle w:val="Hyperlink"/>
          <w:rFonts w:eastAsiaTheme="minorEastAsia"/>
          <w:i/>
          <w:noProof/>
          <w:color w:val="auto"/>
          <w:lang w:val="en-US"/>
        </w:rPr>
      </w:pPr>
      <w:hyperlink w:anchor="_Toc116370305" w:history="1">
        <w:r w:rsidR="001D32C0" w:rsidRPr="008A233B">
          <w:rPr>
            <w:rStyle w:val="Hyperlink"/>
            <w:rFonts w:eastAsiaTheme="minorEastAsia"/>
            <w:i/>
            <w:noProof/>
            <w:color w:val="auto"/>
            <w:lang w:val="en-US"/>
          </w:rPr>
          <w:t>Programas informáticos que se propone incluir</w: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tab/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begin"/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instrText xml:space="preserve"> PAGEREF _Toc116370305 \h </w:instrTex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separate"/>
        </w:r>
        <w:r w:rsid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t>4</w:t>
        </w:r>
        <w:r w:rsidR="001D32C0" w:rsidRPr="008A233B">
          <w:rPr>
            <w:rStyle w:val="Hyperlink"/>
            <w:rFonts w:eastAsiaTheme="minorEastAsia"/>
            <w:i/>
            <w:noProof/>
            <w:webHidden/>
            <w:color w:val="auto"/>
            <w:lang w:val="en-US"/>
          </w:rPr>
          <w:fldChar w:fldCharType="end"/>
        </w:r>
      </w:hyperlink>
    </w:p>
    <w:p w14:paraId="255B1673" w14:textId="77777777" w:rsidR="0023022B" w:rsidRPr="0023022B" w:rsidRDefault="0023022B" w:rsidP="0023022B">
      <w:pPr>
        <w:rPr>
          <w:snapToGrid w:val="0"/>
          <w:sz w:val="18"/>
        </w:rPr>
      </w:pPr>
      <w:r w:rsidRPr="008A233B">
        <w:rPr>
          <w:snapToGrid w:val="0"/>
        </w:rPr>
        <w:fldChar w:fldCharType="end"/>
      </w:r>
    </w:p>
    <w:bookmarkStart w:id="3" w:name="_Toc386185971"/>
    <w:bookmarkStart w:id="4" w:name="_Toc419124859"/>
    <w:p w14:paraId="3278FB6A" w14:textId="77777777" w:rsidR="0023022B" w:rsidRPr="0023022B" w:rsidRDefault="0023022B" w:rsidP="0023022B">
      <w:pPr>
        <w:keepNext/>
        <w:rPr>
          <w:rFonts w:cs="Arial"/>
        </w:rPr>
      </w:pPr>
      <w:r w:rsidRPr="0023022B">
        <w:rPr>
          <w:rFonts w:cs="Arial"/>
        </w:rPr>
        <w:fldChar w:fldCharType="begin"/>
      </w:r>
      <w:r w:rsidRPr="0023022B">
        <w:rPr>
          <w:rFonts w:cs="Arial"/>
        </w:rPr>
        <w:instrText xml:space="preserve"> AUTONUM  </w:instrText>
      </w:r>
      <w:r w:rsidRPr="0023022B">
        <w:rPr>
          <w:rFonts w:cs="Arial"/>
        </w:rPr>
        <w:fldChar w:fldCharType="end"/>
      </w:r>
      <w:r>
        <w:tab/>
        <w:t>En el presente documento se utilizan las abreviaturas siguientes:</w:t>
      </w:r>
    </w:p>
    <w:p w14:paraId="6651EFD7" w14:textId="77777777" w:rsidR="0023022B" w:rsidRPr="0023022B" w:rsidRDefault="0023022B" w:rsidP="0023022B">
      <w:pPr>
        <w:keepNext/>
        <w:rPr>
          <w:rFonts w:cs="Arial"/>
        </w:rPr>
      </w:pPr>
    </w:p>
    <w:p w14:paraId="706AFF3E" w14:textId="77777777" w:rsidR="0023022B" w:rsidRPr="0023022B" w:rsidRDefault="0023022B" w:rsidP="0023022B">
      <w:pPr>
        <w:keepNext/>
        <w:ind w:left="1701" w:hanging="1134"/>
        <w:rPr>
          <w:rFonts w:cs="Arial"/>
        </w:rPr>
      </w:pPr>
      <w:r>
        <w:t>CAJ:</w:t>
      </w:r>
      <w:r>
        <w:tab/>
        <w:t>Comité Administrativo y Jurídico</w:t>
      </w:r>
    </w:p>
    <w:p w14:paraId="53CEDC31" w14:textId="77777777" w:rsidR="0023022B" w:rsidRPr="0023022B" w:rsidRDefault="0023022B" w:rsidP="0023022B">
      <w:pPr>
        <w:keepNext/>
        <w:ind w:left="1701" w:hanging="1134"/>
        <w:rPr>
          <w:rFonts w:cs="Arial"/>
        </w:rPr>
      </w:pPr>
      <w:r>
        <w:t xml:space="preserve">TC: </w:t>
      </w:r>
      <w:r>
        <w:tab/>
        <w:t>Comité Técnico</w:t>
      </w:r>
    </w:p>
    <w:p w14:paraId="41E22894" w14:textId="77777777" w:rsidR="0023022B" w:rsidRPr="0023022B" w:rsidRDefault="0023022B" w:rsidP="0023022B">
      <w:pPr>
        <w:keepNext/>
        <w:ind w:left="1701" w:hanging="1134"/>
        <w:rPr>
          <w:rFonts w:cs="Arial"/>
        </w:rPr>
      </w:pPr>
      <w:r>
        <w:t>TWM:</w:t>
      </w:r>
      <w:r>
        <w:tab/>
        <w:t>Grupo de Trabajo Técnico sobre Métodos y Técnicas de Examen (TWM)</w:t>
      </w:r>
    </w:p>
    <w:p w14:paraId="1C3B9B5F" w14:textId="77777777" w:rsidR="0023022B" w:rsidRPr="0023022B" w:rsidRDefault="0023022B" w:rsidP="0023022B">
      <w:pPr>
        <w:ind w:left="1701" w:hanging="1134"/>
        <w:rPr>
          <w:rFonts w:cs="Arial"/>
          <w:color w:val="000000"/>
        </w:rPr>
      </w:pPr>
      <w:r>
        <w:rPr>
          <w:color w:val="000000"/>
        </w:rPr>
        <w:t>TWP:</w:t>
      </w:r>
      <w:r>
        <w:rPr>
          <w:color w:val="000000"/>
        </w:rPr>
        <w:tab/>
        <w:t xml:space="preserve">Grupos de Trabajo Técnico </w:t>
      </w:r>
      <w:bookmarkStart w:id="5" w:name="_Toc352678045"/>
      <w:bookmarkStart w:id="6" w:name="_Toc353797725"/>
      <w:bookmarkStart w:id="7" w:name="_Toc386185970"/>
      <w:bookmarkStart w:id="8" w:name="_Toc419124858"/>
    </w:p>
    <w:p w14:paraId="35C44AAD" w14:textId="77777777" w:rsidR="0023022B" w:rsidRPr="0023022B" w:rsidRDefault="0023022B" w:rsidP="0023022B"/>
    <w:p w14:paraId="4671AD68" w14:textId="77777777" w:rsidR="0023022B" w:rsidRPr="0023022B" w:rsidRDefault="0023022B" w:rsidP="0023022B"/>
    <w:p w14:paraId="12165177" w14:textId="77777777" w:rsidR="0023022B" w:rsidRPr="0023022B" w:rsidRDefault="0023022B" w:rsidP="0023022B">
      <w:pPr>
        <w:pStyle w:val="Heading1"/>
      </w:pPr>
      <w:bookmarkStart w:id="9" w:name="_Toc525565779"/>
      <w:bookmarkStart w:id="10" w:name="_Toc116370296"/>
      <w:bookmarkStart w:id="11" w:name="_Toc73471183"/>
      <w:bookmarkEnd w:id="3"/>
      <w:bookmarkEnd w:id="4"/>
      <w:bookmarkEnd w:id="5"/>
      <w:bookmarkEnd w:id="6"/>
      <w:bookmarkEnd w:id="7"/>
      <w:bookmarkEnd w:id="8"/>
      <w:r>
        <w:t>documento UPOV/INF/16 “Programas informáticos para intercambio”</w:t>
      </w:r>
      <w:bookmarkEnd w:id="9"/>
      <w:bookmarkEnd w:id="10"/>
    </w:p>
    <w:bookmarkEnd w:id="11"/>
    <w:p w14:paraId="7D3FFE2B" w14:textId="77777777" w:rsidR="0023022B" w:rsidRPr="0023022B" w:rsidRDefault="0023022B" w:rsidP="0023022B"/>
    <w:p w14:paraId="1B06C3D1" w14:textId="77777777" w:rsidR="0023022B" w:rsidRPr="0023022B" w:rsidRDefault="0023022B" w:rsidP="0023022B">
      <w:pPr>
        <w:pStyle w:val="Heading2"/>
      </w:pPr>
      <w:bookmarkStart w:id="12" w:name="_Toc14686106"/>
      <w:bookmarkStart w:id="13" w:name="_Toc73471185"/>
      <w:bookmarkStart w:id="14" w:name="_Toc116370297"/>
      <w:bookmarkStart w:id="15" w:name="_Toc380588287"/>
      <w:bookmarkStart w:id="16" w:name="_Toc10906376"/>
      <w:bookmarkStart w:id="17" w:name="_Toc14686108"/>
      <w:r>
        <w:t>Aprobación del documento UPOV/INF/16/</w:t>
      </w:r>
      <w:bookmarkEnd w:id="12"/>
      <w:bookmarkEnd w:id="13"/>
      <w:r>
        <w:t>10</w:t>
      </w:r>
      <w:bookmarkEnd w:id="14"/>
    </w:p>
    <w:p w14:paraId="6D92D6B4" w14:textId="77777777" w:rsidR="0023022B" w:rsidRPr="0023022B" w:rsidRDefault="0023022B" w:rsidP="0023022B">
      <w:pPr>
        <w:rPr>
          <w:lang w:eastAsia="ja-JP"/>
        </w:rPr>
      </w:pPr>
    </w:p>
    <w:p w14:paraId="3543B6EB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 xml:space="preserve">En su quincuagésima quinta sesión ordinaria, celebrada el 21 de septiembre de 2021, el Consejo aprobó en virtud del procedimiento por correspondencia el documento </w:t>
      </w:r>
      <w:hyperlink r:id="rId8" w:history="1">
        <w:r>
          <w:rPr>
            <w:rStyle w:val="Hyperlink"/>
          </w:rPr>
          <w:t>UPOV/INF/16/10</w:t>
        </w:r>
      </w:hyperlink>
      <w:r>
        <w:t xml:space="preserve"> “Programas informáticos para intercambio”, sobre la base del documento UPOV/INF/16/10 </w:t>
      </w:r>
      <w:proofErr w:type="spellStart"/>
      <w:r>
        <w:t>Draft</w:t>
      </w:r>
      <w:proofErr w:type="spellEnd"/>
      <w:r>
        <w:t xml:space="preserve"> 1 (véase el párrafo 17 del documento </w:t>
      </w:r>
      <w:hyperlink r:id="rId9" w:history="1">
        <w:r>
          <w:rPr>
            <w:rStyle w:val="Hyperlink"/>
          </w:rPr>
          <w:t>C/55/12</w:t>
        </w:r>
      </w:hyperlink>
      <w:r>
        <w:t xml:space="preserve"> “Resultado del examen de los documentos por correspondencia”). </w:t>
      </w:r>
    </w:p>
    <w:p w14:paraId="01CD3535" w14:textId="77777777" w:rsidR="0023022B" w:rsidRPr="0023022B" w:rsidRDefault="0023022B" w:rsidP="0023022B"/>
    <w:bookmarkEnd w:id="15"/>
    <w:bookmarkEnd w:id="16"/>
    <w:bookmarkEnd w:id="17"/>
    <w:p w14:paraId="387EF1F2" w14:textId="77777777" w:rsidR="0023022B" w:rsidRPr="0023022B" w:rsidRDefault="0023022B" w:rsidP="0023022B">
      <w:pPr>
        <w:rPr>
          <w:rFonts w:eastAsia="MS Mincho"/>
          <w:lang w:eastAsia="ja-JP"/>
        </w:rPr>
      </w:pPr>
    </w:p>
    <w:p w14:paraId="79149386" w14:textId="77777777" w:rsidR="0023022B" w:rsidRPr="0023022B" w:rsidRDefault="0023022B" w:rsidP="0023022B">
      <w:pPr>
        <w:pStyle w:val="Heading2"/>
      </w:pPr>
      <w:bookmarkStart w:id="18" w:name="_Toc525565780"/>
      <w:bookmarkStart w:id="19" w:name="_Toc116370298"/>
      <w:bookmarkStart w:id="20" w:name="_Toc51949643"/>
      <w:r>
        <w:t>Revisión del documento UPOV/INF/16/10</w:t>
      </w:r>
      <w:bookmarkEnd w:id="18"/>
      <w:bookmarkEnd w:id="19"/>
    </w:p>
    <w:p w14:paraId="256C7EE2" w14:textId="77777777" w:rsidR="0023022B" w:rsidRPr="0023022B" w:rsidRDefault="0023022B" w:rsidP="0023022B"/>
    <w:p w14:paraId="4E4C59AD" w14:textId="77777777" w:rsidR="0023022B" w:rsidRPr="0023022B" w:rsidRDefault="0023022B" w:rsidP="0023022B">
      <w:pPr>
        <w:pStyle w:val="Heading3"/>
      </w:pPr>
      <w:bookmarkStart w:id="21" w:name="_Toc116370299"/>
      <w:r>
        <w:t>Información sobre el uso por los miembros de la Unión</w:t>
      </w:r>
      <w:bookmarkEnd w:id="21"/>
    </w:p>
    <w:bookmarkEnd w:id="20"/>
    <w:p w14:paraId="621916D1" w14:textId="77777777" w:rsidR="0023022B" w:rsidRPr="0023022B" w:rsidRDefault="0023022B" w:rsidP="0023022B"/>
    <w:p w14:paraId="778D2903" w14:textId="77777777" w:rsidR="0023022B" w:rsidRPr="0023022B" w:rsidRDefault="0023022B" w:rsidP="0023022B">
      <w:pPr>
        <w:keepNext/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  <w:t>En la sección 4 del</w:t>
      </w:r>
      <w:r>
        <w:t xml:space="preserve"> documento UPOV/INF/16 “Programas informáticos para intercambio” se dispone lo siguiente:</w:t>
      </w:r>
    </w:p>
    <w:p w14:paraId="7D6B572A" w14:textId="77777777" w:rsidR="0023022B" w:rsidRPr="0023022B" w:rsidRDefault="0023022B" w:rsidP="0023022B">
      <w:pPr>
        <w:keepNext/>
      </w:pPr>
    </w:p>
    <w:p w14:paraId="19FBE8DC" w14:textId="77777777" w:rsidR="0023022B" w:rsidRPr="0023022B" w:rsidRDefault="0023022B" w:rsidP="0023022B">
      <w:pPr>
        <w:keepNext/>
        <w:spacing w:after="120"/>
        <w:ind w:left="567" w:right="567"/>
        <w:rPr>
          <w:snapToGrid w:val="0"/>
          <w:sz w:val="18"/>
          <w:szCs w:val="18"/>
          <w:u w:val="single"/>
        </w:rPr>
      </w:pPr>
      <w:r>
        <w:rPr>
          <w:snapToGrid w:val="0"/>
          <w:sz w:val="18"/>
        </w:rPr>
        <w:t>“4.</w:t>
      </w:r>
      <w:r>
        <w:rPr>
          <w:snapToGrid w:val="0"/>
          <w:sz w:val="18"/>
        </w:rPr>
        <w:tab/>
      </w:r>
      <w:r>
        <w:rPr>
          <w:snapToGrid w:val="0"/>
          <w:sz w:val="18"/>
          <w:u w:val="single"/>
        </w:rPr>
        <w:t>Información sobre el uso por los miembros de la Unión</w:t>
      </w:r>
    </w:p>
    <w:p w14:paraId="70210A79" w14:textId="77777777" w:rsidR="0023022B" w:rsidRPr="0023022B" w:rsidRDefault="0023022B" w:rsidP="0023022B">
      <w:pPr>
        <w:keepNext/>
        <w:spacing w:after="120"/>
        <w:ind w:left="567" w:right="567"/>
        <w:rPr>
          <w:snapToGrid w:val="0"/>
          <w:sz w:val="18"/>
          <w:szCs w:val="18"/>
        </w:rPr>
      </w:pPr>
      <w:r>
        <w:rPr>
          <w:snapToGrid w:val="0"/>
          <w:sz w:val="18"/>
        </w:rPr>
        <w:t>4.1 Cada año se envía una circular a los miembros de la Unión, invitándolos a proporcionar información sobre el uso que hacen de los programas informáticos enumerados en el documento UPOV/INF/16.</w:t>
      </w:r>
    </w:p>
    <w:p w14:paraId="3E9BB9E5" w14:textId="77777777" w:rsidR="0023022B" w:rsidRPr="0023022B" w:rsidRDefault="0023022B" w:rsidP="0023022B">
      <w:pPr>
        <w:spacing w:after="240"/>
        <w:ind w:left="567" w:right="567"/>
        <w:rPr>
          <w:snapToGrid w:val="0"/>
          <w:spacing w:val="-2"/>
          <w:sz w:val="18"/>
          <w:szCs w:val="18"/>
        </w:rPr>
      </w:pPr>
      <w:r>
        <w:rPr>
          <w:snapToGrid w:val="0"/>
          <w:sz w:val="18"/>
        </w:rPr>
        <w:t>4.2</w:t>
      </w:r>
      <w:r>
        <w:rPr>
          <w:snapToGrid w:val="0"/>
          <w:sz w:val="18"/>
        </w:rPr>
        <w:tab/>
        <w:t xml:space="preserve">La información sobre ese uso se indica en las columnas ‘Miembros de la Unión que utilizan el programa informático’ y ‘Aplicación por los usuarios’. En el espacio destinado a la ‘Aplicación por los usuarios’, los Miembros de la Unión podrán indicar, por ejemplo, los cultivos o tipos de cultivo para los cuales se utiliza el programa informático en cuestión.” </w:t>
      </w:r>
    </w:p>
    <w:p w14:paraId="77375C6E" w14:textId="0007829D" w:rsidR="0023022B" w:rsidRPr="0023022B" w:rsidRDefault="0023022B" w:rsidP="0023022B"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  <w:t>El</w:t>
      </w:r>
      <w:r>
        <w:t xml:space="preserve"> 8 de enero de 2022, </w:t>
      </w:r>
      <w:r>
        <w:rPr>
          <w:snapToGrid w:val="0"/>
        </w:rPr>
        <w:t>la Oficina de la Unión envió</w:t>
      </w:r>
      <w:r>
        <w:t xml:space="preserve"> la circular E-22/002 a las personas designadas por los miembros de la Unión para asistir al TC, invitándolas a proporcionar información nueva o actualizada en relación con el uso de los programas informáticos para intercambio enumerados en el documento</w:t>
      </w:r>
      <w:r w:rsidR="0082576E">
        <w:t> </w:t>
      </w:r>
      <w:r>
        <w:t xml:space="preserve">UPOV/INF/16. </w:t>
      </w:r>
    </w:p>
    <w:p w14:paraId="21E1EACA" w14:textId="77777777" w:rsidR="0023022B" w:rsidRPr="0023022B" w:rsidRDefault="0023022B" w:rsidP="0023022B">
      <w:pPr>
        <w:rPr>
          <w:snapToGrid w:val="0"/>
          <w:lang w:eastAsia="ja-JP"/>
        </w:rPr>
      </w:pPr>
    </w:p>
    <w:p w14:paraId="72F9008D" w14:textId="77777777" w:rsidR="0023022B" w:rsidRPr="0023022B" w:rsidRDefault="0023022B" w:rsidP="0023022B">
      <w:pPr>
        <w:rPr>
          <w:spacing w:val="-2"/>
        </w:rPr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</w:r>
      <w:r>
        <w:t xml:space="preserve">La Oficina de la Unión recibió información de China, Francia, Polonia, la República Checa y Uzbekistán en respuesta a la circular E-22/002. La información de China, Francia, Polonia y la República Checa se recoge en el documento UPOV/INF/16/11 </w:t>
      </w:r>
      <w:proofErr w:type="spellStart"/>
      <w:r>
        <w:t>Draft</w:t>
      </w:r>
      <w:proofErr w:type="spellEnd"/>
      <w:r>
        <w:t> 1.</w:t>
      </w:r>
      <w:r>
        <w:cr/>
      </w:r>
    </w:p>
    <w:p w14:paraId="559711C4" w14:textId="77777777" w:rsidR="0023022B" w:rsidRPr="0023022B" w:rsidRDefault="0023022B" w:rsidP="0023022B">
      <w:pPr>
        <w:rPr>
          <w:snapToGrid w:val="0"/>
        </w:rPr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  <w:t>El Grupo de Trabajo Técnico sobre Métodos y Técnicas de Examen (TWM) convino en que se requerirán aclaraciones sobre el programa informático propuesto por Uzbekistán, incluida su disponibilidad para el intercambio</w:t>
      </w:r>
      <w:r>
        <w:t xml:space="preserve"> </w:t>
      </w:r>
      <w:r>
        <w:rPr>
          <w:snapToGrid w:val="0"/>
        </w:rPr>
        <w:t>(véase el párrafo 50 del documento </w:t>
      </w:r>
      <w:hyperlink r:id="rId10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</w:t>
      </w:r>
      <w:proofErr w:type="spellStart"/>
      <w:r>
        <w:rPr>
          <w:i/>
          <w:iCs/>
          <w:snapToGrid w:val="0"/>
        </w:rPr>
        <w:t>Report</w:t>
      </w:r>
      <w:proofErr w:type="spellEnd"/>
      <w:r>
        <w:rPr>
          <w:snapToGrid w:val="0"/>
        </w:rPr>
        <w:t xml:space="preserve">”). </w:t>
      </w:r>
    </w:p>
    <w:p w14:paraId="1F915F73" w14:textId="77777777" w:rsidR="0023022B" w:rsidRPr="0023022B" w:rsidRDefault="0023022B" w:rsidP="0023022B">
      <w:pPr>
        <w:rPr>
          <w:snapToGrid w:val="0"/>
        </w:rPr>
      </w:pPr>
    </w:p>
    <w:p w14:paraId="2707910D" w14:textId="77777777" w:rsidR="0023022B" w:rsidRPr="0023022B" w:rsidRDefault="0023022B" w:rsidP="0023022B">
      <w:pPr>
        <w:pStyle w:val="Heading4"/>
        <w:rPr>
          <w:snapToGrid w:val="0"/>
        </w:rPr>
      </w:pPr>
      <w:bookmarkStart w:id="22" w:name="_Toc116370300"/>
      <w:r>
        <w:lastRenderedPageBreak/>
        <w:t>Desarrollo de programas informáticos de análisis estadístico: DUSCEL y DUSBIGDATA</w:t>
      </w:r>
      <w:bookmarkEnd w:id="22"/>
    </w:p>
    <w:p w14:paraId="68546421" w14:textId="77777777" w:rsidR="0023022B" w:rsidRPr="0023022B" w:rsidRDefault="0023022B" w:rsidP="0023022B">
      <w:pPr>
        <w:keepNext/>
        <w:rPr>
          <w:snapToGrid w:val="0"/>
        </w:rPr>
      </w:pPr>
    </w:p>
    <w:p w14:paraId="08923FFA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>El TWM asistió a una ponencia del Sr. </w:t>
      </w:r>
      <w:proofErr w:type="spellStart"/>
      <w:r>
        <w:t>Kun</w:t>
      </w:r>
      <w:proofErr w:type="spellEnd"/>
      <w:r>
        <w:t xml:space="preserve"> Yang (China) sobre el “Desarrollo de programas informáticos para análisis estadístico: DUSCEL y DUSBIGDATA”. Se facilita una copia de la ponencia en el documento TWM/1/10. El TWM tomó nota de la extensa labor realizada y la ampliación del programa informático para incluir funcionalidades adicionales </w:t>
      </w:r>
      <w:r>
        <w:rPr>
          <w:snapToGrid w:val="0"/>
        </w:rPr>
        <w:t>(véanse los párrafos 51 y 52 del documento</w:t>
      </w:r>
      <w:r>
        <w:t xml:space="preserve"> </w:t>
      </w:r>
      <w:hyperlink r:id="rId11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</w:t>
      </w:r>
      <w:proofErr w:type="spellStart"/>
      <w:r>
        <w:rPr>
          <w:i/>
          <w:iCs/>
          <w:snapToGrid w:val="0"/>
        </w:rPr>
        <w:t>Report</w:t>
      </w:r>
      <w:proofErr w:type="spellEnd"/>
      <w:r>
        <w:rPr>
          <w:snapToGrid w:val="0"/>
        </w:rPr>
        <w:t>” (Informe)</w:t>
      </w:r>
      <w:r>
        <w:t xml:space="preserve">. </w:t>
      </w:r>
    </w:p>
    <w:p w14:paraId="6DAD0234" w14:textId="77777777" w:rsidR="0023022B" w:rsidRPr="0023022B" w:rsidRDefault="0023022B" w:rsidP="0023022B"/>
    <w:p w14:paraId="213A816C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 xml:space="preserve">El TWM tomó nota de que el programa informático se está desarrollando y se prevé que esté terminado en 2023. El TWM convino en invitar a China a informar sobre las novedades en la segunda sesión del TWM. </w:t>
      </w:r>
    </w:p>
    <w:p w14:paraId="5C83E1E0" w14:textId="77777777" w:rsidR="0023022B" w:rsidRPr="0023022B" w:rsidRDefault="0023022B" w:rsidP="0023022B"/>
    <w:p w14:paraId="4A7D3FD1" w14:textId="77777777" w:rsidR="0023022B" w:rsidRPr="0023022B" w:rsidRDefault="0023022B" w:rsidP="0023022B">
      <w:pPr>
        <w:pStyle w:val="Heading4"/>
      </w:pPr>
      <w:bookmarkStart w:id="23" w:name="_Toc116370301"/>
      <w:r>
        <w:t>Aplicación PATHOSTAT</w:t>
      </w:r>
      <w:bookmarkEnd w:id="23"/>
    </w:p>
    <w:p w14:paraId="42060EEA" w14:textId="77777777" w:rsidR="0023022B" w:rsidRPr="0023022B" w:rsidRDefault="0023022B" w:rsidP="0023022B">
      <w:pPr>
        <w:jc w:val="left"/>
      </w:pPr>
    </w:p>
    <w:p w14:paraId="7D77069D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>El TWM asistió a una ponencia del Sr. </w:t>
      </w:r>
      <w:proofErr w:type="spellStart"/>
      <w:r>
        <w:t>Thibaud</w:t>
      </w:r>
      <w:proofErr w:type="spellEnd"/>
      <w:r>
        <w:t xml:space="preserve"> </w:t>
      </w:r>
      <w:proofErr w:type="spellStart"/>
      <w:r>
        <w:t>Quémar</w:t>
      </w:r>
      <w:proofErr w:type="spellEnd"/>
      <w:r>
        <w:t xml:space="preserve"> (Francia) sobre la “aplicación PATHOSTAT”, que se reproduce en el documento TWM/1/11 </w:t>
      </w:r>
      <w:r>
        <w:rPr>
          <w:snapToGrid w:val="0"/>
        </w:rPr>
        <w:t>(véanse los párrafos 53 a 55 del documento</w:t>
      </w:r>
      <w:r>
        <w:t xml:space="preserve"> </w:t>
      </w:r>
      <w:hyperlink r:id="rId12" w:history="1">
        <w:r>
          <w:rPr>
            <w:rStyle w:val="Hyperlink"/>
            <w:snapToGrid w:val="0"/>
          </w:rPr>
          <w:t>TWM/1/26</w:t>
        </w:r>
      </w:hyperlink>
      <w:r>
        <w:rPr>
          <w:snapToGrid w:val="0"/>
        </w:rPr>
        <w:t xml:space="preserve"> “</w:t>
      </w:r>
      <w:proofErr w:type="spellStart"/>
      <w:r>
        <w:rPr>
          <w:i/>
          <w:iCs/>
          <w:snapToGrid w:val="0"/>
        </w:rPr>
        <w:t>Report</w:t>
      </w:r>
      <w:proofErr w:type="spellEnd"/>
      <w:r>
        <w:rPr>
          <w:snapToGrid w:val="0"/>
        </w:rPr>
        <w:t>”</w:t>
      </w:r>
      <w:r>
        <w:t xml:space="preserve">. </w:t>
      </w:r>
    </w:p>
    <w:p w14:paraId="5A45AC8B" w14:textId="77777777" w:rsidR="0023022B" w:rsidRPr="0023022B" w:rsidRDefault="0023022B" w:rsidP="0023022B"/>
    <w:p w14:paraId="3DF945E9" w14:textId="6B6FD2BB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>El TWM tomó nota de que PATHOSTAT es una aplicación en Internet puesta a disposición para que la utilicen los miembros de la Unión. El TWM tomó nota de las condiciones de puesta a disposición de</w:t>
      </w:r>
      <w:r w:rsidR="005064F7">
        <w:t> </w:t>
      </w:r>
      <w:r>
        <w:t>PATHOSTAT, como un servicio en Internet y no como un programa informático que pueda descargarse.</w:t>
      </w:r>
    </w:p>
    <w:p w14:paraId="1EFBC753" w14:textId="77777777" w:rsidR="0023022B" w:rsidRPr="0023022B" w:rsidRDefault="0023022B" w:rsidP="0023022B"/>
    <w:p w14:paraId="3C1A8029" w14:textId="2520B292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 xml:space="preserve">El TWM recomendó al TC que </w:t>
      </w:r>
      <w:r>
        <w:rPr>
          <w:snapToGrid w:val="0"/>
        </w:rPr>
        <w:t>en su quincuagésima octava sesión, proponga incluir la aplicación</w:t>
      </w:r>
      <w:r w:rsidR="005064F7">
        <w:rPr>
          <w:snapToGrid w:val="0"/>
        </w:rPr>
        <w:t> </w:t>
      </w:r>
      <w:r>
        <w:t>PATHOSTAT en el documento UPOV/INF/16.</w:t>
      </w:r>
    </w:p>
    <w:p w14:paraId="5FB389E5" w14:textId="77777777" w:rsidR="0023022B" w:rsidRPr="0023022B" w:rsidRDefault="0023022B" w:rsidP="0023022B"/>
    <w:p w14:paraId="05BE10B4" w14:textId="31F1B1CA" w:rsidR="0023022B" w:rsidRPr="0023022B" w:rsidRDefault="0023022B" w:rsidP="0023022B">
      <w:pPr>
        <w:spacing w:after="240"/>
        <w:rPr>
          <w:color w:val="000000"/>
        </w:rPr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</w:r>
      <w:r>
        <w:t>Se invita al TC a considerar si procede incluir la aplicación PATHOSTAT en el documento</w:t>
      </w:r>
      <w:r w:rsidR="005064F7">
        <w:t> </w:t>
      </w:r>
      <w:r>
        <w:t>UPOV/INF/16.</w:t>
      </w:r>
    </w:p>
    <w:p w14:paraId="67937C31" w14:textId="77777777" w:rsidR="0023022B" w:rsidRPr="0023022B" w:rsidRDefault="0023022B" w:rsidP="0023022B">
      <w:pPr>
        <w:spacing w:after="240"/>
        <w:rPr>
          <w:color w:val="000000"/>
          <w:sz w:val="18"/>
        </w:rPr>
      </w:pPr>
      <w:r>
        <w:rPr>
          <w:color w:val="000000"/>
          <w:sz w:val="18"/>
        </w:rPr>
        <w:tab/>
        <w:t>d)</w:t>
      </w:r>
      <w:r>
        <w:rPr>
          <w:color w:val="000000"/>
          <w:sz w:val="18"/>
        </w:rPr>
        <w:tab/>
      </w:r>
      <w:r>
        <w:rPr>
          <w:color w:val="000000"/>
          <w:sz w:val="18"/>
          <w:u w:val="single"/>
        </w:rPr>
        <w:t>Diseño de los ensayos DHE y análisis de datos</w:t>
      </w:r>
    </w:p>
    <w:tbl>
      <w:tblPr>
        <w:tblStyle w:val="TableGrid"/>
        <w:tblW w:w="971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097"/>
        <w:gridCol w:w="1740"/>
        <w:gridCol w:w="1841"/>
        <w:gridCol w:w="1134"/>
        <w:gridCol w:w="992"/>
        <w:gridCol w:w="1073"/>
      </w:tblGrid>
      <w:tr w:rsidR="0023022B" w:rsidRPr="0023022B" w14:paraId="0295ECCD" w14:textId="77777777" w:rsidTr="005064F7">
        <w:tc>
          <w:tcPr>
            <w:tcW w:w="846" w:type="dxa"/>
          </w:tcPr>
          <w:p w14:paraId="2010437D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Fecha de inclusión</w:t>
            </w:r>
          </w:p>
        </w:tc>
        <w:tc>
          <w:tcPr>
            <w:tcW w:w="992" w:type="dxa"/>
          </w:tcPr>
          <w:p w14:paraId="2AF9C42A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Nombre del programa</w:t>
            </w:r>
          </w:p>
        </w:tc>
        <w:tc>
          <w:tcPr>
            <w:tcW w:w="1097" w:type="dxa"/>
          </w:tcPr>
          <w:p w14:paraId="4AE74A1C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Lenguaje de programación</w:t>
            </w:r>
          </w:p>
        </w:tc>
        <w:tc>
          <w:tcPr>
            <w:tcW w:w="1740" w:type="dxa"/>
          </w:tcPr>
          <w:p w14:paraId="2612FF9F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Función (breve resumen)</w:t>
            </w:r>
          </w:p>
        </w:tc>
        <w:tc>
          <w:tcPr>
            <w:tcW w:w="1841" w:type="dxa"/>
          </w:tcPr>
          <w:p w14:paraId="41E53C5F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Fuente y datos de contacto</w:t>
            </w:r>
          </w:p>
        </w:tc>
        <w:tc>
          <w:tcPr>
            <w:tcW w:w="1134" w:type="dxa"/>
          </w:tcPr>
          <w:p w14:paraId="1249D88A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Condiciones de puesta a disposición</w:t>
            </w:r>
          </w:p>
        </w:tc>
        <w:tc>
          <w:tcPr>
            <w:tcW w:w="992" w:type="dxa"/>
          </w:tcPr>
          <w:p w14:paraId="3604D94F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Miembro(s) de la UPOV que utiliza(n) el programa informático</w:t>
            </w:r>
          </w:p>
        </w:tc>
        <w:tc>
          <w:tcPr>
            <w:tcW w:w="1073" w:type="dxa"/>
          </w:tcPr>
          <w:p w14:paraId="731187DC" w14:textId="77777777" w:rsidR="0023022B" w:rsidRPr="0023022B" w:rsidRDefault="0023022B" w:rsidP="00B75D2D">
            <w:pPr>
              <w:keepNext/>
              <w:jc w:val="center"/>
              <w:rPr>
                <w:rFonts w:cs="Arial"/>
                <w:snapToGrid w:val="0"/>
                <w:sz w:val="14"/>
              </w:rPr>
            </w:pPr>
            <w:r>
              <w:rPr>
                <w:snapToGrid w:val="0"/>
                <w:sz w:val="14"/>
              </w:rPr>
              <w:t>Aplicación por los/as usuarios/as</w:t>
            </w:r>
          </w:p>
        </w:tc>
      </w:tr>
      <w:tr w:rsidR="0023022B" w:rsidRPr="0023022B" w14:paraId="52226B5E" w14:textId="77777777" w:rsidTr="005064F7"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cantSplit/>
        </w:trPr>
        <w:tc>
          <w:tcPr>
            <w:tcW w:w="846" w:type="dxa"/>
            <w:shd w:val="clear" w:color="auto" w:fill="F2F2F2" w:themeFill="background1" w:themeFillShade="F2"/>
          </w:tcPr>
          <w:p w14:paraId="4CAA1AE9" w14:textId="77777777" w:rsidR="0023022B" w:rsidRPr="0023022B" w:rsidRDefault="0023022B" w:rsidP="00B75D2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  <w:lang w:eastAsia="ja-JP"/>
              </w:rPr>
            </w:pPr>
          </w:p>
        </w:tc>
        <w:tc>
          <w:tcPr>
            <w:tcW w:w="992" w:type="dxa"/>
          </w:tcPr>
          <w:p w14:paraId="34D73D75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>PATHOSTAT</w:t>
            </w:r>
          </w:p>
        </w:tc>
        <w:tc>
          <w:tcPr>
            <w:tcW w:w="1097" w:type="dxa"/>
          </w:tcPr>
          <w:p w14:paraId="405D6FB2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Excel</w:t>
            </w:r>
          </w:p>
        </w:tc>
        <w:tc>
          <w:tcPr>
            <w:tcW w:w="1740" w:type="dxa"/>
          </w:tcPr>
          <w:p w14:paraId="5B92D05C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>Herramienta de asistencia a la toma de decisiones para integrar la estadística al análisis de resultados experimentales de resistencia a plagas de especies vegetales</w:t>
            </w:r>
          </w:p>
        </w:tc>
        <w:tc>
          <w:tcPr>
            <w:tcW w:w="1841" w:type="dxa"/>
          </w:tcPr>
          <w:p w14:paraId="2A504B51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 xml:space="preserve">Francia: Sra. </w:t>
            </w:r>
            <w:proofErr w:type="spellStart"/>
            <w:r>
              <w:rPr>
                <w:sz w:val="14"/>
                <w:u w:val="single"/>
              </w:rPr>
              <w:t>Sophie</w:t>
            </w:r>
            <w:proofErr w:type="spellEnd"/>
            <w:r>
              <w:rPr>
                <w:sz w:val="14"/>
                <w:u w:val="single"/>
              </w:rPr>
              <w:t xml:space="preserve"> </w:t>
            </w:r>
            <w:proofErr w:type="spellStart"/>
            <w:r>
              <w:rPr>
                <w:sz w:val="14"/>
                <w:u w:val="single"/>
              </w:rPr>
              <w:t>Perrot</w:t>
            </w:r>
            <w:proofErr w:type="spellEnd"/>
          </w:p>
          <w:p w14:paraId="6566197F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Correo-e</w:t>
            </w:r>
            <w:r>
              <w:rPr>
                <w:sz w:val="14"/>
                <w:u w:val="single"/>
              </w:rPr>
              <w:t xml:space="preserve">: </w:t>
            </w:r>
            <w:hyperlink r:id="rId13" w:history="1">
              <w:r>
                <w:rPr>
                  <w:rStyle w:val="Hyperlink"/>
                  <w:sz w:val="14"/>
                </w:rPr>
                <w:t>sophie.perrot@geves.fr</w:t>
              </w:r>
            </w:hyperlink>
          </w:p>
          <w:p w14:paraId="18ED0A63" w14:textId="77777777" w:rsidR="0023022B" w:rsidRPr="0023022B" w:rsidRDefault="0023022B" w:rsidP="00B75D2D">
            <w:pPr>
              <w:jc w:val="left"/>
              <w:rPr>
                <w:rFonts w:cs="Arial"/>
                <w:sz w:val="14"/>
                <w:szCs w:val="18"/>
                <w:u w:val="single"/>
              </w:rPr>
            </w:pPr>
            <w:r>
              <w:rPr>
                <w:sz w:val="14"/>
                <w:u w:val="single"/>
              </w:rPr>
              <w:t xml:space="preserve">y </w:t>
            </w:r>
            <w:hyperlink r:id="rId14" w:history="1">
              <w:r>
                <w:rPr>
                  <w:rStyle w:val="Hyperlink"/>
                  <w:sz w:val="14"/>
                </w:rPr>
                <w:t>PATHOSTAT | (geves.fr)</w:t>
              </w:r>
            </w:hyperlink>
            <w:r>
              <w:rPr>
                <w:sz w:val="14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14:paraId="58B424FF" w14:textId="77777777" w:rsidR="0023022B" w:rsidRPr="0023022B" w:rsidRDefault="0023022B" w:rsidP="00B75D2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Disponible como servicio en Internet y no para su descarga</w:t>
            </w:r>
          </w:p>
        </w:tc>
        <w:tc>
          <w:tcPr>
            <w:tcW w:w="992" w:type="dxa"/>
          </w:tcPr>
          <w:p w14:paraId="11FC2AD9" w14:textId="77777777" w:rsidR="0023022B" w:rsidRPr="0023022B" w:rsidRDefault="0023022B" w:rsidP="00B75D2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FR</w:t>
            </w:r>
          </w:p>
        </w:tc>
        <w:tc>
          <w:tcPr>
            <w:tcW w:w="1073" w:type="dxa"/>
          </w:tcPr>
          <w:p w14:paraId="12048301" w14:textId="77777777" w:rsidR="0023022B" w:rsidRPr="0023022B" w:rsidRDefault="0023022B" w:rsidP="00B75D2D">
            <w:pPr>
              <w:jc w:val="left"/>
              <w:rPr>
                <w:rFonts w:cs="Arial"/>
                <w:snapToGrid w:val="0"/>
                <w:sz w:val="14"/>
                <w:szCs w:val="18"/>
                <w:u w:val="single"/>
              </w:rPr>
            </w:pPr>
            <w:r>
              <w:rPr>
                <w:snapToGrid w:val="0"/>
                <w:sz w:val="14"/>
                <w:u w:val="single"/>
              </w:rPr>
              <w:t>Especies vegetales</w:t>
            </w:r>
          </w:p>
        </w:tc>
      </w:tr>
    </w:tbl>
    <w:p w14:paraId="0D7DE339" w14:textId="77777777" w:rsidR="0023022B" w:rsidRPr="0023022B" w:rsidRDefault="0023022B" w:rsidP="0023022B"/>
    <w:p w14:paraId="3182AEAA" w14:textId="77777777" w:rsidR="0023022B" w:rsidRPr="0023022B" w:rsidRDefault="0023022B" w:rsidP="0023022B">
      <w:pPr>
        <w:rPr>
          <w:spacing w:val="-2"/>
        </w:rPr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</w:r>
      <w:r>
        <w:t>A reserva de que el TC y el CAJ acuerden un proyecto del documento UPOV/INF/16/11, sobre la base del documento UPOV/INF/16/11 </w:t>
      </w:r>
      <w:proofErr w:type="spellStart"/>
      <w:r>
        <w:t>Draft</w:t>
      </w:r>
      <w:proofErr w:type="spellEnd"/>
      <w:r>
        <w:t> 1, con inclusión de la aplicación PATHOSTAT según se propone en el párrafo 15, un proyecto acordado del documento UPOV/INF/16/11 se someterá al Consejo para que considere su aprobación en 2022.</w:t>
      </w:r>
    </w:p>
    <w:p w14:paraId="7D7388FE" w14:textId="77777777" w:rsidR="0023022B" w:rsidRPr="0023022B" w:rsidRDefault="0023022B" w:rsidP="0023022B">
      <w:pPr>
        <w:rPr>
          <w:spacing w:val="-2"/>
        </w:rPr>
      </w:pPr>
    </w:p>
    <w:p w14:paraId="545B854A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i/>
        </w:rPr>
      </w:pPr>
      <w:r w:rsidRPr="0023022B">
        <w:rPr>
          <w:i/>
        </w:rPr>
        <w:fldChar w:fldCharType="begin"/>
      </w:r>
      <w:r w:rsidRPr="0023022B">
        <w:rPr>
          <w:i/>
        </w:rPr>
        <w:instrText xml:space="preserve"> AUTONUM  </w:instrText>
      </w:r>
      <w:r w:rsidRPr="0023022B">
        <w:rPr>
          <w:i/>
        </w:rPr>
        <w:fldChar w:fldCharType="end"/>
      </w:r>
      <w:r>
        <w:rPr>
          <w:i/>
        </w:rPr>
        <w:tab/>
        <w:t xml:space="preserve">Se invita al TC a: </w:t>
      </w:r>
    </w:p>
    <w:p w14:paraId="56153C07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i/>
        </w:rPr>
      </w:pPr>
    </w:p>
    <w:p w14:paraId="07ACB1B6" w14:textId="77777777" w:rsidR="0023022B" w:rsidRPr="0023022B" w:rsidRDefault="0023022B" w:rsidP="0023022B">
      <w:pPr>
        <w:tabs>
          <w:tab w:val="left" w:pos="5387"/>
          <w:tab w:val="left" w:pos="5851"/>
        </w:tabs>
        <w:spacing w:after="240"/>
        <w:ind w:left="4820"/>
        <w:rPr>
          <w:rFonts w:eastAsia="MS Mincho"/>
          <w:i/>
          <w:spacing w:val="-2"/>
        </w:rPr>
      </w:pPr>
      <w:r>
        <w:rPr>
          <w:i/>
        </w:rPr>
        <w:tab/>
        <w:t>a)</w:t>
      </w:r>
      <w:r>
        <w:rPr>
          <w:i/>
        </w:rPr>
        <w:tab/>
        <w:t>tomar nota de que el Consejo, en su quincuagésima quinta sesión ordinaria, celebrada el 21 de septiembre de 2021, aprobó en virtud del procedimiento por correspondencia el documento UPOV/INF/16/10 “Programas informáticos para intercambio”;</w:t>
      </w:r>
    </w:p>
    <w:p w14:paraId="072A4C71" w14:textId="77777777" w:rsidR="0023022B" w:rsidRPr="0023022B" w:rsidRDefault="0023022B" w:rsidP="0023022B">
      <w:pPr>
        <w:tabs>
          <w:tab w:val="left" w:pos="5387"/>
          <w:tab w:val="left" w:pos="5851"/>
        </w:tabs>
        <w:spacing w:after="240"/>
        <w:ind w:left="4820"/>
        <w:rPr>
          <w:rFonts w:eastAsia="MS Mincho"/>
          <w:i/>
          <w:spacing w:val="-2"/>
        </w:rPr>
      </w:pPr>
      <w:r>
        <w:rPr>
          <w:i/>
        </w:rPr>
        <w:tab/>
        <w:t>b)</w:t>
      </w:r>
      <w:r>
        <w:rPr>
          <w:i/>
        </w:rPr>
        <w:tab/>
        <w:t>tomar nota de que la Oficina de la Unión ha recibido respuestas de China, Francia, Polonia, la República Checa y Uzbekistán atendiendo a la circular E</w:t>
      </w:r>
      <w:r>
        <w:rPr>
          <w:i/>
        </w:rPr>
        <w:noBreakHyphen/>
        <w:t>22/002 en la que se invita a los miembros a facilitar o actualizar la información relativa los programas informáticos para intercambio incluidos en el documento UPOV/INF/16;</w:t>
      </w:r>
    </w:p>
    <w:p w14:paraId="7CC33CCD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  <w:r>
        <w:rPr>
          <w:i/>
        </w:rPr>
        <w:tab/>
        <w:t>c)</w:t>
      </w:r>
      <w:r>
        <w:rPr>
          <w:i/>
        </w:rPr>
        <w:tab/>
        <w:t>tomar nota de que se requerirán aclaraciones sobre el programa informático propuesto por Uzbekistán, incluida su disponibilidad para el intercambio;</w:t>
      </w:r>
    </w:p>
    <w:p w14:paraId="690075B0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rFonts w:eastAsia="MS Mincho"/>
          <w:i/>
          <w:lang w:eastAsia="ja-JP"/>
        </w:rPr>
      </w:pPr>
    </w:p>
    <w:p w14:paraId="51AFCC75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rFonts w:eastAsia="MS Mincho"/>
          <w:i/>
        </w:rPr>
      </w:pPr>
      <w:r>
        <w:rPr>
          <w:i/>
        </w:rPr>
        <w:tab/>
      </w:r>
      <w:r>
        <w:rPr>
          <w:i/>
          <w:iCs/>
        </w:rPr>
        <w:t>d)</w:t>
      </w:r>
      <w:r>
        <w:rPr>
          <w:i/>
          <w:iCs/>
        </w:rPr>
        <w:tab/>
        <w:t>considerar la inclusión de la aplicación PATHOSTAT en el documento UPOV/INF/16, tal como se propone en el párrafo 15 del presente documento;</w:t>
      </w:r>
      <w:r>
        <w:rPr>
          <w:i/>
        </w:rPr>
        <w:t xml:space="preserve"> </w:t>
      </w:r>
    </w:p>
    <w:p w14:paraId="60439771" w14:textId="77777777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rFonts w:eastAsia="MS Mincho"/>
          <w:i/>
          <w:lang w:eastAsia="ja-JP"/>
        </w:rPr>
      </w:pPr>
    </w:p>
    <w:p w14:paraId="1C15BC52" w14:textId="5B82271F" w:rsidR="0023022B" w:rsidRPr="0023022B" w:rsidRDefault="0023022B" w:rsidP="0023022B">
      <w:pPr>
        <w:tabs>
          <w:tab w:val="left" w:pos="5387"/>
          <w:tab w:val="left" w:pos="5954"/>
        </w:tabs>
        <w:ind w:left="4820"/>
        <w:rPr>
          <w:rFonts w:eastAsia="MS Mincho"/>
          <w:i/>
          <w:spacing w:val="-2"/>
        </w:rPr>
      </w:pPr>
      <w:r>
        <w:rPr>
          <w:i/>
        </w:rPr>
        <w:tab/>
        <w:t>e)</w:t>
      </w:r>
      <w:r>
        <w:rPr>
          <w:i/>
        </w:rPr>
        <w:tab/>
        <w:t xml:space="preserve">tomar nota de que, a reserva de que </w:t>
      </w:r>
      <w:r w:rsidR="005064F7">
        <w:rPr>
          <w:i/>
        </w:rPr>
        <w:br/>
      </w:r>
      <w:r>
        <w:rPr>
          <w:i/>
        </w:rPr>
        <w:t>el</w:t>
      </w:r>
      <w:r w:rsidR="005064F7">
        <w:rPr>
          <w:i/>
        </w:rPr>
        <w:t> </w:t>
      </w:r>
      <w:r>
        <w:rPr>
          <w:i/>
        </w:rPr>
        <w:t>TC</w:t>
      </w:r>
      <w:r w:rsidR="005064F7">
        <w:rPr>
          <w:i/>
        </w:rPr>
        <w:t xml:space="preserve"> </w:t>
      </w:r>
      <w:r>
        <w:rPr>
          <w:i/>
        </w:rPr>
        <w:t>y el CAJ acuerden un proyecto del documento UPOV/INF/16/11, sobre la base del</w:t>
      </w:r>
      <w:r w:rsidR="005064F7">
        <w:rPr>
          <w:i/>
        </w:rPr>
        <w:t> </w:t>
      </w:r>
      <w:r>
        <w:rPr>
          <w:i/>
        </w:rPr>
        <w:t>documento UPOV/INF/16/11 </w:t>
      </w:r>
      <w:proofErr w:type="spellStart"/>
      <w:r>
        <w:rPr>
          <w:i/>
        </w:rPr>
        <w:t>Draft</w:t>
      </w:r>
      <w:proofErr w:type="spellEnd"/>
      <w:r>
        <w:rPr>
          <w:i/>
        </w:rPr>
        <w:t> 1, con inclusión de la aplicación PATHOSTAT según se propone en</w:t>
      </w:r>
      <w:r w:rsidR="005064F7">
        <w:rPr>
          <w:i/>
        </w:rPr>
        <w:t> </w:t>
      </w:r>
      <w:r>
        <w:rPr>
          <w:i/>
        </w:rPr>
        <w:t>el</w:t>
      </w:r>
      <w:r w:rsidR="005064F7">
        <w:rPr>
          <w:i/>
        </w:rPr>
        <w:t> </w:t>
      </w:r>
      <w:r>
        <w:rPr>
          <w:i/>
        </w:rPr>
        <w:t>párrafo 16, un proyecto acordado del documento UPOV/INF/16/11 se someterá al Consejo para que considere su aprobación en 2022.</w:t>
      </w:r>
    </w:p>
    <w:p w14:paraId="08E64958" w14:textId="77777777" w:rsidR="0023022B" w:rsidRPr="0023022B" w:rsidRDefault="0023022B" w:rsidP="0023022B">
      <w:pPr>
        <w:tabs>
          <w:tab w:val="left" w:pos="5387"/>
          <w:tab w:val="left" w:pos="5851"/>
        </w:tabs>
        <w:ind w:left="4820"/>
        <w:rPr>
          <w:i/>
          <w:snapToGrid w:val="0"/>
          <w:spacing w:val="-2"/>
          <w:lang w:eastAsia="ja-JP"/>
        </w:rPr>
      </w:pPr>
    </w:p>
    <w:p w14:paraId="05986740" w14:textId="77777777" w:rsidR="0023022B" w:rsidRPr="0023022B" w:rsidRDefault="0023022B" w:rsidP="0023022B">
      <w:pPr>
        <w:rPr>
          <w:snapToGrid w:val="0"/>
          <w:lang w:eastAsia="ja-JP"/>
        </w:rPr>
      </w:pPr>
    </w:p>
    <w:p w14:paraId="42BDB128" w14:textId="77777777" w:rsidR="0023022B" w:rsidRPr="0023022B" w:rsidRDefault="0023022B" w:rsidP="0023022B">
      <w:pPr>
        <w:pStyle w:val="Heading1"/>
      </w:pPr>
      <w:bookmarkStart w:id="24" w:name="_Toc14686109"/>
      <w:bookmarkStart w:id="25" w:name="_Toc116370302"/>
      <w:r>
        <w:t>documento UPOV/INF/22 “Programas informáticos y equipos utilizados por los miembros de la Unión”</w:t>
      </w:r>
      <w:bookmarkEnd w:id="24"/>
      <w:bookmarkEnd w:id="25"/>
    </w:p>
    <w:p w14:paraId="02421A23" w14:textId="77777777" w:rsidR="0023022B" w:rsidRPr="0023022B" w:rsidRDefault="0023022B" w:rsidP="0023022B">
      <w:pPr>
        <w:keepNext/>
      </w:pPr>
    </w:p>
    <w:p w14:paraId="3CF15295" w14:textId="77777777" w:rsidR="0023022B" w:rsidRPr="0023022B" w:rsidRDefault="0023022B" w:rsidP="0023022B">
      <w:pPr>
        <w:pStyle w:val="Heading2"/>
      </w:pPr>
      <w:bookmarkStart w:id="26" w:name="_Toc14686110"/>
      <w:bookmarkStart w:id="27" w:name="_Toc73471189"/>
      <w:bookmarkStart w:id="28" w:name="_Toc116370303"/>
      <w:r>
        <w:t>Aprobación del documento UPOV/INF/22/</w:t>
      </w:r>
      <w:bookmarkEnd w:id="26"/>
      <w:bookmarkEnd w:id="27"/>
      <w:r>
        <w:t>8</w:t>
      </w:r>
      <w:bookmarkEnd w:id="28"/>
    </w:p>
    <w:p w14:paraId="10F9FBDF" w14:textId="77777777" w:rsidR="0023022B" w:rsidRPr="0023022B" w:rsidRDefault="0023022B" w:rsidP="0023022B"/>
    <w:p w14:paraId="6140470B" w14:textId="77777777" w:rsidR="0023022B" w:rsidRPr="0023022B" w:rsidRDefault="0023022B" w:rsidP="0023022B"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tab/>
        <w:t xml:space="preserve">En su quincuagésima quinta sesión ordinaria, el Consejo aprobó mediante el procedimiento por correspondencia, el 21 de septiembre de 2021, el documento </w:t>
      </w:r>
      <w:hyperlink r:id="rId15" w:history="1">
        <w:r>
          <w:rPr>
            <w:rStyle w:val="Hyperlink"/>
          </w:rPr>
          <w:t>UPOV/INF/22/8</w:t>
        </w:r>
      </w:hyperlink>
      <w:r>
        <w:t xml:space="preserve"> “Programas informáticos y equipos utilizados por los miembros de la Unión” sobre la base del documento UPOV/INF/22/8 </w:t>
      </w:r>
      <w:proofErr w:type="spellStart"/>
      <w:r>
        <w:t>Draft</w:t>
      </w:r>
      <w:proofErr w:type="spellEnd"/>
      <w:r>
        <w:t> 1 (véase el párrafo 19 del documento </w:t>
      </w:r>
      <w:hyperlink r:id="rId16" w:history="1">
        <w:r>
          <w:rPr>
            <w:rStyle w:val="Hyperlink"/>
          </w:rPr>
          <w:t>C/55/12</w:t>
        </w:r>
      </w:hyperlink>
      <w:r>
        <w:t xml:space="preserve"> “Resultado del examen de los documentos por correspondencia”).</w:t>
      </w:r>
    </w:p>
    <w:p w14:paraId="79F25133" w14:textId="77777777" w:rsidR="0023022B" w:rsidRPr="0023022B" w:rsidRDefault="0023022B" w:rsidP="0023022B">
      <w:pPr>
        <w:rPr>
          <w:lang w:eastAsia="ja-JP"/>
        </w:rPr>
      </w:pPr>
    </w:p>
    <w:p w14:paraId="60221A6B" w14:textId="77777777" w:rsidR="0023022B" w:rsidRPr="0023022B" w:rsidRDefault="0023022B" w:rsidP="0023022B">
      <w:pPr>
        <w:rPr>
          <w:lang w:eastAsia="ja-JP"/>
        </w:rPr>
      </w:pPr>
    </w:p>
    <w:p w14:paraId="175C75AE" w14:textId="77777777" w:rsidR="0023022B" w:rsidRPr="0023022B" w:rsidRDefault="0023022B" w:rsidP="0023022B">
      <w:pPr>
        <w:pStyle w:val="Heading2"/>
      </w:pPr>
      <w:bookmarkStart w:id="29" w:name="_Toc14686111"/>
      <w:bookmarkStart w:id="30" w:name="_Toc73471190"/>
      <w:bookmarkStart w:id="31" w:name="_Toc116370304"/>
      <w:r>
        <w:t>Revisión del documento UPOV/INF/22/</w:t>
      </w:r>
      <w:bookmarkEnd w:id="29"/>
      <w:bookmarkEnd w:id="30"/>
      <w:r>
        <w:t>8</w:t>
      </w:r>
      <w:bookmarkEnd w:id="31"/>
    </w:p>
    <w:p w14:paraId="511B62E3" w14:textId="77777777" w:rsidR="0023022B" w:rsidRPr="0023022B" w:rsidRDefault="0023022B" w:rsidP="0023022B"/>
    <w:p w14:paraId="22AD6DAB" w14:textId="77777777" w:rsidR="0023022B" w:rsidRPr="0023022B" w:rsidRDefault="0023022B" w:rsidP="0023022B">
      <w:pPr>
        <w:pStyle w:val="Heading3"/>
      </w:pPr>
      <w:bookmarkStart w:id="32" w:name="_Toc10906381"/>
      <w:bookmarkStart w:id="33" w:name="_Toc14686112"/>
      <w:bookmarkStart w:id="34" w:name="_Toc116370305"/>
      <w:r>
        <w:t>Programas informáticos que se propone incluir</w:t>
      </w:r>
      <w:bookmarkEnd w:id="32"/>
      <w:bookmarkEnd w:id="33"/>
      <w:bookmarkEnd w:id="34"/>
    </w:p>
    <w:p w14:paraId="7254EC5F" w14:textId="77777777" w:rsidR="0023022B" w:rsidRPr="0023022B" w:rsidRDefault="0023022B" w:rsidP="0023022B"/>
    <w:p w14:paraId="3EFCDBA4" w14:textId="77777777" w:rsidR="0023022B" w:rsidRPr="0023022B" w:rsidRDefault="0023022B" w:rsidP="0023022B">
      <w:pPr>
        <w:rPr>
          <w:rFonts w:eastAsia="MS Mincho"/>
        </w:rPr>
      </w:pPr>
      <w:r w:rsidRPr="0023022B">
        <w:fldChar w:fldCharType="begin"/>
      </w:r>
      <w:r w:rsidRPr="0023022B">
        <w:instrText xml:space="preserve"> AUTONUM  </w:instrText>
      </w:r>
      <w:r w:rsidRPr="0023022B">
        <w:fldChar w:fldCharType="end"/>
      </w:r>
      <w:r>
        <w:rPr>
          <w:snapToGrid w:val="0"/>
          <w:color w:val="000000"/>
        </w:rPr>
        <w:tab/>
      </w:r>
      <w:r>
        <w:t>En el documento UPOV/INF/22 se indica el siguiente procedimiento para considerar las propuestas de inclusión de programas informáticos y equipos en el documento UPOV/INF/22/8:</w:t>
      </w:r>
    </w:p>
    <w:p w14:paraId="05830869" w14:textId="77777777" w:rsidR="0023022B" w:rsidRPr="0023022B" w:rsidRDefault="0023022B" w:rsidP="0023022B">
      <w:pPr>
        <w:rPr>
          <w:rFonts w:eastAsia="MS Mincho"/>
          <w:lang w:eastAsia="ja-JP"/>
        </w:rPr>
      </w:pPr>
    </w:p>
    <w:p w14:paraId="0EE651DB" w14:textId="77777777" w:rsidR="0023022B" w:rsidRPr="0023022B" w:rsidRDefault="0023022B" w:rsidP="0023022B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“2.1 Los programas informáticos y los equipos que se proponga incluir en este documento se presentarán, en primer lugar, al Comité Técnico (TC).</w:t>
      </w:r>
    </w:p>
    <w:p w14:paraId="34DEEA65" w14:textId="77777777" w:rsidR="0023022B" w:rsidRPr="0023022B" w:rsidRDefault="0023022B" w:rsidP="0023022B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2.2</w:t>
      </w:r>
      <w:r>
        <w:rPr>
          <w:sz w:val="18"/>
        </w:rPr>
        <w:tab/>
        <w:t>El TC decidirá si:</w:t>
      </w:r>
    </w:p>
    <w:p w14:paraId="66D2E221" w14:textId="77777777" w:rsidR="0023022B" w:rsidRPr="0023022B" w:rsidRDefault="0023022B" w:rsidP="0023022B">
      <w:pPr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cs="Arial"/>
          <w:sz w:val="18"/>
          <w:szCs w:val="18"/>
        </w:rPr>
      </w:pPr>
      <w:r>
        <w:rPr>
          <w:sz w:val="18"/>
        </w:rPr>
        <w:t>propone incluir la información en el documento;</w:t>
      </w:r>
    </w:p>
    <w:p w14:paraId="433A0A18" w14:textId="77777777" w:rsidR="0023022B" w:rsidRPr="0023022B" w:rsidRDefault="0023022B" w:rsidP="0023022B">
      <w:pPr>
        <w:numPr>
          <w:ilvl w:val="0"/>
          <w:numId w:val="1"/>
        </w:numPr>
        <w:autoSpaceDE w:val="0"/>
        <w:autoSpaceDN w:val="0"/>
        <w:adjustRightInd w:val="0"/>
        <w:ind w:left="1701" w:right="567" w:hanging="567"/>
        <w:contextualSpacing/>
        <w:rPr>
          <w:rFonts w:cs="Arial"/>
          <w:sz w:val="18"/>
          <w:szCs w:val="18"/>
        </w:rPr>
      </w:pPr>
      <w:r>
        <w:rPr>
          <w:sz w:val="18"/>
        </w:rPr>
        <w:t>solicitar más orientación a otros órganos pertinentes (p. ej. el Comité Administrativo y Jurídico (CAJ) y los Grupos de Trabajo Técnico (TWP)); o</w:t>
      </w:r>
    </w:p>
    <w:p w14:paraId="24A20919" w14:textId="77777777" w:rsidR="0023022B" w:rsidRPr="0023022B" w:rsidRDefault="0023022B" w:rsidP="0023022B">
      <w:pPr>
        <w:numPr>
          <w:ilvl w:val="0"/>
          <w:numId w:val="1"/>
        </w:numPr>
        <w:autoSpaceDE w:val="0"/>
        <w:autoSpaceDN w:val="0"/>
        <w:adjustRightInd w:val="0"/>
        <w:spacing w:after="120"/>
        <w:ind w:left="1701" w:right="567" w:hanging="567"/>
        <w:rPr>
          <w:rFonts w:cs="Arial"/>
          <w:sz w:val="18"/>
          <w:szCs w:val="18"/>
        </w:rPr>
      </w:pPr>
      <w:r>
        <w:rPr>
          <w:sz w:val="18"/>
        </w:rPr>
        <w:t xml:space="preserve">propone no incluir la información en el documento. </w:t>
      </w:r>
    </w:p>
    <w:p w14:paraId="7743B768" w14:textId="77777777" w:rsidR="0023022B" w:rsidRPr="0023022B" w:rsidRDefault="0023022B" w:rsidP="0023022B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2.3</w:t>
      </w:r>
      <w:r>
        <w:rPr>
          <w:sz w:val="18"/>
        </w:rPr>
        <w:tab/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14:paraId="7BDFFAE0" w14:textId="77777777" w:rsidR="0023022B" w:rsidRPr="0023022B" w:rsidRDefault="0023022B" w:rsidP="0023022B">
      <w:pPr>
        <w:autoSpaceDE w:val="0"/>
        <w:autoSpaceDN w:val="0"/>
        <w:adjustRightInd w:val="0"/>
        <w:spacing w:after="120"/>
        <w:ind w:left="567" w:right="567"/>
        <w:rPr>
          <w:rFonts w:cs="Arial"/>
          <w:sz w:val="18"/>
          <w:szCs w:val="18"/>
        </w:rPr>
      </w:pPr>
      <w:r>
        <w:rPr>
          <w:sz w:val="18"/>
        </w:rPr>
        <w:t>[…]</w:t>
      </w:r>
    </w:p>
    <w:p w14:paraId="5AA86B5E" w14:textId="77777777" w:rsidR="0023022B" w:rsidRPr="0023022B" w:rsidRDefault="0023022B" w:rsidP="0023022B">
      <w:pPr>
        <w:autoSpaceDE w:val="0"/>
        <w:autoSpaceDN w:val="0"/>
        <w:adjustRightInd w:val="0"/>
        <w:ind w:left="567" w:right="567"/>
        <w:contextualSpacing/>
        <w:rPr>
          <w:sz w:val="18"/>
          <w:szCs w:val="18"/>
        </w:rPr>
      </w:pPr>
      <w:r>
        <w:rPr>
          <w:sz w:val="18"/>
        </w:rPr>
        <w:t>4.1</w:t>
      </w:r>
      <w:r>
        <w:rPr>
          <w:sz w:val="18"/>
        </w:rPr>
        <w:tab/>
        <w:t>Cada año se envía una circular a los miembros de la Unión, invitándolos a proporcionar información sobre el uso que hacen de los programas informáticos y los equipos enumerados en el documento.”</w:t>
      </w:r>
    </w:p>
    <w:p w14:paraId="0A2BE911" w14:textId="77777777" w:rsidR="0023022B" w:rsidRPr="0023022B" w:rsidRDefault="0023022B" w:rsidP="0023022B">
      <w:pPr>
        <w:rPr>
          <w:snapToGrid w:val="0"/>
        </w:rPr>
      </w:pPr>
    </w:p>
    <w:p w14:paraId="5198E493" w14:textId="19A44EB5" w:rsidR="0023022B" w:rsidRPr="0023022B" w:rsidRDefault="0023022B" w:rsidP="0023022B"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  <w:t>El</w:t>
      </w:r>
      <w:r>
        <w:t xml:space="preserve"> </w:t>
      </w:r>
      <w:r w:rsidR="00564E9C">
        <w:t>1</w:t>
      </w:r>
      <w:r>
        <w:t>8 de enero de 202</w:t>
      </w:r>
      <w:r w:rsidR="00564E9C">
        <w:t>2</w:t>
      </w:r>
      <w:r>
        <w:t xml:space="preserve">, </w:t>
      </w:r>
      <w:r>
        <w:rPr>
          <w:snapToGrid w:val="0"/>
        </w:rPr>
        <w:t>la Oficina de la Unión envió</w:t>
      </w:r>
      <w:r>
        <w:t xml:space="preserve"> la Circular E-22/002 a las personas designadas por los miembros de la Unión para asistir al TC, invitándolas a proporcionar información nueva o actualizada en relación con el uso de los programas informáticos y equipos enumerados en el documento UPOV/INF/22. </w:t>
      </w:r>
    </w:p>
    <w:p w14:paraId="7185CC77" w14:textId="77777777" w:rsidR="0023022B" w:rsidRPr="0023022B" w:rsidRDefault="0023022B" w:rsidP="0023022B">
      <w:pPr>
        <w:rPr>
          <w:snapToGrid w:val="0"/>
        </w:rPr>
      </w:pPr>
    </w:p>
    <w:p w14:paraId="3501F51B" w14:textId="55B835DA" w:rsidR="0023022B" w:rsidRPr="0023022B" w:rsidRDefault="0023022B" w:rsidP="0023022B">
      <w:pPr>
        <w:rPr>
          <w:spacing w:val="-2"/>
        </w:rPr>
      </w:pPr>
      <w:r w:rsidRPr="0023022B">
        <w:rPr>
          <w:snapToGrid w:val="0"/>
        </w:rPr>
        <w:fldChar w:fldCharType="begin"/>
      </w:r>
      <w:r w:rsidRPr="0023022B">
        <w:rPr>
          <w:snapToGrid w:val="0"/>
        </w:rPr>
        <w:instrText xml:space="preserve"> AUTONUM  </w:instrText>
      </w:r>
      <w:r w:rsidRPr="0023022B">
        <w:rPr>
          <w:snapToGrid w:val="0"/>
        </w:rPr>
        <w:fldChar w:fldCharType="end"/>
      </w:r>
      <w:r>
        <w:rPr>
          <w:snapToGrid w:val="0"/>
        </w:rPr>
        <w:tab/>
      </w:r>
      <w:r>
        <w:t>La Oficina de la Unión recibió información de los Países Bajos, Polonia, la República Checa y</w:t>
      </w:r>
      <w:r w:rsidR="005064F7">
        <w:t> </w:t>
      </w:r>
      <w:r>
        <w:t xml:space="preserve">Uzbekistán en respuesta a la circular E-22/002. </w:t>
      </w:r>
      <w:bookmarkStart w:id="35" w:name="_GoBack"/>
      <w:bookmarkEnd w:id="35"/>
    </w:p>
    <w:p w14:paraId="2724DAA9" w14:textId="77777777" w:rsidR="0023022B" w:rsidRPr="0023022B" w:rsidRDefault="0023022B" w:rsidP="0023022B">
      <w:pPr>
        <w:rPr>
          <w:spacing w:val="-2"/>
        </w:rPr>
      </w:pPr>
    </w:p>
    <w:p w14:paraId="4BE554AB" w14:textId="77777777" w:rsidR="0023022B" w:rsidRPr="0023022B" w:rsidRDefault="0023022B" w:rsidP="0023022B">
      <w:pPr>
        <w:rPr>
          <w:rFonts w:eastAsia="MS Mincho"/>
          <w:snapToGrid w:val="0"/>
        </w:rPr>
      </w:pPr>
      <w:r w:rsidRPr="0023022B">
        <w:rPr>
          <w:rFonts w:eastAsia="MS Mincho"/>
          <w:snapToGrid w:val="0"/>
        </w:rPr>
        <w:fldChar w:fldCharType="begin"/>
      </w:r>
      <w:r w:rsidRPr="0023022B">
        <w:rPr>
          <w:rFonts w:eastAsia="MS Mincho"/>
          <w:snapToGrid w:val="0"/>
        </w:rPr>
        <w:instrText xml:space="preserve"> AUTONUM  </w:instrText>
      </w:r>
      <w:r w:rsidRPr="0023022B">
        <w:rPr>
          <w:rFonts w:eastAsia="MS Mincho"/>
          <w:snapToGrid w:val="0"/>
        </w:rPr>
        <w:fldChar w:fldCharType="end"/>
      </w:r>
      <w:r>
        <w:rPr>
          <w:snapToGrid w:val="0"/>
        </w:rPr>
        <w:tab/>
        <w:t>Se invitará al TC a examinar el documento UPOV/INF/22/9 </w:t>
      </w:r>
      <w:proofErr w:type="spellStart"/>
      <w:r>
        <w:rPr>
          <w:snapToGrid w:val="0"/>
        </w:rPr>
        <w:t>Draft</w:t>
      </w:r>
      <w:proofErr w:type="spellEnd"/>
      <w:r>
        <w:rPr>
          <w:snapToGrid w:val="0"/>
        </w:rPr>
        <w:t> 1 o solicitar más orientación a otros órganos pertinentes</w:t>
      </w:r>
      <w:r>
        <w:t xml:space="preserve"> (p. ej. el CAJ y los TWP)</w:t>
      </w:r>
      <w:r>
        <w:rPr>
          <w:snapToGrid w:val="0"/>
        </w:rPr>
        <w:t>.</w:t>
      </w:r>
    </w:p>
    <w:p w14:paraId="37EE04B4" w14:textId="77777777" w:rsidR="0023022B" w:rsidRPr="0023022B" w:rsidRDefault="0023022B" w:rsidP="0023022B">
      <w:pPr>
        <w:rPr>
          <w:rFonts w:eastAsia="MS Mincho"/>
          <w:snapToGrid w:val="0"/>
          <w:lang w:eastAsia="ja-JP"/>
        </w:rPr>
      </w:pPr>
    </w:p>
    <w:p w14:paraId="41374C66" w14:textId="77777777" w:rsidR="0023022B" w:rsidRPr="0023022B" w:rsidRDefault="0023022B" w:rsidP="0023022B">
      <w:r w:rsidRPr="0023022B">
        <w:rPr>
          <w:rFonts w:eastAsia="MS Mincho"/>
          <w:snapToGrid w:val="0"/>
        </w:rPr>
        <w:fldChar w:fldCharType="begin"/>
      </w:r>
      <w:r w:rsidRPr="0023022B">
        <w:rPr>
          <w:rFonts w:eastAsia="MS Mincho"/>
          <w:snapToGrid w:val="0"/>
        </w:rPr>
        <w:instrText xml:space="preserve"> AUTONUM  </w:instrText>
      </w:r>
      <w:r w:rsidRPr="0023022B">
        <w:rPr>
          <w:rFonts w:eastAsia="MS Mincho"/>
          <w:snapToGrid w:val="0"/>
        </w:rPr>
        <w:fldChar w:fldCharType="end"/>
      </w:r>
      <w:r>
        <w:rPr>
          <w:snapToGrid w:val="0"/>
        </w:rPr>
        <w:tab/>
      </w:r>
      <w:r>
        <w:t xml:space="preserve">A reserva de que el TC y el CAJ acuerden un proyecto de documento UPOV/INF/22/9, sobre la base del documento UPOV/INF/22/9 </w:t>
      </w:r>
      <w:proofErr w:type="spellStart"/>
      <w:r>
        <w:t>Draft</w:t>
      </w:r>
      <w:proofErr w:type="spellEnd"/>
      <w:r>
        <w:t xml:space="preserve"> 1, en 2022 se someterá al Consejo, para que considere su aprobación, un proyecto acordado de documento UPOV/INF/22/9: “Programas informáticos y equipos utilizados por los miembros de la Unión”.</w:t>
      </w:r>
    </w:p>
    <w:p w14:paraId="017ACB30" w14:textId="77777777" w:rsidR="0023022B" w:rsidRPr="0023022B" w:rsidRDefault="0023022B" w:rsidP="0023022B">
      <w:pPr>
        <w:rPr>
          <w:lang w:eastAsia="ja-JP"/>
        </w:rPr>
      </w:pPr>
    </w:p>
    <w:p w14:paraId="5ED193A7" w14:textId="77777777" w:rsidR="0023022B" w:rsidRPr="0023022B" w:rsidRDefault="0023022B" w:rsidP="0023022B">
      <w:pPr>
        <w:keepNext/>
        <w:keepLines/>
        <w:tabs>
          <w:tab w:val="left" w:pos="5387"/>
        </w:tabs>
        <w:ind w:left="4820"/>
        <w:rPr>
          <w:rFonts w:eastAsia="MS Mincho"/>
          <w:i/>
        </w:rPr>
      </w:pPr>
      <w:r w:rsidRPr="0023022B">
        <w:rPr>
          <w:rFonts w:eastAsia="MS Mincho"/>
          <w:i/>
        </w:rPr>
        <w:fldChar w:fldCharType="begin"/>
      </w:r>
      <w:r w:rsidRPr="0023022B">
        <w:rPr>
          <w:rFonts w:eastAsia="MS Mincho"/>
          <w:i/>
        </w:rPr>
        <w:instrText xml:space="preserve"> AUTONUM  </w:instrText>
      </w:r>
      <w:r w:rsidRPr="0023022B">
        <w:rPr>
          <w:rFonts w:eastAsia="MS Mincho"/>
          <w:i/>
        </w:rPr>
        <w:fldChar w:fldCharType="end"/>
      </w:r>
      <w:r>
        <w:rPr>
          <w:i/>
        </w:rPr>
        <w:tab/>
        <w:t>Se invita al TC a:</w:t>
      </w:r>
    </w:p>
    <w:p w14:paraId="291A55BF" w14:textId="77777777" w:rsidR="0023022B" w:rsidRPr="0023022B" w:rsidRDefault="0023022B" w:rsidP="0023022B">
      <w:pPr>
        <w:keepNext/>
        <w:keepLines/>
        <w:tabs>
          <w:tab w:val="left" w:pos="5387"/>
        </w:tabs>
        <w:ind w:left="4820"/>
        <w:rPr>
          <w:rFonts w:eastAsia="MS Mincho"/>
          <w:i/>
        </w:rPr>
      </w:pPr>
    </w:p>
    <w:p w14:paraId="72584ACA" w14:textId="77777777" w:rsidR="0023022B" w:rsidRPr="0023022B" w:rsidRDefault="0023022B" w:rsidP="0023022B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2"/>
        </w:rPr>
      </w:pPr>
      <w:r>
        <w:rPr>
          <w:i/>
        </w:rPr>
        <w:tab/>
        <w:t>a)</w:t>
      </w:r>
      <w:r>
        <w:rPr>
          <w:i/>
        </w:rPr>
        <w:tab/>
        <w:t>tomar nota de que, en su quincuagésima quinta sesión ordinaria, el Consejo aprobó mediante el procedimiento por correspondencia el documento UPOV/INF/22/8 “Programas informáticos y equipos utilizados por los miembros de la Unión” sobre la base del documento UPOV/INF/22/8 </w:t>
      </w:r>
      <w:proofErr w:type="spellStart"/>
      <w:r>
        <w:rPr>
          <w:i/>
        </w:rPr>
        <w:t>Draft</w:t>
      </w:r>
      <w:proofErr w:type="spellEnd"/>
      <w:r>
        <w:rPr>
          <w:i/>
        </w:rPr>
        <w:t> 1;</w:t>
      </w:r>
    </w:p>
    <w:p w14:paraId="403A0F62" w14:textId="77777777" w:rsidR="0023022B" w:rsidRPr="0023022B" w:rsidRDefault="0023022B" w:rsidP="0023022B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2"/>
          <w:lang w:eastAsia="ja-JP"/>
        </w:rPr>
      </w:pPr>
    </w:p>
    <w:p w14:paraId="0E6D00F1" w14:textId="55D6F3FD" w:rsidR="0023022B" w:rsidRPr="0023022B" w:rsidRDefault="0023022B" w:rsidP="0023022B">
      <w:pPr>
        <w:keepLines/>
        <w:tabs>
          <w:tab w:val="left" w:pos="5387"/>
          <w:tab w:val="left" w:pos="5851"/>
        </w:tabs>
        <w:ind w:left="4820"/>
        <w:rPr>
          <w:rFonts w:eastAsia="MS Mincho"/>
          <w:i/>
          <w:spacing w:val="-2"/>
        </w:rPr>
      </w:pPr>
      <w:r>
        <w:rPr>
          <w:i/>
        </w:rPr>
        <w:tab/>
        <w:t>b)</w:t>
      </w:r>
      <w:r>
        <w:rPr>
          <w:i/>
        </w:rPr>
        <w:tab/>
        <w:t>tomar nota de que la Oficina de la Unión ha recibido respuestas de los Países Bajos, Polonia, la República Checa y Uzbekistán atendiendo a la circular</w:t>
      </w:r>
      <w:r w:rsidR="005064F7">
        <w:rPr>
          <w:i/>
        </w:rPr>
        <w:t> </w:t>
      </w:r>
      <w:r>
        <w:rPr>
          <w:i/>
        </w:rPr>
        <w:t>E-22/002 en la que se invita a los miembros a facilitar o actualizar la información relativa al uso de los programas informáticos incluidos en el documento UPOV/INF/22;</w:t>
      </w:r>
    </w:p>
    <w:p w14:paraId="06C9C4F8" w14:textId="77777777" w:rsidR="0023022B" w:rsidRPr="0023022B" w:rsidRDefault="0023022B" w:rsidP="0023022B">
      <w:pPr>
        <w:tabs>
          <w:tab w:val="left" w:pos="5387"/>
          <w:tab w:val="left" w:pos="5851"/>
        </w:tabs>
        <w:ind w:left="4820"/>
        <w:rPr>
          <w:rFonts w:eastAsia="MS Mincho"/>
          <w:i/>
          <w:spacing w:val="-2"/>
          <w:lang w:eastAsia="ja-JP"/>
        </w:rPr>
      </w:pPr>
    </w:p>
    <w:p w14:paraId="0596000A" w14:textId="77777777" w:rsidR="0023022B" w:rsidRPr="0023022B" w:rsidRDefault="0023022B" w:rsidP="0023022B">
      <w:pPr>
        <w:tabs>
          <w:tab w:val="left" w:pos="5387"/>
          <w:tab w:val="left" w:pos="5851"/>
        </w:tabs>
        <w:ind w:left="4820"/>
        <w:rPr>
          <w:rFonts w:eastAsia="MS Mincho"/>
          <w:i/>
          <w:spacing w:val="-2"/>
        </w:rPr>
      </w:pPr>
      <w:r>
        <w:rPr>
          <w:i/>
        </w:rPr>
        <w:tab/>
        <w:t>c)</w:t>
      </w:r>
      <w:r>
        <w:rPr>
          <w:i/>
        </w:rPr>
        <w:tab/>
        <w:t xml:space="preserve">considerar si procede proponer la aprobación del documento UPOV/INF/22/9 </w:t>
      </w:r>
      <w:proofErr w:type="spellStart"/>
      <w:r>
        <w:rPr>
          <w:i/>
        </w:rPr>
        <w:t>Draft</w:t>
      </w:r>
      <w:proofErr w:type="spellEnd"/>
      <w:r>
        <w:rPr>
          <w:i/>
        </w:rPr>
        <w:t xml:space="preserve"> 1 o solicitar más orientación a otros órganos pertinentes (p. ej., el CAJ y los TWP); y </w:t>
      </w:r>
    </w:p>
    <w:p w14:paraId="668C3DF9" w14:textId="77777777" w:rsidR="0023022B" w:rsidRPr="0023022B" w:rsidRDefault="0023022B" w:rsidP="0023022B">
      <w:pPr>
        <w:tabs>
          <w:tab w:val="left" w:pos="5387"/>
          <w:tab w:val="left" w:pos="5851"/>
        </w:tabs>
        <w:ind w:left="4820"/>
        <w:rPr>
          <w:rFonts w:eastAsia="MS Mincho"/>
          <w:i/>
          <w:lang w:eastAsia="ja-JP"/>
        </w:rPr>
      </w:pPr>
    </w:p>
    <w:p w14:paraId="2D325818" w14:textId="77777777" w:rsidR="0023022B" w:rsidRPr="0023022B" w:rsidRDefault="0023022B" w:rsidP="0023022B">
      <w:pPr>
        <w:tabs>
          <w:tab w:val="left" w:pos="5387"/>
          <w:tab w:val="left" w:pos="5851"/>
        </w:tabs>
        <w:ind w:left="4820"/>
        <w:rPr>
          <w:rFonts w:eastAsia="MS Mincho"/>
          <w:i/>
        </w:rPr>
      </w:pPr>
      <w:r>
        <w:rPr>
          <w:i/>
        </w:rPr>
        <w:tab/>
      </w:r>
      <w:r>
        <w:rPr>
          <w:i/>
          <w:iCs/>
        </w:rPr>
        <w:t>d)</w:t>
      </w:r>
      <w:r>
        <w:rPr>
          <w:i/>
          <w:iCs/>
        </w:rPr>
        <w:tab/>
        <w:t>tomar nota de que, a reserva de la aprobación del TC y el CAJ, un proyecto acordado del documento UPOV/INF/22/9 se someterá al Consejo para que considere su aprobación en 2022, sobre esta base.</w:t>
      </w:r>
    </w:p>
    <w:p w14:paraId="7F6A5400" w14:textId="77777777" w:rsidR="0023022B" w:rsidRPr="0023022B" w:rsidRDefault="0023022B" w:rsidP="0023022B">
      <w:pPr>
        <w:tabs>
          <w:tab w:val="left" w:pos="5387"/>
          <w:tab w:val="left" w:pos="5851"/>
        </w:tabs>
        <w:rPr>
          <w:rFonts w:eastAsia="MS Mincho"/>
          <w:lang w:eastAsia="ja-JP"/>
        </w:rPr>
      </w:pPr>
    </w:p>
    <w:p w14:paraId="2D25888D" w14:textId="77777777" w:rsidR="0023022B" w:rsidRPr="0023022B" w:rsidRDefault="0023022B" w:rsidP="0023022B">
      <w:pPr>
        <w:tabs>
          <w:tab w:val="left" w:pos="5387"/>
          <w:tab w:val="left" w:pos="5851"/>
        </w:tabs>
        <w:rPr>
          <w:rFonts w:eastAsia="MS Mincho"/>
          <w:lang w:eastAsia="ja-JP"/>
        </w:rPr>
      </w:pPr>
    </w:p>
    <w:p w14:paraId="13F44924" w14:textId="77777777" w:rsidR="0023022B" w:rsidRPr="0023022B" w:rsidRDefault="0023022B" w:rsidP="0023022B">
      <w:pPr>
        <w:tabs>
          <w:tab w:val="left" w:pos="5387"/>
          <w:tab w:val="left" w:pos="5851"/>
        </w:tabs>
        <w:rPr>
          <w:rFonts w:eastAsia="MS Mincho"/>
          <w:lang w:eastAsia="ja-JP"/>
        </w:rPr>
      </w:pPr>
    </w:p>
    <w:p w14:paraId="1DA69B3C" w14:textId="77777777" w:rsidR="00050E16" w:rsidRPr="0023022B" w:rsidRDefault="00050E16" w:rsidP="0023022B">
      <w:pPr>
        <w:jc w:val="right"/>
      </w:pPr>
      <w:r>
        <w:t>[Fin del documento]</w:t>
      </w:r>
    </w:p>
    <w:sectPr w:rsidR="00050E16" w:rsidRPr="0023022B" w:rsidSect="00906DDC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4318E" w14:textId="77777777" w:rsidR="00AB43C5" w:rsidRDefault="00AB43C5" w:rsidP="006655D3">
      <w:r>
        <w:separator/>
      </w:r>
    </w:p>
    <w:p w14:paraId="3EBDED9A" w14:textId="77777777" w:rsidR="00AB43C5" w:rsidRDefault="00AB43C5" w:rsidP="006655D3"/>
    <w:p w14:paraId="1750FEB2" w14:textId="77777777" w:rsidR="00AB43C5" w:rsidRDefault="00AB43C5" w:rsidP="006655D3"/>
  </w:endnote>
  <w:endnote w:type="continuationSeparator" w:id="0">
    <w:p w14:paraId="6DB7997F" w14:textId="77777777" w:rsidR="00AB43C5" w:rsidRDefault="00AB43C5" w:rsidP="006655D3">
      <w:r>
        <w:separator/>
      </w:r>
    </w:p>
    <w:p w14:paraId="37888FA1" w14:textId="77777777" w:rsidR="00AB43C5" w:rsidRPr="00294751" w:rsidRDefault="00AB43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CFADBF3" w14:textId="77777777" w:rsidR="00AB43C5" w:rsidRPr="00294751" w:rsidRDefault="00AB43C5" w:rsidP="006655D3">
      <w:pPr>
        <w:rPr>
          <w:lang w:val="fr-FR"/>
        </w:rPr>
      </w:pPr>
    </w:p>
    <w:p w14:paraId="0ED49F32" w14:textId="77777777" w:rsidR="00AB43C5" w:rsidRPr="00294751" w:rsidRDefault="00AB43C5" w:rsidP="006655D3">
      <w:pPr>
        <w:rPr>
          <w:lang w:val="fr-FR"/>
        </w:rPr>
      </w:pPr>
    </w:p>
  </w:endnote>
  <w:endnote w:type="continuationNotice" w:id="1">
    <w:p w14:paraId="2F90CF33" w14:textId="77777777" w:rsidR="00AB43C5" w:rsidRPr="00294751" w:rsidRDefault="00AB43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169AEAB" w14:textId="77777777" w:rsidR="00AB43C5" w:rsidRPr="00294751" w:rsidRDefault="00AB43C5" w:rsidP="006655D3">
      <w:pPr>
        <w:rPr>
          <w:lang w:val="fr-FR"/>
        </w:rPr>
      </w:pPr>
    </w:p>
    <w:p w14:paraId="2E5EB97A" w14:textId="77777777" w:rsidR="00AB43C5" w:rsidRPr="00294751" w:rsidRDefault="00AB43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109A14" w14:textId="77777777" w:rsidR="00AB43C5" w:rsidRDefault="00AB43C5" w:rsidP="006655D3">
      <w:r>
        <w:separator/>
      </w:r>
    </w:p>
  </w:footnote>
  <w:footnote w:type="continuationSeparator" w:id="0">
    <w:p w14:paraId="3E6AD783" w14:textId="77777777" w:rsidR="00AB43C5" w:rsidRDefault="00AB43C5" w:rsidP="006655D3">
      <w:r>
        <w:separator/>
      </w:r>
    </w:p>
  </w:footnote>
  <w:footnote w:type="continuationNotice" w:id="1">
    <w:p w14:paraId="1090D0C1" w14:textId="77777777" w:rsidR="00AB43C5" w:rsidRPr="00AB530F" w:rsidRDefault="00AB43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1BEEB" w14:textId="77777777" w:rsidR="00182B99" w:rsidRPr="0023022B" w:rsidRDefault="002458C3" w:rsidP="0023022B">
    <w:pPr>
      <w:pStyle w:val="Header"/>
      <w:rPr>
        <w:rStyle w:val="PageNumber"/>
      </w:rPr>
    </w:pPr>
    <w:r>
      <w:rPr>
        <w:rStyle w:val="PageNumber"/>
      </w:rPr>
      <w:t>TC/58/11</w:t>
    </w:r>
  </w:p>
  <w:p w14:paraId="4385F63E" w14:textId="31309CE0" w:rsidR="00182B99" w:rsidRPr="0023022B" w:rsidRDefault="008B3D8D" w:rsidP="0023022B">
    <w:pPr>
      <w:pStyle w:val="Header"/>
    </w:pPr>
    <w:r>
      <w:t xml:space="preserve">página </w:t>
    </w:r>
    <w:r w:rsidR="00182B99" w:rsidRPr="0023022B">
      <w:rPr>
        <w:rStyle w:val="PageNumber"/>
      </w:rPr>
      <w:fldChar w:fldCharType="begin"/>
    </w:r>
    <w:r w:rsidR="00182B99" w:rsidRPr="0023022B">
      <w:rPr>
        <w:rStyle w:val="PageNumber"/>
      </w:rPr>
      <w:instrText xml:space="preserve"> PAGE </w:instrText>
    </w:r>
    <w:r w:rsidR="00182B99" w:rsidRPr="0023022B">
      <w:rPr>
        <w:rStyle w:val="PageNumber"/>
      </w:rPr>
      <w:fldChar w:fldCharType="separate"/>
    </w:r>
    <w:r w:rsidR="00564E9C">
      <w:rPr>
        <w:rStyle w:val="PageNumber"/>
        <w:noProof/>
      </w:rPr>
      <w:t>5</w:t>
    </w:r>
    <w:r w:rsidR="00182B99" w:rsidRPr="0023022B">
      <w:rPr>
        <w:rStyle w:val="PageNumber"/>
      </w:rPr>
      <w:fldChar w:fldCharType="end"/>
    </w:r>
  </w:p>
  <w:p w14:paraId="05447D32" w14:textId="77777777" w:rsidR="00182B99" w:rsidRPr="0023022B" w:rsidRDefault="00182B99" w:rsidP="0023022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5642"/>
    <w:multiLevelType w:val="hybridMultilevel"/>
    <w:tmpl w:val="FFECC6F4"/>
    <w:lvl w:ilvl="0" w:tplc="0409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2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4931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D32C0"/>
    <w:rsid w:val="001F64BF"/>
    <w:rsid w:val="00202E38"/>
    <w:rsid w:val="002103B5"/>
    <w:rsid w:val="0021332C"/>
    <w:rsid w:val="00213982"/>
    <w:rsid w:val="0023022B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064F7"/>
    <w:rsid w:val="00512164"/>
    <w:rsid w:val="00520297"/>
    <w:rsid w:val="005338F9"/>
    <w:rsid w:val="0054281C"/>
    <w:rsid w:val="00544581"/>
    <w:rsid w:val="00545E42"/>
    <w:rsid w:val="0055268D"/>
    <w:rsid w:val="00564E9C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2576E"/>
    <w:rsid w:val="00846D7C"/>
    <w:rsid w:val="00864C55"/>
    <w:rsid w:val="00867AC1"/>
    <w:rsid w:val="00890DF8"/>
    <w:rsid w:val="008A233B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16ED"/>
    <w:rsid w:val="00A24C10"/>
    <w:rsid w:val="00A42AC3"/>
    <w:rsid w:val="00A430CF"/>
    <w:rsid w:val="00A54309"/>
    <w:rsid w:val="00A706D3"/>
    <w:rsid w:val="00AB2B93"/>
    <w:rsid w:val="00AB43C5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3D25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7C1B29"/>
  <w15:docId w15:val="{36B7BE05-D96E-47F8-A3F2-CFDACB17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564E9C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C23D25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23022B"/>
    <w:pPr>
      <w:jc w:val="both"/>
    </w:pPr>
    <w:rPr>
      <w:rFonts w:ascii="Arial" w:eastAsiaTheme="minorEastAsia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23022B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23022B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23022B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infdocs/es/upov_inf_16.pdf" TargetMode="External"/><Relationship Id="rId13" Type="http://schemas.openxmlformats.org/officeDocument/2006/relationships/hyperlink" Target="mailto:sophie.perrot@geves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upov.int/edocs/mdocs/upov/en/twm_1/twm_1_26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upov.int/edocs/mdocs/upov/es/c_55/c_55_12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pov.int/edocs/mdocs/upov/en/twm_1/twm_1_26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pov.int/edocs/infdocs/es/upov_inf_22.pdf" TargetMode="External"/><Relationship Id="rId10" Type="http://schemas.openxmlformats.org/officeDocument/2006/relationships/hyperlink" Target="https://www.upov.int/edocs/mdocs/upov/en/twm_1/twm_1_2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s/c_55/c_55_12.pdf" TargetMode="External"/><Relationship Id="rId14" Type="http://schemas.openxmlformats.org/officeDocument/2006/relationships/hyperlink" Target="https://www.geves.fr/tools/pathosta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12811</Characters>
  <Application>Microsoft Office Word</Application>
  <DocSecurity>0</DocSecurity>
  <Lines>297</Lines>
  <Paragraphs>135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TC/58/11</vt:lpstr>
      <vt:lpstr>TC/58/11</vt:lpstr>
    </vt:vector>
  </TitlesOfParts>
  <Company>UPOV</Company>
  <LinksUpToDate>false</LinksUpToDate>
  <CharactersWithSpaces>14742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TC/58/11</dc:title>
  <dc:creator>BOU LLORET Amparo</dc:creator>
  <cp:lastModifiedBy>MAY Jessica</cp:lastModifiedBy>
  <cp:revision>4</cp:revision>
  <cp:lastPrinted>2016-11-22T15:41:00Z</cp:lastPrinted>
  <dcterms:created xsi:type="dcterms:W3CDTF">2022-10-11T08:03:00Z</dcterms:created>
  <dcterms:modified xsi:type="dcterms:W3CDTF">2022-10-11T09:30:00Z</dcterms:modified>
</cp:coreProperties>
</file>