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33D5F" w:rsidTr="00EB4E9C">
        <w:tc>
          <w:tcPr>
            <w:tcW w:w="6522" w:type="dxa"/>
          </w:tcPr>
          <w:p w:rsidR="00DC3802" w:rsidRPr="00933D5F" w:rsidRDefault="00DC3802" w:rsidP="00461365">
            <w:pPr>
              <w:rPr>
                <w:dstrike/>
                <w:lang w:val="es-419"/>
              </w:rPr>
            </w:pPr>
            <w:r w:rsidRPr="00933D5F">
              <w:rPr>
                <w:noProof/>
                <w:lang w:val="es-419" w:eastAsia="es-E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33D5F" w:rsidRDefault="002E5944" w:rsidP="00AC2883">
            <w:pPr>
              <w:pStyle w:val="Lettrine"/>
              <w:rPr>
                <w:lang w:val="es-419"/>
              </w:rPr>
            </w:pPr>
            <w:r w:rsidRPr="00933D5F">
              <w:rPr>
                <w:lang w:val="es-419"/>
              </w:rPr>
              <w:t>S</w:t>
            </w:r>
          </w:p>
        </w:tc>
      </w:tr>
      <w:tr w:rsidR="00DC3802" w:rsidRPr="00933D5F" w:rsidTr="00645CA8">
        <w:trPr>
          <w:trHeight w:val="219"/>
        </w:trPr>
        <w:tc>
          <w:tcPr>
            <w:tcW w:w="6522" w:type="dxa"/>
          </w:tcPr>
          <w:p w:rsidR="00DC3802" w:rsidRPr="00933D5F" w:rsidRDefault="002E5944" w:rsidP="00BC0BD4">
            <w:pPr>
              <w:pStyle w:val="upove"/>
              <w:rPr>
                <w:dstrike/>
                <w:lang w:val="es-419"/>
              </w:rPr>
            </w:pPr>
            <w:r w:rsidRPr="00933D5F">
              <w:rPr>
                <w:lang w:val="es-419"/>
              </w:rPr>
              <w:t>Unión Internacional para la Protección de las Obtenciones Vegetales</w:t>
            </w:r>
          </w:p>
        </w:tc>
        <w:tc>
          <w:tcPr>
            <w:tcW w:w="3117" w:type="dxa"/>
          </w:tcPr>
          <w:p w:rsidR="00DC3802" w:rsidRPr="00933D5F" w:rsidRDefault="00DC3802" w:rsidP="00DA4973">
            <w:pPr>
              <w:rPr>
                <w:lang w:val="es-419"/>
              </w:rPr>
            </w:pPr>
          </w:p>
        </w:tc>
      </w:tr>
    </w:tbl>
    <w:p w:rsidR="009F69EA" w:rsidRPr="00933D5F" w:rsidRDefault="009F69EA" w:rsidP="00DC3802">
      <w:pPr>
        <w:rPr>
          <w:lang w:val="es-419"/>
        </w:rPr>
      </w:pPr>
    </w:p>
    <w:p w:rsidR="00DA4973" w:rsidRPr="00933D5F"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33D5F" w:rsidTr="00C00D63">
        <w:tc>
          <w:tcPr>
            <w:tcW w:w="6512" w:type="dxa"/>
            <w:tcBorders>
              <w:bottom w:val="single" w:sz="4" w:space="0" w:color="auto"/>
            </w:tcBorders>
          </w:tcPr>
          <w:p w:rsidR="009F69EA" w:rsidRPr="00933D5F" w:rsidRDefault="002E5944" w:rsidP="00AC2883">
            <w:pPr>
              <w:pStyle w:val="Sessiontc"/>
              <w:spacing w:line="240" w:lineRule="auto"/>
              <w:rPr>
                <w:lang w:val="es-419"/>
              </w:rPr>
            </w:pPr>
            <w:r w:rsidRPr="00933D5F">
              <w:rPr>
                <w:lang w:val="es-419"/>
              </w:rPr>
              <w:t>Comité Técnico</w:t>
            </w:r>
          </w:p>
          <w:p w:rsidR="00EB4E9C" w:rsidRPr="00933D5F" w:rsidRDefault="002E5944" w:rsidP="00324098">
            <w:pPr>
              <w:pStyle w:val="Sessiontcplacedate"/>
              <w:rPr>
                <w:dstrike/>
                <w:sz w:val="22"/>
                <w:lang w:val="es-419"/>
              </w:rPr>
            </w:pPr>
            <w:r w:rsidRPr="00933D5F">
              <w:rPr>
                <w:lang w:val="es-419"/>
              </w:rPr>
              <w:t xml:space="preserve">Quincuagésima </w:t>
            </w:r>
            <w:r w:rsidR="00467B42" w:rsidRPr="00933D5F">
              <w:rPr>
                <w:lang w:val="es-419"/>
              </w:rPr>
              <w:t>s</w:t>
            </w:r>
            <w:r w:rsidR="00324098" w:rsidRPr="00933D5F">
              <w:rPr>
                <w:lang w:val="es-419"/>
              </w:rPr>
              <w:t>éptima</w:t>
            </w:r>
            <w:r w:rsidRPr="00933D5F">
              <w:rPr>
                <w:lang w:val="es-419"/>
              </w:rPr>
              <w:t xml:space="preserve"> sesión</w:t>
            </w:r>
            <w:r w:rsidR="00EB4E9C" w:rsidRPr="00933D5F">
              <w:rPr>
                <w:lang w:val="es-419"/>
              </w:rPr>
              <w:br/>
            </w:r>
            <w:r w:rsidRPr="00933D5F">
              <w:rPr>
                <w:lang w:val="es-419"/>
              </w:rPr>
              <w:t>Ginebra</w:t>
            </w:r>
            <w:r w:rsidR="00EB4E9C" w:rsidRPr="00933D5F">
              <w:rPr>
                <w:lang w:val="es-419"/>
              </w:rPr>
              <w:t xml:space="preserve">, </w:t>
            </w:r>
            <w:r w:rsidR="005A1EC1" w:rsidRPr="00933D5F">
              <w:rPr>
                <w:lang w:val="es-419"/>
              </w:rPr>
              <w:t>2</w:t>
            </w:r>
            <w:r w:rsidR="00324098" w:rsidRPr="00933D5F">
              <w:rPr>
                <w:lang w:val="es-419"/>
              </w:rPr>
              <w:t>5</w:t>
            </w:r>
            <w:r w:rsidR="005A1EC1" w:rsidRPr="00933D5F">
              <w:rPr>
                <w:lang w:val="es-419"/>
              </w:rPr>
              <w:t xml:space="preserve"> y </w:t>
            </w:r>
            <w:r w:rsidR="000B7BB9" w:rsidRPr="00933D5F">
              <w:rPr>
                <w:lang w:val="es-419"/>
              </w:rPr>
              <w:t>2</w:t>
            </w:r>
            <w:r w:rsidR="00324098" w:rsidRPr="00933D5F">
              <w:rPr>
                <w:lang w:val="es-419"/>
              </w:rPr>
              <w:t>6</w:t>
            </w:r>
            <w:r w:rsidR="005A1EC1" w:rsidRPr="00933D5F">
              <w:rPr>
                <w:lang w:val="es-419"/>
              </w:rPr>
              <w:t xml:space="preserve"> de octubre </w:t>
            </w:r>
            <w:r w:rsidRPr="00933D5F">
              <w:rPr>
                <w:lang w:val="es-419"/>
              </w:rPr>
              <w:t>de</w:t>
            </w:r>
            <w:r w:rsidR="00A706D3" w:rsidRPr="00933D5F">
              <w:rPr>
                <w:lang w:val="es-419"/>
              </w:rPr>
              <w:t xml:space="preserve"> </w:t>
            </w:r>
            <w:r w:rsidR="00467B42" w:rsidRPr="00933D5F">
              <w:rPr>
                <w:lang w:val="es-419"/>
              </w:rPr>
              <w:t>202</w:t>
            </w:r>
            <w:r w:rsidR="00324098" w:rsidRPr="00933D5F">
              <w:rPr>
                <w:lang w:val="es-419"/>
              </w:rPr>
              <w:t>1</w:t>
            </w:r>
          </w:p>
        </w:tc>
        <w:tc>
          <w:tcPr>
            <w:tcW w:w="3127" w:type="dxa"/>
            <w:tcBorders>
              <w:bottom w:val="single" w:sz="4" w:space="0" w:color="auto"/>
            </w:tcBorders>
            <w:shd w:val="clear" w:color="auto" w:fill="auto"/>
          </w:tcPr>
          <w:p w:rsidR="009F69EA" w:rsidRPr="00933D5F" w:rsidRDefault="00467B42" w:rsidP="003C7FBE">
            <w:pPr>
              <w:pStyle w:val="Doccode"/>
              <w:rPr>
                <w:lang w:val="es-419"/>
              </w:rPr>
            </w:pPr>
            <w:r w:rsidRPr="00933D5F">
              <w:rPr>
                <w:lang w:val="es-419"/>
              </w:rPr>
              <w:t>TC/5</w:t>
            </w:r>
            <w:r w:rsidR="00324098" w:rsidRPr="00933D5F">
              <w:rPr>
                <w:lang w:val="es-419"/>
              </w:rPr>
              <w:t>7</w:t>
            </w:r>
            <w:r w:rsidR="00EB4E9C" w:rsidRPr="00933D5F">
              <w:rPr>
                <w:lang w:val="es-419"/>
              </w:rPr>
              <w:t>/</w:t>
            </w:r>
            <w:r w:rsidR="00C00D63" w:rsidRPr="00933D5F">
              <w:rPr>
                <w:lang w:val="es-419"/>
              </w:rPr>
              <w:t>INF/9 Add.</w:t>
            </w:r>
          </w:p>
          <w:p w:rsidR="009F69EA" w:rsidRPr="00933D5F" w:rsidRDefault="00EB4E9C" w:rsidP="00E95DA5">
            <w:pPr>
              <w:pStyle w:val="Docoriginal"/>
              <w:rPr>
                <w:lang w:val="es-419"/>
              </w:rPr>
            </w:pPr>
            <w:r w:rsidRPr="00933D5F">
              <w:rPr>
                <w:lang w:val="es-419"/>
              </w:rPr>
              <w:t>Original:</w:t>
            </w:r>
            <w:r w:rsidRPr="00933D5F">
              <w:rPr>
                <w:b w:val="0"/>
                <w:spacing w:val="0"/>
                <w:lang w:val="es-419"/>
              </w:rPr>
              <w:t xml:space="preserve"> </w:t>
            </w:r>
            <w:r w:rsidR="002E5944" w:rsidRPr="00933D5F">
              <w:rPr>
                <w:b w:val="0"/>
                <w:spacing w:val="0"/>
                <w:lang w:val="es-419"/>
              </w:rPr>
              <w:t>Inglés</w:t>
            </w:r>
          </w:p>
          <w:p w:rsidR="00EE3C81" w:rsidRPr="00933D5F" w:rsidRDefault="002E5944" w:rsidP="00C00D63">
            <w:pPr>
              <w:pStyle w:val="Docoriginal"/>
              <w:rPr>
                <w:b w:val="0"/>
                <w:spacing w:val="0"/>
                <w:lang w:val="es-419"/>
              </w:rPr>
            </w:pPr>
            <w:r w:rsidRPr="00933D5F">
              <w:rPr>
                <w:lang w:val="es-419"/>
              </w:rPr>
              <w:t>Fecha</w:t>
            </w:r>
            <w:r w:rsidR="00EB4E9C" w:rsidRPr="00933D5F">
              <w:rPr>
                <w:lang w:val="es-419"/>
              </w:rPr>
              <w:t>:</w:t>
            </w:r>
            <w:r w:rsidR="00EB4E9C" w:rsidRPr="00933D5F">
              <w:rPr>
                <w:b w:val="0"/>
                <w:spacing w:val="0"/>
                <w:lang w:val="es-419"/>
              </w:rPr>
              <w:t xml:space="preserve"> </w:t>
            </w:r>
            <w:r w:rsidR="00C00D63" w:rsidRPr="00933D5F">
              <w:rPr>
                <w:b w:val="0"/>
                <w:spacing w:val="0"/>
                <w:lang w:val="es-419"/>
              </w:rPr>
              <w:t xml:space="preserve">7 de octubre </w:t>
            </w:r>
            <w:r w:rsidRPr="00933D5F">
              <w:rPr>
                <w:b w:val="0"/>
                <w:spacing w:val="0"/>
                <w:lang w:val="es-419"/>
              </w:rPr>
              <w:t xml:space="preserve">de </w:t>
            </w:r>
            <w:r w:rsidR="00467B42" w:rsidRPr="00933D5F">
              <w:rPr>
                <w:b w:val="0"/>
                <w:spacing w:val="0"/>
                <w:lang w:val="es-419"/>
              </w:rPr>
              <w:t>202</w:t>
            </w:r>
            <w:r w:rsidR="00324098" w:rsidRPr="00933D5F">
              <w:rPr>
                <w:b w:val="0"/>
                <w:spacing w:val="0"/>
                <w:lang w:val="es-419"/>
              </w:rPr>
              <w:t>1</w:t>
            </w:r>
          </w:p>
        </w:tc>
      </w:tr>
    </w:tbl>
    <w:p w:rsidR="009F69EA" w:rsidRPr="00933D5F" w:rsidRDefault="00C91970" w:rsidP="00461365">
      <w:pPr>
        <w:pStyle w:val="Titleofdoc0"/>
        <w:rPr>
          <w:lang w:val="es-419"/>
        </w:rPr>
      </w:pPr>
      <w:bookmarkStart w:id="0" w:name="TitleOfDoc"/>
      <w:bookmarkEnd w:id="0"/>
      <w:r w:rsidRPr="00933D5F">
        <w:rPr>
          <w:lang w:val="es-419"/>
        </w:rPr>
        <w:t>ADICIÓN A:</w:t>
      </w:r>
      <w:r w:rsidR="00C00D63" w:rsidRPr="00933D5F">
        <w:rPr>
          <w:lang w:val="es-419"/>
        </w:rPr>
        <w:br/>
      </w:r>
      <w:r w:rsidRPr="00933D5F">
        <w:rPr>
          <w:lang w:val="es-419"/>
        </w:rPr>
        <w:t>INFORMES SOBRE LA LABOR DE LOS GRUPOS DE TRABAJO TÉCNICO, INCLUIDO EL GRUPO DE TRABAJO SOBRE TÉCNICAS BIOQUÍMICAS Y MOLECULARES, Y PERFILES DE ADN EN PARTICULAR (BMT)</w:t>
      </w:r>
    </w:p>
    <w:p w:rsidR="009F69EA" w:rsidRPr="00933D5F" w:rsidRDefault="000638A9" w:rsidP="006A644A">
      <w:pPr>
        <w:pStyle w:val="preparedby1"/>
        <w:jc w:val="left"/>
        <w:rPr>
          <w:lang w:val="es-419"/>
        </w:rPr>
      </w:pPr>
      <w:bookmarkStart w:id="1" w:name="Prepared"/>
      <w:bookmarkEnd w:id="1"/>
      <w:r w:rsidRPr="00933D5F">
        <w:rPr>
          <w:lang w:val="es-419"/>
        </w:rPr>
        <w:t>Documento preparado por la Oficina de la Unión</w:t>
      </w:r>
    </w:p>
    <w:p w:rsidR="009F69EA" w:rsidRPr="00933D5F" w:rsidRDefault="000638A9" w:rsidP="006A644A">
      <w:pPr>
        <w:pStyle w:val="Disclaimer"/>
        <w:rPr>
          <w:lang w:val="es-419"/>
        </w:rPr>
      </w:pPr>
      <w:r w:rsidRPr="00933D5F">
        <w:rPr>
          <w:lang w:val="es-419"/>
        </w:rPr>
        <w:t>Descargo de responsabilidad: el presente documento no constituye un documento de política u orientación de la UPOV</w:t>
      </w:r>
    </w:p>
    <w:p w:rsidR="009F69EA" w:rsidRPr="00933D5F" w:rsidRDefault="00F11521" w:rsidP="00461365">
      <w:pPr>
        <w:rPr>
          <w:snapToGrid w:val="0"/>
          <w:lang w:val="es-419"/>
        </w:rPr>
      </w:pPr>
      <w:r w:rsidRPr="00933D5F">
        <w:rPr>
          <w:snapToGrid w:val="0"/>
          <w:lang w:val="es-419"/>
        </w:rPr>
        <w:fldChar w:fldCharType="begin"/>
      </w:r>
      <w:r w:rsidR="00C00D63" w:rsidRPr="00933D5F">
        <w:rPr>
          <w:snapToGrid w:val="0"/>
          <w:lang w:val="es-419"/>
        </w:rPr>
        <w:instrText xml:space="preserve"> AUTONUM  </w:instrText>
      </w:r>
      <w:r w:rsidRPr="00933D5F">
        <w:rPr>
          <w:snapToGrid w:val="0"/>
          <w:lang w:val="es-419"/>
        </w:rPr>
        <w:fldChar w:fldCharType="end"/>
      </w:r>
      <w:r w:rsidR="00C00D63" w:rsidRPr="00933D5F">
        <w:rPr>
          <w:snapToGrid w:val="0"/>
          <w:lang w:val="es-419"/>
        </w:rPr>
        <w:tab/>
      </w:r>
      <w:r w:rsidR="00C91970" w:rsidRPr="00933D5F">
        <w:rPr>
          <w:snapToGrid w:val="0"/>
          <w:lang w:val="es-419"/>
        </w:rPr>
        <w:t xml:space="preserve">La presente adición tiene por finalidad exponer los informes </w:t>
      </w:r>
      <w:r w:rsidR="00DA3090" w:rsidRPr="00933D5F">
        <w:rPr>
          <w:snapToGrid w:val="0"/>
          <w:lang w:val="es-419"/>
        </w:rPr>
        <w:t xml:space="preserve">de las respectivas presidencias </w:t>
      </w:r>
      <w:r w:rsidR="00C91970" w:rsidRPr="00933D5F">
        <w:rPr>
          <w:snapToGrid w:val="0"/>
          <w:lang w:val="es-419"/>
        </w:rPr>
        <w:t>del Grupo de Trabajo Técnico sobre Automatización y Programas Informáticos (TWC) y el Grupo de Trabajo sobre Técnicas Bioquímicas y Moleculares, y Perfiles de ADN en particular (BMT), en sus sesiones de 2021.</w:t>
      </w:r>
    </w:p>
    <w:p w:rsidR="009F69EA" w:rsidRPr="00933D5F" w:rsidRDefault="009F69EA" w:rsidP="00C00D63">
      <w:pPr>
        <w:rPr>
          <w:snapToGrid w:val="0"/>
          <w:lang w:val="es-419"/>
        </w:rPr>
      </w:pPr>
    </w:p>
    <w:p w:rsidR="009F69EA" w:rsidRPr="00933D5F" w:rsidRDefault="00F11521" w:rsidP="00461365">
      <w:pPr>
        <w:rPr>
          <w:snapToGrid w:val="0"/>
          <w:lang w:val="es-419"/>
        </w:rPr>
      </w:pPr>
      <w:r w:rsidRPr="00933D5F">
        <w:rPr>
          <w:snapToGrid w:val="0"/>
          <w:lang w:val="es-419"/>
        </w:rPr>
        <w:fldChar w:fldCharType="begin"/>
      </w:r>
      <w:r w:rsidR="00C00D63" w:rsidRPr="00933D5F">
        <w:rPr>
          <w:snapToGrid w:val="0"/>
          <w:lang w:val="es-419"/>
        </w:rPr>
        <w:instrText xml:space="preserve"> AUTONUM  </w:instrText>
      </w:r>
      <w:r w:rsidRPr="00933D5F">
        <w:rPr>
          <w:snapToGrid w:val="0"/>
          <w:lang w:val="es-419"/>
        </w:rPr>
        <w:fldChar w:fldCharType="end"/>
      </w:r>
      <w:r w:rsidR="00C00D63" w:rsidRPr="00933D5F">
        <w:rPr>
          <w:snapToGrid w:val="0"/>
          <w:lang w:val="es-419"/>
        </w:rPr>
        <w:tab/>
      </w:r>
      <w:r w:rsidR="00DA3090" w:rsidRPr="00933D5F">
        <w:rPr>
          <w:snapToGrid w:val="0"/>
          <w:lang w:val="es-419"/>
        </w:rPr>
        <w:t>El presente documento se estructura del modo siguiente:</w:t>
      </w:r>
    </w:p>
    <w:p w:rsidR="009F69EA" w:rsidRPr="00933D5F" w:rsidRDefault="009F69EA" w:rsidP="00C00D63">
      <w:pPr>
        <w:rPr>
          <w:snapToGrid w:val="0"/>
          <w:lang w:val="es-419"/>
        </w:rPr>
      </w:pPr>
    </w:p>
    <w:p w:rsidR="009F69EA" w:rsidRPr="00933D5F" w:rsidRDefault="00DA3090" w:rsidP="00461365">
      <w:pPr>
        <w:rPr>
          <w:snapToGrid w:val="0"/>
          <w:lang w:val="es-419"/>
        </w:rPr>
      </w:pPr>
      <w:r w:rsidRPr="00933D5F">
        <w:rPr>
          <w:snapToGrid w:val="0"/>
          <w:lang w:val="es-419"/>
        </w:rPr>
        <w:t>Anexo I</w:t>
      </w:r>
      <w:r w:rsidR="00C00D63" w:rsidRPr="00933D5F">
        <w:rPr>
          <w:snapToGrid w:val="0"/>
          <w:lang w:val="es-419"/>
        </w:rPr>
        <w:tab/>
      </w:r>
      <w:r w:rsidRPr="00933D5F">
        <w:rPr>
          <w:snapToGrid w:val="0"/>
          <w:lang w:val="es-419"/>
        </w:rPr>
        <w:t>Grupo de Trabajo Técnico sobre Automatización y Programas Informáticos (TWC)</w:t>
      </w:r>
    </w:p>
    <w:p w:rsidR="009F69EA" w:rsidRPr="00933D5F" w:rsidRDefault="00DA3090" w:rsidP="00EC790C">
      <w:pPr>
        <w:ind w:left="1134" w:hanging="1134"/>
        <w:rPr>
          <w:snapToGrid w:val="0"/>
          <w:lang w:val="es-419"/>
        </w:rPr>
      </w:pPr>
      <w:r w:rsidRPr="00933D5F">
        <w:rPr>
          <w:snapToGrid w:val="0"/>
          <w:lang w:val="es-419"/>
        </w:rPr>
        <w:t>Anexo II</w:t>
      </w:r>
      <w:r w:rsidR="00C00D63" w:rsidRPr="00933D5F">
        <w:rPr>
          <w:snapToGrid w:val="0"/>
          <w:lang w:val="es-419"/>
        </w:rPr>
        <w:tab/>
      </w:r>
      <w:r w:rsidRPr="00933D5F">
        <w:rPr>
          <w:snapToGrid w:val="0"/>
          <w:lang w:val="es-419"/>
        </w:rPr>
        <w:t>Grupo de Trabajo sobre Técnicas Bioquímicas y Moleculares, y Perfiles de ADN en particular (BMT)</w:t>
      </w:r>
    </w:p>
    <w:p w:rsidR="009F69EA" w:rsidRPr="00933D5F" w:rsidRDefault="009F69EA" w:rsidP="00C00D63">
      <w:pPr>
        <w:rPr>
          <w:lang w:val="es-419"/>
        </w:rPr>
      </w:pPr>
    </w:p>
    <w:p w:rsidR="009F69EA" w:rsidRPr="00933D5F" w:rsidRDefault="009F69EA" w:rsidP="00C00D63">
      <w:pPr>
        <w:jc w:val="left"/>
        <w:rPr>
          <w:lang w:val="es-419"/>
        </w:rPr>
      </w:pPr>
    </w:p>
    <w:p w:rsidR="009F69EA" w:rsidRPr="00933D5F" w:rsidRDefault="009F69EA" w:rsidP="00C00D63">
      <w:pPr>
        <w:rPr>
          <w:lang w:val="es-419"/>
        </w:rPr>
      </w:pPr>
    </w:p>
    <w:p w:rsidR="009F69EA" w:rsidRPr="00933D5F" w:rsidRDefault="00C00D63" w:rsidP="00C00D63">
      <w:pPr>
        <w:jc w:val="right"/>
        <w:rPr>
          <w:lang w:val="es-419"/>
        </w:rPr>
      </w:pPr>
      <w:r w:rsidRPr="00933D5F">
        <w:rPr>
          <w:lang w:val="es-419"/>
        </w:rPr>
        <w:t>[Sigue el Anexo I]</w:t>
      </w:r>
    </w:p>
    <w:p w:rsidR="009F69EA" w:rsidRPr="00933D5F" w:rsidRDefault="009F69EA" w:rsidP="00C00D63">
      <w:pPr>
        <w:jc w:val="left"/>
        <w:rPr>
          <w:lang w:val="es-419"/>
        </w:rPr>
      </w:pPr>
    </w:p>
    <w:p w:rsidR="00C00D63" w:rsidRPr="00933D5F" w:rsidRDefault="00C00D63" w:rsidP="00C00D63">
      <w:pPr>
        <w:jc w:val="left"/>
        <w:rPr>
          <w:lang w:val="es-419"/>
        </w:rPr>
        <w:sectPr w:rsidR="00C00D63" w:rsidRPr="00933D5F" w:rsidSect="00DF0DAC">
          <w:headerReference w:type="default" r:id="rId8"/>
          <w:pgSz w:w="11907" w:h="16840" w:code="9"/>
          <w:pgMar w:top="510" w:right="1134" w:bottom="1134" w:left="1134" w:header="510" w:footer="680" w:gutter="0"/>
          <w:pgNumType w:start="1"/>
          <w:cols w:space="720"/>
          <w:titlePg/>
        </w:sectPr>
      </w:pPr>
    </w:p>
    <w:p w:rsidR="009F69EA" w:rsidRPr="00933D5F" w:rsidRDefault="00DA3090" w:rsidP="00461365">
      <w:pPr>
        <w:pStyle w:val="Heading1"/>
        <w:rPr>
          <w:lang w:val="es-419"/>
        </w:rPr>
      </w:pPr>
      <w:r w:rsidRPr="00933D5F">
        <w:rPr>
          <w:caps w:val="0"/>
          <w:lang w:val="es-419"/>
        </w:rPr>
        <w:lastRenderedPageBreak/>
        <w:t xml:space="preserve">TRIGÉSIMA NOVENA SESIÓN </w:t>
      </w:r>
      <w:r w:rsidRPr="00933D5F">
        <w:rPr>
          <w:lang w:val="es-419"/>
        </w:rPr>
        <w:t>deL GRUPO DE TRABAJO TÉCNICO SOBRE AUTOMATIZACIÓN Y PROGRAMAS INFORMÁTICOS (TWC)</w:t>
      </w:r>
    </w:p>
    <w:p w:rsidR="009F69EA" w:rsidRPr="00933D5F" w:rsidRDefault="009F69EA" w:rsidP="00C00D63">
      <w:pPr>
        <w:rPr>
          <w:rFonts w:cs="Arial"/>
          <w:lang w:val="es-419"/>
        </w:rPr>
      </w:pPr>
    </w:p>
    <w:p w:rsidR="009F69EA" w:rsidRPr="00933D5F" w:rsidRDefault="00DA3090" w:rsidP="00461365">
      <w:pPr>
        <w:keepNext/>
        <w:outlineLvl w:val="2"/>
        <w:rPr>
          <w:rFonts w:cs="Arial"/>
          <w:i/>
          <w:lang w:val="es-419"/>
        </w:rPr>
      </w:pPr>
      <w:r w:rsidRPr="00933D5F">
        <w:rPr>
          <w:i/>
          <w:lang w:val="es-419"/>
        </w:rPr>
        <w:t>Informe de la Sra. Beate Rücker (Alemania), presidenta del TWC</w:t>
      </w:r>
    </w:p>
    <w:p w:rsidR="009F69EA" w:rsidRPr="00933D5F" w:rsidRDefault="009F69EA" w:rsidP="00C00D63">
      <w:pPr>
        <w:rPr>
          <w:rFonts w:cs="Arial"/>
          <w:lang w:val="es-419"/>
        </w:rPr>
      </w:pPr>
    </w:p>
    <w:p w:rsidR="009F69EA" w:rsidRPr="00933D5F" w:rsidRDefault="00DA3090" w:rsidP="00461365">
      <w:pPr>
        <w:rPr>
          <w:lang w:val="es-419"/>
        </w:rPr>
      </w:pPr>
      <w:r w:rsidRPr="00933D5F">
        <w:rPr>
          <w:lang w:val="es-419"/>
        </w:rPr>
        <w:t>El TWC celebró su trigésima novena sesión, organizada por los Estados Unidos de América por vía telemática del 20 al 22 de septiembre de 2021, bajo la presidencia de la Sra. Beate Rücker (Alemania).</w:t>
      </w:r>
      <w:r w:rsidR="00C00D63" w:rsidRPr="00933D5F">
        <w:rPr>
          <w:lang w:val="es-419"/>
        </w:rPr>
        <w:t xml:space="preserve"> </w:t>
      </w:r>
      <w:r w:rsidR="008345CC" w:rsidRPr="00933D5F">
        <w:rPr>
          <w:lang w:val="es-419"/>
        </w:rPr>
        <w:t xml:space="preserve">El informe de la sesión figura en el documento TWC/39/9 </w:t>
      </w:r>
      <w:r w:rsidR="008345CC" w:rsidRPr="00933D5F">
        <w:rPr>
          <w:rFonts w:eastAsia="MS Mincho" w:cs="Arial"/>
          <w:lang w:val="es-419" w:eastAsia="ja-JP"/>
        </w:rPr>
        <w:t>“</w:t>
      </w:r>
      <w:r w:rsidR="008345CC" w:rsidRPr="00933D5F">
        <w:rPr>
          <w:rFonts w:eastAsia="MS Mincho" w:cs="Arial"/>
          <w:i/>
          <w:lang w:val="es-419" w:eastAsia="ja-JP"/>
        </w:rPr>
        <w:t>Report</w:t>
      </w:r>
      <w:r w:rsidR="008345CC" w:rsidRPr="00933D5F">
        <w:rPr>
          <w:rFonts w:eastAsia="MS Mincho" w:cs="Arial"/>
          <w:lang w:val="es-419" w:eastAsia="ja-JP"/>
        </w:rPr>
        <w:t>” (Informe)</w:t>
      </w:r>
      <w:r w:rsidR="008345CC" w:rsidRPr="00933D5F">
        <w:rPr>
          <w:lang w:val="es-419"/>
        </w:rPr>
        <w:t>.</w:t>
      </w:r>
    </w:p>
    <w:p w:rsidR="009F69EA" w:rsidRPr="00933D5F" w:rsidRDefault="009F69EA" w:rsidP="00C00D63">
      <w:pPr>
        <w:rPr>
          <w:lang w:val="es-419"/>
        </w:rPr>
      </w:pPr>
    </w:p>
    <w:p w:rsidR="009F69EA" w:rsidRPr="00933D5F" w:rsidRDefault="00F11521" w:rsidP="00461365">
      <w:pPr>
        <w:rPr>
          <w:lang w:val="es-419"/>
        </w:rPr>
      </w:pPr>
      <w:r w:rsidRPr="00933D5F">
        <w:rPr>
          <w:lang w:val="es-419"/>
        </w:rPr>
        <w:fldChar w:fldCharType="begin"/>
      </w:r>
      <w:r w:rsidR="00C00D63" w:rsidRPr="00933D5F">
        <w:rPr>
          <w:lang w:val="es-419"/>
        </w:rPr>
        <w:instrText xml:space="preserve"> 2. </w:instrText>
      </w:r>
      <w:r w:rsidRPr="00933D5F">
        <w:rPr>
          <w:lang w:val="es-419"/>
        </w:rPr>
        <w:fldChar w:fldCharType="end"/>
      </w:r>
      <w:r w:rsidR="008345CC" w:rsidRPr="00933D5F">
        <w:rPr>
          <w:lang w:val="es-419"/>
        </w:rPr>
        <w:t>Asistieron a la sesión 54 participantes de 23 miembros de la Unión y un Estado en calidad de observador.</w:t>
      </w:r>
    </w:p>
    <w:p w:rsidR="009F69EA" w:rsidRPr="00933D5F" w:rsidRDefault="009F69EA" w:rsidP="00C00D63">
      <w:pPr>
        <w:rPr>
          <w:lang w:val="es-419"/>
        </w:rPr>
      </w:pPr>
    </w:p>
    <w:p w:rsidR="009F69EA" w:rsidRPr="00933D5F" w:rsidRDefault="00151BB7" w:rsidP="00461365">
      <w:pPr>
        <w:rPr>
          <w:lang w:val="es-419"/>
        </w:rPr>
      </w:pPr>
      <w:r w:rsidRPr="00933D5F">
        <w:rPr>
          <w:rFonts w:cs="Arial"/>
          <w:lang w:val="es-419"/>
        </w:rPr>
        <w:t>Dio la bienvenida a</w:t>
      </w:r>
      <w:r w:rsidR="008345CC" w:rsidRPr="00933D5F">
        <w:rPr>
          <w:rFonts w:cs="Arial"/>
          <w:lang w:val="es-419"/>
        </w:rPr>
        <w:t xml:space="preserve">l TWC </w:t>
      </w:r>
      <w:r w:rsidRPr="00933D5F">
        <w:rPr>
          <w:rFonts w:cs="Arial"/>
          <w:lang w:val="es-419"/>
        </w:rPr>
        <w:t>el Sr. </w:t>
      </w:r>
      <w:r w:rsidR="008345CC" w:rsidRPr="00933D5F">
        <w:rPr>
          <w:rFonts w:cs="Arial"/>
          <w:lang w:val="es-419"/>
        </w:rPr>
        <w:t xml:space="preserve">Jeffery Haynes, </w:t>
      </w:r>
      <w:r w:rsidR="008C7031" w:rsidRPr="00933D5F">
        <w:rPr>
          <w:rFonts w:cs="Arial"/>
          <w:lang w:val="es-419"/>
        </w:rPr>
        <w:t xml:space="preserve">comisionado de la </w:t>
      </w:r>
      <w:r w:rsidR="008345CC" w:rsidRPr="00933D5F">
        <w:rPr>
          <w:rFonts w:cs="Arial"/>
          <w:lang w:val="es-419"/>
        </w:rPr>
        <w:t xml:space="preserve">Oficina </w:t>
      </w:r>
      <w:r w:rsidR="008C7031" w:rsidRPr="00933D5F">
        <w:rPr>
          <w:rFonts w:cs="Arial"/>
          <w:lang w:val="es-419"/>
        </w:rPr>
        <w:t xml:space="preserve">de </w:t>
      </w:r>
      <w:r w:rsidR="008345CC" w:rsidRPr="00933D5F">
        <w:rPr>
          <w:rFonts w:cs="Arial"/>
          <w:lang w:val="es-419"/>
        </w:rPr>
        <w:t xml:space="preserve">Protección </w:t>
      </w:r>
      <w:r w:rsidR="008C7031" w:rsidRPr="00933D5F">
        <w:rPr>
          <w:rFonts w:cs="Arial"/>
          <w:lang w:val="es-419"/>
        </w:rPr>
        <w:t xml:space="preserve">de las </w:t>
      </w:r>
      <w:r w:rsidR="008345CC" w:rsidRPr="00933D5F">
        <w:rPr>
          <w:rFonts w:cs="Arial"/>
          <w:lang w:val="es-419"/>
        </w:rPr>
        <w:t xml:space="preserve">Obtenciones Vegetales, AMS, </w:t>
      </w:r>
      <w:r w:rsidR="006570AA" w:rsidRPr="00933D5F">
        <w:rPr>
          <w:rFonts w:cs="Arial"/>
          <w:lang w:val="es-419"/>
        </w:rPr>
        <w:t xml:space="preserve">Programa de </w:t>
      </w:r>
      <w:r w:rsidR="008345CC" w:rsidRPr="00933D5F">
        <w:rPr>
          <w:rFonts w:cs="Arial"/>
          <w:lang w:val="es-419"/>
        </w:rPr>
        <w:t xml:space="preserve">Ciencia </w:t>
      </w:r>
      <w:r w:rsidR="006570AA" w:rsidRPr="00933D5F">
        <w:rPr>
          <w:rFonts w:cs="Arial"/>
          <w:lang w:val="es-419"/>
        </w:rPr>
        <w:t>y</w:t>
      </w:r>
      <w:r w:rsidR="008345CC" w:rsidRPr="00933D5F">
        <w:rPr>
          <w:rFonts w:cs="Arial"/>
          <w:lang w:val="es-419"/>
        </w:rPr>
        <w:t xml:space="preserve"> Tecnología, </w:t>
      </w:r>
      <w:r w:rsidR="000348B8" w:rsidRPr="00933D5F">
        <w:rPr>
          <w:rFonts w:cs="Arial"/>
          <w:lang w:val="es-419"/>
        </w:rPr>
        <w:t xml:space="preserve">Departamento de Agricultura de los Estados Unidos de América </w:t>
      </w:r>
      <w:r w:rsidR="008345CC" w:rsidRPr="00933D5F">
        <w:rPr>
          <w:rFonts w:cs="Arial"/>
          <w:lang w:val="es-419"/>
        </w:rPr>
        <w:t>(USDA).</w:t>
      </w:r>
    </w:p>
    <w:p w:rsidR="009F69EA" w:rsidRPr="00933D5F" w:rsidRDefault="009F69EA" w:rsidP="00C00D63">
      <w:pPr>
        <w:rPr>
          <w:lang w:val="es-419"/>
        </w:rPr>
      </w:pPr>
    </w:p>
    <w:p w:rsidR="009F69EA" w:rsidRPr="00933D5F" w:rsidRDefault="003E102B" w:rsidP="00461365">
      <w:pPr>
        <w:rPr>
          <w:rFonts w:cs="Arial"/>
          <w:lang w:val="es-419"/>
        </w:rPr>
      </w:pPr>
      <w:r w:rsidRPr="00933D5F">
        <w:rPr>
          <w:rFonts w:cs="Arial"/>
          <w:lang w:val="es-419"/>
        </w:rPr>
        <w:t>El TWC examinó el documento TWC/39/5 “</w:t>
      </w:r>
      <w:r w:rsidRPr="00933D5F">
        <w:rPr>
          <w:rFonts w:cs="Arial"/>
          <w:i/>
          <w:iCs/>
          <w:lang w:val="es-419"/>
        </w:rPr>
        <w:t>Development of software for the improved COYU method (splines)</w:t>
      </w:r>
      <w:r w:rsidRPr="00933D5F">
        <w:rPr>
          <w:rFonts w:cs="Arial"/>
          <w:lang w:val="es-419"/>
        </w:rPr>
        <w:t xml:space="preserve">” </w:t>
      </w:r>
      <w:r w:rsidR="00C7113D" w:rsidRPr="00933D5F">
        <w:rPr>
          <w:rFonts w:cs="Arial"/>
          <w:lang w:val="es-419"/>
        </w:rPr>
        <w:t>(Desarrollo del programa informático para el método COYU mejorado (</w:t>
      </w:r>
      <w:r w:rsidR="00C7113D" w:rsidRPr="00933D5F">
        <w:rPr>
          <w:rFonts w:cs="Arial"/>
          <w:i/>
          <w:iCs/>
          <w:lang w:val="es-419"/>
        </w:rPr>
        <w:t>splines</w:t>
      </w:r>
      <w:r w:rsidR="00C7113D" w:rsidRPr="00933D5F">
        <w:rPr>
          <w:rFonts w:cs="Arial"/>
          <w:lang w:val="es-419"/>
        </w:rPr>
        <w:t xml:space="preserve">)) </w:t>
      </w:r>
      <w:r w:rsidRPr="00933D5F">
        <w:rPr>
          <w:rFonts w:cs="Arial"/>
          <w:lang w:val="es-419"/>
        </w:rPr>
        <w:t>y asistió a una ponencia a cargo de un experto del Reino Unido.</w:t>
      </w:r>
      <w:r w:rsidR="00C00D63" w:rsidRPr="00933D5F">
        <w:rPr>
          <w:rFonts w:cs="Arial"/>
          <w:lang w:val="es-419"/>
        </w:rPr>
        <w:t xml:space="preserve"> </w:t>
      </w:r>
      <w:r w:rsidR="00C7113D" w:rsidRPr="00933D5F">
        <w:rPr>
          <w:rFonts w:cs="Arial"/>
          <w:lang w:val="es-419"/>
        </w:rPr>
        <w:t xml:space="preserve">El TWC </w:t>
      </w:r>
      <w:r w:rsidR="009A26B8" w:rsidRPr="00933D5F">
        <w:rPr>
          <w:rFonts w:cs="Arial"/>
          <w:lang w:val="es-419"/>
        </w:rPr>
        <w:t xml:space="preserve">tomó nota de los avances en el desarrollo del programa informático para </w:t>
      </w:r>
      <w:r w:rsidR="002F2131" w:rsidRPr="00933D5F">
        <w:rPr>
          <w:rFonts w:cs="Arial"/>
          <w:lang w:val="es-419"/>
        </w:rPr>
        <w:t>el</w:t>
      </w:r>
      <w:r w:rsidR="00C7113D" w:rsidRPr="00933D5F">
        <w:rPr>
          <w:rFonts w:cs="Arial"/>
          <w:lang w:val="es-419"/>
        </w:rPr>
        <w:t xml:space="preserve"> COYU</w:t>
      </w:r>
      <w:r w:rsidR="002F2131" w:rsidRPr="00933D5F">
        <w:rPr>
          <w:rFonts w:cs="Arial"/>
          <w:lang w:val="es-419"/>
        </w:rPr>
        <w:t xml:space="preserve"> con </w:t>
      </w:r>
      <w:r w:rsidR="002F2131" w:rsidRPr="00933D5F">
        <w:rPr>
          <w:rFonts w:cs="Arial"/>
          <w:i/>
          <w:iCs/>
          <w:lang w:val="es-419"/>
        </w:rPr>
        <w:t xml:space="preserve">splines </w:t>
      </w:r>
      <w:r w:rsidR="00C7113D" w:rsidRPr="00933D5F">
        <w:rPr>
          <w:rFonts w:cs="Arial"/>
          <w:lang w:val="es-419"/>
        </w:rPr>
        <w:t xml:space="preserve">y </w:t>
      </w:r>
      <w:r w:rsidR="002F2131" w:rsidRPr="00933D5F">
        <w:rPr>
          <w:rFonts w:cs="Arial"/>
          <w:lang w:val="es-419"/>
        </w:rPr>
        <w:t>de que</w:t>
      </w:r>
      <w:r w:rsidR="00C7113D" w:rsidRPr="00933D5F">
        <w:rPr>
          <w:rFonts w:cs="Arial"/>
          <w:lang w:val="es-419"/>
        </w:rPr>
        <w:t xml:space="preserve"> </w:t>
      </w:r>
      <w:r w:rsidR="002F2131" w:rsidRPr="00933D5F">
        <w:rPr>
          <w:rFonts w:cs="Arial"/>
          <w:lang w:val="es-419"/>
        </w:rPr>
        <w:t>en agosto de 2021 se habían puesto en funcionamiento las versiones de prueba</w:t>
      </w:r>
      <w:r w:rsidR="00C7113D" w:rsidRPr="00933D5F">
        <w:rPr>
          <w:rFonts w:cs="Arial"/>
          <w:lang w:val="es-419"/>
        </w:rPr>
        <w:t xml:space="preserve"> </w:t>
      </w:r>
      <w:r w:rsidR="002F2131" w:rsidRPr="00933D5F">
        <w:rPr>
          <w:rFonts w:cs="Arial"/>
          <w:lang w:val="es-419"/>
        </w:rPr>
        <w:t>del programa informático</w:t>
      </w:r>
      <w:r w:rsidR="00C7113D" w:rsidRPr="00933D5F">
        <w:rPr>
          <w:rFonts w:cs="Arial"/>
          <w:lang w:val="es-419"/>
        </w:rPr>
        <w:t>.</w:t>
      </w:r>
      <w:r w:rsidR="00C00D63" w:rsidRPr="00933D5F">
        <w:rPr>
          <w:rFonts w:cs="Arial"/>
          <w:lang w:val="es-419"/>
        </w:rPr>
        <w:t xml:space="preserve"> </w:t>
      </w:r>
      <w:r w:rsidR="001F7F05" w:rsidRPr="00933D5F">
        <w:rPr>
          <w:rFonts w:cs="Arial"/>
          <w:lang w:val="es-419"/>
        </w:rPr>
        <w:t xml:space="preserve">El TWC tomó nota de que </w:t>
      </w:r>
      <w:r w:rsidR="006D70C2" w:rsidRPr="00933D5F">
        <w:rPr>
          <w:rFonts w:cs="Arial"/>
          <w:lang w:val="es-419"/>
        </w:rPr>
        <w:t xml:space="preserve">se prevé disponer de </w:t>
      </w:r>
      <w:r w:rsidR="001F7F05" w:rsidRPr="00933D5F">
        <w:rPr>
          <w:rFonts w:cs="Arial"/>
          <w:lang w:val="es-419"/>
        </w:rPr>
        <w:t xml:space="preserve">los resultados de la campaña de pruebas del programa informático para el COYU con </w:t>
      </w:r>
      <w:r w:rsidR="001F7F05" w:rsidRPr="00933D5F">
        <w:rPr>
          <w:rFonts w:cs="Arial"/>
          <w:i/>
          <w:iCs/>
          <w:lang w:val="es-419"/>
        </w:rPr>
        <w:t>splines</w:t>
      </w:r>
      <w:r w:rsidR="001F7F05" w:rsidRPr="00933D5F">
        <w:rPr>
          <w:rFonts w:cs="Arial"/>
          <w:lang w:val="es-419"/>
        </w:rPr>
        <w:t xml:space="preserve"> en</w:t>
      </w:r>
      <w:r w:rsidR="006D70C2" w:rsidRPr="00933D5F">
        <w:rPr>
          <w:rFonts w:cs="Arial"/>
          <w:lang w:val="es-419"/>
        </w:rPr>
        <w:t> </w:t>
      </w:r>
      <w:r w:rsidR="001F7F05" w:rsidRPr="00933D5F">
        <w:rPr>
          <w:rFonts w:cs="Arial"/>
          <w:lang w:val="es-419"/>
        </w:rPr>
        <w:t xml:space="preserve">2022 y acordó invitar al experto </w:t>
      </w:r>
      <w:r w:rsidR="00B67F61" w:rsidRPr="00933D5F">
        <w:rPr>
          <w:rFonts w:cs="Arial"/>
          <w:lang w:val="es-419"/>
        </w:rPr>
        <w:t>d</w:t>
      </w:r>
      <w:r w:rsidR="001F7F05" w:rsidRPr="00933D5F">
        <w:rPr>
          <w:rFonts w:cs="Arial"/>
          <w:lang w:val="es-419"/>
        </w:rPr>
        <w:t xml:space="preserve">el Reino Unido </w:t>
      </w:r>
      <w:r w:rsidR="00B67F61" w:rsidRPr="00933D5F">
        <w:rPr>
          <w:rFonts w:cs="Arial"/>
          <w:lang w:val="es-419"/>
        </w:rPr>
        <w:t>a</w:t>
      </w:r>
      <w:r w:rsidR="001F7F05" w:rsidRPr="00933D5F">
        <w:rPr>
          <w:rFonts w:cs="Arial"/>
          <w:lang w:val="es-419"/>
        </w:rPr>
        <w:t xml:space="preserve"> </w:t>
      </w:r>
      <w:r w:rsidR="00B67F61" w:rsidRPr="00933D5F">
        <w:rPr>
          <w:rFonts w:cs="Arial"/>
          <w:lang w:val="es-419"/>
        </w:rPr>
        <w:t xml:space="preserve">que </w:t>
      </w:r>
      <w:r w:rsidR="001F7F05" w:rsidRPr="00933D5F">
        <w:rPr>
          <w:rFonts w:cs="Arial"/>
          <w:lang w:val="es-419"/>
        </w:rPr>
        <w:t>inform</w:t>
      </w:r>
      <w:r w:rsidR="00B67F61" w:rsidRPr="00933D5F">
        <w:rPr>
          <w:rFonts w:cs="Arial"/>
          <w:lang w:val="es-419"/>
        </w:rPr>
        <w:t xml:space="preserve">e de las </w:t>
      </w:r>
      <w:r w:rsidR="001F7F05" w:rsidRPr="00933D5F">
        <w:rPr>
          <w:rFonts w:cs="Arial"/>
          <w:lang w:val="es-419"/>
        </w:rPr>
        <w:t>novedades en la primera sesión de</w:t>
      </w:r>
      <w:r w:rsidR="00B67F61" w:rsidRPr="00933D5F">
        <w:rPr>
          <w:rFonts w:cs="Arial"/>
          <w:lang w:val="es-419"/>
        </w:rPr>
        <w:t>l </w:t>
      </w:r>
      <w:r w:rsidR="001F7F05" w:rsidRPr="00933D5F">
        <w:rPr>
          <w:rFonts w:cs="Arial"/>
          <w:lang w:val="es-419"/>
        </w:rPr>
        <w:t>TWM.</w:t>
      </w:r>
    </w:p>
    <w:p w:rsidR="009F69EA" w:rsidRPr="00933D5F" w:rsidRDefault="009F69EA" w:rsidP="00C00D63">
      <w:pPr>
        <w:rPr>
          <w:rFonts w:cs="Arial"/>
          <w:lang w:val="es-419"/>
        </w:rPr>
      </w:pPr>
    </w:p>
    <w:p w:rsidR="009F69EA" w:rsidRPr="00933D5F" w:rsidRDefault="006559DB" w:rsidP="00461365">
      <w:pPr>
        <w:rPr>
          <w:lang w:val="es-419"/>
        </w:rPr>
      </w:pPr>
      <w:r w:rsidRPr="00933D5F">
        <w:rPr>
          <w:lang w:val="es-419"/>
        </w:rPr>
        <w:t>El TWC examinó la propuesta de revisión de la sección 9 “Criterio combinado interanual de homogeneidad (COYU)” del documento</w:t>
      </w:r>
      <w:r w:rsidR="00E25E13" w:rsidRPr="00933D5F">
        <w:rPr>
          <w:lang w:val="es-419"/>
        </w:rPr>
        <w:t xml:space="preserve"> TGP/8</w:t>
      </w:r>
      <w:r w:rsidRPr="00933D5F">
        <w:rPr>
          <w:lang w:val="es-419"/>
        </w:rPr>
        <w:t xml:space="preserve"> con arreglo al proyecto que figura en los Anexos del </w:t>
      </w:r>
      <w:r w:rsidRPr="00933D5F">
        <w:rPr>
          <w:snapToGrid w:val="0"/>
          <w:lang w:val="es-419"/>
        </w:rPr>
        <w:t>documento TWP/5/11</w:t>
      </w:r>
      <w:r w:rsidRPr="00933D5F">
        <w:rPr>
          <w:lang w:val="es-419"/>
        </w:rPr>
        <w:t>.</w:t>
      </w:r>
      <w:r w:rsidR="00C00D63" w:rsidRPr="00933D5F">
        <w:rPr>
          <w:lang w:val="es-419"/>
        </w:rPr>
        <w:t xml:space="preserve"> </w:t>
      </w:r>
      <w:r w:rsidR="00725434" w:rsidRPr="00933D5F">
        <w:rPr>
          <w:lang w:val="es-419"/>
        </w:rPr>
        <w:t xml:space="preserve">El TWC </w:t>
      </w:r>
      <w:r w:rsidR="00710155" w:rsidRPr="00933D5F">
        <w:rPr>
          <w:lang w:val="es-419"/>
        </w:rPr>
        <w:t>convino en que es necesario un análisis más profundo</w:t>
      </w:r>
      <w:r w:rsidR="00725434" w:rsidRPr="00933D5F">
        <w:rPr>
          <w:lang w:val="es-419"/>
        </w:rPr>
        <w:t xml:space="preserve"> </w:t>
      </w:r>
      <w:r w:rsidR="00710155" w:rsidRPr="00933D5F">
        <w:rPr>
          <w:lang w:val="es-419"/>
        </w:rPr>
        <w:t>para determinar</w:t>
      </w:r>
      <w:r w:rsidR="00725434" w:rsidRPr="00933D5F">
        <w:rPr>
          <w:lang w:val="es-419"/>
        </w:rPr>
        <w:t xml:space="preserve"> si </w:t>
      </w:r>
      <w:r w:rsidR="00710155" w:rsidRPr="00933D5F">
        <w:rPr>
          <w:lang w:val="es-419"/>
        </w:rPr>
        <w:t>procede suprimir</w:t>
      </w:r>
      <w:r w:rsidR="00725434" w:rsidRPr="00933D5F">
        <w:rPr>
          <w:lang w:val="es-419"/>
        </w:rPr>
        <w:t xml:space="preserve"> </w:t>
      </w:r>
      <w:r w:rsidR="00710155" w:rsidRPr="00933D5F">
        <w:rPr>
          <w:lang w:val="es-419"/>
        </w:rPr>
        <w:t xml:space="preserve">de la sección 9 del documento TGP/8 la </w:t>
      </w:r>
      <w:r w:rsidR="00725434" w:rsidRPr="00933D5F">
        <w:rPr>
          <w:lang w:val="es-419"/>
        </w:rPr>
        <w:t>orientación</w:t>
      </w:r>
      <w:r w:rsidR="00710155" w:rsidRPr="00933D5F">
        <w:rPr>
          <w:lang w:val="es-419"/>
        </w:rPr>
        <w:t xml:space="preserve"> sobre </w:t>
      </w:r>
      <w:r w:rsidR="00725434" w:rsidRPr="00933D5F">
        <w:rPr>
          <w:lang w:val="es-419"/>
        </w:rPr>
        <w:t>el COYU basado en la media móvil y sustituir</w:t>
      </w:r>
      <w:r w:rsidR="00710155" w:rsidRPr="00933D5F">
        <w:rPr>
          <w:lang w:val="es-419"/>
        </w:rPr>
        <w:t>la</w:t>
      </w:r>
      <w:r w:rsidR="00725434" w:rsidRPr="00933D5F">
        <w:rPr>
          <w:lang w:val="es-419"/>
        </w:rPr>
        <w:t xml:space="preserve"> por </w:t>
      </w:r>
      <w:r w:rsidR="00926BC2" w:rsidRPr="00933D5F">
        <w:rPr>
          <w:lang w:val="es-419"/>
        </w:rPr>
        <w:t>la</w:t>
      </w:r>
      <w:r w:rsidR="00725434" w:rsidRPr="00933D5F">
        <w:rPr>
          <w:lang w:val="es-419"/>
        </w:rPr>
        <w:t xml:space="preserve"> explicación </w:t>
      </w:r>
      <w:r w:rsidR="00926BC2" w:rsidRPr="00933D5F">
        <w:rPr>
          <w:lang w:val="es-419"/>
        </w:rPr>
        <w:t xml:space="preserve">sobre el método mejorado </w:t>
      </w:r>
      <w:r w:rsidR="00725434" w:rsidRPr="00933D5F">
        <w:rPr>
          <w:lang w:val="es-419"/>
        </w:rPr>
        <w:t xml:space="preserve">(COYU </w:t>
      </w:r>
      <w:r w:rsidR="00926BC2" w:rsidRPr="00933D5F">
        <w:rPr>
          <w:lang w:val="es-419"/>
        </w:rPr>
        <w:t xml:space="preserve">con </w:t>
      </w:r>
      <w:r w:rsidR="00926BC2" w:rsidRPr="00933D5F">
        <w:rPr>
          <w:i/>
          <w:iCs/>
          <w:lang w:val="es-419"/>
        </w:rPr>
        <w:t>splines</w:t>
      </w:r>
      <w:r w:rsidR="00725434" w:rsidRPr="00933D5F">
        <w:rPr>
          <w:lang w:val="es-419"/>
        </w:rPr>
        <w:t xml:space="preserve">), </w:t>
      </w:r>
      <w:r w:rsidR="00DF0DAC" w:rsidRPr="00933D5F">
        <w:rPr>
          <w:lang w:val="es-419"/>
        </w:rPr>
        <w:t>habida cuenta de que</w:t>
      </w:r>
      <w:r w:rsidR="00725434" w:rsidRPr="00933D5F">
        <w:rPr>
          <w:lang w:val="es-419"/>
        </w:rPr>
        <w:t xml:space="preserve"> </w:t>
      </w:r>
      <w:r w:rsidR="00DF0DAC" w:rsidRPr="00933D5F">
        <w:rPr>
          <w:lang w:val="es-419"/>
        </w:rPr>
        <w:t xml:space="preserve">la </w:t>
      </w:r>
      <w:r w:rsidR="00725434" w:rsidRPr="00933D5F">
        <w:rPr>
          <w:lang w:val="es-419"/>
        </w:rPr>
        <w:t xml:space="preserve">explicación </w:t>
      </w:r>
      <w:r w:rsidR="00DF0DAC" w:rsidRPr="00933D5F">
        <w:rPr>
          <w:lang w:val="es-419"/>
        </w:rPr>
        <w:t>sobre el COYU basado en la media móvil puede consultarse</w:t>
      </w:r>
      <w:r w:rsidR="00725434" w:rsidRPr="00933D5F">
        <w:rPr>
          <w:lang w:val="es-419"/>
        </w:rPr>
        <w:t xml:space="preserve"> </w:t>
      </w:r>
      <w:r w:rsidR="00DF0DAC" w:rsidRPr="00933D5F">
        <w:rPr>
          <w:lang w:val="es-419"/>
        </w:rPr>
        <w:t xml:space="preserve">en </w:t>
      </w:r>
      <w:r w:rsidR="00725434" w:rsidRPr="00933D5F">
        <w:rPr>
          <w:lang w:val="es-419"/>
        </w:rPr>
        <w:t>el sitio web de la UPOV.</w:t>
      </w:r>
    </w:p>
    <w:p w:rsidR="009F69EA" w:rsidRPr="00933D5F" w:rsidRDefault="009F69EA" w:rsidP="00C00D63">
      <w:pPr>
        <w:rPr>
          <w:lang w:val="es-419"/>
        </w:rPr>
      </w:pPr>
    </w:p>
    <w:p w:rsidR="009F69EA" w:rsidRPr="00933D5F" w:rsidRDefault="00DF0DAC" w:rsidP="00461365">
      <w:pPr>
        <w:rPr>
          <w:lang w:val="es-419"/>
        </w:rPr>
      </w:pPr>
      <w:r w:rsidRPr="00933D5F">
        <w:rPr>
          <w:lang w:val="es-419"/>
        </w:rPr>
        <w:t xml:space="preserve">El TWC convino en que es preciso seguir debatiendo acerca del uso del COYU cuando en una variedad candidata el nivel de expresión </w:t>
      </w:r>
      <w:r w:rsidR="00121BA6" w:rsidRPr="00933D5F">
        <w:rPr>
          <w:lang w:val="es-419"/>
        </w:rPr>
        <w:t xml:space="preserve">no se corresponda con el observado en otras variedades </w:t>
      </w:r>
      <w:r w:rsidRPr="00933D5F">
        <w:rPr>
          <w:lang w:val="es-419"/>
        </w:rPr>
        <w:t>(extrapolación)</w:t>
      </w:r>
      <w:r w:rsidR="00121BA6" w:rsidRPr="00933D5F">
        <w:rPr>
          <w:lang w:val="es-419"/>
        </w:rPr>
        <w:t>,</w:t>
      </w:r>
      <w:r w:rsidRPr="00933D5F">
        <w:rPr>
          <w:lang w:val="es-419"/>
        </w:rPr>
        <w:t xml:space="preserve"> y acordó invitar al Reino Unido a que presente una ponencia en la primera sesión del TWM.</w:t>
      </w:r>
    </w:p>
    <w:p w:rsidR="009F69EA" w:rsidRPr="00933D5F" w:rsidRDefault="009F69EA" w:rsidP="00C00D63">
      <w:pPr>
        <w:rPr>
          <w:rFonts w:cs="Arial"/>
          <w:lang w:val="es-419"/>
        </w:rPr>
      </w:pPr>
    </w:p>
    <w:p w:rsidR="009F69EA" w:rsidRPr="00933D5F" w:rsidRDefault="00121BA6" w:rsidP="00461365">
      <w:pPr>
        <w:rPr>
          <w:lang w:val="es-419"/>
        </w:rPr>
      </w:pPr>
      <w:r w:rsidRPr="00933D5F">
        <w:rPr>
          <w:lang w:val="es-419"/>
        </w:rPr>
        <w:t>El TWC asistió a una ponencia a cargo de un experto de China, titulada “Plataforma de macrodatos para el examen DHE”.</w:t>
      </w:r>
      <w:r w:rsidR="00C00D63" w:rsidRPr="00933D5F">
        <w:rPr>
          <w:lang w:val="es-419"/>
        </w:rPr>
        <w:t xml:space="preserve"> </w:t>
      </w:r>
      <w:r w:rsidRPr="00933D5F">
        <w:rPr>
          <w:lang w:val="es-419"/>
        </w:rPr>
        <w:t>En el documento TWC/39/7 se ofrece una copia de la ponencia.</w:t>
      </w:r>
    </w:p>
    <w:p w:rsidR="009F69EA" w:rsidRPr="00933D5F" w:rsidRDefault="009F69EA" w:rsidP="00C00D63">
      <w:pPr>
        <w:rPr>
          <w:lang w:val="es-419"/>
        </w:rPr>
      </w:pPr>
    </w:p>
    <w:p w:rsidR="009F69EA" w:rsidRPr="00933D5F" w:rsidRDefault="00121BA6" w:rsidP="00461365">
      <w:pPr>
        <w:rPr>
          <w:lang w:val="es-419"/>
        </w:rPr>
      </w:pPr>
      <w:r w:rsidRPr="00933D5F">
        <w:rPr>
          <w:lang w:val="es-419"/>
        </w:rPr>
        <w:t>El TWC asistió a una ponencia a cargo de un experto de la Argentina, titulada “Marcadores ópticos: una nueva tecnología aplicada al reconocimiento de variedades de cebada, trigo y soja”.</w:t>
      </w:r>
      <w:r w:rsidR="00C00D63" w:rsidRPr="00933D5F">
        <w:rPr>
          <w:lang w:val="es-419"/>
        </w:rPr>
        <w:t xml:space="preserve"> </w:t>
      </w:r>
      <w:r w:rsidRPr="00933D5F">
        <w:rPr>
          <w:lang w:val="es-419"/>
        </w:rPr>
        <w:t>En el documento TWC/39/8 se ofrece una copia de la ponencia.</w:t>
      </w:r>
      <w:r w:rsidR="00C00D63" w:rsidRPr="00933D5F">
        <w:rPr>
          <w:lang w:val="es-419"/>
        </w:rPr>
        <w:t xml:space="preserve"> </w:t>
      </w:r>
      <w:r w:rsidRPr="00933D5F">
        <w:rPr>
          <w:lang w:val="es-419"/>
        </w:rPr>
        <w:t xml:space="preserve">El TWC tomó nota de que la Argentina está considerando la posibilidad de utilizar la nueva tecnología en el examen DHE y acordó invitar al experto de </w:t>
      </w:r>
      <w:r w:rsidR="00EB054B" w:rsidRPr="00933D5F">
        <w:rPr>
          <w:lang w:val="es-419"/>
        </w:rPr>
        <w:t>ese país</w:t>
      </w:r>
      <w:r w:rsidRPr="00933D5F">
        <w:rPr>
          <w:lang w:val="es-419"/>
        </w:rPr>
        <w:t xml:space="preserve"> a que informe de las novedades en la primera sesión del TWM.</w:t>
      </w:r>
    </w:p>
    <w:p w:rsidR="009F69EA" w:rsidRPr="00933D5F" w:rsidRDefault="009F69EA" w:rsidP="00C00D63">
      <w:pPr>
        <w:rPr>
          <w:rFonts w:cs="Arial"/>
          <w:lang w:val="es-419"/>
        </w:rPr>
      </w:pPr>
    </w:p>
    <w:p w:rsidR="009F69EA" w:rsidRPr="00933D5F" w:rsidRDefault="00121BA6" w:rsidP="00461365">
      <w:pPr>
        <w:keepNext/>
        <w:rPr>
          <w:lang w:val="es-419"/>
        </w:rPr>
      </w:pPr>
      <w:r w:rsidRPr="00933D5F">
        <w:rPr>
          <w:lang w:val="es-419"/>
        </w:rPr>
        <w:t>El TWC asistió a una ponencia, a cargo de un experto de China, sobre el programa informático de análisis estadístico DUSCEL3.0 para la gestión y el análisis de los datos y las fotografías de los ensayos DHE.</w:t>
      </w:r>
      <w:r w:rsidR="00C00D63" w:rsidRPr="00933D5F">
        <w:rPr>
          <w:lang w:val="es-419"/>
        </w:rPr>
        <w:t xml:space="preserve"> </w:t>
      </w:r>
      <w:r w:rsidRPr="00933D5F">
        <w:rPr>
          <w:lang w:val="es-419"/>
        </w:rPr>
        <w:t>En el documento TWC/39/6 se ofrece una copia de la ponencia.</w:t>
      </w:r>
      <w:r w:rsidR="00C00D63" w:rsidRPr="00933D5F">
        <w:rPr>
          <w:lang w:val="es-419"/>
        </w:rPr>
        <w:t xml:space="preserve"> </w:t>
      </w:r>
      <w:r w:rsidRPr="00933D5F">
        <w:rPr>
          <w:lang w:val="es-419"/>
        </w:rPr>
        <w:t>El TWC tomó nota de que el programa informático se encuentra aún en fase de desarrollo.</w:t>
      </w:r>
      <w:r w:rsidR="00C00D63" w:rsidRPr="00933D5F">
        <w:rPr>
          <w:lang w:val="es-419"/>
        </w:rPr>
        <w:t xml:space="preserve"> </w:t>
      </w:r>
      <w:r w:rsidRPr="00933D5F">
        <w:rPr>
          <w:lang w:val="es-419"/>
        </w:rPr>
        <w:t>El TWC acordó invitar a los expertos a que se pongan en contacto con China a fin de colaborar en el desarrollo del programa informático, e invitar a China a que, en la primera sesión del TWM, informe de las novedades que se hayan producido.</w:t>
      </w:r>
      <w:r w:rsidR="00C00D63" w:rsidRPr="00933D5F">
        <w:rPr>
          <w:lang w:val="es-419"/>
        </w:rPr>
        <w:t xml:space="preserve"> </w:t>
      </w:r>
    </w:p>
    <w:p w:rsidR="009F69EA" w:rsidRPr="00933D5F" w:rsidRDefault="009F69EA" w:rsidP="00C00D63">
      <w:pPr>
        <w:rPr>
          <w:lang w:val="es-419"/>
        </w:rPr>
      </w:pPr>
    </w:p>
    <w:p w:rsidR="009F69EA" w:rsidRPr="00933D5F" w:rsidRDefault="00A108E3" w:rsidP="00461365">
      <w:pPr>
        <w:rPr>
          <w:lang w:val="es-419"/>
        </w:rPr>
      </w:pPr>
      <w:r w:rsidRPr="00933D5F">
        <w:rPr>
          <w:lang w:val="es-419"/>
        </w:rPr>
        <w:t>El TWC examinó el documento TWP/5/10.</w:t>
      </w:r>
      <w:r w:rsidR="00C00D63" w:rsidRPr="00933D5F">
        <w:rPr>
          <w:snapToGrid w:val="0"/>
          <w:lang w:val="es-419"/>
        </w:rPr>
        <w:t xml:space="preserve"> </w:t>
      </w:r>
      <w:r w:rsidRPr="00933D5F">
        <w:rPr>
          <w:lang w:val="es-419"/>
        </w:rPr>
        <w:t>El TWC respaldó la inclusión de la orientación sobre “Diferentes formas que pueden adoptar las descripciones de variedades y la importancia de los niveles de escala” en el documento TGP/8, parte I, sección 2 “Datos que han de registrarse” como una nueva sección</w:t>
      </w:r>
      <w:r w:rsidR="003B5E21" w:rsidRPr="00933D5F">
        <w:rPr>
          <w:lang w:val="es-419"/>
        </w:rPr>
        <w:t> </w:t>
      </w:r>
      <w:r w:rsidRPr="00933D5F">
        <w:rPr>
          <w:lang w:val="es-419"/>
        </w:rPr>
        <w:t>2.5.</w:t>
      </w:r>
      <w:r w:rsidR="00C00D63" w:rsidRPr="00933D5F">
        <w:rPr>
          <w:lang w:val="es-419"/>
        </w:rPr>
        <w:t xml:space="preserve"> </w:t>
      </w:r>
      <w:r w:rsidR="003B5E21" w:rsidRPr="00933D5F">
        <w:rPr>
          <w:lang w:val="es-419"/>
        </w:rPr>
        <w:t>El TWC convino en que se invite a los miembros de la Unión a proponer la inclusión de programas informáticos que incorporen sus métodos de transformación de observaciones en notas en el documento UPOV/INF/16 o el documento UPOV/INF/22, según corresponda, con una referencia a la disponibilidad de estos métodos en la nueva sección 2.5 del documento TGP/8, parte I.</w:t>
      </w:r>
      <w:r w:rsidR="00C00D63" w:rsidRPr="00933D5F">
        <w:rPr>
          <w:highlight w:val="yellow"/>
          <w:lang w:val="es-419"/>
        </w:rPr>
        <w:t xml:space="preserve"> </w:t>
      </w:r>
    </w:p>
    <w:p w:rsidR="009F69EA" w:rsidRPr="00933D5F" w:rsidRDefault="009F69EA" w:rsidP="00C00D63">
      <w:pPr>
        <w:rPr>
          <w:lang w:val="es-419"/>
        </w:rPr>
      </w:pPr>
    </w:p>
    <w:p w:rsidR="009F69EA" w:rsidRPr="00933D5F" w:rsidRDefault="003B5E21" w:rsidP="0071354C">
      <w:pPr>
        <w:keepLines/>
        <w:rPr>
          <w:snapToGrid w:val="0"/>
          <w:lang w:val="es-419"/>
        </w:rPr>
      </w:pPr>
      <w:r w:rsidRPr="00933D5F">
        <w:rPr>
          <w:snapToGrid w:val="0"/>
          <w:lang w:val="es-419"/>
        </w:rPr>
        <w:lastRenderedPageBreak/>
        <w:t>El TWC examinó el documento TWP/5/4 y respaldó la modificación del sistema de códigos de la UPOV de manera que estos proporcionen información sobre los tipos, los grupos y la clase de denominación de las variedades, según se indica en el documento UPOV/INF/23/1 Draft 2.</w:t>
      </w:r>
      <w:r w:rsidR="00C00D63" w:rsidRPr="00933D5F">
        <w:rPr>
          <w:snapToGrid w:val="0"/>
          <w:lang w:val="es-419"/>
        </w:rPr>
        <w:t xml:space="preserve"> </w:t>
      </w:r>
      <w:r w:rsidR="00B1138F" w:rsidRPr="00933D5F">
        <w:rPr>
          <w:snapToGrid w:val="0"/>
          <w:lang w:val="es-419"/>
        </w:rPr>
        <w:t>El TWC suscribió la propuesta, formulada por el TWA en su quincuagésima sesión, de limitar el número de caracteres del elemento añadido para evitar que resulte excesivamente extenso.</w:t>
      </w:r>
    </w:p>
    <w:p w:rsidR="009F69EA" w:rsidRPr="00933D5F" w:rsidRDefault="009F69EA" w:rsidP="00C00D63">
      <w:pPr>
        <w:rPr>
          <w:lang w:val="es-419"/>
        </w:rPr>
      </w:pPr>
    </w:p>
    <w:p w:rsidR="009F69EA" w:rsidRPr="00933D5F" w:rsidRDefault="00CD2270" w:rsidP="00461365">
      <w:pPr>
        <w:rPr>
          <w:snapToGrid w:val="0"/>
          <w:lang w:val="es-419"/>
        </w:rPr>
      </w:pPr>
      <w:r w:rsidRPr="00933D5F">
        <w:rPr>
          <w:snapToGrid w:val="0"/>
          <w:lang w:val="es-419"/>
        </w:rPr>
        <w:t xml:space="preserve">El TWC </w:t>
      </w:r>
      <w:r w:rsidR="00B1138F" w:rsidRPr="00933D5F">
        <w:rPr>
          <w:snapToGrid w:val="0"/>
          <w:lang w:val="es-419"/>
        </w:rPr>
        <w:t xml:space="preserve">examinó el documento </w:t>
      </w:r>
      <w:r w:rsidR="00AB2F71" w:rsidRPr="00933D5F">
        <w:rPr>
          <w:snapToGrid w:val="0"/>
          <w:lang w:val="es-419"/>
        </w:rPr>
        <w:t xml:space="preserve">TWP/5/3 </w:t>
      </w:r>
      <w:r w:rsidR="00B1138F" w:rsidRPr="00933D5F">
        <w:rPr>
          <w:snapToGrid w:val="0"/>
          <w:lang w:val="es-419"/>
        </w:rPr>
        <w:t xml:space="preserve">y tomó nota de las novedades </w:t>
      </w:r>
      <w:r w:rsidR="00AB2F71" w:rsidRPr="00933D5F">
        <w:rPr>
          <w:snapToGrid w:val="0"/>
          <w:lang w:val="es-419"/>
        </w:rPr>
        <w:t>relativas a UPOV PRISMA.</w:t>
      </w:r>
      <w:r w:rsidR="00C00D63" w:rsidRPr="00933D5F">
        <w:rPr>
          <w:snapToGrid w:val="0"/>
          <w:lang w:val="es-419"/>
        </w:rPr>
        <w:t xml:space="preserve"> </w:t>
      </w:r>
      <w:r w:rsidRPr="00933D5F">
        <w:rPr>
          <w:snapToGrid w:val="0"/>
          <w:lang w:val="es-419"/>
        </w:rPr>
        <w:t xml:space="preserve">El TWC </w:t>
      </w:r>
      <w:r w:rsidR="002A6414" w:rsidRPr="00933D5F">
        <w:rPr>
          <w:snapToGrid w:val="0"/>
          <w:lang w:val="es-419"/>
        </w:rPr>
        <w:t>tomó nota del</w:t>
      </w:r>
      <w:r w:rsidRPr="00933D5F">
        <w:rPr>
          <w:snapToGrid w:val="0"/>
          <w:lang w:val="es-419"/>
        </w:rPr>
        <w:t xml:space="preserve"> com</w:t>
      </w:r>
      <w:r w:rsidR="002A6414" w:rsidRPr="00933D5F">
        <w:rPr>
          <w:snapToGrid w:val="0"/>
          <w:lang w:val="es-419"/>
        </w:rPr>
        <w:t>entario de un experto d</w:t>
      </w:r>
      <w:r w:rsidRPr="00933D5F">
        <w:rPr>
          <w:snapToGrid w:val="0"/>
          <w:lang w:val="es-419"/>
        </w:rPr>
        <w:t xml:space="preserve">el Reino Unido </w:t>
      </w:r>
      <w:r w:rsidR="002A6414" w:rsidRPr="00933D5F">
        <w:rPr>
          <w:snapToGrid w:val="0"/>
          <w:lang w:val="es-419"/>
        </w:rPr>
        <w:t xml:space="preserve">sobre </w:t>
      </w:r>
      <w:r w:rsidRPr="00933D5F">
        <w:rPr>
          <w:snapToGrid w:val="0"/>
          <w:lang w:val="es-419"/>
        </w:rPr>
        <w:t>la necesidad</w:t>
      </w:r>
      <w:r w:rsidRPr="00933D5F">
        <w:rPr>
          <w:lang w:val="es-419"/>
        </w:rPr>
        <w:t xml:space="preserve"> </w:t>
      </w:r>
      <w:r w:rsidR="002A6414" w:rsidRPr="00933D5F">
        <w:rPr>
          <w:lang w:val="es-419"/>
        </w:rPr>
        <w:t>de a</w:t>
      </w:r>
      <w:r w:rsidR="005D2102" w:rsidRPr="00933D5F">
        <w:rPr>
          <w:lang w:val="es-419"/>
        </w:rPr>
        <w:t>nim</w:t>
      </w:r>
      <w:r w:rsidR="002A6414" w:rsidRPr="00933D5F">
        <w:rPr>
          <w:lang w:val="es-419"/>
        </w:rPr>
        <w:t>ar a l</w:t>
      </w:r>
      <w:r w:rsidR="005D2102" w:rsidRPr="00933D5F">
        <w:rPr>
          <w:lang w:val="es-419"/>
        </w:rPr>
        <w:t>o</w:t>
      </w:r>
      <w:r w:rsidR="002A6414" w:rsidRPr="00933D5F">
        <w:rPr>
          <w:lang w:val="es-419"/>
        </w:rPr>
        <w:t xml:space="preserve">s </w:t>
      </w:r>
      <w:r w:rsidR="005D2102" w:rsidRPr="00933D5F">
        <w:rPr>
          <w:lang w:val="es-419"/>
        </w:rPr>
        <w:t>usuarios</w:t>
      </w:r>
      <w:r w:rsidR="002A6414" w:rsidRPr="00933D5F">
        <w:rPr>
          <w:lang w:val="es-419"/>
        </w:rPr>
        <w:t xml:space="preserve"> </w:t>
      </w:r>
      <w:r w:rsidR="005D2102" w:rsidRPr="00933D5F">
        <w:rPr>
          <w:lang w:val="es-419"/>
        </w:rPr>
        <w:t xml:space="preserve">y usuarias de </w:t>
      </w:r>
      <w:r w:rsidR="002A6414" w:rsidRPr="00933D5F">
        <w:rPr>
          <w:lang w:val="es-419"/>
        </w:rPr>
        <w:t xml:space="preserve">UPOV PRISMA a que </w:t>
      </w:r>
      <w:r w:rsidR="002E7BE0" w:rsidRPr="00933D5F">
        <w:rPr>
          <w:lang w:val="es-419"/>
        </w:rPr>
        <w:t>aprovech</w:t>
      </w:r>
      <w:r w:rsidR="005D2102" w:rsidRPr="00933D5F">
        <w:rPr>
          <w:lang w:val="es-419"/>
        </w:rPr>
        <w:t>e</w:t>
      </w:r>
      <w:r w:rsidR="002E7BE0" w:rsidRPr="00933D5F">
        <w:rPr>
          <w:lang w:val="es-419"/>
        </w:rPr>
        <w:t>n las oportunidades de</w:t>
      </w:r>
      <w:r w:rsidR="002A6414" w:rsidRPr="00933D5F">
        <w:rPr>
          <w:lang w:val="es-419"/>
        </w:rPr>
        <w:t xml:space="preserve"> </w:t>
      </w:r>
      <w:r w:rsidRPr="00933D5F">
        <w:rPr>
          <w:lang w:val="es-419"/>
        </w:rPr>
        <w:t>formación</w:t>
      </w:r>
      <w:r w:rsidR="002A6414" w:rsidRPr="00933D5F">
        <w:rPr>
          <w:lang w:val="es-419"/>
        </w:rPr>
        <w:t xml:space="preserve"> </w:t>
      </w:r>
      <w:r w:rsidRPr="00933D5F">
        <w:rPr>
          <w:lang w:val="es-419"/>
        </w:rPr>
        <w:t xml:space="preserve">y </w:t>
      </w:r>
      <w:r w:rsidR="002A6414" w:rsidRPr="00933D5F">
        <w:rPr>
          <w:lang w:val="es-419"/>
        </w:rPr>
        <w:t>apoyo</w:t>
      </w:r>
      <w:r w:rsidRPr="00933D5F">
        <w:rPr>
          <w:snapToGrid w:val="0"/>
          <w:lang w:val="es-419"/>
        </w:rPr>
        <w:t>.</w:t>
      </w:r>
    </w:p>
    <w:p w:rsidR="009F69EA" w:rsidRPr="00933D5F" w:rsidRDefault="009F69EA" w:rsidP="00C00D63">
      <w:pPr>
        <w:rPr>
          <w:lang w:val="es-419"/>
        </w:rPr>
      </w:pPr>
    </w:p>
    <w:p w:rsidR="009F69EA" w:rsidRPr="00933D5F" w:rsidRDefault="002A6414" w:rsidP="00461365">
      <w:pPr>
        <w:rPr>
          <w:rFonts w:cs="Arial"/>
          <w:lang w:val="es-419"/>
        </w:rPr>
      </w:pPr>
      <w:r w:rsidRPr="00933D5F">
        <w:rPr>
          <w:snapToGrid w:val="0"/>
          <w:lang w:val="es-419"/>
        </w:rPr>
        <w:t xml:space="preserve">El TWC </w:t>
      </w:r>
      <w:r w:rsidR="0092350B" w:rsidRPr="00933D5F">
        <w:rPr>
          <w:snapToGrid w:val="0"/>
          <w:lang w:val="es-419"/>
        </w:rPr>
        <w:t>examinó</w:t>
      </w:r>
      <w:r w:rsidRPr="00933D5F">
        <w:rPr>
          <w:snapToGrid w:val="0"/>
          <w:lang w:val="es-419"/>
        </w:rPr>
        <w:t xml:space="preserve"> </w:t>
      </w:r>
      <w:r w:rsidR="0092350B" w:rsidRPr="00933D5F">
        <w:rPr>
          <w:snapToGrid w:val="0"/>
          <w:lang w:val="es-419"/>
        </w:rPr>
        <w:t xml:space="preserve">las </w:t>
      </w:r>
      <w:r w:rsidRPr="00933D5F">
        <w:rPr>
          <w:snapToGrid w:val="0"/>
          <w:lang w:val="es-419"/>
        </w:rPr>
        <w:t>posible</w:t>
      </w:r>
      <w:r w:rsidR="0092350B" w:rsidRPr="00933D5F">
        <w:rPr>
          <w:snapToGrid w:val="0"/>
          <w:lang w:val="es-419"/>
        </w:rPr>
        <w:t>s</w:t>
      </w:r>
      <w:r w:rsidRPr="00933D5F">
        <w:rPr>
          <w:snapToGrid w:val="0"/>
          <w:lang w:val="es-419"/>
        </w:rPr>
        <w:t xml:space="preserve"> medidas </w:t>
      </w:r>
      <w:r w:rsidR="0092350B" w:rsidRPr="00933D5F">
        <w:rPr>
          <w:snapToGrid w:val="0"/>
          <w:lang w:val="es-419"/>
        </w:rPr>
        <w:t>relativas a la participación presencial y virtual en las sesiones de los </w:t>
      </w:r>
      <w:r w:rsidRPr="00933D5F">
        <w:rPr>
          <w:snapToGrid w:val="0"/>
          <w:lang w:val="es-419"/>
        </w:rPr>
        <w:t xml:space="preserve">TWP, </w:t>
      </w:r>
      <w:r w:rsidR="0092350B" w:rsidRPr="00933D5F">
        <w:rPr>
          <w:snapToGrid w:val="0"/>
          <w:lang w:val="es-419"/>
        </w:rPr>
        <w:t xml:space="preserve">expuestas </w:t>
      </w:r>
      <w:r w:rsidRPr="00933D5F">
        <w:rPr>
          <w:snapToGrid w:val="0"/>
          <w:lang w:val="es-419"/>
        </w:rPr>
        <w:t xml:space="preserve">en </w:t>
      </w:r>
      <w:r w:rsidR="002E7BE0" w:rsidRPr="00933D5F">
        <w:rPr>
          <w:snapToGrid w:val="0"/>
          <w:lang w:val="es-419"/>
        </w:rPr>
        <w:t xml:space="preserve">el párrafo 26 del </w:t>
      </w:r>
      <w:r w:rsidRPr="00933D5F">
        <w:rPr>
          <w:snapToGrid w:val="0"/>
          <w:lang w:val="es-419"/>
        </w:rPr>
        <w:t>documento</w:t>
      </w:r>
      <w:r w:rsidR="002E7BE0" w:rsidRPr="00933D5F">
        <w:rPr>
          <w:snapToGrid w:val="0"/>
          <w:lang w:val="es-419"/>
        </w:rPr>
        <w:t> TWP/5/12</w:t>
      </w:r>
      <w:r w:rsidRPr="00933D5F">
        <w:rPr>
          <w:snapToGrid w:val="0"/>
          <w:lang w:val="es-419"/>
        </w:rPr>
        <w:t>.</w:t>
      </w:r>
      <w:r w:rsidR="00C00D63" w:rsidRPr="00933D5F">
        <w:rPr>
          <w:snapToGrid w:val="0"/>
          <w:lang w:val="es-419"/>
        </w:rPr>
        <w:t xml:space="preserve"> </w:t>
      </w:r>
      <w:r w:rsidR="0092350B" w:rsidRPr="00933D5F">
        <w:rPr>
          <w:rFonts w:cs="Arial"/>
          <w:lang w:val="es-419"/>
        </w:rPr>
        <w:t>El TWC respaldó las medidas b) “organizar talleres preparatorios virtuales antes de las sesiones de los TWP” y c) “ofrecer la posibilidad de formular observaciones y preguntas sobre los documentos antes de la reunión</w:t>
      </w:r>
      <w:r w:rsidR="00D521E3" w:rsidRPr="00933D5F">
        <w:rPr>
          <w:rFonts w:cs="Arial"/>
          <w:lang w:val="es-419"/>
        </w:rPr>
        <w:t>”</w:t>
      </w:r>
      <w:r w:rsidR="0092350B" w:rsidRPr="00933D5F">
        <w:rPr>
          <w:rFonts w:cs="Arial"/>
          <w:lang w:val="es-419"/>
        </w:rPr>
        <w:t>.</w:t>
      </w:r>
      <w:r w:rsidR="00C00D63" w:rsidRPr="00933D5F">
        <w:rPr>
          <w:rFonts w:cs="Arial"/>
          <w:lang w:val="es-419"/>
        </w:rPr>
        <w:t xml:space="preserve"> </w:t>
      </w:r>
      <w:r w:rsidR="00D521E3" w:rsidRPr="00933D5F">
        <w:rPr>
          <w:rFonts w:cs="Arial"/>
          <w:lang w:val="es-419"/>
        </w:rPr>
        <w:t>El TWC examinó las medidas d) “organizar la participación electrónica durante los TWP […]” y e) “llevar a cabo sesiones virtuales durante parte del día […]” y convino en lo siguiente:</w:t>
      </w:r>
    </w:p>
    <w:p w:rsidR="009F69EA" w:rsidRPr="00933D5F" w:rsidRDefault="009F69EA" w:rsidP="00C00D63">
      <w:pPr>
        <w:rPr>
          <w:rFonts w:cs="Arial"/>
          <w:lang w:val="es-419"/>
        </w:rPr>
      </w:pPr>
    </w:p>
    <w:p w:rsidR="009F69EA" w:rsidRPr="00933D5F" w:rsidRDefault="00232E61" w:rsidP="00461365">
      <w:pPr>
        <w:pStyle w:val="ListParagraph"/>
        <w:numPr>
          <w:ilvl w:val="0"/>
          <w:numId w:val="1"/>
        </w:numPr>
        <w:rPr>
          <w:rFonts w:cs="Arial"/>
          <w:lang w:val="es-419"/>
        </w:rPr>
      </w:pPr>
      <w:r w:rsidRPr="00933D5F">
        <w:rPr>
          <w:rFonts w:cs="Arial"/>
          <w:lang w:val="es-419"/>
        </w:rPr>
        <w:t xml:space="preserve">Alternar </w:t>
      </w:r>
      <w:r w:rsidR="00995C13" w:rsidRPr="00933D5F">
        <w:rPr>
          <w:rFonts w:cs="Arial"/>
          <w:lang w:val="es-419"/>
        </w:rPr>
        <w:t>un</w:t>
      </w:r>
      <w:r w:rsidRPr="00933D5F">
        <w:rPr>
          <w:rFonts w:cs="Arial"/>
          <w:lang w:val="es-419"/>
        </w:rPr>
        <w:t>a sesión presencial</w:t>
      </w:r>
      <w:r w:rsidR="00995C13" w:rsidRPr="00933D5F">
        <w:rPr>
          <w:rFonts w:cs="Arial"/>
          <w:lang w:val="es-419"/>
        </w:rPr>
        <w:t xml:space="preserve"> </w:t>
      </w:r>
      <w:r w:rsidRPr="00933D5F">
        <w:rPr>
          <w:rFonts w:cs="Arial"/>
          <w:lang w:val="es-419"/>
        </w:rPr>
        <w:t xml:space="preserve">un </w:t>
      </w:r>
      <w:r w:rsidR="00995C13" w:rsidRPr="00933D5F">
        <w:rPr>
          <w:rFonts w:cs="Arial"/>
          <w:lang w:val="es-419"/>
        </w:rPr>
        <w:t>año</w:t>
      </w:r>
      <w:r w:rsidRPr="00933D5F">
        <w:rPr>
          <w:rFonts w:cs="Arial"/>
          <w:lang w:val="es-419"/>
        </w:rPr>
        <w:t xml:space="preserve"> y una sesión virtual al año siguiente</w:t>
      </w:r>
      <w:r w:rsidR="00995C13" w:rsidRPr="00933D5F">
        <w:rPr>
          <w:rFonts w:cs="Arial"/>
          <w:lang w:val="es-419"/>
        </w:rPr>
        <w:t>;</w:t>
      </w:r>
    </w:p>
    <w:p w:rsidR="009F69EA" w:rsidRPr="00933D5F" w:rsidRDefault="00232E61" w:rsidP="00461365">
      <w:pPr>
        <w:pStyle w:val="ListParagraph"/>
        <w:numPr>
          <w:ilvl w:val="0"/>
          <w:numId w:val="1"/>
        </w:numPr>
        <w:rPr>
          <w:rFonts w:cs="Arial"/>
          <w:lang w:val="es-419"/>
        </w:rPr>
      </w:pPr>
      <w:r w:rsidRPr="00933D5F">
        <w:rPr>
          <w:rFonts w:cs="Arial"/>
          <w:lang w:val="es-419"/>
        </w:rPr>
        <w:t>Celebrar mesas redondas para presentar a los asistentes y sesiones paralelas para facilitar a los nuevos participantes el establecimiento de contactos con miras a la cooperación internacional.</w:t>
      </w:r>
    </w:p>
    <w:p w:rsidR="009F69EA" w:rsidRPr="00933D5F" w:rsidRDefault="009F69EA" w:rsidP="00C00D63">
      <w:pPr>
        <w:rPr>
          <w:lang w:val="es-419"/>
        </w:rPr>
      </w:pPr>
    </w:p>
    <w:p w:rsidR="009F69EA" w:rsidRPr="00933D5F" w:rsidRDefault="007F267C" w:rsidP="00461365">
      <w:pPr>
        <w:rPr>
          <w:snapToGrid w:val="0"/>
          <w:lang w:val="es-419"/>
        </w:rPr>
      </w:pPr>
      <w:r w:rsidRPr="00933D5F">
        <w:rPr>
          <w:lang w:val="es-419"/>
        </w:rPr>
        <w:t xml:space="preserve">El TWC tomó nota de que no se habían recibido ofrecimientos </w:t>
      </w:r>
      <w:r w:rsidR="00AB11D5" w:rsidRPr="00933D5F">
        <w:rPr>
          <w:lang w:val="es-419"/>
        </w:rPr>
        <w:t>respecto d</w:t>
      </w:r>
      <w:r w:rsidRPr="00933D5F">
        <w:rPr>
          <w:lang w:val="es-419"/>
        </w:rPr>
        <w:t xml:space="preserve">el lugar de </w:t>
      </w:r>
      <w:r w:rsidR="005E099C" w:rsidRPr="00933D5F">
        <w:rPr>
          <w:lang w:val="es-419"/>
        </w:rPr>
        <w:t xml:space="preserve">celebración de la primera </w:t>
      </w:r>
      <w:r w:rsidRPr="00933D5F">
        <w:rPr>
          <w:lang w:val="es-419"/>
        </w:rPr>
        <w:t>sesión del TWM.</w:t>
      </w:r>
      <w:r w:rsidR="00C00D63" w:rsidRPr="00933D5F">
        <w:rPr>
          <w:lang w:val="es-419"/>
        </w:rPr>
        <w:t xml:space="preserve"> </w:t>
      </w:r>
      <w:r w:rsidR="00AB11D5" w:rsidRPr="00933D5F">
        <w:rPr>
          <w:lang w:val="es-419"/>
        </w:rPr>
        <w:t>El TWC tomó nota de que el Consejo adoptará una decisión sobre la fecha y el lugar de la primera sesión del TWM en su quincuagésima quinta sesión, prevista para el 29 de octubre de 2021.</w:t>
      </w:r>
      <w:r w:rsidR="00C00D63" w:rsidRPr="00933D5F">
        <w:rPr>
          <w:snapToGrid w:val="0"/>
          <w:lang w:val="es-419"/>
        </w:rPr>
        <w:t xml:space="preserve"> </w:t>
      </w:r>
    </w:p>
    <w:p w:rsidR="009F69EA" w:rsidRPr="00933D5F" w:rsidRDefault="009F69EA" w:rsidP="00C00D63">
      <w:pPr>
        <w:rPr>
          <w:color w:val="000000"/>
          <w:lang w:val="es-419"/>
        </w:rPr>
      </w:pPr>
    </w:p>
    <w:p w:rsidR="009F69EA" w:rsidRPr="00933D5F" w:rsidRDefault="0041609F" w:rsidP="00461365">
      <w:pPr>
        <w:rPr>
          <w:lang w:val="es-419"/>
        </w:rPr>
      </w:pPr>
      <w:r w:rsidRPr="00933D5F">
        <w:rPr>
          <w:lang w:val="es-419"/>
        </w:rPr>
        <w:t xml:space="preserve">El TWC </w:t>
      </w:r>
      <w:r w:rsidR="003D2289" w:rsidRPr="00933D5F">
        <w:rPr>
          <w:lang w:val="es-419"/>
        </w:rPr>
        <w:t>tomó nota de que los</w:t>
      </w:r>
      <w:r w:rsidRPr="00933D5F">
        <w:rPr>
          <w:lang w:val="es-419"/>
        </w:rPr>
        <w:t xml:space="preserve"> miembros de la UPOV </w:t>
      </w:r>
      <w:r w:rsidR="003D2289" w:rsidRPr="00933D5F">
        <w:rPr>
          <w:lang w:val="es-419"/>
        </w:rPr>
        <w:t xml:space="preserve">pueden </w:t>
      </w:r>
      <w:r w:rsidR="00E71052" w:rsidRPr="00933D5F">
        <w:rPr>
          <w:lang w:val="es-419"/>
        </w:rPr>
        <w:t>dirigirse a</w:t>
      </w:r>
      <w:r w:rsidRPr="00933D5F">
        <w:rPr>
          <w:lang w:val="es-419"/>
        </w:rPr>
        <w:t xml:space="preserve"> la Oficina de la Unión </w:t>
      </w:r>
      <w:r w:rsidR="00E71052" w:rsidRPr="00933D5F">
        <w:rPr>
          <w:lang w:val="es-419"/>
        </w:rPr>
        <w:t xml:space="preserve">para proponer una fecha y un lugar de celebración de la </w:t>
      </w:r>
      <w:r w:rsidRPr="00933D5F">
        <w:rPr>
          <w:lang w:val="es-419"/>
        </w:rPr>
        <w:t xml:space="preserve">sesión </w:t>
      </w:r>
      <w:r w:rsidR="00F85CFA" w:rsidRPr="00933D5F">
        <w:rPr>
          <w:lang w:val="es-419"/>
        </w:rPr>
        <w:t xml:space="preserve">de 2022 </w:t>
      </w:r>
      <w:r w:rsidRPr="00933D5F">
        <w:rPr>
          <w:lang w:val="es-419"/>
        </w:rPr>
        <w:t>de</w:t>
      </w:r>
      <w:r w:rsidR="00E13DD0" w:rsidRPr="00933D5F">
        <w:rPr>
          <w:lang w:val="es-419"/>
        </w:rPr>
        <w:t>l </w:t>
      </w:r>
      <w:r w:rsidRPr="00933D5F">
        <w:rPr>
          <w:lang w:val="es-419"/>
        </w:rPr>
        <w:t>TWM.</w:t>
      </w:r>
      <w:r w:rsidR="00C00D63" w:rsidRPr="00933D5F">
        <w:rPr>
          <w:lang w:val="es-419"/>
        </w:rPr>
        <w:t xml:space="preserve"> </w:t>
      </w:r>
      <w:r w:rsidR="00F85CFA" w:rsidRPr="00933D5F">
        <w:rPr>
          <w:lang w:val="es-419"/>
        </w:rPr>
        <w:t>Si se recibe una propuesta con suficiente antelación a la quincuagésima quinta sesión del Consejo, este podrá examinarla en esa sesión.</w:t>
      </w:r>
    </w:p>
    <w:p w:rsidR="009F69EA" w:rsidRPr="00933D5F" w:rsidRDefault="009F69EA" w:rsidP="00C00D63">
      <w:pPr>
        <w:rPr>
          <w:lang w:val="es-419"/>
        </w:rPr>
      </w:pPr>
    </w:p>
    <w:p w:rsidR="009F69EA" w:rsidRPr="00933D5F" w:rsidRDefault="00F85CFA" w:rsidP="00461365">
      <w:pPr>
        <w:rPr>
          <w:lang w:val="es-419"/>
        </w:rPr>
      </w:pPr>
      <w:r w:rsidRPr="00933D5F">
        <w:rPr>
          <w:lang w:val="es-419"/>
        </w:rPr>
        <w:t xml:space="preserve">El TWC </w:t>
      </w:r>
      <w:r w:rsidR="000A0B5F" w:rsidRPr="00933D5F">
        <w:rPr>
          <w:lang w:val="es-419"/>
        </w:rPr>
        <w:t>convino en que la</w:t>
      </w:r>
      <w:r w:rsidRPr="00933D5F">
        <w:rPr>
          <w:lang w:val="es-419"/>
        </w:rPr>
        <w:t xml:space="preserve"> primera sesión de</w:t>
      </w:r>
      <w:r w:rsidR="000A0B5F" w:rsidRPr="00933D5F">
        <w:rPr>
          <w:lang w:val="es-419"/>
        </w:rPr>
        <w:t>l </w:t>
      </w:r>
      <w:r w:rsidRPr="00933D5F">
        <w:rPr>
          <w:lang w:val="es-419"/>
        </w:rPr>
        <w:t xml:space="preserve">TWM </w:t>
      </w:r>
      <w:r w:rsidR="00B158EB" w:rsidRPr="00933D5F">
        <w:rPr>
          <w:lang w:val="es-419"/>
        </w:rPr>
        <w:t>se</w:t>
      </w:r>
      <w:r w:rsidRPr="00933D5F">
        <w:rPr>
          <w:lang w:val="es-419"/>
        </w:rPr>
        <w:t xml:space="preserve"> celebr</w:t>
      </w:r>
      <w:r w:rsidR="00B158EB" w:rsidRPr="00933D5F">
        <w:rPr>
          <w:lang w:val="es-419"/>
        </w:rPr>
        <w:t>e</w:t>
      </w:r>
      <w:r w:rsidRPr="00933D5F">
        <w:rPr>
          <w:lang w:val="es-419"/>
        </w:rPr>
        <w:t xml:space="preserve"> por vía telemática </w:t>
      </w:r>
      <w:r w:rsidR="00B158EB" w:rsidRPr="00933D5F">
        <w:rPr>
          <w:lang w:val="es-419"/>
        </w:rPr>
        <w:t>del </w:t>
      </w:r>
      <w:r w:rsidRPr="00933D5F">
        <w:rPr>
          <w:lang w:val="es-419"/>
        </w:rPr>
        <w:t xml:space="preserve">19 </w:t>
      </w:r>
      <w:r w:rsidR="00B158EB" w:rsidRPr="00933D5F">
        <w:rPr>
          <w:lang w:val="es-419"/>
        </w:rPr>
        <w:t>al </w:t>
      </w:r>
      <w:r w:rsidRPr="00933D5F">
        <w:rPr>
          <w:lang w:val="es-419"/>
        </w:rPr>
        <w:t>23</w:t>
      </w:r>
      <w:r w:rsidR="00B158EB" w:rsidRPr="00933D5F">
        <w:rPr>
          <w:lang w:val="es-419"/>
        </w:rPr>
        <w:t xml:space="preserve"> de septiembre de </w:t>
      </w:r>
      <w:r w:rsidRPr="00933D5F">
        <w:rPr>
          <w:lang w:val="es-419"/>
        </w:rPr>
        <w:t xml:space="preserve">2022, </w:t>
      </w:r>
      <w:r w:rsidR="00B158EB" w:rsidRPr="00933D5F">
        <w:rPr>
          <w:lang w:val="es-419"/>
        </w:rPr>
        <w:t xml:space="preserve">si no se recibe una propuesta </w:t>
      </w:r>
      <w:r w:rsidR="005C3C58" w:rsidRPr="00933D5F">
        <w:rPr>
          <w:lang w:val="es-419"/>
        </w:rPr>
        <w:t xml:space="preserve">alternativa de algún miembro </w:t>
      </w:r>
      <w:r w:rsidR="00B158EB" w:rsidRPr="00933D5F">
        <w:rPr>
          <w:lang w:val="es-419"/>
        </w:rPr>
        <w:t>de la Unión</w:t>
      </w:r>
      <w:r w:rsidRPr="00933D5F">
        <w:rPr>
          <w:lang w:val="es-419"/>
        </w:rPr>
        <w:t>.</w:t>
      </w:r>
    </w:p>
    <w:p w:rsidR="009F69EA" w:rsidRPr="00933D5F" w:rsidRDefault="009F69EA" w:rsidP="00C00D63">
      <w:pPr>
        <w:rPr>
          <w:lang w:val="es-419"/>
        </w:rPr>
      </w:pPr>
    </w:p>
    <w:p w:rsidR="009F69EA" w:rsidRPr="00933D5F" w:rsidRDefault="00460ABB" w:rsidP="00461365">
      <w:pPr>
        <w:rPr>
          <w:lang w:val="es-419"/>
        </w:rPr>
      </w:pPr>
      <w:r w:rsidRPr="00933D5F">
        <w:rPr>
          <w:lang w:val="es-419"/>
        </w:rPr>
        <w:t>El TWC acordó invitar al</w:t>
      </w:r>
      <w:r w:rsidR="008B2739" w:rsidRPr="00933D5F">
        <w:rPr>
          <w:lang w:val="es-419"/>
        </w:rPr>
        <w:t> </w:t>
      </w:r>
      <w:r w:rsidRPr="00933D5F">
        <w:rPr>
          <w:lang w:val="es-419"/>
        </w:rPr>
        <w:t xml:space="preserve">BMT </w:t>
      </w:r>
      <w:r w:rsidR="008B2739" w:rsidRPr="00933D5F">
        <w:rPr>
          <w:lang w:val="es-419"/>
        </w:rPr>
        <w:t xml:space="preserve">a que </w:t>
      </w:r>
      <w:r w:rsidRPr="00933D5F">
        <w:rPr>
          <w:lang w:val="es-419"/>
        </w:rPr>
        <w:t>consider</w:t>
      </w:r>
      <w:r w:rsidR="008B2739" w:rsidRPr="00933D5F">
        <w:rPr>
          <w:lang w:val="es-419"/>
        </w:rPr>
        <w:t>e</w:t>
      </w:r>
      <w:r w:rsidRPr="00933D5F">
        <w:rPr>
          <w:lang w:val="es-419"/>
        </w:rPr>
        <w:t xml:space="preserve"> </w:t>
      </w:r>
      <w:r w:rsidR="008B2739" w:rsidRPr="00933D5F">
        <w:rPr>
          <w:lang w:val="es-419"/>
        </w:rPr>
        <w:t xml:space="preserve">la posibilidad de celebrar la </w:t>
      </w:r>
      <w:r w:rsidRPr="00933D5F">
        <w:rPr>
          <w:lang w:val="es-419"/>
        </w:rPr>
        <w:t>primera sesión de</w:t>
      </w:r>
      <w:r w:rsidR="008B2739" w:rsidRPr="00933D5F">
        <w:rPr>
          <w:lang w:val="es-419"/>
        </w:rPr>
        <w:t>l </w:t>
      </w:r>
      <w:r w:rsidRPr="00933D5F">
        <w:rPr>
          <w:lang w:val="es-419"/>
        </w:rPr>
        <w:t>TWM</w:t>
      </w:r>
      <w:r w:rsidR="008B2739" w:rsidRPr="00933D5F">
        <w:rPr>
          <w:lang w:val="es-419"/>
        </w:rPr>
        <w:t>, por vía telemática,</w:t>
      </w:r>
      <w:r w:rsidRPr="00933D5F">
        <w:rPr>
          <w:lang w:val="es-419"/>
        </w:rPr>
        <w:t xml:space="preserve"> </w:t>
      </w:r>
      <w:r w:rsidR="008B2739" w:rsidRPr="00933D5F">
        <w:rPr>
          <w:lang w:val="es-419"/>
        </w:rPr>
        <w:t>en</w:t>
      </w:r>
      <w:r w:rsidRPr="00933D5F">
        <w:rPr>
          <w:lang w:val="es-419"/>
        </w:rPr>
        <w:t xml:space="preserve"> </w:t>
      </w:r>
      <w:r w:rsidR="008B2739" w:rsidRPr="00933D5F">
        <w:rPr>
          <w:lang w:val="es-419"/>
        </w:rPr>
        <w:t xml:space="preserve">la </w:t>
      </w:r>
      <w:r w:rsidRPr="00933D5F">
        <w:rPr>
          <w:lang w:val="es-419"/>
        </w:rPr>
        <w:t>semana de</w:t>
      </w:r>
      <w:r w:rsidR="008B2739" w:rsidRPr="00933D5F">
        <w:rPr>
          <w:lang w:val="es-419"/>
        </w:rPr>
        <w:t>l </w:t>
      </w:r>
      <w:r w:rsidRPr="00933D5F">
        <w:rPr>
          <w:lang w:val="es-419"/>
        </w:rPr>
        <w:t>19</w:t>
      </w:r>
      <w:r w:rsidR="008B2739" w:rsidRPr="00933D5F">
        <w:rPr>
          <w:lang w:val="es-419"/>
        </w:rPr>
        <w:t xml:space="preserve"> de septiembre de </w:t>
      </w:r>
      <w:r w:rsidRPr="00933D5F">
        <w:rPr>
          <w:lang w:val="es-419"/>
        </w:rPr>
        <w:t>2022.</w:t>
      </w:r>
    </w:p>
    <w:p w:rsidR="009F69EA" w:rsidRPr="00933D5F" w:rsidRDefault="009F69EA" w:rsidP="00C00D63">
      <w:pPr>
        <w:rPr>
          <w:lang w:val="es-419"/>
        </w:rPr>
      </w:pPr>
    </w:p>
    <w:p w:rsidR="009F69EA" w:rsidRPr="00933D5F" w:rsidRDefault="00E448D1" w:rsidP="00461365">
      <w:pPr>
        <w:rPr>
          <w:lang w:val="es-419"/>
        </w:rPr>
      </w:pPr>
      <w:r w:rsidRPr="00933D5F">
        <w:rPr>
          <w:lang w:val="es-419"/>
        </w:rPr>
        <w:t>El TWC convino en que los documentos para la primera sesión del TWM han de remitirse a la Oficina de la Unión a más tardar el 21 de julio de 2022.</w:t>
      </w:r>
      <w:r w:rsidR="00C00D63" w:rsidRPr="00933D5F">
        <w:rPr>
          <w:lang w:val="es-419"/>
        </w:rPr>
        <w:t xml:space="preserve"> </w:t>
      </w:r>
      <w:r w:rsidR="00550CFA" w:rsidRPr="00933D5F">
        <w:rPr>
          <w:lang w:val="es-419"/>
        </w:rPr>
        <w:t xml:space="preserve">El TWC tomó nota de que </w:t>
      </w:r>
      <w:r w:rsidR="00D518EB" w:rsidRPr="00933D5F">
        <w:rPr>
          <w:lang w:val="es-419"/>
        </w:rPr>
        <w:t xml:space="preserve">se suprimirán los puntos del orden del día cuyos documentos previstos no se hayan recibido en la Oficina de la UPOV </w:t>
      </w:r>
      <w:r w:rsidR="00550CFA" w:rsidRPr="00933D5F">
        <w:rPr>
          <w:lang w:val="es-419"/>
        </w:rPr>
        <w:t xml:space="preserve">en el plazo </w:t>
      </w:r>
      <w:r w:rsidR="007C1084" w:rsidRPr="00933D5F">
        <w:rPr>
          <w:lang w:val="es-419"/>
        </w:rPr>
        <w:t>conven</w:t>
      </w:r>
      <w:r w:rsidR="00550CFA" w:rsidRPr="00933D5F">
        <w:rPr>
          <w:lang w:val="es-419"/>
        </w:rPr>
        <w:t>ido</w:t>
      </w:r>
      <w:r w:rsidR="00D518EB" w:rsidRPr="00933D5F">
        <w:rPr>
          <w:lang w:val="es-419"/>
        </w:rPr>
        <w:t>.</w:t>
      </w:r>
    </w:p>
    <w:p w:rsidR="009F69EA" w:rsidRPr="00933D5F" w:rsidRDefault="009F69EA" w:rsidP="00C00D63">
      <w:pPr>
        <w:rPr>
          <w:lang w:val="es-419"/>
        </w:rPr>
      </w:pPr>
    </w:p>
    <w:p w:rsidR="009F69EA" w:rsidRPr="00933D5F" w:rsidRDefault="007C1084" w:rsidP="00461365">
      <w:pPr>
        <w:rPr>
          <w:lang w:val="es-419"/>
        </w:rPr>
      </w:pPr>
      <w:r w:rsidRPr="00933D5F">
        <w:rPr>
          <w:lang w:val="es-419"/>
        </w:rPr>
        <w:t>El TWC propuso examinar los siguientes puntos en la primera sesión del TWM:</w:t>
      </w:r>
    </w:p>
    <w:p w:rsidR="009F69EA" w:rsidRPr="00933D5F" w:rsidRDefault="009F69EA" w:rsidP="00C00D63">
      <w:pPr>
        <w:rPr>
          <w:lang w:val="es-419"/>
        </w:rPr>
      </w:pPr>
    </w:p>
    <w:p w:rsidR="009F69EA" w:rsidRPr="00933D5F" w:rsidRDefault="00C00D63" w:rsidP="00461365">
      <w:pPr>
        <w:spacing w:line="280" w:lineRule="auto"/>
        <w:ind w:left="1134" w:hanging="567"/>
        <w:rPr>
          <w:snapToGrid w:val="0"/>
          <w:lang w:val="es-419"/>
        </w:rPr>
      </w:pPr>
      <w:r w:rsidRPr="00933D5F">
        <w:rPr>
          <w:snapToGrid w:val="0"/>
          <w:lang w:val="es-419"/>
        </w:rPr>
        <w:t>1.</w:t>
      </w:r>
      <w:r w:rsidRPr="00933D5F">
        <w:rPr>
          <w:snapToGrid w:val="0"/>
          <w:lang w:val="es-419"/>
        </w:rPr>
        <w:tab/>
      </w:r>
      <w:r w:rsidR="00B85EA6" w:rsidRPr="00933D5F">
        <w:rPr>
          <w:snapToGrid w:val="0"/>
          <w:lang w:val="es-419"/>
        </w:rPr>
        <w:t>Apertura de la sesión</w:t>
      </w:r>
    </w:p>
    <w:p w:rsidR="009F69EA" w:rsidRPr="00933D5F" w:rsidRDefault="00C00D63" w:rsidP="00461365">
      <w:pPr>
        <w:spacing w:line="280" w:lineRule="auto"/>
        <w:ind w:left="1134" w:hanging="567"/>
        <w:rPr>
          <w:snapToGrid w:val="0"/>
          <w:lang w:val="es-419"/>
        </w:rPr>
      </w:pPr>
      <w:r w:rsidRPr="00933D5F">
        <w:rPr>
          <w:snapToGrid w:val="0"/>
          <w:lang w:val="es-419"/>
        </w:rPr>
        <w:t>2.</w:t>
      </w:r>
      <w:r w:rsidRPr="00933D5F">
        <w:rPr>
          <w:snapToGrid w:val="0"/>
          <w:lang w:val="es-419"/>
        </w:rPr>
        <w:tab/>
      </w:r>
      <w:r w:rsidR="00B85EA6" w:rsidRPr="00933D5F">
        <w:rPr>
          <w:snapToGrid w:val="0"/>
          <w:lang w:val="es-419"/>
        </w:rPr>
        <w:t>Aprobación del orden del día</w:t>
      </w:r>
    </w:p>
    <w:p w:rsidR="009F69EA" w:rsidRPr="00933D5F" w:rsidRDefault="00C00D63" w:rsidP="00461365">
      <w:pPr>
        <w:spacing w:line="280" w:lineRule="auto"/>
        <w:ind w:left="1134" w:hanging="567"/>
        <w:rPr>
          <w:snapToGrid w:val="0"/>
          <w:lang w:val="es-419"/>
        </w:rPr>
      </w:pPr>
      <w:r w:rsidRPr="00933D5F">
        <w:rPr>
          <w:snapToGrid w:val="0"/>
          <w:lang w:val="es-419"/>
        </w:rPr>
        <w:t>3.</w:t>
      </w:r>
      <w:r w:rsidRPr="00933D5F">
        <w:rPr>
          <w:snapToGrid w:val="0"/>
          <w:lang w:val="es-419"/>
        </w:rPr>
        <w:tab/>
      </w:r>
      <w:r w:rsidR="00B85EA6" w:rsidRPr="00933D5F">
        <w:rPr>
          <w:snapToGrid w:val="0"/>
          <w:lang w:val="es-419"/>
        </w:rPr>
        <w:t>Breves informes sobre los avances logrados en la protección de las variedades vegetales:</w:t>
      </w:r>
    </w:p>
    <w:p w:rsidR="009F69EA" w:rsidRPr="00933D5F" w:rsidRDefault="002967E5" w:rsidP="00461365">
      <w:pPr>
        <w:tabs>
          <w:tab w:val="left" w:pos="1701"/>
        </w:tabs>
        <w:spacing w:line="280" w:lineRule="auto"/>
        <w:ind w:left="1701" w:hanging="567"/>
        <w:rPr>
          <w:snapToGrid w:val="0"/>
          <w:lang w:val="es-419"/>
        </w:rPr>
      </w:pPr>
      <w:r w:rsidRPr="00933D5F">
        <w:rPr>
          <w:snapToGrid w:val="0"/>
          <w:lang w:val="es-419"/>
        </w:rPr>
        <w:t>a)</w:t>
      </w:r>
      <w:r w:rsidRPr="00933D5F">
        <w:rPr>
          <w:snapToGrid w:val="0"/>
          <w:lang w:val="es-419"/>
        </w:rPr>
        <w:tab/>
      </w:r>
      <w:r w:rsidR="00B85EA6" w:rsidRPr="00933D5F">
        <w:rPr>
          <w:snapToGrid w:val="0"/>
          <w:lang w:val="es-419"/>
        </w:rPr>
        <w:t>Informes de los miembros y observadores (informes escritos que elaborarán los miembros y observadores)</w:t>
      </w:r>
    </w:p>
    <w:p w:rsidR="009F69EA" w:rsidRPr="00933D5F" w:rsidRDefault="002967E5" w:rsidP="00461365">
      <w:pPr>
        <w:tabs>
          <w:tab w:val="left" w:pos="1701"/>
        </w:tabs>
        <w:spacing w:line="280" w:lineRule="auto"/>
        <w:ind w:left="1701" w:hanging="567"/>
        <w:rPr>
          <w:snapToGrid w:val="0"/>
          <w:lang w:val="es-419"/>
        </w:rPr>
      </w:pPr>
      <w:r w:rsidRPr="00933D5F">
        <w:rPr>
          <w:snapToGrid w:val="0"/>
          <w:lang w:val="es-419"/>
        </w:rPr>
        <w:t>b)</w:t>
      </w:r>
      <w:r w:rsidRPr="00933D5F">
        <w:rPr>
          <w:snapToGrid w:val="0"/>
          <w:lang w:val="es-419"/>
        </w:rPr>
        <w:tab/>
      </w:r>
      <w:r w:rsidR="00B85EA6" w:rsidRPr="00933D5F">
        <w:rPr>
          <w:snapToGrid w:val="0"/>
          <w:lang w:val="es-419"/>
        </w:rPr>
        <w:t>Informes sobre los avances logrados en la UPOV (informe de la Oficina de la Unión)</w:t>
      </w:r>
      <w:r w:rsidR="00C00D63" w:rsidRPr="00933D5F">
        <w:rPr>
          <w:snapToGrid w:val="0"/>
          <w:lang w:val="es-419"/>
        </w:rPr>
        <w:t xml:space="preserve"> </w:t>
      </w:r>
    </w:p>
    <w:p w:rsidR="009F69EA" w:rsidRPr="00933D5F" w:rsidRDefault="00C00D63" w:rsidP="00461365">
      <w:pPr>
        <w:keepNext/>
        <w:spacing w:line="280" w:lineRule="auto"/>
        <w:ind w:left="1134" w:hanging="567"/>
        <w:rPr>
          <w:snapToGrid w:val="0"/>
          <w:lang w:val="es-419"/>
        </w:rPr>
      </w:pPr>
      <w:r w:rsidRPr="00933D5F">
        <w:rPr>
          <w:snapToGrid w:val="0"/>
          <w:lang w:val="es-419"/>
        </w:rPr>
        <w:t>4.</w:t>
      </w:r>
      <w:r w:rsidRPr="00933D5F">
        <w:rPr>
          <w:snapToGrid w:val="0"/>
          <w:lang w:val="es-419"/>
        </w:rPr>
        <w:tab/>
      </w:r>
      <w:r w:rsidR="00B85EA6" w:rsidRPr="00933D5F">
        <w:rPr>
          <w:snapToGrid w:val="0"/>
          <w:lang w:val="es-419"/>
        </w:rPr>
        <w:t>Instrumentos y métodos para el examen DHE (</w:t>
      </w:r>
      <w:r w:rsidR="00554C77" w:rsidRPr="00933D5F">
        <w:rPr>
          <w:snapToGrid w:val="0"/>
          <w:lang w:val="es-419"/>
        </w:rPr>
        <w:t xml:space="preserve">se invita a presentar </w:t>
      </w:r>
      <w:r w:rsidR="00B85EA6" w:rsidRPr="00933D5F">
        <w:rPr>
          <w:snapToGrid w:val="0"/>
          <w:lang w:val="es-419"/>
        </w:rPr>
        <w:t>documentos)</w:t>
      </w:r>
    </w:p>
    <w:p w:rsidR="009F69EA" w:rsidRPr="00933D5F" w:rsidRDefault="002967E5" w:rsidP="00461365">
      <w:pPr>
        <w:keepNext/>
        <w:spacing w:line="280" w:lineRule="auto"/>
        <w:ind w:left="1701" w:hanging="567"/>
        <w:rPr>
          <w:snapToGrid w:val="0"/>
          <w:lang w:val="es-419"/>
        </w:rPr>
      </w:pPr>
      <w:r w:rsidRPr="00933D5F">
        <w:rPr>
          <w:snapToGrid w:val="0"/>
          <w:lang w:val="es-419"/>
        </w:rPr>
        <w:t>a)</w:t>
      </w:r>
      <w:r w:rsidRPr="00933D5F">
        <w:rPr>
          <w:snapToGrid w:val="0"/>
          <w:lang w:val="es-419"/>
        </w:rPr>
        <w:tab/>
      </w:r>
      <w:r w:rsidR="00554C77" w:rsidRPr="00933D5F">
        <w:rPr>
          <w:snapToGrid w:val="0"/>
          <w:lang w:val="es-419"/>
        </w:rPr>
        <w:t>Comparación de los resultados obtenidos con los métodos COYD y COYU empleando diferentes programas informáticos (documento que elaborará Francia)</w:t>
      </w:r>
    </w:p>
    <w:p w:rsidR="009F69EA" w:rsidRPr="00933D5F" w:rsidRDefault="002967E5" w:rsidP="00461365">
      <w:pPr>
        <w:spacing w:line="280" w:lineRule="auto"/>
        <w:ind w:left="1701" w:hanging="567"/>
        <w:rPr>
          <w:snapToGrid w:val="0"/>
          <w:lang w:val="es-419"/>
        </w:rPr>
      </w:pPr>
      <w:r w:rsidRPr="00933D5F">
        <w:rPr>
          <w:snapToGrid w:val="0"/>
          <w:lang w:val="es-419"/>
        </w:rPr>
        <w:t>b)</w:t>
      </w:r>
      <w:r w:rsidRPr="00933D5F">
        <w:rPr>
          <w:snapToGrid w:val="0"/>
          <w:lang w:val="es-419"/>
        </w:rPr>
        <w:tab/>
      </w:r>
      <w:r w:rsidR="00554C77" w:rsidRPr="00933D5F">
        <w:rPr>
          <w:snapToGrid w:val="0"/>
          <w:lang w:val="es-419"/>
        </w:rPr>
        <w:t>Desarrollo del programa informático para el método COYU mejorado (</w:t>
      </w:r>
      <w:r w:rsidR="00554C77" w:rsidRPr="00933D5F">
        <w:rPr>
          <w:i/>
          <w:iCs/>
          <w:snapToGrid w:val="0"/>
          <w:lang w:val="es-419"/>
        </w:rPr>
        <w:t>splines</w:t>
      </w:r>
      <w:r w:rsidR="00554C77" w:rsidRPr="00933D5F">
        <w:rPr>
          <w:snapToGrid w:val="0"/>
          <w:lang w:val="es-419"/>
        </w:rPr>
        <w:t>) (documento que elaborará el Reino Unido)</w:t>
      </w:r>
    </w:p>
    <w:p w:rsidR="009F69EA" w:rsidRPr="00933D5F" w:rsidRDefault="002967E5" w:rsidP="00461365">
      <w:pPr>
        <w:spacing w:line="280" w:lineRule="auto"/>
        <w:ind w:left="1701" w:hanging="567"/>
        <w:rPr>
          <w:snapToGrid w:val="0"/>
          <w:lang w:val="es-419"/>
        </w:rPr>
      </w:pPr>
      <w:r w:rsidRPr="00933D5F">
        <w:rPr>
          <w:snapToGrid w:val="0"/>
          <w:lang w:val="es-419"/>
        </w:rPr>
        <w:t>c)</w:t>
      </w:r>
      <w:r w:rsidRPr="00933D5F">
        <w:rPr>
          <w:snapToGrid w:val="0"/>
          <w:lang w:val="es-419"/>
        </w:rPr>
        <w:tab/>
      </w:r>
      <w:r w:rsidR="00554C77" w:rsidRPr="00933D5F">
        <w:rPr>
          <w:snapToGrid w:val="0"/>
          <w:lang w:val="es-419"/>
        </w:rPr>
        <w:t>Extrapolación en relación con el COYU (documento que elaborará el Reino Unido y otros eventuales documentos)</w:t>
      </w:r>
      <w:r w:rsidR="00C00D63" w:rsidRPr="00933D5F">
        <w:rPr>
          <w:snapToGrid w:val="0"/>
          <w:lang w:val="es-419"/>
        </w:rPr>
        <w:t xml:space="preserve"> </w:t>
      </w:r>
    </w:p>
    <w:p w:rsidR="009F69EA" w:rsidRPr="00933D5F" w:rsidRDefault="00C00D63" w:rsidP="00461365">
      <w:pPr>
        <w:spacing w:line="280" w:lineRule="auto"/>
        <w:ind w:left="1134" w:hanging="567"/>
        <w:rPr>
          <w:snapToGrid w:val="0"/>
          <w:lang w:val="es-419"/>
        </w:rPr>
      </w:pPr>
      <w:r w:rsidRPr="00933D5F">
        <w:rPr>
          <w:snapToGrid w:val="0"/>
          <w:lang w:val="es-419"/>
        </w:rPr>
        <w:t>5.</w:t>
      </w:r>
      <w:r w:rsidRPr="00933D5F">
        <w:rPr>
          <w:snapToGrid w:val="0"/>
          <w:lang w:val="es-419"/>
        </w:rPr>
        <w:tab/>
      </w:r>
      <w:r w:rsidR="00554C77" w:rsidRPr="00933D5F">
        <w:rPr>
          <w:snapToGrid w:val="0"/>
          <w:lang w:val="es-419"/>
        </w:rPr>
        <w:t>Fenotipado y análisis de imágenes (se invita a presentar documentos)</w:t>
      </w:r>
    </w:p>
    <w:p w:rsidR="009F69EA" w:rsidRPr="00933D5F" w:rsidRDefault="00C00D63" w:rsidP="00461365">
      <w:pPr>
        <w:spacing w:line="280" w:lineRule="auto"/>
        <w:ind w:left="1134" w:hanging="567"/>
        <w:rPr>
          <w:snapToGrid w:val="0"/>
          <w:lang w:val="es-419"/>
        </w:rPr>
      </w:pPr>
      <w:r w:rsidRPr="00933D5F">
        <w:rPr>
          <w:snapToGrid w:val="0"/>
          <w:lang w:val="es-419"/>
        </w:rPr>
        <w:t>6.</w:t>
      </w:r>
      <w:r w:rsidRPr="00933D5F">
        <w:rPr>
          <w:snapToGrid w:val="0"/>
          <w:lang w:val="es-419"/>
        </w:rPr>
        <w:tab/>
      </w:r>
      <w:r w:rsidR="007D193C" w:rsidRPr="00933D5F">
        <w:rPr>
          <w:snapToGrid w:val="0"/>
          <w:lang w:val="es-419"/>
        </w:rPr>
        <w:t>Elaboración de orientaciones y material de información</w:t>
      </w:r>
      <w:r w:rsidR="007D193C" w:rsidRPr="00933D5F" w:rsidDel="00FB384B">
        <w:rPr>
          <w:snapToGrid w:val="0"/>
          <w:lang w:val="es-419"/>
        </w:rPr>
        <w:t xml:space="preserve"> </w:t>
      </w:r>
      <w:r w:rsidR="007D193C" w:rsidRPr="00933D5F">
        <w:rPr>
          <w:snapToGrid w:val="0"/>
          <w:lang w:val="es-419"/>
        </w:rPr>
        <w:t>(documentos que elaborará la Oficina de la Unión)</w:t>
      </w:r>
    </w:p>
    <w:p w:rsidR="009F69EA" w:rsidRPr="00933D5F" w:rsidRDefault="00C00D63" w:rsidP="00461365">
      <w:pPr>
        <w:spacing w:line="280" w:lineRule="auto"/>
        <w:ind w:left="1134" w:hanging="567"/>
        <w:rPr>
          <w:snapToGrid w:val="0"/>
          <w:lang w:val="es-419"/>
        </w:rPr>
      </w:pPr>
      <w:r w:rsidRPr="00933D5F">
        <w:rPr>
          <w:snapToGrid w:val="0"/>
          <w:lang w:val="es-419"/>
        </w:rPr>
        <w:t>7.</w:t>
      </w:r>
      <w:r w:rsidRPr="00933D5F">
        <w:rPr>
          <w:snapToGrid w:val="0"/>
          <w:lang w:val="es-419"/>
        </w:rPr>
        <w:tab/>
      </w:r>
      <w:r w:rsidR="007D193C" w:rsidRPr="00933D5F">
        <w:rPr>
          <w:snapToGrid w:val="0"/>
          <w:lang w:val="es-419"/>
        </w:rPr>
        <w:t>Denominaciones de variedades (documento que elaborará la Oficina de la Unión)</w:t>
      </w:r>
    </w:p>
    <w:p w:rsidR="009F69EA" w:rsidRPr="00933D5F" w:rsidRDefault="00C00D63" w:rsidP="00461365">
      <w:pPr>
        <w:spacing w:line="280" w:lineRule="auto"/>
        <w:ind w:left="1134" w:hanging="567"/>
        <w:rPr>
          <w:snapToGrid w:val="0"/>
          <w:lang w:val="es-419"/>
        </w:rPr>
      </w:pPr>
      <w:r w:rsidRPr="00933D5F">
        <w:rPr>
          <w:snapToGrid w:val="0"/>
          <w:lang w:val="es-419"/>
        </w:rPr>
        <w:lastRenderedPageBreak/>
        <w:t>8.</w:t>
      </w:r>
      <w:r w:rsidRPr="00933D5F">
        <w:rPr>
          <w:snapToGrid w:val="0"/>
          <w:lang w:val="es-419"/>
        </w:rPr>
        <w:tab/>
      </w:r>
      <w:r w:rsidR="007D193C" w:rsidRPr="00933D5F">
        <w:rPr>
          <w:snapToGrid w:val="0"/>
          <w:lang w:val="es-419"/>
        </w:rPr>
        <w:t>Intercambio y uso de programas informáticos y equipos (documento que elaborará la Oficina de la Unión y otros eventuales documentos)</w:t>
      </w:r>
    </w:p>
    <w:p w:rsidR="009F69EA" w:rsidRPr="00933D5F" w:rsidRDefault="00C00D63" w:rsidP="00461365">
      <w:pPr>
        <w:spacing w:line="280" w:lineRule="auto"/>
        <w:ind w:left="1134"/>
        <w:rPr>
          <w:snapToGrid w:val="0"/>
          <w:lang w:val="es-419"/>
        </w:rPr>
      </w:pPr>
      <w:r w:rsidRPr="00933D5F">
        <w:rPr>
          <w:snapToGrid w:val="0"/>
          <w:lang w:val="es-419"/>
        </w:rPr>
        <w:t xml:space="preserve">- </w:t>
      </w:r>
      <w:r w:rsidR="007D193C" w:rsidRPr="00933D5F">
        <w:rPr>
          <w:snapToGrid w:val="0"/>
          <w:lang w:val="es-419"/>
        </w:rPr>
        <w:t>Desarrollo del programa informático de análisis estadístico DUSCEL (documento que elaborará China)</w:t>
      </w:r>
    </w:p>
    <w:p w:rsidR="009F69EA" w:rsidRPr="00933D5F" w:rsidRDefault="00C00D63" w:rsidP="00461365">
      <w:pPr>
        <w:spacing w:line="280" w:lineRule="auto"/>
        <w:ind w:left="1134" w:hanging="567"/>
        <w:rPr>
          <w:snapToGrid w:val="0"/>
          <w:lang w:val="es-419"/>
        </w:rPr>
      </w:pPr>
      <w:r w:rsidRPr="00933D5F">
        <w:rPr>
          <w:snapToGrid w:val="0"/>
          <w:lang w:val="es-419"/>
        </w:rPr>
        <w:t>9.</w:t>
      </w:r>
      <w:r w:rsidRPr="00933D5F">
        <w:rPr>
          <w:snapToGrid w:val="0"/>
          <w:lang w:val="es-419"/>
        </w:rPr>
        <w:tab/>
      </w:r>
      <w:r w:rsidR="007D193C" w:rsidRPr="00933D5F">
        <w:rPr>
          <w:snapToGrid w:val="0"/>
          <w:lang w:val="es-419"/>
        </w:rPr>
        <w:t>Información y bases de datos (se invita a presentar documentos)</w:t>
      </w:r>
    </w:p>
    <w:p w:rsidR="009F69EA" w:rsidRPr="00933D5F" w:rsidRDefault="002967E5" w:rsidP="00461365">
      <w:pPr>
        <w:spacing w:line="280" w:lineRule="auto"/>
        <w:ind w:left="1701" w:hanging="567"/>
        <w:rPr>
          <w:snapToGrid w:val="0"/>
          <w:lang w:val="es-419"/>
        </w:rPr>
      </w:pPr>
      <w:r w:rsidRPr="00933D5F">
        <w:rPr>
          <w:snapToGrid w:val="0"/>
          <w:lang w:val="es-419"/>
        </w:rPr>
        <w:t>a)</w:t>
      </w:r>
      <w:r w:rsidRPr="00933D5F">
        <w:rPr>
          <w:snapToGrid w:val="0"/>
          <w:lang w:val="es-419"/>
        </w:rPr>
        <w:tab/>
      </w:r>
      <w:r w:rsidR="007D193C" w:rsidRPr="00933D5F">
        <w:rPr>
          <w:snapToGrid w:val="0"/>
          <w:lang w:val="es-419"/>
        </w:rPr>
        <w:t>Bases de datos de información de la UPOV (documento que elaborará la Oficina de la Unión)</w:t>
      </w:r>
    </w:p>
    <w:p w:rsidR="009F69EA" w:rsidRPr="00933D5F" w:rsidRDefault="002967E5" w:rsidP="00461365">
      <w:pPr>
        <w:spacing w:line="280" w:lineRule="auto"/>
        <w:ind w:left="1701" w:hanging="567"/>
        <w:rPr>
          <w:snapToGrid w:val="0"/>
          <w:lang w:val="es-419"/>
        </w:rPr>
      </w:pPr>
      <w:r w:rsidRPr="00933D5F">
        <w:rPr>
          <w:snapToGrid w:val="0"/>
          <w:lang w:val="es-419"/>
        </w:rPr>
        <w:t>b)</w:t>
      </w:r>
      <w:r w:rsidRPr="00933D5F">
        <w:rPr>
          <w:snapToGrid w:val="0"/>
          <w:lang w:val="es-419"/>
        </w:rPr>
        <w:tab/>
      </w:r>
      <w:r w:rsidR="007D193C" w:rsidRPr="00933D5F">
        <w:rPr>
          <w:snapToGrid w:val="0"/>
          <w:lang w:val="es-419"/>
        </w:rPr>
        <w:t>Bases de datos de descripciones de variedades (documento que elaborará la Oficina de la Unión y otros eventuales documentos)</w:t>
      </w:r>
    </w:p>
    <w:p w:rsidR="009F69EA" w:rsidRPr="00933D5F" w:rsidRDefault="002967E5" w:rsidP="00461365">
      <w:pPr>
        <w:spacing w:line="280" w:lineRule="auto"/>
        <w:ind w:left="1701" w:hanging="567"/>
        <w:rPr>
          <w:snapToGrid w:val="0"/>
          <w:lang w:val="es-419"/>
        </w:rPr>
      </w:pPr>
      <w:r w:rsidRPr="00933D5F">
        <w:rPr>
          <w:snapToGrid w:val="0"/>
          <w:lang w:val="es-419"/>
        </w:rPr>
        <w:t>c)</w:t>
      </w:r>
      <w:r w:rsidRPr="00933D5F">
        <w:rPr>
          <w:snapToGrid w:val="0"/>
          <w:lang w:val="es-419"/>
        </w:rPr>
        <w:tab/>
      </w:r>
      <w:r w:rsidR="0026081E" w:rsidRPr="00933D5F">
        <w:rPr>
          <w:snapToGrid w:val="0"/>
          <w:lang w:val="es-419"/>
        </w:rPr>
        <w:t>UPOV PRISMA (documento que elaborará la Oficina de la Unión)</w:t>
      </w:r>
    </w:p>
    <w:p w:rsidR="009F69EA" w:rsidRPr="00933D5F" w:rsidRDefault="00C00D63" w:rsidP="00461365">
      <w:pPr>
        <w:spacing w:after="60" w:line="280" w:lineRule="auto"/>
        <w:ind w:left="1134" w:hanging="567"/>
        <w:rPr>
          <w:rFonts w:cs="Arial"/>
          <w:lang w:val="es-419"/>
        </w:rPr>
      </w:pPr>
      <w:r w:rsidRPr="00933D5F">
        <w:rPr>
          <w:rFonts w:cs="Arial"/>
          <w:color w:val="000000"/>
          <w:lang w:val="es-419"/>
        </w:rPr>
        <w:t>10.</w:t>
      </w:r>
      <w:r w:rsidRPr="00933D5F">
        <w:rPr>
          <w:rFonts w:cs="Arial"/>
          <w:color w:val="000000"/>
          <w:lang w:val="es-419"/>
        </w:rPr>
        <w:tab/>
      </w:r>
      <w:r w:rsidR="006B2338" w:rsidRPr="00933D5F">
        <w:rPr>
          <w:rFonts w:cs="Arial"/>
          <w:color w:val="000000"/>
          <w:lang w:val="es-419"/>
        </w:rPr>
        <w:t xml:space="preserve">Aumento de la participación en la labor del TC y de los TWP </w:t>
      </w:r>
      <w:r w:rsidR="006B2338" w:rsidRPr="00933D5F">
        <w:rPr>
          <w:rFonts w:cs="Arial"/>
          <w:lang w:val="es-419"/>
        </w:rPr>
        <w:t>(documento que elaborará la Oficina de la Unión)</w:t>
      </w:r>
    </w:p>
    <w:p w:rsidR="009F69EA" w:rsidRPr="00933D5F" w:rsidRDefault="00C00D63" w:rsidP="00461365">
      <w:pPr>
        <w:spacing w:line="280" w:lineRule="auto"/>
        <w:ind w:left="1134" w:hanging="567"/>
        <w:rPr>
          <w:snapToGrid w:val="0"/>
          <w:lang w:val="es-419"/>
        </w:rPr>
      </w:pPr>
      <w:r w:rsidRPr="00933D5F">
        <w:rPr>
          <w:snapToGrid w:val="0"/>
          <w:lang w:val="es-419"/>
        </w:rPr>
        <w:t>11.</w:t>
      </w:r>
      <w:r w:rsidRPr="00933D5F">
        <w:rPr>
          <w:snapToGrid w:val="0"/>
          <w:lang w:val="es-419"/>
        </w:rPr>
        <w:tab/>
      </w:r>
      <w:r w:rsidR="006B2338" w:rsidRPr="00933D5F">
        <w:rPr>
          <w:snapToGrid w:val="0"/>
          <w:lang w:val="es-419"/>
        </w:rPr>
        <w:t>Técnicas moleculares y bioinformática (documento que elaborará la Oficina de la Unión y otros eventuales documentos)</w:t>
      </w:r>
    </w:p>
    <w:p w:rsidR="009F69EA" w:rsidRPr="00933D5F" w:rsidRDefault="00C00D63" w:rsidP="00461365">
      <w:pPr>
        <w:spacing w:line="280" w:lineRule="auto"/>
        <w:ind w:left="1134" w:hanging="567"/>
        <w:rPr>
          <w:snapToGrid w:val="0"/>
          <w:lang w:val="es-419"/>
        </w:rPr>
      </w:pPr>
      <w:r w:rsidRPr="00933D5F">
        <w:rPr>
          <w:snapToGrid w:val="0"/>
          <w:lang w:val="es-419"/>
        </w:rPr>
        <w:t>12.</w:t>
      </w:r>
      <w:r w:rsidRPr="00933D5F">
        <w:rPr>
          <w:snapToGrid w:val="0"/>
          <w:lang w:val="es-419"/>
        </w:rPr>
        <w:tab/>
      </w:r>
      <w:r w:rsidR="006B2338" w:rsidRPr="00933D5F">
        <w:rPr>
          <w:snapToGrid w:val="0"/>
          <w:lang w:val="es-419"/>
        </w:rPr>
        <w:t>Cooperación en materia de examen (documento que elaborará la Oficina de la Unión)</w:t>
      </w:r>
    </w:p>
    <w:p w:rsidR="009F69EA" w:rsidRPr="00933D5F" w:rsidRDefault="00C00D63" w:rsidP="00461365">
      <w:pPr>
        <w:spacing w:line="280" w:lineRule="auto"/>
        <w:ind w:left="1134" w:hanging="567"/>
        <w:rPr>
          <w:snapToGrid w:val="0"/>
          <w:lang w:val="es-419"/>
        </w:rPr>
      </w:pPr>
      <w:r w:rsidRPr="00933D5F">
        <w:rPr>
          <w:snapToGrid w:val="0"/>
          <w:lang w:val="es-419"/>
        </w:rPr>
        <w:t>13.</w:t>
      </w:r>
      <w:r w:rsidRPr="00933D5F">
        <w:rPr>
          <w:snapToGrid w:val="0"/>
          <w:lang w:val="es-419"/>
        </w:rPr>
        <w:tab/>
      </w:r>
      <w:r w:rsidR="008F329D" w:rsidRPr="00933D5F">
        <w:rPr>
          <w:snapToGrid w:val="0"/>
          <w:lang w:val="es-419"/>
        </w:rPr>
        <w:t>Fecha y lugar de la próxima sesión</w:t>
      </w:r>
    </w:p>
    <w:p w:rsidR="009F69EA" w:rsidRPr="00933D5F" w:rsidRDefault="00C00D63" w:rsidP="00461365">
      <w:pPr>
        <w:spacing w:line="280" w:lineRule="auto"/>
        <w:ind w:left="1134" w:hanging="567"/>
        <w:rPr>
          <w:snapToGrid w:val="0"/>
          <w:lang w:val="es-419"/>
        </w:rPr>
      </w:pPr>
      <w:r w:rsidRPr="00933D5F">
        <w:rPr>
          <w:snapToGrid w:val="0"/>
          <w:lang w:val="es-419"/>
        </w:rPr>
        <w:t>14.</w:t>
      </w:r>
      <w:r w:rsidRPr="00933D5F">
        <w:rPr>
          <w:snapToGrid w:val="0"/>
          <w:lang w:val="es-419"/>
        </w:rPr>
        <w:tab/>
      </w:r>
      <w:r w:rsidR="008F329D" w:rsidRPr="00933D5F">
        <w:rPr>
          <w:snapToGrid w:val="0"/>
          <w:lang w:val="es-419"/>
        </w:rPr>
        <w:t>Futuro programa</w:t>
      </w:r>
    </w:p>
    <w:p w:rsidR="009F69EA" w:rsidRPr="00933D5F" w:rsidRDefault="00C00D63" w:rsidP="00461365">
      <w:pPr>
        <w:spacing w:line="280" w:lineRule="auto"/>
        <w:ind w:left="1134" w:hanging="567"/>
        <w:rPr>
          <w:snapToGrid w:val="0"/>
          <w:lang w:val="es-419"/>
        </w:rPr>
      </w:pPr>
      <w:r w:rsidRPr="00933D5F">
        <w:rPr>
          <w:snapToGrid w:val="0"/>
          <w:lang w:val="es-419"/>
        </w:rPr>
        <w:t>15.</w:t>
      </w:r>
      <w:r w:rsidRPr="00933D5F">
        <w:rPr>
          <w:snapToGrid w:val="0"/>
          <w:lang w:val="es-419"/>
        </w:rPr>
        <w:tab/>
      </w:r>
      <w:r w:rsidR="008F329D" w:rsidRPr="00933D5F">
        <w:rPr>
          <w:snapToGrid w:val="0"/>
          <w:lang w:val="es-419"/>
        </w:rPr>
        <w:t>Aprobación del informe de la sesión (si se dispone de tiempo suficiente)</w:t>
      </w:r>
    </w:p>
    <w:p w:rsidR="009F69EA" w:rsidRPr="00933D5F" w:rsidRDefault="00C00D63" w:rsidP="00461365">
      <w:pPr>
        <w:spacing w:line="280" w:lineRule="auto"/>
        <w:ind w:left="1134" w:hanging="567"/>
        <w:rPr>
          <w:snapToGrid w:val="0"/>
          <w:lang w:val="es-419"/>
        </w:rPr>
      </w:pPr>
      <w:r w:rsidRPr="00933D5F">
        <w:rPr>
          <w:snapToGrid w:val="0"/>
          <w:lang w:val="es-419"/>
        </w:rPr>
        <w:t>16.</w:t>
      </w:r>
      <w:r w:rsidRPr="00933D5F">
        <w:rPr>
          <w:snapToGrid w:val="0"/>
          <w:lang w:val="es-419"/>
        </w:rPr>
        <w:tab/>
      </w:r>
      <w:r w:rsidR="008F329D" w:rsidRPr="00933D5F">
        <w:rPr>
          <w:snapToGrid w:val="0"/>
          <w:lang w:val="es-419"/>
        </w:rPr>
        <w:t>Clausura de la sesión</w:t>
      </w:r>
    </w:p>
    <w:p w:rsidR="009F69EA" w:rsidRPr="00933D5F" w:rsidRDefault="009F69EA" w:rsidP="00C00D63">
      <w:pPr>
        <w:rPr>
          <w:lang w:val="es-419"/>
        </w:rPr>
      </w:pPr>
    </w:p>
    <w:p w:rsidR="009F69EA" w:rsidRPr="00933D5F" w:rsidRDefault="009F69EA" w:rsidP="00C00D63">
      <w:pPr>
        <w:rPr>
          <w:lang w:val="es-419"/>
        </w:rPr>
      </w:pPr>
    </w:p>
    <w:p w:rsidR="009F69EA" w:rsidRPr="00933D5F" w:rsidRDefault="009F69EA" w:rsidP="00C00D63">
      <w:pPr>
        <w:rPr>
          <w:lang w:val="es-419"/>
        </w:rPr>
      </w:pPr>
    </w:p>
    <w:p w:rsidR="009F69EA" w:rsidRPr="00933D5F" w:rsidRDefault="00C00D63" w:rsidP="00C00D63">
      <w:pPr>
        <w:jc w:val="right"/>
        <w:rPr>
          <w:lang w:val="es-419"/>
        </w:rPr>
      </w:pPr>
      <w:r w:rsidRPr="00933D5F">
        <w:rPr>
          <w:lang w:val="es-419"/>
        </w:rPr>
        <w:t>[Sigue el Anexo II]</w:t>
      </w:r>
    </w:p>
    <w:p w:rsidR="00C00D63" w:rsidRPr="00933D5F" w:rsidRDefault="00C00D63" w:rsidP="00C00D63">
      <w:pPr>
        <w:rPr>
          <w:lang w:val="es-419"/>
        </w:rPr>
        <w:sectPr w:rsidR="00C00D63" w:rsidRPr="00933D5F" w:rsidSect="00DF0DAC">
          <w:headerReference w:type="default" r:id="rId9"/>
          <w:headerReference w:type="first" r:id="rId10"/>
          <w:pgSz w:w="11907" w:h="16840" w:code="9"/>
          <w:pgMar w:top="510" w:right="1134" w:bottom="1134" w:left="1134" w:header="510" w:footer="680" w:gutter="0"/>
          <w:pgNumType w:start="1"/>
          <w:cols w:space="720"/>
          <w:titlePg/>
        </w:sectPr>
      </w:pPr>
    </w:p>
    <w:p w:rsidR="009F69EA" w:rsidRPr="00933D5F" w:rsidRDefault="00A31C64" w:rsidP="00461365">
      <w:pPr>
        <w:pStyle w:val="Heading1"/>
        <w:rPr>
          <w:lang w:val="es-419"/>
        </w:rPr>
      </w:pPr>
      <w:r w:rsidRPr="00933D5F">
        <w:rPr>
          <w:caps w:val="0"/>
          <w:lang w:val="es-419"/>
        </w:rPr>
        <w:lastRenderedPageBreak/>
        <w:t xml:space="preserve">VIGÉSIMA SESIÓN </w:t>
      </w:r>
      <w:r w:rsidRPr="00933D5F">
        <w:rPr>
          <w:lang w:val="es-419"/>
        </w:rPr>
        <w:t>DEL GRUPO DE TRABAJO SOBRE TÉCNICAS BIOQUÍMICAS Y MOLECULARES, Y PERFILES DE ADN EN PARTICULAR (BMT)</w:t>
      </w:r>
    </w:p>
    <w:p w:rsidR="009F69EA" w:rsidRPr="00933D5F" w:rsidRDefault="009F69EA" w:rsidP="00C00D63">
      <w:pPr>
        <w:pStyle w:val="Heading1"/>
        <w:rPr>
          <w:rFonts w:cs="Arial"/>
          <w:lang w:val="es-419"/>
        </w:rPr>
      </w:pPr>
    </w:p>
    <w:p w:rsidR="009F69EA" w:rsidRPr="00933D5F" w:rsidRDefault="00A31C64" w:rsidP="00461365">
      <w:pPr>
        <w:keepNext/>
        <w:outlineLvl w:val="2"/>
        <w:rPr>
          <w:i/>
          <w:lang w:val="es-419"/>
        </w:rPr>
      </w:pPr>
      <w:r w:rsidRPr="00933D5F">
        <w:rPr>
          <w:i/>
          <w:lang w:val="es-419"/>
        </w:rPr>
        <w:t>Informe de la Sra. Beate Rücker (Alemania), presidenta del BMT</w:t>
      </w:r>
    </w:p>
    <w:p w:rsidR="009F69EA" w:rsidRPr="00933D5F" w:rsidRDefault="009F69EA" w:rsidP="00C00D63">
      <w:pPr>
        <w:rPr>
          <w:rFonts w:cs="Arial"/>
          <w:lang w:val="es-419"/>
        </w:rPr>
      </w:pPr>
    </w:p>
    <w:p w:rsidR="009F69EA" w:rsidRPr="00933D5F" w:rsidRDefault="00A31C64" w:rsidP="00461365">
      <w:pPr>
        <w:rPr>
          <w:lang w:val="es-419"/>
        </w:rPr>
      </w:pPr>
      <w:r w:rsidRPr="00933D5F">
        <w:rPr>
          <w:lang w:val="es-419"/>
        </w:rPr>
        <w:t xml:space="preserve">El BMT celebró su </w:t>
      </w:r>
      <w:r w:rsidRPr="00933D5F">
        <w:rPr>
          <w:rFonts w:cs="Arial"/>
          <w:lang w:val="es-419" w:eastAsia="ja-JP"/>
        </w:rPr>
        <w:t>vigésima</w:t>
      </w:r>
      <w:r w:rsidRPr="00933D5F">
        <w:rPr>
          <w:rFonts w:cs="Arial"/>
          <w:lang w:val="es-419"/>
        </w:rPr>
        <w:t xml:space="preserve"> sesión</w:t>
      </w:r>
      <w:r w:rsidRPr="00933D5F">
        <w:rPr>
          <w:lang w:val="es-419"/>
        </w:rPr>
        <w:t>, organizada por los Estados Unidos de América por vía telemática del 22 al 24 de septiembre de 2021, bajo la presidencia de la Sra. Beate Rücker (Alemania).</w:t>
      </w:r>
      <w:r w:rsidR="00C00D63" w:rsidRPr="00933D5F">
        <w:rPr>
          <w:lang w:val="es-419"/>
        </w:rPr>
        <w:t xml:space="preserve"> </w:t>
      </w:r>
      <w:r w:rsidRPr="00933D5F">
        <w:rPr>
          <w:lang w:val="es-419"/>
        </w:rPr>
        <w:t>El informe de la sesión figura en el documento BMT/20/12 “</w:t>
      </w:r>
      <w:r w:rsidRPr="00933D5F">
        <w:rPr>
          <w:i/>
          <w:iCs/>
          <w:lang w:val="es-419"/>
        </w:rPr>
        <w:t>Report</w:t>
      </w:r>
      <w:r w:rsidRPr="00933D5F">
        <w:rPr>
          <w:lang w:val="es-419"/>
        </w:rPr>
        <w:t>” (Informe).</w:t>
      </w:r>
    </w:p>
    <w:p w:rsidR="009F69EA" w:rsidRPr="00933D5F" w:rsidRDefault="009F69EA" w:rsidP="00C00D63">
      <w:pPr>
        <w:rPr>
          <w:lang w:val="es-419"/>
        </w:rPr>
      </w:pPr>
    </w:p>
    <w:p w:rsidR="009F69EA" w:rsidRPr="00933D5F" w:rsidRDefault="00F11521" w:rsidP="00461365">
      <w:pPr>
        <w:rPr>
          <w:lang w:val="es-419"/>
        </w:rPr>
      </w:pPr>
      <w:r w:rsidRPr="00933D5F">
        <w:rPr>
          <w:lang w:val="es-419"/>
        </w:rPr>
        <w:fldChar w:fldCharType="begin"/>
      </w:r>
      <w:r w:rsidR="00C00D63" w:rsidRPr="00933D5F">
        <w:rPr>
          <w:lang w:val="es-419"/>
        </w:rPr>
        <w:instrText xml:space="preserve"> 2. </w:instrText>
      </w:r>
      <w:r w:rsidRPr="00933D5F">
        <w:rPr>
          <w:lang w:val="es-419"/>
        </w:rPr>
        <w:fldChar w:fldCharType="end"/>
      </w:r>
      <w:r w:rsidR="00A31C64" w:rsidRPr="00933D5F">
        <w:rPr>
          <w:lang w:val="es-419"/>
        </w:rPr>
        <w:t>Asistieron a la sesión 116 participantes de 32 miembros de la</w:t>
      </w:r>
      <w:r w:rsidR="00817CD5" w:rsidRPr="00933D5F">
        <w:rPr>
          <w:lang w:val="es-419"/>
        </w:rPr>
        <w:t> </w:t>
      </w:r>
      <w:r w:rsidR="00A31C64" w:rsidRPr="00933D5F">
        <w:rPr>
          <w:lang w:val="es-419"/>
        </w:rPr>
        <w:t>Unión, tres Estados en calidad de observadores y siete organizaciones en calidad de observadoras.</w:t>
      </w:r>
    </w:p>
    <w:p w:rsidR="009F69EA" w:rsidRPr="00933D5F" w:rsidRDefault="009F69EA" w:rsidP="00C00D63">
      <w:pPr>
        <w:rPr>
          <w:lang w:val="es-419"/>
        </w:rPr>
      </w:pPr>
    </w:p>
    <w:p w:rsidR="009F69EA" w:rsidRPr="00933D5F" w:rsidRDefault="00A31C64" w:rsidP="00461365">
      <w:pPr>
        <w:rPr>
          <w:lang w:val="es-419"/>
        </w:rPr>
      </w:pPr>
      <w:r w:rsidRPr="00933D5F">
        <w:rPr>
          <w:lang w:val="es-419"/>
        </w:rPr>
        <w:t>Dio la bienvenida al BMT el Sr. Jeffery Haynes, comisionado de la Oficina de Protección de las Obtenciones Vegetales, AMS, Programa de Ciencia y Tecnología, Departamento de Agricultura de los Estados Unidos de América (USDA).</w:t>
      </w:r>
    </w:p>
    <w:p w:rsidR="009F69EA" w:rsidRPr="00933D5F" w:rsidRDefault="009F69EA" w:rsidP="00C00D63">
      <w:pPr>
        <w:rPr>
          <w:lang w:val="es-419"/>
        </w:rPr>
      </w:pPr>
    </w:p>
    <w:p w:rsidR="009F69EA" w:rsidRPr="00933D5F" w:rsidRDefault="003C4623" w:rsidP="00461365">
      <w:pPr>
        <w:rPr>
          <w:rFonts w:cs="Arial"/>
          <w:lang w:val="es-419"/>
        </w:rPr>
      </w:pPr>
      <w:r w:rsidRPr="00933D5F">
        <w:rPr>
          <w:rFonts w:cs="Arial"/>
          <w:lang w:val="es-419"/>
        </w:rPr>
        <w:t>El BMT aprobó el orden del día que consta en el documento BMT/20/1 Rev.</w:t>
      </w:r>
    </w:p>
    <w:p w:rsidR="009F69EA" w:rsidRPr="00933D5F" w:rsidRDefault="009F69EA" w:rsidP="00C00D63">
      <w:pPr>
        <w:rPr>
          <w:rFonts w:cs="Arial"/>
          <w:lang w:val="es-419"/>
        </w:rPr>
      </w:pPr>
    </w:p>
    <w:p w:rsidR="009F69EA" w:rsidRPr="00933D5F" w:rsidRDefault="003C4623" w:rsidP="00461365">
      <w:pPr>
        <w:rPr>
          <w:lang w:val="es-419"/>
        </w:rPr>
      </w:pPr>
      <w:r w:rsidRPr="00933D5F">
        <w:rPr>
          <w:lang w:val="es-419"/>
        </w:rPr>
        <w:t xml:space="preserve">El BMT </w:t>
      </w:r>
      <w:r w:rsidR="00684D81" w:rsidRPr="00933D5F">
        <w:rPr>
          <w:lang w:val="es-419"/>
        </w:rPr>
        <w:t xml:space="preserve">tomó nota de </w:t>
      </w:r>
      <w:r w:rsidR="00A00CE5" w:rsidRPr="00933D5F">
        <w:rPr>
          <w:lang w:val="es-419"/>
        </w:rPr>
        <w:t>la información facilitada por Francia</w:t>
      </w:r>
      <w:r w:rsidR="00684D81" w:rsidRPr="00933D5F">
        <w:rPr>
          <w:lang w:val="es-419"/>
        </w:rPr>
        <w:t>, según</w:t>
      </w:r>
      <w:r w:rsidR="00A00CE5" w:rsidRPr="00933D5F">
        <w:rPr>
          <w:lang w:val="es-419"/>
        </w:rPr>
        <w:t xml:space="preserve"> la cual </w:t>
      </w:r>
      <w:r w:rsidR="00684D81" w:rsidRPr="00933D5F">
        <w:rPr>
          <w:lang w:val="es-419"/>
        </w:rPr>
        <w:t xml:space="preserve">el GEVES organizará en marzo de 2022 un </w:t>
      </w:r>
      <w:r w:rsidRPr="00933D5F">
        <w:rPr>
          <w:lang w:val="es-419"/>
        </w:rPr>
        <w:t xml:space="preserve">curso de formación </w:t>
      </w:r>
      <w:r w:rsidR="00684D81" w:rsidRPr="00933D5F">
        <w:rPr>
          <w:lang w:val="es-419"/>
        </w:rPr>
        <w:t>sobre la utilización de técnicas moleculares en apoyo del examen </w:t>
      </w:r>
      <w:r w:rsidRPr="00933D5F">
        <w:rPr>
          <w:lang w:val="es-419"/>
        </w:rPr>
        <w:t>DHE.</w:t>
      </w:r>
      <w:r w:rsidR="00C00D63" w:rsidRPr="00933D5F">
        <w:rPr>
          <w:lang w:val="es-419"/>
        </w:rPr>
        <w:t xml:space="preserve"> </w:t>
      </w:r>
    </w:p>
    <w:p w:rsidR="009F69EA" w:rsidRPr="00933D5F" w:rsidRDefault="009F69EA" w:rsidP="00C00D63">
      <w:pPr>
        <w:spacing w:after="60"/>
        <w:rPr>
          <w:rFonts w:cs="Arial"/>
          <w:color w:val="000000"/>
          <w:highlight w:val="cyan"/>
          <w:lang w:val="es-419"/>
        </w:rPr>
      </w:pPr>
    </w:p>
    <w:p w:rsidR="009F69EA" w:rsidRPr="00933D5F" w:rsidRDefault="00A00CE5" w:rsidP="00461365">
      <w:pPr>
        <w:rPr>
          <w:lang w:val="es-419"/>
        </w:rPr>
      </w:pPr>
      <w:r w:rsidRPr="00933D5F">
        <w:rPr>
          <w:lang w:val="es-419"/>
        </w:rPr>
        <w:t xml:space="preserve">El BMT </w:t>
      </w:r>
      <w:r w:rsidR="00EB4ABA" w:rsidRPr="00933D5F">
        <w:rPr>
          <w:lang w:val="es-419"/>
        </w:rPr>
        <w:t>asistió</w:t>
      </w:r>
      <w:r w:rsidRPr="00933D5F">
        <w:rPr>
          <w:lang w:val="es-419"/>
        </w:rPr>
        <w:t xml:space="preserve"> a las siguientes ponencias sobre la labor en materia de técnicas moleculares aplicadas al examen DHE:</w:t>
      </w:r>
    </w:p>
    <w:p w:rsidR="009F69EA" w:rsidRPr="00933D5F" w:rsidRDefault="009F69EA" w:rsidP="00C00D63">
      <w:pPr>
        <w:rPr>
          <w:lang w:val="es-419"/>
        </w:rPr>
      </w:pPr>
    </w:p>
    <w:p w:rsidR="009F69EA" w:rsidRPr="00933D5F" w:rsidRDefault="00C00D63" w:rsidP="00461365">
      <w:pPr>
        <w:ind w:left="851" w:hanging="284"/>
        <w:rPr>
          <w:rFonts w:cs="Arial"/>
          <w:lang w:val="es-419"/>
        </w:rPr>
      </w:pPr>
      <w:r w:rsidRPr="00933D5F">
        <w:rPr>
          <w:rFonts w:cs="Arial"/>
          <w:lang w:val="es-419"/>
        </w:rPr>
        <w:t>•</w:t>
      </w:r>
      <w:r w:rsidRPr="00933D5F">
        <w:rPr>
          <w:rFonts w:cs="Arial"/>
          <w:lang w:val="es-419"/>
        </w:rPr>
        <w:tab/>
      </w:r>
      <w:r w:rsidR="002D20D9" w:rsidRPr="00933D5F">
        <w:rPr>
          <w:rFonts w:cs="Arial"/>
          <w:iCs/>
          <w:lang w:val="es-419"/>
        </w:rPr>
        <w:t>“</w:t>
      </w:r>
      <w:r w:rsidR="002D20D9" w:rsidRPr="00933D5F">
        <w:rPr>
          <w:lang w:val="es-419"/>
        </w:rPr>
        <w:t>Información actualizada acerca de las actividades del IMODDUS”;</w:t>
      </w:r>
    </w:p>
    <w:p w:rsidR="009F69EA" w:rsidRPr="00933D5F" w:rsidRDefault="00C00D63" w:rsidP="00461365">
      <w:pPr>
        <w:ind w:left="851" w:hanging="284"/>
        <w:rPr>
          <w:lang w:val="es-419"/>
        </w:rPr>
      </w:pPr>
      <w:r w:rsidRPr="00933D5F">
        <w:rPr>
          <w:rFonts w:cs="Arial"/>
          <w:lang w:val="es-419"/>
        </w:rPr>
        <w:t>•</w:t>
      </w:r>
      <w:r w:rsidRPr="00933D5F">
        <w:rPr>
          <w:rFonts w:cs="Arial"/>
          <w:lang w:val="es-419"/>
        </w:rPr>
        <w:tab/>
      </w:r>
      <w:r w:rsidR="002D20D9" w:rsidRPr="00933D5F">
        <w:rPr>
          <w:rFonts w:cs="Arial"/>
          <w:iCs/>
          <w:lang w:val="es-419"/>
        </w:rPr>
        <w:t>“</w:t>
      </w:r>
      <w:r w:rsidR="00CA0244" w:rsidRPr="00933D5F">
        <w:rPr>
          <w:lang w:val="es-419"/>
        </w:rPr>
        <w:t>Determinación</w:t>
      </w:r>
      <w:r w:rsidR="002D20D9" w:rsidRPr="00933D5F">
        <w:rPr>
          <w:lang w:val="es-419"/>
        </w:rPr>
        <w:t xml:space="preserve"> de</w:t>
      </w:r>
      <w:r w:rsidR="00CA0244" w:rsidRPr="00933D5F">
        <w:rPr>
          <w:lang w:val="es-419"/>
        </w:rPr>
        <w:t>l</w:t>
      </w:r>
      <w:r w:rsidR="002D20D9" w:rsidRPr="00933D5F">
        <w:rPr>
          <w:lang w:val="es-419"/>
        </w:rPr>
        <w:t xml:space="preserve"> grado de diversidad y desarrollo de marcadores </w:t>
      </w:r>
      <w:r w:rsidR="00CA0244" w:rsidRPr="00933D5F">
        <w:rPr>
          <w:lang w:val="es-419"/>
        </w:rPr>
        <w:t>para facilitar</w:t>
      </w:r>
      <w:r w:rsidR="002D20D9" w:rsidRPr="00933D5F">
        <w:rPr>
          <w:lang w:val="es-419"/>
        </w:rPr>
        <w:t xml:space="preserve"> </w:t>
      </w:r>
      <w:r w:rsidR="00CA0244" w:rsidRPr="00933D5F">
        <w:rPr>
          <w:lang w:val="es-419"/>
        </w:rPr>
        <w:t>la gestión de la colección de referencia para el examen </w:t>
      </w:r>
      <w:r w:rsidR="002D20D9" w:rsidRPr="00933D5F">
        <w:rPr>
          <w:lang w:val="es-419"/>
        </w:rPr>
        <w:t>DHE del haboncillo (</w:t>
      </w:r>
      <w:r w:rsidR="002D20D9" w:rsidRPr="00933D5F">
        <w:rPr>
          <w:i/>
          <w:lang w:val="es-419"/>
        </w:rPr>
        <w:t>Vicia faba</w:t>
      </w:r>
      <w:r w:rsidR="002D20D9" w:rsidRPr="00933D5F">
        <w:rPr>
          <w:lang w:val="es-419"/>
        </w:rPr>
        <w:t>)”;</w:t>
      </w:r>
    </w:p>
    <w:p w:rsidR="009F69EA" w:rsidRPr="00933D5F" w:rsidRDefault="00C00D63" w:rsidP="00461365">
      <w:pPr>
        <w:ind w:left="851" w:hanging="284"/>
        <w:rPr>
          <w:rFonts w:cs="Arial"/>
          <w:lang w:val="es-419"/>
        </w:rPr>
      </w:pPr>
      <w:r w:rsidRPr="00933D5F">
        <w:rPr>
          <w:rFonts w:cs="Arial"/>
          <w:lang w:val="es-419"/>
        </w:rPr>
        <w:t>•</w:t>
      </w:r>
      <w:r w:rsidRPr="00933D5F">
        <w:rPr>
          <w:rFonts w:cs="Arial"/>
          <w:lang w:val="es-419"/>
        </w:rPr>
        <w:tab/>
      </w:r>
      <w:r w:rsidR="00CA0244" w:rsidRPr="00933D5F">
        <w:rPr>
          <w:rFonts w:cs="Arial"/>
          <w:iCs/>
          <w:lang w:val="es-419"/>
        </w:rPr>
        <w:t>“</w:t>
      </w:r>
      <w:r w:rsidR="00D81A29" w:rsidRPr="00933D5F">
        <w:rPr>
          <w:rFonts w:cs="Arial"/>
          <w:iCs/>
          <w:lang w:val="es-419"/>
        </w:rPr>
        <w:t xml:space="preserve">Desarrollo de una estrategia para aplicar marcadores moleculares SNP en el marco del examen DHE de la colza </w:t>
      </w:r>
      <w:r w:rsidR="00D81A29" w:rsidRPr="00933D5F">
        <w:rPr>
          <w:lang w:val="es-419"/>
        </w:rPr>
        <w:t xml:space="preserve">oleaginosa </w:t>
      </w:r>
      <w:r w:rsidR="00D81A29" w:rsidRPr="00933D5F">
        <w:rPr>
          <w:rFonts w:cs="Arial"/>
          <w:iCs/>
          <w:lang w:val="es-419"/>
        </w:rPr>
        <w:t>de invierno</w:t>
      </w:r>
      <w:r w:rsidR="00CA0244" w:rsidRPr="00933D5F">
        <w:rPr>
          <w:lang w:val="es-419"/>
        </w:rPr>
        <w:t>”</w:t>
      </w:r>
      <w:r w:rsidR="00D81A29" w:rsidRPr="00933D5F">
        <w:rPr>
          <w:lang w:val="es-419"/>
        </w:rPr>
        <w:t>.</w:t>
      </w:r>
    </w:p>
    <w:p w:rsidR="009F69EA" w:rsidRPr="00933D5F" w:rsidRDefault="009F69EA" w:rsidP="00C00D63">
      <w:pPr>
        <w:rPr>
          <w:lang w:val="es-419"/>
        </w:rPr>
      </w:pPr>
    </w:p>
    <w:p w:rsidR="009F69EA" w:rsidRPr="00933D5F" w:rsidRDefault="007D5AE6" w:rsidP="00461365">
      <w:pPr>
        <w:rPr>
          <w:lang w:val="es-419"/>
        </w:rPr>
      </w:pPr>
      <w:r w:rsidRPr="00933D5F">
        <w:rPr>
          <w:lang w:val="es-419"/>
        </w:rPr>
        <w:t>El BMT examinó los documentos BMT/20/3 y UPOV/INF/17/2 Draft 5 y respaldó la revisión del documento UPOV/INF/17/2 sobre la base del documento UPOV/INF/17/2 Draft 5 y el Anexo del documento BMT/20/3.</w:t>
      </w:r>
      <w:r w:rsidR="00C00D63" w:rsidRPr="00933D5F">
        <w:rPr>
          <w:lang w:val="es-419"/>
        </w:rPr>
        <w:t xml:space="preserve"> </w:t>
      </w:r>
      <w:r w:rsidRPr="00933D5F">
        <w:rPr>
          <w:lang w:val="es-419"/>
        </w:rPr>
        <w:t xml:space="preserve">El BMT tomó nota de las observaciones formuladas por la ISF con anterioridad a la sesión </w:t>
      </w:r>
      <w:r w:rsidR="004A779D" w:rsidRPr="00933D5F">
        <w:rPr>
          <w:lang w:val="es-419"/>
        </w:rPr>
        <w:t xml:space="preserve">acerca de </w:t>
      </w:r>
      <w:r w:rsidRPr="00933D5F">
        <w:rPr>
          <w:lang w:val="es-419"/>
        </w:rPr>
        <w:t xml:space="preserve">las posibles mejoras del documento UPOV/INF/17 </w:t>
      </w:r>
      <w:r w:rsidR="004A779D" w:rsidRPr="00933D5F">
        <w:rPr>
          <w:lang w:val="es-419"/>
        </w:rPr>
        <w:t xml:space="preserve">en </w:t>
      </w:r>
      <w:r w:rsidR="00493560" w:rsidRPr="00933D5F">
        <w:rPr>
          <w:lang w:val="es-419"/>
        </w:rPr>
        <w:t>lo que respecta a</w:t>
      </w:r>
      <w:r w:rsidR="004A779D" w:rsidRPr="00933D5F">
        <w:rPr>
          <w:lang w:val="es-419"/>
        </w:rPr>
        <w:t xml:space="preserve"> determinadas</w:t>
      </w:r>
      <w:r w:rsidRPr="00933D5F">
        <w:rPr>
          <w:lang w:val="es-419"/>
        </w:rPr>
        <w:t xml:space="preserve"> cuestiones técnicas.</w:t>
      </w:r>
      <w:r w:rsidR="00C00D63" w:rsidRPr="00933D5F">
        <w:rPr>
          <w:lang w:val="es-419"/>
        </w:rPr>
        <w:t xml:space="preserve"> </w:t>
      </w:r>
      <w:r w:rsidR="00493560" w:rsidRPr="00933D5F">
        <w:rPr>
          <w:lang w:val="es-419"/>
        </w:rPr>
        <w:t xml:space="preserve">El BMT acordó invitar </w:t>
      </w:r>
      <w:r w:rsidR="00D425AC" w:rsidRPr="00933D5F">
        <w:rPr>
          <w:lang w:val="es-419"/>
        </w:rPr>
        <w:t>a la </w:t>
      </w:r>
      <w:r w:rsidR="00493560" w:rsidRPr="00933D5F">
        <w:rPr>
          <w:lang w:val="es-419"/>
        </w:rPr>
        <w:t xml:space="preserve">ISF a </w:t>
      </w:r>
      <w:r w:rsidR="00D425AC" w:rsidRPr="00933D5F">
        <w:rPr>
          <w:lang w:val="es-419"/>
        </w:rPr>
        <w:t xml:space="preserve">que </w:t>
      </w:r>
      <w:r w:rsidR="00493560" w:rsidRPr="00933D5F">
        <w:rPr>
          <w:lang w:val="es-419"/>
        </w:rPr>
        <w:t>present</w:t>
      </w:r>
      <w:r w:rsidR="00D425AC" w:rsidRPr="00933D5F">
        <w:rPr>
          <w:lang w:val="es-419"/>
        </w:rPr>
        <w:t xml:space="preserve">e una ponencia sobre esas </w:t>
      </w:r>
      <w:r w:rsidR="00493560" w:rsidRPr="00933D5F">
        <w:rPr>
          <w:lang w:val="es-419"/>
        </w:rPr>
        <w:t xml:space="preserve">cuestiones </w:t>
      </w:r>
      <w:r w:rsidR="00D425AC" w:rsidRPr="00933D5F">
        <w:rPr>
          <w:lang w:val="es-419"/>
        </w:rPr>
        <w:t xml:space="preserve">en la </w:t>
      </w:r>
      <w:r w:rsidR="00493560" w:rsidRPr="00933D5F">
        <w:rPr>
          <w:lang w:val="es-419"/>
        </w:rPr>
        <w:t>primera sesión de</w:t>
      </w:r>
      <w:r w:rsidR="00D425AC" w:rsidRPr="00933D5F">
        <w:rPr>
          <w:lang w:val="es-419"/>
        </w:rPr>
        <w:t>l </w:t>
      </w:r>
      <w:r w:rsidR="00493560" w:rsidRPr="00933D5F">
        <w:rPr>
          <w:lang w:val="es-419"/>
        </w:rPr>
        <w:t>TWM.</w:t>
      </w:r>
    </w:p>
    <w:p w:rsidR="009F69EA" w:rsidRPr="00933D5F" w:rsidRDefault="009F69EA" w:rsidP="00C00D63">
      <w:pPr>
        <w:rPr>
          <w:lang w:val="es-419"/>
        </w:rPr>
      </w:pPr>
    </w:p>
    <w:p w:rsidR="009F69EA" w:rsidRPr="00933D5F" w:rsidRDefault="00D425AC" w:rsidP="00461365">
      <w:pPr>
        <w:rPr>
          <w:lang w:val="es-419"/>
        </w:rPr>
      </w:pPr>
      <w:r w:rsidRPr="00933D5F">
        <w:rPr>
          <w:lang w:val="es-419"/>
        </w:rPr>
        <w:t xml:space="preserve">El BMT </w:t>
      </w:r>
      <w:r w:rsidR="00C2306B" w:rsidRPr="00933D5F">
        <w:rPr>
          <w:lang w:val="es-419"/>
        </w:rPr>
        <w:t>tomó nota de que</w:t>
      </w:r>
      <w:r w:rsidRPr="00933D5F">
        <w:rPr>
          <w:lang w:val="es-419"/>
        </w:rPr>
        <w:t xml:space="preserve"> el TC, en su quincuagésima</w:t>
      </w:r>
      <w:r w:rsidR="00C2306B" w:rsidRPr="00933D5F">
        <w:rPr>
          <w:lang w:val="es-419"/>
        </w:rPr>
        <w:t xml:space="preserve"> </w:t>
      </w:r>
      <w:r w:rsidRPr="00933D5F">
        <w:rPr>
          <w:lang w:val="es-419"/>
        </w:rPr>
        <w:t>sexta sesión, ha</w:t>
      </w:r>
      <w:r w:rsidR="00E56F36" w:rsidRPr="00933D5F">
        <w:rPr>
          <w:lang w:val="es-419"/>
        </w:rPr>
        <w:t>bía</w:t>
      </w:r>
      <w:r w:rsidRPr="00933D5F">
        <w:rPr>
          <w:lang w:val="es-419"/>
        </w:rPr>
        <w:t xml:space="preserve"> </w:t>
      </w:r>
      <w:r w:rsidR="00E56F36" w:rsidRPr="00933D5F">
        <w:rPr>
          <w:lang w:val="es-419"/>
        </w:rPr>
        <w:t xml:space="preserve">convenido en que se organice </w:t>
      </w:r>
      <w:r w:rsidRPr="00933D5F">
        <w:rPr>
          <w:lang w:val="es-419"/>
        </w:rPr>
        <w:t xml:space="preserve">otro </w:t>
      </w:r>
      <w:r w:rsidR="00E56F36" w:rsidRPr="00933D5F">
        <w:rPr>
          <w:lang w:val="es-419"/>
        </w:rPr>
        <w:t>taller conjunto de la OCDE, la UPOV y la ISTA sobre técnicas moleculares en un futuro próximo</w:t>
      </w:r>
      <w:r w:rsidRPr="00933D5F">
        <w:rPr>
          <w:lang w:val="es-419"/>
        </w:rPr>
        <w:t>.</w:t>
      </w:r>
      <w:r w:rsidR="00C00D63" w:rsidRPr="00933D5F">
        <w:rPr>
          <w:lang w:val="es-419"/>
        </w:rPr>
        <w:t xml:space="preserve"> </w:t>
      </w:r>
      <w:r w:rsidR="00E56F36" w:rsidRPr="00933D5F">
        <w:rPr>
          <w:lang w:val="es-419"/>
        </w:rPr>
        <w:t xml:space="preserve">El BMT </w:t>
      </w:r>
      <w:r w:rsidR="00484AED" w:rsidRPr="00933D5F">
        <w:rPr>
          <w:lang w:val="es-419"/>
        </w:rPr>
        <w:t>tomó nota de que</w:t>
      </w:r>
      <w:r w:rsidR="00E56F36" w:rsidRPr="00933D5F">
        <w:rPr>
          <w:lang w:val="es-419"/>
        </w:rPr>
        <w:t xml:space="preserve">, durante su vigésima sesión, se había llevado a cabo un </w:t>
      </w:r>
      <w:r w:rsidR="00F20D99" w:rsidRPr="00933D5F">
        <w:rPr>
          <w:lang w:val="es-419"/>
        </w:rPr>
        <w:t>sondeo</w:t>
      </w:r>
      <w:r w:rsidR="00E56F36" w:rsidRPr="00933D5F">
        <w:rPr>
          <w:lang w:val="es-419"/>
        </w:rPr>
        <w:t xml:space="preserve"> a fin de evaluar la información </w:t>
      </w:r>
      <w:r w:rsidR="00F20D99" w:rsidRPr="00933D5F">
        <w:rPr>
          <w:lang w:val="es-419"/>
        </w:rPr>
        <w:t>facilitada por</w:t>
      </w:r>
      <w:r w:rsidR="00E56F36" w:rsidRPr="00933D5F">
        <w:rPr>
          <w:lang w:val="es-419"/>
        </w:rPr>
        <w:t xml:space="preserve"> los asistentes </w:t>
      </w:r>
      <w:r w:rsidR="00F20D99" w:rsidRPr="00933D5F">
        <w:rPr>
          <w:lang w:val="es-419"/>
        </w:rPr>
        <w:t xml:space="preserve">acerca de </w:t>
      </w:r>
      <w:r w:rsidR="00FC6A19" w:rsidRPr="00933D5F">
        <w:rPr>
          <w:lang w:val="es-419"/>
        </w:rPr>
        <w:t>los</w:t>
      </w:r>
      <w:r w:rsidR="00E56F36" w:rsidRPr="00933D5F">
        <w:rPr>
          <w:lang w:val="es-419"/>
        </w:rPr>
        <w:t xml:space="preserve"> inter</w:t>
      </w:r>
      <w:r w:rsidR="00FC6A19" w:rsidRPr="00933D5F">
        <w:rPr>
          <w:lang w:val="es-419"/>
        </w:rPr>
        <w:t xml:space="preserve">eses </w:t>
      </w:r>
      <w:r w:rsidR="00E56F36" w:rsidRPr="00933D5F">
        <w:rPr>
          <w:lang w:val="es-419"/>
        </w:rPr>
        <w:t>com</w:t>
      </w:r>
      <w:r w:rsidR="00FC6A19" w:rsidRPr="00933D5F">
        <w:rPr>
          <w:lang w:val="es-419"/>
        </w:rPr>
        <w:t>unes</w:t>
      </w:r>
      <w:r w:rsidR="00E56F36" w:rsidRPr="00933D5F">
        <w:rPr>
          <w:lang w:val="es-419"/>
        </w:rPr>
        <w:t xml:space="preserve"> </w:t>
      </w:r>
      <w:r w:rsidR="00007980" w:rsidRPr="00933D5F">
        <w:rPr>
          <w:lang w:val="es-419"/>
        </w:rPr>
        <w:t>de</w:t>
      </w:r>
      <w:r w:rsidR="00E56F36" w:rsidRPr="00933D5F">
        <w:rPr>
          <w:lang w:val="es-419"/>
        </w:rPr>
        <w:t xml:space="preserve"> la UPOV, la OCDE y la ISTA en </w:t>
      </w:r>
      <w:r w:rsidR="00484AED" w:rsidRPr="00933D5F">
        <w:rPr>
          <w:lang w:val="es-419"/>
        </w:rPr>
        <w:t>lo que respecta</w:t>
      </w:r>
      <w:r w:rsidR="00E56F36" w:rsidRPr="00933D5F">
        <w:rPr>
          <w:lang w:val="es-419"/>
        </w:rPr>
        <w:t xml:space="preserve"> al uso </w:t>
      </w:r>
      <w:r w:rsidR="00356505" w:rsidRPr="00933D5F">
        <w:rPr>
          <w:lang w:val="es-419"/>
        </w:rPr>
        <w:t xml:space="preserve">de las técnicas </w:t>
      </w:r>
      <w:r w:rsidR="00032FB7" w:rsidRPr="00933D5F">
        <w:rPr>
          <w:lang w:val="es-419"/>
        </w:rPr>
        <w:t>bioquímicas y</w:t>
      </w:r>
      <w:r w:rsidR="00356505" w:rsidRPr="00933D5F">
        <w:rPr>
          <w:lang w:val="es-419"/>
        </w:rPr>
        <w:t xml:space="preserve"> moleculares </w:t>
      </w:r>
      <w:r w:rsidR="00E56F36" w:rsidRPr="00933D5F">
        <w:rPr>
          <w:lang w:val="es-419"/>
        </w:rPr>
        <w:t xml:space="preserve">y </w:t>
      </w:r>
      <w:r w:rsidR="00F20D99" w:rsidRPr="00933D5F">
        <w:rPr>
          <w:lang w:val="es-419"/>
        </w:rPr>
        <w:t>de</w:t>
      </w:r>
      <w:r w:rsidR="00007980" w:rsidRPr="00933D5F">
        <w:rPr>
          <w:lang w:val="es-419"/>
        </w:rPr>
        <w:t xml:space="preserve"> </w:t>
      </w:r>
      <w:r w:rsidR="00484AED" w:rsidRPr="00933D5F">
        <w:rPr>
          <w:lang w:val="es-419"/>
        </w:rPr>
        <w:t xml:space="preserve">los </w:t>
      </w:r>
      <w:r w:rsidR="00E56F36" w:rsidRPr="00933D5F">
        <w:rPr>
          <w:lang w:val="es-419"/>
        </w:rPr>
        <w:t xml:space="preserve">temas </w:t>
      </w:r>
      <w:r w:rsidR="00007980" w:rsidRPr="00933D5F">
        <w:rPr>
          <w:lang w:val="es-419"/>
        </w:rPr>
        <w:t xml:space="preserve">que podrían tratarse en </w:t>
      </w:r>
      <w:r w:rsidR="00E56F36" w:rsidRPr="00933D5F">
        <w:rPr>
          <w:lang w:val="es-419"/>
        </w:rPr>
        <w:t>un taller conjunto de la UPOV, la OCDE y la ISTA.</w:t>
      </w:r>
      <w:r w:rsidR="00C00D63" w:rsidRPr="00933D5F">
        <w:rPr>
          <w:lang w:val="es-419"/>
        </w:rPr>
        <w:t xml:space="preserve"> </w:t>
      </w:r>
      <w:r w:rsidR="00E56F36" w:rsidRPr="00933D5F">
        <w:rPr>
          <w:lang w:val="es-419"/>
        </w:rPr>
        <w:t>El BMT examinó las respuestas a</w:t>
      </w:r>
      <w:r w:rsidR="00F20D99" w:rsidRPr="00933D5F">
        <w:rPr>
          <w:lang w:val="es-419"/>
        </w:rPr>
        <w:t>l</w:t>
      </w:r>
      <w:r w:rsidR="00E56F36" w:rsidRPr="00933D5F">
        <w:rPr>
          <w:lang w:val="es-419"/>
        </w:rPr>
        <w:t xml:space="preserve"> </w:t>
      </w:r>
      <w:r w:rsidR="00F20D99" w:rsidRPr="00933D5F">
        <w:rPr>
          <w:lang w:val="es-419"/>
        </w:rPr>
        <w:t>sondeo</w:t>
      </w:r>
      <w:r w:rsidR="00E56F36" w:rsidRPr="00933D5F">
        <w:rPr>
          <w:lang w:val="es-419"/>
        </w:rPr>
        <w:t xml:space="preserve">, que se reproducen en el Anexo II del documento </w:t>
      </w:r>
      <w:r w:rsidR="00E56F36" w:rsidRPr="00933D5F">
        <w:rPr>
          <w:rStyle w:val="PageNumber"/>
          <w:lang w:val="es-419"/>
        </w:rPr>
        <w:t>BMT/20/12</w:t>
      </w:r>
      <w:r w:rsidR="00E56F36" w:rsidRPr="00933D5F">
        <w:rPr>
          <w:lang w:val="es-419"/>
        </w:rPr>
        <w:t xml:space="preserve">, y acordó proponer </w:t>
      </w:r>
      <w:r w:rsidR="00774EB6" w:rsidRPr="00933D5F">
        <w:rPr>
          <w:lang w:val="es-419"/>
        </w:rPr>
        <w:t>los</w:t>
      </w:r>
      <w:r w:rsidR="00E56F36" w:rsidRPr="00933D5F">
        <w:rPr>
          <w:lang w:val="es-419"/>
        </w:rPr>
        <w:t xml:space="preserve"> siguiente</w:t>
      </w:r>
      <w:r w:rsidR="00774EB6" w:rsidRPr="00933D5F">
        <w:rPr>
          <w:lang w:val="es-419"/>
        </w:rPr>
        <w:t>s</w:t>
      </w:r>
      <w:r w:rsidR="00E56F36" w:rsidRPr="00933D5F">
        <w:rPr>
          <w:lang w:val="es-419"/>
        </w:rPr>
        <w:t xml:space="preserve"> posible</w:t>
      </w:r>
      <w:r w:rsidR="00774EB6" w:rsidRPr="00933D5F">
        <w:rPr>
          <w:lang w:val="es-419"/>
        </w:rPr>
        <w:t>s</w:t>
      </w:r>
      <w:r w:rsidR="00E56F36" w:rsidRPr="00933D5F">
        <w:rPr>
          <w:lang w:val="es-419"/>
        </w:rPr>
        <w:t xml:space="preserve"> </w:t>
      </w:r>
      <w:r w:rsidR="00774EB6" w:rsidRPr="00933D5F">
        <w:rPr>
          <w:lang w:val="es-419"/>
        </w:rPr>
        <w:t>temas para</w:t>
      </w:r>
      <w:r w:rsidR="00E56F36" w:rsidRPr="00933D5F">
        <w:rPr>
          <w:lang w:val="es-419"/>
        </w:rPr>
        <w:t xml:space="preserve"> </w:t>
      </w:r>
      <w:r w:rsidR="00774EB6" w:rsidRPr="00933D5F">
        <w:rPr>
          <w:lang w:val="es-419"/>
        </w:rPr>
        <w:t>un</w:t>
      </w:r>
      <w:r w:rsidR="00E56F36" w:rsidRPr="00933D5F">
        <w:rPr>
          <w:lang w:val="es-419"/>
        </w:rPr>
        <w:t xml:space="preserve"> futur</w:t>
      </w:r>
      <w:r w:rsidR="00774EB6" w:rsidRPr="00933D5F">
        <w:rPr>
          <w:lang w:val="es-419"/>
        </w:rPr>
        <w:t>o</w:t>
      </w:r>
      <w:r w:rsidR="00E56F36" w:rsidRPr="00933D5F">
        <w:rPr>
          <w:lang w:val="es-419"/>
        </w:rPr>
        <w:t xml:space="preserve"> </w:t>
      </w:r>
      <w:r w:rsidR="00774EB6" w:rsidRPr="00933D5F">
        <w:rPr>
          <w:lang w:val="es-419"/>
        </w:rPr>
        <w:t>taller conjunto de la UPOV, la OCDE y la ISTA</w:t>
      </w:r>
      <w:r w:rsidR="00E56F36" w:rsidRPr="00933D5F">
        <w:rPr>
          <w:lang w:val="es-419"/>
        </w:rPr>
        <w:t>:</w:t>
      </w:r>
    </w:p>
    <w:p w:rsidR="009F69EA" w:rsidRPr="00933D5F" w:rsidRDefault="009F69EA" w:rsidP="00C00D63">
      <w:pPr>
        <w:rPr>
          <w:lang w:val="es-419"/>
        </w:rPr>
      </w:pPr>
    </w:p>
    <w:p w:rsidR="009F69EA" w:rsidRPr="00933D5F" w:rsidRDefault="00007980" w:rsidP="00461365">
      <w:pPr>
        <w:pStyle w:val="ListParagraph"/>
        <w:numPr>
          <w:ilvl w:val="0"/>
          <w:numId w:val="2"/>
        </w:numPr>
        <w:ind w:left="851" w:hanging="284"/>
        <w:rPr>
          <w:lang w:val="es-419"/>
        </w:rPr>
      </w:pPr>
      <w:r w:rsidRPr="00933D5F">
        <w:rPr>
          <w:lang w:val="es-419"/>
        </w:rPr>
        <w:t xml:space="preserve">Presentación de información </w:t>
      </w:r>
      <w:r w:rsidR="008A7A09" w:rsidRPr="00933D5F">
        <w:rPr>
          <w:lang w:val="es-419"/>
        </w:rPr>
        <w:t>acerca d</w:t>
      </w:r>
      <w:r w:rsidRPr="00933D5F">
        <w:rPr>
          <w:lang w:val="es-419"/>
        </w:rPr>
        <w:t>el uso de técnicas moleculares en cada organización;</w:t>
      </w:r>
    </w:p>
    <w:p w:rsidR="009F69EA" w:rsidRPr="00933D5F" w:rsidRDefault="008A7A09" w:rsidP="00461365">
      <w:pPr>
        <w:pStyle w:val="ListParagraph"/>
        <w:numPr>
          <w:ilvl w:val="0"/>
          <w:numId w:val="2"/>
        </w:numPr>
        <w:ind w:left="851" w:hanging="284"/>
        <w:rPr>
          <w:lang w:val="es-419"/>
        </w:rPr>
      </w:pPr>
      <w:r w:rsidRPr="00933D5F">
        <w:rPr>
          <w:lang w:val="es-419"/>
        </w:rPr>
        <w:t>Procedimiento para la aprobación de métodos bioquímicos y moleculares en cada organización; y</w:t>
      </w:r>
    </w:p>
    <w:p w:rsidR="009F69EA" w:rsidRPr="00933D5F" w:rsidRDefault="008A7A09" w:rsidP="00461365">
      <w:pPr>
        <w:pStyle w:val="ListParagraph"/>
        <w:numPr>
          <w:ilvl w:val="0"/>
          <w:numId w:val="2"/>
        </w:numPr>
        <w:ind w:left="851" w:hanging="284"/>
        <w:rPr>
          <w:lang w:val="es-419"/>
        </w:rPr>
      </w:pPr>
      <w:r w:rsidRPr="00933D5F">
        <w:rPr>
          <w:lang w:val="es-419"/>
        </w:rPr>
        <w:t>Posibilidades de armonización de los métodos en la UPOV, la OCDE y la ISTA.</w:t>
      </w:r>
      <w:r w:rsidR="00C00D63" w:rsidRPr="00933D5F">
        <w:rPr>
          <w:lang w:val="es-419"/>
        </w:rPr>
        <w:t xml:space="preserve"> </w:t>
      </w:r>
    </w:p>
    <w:p w:rsidR="009F69EA" w:rsidRPr="00933D5F" w:rsidRDefault="009F69EA" w:rsidP="00C00D63">
      <w:pPr>
        <w:pStyle w:val="ListParagraph"/>
        <w:ind w:left="851"/>
        <w:rPr>
          <w:lang w:val="es-419"/>
        </w:rPr>
      </w:pPr>
    </w:p>
    <w:p w:rsidR="009F69EA" w:rsidRPr="00933D5F" w:rsidRDefault="00706639" w:rsidP="00461365">
      <w:pPr>
        <w:rPr>
          <w:rFonts w:cs="Arial"/>
          <w:color w:val="000000"/>
          <w:highlight w:val="cyan"/>
          <w:lang w:val="es-419"/>
        </w:rPr>
      </w:pPr>
      <w:r w:rsidRPr="00933D5F">
        <w:rPr>
          <w:lang w:val="es-419"/>
        </w:rPr>
        <w:t xml:space="preserve">El BMT asistió a una ponencia </w:t>
      </w:r>
      <w:r w:rsidRPr="00933D5F">
        <w:rPr>
          <w:rFonts w:cs="Arial"/>
          <w:iCs/>
          <w:lang w:val="es-419"/>
        </w:rPr>
        <w:t xml:space="preserve">a cargo de </w:t>
      </w:r>
      <w:r w:rsidRPr="00933D5F">
        <w:rPr>
          <w:lang w:val="es-419"/>
        </w:rPr>
        <w:t>la Sra. Ana Laura Vicario, de la Asociación Internacional para el Ensayo de Semillas</w:t>
      </w:r>
      <w:r w:rsidRPr="00933D5F">
        <w:rPr>
          <w:rFonts w:cs="Arial"/>
          <w:lang w:val="es-419"/>
        </w:rPr>
        <w:t xml:space="preserve"> (ISTA), titulada “</w:t>
      </w:r>
      <w:r w:rsidR="0036435B" w:rsidRPr="00933D5F">
        <w:rPr>
          <w:lang w:val="es-419"/>
        </w:rPr>
        <w:t>Informe de la </w:t>
      </w:r>
      <w:r w:rsidRPr="00933D5F">
        <w:rPr>
          <w:lang w:val="es-419"/>
        </w:rPr>
        <w:t xml:space="preserve">ISTA </w:t>
      </w:r>
      <w:r w:rsidR="0036435B" w:rsidRPr="00933D5F">
        <w:rPr>
          <w:lang w:val="es-419"/>
        </w:rPr>
        <w:t xml:space="preserve">sobre </w:t>
      </w:r>
      <w:r w:rsidRPr="00933D5F">
        <w:rPr>
          <w:lang w:val="es-419"/>
        </w:rPr>
        <w:t>técnicas bioquímicas y moleculares</w:t>
      </w:r>
      <w:r w:rsidRPr="00933D5F">
        <w:rPr>
          <w:rFonts w:cs="Arial"/>
          <w:lang w:val="es-419"/>
        </w:rPr>
        <w:t>”</w:t>
      </w:r>
      <w:r w:rsidRPr="00933D5F">
        <w:rPr>
          <w:rFonts w:cs="Arial"/>
          <w:iCs/>
          <w:lang w:val="es-419"/>
        </w:rPr>
        <w:t xml:space="preserve">, </w:t>
      </w:r>
      <w:r w:rsidR="0036435B" w:rsidRPr="00933D5F">
        <w:rPr>
          <w:rFonts w:cs="Arial"/>
          <w:iCs/>
          <w:lang w:val="es-419"/>
        </w:rPr>
        <w:t xml:space="preserve">de la cual figura una copia en el </w:t>
      </w:r>
      <w:r w:rsidRPr="00933D5F">
        <w:rPr>
          <w:rFonts w:cs="Arial"/>
          <w:iCs/>
          <w:lang w:val="es-419"/>
        </w:rPr>
        <w:t>documento BMT/</w:t>
      </w:r>
      <w:r w:rsidRPr="00933D5F">
        <w:rPr>
          <w:rFonts w:cs="Arial"/>
          <w:iCs/>
          <w:lang w:val="es-419" w:eastAsia="ja-JP"/>
        </w:rPr>
        <w:t>20</w:t>
      </w:r>
      <w:r w:rsidRPr="00933D5F">
        <w:rPr>
          <w:rFonts w:cs="Arial"/>
          <w:iCs/>
          <w:lang w:val="es-419"/>
        </w:rPr>
        <w:t>/11.</w:t>
      </w:r>
      <w:r w:rsidR="00C00D63" w:rsidRPr="00933D5F">
        <w:rPr>
          <w:rFonts w:cs="Arial"/>
          <w:iCs/>
          <w:lang w:val="es-419"/>
        </w:rPr>
        <w:t xml:space="preserve"> </w:t>
      </w:r>
      <w:r w:rsidR="0036435B" w:rsidRPr="00933D5F">
        <w:rPr>
          <w:lang w:val="es-419"/>
        </w:rPr>
        <w:t xml:space="preserve">El BMT </w:t>
      </w:r>
      <w:r w:rsidR="00132E36" w:rsidRPr="00933D5F">
        <w:rPr>
          <w:lang w:val="es-419"/>
        </w:rPr>
        <w:t>convino en que resulta</w:t>
      </w:r>
      <w:r w:rsidR="0036435B" w:rsidRPr="00933D5F">
        <w:rPr>
          <w:lang w:val="es-419"/>
        </w:rPr>
        <w:t xml:space="preserve"> útil </w:t>
      </w:r>
      <w:r w:rsidR="00C67DFC" w:rsidRPr="00933D5F">
        <w:rPr>
          <w:lang w:val="es-419"/>
        </w:rPr>
        <w:t>conocer los progresos</w:t>
      </w:r>
      <w:r w:rsidR="0036435B" w:rsidRPr="00933D5F">
        <w:rPr>
          <w:lang w:val="es-419"/>
        </w:rPr>
        <w:t xml:space="preserve"> </w:t>
      </w:r>
      <w:r w:rsidR="00C67DFC" w:rsidRPr="00933D5F">
        <w:rPr>
          <w:lang w:val="es-419"/>
        </w:rPr>
        <w:t>realizados po</w:t>
      </w:r>
      <w:bookmarkStart w:id="2" w:name="_GoBack"/>
      <w:bookmarkEnd w:id="2"/>
      <w:r w:rsidR="00C67DFC" w:rsidRPr="00933D5F">
        <w:rPr>
          <w:lang w:val="es-419"/>
        </w:rPr>
        <w:t>r la ISTA en cuanto a sus métodos de validación</w:t>
      </w:r>
      <w:r w:rsidR="0036435B" w:rsidRPr="00933D5F">
        <w:rPr>
          <w:lang w:val="es-419"/>
        </w:rPr>
        <w:t xml:space="preserve">, </w:t>
      </w:r>
      <w:r w:rsidR="00C67DFC" w:rsidRPr="00933D5F">
        <w:rPr>
          <w:lang w:val="es-419"/>
        </w:rPr>
        <w:t xml:space="preserve">según se reseñó </w:t>
      </w:r>
      <w:r w:rsidR="0036435B" w:rsidRPr="00933D5F">
        <w:rPr>
          <w:lang w:val="es-419"/>
        </w:rPr>
        <w:t xml:space="preserve">en </w:t>
      </w:r>
      <w:r w:rsidR="00C67DFC" w:rsidRPr="00933D5F">
        <w:rPr>
          <w:lang w:val="es-419"/>
        </w:rPr>
        <w:t>la</w:t>
      </w:r>
      <w:r w:rsidR="0036435B" w:rsidRPr="00933D5F">
        <w:rPr>
          <w:lang w:val="es-419"/>
        </w:rPr>
        <w:t xml:space="preserve"> ponencia.</w:t>
      </w:r>
    </w:p>
    <w:p w:rsidR="009F69EA" w:rsidRPr="00933D5F" w:rsidRDefault="009F69EA" w:rsidP="00C00D63">
      <w:pPr>
        <w:spacing w:after="60"/>
        <w:rPr>
          <w:rFonts w:cs="Arial"/>
          <w:color w:val="000000"/>
          <w:highlight w:val="cyan"/>
          <w:lang w:val="es-419"/>
        </w:rPr>
      </w:pPr>
    </w:p>
    <w:p w:rsidR="009F69EA" w:rsidRPr="00933D5F" w:rsidRDefault="00C67DFC" w:rsidP="00461365">
      <w:pPr>
        <w:rPr>
          <w:rFonts w:cs="Arial"/>
          <w:iCs/>
          <w:lang w:val="es-419"/>
        </w:rPr>
      </w:pPr>
      <w:r w:rsidRPr="00933D5F">
        <w:rPr>
          <w:lang w:val="es-419"/>
        </w:rPr>
        <w:t>El BMT asistió a una ponencia a cargo del Sr. Csaba Gaspar, de la Organización para la Cooperación y el Desarrollo Económicos</w:t>
      </w:r>
      <w:r w:rsidRPr="00933D5F">
        <w:rPr>
          <w:rFonts w:cs="Arial"/>
          <w:lang w:val="es-419"/>
        </w:rPr>
        <w:t xml:space="preserve"> (OCDE),</w:t>
      </w:r>
      <w:r w:rsidRPr="00933D5F">
        <w:rPr>
          <w:rFonts w:cs="Arial"/>
          <w:iCs/>
          <w:lang w:val="es-419"/>
        </w:rPr>
        <w:t xml:space="preserve"> titulada “</w:t>
      </w:r>
      <w:r w:rsidR="00E20A13" w:rsidRPr="00933D5F">
        <w:rPr>
          <w:rFonts w:cs="Arial"/>
          <w:iCs/>
          <w:lang w:val="es-419"/>
        </w:rPr>
        <w:t xml:space="preserve">Situación </w:t>
      </w:r>
      <w:r w:rsidR="00E20A13" w:rsidRPr="00933D5F">
        <w:rPr>
          <w:lang w:val="es-419"/>
        </w:rPr>
        <w:t xml:space="preserve">actual </w:t>
      </w:r>
      <w:r w:rsidR="00B516D2" w:rsidRPr="00933D5F">
        <w:rPr>
          <w:rFonts w:cs="Arial"/>
          <w:iCs/>
          <w:lang w:val="es-419"/>
        </w:rPr>
        <w:t xml:space="preserve">de las técnicas bioquímicas y moleculares </w:t>
      </w:r>
      <w:r w:rsidR="00057785" w:rsidRPr="00933D5F">
        <w:rPr>
          <w:lang w:val="es-419"/>
        </w:rPr>
        <w:t>en el marco de los</w:t>
      </w:r>
      <w:r w:rsidRPr="00933D5F">
        <w:rPr>
          <w:lang w:val="es-419"/>
        </w:rPr>
        <w:t xml:space="preserve"> Sistemas de semillas de la</w:t>
      </w:r>
      <w:r w:rsidR="002E0660" w:rsidRPr="00933D5F">
        <w:rPr>
          <w:lang w:val="es-419"/>
        </w:rPr>
        <w:t> </w:t>
      </w:r>
      <w:r w:rsidRPr="00933D5F">
        <w:rPr>
          <w:lang w:val="es-419"/>
        </w:rPr>
        <w:t>OCDE</w:t>
      </w:r>
      <w:r w:rsidRPr="00933D5F">
        <w:rPr>
          <w:rFonts w:cs="Arial"/>
          <w:iCs/>
          <w:lang w:val="es-419"/>
        </w:rPr>
        <w:t xml:space="preserve">”, </w:t>
      </w:r>
      <w:r w:rsidR="00E20A13" w:rsidRPr="00933D5F">
        <w:rPr>
          <w:rFonts w:cs="Arial"/>
          <w:iCs/>
          <w:lang w:val="es-419"/>
        </w:rPr>
        <w:t xml:space="preserve">de la cual figura una copia en el </w:t>
      </w:r>
      <w:r w:rsidRPr="00933D5F">
        <w:rPr>
          <w:rFonts w:cs="Arial"/>
          <w:iCs/>
          <w:lang w:val="es-419"/>
        </w:rPr>
        <w:t>documento BMT/</w:t>
      </w:r>
      <w:r w:rsidRPr="00933D5F">
        <w:rPr>
          <w:rFonts w:cs="Arial"/>
          <w:iCs/>
          <w:lang w:val="es-419" w:eastAsia="ja-JP"/>
        </w:rPr>
        <w:t>20</w:t>
      </w:r>
      <w:r w:rsidRPr="00933D5F">
        <w:rPr>
          <w:rFonts w:cs="Arial"/>
          <w:iCs/>
          <w:lang w:val="es-419"/>
        </w:rPr>
        <w:t>/10.</w:t>
      </w:r>
      <w:r w:rsidR="00C00D63" w:rsidRPr="00933D5F">
        <w:rPr>
          <w:rFonts w:cs="Arial"/>
          <w:iCs/>
          <w:lang w:val="es-419"/>
        </w:rPr>
        <w:t xml:space="preserve"> </w:t>
      </w:r>
      <w:r w:rsidR="00057785" w:rsidRPr="00933D5F">
        <w:rPr>
          <w:rFonts w:cs="Arial"/>
          <w:iCs/>
          <w:lang w:val="es-419"/>
        </w:rPr>
        <w:t xml:space="preserve">El BMT tomó nota del interés manifestado por la OCDE </w:t>
      </w:r>
      <w:r w:rsidR="00551D6C" w:rsidRPr="00933D5F">
        <w:rPr>
          <w:rFonts w:cs="Arial"/>
          <w:iCs/>
          <w:lang w:val="es-419"/>
        </w:rPr>
        <w:t>por</w:t>
      </w:r>
      <w:r w:rsidR="00057785" w:rsidRPr="00933D5F">
        <w:rPr>
          <w:rFonts w:cs="Arial"/>
          <w:iCs/>
          <w:lang w:val="es-419"/>
        </w:rPr>
        <w:t xml:space="preserve"> </w:t>
      </w:r>
      <w:r w:rsidR="00551D6C" w:rsidRPr="00933D5F">
        <w:rPr>
          <w:rFonts w:cs="Arial"/>
          <w:iCs/>
          <w:lang w:val="es-419"/>
        </w:rPr>
        <w:t xml:space="preserve">seguir </w:t>
      </w:r>
      <w:r w:rsidR="00057785" w:rsidRPr="00933D5F">
        <w:rPr>
          <w:rFonts w:cs="Arial"/>
          <w:iCs/>
          <w:lang w:val="es-419"/>
        </w:rPr>
        <w:t>co</w:t>
      </w:r>
      <w:r w:rsidR="00551D6C" w:rsidRPr="00933D5F">
        <w:rPr>
          <w:rFonts w:cs="Arial"/>
          <w:iCs/>
          <w:lang w:val="es-419"/>
        </w:rPr>
        <w:t>laborando</w:t>
      </w:r>
      <w:r w:rsidR="00057785" w:rsidRPr="00933D5F">
        <w:rPr>
          <w:rFonts w:cs="Arial"/>
          <w:iCs/>
          <w:lang w:val="es-419"/>
        </w:rPr>
        <w:t xml:space="preserve"> con la UPOV </w:t>
      </w:r>
      <w:r w:rsidR="00551D6C" w:rsidRPr="00933D5F">
        <w:rPr>
          <w:rFonts w:cs="Arial"/>
          <w:iCs/>
          <w:lang w:val="es-419"/>
        </w:rPr>
        <w:t>e</w:t>
      </w:r>
      <w:r w:rsidR="00057785" w:rsidRPr="00933D5F">
        <w:rPr>
          <w:rFonts w:cs="Arial"/>
          <w:iCs/>
          <w:lang w:val="es-419"/>
        </w:rPr>
        <w:t xml:space="preserve">n asuntos </w:t>
      </w:r>
      <w:r w:rsidR="00057785" w:rsidRPr="00933D5F">
        <w:rPr>
          <w:rFonts w:cs="Arial"/>
          <w:iCs/>
          <w:lang w:val="es-419"/>
        </w:rPr>
        <w:lastRenderedPageBreak/>
        <w:t>relativ</w:t>
      </w:r>
      <w:r w:rsidR="00551D6C" w:rsidRPr="00933D5F">
        <w:rPr>
          <w:rFonts w:cs="Arial"/>
          <w:iCs/>
          <w:lang w:val="es-419"/>
        </w:rPr>
        <w:t>o</w:t>
      </w:r>
      <w:r w:rsidR="00057785" w:rsidRPr="00933D5F">
        <w:rPr>
          <w:rFonts w:cs="Arial"/>
          <w:iCs/>
          <w:lang w:val="es-419"/>
        </w:rPr>
        <w:t xml:space="preserve">s a la utilización de marcadores moleculares en las organizaciones y convino en que </w:t>
      </w:r>
      <w:r w:rsidR="00347E01" w:rsidRPr="00933D5F">
        <w:rPr>
          <w:rFonts w:cs="Arial"/>
          <w:iCs/>
          <w:lang w:val="es-419"/>
        </w:rPr>
        <w:t xml:space="preserve">debe darse continuidad a </w:t>
      </w:r>
      <w:r w:rsidR="00057785" w:rsidRPr="00933D5F">
        <w:rPr>
          <w:rFonts w:cs="Arial"/>
          <w:iCs/>
          <w:lang w:val="es-419"/>
        </w:rPr>
        <w:t>las iniciativas conjuntas.</w:t>
      </w:r>
    </w:p>
    <w:p w:rsidR="009F69EA" w:rsidRPr="00933D5F" w:rsidRDefault="009F69EA" w:rsidP="00C00D63">
      <w:pPr>
        <w:spacing w:after="60"/>
        <w:rPr>
          <w:rFonts w:cs="Arial"/>
          <w:color w:val="000000"/>
          <w:highlight w:val="cyan"/>
          <w:lang w:val="es-419"/>
        </w:rPr>
      </w:pPr>
    </w:p>
    <w:p w:rsidR="009F69EA" w:rsidRPr="00933D5F" w:rsidRDefault="00873D1B" w:rsidP="00461365">
      <w:pPr>
        <w:rPr>
          <w:rFonts w:cs="Arial"/>
          <w:iCs/>
          <w:lang w:val="es-419"/>
        </w:rPr>
      </w:pPr>
      <w:r w:rsidRPr="00933D5F">
        <w:rPr>
          <w:rFonts w:cs="Arial"/>
          <w:iCs/>
          <w:lang w:val="es-419"/>
        </w:rPr>
        <w:t>El BMT asistió a una ponencia titulada “</w:t>
      </w:r>
      <w:r w:rsidRPr="00933D5F">
        <w:rPr>
          <w:lang w:val="es-419"/>
        </w:rPr>
        <w:t xml:space="preserve">Confidencialidad, titularidad y acceso a los datos moleculares, incluido el </w:t>
      </w:r>
      <w:r w:rsidRPr="00933D5F">
        <w:rPr>
          <w:rFonts w:cs="Arial"/>
          <w:iCs/>
          <w:lang w:val="es-419"/>
        </w:rPr>
        <w:t>modelo de acuerdo</w:t>
      </w:r>
      <w:r w:rsidRPr="00933D5F">
        <w:rPr>
          <w:lang w:val="es-419"/>
        </w:rPr>
        <w:t xml:space="preserve">”, </w:t>
      </w:r>
      <w:r w:rsidRPr="00933D5F">
        <w:rPr>
          <w:rFonts w:cs="Arial"/>
          <w:iCs/>
          <w:lang w:val="es-419"/>
        </w:rPr>
        <w:t>ofrecida por el representante de CropLife</w:t>
      </w:r>
      <w:r w:rsidR="00A229C8" w:rsidRPr="00933D5F">
        <w:rPr>
          <w:rFonts w:cs="Arial"/>
          <w:iCs/>
          <w:lang w:val="es-419"/>
        </w:rPr>
        <w:t> </w:t>
      </w:r>
      <w:r w:rsidRPr="00933D5F">
        <w:rPr>
          <w:rFonts w:cs="Arial"/>
          <w:iCs/>
          <w:lang w:val="es-419"/>
        </w:rPr>
        <w:t>International en nombre de la </w:t>
      </w:r>
      <w:r w:rsidRPr="00933D5F">
        <w:rPr>
          <w:rFonts w:cs="Arial"/>
          <w:i/>
          <w:lang w:val="es-419"/>
        </w:rPr>
        <w:t>African Seed Trade Association</w:t>
      </w:r>
      <w:r w:rsidRPr="00933D5F">
        <w:rPr>
          <w:rFonts w:cs="Arial"/>
          <w:iCs/>
          <w:lang w:val="es-419"/>
        </w:rPr>
        <w:t xml:space="preserve"> (AFSTA), la </w:t>
      </w:r>
      <w:r w:rsidRPr="00933D5F">
        <w:rPr>
          <w:rFonts w:cs="Arial"/>
          <w:i/>
          <w:lang w:val="es-419"/>
        </w:rPr>
        <w:t>Asia and Pacific Seed Association</w:t>
      </w:r>
      <w:r w:rsidRPr="00933D5F">
        <w:rPr>
          <w:rFonts w:cs="Arial"/>
          <w:iCs/>
          <w:lang w:val="es-419"/>
        </w:rPr>
        <w:t xml:space="preserve"> (APSA), la Comunidad Internacional de Fitomejoradores de Plantas Hortícolas de Reproducción Asexuada (CIOPORA), CropLife International, Euroseeds, </w:t>
      </w:r>
      <w:r w:rsidR="00A229C8" w:rsidRPr="00933D5F">
        <w:rPr>
          <w:rFonts w:cs="Arial"/>
          <w:iCs/>
          <w:lang w:val="es-419"/>
        </w:rPr>
        <w:t>la</w:t>
      </w:r>
      <w:r w:rsidRPr="00933D5F">
        <w:rPr>
          <w:rFonts w:cs="Arial"/>
          <w:iCs/>
          <w:lang w:val="es-419"/>
        </w:rPr>
        <w:t xml:space="preserve"> </w:t>
      </w:r>
      <w:r w:rsidRPr="00933D5F">
        <w:rPr>
          <w:rFonts w:cs="Arial"/>
          <w:i/>
          <w:lang w:val="es-419"/>
        </w:rPr>
        <w:t>International Seed Federation</w:t>
      </w:r>
      <w:r w:rsidRPr="00933D5F">
        <w:rPr>
          <w:rFonts w:cs="Arial"/>
          <w:iCs/>
          <w:lang w:val="es-419"/>
        </w:rPr>
        <w:t xml:space="preserve"> (ISF) y la </w:t>
      </w:r>
      <w:r w:rsidRPr="00933D5F">
        <w:rPr>
          <w:rFonts w:cs="Arial"/>
          <w:i/>
          <w:lang w:val="es-419"/>
        </w:rPr>
        <w:t>Seed Association of the Americas</w:t>
      </w:r>
      <w:r w:rsidRPr="00933D5F">
        <w:rPr>
          <w:rFonts w:cs="Arial"/>
          <w:iCs/>
          <w:lang w:val="es-419"/>
        </w:rPr>
        <w:t xml:space="preserve"> (SAA).</w:t>
      </w:r>
      <w:r w:rsidR="00C00D63" w:rsidRPr="00933D5F">
        <w:rPr>
          <w:rFonts w:cs="Arial"/>
          <w:iCs/>
          <w:lang w:val="es-419"/>
        </w:rPr>
        <w:t xml:space="preserve"> </w:t>
      </w:r>
      <w:r w:rsidR="00D128E7" w:rsidRPr="00933D5F">
        <w:rPr>
          <w:rFonts w:cs="Arial"/>
          <w:iCs/>
          <w:lang w:val="es-419"/>
        </w:rPr>
        <w:t>Puede encontrarse una copia de la ponencia en el documento BMT/20/5.</w:t>
      </w:r>
      <w:r w:rsidR="00C00D63" w:rsidRPr="00933D5F">
        <w:rPr>
          <w:rFonts w:cs="Arial"/>
          <w:iCs/>
          <w:lang w:val="es-419"/>
        </w:rPr>
        <w:t xml:space="preserve"> </w:t>
      </w:r>
    </w:p>
    <w:p w:rsidR="009F69EA" w:rsidRPr="00933D5F" w:rsidRDefault="009F69EA" w:rsidP="00C00D63">
      <w:pPr>
        <w:rPr>
          <w:rFonts w:cs="Arial"/>
          <w:iCs/>
          <w:lang w:val="es-419"/>
        </w:rPr>
      </w:pPr>
    </w:p>
    <w:p w:rsidR="009F69EA" w:rsidRPr="00933D5F" w:rsidRDefault="008F5D8C" w:rsidP="00461365">
      <w:pPr>
        <w:rPr>
          <w:rFonts w:cs="Arial"/>
          <w:iCs/>
          <w:lang w:val="es-419"/>
        </w:rPr>
      </w:pPr>
      <w:r w:rsidRPr="00933D5F">
        <w:rPr>
          <w:rFonts w:cs="Arial"/>
          <w:iCs/>
          <w:lang w:val="es-419"/>
        </w:rPr>
        <w:t xml:space="preserve">El BMT acordó invitar a que </w:t>
      </w:r>
      <w:r w:rsidR="0070526C" w:rsidRPr="00933D5F">
        <w:rPr>
          <w:rFonts w:cs="Arial"/>
          <w:iCs/>
          <w:lang w:val="es-419"/>
        </w:rPr>
        <w:t xml:space="preserve">en la primera sesión del TWM </w:t>
      </w:r>
      <w:r w:rsidRPr="00933D5F">
        <w:rPr>
          <w:rFonts w:cs="Arial"/>
          <w:iCs/>
          <w:lang w:val="es-419"/>
        </w:rPr>
        <w:t xml:space="preserve">se presenten ponencias sobre las prácticas actuales </w:t>
      </w:r>
      <w:r w:rsidR="003A5031" w:rsidRPr="00933D5F">
        <w:rPr>
          <w:rFonts w:cs="Arial"/>
          <w:iCs/>
          <w:lang w:val="es-419"/>
        </w:rPr>
        <w:t>en materia de</w:t>
      </w:r>
      <w:r w:rsidRPr="00933D5F">
        <w:rPr>
          <w:rFonts w:cs="Arial"/>
          <w:iCs/>
          <w:lang w:val="es-419"/>
        </w:rPr>
        <w:t xml:space="preserve"> confidencialidad y acceso a los datos moleculares.</w:t>
      </w:r>
      <w:r w:rsidR="00C00D63" w:rsidRPr="00933D5F">
        <w:rPr>
          <w:rFonts w:cs="Arial"/>
          <w:iCs/>
          <w:lang w:val="es-419"/>
        </w:rPr>
        <w:t xml:space="preserve"> </w:t>
      </w:r>
      <w:r w:rsidR="003A5031" w:rsidRPr="00933D5F">
        <w:rPr>
          <w:rFonts w:cs="Arial"/>
          <w:iCs/>
          <w:lang w:val="es-419"/>
        </w:rPr>
        <w:t xml:space="preserve">El BMT </w:t>
      </w:r>
      <w:r w:rsidR="00E525C5" w:rsidRPr="00933D5F">
        <w:rPr>
          <w:rFonts w:cs="Arial"/>
          <w:iCs/>
          <w:lang w:val="es-419"/>
        </w:rPr>
        <w:t>convino en que las</w:t>
      </w:r>
      <w:r w:rsidR="003A5031" w:rsidRPr="00933D5F">
        <w:rPr>
          <w:rFonts w:cs="Arial"/>
          <w:iCs/>
          <w:lang w:val="es-419"/>
        </w:rPr>
        <w:t xml:space="preserve"> prácticas </w:t>
      </w:r>
      <w:r w:rsidR="00E525C5" w:rsidRPr="00933D5F">
        <w:rPr>
          <w:rFonts w:cs="Arial"/>
          <w:iCs/>
          <w:lang w:val="es-419"/>
        </w:rPr>
        <w:t xml:space="preserve">actuales </w:t>
      </w:r>
      <w:r w:rsidR="00E07B38" w:rsidRPr="00933D5F">
        <w:rPr>
          <w:rFonts w:cs="Arial"/>
          <w:iCs/>
          <w:lang w:val="es-419"/>
        </w:rPr>
        <w:t>de los</w:t>
      </w:r>
      <w:r w:rsidR="003A5031" w:rsidRPr="00933D5F">
        <w:rPr>
          <w:rFonts w:cs="Arial"/>
          <w:iCs/>
          <w:lang w:val="es-419"/>
        </w:rPr>
        <w:t xml:space="preserve"> </w:t>
      </w:r>
      <w:r w:rsidR="00E07B38" w:rsidRPr="00933D5F">
        <w:rPr>
          <w:rFonts w:cs="Arial"/>
          <w:iCs/>
          <w:lang w:val="es-419"/>
        </w:rPr>
        <w:t>miembros de la UPOV y observadores pueden constituir</w:t>
      </w:r>
      <w:r w:rsidR="003A5031" w:rsidRPr="00933D5F">
        <w:rPr>
          <w:rFonts w:cs="Arial"/>
          <w:iCs/>
          <w:lang w:val="es-419"/>
        </w:rPr>
        <w:t xml:space="preserve"> </w:t>
      </w:r>
      <w:r w:rsidR="00E07B38" w:rsidRPr="00933D5F">
        <w:rPr>
          <w:rFonts w:cs="Arial"/>
          <w:iCs/>
          <w:lang w:val="es-419"/>
        </w:rPr>
        <w:t>un buen punto de partida para deliberar sobre el tema</w:t>
      </w:r>
      <w:r w:rsidR="003A5031" w:rsidRPr="00933D5F">
        <w:rPr>
          <w:rFonts w:cs="Arial"/>
          <w:iCs/>
          <w:lang w:val="es-419"/>
        </w:rPr>
        <w:t>.</w:t>
      </w:r>
    </w:p>
    <w:p w:rsidR="009F69EA" w:rsidRPr="00933D5F" w:rsidRDefault="009F69EA" w:rsidP="00C00D63">
      <w:pPr>
        <w:rPr>
          <w:lang w:val="es-419"/>
        </w:rPr>
      </w:pPr>
    </w:p>
    <w:p w:rsidR="009F69EA" w:rsidRPr="00933D5F" w:rsidRDefault="00CF17AF" w:rsidP="00461365">
      <w:pPr>
        <w:rPr>
          <w:lang w:val="es-419"/>
        </w:rPr>
      </w:pPr>
      <w:r w:rsidRPr="00933D5F">
        <w:rPr>
          <w:lang w:val="es-419"/>
        </w:rPr>
        <w:t>El </w:t>
      </w:r>
      <w:r w:rsidR="0016493E" w:rsidRPr="00933D5F">
        <w:rPr>
          <w:lang w:val="es-419"/>
        </w:rPr>
        <w:t xml:space="preserve">BMT recordó </w:t>
      </w:r>
      <w:r w:rsidRPr="00933D5F">
        <w:rPr>
          <w:lang w:val="es-419"/>
        </w:rPr>
        <w:t xml:space="preserve">la </w:t>
      </w:r>
      <w:r w:rsidR="0016493E" w:rsidRPr="00933D5F">
        <w:rPr>
          <w:lang w:val="es-419"/>
        </w:rPr>
        <w:t xml:space="preserve">información </w:t>
      </w:r>
      <w:r w:rsidRPr="00933D5F">
        <w:rPr>
          <w:lang w:val="es-419"/>
        </w:rPr>
        <w:t xml:space="preserve">facilitada </w:t>
      </w:r>
      <w:r w:rsidR="0016493E" w:rsidRPr="00933D5F">
        <w:rPr>
          <w:lang w:val="es-419"/>
        </w:rPr>
        <w:t xml:space="preserve">por </w:t>
      </w:r>
      <w:r w:rsidRPr="00933D5F">
        <w:rPr>
          <w:lang w:val="es-419"/>
        </w:rPr>
        <w:t xml:space="preserve">los </w:t>
      </w:r>
      <w:r w:rsidR="0016493E" w:rsidRPr="00933D5F">
        <w:rPr>
          <w:lang w:val="es-419"/>
        </w:rPr>
        <w:t xml:space="preserve">asistentes </w:t>
      </w:r>
      <w:r w:rsidRPr="00933D5F">
        <w:rPr>
          <w:lang w:val="es-419"/>
        </w:rPr>
        <w:t xml:space="preserve">a su </w:t>
      </w:r>
      <w:r w:rsidR="0016493E" w:rsidRPr="00933D5F">
        <w:rPr>
          <w:lang w:val="es-419"/>
        </w:rPr>
        <w:t xml:space="preserve">decimonovena sesión </w:t>
      </w:r>
      <w:r w:rsidR="0063029F" w:rsidRPr="00933D5F">
        <w:rPr>
          <w:lang w:val="es-419"/>
        </w:rPr>
        <w:t xml:space="preserve">sobre la labor </w:t>
      </w:r>
      <w:r w:rsidR="00736725" w:rsidRPr="00933D5F">
        <w:rPr>
          <w:lang w:val="es-419"/>
        </w:rPr>
        <w:t>que llevan a cabo</w:t>
      </w:r>
      <w:r w:rsidR="0063029F" w:rsidRPr="00933D5F">
        <w:rPr>
          <w:lang w:val="es-419"/>
        </w:rPr>
        <w:t xml:space="preserve"> en materia de técnicas bioquímicas y moleculares </w:t>
      </w:r>
      <w:r w:rsidR="0016493E" w:rsidRPr="00933D5F">
        <w:rPr>
          <w:lang w:val="es-419"/>
        </w:rPr>
        <w:t xml:space="preserve">y </w:t>
      </w:r>
      <w:r w:rsidR="0036459F" w:rsidRPr="00933D5F">
        <w:rPr>
          <w:lang w:val="es-419"/>
        </w:rPr>
        <w:t xml:space="preserve">sobre </w:t>
      </w:r>
      <w:r w:rsidR="00BF13AF" w:rsidRPr="00933D5F">
        <w:rPr>
          <w:lang w:val="es-419"/>
        </w:rPr>
        <w:t>los ámbitos de cooperación</w:t>
      </w:r>
      <w:r w:rsidR="0016493E" w:rsidRPr="00933D5F">
        <w:rPr>
          <w:lang w:val="es-419"/>
        </w:rPr>
        <w:t>, que se reproduce en el Anexo del documento BMT/20/6.</w:t>
      </w:r>
      <w:r w:rsidR="00C00D63" w:rsidRPr="00933D5F">
        <w:rPr>
          <w:lang w:val="es-419"/>
        </w:rPr>
        <w:t xml:space="preserve"> </w:t>
      </w:r>
      <w:r w:rsidR="00AF3D97" w:rsidRPr="00933D5F">
        <w:rPr>
          <w:lang w:val="es-419"/>
        </w:rPr>
        <w:t xml:space="preserve">El BMT </w:t>
      </w:r>
      <w:r w:rsidR="00593CDE" w:rsidRPr="00933D5F">
        <w:rPr>
          <w:lang w:val="es-419"/>
        </w:rPr>
        <w:t>mantuvo</w:t>
      </w:r>
      <w:r w:rsidR="00AF3D97" w:rsidRPr="00933D5F">
        <w:rPr>
          <w:lang w:val="es-419"/>
        </w:rPr>
        <w:t xml:space="preserve"> un debate </w:t>
      </w:r>
      <w:r w:rsidR="00A61A9E" w:rsidRPr="00933D5F">
        <w:rPr>
          <w:lang w:val="es-419"/>
        </w:rPr>
        <w:t>en el</w:t>
      </w:r>
      <w:r w:rsidR="00AF3D97" w:rsidRPr="00933D5F">
        <w:rPr>
          <w:lang w:val="es-419"/>
        </w:rPr>
        <w:t xml:space="preserve"> que los asistentes </w:t>
      </w:r>
      <w:r w:rsidR="00A61A9E" w:rsidRPr="00933D5F">
        <w:rPr>
          <w:lang w:val="es-419"/>
        </w:rPr>
        <w:t>tuvieron oportunidad de</w:t>
      </w:r>
      <w:r w:rsidR="00AF3D97" w:rsidRPr="00933D5F">
        <w:rPr>
          <w:lang w:val="es-419"/>
        </w:rPr>
        <w:t xml:space="preserve"> intercambiar información sobre el tema.</w:t>
      </w:r>
    </w:p>
    <w:p w:rsidR="009F69EA" w:rsidRPr="00933D5F" w:rsidRDefault="009F69EA" w:rsidP="00C00D63">
      <w:pPr>
        <w:rPr>
          <w:lang w:val="es-419"/>
        </w:rPr>
      </w:pPr>
    </w:p>
    <w:p w:rsidR="009F69EA" w:rsidRPr="00933D5F" w:rsidRDefault="004010A1" w:rsidP="00461365">
      <w:pPr>
        <w:rPr>
          <w:lang w:val="es-419"/>
        </w:rPr>
      </w:pPr>
      <w:r w:rsidRPr="00933D5F">
        <w:rPr>
          <w:lang w:val="es-419"/>
        </w:rPr>
        <w:t>El BMT consider</w:t>
      </w:r>
      <w:r w:rsidR="008C5A38" w:rsidRPr="00933D5F">
        <w:rPr>
          <w:lang w:val="es-419"/>
        </w:rPr>
        <w:t>ó</w:t>
      </w:r>
      <w:r w:rsidRPr="00933D5F">
        <w:rPr>
          <w:lang w:val="es-419"/>
        </w:rPr>
        <w:t xml:space="preserve"> si la UPOV podría prestar apoyo a la armonización y la cooperación entre los miembros que ya utilizan marcadores moleculares en el examen DHE o </w:t>
      </w:r>
      <w:r w:rsidR="008C5A38" w:rsidRPr="00933D5F">
        <w:rPr>
          <w:lang w:val="es-419"/>
        </w:rPr>
        <w:t>poner</w:t>
      </w:r>
      <w:r w:rsidRPr="00933D5F">
        <w:rPr>
          <w:lang w:val="es-419"/>
        </w:rPr>
        <w:t xml:space="preserve"> </w:t>
      </w:r>
      <w:r w:rsidR="00C17317" w:rsidRPr="00933D5F">
        <w:rPr>
          <w:lang w:val="es-419"/>
        </w:rPr>
        <w:t xml:space="preserve">a disposición de otros miembros de la UPOV </w:t>
      </w:r>
      <w:r w:rsidRPr="00933D5F">
        <w:rPr>
          <w:lang w:val="es-419"/>
        </w:rPr>
        <w:t xml:space="preserve">información o </w:t>
      </w:r>
      <w:r w:rsidR="008C5A38" w:rsidRPr="00933D5F">
        <w:rPr>
          <w:lang w:val="es-419"/>
        </w:rPr>
        <w:t>servicios de</w:t>
      </w:r>
      <w:r w:rsidR="00C17317" w:rsidRPr="00933D5F">
        <w:rPr>
          <w:lang w:val="es-419"/>
        </w:rPr>
        <w:t xml:space="preserve"> </w:t>
      </w:r>
      <w:r w:rsidR="0036459F" w:rsidRPr="00933D5F">
        <w:rPr>
          <w:lang w:val="es-419"/>
        </w:rPr>
        <w:t>técnicas bioquímicas y moleculares</w:t>
      </w:r>
      <w:r w:rsidRPr="00933D5F">
        <w:rPr>
          <w:lang w:val="es-419"/>
        </w:rPr>
        <w:t>.</w:t>
      </w:r>
      <w:r w:rsidR="00C00D63" w:rsidRPr="00933D5F">
        <w:rPr>
          <w:lang w:val="es-419"/>
        </w:rPr>
        <w:t xml:space="preserve"> </w:t>
      </w:r>
      <w:r w:rsidR="008C5A38" w:rsidRPr="00933D5F">
        <w:rPr>
          <w:lang w:val="es-419"/>
        </w:rPr>
        <w:t xml:space="preserve">El BMT </w:t>
      </w:r>
      <w:r w:rsidR="002B3289" w:rsidRPr="00933D5F">
        <w:rPr>
          <w:lang w:val="es-419"/>
        </w:rPr>
        <w:t xml:space="preserve">convino en que </w:t>
      </w:r>
      <w:r w:rsidR="00BF7664" w:rsidRPr="00933D5F">
        <w:rPr>
          <w:lang w:val="es-419"/>
        </w:rPr>
        <w:t xml:space="preserve">es importante disponer de </w:t>
      </w:r>
      <w:r w:rsidR="008C5A38" w:rsidRPr="00933D5F">
        <w:rPr>
          <w:lang w:val="es-419"/>
        </w:rPr>
        <w:t xml:space="preserve">información </w:t>
      </w:r>
      <w:r w:rsidR="002B3289" w:rsidRPr="00933D5F">
        <w:rPr>
          <w:lang w:val="es-419"/>
        </w:rPr>
        <w:t>sobre el uso</w:t>
      </w:r>
      <w:r w:rsidR="008C5A38" w:rsidRPr="00933D5F">
        <w:rPr>
          <w:lang w:val="es-419"/>
        </w:rPr>
        <w:t xml:space="preserve"> de marcadores moleculares por cultivo </w:t>
      </w:r>
      <w:r w:rsidR="00BF7664" w:rsidRPr="00933D5F">
        <w:rPr>
          <w:lang w:val="es-419"/>
        </w:rPr>
        <w:t xml:space="preserve">con objeto de </w:t>
      </w:r>
      <w:r w:rsidR="008C5A38" w:rsidRPr="00933D5F">
        <w:rPr>
          <w:lang w:val="es-419"/>
        </w:rPr>
        <w:t>promo</w:t>
      </w:r>
      <w:r w:rsidR="002B3289" w:rsidRPr="00933D5F">
        <w:rPr>
          <w:lang w:val="es-419"/>
        </w:rPr>
        <w:t xml:space="preserve">ver la </w:t>
      </w:r>
      <w:r w:rsidR="008C5A38" w:rsidRPr="00933D5F">
        <w:rPr>
          <w:lang w:val="es-419"/>
        </w:rPr>
        <w:t xml:space="preserve">cooperación entre </w:t>
      </w:r>
      <w:r w:rsidR="002B3289" w:rsidRPr="00933D5F">
        <w:rPr>
          <w:lang w:val="es-419"/>
        </w:rPr>
        <w:t xml:space="preserve">los miembros de </w:t>
      </w:r>
      <w:r w:rsidR="008C5A38" w:rsidRPr="00933D5F">
        <w:rPr>
          <w:lang w:val="es-419"/>
        </w:rPr>
        <w:t xml:space="preserve">la UPOV y acordó proponer </w:t>
      </w:r>
      <w:r w:rsidR="005D793E" w:rsidRPr="00933D5F">
        <w:rPr>
          <w:lang w:val="es-419"/>
        </w:rPr>
        <w:t xml:space="preserve">que </w:t>
      </w:r>
      <w:r w:rsidR="00BF7664" w:rsidRPr="00933D5F">
        <w:rPr>
          <w:lang w:val="es-419"/>
        </w:rPr>
        <w:t>prosiga</w:t>
      </w:r>
      <w:r w:rsidR="005D793E" w:rsidRPr="00933D5F">
        <w:rPr>
          <w:lang w:val="es-419"/>
        </w:rPr>
        <w:t xml:space="preserve"> la encuesta sobre el uso de marcadores moleculares a fin de</w:t>
      </w:r>
      <w:r w:rsidR="008C5A38" w:rsidRPr="00933D5F">
        <w:rPr>
          <w:lang w:val="es-419"/>
        </w:rPr>
        <w:t xml:space="preserve"> </w:t>
      </w:r>
      <w:r w:rsidR="005D793E" w:rsidRPr="00933D5F">
        <w:rPr>
          <w:lang w:val="es-419"/>
        </w:rPr>
        <w:t>recabar</w:t>
      </w:r>
      <w:r w:rsidR="008C5A38" w:rsidRPr="00933D5F">
        <w:rPr>
          <w:lang w:val="es-419"/>
        </w:rPr>
        <w:t xml:space="preserve"> información </w:t>
      </w:r>
      <w:r w:rsidR="005D793E" w:rsidRPr="00933D5F">
        <w:rPr>
          <w:lang w:val="es-419"/>
        </w:rPr>
        <w:t>de</w:t>
      </w:r>
      <w:r w:rsidR="008C5A38" w:rsidRPr="00933D5F">
        <w:rPr>
          <w:lang w:val="es-419"/>
        </w:rPr>
        <w:t xml:space="preserve"> </w:t>
      </w:r>
      <w:r w:rsidR="005D793E" w:rsidRPr="00933D5F">
        <w:rPr>
          <w:lang w:val="es-419"/>
        </w:rPr>
        <w:t>un</w:t>
      </w:r>
      <w:r w:rsidR="008C5A38" w:rsidRPr="00933D5F">
        <w:rPr>
          <w:lang w:val="es-419"/>
        </w:rPr>
        <w:t xml:space="preserve"> mayor número de miembros de la UPOV.</w:t>
      </w:r>
      <w:r w:rsidR="00C00D63" w:rsidRPr="00933D5F">
        <w:rPr>
          <w:lang w:val="es-419"/>
        </w:rPr>
        <w:t xml:space="preserve"> </w:t>
      </w:r>
      <w:r w:rsidR="00253CFF" w:rsidRPr="00933D5F">
        <w:rPr>
          <w:lang w:val="es-419"/>
        </w:rPr>
        <w:t>El BMT convino en que resultaría útil determinar los motivos de los miembros de la UPOV para no responder a la primera encuesta.</w:t>
      </w:r>
    </w:p>
    <w:p w:rsidR="009F69EA" w:rsidRPr="00933D5F" w:rsidRDefault="009F69EA" w:rsidP="00C00D63">
      <w:pPr>
        <w:rPr>
          <w:lang w:val="es-419"/>
        </w:rPr>
      </w:pPr>
    </w:p>
    <w:p w:rsidR="009F69EA" w:rsidRPr="00933D5F" w:rsidRDefault="00253CFF" w:rsidP="00461365">
      <w:pPr>
        <w:rPr>
          <w:lang w:val="es-419"/>
        </w:rPr>
      </w:pPr>
      <w:r w:rsidRPr="00933D5F">
        <w:rPr>
          <w:lang w:val="es-419"/>
        </w:rPr>
        <w:t>El BMT convino en que debe mantenerse la posibilidad de organizar grupos de debate durante las sesiones.</w:t>
      </w:r>
    </w:p>
    <w:p w:rsidR="009F69EA" w:rsidRPr="00933D5F" w:rsidRDefault="009F69EA" w:rsidP="00C00D63">
      <w:pPr>
        <w:spacing w:after="60"/>
        <w:rPr>
          <w:rFonts w:cs="Arial"/>
          <w:color w:val="000000"/>
          <w:highlight w:val="cyan"/>
          <w:lang w:val="es-419"/>
        </w:rPr>
      </w:pPr>
    </w:p>
    <w:p w:rsidR="009F69EA" w:rsidRPr="00933D5F" w:rsidRDefault="005E099C" w:rsidP="00461365">
      <w:pPr>
        <w:rPr>
          <w:snapToGrid w:val="0"/>
          <w:lang w:val="es-419"/>
        </w:rPr>
      </w:pPr>
      <w:r w:rsidRPr="00933D5F">
        <w:rPr>
          <w:lang w:val="es-419"/>
        </w:rPr>
        <w:t xml:space="preserve">El BMT </w:t>
      </w:r>
      <w:r w:rsidR="00253CFF" w:rsidRPr="00933D5F">
        <w:rPr>
          <w:lang w:val="es-419"/>
        </w:rPr>
        <w:t xml:space="preserve">tomó nota de que no se habían recibido ofrecimientos respecto del lugar de </w:t>
      </w:r>
      <w:r w:rsidRPr="00933D5F">
        <w:rPr>
          <w:lang w:val="es-419"/>
        </w:rPr>
        <w:t xml:space="preserve">celebración de la primera </w:t>
      </w:r>
      <w:r w:rsidR="00253CFF" w:rsidRPr="00933D5F">
        <w:rPr>
          <w:lang w:val="es-419"/>
        </w:rPr>
        <w:t>sesión del TWM.</w:t>
      </w:r>
      <w:r w:rsidR="00C00D63" w:rsidRPr="00933D5F">
        <w:rPr>
          <w:lang w:val="es-419"/>
        </w:rPr>
        <w:t xml:space="preserve"> </w:t>
      </w:r>
      <w:r w:rsidR="00630B38" w:rsidRPr="00933D5F">
        <w:rPr>
          <w:lang w:val="es-419"/>
        </w:rPr>
        <w:t xml:space="preserve">El BMT </w:t>
      </w:r>
      <w:r w:rsidRPr="00933D5F">
        <w:rPr>
          <w:lang w:val="es-419"/>
        </w:rPr>
        <w:t>tomó nota de que el Consejo adoptará una decisión sobre la fecha y el lugar de la primera sesión del TWM en su quincuagésima quinta sesión, prevista para el 29 de octubre de 2021.</w:t>
      </w:r>
      <w:r w:rsidR="00C00D63" w:rsidRPr="00933D5F">
        <w:rPr>
          <w:snapToGrid w:val="0"/>
          <w:lang w:val="es-419"/>
        </w:rPr>
        <w:t xml:space="preserve"> </w:t>
      </w:r>
    </w:p>
    <w:p w:rsidR="009F69EA" w:rsidRPr="00933D5F" w:rsidRDefault="009F69EA" w:rsidP="00C00D63">
      <w:pPr>
        <w:rPr>
          <w:color w:val="000000"/>
          <w:lang w:val="es-419"/>
        </w:rPr>
      </w:pPr>
    </w:p>
    <w:p w:rsidR="009F69EA" w:rsidRPr="00933D5F" w:rsidRDefault="00630B38" w:rsidP="00461365">
      <w:pPr>
        <w:rPr>
          <w:rFonts w:cs="Arial"/>
          <w:lang w:val="es-419"/>
        </w:rPr>
      </w:pPr>
      <w:r w:rsidRPr="00933D5F">
        <w:rPr>
          <w:rFonts w:cs="Arial"/>
          <w:lang w:val="es-419"/>
        </w:rPr>
        <w:t>El BMT tomó nota de que los miembros de la UPOV pueden dirigirse a la Oficina de la Unión para proponer una fecha y un lugar de celebración de la sesión de 2022 del TWM.</w:t>
      </w:r>
      <w:r w:rsidR="00C00D63" w:rsidRPr="00933D5F">
        <w:rPr>
          <w:rFonts w:cs="Arial"/>
          <w:lang w:val="es-419"/>
        </w:rPr>
        <w:t xml:space="preserve"> </w:t>
      </w:r>
      <w:r w:rsidRPr="00933D5F">
        <w:rPr>
          <w:rFonts w:cs="Arial"/>
          <w:lang w:val="es-419"/>
        </w:rPr>
        <w:t>Si se recibe una propuesta con suficiente antelación a la quincuagésima quinta sesión del Consejo, este podrá examinarla en esa sesión.</w:t>
      </w:r>
    </w:p>
    <w:p w:rsidR="009F69EA" w:rsidRPr="00933D5F" w:rsidRDefault="009F69EA" w:rsidP="00C00D63">
      <w:pPr>
        <w:rPr>
          <w:lang w:val="es-419"/>
        </w:rPr>
      </w:pPr>
    </w:p>
    <w:p w:rsidR="009F69EA" w:rsidRPr="00933D5F" w:rsidRDefault="005C3C58" w:rsidP="00461365">
      <w:pPr>
        <w:rPr>
          <w:lang w:val="es-419"/>
        </w:rPr>
      </w:pPr>
      <w:r w:rsidRPr="00933D5F">
        <w:rPr>
          <w:lang w:val="es-419"/>
        </w:rPr>
        <w:t xml:space="preserve">El BMT consideró la </w:t>
      </w:r>
      <w:r w:rsidRPr="00933D5F">
        <w:rPr>
          <w:color w:val="000000"/>
          <w:lang w:val="es-419"/>
        </w:rPr>
        <w:t xml:space="preserve">propuesta del TWC </w:t>
      </w:r>
      <w:r w:rsidRPr="00933D5F">
        <w:rPr>
          <w:lang w:val="es-419"/>
        </w:rPr>
        <w:t xml:space="preserve">de </w:t>
      </w:r>
      <w:r w:rsidR="00630B38" w:rsidRPr="00933D5F">
        <w:rPr>
          <w:lang w:val="es-419"/>
        </w:rPr>
        <w:t xml:space="preserve">que la primera sesión del TWM se celebre por vía telemática del 19 al 23 de septiembre de 2022, si no se recibe una propuesta </w:t>
      </w:r>
      <w:r w:rsidRPr="00933D5F">
        <w:rPr>
          <w:lang w:val="es-419"/>
        </w:rPr>
        <w:t xml:space="preserve">alternativa de algún miembro </w:t>
      </w:r>
      <w:r w:rsidR="00630B38" w:rsidRPr="00933D5F">
        <w:rPr>
          <w:lang w:val="es-419"/>
        </w:rPr>
        <w:t>de la Unión.</w:t>
      </w:r>
    </w:p>
    <w:p w:rsidR="009F69EA" w:rsidRPr="00933D5F" w:rsidRDefault="009F69EA" w:rsidP="00C00D63">
      <w:pPr>
        <w:spacing w:after="60"/>
        <w:rPr>
          <w:rFonts w:cs="Arial"/>
          <w:color w:val="000000"/>
          <w:highlight w:val="cyan"/>
          <w:lang w:val="es-419"/>
        </w:rPr>
      </w:pPr>
    </w:p>
    <w:p w:rsidR="009F69EA" w:rsidRPr="00933D5F" w:rsidRDefault="003C313B" w:rsidP="00461365">
      <w:pPr>
        <w:rPr>
          <w:rFonts w:cs="Arial"/>
          <w:lang w:val="es-419"/>
        </w:rPr>
      </w:pPr>
      <w:r w:rsidRPr="00933D5F">
        <w:rPr>
          <w:rFonts w:cs="Arial"/>
          <w:lang w:val="es-419"/>
        </w:rPr>
        <w:t>El BMT convino en que los documentos para la primera sesión del TWM han de remitirse a la Oficina de la Unión a más tardar el 21 de julio de 2022.</w:t>
      </w:r>
      <w:r w:rsidR="00C00D63" w:rsidRPr="00933D5F">
        <w:rPr>
          <w:rFonts w:cs="Arial"/>
          <w:lang w:val="es-419"/>
        </w:rPr>
        <w:t xml:space="preserve"> </w:t>
      </w:r>
      <w:r w:rsidR="00E23765" w:rsidRPr="00933D5F">
        <w:rPr>
          <w:rFonts w:cs="Arial"/>
          <w:lang w:val="es-419"/>
        </w:rPr>
        <w:t>El BMT tomó nota de que se suprimirán los puntos del orden del día cuyos documentos previstos no se hayan recibido en la Oficina de la UPOV en el plazo convenido.</w:t>
      </w:r>
    </w:p>
    <w:p w:rsidR="009F69EA" w:rsidRPr="00933D5F" w:rsidRDefault="009F69EA" w:rsidP="00C00D63">
      <w:pPr>
        <w:rPr>
          <w:rFonts w:cs="Arial"/>
          <w:lang w:val="es-419"/>
        </w:rPr>
      </w:pPr>
    </w:p>
    <w:p w:rsidR="009F69EA" w:rsidRPr="00933D5F" w:rsidRDefault="00E23765" w:rsidP="00461365">
      <w:pPr>
        <w:rPr>
          <w:rFonts w:cs="Arial"/>
          <w:lang w:val="es-419"/>
        </w:rPr>
      </w:pPr>
      <w:r w:rsidRPr="00933D5F">
        <w:rPr>
          <w:rFonts w:cs="Arial"/>
          <w:lang w:val="es-419"/>
        </w:rPr>
        <w:t>El BMT propuso examinar los siguientes puntos en la primera sesión del TWM:</w:t>
      </w:r>
    </w:p>
    <w:p w:rsidR="009F69EA" w:rsidRPr="00933D5F" w:rsidRDefault="009F69EA" w:rsidP="00C00D63">
      <w:pPr>
        <w:rPr>
          <w:rFonts w:cs="Arial"/>
          <w:lang w:val="es-419"/>
        </w:rPr>
      </w:pPr>
    </w:p>
    <w:p w:rsidR="009F69EA" w:rsidRPr="00933D5F" w:rsidRDefault="00C00D63" w:rsidP="00461365">
      <w:pPr>
        <w:spacing w:after="120"/>
        <w:ind w:left="1134" w:hanging="567"/>
        <w:rPr>
          <w:rFonts w:cs="Arial"/>
          <w:lang w:val="es-419"/>
        </w:rPr>
      </w:pPr>
      <w:r w:rsidRPr="00933D5F">
        <w:rPr>
          <w:rFonts w:cs="Arial"/>
          <w:lang w:val="es-419"/>
        </w:rPr>
        <w:t>1.</w:t>
      </w:r>
      <w:r w:rsidRPr="00933D5F">
        <w:rPr>
          <w:rFonts w:cs="Arial"/>
          <w:lang w:val="es-419"/>
        </w:rPr>
        <w:tab/>
      </w:r>
      <w:r w:rsidR="00E23765" w:rsidRPr="00933D5F">
        <w:rPr>
          <w:rFonts w:cs="Arial"/>
          <w:lang w:val="es-419"/>
        </w:rPr>
        <w:t>Apertura de la sesión</w:t>
      </w:r>
    </w:p>
    <w:p w:rsidR="009F69EA" w:rsidRPr="00933D5F" w:rsidRDefault="00C00D63" w:rsidP="00461365">
      <w:pPr>
        <w:spacing w:after="120"/>
        <w:ind w:left="1134" w:hanging="567"/>
        <w:rPr>
          <w:rFonts w:cs="Arial"/>
          <w:lang w:val="es-419"/>
        </w:rPr>
      </w:pPr>
      <w:r w:rsidRPr="00933D5F">
        <w:rPr>
          <w:rFonts w:cs="Arial"/>
          <w:lang w:val="es-419"/>
        </w:rPr>
        <w:t>2.</w:t>
      </w:r>
      <w:r w:rsidRPr="00933D5F">
        <w:rPr>
          <w:rFonts w:cs="Arial"/>
          <w:lang w:val="es-419"/>
        </w:rPr>
        <w:tab/>
      </w:r>
      <w:r w:rsidR="00E23765" w:rsidRPr="00933D5F">
        <w:rPr>
          <w:rFonts w:cs="Arial"/>
          <w:lang w:val="es-419"/>
        </w:rPr>
        <w:t>Aprobación del orden del día</w:t>
      </w:r>
    </w:p>
    <w:p w:rsidR="009F69EA" w:rsidRPr="00933D5F" w:rsidRDefault="00C00D63" w:rsidP="00461365">
      <w:pPr>
        <w:spacing w:after="120"/>
        <w:ind w:left="1134" w:hanging="567"/>
        <w:rPr>
          <w:rFonts w:cs="Arial"/>
          <w:lang w:val="es-419"/>
        </w:rPr>
      </w:pPr>
      <w:r w:rsidRPr="00933D5F">
        <w:rPr>
          <w:rFonts w:cs="Arial"/>
          <w:lang w:val="es-419"/>
        </w:rPr>
        <w:t>3.</w:t>
      </w:r>
      <w:r w:rsidRPr="00933D5F">
        <w:rPr>
          <w:rFonts w:cs="Arial"/>
          <w:lang w:val="es-419"/>
        </w:rPr>
        <w:tab/>
      </w:r>
      <w:r w:rsidR="00E23765" w:rsidRPr="00933D5F">
        <w:rPr>
          <w:rFonts w:cs="Arial"/>
          <w:lang w:val="es-419"/>
        </w:rPr>
        <w:t>Informes sobr</w:t>
      </w:r>
      <w:r w:rsidR="00E2588C" w:rsidRPr="00933D5F">
        <w:rPr>
          <w:rFonts w:cs="Arial"/>
          <w:lang w:val="es-419"/>
        </w:rPr>
        <w:t>e las novedades acaecidas en la </w:t>
      </w:r>
      <w:r w:rsidR="00E23765" w:rsidRPr="00933D5F">
        <w:rPr>
          <w:rFonts w:cs="Arial"/>
          <w:lang w:val="es-419"/>
        </w:rPr>
        <w:t>UPOV en relación con las técnicas bioquímicas y moleculares (documento que elaborará la Oficina de la Unión)</w:t>
      </w:r>
    </w:p>
    <w:p w:rsidR="009F69EA" w:rsidRPr="00933D5F" w:rsidRDefault="00C00D63" w:rsidP="00461365">
      <w:pPr>
        <w:spacing w:after="120"/>
        <w:ind w:left="1134" w:hanging="567"/>
        <w:rPr>
          <w:rFonts w:cs="Arial"/>
          <w:lang w:val="es-419"/>
        </w:rPr>
      </w:pPr>
      <w:r w:rsidRPr="00933D5F">
        <w:rPr>
          <w:rFonts w:cs="Arial"/>
          <w:lang w:val="es-419"/>
        </w:rPr>
        <w:t>4.</w:t>
      </w:r>
      <w:r w:rsidRPr="00933D5F">
        <w:rPr>
          <w:rFonts w:cs="Arial"/>
          <w:lang w:val="es-419"/>
        </w:rPr>
        <w:tab/>
      </w:r>
      <w:r w:rsidR="00E23765" w:rsidRPr="00933D5F">
        <w:rPr>
          <w:rFonts w:cs="Arial"/>
          <w:lang w:val="es-419"/>
        </w:rPr>
        <w:t>Breves ponencias sobre los avances en las técnicas bioquímicas y moleculares a cargo de expertos en el examen DHE, especialistas en técnicas bioquímicas y moleculares, obtentores y organizaciones internacionales pertinentes (informes de los participantes)</w:t>
      </w:r>
    </w:p>
    <w:p w:rsidR="009F69EA" w:rsidRPr="00933D5F" w:rsidRDefault="00C00D63" w:rsidP="00461365">
      <w:pPr>
        <w:spacing w:after="120"/>
        <w:ind w:left="1134" w:hanging="567"/>
        <w:rPr>
          <w:rFonts w:cs="Arial"/>
          <w:lang w:val="es-419"/>
        </w:rPr>
      </w:pPr>
      <w:r w:rsidRPr="00933D5F">
        <w:rPr>
          <w:rFonts w:cs="Arial"/>
          <w:lang w:val="es-419"/>
        </w:rPr>
        <w:t>5.</w:t>
      </w:r>
      <w:r w:rsidRPr="00933D5F">
        <w:rPr>
          <w:rFonts w:cs="Arial"/>
          <w:lang w:val="es-419"/>
        </w:rPr>
        <w:tab/>
      </w:r>
      <w:r w:rsidR="00E23765" w:rsidRPr="00933D5F">
        <w:rPr>
          <w:rFonts w:cs="Arial"/>
          <w:lang w:val="es-419"/>
        </w:rPr>
        <w:t>Informe sobre la labor relativa a las técnicas moleculares aplicadas al examen DHE (</w:t>
      </w:r>
      <w:r w:rsidR="00417911" w:rsidRPr="00933D5F">
        <w:rPr>
          <w:rFonts w:cs="Arial"/>
          <w:lang w:val="es-419"/>
        </w:rPr>
        <w:t>se solicitan ponencias</w:t>
      </w:r>
      <w:r w:rsidR="00E23765" w:rsidRPr="00933D5F">
        <w:rPr>
          <w:rFonts w:cs="Arial"/>
          <w:lang w:val="es-419"/>
        </w:rPr>
        <w:t>)</w:t>
      </w:r>
      <w:r w:rsidRPr="00933D5F">
        <w:rPr>
          <w:rFonts w:cs="Arial"/>
          <w:lang w:val="es-419"/>
        </w:rPr>
        <w:t xml:space="preserve"> </w:t>
      </w:r>
    </w:p>
    <w:p w:rsidR="009F69EA" w:rsidRPr="00933D5F" w:rsidRDefault="00C00D63" w:rsidP="00461365">
      <w:pPr>
        <w:spacing w:after="120"/>
        <w:ind w:left="1134" w:hanging="567"/>
        <w:rPr>
          <w:rFonts w:cs="Arial"/>
          <w:lang w:val="es-419"/>
        </w:rPr>
      </w:pPr>
      <w:r w:rsidRPr="00933D5F">
        <w:rPr>
          <w:rFonts w:cs="Arial"/>
          <w:lang w:val="es-419"/>
        </w:rPr>
        <w:lastRenderedPageBreak/>
        <w:t>6.</w:t>
      </w:r>
      <w:r w:rsidRPr="00933D5F">
        <w:rPr>
          <w:rFonts w:cs="Arial"/>
          <w:lang w:val="es-419"/>
        </w:rPr>
        <w:tab/>
      </w:r>
      <w:r w:rsidR="00E23765" w:rsidRPr="00933D5F">
        <w:rPr>
          <w:rFonts w:cs="Arial"/>
          <w:lang w:val="es-419"/>
        </w:rPr>
        <w:t>Bases de datos de descripciones de variedades, en particular las que contienen datos moleculares (</w:t>
      </w:r>
      <w:r w:rsidR="00417911" w:rsidRPr="00933D5F">
        <w:rPr>
          <w:rFonts w:cs="Arial"/>
          <w:lang w:val="es-419"/>
        </w:rPr>
        <w:t>se solicitan ponencias</w:t>
      </w:r>
      <w:r w:rsidR="00E23765" w:rsidRPr="00933D5F">
        <w:rPr>
          <w:rFonts w:cs="Arial"/>
          <w:lang w:val="es-419"/>
        </w:rPr>
        <w:t>)</w:t>
      </w:r>
      <w:r w:rsidRPr="00933D5F">
        <w:rPr>
          <w:rFonts w:cs="Arial"/>
          <w:lang w:val="es-419"/>
        </w:rPr>
        <w:t xml:space="preserve"> </w:t>
      </w:r>
    </w:p>
    <w:p w:rsidR="009F69EA" w:rsidRPr="00933D5F" w:rsidRDefault="00C00D63" w:rsidP="00461365">
      <w:pPr>
        <w:spacing w:after="120"/>
        <w:ind w:left="1134" w:hanging="567"/>
        <w:rPr>
          <w:rFonts w:cs="Arial"/>
          <w:lang w:val="es-419"/>
        </w:rPr>
      </w:pPr>
      <w:r w:rsidRPr="00933D5F">
        <w:rPr>
          <w:rFonts w:cs="Arial"/>
          <w:lang w:val="es-419"/>
        </w:rPr>
        <w:t>7.</w:t>
      </w:r>
      <w:r w:rsidRPr="00933D5F">
        <w:rPr>
          <w:rFonts w:cs="Arial"/>
          <w:lang w:val="es-419"/>
        </w:rPr>
        <w:tab/>
      </w:r>
      <w:r w:rsidR="002E2D6A" w:rsidRPr="00933D5F">
        <w:rPr>
          <w:rFonts w:cs="Arial"/>
          <w:lang w:val="es-419"/>
        </w:rPr>
        <w:t>Métodos de análisis de datos moleculares, gestión de las bases de datos e intercambio de datos y material (</w:t>
      </w:r>
      <w:r w:rsidR="00417911" w:rsidRPr="00933D5F">
        <w:rPr>
          <w:rFonts w:cs="Arial"/>
          <w:lang w:val="es-419"/>
        </w:rPr>
        <w:t>se solicitan ponencias</w:t>
      </w:r>
      <w:r w:rsidR="002E2D6A" w:rsidRPr="00933D5F">
        <w:rPr>
          <w:rFonts w:cs="Arial"/>
          <w:lang w:val="es-419"/>
        </w:rPr>
        <w:t>)</w:t>
      </w:r>
    </w:p>
    <w:p w:rsidR="009F69EA" w:rsidRPr="00933D5F" w:rsidRDefault="00C00D63" w:rsidP="00461365">
      <w:pPr>
        <w:spacing w:after="120"/>
        <w:ind w:left="1134" w:hanging="567"/>
        <w:rPr>
          <w:rFonts w:cs="Arial"/>
          <w:lang w:val="es-419"/>
        </w:rPr>
      </w:pPr>
      <w:r w:rsidRPr="00933D5F">
        <w:rPr>
          <w:rFonts w:cs="Arial"/>
          <w:lang w:val="es-419"/>
        </w:rPr>
        <w:t>8.</w:t>
      </w:r>
      <w:r w:rsidRPr="00933D5F">
        <w:rPr>
          <w:rFonts w:cs="Arial"/>
          <w:lang w:val="es-419"/>
        </w:rPr>
        <w:tab/>
      </w:r>
      <w:r w:rsidR="008E7A80" w:rsidRPr="00933D5F">
        <w:rPr>
          <w:rFonts w:cs="Arial"/>
          <w:lang w:val="es-419"/>
        </w:rPr>
        <w:t>La utilización de técnicas moleculares en el examen de las variedades esencialmente derivadas</w:t>
      </w:r>
      <w:r w:rsidR="008E7A80" w:rsidRPr="00933D5F">
        <w:rPr>
          <w:rFonts w:cs="Arial"/>
          <w:vertAlign w:val="superscript"/>
          <w:lang w:val="es-419"/>
        </w:rPr>
        <w:footnoteReference w:id="2"/>
      </w:r>
      <w:r w:rsidR="008E7A80" w:rsidRPr="00933D5F">
        <w:rPr>
          <w:rFonts w:cs="Arial"/>
          <w:lang w:val="es-419"/>
        </w:rPr>
        <w:t xml:space="preserve"> (se solicitan ponencias)</w:t>
      </w:r>
    </w:p>
    <w:p w:rsidR="009F69EA" w:rsidRPr="00933D5F" w:rsidRDefault="00C00D63" w:rsidP="00461365">
      <w:pPr>
        <w:spacing w:after="120"/>
        <w:ind w:left="1134" w:hanging="567"/>
        <w:rPr>
          <w:rFonts w:cs="Arial"/>
          <w:lang w:val="es-419"/>
        </w:rPr>
      </w:pPr>
      <w:r w:rsidRPr="00933D5F">
        <w:rPr>
          <w:rFonts w:cs="Arial"/>
          <w:lang w:val="es-419"/>
        </w:rPr>
        <w:t>9.</w:t>
      </w:r>
      <w:r w:rsidRPr="00933D5F">
        <w:rPr>
          <w:rFonts w:cs="Arial"/>
          <w:lang w:val="es-419"/>
        </w:rPr>
        <w:tab/>
      </w:r>
      <w:r w:rsidR="006A1995" w:rsidRPr="00933D5F">
        <w:rPr>
          <w:rFonts w:cs="Arial"/>
          <w:lang w:val="es-419"/>
        </w:rPr>
        <w:t>La utilización de técnicas moleculares en la identificación de variedades</w:t>
      </w:r>
      <w:r w:rsidR="006A1995" w:rsidRPr="00933D5F">
        <w:rPr>
          <w:rFonts w:cs="Arial"/>
          <w:vertAlign w:val="superscript"/>
          <w:lang w:val="es-419"/>
        </w:rPr>
        <w:t>1</w:t>
      </w:r>
      <w:r w:rsidR="006A1995" w:rsidRPr="00933D5F">
        <w:rPr>
          <w:rFonts w:cs="Arial"/>
          <w:lang w:val="es-419"/>
        </w:rPr>
        <w:t xml:space="preserve"> (se solicitan ponencias)</w:t>
      </w:r>
    </w:p>
    <w:p w:rsidR="009F69EA" w:rsidRPr="00933D5F" w:rsidRDefault="00C00D63" w:rsidP="00461365">
      <w:pPr>
        <w:spacing w:after="120"/>
        <w:ind w:left="1134" w:hanging="567"/>
        <w:rPr>
          <w:rFonts w:cs="Arial"/>
          <w:lang w:val="es-419"/>
        </w:rPr>
      </w:pPr>
      <w:r w:rsidRPr="00933D5F">
        <w:rPr>
          <w:rFonts w:cs="Arial"/>
          <w:lang w:val="es-419"/>
        </w:rPr>
        <w:t>10.</w:t>
      </w:r>
      <w:r w:rsidRPr="00933D5F">
        <w:rPr>
          <w:rFonts w:cs="Arial"/>
          <w:lang w:val="es-419"/>
        </w:rPr>
        <w:tab/>
      </w:r>
      <w:r w:rsidR="006A1995" w:rsidRPr="00933D5F">
        <w:rPr>
          <w:rFonts w:cs="Arial"/>
          <w:lang w:val="es-419"/>
        </w:rPr>
        <w:t>La utilización de técnicas moleculares en la defensa de los derechos</w:t>
      </w:r>
      <w:r w:rsidR="006A1995" w:rsidRPr="00933D5F">
        <w:rPr>
          <w:rFonts w:cs="Arial"/>
          <w:vertAlign w:val="superscript"/>
          <w:lang w:val="es-419"/>
        </w:rPr>
        <w:t>1</w:t>
      </w:r>
      <w:r w:rsidR="006A1995" w:rsidRPr="00933D5F">
        <w:rPr>
          <w:rFonts w:cs="Arial"/>
          <w:lang w:val="es-419"/>
        </w:rPr>
        <w:t xml:space="preserve"> (se solicitan ponencias)</w:t>
      </w:r>
      <w:r w:rsidRPr="00933D5F">
        <w:rPr>
          <w:rFonts w:cs="Arial"/>
          <w:lang w:val="es-419"/>
        </w:rPr>
        <w:t xml:space="preserve"> </w:t>
      </w:r>
    </w:p>
    <w:p w:rsidR="009F69EA" w:rsidRPr="00933D5F" w:rsidRDefault="00C00D63" w:rsidP="00461365">
      <w:pPr>
        <w:spacing w:after="120"/>
        <w:ind w:left="1134" w:hanging="567"/>
        <w:rPr>
          <w:rFonts w:cs="Arial"/>
          <w:lang w:val="es-419"/>
        </w:rPr>
      </w:pPr>
      <w:r w:rsidRPr="00933D5F">
        <w:rPr>
          <w:rFonts w:cs="Arial"/>
          <w:lang w:val="es-419"/>
        </w:rPr>
        <w:t>11.</w:t>
      </w:r>
      <w:r w:rsidRPr="00933D5F">
        <w:rPr>
          <w:rFonts w:cs="Arial"/>
          <w:lang w:val="es-419"/>
        </w:rPr>
        <w:tab/>
      </w:r>
      <w:r w:rsidR="006A1995" w:rsidRPr="00933D5F">
        <w:rPr>
          <w:rFonts w:cs="Arial"/>
          <w:lang w:val="es-419"/>
        </w:rPr>
        <w:t>Cooperación entre las organizaciones internacionales (documento que elaborará la Oficina de la Unión y eventuales ponencias)</w:t>
      </w:r>
    </w:p>
    <w:p w:rsidR="009F69EA" w:rsidRPr="00933D5F" w:rsidRDefault="00C00D63" w:rsidP="00461365">
      <w:pPr>
        <w:spacing w:after="120"/>
        <w:ind w:left="1134" w:hanging="567"/>
        <w:rPr>
          <w:rFonts w:cs="Arial"/>
          <w:lang w:val="es-419"/>
        </w:rPr>
      </w:pPr>
      <w:r w:rsidRPr="00933D5F">
        <w:rPr>
          <w:rFonts w:cs="Arial"/>
          <w:lang w:val="es-419"/>
        </w:rPr>
        <w:t>12.</w:t>
      </w:r>
      <w:r w:rsidRPr="00933D5F">
        <w:rPr>
          <w:rFonts w:cs="Arial"/>
          <w:lang w:val="es-419"/>
        </w:rPr>
        <w:tab/>
      </w:r>
      <w:r w:rsidR="00B52EE9" w:rsidRPr="00933D5F">
        <w:rPr>
          <w:rFonts w:cs="Arial"/>
          <w:lang w:val="es-419"/>
        </w:rPr>
        <w:t>Confidencialidad, titularidad y acceso a los datos moleculares, incluido el modelo de acuerdo</w:t>
      </w:r>
      <w:r w:rsidR="00B52EE9" w:rsidRPr="00933D5F">
        <w:rPr>
          <w:rFonts w:cs="Arial"/>
          <w:vertAlign w:val="superscript"/>
          <w:lang w:val="es-419"/>
        </w:rPr>
        <w:t>1</w:t>
      </w:r>
      <w:r w:rsidR="00B52EE9" w:rsidRPr="00933D5F">
        <w:rPr>
          <w:rFonts w:cs="Arial"/>
          <w:lang w:val="es-419"/>
        </w:rPr>
        <w:t xml:space="preserve"> (se solicitan ponencias)</w:t>
      </w:r>
    </w:p>
    <w:p w:rsidR="009F69EA" w:rsidRPr="00933D5F" w:rsidRDefault="00C00D63" w:rsidP="00461365">
      <w:pPr>
        <w:spacing w:after="120"/>
        <w:ind w:left="1134" w:hanging="567"/>
        <w:rPr>
          <w:rFonts w:cs="Arial"/>
          <w:lang w:val="es-419"/>
        </w:rPr>
      </w:pPr>
      <w:r w:rsidRPr="00933D5F">
        <w:rPr>
          <w:rFonts w:cs="Arial"/>
          <w:lang w:val="es-419"/>
        </w:rPr>
        <w:t>13.</w:t>
      </w:r>
      <w:r w:rsidRPr="00933D5F">
        <w:rPr>
          <w:rFonts w:cs="Arial"/>
          <w:lang w:val="es-419"/>
        </w:rPr>
        <w:tab/>
      </w:r>
      <w:r w:rsidR="00570DC6" w:rsidRPr="00933D5F">
        <w:rPr>
          <w:rFonts w:cs="Arial"/>
          <w:lang w:val="es-419"/>
        </w:rPr>
        <w:t>Sesión destinada a facilitar la cooperación (posibles sesiones paralelas)</w:t>
      </w:r>
    </w:p>
    <w:p w:rsidR="009F69EA" w:rsidRPr="00933D5F" w:rsidRDefault="00C00D63" w:rsidP="00461365">
      <w:pPr>
        <w:spacing w:after="120"/>
        <w:ind w:left="1134" w:hanging="567"/>
        <w:rPr>
          <w:rFonts w:cs="Arial"/>
          <w:lang w:val="es-419"/>
        </w:rPr>
      </w:pPr>
      <w:r w:rsidRPr="00933D5F">
        <w:rPr>
          <w:rFonts w:cs="Arial"/>
          <w:lang w:val="es-419"/>
        </w:rPr>
        <w:t>14.</w:t>
      </w:r>
      <w:r w:rsidRPr="00933D5F">
        <w:rPr>
          <w:rFonts w:cs="Arial"/>
          <w:lang w:val="es-419"/>
        </w:rPr>
        <w:tab/>
      </w:r>
      <w:r w:rsidR="00570DC6" w:rsidRPr="00933D5F">
        <w:rPr>
          <w:rFonts w:cs="Arial"/>
          <w:lang w:val="es-419"/>
        </w:rPr>
        <w:t>Fecha y lugar de la próxima sesión</w:t>
      </w:r>
    </w:p>
    <w:p w:rsidR="009F69EA" w:rsidRPr="00933D5F" w:rsidRDefault="00C00D63" w:rsidP="00461365">
      <w:pPr>
        <w:spacing w:after="120"/>
        <w:ind w:left="1134" w:hanging="567"/>
        <w:rPr>
          <w:rFonts w:cs="Arial"/>
          <w:lang w:val="es-419"/>
        </w:rPr>
      </w:pPr>
      <w:r w:rsidRPr="00933D5F">
        <w:rPr>
          <w:rFonts w:cs="Arial"/>
          <w:lang w:val="es-419"/>
        </w:rPr>
        <w:t>15.</w:t>
      </w:r>
      <w:r w:rsidRPr="00933D5F">
        <w:rPr>
          <w:rFonts w:cs="Arial"/>
          <w:lang w:val="es-419"/>
        </w:rPr>
        <w:tab/>
      </w:r>
      <w:r w:rsidR="00570DC6" w:rsidRPr="00933D5F">
        <w:rPr>
          <w:rFonts w:cs="Arial"/>
          <w:lang w:val="es-419"/>
        </w:rPr>
        <w:t>Futuro programa</w:t>
      </w:r>
    </w:p>
    <w:p w:rsidR="009F69EA" w:rsidRPr="00933D5F" w:rsidRDefault="00C00D63" w:rsidP="00461365">
      <w:pPr>
        <w:spacing w:after="120"/>
        <w:ind w:left="1134" w:hanging="567"/>
        <w:rPr>
          <w:rFonts w:cs="Arial"/>
          <w:lang w:val="es-419"/>
        </w:rPr>
      </w:pPr>
      <w:r w:rsidRPr="00933D5F">
        <w:rPr>
          <w:rFonts w:cs="Arial"/>
          <w:lang w:val="es-419"/>
        </w:rPr>
        <w:t>16.</w:t>
      </w:r>
      <w:r w:rsidRPr="00933D5F">
        <w:rPr>
          <w:rFonts w:cs="Arial"/>
          <w:lang w:val="es-419"/>
        </w:rPr>
        <w:tab/>
      </w:r>
      <w:r w:rsidR="00570DC6" w:rsidRPr="00933D5F">
        <w:rPr>
          <w:rFonts w:cs="Arial"/>
          <w:lang w:val="es-419"/>
        </w:rPr>
        <w:t>Informe de la sesión (si se dispone de tiempo)</w:t>
      </w:r>
    </w:p>
    <w:p w:rsidR="009F69EA" w:rsidRPr="00933D5F" w:rsidRDefault="00C00D63" w:rsidP="00461365">
      <w:pPr>
        <w:spacing w:after="120"/>
        <w:ind w:left="1134" w:hanging="567"/>
        <w:rPr>
          <w:rFonts w:cs="Arial"/>
          <w:lang w:val="es-419"/>
        </w:rPr>
      </w:pPr>
      <w:r w:rsidRPr="00933D5F">
        <w:rPr>
          <w:rFonts w:cs="Arial"/>
          <w:lang w:val="es-419"/>
        </w:rPr>
        <w:t>17.</w:t>
      </w:r>
      <w:r w:rsidRPr="00933D5F">
        <w:rPr>
          <w:rFonts w:cs="Arial"/>
          <w:lang w:val="es-419"/>
        </w:rPr>
        <w:tab/>
      </w:r>
      <w:r w:rsidR="00570DC6" w:rsidRPr="00933D5F">
        <w:rPr>
          <w:rFonts w:cs="Arial"/>
          <w:lang w:val="es-419"/>
        </w:rPr>
        <w:t>Clausura de la sesión</w:t>
      </w:r>
    </w:p>
    <w:p w:rsidR="009F69EA" w:rsidRPr="00933D5F" w:rsidRDefault="009F69EA" w:rsidP="00C00D63">
      <w:pPr>
        <w:rPr>
          <w:lang w:val="es-419"/>
        </w:rPr>
      </w:pPr>
    </w:p>
    <w:p w:rsidR="009F69EA" w:rsidRPr="00933D5F" w:rsidRDefault="009F69EA" w:rsidP="00C00D63">
      <w:pPr>
        <w:rPr>
          <w:lang w:val="es-419"/>
        </w:rPr>
      </w:pPr>
    </w:p>
    <w:p w:rsidR="009F69EA" w:rsidRPr="00933D5F" w:rsidRDefault="009F69EA" w:rsidP="00C00D63">
      <w:pPr>
        <w:rPr>
          <w:lang w:val="es-419"/>
        </w:rPr>
      </w:pPr>
    </w:p>
    <w:p w:rsidR="009F69EA" w:rsidRPr="00933D5F" w:rsidRDefault="00C00D63" w:rsidP="00570DC6">
      <w:pPr>
        <w:jc w:val="right"/>
        <w:rPr>
          <w:lang w:val="es-419"/>
        </w:rPr>
      </w:pPr>
      <w:r w:rsidRPr="00933D5F">
        <w:rPr>
          <w:lang w:val="es-419"/>
        </w:rPr>
        <w:t>[Fin del Anexo</w:t>
      </w:r>
      <w:r w:rsidR="00570DC6" w:rsidRPr="00933D5F">
        <w:rPr>
          <w:lang w:val="es-419"/>
        </w:rPr>
        <w:t> </w:t>
      </w:r>
      <w:r w:rsidRPr="00933D5F">
        <w:rPr>
          <w:lang w:val="es-419"/>
        </w:rPr>
        <w:t>II y del documento]</w:t>
      </w:r>
    </w:p>
    <w:p w:rsidR="00050E16" w:rsidRPr="00933D5F" w:rsidRDefault="00050E16" w:rsidP="00C00D63">
      <w:pPr>
        <w:jc w:val="right"/>
        <w:rPr>
          <w:lang w:val="es-419"/>
        </w:rPr>
      </w:pPr>
    </w:p>
    <w:sectPr w:rsidR="00050E16" w:rsidRPr="00933D5F" w:rsidSect="00C00D63">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DA5" w:rsidRDefault="00E95DA5" w:rsidP="006655D3">
      <w:r>
        <w:separator/>
      </w:r>
    </w:p>
    <w:p w:rsidR="00E95DA5" w:rsidRDefault="00E95DA5" w:rsidP="006655D3"/>
    <w:p w:rsidR="00E95DA5" w:rsidRDefault="00E95DA5" w:rsidP="006655D3"/>
  </w:endnote>
  <w:endnote w:type="continuationSeparator" w:id="0">
    <w:p w:rsidR="00E95DA5" w:rsidRDefault="00E95DA5" w:rsidP="006655D3">
      <w:r>
        <w:separator/>
      </w:r>
    </w:p>
    <w:p w:rsidR="00E95DA5" w:rsidRPr="00294751" w:rsidRDefault="00E95DA5">
      <w:pPr>
        <w:pStyle w:val="Footer"/>
        <w:spacing w:after="60"/>
        <w:rPr>
          <w:sz w:val="18"/>
          <w:lang w:val="fr-FR"/>
        </w:rPr>
      </w:pPr>
      <w:r w:rsidRPr="00294751">
        <w:rPr>
          <w:sz w:val="18"/>
          <w:lang w:val="fr-FR"/>
        </w:rPr>
        <w:t>[Suite de la note de la page précédente]</w:t>
      </w:r>
    </w:p>
    <w:p w:rsidR="00E95DA5" w:rsidRPr="00294751" w:rsidRDefault="00E95DA5" w:rsidP="006655D3">
      <w:pPr>
        <w:rPr>
          <w:lang w:val="fr-FR"/>
        </w:rPr>
      </w:pPr>
    </w:p>
    <w:p w:rsidR="00E95DA5" w:rsidRPr="00294751" w:rsidRDefault="00E95DA5" w:rsidP="006655D3">
      <w:pPr>
        <w:rPr>
          <w:lang w:val="fr-FR"/>
        </w:rPr>
      </w:pPr>
    </w:p>
  </w:endnote>
  <w:endnote w:type="continuationNotice" w:id="1">
    <w:p w:rsidR="00E95DA5" w:rsidRPr="00294751" w:rsidRDefault="00E95DA5" w:rsidP="006655D3">
      <w:pPr>
        <w:rPr>
          <w:lang w:val="fr-FR"/>
        </w:rPr>
      </w:pPr>
      <w:r w:rsidRPr="00294751">
        <w:rPr>
          <w:lang w:val="fr-FR"/>
        </w:rPr>
        <w:t>[Suite de la note page suivante]</w:t>
      </w:r>
    </w:p>
    <w:p w:rsidR="00E95DA5" w:rsidRPr="00294751" w:rsidRDefault="00E95DA5" w:rsidP="006655D3">
      <w:pPr>
        <w:rPr>
          <w:lang w:val="fr-FR"/>
        </w:rPr>
      </w:pPr>
    </w:p>
    <w:p w:rsidR="00E95DA5" w:rsidRPr="00294751" w:rsidRDefault="00E95D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DA5" w:rsidRDefault="00E95DA5" w:rsidP="006655D3">
      <w:r>
        <w:separator/>
      </w:r>
    </w:p>
  </w:footnote>
  <w:footnote w:type="continuationSeparator" w:id="0">
    <w:p w:rsidR="00E95DA5" w:rsidRDefault="00E95DA5" w:rsidP="006655D3">
      <w:r>
        <w:separator/>
      </w:r>
    </w:p>
  </w:footnote>
  <w:footnote w:type="continuationNotice" w:id="1">
    <w:p w:rsidR="00E95DA5" w:rsidRPr="00AB530F" w:rsidRDefault="00E95DA5" w:rsidP="00AB530F">
      <w:pPr>
        <w:pStyle w:val="Footer"/>
      </w:pPr>
    </w:p>
  </w:footnote>
  <w:footnote w:id="2">
    <w:p w:rsidR="00E95DA5" w:rsidRDefault="00E95DA5" w:rsidP="00227E1A">
      <w:pPr>
        <w:pStyle w:val="FootnoteText"/>
      </w:pPr>
      <w:r>
        <w:rPr>
          <w:rStyle w:val="FootnoteReference"/>
        </w:rPr>
        <w:footnoteRef/>
      </w:r>
      <w:r>
        <w:t xml:space="preserve"> </w:t>
      </w:r>
      <w:r w:rsidRPr="00EB4ABA">
        <w:t>Día del obtentor.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EA" w:rsidRDefault="00E95DA5" w:rsidP="00EB048E">
    <w:pPr>
      <w:pStyle w:val="Header"/>
      <w:rPr>
        <w:rStyle w:val="PageNumber"/>
        <w:lang w:val="en-US"/>
      </w:rPr>
    </w:pPr>
    <w:r>
      <w:rPr>
        <w:rStyle w:val="PageNumber"/>
        <w:lang w:val="en-US"/>
      </w:rPr>
      <w:t>TC/57/INF/9 A</w:t>
    </w:r>
  </w:p>
  <w:p w:rsidR="009F69EA" w:rsidRDefault="00E95DA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9F69EA" w:rsidRDefault="009F69EA" w:rsidP="006655D3"/>
  <w:p w:rsidR="00E95DA5" w:rsidRPr="00C5280D" w:rsidRDefault="00E95DA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EA" w:rsidRDefault="00E95DA5" w:rsidP="00C00D63">
    <w:pPr>
      <w:pStyle w:val="Header"/>
      <w:rPr>
        <w:rStyle w:val="PageNumber"/>
      </w:rPr>
    </w:pPr>
    <w:r w:rsidRPr="00C00D63">
      <w:rPr>
        <w:rStyle w:val="PageNumber"/>
      </w:rPr>
      <w:t>TC/57/INF/9 Add.</w:t>
    </w:r>
  </w:p>
  <w:p w:rsidR="009F69EA" w:rsidRDefault="00E95DA5" w:rsidP="00C00D63">
    <w:pPr>
      <w:pStyle w:val="Header"/>
    </w:pPr>
    <w:r>
      <w:t>An</w:t>
    </w:r>
    <w:r w:rsidRPr="00C00D63">
      <w:t>ex</w:t>
    </w:r>
    <w:r>
      <w:t>o</w:t>
    </w:r>
    <w:r w:rsidRPr="00C00D63">
      <w:t xml:space="preserve"> I, p</w:t>
    </w:r>
    <w:r>
      <w:t>ágina</w:t>
    </w:r>
    <w:r w:rsidRPr="00C00D63">
      <w:t xml:space="preserve"> </w:t>
    </w:r>
    <w:r w:rsidRPr="00C00D63">
      <w:rPr>
        <w:rStyle w:val="PageNumber"/>
      </w:rPr>
      <w:fldChar w:fldCharType="begin"/>
    </w:r>
    <w:r w:rsidRPr="00C00D63">
      <w:rPr>
        <w:rStyle w:val="PageNumber"/>
      </w:rPr>
      <w:instrText xml:space="preserve"> PAGE </w:instrText>
    </w:r>
    <w:r w:rsidRPr="00C00D63">
      <w:rPr>
        <w:rStyle w:val="PageNumber"/>
      </w:rPr>
      <w:fldChar w:fldCharType="separate"/>
    </w:r>
    <w:r w:rsidR="00933D5F">
      <w:rPr>
        <w:rStyle w:val="PageNumber"/>
        <w:noProof/>
      </w:rPr>
      <w:t>3</w:t>
    </w:r>
    <w:r w:rsidRPr="00C00D63">
      <w:rPr>
        <w:rStyle w:val="PageNumber"/>
      </w:rPr>
      <w:fldChar w:fldCharType="end"/>
    </w:r>
  </w:p>
  <w:p w:rsidR="009F69EA" w:rsidRDefault="009F69EA" w:rsidP="00C00D63">
    <w:pPr>
      <w:jc w:val="center"/>
    </w:pPr>
  </w:p>
  <w:p w:rsidR="00E95DA5" w:rsidRPr="00C00D63" w:rsidRDefault="00E95DA5" w:rsidP="00C00D63">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EA" w:rsidRDefault="00E95DA5" w:rsidP="00DF0DAC">
    <w:pPr>
      <w:pStyle w:val="Header"/>
      <w:rPr>
        <w:lang w:val="en-US"/>
      </w:rPr>
    </w:pPr>
    <w:r w:rsidRPr="00C00D63">
      <w:rPr>
        <w:lang w:val="en-US"/>
      </w:rPr>
      <w:t>TC/57/INF/9 Add.</w:t>
    </w:r>
  </w:p>
  <w:p w:rsidR="009F69EA" w:rsidRDefault="009F69EA" w:rsidP="00DF0DAC">
    <w:pPr>
      <w:pStyle w:val="Header"/>
      <w:rPr>
        <w:lang w:val="en-US"/>
      </w:rPr>
    </w:pPr>
  </w:p>
  <w:p w:rsidR="009F69EA" w:rsidRDefault="00E95DA5" w:rsidP="00DF0DAC">
    <w:pPr>
      <w:pStyle w:val="Header"/>
    </w:pPr>
    <w:r w:rsidRPr="008924D7">
      <w:t>ANEXO I</w:t>
    </w:r>
  </w:p>
  <w:p w:rsidR="009F69EA" w:rsidRDefault="009F69EA" w:rsidP="00DF0DAC">
    <w:pPr>
      <w:pStyle w:val="Header"/>
      <w:rPr>
        <w:lang w:val="en-US"/>
      </w:rPr>
    </w:pPr>
  </w:p>
  <w:p w:rsidR="00E95DA5" w:rsidRPr="00C00D63" w:rsidRDefault="00E95DA5" w:rsidP="00DF0DA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EA" w:rsidRDefault="00E95DA5" w:rsidP="00C00D63">
    <w:pPr>
      <w:pStyle w:val="Header"/>
      <w:rPr>
        <w:rStyle w:val="PageNumber"/>
      </w:rPr>
    </w:pPr>
    <w:r w:rsidRPr="00C00D63">
      <w:rPr>
        <w:rStyle w:val="PageNumber"/>
      </w:rPr>
      <w:t>TC/57/INF/9 Add.</w:t>
    </w:r>
  </w:p>
  <w:p w:rsidR="009F69EA" w:rsidRDefault="00E95DA5" w:rsidP="00C00D63">
    <w:pPr>
      <w:pStyle w:val="Header"/>
    </w:pPr>
    <w:r>
      <w:t>Anexo I</w:t>
    </w:r>
    <w:r w:rsidRPr="00C00D63">
      <w:t xml:space="preserve">I, página </w:t>
    </w:r>
    <w:r w:rsidRPr="00C00D63">
      <w:rPr>
        <w:rStyle w:val="PageNumber"/>
      </w:rPr>
      <w:fldChar w:fldCharType="begin"/>
    </w:r>
    <w:r w:rsidRPr="00C00D63">
      <w:rPr>
        <w:rStyle w:val="PageNumber"/>
      </w:rPr>
      <w:instrText xml:space="preserve"> PAGE </w:instrText>
    </w:r>
    <w:r w:rsidRPr="00C00D63">
      <w:rPr>
        <w:rStyle w:val="PageNumber"/>
      </w:rPr>
      <w:fldChar w:fldCharType="separate"/>
    </w:r>
    <w:r w:rsidR="00933D5F">
      <w:rPr>
        <w:rStyle w:val="PageNumber"/>
        <w:noProof/>
      </w:rPr>
      <w:t>3</w:t>
    </w:r>
    <w:r w:rsidRPr="00C00D63">
      <w:rPr>
        <w:rStyle w:val="PageNumber"/>
      </w:rPr>
      <w:fldChar w:fldCharType="end"/>
    </w:r>
  </w:p>
  <w:p w:rsidR="009F69EA" w:rsidRDefault="009F69EA" w:rsidP="00C00D63">
    <w:pPr>
      <w:jc w:val="center"/>
    </w:pPr>
  </w:p>
  <w:p w:rsidR="00E95DA5" w:rsidRPr="00C00D63" w:rsidRDefault="00E95DA5" w:rsidP="00C00D6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9EA" w:rsidRDefault="00E95DA5" w:rsidP="00DF0DAC">
    <w:pPr>
      <w:pStyle w:val="Header"/>
    </w:pPr>
    <w:r w:rsidRPr="00C00D63">
      <w:t>TC/57/INF/9 Add.</w:t>
    </w:r>
  </w:p>
  <w:p w:rsidR="009F69EA" w:rsidRDefault="009F69EA" w:rsidP="00DF0DAC">
    <w:pPr>
      <w:pStyle w:val="Header"/>
    </w:pPr>
  </w:p>
  <w:p w:rsidR="009F69EA" w:rsidRDefault="00E95DA5" w:rsidP="00DF0DAC">
    <w:pPr>
      <w:pStyle w:val="Header"/>
    </w:pPr>
    <w:r>
      <w:t>AN</w:t>
    </w:r>
    <w:r w:rsidRPr="00C00D63">
      <w:t>EX</w:t>
    </w:r>
    <w:r>
      <w:t>O</w:t>
    </w:r>
    <w:r w:rsidRPr="00C00D63">
      <w:t xml:space="preserve"> I</w:t>
    </w:r>
    <w:r>
      <w:t>I</w:t>
    </w:r>
  </w:p>
  <w:p w:rsidR="009F69EA" w:rsidRDefault="009F69EA" w:rsidP="00DF0DAC">
    <w:pPr>
      <w:pStyle w:val="Header"/>
    </w:pPr>
  </w:p>
  <w:p w:rsidR="00E95DA5" w:rsidRPr="00C00D63" w:rsidRDefault="00E95DA5" w:rsidP="00DF0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435"/>
    <w:multiLevelType w:val="hybridMultilevel"/>
    <w:tmpl w:val="15B6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122C42"/>
    <w:multiLevelType w:val="hybridMultilevel"/>
    <w:tmpl w:val="143479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2"/>
  </w:compat>
  <w:docVars>
    <w:docVar w:name="WtBookmark" w:val="00007"/>
  </w:docVars>
  <w:rsids>
    <w:rsidRoot w:val="00C00D63"/>
    <w:rsid w:val="00007980"/>
    <w:rsid w:val="00010CF3"/>
    <w:rsid w:val="00011E27"/>
    <w:rsid w:val="000148BC"/>
    <w:rsid w:val="00024AB8"/>
    <w:rsid w:val="00030854"/>
    <w:rsid w:val="00032FB7"/>
    <w:rsid w:val="000348B8"/>
    <w:rsid w:val="00036028"/>
    <w:rsid w:val="00044642"/>
    <w:rsid w:val="000446B9"/>
    <w:rsid w:val="00047E21"/>
    <w:rsid w:val="00050E16"/>
    <w:rsid w:val="00057785"/>
    <w:rsid w:val="000638A9"/>
    <w:rsid w:val="00085505"/>
    <w:rsid w:val="000A0B5F"/>
    <w:rsid w:val="000A23DC"/>
    <w:rsid w:val="000B7BB9"/>
    <w:rsid w:val="000C4E25"/>
    <w:rsid w:val="000C7021"/>
    <w:rsid w:val="000D6BBC"/>
    <w:rsid w:val="000D7780"/>
    <w:rsid w:val="000E636A"/>
    <w:rsid w:val="000F2F11"/>
    <w:rsid w:val="000F559C"/>
    <w:rsid w:val="00105929"/>
    <w:rsid w:val="001066E7"/>
    <w:rsid w:val="00110C36"/>
    <w:rsid w:val="001131D5"/>
    <w:rsid w:val="00121BA6"/>
    <w:rsid w:val="00132E36"/>
    <w:rsid w:val="00141DB8"/>
    <w:rsid w:val="00151BB7"/>
    <w:rsid w:val="0016493E"/>
    <w:rsid w:val="00172084"/>
    <w:rsid w:val="0017474A"/>
    <w:rsid w:val="001758C6"/>
    <w:rsid w:val="00182B99"/>
    <w:rsid w:val="001A28EF"/>
    <w:rsid w:val="001B5663"/>
    <w:rsid w:val="001D6C87"/>
    <w:rsid w:val="001E2D1F"/>
    <w:rsid w:val="001F64BF"/>
    <w:rsid w:val="001F7F05"/>
    <w:rsid w:val="00202E38"/>
    <w:rsid w:val="0021332C"/>
    <w:rsid w:val="00213982"/>
    <w:rsid w:val="00227E1A"/>
    <w:rsid w:val="00232E61"/>
    <w:rsid w:val="00235C36"/>
    <w:rsid w:val="0024416D"/>
    <w:rsid w:val="002464A3"/>
    <w:rsid w:val="00253CFF"/>
    <w:rsid w:val="0026081E"/>
    <w:rsid w:val="00261099"/>
    <w:rsid w:val="00271911"/>
    <w:rsid w:val="002800A0"/>
    <w:rsid w:val="002801B3"/>
    <w:rsid w:val="00281060"/>
    <w:rsid w:val="002940E8"/>
    <w:rsid w:val="00294751"/>
    <w:rsid w:val="002967E5"/>
    <w:rsid w:val="002A6414"/>
    <w:rsid w:val="002A6E50"/>
    <w:rsid w:val="002B3289"/>
    <w:rsid w:val="002B4298"/>
    <w:rsid w:val="002C256A"/>
    <w:rsid w:val="002C3D98"/>
    <w:rsid w:val="002D20D9"/>
    <w:rsid w:val="002D325B"/>
    <w:rsid w:val="002E0660"/>
    <w:rsid w:val="002E2D6A"/>
    <w:rsid w:val="002E5944"/>
    <w:rsid w:val="002E7BE0"/>
    <w:rsid w:val="002F2131"/>
    <w:rsid w:val="00305A7F"/>
    <w:rsid w:val="003152FE"/>
    <w:rsid w:val="00324098"/>
    <w:rsid w:val="00327436"/>
    <w:rsid w:val="00344BD6"/>
    <w:rsid w:val="00347E01"/>
    <w:rsid w:val="0035528D"/>
    <w:rsid w:val="00356505"/>
    <w:rsid w:val="00361821"/>
    <w:rsid w:val="00361E9E"/>
    <w:rsid w:val="0036435B"/>
    <w:rsid w:val="0036459F"/>
    <w:rsid w:val="003A5031"/>
    <w:rsid w:val="003B031A"/>
    <w:rsid w:val="003B5E21"/>
    <w:rsid w:val="003C313B"/>
    <w:rsid w:val="003C4623"/>
    <w:rsid w:val="003C7FBE"/>
    <w:rsid w:val="003D227C"/>
    <w:rsid w:val="003D2289"/>
    <w:rsid w:val="003D2B4D"/>
    <w:rsid w:val="003E102B"/>
    <w:rsid w:val="004010A1"/>
    <w:rsid w:val="0040557F"/>
    <w:rsid w:val="0041609F"/>
    <w:rsid w:val="00417911"/>
    <w:rsid w:val="004257F8"/>
    <w:rsid w:val="00444A88"/>
    <w:rsid w:val="00460ABB"/>
    <w:rsid w:val="00461365"/>
    <w:rsid w:val="00462F57"/>
    <w:rsid w:val="00466B5C"/>
    <w:rsid w:val="00467B42"/>
    <w:rsid w:val="00474DA4"/>
    <w:rsid w:val="00476B4D"/>
    <w:rsid w:val="004805FA"/>
    <w:rsid w:val="00484AED"/>
    <w:rsid w:val="00493560"/>
    <w:rsid w:val="004935D2"/>
    <w:rsid w:val="0049700F"/>
    <w:rsid w:val="004A16D4"/>
    <w:rsid w:val="004A779D"/>
    <w:rsid w:val="004B1215"/>
    <w:rsid w:val="004D047D"/>
    <w:rsid w:val="004F1E9E"/>
    <w:rsid w:val="004F305A"/>
    <w:rsid w:val="00512164"/>
    <w:rsid w:val="00517AC6"/>
    <w:rsid w:val="00520297"/>
    <w:rsid w:val="005338F9"/>
    <w:rsid w:val="0054281C"/>
    <w:rsid w:val="00544581"/>
    <w:rsid w:val="00545E42"/>
    <w:rsid w:val="00550CFA"/>
    <w:rsid w:val="00551D6C"/>
    <w:rsid w:val="0055268D"/>
    <w:rsid w:val="00554C77"/>
    <w:rsid w:val="00570DC6"/>
    <w:rsid w:val="00576BE4"/>
    <w:rsid w:val="00593CDE"/>
    <w:rsid w:val="005A1EC1"/>
    <w:rsid w:val="005A400A"/>
    <w:rsid w:val="005B059A"/>
    <w:rsid w:val="005C3C58"/>
    <w:rsid w:val="005D2102"/>
    <w:rsid w:val="005D793E"/>
    <w:rsid w:val="005E099C"/>
    <w:rsid w:val="005F7B92"/>
    <w:rsid w:val="00612379"/>
    <w:rsid w:val="006153B6"/>
    <w:rsid w:val="0061555F"/>
    <w:rsid w:val="0063029F"/>
    <w:rsid w:val="00630B38"/>
    <w:rsid w:val="00631E71"/>
    <w:rsid w:val="00636CA6"/>
    <w:rsid w:val="00637EDD"/>
    <w:rsid w:val="00641200"/>
    <w:rsid w:val="00645CA8"/>
    <w:rsid w:val="006559DB"/>
    <w:rsid w:val="006570AA"/>
    <w:rsid w:val="006655D3"/>
    <w:rsid w:val="00667404"/>
    <w:rsid w:val="00684D81"/>
    <w:rsid w:val="00687EB4"/>
    <w:rsid w:val="00695C56"/>
    <w:rsid w:val="006A1995"/>
    <w:rsid w:val="006A5CDE"/>
    <w:rsid w:val="006A644A"/>
    <w:rsid w:val="006B17D2"/>
    <w:rsid w:val="006B2338"/>
    <w:rsid w:val="006C224E"/>
    <w:rsid w:val="006D70C2"/>
    <w:rsid w:val="006D780A"/>
    <w:rsid w:val="0070526C"/>
    <w:rsid w:val="00706639"/>
    <w:rsid w:val="00710155"/>
    <w:rsid w:val="0071271E"/>
    <w:rsid w:val="0071354C"/>
    <w:rsid w:val="00725434"/>
    <w:rsid w:val="00732DEC"/>
    <w:rsid w:val="00735BD5"/>
    <w:rsid w:val="00736725"/>
    <w:rsid w:val="007462BB"/>
    <w:rsid w:val="00751613"/>
    <w:rsid w:val="007556F6"/>
    <w:rsid w:val="00760EEF"/>
    <w:rsid w:val="00772B51"/>
    <w:rsid w:val="00774EB6"/>
    <w:rsid w:val="00777EE5"/>
    <w:rsid w:val="007819C5"/>
    <w:rsid w:val="00783722"/>
    <w:rsid w:val="00784836"/>
    <w:rsid w:val="0079023E"/>
    <w:rsid w:val="007A2854"/>
    <w:rsid w:val="007C1084"/>
    <w:rsid w:val="007C1D92"/>
    <w:rsid w:val="007C4CB9"/>
    <w:rsid w:val="007D0B9D"/>
    <w:rsid w:val="007D193C"/>
    <w:rsid w:val="007D19B0"/>
    <w:rsid w:val="007D5AE6"/>
    <w:rsid w:val="007F267C"/>
    <w:rsid w:val="007F498F"/>
    <w:rsid w:val="0080679D"/>
    <w:rsid w:val="008108B0"/>
    <w:rsid w:val="00811B20"/>
    <w:rsid w:val="00817CD5"/>
    <w:rsid w:val="008211B5"/>
    <w:rsid w:val="0082296E"/>
    <w:rsid w:val="00824099"/>
    <w:rsid w:val="008345CC"/>
    <w:rsid w:val="00846D7C"/>
    <w:rsid w:val="00864C55"/>
    <w:rsid w:val="00867AC1"/>
    <w:rsid w:val="00873D1B"/>
    <w:rsid w:val="00883E84"/>
    <w:rsid w:val="008844FF"/>
    <w:rsid w:val="00890DF8"/>
    <w:rsid w:val="008924D7"/>
    <w:rsid w:val="008A743F"/>
    <w:rsid w:val="008A7A09"/>
    <w:rsid w:val="008B2739"/>
    <w:rsid w:val="008B3D8D"/>
    <w:rsid w:val="008C0970"/>
    <w:rsid w:val="008C5A38"/>
    <w:rsid w:val="008C7031"/>
    <w:rsid w:val="008D0BC5"/>
    <w:rsid w:val="008D29D5"/>
    <w:rsid w:val="008D2CF7"/>
    <w:rsid w:val="008E29FA"/>
    <w:rsid w:val="008E5BDE"/>
    <w:rsid w:val="008E7A80"/>
    <w:rsid w:val="008F329D"/>
    <w:rsid w:val="008F5D8C"/>
    <w:rsid w:val="00900C26"/>
    <w:rsid w:val="0090197F"/>
    <w:rsid w:val="00906DDC"/>
    <w:rsid w:val="0092350B"/>
    <w:rsid w:val="00926BC2"/>
    <w:rsid w:val="00933D5F"/>
    <w:rsid w:val="00934E09"/>
    <w:rsid w:val="00936253"/>
    <w:rsid w:val="00940D46"/>
    <w:rsid w:val="00952DD4"/>
    <w:rsid w:val="0096175D"/>
    <w:rsid w:val="009649C1"/>
    <w:rsid w:val="00965AE7"/>
    <w:rsid w:val="00970FED"/>
    <w:rsid w:val="00975D04"/>
    <w:rsid w:val="00992D82"/>
    <w:rsid w:val="00995C13"/>
    <w:rsid w:val="00997029"/>
    <w:rsid w:val="009A26B8"/>
    <w:rsid w:val="009A7339"/>
    <w:rsid w:val="009B440E"/>
    <w:rsid w:val="009D0C15"/>
    <w:rsid w:val="009D12E3"/>
    <w:rsid w:val="009D690D"/>
    <w:rsid w:val="009E65B6"/>
    <w:rsid w:val="009F27AC"/>
    <w:rsid w:val="009F69EA"/>
    <w:rsid w:val="00A00CE5"/>
    <w:rsid w:val="00A108E3"/>
    <w:rsid w:val="00A229C8"/>
    <w:rsid w:val="00A24C10"/>
    <w:rsid w:val="00A31C64"/>
    <w:rsid w:val="00A42AC3"/>
    <w:rsid w:val="00A430CF"/>
    <w:rsid w:val="00A46189"/>
    <w:rsid w:val="00A54309"/>
    <w:rsid w:val="00A61A9E"/>
    <w:rsid w:val="00A706D3"/>
    <w:rsid w:val="00AB11D5"/>
    <w:rsid w:val="00AB2B93"/>
    <w:rsid w:val="00AB2F71"/>
    <w:rsid w:val="00AB530F"/>
    <w:rsid w:val="00AB7E5B"/>
    <w:rsid w:val="00AC2883"/>
    <w:rsid w:val="00AE0EF1"/>
    <w:rsid w:val="00AE2937"/>
    <w:rsid w:val="00AF1F87"/>
    <w:rsid w:val="00AF3D97"/>
    <w:rsid w:val="00B07301"/>
    <w:rsid w:val="00B1138F"/>
    <w:rsid w:val="00B11F3E"/>
    <w:rsid w:val="00B158EB"/>
    <w:rsid w:val="00B224DE"/>
    <w:rsid w:val="00B324D4"/>
    <w:rsid w:val="00B46575"/>
    <w:rsid w:val="00B516D2"/>
    <w:rsid w:val="00B52EE9"/>
    <w:rsid w:val="00B61777"/>
    <w:rsid w:val="00B67F61"/>
    <w:rsid w:val="00B84BBD"/>
    <w:rsid w:val="00B85EA6"/>
    <w:rsid w:val="00B9016F"/>
    <w:rsid w:val="00B94C15"/>
    <w:rsid w:val="00BA43FB"/>
    <w:rsid w:val="00BC0BD4"/>
    <w:rsid w:val="00BC127D"/>
    <w:rsid w:val="00BC1FE6"/>
    <w:rsid w:val="00BF13AF"/>
    <w:rsid w:val="00BF3DEF"/>
    <w:rsid w:val="00BF7664"/>
    <w:rsid w:val="00C00D63"/>
    <w:rsid w:val="00C061B6"/>
    <w:rsid w:val="00C17317"/>
    <w:rsid w:val="00C2306B"/>
    <w:rsid w:val="00C2446C"/>
    <w:rsid w:val="00C36AE5"/>
    <w:rsid w:val="00C41F17"/>
    <w:rsid w:val="00C46717"/>
    <w:rsid w:val="00C527FA"/>
    <w:rsid w:val="00C5280D"/>
    <w:rsid w:val="00C53EB3"/>
    <w:rsid w:val="00C543CF"/>
    <w:rsid w:val="00C5791C"/>
    <w:rsid w:val="00C66290"/>
    <w:rsid w:val="00C67DFC"/>
    <w:rsid w:val="00C7113D"/>
    <w:rsid w:val="00C72B7A"/>
    <w:rsid w:val="00C84328"/>
    <w:rsid w:val="00C91970"/>
    <w:rsid w:val="00C973F2"/>
    <w:rsid w:val="00CA0244"/>
    <w:rsid w:val="00CA304C"/>
    <w:rsid w:val="00CA774A"/>
    <w:rsid w:val="00CB655D"/>
    <w:rsid w:val="00CC11B0"/>
    <w:rsid w:val="00CC2841"/>
    <w:rsid w:val="00CD2270"/>
    <w:rsid w:val="00CE49AB"/>
    <w:rsid w:val="00CF1330"/>
    <w:rsid w:val="00CF17AF"/>
    <w:rsid w:val="00CF7E36"/>
    <w:rsid w:val="00D06284"/>
    <w:rsid w:val="00D128E7"/>
    <w:rsid w:val="00D1518D"/>
    <w:rsid w:val="00D3708D"/>
    <w:rsid w:val="00D40426"/>
    <w:rsid w:val="00D425AC"/>
    <w:rsid w:val="00D518EB"/>
    <w:rsid w:val="00D521E3"/>
    <w:rsid w:val="00D57C96"/>
    <w:rsid w:val="00D57D18"/>
    <w:rsid w:val="00D81A29"/>
    <w:rsid w:val="00D91203"/>
    <w:rsid w:val="00D95174"/>
    <w:rsid w:val="00DA3090"/>
    <w:rsid w:val="00DA4973"/>
    <w:rsid w:val="00DA6F36"/>
    <w:rsid w:val="00DB596E"/>
    <w:rsid w:val="00DB7773"/>
    <w:rsid w:val="00DC00EA"/>
    <w:rsid w:val="00DC3802"/>
    <w:rsid w:val="00DF0DAC"/>
    <w:rsid w:val="00E07B38"/>
    <w:rsid w:val="00E07D87"/>
    <w:rsid w:val="00E13DD0"/>
    <w:rsid w:val="00E20A13"/>
    <w:rsid w:val="00E23765"/>
    <w:rsid w:val="00E25520"/>
    <w:rsid w:val="00E2588C"/>
    <w:rsid w:val="00E25E13"/>
    <w:rsid w:val="00E32F7E"/>
    <w:rsid w:val="00E448D1"/>
    <w:rsid w:val="00E525C5"/>
    <w:rsid w:val="00E5267B"/>
    <w:rsid w:val="00E56F36"/>
    <w:rsid w:val="00E62A0F"/>
    <w:rsid w:val="00E63C0E"/>
    <w:rsid w:val="00E71052"/>
    <w:rsid w:val="00E72D49"/>
    <w:rsid w:val="00E7593C"/>
    <w:rsid w:val="00E7678A"/>
    <w:rsid w:val="00E935F1"/>
    <w:rsid w:val="00E94A81"/>
    <w:rsid w:val="00E95DA5"/>
    <w:rsid w:val="00EA1FFB"/>
    <w:rsid w:val="00EB048E"/>
    <w:rsid w:val="00EB054B"/>
    <w:rsid w:val="00EB4ABA"/>
    <w:rsid w:val="00EB4E9C"/>
    <w:rsid w:val="00EC2265"/>
    <w:rsid w:val="00EC790C"/>
    <w:rsid w:val="00EE34DF"/>
    <w:rsid w:val="00EE3C81"/>
    <w:rsid w:val="00EF2F89"/>
    <w:rsid w:val="00F03E98"/>
    <w:rsid w:val="00F11521"/>
    <w:rsid w:val="00F1237A"/>
    <w:rsid w:val="00F1794F"/>
    <w:rsid w:val="00F20D99"/>
    <w:rsid w:val="00F22CBD"/>
    <w:rsid w:val="00F272F1"/>
    <w:rsid w:val="00F45372"/>
    <w:rsid w:val="00F53BEA"/>
    <w:rsid w:val="00F54074"/>
    <w:rsid w:val="00F560F7"/>
    <w:rsid w:val="00F6334D"/>
    <w:rsid w:val="00F70F01"/>
    <w:rsid w:val="00F85CFA"/>
    <w:rsid w:val="00FA49AB"/>
    <w:rsid w:val="00FC6A19"/>
    <w:rsid w:val="00FD3F87"/>
    <w:rsid w:val="00FE329E"/>
    <w:rsid w:val="00FE39C7"/>
    <w:rsid w:val="00FF0EBC"/>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791667A-EE11-46C2-A4A6-5A2ECF4D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C00D63"/>
    <w:pPr>
      <w:ind w:left="720"/>
      <w:contextualSpacing/>
    </w:pPr>
    <w:rPr>
      <w:rFonts w:eastAsia="MS Mincho"/>
      <w:lang w:val="en-US"/>
    </w:rPr>
  </w:style>
  <w:style w:type="character" w:customStyle="1" w:styleId="ListParagraphChar">
    <w:name w:val="List Paragraph Char"/>
    <w:aliases w:val="auto_list_(i) Char,List Paragraph1 Char"/>
    <w:basedOn w:val="DefaultParagraphFont"/>
    <w:link w:val="ListParagraph"/>
    <w:uiPriority w:val="34"/>
    <w:rsid w:val="00C00D63"/>
    <w:rPr>
      <w:rFonts w:ascii="Arial" w:eastAsia="MS Mincho" w:hAnsi="Arial"/>
    </w:rPr>
  </w:style>
  <w:style w:type="character" w:customStyle="1" w:styleId="FootnoteTextChar">
    <w:name w:val="Footnote Text Char"/>
    <w:basedOn w:val="DefaultParagraphFont"/>
    <w:link w:val="FootnoteText"/>
    <w:rsid w:val="00C00D63"/>
    <w:rPr>
      <w:rFonts w:ascii="Arial" w:hAnsi="Arial"/>
      <w:sz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S%20New\UPOV%20TGs%20and%20Templates\TC_57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TC_57_ES.dotx</Template>
  <TotalTime>1</TotalTime>
  <Pages>7</Pages>
  <Words>3032</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TC/57/INF/9 Add.</vt:lpstr>
    </vt:vector>
  </TitlesOfParts>
  <Company>UPOV</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 Add.</dc:title>
  <dc:creator>AS</dc:creator>
  <cp:lastModifiedBy>CEVALLOS DUQUE Nilo</cp:lastModifiedBy>
  <cp:revision>3</cp:revision>
  <cp:lastPrinted>2016-11-22T15:41:00Z</cp:lastPrinted>
  <dcterms:created xsi:type="dcterms:W3CDTF">2021-10-20T06:48:00Z</dcterms:created>
  <dcterms:modified xsi:type="dcterms:W3CDTF">2021-10-20T06:50:00Z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3df80e1b-851e-406a-9fdb-d6007bbc3921</vt:lpwstr>
  </property>
</Properties>
</file>