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542F5" w14:paraId="664985DC" w14:textId="77777777" w:rsidTr="00EB4E9C">
        <w:tc>
          <w:tcPr>
            <w:tcW w:w="6522" w:type="dxa"/>
          </w:tcPr>
          <w:p w14:paraId="05E8424D" w14:textId="77777777" w:rsidR="00DC3802" w:rsidRPr="008542F5" w:rsidRDefault="00DC3802" w:rsidP="00AC2883">
            <w:r>
              <w:rPr>
                <w:noProof/>
                <w:lang w:val="en-US"/>
              </w:rPr>
              <w:drawing>
                <wp:inline distT="0" distB="0" distL="0" distR="0" wp14:anchorId="01C4A9CF" wp14:editId="70B3158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A4438F3" w14:textId="77777777" w:rsidR="00DC3802" w:rsidRPr="008542F5" w:rsidRDefault="002E5944" w:rsidP="00AC2883">
            <w:pPr>
              <w:pStyle w:val="Lettrine"/>
            </w:pPr>
            <w:r>
              <w:t>S</w:t>
            </w:r>
          </w:p>
        </w:tc>
      </w:tr>
      <w:tr w:rsidR="00DC3802" w:rsidRPr="008542F5" w14:paraId="18C5ABF8" w14:textId="77777777" w:rsidTr="00645CA8">
        <w:trPr>
          <w:trHeight w:val="219"/>
        </w:trPr>
        <w:tc>
          <w:tcPr>
            <w:tcW w:w="6522" w:type="dxa"/>
          </w:tcPr>
          <w:p w14:paraId="2DA142FB" w14:textId="77777777" w:rsidR="00DC3802" w:rsidRPr="008542F5" w:rsidRDefault="002E5944" w:rsidP="00BC0BD4">
            <w:pPr>
              <w:pStyle w:val="upove"/>
            </w:pPr>
            <w:r>
              <w:t>Unión Internacional para la Protección de las Obtenciones Vegetales</w:t>
            </w:r>
          </w:p>
        </w:tc>
        <w:tc>
          <w:tcPr>
            <w:tcW w:w="3117" w:type="dxa"/>
          </w:tcPr>
          <w:p w14:paraId="1E936CE7" w14:textId="77777777" w:rsidR="00DC3802" w:rsidRPr="008542F5" w:rsidRDefault="00DC3802" w:rsidP="00DA4973"/>
        </w:tc>
      </w:tr>
    </w:tbl>
    <w:p w14:paraId="7262F898" w14:textId="77777777" w:rsidR="00DC3802" w:rsidRPr="008542F5" w:rsidRDefault="00DC3802" w:rsidP="00DC3802"/>
    <w:p w14:paraId="59E7E590" w14:textId="77777777" w:rsidR="00DA4973" w:rsidRPr="008542F5"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542F5" w14:paraId="312D291B" w14:textId="77777777" w:rsidTr="00EE3C81">
        <w:tc>
          <w:tcPr>
            <w:tcW w:w="6512" w:type="dxa"/>
            <w:tcBorders>
              <w:bottom w:val="single" w:sz="4" w:space="0" w:color="auto"/>
            </w:tcBorders>
          </w:tcPr>
          <w:p w14:paraId="305EB961" w14:textId="77777777" w:rsidR="00EB4E9C" w:rsidRPr="008542F5" w:rsidRDefault="002E5944" w:rsidP="00AC2883">
            <w:pPr>
              <w:pStyle w:val="Sessiontc"/>
              <w:spacing w:line="240" w:lineRule="auto"/>
            </w:pPr>
            <w:r>
              <w:t>Comité Técnico</w:t>
            </w:r>
          </w:p>
          <w:p w14:paraId="3CFA7F94" w14:textId="77777777" w:rsidR="00EB4E9C" w:rsidRPr="008542F5" w:rsidRDefault="002E5944" w:rsidP="00324098">
            <w:pPr>
              <w:pStyle w:val="Sessiontcplacedate"/>
              <w:rPr>
                <w:sz w:val="22"/>
              </w:rPr>
            </w:pPr>
            <w:r>
              <w:t>Quincuagésima séptima sesión</w:t>
            </w:r>
            <w:r>
              <w:br/>
              <w:t>Ginebra, 25 y 26 de octubre de 2021</w:t>
            </w:r>
          </w:p>
        </w:tc>
        <w:tc>
          <w:tcPr>
            <w:tcW w:w="3127" w:type="dxa"/>
            <w:tcBorders>
              <w:bottom w:val="single" w:sz="4" w:space="0" w:color="auto"/>
            </w:tcBorders>
          </w:tcPr>
          <w:p w14:paraId="70FD1339" w14:textId="77777777" w:rsidR="00EB4E9C" w:rsidRPr="008542F5" w:rsidRDefault="00467B42" w:rsidP="003C7FBE">
            <w:pPr>
              <w:pStyle w:val="Doccode"/>
            </w:pPr>
            <w:r>
              <w:t>TC/57/INF/6</w:t>
            </w:r>
          </w:p>
          <w:p w14:paraId="37D77655" w14:textId="77777777" w:rsidR="00EB4E9C" w:rsidRPr="008542F5" w:rsidRDefault="00EB4E9C" w:rsidP="003C7FBE">
            <w:pPr>
              <w:pStyle w:val="Docoriginal"/>
            </w:pPr>
            <w:r>
              <w:t>Original:</w:t>
            </w:r>
            <w:r>
              <w:rPr>
                <w:b w:val="0"/>
              </w:rPr>
              <w:t xml:space="preserve"> </w:t>
            </w:r>
            <w:proofErr w:type="gramStart"/>
            <w:r>
              <w:rPr>
                <w:b w:val="0"/>
              </w:rPr>
              <w:t>Inglés</w:t>
            </w:r>
            <w:proofErr w:type="gramEnd"/>
          </w:p>
          <w:p w14:paraId="5FE361D6" w14:textId="77777777" w:rsidR="00EE3C81" w:rsidRPr="008542F5" w:rsidRDefault="002E5944" w:rsidP="008542F5">
            <w:pPr>
              <w:pStyle w:val="Docoriginal"/>
              <w:rPr>
                <w:b w:val="0"/>
                <w:spacing w:val="0"/>
              </w:rPr>
            </w:pPr>
            <w:r>
              <w:t>Fecha:</w:t>
            </w:r>
            <w:r>
              <w:rPr>
                <w:b w:val="0"/>
              </w:rPr>
              <w:t xml:space="preserve"> 7 de octubre de 2021</w:t>
            </w:r>
          </w:p>
        </w:tc>
      </w:tr>
    </w:tbl>
    <w:p w14:paraId="750C46FF" w14:textId="77777777" w:rsidR="000D7780" w:rsidRPr="008542F5" w:rsidRDefault="008542F5" w:rsidP="006A644A">
      <w:pPr>
        <w:pStyle w:val="Titleofdoc0"/>
      </w:pPr>
      <w:bookmarkStart w:id="0" w:name="TitleOfDoc"/>
      <w:bookmarkEnd w:id="0"/>
      <w:r>
        <w:t>Técnicas moleculares</w:t>
      </w:r>
    </w:p>
    <w:p w14:paraId="730CA729" w14:textId="77777777" w:rsidR="006A644A" w:rsidRPr="008542F5" w:rsidRDefault="000638A9" w:rsidP="006A644A">
      <w:pPr>
        <w:pStyle w:val="preparedby1"/>
        <w:jc w:val="left"/>
      </w:pPr>
      <w:bookmarkStart w:id="1" w:name="Prepared"/>
      <w:bookmarkEnd w:id="1"/>
      <w:r>
        <w:t>Documento preparado por la Oficina de la Unión</w:t>
      </w:r>
    </w:p>
    <w:p w14:paraId="4775B9EB" w14:textId="77777777" w:rsidR="00050E16" w:rsidRPr="008542F5" w:rsidRDefault="000638A9" w:rsidP="006A644A">
      <w:pPr>
        <w:pStyle w:val="Disclaimer"/>
      </w:pPr>
      <w:r>
        <w:t>Descargo de responsabilidad: el presente documento no constituye un documento de política u orientación de la UPOV</w:t>
      </w:r>
    </w:p>
    <w:p w14:paraId="0A6A471D" w14:textId="77777777" w:rsidR="008542F5" w:rsidRPr="008542F5" w:rsidRDefault="008542F5" w:rsidP="008542F5">
      <w:pPr>
        <w:pStyle w:val="Heading1"/>
      </w:pPr>
      <w:bookmarkStart w:id="2" w:name="_Toc85438311"/>
      <w:r>
        <w:t>Resumen</w:t>
      </w:r>
      <w:bookmarkEnd w:id="2"/>
    </w:p>
    <w:p w14:paraId="2A36D5BD" w14:textId="77777777" w:rsidR="008542F5" w:rsidRPr="008542F5" w:rsidRDefault="008542F5" w:rsidP="008542F5">
      <w:pPr>
        <w:rPr>
          <w:sz w:val="18"/>
          <w:lang w:eastAsia="ja-JP"/>
        </w:rPr>
      </w:pPr>
    </w:p>
    <w:p w14:paraId="14B281F7" w14:textId="77777777" w:rsidR="008542F5" w:rsidRPr="008542F5" w:rsidRDefault="008542F5" w:rsidP="008542F5">
      <w:r w:rsidRPr="008542F5">
        <w:fldChar w:fldCharType="begin"/>
      </w:r>
      <w:r w:rsidRPr="008542F5">
        <w:instrText xml:space="preserve"> AUTONUM  </w:instrText>
      </w:r>
      <w:r w:rsidRPr="008542F5">
        <w:fldChar w:fldCharType="end"/>
      </w:r>
      <w:r>
        <w:tab/>
        <w:t>Este documento tiene por objeto exponer, a título informativo, las novedades acaecidas en los Grupos de Trabajo Técnico en sus sesiones de 2021, y en la vigésima sesión del Grupo de Trabajo sobre Técnicas Bioquímicas y Moleculares, y Perfiles de ADN en particular (BMT).</w:t>
      </w:r>
    </w:p>
    <w:p w14:paraId="1F308D17" w14:textId="77777777" w:rsidR="008542F5" w:rsidRPr="008542F5" w:rsidRDefault="008542F5" w:rsidP="008542F5">
      <w:pPr>
        <w:rPr>
          <w:lang w:eastAsia="ja-JP"/>
        </w:rPr>
      </w:pPr>
    </w:p>
    <w:p w14:paraId="24A17337" w14:textId="7ECC0341" w:rsidR="008542F5" w:rsidRPr="008542F5" w:rsidRDefault="008542F5" w:rsidP="008542F5">
      <w:r w:rsidRPr="008542F5">
        <w:fldChar w:fldCharType="begin"/>
      </w:r>
      <w:r w:rsidRPr="008542F5">
        <w:instrText xml:space="preserve"> AUTONUM  </w:instrText>
      </w:r>
      <w:r w:rsidRPr="008542F5">
        <w:fldChar w:fldCharType="end"/>
      </w:r>
      <w:r>
        <w:tab/>
        <w:t>Las cuestiones sujetas al examen</w:t>
      </w:r>
      <w:r>
        <w:rPr>
          <w:snapToGrid w:val="0"/>
        </w:rPr>
        <w:t xml:space="preserve"> del Comité Técnico (TC) referidas al uso de técnicas bioquímicas y moleculares en el examen DHE y a las técnicas moleculares en relación con los Grupos de Trabajo Técnico (TWP) y el Grupo de Trabajo sobre Técnicas Bioquímicas y Moleculares, y Perfiles de ADN en particular (BMT)</w:t>
      </w:r>
      <w:r>
        <w:t xml:space="preserve"> se presentan en los documentos TC/57/8 y TC/57/8 </w:t>
      </w:r>
      <w:proofErr w:type="spellStart"/>
      <w:r>
        <w:t>Add</w:t>
      </w:r>
      <w:proofErr w:type="spellEnd"/>
      <w:r>
        <w:t>. “Técnicas moleculares” y TC/57/24</w:t>
      </w:r>
      <w:r w:rsidR="00611D93">
        <w:t xml:space="preserve"> </w:t>
      </w:r>
      <w:r>
        <w:t>“</w:t>
      </w:r>
      <w:proofErr w:type="spellStart"/>
      <w:r>
        <w:rPr>
          <w:i/>
          <w:iCs/>
        </w:rPr>
        <w:t>Progress</w:t>
      </w:r>
      <w:proofErr w:type="spellEnd"/>
      <w:r>
        <w:rPr>
          <w:i/>
          <w:iCs/>
        </w:rPr>
        <w:t xml:space="preserve"> </w:t>
      </w:r>
      <w:proofErr w:type="spellStart"/>
      <w:r>
        <w:rPr>
          <w:i/>
          <w:iCs/>
        </w:rPr>
        <w:t>reports</w:t>
      </w:r>
      <w:proofErr w:type="spellEnd"/>
      <w:r>
        <w:rPr>
          <w:i/>
          <w:iCs/>
        </w:rPr>
        <w:t xml:space="preserve"> </w:t>
      </w:r>
      <w:proofErr w:type="spellStart"/>
      <w:r>
        <w:rPr>
          <w:i/>
          <w:iCs/>
        </w:rPr>
        <w:t>on</w:t>
      </w:r>
      <w:proofErr w:type="spellEnd"/>
      <w:r>
        <w:rPr>
          <w:i/>
          <w:iCs/>
        </w:rPr>
        <w:t xml:space="preserve"> </w:t>
      </w:r>
      <w:proofErr w:type="spellStart"/>
      <w:r>
        <w:rPr>
          <w:i/>
          <w:iCs/>
        </w:rPr>
        <w:t>the</w:t>
      </w:r>
      <w:proofErr w:type="spellEnd"/>
      <w:r>
        <w:rPr>
          <w:i/>
          <w:iCs/>
        </w:rPr>
        <w:t xml:space="preserve"> </w:t>
      </w:r>
      <w:proofErr w:type="spellStart"/>
      <w:r>
        <w:rPr>
          <w:i/>
          <w:iCs/>
        </w:rPr>
        <w:t>work</w:t>
      </w:r>
      <w:proofErr w:type="spellEnd"/>
      <w:r>
        <w:rPr>
          <w:i/>
          <w:iCs/>
        </w:rPr>
        <w:t xml:space="preserve"> of </w:t>
      </w:r>
      <w:proofErr w:type="spellStart"/>
      <w:r>
        <w:rPr>
          <w:i/>
          <w:iCs/>
        </w:rPr>
        <w:t>the</w:t>
      </w:r>
      <w:proofErr w:type="spellEnd"/>
      <w:r>
        <w:rPr>
          <w:i/>
          <w:iCs/>
        </w:rPr>
        <w:t xml:space="preserve"> </w:t>
      </w:r>
      <w:proofErr w:type="spellStart"/>
      <w:r>
        <w:rPr>
          <w:i/>
          <w:iCs/>
        </w:rPr>
        <w:t>Technical</w:t>
      </w:r>
      <w:proofErr w:type="spellEnd"/>
      <w:r>
        <w:rPr>
          <w:i/>
          <w:iCs/>
        </w:rPr>
        <w:t xml:space="preserve"> </w:t>
      </w:r>
      <w:proofErr w:type="spellStart"/>
      <w:r>
        <w:rPr>
          <w:i/>
          <w:iCs/>
        </w:rPr>
        <w:t>Working</w:t>
      </w:r>
      <w:proofErr w:type="spellEnd"/>
      <w:r>
        <w:rPr>
          <w:i/>
          <w:iCs/>
        </w:rPr>
        <w:t xml:space="preserve"> </w:t>
      </w:r>
      <w:proofErr w:type="spellStart"/>
      <w:r>
        <w:rPr>
          <w:i/>
          <w:iCs/>
        </w:rPr>
        <w:t>Parties</w:t>
      </w:r>
      <w:proofErr w:type="spellEnd"/>
      <w:r>
        <w:rPr>
          <w:i/>
          <w:iCs/>
        </w:rPr>
        <w:t xml:space="preserve">, </w:t>
      </w:r>
      <w:proofErr w:type="spellStart"/>
      <w:r>
        <w:rPr>
          <w:i/>
          <w:iCs/>
        </w:rPr>
        <w:t>including</w:t>
      </w:r>
      <w:proofErr w:type="spellEnd"/>
      <w:r>
        <w:rPr>
          <w:i/>
          <w:iCs/>
        </w:rPr>
        <w:t xml:space="preserve"> </w:t>
      </w:r>
      <w:proofErr w:type="spellStart"/>
      <w:r>
        <w:rPr>
          <w:i/>
          <w:iCs/>
        </w:rPr>
        <w:t>the</w:t>
      </w:r>
      <w:proofErr w:type="spellEnd"/>
      <w:r>
        <w:rPr>
          <w:i/>
          <w:iCs/>
        </w:rPr>
        <w:t xml:space="preserve"> </w:t>
      </w:r>
      <w:proofErr w:type="spellStart"/>
      <w:r>
        <w:rPr>
          <w:i/>
          <w:iCs/>
        </w:rPr>
        <w:t>Working</w:t>
      </w:r>
      <w:proofErr w:type="spellEnd"/>
      <w:r>
        <w:rPr>
          <w:i/>
          <w:iCs/>
        </w:rPr>
        <w:t xml:space="preserve"> </w:t>
      </w:r>
      <w:proofErr w:type="spellStart"/>
      <w:r>
        <w:rPr>
          <w:i/>
          <w:iCs/>
        </w:rPr>
        <w:t>Group</w:t>
      </w:r>
      <w:proofErr w:type="spellEnd"/>
      <w:r>
        <w:rPr>
          <w:i/>
          <w:iCs/>
        </w:rPr>
        <w:t xml:space="preserve"> </w:t>
      </w:r>
      <w:proofErr w:type="spellStart"/>
      <w:r>
        <w:rPr>
          <w:i/>
          <w:iCs/>
        </w:rPr>
        <w:t>on</w:t>
      </w:r>
      <w:proofErr w:type="spellEnd"/>
      <w:r>
        <w:rPr>
          <w:i/>
          <w:iCs/>
        </w:rPr>
        <w:t xml:space="preserve"> </w:t>
      </w:r>
      <w:proofErr w:type="spellStart"/>
      <w:r>
        <w:rPr>
          <w:i/>
          <w:iCs/>
        </w:rPr>
        <w:t>Biochemical</w:t>
      </w:r>
      <w:proofErr w:type="spellEnd"/>
      <w:r>
        <w:rPr>
          <w:i/>
          <w:iCs/>
        </w:rPr>
        <w:t xml:space="preserve"> and Molecular </w:t>
      </w:r>
      <w:proofErr w:type="spellStart"/>
      <w:r>
        <w:rPr>
          <w:i/>
          <w:iCs/>
        </w:rPr>
        <w:t>Techniques</w:t>
      </w:r>
      <w:proofErr w:type="spellEnd"/>
      <w:r>
        <w:rPr>
          <w:i/>
          <w:iCs/>
        </w:rPr>
        <w:t>, and DNA-</w:t>
      </w:r>
      <w:proofErr w:type="spellStart"/>
      <w:r>
        <w:rPr>
          <w:i/>
          <w:iCs/>
        </w:rPr>
        <w:t>Profiling</w:t>
      </w:r>
      <w:proofErr w:type="spellEnd"/>
      <w:r>
        <w:rPr>
          <w:i/>
          <w:iCs/>
        </w:rPr>
        <w:t xml:space="preserve"> in Particular (BMT)</w:t>
      </w:r>
      <w:r>
        <w:t>” (Informes sobre la labor de los Grupos de Trabajo Técnico, incluido el Grupo de Trabajo sobre Técnicas Bioquímicas y Moleculares, y Perfiles de ADN en particular (BMT)).</w:t>
      </w:r>
    </w:p>
    <w:p w14:paraId="60CDBFDF" w14:textId="77777777" w:rsidR="008542F5" w:rsidRPr="008542F5" w:rsidRDefault="008542F5" w:rsidP="008542F5">
      <w:pPr>
        <w:jc w:val="left"/>
        <w:rPr>
          <w:rFonts w:cs="Arial"/>
          <w:snapToGrid w:val="0"/>
          <w:szCs w:val="24"/>
          <w:lang w:eastAsia="ja-JP"/>
        </w:rPr>
      </w:pPr>
    </w:p>
    <w:p w14:paraId="5046C55F" w14:textId="77777777" w:rsidR="008542F5" w:rsidRPr="008542F5" w:rsidRDefault="008542F5" w:rsidP="008542F5">
      <w:pPr>
        <w:keepNext/>
        <w:keepLines/>
      </w:pPr>
      <w:r w:rsidRPr="008542F5">
        <w:fldChar w:fldCharType="begin"/>
      </w:r>
      <w:r w:rsidRPr="008542F5">
        <w:instrText xml:space="preserve"> AUTONUM  </w:instrText>
      </w:r>
      <w:r w:rsidRPr="008542F5">
        <w:fldChar w:fldCharType="end"/>
      </w:r>
      <w:r>
        <w:tab/>
        <w:t>El presente documento se estructura del modo siguiente:</w:t>
      </w:r>
    </w:p>
    <w:sdt>
      <w:sdtPr>
        <w:rPr>
          <w:smallCaps/>
          <w:sz w:val="18"/>
        </w:rPr>
        <w:id w:val="-1800911247"/>
        <w:docPartObj>
          <w:docPartGallery w:val="Table of Contents"/>
          <w:docPartUnique/>
        </w:docPartObj>
      </w:sdtPr>
      <w:sdtEndPr>
        <w:rPr>
          <w:smallCaps w:val="0"/>
          <w:noProof/>
        </w:rPr>
      </w:sdtEndPr>
      <w:sdtContent>
        <w:p w14:paraId="460EB4EA" w14:textId="77777777" w:rsidR="008542F5" w:rsidRPr="008542F5" w:rsidRDefault="008542F5" w:rsidP="008542F5">
          <w:pPr>
            <w:keepNext/>
            <w:keepLines/>
            <w:rPr>
              <w:rFonts w:cs="Arial"/>
              <w:b/>
              <w:sz w:val="18"/>
            </w:rPr>
          </w:pPr>
        </w:p>
        <w:p w14:paraId="3D3F41F6" w14:textId="77777777" w:rsidR="00CB3D67" w:rsidRDefault="008542F5" w:rsidP="009E566E">
          <w:pPr>
            <w:pStyle w:val="TOC1"/>
            <w:rPr>
              <w:rFonts w:asciiTheme="minorHAnsi" w:eastAsiaTheme="minorEastAsia" w:hAnsiTheme="minorHAnsi" w:cstheme="minorBidi"/>
              <w:noProof/>
              <w:sz w:val="22"/>
              <w:szCs w:val="22"/>
              <w:lang w:eastAsia="es-ES"/>
            </w:rPr>
          </w:pPr>
          <w:r w:rsidRPr="008542F5">
            <w:rPr>
              <w:rFonts w:cs="Arial"/>
            </w:rPr>
            <w:fldChar w:fldCharType="begin"/>
          </w:r>
          <w:r w:rsidRPr="008542F5">
            <w:rPr>
              <w:rFonts w:cs="Arial"/>
            </w:rPr>
            <w:instrText xml:space="preserve"> TOC \o "1-3" \h \z \u </w:instrText>
          </w:r>
          <w:r w:rsidRPr="008542F5">
            <w:rPr>
              <w:rFonts w:cs="Arial"/>
            </w:rPr>
            <w:fldChar w:fldCharType="separate"/>
          </w:r>
          <w:hyperlink w:anchor="_Toc85438311" w:history="1">
            <w:r w:rsidR="00CB3D67" w:rsidRPr="008B37B3">
              <w:rPr>
                <w:rStyle w:val="Hyperlink"/>
                <w:noProof/>
              </w:rPr>
              <w:t>Resumen</w:t>
            </w:r>
            <w:r w:rsidR="00CB3D67">
              <w:rPr>
                <w:noProof/>
                <w:webHidden/>
              </w:rPr>
              <w:tab/>
            </w:r>
            <w:r w:rsidR="00CB3D67">
              <w:rPr>
                <w:noProof/>
                <w:webHidden/>
              </w:rPr>
              <w:fldChar w:fldCharType="begin"/>
            </w:r>
            <w:r w:rsidR="00CB3D67">
              <w:rPr>
                <w:noProof/>
                <w:webHidden/>
              </w:rPr>
              <w:instrText xml:space="preserve"> PAGEREF _Toc85438311 \h </w:instrText>
            </w:r>
            <w:r w:rsidR="00CB3D67">
              <w:rPr>
                <w:noProof/>
                <w:webHidden/>
              </w:rPr>
            </w:r>
            <w:r w:rsidR="00CB3D67">
              <w:rPr>
                <w:noProof/>
                <w:webHidden/>
              </w:rPr>
              <w:fldChar w:fldCharType="separate"/>
            </w:r>
            <w:r w:rsidR="00CB3D67">
              <w:rPr>
                <w:noProof/>
                <w:webHidden/>
              </w:rPr>
              <w:t>1</w:t>
            </w:r>
            <w:r w:rsidR="00CB3D67">
              <w:rPr>
                <w:noProof/>
                <w:webHidden/>
              </w:rPr>
              <w:fldChar w:fldCharType="end"/>
            </w:r>
          </w:hyperlink>
        </w:p>
        <w:p w14:paraId="3ED242C0" w14:textId="77777777" w:rsidR="00CB3D67" w:rsidRDefault="00A00B59" w:rsidP="009E566E">
          <w:pPr>
            <w:pStyle w:val="TOC1"/>
            <w:rPr>
              <w:rFonts w:asciiTheme="minorHAnsi" w:eastAsiaTheme="minorEastAsia" w:hAnsiTheme="minorHAnsi" w:cstheme="minorBidi"/>
              <w:noProof/>
              <w:sz w:val="22"/>
              <w:szCs w:val="22"/>
              <w:lang w:eastAsia="es-ES"/>
            </w:rPr>
          </w:pPr>
          <w:hyperlink w:anchor="_Toc85438312" w:history="1">
            <w:r w:rsidR="00CB3D67" w:rsidRPr="008B37B3">
              <w:rPr>
                <w:rStyle w:val="Hyperlink"/>
                <w:noProof/>
              </w:rPr>
              <w:t>Confidencialidad y la titularidad de la información molecular</w:t>
            </w:r>
            <w:r w:rsidR="00CB3D67">
              <w:rPr>
                <w:noProof/>
                <w:webHidden/>
              </w:rPr>
              <w:tab/>
            </w:r>
            <w:r w:rsidR="00CB3D67">
              <w:rPr>
                <w:noProof/>
                <w:webHidden/>
              </w:rPr>
              <w:fldChar w:fldCharType="begin"/>
            </w:r>
            <w:r w:rsidR="00CB3D67">
              <w:rPr>
                <w:noProof/>
                <w:webHidden/>
              </w:rPr>
              <w:instrText xml:space="preserve"> PAGEREF _Toc85438312 \h </w:instrText>
            </w:r>
            <w:r w:rsidR="00CB3D67">
              <w:rPr>
                <w:noProof/>
                <w:webHidden/>
              </w:rPr>
            </w:r>
            <w:r w:rsidR="00CB3D67">
              <w:rPr>
                <w:noProof/>
                <w:webHidden/>
              </w:rPr>
              <w:fldChar w:fldCharType="separate"/>
            </w:r>
            <w:r w:rsidR="00CB3D67">
              <w:rPr>
                <w:noProof/>
                <w:webHidden/>
              </w:rPr>
              <w:t>2</w:t>
            </w:r>
            <w:r w:rsidR="00CB3D67">
              <w:rPr>
                <w:noProof/>
                <w:webHidden/>
              </w:rPr>
              <w:fldChar w:fldCharType="end"/>
            </w:r>
          </w:hyperlink>
        </w:p>
        <w:p w14:paraId="23578510" w14:textId="77777777" w:rsidR="00CB3D67" w:rsidRDefault="00A00B59" w:rsidP="009E566E">
          <w:pPr>
            <w:pStyle w:val="TOC1"/>
            <w:rPr>
              <w:rFonts w:asciiTheme="minorHAnsi" w:eastAsiaTheme="minorEastAsia" w:hAnsiTheme="minorHAnsi" w:cstheme="minorBidi"/>
              <w:noProof/>
              <w:sz w:val="22"/>
              <w:szCs w:val="22"/>
              <w:lang w:eastAsia="es-ES"/>
            </w:rPr>
          </w:pPr>
          <w:hyperlink w:anchor="_Toc85438313" w:history="1">
            <w:r w:rsidR="00CB3D67" w:rsidRPr="008B37B3">
              <w:rPr>
                <w:rStyle w:val="Hyperlink"/>
                <w:noProof/>
              </w:rPr>
              <w:t>Revisión del documento UPOV/INF/17 “Directrices para los perfiles de ADN: selección de marcadores moleculares y creación de una base de datos (‘Directrices BMT’)”</w:t>
            </w:r>
            <w:r w:rsidR="00CB3D67">
              <w:rPr>
                <w:noProof/>
                <w:webHidden/>
              </w:rPr>
              <w:tab/>
            </w:r>
            <w:r w:rsidR="00CB3D67">
              <w:rPr>
                <w:noProof/>
                <w:webHidden/>
              </w:rPr>
              <w:fldChar w:fldCharType="begin"/>
            </w:r>
            <w:r w:rsidR="00CB3D67">
              <w:rPr>
                <w:noProof/>
                <w:webHidden/>
              </w:rPr>
              <w:instrText xml:space="preserve"> PAGEREF _Toc85438313 \h </w:instrText>
            </w:r>
            <w:r w:rsidR="00CB3D67">
              <w:rPr>
                <w:noProof/>
                <w:webHidden/>
              </w:rPr>
            </w:r>
            <w:r w:rsidR="00CB3D67">
              <w:rPr>
                <w:noProof/>
                <w:webHidden/>
              </w:rPr>
              <w:fldChar w:fldCharType="separate"/>
            </w:r>
            <w:r w:rsidR="00CB3D67">
              <w:rPr>
                <w:noProof/>
                <w:webHidden/>
              </w:rPr>
              <w:t>3</w:t>
            </w:r>
            <w:r w:rsidR="00CB3D67">
              <w:rPr>
                <w:noProof/>
                <w:webHidden/>
              </w:rPr>
              <w:fldChar w:fldCharType="end"/>
            </w:r>
          </w:hyperlink>
        </w:p>
        <w:p w14:paraId="6F986AF6" w14:textId="77777777" w:rsidR="00CB3D67" w:rsidRDefault="00A00B59" w:rsidP="009E566E">
          <w:pPr>
            <w:pStyle w:val="TOC1"/>
            <w:rPr>
              <w:rFonts w:asciiTheme="minorHAnsi" w:eastAsiaTheme="minorEastAsia" w:hAnsiTheme="minorHAnsi" w:cstheme="minorBidi"/>
              <w:noProof/>
              <w:sz w:val="22"/>
              <w:szCs w:val="22"/>
              <w:lang w:eastAsia="es-ES"/>
            </w:rPr>
          </w:pPr>
          <w:hyperlink w:anchor="_Toc85438314" w:history="1">
            <w:r w:rsidR="00CB3D67" w:rsidRPr="008B37B3">
              <w:rPr>
                <w:rStyle w:val="Hyperlink"/>
                <w:noProof/>
              </w:rPr>
              <w:t>Novedades acaecidas en los Grupos de Trabajo Técnico en sus sesiones de 2021</w:t>
            </w:r>
            <w:r w:rsidR="00CB3D67">
              <w:rPr>
                <w:noProof/>
                <w:webHidden/>
              </w:rPr>
              <w:tab/>
            </w:r>
            <w:r w:rsidR="00CB3D67">
              <w:rPr>
                <w:noProof/>
                <w:webHidden/>
              </w:rPr>
              <w:fldChar w:fldCharType="begin"/>
            </w:r>
            <w:r w:rsidR="00CB3D67">
              <w:rPr>
                <w:noProof/>
                <w:webHidden/>
              </w:rPr>
              <w:instrText xml:space="preserve"> PAGEREF _Toc85438314 \h </w:instrText>
            </w:r>
            <w:r w:rsidR="00CB3D67">
              <w:rPr>
                <w:noProof/>
                <w:webHidden/>
              </w:rPr>
            </w:r>
            <w:r w:rsidR="00CB3D67">
              <w:rPr>
                <w:noProof/>
                <w:webHidden/>
              </w:rPr>
              <w:fldChar w:fldCharType="separate"/>
            </w:r>
            <w:r w:rsidR="00CB3D67">
              <w:rPr>
                <w:noProof/>
                <w:webHidden/>
              </w:rPr>
              <w:t>3</w:t>
            </w:r>
            <w:r w:rsidR="00CB3D67">
              <w:rPr>
                <w:noProof/>
                <w:webHidden/>
              </w:rPr>
              <w:fldChar w:fldCharType="end"/>
            </w:r>
          </w:hyperlink>
        </w:p>
        <w:p w14:paraId="454C4964" w14:textId="77777777" w:rsidR="00CB3D67" w:rsidRPr="00A35AC1" w:rsidRDefault="00A00B59" w:rsidP="00A35AC1">
          <w:pPr>
            <w:pStyle w:val="TOC2"/>
            <w:rPr>
              <w:rStyle w:val="Hyperlink"/>
              <w:lang w:val="en-US"/>
            </w:rPr>
          </w:pPr>
          <w:hyperlink w:anchor="_Toc85438315" w:history="1">
            <w:r w:rsidR="00CB3D67" w:rsidRPr="00A35AC1">
              <w:rPr>
                <w:rStyle w:val="Hyperlink"/>
                <w:noProof/>
                <w:lang w:val="en-US"/>
              </w:rPr>
              <w:t>Novedades acaecidas en la décimonovena sesión del Grupo de Trabajo sobre Técnicas Bioquímicas y Moleculares, y Perfiles de ADN en Particular</w:t>
            </w:r>
            <w:r w:rsidR="00CB3D67" w:rsidRPr="00A35AC1">
              <w:rPr>
                <w:rStyle w:val="Hyperlink"/>
                <w:webHidden/>
                <w:lang w:val="en-US"/>
              </w:rPr>
              <w:tab/>
            </w:r>
            <w:r w:rsidR="00CB3D67" w:rsidRPr="00A35AC1">
              <w:rPr>
                <w:rStyle w:val="Hyperlink"/>
                <w:smallCaps/>
                <w:webHidden/>
                <w:lang w:val="en-US"/>
              </w:rPr>
              <w:fldChar w:fldCharType="begin"/>
            </w:r>
            <w:r w:rsidR="00CB3D67" w:rsidRPr="00A35AC1">
              <w:rPr>
                <w:rStyle w:val="Hyperlink"/>
                <w:webHidden/>
                <w:lang w:val="en-US"/>
              </w:rPr>
              <w:instrText xml:space="preserve"> PAGEREF _Toc85438315 \h </w:instrText>
            </w:r>
            <w:r w:rsidR="00CB3D67" w:rsidRPr="00A35AC1">
              <w:rPr>
                <w:rStyle w:val="Hyperlink"/>
                <w:smallCaps/>
                <w:webHidden/>
                <w:lang w:val="en-US"/>
              </w:rPr>
            </w:r>
            <w:r w:rsidR="00CB3D67" w:rsidRPr="00A35AC1">
              <w:rPr>
                <w:rStyle w:val="Hyperlink"/>
                <w:smallCaps/>
                <w:webHidden/>
                <w:lang w:val="en-US"/>
              </w:rPr>
              <w:fldChar w:fldCharType="separate"/>
            </w:r>
            <w:r w:rsidR="00CB3D67" w:rsidRPr="00A35AC1">
              <w:rPr>
                <w:rStyle w:val="Hyperlink"/>
                <w:webHidden/>
                <w:lang w:val="en-US"/>
              </w:rPr>
              <w:t>3</w:t>
            </w:r>
            <w:r w:rsidR="00CB3D67" w:rsidRPr="00A35AC1">
              <w:rPr>
                <w:rStyle w:val="Hyperlink"/>
                <w:smallCaps/>
                <w:webHidden/>
                <w:lang w:val="en-US"/>
              </w:rPr>
              <w:fldChar w:fldCharType="end"/>
            </w:r>
          </w:hyperlink>
        </w:p>
        <w:p w14:paraId="1AA85C12" w14:textId="77777777" w:rsidR="00CB3D67" w:rsidRPr="00A35AC1" w:rsidRDefault="00A00B59" w:rsidP="00A35AC1">
          <w:pPr>
            <w:pStyle w:val="TOC2"/>
            <w:rPr>
              <w:rStyle w:val="Hyperlink"/>
              <w:lang w:val="en-US"/>
            </w:rPr>
          </w:pPr>
          <w:hyperlink w:anchor="_Toc85438316" w:history="1">
            <w:r w:rsidR="00CB3D67" w:rsidRPr="00A35AC1">
              <w:rPr>
                <w:rStyle w:val="Hyperlink"/>
                <w:noProof/>
                <w:lang w:val="en-US"/>
              </w:rPr>
              <w:t>Fusión del Grupo de Trabajo sobre Técnicas Bioquímicas y Moleculares, y Perfiles de ADN en particular (BMT) y del Grupo de Trabajo Técnico sobre Automatización y Programas Informáticos (TWC)</w:t>
            </w:r>
            <w:r w:rsidR="00CB3D67" w:rsidRPr="00A35AC1">
              <w:rPr>
                <w:rStyle w:val="Hyperlink"/>
                <w:webHidden/>
                <w:lang w:val="en-US"/>
              </w:rPr>
              <w:tab/>
            </w:r>
            <w:r w:rsidR="00CB3D67" w:rsidRPr="00A35AC1">
              <w:rPr>
                <w:rStyle w:val="Hyperlink"/>
                <w:smallCaps/>
                <w:webHidden/>
                <w:lang w:val="en-US"/>
              </w:rPr>
              <w:fldChar w:fldCharType="begin"/>
            </w:r>
            <w:r w:rsidR="00CB3D67" w:rsidRPr="00A35AC1">
              <w:rPr>
                <w:rStyle w:val="Hyperlink"/>
                <w:webHidden/>
                <w:lang w:val="en-US"/>
              </w:rPr>
              <w:instrText xml:space="preserve"> PAGEREF _Toc85438316 \h </w:instrText>
            </w:r>
            <w:r w:rsidR="00CB3D67" w:rsidRPr="00A35AC1">
              <w:rPr>
                <w:rStyle w:val="Hyperlink"/>
                <w:smallCaps/>
                <w:webHidden/>
                <w:lang w:val="en-US"/>
              </w:rPr>
            </w:r>
            <w:r w:rsidR="00CB3D67" w:rsidRPr="00A35AC1">
              <w:rPr>
                <w:rStyle w:val="Hyperlink"/>
                <w:smallCaps/>
                <w:webHidden/>
                <w:lang w:val="en-US"/>
              </w:rPr>
              <w:fldChar w:fldCharType="separate"/>
            </w:r>
            <w:r w:rsidR="00CB3D67" w:rsidRPr="00A35AC1">
              <w:rPr>
                <w:rStyle w:val="Hyperlink"/>
                <w:webHidden/>
                <w:lang w:val="en-US"/>
              </w:rPr>
              <w:t>3</w:t>
            </w:r>
            <w:r w:rsidR="00CB3D67" w:rsidRPr="00A35AC1">
              <w:rPr>
                <w:rStyle w:val="Hyperlink"/>
                <w:smallCaps/>
                <w:webHidden/>
                <w:lang w:val="en-US"/>
              </w:rPr>
              <w:fldChar w:fldCharType="end"/>
            </w:r>
          </w:hyperlink>
        </w:p>
        <w:p w14:paraId="47E0D0BE" w14:textId="77777777" w:rsidR="00CB3D67" w:rsidRDefault="00A00B59" w:rsidP="009E566E">
          <w:pPr>
            <w:pStyle w:val="TOC1"/>
            <w:rPr>
              <w:rFonts w:asciiTheme="minorHAnsi" w:eastAsiaTheme="minorEastAsia" w:hAnsiTheme="minorHAnsi" w:cstheme="minorBidi"/>
              <w:noProof/>
              <w:sz w:val="22"/>
              <w:szCs w:val="22"/>
              <w:lang w:eastAsia="es-ES"/>
            </w:rPr>
          </w:pPr>
          <w:hyperlink w:anchor="_Toc85438317" w:history="1">
            <w:r w:rsidR="00CB3D67" w:rsidRPr="008B37B3">
              <w:rPr>
                <w:rStyle w:val="Hyperlink"/>
                <w:noProof/>
              </w:rPr>
              <w:t>Novedades acaecidas en la vigésima sesión del Grupo de Trabajo Técnico sobre Técnicas Bioquímicas y Moleculares y Perfiles de ADN en particular</w:t>
            </w:r>
            <w:r w:rsidR="00CB3D67">
              <w:rPr>
                <w:noProof/>
                <w:webHidden/>
              </w:rPr>
              <w:tab/>
            </w:r>
            <w:r w:rsidR="00CB3D67">
              <w:rPr>
                <w:noProof/>
                <w:webHidden/>
              </w:rPr>
              <w:fldChar w:fldCharType="begin"/>
            </w:r>
            <w:r w:rsidR="00CB3D67">
              <w:rPr>
                <w:noProof/>
                <w:webHidden/>
              </w:rPr>
              <w:instrText xml:space="preserve"> PAGEREF _Toc85438317 \h </w:instrText>
            </w:r>
            <w:r w:rsidR="00CB3D67">
              <w:rPr>
                <w:noProof/>
                <w:webHidden/>
              </w:rPr>
            </w:r>
            <w:r w:rsidR="00CB3D67">
              <w:rPr>
                <w:noProof/>
                <w:webHidden/>
              </w:rPr>
              <w:fldChar w:fldCharType="separate"/>
            </w:r>
            <w:r w:rsidR="00CB3D67">
              <w:rPr>
                <w:noProof/>
                <w:webHidden/>
              </w:rPr>
              <w:t>4</w:t>
            </w:r>
            <w:r w:rsidR="00CB3D67">
              <w:rPr>
                <w:noProof/>
                <w:webHidden/>
              </w:rPr>
              <w:fldChar w:fldCharType="end"/>
            </w:r>
          </w:hyperlink>
        </w:p>
        <w:p w14:paraId="16B4D754" w14:textId="77777777" w:rsidR="00CB3D67" w:rsidRPr="00A35AC1" w:rsidRDefault="00A00B59" w:rsidP="00A35AC1">
          <w:pPr>
            <w:pStyle w:val="TOC2"/>
            <w:rPr>
              <w:rStyle w:val="Hyperlink"/>
              <w:lang w:val="en-US"/>
            </w:rPr>
          </w:pPr>
          <w:hyperlink w:anchor="_Toc85438318" w:history="1">
            <w:r w:rsidR="00CB3D67" w:rsidRPr="00A35AC1">
              <w:rPr>
                <w:rStyle w:val="Hyperlink"/>
                <w:noProof/>
                <w:lang w:val="en-US"/>
              </w:rPr>
              <w:t>Documentos presentados</w:t>
            </w:r>
            <w:r w:rsidR="00CB3D67" w:rsidRPr="00A35AC1">
              <w:rPr>
                <w:rStyle w:val="Hyperlink"/>
                <w:webHidden/>
                <w:lang w:val="en-US"/>
              </w:rPr>
              <w:tab/>
            </w:r>
            <w:r w:rsidR="00CB3D67" w:rsidRPr="00A35AC1">
              <w:rPr>
                <w:rStyle w:val="Hyperlink"/>
                <w:smallCaps/>
                <w:webHidden/>
                <w:lang w:val="en-US"/>
              </w:rPr>
              <w:fldChar w:fldCharType="begin"/>
            </w:r>
            <w:r w:rsidR="00CB3D67" w:rsidRPr="00A35AC1">
              <w:rPr>
                <w:rStyle w:val="Hyperlink"/>
                <w:webHidden/>
                <w:lang w:val="en-US"/>
              </w:rPr>
              <w:instrText xml:space="preserve"> PAGEREF _Toc85438318 \h </w:instrText>
            </w:r>
            <w:r w:rsidR="00CB3D67" w:rsidRPr="00A35AC1">
              <w:rPr>
                <w:rStyle w:val="Hyperlink"/>
                <w:smallCaps/>
                <w:webHidden/>
                <w:lang w:val="en-US"/>
              </w:rPr>
            </w:r>
            <w:r w:rsidR="00CB3D67" w:rsidRPr="00A35AC1">
              <w:rPr>
                <w:rStyle w:val="Hyperlink"/>
                <w:smallCaps/>
                <w:webHidden/>
                <w:lang w:val="en-US"/>
              </w:rPr>
              <w:fldChar w:fldCharType="separate"/>
            </w:r>
            <w:r w:rsidR="00CB3D67" w:rsidRPr="00A35AC1">
              <w:rPr>
                <w:rStyle w:val="Hyperlink"/>
                <w:webHidden/>
                <w:lang w:val="en-US"/>
              </w:rPr>
              <w:t>4</w:t>
            </w:r>
            <w:r w:rsidR="00CB3D67" w:rsidRPr="00A35AC1">
              <w:rPr>
                <w:rStyle w:val="Hyperlink"/>
                <w:smallCaps/>
                <w:webHidden/>
                <w:lang w:val="en-US"/>
              </w:rPr>
              <w:fldChar w:fldCharType="end"/>
            </w:r>
          </w:hyperlink>
        </w:p>
        <w:p w14:paraId="32B55DE0" w14:textId="77777777" w:rsidR="00CB3D67" w:rsidRPr="00A35AC1" w:rsidRDefault="00A00B59" w:rsidP="00A35AC1">
          <w:pPr>
            <w:pStyle w:val="TOC2"/>
            <w:rPr>
              <w:rStyle w:val="Hyperlink"/>
              <w:lang w:val="en-US"/>
            </w:rPr>
          </w:pPr>
          <w:hyperlink w:anchor="_Toc85438319" w:history="1">
            <w:r w:rsidR="00CB3D67" w:rsidRPr="00A35AC1">
              <w:rPr>
                <w:rStyle w:val="Hyperlink"/>
                <w:noProof/>
                <w:lang w:val="en-US"/>
              </w:rPr>
              <w:t>Breves ponencias sobre los avances en las técnicas bioquímicas y moleculares a cargo de expertos en el examen DHE, especialistas en técnicas bioquímicas y moleculares, y obtentores y organizaciones internacionales pertinentes</w:t>
            </w:r>
            <w:r w:rsidR="00CB3D67" w:rsidRPr="00A35AC1">
              <w:rPr>
                <w:rStyle w:val="Hyperlink"/>
                <w:webHidden/>
                <w:lang w:val="en-US"/>
              </w:rPr>
              <w:tab/>
            </w:r>
            <w:r w:rsidR="00CB3D67" w:rsidRPr="00A35AC1">
              <w:rPr>
                <w:rStyle w:val="Hyperlink"/>
                <w:smallCaps/>
                <w:webHidden/>
                <w:lang w:val="en-US"/>
              </w:rPr>
              <w:fldChar w:fldCharType="begin"/>
            </w:r>
            <w:r w:rsidR="00CB3D67" w:rsidRPr="00A35AC1">
              <w:rPr>
                <w:rStyle w:val="Hyperlink"/>
                <w:webHidden/>
                <w:lang w:val="en-US"/>
              </w:rPr>
              <w:instrText xml:space="preserve"> PAGEREF _Toc85438319 \h </w:instrText>
            </w:r>
            <w:r w:rsidR="00CB3D67" w:rsidRPr="00A35AC1">
              <w:rPr>
                <w:rStyle w:val="Hyperlink"/>
                <w:smallCaps/>
                <w:webHidden/>
                <w:lang w:val="en-US"/>
              </w:rPr>
            </w:r>
            <w:r w:rsidR="00CB3D67" w:rsidRPr="00A35AC1">
              <w:rPr>
                <w:rStyle w:val="Hyperlink"/>
                <w:smallCaps/>
                <w:webHidden/>
                <w:lang w:val="en-US"/>
              </w:rPr>
              <w:fldChar w:fldCharType="separate"/>
            </w:r>
            <w:r w:rsidR="00CB3D67" w:rsidRPr="00A35AC1">
              <w:rPr>
                <w:rStyle w:val="Hyperlink"/>
                <w:webHidden/>
                <w:lang w:val="en-US"/>
              </w:rPr>
              <w:t>4</w:t>
            </w:r>
            <w:r w:rsidR="00CB3D67" w:rsidRPr="00A35AC1">
              <w:rPr>
                <w:rStyle w:val="Hyperlink"/>
                <w:smallCaps/>
                <w:webHidden/>
                <w:lang w:val="en-US"/>
              </w:rPr>
              <w:fldChar w:fldCharType="end"/>
            </w:r>
          </w:hyperlink>
        </w:p>
        <w:p w14:paraId="72DF223A" w14:textId="77777777" w:rsidR="008542F5" w:rsidRPr="008542F5" w:rsidRDefault="008542F5" w:rsidP="008542F5">
          <w:pPr>
            <w:pStyle w:val="TOC2"/>
          </w:pPr>
          <w:r w:rsidRPr="008542F5">
            <w:fldChar w:fldCharType="end"/>
          </w:r>
        </w:p>
      </w:sdtContent>
    </w:sdt>
    <w:p w14:paraId="753112B0" w14:textId="77777777" w:rsidR="008542F5" w:rsidRPr="008542F5" w:rsidRDefault="008542F5" w:rsidP="008542F5">
      <w:r w:rsidRPr="008542F5">
        <w:fldChar w:fldCharType="begin"/>
      </w:r>
      <w:r w:rsidRPr="008542F5">
        <w:instrText xml:space="preserve"> AUTONUM  </w:instrText>
      </w:r>
      <w:r w:rsidRPr="008542F5">
        <w:fldChar w:fldCharType="end"/>
      </w:r>
      <w:r>
        <w:tab/>
        <w:t>En el presente documento se utilizan las abreviaturas siguientes:</w:t>
      </w:r>
    </w:p>
    <w:p w14:paraId="76A6E172" w14:textId="77777777" w:rsidR="008542F5" w:rsidRPr="00A00B59" w:rsidRDefault="008542F5" w:rsidP="008542F5">
      <w:pPr>
        <w:rPr>
          <w:sz w:val="18"/>
        </w:rPr>
      </w:pPr>
    </w:p>
    <w:p w14:paraId="7B23C7D3" w14:textId="77777777" w:rsidR="008542F5" w:rsidRPr="008542F5" w:rsidRDefault="008542F5" w:rsidP="008542F5">
      <w:pPr>
        <w:keepNext/>
        <w:tabs>
          <w:tab w:val="left" w:pos="567"/>
        </w:tabs>
        <w:ind w:left="1701" w:hanging="1134"/>
        <w:rPr>
          <w:sz w:val="18"/>
        </w:rPr>
      </w:pPr>
      <w:r>
        <w:rPr>
          <w:sz w:val="18"/>
        </w:rPr>
        <w:t>BMT:</w:t>
      </w:r>
      <w:r>
        <w:rPr>
          <w:sz w:val="18"/>
        </w:rPr>
        <w:tab/>
        <w:t xml:space="preserve">Grupo de Trabajo sobre Técnicas Bioquímicas y Moleculares, y Perfiles de ADN en Particular </w:t>
      </w:r>
    </w:p>
    <w:p w14:paraId="26B5DBC5" w14:textId="77777777" w:rsidR="008542F5" w:rsidRPr="008542F5" w:rsidRDefault="008542F5" w:rsidP="008542F5">
      <w:pPr>
        <w:ind w:left="1701" w:hanging="1134"/>
        <w:rPr>
          <w:rFonts w:cs="Arial"/>
          <w:snapToGrid w:val="0"/>
          <w:sz w:val="18"/>
          <w:szCs w:val="24"/>
        </w:rPr>
      </w:pPr>
      <w:r>
        <w:rPr>
          <w:snapToGrid w:val="0"/>
          <w:sz w:val="18"/>
        </w:rPr>
        <w:t xml:space="preserve">ISTA: </w:t>
      </w:r>
      <w:r>
        <w:rPr>
          <w:snapToGrid w:val="0"/>
          <w:sz w:val="18"/>
        </w:rPr>
        <w:tab/>
      </w:r>
      <w:r>
        <w:rPr>
          <w:i/>
          <w:iCs/>
          <w:snapToGrid w:val="0"/>
          <w:sz w:val="18"/>
        </w:rPr>
        <w:t xml:space="preserve">International </w:t>
      </w:r>
      <w:proofErr w:type="spellStart"/>
      <w:r>
        <w:rPr>
          <w:i/>
          <w:iCs/>
          <w:snapToGrid w:val="0"/>
          <w:sz w:val="18"/>
        </w:rPr>
        <w:t>Seed</w:t>
      </w:r>
      <w:proofErr w:type="spellEnd"/>
      <w:r>
        <w:rPr>
          <w:i/>
          <w:iCs/>
          <w:snapToGrid w:val="0"/>
          <w:sz w:val="18"/>
        </w:rPr>
        <w:t xml:space="preserve"> </w:t>
      </w:r>
      <w:proofErr w:type="spellStart"/>
      <w:r>
        <w:rPr>
          <w:i/>
          <w:iCs/>
          <w:snapToGrid w:val="0"/>
          <w:sz w:val="18"/>
        </w:rPr>
        <w:t>Testing</w:t>
      </w:r>
      <w:proofErr w:type="spellEnd"/>
      <w:r>
        <w:rPr>
          <w:i/>
          <w:iCs/>
          <w:snapToGrid w:val="0"/>
          <w:sz w:val="18"/>
        </w:rPr>
        <w:t xml:space="preserve"> </w:t>
      </w:r>
      <w:proofErr w:type="spellStart"/>
      <w:r>
        <w:rPr>
          <w:i/>
          <w:iCs/>
          <w:snapToGrid w:val="0"/>
          <w:sz w:val="18"/>
        </w:rPr>
        <w:t>Association</w:t>
      </w:r>
      <w:proofErr w:type="spellEnd"/>
      <w:r>
        <w:rPr>
          <w:i/>
          <w:iCs/>
          <w:snapToGrid w:val="0"/>
          <w:sz w:val="18"/>
        </w:rPr>
        <w:t xml:space="preserve"> </w:t>
      </w:r>
      <w:r>
        <w:rPr>
          <w:snapToGrid w:val="0"/>
          <w:sz w:val="18"/>
        </w:rPr>
        <w:t>(Asociación Internacional para el Ensayo de Semillas)</w:t>
      </w:r>
    </w:p>
    <w:p w14:paraId="29BCE09F" w14:textId="77777777" w:rsidR="008542F5" w:rsidRPr="008542F5" w:rsidRDefault="008542F5" w:rsidP="008542F5">
      <w:pPr>
        <w:ind w:left="1701" w:hanging="1134"/>
        <w:rPr>
          <w:rFonts w:eastAsia="PMingLiU" w:cs="Arial"/>
          <w:snapToGrid w:val="0"/>
          <w:sz w:val="18"/>
          <w:szCs w:val="24"/>
        </w:rPr>
      </w:pPr>
      <w:r>
        <w:rPr>
          <w:sz w:val="18"/>
        </w:rPr>
        <w:t>OCDE:</w:t>
      </w:r>
      <w:r>
        <w:rPr>
          <w:sz w:val="18"/>
        </w:rPr>
        <w:tab/>
      </w:r>
      <w:r>
        <w:rPr>
          <w:snapToGrid w:val="0"/>
          <w:sz w:val="18"/>
        </w:rPr>
        <w:t>Organización de Cooperación y Desarrollo Económicos</w:t>
      </w:r>
    </w:p>
    <w:p w14:paraId="4E01F540" w14:textId="77777777" w:rsidR="008542F5" w:rsidRPr="008542F5" w:rsidRDefault="008542F5" w:rsidP="008542F5">
      <w:pPr>
        <w:keepNext/>
        <w:tabs>
          <w:tab w:val="left" w:pos="567"/>
        </w:tabs>
        <w:ind w:left="1701" w:hanging="1134"/>
        <w:rPr>
          <w:sz w:val="18"/>
        </w:rPr>
      </w:pPr>
      <w:r>
        <w:rPr>
          <w:sz w:val="18"/>
        </w:rPr>
        <w:t>TC:</w:t>
      </w:r>
      <w:r>
        <w:rPr>
          <w:sz w:val="18"/>
        </w:rPr>
        <w:tab/>
        <w:t>Comité Técnico</w:t>
      </w:r>
    </w:p>
    <w:p w14:paraId="3C2A68A6" w14:textId="77777777" w:rsidR="008542F5" w:rsidRPr="008542F5" w:rsidRDefault="008542F5" w:rsidP="008542F5">
      <w:pPr>
        <w:ind w:left="1701" w:hanging="1134"/>
        <w:rPr>
          <w:rFonts w:eastAsia="PMingLiU" w:cs="Arial"/>
          <w:sz w:val="18"/>
          <w:szCs w:val="24"/>
        </w:rPr>
      </w:pPr>
      <w:r>
        <w:rPr>
          <w:sz w:val="18"/>
        </w:rPr>
        <w:t>TWA</w:t>
      </w:r>
      <w:r>
        <w:rPr>
          <w:sz w:val="18"/>
        </w:rPr>
        <w:tab/>
        <w:t>Grupo de Trabajo Técnico sobre Plantas Agrícolas</w:t>
      </w:r>
    </w:p>
    <w:p w14:paraId="41FD7E53" w14:textId="77777777" w:rsidR="008542F5" w:rsidRPr="008542F5" w:rsidRDefault="008542F5" w:rsidP="008542F5">
      <w:pPr>
        <w:ind w:left="1701" w:hanging="1134"/>
        <w:rPr>
          <w:rFonts w:eastAsia="PMingLiU" w:cs="Arial"/>
          <w:sz w:val="18"/>
          <w:szCs w:val="24"/>
        </w:rPr>
      </w:pPr>
      <w:r>
        <w:rPr>
          <w:sz w:val="18"/>
        </w:rPr>
        <w:t>TWC:</w:t>
      </w:r>
      <w:r>
        <w:rPr>
          <w:sz w:val="18"/>
        </w:rPr>
        <w:tab/>
        <w:t>Grupo de Trabajo Técnico sobre Automatización y Programas Informáticos</w:t>
      </w:r>
    </w:p>
    <w:p w14:paraId="34E3FDB6" w14:textId="77777777" w:rsidR="008542F5" w:rsidRPr="008542F5" w:rsidRDefault="008542F5" w:rsidP="008542F5">
      <w:pPr>
        <w:ind w:left="1701" w:hanging="1134"/>
        <w:rPr>
          <w:rFonts w:eastAsia="PMingLiU" w:cs="Arial"/>
          <w:sz w:val="18"/>
          <w:szCs w:val="24"/>
        </w:rPr>
      </w:pPr>
      <w:r>
        <w:rPr>
          <w:sz w:val="18"/>
        </w:rPr>
        <w:t>TWF:</w:t>
      </w:r>
      <w:r>
        <w:rPr>
          <w:sz w:val="18"/>
        </w:rPr>
        <w:tab/>
        <w:t>Grupo de Trabajo Técnico sobre Plantas Frutales</w:t>
      </w:r>
    </w:p>
    <w:p w14:paraId="2988F481" w14:textId="77777777" w:rsidR="008542F5" w:rsidRPr="008542F5" w:rsidRDefault="008542F5" w:rsidP="008542F5">
      <w:pPr>
        <w:ind w:left="1701" w:hanging="1134"/>
        <w:rPr>
          <w:rFonts w:eastAsia="PMingLiU" w:cs="Arial"/>
          <w:sz w:val="18"/>
          <w:szCs w:val="24"/>
        </w:rPr>
      </w:pPr>
      <w:r>
        <w:rPr>
          <w:sz w:val="18"/>
        </w:rPr>
        <w:t>TWM:</w:t>
      </w:r>
      <w:r>
        <w:rPr>
          <w:sz w:val="18"/>
        </w:rPr>
        <w:tab/>
        <w:t xml:space="preserve">Grupo de Trabajo Técnico sobre Métodos y Técnicas de Examen (TWM) </w:t>
      </w:r>
    </w:p>
    <w:p w14:paraId="0618B3FC" w14:textId="77777777" w:rsidR="008542F5" w:rsidRPr="008542F5" w:rsidRDefault="008542F5" w:rsidP="008542F5">
      <w:pPr>
        <w:ind w:left="1701" w:hanging="1134"/>
        <w:rPr>
          <w:rFonts w:eastAsia="PMingLiU" w:cs="Arial"/>
          <w:sz w:val="18"/>
          <w:szCs w:val="24"/>
        </w:rPr>
      </w:pPr>
      <w:r>
        <w:rPr>
          <w:sz w:val="18"/>
        </w:rPr>
        <w:lastRenderedPageBreak/>
        <w:t>TWO:</w:t>
      </w:r>
      <w:r>
        <w:rPr>
          <w:sz w:val="18"/>
        </w:rPr>
        <w:tab/>
        <w:t>Grupo de Trabajo Técnico sobre Plantas Ornamentales y Árboles Forestales</w:t>
      </w:r>
    </w:p>
    <w:p w14:paraId="7CBD8A15" w14:textId="77777777" w:rsidR="008542F5" w:rsidRPr="008542F5" w:rsidRDefault="008542F5" w:rsidP="008542F5">
      <w:pPr>
        <w:ind w:left="1701" w:hanging="1134"/>
        <w:rPr>
          <w:rFonts w:eastAsia="PMingLiU" w:cs="Arial"/>
          <w:sz w:val="18"/>
          <w:szCs w:val="24"/>
        </w:rPr>
      </w:pPr>
      <w:r>
        <w:rPr>
          <w:sz w:val="18"/>
        </w:rPr>
        <w:t>TWP:</w:t>
      </w:r>
      <w:r>
        <w:rPr>
          <w:sz w:val="18"/>
        </w:rPr>
        <w:tab/>
        <w:t>Grupos de Trabajo Técnico</w:t>
      </w:r>
    </w:p>
    <w:p w14:paraId="0E674909" w14:textId="77777777" w:rsidR="008542F5" w:rsidRPr="008542F5" w:rsidRDefault="008542F5" w:rsidP="008542F5">
      <w:pPr>
        <w:ind w:left="1701" w:hanging="1134"/>
        <w:rPr>
          <w:rFonts w:eastAsia="PMingLiU" w:cs="Arial"/>
          <w:sz w:val="18"/>
          <w:szCs w:val="24"/>
        </w:rPr>
      </w:pPr>
      <w:r>
        <w:rPr>
          <w:sz w:val="18"/>
        </w:rPr>
        <w:t>TWV:</w:t>
      </w:r>
      <w:r>
        <w:rPr>
          <w:sz w:val="18"/>
        </w:rPr>
        <w:tab/>
        <w:t>Grupo de Trabajo Técnico sobre Hortalizas</w:t>
      </w:r>
    </w:p>
    <w:p w14:paraId="21EA77E6" w14:textId="77777777" w:rsidR="008542F5" w:rsidRPr="008542F5" w:rsidRDefault="008542F5" w:rsidP="008542F5"/>
    <w:p w14:paraId="3B066CB3" w14:textId="77777777" w:rsidR="008542F5" w:rsidRPr="008542F5" w:rsidRDefault="008542F5" w:rsidP="008542F5">
      <w:pPr>
        <w:pStyle w:val="Heading1"/>
      </w:pPr>
      <w:bookmarkStart w:id="3" w:name="_Toc85438312"/>
      <w:r>
        <w:t>Confidencialidad y la titularidad de la información molecular</w:t>
      </w:r>
      <w:bookmarkEnd w:id="3"/>
    </w:p>
    <w:p w14:paraId="0084E713" w14:textId="77777777" w:rsidR="008542F5" w:rsidRPr="008542F5" w:rsidRDefault="008542F5" w:rsidP="008542F5"/>
    <w:p w14:paraId="05A1616E" w14:textId="477B6A90" w:rsidR="008542F5" w:rsidRPr="002F4C40" w:rsidRDefault="008542F5" w:rsidP="008542F5">
      <w:r w:rsidRPr="008542F5">
        <w:fldChar w:fldCharType="begin"/>
      </w:r>
      <w:r w:rsidRPr="008542F5">
        <w:instrText xml:space="preserve"> AUTONUM  </w:instrText>
      </w:r>
      <w:r w:rsidRPr="008542F5">
        <w:fldChar w:fldCharType="end"/>
      </w:r>
      <w:r>
        <w:tab/>
        <w:t xml:space="preserve">Los TWP y el BMT, en sus sesiones de 2021, escucharon una ponencia sobre “Confidencialidad y titularidad de la información molecular” a cargo de un experto en nombre de la </w:t>
      </w:r>
      <w:proofErr w:type="spellStart"/>
      <w:r>
        <w:rPr>
          <w:i/>
          <w:iCs/>
        </w:rPr>
        <w:t>African</w:t>
      </w:r>
      <w:proofErr w:type="spellEnd"/>
      <w:r>
        <w:rPr>
          <w:i/>
          <w:iCs/>
        </w:rPr>
        <w:t xml:space="preserve"> </w:t>
      </w:r>
      <w:proofErr w:type="spellStart"/>
      <w:r>
        <w:rPr>
          <w:i/>
          <w:iCs/>
        </w:rPr>
        <w:t>Seed</w:t>
      </w:r>
      <w:proofErr w:type="spellEnd"/>
      <w:r>
        <w:rPr>
          <w:i/>
          <w:iCs/>
        </w:rPr>
        <w:t xml:space="preserve"> </w:t>
      </w:r>
      <w:proofErr w:type="spellStart"/>
      <w:r>
        <w:rPr>
          <w:i/>
          <w:iCs/>
        </w:rPr>
        <w:t>Trade</w:t>
      </w:r>
      <w:proofErr w:type="spellEnd"/>
      <w:r>
        <w:rPr>
          <w:i/>
          <w:iCs/>
        </w:rPr>
        <w:t xml:space="preserve"> </w:t>
      </w:r>
      <w:proofErr w:type="spellStart"/>
      <w:r>
        <w:rPr>
          <w:i/>
          <w:iCs/>
        </w:rPr>
        <w:t>Association</w:t>
      </w:r>
      <w:proofErr w:type="spellEnd"/>
      <w:r>
        <w:t xml:space="preserve"> (AFSTA), la </w:t>
      </w:r>
      <w:r>
        <w:rPr>
          <w:i/>
          <w:iCs/>
        </w:rPr>
        <w:t xml:space="preserve">Asia and </w:t>
      </w:r>
      <w:proofErr w:type="spellStart"/>
      <w:r>
        <w:rPr>
          <w:i/>
          <w:iCs/>
        </w:rPr>
        <w:t>Pacific</w:t>
      </w:r>
      <w:proofErr w:type="spellEnd"/>
      <w:r>
        <w:rPr>
          <w:i/>
          <w:iCs/>
        </w:rPr>
        <w:t xml:space="preserve"> </w:t>
      </w:r>
      <w:proofErr w:type="spellStart"/>
      <w:r>
        <w:rPr>
          <w:i/>
          <w:iCs/>
        </w:rPr>
        <w:t>Seed</w:t>
      </w:r>
      <w:proofErr w:type="spellEnd"/>
      <w:r>
        <w:rPr>
          <w:i/>
          <w:iCs/>
        </w:rPr>
        <w:t xml:space="preserve"> </w:t>
      </w:r>
      <w:proofErr w:type="spellStart"/>
      <w:r>
        <w:rPr>
          <w:i/>
          <w:iCs/>
        </w:rPr>
        <w:t>Association</w:t>
      </w:r>
      <w:proofErr w:type="spellEnd"/>
      <w:r>
        <w:t xml:space="preserve"> (APSA), la Comunidad Internacional de </w:t>
      </w:r>
      <w:proofErr w:type="spellStart"/>
      <w:r>
        <w:t>Fitomejoradores</w:t>
      </w:r>
      <w:proofErr w:type="spellEnd"/>
      <w:r>
        <w:t xml:space="preserve"> de Plantas Hortícolas de Reproducción Asexuada (CIOPORA), </w:t>
      </w:r>
      <w:proofErr w:type="spellStart"/>
      <w:r>
        <w:rPr>
          <w:i/>
          <w:iCs/>
        </w:rPr>
        <w:t>CropLife</w:t>
      </w:r>
      <w:proofErr w:type="spellEnd"/>
      <w:r>
        <w:rPr>
          <w:i/>
          <w:iCs/>
        </w:rPr>
        <w:t xml:space="preserve"> International</w:t>
      </w:r>
      <w:r>
        <w:t xml:space="preserve">, </w:t>
      </w:r>
      <w:proofErr w:type="spellStart"/>
      <w:r>
        <w:t>Euroseeds</w:t>
      </w:r>
      <w:proofErr w:type="spellEnd"/>
      <w:r>
        <w:t xml:space="preserve">, la </w:t>
      </w:r>
      <w:r>
        <w:rPr>
          <w:i/>
          <w:iCs/>
        </w:rPr>
        <w:t xml:space="preserve">International </w:t>
      </w:r>
      <w:proofErr w:type="spellStart"/>
      <w:r>
        <w:rPr>
          <w:i/>
          <w:iCs/>
        </w:rPr>
        <w:t>Seed</w:t>
      </w:r>
      <w:proofErr w:type="spellEnd"/>
      <w:r>
        <w:rPr>
          <w:i/>
          <w:iCs/>
        </w:rPr>
        <w:t xml:space="preserve"> </w:t>
      </w:r>
      <w:proofErr w:type="spellStart"/>
      <w:r>
        <w:rPr>
          <w:i/>
          <w:iCs/>
        </w:rPr>
        <w:t>Federation</w:t>
      </w:r>
      <w:proofErr w:type="spellEnd"/>
      <w:r>
        <w:t xml:space="preserve"> (ISF) y la Asociación de Semillas de las Américas (SAA). Se facilita una copia de la ponencia en el documento TWV/55/4 (véanse los documentos TWV/55/16 “</w:t>
      </w:r>
      <w:proofErr w:type="spellStart"/>
      <w:r>
        <w:rPr>
          <w:i/>
          <w:iCs/>
        </w:rPr>
        <w:t>Report</w:t>
      </w:r>
      <w:proofErr w:type="spellEnd"/>
      <w:r>
        <w:t>” (Informe), párrafos 56 a 61; TWO/53/10 “</w:t>
      </w:r>
      <w:proofErr w:type="spellStart"/>
      <w:r>
        <w:rPr>
          <w:i/>
          <w:iCs/>
        </w:rPr>
        <w:t>Report</w:t>
      </w:r>
      <w:proofErr w:type="spellEnd"/>
      <w:r>
        <w:t>”, párrafos 62 a 64; TWA/50/9 “</w:t>
      </w:r>
      <w:proofErr w:type="spellStart"/>
      <w:r>
        <w:rPr>
          <w:i/>
          <w:iCs/>
        </w:rPr>
        <w:t>Report</w:t>
      </w:r>
      <w:proofErr w:type="spellEnd"/>
      <w:r>
        <w:t>”, párrafos 91 a 93; TWF/52/10 “</w:t>
      </w:r>
      <w:proofErr w:type="spellStart"/>
      <w:r>
        <w:rPr>
          <w:i/>
          <w:iCs/>
        </w:rPr>
        <w:t>Report</w:t>
      </w:r>
      <w:proofErr w:type="spellEnd"/>
      <w:r>
        <w:t>”, párrafos 16 y 17; y BMT/20/12 “</w:t>
      </w:r>
      <w:proofErr w:type="spellStart"/>
      <w:r>
        <w:rPr>
          <w:i/>
          <w:iCs/>
        </w:rPr>
        <w:t>Report</w:t>
      </w:r>
      <w:proofErr w:type="spellEnd"/>
      <w:r>
        <w:t>”, párrafos 25 a 27).</w:t>
      </w:r>
    </w:p>
    <w:p w14:paraId="1B235BCE" w14:textId="77777777" w:rsidR="008542F5" w:rsidRPr="00A35AC1" w:rsidRDefault="008542F5" w:rsidP="008542F5"/>
    <w:p w14:paraId="3685BE91" w14:textId="77777777" w:rsidR="008542F5" w:rsidRPr="008542F5" w:rsidRDefault="008542F5" w:rsidP="008542F5">
      <w:r w:rsidRPr="008542F5">
        <w:fldChar w:fldCharType="begin"/>
      </w:r>
      <w:r w:rsidRPr="008542F5">
        <w:instrText xml:space="preserve"> AUTONUM  </w:instrText>
      </w:r>
      <w:r w:rsidRPr="008542F5">
        <w:fldChar w:fldCharType="end"/>
      </w:r>
      <w:r>
        <w:tab/>
        <w:t>El TWV, el TWO y el TWA examinaron la propuesta de revisar el documento TGP/5, sección 3: Formulario tipo de solicitud, a fin de incluir la siguiente petición de confidencialidad de la información molecular de las variedades candidatas:</w:t>
      </w:r>
    </w:p>
    <w:p w14:paraId="43EC9B3A" w14:textId="77777777" w:rsidR="008542F5" w:rsidRPr="008542F5" w:rsidRDefault="008542F5" w:rsidP="008542F5">
      <w:pPr>
        <w:ind w:left="567" w:right="567"/>
      </w:pPr>
    </w:p>
    <w:p w14:paraId="670BDA6F" w14:textId="77777777" w:rsidR="008542F5" w:rsidRPr="008542F5" w:rsidRDefault="008542F5" w:rsidP="008542F5">
      <w:pPr>
        <w:ind w:left="567" w:right="567"/>
        <w:rPr>
          <w:i/>
        </w:rPr>
      </w:pPr>
      <w:r>
        <w:rPr>
          <w:i/>
        </w:rPr>
        <w:t>“Solicito/solicitamos que se mantenga el carácter confidencial de la información molecular referida a la variedad y que el intercambio con otro miembro de la UPOV u oficina de examen esté sujeto al consentimiento del solicitante.”</w:t>
      </w:r>
    </w:p>
    <w:p w14:paraId="4CC7B069" w14:textId="77777777" w:rsidR="008542F5" w:rsidRPr="008542F5" w:rsidRDefault="008542F5" w:rsidP="008542F5"/>
    <w:p w14:paraId="23C78F0D" w14:textId="77777777" w:rsidR="008542F5" w:rsidRPr="008542F5" w:rsidRDefault="008542F5" w:rsidP="008542F5">
      <w:r w:rsidRPr="008542F5">
        <w:fldChar w:fldCharType="begin"/>
      </w:r>
      <w:r w:rsidRPr="008542F5">
        <w:instrText xml:space="preserve"> AUTONUM  </w:instrText>
      </w:r>
      <w:r w:rsidRPr="008542F5">
        <w:fldChar w:fldCharType="end"/>
      </w:r>
      <w:r>
        <w:tab/>
        <w:t xml:space="preserve">El TWV tomó nota de que algunas autoridades crean bases de datos con información molecular y utilizan esta información para seleccionar variedades similares y organizar el ensayo en cultivo. </w:t>
      </w:r>
    </w:p>
    <w:p w14:paraId="39C7B692" w14:textId="77777777" w:rsidR="008542F5" w:rsidRPr="008542F5" w:rsidRDefault="008542F5" w:rsidP="008542F5"/>
    <w:p w14:paraId="3DB3D881" w14:textId="77777777" w:rsidR="008542F5" w:rsidRPr="008542F5" w:rsidRDefault="008542F5" w:rsidP="008542F5">
      <w:r w:rsidRPr="008542F5">
        <w:fldChar w:fldCharType="begin"/>
      </w:r>
      <w:r w:rsidRPr="008542F5">
        <w:instrText xml:space="preserve"> AUTONUM  </w:instrText>
      </w:r>
      <w:r w:rsidRPr="008542F5">
        <w:fldChar w:fldCharType="end"/>
      </w:r>
      <w:r>
        <w:tab/>
        <w:t>El TWV convino en solicitar información sobre si la propuesta puede impedir que una autoridad receptora de una solicitud obtenga información molecular sobre la variedad candidata a los fines del examen DHE y si la propuesta solo tiene por objeto evitar que la autoridad receptora transmita información molecular sobre la variedad a otras autoridades sin el consentimiento del solicitante.</w:t>
      </w:r>
    </w:p>
    <w:p w14:paraId="3785A20F" w14:textId="77777777" w:rsidR="008542F5" w:rsidRPr="008542F5" w:rsidRDefault="008542F5" w:rsidP="008542F5"/>
    <w:p w14:paraId="1CA6E115" w14:textId="77777777" w:rsidR="008542F5" w:rsidRPr="008542F5" w:rsidRDefault="008542F5" w:rsidP="008542F5">
      <w:r w:rsidRPr="008542F5">
        <w:fldChar w:fldCharType="begin"/>
      </w:r>
      <w:r w:rsidRPr="008542F5">
        <w:instrText xml:space="preserve"> AUTONUM  </w:instrText>
      </w:r>
      <w:r w:rsidRPr="008542F5">
        <w:fldChar w:fldCharType="end"/>
      </w:r>
      <w:r>
        <w:tab/>
        <w:t>El TWV tomó nota de que es necesario seguir manteniendo debates con los obtentores para encontrar una solución pragmática que permita abordar las preocupaciones de los obtentores, sin imponer una carga administrativa innecesaria a las autoridades.</w:t>
      </w:r>
    </w:p>
    <w:p w14:paraId="4915AEFB" w14:textId="77777777" w:rsidR="008542F5" w:rsidRPr="008542F5" w:rsidRDefault="008542F5" w:rsidP="008542F5"/>
    <w:p w14:paraId="5FE6B08B" w14:textId="77777777" w:rsidR="008542F5" w:rsidRPr="008542F5" w:rsidRDefault="008542F5" w:rsidP="008542F5">
      <w:r w:rsidRPr="008542F5">
        <w:fldChar w:fldCharType="begin"/>
      </w:r>
      <w:r w:rsidRPr="008542F5">
        <w:instrText xml:space="preserve"> AUTONUM  </w:instrText>
      </w:r>
      <w:r w:rsidRPr="008542F5">
        <w:fldChar w:fldCharType="end"/>
      </w:r>
      <w:r>
        <w:tab/>
        <w:t>El TWV tomó nota de que la misma ponencia se programará para otros TWP en sus sesiones de 2021, de manera que se pueda seguir examinando la propuesta.</w:t>
      </w:r>
    </w:p>
    <w:p w14:paraId="300FAAC6" w14:textId="77777777" w:rsidR="008542F5" w:rsidRPr="008542F5" w:rsidRDefault="008542F5" w:rsidP="008542F5"/>
    <w:p w14:paraId="64174572" w14:textId="77777777" w:rsidR="008542F5" w:rsidRPr="008542F5" w:rsidRDefault="008542F5" w:rsidP="008542F5">
      <w:r w:rsidRPr="008542F5">
        <w:fldChar w:fldCharType="begin"/>
      </w:r>
      <w:r w:rsidRPr="008542F5">
        <w:instrText xml:space="preserve"> AUTONUM  </w:instrText>
      </w:r>
      <w:r w:rsidRPr="008542F5">
        <w:fldChar w:fldCharType="end"/>
      </w:r>
      <w:r>
        <w:tab/>
        <w:t>El TWO convino en que es necesario seguir manteniendo debates con los obtentores para encontrar una solución adecuada que permita abordar las preocupaciones de los obtentores y, al mismo tiempo, evitar que se imponga una carga administrativa innecesaria a las autoridades.</w:t>
      </w:r>
    </w:p>
    <w:p w14:paraId="6BD0063F" w14:textId="77777777" w:rsidR="008542F5" w:rsidRPr="008542F5" w:rsidRDefault="008542F5" w:rsidP="008542F5">
      <w:pPr>
        <w:jc w:val="left"/>
      </w:pPr>
    </w:p>
    <w:p w14:paraId="268C84F1" w14:textId="77777777" w:rsidR="008542F5" w:rsidRPr="002F4C40" w:rsidRDefault="008542F5" w:rsidP="008542F5">
      <w:r w:rsidRPr="008542F5">
        <w:fldChar w:fldCharType="begin"/>
      </w:r>
      <w:r w:rsidRPr="008542F5">
        <w:instrText xml:space="preserve"> AUTONUM  </w:instrText>
      </w:r>
      <w:r w:rsidRPr="008542F5">
        <w:fldChar w:fldCharType="end"/>
      </w:r>
      <w:r>
        <w:tab/>
        <w:t>El TWA tomó nota de la importancia que reviste para los obtentores el carácter confidencial de la información molecular y convino en que será necesario seguir manteniendo debates sobre este asunto. El TWA tomó nota de que el carácter confidencial de la información molecular puede estar sujeto a la legislación de los diferentes miembros de la UPOV y convino en invitar a presentar ponencias en su quincuagésima primera sesión. El TWA tomó nota de que la Argentina manifestó interés en presentar una ponencia sobre la cuestión en la quincuagésima primera sesión del TWA.</w:t>
      </w:r>
    </w:p>
    <w:p w14:paraId="77D4D44F" w14:textId="77777777" w:rsidR="008542F5" w:rsidRPr="00A35AC1" w:rsidRDefault="008542F5" w:rsidP="008542F5"/>
    <w:p w14:paraId="3AE1D4D5" w14:textId="77777777" w:rsidR="008542F5" w:rsidRPr="008542F5" w:rsidRDefault="008542F5" w:rsidP="008542F5">
      <w:pPr>
        <w:rPr>
          <w:rFonts w:cs="Arial"/>
          <w:i/>
          <w:snapToGrid w:val="0"/>
        </w:rPr>
      </w:pPr>
      <w:r w:rsidRPr="008542F5">
        <w:fldChar w:fldCharType="begin"/>
      </w:r>
      <w:r w:rsidRPr="008542F5">
        <w:instrText xml:space="preserve"> AUTONUM  </w:instrText>
      </w:r>
      <w:r w:rsidRPr="008542F5">
        <w:fldChar w:fldCharType="end"/>
      </w:r>
      <w:r>
        <w:tab/>
        <w:t>El TWF tomó nota de que la cuestión de la confidencialidad y la titularidad de la información molecular no se ha examinado en detalle en el sector de las plantas frutales y convino en que es necesario continuar con el debate. El TWF convino en invitar a presentar ponencias a los miembros y observadores sobre esta materia en el punto del orden del día “Ponencia sobre la utilización de técnicas moleculares en el examen DHE”, en su quincuagésima tercera sesión.</w:t>
      </w:r>
    </w:p>
    <w:p w14:paraId="04AECC38" w14:textId="77777777" w:rsidR="008542F5" w:rsidRPr="008542F5" w:rsidRDefault="008542F5" w:rsidP="008542F5">
      <w:pPr>
        <w:jc w:val="left"/>
      </w:pPr>
    </w:p>
    <w:p w14:paraId="40DD35D8" w14:textId="77777777" w:rsidR="008542F5" w:rsidRPr="002F4C40" w:rsidRDefault="008542F5" w:rsidP="008542F5">
      <w:pPr>
        <w:rPr>
          <w:rFonts w:cs="Arial"/>
          <w:iCs/>
        </w:rPr>
      </w:pPr>
      <w:r w:rsidRPr="008542F5">
        <w:rPr>
          <w:rFonts w:cs="Arial"/>
        </w:rPr>
        <w:fldChar w:fldCharType="begin"/>
      </w:r>
      <w:r w:rsidRPr="008542F5">
        <w:rPr>
          <w:rFonts w:cs="Arial"/>
        </w:rPr>
        <w:instrText xml:space="preserve"> AUTONUM  </w:instrText>
      </w:r>
      <w:r w:rsidRPr="008542F5">
        <w:rPr>
          <w:rFonts w:cs="Arial"/>
        </w:rPr>
        <w:fldChar w:fldCharType="end"/>
      </w:r>
      <w:r>
        <w:tab/>
        <w:t>El BMT tomó nota de que se han mantenido debates sobre confidencialidad, titularidad y acceso a datos moleculares en los Grupos de Trabajo Técnico, en sus sesiones de 2021. El BMT tomó nota de que los TWP han invitado a mantener más debates sobre este asunto en sus próximas sesiones.</w:t>
      </w:r>
    </w:p>
    <w:p w14:paraId="01676D79" w14:textId="77777777" w:rsidR="008542F5" w:rsidRPr="00A35AC1" w:rsidRDefault="008542F5" w:rsidP="008542F5">
      <w:pPr>
        <w:rPr>
          <w:rFonts w:cs="Arial"/>
          <w:iCs/>
        </w:rPr>
      </w:pPr>
    </w:p>
    <w:p w14:paraId="77DF71CD" w14:textId="77777777" w:rsidR="008542F5" w:rsidRPr="002F4C40" w:rsidRDefault="008542F5" w:rsidP="008542F5">
      <w:pPr>
        <w:rPr>
          <w:rFonts w:cs="Arial"/>
          <w:iCs/>
        </w:rPr>
      </w:pPr>
      <w:r w:rsidRPr="008542F5">
        <w:rPr>
          <w:rFonts w:cs="Arial"/>
        </w:rPr>
        <w:fldChar w:fldCharType="begin"/>
      </w:r>
      <w:r w:rsidRPr="008542F5">
        <w:rPr>
          <w:rFonts w:cs="Arial"/>
        </w:rPr>
        <w:instrText xml:space="preserve"> AUTONUM  </w:instrText>
      </w:r>
      <w:r w:rsidRPr="008542F5">
        <w:rPr>
          <w:rFonts w:cs="Arial"/>
        </w:rPr>
        <w:fldChar w:fldCharType="end"/>
      </w:r>
      <w:r>
        <w:tab/>
        <w:t xml:space="preserve">El BMT convino en invitar a presentar ponencias sobre prácticas actuales en materia de confidencialidad y acceso a datos moleculares, en la primera sesión del TWM. El BMT convino en que las prácticas actuales en los miembros y observadores de la UPOV pueden proporcionar un punto de partida adecuado para los debates ulteriores sobre la materia. </w:t>
      </w:r>
    </w:p>
    <w:p w14:paraId="521DC42D" w14:textId="77777777" w:rsidR="008542F5" w:rsidRPr="00A35AC1" w:rsidRDefault="008542F5" w:rsidP="008542F5">
      <w:pPr>
        <w:rPr>
          <w:noProof/>
          <w:lang w:eastAsia="ja-JP"/>
        </w:rPr>
      </w:pPr>
    </w:p>
    <w:p w14:paraId="5AFBDDB8" w14:textId="77777777" w:rsidR="008542F5" w:rsidRPr="00A35AC1" w:rsidRDefault="008542F5" w:rsidP="008542F5"/>
    <w:p w14:paraId="0B75C0DA" w14:textId="77777777" w:rsidR="008542F5" w:rsidRPr="008542F5" w:rsidRDefault="008542F5" w:rsidP="008542F5">
      <w:pPr>
        <w:pStyle w:val="Heading1"/>
      </w:pPr>
      <w:bookmarkStart w:id="4" w:name="_Toc69722874"/>
      <w:bookmarkStart w:id="5" w:name="_Toc85438313"/>
      <w:r>
        <w:t>Revisión del documento UPOV/INF/17 “Directrices para los perfiles de ADN: selección de marcadores moleculares y creación de una base de datos (‘Directrices BMT’)”</w:t>
      </w:r>
      <w:bookmarkEnd w:id="4"/>
      <w:bookmarkEnd w:id="5"/>
    </w:p>
    <w:p w14:paraId="3F7418FA" w14:textId="77777777" w:rsidR="008542F5" w:rsidRPr="008542F5" w:rsidRDefault="008542F5" w:rsidP="008542F5"/>
    <w:p w14:paraId="63EF07FC" w14:textId="38FF68FC" w:rsidR="008542F5" w:rsidRPr="008542F5" w:rsidRDefault="008542F5" w:rsidP="008542F5">
      <w:r w:rsidRPr="008542F5">
        <w:fldChar w:fldCharType="begin"/>
      </w:r>
      <w:r w:rsidRPr="008542F5">
        <w:instrText xml:space="preserve"> AUTONUM  </w:instrText>
      </w:r>
      <w:r w:rsidRPr="008542F5">
        <w:fldChar w:fldCharType="end"/>
      </w:r>
      <w:r>
        <w:tab/>
        <w:t>En sus sesiones de 2021, los TWP respaldaron la revisión del documento UPOV/INF/17/1 sobre la base del documento UPOV/INF/17/2 </w:t>
      </w:r>
      <w:proofErr w:type="spellStart"/>
      <w:r>
        <w:t>Draft</w:t>
      </w:r>
      <w:proofErr w:type="spellEnd"/>
      <w:r>
        <w:t> 5 y el Anexo II documento TWP/5/7) (véanse los documentos TWV/55/16 “</w:t>
      </w:r>
      <w:proofErr w:type="spellStart"/>
      <w:r>
        <w:rPr>
          <w:i/>
          <w:iCs/>
        </w:rPr>
        <w:t>Report</w:t>
      </w:r>
      <w:proofErr w:type="spellEnd"/>
      <w:r>
        <w:t>”, párrafo 50;</w:t>
      </w:r>
      <w:r w:rsidR="00611D93">
        <w:t xml:space="preserve"> </w:t>
      </w:r>
      <w:r>
        <w:t>TWO/53/10 “</w:t>
      </w:r>
      <w:proofErr w:type="spellStart"/>
      <w:r>
        <w:rPr>
          <w:i/>
          <w:iCs/>
        </w:rPr>
        <w:t>Report</w:t>
      </w:r>
      <w:proofErr w:type="spellEnd"/>
      <w:r>
        <w:t>”, párrafo 58; TWA/50/9 “</w:t>
      </w:r>
      <w:proofErr w:type="spellStart"/>
      <w:r>
        <w:rPr>
          <w:i/>
          <w:iCs/>
        </w:rPr>
        <w:t>Report</w:t>
      </w:r>
      <w:proofErr w:type="spellEnd"/>
      <w:r>
        <w:t>”, párrafo 87; TWF/52/10 “</w:t>
      </w:r>
      <w:proofErr w:type="spellStart"/>
      <w:r>
        <w:rPr>
          <w:i/>
          <w:iCs/>
        </w:rPr>
        <w:t>Report</w:t>
      </w:r>
      <w:proofErr w:type="spellEnd"/>
      <w:r>
        <w:t>”, párrafo 12; y TWC/39/9 “</w:t>
      </w:r>
      <w:proofErr w:type="spellStart"/>
      <w:r>
        <w:rPr>
          <w:i/>
          <w:iCs/>
        </w:rPr>
        <w:t>Report</w:t>
      </w:r>
      <w:proofErr w:type="spellEnd"/>
      <w:r>
        <w:t>”, párrafo 71).</w:t>
      </w:r>
    </w:p>
    <w:p w14:paraId="64122E3A" w14:textId="77777777" w:rsidR="008542F5" w:rsidRPr="008542F5" w:rsidRDefault="008542F5" w:rsidP="008542F5"/>
    <w:p w14:paraId="2884658D" w14:textId="77777777" w:rsidR="008542F5" w:rsidRPr="008542F5" w:rsidRDefault="008542F5" w:rsidP="008542F5">
      <w:r w:rsidRPr="008542F5">
        <w:fldChar w:fldCharType="begin"/>
      </w:r>
      <w:r w:rsidRPr="008542F5">
        <w:instrText xml:space="preserve"> AUTONUM  </w:instrText>
      </w:r>
      <w:r w:rsidRPr="008542F5">
        <w:fldChar w:fldCharType="end"/>
      </w:r>
      <w:r>
        <w:tab/>
        <w:t xml:space="preserve">El BMT suscribió la revisión del documento UPOV/INF/17/2 sobre la base del documento UPOV/INF/17/2 </w:t>
      </w:r>
      <w:proofErr w:type="spellStart"/>
      <w:r>
        <w:t>Draft</w:t>
      </w:r>
      <w:proofErr w:type="spellEnd"/>
      <w:r>
        <w:t xml:space="preserve"> 5 y el Anexo del documento BMT/20/3 (véase el documento BMT/20/12 “</w:t>
      </w:r>
      <w:proofErr w:type="spellStart"/>
      <w:r>
        <w:rPr>
          <w:i/>
          <w:iCs/>
        </w:rPr>
        <w:t>Report</w:t>
      </w:r>
      <w:proofErr w:type="spellEnd"/>
      <w:r>
        <w:t>”, párrafos 10 a 12).</w:t>
      </w:r>
    </w:p>
    <w:p w14:paraId="7A389D13" w14:textId="77777777" w:rsidR="008542F5" w:rsidRPr="008542F5" w:rsidRDefault="008542F5" w:rsidP="008542F5"/>
    <w:p w14:paraId="68EECD59" w14:textId="77777777" w:rsidR="008542F5" w:rsidRPr="008542F5" w:rsidRDefault="008542F5" w:rsidP="008542F5">
      <w:r w:rsidRPr="008542F5">
        <w:fldChar w:fldCharType="begin"/>
      </w:r>
      <w:r w:rsidRPr="008542F5">
        <w:instrText xml:space="preserve"> AUTONUM  </w:instrText>
      </w:r>
      <w:r w:rsidRPr="008542F5">
        <w:fldChar w:fldCharType="end"/>
      </w:r>
      <w:r>
        <w:tab/>
        <w:t>El BMT tomó nota de los comentarios formulados por la ISF antes de la sesión en relación con posibles mejoras del documento UPOV/INF/17 referidas a determinados aspectos técnicos. El BMT convino en invitar a la ISF a presentar una ponencia sobre estos aspectos en la primera sesión del TWM.</w:t>
      </w:r>
    </w:p>
    <w:p w14:paraId="2C48BB75" w14:textId="77777777" w:rsidR="008542F5" w:rsidRPr="008542F5" w:rsidRDefault="008542F5" w:rsidP="008542F5">
      <w:pPr>
        <w:rPr>
          <w:noProof/>
          <w:lang w:eastAsia="ja-JP"/>
        </w:rPr>
      </w:pPr>
    </w:p>
    <w:p w14:paraId="6EB7C9BD" w14:textId="77777777" w:rsidR="008542F5" w:rsidRPr="008542F5" w:rsidRDefault="008542F5" w:rsidP="008542F5">
      <w:pPr>
        <w:rPr>
          <w:noProof/>
          <w:lang w:eastAsia="ja-JP"/>
        </w:rPr>
      </w:pPr>
    </w:p>
    <w:p w14:paraId="1BC35B03" w14:textId="77777777" w:rsidR="008542F5" w:rsidRPr="008542F5" w:rsidRDefault="008542F5" w:rsidP="008542F5">
      <w:pPr>
        <w:pStyle w:val="Heading1"/>
      </w:pPr>
      <w:bookmarkStart w:id="6" w:name="_Toc52799199"/>
      <w:bookmarkStart w:id="7" w:name="_Toc52877567"/>
      <w:bookmarkStart w:id="8" w:name="_Toc85438314"/>
      <w:r>
        <w:t>Novedades acaecidas en los Grupos de Trabajo Técnico en sus sesiones de 2021</w:t>
      </w:r>
      <w:bookmarkEnd w:id="6"/>
      <w:bookmarkEnd w:id="7"/>
      <w:bookmarkEnd w:id="8"/>
    </w:p>
    <w:p w14:paraId="3087459A" w14:textId="77777777" w:rsidR="008542F5" w:rsidRPr="008542F5" w:rsidRDefault="008542F5" w:rsidP="008542F5"/>
    <w:p w14:paraId="5085F1AC" w14:textId="77777777" w:rsidR="008542F5" w:rsidRPr="008542F5" w:rsidRDefault="008542F5" w:rsidP="008542F5">
      <w:pPr>
        <w:keepNext/>
        <w:keepLines/>
      </w:pPr>
      <w:r w:rsidRPr="008542F5">
        <w:fldChar w:fldCharType="begin"/>
      </w:r>
      <w:r w:rsidRPr="008542F5">
        <w:instrText xml:space="preserve"> AUTONUM  </w:instrText>
      </w:r>
      <w:r w:rsidRPr="008542F5">
        <w:fldChar w:fldCharType="end"/>
      </w:r>
      <w:r>
        <w:tab/>
        <w:t>En sus sesiones de 2021, el TWV,</w:t>
      </w:r>
      <w:r w:rsidRPr="008542F5">
        <w:rPr>
          <w:vertAlign w:val="superscript"/>
        </w:rPr>
        <w:footnoteReference w:id="2"/>
      </w:r>
      <w:r>
        <w:t xml:space="preserve"> el TWO,</w:t>
      </w:r>
      <w:r w:rsidRPr="008542F5">
        <w:rPr>
          <w:vertAlign w:val="superscript"/>
        </w:rPr>
        <w:footnoteReference w:id="3"/>
      </w:r>
      <w:r>
        <w:t xml:space="preserve"> el TWA,</w:t>
      </w:r>
      <w:r w:rsidRPr="008542F5">
        <w:rPr>
          <w:vertAlign w:val="superscript"/>
        </w:rPr>
        <w:footnoteReference w:id="4"/>
      </w:r>
      <w:r>
        <w:t xml:space="preserve"> el TWF,</w:t>
      </w:r>
      <w:r w:rsidRPr="008542F5">
        <w:rPr>
          <w:vertAlign w:val="superscript"/>
        </w:rPr>
        <w:footnoteReference w:id="5"/>
      </w:r>
      <w:r>
        <w:t xml:space="preserve"> y el TWC</w:t>
      </w:r>
      <w:r w:rsidRPr="008542F5">
        <w:rPr>
          <w:rStyle w:val="FootnoteReference"/>
        </w:rPr>
        <w:footnoteReference w:id="6"/>
      </w:r>
      <w:r>
        <w:t xml:space="preserve"> examinaron el documento TWP/5/7 “</w:t>
      </w:r>
      <w:r>
        <w:rPr>
          <w:i/>
          <w:iCs/>
        </w:rPr>
        <w:t xml:space="preserve">Molecular </w:t>
      </w:r>
      <w:proofErr w:type="spellStart"/>
      <w:r>
        <w:rPr>
          <w:i/>
          <w:iCs/>
        </w:rPr>
        <w:t>Techniques</w:t>
      </w:r>
      <w:proofErr w:type="spellEnd"/>
      <w:r>
        <w:t>” (Técnicas moleculares) (véanse los documentos TWV/55/16 “</w:t>
      </w:r>
      <w:proofErr w:type="spellStart"/>
      <w:r>
        <w:rPr>
          <w:i/>
          <w:iCs/>
        </w:rPr>
        <w:t>Report</w:t>
      </w:r>
      <w:proofErr w:type="spellEnd"/>
      <w:r>
        <w:t>”, párrafos 43 a 55; TWO/53/10 “</w:t>
      </w:r>
      <w:proofErr w:type="spellStart"/>
      <w:r>
        <w:rPr>
          <w:i/>
          <w:iCs/>
        </w:rPr>
        <w:t>Report</w:t>
      </w:r>
      <w:proofErr w:type="spellEnd"/>
      <w:r>
        <w:t>”, párrafos 54 a 61; TWA/50/9 “</w:t>
      </w:r>
      <w:proofErr w:type="spellStart"/>
      <w:r>
        <w:rPr>
          <w:i/>
          <w:iCs/>
        </w:rPr>
        <w:t>Report</w:t>
      </w:r>
      <w:proofErr w:type="spellEnd"/>
      <w:r>
        <w:t>”, párrafos 82 a 90; TWF/52/10 “</w:t>
      </w:r>
      <w:proofErr w:type="spellStart"/>
      <w:r>
        <w:rPr>
          <w:i/>
          <w:iCs/>
        </w:rPr>
        <w:t>Report</w:t>
      </w:r>
      <w:proofErr w:type="spellEnd"/>
      <w:r>
        <w:t>”, párrafos 7 y 15; y TWC/39/9 “</w:t>
      </w:r>
      <w:proofErr w:type="spellStart"/>
      <w:r>
        <w:rPr>
          <w:i/>
          <w:iCs/>
        </w:rPr>
        <w:t>Report</w:t>
      </w:r>
      <w:proofErr w:type="spellEnd"/>
      <w:r>
        <w:t>”, párrafos 64 a 76).</w:t>
      </w:r>
    </w:p>
    <w:p w14:paraId="1EF89AD4" w14:textId="77777777" w:rsidR="008542F5" w:rsidRPr="008542F5" w:rsidRDefault="008542F5" w:rsidP="008542F5"/>
    <w:p w14:paraId="42586A0B" w14:textId="7DF19469" w:rsidR="008542F5" w:rsidRPr="008542F5" w:rsidRDefault="008542F5" w:rsidP="008542F5">
      <w:pPr>
        <w:pStyle w:val="Heading2"/>
      </w:pPr>
      <w:bookmarkStart w:id="9" w:name="_Toc85438315"/>
      <w:r>
        <w:t>Novedades acaecidas en la d</w:t>
      </w:r>
      <w:r w:rsidR="00996513">
        <w:t>e</w:t>
      </w:r>
      <w:r>
        <w:t>cimonovena sesión del Grupo de Trabajo sobre Técnicas Bioquímicas y Moleculares, y Perfiles de ADN en Particular</w:t>
      </w:r>
      <w:bookmarkEnd w:id="9"/>
    </w:p>
    <w:p w14:paraId="54E8F638" w14:textId="77777777" w:rsidR="008542F5" w:rsidRPr="008542F5" w:rsidRDefault="008542F5" w:rsidP="008542F5"/>
    <w:p w14:paraId="083AB477" w14:textId="77777777" w:rsidR="008542F5" w:rsidRPr="008542F5" w:rsidRDefault="008542F5" w:rsidP="008542F5">
      <w:r w:rsidRPr="008542F5">
        <w:fldChar w:fldCharType="begin"/>
      </w:r>
      <w:r w:rsidRPr="008542F5">
        <w:instrText xml:space="preserve"> AUTONUM  </w:instrText>
      </w:r>
      <w:r w:rsidRPr="008542F5">
        <w:fldChar w:fldCharType="end"/>
      </w:r>
      <w:r>
        <w:tab/>
        <w:t>Los TWP tomaron nota de los documentos presentados en la decimonovena sesión del BMT, celebrada en 2020, según se expone en el párrafo 12 del documento TWP/5/7.</w:t>
      </w:r>
    </w:p>
    <w:p w14:paraId="4F29DED8" w14:textId="77777777" w:rsidR="008542F5" w:rsidRPr="008542F5" w:rsidRDefault="008542F5" w:rsidP="008542F5"/>
    <w:p w14:paraId="1456E55B" w14:textId="77777777" w:rsidR="008542F5" w:rsidRPr="008542F5" w:rsidRDefault="008542F5" w:rsidP="008542F5">
      <w:r w:rsidRPr="008542F5">
        <w:fldChar w:fldCharType="begin"/>
      </w:r>
      <w:r w:rsidRPr="008542F5">
        <w:instrText xml:space="preserve"> AUTONUM  </w:instrText>
      </w:r>
      <w:r w:rsidRPr="008542F5">
        <w:fldChar w:fldCharType="end"/>
      </w:r>
      <w:r>
        <w:tab/>
        <w:t xml:space="preserve">Los TWP tomaron nota de que el BMT celebró su vigésima sesión conjuntamente con TWC, en la semana del 20 de septiembre de 2021. </w:t>
      </w:r>
    </w:p>
    <w:p w14:paraId="64A98236" w14:textId="77777777" w:rsidR="008542F5" w:rsidRPr="008542F5" w:rsidRDefault="008542F5" w:rsidP="008542F5"/>
    <w:p w14:paraId="55F54D9F" w14:textId="77777777" w:rsidR="008542F5" w:rsidRPr="008542F5" w:rsidRDefault="008542F5" w:rsidP="008542F5">
      <w:r w:rsidRPr="008542F5">
        <w:fldChar w:fldCharType="begin"/>
      </w:r>
      <w:r w:rsidRPr="008542F5">
        <w:instrText xml:space="preserve"> AUTONUM  </w:instrText>
      </w:r>
      <w:r w:rsidRPr="008542F5">
        <w:fldChar w:fldCharType="end"/>
      </w:r>
      <w:r>
        <w:tab/>
        <w:t>Los TWP tomaron nota del proyecto de orden del día de la vigésima sesión del BMT, en 2021, según se expone en el párrafo 14 del documento TWP/5/7.</w:t>
      </w:r>
    </w:p>
    <w:p w14:paraId="7720AAE0" w14:textId="77777777" w:rsidR="008542F5" w:rsidRPr="008542F5" w:rsidRDefault="008542F5" w:rsidP="008542F5">
      <w:pPr>
        <w:pStyle w:val="Heading2"/>
        <w:rPr>
          <w:lang w:val="es-ES_tradnl"/>
        </w:rPr>
      </w:pPr>
      <w:bookmarkStart w:id="10" w:name="_Toc69722869"/>
    </w:p>
    <w:p w14:paraId="3B485959" w14:textId="77777777" w:rsidR="008542F5" w:rsidRPr="008542F5" w:rsidRDefault="008542F5" w:rsidP="008542F5">
      <w:pPr>
        <w:pStyle w:val="Heading2"/>
      </w:pPr>
      <w:bookmarkStart w:id="11" w:name="_Toc85438316"/>
      <w:r>
        <w:t>Fusión del Grupo de Trabajo sobre Técnicas Bioquímicas y Moleculares, y Perfiles de ADN en particular (BMT) y del Grupo de Trabajo Técnico sobre Automatización y Programas Informáticos (TWC)</w:t>
      </w:r>
      <w:bookmarkEnd w:id="10"/>
      <w:bookmarkEnd w:id="11"/>
    </w:p>
    <w:p w14:paraId="61987C7A" w14:textId="77777777" w:rsidR="008542F5" w:rsidRPr="008542F5" w:rsidRDefault="008542F5" w:rsidP="008542F5"/>
    <w:p w14:paraId="31EC49A9" w14:textId="77777777" w:rsidR="008542F5" w:rsidRPr="008542F5" w:rsidRDefault="008542F5" w:rsidP="008542F5">
      <w:r w:rsidRPr="008542F5">
        <w:fldChar w:fldCharType="begin"/>
      </w:r>
      <w:r w:rsidRPr="008542F5">
        <w:instrText xml:space="preserve"> AUTONUM  </w:instrText>
      </w:r>
      <w:r w:rsidRPr="008542F5">
        <w:fldChar w:fldCharType="end"/>
      </w:r>
      <w:r>
        <w:tab/>
        <w:t>Los TWP tomaron nota de que el Consejo ha establecido que el Grupo de Trabajo Técnico sobre Métodos y Técnicas de Examen (TWM) que abarcará la labor del TWC y el BMT, entrará en vigor a partir de 2022.</w:t>
      </w:r>
    </w:p>
    <w:p w14:paraId="50D29D1A" w14:textId="77777777" w:rsidR="008542F5" w:rsidRPr="008542F5" w:rsidRDefault="008542F5" w:rsidP="008542F5"/>
    <w:p w14:paraId="3AE1DDF0" w14:textId="77777777" w:rsidR="008542F5" w:rsidRPr="008542F5" w:rsidRDefault="008542F5" w:rsidP="008542F5">
      <w:r w:rsidRPr="008542F5">
        <w:fldChar w:fldCharType="begin"/>
      </w:r>
      <w:r w:rsidRPr="008542F5">
        <w:instrText xml:space="preserve"> AUTONUM  </w:instrText>
      </w:r>
      <w:r w:rsidRPr="008542F5">
        <w:fldChar w:fldCharType="end"/>
      </w:r>
      <w:r>
        <w:tab/>
        <w:t>Los TWP tomaron nota del mandato del TWM, que se reproduce en el párrafo 17 del documento TWP/5/7.</w:t>
      </w:r>
    </w:p>
    <w:p w14:paraId="060C24D2" w14:textId="77777777" w:rsidR="008542F5" w:rsidRPr="008542F5" w:rsidRDefault="008542F5" w:rsidP="008542F5">
      <w:pPr>
        <w:jc w:val="left"/>
      </w:pPr>
    </w:p>
    <w:p w14:paraId="1A60B7A1" w14:textId="77777777" w:rsidR="008542F5" w:rsidRPr="008542F5" w:rsidRDefault="008542F5" w:rsidP="008542F5">
      <w:pPr>
        <w:ind w:left="567" w:hanging="567"/>
        <w:rPr>
          <w:lang w:eastAsia="ja-JP"/>
        </w:rPr>
      </w:pPr>
    </w:p>
    <w:p w14:paraId="0B7152F0" w14:textId="77777777" w:rsidR="008542F5" w:rsidRPr="008542F5" w:rsidRDefault="008542F5" w:rsidP="008542F5">
      <w:pPr>
        <w:pStyle w:val="Heading1"/>
      </w:pPr>
      <w:bookmarkStart w:id="12" w:name="_Toc525647178"/>
      <w:bookmarkStart w:id="13" w:name="_Toc526175650"/>
      <w:bookmarkStart w:id="14" w:name="_Toc53728409"/>
      <w:bookmarkStart w:id="15" w:name="_Toc85438317"/>
      <w:r>
        <w:t>Novedades acaecidas en la vigésima sesión del Grupo de Trabajo Técnico sobre Técnicas Bioquímicas y Moleculares y Perfiles de ADN en particular</w:t>
      </w:r>
      <w:bookmarkEnd w:id="12"/>
      <w:bookmarkEnd w:id="13"/>
      <w:bookmarkEnd w:id="14"/>
      <w:bookmarkEnd w:id="15"/>
    </w:p>
    <w:p w14:paraId="1587848D" w14:textId="77777777" w:rsidR="008542F5" w:rsidRPr="008542F5" w:rsidRDefault="008542F5" w:rsidP="008542F5">
      <w:pPr>
        <w:rPr>
          <w:lang w:eastAsia="ja-JP"/>
        </w:rPr>
      </w:pPr>
    </w:p>
    <w:p w14:paraId="0AF4D404" w14:textId="3C50B6BD" w:rsidR="008542F5" w:rsidRPr="008542F5" w:rsidRDefault="008542F5" w:rsidP="008542F5">
      <w:r w:rsidRPr="008542F5">
        <w:rPr>
          <w:color w:val="000000"/>
        </w:rPr>
        <w:fldChar w:fldCharType="begin"/>
      </w:r>
      <w:r w:rsidRPr="008542F5">
        <w:rPr>
          <w:color w:val="000000"/>
        </w:rPr>
        <w:instrText xml:space="preserve"> AUTONUM  </w:instrText>
      </w:r>
      <w:r w:rsidRPr="008542F5">
        <w:rPr>
          <w:color w:val="000000"/>
        </w:rPr>
        <w:fldChar w:fldCharType="end"/>
      </w:r>
      <w:r>
        <w:tab/>
        <w:t>El BMT celebró su vigésima sesión, organizada por los Estados Unidos de América por medios electrónicos, del 22 al 24 de septiembre de 2021 (véase el documento BMT/20/12 “</w:t>
      </w:r>
      <w:proofErr w:type="spellStart"/>
      <w:r>
        <w:rPr>
          <w:i/>
          <w:iCs/>
        </w:rPr>
        <w:t>Report</w:t>
      </w:r>
      <w:proofErr w:type="spellEnd"/>
      <w:r>
        <w:t xml:space="preserve">”, párrafo 1). </w:t>
      </w:r>
    </w:p>
    <w:p w14:paraId="6D76592B" w14:textId="77777777" w:rsidR="008542F5" w:rsidRPr="008542F5" w:rsidRDefault="008542F5" w:rsidP="008542F5">
      <w:pPr>
        <w:rPr>
          <w:noProof/>
          <w:lang w:eastAsia="ja-JP"/>
        </w:rPr>
      </w:pPr>
    </w:p>
    <w:p w14:paraId="7047BDE8" w14:textId="77777777" w:rsidR="008542F5" w:rsidRPr="008542F5" w:rsidRDefault="008542F5" w:rsidP="008542F5">
      <w:pPr>
        <w:pStyle w:val="Heading2"/>
      </w:pPr>
      <w:bookmarkStart w:id="16" w:name="_Toc525647179"/>
      <w:bookmarkStart w:id="17" w:name="_Toc526175651"/>
      <w:bookmarkStart w:id="18" w:name="_Toc53728410"/>
      <w:bookmarkStart w:id="19" w:name="_Toc85438318"/>
      <w:r>
        <w:t>Documentos presentados</w:t>
      </w:r>
      <w:bookmarkEnd w:id="16"/>
      <w:bookmarkEnd w:id="17"/>
      <w:bookmarkEnd w:id="18"/>
      <w:bookmarkEnd w:id="19"/>
    </w:p>
    <w:p w14:paraId="0B4D4DB8" w14:textId="77777777" w:rsidR="008542F5" w:rsidRPr="008542F5" w:rsidRDefault="008542F5" w:rsidP="008542F5">
      <w:pPr>
        <w:keepNext/>
      </w:pPr>
    </w:p>
    <w:p w14:paraId="2FAB36A1" w14:textId="77777777" w:rsidR="008542F5" w:rsidRPr="008542F5" w:rsidRDefault="008542F5" w:rsidP="008542F5">
      <w:pPr>
        <w:keepNext/>
      </w:pPr>
      <w:r w:rsidRPr="008542F5">
        <w:fldChar w:fldCharType="begin"/>
      </w:r>
      <w:r w:rsidRPr="008542F5">
        <w:instrText xml:space="preserve"> AUTONUM  </w:instrText>
      </w:r>
      <w:r w:rsidRPr="008542F5">
        <w:fldChar w:fldCharType="end"/>
      </w:r>
      <w:r>
        <w:tab/>
        <w:t xml:space="preserve">A </w:t>
      </w:r>
      <w:proofErr w:type="gramStart"/>
      <w:r>
        <w:t>continuación</w:t>
      </w:r>
      <w:proofErr w:type="gramEnd"/>
      <w:r>
        <w:t xml:space="preserve"> se indican los documentos presentados en cada punto del orden del día de la vigésima sesión del BMT:</w:t>
      </w:r>
    </w:p>
    <w:p w14:paraId="565B8D76" w14:textId="77777777" w:rsidR="008542F5" w:rsidRPr="008542F5" w:rsidRDefault="008542F5" w:rsidP="008542F5">
      <w:pPr>
        <w:rPr>
          <w:snapToGrid w:val="0"/>
          <w:sz w:val="18"/>
        </w:rPr>
      </w:pPr>
    </w:p>
    <w:p w14:paraId="114ED2F1" w14:textId="77777777" w:rsidR="008542F5" w:rsidRPr="008542F5" w:rsidRDefault="008542F5" w:rsidP="008542F5">
      <w:pPr>
        <w:spacing w:after="120"/>
        <w:ind w:left="567"/>
        <w:rPr>
          <w:i/>
          <w:snapToGrid w:val="0"/>
        </w:rPr>
      </w:pPr>
      <w:proofErr w:type="spellStart"/>
      <w:r>
        <w:rPr>
          <w:i/>
          <w:snapToGrid w:val="0"/>
        </w:rPr>
        <w:t>Reports</w:t>
      </w:r>
      <w:proofErr w:type="spellEnd"/>
      <w:r>
        <w:rPr>
          <w:i/>
          <w:snapToGrid w:val="0"/>
        </w:rPr>
        <w:t xml:space="preserve"> </w:t>
      </w:r>
      <w:proofErr w:type="spellStart"/>
      <w:r>
        <w:rPr>
          <w:i/>
          <w:snapToGrid w:val="0"/>
        </w:rPr>
        <w:t>on</w:t>
      </w:r>
      <w:proofErr w:type="spellEnd"/>
      <w:r>
        <w:rPr>
          <w:i/>
          <w:snapToGrid w:val="0"/>
        </w:rPr>
        <w:t xml:space="preserve"> </w:t>
      </w:r>
      <w:proofErr w:type="spellStart"/>
      <w:r>
        <w:rPr>
          <w:i/>
          <w:snapToGrid w:val="0"/>
        </w:rPr>
        <w:t>developments</w:t>
      </w:r>
      <w:proofErr w:type="spellEnd"/>
      <w:r>
        <w:rPr>
          <w:i/>
          <w:snapToGrid w:val="0"/>
        </w:rPr>
        <w:t xml:space="preserve"> in UPOV </w:t>
      </w:r>
      <w:proofErr w:type="spellStart"/>
      <w:r>
        <w:rPr>
          <w:i/>
          <w:snapToGrid w:val="0"/>
        </w:rPr>
        <w:t>concerning</w:t>
      </w:r>
      <w:proofErr w:type="spellEnd"/>
      <w:r>
        <w:rPr>
          <w:i/>
          <w:snapToGrid w:val="0"/>
        </w:rPr>
        <w:t xml:space="preserve"> </w:t>
      </w:r>
      <w:proofErr w:type="spellStart"/>
      <w:r>
        <w:rPr>
          <w:i/>
          <w:snapToGrid w:val="0"/>
        </w:rPr>
        <w:t>biochemical</w:t>
      </w:r>
      <w:proofErr w:type="spellEnd"/>
      <w:r>
        <w:rPr>
          <w:i/>
          <w:snapToGrid w:val="0"/>
        </w:rPr>
        <w:t xml:space="preserve"> and molecular </w:t>
      </w:r>
      <w:proofErr w:type="spellStart"/>
      <w:r>
        <w:rPr>
          <w:i/>
          <w:snapToGrid w:val="0"/>
        </w:rPr>
        <w:t>techniques</w:t>
      </w:r>
      <w:proofErr w:type="spellEnd"/>
      <w:r>
        <w:rPr>
          <w:i/>
          <w:snapToGrid w:val="0"/>
        </w:rPr>
        <w:t xml:space="preserve"> (Informes sobre las novedades acaecidas en la UPOV en relación con las técnicas bioquímicas y moleculares) (documento BMT/20/2) </w:t>
      </w:r>
    </w:p>
    <w:p w14:paraId="17FF30AF" w14:textId="77777777" w:rsidR="008542F5" w:rsidRPr="008542F5" w:rsidRDefault="008542F5" w:rsidP="008542F5">
      <w:pPr>
        <w:spacing w:after="120"/>
        <w:ind w:left="567"/>
        <w:rPr>
          <w:i/>
          <w:snapToGrid w:val="0"/>
        </w:rPr>
      </w:pPr>
      <w:r>
        <w:rPr>
          <w:i/>
          <w:snapToGrid w:val="0"/>
        </w:rPr>
        <w:t xml:space="preserve">Breves ponencias sobre los avances en las técnicas bioquímicas y moleculares a cargo de expertos en el examen DHE, especialistas en técnicas bioquímicas y moleculares, y obtentores y organizaciones internacionales pertinentes (informes de los participantes) </w:t>
      </w:r>
    </w:p>
    <w:p w14:paraId="33FB67D7" w14:textId="77777777" w:rsidR="008542F5" w:rsidRPr="008542F5" w:rsidRDefault="008542F5" w:rsidP="008542F5">
      <w:pPr>
        <w:spacing w:after="120"/>
        <w:ind w:left="567" w:hanging="5"/>
        <w:rPr>
          <w:i/>
          <w:snapToGrid w:val="0"/>
        </w:rPr>
      </w:pPr>
      <w:r>
        <w:rPr>
          <w:i/>
          <w:snapToGrid w:val="0"/>
        </w:rPr>
        <w:t>Informe sobre la labor en materia de técnicas moleculares en relación con el examen DHE</w:t>
      </w:r>
    </w:p>
    <w:p w14:paraId="4ECB7AC5" w14:textId="11E10487" w:rsidR="008542F5" w:rsidRPr="008542F5" w:rsidRDefault="008542F5" w:rsidP="008542F5">
      <w:pPr>
        <w:pStyle w:val="ListParagraph"/>
        <w:spacing w:after="120"/>
        <w:ind w:left="922"/>
        <w:rPr>
          <w:rFonts w:cs="Arial"/>
          <w:i/>
          <w:shd w:val="clear" w:color="auto" w:fill="FFFFFF"/>
        </w:rPr>
      </w:pPr>
      <w:proofErr w:type="spellStart"/>
      <w:r>
        <w:rPr>
          <w:i/>
          <w:snapToGrid w:val="0"/>
        </w:rPr>
        <w:t>Update</w:t>
      </w:r>
      <w:proofErr w:type="spellEnd"/>
      <w:r>
        <w:rPr>
          <w:i/>
          <w:snapToGrid w:val="0"/>
        </w:rPr>
        <w:t xml:space="preserve"> </w:t>
      </w:r>
      <w:proofErr w:type="spellStart"/>
      <w:r>
        <w:rPr>
          <w:i/>
          <w:snapToGrid w:val="0"/>
        </w:rPr>
        <w:t>on</w:t>
      </w:r>
      <w:proofErr w:type="spellEnd"/>
      <w:r>
        <w:rPr>
          <w:i/>
          <w:snapToGrid w:val="0"/>
        </w:rPr>
        <w:t xml:space="preserve"> IMODDUS </w:t>
      </w:r>
      <w:proofErr w:type="spellStart"/>
      <w:r>
        <w:rPr>
          <w:i/>
          <w:snapToGrid w:val="0"/>
        </w:rPr>
        <w:t>activities</w:t>
      </w:r>
      <w:proofErr w:type="spellEnd"/>
      <w:r>
        <w:rPr>
          <w:i/>
        </w:rPr>
        <w:t xml:space="preserve"> (Información actualizada sobre las actividades del IMODDUS)</w:t>
      </w:r>
      <w:r w:rsidR="00C97101">
        <w:rPr>
          <w:i/>
        </w:rPr>
        <w:t xml:space="preserve"> </w:t>
      </w:r>
      <w:r>
        <w:rPr>
          <w:i/>
        </w:rPr>
        <w:t>(documento </w:t>
      </w:r>
      <w:r>
        <w:rPr>
          <w:i/>
          <w:shd w:val="clear" w:color="auto" w:fill="FFFFFF"/>
        </w:rPr>
        <w:t>BMT/20/7)</w:t>
      </w:r>
    </w:p>
    <w:p w14:paraId="6F31C555" w14:textId="77777777" w:rsidR="008542F5" w:rsidRPr="008542F5" w:rsidRDefault="008542F5" w:rsidP="008542F5">
      <w:pPr>
        <w:pStyle w:val="ListParagraph"/>
        <w:spacing w:after="120"/>
        <w:ind w:left="922"/>
        <w:rPr>
          <w:rFonts w:eastAsiaTheme="minorEastAsia"/>
          <w:i/>
          <w:strike/>
          <w:snapToGrid w:val="0"/>
          <w:lang w:val="es-ES_tradnl" w:eastAsia="ja-JP"/>
        </w:rPr>
      </w:pPr>
    </w:p>
    <w:p w14:paraId="636C520D" w14:textId="5E082EAC" w:rsidR="008542F5" w:rsidRPr="008542F5" w:rsidRDefault="008542F5" w:rsidP="008542F5">
      <w:pPr>
        <w:pStyle w:val="ListParagraph"/>
        <w:spacing w:after="120"/>
        <w:ind w:left="922"/>
        <w:rPr>
          <w:rFonts w:cs="Arial"/>
          <w:i/>
          <w:shd w:val="clear" w:color="auto" w:fill="FFFFFF"/>
        </w:rPr>
      </w:pPr>
      <w:proofErr w:type="spellStart"/>
      <w:r>
        <w:rPr>
          <w:i/>
        </w:rPr>
        <w:t>Identifying</w:t>
      </w:r>
      <w:proofErr w:type="spellEnd"/>
      <w:r>
        <w:rPr>
          <w:i/>
        </w:rPr>
        <w:t xml:space="preserve"> </w:t>
      </w:r>
      <w:proofErr w:type="spellStart"/>
      <w:r>
        <w:rPr>
          <w:i/>
        </w:rPr>
        <w:t>levels</w:t>
      </w:r>
      <w:proofErr w:type="spellEnd"/>
      <w:r>
        <w:rPr>
          <w:i/>
        </w:rPr>
        <w:t xml:space="preserve"> of </w:t>
      </w:r>
      <w:proofErr w:type="spellStart"/>
      <w:r>
        <w:rPr>
          <w:i/>
        </w:rPr>
        <w:t>diversity</w:t>
      </w:r>
      <w:proofErr w:type="spellEnd"/>
      <w:r>
        <w:rPr>
          <w:i/>
        </w:rPr>
        <w:t xml:space="preserve"> and </w:t>
      </w:r>
      <w:proofErr w:type="spellStart"/>
      <w:r>
        <w:rPr>
          <w:i/>
        </w:rPr>
        <w:t>developing</w:t>
      </w:r>
      <w:proofErr w:type="spellEnd"/>
      <w:r>
        <w:rPr>
          <w:i/>
        </w:rPr>
        <w:t xml:space="preserve"> </w:t>
      </w:r>
      <w:proofErr w:type="spellStart"/>
      <w:r>
        <w:rPr>
          <w:i/>
        </w:rPr>
        <w:t>markers</w:t>
      </w:r>
      <w:proofErr w:type="spellEnd"/>
      <w:r>
        <w:rPr>
          <w:i/>
        </w:rPr>
        <w:t xml:space="preserve"> to </w:t>
      </w:r>
      <w:proofErr w:type="spellStart"/>
      <w:r>
        <w:rPr>
          <w:i/>
        </w:rPr>
        <w:t>assist</w:t>
      </w:r>
      <w:proofErr w:type="spellEnd"/>
      <w:r>
        <w:rPr>
          <w:i/>
        </w:rPr>
        <w:t xml:space="preserve"> in </w:t>
      </w:r>
      <w:proofErr w:type="spellStart"/>
      <w:r>
        <w:rPr>
          <w:i/>
        </w:rPr>
        <w:t>managing</w:t>
      </w:r>
      <w:proofErr w:type="spellEnd"/>
      <w:r>
        <w:rPr>
          <w:i/>
        </w:rPr>
        <w:t xml:space="preserve"> </w:t>
      </w:r>
      <w:proofErr w:type="spellStart"/>
      <w:r>
        <w:rPr>
          <w:i/>
        </w:rPr>
        <w:t>the</w:t>
      </w:r>
      <w:proofErr w:type="spellEnd"/>
      <w:r>
        <w:rPr>
          <w:i/>
        </w:rPr>
        <w:t xml:space="preserve"> DUS </w:t>
      </w:r>
      <w:proofErr w:type="spellStart"/>
      <w:r>
        <w:rPr>
          <w:i/>
        </w:rPr>
        <w:t>reference</w:t>
      </w:r>
      <w:proofErr w:type="spellEnd"/>
      <w:r>
        <w:rPr>
          <w:i/>
        </w:rPr>
        <w:t xml:space="preserve"> </w:t>
      </w:r>
      <w:proofErr w:type="spellStart"/>
      <w:r>
        <w:rPr>
          <w:i/>
        </w:rPr>
        <w:t>collection</w:t>
      </w:r>
      <w:proofErr w:type="spellEnd"/>
      <w:r>
        <w:rPr>
          <w:i/>
        </w:rPr>
        <w:t xml:space="preserve"> of </w:t>
      </w:r>
      <w:proofErr w:type="spellStart"/>
      <w:r>
        <w:rPr>
          <w:i/>
        </w:rPr>
        <w:t>field</w:t>
      </w:r>
      <w:proofErr w:type="spellEnd"/>
      <w:r>
        <w:rPr>
          <w:i/>
        </w:rPr>
        <w:t xml:space="preserve"> </w:t>
      </w:r>
      <w:proofErr w:type="spellStart"/>
      <w:r>
        <w:rPr>
          <w:i/>
        </w:rPr>
        <w:t>beans</w:t>
      </w:r>
      <w:proofErr w:type="spellEnd"/>
      <w:r>
        <w:rPr>
          <w:i/>
        </w:rPr>
        <w:t xml:space="preserve"> (</w:t>
      </w:r>
      <w:r w:rsidRPr="00996513">
        <w:rPr>
          <w:iCs/>
        </w:rPr>
        <w:t>Vicia faba</w:t>
      </w:r>
      <w:r>
        <w:rPr>
          <w:i/>
        </w:rPr>
        <w:t xml:space="preserve">) (Determinación del grado de diversidad y elaboración de marcadores que permitan gestionar la colección de referencia para el examen DHE del haba </w:t>
      </w:r>
      <w:proofErr w:type="spellStart"/>
      <w:r>
        <w:rPr>
          <w:i/>
        </w:rPr>
        <w:t>cabalar</w:t>
      </w:r>
      <w:proofErr w:type="spellEnd"/>
      <w:r>
        <w:rPr>
          <w:i/>
        </w:rPr>
        <w:t>/haba/</w:t>
      </w:r>
      <w:proofErr w:type="spellStart"/>
      <w:r>
        <w:rPr>
          <w:i/>
        </w:rPr>
        <w:t>haboncillo</w:t>
      </w:r>
      <w:proofErr w:type="spellEnd"/>
      <w:r>
        <w:rPr>
          <w:i/>
        </w:rPr>
        <w:t xml:space="preserve"> </w:t>
      </w:r>
      <w:r w:rsidR="00996513">
        <w:rPr>
          <w:i/>
        </w:rPr>
        <w:t>(</w:t>
      </w:r>
      <w:r w:rsidR="00996513" w:rsidRPr="00996513">
        <w:rPr>
          <w:iCs/>
        </w:rPr>
        <w:t>Vicia faba</w:t>
      </w:r>
      <w:r w:rsidR="00996513">
        <w:rPr>
          <w:i/>
        </w:rPr>
        <w:t xml:space="preserve">) </w:t>
      </w:r>
      <w:r>
        <w:rPr>
          <w:i/>
        </w:rPr>
        <w:t>(documento </w:t>
      </w:r>
      <w:r>
        <w:rPr>
          <w:i/>
          <w:shd w:val="clear" w:color="auto" w:fill="FFFFFF"/>
        </w:rPr>
        <w:t>BMT/20/8)</w:t>
      </w:r>
    </w:p>
    <w:p w14:paraId="4D94A672" w14:textId="77777777" w:rsidR="008542F5" w:rsidRPr="008542F5" w:rsidRDefault="008542F5" w:rsidP="008542F5">
      <w:pPr>
        <w:pStyle w:val="ListParagraph"/>
        <w:spacing w:after="120"/>
        <w:ind w:left="922"/>
        <w:rPr>
          <w:rFonts w:eastAsiaTheme="minorEastAsia"/>
          <w:i/>
          <w:strike/>
          <w:snapToGrid w:val="0"/>
          <w:lang w:val="es-ES_tradnl" w:eastAsia="ja-JP"/>
        </w:rPr>
      </w:pPr>
    </w:p>
    <w:p w14:paraId="5AC24891" w14:textId="77777777" w:rsidR="008542F5" w:rsidRPr="008542F5" w:rsidRDefault="008542F5" w:rsidP="008542F5">
      <w:pPr>
        <w:pStyle w:val="ListParagraph"/>
        <w:spacing w:after="120"/>
        <w:ind w:left="922"/>
        <w:rPr>
          <w:rFonts w:eastAsiaTheme="minorEastAsia"/>
          <w:i/>
          <w:strike/>
          <w:snapToGrid w:val="0"/>
        </w:rPr>
      </w:pPr>
      <w:proofErr w:type="spellStart"/>
      <w:r>
        <w:rPr>
          <w:i/>
        </w:rPr>
        <w:t>Developing</w:t>
      </w:r>
      <w:proofErr w:type="spellEnd"/>
      <w:r>
        <w:rPr>
          <w:i/>
        </w:rPr>
        <w:t xml:space="preserve"> a </w:t>
      </w:r>
      <w:proofErr w:type="spellStart"/>
      <w:r>
        <w:rPr>
          <w:i/>
        </w:rPr>
        <w:t>strategy</w:t>
      </w:r>
      <w:proofErr w:type="spellEnd"/>
      <w:r>
        <w:rPr>
          <w:i/>
        </w:rPr>
        <w:t xml:space="preserve"> to </w:t>
      </w:r>
      <w:proofErr w:type="spellStart"/>
      <w:r>
        <w:rPr>
          <w:i/>
        </w:rPr>
        <w:t>apply</w:t>
      </w:r>
      <w:proofErr w:type="spellEnd"/>
      <w:r>
        <w:rPr>
          <w:i/>
        </w:rPr>
        <w:t xml:space="preserve"> SNP molecular </w:t>
      </w:r>
      <w:proofErr w:type="spellStart"/>
      <w:r>
        <w:rPr>
          <w:i/>
        </w:rPr>
        <w:t>markers</w:t>
      </w:r>
      <w:proofErr w:type="spellEnd"/>
      <w:r>
        <w:rPr>
          <w:i/>
        </w:rPr>
        <w:t xml:space="preserve"> in </w:t>
      </w:r>
      <w:proofErr w:type="spellStart"/>
      <w:r>
        <w:rPr>
          <w:i/>
        </w:rPr>
        <w:t>the</w:t>
      </w:r>
      <w:proofErr w:type="spellEnd"/>
      <w:r>
        <w:rPr>
          <w:i/>
        </w:rPr>
        <w:t xml:space="preserve"> </w:t>
      </w:r>
      <w:proofErr w:type="spellStart"/>
      <w:r>
        <w:rPr>
          <w:i/>
        </w:rPr>
        <w:t>framework</w:t>
      </w:r>
      <w:proofErr w:type="spellEnd"/>
      <w:r>
        <w:rPr>
          <w:i/>
        </w:rPr>
        <w:t xml:space="preserve"> of </w:t>
      </w:r>
      <w:proofErr w:type="spellStart"/>
      <w:r>
        <w:rPr>
          <w:i/>
        </w:rPr>
        <w:t>winter</w:t>
      </w:r>
      <w:proofErr w:type="spellEnd"/>
      <w:r>
        <w:rPr>
          <w:i/>
        </w:rPr>
        <w:t xml:space="preserve"> </w:t>
      </w:r>
      <w:proofErr w:type="spellStart"/>
      <w:r>
        <w:rPr>
          <w:i/>
        </w:rPr>
        <w:t>oilseed</w:t>
      </w:r>
      <w:proofErr w:type="spellEnd"/>
      <w:r>
        <w:rPr>
          <w:i/>
        </w:rPr>
        <w:t xml:space="preserve"> rape DUS </w:t>
      </w:r>
      <w:proofErr w:type="spellStart"/>
      <w:r>
        <w:rPr>
          <w:i/>
        </w:rPr>
        <w:t>testing</w:t>
      </w:r>
      <w:proofErr w:type="spellEnd"/>
      <w:r>
        <w:rPr>
          <w:i/>
        </w:rPr>
        <w:t xml:space="preserve"> (Desarrollo de una estrategia para aplicar marcadores moleculares SNP en el marco del examen DHE de la colza de invierno) (documento </w:t>
      </w:r>
      <w:r>
        <w:rPr>
          <w:i/>
          <w:shd w:val="clear" w:color="auto" w:fill="FFFFFF"/>
        </w:rPr>
        <w:t>BMT/20/9)</w:t>
      </w:r>
    </w:p>
    <w:p w14:paraId="6A66C4C1" w14:textId="0351007A" w:rsidR="008542F5" w:rsidRPr="008542F5" w:rsidRDefault="008542F5" w:rsidP="008542F5">
      <w:pPr>
        <w:spacing w:after="120"/>
        <w:ind w:left="567"/>
        <w:rPr>
          <w:rFonts w:eastAsia="MS Mincho"/>
          <w:i/>
          <w:snapToGrid w:val="0"/>
        </w:rPr>
      </w:pPr>
      <w:r>
        <w:rPr>
          <w:i/>
          <w:snapToGrid w:val="0"/>
        </w:rPr>
        <w:t>Revisión del documento UPOV/INF/17 “Directrices para los perfiles de ADN: selección de marcadores moleculares y creación de una base de datos</w:t>
      </w:r>
      <w:r w:rsidR="00C97101">
        <w:rPr>
          <w:rFonts w:cs="Arial"/>
          <w:i/>
          <w:snapToGrid w:val="0"/>
        </w:rPr>
        <w:t>”</w:t>
      </w:r>
      <w:r>
        <w:rPr>
          <w:i/>
          <w:snapToGrid w:val="0"/>
        </w:rPr>
        <w:t xml:space="preserve"> (“Directrices BMT”) (documentos BMT/20/3 y</w:t>
      </w:r>
      <w:r w:rsidR="00C97101">
        <w:rPr>
          <w:i/>
          <w:snapToGrid w:val="0"/>
        </w:rPr>
        <w:t> </w:t>
      </w:r>
      <w:r>
        <w:rPr>
          <w:i/>
          <w:snapToGrid w:val="0"/>
        </w:rPr>
        <w:t>UPOV/INF/17/2 </w:t>
      </w:r>
      <w:proofErr w:type="spellStart"/>
      <w:r>
        <w:rPr>
          <w:i/>
          <w:snapToGrid w:val="0"/>
        </w:rPr>
        <w:t>Draft</w:t>
      </w:r>
      <w:proofErr w:type="spellEnd"/>
      <w:r>
        <w:rPr>
          <w:i/>
          <w:snapToGrid w:val="0"/>
        </w:rPr>
        <w:t> 5)</w:t>
      </w:r>
    </w:p>
    <w:p w14:paraId="03971767" w14:textId="77777777" w:rsidR="008542F5" w:rsidRPr="008542F5" w:rsidRDefault="008542F5" w:rsidP="008542F5">
      <w:pPr>
        <w:spacing w:after="120"/>
        <w:ind w:left="567"/>
        <w:rPr>
          <w:rFonts w:cs="Arial"/>
          <w:i/>
        </w:rPr>
      </w:pPr>
      <w:proofErr w:type="spellStart"/>
      <w:r>
        <w:rPr>
          <w:i/>
        </w:rPr>
        <w:t>Cooperation</w:t>
      </w:r>
      <w:proofErr w:type="spellEnd"/>
      <w:r>
        <w:rPr>
          <w:i/>
        </w:rPr>
        <w:t xml:space="preserve"> </w:t>
      </w:r>
      <w:proofErr w:type="spellStart"/>
      <w:r>
        <w:rPr>
          <w:i/>
        </w:rPr>
        <w:t>between</w:t>
      </w:r>
      <w:proofErr w:type="spellEnd"/>
      <w:r>
        <w:rPr>
          <w:i/>
        </w:rPr>
        <w:t xml:space="preserve"> </w:t>
      </w:r>
      <w:proofErr w:type="spellStart"/>
      <w:r>
        <w:rPr>
          <w:i/>
        </w:rPr>
        <w:t>international</w:t>
      </w:r>
      <w:proofErr w:type="spellEnd"/>
      <w:r>
        <w:rPr>
          <w:i/>
        </w:rPr>
        <w:t xml:space="preserve"> </w:t>
      </w:r>
      <w:proofErr w:type="spellStart"/>
      <w:r>
        <w:rPr>
          <w:i/>
        </w:rPr>
        <w:t>organizations</w:t>
      </w:r>
      <w:proofErr w:type="spellEnd"/>
      <w:r>
        <w:rPr>
          <w:i/>
        </w:rPr>
        <w:t xml:space="preserve"> (Cooperación entre organizaciones internacionales) (documento </w:t>
      </w:r>
      <w:r>
        <w:rPr>
          <w:i/>
          <w:shd w:val="clear" w:color="auto" w:fill="FFFFFF"/>
        </w:rPr>
        <w:t>BMT/20/4</w:t>
      </w:r>
      <w:r>
        <w:rPr>
          <w:i/>
        </w:rPr>
        <w:t>)</w:t>
      </w:r>
    </w:p>
    <w:p w14:paraId="5669847D" w14:textId="77777777" w:rsidR="008542F5" w:rsidRPr="008542F5" w:rsidRDefault="008542F5" w:rsidP="008542F5">
      <w:pPr>
        <w:pStyle w:val="ListParagraph"/>
        <w:spacing w:after="120"/>
        <w:ind w:left="927"/>
        <w:rPr>
          <w:rFonts w:cs="Arial"/>
          <w:i/>
        </w:rPr>
      </w:pPr>
      <w:r>
        <w:rPr>
          <w:i/>
        </w:rPr>
        <w:t xml:space="preserve">OECD </w:t>
      </w:r>
      <w:proofErr w:type="spellStart"/>
      <w:r>
        <w:rPr>
          <w:i/>
        </w:rPr>
        <w:t>Seed</w:t>
      </w:r>
      <w:proofErr w:type="spellEnd"/>
      <w:r>
        <w:rPr>
          <w:i/>
        </w:rPr>
        <w:t xml:space="preserve"> </w:t>
      </w:r>
      <w:proofErr w:type="spellStart"/>
      <w:r>
        <w:rPr>
          <w:i/>
        </w:rPr>
        <w:t>Schemes</w:t>
      </w:r>
      <w:proofErr w:type="spellEnd"/>
      <w:r>
        <w:rPr>
          <w:i/>
        </w:rPr>
        <w:t xml:space="preserve"> (Sistemas de semillas de la OCDE) (documento BMT/20/10) </w:t>
      </w:r>
    </w:p>
    <w:p w14:paraId="290C807C" w14:textId="558BF37A" w:rsidR="008542F5" w:rsidRPr="008542F5" w:rsidRDefault="008542F5" w:rsidP="008542F5">
      <w:pPr>
        <w:spacing w:after="120"/>
        <w:ind w:left="567" w:firstLine="360"/>
        <w:rPr>
          <w:rFonts w:eastAsia="MS Mincho" w:cs="Arial"/>
          <w:i/>
        </w:rPr>
      </w:pPr>
      <w:r>
        <w:rPr>
          <w:i/>
        </w:rPr>
        <w:t xml:space="preserve">ISTA </w:t>
      </w:r>
      <w:proofErr w:type="spellStart"/>
      <w:r>
        <w:rPr>
          <w:i/>
        </w:rPr>
        <w:t>report</w:t>
      </w:r>
      <w:proofErr w:type="spellEnd"/>
      <w:r>
        <w:rPr>
          <w:i/>
        </w:rPr>
        <w:t xml:space="preserve"> </w:t>
      </w:r>
      <w:proofErr w:type="spellStart"/>
      <w:r>
        <w:rPr>
          <w:i/>
        </w:rPr>
        <w:t>on</w:t>
      </w:r>
      <w:proofErr w:type="spellEnd"/>
      <w:r>
        <w:rPr>
          <w:i/>
        </w:rPr>
        <w:t xml:space="preserve"> </w:t>
      </w:r>
      <w:proofErr w:type="spellStart"/>
      <w:r>
        <w:rPr>
          <w:i/>
        </w:rPr>
        <w:t>biochemical</w:t>
      </w:r>
      <w:proofErr w:type="spellEnd"/>
      <w:r>
        <w:rPr>
          <w:i/>
        </w:rPr>
        <w:t xml:space="preserve"> and molecular </w:t>
      </w:r>
      <w:proofErr w:type="spellStart"/>
      <w:r>
        <w:rPr>
          <w:i/>
        </w:rPr>
        <w:t>techniques</w:t>
      </w:r>
      <w:proofErr w:type="spellEnd"/>
      <w:r>
        <w:rPr>
          <w:i/>
        </w:rPr>
        <w:t xml:space="preserve"> (Informe de la ISTA sobre técnicas bioquímicas y moleculares) (documento BMT/20/11)</w:t>
      </w:r>
    </w:p>
    <w:p w14:paraId="5FA9DD0D" w14:textId="77777777" w:rsidR="008542F5" w:rsidRPr="008542F5" w:rsidRDefault="008542F5" w:rsidP="008542F5">
      <w:pPr>
        <w:spacing w:after="120"/>
        <w:ind w:left="567"/>
        <w:rPr>
          <w:i/>
          <w:snapToGrid w:val="0"/>
        </w:rPr>
      </w:pPr>
      <w:proofErr w:type="spellStart"/>
      <w:r>
        <w:rPr>
          <w:i/>
          <w:snapToGrid w:val="0"/>
        </w:rPr>
        <w:t>Confidentiality</w:t>
      </w:r>
      <w:proofErr w:type="spellEnd"/>
      <w:r>
        <w:rPr>
          <w:i/>
          <w:snapToGrid w:val="0"/>
        </w:rPr>
        <w:t xml:space="preserve">, </w:t>
      </w:r>
      <w:proofErr w:type="spellStart"/>
      <w:r>
        <w:rPr>
          <w:i/>
          <w:snapToGrid w:val="0"/>
        </w:rPr>
        <w:t>ownership</w:t>
      </w:r>
      <w:proofErr w:type="spellEnd"/>
      <w:r>
        <w:rPr>
          <w:i/>
          <w:snapToGrid w:val="0"/>
        </w:rPr>
        <w:t xml:space="preserve"> and </w:t>
      </w:r>
      <w:proofErr w:type="spellStart"/>
      <w:r>
        <w:rPr>
          <w:i/>
          <w:snapToGrid w:val="0"/>
        </w:rPr>
        <w:t>access</w:t>
      </w:r>
      <w:proofErr w:type="spellEnd"/>
      <w:r>
        <w:rPr>
          <w:i/>
          <w:snapToGrid w:val="0"/>
        </w:rPr>
        <w:t xml:space="preserve"> to molecular data, </w:t>
      </w:r>
      <w:proofErr w:type="spellStart"/>
      <w:r>
        <w:rPr>
          <w:i/>
          <w:snapToGrid w:val="0"/>
        </w:rPr>
        <w:t>including</w:t>
      </w:r>
      <w:proofErr w:type="spellEnd"/>
      <w:r>
        <w:rPr>
          <w:i/>
          <w:snapToGrid w:val="0"/>
        </w:rPr>
        <w:t xml:space="preserve"> </w:t>
      </w:r>
      <w:proofErr w:type="spellStart"/>
      <w:r>
        <w:rPr>
          <w:i/>
          <w:snapToGrid w:val="0"/>
        </w:rPr>
        <w:t>model</w:t>
      </w:r>
      <w:proofErr w:type="spellEnd"/>
      <w:r>
        <w:rPr>
          <w:i/>
          <w:snapToGrid w:val="0"/>
        </w:rPr>
        <w:t xml:space="preserve"> </w:t>
      </w:r>
      <w:proofErr w:type="spellStart"/>
      <w:r>
        <w:rPr>
          <w:i/>
          <w:snapToGrid w:val="0"/>
        </w:rPr>
        <w:t>agreement</w:t>
      </w:r>
      <w:proofErr w:type="spellEnd"/>
      <w:r>
        <w:rPr>
          <w:i/>
          <w:snapToGrid w:val="0"/>
        </w:rPr>
        <w:t xml:space="preserve"> </w:t>
      </w:r>
      <w:proofErr w:type="spellStart"/>
      <w:r>
        <w:rPr>
          <w:i/>
          <w:snapToGrid w:val="0"/>
        </w:rPr>
        <w:t>template</w:t>
      </w:r>
      <w:proofErr w:type="spellEnd"/>
      <w:r>
        <w:rPr>
          <w:i/>
        </w:rPr>
        <w:t xml:space="preserve"> (Confidencialidad, titularidad y acceso a datos moleculares, incluido un modelo de acuerdo tipo) (documento </w:t>
      </w:r>
      <w:r>
        <w:rPr>
          <w:i/>
          <w:shd w:val="clear" w:color="auto" w:fill="FFFFFF"/>
        </w:rPr>
        <w:t>BMT/20/5</w:t>
      </w:r>
      <w:r>
        <w:rPr>
          <w:i/>
        </w:rPr>
        <w:t xml:space="preserve">) </w:t>
      </w:r>
    </w:p>
    <w:p w14:paraId="12922AEB" w14:textId="77777777" w:rsidR="008542F5" w:rsidRPr="008542F5" w:rsidRDefault="008542F5" w:rsidP="008542F5">
      <w:pPr>
        <w:spacing w:after="120"/>
        <w:ind w:firstLine="567"/>
        <w:rPr>
          <w:i/>
          <w:snapToGrid w:val="0"/>
        </w:rPr>
      </w:pPr>
      <w:proofErr w:type="spellStart"/>
      <w:r>
        <w:rPr>
          <w:i/>
          <w:snapToGrid w:val="0"/>
        </w:rPr>
        <w:t>Session</w:t>
      </w:r>
      <w:proofErr w:type="spellEnd"/>
      <w:r>
        <w:rPr>
          <w:i/>
          <w:snapToGrid w:val="0"/>
        </w:rPr>
        <w:t xml:space="preserve"> to </w:t>
      </w:r>
      <w:proofErr w:type="spellStart"/>
      <w:r>
        <w:rPr>
          <w:i/>
          <w:snapToGrid w:val="0"/>
        </w:rPr>
        <w:t>facilitate</w:t>
      </w:r>
      <w:proofErr w:type="spellEnd"/>
      <w:r>
        <w:rPr>
          <w:i/>
          <w:snapToGrid w:val="0"/>
        </w:rPr>
        <w:t xml:space="preserve"> </w:t>
      </w:r>
      <w:proofErr w:type="spellStart"/>
      <w:r>
        <w:rPr>
          <w:i/>
          <w:snapToGrid w:val="0"/>
        </w:rPr>
        <w:t>cooperation</w:t>
      </w:r>
      <w:proofErr w:type="spellEnd"/>
      <w:r>
        <w:rPr>
          <w:i/>
          <w:snapToGrid w:val="0"/>
        </w:rPr>
        <w:t xml:space="preserve"> (Sesión destinada a facilitar la cooperación) (</w:t>
      </w:r>
      <w:r>
        <w:rPr>
          <w:i/>
          <w:shd w:val="clear" w:color="auto" w:fill="FFFFFF"/>
        </w:rPr>
        <w:t>documento BMT/20/6)</w:t>
      </w:r>
      <w:r>
        <w:rPr>
          <w:i/>
          <w:snapToGrid w:val="0"/>
        </w:rPr>
        <w:t xml:space="preserve"> </w:t>
      </w:r>
    </w:p>
    <w:p w14:paraId="6F46ADC6" w14:textId="77777777" w:rsidR="008542F5" w:rsidRPr="008542F5" w:rsidRDefault="008542F5" w:rsidP="008542F5">
      <w:bookmarkStart w:id="20" w:name="_GoBack"/>
      <w:bookmarkEnd w:id="20"/>
    </w:p>
    <w:p w14:paraId="05857134" w14:textId="77777777" w:rsidR="008542F5" w:rsidRPr="008542F5" w:rsidRDefault="008542F5" w:rsidP="008542F5">
      <w:pPr>
        <w:pStyle w:val="Heading2"/>
      </w:pPr>
      <w:bookmarkStart w:id="21" w:name="_Toc85438319"/>
      <w:r>
        <w:t>Breves ponencias sobre los avances en las técnicas bioquímicas y moleculares a cargo de expertos en el examen DHE, especialistas en técnicas bioquímicas y moleculares, y obtentores y organizaciones internacionales pertinentes</w:t>
      </w:r>
      <w:bookmarkEnd w:id="21"/>
      <w:r>
        <w:t xml:space="preserve"> </w:t>
      </w:r>
    </w:p>
    <w:p w14:paraId="6B549D7F" w14:textId="77777777" w:rsidR="008542F5" w:rsidRPr="008542F5" w:rsidRDefault="008542F5" w:rsidP="008542F5"/>
    <w:p w14:paraId="282B0786" w14:textId="7A62EF35" w:rsidR="008542F5" w:rsidRPr="008542F5" w:rsidRDefault="008542F5" w:rsidP="008542F5">
      <w:r w:rsidRPr="008542F5">
        <w:fldChar w:fldCharType="begin"/>
      </w:r>
      <w:r w:rsidRPr="008542F5">
        <w:instrText xml:space="preserve"> AUTONUM  </w:instrText>
      </w:r>
      <w:r w:rsidRPr="008542F5">
        <w:fldChar w:fldCharType="end"/>
      </w:r>
      <w:r>
        <w:tab/>
        <w:t>El BMT tomó nota de la mediación de Francia para</w:t>
      </w:r>
      <w:r w:rsidR="00611D93">
        <w:t xml:space="preserve"> </w:t>
      </w:r>
      <w:r>
        <w:t>que el GEVES organice un curso de formación sobre el uso de técnicas moleculares en respaldo del examen DHE en marzo de 2022 (véase el párrafo 6 del documento BMT/20/12 “</w:t>
      </w:r>
      <w:proofErr w:type="spellStart"/>
      <w:r>
        <w:rPr>
          <w:i/>
          <w:iCs/>
        </w:rPr>
        <w:t>Report</w:t>
      </w:r>
      <w:proofErr w:type="spellEnd"/>
      <w:r>
        <w:t xml:space="preserve">”). </w:t>
      </w:r>
    </w:p>
    <w:p w14:paraId="15CC7939" w14:textId="77777777" w:rsidR="008542F5" w:rsidRPr="008542F5" w:rsidRDefault="008542F5" w:rsidP="008542F5">
      <w:pPr>
        <w:jc w:val="left"/>
      </w:pPr>
    </w:p>
    <w:p w14:paraId="60533581" w14:textId="77777777" w:rsidR="008542F5" w:rsidRPr="008542F5" w:rsidRDefault="008542F5" w:rsidP="008542F5">
      <w:pPr>
        <w:jc w:val="left"/>
      </w:pPr>
    </w:p>
    <w:p w14:paraId="73387FBC" w14:textId="77777777" w:rsidR="008542F5" w:rsidRPr="008542F5" w:rsidRDefault="008542F5" w:rsidP="008542F5"/>
    <w:p w14:paraId="59894263" w14:textId="77777777" w:rsidR="00050E16" w:rsidRPr="008542F5" w:rsidRDefault="008542F5" w:rsidP="008542F5">
      <w:pPr>
        <w:jc w:val="right"/>
      </w:pPr>
      <w:r>
        <w:t>[Fin del documento]</w:t>
      </w:r>
    </w:p>
    <w:sectPr w:rsidR="00050E16" w:rsidRPr="008542F5" w:rsidSect="003B753B">
      <w:headerReference w:type="default" r:id="rId7"/>
      <w:pgSz w:w="11907" w:h="16840" w:code="9"/>
      <w:pgMar w:top="510" w:right="1134" w:bottom="851"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F080C" w14:textId="77777777" w:rsidR="006C34B6" w:rsidRDefault="006C34B6" w:rsidP="006655D3">
      <w:r>
        <w:separator/>
      </w:r>
    </w:p>
    <w:p w14:paraId="074459AD" w14:textId="77777777" w:rsidR="006C34B6" w:rsidRDefault="006C34B6" w:rsidP="006655D3"/>
    <w:p w14:paraId="643106DB" w14:textId="77777777" w:rsidR="006C34B6" w:rsidRDefault="006C34B6" w:rsidP="006655D3"/>
  </w:endnote>
  <w:endnote w:type="continuationSeparator" w:id="0">
    <w:p w14:paraId="1B667892" w14:textId="77777777" w:rsidR="006C34B6" w:rsidRDefault="006C34B6" w:rsidP="006655D3">
      <w:r>
        <w:separator/>
      </w:r>
    </w:p>
    <w:p w14:paraId="452C3BF3" w14:textId="77777777" w:rsidR="006C34B6" w:rsidRPr="00294751" w:rsidRDefault="006C34B6">
      <w:pPr>
        <w:pStyle w:val="Footer"/>
        <w:spacing w:after="60"/>
        <w:rPr>
          <w:sz w:val="18"/>
          <w:lang w:val="fr-FR"/>
        </w:rPr>
      </w:pPr>
      <w:r w:rsidRPr="00294751">
        <w:rPr>
          <w:sz w:val="18"/>
          <w:lang w:val="fr-FR"/>
        </w:rPr>
        <w:t>[Suite de la note de la page précédente]</w:t>
      </w:r>
    </w:p>
    <w:p w14:paraId="4D04BAFC" w14:textId="77777777" w:rsidR="006C34B6" w:rsidRPr="00294751" w:rsidRDefault="006C34B6" w:rsidP="006655D3">
      <w:pPr>
        <w:rPr>
          <w:lang w:val="fr-FR"/>
        </w:rPr>
      </w:pPr>
    </w:p>
    <w:p w14:paraId="498629FE" w14:textId="77777777" w:rsidR="006C34B6" w:rsidRPr="00294751" w:rsidRDefault="006C34B6" w:rsidP="006655D3">
      <w:pPr>
        <w:rPr>
          <w:lang w:val="fr-FR"/>
        </w:rPr>
      </w:pPr>
    </w:p>
  </w:endnote>
  <w:endnote w:type="continuationNotice" w:id="1">
    <w:p w14:paraId="673B1079" w14:textId="77777777" w:rsidR="006C34B6" w:rsidRPr="00294751" w:rsidRDefault="006C34B6" w:rsidP="006655D3">
      <w:pPr>
        <w:rPr>
          <w:lang w:val="fr-FR"/>
        </w:rPr>
      </w:pPr>
      <w:r w:rsidRPr="00294751">
        <w:rPr>
          <w:lang w:val="fr-FR"/>
        </w:rPr>
        <w:t>[Suite de la note page suivante]</w:t>
      </w:r>
    </w:p>
    <w:p w14:paraId="5FF3F1EF" w14:textId="77777777" w:rsidR="006C34B6" w:rsidRPr="00294751" w:rsidRDefault="006C34B6" w:rsidP="006655D3">
      <w:pPr>
        <w:rPr>
          <w:lang w:val="fr-FR"/>
        </w:rPr>
      </w:pPr>
    </w:p>
    <w:p w14:paraId="2C9540F5" w14:textId="77777777" w:rsidR="006C34B6" w:rsidRPr="00294751" w:rsidRDefault="006C34B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F065D" w14:textId="77777777" w:rsidR="006C34B6" w:rsidRDefault="006C34B6" w:rsidP="006655D3">
      <w:r>
        <w:separator/>
      </w:r>
    </w:p>
  </w:footnote>
  <w:footnote w:type="continuationSeparator" w:id="0">
    <w:p w14:paraId="355C0971" w14:textId="77777777" w:rsidR="006C34B6" w:rsidRDefault="006C34B6" w:rsidP="006655D3">
      <w:r>
        <w:separator/>
      </w:r>
    </w:p>
  </w:footnote>
  <w:footnote w:type="continuationNotice" w:id="1">
    <w:p w14:paraId="6D512FC0" w14:textId="77777777" w:rsidR="006C34B6" w:rsidRPr="00AB530F" w:rsidRDefault="006C34B6" w:rsidP="00AB530F">
      <w:pPr>
        <w:pStyle w:val="Footer"/>
      </w:pPr>
    </w:p>
  </w:footnote>
  <w:footnote w:id="2">
    <w:p w14:paraId="059469A2" w14:textId="77777777" w:rsidR="008542F5" w:rsidRPr="008542F5" w:rsidRDefault="008542F5" w:rsidP="008542F5">
      <w:pPr>
        <w:pStyle w:val="FootnoteText"/>
      </w:pPr>
      <w:r>
        <w:rPr>
          <w:rStyle w:val="FootnoteReference"/>
        </w:rPr>
        <w:footnoteRef/>
      </w:r>
      <w:r>
        <w:tab/>
        <w:t>En su quincuagésima quinta sesión, organizada por Turquía y celebrada por medios electrónicos del 3 al 7 de mayo de 2021</w:t>
      </w:r>
    </w:p>
  </w:footnote>
  <w:footnote w:id="3">
    <w:p w14:paraId="29A52925" w14:textId="77777777" w:rsidR="008542F5" w:rsidRPr="008542F5" w:rsidRDefault="008542F5" w:rsidP="008542F5">
      <w:pPr>
        <w:pStyle w:val="FootnoteText"/>
      </w:pPr>
      <w:r>
        <w:rPr>
          <w:rStyle w:val="FootnoteReference"/>
        </w:rPr>
        <w:footnoteRef/>
      </w:r>
      <w:r>
        <w:tab/>
        <w:t>En su quincuagésima tercera sesión, organizada por los Países Bajos y celebrada por medios electrónicos del 7 al 11 de junio de 2021</w:t>
      </w:r>
    </w:p>
  </w:footnote>
  <w:footnote w:id="4">
    <w:p w14:paraId="40283A3F" w14:textId="77777777" w:rsidR="008542F5" w:rsidRPr="008542F5" w:rsidRDefault="008542F5" w:rsidP="008542F5">
      <w:pPr>
        <w:pStyle w:val="FootnoteText"/>
      </w:pPr>
      <w:r>
        <w:rPr>
          <w:rStyle w:val="FootnoteReference"/>
        </w:rPr>
        <w:footnoteRef/>
      </w:r>
      <w:r>
        <w:tab/>
        <w:t xml:space="preserve">En su quincuagésima sesión, organizada por la República Unida de </w:t>
      </w:r>
      <w:proofErr w:type="spellStart"/>
      <w:r>
        <w:t>Tanzanía</w:t>
      </w:r>
      <w:proofErr w:type="spellEnd"/>
      <w:r>
        <w:t xml:space="preserve"> y celebrada por medios electrónicos del 21 al 25 de junio de 2021</w:t>
      </w:r>
    </w:p>
  </w:footnote>
  <w:footnote w:id="5">
    <w:p w14:paraId="624F5981" w14:textId="77777777" w:rsidR="008542F5" w:rsidRPr="008542F5" w:rsidRDefault="008542F5" w:rsidP="008542F5">
      <w:pPr>
        <w:pStyle w:val="FootnoteText"/>
      </w:pPr>
      <w:r>
        <w:rPr>
          <w:rStyle w:val="FootnoteReference"/>
        </w:rPr>
        <w:footnoteRef/>
      </w:r>
      <w:r>
        <w:tab/>
        <w:t>En su quincuagésima segunda sesión, organizada por China y celebrada por medios electrónicos del 12 al 16 de julio de 2021</w:t>
      </w:r>
    </w:p>
  </w:footnote>
  <w:footnote w:id="6">
    <w:p w14:paraId="192982CE" w14:textId="035730E7" w:rsidR="008542F5" w:rsidRPr="008542F5" w:rsidRDefault="008542F5" w:rsidP="008542F5">
      <w:pPr>
        <w:pStyle w:val="FootnoteText"/>
      </w:pPr>
      <w:r>
        <w:rPr>
          <w:rStyle w:val="FootnoteReference"/>
        </w:rPr>
        <w:footnoteRef/>
      </w:r>
      <w:r>
        <w:tab/>
        <w:t>En su trigésima novena sesión, organizada por los Estados Unidos de América y celebrada por medios electrónicos del 20 al 22 de septiembre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877B0" w14:textId="77777777" w:rsidR="00182B99" w:rsidRPr="008542F5" w:rsidRDefault="00467B42" w:rsidP="008542F5">
    <w:pPr>
      <w:pStyle w:val="Header"/>
      <w:rPr>
        <w:rStyle w:val="PageNumber"/>
      </w:rPr>
    </w:pPr>
    <w:r>
      <w:rPr>
        <w:rStyle w:val="PageNumber"/>
      </w:rPr>
      <w:t>TC/57/INF/6</w:t>
    </w:r>
  </w:p>
  <w:p w14:paraId="573481AA" w14:textId="34F23A0F" w:rsidR="00182B99" w:rsidRPr="008542F5" w:rsidRDefault="008B3D8D" w:rsidP="008542F5">
    <w:pPr>
      <w:pStyle w:val="Header"/>
    </w:pPr>
    <w:r>
      <w:t xml:space="preserve">página </w:t>
    </w:r>
    <w:r w:rsidR="00182B99" w:rsidRPr="008542F5">
      <w:rPr>
        <w:rStyle w:val="PageNumber"/>
      </w:rPr>
      <w:fldChar w:fldCharType="begin"/>
    </w:r>
    <w:r w:rsidR="00182B99" w:rsidRPr="008542F5">
      <w:rPr>
        <w:rStyle w:val="PageNumber"/>
      </w:rPr>
      <w:instrText xml:space="preserve"> PAGE </w:instrText>
    </w:r>
    <w:r w:rsidR="00182B99" w:rsidRPr="008542F5">
      <w:rPr>
        <w:rStyle w:val="PageNumber"/>
      </w:rPr>
      <w:fldChar w:fldCharType="separate"/>
    </w:r>
    <w:r w:rsidR="00A00B59">
      <w:rPr>
        <w:rStyle w:val="PageNumber"/>
        <w:noProof/>
      </w:rPr>
      <w:t>4</w:t>
    </w:r>
    <w:r w:rsidR="00182B99" w:rsidRPr="008542F5">
      <w:rPr>
        <w:rStyle w:val="PageNumber"/>
      </w:rPr>
      <w:fldChar w:fldCharType="end"/>
    </w:r>
  </w:p>
  <w:p w14:paraId="145F31B9" w14:textId="77777777" w:rsidR="00182B99" w:rsidRPr="008542F5" w:rsidRDefault="00182B99" w:rsidP="008542F5">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F5"/>
    <w:rsid w:val="00010CF3"/>
    <w:rsid w:val="00011E27"/>
    <w:rsid w:val="000148BC"/>
    <w:rsid w:val="00024AB8"/>
    <w:rsid w:val="00030854"/>
    <w:rsid w:val="00036028"/>
    <w:rsid w:val="00044642"/>
    <w:rsid w:val="000446B9"/>
    <w:rsid w:val="00047E21"/>
    <w:rsid w:val="00050E16"/>
    <w:rsid w:val="000638A9"/>
    <w:rsid w:val="00085505"/>
    <w:rsid w:val="000A23DC"/>
    <w:rsid w:val="000B7BB9"/>
    <w:rsid w:val="000C4E25"/>
    <w:rsid w:val="000C7021"/>
    <w:rsid w:val="000D6BBC"/>
    <w:rsid w:val="000D7780"/>
    <w:rsid w:val="000E636A"/>
    <w:rsid w:val="000F2F11"/>
    <w:rsid w:val="00105929"/>
    <w:rsid w:val="001066E7"/>
    <w:rsid w:val="00110C36"/>
    <w:rsid w:val="001131D5"/>
    <w:rsid w:val="00141DB8"/>
    <w:rsid w:val="00172084"/>
    <w:rsid w:val="0017474A"/>
    <w:rsid w:val="001758C6"/>
    <w:rsid w:val="00182B99"/>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C3D98"/>
    <w:rsid w:val="002E19A1"/>
    <w:rsid w:val="002E5944"/>
    <w:rsid w:val="002F4C40"/>
    <w:rsid w:val="00305A7F"/>
    <w:rsid w:val="003152FE"/>
    <w:rsid w:val="00324098"/>
    <w:rsid w:val="00327436"/>
    <w:rsid w:val="00344BD6"/>
    <w:rsid w:val="0035528D"/>
    <w:rsid w:val="00361821"/>
    <w:rsid w:val="00361E9E"/>
    <w:rsid w:val="003B031A"/>
    <w:rsid w:val="003B753B"/>
    <w:rsid w:val="003C7FBE"/>
    <w:rsid w:val="003D227C"/>
    <w:rsid w:val="003D2B4D"/>
    <w:rsid w:val="0040557F"/>
    <w:rsid w:val="00444A88"/>
    <w:rsid w:val="00467B42"/>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1EC1"/>
    <w:rsid w:val="005A400A"/>
    <w:rsid w:val="005F7B92"/>
    <w:rsid w:val="00611D93"/>
    <w:rsid w:val="00612379"/>
    <w:rsid w:val="006153B6"/>
    <w:rsid w:val="0061555F"/>
    <w:rsid w:val="00631E71"/>
    <w:rsid w:val="00636CA6"/>
    <w:rsid w:val="00637EDD"/>
    <w:rsid w:val="00641200"/>
    <w:rsid w:val="00645CA8"/>
    <w:rsid w:val="006655D3"/>
    <w:rsid w:val="00667404"/>
    <w:rsid w:val="00687EB4"/>
    <w:rsid w:val="00695C56"/>
    <w:rsid w:val="006A5CDE"/>
    <w:rsid w:val="006A644A"/>
    <w:rsid w:val="006B17D2"/>
    <w:rsid w:val="006C224E"/>
    <w:rsid w:val="006C34B6"/>
    <w:rsid w:val="006D780A"/>
    <w:rsid w:val="007066CD"/>
    <w:rsid w:val="0071271E"/>
    <w:rsid w:val="00732DEC"/>
    <w:rsid w:val="007336E2"/>
    <w:rsid w:val="00735BD5"/>
    <w:rsid w:val="00751613"/>
    <w:rsid w:val="007556F6"/>
    <w:rsid w:val="00760EEF"/>
    <w:rsid w:val="00772B51"/>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542F5"/>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6513"/>
    <w:rsid w:val="00997029"/>
    <w:rsid w:val="009A7339"/>
    <w:rsid w:val="009B440E"/>
    <w:rsid w:val="009D0C15"/>
    <w:rsid w:val="009D690D"/>
    <w:rsid w:val="009E566E"/>
    <w:rsid w:val="009E65B6"/>
    <w:rsid w:val="00A00B59"/>
    <w:rsid w:val="00A24C10"/>
    <w:rsid w:val="00A35AC1"/>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101"/>
    <w:rsid w:val="00C973F2"/>
    <w:rsid w:val="00CA304C"/>
    <w:rsid w:val="00CA774A"/>
    <w:rsid w:val="00CB3D67"/>
    <w:rsid w:val="00CC11B0"/>
    <w:rsid w:val="00CC2841"/>
    <w:rsid w:val="00CE49AB"/>
    <w:rsid w:val="00CF1330"/>
    <w:rsid w:val="00CF7E36"/>
    <w:rsid w:val="00D3708D"/>
    <w:rsid w:val="00D40426"/>
    <w:rsid w:val="00D527B3"/>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C2265"/>
    <w:rsid w:val="00EE34DF"/>
    <w:rsid w:val="00EE3C81"/>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9ABAF"/>
  <w15:docId w15:val="{EE026A08-1E71-4A9C-8FC3-BC42A3B1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basedOn w:val="Normal"/>
    <w:next w:val="Normal"/>
    <w:autoRedefine/>
    <w:uiPriority w:val="39"/>
    <w:rsid w:val="009E566E"/>
    <w:pPr>
      <w:tabs>
        <w:tab w:val="right" w:leader="dot" w:pos="9639"/>
      </w:tabs>
      <w:ind w:left="568" w:right="851" w:hanging="284"/>
      <w:jc w:val="left"/>
    </w:pPr>
    <w:rPr>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9E566E"/>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link w:val="Heading2"/>
    <w:locked/>
    <w:rsid w:val="008542F5"/>
    <w:rPr>
      <w:rFonts w:ascii="Arial" w:hAnsi="Arial"/>
      <w:u w:val="single"/>
    </w:rPr>
  </w:style>
  <w:style w:type="character" w:customStyle="1" w:styleId="FootnoteTextChar">
    <w:name w:val="Footnote Text Char"/>
    <w:basedOn w:val="DefaultParagraphFont"/>
    <w:link w:val="FootnoteText"/>
    <w:rsid w:val="008542F5"/>
    <w:rPr>
      <w:rFonts w:ascii="Arial" w:hAnsi="Arial"/>
      <w:sz w:val="16"/>
      <w:lang w:val="es-ES"/>
    </w:rPr>
  </w:style>
  <w:style w:type="character" w:customStyle="1" w:styleId="Heading1Char">
    <w:name w:val="Heading 1 Char"/>
    <w:basedOn w:val="DefaultParagraphFont"/>
    <w:link w:val="Heading1"/>
    <w:rsid w:val="008542F5"/>
    <w:rPr>
      <w:rFonts w:ascii="Arial" w:hAnsi="Arial"/>
      <w:caps/>
    </w:rPr>
  </w:style>
  <w:style w:type="paragraph" w:styleId="ListParagraph">
    <w:name w:val="List Paragraph"/>
    <w:basedOn w:val="Normal"/>
    <w:uiPriority w:val="34"/>
    <w:qFormat/>
    <w:rsid w:val="008542F5"/>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2035</Words>
  <Characters>12012</Characters>
  <Application>Microsoft Office Word</Application>
  <DocSecurity>0</DocSecurity>
  <Lines>245</Lines>
  <Paragraphs>96</Paragraphs>
  <ScaleCrop>false</ScaleCrop>
  <HeadingPairs>
    <vt:vector size="2" baseType="variant">
      <vt:variant>
        <vt:lpstr>Title</vt:lpstr>
      </vt:variant>
      <vt:variant>
        <vt:i4>1</vt:i4>
      </vt:variant>
    </vt:vector>
  </HeadingPairs>
  <TitlesOfParts>
    <vt:vector size="1" baseType="lpstr">
      <vt:lpstr>TC/57/INF/6</vt:lpstr>
    </vt:vector>
  </TitlesOfParts>
  <Company>UPOV</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TC/57/INF/6</dc:title>
  <dc:creator>DG</dc:creator>
  <cp:lastModifiedBy>MAY Jessica</cp:lastModifiedBy>
  <cp:revision>6</cp:revision>
  <cp:lastPrinted>2016-11-22T15:41:00Z</cp:lastPrinted>
  <dcterms:created xsi:type="dcterms:W3CDTF">2021-10-18T07:15:00Z</dcterms:created>
  <dcterms:modified xsi:type="dcterms:W3CDTF">2021-10-19T12:29:00Z</dcterms:modified>
</cp:coreProperties>
</file>