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D0092" w:rsidTr="00EB4E9C">
        <w:tc>
          <w:tcPr>
            <w:tcW w:w="6522" w:type="dxa"/>
          </w:tcPr>
          <w:p w:rsidR="00DC3802" w:rsidRPr="008D0092" w:rsidRDefault="00DC3802" w:rsidP="00C66F79">
            <w:pPr>
              <w:rPr>
                <w:dstrike/>
              </w:rPr>
            </w:pPr>
            <w:r w:rsidRPr="00C66F79">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C66F79" w:rsidRDefault="002E5944" w:rsidP="00AC2883">
            <w:pPr>
              <w:pStyle w:val="Lettrine"/>
            </w:pPr>
            <w:r w:rsidRPr="00C66F79">
              <w:t>S</w:t>
            </w:r>
          </w:p>
        </w:tc>
      </w:tr>
      <w:tr w:rsidR="00DC3802" w:rsidRPr="008D0092" w:rsidTr="00645CA8">
        <w:trPr>
          <w:trHeight w:val="219"/>
        </w:trPr>
        <w:tc>
          <w:tcPr>
            <w:tcW w:w="6522" w:type="dxa"/>
          </w:tcPr>
          <w:p w:rsidR="00DC3802" w:rsidRPr="008D0092" w:rsidRDefault="002E5944" w:rsidP="00BC0BD4">
            <w:pPr>
              <w:pStyle w:val="upove"/>
              <w:rPr>
                <w:dstrike/>
              </w:rPr>
            </w:pPr>
            <w:r w:rsidRPr="00C66F79">
              <w:t>Unión Internacional para la Protección de las Obtenciones Vegetales</w:t>
            </w:r>
          </w:p>
        </w:tc>
        <w:tc>
          <w:tcPr>
            <w:tcW w:w="3117" w:type="dxa"/>
          </w:tcPr>
          <w:p w:rsidR="00DC3802" w:rsidRPr="00C66F79" w:rsidRDefault="00DC3802" w:rsidP="00DA4973"/>
        </w:tc>
      </w:tr>
    </w:tbl>
    <w:p w:rsidR="009A4195" w:rsidRDefault="009A4195" w:rsidP="00DC3802"/>
    <w:p w:rsidR="00DA4973" w:rsidRPr="00C66F79"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8D0092" w:rsidTr="00EE3C81">
        <w:tc>
          <w:tcPr>
            <w:tcW w:w="6512" w:type="dxa"/>
            <w:tcBorders>
              <w:bottom w:val="single" w:sz="4" w:space="0" w:color="auto"/>
            </w:tcBorders>
          </w:tcPr>
          <w:p w:rsidR="009A4195" w:rsidRDefault="002E5944" w:rsidP="00AC2883">
            <w:pPr>
              <w:pStyle w:val="Sessiontc"/>
              <w:spacing w:line="240" w:lineRule="auto"/>
            </w:pPr>
            <w:r w:rsidRPr="00C66F79">
              <w:t>Comité Técnico</w:t>
            </w:r>
          </w:p>
          <w:p w:rsidR="00EB4E9C" w:rsidRPr="008D0092" w:rsidRDefault="002E5944" w:rsidP="00324098">
            <w:pPr>
              <w:pStyle w:val="Sessiontcplacedate"/>
              <w:rPr>
                <w:dstrike/>
                <w:sz w:val="22"/>
              </w:rPr>
            </w:pPr>
            <w:r w:rsidRPr="00C66F79">
              <w:t xml:space="preserve">Quincuagésima </w:t>
            </w:r>
            <w:r w:rsidR="00467B42" w:rsidRPr="00C66F79">
              <w:t>s</w:t>
            </w:r>
            <w:r w:rsidR="00324098" w:rsidRPr="00C66F79">
              <w:t>éptima</w:t>
            </w:r>
            <w:r w:rsidRPr="00C66F79">
              <w:t xml:space="preserve"> sesión</w:t>
            </w:r>
            <w:r w:rsidR="00EB4E9C" w:rsidRPr="00C66F79">
              <w:br/>
            </w:r>
            <w:r w:rsidRPr="00C66F79">
              <w:t>Ginebra</w:t>
            </w:r>
            <w:r w:rsidR="00EB4E9C" w:rsidRPr="00C66F79">
              <w:t xml:space="preserve">, </w:t>
            </w:r>
            <w:r w:rsidR="005A1EC1" w:rsidRPr="00C66F79">
              <w:t>2</w:t>
            </w:r>
            <w:r w:rsidR="00324098" w:rsidRPr="00C66F79">
              <w:t>5</w:t>
            </w:r>
            <w:r w:rsidR="005A1EC1" w:rsidRPr="00C66F79">
              <w:t xml:space="preserve"> y </w:t>
            </w:r>
            <w:r w:rsidR="000B7BB9" w:rsidRPr="00C66F79">
              <w:t>2</w:t>
            </w:r>
            <w:r w:rsidR="00324098" w:rsidRPr="00C66F79">
              <w:t>6</w:t>
            </w:r>
            <w:r w:rsidR="005A1EC1" w:rsidRPr="00C66F79">
              <w:t xml:space="preserve"> de octubre </w:t>
            </w:r>
            <w:r w:rsidRPr="00C66F79">
              <w:t>de</w:t>
            </w:r>
            <w:r w:rsidR="00A706D3" w:rsidRPr="00C66F79">
              <w:t xml:space="preserve"> </w:t>
            </w:r>
            <w:r w:rsidR="00467B42" w:rsidRPr="00C66F79">
              <w:t>202</w:t>
            </w:r>
            <w:r w:rsidR="00324098" w:rsidRPr="00C66F79">
              <w:t>1</w:t>
            </w:r>
          </w:p>
        </w:tc>
        <w:tc>
          <w:tcPr>
            <w:tcW w:w="3127" w:type="dxa"/>
            <w:tcBorders>
              <w:bottom w:val="single" w:sz="4" w:space="0" w:color="auto"/>
            </w:tcBorders>
          </w:tcPr>
          <w:p w:rsidR="009A4195" w:rsidRDefault="00467B42" w:rsidP="003C7FBE">
            <w:pPr>
              <w:pStyle w:val="Doccode"/>
              <w:rPr>
                <w:lang w:val="es-ES_tradnl"/>
              </w:rPr>
            </w:pPr>
            <w:r w:rsidRPr="00C66F79">
              <w:rPr>
                <w:lang w:val="es-ES_tradnl"/>
              </w:rPr>
              <w:t>TC/5</w:t>
            </w:r>
            <w:r w:rsidR="00324098" w:rsidRPr="00C66F79">
              <w:rPr>
                <w:lang w:val="es-ES_tradnl"/>
              </w:rPr>
              <w:t>7</w:t>
            </w:r>
            <w:r w:rsidR="00EB4E9C" w:rsidRPr="00C66F79">
              <w:rPr>
                <w:lang w:val="es-ES_tradnl"/>
              </w:rPr>
              <w:t>/</w:t>
            </w:r>
            <w:r w:rsidR="006F2AE6" w:rsidRPr="00C66F79">
              <w:rPr>
                <w:lang w:val="es-ES_tradnl"/>
              </w:rPr>
              <w:t>9</w:t>
            </w:r>
          </w:p>
          <w:p w:rsidR="009A4195" w:rsidRDefault="00EB4E9C" w:rsidP="003C7FBE">
            <w:pPr>
              <w:pStyle w:val="Docoriginal"/>
            </w:pPr>
            <w:r w:rsidRPr="00C66F79">
              <w:t>Original:</w:t>
            </w:r>
            <w:r w:rsidR="006F2AE6" w:rsidRPr="00C66F79">
              <w:rPr>
                <w:b w:val="0"/>
                <w:spacing w:val="0"/>
              </w:rPr>
              <w:t xml:space="preserve"> </w:t>
            </w:r>
            <w:r w:rsidR="002E5944" w:rsidRPr="00C66F79">
              <w:rPr>
                <w:b w:val="0"/>
                <w:spacing w:val="0"/>
              </w:rPr>
              <w:t>Inglés</w:t>
            </w:r>
          </w:p>
          <w:p w:rsidR="00EE3C81" w:rsidRPr="00C66F79" w:rsidRDefault="002E5944" w:rsidP="006F2AE6">
            <w:pPr>
              <w:pStyle w:val="Docoriginal"/>
              <w:rPr>
                <w:b w:val="0"/>
                <w:spacing w:val="0"/>
              </w:rPr>
            </w:pPr>
            <w:r w:rsidRPr="00C66F79">
              <w:t>Fecha</w:t>
            </w:r>
            <w:r w:rsidR="00EB4E9C" w:rsidRPr="00C66F79">
              <w:t>:</w:t>
            </w:r>
            <w:r w:rsidR="006F2AE6" w:rsidRPr="00C66F79">
              <w:rPr>
                <w:b w:val="0"/>
                <w:spacing w:val="0"/>
              </w:rPr>
              <w:t xml:space="preserve"> </w:t>
            </w:r>
            <w:r w:rsidR="006F2AE6" w:rsidRPr="00FD0D31">
              <w:rPr>
                <w:b w:val="0"/>
                <w:spacing w:val="0"/>
              </w:rPr>
              <w:t>7 de septiembre</w:t>
            </w:r>
            <w:r w:rsidR="00EB4E9C" w:rsidRPr="00FD0D31">
              <w:rPr>
                <w:b w:val="0"/>
                <w:spacing w:val="0"/>
              </w:rPr>
              <w:t xml:space="preserve"> </w:t>
            </w:r>
            <w:r w:rsidRPr="00FD0D31">
              <w:rPr>
                <w:b w:val="0"/>
                <w:spacing w:val="0"/>
              </w:rPr>
              <w:t xml:space="preserve">de </w:t>
            </w:r>
            <w:r w:rsidR="00467B42" w:rsidRPr="00FD0D31">
              <w:rPr>
                <w:b w:val="0"/>
                <w:spacing w:val="0"/>
              </w:rPr>
              <w:t>202</w:t>
            </w:r>
            <w:r w:rsidR="00324098" w:rsidRPr="00FD0D31">
              <w:rPr>
                <w:b w:val="0"/>
                <w:spacing w:val="0"/>
              </w:rPr>
              <w:t>1</w:t>
            </w:r>
          </w:p>
        </w:tc>
      </w:tr>
    </w:tbl>
    <w:p w:rsidR="009A4195" w:rsidRDefault="00E633F9" w:rsidP="00C66F79">
      <w:pPr>
        <w:pStyle w:val="Titleofdoc0"/>
      </w:pPr>
      <w:bookmarkStart w:id="0" w:name="TitleOfDoc"/>
      <w:bookmarkStart w:id="1" w:name="_GoBack"/>
      <w:bookmarkEnd w:id="0"/>
      <w:bookmarkEnd w:id="1"/>
      <w:r w:rsidRPr="00BA413E">
        <w:t>Cooperación en el examen</w:t>
      </w:r>
    </w:p>
    <w:p w:rsidR="009A4195" w:rsidRDefault="000638A9" w:rsidP="006A644A">
      <w:pPr>
        <w:pStyle w:val="preparedby1"/>
        <w:jc w:val="left"/>
      </w:pPr>
      <w:bookmarkStart w:id="2" w:name="Prepared"/>
      <w:bookmarkEnd w:id="2"/>
      <w:r w:rsidRPr="00C66F79">
        <w:t>Documento preparado por la Oficina de la Unión</w:t>
      </w:r>
    </w:p>
    <w:p w:rsidR="009A4195" w:rsidRDefault="000638A9" w:rsidP="006A644A">
      <w:pPr>
        <w:pStyle w:val="Disclaimer"/>
      </w:pPr>
      <w:r w:rsidRPr="00C66F79">
        <w:t>Descargo de responsabilidad: el presente documento no constituye un documento de política u orientación de la UPOV</w:t>
      </w:r>
    </w:p>
    <w:p w:rsidR="009A4195" w:rsidRDefault="00E633F9" w:rsidP="00C66F79">
      <w:pPr>
        <w:keepNext/>
        <w:outlineLvl w:val="0"/>
        <w:rPr>
          <w:caps/>
          <w:snapToGrid w:val="0"/>
        </w:rPr>
      </w:pPr>
      <w:bookmarkStart w:id="3" w:name="_Toc82776609"/>
      <w:r w:rsidRPr="00BA413E">
        <w:rPr>
          <w:caps/>
          <w:snapToGrid w:val="0"/>
        </w:rPr>
        <w:t>RESUMEN</w:t>
      </w:r>
      <w:bookmarkEnd w:id="3"/>
    </w:p>
    <w:p w:rsidR="009A4195" w:rsidRDefault="009A4195" w:rsidP="006F2AE6">
      <w:pPr>
        <w:rPr>
          <w:snapToGrid w:val="0"/>
        </w:rPr>
      </w:pPr>
    </w:p>
    <w:p w:rsidR="009A4195" w:rsidRDefault="002E63F7" w:rsidP="00C66F79">
      <w:pPr>
        <w:rPr>
          <w:rFonts w:ascii="Calibri" w:hAnsi="Calibri"/>
          <w:color w:val="000000" w:themeColor="text1"/>
        </w:rPr>
      </w:pPr>
      <w:r w:rsidRPr="00A5777E">
        <w:rPr>
          <w:snapToGrid w:val="0"/>
        </w:rPr>
        <w:fldChar w:fldCharType="begin"/>
      </w:r>
      <w:r w:rsidR="006F2AE6" w:rsidRPr="00A5777E">
        <w:rPr>
          <w:snapToGrid w:val="0"/>
        </w:rPr>
        <w:instrText xml:space="preserve"> AUTONUM  </w:instrText>
      </w:r>
      <w:r w:rsidRPr="00A5777E">
        <w:rPr>
          <w:snapToGrid w:val="0"/>
        </w:rPr>
        <w:fldChar w:fldCharType="end"/>
      </w:r>
      <w:r w:rsidR="006F2AE6" w:rsidRPr="00A5777E">
        <w:rPr>
          <w:snapToGrid w:val="0"/>
        </w:rPr>
        <w:tab/>
      </w:r>
      <w:r w:rsidR="0001118F" w:rsidRPr="00BA413E">
        <w:t xml:space="preserve">El presente documento tiene por finalidad informar de los debates sobre las posibilidades de facilitar la cooperación en el examen DHE, </w:t>
      </w:r>
      <w:r w:rsidR="00BA413E" w:rsidRPr="00BA413E">
        <w:rPr>
          <w:color w:val="000000" w:themeColor="text1"/>
        </w:rPr>
        <w:t>en particular</w:t>
      </w:r>
      <w:r w:rsidR="0001118F" w:rsidRPr="00BA413E">
        <w:rPr>
          <w:color w:val="000000" w:themeColor="text1"/>
        </w:rPr>
        <w:t xml:space="preserve"> </w:t>
      </w:r>
      <w:r w:rsidR="00354E27" w:rsidRPr="00BA413E">
        <w:rPr>
          <w:color w:val="000000" w:themeColor="text1"/>
        </w:rPr>
        <w:t xml:space="preserve">el </w:t>
      </w:r>
      <w:r w:rsidR="0001118F" w:rsidRPr="00BA413E">
        <w:rPr>
          <w:color w:val="000000" w:themeColor="text1"/>
        </w:rPr>
        <w:t xml:space="preserve">intercambio y </w:t>
      </w:r>
      <w:r w:rsidR="00354E27" w:rsidRPr="00BA413E">
        <w:rPr>
          <w:color w:val="000000" w:themeColor="text1"/>
        </w:rPr>
        <w:t>la utilización de informes de examen</w:t>
      </w:r>
      <w:r w:rsidR="0001118F" w:rsidRPr="00BA413E">
        <w:rPr>
          <w:color w:val="000000" w:themeColor="text1"/>
        </w:rPr>
        <w:t xml:space="preserve">, </w:t>
      </w:r>
      <w:r w:rsidR="00354E27" w:rsidRPr="00BA413E">
        <w:rPr>
          <w:color w:val="000000" w:themeColor="text1"/>
        </w:rPr>
        <w:t>información relativa a la descripción de variedades</w:t>
      </w:r>
      <w:r w:rsidR="0001118F" w:rsidRPr="00BA413E">
        <w:rPr>
          <w:color w:val="000000" w:themeColor="text1"/>
        </w:rPr>
        <w:t xml:space="preserve">, procedimientos </w:t>
      </w:r>
      <w:r w:rsidR="00354E27" w:rsidRPr="00BA413E">
        <w:rPr>
          <w:color w:val="000000" w:themeColor="text1"/>
        </w:rPr>
        <w:t>de examen</w:t>
      </w:r>
      <w:r w:rsidR="0001118F" w:rsidRPr="00BA413E">
        <w:rPr>
          <w:color w:val="000000" w:themeColor="text1"/>
        </w:rPr>
        <w:t xml:space="preserve"> y colecciones de variedades.</w:t>
      </w:r>
      <w:r w:rsidR="006F2AE6" w:rsidRPr="00A5777E">
        <w:rPr>
          <w:color w:val="000000" w:themeColor="text1"/>
        </w:rPr>
        <w:t xml:space="preserve"> </w:t>
      </w:r>
    </w:p>
    <w:p w:rsidR="009A4195" w:rsidRDefault="009A4195" w:rsidP="006F2AE6">
      <w:pPr>
        <w:rPr>
          <w:snapToGrid w:val="0"/>
        </w:rPr>
      </w:pPr>
    </w:p>
    <w:p w:rsidR="009A4195" w:rsidRDefault="002E63F7" w:rsidP="00C66F79">
      <w:pPr>
        <w:keepNext/>
        <w:keepLines/>
        <w:tabs>
          <w:tab w:val="left" w:pos="567"/>
          <w:tab w:val="left" w:pos="1134"/>
          <w:tab w:val="left" w:pos="1701"/>
          <w:tab w:val="left" w:pos="5387"/>
          <w:tab w:val="left" w:pos="5954"/>
        </w:tabs>
      </w:pPr>
      <w:r w:rsidRPr="00A5777E">
        <w:fldChar w:fldCharType="begin"/>
      </w:r>
      <w:r w:rsidR="006F2AE6" w:rsidRPr="00A5777E">
        <w:instrText xml:space="preserve"> AUTONUM  </w:instrText>
      </w:r>
      <w:r w:rsidRPr="00A5777E">
        <w:fldChar w:fldCharType="end"/>
      </w:r>
      <w:r w:rsidR="006F2AE6" w:rsidRPr="00A5777E">
        <w:tab/>
      </w:r>
      <w:r w:rsidR="00354E27" w:rsidRPr="00BA413E">
        <w:t>Se invita al TC a tomar nota:</w:t>
      </w:r>
    </w:p>
    <w:p w:rsidR="009A4195" w:rsidRDefault="009A4195" w:rsidP="006F2AE6">
      <w:pPr>
        <w:keepNext/>
        <w:keepLines/>
        <w:tabs>
          <w:tab w:val="left" w:pos="567"/>
          <w:tab w:val="left" w:pos="1134"/>
          <w:tab w:val="left" w:pos="1701"/>
          <w:tab w:val="left" w:pos="5387"/>
          <w:tab w:val="left" w:pos="5954"/>
        </w:tabs>
      </w:pPr>
    </w:p>
    <w:p w:rsidR="009A4195" w:rsidRDefault="006F2AE6" w:rsidP="00C66F79">
      <w:pPr>
        <w:tabs>
          <w:tab w:val="left" w:pos="567"/>
          <w:tab w:val="left" w:pos="1134"/>
          <w:tab w:val="left" w:pos="1701"/>
          <w:tab w:val="left" w:pos="5954"/>
        </w:tabs>
      </w:pPr>
      <w:r w:rsidRPr="00A5777E">
        <w:tab/>
      </w:r>
      <w:r w:rsidRPr="00C66F79">
        <w:t>a)</w:t>
      </w:r>
      <w:r w:rsidRPr="00C66F79">
        <w:tab/>
      </w:r>
      <w:r w:rsidR="002E3A8B" w:rsidRPr="00BA413E">
        <w:t xml:space="preserve">de que los miembros de la Unión </w:t>
      </w:r>
      <w:r w:rsidR="004F156E" w:rsidRPr="00BA413E">
        <w:t>disponen de las siguientes opciones para actualizar la información sobre la(s) persona(s) de enlace para asuntos relativos a la cooperación internacional en materia de examen DHE</w:t>
      </w:r>
      <w:r w:rsidR="002E3A8B" w:rsidRPr="00BA413E">
        <w:t>:</w:t>
      </w:r>
    </w:p>
    <w:p w:rsidR="009A4195" w:rsidRDefault="009A4195" w:rsidP="006F2AE6">
      <w:pPr>
        <w:tabs>
          <w:tab w:val="left" w:pos="567"/>
          <w:tab w:val="left" w:pos="1134"/>
          <w:tab w:val="left" w:pos="1701"/>
          <w:tab w:val="left" w:pos="5954"/>
        </w:tabs>
      </w:pPr>
    </w:p>
    <w:p w:rsidR="009A4195" w:rsidRDefault="006F2AE6" w:rsidP="00C66F79">
      <w:pPr>
        <w:tabs>
          <w:tab w:val="left" w:pos="567"/>
          <w:tab w:val="left" w:pos="1134"/>
          <w:tab w:val="left" w:pos="1701"/>
          <w:tab w:val="left" w:pos="5954"/>
          <w:tab w:val="left" w:pos="6521"/>
        </w:tabs>
      </w:pPr>
      <w:r w:rsidRPr="00A5777E">
        <w:tab/>
      </w:r>
      <w:r w:rsidRPr="00A5777E">
        <w:tab/>
      </w:r>
      <w:r w:rsidRPr="00C66F79">
        <w:t>i)</w:t>
      </w:r>
      <w:r w:rsidRPr="00C66F79">
        <w:tab/>
      </w:r>
      <w:r w:rsidR="002E3A8B" w:rsidRPr="00BA413E">
        <w:t xml:space="preserve">actualizar </w:t>
      </w:r>
      <w:r w:rsidR="004F156E" w:rsidRPr="00BA413E">
        <w:t xml:space="preserve">la información cuando se les invite a facilitar información </w:t>
      </w:r>
      <w:r w:rsidR="002E3A8B" w:rsidRPr="00BA413E">
        <w:t>para el documento TC/[xx]/4 “Lista de géneros y especies respecto de los cuales las autoridades poseen experiencia práctica en el examen de la distinción, la homogeneidad y la estabilidad”; o</w:t>
      </w:r>
    </w:p>
    <w:p w:rsidR="009A4195" w:rsidRDefault="009A4195" w:rsidP="006F2AE6">
      <w:pPr>
        <w:tabs>
          <w:tab w:val="left" w:pos="567"/>
          <w:tab w:val="left" w:pos="1134"/>
          <w:tab w:val="left" w:pos="1701"/>
          <w:tab w:val="left" w:pos="5954"/>
          <w:tab w:val="left" w:pos="6521"/>
        </w:tabs>
      </w:pPr>
    </w:p>
    <w:p w:rsidR="009A4195" w:rsidRDefault="006F2AE6" w:rsidP="00C66F79">
      <w:pPr>
        <w:tabs>
          <w:tab w:val="left" w:pos="567"/>
          <w:tab w:val="left" w:pos="1134"/>
          <w:tab w:val="left" w:pos="1701"/>
          <w:tab w:val="left" w:pos="5954"/>
          <w:tab w:val="left" w:pos="6521"/>
        </w:tabs>
      </w:pPr>
      <w:r w:rsidRPr="00A5777E">
        <w:tab/>
      </w:r>
      <w:r w:rsidRPr="00A5777E">
        <w:tab/>
      </w:r>
      <w:r w:rsidRPr="00C66F79">
        <w:t>ii)</w:t>
      </w:r>
      <w:r w:rsidRPr="00C66F79">
        <w:tab/>
      </w:r>
      <w:r w:rsidR="00EF7562" w:rsidRPr="00BA413E">
        <w:t>notificar la información a la Oficina de la Unión enviando un mensaje de correo electrónico a la dirección</w:t>
      </w:r>
      <w:r w:rsidR="00F779EB" w:rsidRPr="00BA413E">
        <w:t xml:space="preserve"> </w:t>
      </w:r>
      <w:r w:rsidR="00F779EB" w:rsidRPr="00FD0D31">
        <w:t>upov.mail@upov.int</w:t>
      </w:r>
      <w:r w:rsidR="002E3A8B" w:rsidRPr="00BA413E">
        <w:t>;</w:t>
      </w:r>
    </w:p>
    <w:p w:rsidR="009A4195" w:rsidRDefault="009A4195" w:rsidP="006F2AE6">
      <w:pPr>
        <w:tabs>
          <w:tab w:val="left" w:pos="567"/>
          <w:tab w:val="left" w:pos="1134"/>
          <w:tab w:val="left" w:pos="1701"/>
          <w:tab w:val="left" w:pos="5954"/>
        </w:tabs>
      </w:pPr>
    </w:p>
    <w:p w:rsidR="009A4195" w:rsidRDefault="006F2AE6" w:rsidP="00C66F79">
      <w:pPr>
        <w:keepNext/>
        <w:keepLines/>
        <w:tabs>
          <w:tab w:val="left" w:pos="567"/>
          <w:tab w:val="left" w:pos="1134"/>
          <w:tab w:val="left" w:pos="1701"/>
          <w:tab w:val="left" w:pos="5387"/>
          <w:tab w:val="left" w:pos="5954"/>
        </w:tabs>
        <w:rPr>
          <w:snapToGrid w:val="0"/>
        </w:rPr>
      </w:pPr>
      <w:r w:rsidRPr="00A5777E">
        <w:rPr>
          <w:snapToGrid w:val="0"/>
        </w:rPr>
        <w:tab/>
      </w:r>
      <w:r w:rsidRPr="00C66F79">
        <w:rPr>
          <w:snapToGrid w:val="0"/>
        </w:rPr>
        <w:t>b)</w:t>
      </w:r>
      <w:r w:rsidRPr="00C66F79">
        <w:rPr>
          <w:snapToGrid w:val="0"/>
        </w:rPr>
        <w:tab/>
      </w:r>
      <w:r w:rsidR="005770AA" w:rsidRPr="00BA413E">
        <w:rPr>
          <w:snapToGrid w:val="0"/>
        </w:rPr>
        <w:t>del</w:t>
      </w:r>
      <w:r w:rsidR="00B44704" w:rsidRPr="00BA413E">
        <w:rPr>
          <w:snapToGrid w:val="0"/>
        </w:rPr>
        <w:t xml:space="preserve"> </w:t>
      </w:r>
      <w:r w:rsidR="00B44704" w:rsidRPr="00BA413E">
        <w:t xml:space="preserve">desarrollo de </w:t>
      </w:r>
      <w:r w:rsidR="005770AA" w:rsidRPr="00BA413E">
        <w:t xml:space="preserve">un conjunto de herramientas informáticas compatibles para solventar las cuestiones </w:t>
      </w:r>
      <w:r w:rsidR="005770AA" w:rsidRPr="00BA413E">
        <w:rPr>
          <w:snapToGrid w:val="0"/>
        </w:rPr>
        <w:t xml:space="preserve">técnicas </w:t>
      </w:r>
      <w:r w:rsidR="00B44704" w:rsidRPr="00BA413E">
        <w:rPr>
          <w:snapToGrid w:val="0"/>
        </w:rPr>
        <w:t xml:space="preserve">y </w:t>
      </w:r>
      <w:r w:rsidR="005770AA" w:rsidRPr="00BA413E">
        <w:rPr>
          <w:snapToGrid w:val="0"/>
        </w:rPr>
        <w:t xml:space="preserve">administrativas conexas que impiden la cooperación en </w:t>
      </w:r>
      <w:r w:rsidR="000E0E3F" w:rsidRPr="00BA413E">
        <w:rPr>
          <w:snapToGrid w:val="0"/>
        </w:rPr>
        <w:t>el</w:t>
      </w:r>
      <w:r w:rsidR="005770AA" w:rsidRPr="00BA413E">
        <w:rPr>
          <w:snapToGrid w:val="0"/>
        </w:rPr>
        <w:t xml:space="preserve"> examen DHE</w:t>
      </w:r>
      <w:r w:rsidR="00B44704" w:rsidRPr="00BA413E">
        <w:rPr>
          <w:snapToGrid w:val="0"/>
        </w:rPr>
        <w:t xml:space="preserve">, </w:t>
      </w:r>
      <w:r w:rsidR="00DA3533" w:rsidRPr="00BA413E">
        <w:rPr>
          <w:snapToGrid w:val="0"/>
        </w:rPr>
        <w:t xml:space="preserve">según se expone </w:t>
      </w:r>
      <w:r w:rsidR="00B44704" w:rsidRPr="00BA413E">
        <w:rPr>
          <w:snapToGrid w:val="0"/>
        </w:rPr>
        <w:t xml:space="preserve">en </w:t>
      </w:r>
      <w:r w:rsidR="00DA3533" w:rsidRPr="00BA413E">
        <w:rPr>
          <w:snapToGrid w:val="0"/>
        </w:rPr>
        <w:t xml:space="preserve">los </w:t>
      </w:r>
      <w:r w:rsidR="00B44704" w:rsidRPr="00FD0D31">
        <w:rPr>
          <w:snapToGrid w:val="0"/>
        </w:rPr>
        <w:t>párrafos</w:t>
      </w:r>
      <w:r w:rsidR="00DA3533" w:rsidRPr="00FD0D31">
        <w:rPr>
          <w:snapToGrid w:val="0"/>
        </w:rPr>
        <w:t> </w:t>
      </w:r>
      <w:r w:rsidR="00B44704" w:rsidRPr="00FD0D31">
        <w:rPr>
          <w:snapToGrid w:val="0"/>
        </w:rPr>
        <w:t xml:space="preserve">9 </w:t>
      </w:r>
      <w:r w:rsidR="00DA3533" w:rsidRPr="00FD0D31">
        <w:rPr>
          <w:snapToGrid w:val="0"/>
        </w:rPr>
        <w:t>a </w:t>
      </w:r>
      <w:r w:rsidR="00B44704" w:rsidRPr="00FD0D31">
        <w:rPr>
          <w:snapToGrid w:val="0"/>
        </w:rPr>
        <w:t>14 del</w:t>
      </w:r>
      <w:r w:rsidR="00B44704" w:rsidRPr="00BA413E">
        <w:rPr>
          <w:snapToGrid w:val="0"/>
        </w:rPr>
        <w:t xml:space="preserve"> presente documento;</w:t>
      </w:r>
    </w:p>
    <w:p w:rsidR="009A4195" w:rsidRDefault="009A4195" w:rsidP="006F2AE6">
      <w:pPr>
        <w:tabs>
          <w:tab w:val="left" w:pos="567"/>
          <w:tab w:val="left" w:pos="1134"/>
          <w:tab w:val="left" w:pos="1701"/>
          <w:tab w:val="left" w:pos="5387"/>
          <w:tab w:val="left" w:pos="5954"/>
        </w:tabs>
        <w:rPr>
          <w:snapToGrid w:val="0"/>
        </w:rPr>
      </w:pPr>
    </w:p>
    <w:p w:rsidR="009A4195" w:rsidRDefault="006F2AE6" w:rsidP="00C66F79">
      <w:pPr>
        <w:tabs>
          <w:tab w:val="left" w:pos="567"/>
          <w:tab w:val="left" w:pos="1134"/>
          <w:tab w:val="left" w:pos="1701"/>
          <w:tab w:val="left" w:pos="5387"/>
          <w:tab w:val="left" w:pos="5954"/>
        </w:tabs>
        <w:rPr>
          <w:snapToGrid w:val="0"/>
        </w:rPr>
      </w:pPr>
      <w:r w:rsidRPr="00A5777E">
        <w:rPr>
          <w:snapToGrid w:val="0"/>
        </w:rPr>
        <w:tab/>
      </w:r>
      <w:r w:rsidRPr="00C66F79">
        <w:rPr>
          <w:snapToGrid w:val="0"/>
        </w:rPr>
        <w:t>c)</w:t>
      </w:r>
      <w:r w:rsidRPr="00C66F79">
        <w:rPr>
          <w:snapToGrid w:val="0"/>
        </w:rPr>
        <w:tab/>
      </w:r>
      <w:r w:rsidR="000E0E3F" w:rsidRPr="00BA413E">
        <w:rPr>
          <w:snapToGrid w:val="0"/>
        </w:rPr>
        <w:t xml:space="preserve">de que en la quincuagésima séptima sesión del TC </w:t>
      </w:r>
      <w:r w:rsidR="007E0809">
        <w:rPr>
          <w:snapToGrid w:val="0"/>
        </w:rPr>
        <w:t xml:space="preserve">se ofrecerá una presentación sobre el proyecto </w:t>
      </w:r>
      <w:r w:rsidR="00501715" w:rsidRPr="00BA413E">
        <w:rPr>
          <w:snapToGrid w:val="0"/>
        </w:rPr>
        <w:t xml:space="preserve">piloto </w:t>
      </w:r>
      <w:r w:rsidR="004B5D5D" w:rsidRPr="00BA413E">
        <w:rPr>
          <w:snapToGrid w:val="0"/>
        </w:rPr>
        <w:t>e-PVP Asia</w:t>
      </w:r>
      <w:r w:rsidR="000E0E3F" w:rsidRPr="00BA413E">
        <w:rPr>
          <w:snapToGrid w:val="0"/>
        </w:rPr>
        <w:t>;</w:t>
      </w:r>
    </w:p>
    <w:p w:rsidR="009A4195" w:rsidRDefault="009A4195" w:rsidP="006F2AE6">
      <w:pPr>
        <w:tabs>
          <w:tab w:val="left" w:pos="567"/>
          <w:tab w:val="left" w:pos="1134"/>
          <w:tab w:val="left" w:pos="1701"/>
          <w:tab w:val="left" w:pos="5387"/>
          <w:tab w:val="left" w:pos="5954"/>
        </w:tabs>
        <w:rPr>
          <w:snapToGrid w:val="0"/>
        </w:rPr>
      </w:pPr>
    </w:p>
    <w:p w:rsidR="009A4195" w:rsidRDefault="006F2AE6" w:rsidP="00C66F79">
      <w:pPr>
        <w:tabs>
          <w:tab w:val="left" w:pos="567"/>
          <w:tab w:val="left" w:pos="1134"/>
          <w:tab w:val="left" w:pos="1701"/>
          <w:tab w:val="left" w:pos="5387"/>
          <w:tab w:val="left" w:pos="5954"/>
        </w:tabs>
      </w:pPr>
      <w:r w:rsidRPr="00A5777E">
        <w:rPr>
          <w:snapToGrid w:val="0"/>
        </w:rPr>
        <w:tab/>
      </w:r>
      <w:r w:rsidRPr="00C66F79">
        <w:rPr>
          <w:snapToGrid w:val="0"/>
        </w:rPr>
        <w:t>d)</w:t>
      </w:r>
      <w:r w:rsidRPr="00C66F79">
        <w:rPr>
          <w:snapToGrid w:val="0"/>
        </w:rPr>
        <w:tab/>
      </w:r>
      <w:r w:rsidR="007F7C15" w:rsidRPr="00BA413E">
        <w:rPr>
          <w:snapToGrid w:val="0"/>
        </w:rPr>
        <w:t xml:space="preserve">de que las novedades </w:t>
      </w:r>
      <w:r w:rsidR="00370C49" w:rsidRPr="00BA413E">
        <w:rPr>
          <w:snapToGrid w:val="0"/>
        </w:rPr>
        <w:t>acerca de</w:t>
      </w:r>
      <w:r w:rsidR="007F7C15" w:rsidRPr="00BA413E">
        <w:rPr>
          <w:snapToGrid w:val="0"/>
        </w:rPr>
        <w:t xml:space="preserve"> </w:t>
      </w:r>
      <w:r w:rsidR="003520B6" w:rsidRPr="00BA413E">
        <w:rPr>
          <w:snapToGrid w:val="0"/>
        </w:rPr>
        <w:t xml:space="preserve">la </w:t>
      </w:r>
      <w:r w:rsidR="001B406D" w:rsidRPr="00BA413E">
        <w:rPr>
          <w:snapToGrid w:val="0"/>
        </w:rPr>
        <w:t xml:space="preserve">utilización de la plantilla en Internet de los documentos TG para </w:t>
      </w:r>
      <w:r w:rsidR="003B58D1" w:rsidRPr="00BA413E">
        <w:rPr>
          <w:snapToGrid w:val="0"/>
        </w:rPr>
        <w:t>redac</w:t>
      </w:r>
      <w:r w:rsidR="001B406D" w:rsidRPr="00BA413E">
        <w:rPr>
          <w:snapToGrid w:val="0"/>
        </w:rPr>
        <w:t>tar</w:t>
      </w:r>
      <w:r w:rsidR="003520B6" w:rsidRPr="00BA413E">
        <w:rPr>
          <w:snapToGrid w:val="0"/>
        </w:rPr>
        <w:t xml:space="preserve"> las directrices de examen propias de cada autoridad </w:t>
      </w:r>
      <w:r w:rsidR="007F7C15" w:rsidRPr="00BA413E">
        <w:t>se exponen en el documento TC/57/12;</w:t>
      </w:r>
    </w:p>
    <w:p w:rsidR="009A4195" w:rsidRDefault="009A4195" w:rsidP="006F2AE6">
      <w:pPr>
        <w:tabs>
          <w:tab w:val="left" w:pos="567"/>
          <w:tab w:val="left" w:pos="1134"/>
          <w:tab w:val="left" w:pos="1701"/>
          <w:tab w:val="left" w:pos="5387"/>
          <w:tab w:val="left" w:pos="5954"/>
        </w:tabs>
      </w:pPr>
    </w:p>
    <w:p w:rsidR="009A4195" w:rsidRDefault="006F2AE6" w:rsidP="00C66F79">
      <w:pPr>
        <w:tabs>
          <w:tab w:val="left" w:pos="567"/>
          <w:tab w:val="left" w:pos="1134"/>
          <w:tab w:val="left" w:pos="1701"/>
          <w:tab w:val="left" w:pos="5387"/>
          <w:tab w:val="left" w:pos="5954"/>
        </w:tabs>
      </w:pPr>
      <w:r w:rsidRPr="00A5777E">
        <w:tab/>
      </w:r>
      <w:r w:rsidRPr="00C66F79">
        <w:t>e)</w:t>
      </w:r>
      <w:r w:rsidRPr="00C66F79">
        <w:tab/>
      </w:r>
      <w:r w:rsidR="00682953" w:rsidRPr="003701C6">
        <w:t>de que</w:t>
      </w:r>
      <w:r w:rsidR="00E3367F" w:rsidRPr="003701C6">
        <w:t>,</w:t>
      </w:r>
      <w:r w:rsidR="00682953" w:rsidRPr="003701C6">
        <w:t xml:space="preserve"> </w:t>
      </w:r>
      <w:r w:rsidR="00E3367F" w:rsidRPr="003701C6">
        <w:t>para</w:t>
      </w:r>
      <w:r w:rsidR="00682953" w:rsidRPr="003701C6">
        <w:t xml:space="preserve"> </w:t>
      </w:r>
      <w:r w:rsidR="00E3367F" w:rsidRPr="003701C6">
        <w:t>desarrollar</w:t>
      </w:r>
      <w:r w:rsidR="008E5B88" w:rsidRPr="003701C6">
        <w:t xml:space="preserve"> </w:t>
      </w:r>
      <w:r w:rsidR="00682953" w:rsidRPr="003701C6">
        <w:t>un</w:t>
      </w:r>
      <w:r w:rsidR="008E5B88" w:rsidRPr="003701C6">
        <w:t xml:space="preserve">a plataforma </w:t>
      </w:r>
      <w:r w:rsidR="00E3367F" w:rsidRPr="003701C6">
        <w:t xml:space="preserve">de </w:t>
      </w:r>
      <w:r w:rsidR="00682953" w:rsidRPr="003701C6">
        <w:t xml:space="preserve">bases de datos de los </w:t>
      </w:r>
      <w:r w:rsidR="008E5B88" w:rsidRPr="003701C6">
        <w:t>miembro</w:t>
      </w:r>
      <w:r w:rsidR="00682953" w:rsidRPr="003701C6">
        <w:t>s</w:t>
      </w:r>
      <w:r w:rsidR="008E5B88" w:rsidRPr="003701C6">
        <w:t xml:space="preserve"> de la UPOV con </w:t>
      </w:r>
      <w:r w:rsidR="00682953" w:rsidRPr="003701C6">
        <w:t>información relativa a la descripción de variedades</w:t>
      </w:r>
      <w:r w:rsidR="00E3367F" w:rsidRPr="003701C6">
        <w:t>,</w:t>
      </w:r>
      <w:r w:rsidR="00682953" w:rsidRPr="003701C6">
        <w:t xml:space="preserve"> </w:t>
      </w:r>
      <w:r w:rsidR="00E3367F" w:rsidRPr="003701C6">
        <w:t>es necesario</w:t>
      </w:r>
      <w:r w:rsidR="00682953" w:rsidRPr="003701C6">
        <w:t xml:space="preserve"> que </w:t>
      </w:r>
      <w:r w:rsidR="005279DD" w:rsidRPr="003701C6">
        <w:t>estos</w:t>
      </w:r>
      <w:r w:rsidR="008E5B88" w:rsidRPr="003701C6">
        <w:t xml:space="preserve"> indi</w:t>
      </w:r>
      <w:r w:rsidR="00682953" w:rsidRPr="003701C6">
        <w:t>quen</w:t>
      </w:r>
      <w:r w:rsidR="008E5B88" w:rsidRPr="003701C6">
        <w:t xml:space="preserve"> </w:t>
      </w:r>
      <w:r w:rsidR="00682953" w:rsidRPr="003701C6">
        <w:t xml:space="preserve">las </w:t>
      </w:r>
      <w:r w:rsidR="008E5B88" w:rsidRPr="003701C6">
        <w:t xml:space="preserve">bases de datos </w:t>
      </w:r>
      <w:r w:rsidR="00682953" w:rsidRPr="003701C6">
        <w:t xml:space="preserve">que </w:t>
      </w:r>
      <w:r w:rsidR="000B7C7B" w:rsidRPr="003701C6">
        <w:t>tienen intención de</w:t>
      </w:r>
      <w:r w:rsidR="00682953" w:rsidRPr="003701C6">
        <w:t xml:space="preserve"> </w:t>
      </w:r>
      <w:r w:rsidR="008E5B88" w:rsidRPr="003701C6">
        <w:t>compartir;</w:t>
      </w:r>
    </w:p>
    <w:p w:rsidR="009A4195" w:rsidRDefault="009A4195" w:rsidP="006F2AE6">
      <w:pPr>
        <w:tabs>
          <w:tab w:val="left" w:pos="567"/>
          <w:tab w:val="left" w:pos="1134"/>
          <w:tab w:val="left" w:pos="1701"/>
          <w:tab w:val="left" w:pos="5387"/>
          <w:tab w:val="left" w:pos="5954"/>
        </w:tabs>
      </w:pPr>
    </w:p>
    <w:p w:rsidR="009A4195" w:rsidRDefault="006F2AE6" w:rsidP="00C66F79">
      <w:pPr>
        <w:keepNext/>
        <w:keepLines/>
        <w:tabs>
          <w:tab w:val="left" w:pos="567"/>
          <w:tab w:val="left" w:pos="1134"/>
          <w:tab w:val="left" w:pos="1701"/>
          <w:tab w:val="left" w:pos="5387"/>
          <w:tab w:val="left" w:pos="5954"/>
        </w:tabs>
      </w:pPr>
      <w:r w:rsidRPr="00A5777E">
        <w:tab/>
      </w:r>
      <w:r w:rsidRPr="00C66F79">
        <w:t>f)</w:t>
      </w:r>
      <w:r w:rsidRPr="00C66F79">
        <w:tab/>
      </w:r>
      <w:r w:rsidR="000B3851" w:rsidRPr="003701C6">
        <w:t>de que los asuntos relativos a la revisión de la sección 6 del documento TGP/5 se abordan en el documento TC/57/5 “Elaboración de orientaciones y material de información”;</w:t>
      </w:r>
      <w:r w:rsidRPr="00A5777E">
        <w:t xml:space="preserve"> </w:t>
      </w:r>
    </w:p>
    <w:p w:rsidR="009A4195" w:rsidRDefault="009A4195" w:rsidP="006F2AE6">
      <w:pPr>
        <w:tabs>
          <w:tab w:val="left" w:pos="567"/>
          <w:tab w:val="left" w:pos="1134"/>
          <w:tab w:val="left" w:pos="1701"/>
          <w:tab w:val="left" w:pos="5387"/>
          <w:tab w:val="left" w:pos="5954"/>
        </w:tabs>
      </w:pPr>
    </w:p>
    <w:p w:rsidR="009A4195" w:rsidRDefault="006F2AE6" w:rsidP="00C66F79">
      <w:pPr>
        <w:tabs>
          <w:tab w:val="left" w:pos="567"/>
          <w:tab w:val="left" w:pos="1134"/>
          <w:tab w:val="left" w:pos="1701"/>
          <w:tab w:val="left" w:pos="5387"/>
          <w:tab w:val="left" w:pos="5954"/>
          <w:tab w:val="left" w:pos="6521"/>
        </w:tabs>
        <w:contextualSpacing/>
        <w:rPr>
          <w:rFonts w:cs="Arial"/>
        </w:rPr>
      </w:pPr>
      <w:r w:rsidRPr="00A5777E">
        <w:rPr>
          <w:rFonts w:cs="Arial"/>
        </w:rPr>
        <w:tab/>
      </w:r>
      <w:r w:rsidRPr="00C66F79">
        <w:rPr>
          <w:rFonts w:cs="Arial"/>
        </w:rPr>
        <w:t>g)</w:t>
      </w:r>
      <w:r w:rsidRPr="00C66F79">
        <w:rPr>
          <w:rFonts w:cs="Arial"/>
        </w:rPr>
        <w:tab/>
      </w:r>
      <w:r w:rsidR="002F6B55" w:rsidRPr="003701C6">
        <w:rPr>
          <w:rFonts w:cs="Arial"/>
        </w:rPr>
        <w:t>de que se está evaluando el uso de la tecnología de traducción automática en el marco de un examen de la política de la UPOV en materia de traducción;</w:t>
      </w:r>
    </w:p>
    <w:p w:rsidR="009A4195" w:rsidRDefault="009A4195" w:rsidP="006F2AE6">
      <w:pPr>
        <w:tabs>
          <w:tab w:val="left" w:pos="567"/>
          <w:tab w:val="left" w:pos="1134"/>
          <w:tab w:val="left" w:pos="1701"/>
          <w:tab w:val="left" w:pos="5954"/>
        </w:tabs>
        <w:contextualSpacing/>
        <w:rPr>
          <w:rFonts w:cs="Arial"/>
        </w:rPr>
      </w:pPr>
    </w:p>
    <w:p w:rsidR="009A4195" w:rsidRDefault="006F2AE6" w:rsidP="00C66F79">
      <w:pPr>
        <w:tabs>
          <w:tab w:val="left" w:pos="567"/>
          <w:tab w:val="left" w:pos="1134"/>
          <w:tab w:val="left" w:pos="1701"/>
          <w:tab w:val="left" w:pos="5387"/>
          <w:tab w:val="left" w:pos="5954"/>
          <w:tab w:val="left" w:pos="6521"/>
        </w:tabs>
        <w:contextualSpacing/>
        <w:rPr>
          <w:rFonts w:cs="Arial"/>
        </w:rPr>
      </w:pPr>
      <w:r w:rsidRPr="00A5777E">
        <w:rPr>
          <w:rFonts w:cs="Arial"/>
        </w:rPr>
        <w:tab/>
      </w:r>
      <w:r w:rsidRPr="00C66F79">
        <w:rPr>
          <w:rFonts w:cs="Arial"/>
        </w:rPr>
        <w:t>h)</w:t>
      </w:r>
      <w:r w:rsidRPr="00C66F79">
        <w:rPr>
          <w:rFonts w:cs="Arial"/>
        </w:rPr>
        <w:tab/>
      </w:r>
      <w:r w:rsidR="00D34D45" w:rsidRPr="003701C6">
        <w:rPr>
          <w:rFonts w:cs="Arial"/>
        </w:rPr>
        <w:t xml:space="preserve">de que en el documento TC/57/10 “Aumento de la participación en la labor del TC y de los TWP” se </w:t>
      </w:r>
      <w:r w:rsidR="00D450A8" w:rsidRPr="003701C6">
        <w:rPr>
          <w:rFonts w:cs="Arial"/>
        </w:rPr>
        <w:t xml:space="preserve">examinan medidas </w:t>
      </w:r>
      <w:r w:rsidR="00D34D45" w:rsidRPr="003701C6">
        <w:rPr>
          <w:rFonts w:cs="Arial"/>
        </w:rPr>
        <w:t>para</w:t>
      </w:r>
      <w:r w:rsidR="00D86ABC" w:rsidRPr="003701C6">
        <w:rPr>
          <w:rFonts w:cs="Arial"/>
        </w:rPr>
        <w:t xml:space="preserve"> </w:t>
      </w:r>
      <w:r w:rsidR="00D34D45" w:rsidRPr="003701C6">
        <w:rPr>
          <w:rFonts w:cs="Arial"/>
        </w:rPr>
        <w:t xml:space="preserve">incrementar la cooperación </w:t>
      </w:r>
      <w:r w:rsidR="00D86ABC" w:rsidRPr="003701C6">
        <w:rPr>
          <w:rFonts w:cs="Arial"/>
        </w:rPr>
        <w:t xml:space="preserve">entre </w:t>
      </w:r>
      <w:r w:rsidR="00D34D45" w:rsidRPr="003701C6">
        <w:rPr>
          <w:rFonts w:cs="Arial"/>
        </w:rPr>
        <w:t xml:space="preserve">los </w:t>
      </w:r>
      <w:r w:rsidR="00D86ABC" w:rsidRPr="003701C6">
        <w:rPr>
          <w:rFonts w:cs="Arial"/>
        </w:rPr>
        <w:t xml:space="preserve">expertos </w:t>
      </w:r>
      <w:r w:rsidR="00D34D45" w:rsidRPr="003701C6">
        <w:rPr>
          <w:rFonts w:cs="Arial"/>
        </w:rPr>
        <w:t xml:space="preserve">en </w:t>
      </w:r>
      <w:r w:rsidR="00D86ABC" w:rsidRPr="003701C6">
        <w:rPr>
          <w:rFonts w:cs="Arial"/>
        </w:rPr>
        <w:t>las sesiones de los</w:t>
      </w:r>
      <w:r w:rsidR="00D34D45" w:rsidRPr="003701C6">
        <w:rPr>
          <w:rFonts w:cs="Arial"/>
        </w:rPr>
        <w:t> </w:t>
      </w:r>
      <w:r w:rsidR="00D86ABC" w:rsidRPr="003701C6">
        <w:rPr>
          <w:rFonts w:cs="Arial"/>
        </w:rPr>
        <w:t>TWP;</w:t>
      </w:r>
    </w:p>
    <w:p w:rsidR="009A4195" w:rsidRDefault="009A4195" w:rsidP="006F2AE6">
      <w:pPr>
        <w:tabs>
          <w:tab w:val="left" w:pos="567"/>
          <w:tab w:val="left" w:pos="1134"/>
          <w:tab w:val="left" w:pos="1701"/>
          <w:tab w:val="left" w:pos="5387"/>
          <w:tab w:val="left" w:pos="5954"/>
        </w:tabs>
      </w:pPr>
    </w:p>
    <w:p w:rsidR="009A4195" w:rsidRDefault="006F2AE6" w:rsidP="00C66F79">
      <w:pPr>
        <w:tabs>
          <w:tab w:val="left" w:pos="567"/>
          <w:tab w:val="left" w:pos="1134"/>
          <w:tab w:val="left" w:pos="1701"/>
          <w:tab w:val="left" w:pos="5954"/>
          <w:tab w:val="left" w:pos="6521"/>
        </w:tabs>
      </w:pPr>
      <w:r w:rsidRPr="00A5777E">
        <w:lastRenderedPageBreak/>
        <w:tab/>
      </w:r>
      <w:r w:rsidRPr="00C66F79">
        <w:t>i)</w:t>
      </w:r>
      <w:r w:rsidRPr="00C66F79">
        <w:tab/>
      </w:r>
      <w:r w:rsidR="00A74586" w:rsidRPr="003701C6">
        <w:t>de que, en su septuagésima octava sesión, el CAJ examinará:</w:t>
      </w:r>
    </w:p>
    <w:p w:rsidR="009A4195" w:rsidRDefault="009A4195" w:rsidP="006F2AE6">
      <w:pPr>
        <w:tabs>
          <w:tab w:val="left" w:pos="567"/>
          <w:tab w:val="left" w:pos="1134"/>
          <w:tab w:val="left" w:pos="1701"/>
          <w:tab w:val="left" w:pos="5387"/>
          <w:tab w:val="left" w:pos="5954"/>
          <w:tab w:val="left" w:pos="6521"/>
        </w:tabs>
      </w:pPr>
    </w:p>
    <w:p w:rsidR="009A4195" w:rsidRDefault="006F2AE6" w:rsidP="00C66F79">
      <w:pPr>
        <w:tabs>
          <w:tab w:val="left" w:pos="567"/>
          <w:tab w:val="left" w:pos="1134"/>
          <w:tab w:val="left" w:pos="1701"/>
          <w:tab w:val="left" w:pos="5387"/>
          <w:tab w:val="left" w:pos="5954"/>
          <w:tab w:val="left" w:pos="6521"/>
        </w:tabs>
      </w:pPr>
      <w:r w:rsidRPr="00A5777E">
        <w:tab/>
      </w:r>
      <w:r w:rsidRPr="00A5777E">
        <w:tab/>
      </w:r>
      <w:r w:rsidRPr="00C66F79">
        <w:t>i)</w:t>
      </w:r>
      <w:r w:rsidRPr="00C66F79">
        <w:tab/>
      </w:r>
      <w:r w:rsidR="00A74586" w:rsidRPr="003701C6">
        <w:t>los obstáculos normativos o jurídicos señalados por el TC como impedimentos para la cooperación internacional en el examen DHE y las posibles medidas para abordarlos; y</w:t>
      </w:r>
    </w:p>
    <w:p w:rsidR="009A4195" w:rsidRDefault="009A4195" w:rsidP="006F2AE6">
      <w:pPr>
        <w:tabs>
          <w:tab w:val="left" w:pos="567"/>
          <w:tab w:val="left" w:pos="1134"/>
          <w:tab w:val="left" w:pos="1701"/>
          <w:tab w:val="left" w:pos="5387"/>
          <w:tab w:val="left" w:pos="5954"/>
        </w:tabs>
      </w:pPr>
    </w:p>
    <w:p w:rsidR="009A4195" w:rsidRDefault="006F2AE6" w:rsidP="00C66F79">
      <w:pPr>
        <w:tabs>
          <w:tab w:val="left" w:pos="567"/>
          <w:tab w:val="left" w:pos="1134"/>
          <w:tab w:val="left" w:pos="1701"/>
          <w:tab w:val="left" w:pos="5387"/>
          <w:tab w:val="left" w:pos="5954"/>
          <w:tab w:val="left" w:pos="6521"/>
        </w:tabs>
        <w:rPr>
          <w:snapToGrid w:val="0"/>
        </w:rPr>
      </w:pPr>
      <w:r w:rsidRPr="00A5777E">
        <w:tab/>
      </w:r>
      <w:r w:rsidRPr="00A5777E">
        <w:tab/>
      </w:r>
      <w:r w:rsidRPr="00C66F79">
        <w:t>ii)</w:t>
      </w:r>
      <w:r w:rsidRPr="00C66F79">
        <w:tab/>
      </w:r>
      <w:r w:rsidR="00A74586" w:rsidRPr="003701C6">
        <w:t>las propuestas para elaborar orientaciones a fin de alentar a los miembros de la Unión a hacerse cargo, con carácter voluntario, de los informes de examen DHE cuando los solicitantes no puedan presentar material vegetal por motivos fitosanitarios u otras cuestiones conexas; y</w:t>
      </w:r>
    </w:p>
    <w:p w:rsidR="009A4195" w:rsidRDefault="009A4195" w:rsidP="006F2AE6">
      <w:pPr>
        <w:tabs>
          <w:tab w:val="left" w:pos="567"/>
          <w:tab w:val="left" w:pos="1134"/>
          <w:tab w:val="left" w:pos="1701"/>
          <w:tab w:val="left" w:pos="5387"/>
          <w:tab w:val="left" w:pos="5954"/>
        </w:tabs>
        <w:rPr>
          <w:snapToGrid w:val="0"/>
        </w:rPr>
      </w:pPr>
    </w:p>
    <w:p w:rsidR="009A4195" w:rsidRDefault="006F2AE6" w:rsidP="00C66F79">
      <w:pPr>
        <w:tabs>
          <w:tab w:val="left" w:pos="567"/>
          <w:tab w:val="left" w:pos="1134"/>
          <w:tab w:val="left" w:pos="1701"/>
        </w:tabs>
        <w:ind w:firstLine="567"/>
        <w:rPr>
          <w:snapToGrid w:val="0"/>
        </w:rPr>
      </w:pPr>
      <w:r w:rsidRPr="00C66F79">
        <w:rPr>
          <w:snapToGrid w:val="0"/>
        </w:rPr>
        <w:t>j)</w:t>
      </w:r>
      <w:r w:rsidRPr="00C66F79">
        <w:rPr>
          <w:snapToGrid w:val="0"/>
        </w:rPr>
        <w:tab/>
      </w:r>
      <w:r w:rsidR="00355E13" w:rsidRPr="003701C6">
        <w:rPr>
          <w:snapToGrid w:val="0"/>
        </w:rPr>
        <w:t>de que la repercusión de las medidas propuestas se evaluará en función del número de acuerdos de cooperación notificados por los miembros de la Unión, conforme a lo expuesto en el documento C/[xx]/INF/5 “Cooperación en materia de examen”.</w:t>
      </w:r>
    </w:p>
    <w:p w:rsidR="009A4195" w:rsidRDefault="009A4195" w:rsidP="006F2AE6">
      <w:pPr>
        <w:tabs>
          <w:tab w:val="left" w:pos="1134"/>
        </w:tabs>
        <w:ind w:firstLine="567"/>
      </w:pPr>
    </w:p>
    <w:p w:rsidR="009A4195" w:rsidRDefault="002E63F7" w:rsidP="00C66F79">
      <w:pPr>
        <w:keepNext/>
        <w:rPr>
          <w:lang w:eastAsia="ja-JP"/>
        </w:rPr>
      </w:pPr>
      <w:r w:rsidRPr="00A5777E">
        <w:fldChar w:fldCharType="begin"/>
      </w:r>
      <w:r w:rsidR="006F2AE6" w:rsidRPr="00A5777E">
        <w:instrText xml:space="preserve"> AUTONUM  </w:instrText>
      </w:r>
      <w:r w:rsidRPr="00A5777E">
        <w:fldChar w:fldCharType="end"/>
      </w:r>
      <w:r w:rsidR="006F2AE6" w:rsidRPr="00A5777E">
        <w:tab/>
      </w:r>
      <w:r w:rsidR="00355E13" w:rsidRPr="003701C6">
        <w:rPr>
          <w:lang w:eastAsia="ja-JP"/>
        </w:rPr>
        <w:t>El presente documento se estructura del modo siguiente:</w:t>
      </w:r>
    </w:p>
    <w:p w:rsidR="009A4195" w:rsidRDefault="009A4195" w:rsidP="006F2AE6">
      <w:pPr>
        <w:rPr>
          <w:lang w:eastAsia="ja-JP"/>
        </w:rPr>
      </w:pPr>
    </w:p>
    <w:p w:rsidR="00FF785B" w:rsidRPr="008967F1" w:rsidRDefault="002E63F7" w:rsidP="008967F1">
      <w:pPr>
        <w:pStyle w:val="TOC1"/>
        <w:rPr>
          <w:rFonts w:asciiTheme="minorHAnsi" w:eastAsiaTheme="minorEastAsia" w:hAnsiTheme="minorHAnsi" w:cstheme="minorBidi"/>
          <w:noProof/>
          <w:lang w:val="es-ES_tradnl" w:eastAsia="es-ES_tradnl"/>
        </w:rPr>
      </w:pPr>
      <w:r w:rsidRPr="008967F1">
        <w:rPr>
          <w:rFonts w:cs="Arial"/>
          <w:b/>
          <w:bCs/>
          <w:noProof/>
          <w:lang w:val="es-ES_tradnl"/>
        </w:rPr>
        <w:fldChar w:fldCharType="begin"/>
      </w:r>
      <w:r w:rsidR="006F2AE6" w:rsidRPr="008967F1">
        <w:rPr>
          <w:rFonts w:cs="Arial"/>
          <w:b/>
          <w:bCs/>
          <w:noProof/>
          <w:lang w:val="es-ES_tradnl"/>
        </w:rPr>
        <w:instrText xml:space="preserve"> TOC \o "1-3" \h \z \u </w:instrText>
      </w:r>
      <w:r w:rsidRPr="008967F1">
        <w:rPr>
          <w:rFonts w:cs="Arial"/>
          <w:b/>
          <w:bCs/>
          <w:noProof/>
          <w:lang w:val="es-ES_tradnl"/>
        </w:rPr>
        <w:fldChar w:fldCharType="separate"/>
      </w:r>
      <w:hyperlink w:anchor="_Toc82776609" w:history="1">
        <w:r w:rsidR="00FF785B" w:rsidRPr="008967F1">
          <w:rPr>
            <w:rStyle w:val="Hyperlink"/>
            <w:noProof/>
            <w:snapToGrid w:val="0"/>
            <w:sz w:val="18"/>
            <w:szCs w:val="18"/>
          </w:rPr>
          <w:t>RESUMEN</w:t>
        </w:r>
        <w:r w:rsidR="00FF785B" w:rsidRPr="008967F1">
          <w:rPr>
            <w:noProof/>
            <w:webHidden/>
          </w:rPr>
          <w:tab/>
        </w:r>
        <w:r w:rsidRPr="008967F1">
          <w:rPr>
            <w:noProof/>
            <w:webHidden/>
          </w:rPr>
          <w:fldChar w:fldCharType="begin"/>
        </w:r>
        <w:r w:rsidR="00FF785B" w:rsidRPr="008967F1">
          <w:rPr>
            <w:noProof/>
            <w:webHidden/>
          </w:rPr>
          <w:instrText xml:space="preserve"> PAGEREF _Toc82776609 \h </w:instrText>
        </w:r>
        <w:r w:rsidRPr="008967F1">
          <w:rPr>
            <w:noProof/>
            <w:webHidden/>
          </w:rPr>
        </w:r>
        <w:r w:rsidRPr="008967F1">
          <w:rPr>
            <w:noProof/>
            <w:webHidden/>
          </w:rPr>
          <w:fldChar w:fldCharType="separate"/>
        </w:r>
        <w:r w:rsidR="00024C05" w:rsidRPr="008967F1">
          <w:rPr>
            <w:noProof/>
            <w:webHidden/>
          </w:rPr>
          <w:t>1</w:t>
        </w:r>
        <w:r w:rsidRPr="008967F1">
          <w:rPr>
            <w:noProof/>
            <w:webHidden/>
          </w:rPr>
          <w:fldChar w:fldCharType="end"/>
        </w:r>
      </w:hyperlink>
    </w:p>
    <w:p w:rsidR="00FF785B" w:rsidRPr="008967F1" w:rsidRDefault="00A2104E" w:rsidP="008967F1">
      <w:pPr>
        <w:pStyle w:val="TOC1"/>
        <w:rPr>
          <w:rFonts w:asciiTheme="minorHAnsi" w:eastAsiaTheme="minorEastAsia" w:hAnsiTheme="minorHAnsi" w:cstheme="minorBidi"/>
          <w:noProof/>
          <w:lang w:val="es-ES_tradnl" w:eastAsia="es-ES_tradnl"/>
        </w:rPr>
      </w:pPr>
      <w:hyperlink w:anchor="_Toc82776610" w:history="1">
        <w:r w:rsidR="00FF785B" w:rsidRPr="008967F1">
          <w:rPr>
            <w:rStyle w:val="Hyperlink"/>
            <w:noProof/>
            <w:snapToGrid w:val="0"/>
            <w:sz w:val="18"/>
            <w:szCs w:val="18"/>
          </w:rPr>
          <w:t>ANTECEDENTES</w:t>
        </w:r>
        <w:r w:rsidR="00FF785B" w:rsidRPr="008967F1">
          <w:rPr>
            <w:noProof/>
            <w:webHidden/>
          </w:rPr>
          <w:tab/>
        </w:r>
        <w:r w:rsidR="002E63F7" w:rsidRPr="008967F1">
          <w:rPr>
            <w:noProof/>
            <w:webHidden/>
          </w:rPr>
          <w:fldChar w:fldCharType="begin"/>
        </w:r>
        <w:r w:rsidR="00FF785B" w:rsidRPr="008967F1">
          <w:rPr>
            <w:noProof/>
            <w:webHidden/>
          </w:rPr>
          <w:instrText xml:space="preserve"> PAGEREF _Toc82776610 \h </w:instrText>
        </w:r>
        <w:r w:rsidR="002E63F7" w:rsidRPr="008967F1">
          <w:rPr>
            <w:noProof/>
            <w:webHidden/>
          </w:rPr>
        </w:r>
        <w:r w:rsidR="002E63F7" w:rsidRPr="008967F1">
          <w:rPr>
            <w:noProof/>
            <w:webHidden/>
          </w:rPr>
          <w:fldChar w:fldCharType="separate"/>
        </w:r>
        <w:r w:rsidR="00024C05" w:rsidRPr="008967F1">
          <w:rPr>
            <w:noProof/>
            <w:webHidden/>
          </w:rPr>
          <w:t>2</w:t>
        </w:r>
        <w:r w:rsidR="002E63F7" w:rsidRPr="008967F1">
          <w:rPr>
            <w:noProof/>
            <w:webHidden/>
          </w:rPr>
          <w:fldChar w:fldCharType="end"/>
        </w:r>
      </w:hyperlink>
    </w:p>
    <w:p w:rsidR="00FF785B" w:rsidRPr="008967F1" w:rsidRDefault="00A2104E" w:rsidP="008967F1">
      <w:pPr>
        <w:pStyle w:val="TOC1"/>
        <w:rPr>
          <w:rFonts w:asciiTheme="minorHAnsi" w:eastAsiaTheme="minorEastAsia" w:hAnsiTheme="minorHAnsi" w:cstheme="minorBidi"/>
          <w:noProof/>
          <w:lang w:val="es-ES_tradnl" w:eastAsia="es-ES_tradnl"/>
        </w:rPr>
      </w:pPr>
      <w:hyperlink w:anchor="_Toc82776611" w:history="1">
        <w:r w:rsidR="00FF785B" w:rsidRPr="008967F1">
          <w:rPr>
            <w:rStyle w:val="Hyperlink"/>
            <w:noProof/>
            <w:snapToGrid w:val="0"/>
            <w:sz w:val="18"/>
            <w:szCs w:val="18"/>
          </w:rPr>
          <w:t>PERSONA(S) DE ENLACE PARA ASUNTOS RELATIVOS A LA COOPERACIÓN INTERNACIONAL EN MATERIA DE EXAMEN DHE</w:t>
        </w:r>
        <w:r w:rsidR="00FF785B" w:rsidRPr="008967F1">
          <w:rPr>
            <w:noProof/>
            <w:webHidden/>
          </w:rPr>
          <w:tab/>
        </w:r>
        <w:r w:rsidR="002E63F7" w:rsidRPr="008967F1">
          <w:rPr>
            <w:noProof/>
            <w:webHidden/>
          </w:rPr>
          <w:fldChar w:fldCharType="begin"/>
        </w:r>
        <w:r w:rsidR="00FF785B" w:rsidRPr="008967F1">
          <w:rPr>
            <w:noProof/>
            <w:webHidden/>
          </w:rPr>
          <w:instrText xml:space="preserve"> PAGEREF _Toc82776611 \h </w:instrText>
        </w:r>
        <w:r w:rsidR="002E63F7" w:rsidRPr="008967F1">
          <w:rPr>
            <w:noProof/>
            <w:webHidden/>
          </w:rPr>
        </w:r>
        <w:r w:rsidR="002E63F7" w:rsidRPr="008967F1">
          <w:rPr>
            <w:noProof/>
            <w:webHidden/>
          </w:rPr>
          <w:fldChar w:fldCharType="separate"/>
        </w:r>
        <w:r w:rsidR="00024C05" w:rsidRPr="008967F1">
          <w:rPr>
            <w:noProof/>
            <w:webHidden/>
          </w:rPr>
          <w:t>2</w:t>
        </w:r>
        <w:r w:rsidR="002E63F7" w:rsidRPr="008967F1">
          <w:rPr>
            <w:noProof/>
            <w:webHidden/>
          </w:rPr>
          <w:fldChar w:fldCharType="end"/>
        </w:r>
      </w:hyperlink>
    </w:p>
    <w:p w:rsidR="00FF785B" w:rsidRPr="008967F1" w:rsidRDefault="00A2104E" w:rsidP="008967F1">
      <w:pPr>
        <w:pStyle w:val="TOC1"/>
        <w:rPr>
          <w:rFonts w:asciiTheme="minorHAnsi" w:eastAsiaTheme="minorEastAsia" w:hAnsiTheme="minorHAnsi" w:cstheme="minorBidi"/>
          <w:noProof/>
          <w:lang w:val="es-ES_tradnl" w:eastAsia="es-ES_tradnl"/>
        </w:rPr>
      </w:pPr>
      <w:hyperlink w:anchor="_Toc82776612" w:history="1">
        <w:r w:rsidR="00FF785B" w:rsidRPr="008967F1">
          <w:rPr>
            <w:rStyle w:val="Hyperlink"/>
            <w:noProof/>
            <w:sz w:val="18"/>
            <w:szCs w:val="18"/>
          </w:rPr>
          <w:t>digitalización EN LA UPOV A FIN DE PONER A DISPOSICIÓN UN CONJUNTO DE HERRAMIENTAS INFORMÁTICAS COMPATIBLES PARA SOLVENTAR LAS CUESTIONES TÉCNICAS Y ADMINISTRATIVAS CONEXAS QUE IMPIDEN LA COOPERACIÓN EN EL EXAMEN DHE</w:t>
        </w:r>
        <w:r w:rsidR="00FF785B" w:rsidRPr="008967F1">
          <w:rPr>
            <w:noProof/>
            <w:webHidden/>
          </w:rPr>
          <w:tab/>
        </w:r>
        <w:r w:rsidR="002E63F7" w:rsidRPr="008967F1">
          <w:rPr>
            <w:noProof/>
            <w:webHidden/>
          </w:rPr>
          <w:fldChar w:fldCharType="begin"/>
        </w:r>
        <w:r w:rsidR="00FF785B" w:rsidRPr="008967F1">
          <w:rPr>
            <w:noProof/>
            <w:webHidden/>
          </w:rPr>
          <w:instrText xml:space="preserve"> PAGEREF _Toc82776612 \h </w:instrText>
        </w:r>
        <w:r w:rsidR="002E63F7" w:rsidRPr="008967F1">
          <w:rPr>
            <w:noProof/>
            <w:webHidden/>
          </w:rPr>
        </w:r>
        <w:r w:rsidR="002E63F7" w:rsidRPr="008967F1">
          <w:rPr>
            <w:noProof/>
            <w:webHidden/>
          </w:rPr>
          <w:fldChar w:fldCharType="separate"/>
        </w:r>
        <w:r w:rsidR="00024C05" w:rsidRPr="008967F1">
          <w:rPr>
            <w:noProof/>
            <w:webHidden/>
          </w:rPr>
          <w:t>3</w:t>
        </w:r>
        <w:r w:rsidR="002E63F7" w:rsidRPr="008967F1">
          <w:rPr>
            <w:noProof/>
            <w:webHidden/>
          </w:rPr>
          <w:fldChar w:fldCharType="end"/>
        </w:r>
      </w:hyperlink>
    </w:p>
    <w:p w:rsidR="00FF785B" w:rsidRPr="008967F1" w:rsidRDefault="00A2104E" w:rsidP="008967F1">
      <w:pPr>
        <w:pStyle w:val="TOC1"/>
        <w:rPr>
          <w:rFonts w:asciiTheme="minorHAnsi" w:eastAsiaTheme="minorEastAsia" w:hAnsiTheme="minorHAnsi" w:cstheme="minorBidi"/>
          <w:noProof/>
          <w:lang w:val="es-ES_tradnl" w:eastAsia="es-ES_tradnl"/>
        </w:rPr>
      </w:pPr>
      <w:hyperlink w:anchor="_Toc82776613" w:history="1">
        <w:r w:rsidR="00FF785B" w:rsidRPr="008967F1">
          <w:rPr>
            <w:rStyle w:val="Hyperlink"/>
            <w:noProof/>
            <w:sz w:val="18"/>
            <w:szCs w:val="18"/>
          </w:rPr>
          <w:t>MÓDULO DE LA PLANTILLA DE DOCUMENTOS TG PARA ELABORAR LAS DIRECTRICES DE EXAMEN PROPIAS DE CADA AUTORIDAD</w:t>
        </w:r>
        <w:r w:rsidR="00FF785B" w:rsidRPr="008967F1">
          <w:rPr>
            <w:noProof/>
            <w:webHidden/>
          </w:rPr>
          <w:tab/>
        </w:r>
        <w:r w:rsidR="002E63F7" w:rsidRPr="008967F1">
          <w:rPr>
            <w:noProof/>
            <w:webHidden/>
          </w:rPr>
          <w:fldChar w:fldCharType="begin"/>
        </w:r>
        <w:r w:rsidR="00FF785B" w:rsidRPr="008967F1">
          <w:rPr>
            <w:noProof/>
            <w:webHidden/>
          </w:rPr>
          <w:instrText xml:space="preserve"> PAGEREF _Toc82776613 \h </w:instrText>
        </w:r>
        <w:r w:rsidR="002E63F7" w:rsidRPr="008967F1">
          <w:rPr>
            <w:noProof/>
            <w:webHidden/>
          </w:rPr>
        </w:r>
        <w:r w:rsidR="002E63F7" w:rsidRPr="008967F1">
          <w:rPr>
            <w:noProof/>
            <w:webHidden/>
          </w:rPr>
          <w:fldChar w:fldCharType="separate"/>
        </w:r>
        <w:r w:rsidR="00024C05" w:rsidRPr="008967F1">
          <w:rPr>
            <w:noProof/>
            <w:webHidden/>
          </w:rPr>
          <w:t>5</w:t>
        </w:r>
        <w:r w:rsidR="002E63F7" w:rsidRPr="008967F1">
          <w:rPr>
            <w:noProof/>
            <w:webHidden/>
          </w:rPr>
          <w:fldChar w:fldCharType="end"/>
        </w:r>
      </w:hyperlink>
    </w:p>
    <w:p w:rsidR="00FF785B" w:rsidRPr="008967F1" w:rsidRDefault="00A2104E" w:rsidP="008967F1">
      <w:pPr>
        <w:pStyle w:val="TOC1"/>
        <w:rPr>
          <w:rFonts w:asciiTheme="minorHAnsi" w:eastAsiaTheme="minorEastAsia" w:hAnsiTheme="minorHAnsi" w:cstheme="minorBidi"/>
          <w:noProof/>
          <w:lang w:val="es-ES_tradnl" w:eastAsia="es-ES_tradnl"/>
        </w:rPr>
      </w:pPr>
      <w:hyperlink w:anchor="_Toc82776614" w:history="1">
        <w:r w:rsidR="00FF785B" w:rsidRPr="008967F1">
          <w:rPr>
            <w:rStyle w:val="Hyperlink"/>
            <w:noProof/>
            <w:sz w:val="18"/>
            <w:szCs w:val="18"/>
          </w:rPr>
          <w:t>PLATAFORMA De BASES DE DATOS DE LOS MIEMBROS DE LA UPOV CON INFORMACIÓN RELATIVA A LA DESCRIPCIÓN DE VARIEDADES</w:t>
        </w:r>
        <w:r w:rsidR="00FF785B" w:rsidRPr="008967F1">
          <w:rPr>
            <w:noProof/>
            <w:webHidden/>
          </w:rPr>
          <w:tab/>
        </w:r>
        <w:r w:rsidR="002E63F7" w:rsidRPr="008967F1">
          <w:rPr>
            <w:noProof/>
            <w:webHidden/>
          </w:rPr>
          <w:fldChar w:fldCharType="begin"/>
        </w:r>
        <w:r w:rsidR="00FF785B" w:rsidRPr="008967F1">
          <w:rPr>
            <w:noProof/>
            <w:webHidden/>
          </w:rPr>
          <w:instrText xml:space="preserve"> PAGEREF _Toc82776614 \h </w:instrText>
        </w:r>
        <w:r w:rsidR="002E63F7" w:rsidRPr="008967F1">
          <w:rPr>
            <w:noProof/>
            <w:webHidden/>
          </w:rPr>
        </w:r>
        <w:r w:rsidR="002E63F7" w:rsidRPr="008967F1">
          <w:rPr>
            <w:noProof/>
            <w:webHidden/>
          </w:rPr>
          <w:fldChar w:fldCharType="separate"/>
        </w:r>
        <w:r w:rsidR="00024C05" w:rsidRPr="008967F1">
          <w:rPr>
            <w:noProof/>
            <w:webHidden/>
          </w:rPr>
          <w:t>5</w:t>
        </w:r>
        <w:r w:rsidR="002E63F7" w:rsidRPr="008967F1">
          <w:rPr>
            <w:noProof/>
            <w:webHidden/>
          </w:rPr>
          <w:fldChar w:fldCharType="end"/>
        </w:r>
      </w:hyperlink>
    </w:p>
    <w:p w:rsidR="00FF785B" w:rsidRPr="008967F1" w:rsidRDefault="00A2104E" w:rsidP="008967F1">
      <w:pPr>
        <w:pStyle w:val="TOC1"/>
        <w:rPr>
          <w:rFonts w:asciiTheme="minorHAnsi" w:eastAsiaTheme="minorEastAsia" w:hAnsiTheme="minorHAnsi" w:cstheme="minorBidi"/>
          <w:noProof/>
          <w:lang w:val="es-ES_tradnl" w:eastAsia="es-ES_tradnl"/>
        </w:rPr>
      </w:pPr>
      <w:hyperlink w:anchor="_Toc82776615" w:history="1">
        <w:r w:rsidR="00FF785B" w:rsidRPr="008967F1">
          <w:rPr>
            <w:rStyle w:val="Hyperlink"/>
            <w:noProof/>
            <w:sz w:val="18"/>
            <w:szCs w:val="18"/>
          </w:rPr>
          <w:t>TECNOLOGÍA DE TRADUCCIÓN AUTOMÁTICA</w:t>
        </w:r>
        <w:r w:rsidR="00FF785B" w:rsidRPr="008967F1">
          <w:rPr>
            <w:noProof/>
            <w:webHidden/>
          </w:rPr>
          <w:tab/>
        </w:r>
        <w:r w:rsidR="002E63F7" w:rsidRPr="008967F1">
          <w:rPr>
            <w:noProof/>
            <w:webHidden/>
          </w:rPr>
          <w:fldChar w:fldCharType="begin"/>
        </w:r>
        <w:r w:rsidR="00FF785B" w:rsidRPr="008967F1">
          <w:rPr>
            <w:noProof/>
            <w:webHidden/>
          </w:rPr>
          <w:instrText xml:space="preserve"> PAGEREF _Toc82776615 \h </w:instrText>
        </w:r>
        <w:r w:rsidR="002E63F7" w:rsidRPr="008967F1">
          <w:rPr>
            <w:noProof/>
            <w:webHidden/>
          </w:rPr>
        </w:r>
        <w:r w:rsidR="002E63F7" w:rsidRPr="008967F1">
          <w:rPr>
            <w:noProof/>
            <w:webHidden/>
          </w:rPr>
          <w:fldChar w:fldCharType="separate"/>
        </w:r>
        <w:r w:rsidR="00024C05" w:rsidRPr="008967F1">
          <w:rPr>
            <w:noProof/>
            <w:webHidden/>
          </w:rPr>
          <w:t>5</w:t>
        </w:r>
        <w:r w:rsidR="002E63F7" w:rsidRPr="008967F1">
          <w:rPr>
            <w:noProof/>
            <w:webHidden/>
          </w:rPr>
          <w:fldChar w:fldCharType="end"/>
        </w:r>
      </w:hyperlink>
    </w:p>
    <w:p w:rsidR="00FF785B" w:rsidRPr="008967F1" w:rsidRDefault="00A2104E" w:rsidP="008967F1">
      <w:pPr>
        <w:pStyle w:val="TOC1"/>
        <w:rPr>
          <w:rFonts w:asciiTheme="minorHAnsi" w:eastAsiaTheme="minorEastAsia" w:hAnsiTheme="minorHAnsi" w:cstheme="minorBidi"/>
          <w:noProof/>
          <w:lang w:val="es-ES_tradnl" w:eastAsia="es-ES_tradnl"/>
        </w:rPr>
      </w:pPr>
      <w:hyperlink w:anchor="_Toc82776616" w:history="1">
        <w:r w:rsidR="00FF785B" w:rsidRPr="008967F1">
          <w:rPr>
            <w:rStyle w:val="Hyperlink"/>
            <w:noProof/>
            <w:sz w:val="18"/>
            <w:szCs w:val="18"/>
          </w:rPr>
          <w:t>increMENTAR LA COOPERACIÓN mediante LOS TWP</w:t>
        </w:r>
        <w:r w:rsidR="00FF785B" w:rsidRPr="008967F1">
          <w:rPr>
            <w:noProof/>
            <w:webHidden/>
          </w:rPr>
          <w:tab/>
        </w:r>
        <w:r w:rsidR="002E63F7" w:rsidRPr="008967F1">
          <w:rPr>
            <w:noProof/>
            <w:webHidden/>
          </w:rPr>
          <w:fldChar w:fldCharType="begin"/>
        </w:r>
        <w:r w:rsidR="00FF785B" w:rsidRPr="008967F1">
          <w:rPr>
            <w:noProof/>
            <w:webHidden/>
          </w:rPr>
          <w:instrText xml:space="preserve"> PAGEREF _Toc82776616 \h </w:instrText>
        </w:r>
        <w:r w:rsidR="002E63F7" w:rsidRPr="008967F1">
          <w:rPr>
            <w:noProof/>
            <w:webHidden/>
          </w:rPr>
        </w:r>
        <w:r w:rsidR="002E63F7" w:rsidRPr="008967F1">
          <w:rPr>
            <w:noProof/>
            <w:webHidden/>
          </w:rPr>
          <w:fldChar w:fldCharType="separate"/>
        </w:r>
        <w:r w:rsidR="00024C05" w:rsidRPr="008967F1">
          <w:rPr>
            <w:noProof/>
            <w:webHidden/>
          </w:rPr>
          <w:t>5</w:t>
        </w:r>
        <w:r w:rsidR="002E63F7" w:rsidRPr="008967F1">
          <w:rPr>
            <w:noProof/>
            <w:webHidden/>
          </w:rPr>
          <w:fldChar w:fldCharType="end"/>
        </w:r>
      </w:hyperlink>
    </w:p>
    <w:p w:rsidR="00FF785B" w:rsidRPr="008967F1" w:rsidRDefault="00A2104E" w:rsidP="008967F1">
      <w:pPr>
        <w:pStyle w:val="TOC1"/>
        <w:rPr>
          <w:rFonts w:asciiTheme="minorHAnsi" w:eastAsiaTheme="minorEastAsia" w:hAnsiTheme="minorHAnsi" w:cstheme="minorBidi"/>
          <w:noProof/>
          <w:lang w:eastAsia="es-ES_tradnl"/>
        </w:rPr>
      </w:pPr>
      <w:hyperlink w:anchor="_Toc82776617" w:history="1">
        <w:r w:rsidR="00FF785B" w:rsidRPr="008967F1">
          <w:rPr>
            <w:rStyle w:val="Hyperlink"/>
            <w:noProof/>
            <w:sz w:val="18"/>
            <w:szCs w:val="18"/>
            <w:lang w:val="es-ES_tradnl"/>
          </w:rPr>
          <w:t>INFORMACIÓN QUE SE HA DE suministrAR JUNTO CON LOS INFORMES DHE</w:t>
        </w:r>
        <w:r w:rsidR="00FF785B" w:rsidRPr="008967F1">
          <w:rPr>
            <w:noProof/>
            <w:webHidden/>
          </w:rPr>
          <w:tab/>
        </w:r>
        <w:r w:rsidR="002E63F7" w:rsidRPr="008967F1">
          <w:rPr>
            <w:noProof/>
            <w:webHidden/>
          </w:rPr>
          <w:fldChar w:fldCharType="begin"/>
        </w:r>
        <w:r w:rsidR="00FF785B" w:rsidRPr="008967F1">
          <w:rPr>
            <w:noProof/>
            <w:webHidden/>
          </w:rPr>
          <w:instrText xml:space="preserve"> PAGEREF _Toc82776617 \h </w:instrText>
        </w:r>
        <w:r w:rsidR="002E63F7" w:rsidRPr="008967F1">
          <w:rPr>
            <w:noProof/>
            <w:webHidden/>
          </w:rPr>
        </w:r>
        <w:r w:rsidR="002E63F7" w:rsidRPr="008967F1">
          <w:rPr>
            <w:noProof/>
            <w:webHidden/>
          </w:rPr>
          <w:fldChar w:fldCharType="separate"/>
        </w:r>
        <w:r w:rsidR="00024C05" w:rsidRPr="008967F1">
          <w:rPr>
            <w:noProof/>
            <w:webHidden/>
          </w:rPr>
          <w:t>5</w:t>
        </w:r>
        <w:r w:rsidR="002E63F7" w:rsidRPr="008967F1">
          <w:rPr>
            <w:noProof/>
            <w:webHidden/>
          </w:rPr>
          <w:fldChar w:fldCharType="end"/>
        </w:r>
      </w:hyperlink>
    </w:p>
    <w:p w:rsidR="00FF785B" w:rsidRPr="008967F1" w:rsidRDefault="00A2104E" w:rsidP="008967F1">
      <w:pPr>
        <w:pStyle w:val="TOC1"/>
        <w:rPr>
          <w:rFonts w:asciiTheme="minorHAnsi" w:eastAsiaTheme="minorEastAsia" w:hAnsiTheme="minorHAnsi" w:cstheme="minorBidi"/>
          <w:noProof/>
          <w:lang w:val="es-ES_tradnl" w:eastAsia="es-ES_tradnl"/>
        </w:rPr>
      </w:pPr>
      <w:hyperlink w:anchor="_Toc82776618" w:history="1">
        <w:r w:rsidR="00FF785B" w:rsidRPr="008967F1">
          <w:rPr>
            <w:rStyle w:val="Hyperlink"/>
            <w:noProof/>
            <w:sz w:val="18"/>
            <w:szCs w:val="18"/>
          </w:rPr>
          <w:t>PROPUESTA de ORIENTACIÓN SOBRE EL ENCARGO DE INFORMES DE EXAMEN DHE</w:t>
        </w:r>
        <w:r w:rsidR="00FF785B" w:rsidRPr="008967F1">
          <w:rPr>
            <w:noProof/>
            <w:webHidden/>
          </w:rPr>
          <w:tab/>
        </w:r>
        <w:r w:rsidR="002E63F7" w:rsidRPr="008967F1">
          <w:rPr>
            <w:noProof/>
            <w:webHidden/>
          </w:rPr>
          <w:fldChar w:fldCharType="begin"/>
        </w:r>
        <w:r w:rsidR="00FF785B" w:rsidRPr="008967F1">
          <w:rPr>
            <w:noProof/>
            <w:webHidden/>
          </w:rPr>
          <w:instrText xml:space="preserve"> PAGEREF _Toc82776618 \h </w:instrText>
        </w:r>
        <w:r w:rsidR="002E63F7" w:rsidRPr="008967F1">
          <w:rPr>
            <w:noProof/>
            <w:webHidden/>
          </w:rPr>
        </w:r>
        <w:r w:rsidR="002E63F7" w:rsidRPr="008967F1">
          <w:rPr>
            <w:noProof/>
            <w:webHidden/>
          </w:rPr>
          <w:fldChar w:fldCharType="separate"/>
        </w:r>
        <w:r w:rsidR="00024C05" w:rsidRPr="008967F1">
          <w:rPr>
            <w:noProof/>
            <w:webHidden/>
          </w:rPr>
          <w:t>6</w:t>
        </w:r>
        <w:r w:rsidR="002E63F7" w:rsidRPr="008967F1">
          <w:rPr>
            <w:noProof/>
            <w:webHidden/>
          </w:rPr>
          <w:fldChar w:fldCharType="end"/>
        </w:r>
      </w:hyperlink>
    </w:p>
    <w:p w:rsidR="00FF785B" w:rsidRPr="008967F1" w:rsidRDefault="00A2104E" w:rsidP="008967F1">
      <w:pPr>
        <w:pStyle w:val="TOC1"/>
        <w:rPr>
          <w:rFonts w:asciiTheme="minorHAnsi" w:eastAsiaTheme="minorEastAsia" w:hAnsiTheme="minorHAnsi" w:cstheme="minorBidi"/>
          <w:noProof/>
          <w:lang w:val="es-ES_tradnl" w:eastAsia="es-ES_tradnl"/>
        </w:rPr>
      </w:pPr>
      <w:hyperlink w:anchor="_Toc82776619" w:history="1">
        <w:r w:rsidR="00FF785B" w:rsidRPr="008967F1">
          <w:rPr>
            <w:rStyle w:val="Hyperlink"/>
            <w:noProof/>
            <w:sz w:val="18"/>
            <w:szCs w:val="18"/>
          </w:rPr>
          <w:t>EVALUACIÓN DE LA REPERCUSIÓN</w:t>
        </w:r>
        <w:r w:rsidR="00FF785B" w:rsidRPr="008967F1">
          <w:rPr>
            <w:noProof/>
            <w:webHidden/>
          </w:rPr>
          <w:tab/>
        </w:r>
        <w:r w:rsidR="002E63F7" w:rsidRPr="008967F1">
          <w:rPr>
            <w:noProof/>
            <w:webHidden/>
          </w:rPr>
          <w:fldChar w:fldCharType="begin"/>
        </w:r>
        <w:r w:rsidR="00FF785B" w:rsidRPr="008967F1">
          <w:rPr>
            <w:noProof/>
            <w:webHidden/>
          </w:rPr>
          <w:instrText xml:space="preserve"> PAGEREF _Toc82776619 \h </w:instrText>
        </w:r>
        <w:r w:rsidR="002E63F7" w:rsidRPr="008967F1">
          <w:rPr>
            <w:noProof/>
            <w:webHidden/>
          </w:rPr>
        </w:r>
        <w:r w:rsidR="002E63F7" w:rsidRPr="008967F1">
          <w:rPr>
            <w:noProof/>
            <w:webHidden/>
          </w:rPr>
          <w:fldChar w:fldCharType="separate"/>
        </w:r>
        <w:r w:rsidR="00024C05" w:rsidRPr="008967F1">
          <w:rPr>
            <w:noProof/>
            <w:webHidden/>
          </w:rPr>
          <w:t>6</w:t>
        </w:r>
        <w:r w:rsidR="002E63F7" w:rsidRPr="008967F1">
          <w:rPr>
            <w:noProof/>
            <w:webHidden/>
          </w:rPr>
          <w:fldChar w:fldCharType="end"/>
        </w:r>
      </w:hyperlink>
    </w:p>
    <w:p w:rsidR="009A4195" w:rsidRDefault="002E63F7" w:rsidP="008967F1">
      <w:pPr>
        <w:spacing w:before="60"/>
      </w:pPr>
      <w:r w:rsidRPr="008967F1">
        <w:rPr>
          <w:sz w:val="18"/>
          <w:szCs w:val="18"/>
        </w:rPr>
        <w:fldChar w:fldCharType="end"/>
      </w:r>
    </w:p>
    <w:p w:rsidR="009A4195" w:rsidRDefault="009A4195" w:rsidP="006F2AE6">
      <w:pPr>
        <w:ind w:left="1276" w:hanging="1276"/>
      </w:pPr>
    </w:p>
    <w:p w:rsidR="009A4195" w:rsidRDefault="002E63F7" w:rsidP="00C66F79">
      <w:pPr>
        <w:rPr>
          <w:rFonts w:cs="Arial"/>
          <w:color w:val="000000"/>
        </w:rPr>
      </w:pPr>
      <w:r w:rsidRPr="00A5777E">
        <w:rPr>
          <w:rFonts w:cs="Arial"/>
          <w:color w:val="000000"/>
        </w:rPr>
        <w:fldChar w:fldCharType="begin"/>
      </w:r>
      <w:r w:rsidR="006F2AE6" w:rsidRPr="00A5777E">
        <w:rPr>
          <w:rFonts w:cs="Arial"/>
          <w:color w:val="000000"/>
        </w:rPr>
        <w:instrText xml:space="preserve"> AUTONUM  </w:instrText>
      </w:r>
      <w:r w:rsidRPr="00A5777E">
        <w:rPr>
          <w:rFonts w:cs="Arial"/>
          <w:color w:val="000000"/>
        </w:rPr>
        <w:fldChar w:fldCharType="end"/>
      </w:r>
      <w:r w:rsidR="006F2AE6" w:rsidRPr="00A5777E">
        <w:rPr>
          <w:rFonts w:cs="Arial"/>
          <w:color w:val="000000"/>
        </w:rPr>
        <w:tab/>
      </w:r>
      <w:r w:rsidR="00355E13" w:rsidRPr="00355E13">
        <w:rPr>
          <w:rFonts w:cs="Arial"/>
          <w:color w:val="000000"/>
        </w:rPr>
        <w:t>En el presente documento se utilizan las abreviaturas siguientes:</w:t>
      </w:r>
    </w:p>
    <w:p w:rsidR="009A4195" w:rsidRDefault="009A4195" w:rsidP="006F2AE6">
      <w:pPr>
        <w:jc w:val="left"/>
        <w:rPr>
          <w:rFonts w:cs="Arial"/>
          <w:color w:val="000000"/>
        </w:rPr>
      </w:pPr>
    </w:p>
    <w:p w:rsidR="009A4195" w:rsidRDefault="00355E13" w:rsidP="00C66F79">
      <w:pPr>
        <w:tabs>
          <w:tab w:val="left" w:pos="1134"/>
        </w:tabs>
        <w:jc w:val="left"/>
        <w:rPr>
          <w:rFonts w:cs="Arial"/>
          <w:color w:val="000000"/>
        </w:rPr>
      </w:pPr>
      <w:r w:rsidRPr="00355E13">
        <w:rPr>
          <w:rFonts w:cs="Arial"/>
          <w:color w:val="000000"/>
        </w:rPr>
        <w:t>BMT:</w:t>
      </w:r>
      <w:r w:rsidR="006F2AE6" w:rsidRPr="00A5777E">
        <w:rPr>
          <w:rFonts w:cs="Arial"/>
          <w:color w:val="000000"/>
        </w:rPr>
        <w:tab/>
      </w:r>
      <w:r w:rsidRPr="00355E13">
        <w:rPr>
          <w:rFonts w:cs="Arial"/>
          <w:color w:val="000000"/>
        </w:rPr>
        <w:t>Grupo de Trabajo sobre Técnicas Bioquímicas y Moleculares, y Perfiles de ADN en particular</w:t>
      </w:r>
    </w:p>
    <w:p w:rsidR="009A4195" w:rsidRDefault="00355E13" w:rsidP="00C66F79">
      <w:pPr>
        <w:tabs>
          <w:tab w:val="left" w:pos="1134"/>
        </w:tabs>
        <w:jc w:val="left"/>
        <w:rPr>
          <w:rFonts w:cs="Arial"/>
          <w:color w:val="000000"/>
        </w:rPr>
      </w:pPr>
      <w:r w:rsidRPr="00355E13">
        <w:rPr>
          <w:rFonts w:cs="Arial"/>
          <w:color w:val="000000"/>
        </w:rPr>
        <w:t>CAJ:</w:t>
      </w:r>
      <w:r w:rsidR="006F2AE6" w:rsidRPr="00A5777E">
        <w:rPr>
          <w:rFonts w:cs="Arial"/>
          <w:color w:val="000000"/>
        </w:rPr>
        <w:tab/>
      </w:r>
      <w:r w:rsidRPr="00355E13">
        <w:rPr>
          <w:rFonts w:cs="Arial"/>
          <w:color w:val="000000"/>
        </w:rPr>
        <w:t>Comité Administrativo y Jurídico</w:t>
      </w:r>
    </w:p>
    <w:p w:rsidR="009A4195" w:rsidRDefault="00355E13" w:rsidP="00C66F79">
      <w:pPr>
        <w:tabs>
          <w:tab w:val="left" w:pos="1134"/>
        </w:tabs>
        <w:jc w:val="left"/>
        <w:rPr>
          <w:rFonts w:cs="Arial"/>
          <w:color w:val="000000"/>
        </w:rPr>
      </w:pPr>
      <w:r w:rsidRPr="00355E13">
        <w:rPr>
          <w:rFonts w:cs="Arial"/>
          <w:color w:val="000000"/>
        </w:rPr>
        <w:t>TC:</w:t>
      </w:r>
      <w:r w:rsidR="00A5777E">
        <w:rPr>
          <w:rFonts w:cs="Arial"/>
          <w:color w:val="000000"/>
        </w:rPr>
        <w:t xml:space="preserve"> </w:t>
      </w:r>
      <w:r w:rsidR="006F2AE6" w:rsidRPr="00A5777E">
        <w:rPr>
          <w:rFonts w:cs="Arial"/>
          <w:color w:val="000000"/>
        </w:rPr>
        <w:tab/>
      </w:r>
      <w:r w:rsidRPr="00355E13">
        <w:rPr>
          <w:rFonts w:cs="Arial"/>
          <w:color w:val="000000"/>
        </w:rPr>
        <w:t>Comité Técnico</w:t>
      </w:r>
    </w:p>
    <w:p w:rsidR="009A4195" w:rsidRDefault="00355E13" w:rsidP="00C66F79">
      <w:pPr>
        <w:rPr>
          <w:snapToGrid w:val="0"/>
        </w:rPr>
      </w:pPr>
      <w:r w:rsidRPr="00355E13">
        <w:rPr>
          <w:snapToGrid w:val="0"/>
        </w:rPr>
        <w:t>TWA:</w:t>
      </w:r>
      <w:r w:rsidR="006F2AE6" w:rsidRPr="00A5777E">
        <w:rPr>
          <w:snapToGrid w:val="0"/>
        </w:rPr>
        <w:tab/>
      </w:r>
      <w:r w:rsidR="006F2AE6" w:rsidRPr="00A5777E">
        <w:rPr>
          <w:snapToGrid w:val="0"/>
        </w:rPr>
        <w:tab/>
      </w:r>
      <w:r w:rsidRPr="00355E13">
        <w:rPr>
          <w:snapToGrid w:val="0"/>
        </w:rPr>
        <w:t>Grupo de Trabajo Técnico sobre Plantas Agrícolas</w:t>
      </w:r>
    </w:p>
    <w:p w:rsidR="009A4195" w:rsidRDefault="00355E13" w:rsidP="00C66F79">
      <w:pPr>
        <w:rPr>
          <w:snapToGrid w:val="0"/>
        </w:rPr>
      </w:pPr>
      <w:r w:rsidRPr="00355E13">
        <w:rPr>
          <w:snapToGrid w:val="0"/>
        </w:rPr>
        <w:t>TWC:</w:t>
      </w:r>
      <w:r w:rsidR="006F2AE6" w:rsidRPr="00A5777E">
        <w:rPr>
          <w:snapToGrid w:val="0"/>
        </w:rPr>
        <w:tab/>
      </w:r>
      <w:r w:rsidR="006F2AE6" w:rsidRPr="00A5777E">
        <w:rPr>
          <w:snapToGrid w:val="0"/>
        </w:rPr>
        <w:tab/>
      </w:r>
      <w:r w:rsidRPr="00355E13">
        <w:rPr>
          <w:snapToGrid w:val="0"/>
        </w:rPr>
        <w:t>Grupo de Trabajo Técnico sobre Automatización y Programas Informáticos</w:t>
      </w:r>
    </w:p>
    <w:p w:rsidR="009A4195" w:rsidRDefault="00355E13" w:rsidP="00C66F79">
      <w:pPr>
        <w:rPr>
          <w:snapToGrid w:val="0"/>
        </w:rPr>
      </w:pPr>
      <w:r w:rsidRPr="00355E13">
        <w:rPr>
          <w:snapToGrid w:val="0"/>
        </w:rPr>
        <w:t>TWF:</w:t>
      </w:r>
      <w:r w:rsidR="006F2AE6" w:rsidRPr="00A5777E">
        <w:rPr>
          <w:snapToGrid w:val="0"/>
        </w:rPr>
        <w:t xml:space="preserve"> </w:t>
      </w:r>
      <w:r w:rsidR="006F2AE6" w:rsidRPr="00A5777E">
        <w:rPr>
          <w:snapToGrid w:val="0"/>
        </w:rPr>
        <w:tab/>
      </w:r>
      <w:r w:rsidR="006F2AE6" w:rsidRPr="00A5777E">
        <w:rPr>
          <w:snapToGrid w:val="0"/>
        </w:rPr>
        <w:tab/>
      </w:r>
      <w:r w:rsidRPr="00355E13">
        <w:rPr>
          <w:snapToGrid w:val="0"/>
        </w:rPr>
        <w:t>Grupo de Trabajo Técnico sobre Plantas Frutales</w:t>
      </w:r>
    </w:p>
    <w:p w:rsidR="009A4195" w:rsidRDefault="00355E13" w:rsidP="00C66F79">
      <w:pPr>
        <w:rPr>
          <w:snapToGrid w:val="0"/>
        </w:rPr>
      </w:pPr>
      <w:r w:rsidRPr="00355E13">
        <w:rPr>
          <w:snapToGrid w:val="0"/>
        </w:rPr>
        <w:t>TWO:</w:t>
      </w:r>
      <w:r w:rsidR="006F2AE6" w:rsidRPr="00A5777E">
        <w:rPr>
          <w:snapToGrid w:val="0"/>
        </w:rPr>
        <w:tab/>
      </w:r>
      <w:r w:rsidR="006F2AE6" w:rsidRPr="00A5777E">
        <w:rPr>
          <w:snapToGrid w:val="0"/>
        </w:rPr>
        <w:tab/>
      </w:r>
      <w:r w:rsidRPr="00355E13">
        <w:rPr>
          <w:snapToGrid w:val="0"/>
        </w:rPr>
        <w:t>Grupo de Trabajo Técnico sobre Plantas Ornamentales y Árboles Forestales</w:t>
      </w:r>
    </w:p>
    <w:p w:rsidR="009A4195" w:rsidRDefault="00355E13" w:rsidP="00C66F79">
      <w:pPr>
        <w:rPr>
          <w:snapToGrid w:val="0"/>
        </w:rPr>
      </w:pPr>
      <w:r w:rsidRPr="00355E13">
        <w:rPr>
          <w:snapToGrid w:val="0"/>
        </w:rPr>
        <w:t>TWV:</w:t>
      </w:r>
      <w:r w:rsidR="006F2AE6" w:rsidRPr="00A5777E">
        <w:rPr>
          <w:snapToGrid w:val="0"/>
        </w:rPr>
        <w:tab/>
      </w:r>
      <w:r w:rsidR="006F2AE6" w:rsidRPr="00A5777E">
        <w:rPr>
          <w:snapToGrid w:val="0"/>
        </w:rPr>
        <w:tab/>
      </w:r>
      <w:r w:rsidRPr="00355E13">
        <w:rPr>
          <w:snapToGrid w:val="0"/>
        </w:rPr>
        <w:t>Grupo de Trabajo Técnico sobre Hortalizas</w:t>
      </w:r>
    </w:p>
    <w:p w:rsidR="009A4195" w:rsidRDefault="00355E13" w:rsidP="00C66F79">
      <w:pPr>
        <w:rPr>
          <w:snapToGrid w:val="0"/>
        </w:rPr>
      </w:pPr>
      <w:r w:rsidRPr="00355E13">
        <w:rPr>
          <w:snapToGrid w:val="0"/>
        </w:rPr>
        <w:t>TWP:</w:t>
      </w:r>
      <w:r w:rsidR="006F2AE6" w:rsidRPr="00A5777E">
        <w:rPr>
          <w:snapToGrid w:val="0"/>
        </w:rPr>
        <w:tab/>
      </w:r>
      <w:r w:rsidR="00C14B8A">
        <w:rPr>
          <w:snapToGrid w:val="0"/>
        </w:rPr>
        <w:tab/>
      </w:r>
      <w:r w:rsidRPr="00355E13">
        <w:rPr>
          <w:snapToGrid w:val="0"/>
        </w:rPr>
        <w:t>Grupos de Trabajo Técnico</w:t>
      </w:r>
    </w:p>
    <w:p w:rsidR="009A4195" w:rsidRDefault="009A4195" w:rsidP="006F2AE6">
      <w:pPr>
        <w:rPr>
          <w:snapToGrid w:val="0"/>
        </w:rPr>
      </w:pPr>
    </w:p>
    <w:p w:rsidR="009A4195" w:rsidRDefault="009A4195" w:rsidP="006F2AE6">
      <w:pPr>
        <w:rPr>
          <w:snapToGrid w:val="0"/>
        </w:rPr>
      </w:pPr>
    </w:p>
    <w:p w:rsidR="009A4195" w:rsidRDefault="00355E13" w:rsidP="00C66F79">
      <w:pPr>
        <w:keepNext/>
        <w:outlineLvl w:val="0"/>
        <w:rPr>
          <w:caps/>
          <w:snapToGrid w:val="0"/>
        </w:rPr>
      </w:pPr>
      <w:bookmarkStart w:id="4" w:name="_Toc82776610"/>
      <w:r w:rsidRPr="00355E13">
        <w:rPr>
          <w:caps/>
          <w:snapToGrid w:val="0"/>
        </w:rPr>
        <w:t>ANTECEDENTES</w:t>
      </w:r>
      <w:bookmarkEnd w:id="4"/>
    </w:p>
    <w:p w:rsidR="009A4195" w:rsidRDefault="009A4195" w:rsidP="006F2AE6"/>
    <w:p w:rsidR="009A4195" w:rsidRDefault="002E63F7" w:rsidP="00C66F79">
      <w:pPr>
        <w:keepNext/>
      </w:pPr>
      <w:r w:rsidRPr="00A5777E">
        <w:fldChar w:fldCharType="begin"/>
      </w:r>
      <w:r w:rsidR="006F2AE6" w:rsidRPr="00A5777E">
        <w:instrText xml:space="preserve"> AUTONUM  </w:instrText>
      </w:r>
      <w:r w:rsidRPr="00A5777E">
        <w:fldChar w:fldCharType="end"/>
      </w:r>
      <w:r w:rsidR="006F2AE6" w:rsidRPr="00A5777E">
        <w:tab/>
      </w:r>
      <w:r w:rsidR="003459CA" w:rsidRPr="00F165CC">
        <w:t>Los antecedentes de este asunto, con anterioridad a la quincuagésima séptima sesión del TC, figuran en el documento TC/56/11 “Cooperación en el examen”.</w:t>
      </w:r>
    </w:p>
    <w:p w:rsidR="009A4195" w:rsidRDefault="009A4195" w:rsidP="006F2AE6"/>
    <w:p w:rsidR="009A4195" w:rsidRDefault="009A4195" w:rsidP="006F2AE6"/>
    <w:p w:rsidR="009A4195" w:rsidRDefault="003459CA" w:rsidP="00C66F79">
      <w:pPr>
        <w:keepNext/>
        <w:outlineLvl w:val="0"/>
        <w:rPr>
          <w:caps/>
          <w:snapToGrid w:val="0"/>
        </w:rPr>
      </w:pPr>
      <w:bookmarkStart w:id="5" w:name="_Toc82776611"/>
      <w:r w:rsidRPr="00F165CC">
        <w:rPr>
          <w:caps/>
          <w:snapToGrid w:val="0"/>
        </w:rPr>
        <w:t>PERSONA</w:t>
      </w:r>
      <w:r w:rsidR="003E27A7" w:rsidRPr="00F165CC">
        <w:rPr>
          <w:caps/>
          <w:snapToGrid w:val="0"/>
        </w:rPr>
        <w:t>(</w:t>
      </w:r>
      <w:r w:rsidRPr="00F165CC">
        <w:rPr>
          <w:caps/>
          <w:snapToGrid w:val="0"/>
        </w:rPr>
        <w:t>S</w:t>
      </w:r>
      <w:r w:rsidR="003E27A7" w:rsidRPr="00F165CC">
        <w:rPr>
          <w:caps/>
          <w:snapToGrid w:val="0"/>
        </w:rPr>
        <w:t>)</w:t>
      </w:r>
      <w:r w:rsidRPr="00F165CC">
        <w:rPr>
          <w:caps/>
          <w:snapToGrid w:val="0"/>
        </w:rPr>
        <w:t xml:space="preserve"> DE </w:t>
      </w:r>
      <w:r w:rsidR="00F165CC" w:rsidRPr="00F165CC">
        <w:rPr>
          <w:caps/>
          <w:snapToGrid w:val="0"/>
        </w:rPr>
        <w:t xml:space="preserve">ENLACE </w:t>
      </w:r>
      <w:r w:rsidR="00466B29" w:rsidRPr="00F165CC">
        <w:rPr>
          <w:caps/>
          <w:snapToGrid w:val="0"/>
        </w:rPr>
        <w:t xml:space="preserve">PARA ASUNTOS RELATIVOS </w:t>
      </w:r>
      <w:r w:rsidRPr="00F165CC">
        <w:rPr>
          <w:caps/>
          <w:snapToGrid w:val="0"/>
        </w:rPr>
        <w:t>A LA COOPERACIÓN INTERNACIONAL EN MATERIA DE EXAMEN DHE</w:t>
      </w:r>
      <w:bookmarkEnd w:id="5"/>
    </w:p>
    <w:p w:rsidR="009A4195" w:rsidRDefault="009A4195" w:rsidP="006F2AE6">
      <w:pPr>
        <w:keepNext/>
        <w:outlineLvl w:val="0"/>
        <w:rPr>
          <w:caps/>
          <w:snapToGrid w:val="0"/>
        </w:rPr>
      </w:pPr>
    </w:p>
    <w:p w:rsidR="009A4195" w:rsidRDefault="002E63F7" w:rsidP="00C66F79">
      <w:pPr>
        <w:rPr>
          <w:snapToGrid w:val="0"/>
        </w:rPr>
      </w:pPr>
      <w:r w:rsidRPr="00A5777E">
        <w:rPr>
          <w:snapToGrid w:val="0"/>
        </w:rPr>
        <w:fldChar w:fldCharType="begin"/>
      </w:r>
      <w:r w:rsidR="006F2AE6" w:rsidRPr="00A5777E">
        <w:rPr>
          <w:snapToGrid w:val="0"/>
        </w:rPr>
        <w:instrText xml:space="preserve"> AUTONUM  </w:instrText>
      </w:r>
      <w:r w:rsidRPr="00A5777E">
        <w:rPr>
          <w:snapToGrid w:val="0"/>
        </w:rPr>
        <w:fldChar w:fldCharType="end"/>
      </w:r>
      <w:r w:rsidR="006F2AE6" w:rsidRPr="00A5777E">
        <w:rPr>
          <w:snapToGrid w:val="0"/>
        </w:rPr>
        <w:tab/>
      </w:r>
      <w:r w:rsidR="00466B29" w:rsidRPr="00F165CC">
        <w:rPr>
          <w:snapToGrid w:val="0"/>
        </w:rPr>
        <w:t>La lista</w:t>
      </w:r>
      <w:r w:rsidR="00F37EE4" w:rsidRPr="00F165CC">
        <w:rPr>
          <w:snapToGrid w:val="0"/>
        </w:rPr>
        <w:t xml:space="preserve"> de las personas con las que se ha de contactar </w:t>
      </w:r>
      <w:r w:rsidR="00466B29" w:rsidRPr="00F165CC">
        <w:rPr>
          <w:snapToGrid w:val="0"/>
        </w:rPr>
        <w:t xml:space="preserve">para asuntos relativos </w:t>
      </w:r>
      <w:r w:rsidR="00F37EE4" w:rsidRPr="00F165CC">
        <w:rPr>
          <w:snapToGrid w:val="0"/>
        </w:rPr>
        <w:t xml:space="preserve">a la cooperación internacional en materia de examen DHE se </w:t>
      </w:r>
      <w:r w:rsidR="00466B29" w:rsidRPr="00F165CC">
        <w:rPr>
          <w:snapToGrid w:val="0"/>
        </w:rPr>
        <w:t xml:space="preserve">encuentra </w:t>
      </w:r>
      <w:r w:rsidR="00F37EE4" w:rsidRPr="00F165CC">
        <w:rPr>
          <w:snapToGrid w:val="0"/>
        </w:rPr>
        <w:t>publica</w:t>
      </w:r>
      <w:r w:rsidR="00466B29" w:rsidRPr="00F165CC">
        <w:rPr>
          <w:snapToGrid w:val="0"/>
        </w:rPr>
        <w:t>da</w:t>
      </w:r>
      <w:r w:rsidR="00F37EE4" w:rsidRPr="00F165CC">
        <w:rPr>
          <w:snapToGrid w:val="0"/>
        </w:rPr>
        <w:t xml:space="preserve"> en </w:t>
      </w:r>
      <w:r w:rsidR="00466B29" w:rsidRPr="00F165CC">
        <w:rPr>
          <w:snapToGrid w:val="0"/>
        </w:rPr>
        <w:t>la siguiente dirección del sitio web de la UPOV:</w:t>
      </w:r>
      <w:r w:rsidR="00A5777E">
        <w:rPr>
          <w:snapToGrid w:val="0"/>
        </w:rPr>
        <w:t xml:space="preserve"> </w:t>
      </w:r>
      <w:hyperlink r:id="rId8" w:history="1">
        <w:r w:rsidR="00F165CC">
          <w:rPr>
            <w:rStyle w:val="Hyperlink"/>
          </w:rPr>
          <w:t>https://www.upov.int/databases/es/contact_cooperation.html</w:t>
        </w:r>
      </w:hyperlink>
      <w:r w:rsidR="006F2AE6" w:rsidRPr="00A5777E">
        <w:rPr>
          <w:rStyle w:val="Hyperlink"/>
        </w:rPr>
        <w:t xml:space="preserve"> </w:t>
      </w:r>
    </w:p>
    <w:p w:rsidR="009A4195" w:rsidRDefault="009A4195" w:rsidP="006F2AE6">
      <w:pPr>
        <w:rPr>
          <w:snapToGrid w:val="0"/>
        </w:rPr>
      </w:pPr>
    </w:p>
    <w:p w:rsidR="009A4195" w:rsidRDefault="002E63F7" w:rsidP="00C66F79">
      <w:pPr>
        <w:keepNext/>
        <w:keepLines/>
        <w:rPr>
          <w:snapToGrid w:val="0"/>
        </w:rPr>
      </w:pPr>
      <w:r w:rsidRPr="00A5777E">
        <w:rPr>
          <w:snapToGrid w:val="0"/>
        </w:rPr>
        <w:fldChar w:fldCharType="begin"/>
      </w:r>
      <w:r w:rsidR="006F2AE6" w:rsidRPr="00A5777E">
        <w:rPr>
          <w:snapToGrid w:val="0"/>
        </w:rPr>
        <w:instrText xml:space="preserve"> AUTONUM  </w:instrText>
      </w:r>
      <w:r w:rsidRPr="00A5777E">
        <w:rPr>
          <w:snapToGrid w:val="0"/>
        </w:rPr>
        <w:fldChar w:fldCharType="end"/>
      </w:r>
      <w:r w:rsidR="006F2AE6" w:rsidRPr="00A5777E">
        <w:rPr>
          <w:snapToGrid w:val="0"/>
        </w:rPr>
        <w:tab/>
      </w:r>
      <w:r w:rsidR="00CE1719" w:rsidRPr="00F165CC">
        <w:rPr>
          <w:snapToGrid w:val="0"/>
        </w:rPr>
        <w:t>Se invita a los miembros de la </w:t>
      </w:r>
      <w:r w:rsidR="00B263DA" w:rsidRPr="00F165CC">
        <w:rPr>
          <w:snapToGrid w:val="0"/>
        </w:rPr>
        <w:t xml:space="preserve">Unión </w:t>
      </w:r>
      <w:r w:rsidR="00CE1719" w:rsidRPr="00F165CC">
        <w:rPr>
          <w:snapToGrid w:val="0"/>
        </w:rPr>
        <w:t>a actuali</w:t>
      </w:r>
      <w:r w:rsidR="003E27A7" w:rsidRPr="00F165CC">
        <w:rPr>
          <w:snapToGrid w:val="0"/>
        </w:rPr>
        <w:t>zar</w:t>
      </w:r>
      <w:r w:rsidR="00CE1719" w:rsidRPr="00F165CC">
        <w:rPr>
          <w:snapToGrid w:val="0"/>
        </w:rPr>
        <w:t xml:space="preserve"> cada año </w:t>
      </w:r>
      <w:r w:rsidR="00AB2B46" w:rsidRPr="00F165CC">
        <w:rPr>
          <w:snapToGrid w:val="0"/>
        </w:rPr>
        <w:t xml:space="preserve">la </w:t>
      </w:r>
      <w:r w:rsidR="00AB2B46" w:rsidRPr="00F165CC">
        <w:t xml:space="preserve">información sobre </w:t>
      </w:r>
      <w:r w:rsidR="00CE1719" w:rsidRPr="00F165CC">
        <w:rPr>
          <w:snapToGrid w:val="0"/>
        </w:rPr>
        <w:t xml:space="preserve">la(s) persona(s) </w:t>
      </w:r>
      <w:r w:rsidR="003E27A7" w:rsidRPr="00F165CC">
        <w:rPr>
          <w:snapToGrid w:val="0"/>
        </w:rPr>
        <w:t xml:space="preserve">de enlace </w:t>
      </w:r>
      <w:r w:rsidR="00CE1719" w:rsidRPr="00F165CC">
        <w:rPr>
          <w:snapToGrid w:val="0"/>
        </w:rPr>
        <w:t>para asuntos relativos a la cooperación internacional en materia de examen DHE, cuando se les invite a facilitar información para el documento TC/[xx]/4 “Lista de géneros y especies respecto de los cuales las autoridades poseen experiencia práctica en el examen de la distinción, la homogeneidad y la estabilidad”</w:t>
      </w:r>
      <w:r w:rsidR="003E27A7" w:rsidRPr="00F165CC">
        <w:rPr>
          <w:snapToGrid w:val="0"/>
        </w:rPr>
        <w:t>.</w:t>
      </w:r>
    </w:p>
    <w:p w:rsidR="009A4195" w:rsidRDefault="009A4195" w:rsidP="006F2AE6">
      <w:pPr>
        <w:rPr>
          <w:snapToGrid w:val="0"/>
        </w:rPr>
      </w:pPr>
    </w:p>
    <w:p w:rsidR="009A4195" w:rsidRDefault="002E63F7" w:rsidP="00C66F79">
      <w:r w:rsidRPr="00A5777E">
        <w:fldChar w:fldCharType="begin"/>
      </w:r>
      <w:r w:rsidR="006F2AE6" w:rsidRPr="00A5777E">
        <w:instrText xml:space="preserve"> AUTONUM  </w:instrText>
      </w:r>
      <w:r w:rsidRPr="00A5777E">
        <w:fldChar w:fldCharType="end"/>
      </w:r>
      <w:r w:rsidR="006F2AE6" w:rsidRPr="00A5777E">
        <w:tab/>
      </w:r>
      <w:r w:rsidR="00267362" w:rsidRPr="00295416">
        <w:t xml:space="preserve">La relación de persona(s) </w:t>
      </w:r>
      <w:r w:rsidR="00E632DE" w:rsidRPr="00295416">
        <w:t>de enlace</w:t>
      </w:r>
      <w:r w:rsidR="00267362" w:rsidRPr="00295416">
        <w:t xml:space="preserve"> para asuntos relativos a la cooperación internacional en materia de examen DHE</w:t>
      </w:r>
      <w:r w:rsidR="00267362" w:rsidRPr="00295416">
        <w:rPr>
          <w:snapToGrid w:val="0"/>
          <w:spacing w:val="-2"/>
        </w:rPr>
        <w:t xml:space="preserve"> que figura en el sitio web de la UPOV </w:t>
      </w:r>
      <w:r w:rsidR="00267362" w:rsidRPr="00295416">
        <w:t>puede</w:t>
      </w:r>
      <w:r w:rsidR="00466B29" w:rsidRPr="00295416">
        <w:t xml:space="preserve"> actualiza</w:t>
      </w:r>
      <w:r w:rsidR="00267362" w:rsidRPr="00295416">
        <w:t>rse en cualquier momento</w:t>
      </w:r>
      <w:r w:rsidR="00466B29" w:rsidRPr="00295416">
        <w:rPr>
          <w:snapToGrid w:val="0"/>
          <w:spacing w:val="-2"/>
        </w:rPr>
        <w:t xml:space="preserve">, a petición </w:t>
      </w:r>
      <w:r w:rsidR="00267362" w:rsidRPr="00295416">
        <w:rPr>
          <w:snapToGrid w:val="0"/>
          <w:spacing w:val="-2"/>
        </w:rPr>
        <w:t>del miembro de la Unión interesado</w:t>
      </w:r>
      <w:r w:rsidR="00466B29" w:rsidRPr="00295416">
        <w:rPr>
          <w:snapToGrid w:val="0"/>
          <w:spacing w:val="-2"/>
        </w:rPr>
        <w:t xml:space="preserve">, </w:t>
      </w:r>
      <w:r w:rsidR="00F779EB" w:rsidRPr="00295416">
        <w:t xml:space="preserve">enviando un mensaje de correo electrónico a la dirección </w:t>
      </w:r>
      <w:hyperlink r:id="rId9" w:history="1">
        <w:r w:rsidR="00466B29" w:rsidRPr="00295416">
          <w:rPr>
            <w:rFonts w:cs="Arial"/>
            <w:snapToGrid w:val="0"/>
            <w:color w:val="0000FF"/>
            <w:spacing w:val="-2"/>
            <w:u w:val="single"/>
          </w:rPr>
          <w:t>upov.mail@upov.int</w:t>
        </w:r>
      </w:hyperlink>
      <w:r w:rsidR="00466B29" w:rsidRPr="00295416">
        <w:t>.</w:t>
      </w:r>
    </w:p>
    <w:p w:rsidR="009A4195" w:rsidRDefault="009A4195" w:rsidP="006F2AE6"/>
    <w:p w:rsidR="009A4195" w:rsidRDefault="009A4195" w:rsidP="006F2AE6"/>
    <w:p w:rsidR="009A4195" w:rsidRDefault="004D567A" w:rsidP="00C66F79">
      <w:pPr>
        <w:keepNext/>
        <w:outlineLvl w:val="0"/>
        <w:rPr>
          <w:caps/>
          <w:snapToGrid w:val="0"/>
        </w:rPr>
      </w:pPr>
      <w:bookmarkStart w:id="6" w:name="_Toc82776612"/>
      <w:r w:rsidRPr="00295416">
        <w:rPr>
          <w:caps/>
        </w:rPr>
        <w:t xml:space="preserve">digitalización </w:t>
      </w:r>
      <w:r w:rsidRPr="00295416">
        <w:t xml:space="preserve">EN LA UPOV A FIN DE PONER A DISPOSICIÓN </w:t>
      </w:r>
      <w:r w:rsidRPr="00295416">
        <w:rPr>
          <w:caps/>
        </w:rPr>
        <w:t>UN CONJUNTO DE HERRAMIENTAS INFORMÁTICAS COMPATIBLES PARA SOLVENTAR LAS CUESTIONES TÉCNICAS Y ADMINISTRATIVAS CONEXAS QUE IMPIDEN LA COOPERACIÓN EN EL EXAMEN DHE</w:t>
      </w:r>
      <w:bookmarkEnd w:id="6"/>
    </w:p>
    <w:p w:rsidR="009A4195" w:rsidRDefault="009A4195" w:rsidP="006F2AE6"/>
    <w:p w:rsidR="009A4195" w:rsidRDefault="002E63F7" w:rsidP="00C66F79">
      <w:pPr>
        <w:keepNext/>
      </w:pPr>
      <w:r w:rsidRPr="00A5777E">
        <w:fldChar w:fldCharType="begin"/>
      </w:r>
      <w:r w:rsidR="006F2AE6" w:rsidRPr="00A5777E">
        <w:instrText xml:space="preserve"> AUTONUM  </w:instrText>
      </w:r>
      <w:r w:rsidRPr="00A5777E">
        <w:fldChar w:fldCharType="end"/>
      </w:r>
      <w:r w:rsidR="006F2AE6" w:rsidRPr="00A5777E">
        <w:tab/>
      </w:r>
      <w:r w:rsidR="004D567A" w:rsidRPr="002F75E1">
        <w:t>En su quincuagésima sexta sesión,</w:t>
      </w:r>
      <w:r w:rsidR="004D567A" w:rsidRPr="002F75E1">
        <w:rPr>
          <w:rStyle w:val="FootnoteReference"/>
        </w:rPr>
        <w:footnoteReference w:id="2"/>
      </w:r>
      <w:r w:rsidR="004D567A" w:rsidRPr="002F75E1">
        <w:t xml:space="preserve"> el TC examinó por correspondencia el documento TC/56/11 “Cooperación en el examen” (véanse los párrafos 39 a 44 del documento TC/56/22 “Resultado del examen de los documentos por correspondencia”).</w:t>
      </w:r>
    </w:p>
    <w:p w:rsidR="009A4195" w:rsidRDefault="009A4195" w:rsidP="006F2AE6"/>
    <w:p w:rsidR="009A4195" w:rsidRDefault="002E63F7" w:rsidP="00C66F79">
      <w:pPr>
        <w:tabs>
          <w:tab w:val="left" w:pos="567"/>
          <w:tab w:val="left" w:pos="1134"/>
          <w:tab w:val="left" w:pos="1701"/>
          <w:tab w:val="left" w:pos="5387"/>
          <w:tab w:val="left" w:pos="5954"/>
        </w:tabs>
      </w:pPr>
      <w:r w:rsidRPr="00A5777E">
        <w:rPr>
          <w:snapToGrid w:val="0"/>
        </w:rPr>
        <w:fldChar w:fldCharType="begin"/>
      </w:r>
      <w:r w:rsidR="006F2AE6" w:rsidRPr="00A5777E">
        <w:rPr>
          <w:snapToGrid w:val="0"/>
        </w:rPr>
        <w:instrText xml:space="preserve"> AUTONUM  </w:instrText>
      </w:r>
      <w:r w:rsidRPr="00A5777E">
        <w:rPr>
          <w:snapToGrid w:val="0"/>
        </w:rPr>
        <w:fldChar w:fldCharType="end"/>
      </w:r>
      <w:r w:rsidR="006F2AE6" w:rsidRPr="00A5777E">
        <w:rPr>
          <w:snapToGrid w:val="0"/>
        </w:rPr>
        <w:tab/>
      </w:r>
      <w:r w:rsidR="008B1114" w:rsidRPr="00AD2A7E">
        <w:t xml:space="preserve">Con el fin de </w:t>
      </w:r>
      <w:r w:rsidR="009E7BC9" w:rsidRPr="00AD2A7E">
        <w:t>solventar las cuestiones técnicas y administrativas conexas que impiden la cooperación en el examen DHE</w:t>
      </w:r>
      <w:r w:rsidR="009E7BC9" w:rsidRPr="00AD2A7E">
        <w:rPr>
          <w:snapToGrid w:val="0"/>
        </w:rPr>
        <w:t>, el TC,</w:t>
      </w:r>
      <w:r w:rsidR="009E7BC9" w:rsidRPr="00AD2A7E">
        <w:t xml:space="preserve"> </w:t>
      </w:r>
      <w:r w:rsidR="009E7BC9" w:rsidRPr="00AD2A7E">
        <w:rPr>
          <w:snapToGrid w:val="0"/>
        </w:rPr>
        <w:t xml:space="preserve">en </w:t>
      </w:r>
      <w:r w:rsidR="00AC6769" w:rsidRPr="00AD2A7E">
        <w:rPr>
          <w:snapToGrid w:val="0"/>
        </w:rPr>
        <w:t>su quincuagésima sexta sesión</w:t>
      </w:r>
      <w:r w:rsidR="009E7BC9" w:rsidRPr="00AD2A7E">
        <w:rPr>
          <w:snapToGrid w:val="0"/>
        </w:rPr>
        <w:t>,</w:t>
      </w:r>
      <w:r w:rsidR="00AC6769" w:rsidRPr="00AD2A7E">
        <w:rPr>
          <w:snapToGrid w:val="0"/>
        </w:rPr>
        <w:t xml:space="preserve"> </w:t>
      </w:r>
      <w:r w:rsidR="009E7BC9" w:rsidRPr="00AD2A7E">
        <w:rPr>
          <w:snapToGrid w:val="0"/>
        </w:rPr>
        <w:t>convino en</w:t>
      </w:r>
      <w:r w:rsidR="00AC6769" w:rsidRPr="00AD2A7E">
        <w:rPr>
          <w:snapToGrid w:val="0"/>
        </w:rPr>
        <w:t xml:space="preserve"> proponer </w:t>
      </w:r>
      <w:r w:rsidR="009E7BC9" w:rsidRPr="00AD2A7E">
        <w:rPr>
          <w:snapToGrid w:val="0"/>
        </w:rPr>
        <w:t>el</w:t>
      </w:r>
      <w:r w:rsidR="00AC6769" w:rsidRPr="00AD2A7E">
        <w:rPr>
          <w:snapToGrid w:val="0"/>
        </w:rPr>
        <w:t xml:space="preserve"> </w:t>
      </w:r>
      <w:r w:rsidR="00AC6769" w:rsidRPr="00AD2A7E">
        <w:t>desarroll</w:t>
      </w:r>
      <w:r w:rsidR="009E7BC9" w:rsidRPr="00AD2A7E">
        <w:t>o de</w:t>
      </w:r>
      <w:r w:rsidR="00AC6769" w:rsidRPr="00AD2A7E">
        <w:t xml:space="preserve"> un conjunto de herramientas informáticas compatibles </w:t>
      </w:r>
      <w:r w:rsidR="009E7BC9" w:rsidRPr="00AD2A7E">
        <w:t>que incluya</w:t>
      </w:r>
      <w:r w:rsidR="00AC6769" w:rsidRPr="00AD2A7E">
        <w:t xml:space="preserve"> </w:t>
      </w:r>
      <w:r w:rsidR="00460B10" w:rsidRPr="00AD2A7E">
        <w:t>los</w:t>
      </w:r>
      <w:r w:rsidR="00AC6769" w:rsidRPr="00AD2A7E">
        <w:t xml:space="preserve"> </w:t>
      </w:r>
      <w:r w:rsidR="009E7BC9" w:rsidRPr="00AD2A7E">
        <w:t xml:space="preserve">siguientes </w:t>
      </w:r>
      <w:r w:rsidR="00460B10" w:rsidRPr="00AD2A7E">
        <w:t xml:space="preserve">elementos </w:t>
      </w:r>
      <w:r w:rsidR="00AC6769" w:rsidRPr="00AD2A7E">
        <w:t xml:space="preserve">(véase el </w:t>
      </w:r>
      <w:r w:rsidR="00460B10" w:rsidRPr="00AD2A7E">
        <w:t xml:space="preserve">párrafo 41 del </w:t>
      </w:r>
      <w:r w:rsidR="00AC6769" w:rsidRPr="00AD2A7E">
        <w:t>documento TC/56/22 “</w:t>
      </w:r>
      <w:r w:rsidR="00460B10" w:rsidRPr="00AD2A7E">
        <w:rPr>
          <w:snapToGrid w:val="0"/>
        </w:rPr>
        <w:t>Resultado del examen de los documentos por correspondencia</w:t>
      </w:r>
      <w:r w:rsidR="00AC6769" w:rsidRPr="00AD2A7E">
        <w:t>”):</w:t>
      </w:r>
      <w:r w:rsidR="00A5777E">
        <w:t xml:space="preserve"> </w:t>
      </w:r>
    </w:p>
    <w:p w:rsidR="009A4195" w:rsidRDefault="009A4195" w:rsidP="006F2AE6">
      <w:pPr>
        <w:tabs>
          <w:tab w:val="left" w:pos="567"/>
          <w:tab w:val="left" w:pos="1134"/>
          <w:tab w:val="left" w:pos="1701"/>
          <w:tab w:val="left" w:pos="5387"/>
          <w:tab w:val="left" w:pos="5954"/>
        </w:tabs>
      </w:pPr>
    </w:p>
    <w:p w:rsidR="009A4195" w:rsidRDefault="009E7BC9" w:rsidP="00C66F79">
      <w:pPr>
        <w:pStyle w:val="ListParagraph"/>
        <w:keepNext/>
        <w:numPr>
          <w:ilvl w:val="1"/>
          <w:numId w:val="1"/>
        </w:numPr>
        <w:ind w:left="1134" w:hanging="578"/>
        <w:rPr>
          <w:lang w:val="es-ES_tradnl"/>
        </w:rPr>
      </w:pPr>
      <w:r w:rsidRPr="00AD2A7E">
        <w:rPr>
          <w:lang w:val="es-ES_tradnl"/>
        </w:rPr>
        <w:t>Una plataforma que permita:</w:t>
      </w:r>
      <w:r w:rsidR="00A5777E">
        <w:rPr>
          <w:lang w:val="es-ES_tradnl"/>
        </w:rPr>
        <w:t xml:space="preserve"> </w:t>
      </w:r>
    </w:p>
    <w:p w:rsidR="009A4195" w:rsidRDefault="009A4195" w:rsidP="006F2AE6">
      <w:pPr>
        <w:pStyle w:val="ListParagraph"/>
        <w:keepNext/>
        <w:ind w:left="1134"/>
        <w:rPr>
          <w:lang w:val="es-ES_tradnl"/>
        </w:rPr>
      </w:pPr>
    </w:p>
    <w:p w:rsidR="009A4195" w:rsidRDefault="009E7BC9" w:rsidP="00C66F79">
      <w:pPr>
        <w:pStyle w:val="ListParagraph"/>
        <w:keepNext/>
        <w:numPr>
          <w:ilvl w:val="2"/>
          <w:numId w:val="1"/>
        </w:numPr>
        <w:ind w:left="1701" w:hanging="567"/>
        <w:rPr>
          <w:lang w:val="es-ES_tradnl"/>
        </w:rPr>
      </w:pPr>
      <w:r w:rsidRPr="00AD2A7E">
        <w:rPr>
          <w:lang w:val="es-ES_tradnl"/>
        </w:rPr>
        <w:t>el intercambio de informes DHE existentes, al objeto de que:</w:t>
      </w:r>
    </w:p>
    <w:p w:rsidR="009A4195" w:rsidRDefault="009E7BC9" w:rsidP="00C66F79">
      <w:pPr>
        <w:pStyle w:val="ListParagraph"/>
        <w:keepNext/>
        <w:numPr>
          <w:ilvl w:val="3"/>
          <w:numId w:val="1"/>
        </w:numPr>
        <w:ind w:left="2268" w:hanging="567"/>
        <w:rPr>
          <w:lang w:val="es-ES_tradnl"/>
        </w:rPr>
      </w:pPr>
      <w:r w:rsidRPr="00AD2A7E">
        <w:rPr>
          <w:lang w:val="es-ES_tradnl"/>
        </w:rPr>
        <w:t>los miembros de la UPOV publiquen y reciban informes DHE existentes y organicen el pago, según proceda;</w:t>
      </w:r>
      <w:r w:rsidR="006F2AE6" w:rsidRPr="00A5777E">
        <w:rPr>
          <w:lang w:val="es-ES_tradnl"/>
        </w:rPr>
        <w:t xml:space="preserve"> </w:t>
      </w:r>
    </w:p>
    <w:p w:rsidR="009A4195" w:rsidRDefault="009E7BC9" w:rsidP="00C66F79">
      <w:pPr>
        <w:pStyle w:val="ListParagraph"/>
        <w:numPr>
          <w:ilvl w:val="3"/>
          <w:numId w:val="1"/>
        </w:numPr>
        <w:ind w:left="2268" w:hanging="567"/>
        <w:rPr>
          <w:lang w:val="es-ES_tradnl"/>
        </w:rPr>
      </w:pPr>
      <w:r w:rsidRPr="00AD2A7E">
        <w:rPr>
          <w:lang w:val="es-ES_tradnl"/>
        </w:rPr>
        <w:t>los solicitantes de derechos de obtentor soliciten el uso de los informes DHE existentes y efectúen los pagos, según proceda;</w:t>
      </w:r>
      <w:r w:rsidR="006F2AE6" w:rsidRPr="00A5777E">
        <w:rPr>
          <w:lang w:val="es-ES_tradnl"/>
        </w:rPr>
        <w:t xml:space="preserve"> </w:t>
      </w:r>
    </w:p>
    <w:p w:rsidR="009A4195" w:rsidRDefault="009E7BC9" w:rsidP="00C66F79">
      <w:pPr>
        <w:pStyle w:val="ListParagraph"/>
        <w:numPr>
          <w:ilvl w:val="2"/>
          <w:numId w:val="1"/>
        </w:numPr>
        <w:ind w:left="1701" w:hanging="567"/>
        <w:rPr>
          <w:lang w:val="es-ES_tradnl"/>
        </w:rPr>
      </w:pPr>
      <w:r w:rsidRPr="00AD2A7E">
        <w:rPr>
          <w:lang w:val="es-ES_tradnl"/>
        </w:rPr>
        <w:t>que los miembros de la UPOV pongan a disposición de los demás miembros de la Unión sus procedimientos de examen DHE documentados y la información sobre sus sistemas de gestión de calidad;</w:t>
      </w:r>
    </w:p>
    <w:p w:rsidR="009A4195" w:rsidRDefault="009A4195" w:rsidP="006F2AE6">
      <w:pPr>
        <w:pStyle w:val="ListParagraph"/>
        <w:ind w:left="1647"/>
        <w:rPr>
          <w:lang w:val="es-ES_tradnl"/>
        </w:rPr>
      </w:pPr>
    </w:p>
    <w:p w:rsidR="009A4195" w:rsidRDefault="009E7BC9" w:rsidP="00C66F79">
      <w:pPr>
        <w:pStyle w:val="ListParagraph"/>
        <w:numPr>
          <w:ilvl w:val="1"/>
          <w:numId w:val="1"/>
        </w:numPr>
        <w:ind w:left="1134" w:hanging="567"/>
        <w:rPr>
          <w:lang w:val="es-ES_tradnl"/>
        </w:rPr>
      </w:pPr>
      <w:r w:rsidRPr="00AD2A7E">
        <w:rPr>
          <w:lang w:val="es-ES_tradnl"/>
        </w:rPr>
        <w:t>Una herramienta que permita proporcionar fácilmente información sobre la cooperación en el examen DHE entre los miembros de la UPOV y los solicitantes de derechos de obtentor, a partir de la información que figura en la base de datos GENIE;</w:t>
      </w:r>
    </w:p>
    <w:p w:rsidR="009A4195" w:rsidRDefault="009A4195" w:rsidP="006F2AE6">
      <w:pPr>
        <w:pStyle w:val="ListParagraph"/>
        <w:ind w:left="1134" w:hanging="567"/>
        <w:rPr>
          <w:lang w:val="es-ES_tradnl"/>
        </w:rPr>
      </w:pPr>
    </w:p>
    <w:p w:rsidR="009A4195" w:rsidRDefault="009E7BC9" w:rsidP="00C66F79">
      <w:pPr>
        <w:pStyle w:val="ListParagraph"/>
        <w:numPr>
          <w:ilvl w:val="1"/>
          <w:numId w:val="1"/>
        </w:numPr>
        <w:ind w:left="1134" w:hanging="567"/>
        <w:rPr>
          <w:lang w:val="es-ES_tradnl"/>
        </w:rPr>
      </w:pPr>
      <w:r w:rsidRPr="00AD2A7E">
        <w:rPr>
          <w:lang w:val="es-ES_tradnl"/>
        </w:rPr>
        <w:t>Un módulo para que los miembros de la UPOV utilicen la plantilla de documentos TG y la base de datos de caracteres en línea al elaborar las directrices de examen propias de cada autoridad en su propio idioma;</w:t>
      </w:r>
    </w:p>
    <w:p w:rsidR="009A4195" w:rsidRDefault="009A4195" w:rsidP="006F2AE6">
      <w:pPr>
        <w:pStyle w:val="ListParagraph"/>
        <w:ind w:left="1134" w:hanging="567"/>
        <w:rPr>
          <w:lang w:val="es-ES_tradnl"/>
        </w:rPr>
      </w:pPr>
    </w:p>
    <w:p w:rsidR="009A4195" w:rsidRDefault="009E7BC9" w:rsidP="00C66F79">
      <w:pPr>
        <w:pStyle w:val="ListParagraph"/>
        <w:numPr>
          <w:ilvl w:val="1"/>
          <w:numId w:val="1"/>
        </w:numPr>
        <w:ind w:left="1134" w:hanging="567"/>
        <w:rPr>
          <w:lang w:val="es-ES_tradnl"/>
        </w:rPr>
      </w:pPr>
      <w:r w:rsidRPr="00AD2A7E">
        <w:rPr>
          <w:lang w:val="es-ES_tradnl"/>
        </w:rPr>
        <w:t>Una plataforma para las bases de datos de los miembros de la UPOV con información sobre descripción de variedades.</w:t>
      </w:r>
    </w:p>
    <w:p w:rsidR="009A4195" w:rsidRDefault="009A4195" w:rsidP="006F2AE6">
      <w:pPr>
        <w:tabs>
          <w:tab w:val="left" w:pos="567"/>
          <w:tab w:val="left" w:pos="1134"/>
          <w:tab w:val="left" w:pos="1701"/>
          <w:tab w:val="left" w:pos="5387"/>
          <w:tab w:val="left" w:pos="5954"/>
        </w:tabs>
      </w:pPr>
    </w:p>
    <w:p w:rsidR="009A4195" w:rsidRDefault="002E63F7" w:rsidP="00C66F79">
      <w:r w:rsidRPr="00A5777E">
        <w:fldChar w:fldCharType="begin"/>
      </w:r>
      <w:r w:rsidR="006F2AE6" w:rsidRPr="00A5777E">
        <w:instrText xml:space="preserve"> AUTONUM  </w:instrText>
      </w:r>
      <w:r w:rsidRPr="00A5777E">
        <w:fldChar w:fldCharType="end"/>
      </w:r>
      <w:r w:rsidR="006F2AE6" w:rsidRPr="00A5777E">
        <w:tab/>
      </w:r>
      <w:r w:rsidR="006F0560" w:rsidRPr="00AD2A7E">
        <w:t>Las citadas herramientas se desarrollarán junto con UPOV PRISMA y las bases de datos GENIE y PLUTO</w:t>
      </w:r>
      <w:r w:rsidR="0073379E" w:rsidRPr="00AD2A7E">
        <w:t>.</w:t>
      </w:r>
      <w:r w:rsidR="00A5777E">
        <w:t xml:space="preserve"> </w:t>
      </w:r>
    </w:p>
    <w:p w:rsidR="009A4195" w:rsidRDefault="009A4195" w:rsidP="006F2AE6">
      <w:pPr>
        <w:tabs>
          <w:tab w:val="left" w:pos="567"/>
          <w:tab w:val="left" w:pos="1134"/>
          <w:tab w:val="left" w:pos="1701"/>
          <w:tab w:val="left" w:pos="5387"/>
          <w:tab w:val="left" w:pos="5954"/>
        </w:tabs>
      </w:pPr>
    </w:p>
    <w:p w:rsidR="009A4195" w:rsidRPr="00311992" w:rsidRDefault="002E63F7" w:rsidP="00C66F79">
      <w:pPr>
        <w:rPr>
          <w:lang w:val="es-ES"/>
        </w:rPr>
      </w:pPr>
      <w:r w:rsidRPr="00A5777E">
        <w:fldChar w:fldCharType="begin"/>
      </w:r>
      <w:r w:rsidR="006F2AE6" w:rsidRPr="00A5777E">
        <w:instrText xml:space="preserve"> AUTONUM  </w:instrText>
      </w:r>
      <w:r w:rsidRPr="00A5777E">
        <w:fldChar w:fldCharType="end"/>
      </w:r>
      <w:r w:rsidR="006F2AE6" w:rsidRPr="00A5777E">
        <w:tab/>
      </w:r>
      <w:r w:rsidR="006F0560" w:rsidRPr="001F7C84">
        <w:t xml:space="preserve">En su quincuagésima sexta sesión, el TC tomó nota </w:t>
      </w:r>
      <w:r w:rsidR="00191FCD" w:rsidRPr="001F7C84">
        <w:t>de</w:t>
      </w:r>
      <w:r w:rsidR="003A695A" w:rsidRPr="001F7C84">
        <w:t>l</w:t>
      </w:r>
      <w:r w:rsidR="00191FCD" w:rsidRPr="001F7C84">
        <w:t xml:space="preserve"> </w:t>
      </w:r>
      <w:r w:rsidR="003A695A" w:rsidRPr="001F7C84">
        <w:t>comentario</w:t>
      </w:r>
      <w:r w:rsidR="006F0560" w:rsidRPr="001F7C84">
        <w:t xml:space="preserve"> </w:t>
      </w:r>
      <w:r w:rsidR="00191FCD" w:rsidRPr="001F7C84">
        <w:t>formulad</w:t>
      </w:r>
      <w:r w:rsidR="003A695A" w:rsidRPr="001F7C84">
        <w:t>o</w:t>
      </w:r>
      <w:r w:rsidR="00191FCD" w:rsidRPr="001F7C84">
        <w:t xml:space="preserve"> </w:t>
      </w:r>
      <w:r w:rsidR="006F0560" w:rsidRPr="001F7C84">
        <w:t xml:space="preserve">por la Unión Europea en respuesta a </w:t>
      </w:r>
      <w:r w:rsidR="00191FCD" w:rsidRPr="001F7C84">
        <w:t xml:space="preserve">la </w:t>
      </w:r>
      <w:r w:rsidR="00191FCD" w:rsidRPr="001F7C84">
        <w:rPr>
          <w:rFonts w:cs="Arial"/>
        </w:rPr>
        <w:t xml:space="preserve">circular </w:t>
      </w:r>
      <w:r w:rsidR="006F0560" w:rsidRPr="001F7C84">
        <w:rPr>
          <w:rFonts w:cs="Arial"/>
        </w:rPr>
        <w:t>E-20/119, de</w:t>
      </w:r>
      <w:r w:rsidR="00191FCD" w:rsidRPr="001F7C84">
        <w:rPr>
          <w:rFonts w:cs="Arial"/>
        </w:rPr>
        <w:t> </w:t>
      </w:r>
      <w:r w:rsidR="006F0560" w:rsidRPr="001F7C84">
        <w:rPr>
          <w:rFonts w:cs="Arial"/>
        </w:rPr>
        <w:t>21</w:t>
      </w:r>
      <w:r w:rsidR="00191FCD" w:rsidRPr="001F7C84">
        <w:rPr>
          <w:rFonts w:cs="Arial"/>
        </w:rPr>
        <w:t xml:space="preserve"> de agosto de </w:t>
      </w:r>
      <w:r w:rsidR="006F0560" w:rsidRPr="001F7C84">
        <w:rPr>
          <w:rFonts w:cs="Arial"/>
        </w:rPr>
        <w:t>2020,</w:t>
      </w:r>
      <w:r w:rsidR="006F0560" w:rsidRPr="001F7C84">
        <w:rPr>
          <w:snapToGrid w:val="0"/>
        </w:rPr>
        <w:t xml:space="preserve"> </w:t>
      </w:r>
      <w:r w:rsidR="008B1114" w:rsidRPr="001F7C84">
        <w:rPr>
          <w:snapToGrid w:val="0"/>
        </w:rPr>
        <w:t>sobre la</w:t>
      </w:r>
      <w:r w:rsidR="006F0560" w:rsidRPr="001F7C84">
        <w:rPr>
          <w:snapToGrid w:val="0"/>
        </w:rPr>
        <w:t xml:space="preserve"> propuesta </w:t>
      </w:r>
      <w:r w:rsidR="008B1114" w:rsidRPr="001F7C84">
        <w:rPr>
          <w:snapToGrid w:val="0"/>
        </w:rPr>
        <w:t xml:space="preserve">de </w:t>
      </w:r>
      <w:r w:rsidR="006F0560" w:rsidRPr="001F7C84">
        <w:t>de</w:t>
      </w:r>
      <w:r w:rsidR="008B1114" w:rsidRPr="001F7C84">
        <w:t xml:space="preserve">sarrollar un conjunto de herramientas informáticas compatibles </w:t>
      </w:r>
      <w:r w:rsidR="00495285" w:rsidRPr="001F7C84">
        <w:t xml:space="preserve">que incluya </w:t>
      </w:r>
      <w:r w:rsidR="0026333F" w:rsidRPr="001F7C84">
        <w:t xml:space="preserve">los </w:t>
      </w:r>
      <w:r w:rsidR="006F0560" w:rsidRPr="001F7C84">
        <w:t>element</w:t>
      </w:r>
      <w:r w:rsidR="0026333F" w:rsidRPr="001F7C84">
        <w:t>o</w:t>
      </w:r>
      <w:r w:rsidR="006F0560" w:rsidRPr="001F7C84">
        <w:t>s indica</w:t>
      </w:r>
      <w:r w:rsidR="0026333F" w:rsidRPr="001F7C84">
        <w:t xml:space="preserve">dos </w:t>
      </w:r>
      <w:r w:rsidR="006F0560" w:rsidRPr="001F7C84">
        <w:t xml:space="preserve">en </w:t>
      </w:r>
      <w:r w:rsidR="0026333F" w:rsidRPr="001F7C84">
        <w:t xml:space="preserve">el párrafo 19 del </w:t>
      </w:r>
      <w:r w:rsidR="006F0560" w:rsidRPr="001F7C84">
        <w:t>documento</w:t>
      </w:r>
      <w:r w:rsidR="0026333F" w:rsidRPr="001F7C84">
        <w:t> TC/56/11</w:t>
      </w:r>
      <w:r w:rsidR="006F0560" w:rsidRPr="001F7C84">
        <w:t>.</w:t>
      </w:r>
      <w:r w:rsidR="00A5777E">
        <w:t xml:space="preserve"> </w:t>
      </w:r>
      <w:r w:rsidR="003A695A" w:rsidRPr="001F7C84">
        <w:t>El TC convino en pedir a la Oficina de la Unión que presente los planes de elaboración de un conjunto de herramientas informáticas compatibles, a fin de someterlos al examen de los TWP y del TC en sus sesiones de 2021 (véase el párrafo 60 del documento TC/56/23 “Informe”).</w:t>
      </w:r>
    </w:p>
    <w:p w:rsidR="009A4195" w:rsidRPr="00311992" w:rsidRDefault="009A4195" w:rsidP="006F2AE6">
      <w:pPr>
        <w:rPr>
          <w:lang w:val="es-ES"/>
        </w:rPr>
      </w:pPr>
    </w:p>
    <w:p w:rsidR="009A4195" w:rsidRPr="00311992" w:rsidRDefault="002E63F7" w:rsidP="00562BAF">
      <w:pPr>
        <w:keepLines/>
        <w:rPr>
          <w:lang w:val="es-ES"/>
        </w:rPr>
      </w:pPr>
      <w:r w:rsidRPr="00A5777E">
        <w:fldChar w:fldCharType="begin"/>
      </w:r>
      <w:r w:rsidR="006F2AE6" w:rsidRPr="00A5777E">
        <w:instrText xml:space="preserve"> AUTONUM  </w:instrText>
      </w:r>
      <w:r w:rsidRPr="00A5777E">
        <w:fldChar w:fldCharType="end"/>
      </w:r>
      <w:r w:rsidR="006F2AE6" w:rsidRPr="00A5777E">
        <w:tab/>
      </w:r>
      <w:r w:rsidR="006513D9" w:rsidRPr="009D684E">
        <w:t xml:space="preserve">Actualmente se están desarrollando, de </w:t>
      </w:r>
      <w:r w:rsidR="00C857AD" w:rsidRPr="009D684E">
        <w:t xml:space="preserve">manera conjunta con el proyecto piloto e-PVP Asia, </w:t>
      </w:r>
      <w:r w:rsidR="003A695A" w:rsidRPr="009D684E">
        <w:t>una plataforma para intercambi</w:t>
      </w:r>
      <w:r w:rsidR="006513D9" w:rsidRPr="009D684E">
        <w:t>ar</w:t>
      </w:r>
      <w:r w:rsidR="003A695A" w:rsidRPr="009D684E">
        <w:t xml:space="preserve"> informes</w:t>
      </w:r>
      <w:r w:rsidR="003E6BC1" w:rsidRPr="009D684E">
        <w:t xml:space="preserve"> de exámenes</w:t>
      </w:r>
      <w:r w:rsidR="003A695A" w:rsidRPr="009D684E">
        <w:t> DHE y documenta</w:t>
      </w:r>
      <w:r w:rsidR="006513D9" w:rsidRPr="009D684E">
        <w:t>r</w:t>
      </w:r>
      <w:r w:rsidR="003A695A" w:rsidRPr="009D684E">
        <w:t xml:space="preserve"> los procedimientos de examen DHE (“Plataforma de intercambio de informes DHE”) y un instrumento </w:t>
      </w:r>
      <w:r w:rsidR="00351A90" w:rsidRPr="009D684E">
        <w:t>que</w:t>
      </w:r>
      <w:r w:rsidR="00BC0CB8" w:rsidRPr="009D684E">
        <w:t xml:space="preserve"> proporciona información sobre la cooperación en el examen DHE a </w:t>
      </w:r>
      <w:r w:rsidR="00E81D68" w:rsidRPr="009D684E">
        <w:t xml:space="preserve">los solicitantes </w:t>
      </w:r>
      <w:r w:rsidR="00790CD1" w:rsidRPr="009D684E">
        <w:t xml:space="preserve">de derechos de obtentor </w:t>
      </w:r>
      <w:r w:rsidR="003A695A" w:rsidRPr="009D684E">
        <w:t xml:space="preserve">(“Instrumento </w:t>
      </w:r>
      <w:r w:rsidR="001363C2" w:rsidRPr="009D684E">
        <w:t xml:space="preserve">de preparativos </w:t>
      </w:r>
      <w:r w:rsidR="003A695A" w:rsidRPr="009D684E">
        <w:t>para el examen DHE” (DART</w:t>
      </w:r>
      <w:r w:rsidR="002B1185" w:rsidRPr="009D684E">
        <w:t>, por sus siglas en inglés</w:t>
      </w:r>
      <w:r w:rsidR="003A695A" w:rsidRPr="009D684E">
        <w:t>)).</w:t>
      </w:r>
      <w:r w:rsidR="00A5777E">
        <w:t xml:space="preserve"> </w:t>
      </w:r>
      <w:r w:rsidR="00F3096C" w:rsidRPr="009D684E">
        <w:t xml:space="preserve">En la quincuagésima séptima sesión del TC se ofrecerá una presentación </w:t>
      </w:r>
      <w:r w:rsidR="00790CD1" w:rsidRPr="009D684E">
        <w:t xml:space="preserve">acerca </w:t>
      </w:r>
      <w:r w:rsidR="00F3096C" w:rsidRPr="009D684E">
        <w:t>de las novedades acontecidas.</w:t>
      </w:r>
    </w:p>
    <w:p w:rsidR="009A4195" w:rsidRPr="00311992" w:rsidRDefault="009A4195" w:rsidP="006F2AE6">
      <w:pPr>
        <w:rPr>
          <w:lang w:val="es-ES"/>
        </w:rPr>
      </w:pPr>
    </w:p>
    <w:p w:rsidR="009A4195" w:rsidRDefault="002E63F7" w:rsidP="00C66F79">
      <w:pPr>
        <w:keepNext/>
        <w:keepLines/>
        <w:tabs>
          <w:tab w:val="left" w:pos="567"/>
          <w:tab w:val="left" w:pos="1134"/>
          <w:tab w:val="left" w:pos="1701"/>
          <w:tab w:val="left" w:pos="5387"/>
          <w:tab w:val="left" w:pos="5954"/>
        </w:tabs>
      </w:pPr>
      <w:r w:rsidRPr="00A5777E">
        <w:fldChar w:fldCharType="begin"/>
      </w:r>
      <w:r w:rsidR="006F2AE6" w:rsidRPr="00A5777E">
        <w:instrText xml:space="preserve"> AUTONUM  </w:instrText>
      </w:r>
      <w:r w:rsidRPr="00A5777E">
        <w:fldChar w:fldCharType="end"/>
      </w:r>
      <w:r w:rsidR="006F2AE6" w:rsidRPr="00A5777E">
        <w:tab/>
      </w:r>
      <w:r w:rsidR="006C3EBF" w:rsidRPr="009D684E">
        <w:t xml:space="preserve">A continuación </w:t>
      </w:r>
      <w:r w:rsidR="00DA1E5E" w:rsidRPr="009D684E">
        <w:t xml:space="preserve">se </w:t>
      </w:r>
      <w:r w:rsidR="004F3D46" w:rsidRPr="009D684E">
        <w:t>ofrece</w:t>
      </w:r>
      <w:r w:rsidR="006C3EBF" w:rsidRPr="009D684E">
        <w:t xml:space="preserve"> </w:t>
      </w:r>
      <w:r w:rsidR="00DA1E5E" w:rsidRPr="009D684E">
        <w:t xml:space="preserve">un esquema del </w:t>
      </w:r>
      <w:r w:rsidR="004E7FDA" w:rsidRPr="009D684E">
        <w:t>proyecto e-PVP</w:t>
      </w:r>
      <w:r w:rsidR="00DA1E5E" w:rsidRPr="009D684E">
        <w:t xml:space="preserve"> para prestar una asistencia coherente y completa en la aplicación del </w:t>
      </w:r>
      <w:r w:rsidR="000A6F1B" w:rsidRPr="009D684E">
        <w:t>sistema de la </w:t>
      </w:r>
      <w:r w:rsidR="004F3D46" w:rsidRPr="009D684E">
        <w:t>UPOV,</w:t>
      </w:r>
      <w:r w:rsidR="000A6F1B" w:rsidRPr="009D684E">
        <w:t xml:space="preserve"> </w:t>
      </w:r>
      <w:r w:rsidR="004F3D46" w:rsidRPr="009D684E">
        <w:t xml:space="preserve">en el que </w:t>
      </w:r>
      <w:r w:rsidR="00A20201" w:rsidRPr="009D684E">
        <w:t>se muestra el modo en que las herramientas podrían integrarse en relación con las “Funciones y estructura de una oficina de derechos de obtentor”, tal como se indica en el documento UPOV/INF/15 “Orientación para los miembros de la UPOV</w:t>
      </w:r>
      <w:r w:rsidR="000A6F1B" w:rsidRPr="009D684E">
        <w:t>”.</w:t>
      </w:r>
      <w:r w:rsidR="00A5777E">
        <w:t xml:space="preserve"> </w:t>
      </w:r>
      <w:r w:rsidR="00FD0D31">
        <w:t>El proyecto e</w:t>
      </w:r>
      <w:r w:rsidR="00FD0D31">
        <w:noBreakHyphen/>
      </w:r>
      <w:r w:rsidR="00A20201" w:rsidRPr="009D684E">
        <w:t>PVP:</w:t>
      </w:r>
    </w:p>
    <w:p w:rsidR="009A4195" w:rsidRDefault="009A4195" w:rsidP="006F2AE6">
      <w:pPr>
        <w:keepNext/>
        <w:keepLines/>
        <w:tabs>
          <w:tab w:val="left" w:pos="567"/>
          <w:tab w:val="left" w:pos="1134"/>
          <w:tab w:val="left" w:pos="1701"/>
          <w:tab w:val="left" w:pos="5387"/>
          <w:tab w:val="left" w:pos="5954"/>
        </w:tabs>
      </w:pPr>
    </w:p>
    <w:p w:rsidR="009A4195" w:rsidRDefault="002F3AC1" w:rsidP="00C66F79">
      <w:pPr>
        <w:pStyle w:val="ListParagraph"/>
        <w:keepNext/>
        <w:keepLines/>
        <w:numPr>
          <w:ilvl w:val="0"/>
          <w:numId w:val="3"/>
        </w:numPr>
        <w:tabs>
          <w:tab w:val="left" w:pos="567"/>
          <w:tab w:val="left" w:pos="1134"/>
          <w:tab w:val="left" w:pos="1701"/>
          <w:tab w:val="left" w:pos="5387"/>
          <w:tab w:val="left" w:pos="5954"/>
        </w:tabs>
        <w:rPr>
          <w:lang w:val="es-ES_tradnl"/>
        </w:rPr>
      </w:pPr>
      <w:r w:rsidRPr="009D684E">
        <w:rPr>
          <w:lang w:val="es-ES_tradnl"/>
        </w:rPr>
        <w:t xml:space="preserve">pondrá a disposición de las oficinas de protección de las obtenciones vegetales un sistema de administración electrónica para tareas </w:t>
      </w:r>
      <w:r w:rsidR="000A05D2" w:rsidRPr="009D684E">
        <w:rPr>
          <w:lang w:val="es-ES_tradnl"/>
        </w:rPr>
        <w:t xml:space="preserve">que abarcan </w:t>
      </w:r>
      <w:r w:rsidRPr="009D684E">
        <w:rPr>
          <w:lang w:val="es-ES_tradnl"/>
        </w:rPr>
        <w:t xml:space="preserve">desde la solicitud hasta después de la concesión </w:t>
      </w:r>
      <w:r w:rsidR="000A05D2" w:rsidRPr="009D684E">
        <w:rPr>
          <w:lang w:val="es-ES_tradnl"/>
        </w:rPr>
        <w:t xml:space="preserve">del título </w:t>
      </w:r>
      <w:r w:rsidRPr="009D684E">
        <w:rPr>
          <w:lang w:val="es-ES_tradnl"/>
        </w:rPr>
        <w:t>(módulo de administración de</w:t>
      </w:r>
      <w:r w:rsidR="005D2F93" w:rsidRPr="009D684E">
        <w:rPr>
          <w:lang w:val="es-ES_tradnl"/>
        </w:rPr>
        <w:t>l</w:t>
      </w:r>
      <w:r w:rsidRPr="009D684E">
        <w:rPr>
          <w:lang w:val="es-ES_tradnl"/>
        </w:rPr>
        <w:t xml:space="preserve"> </w:t>
      </w:r>
      <w:r w:rsidR="00501715" w:rsidRPr="009D684E">
        <w:rPr>
          <w:lang w:val="es-ES_tradnl"/>
        </w:rPr>
        <w:t>e-PVP</w:t>
      </w:r>
      <w:r w:rsidRPr="009D684E">
        <w:rPr>
          <w:lang w:val="es-ES_tradnl"/>
        </w:rPr>
        <w:t>)</w:t>
      </w:r>
      <w:r w:rsidR="009151D6" w:rsidRPr="009D684E">
        <w:rPr>
          <w:lang w:val="es-ES_tradnl"/>
        </w:rPr>
        <w:t>;</w:t>
      </w:r>
    </w:p>
    <w:p w:rsidR="009A4195" w:rsidRDefault="009151D6" w:rsidP="00C66F79">
      <w:pPr>
        <w:pStyle w:val="ListParagraph"/>
        <w:keepNext/>
        <w:keepLines/>
        <w:numPr>
          <w:ilvl w:val="0"/>
          <w:numId w:val="3"/>
        </w:numPr>
        <w:tabs>
          <w:tab w:val="left" w:pos="567"/>
          <w:tab w:val="left" w:pos="1134"/>
          <w:tab w:val="left" w:pos="1701"/>
          <w:tab w:val="left" w:pos="5387"/>
          <w:tab w:val="left" w:pos="5954"/>
        </w:tabs>
        <w:rPr>
          <w:lang w:val="es-ES_tradnl"/>
        </w:rPr>
      </w:pPr>
      <w:r w:rsidRPr="009D684E">
        <w:rPr>
          <w:lang w:val="es-ES_tradnl"/>
        </w:rPr>
        <w:t>proporcionará a los solicitantes información sobre la cooperación en el examen DHE entre los miembros de la UPOV (</w:t>
      </w:r>
      <w:r w:rsidR="005D2F93" w:rsidRPr="009D684E">
        <w:rPr>
          <w:lang w:val="es-ES_tradnl"/>
        </w:rPr>
        <w:t xml:space="preserve">instrumento </w:t>
      </w:r>
      <w:r w:rsidRPr="009D684E">
        <w:rPr>
          <w:lang w:val="es-ES_tradnl"/>
        </w:rPr>
        <w:t>de preparativos para el examen DHE (DART));</w:t>
      </w:r>
    </w:p>
    <w:p w:rsidR="009A4195" w:rsidRDefault="009D684E" w:rsidP="00C66F79">
      <w:pPr>
        <w:pStyle w:val="ListParagraph"/>
        <w:keepNext/>
        <w:keepLines/>
        <w:numPr>
          <w:ilvl w:val="0"/>
          <w:numId w:val="3"/>
        </w:numPr>
        <w:tabs>
          <w:tab w:val="left" w:pos="567"/>
          <w:tab w:val="left" w:pos="1134"/>
          <w:tab w:val="left" w:pos="1701"/>
          <w:tab w:val="left" w:pos="5387"/>
          <w:tab w:val="left" w:pos="5954"/>
        </w:tabs>
        <w:rPr>
          <w:lang w:val="es-ES_tradnl"/>
        </w:rPr>
      </w:pPr>
      <w:r w:rsidRPr="009D684E">
        <w:rPr>
          <w:lang w:val="es-ES_tradnl"/>
        </w:rPr>
        <w:t>inclui</w:t>
      </w:r>
      <w:r w:rsidR="00702F39" w:rsidRPr="009D684E">
        <w:rPr>
          <w:lang w:val="es-ES_tradnl"/>
        </w:rPr>
        <w:t xml:space="preserve">rá una plataforma para el intercambio de informes DHE entre </w:t>
      </w:r>
      <w:r w:rsidR="00FD0D31">
        <w:rPr>
          <w:lang w:val="es-ES_tradnl"/>
        </w:rPr>
        <w:t>los miembros de la UPOV (módulo </w:t>
      </w:r>
      <w:r w:rsidR="00702F39" w:rsidRPr="009D684E">
        <w:rPr>
          <w:lang w:val="es-ES_tradnl"/>
        </w:rPr>
        <w:t>de intercambio de informes DHE);</w:t>
      </w:r>
    </w:p>
    <w:p w:rsidR="009A4195" w:rsidRDefault="00702F39" w:rsidP="00C66F79">
      <w:pPr>
        <w:pStyle w:val="ListParagraph"/>
        <w:numPr>
          <w:ilvl w:val="0"/>
          <w:numId w:val="3"/>
        </w:numPr>
        <w:tabs>
          <w:tab w:val="left" w:pos="567"/>
          <w:tab w:val="left" w:pos="1134"/>
          <w:tab w:val="left" w:pos="1701"/>
          <w:tab w:val="left" w:pos="5387"/>
          <w:tab w:val="left" w:pos="5954"/>
        </w:tabs>
        <w:rPr>
          <w:lang w:val="es-ES_tradnl"/>
        </w:rPr>
      </w:pPr>
      <w:r w:rsidRPr="00F92727">
        <w:rPr>
          <w:lang w:val="es-ES_tradnl"/>
        </w:rPr>
        <w:t xml:space="preserve">permitirá </w:t>
      </w:r>
      <w:r w:rsidR="00BA5624" w:rsidRPr="00F92727">
        <w:rPr>
          <w:lang w:val="es-ES_tradnl"/>
        </w:rPr>
        <w:t xml:space="preserve">que numerosos miembros de la UPOV </w:t>
      </w:r>
      <w:r w:rsidRPr="00F92727">
        <w:rPr>
          <w:lang w:val="es-ES_tradnl"/>
        </w:rPr>
        <w:t>utili</w:t>
      </w:r>
      <w:r w:rsidR="00BA5624" w:rsidRPr="00F92727">
        <w:rPr>
          <w:lang w:val="es-ES_tradnl"/>
        </w:rPr>
        <w:t>cen,</w:t>
      </w:r>
      <w:r w:rsidRPr="00F92727">
        <w:rPr>
          <w:lang w:val="es-ES_tradnl"/>
        </w:rPr>
        <w:t xml:space="preserve"> </w:t>
      </w:r>
      <w:r w:rsidR="00BA5624" w:rsidRPr="00F92727">
        <w:rPr>
          <w:lang w:val="es-ES_tradnl"/>
        </w:rPr>
        <w:t xml:space="preserve">a través de UPOV PRISMA y conforme a lo acordado por ellos, </w:t>
      </w:r>
      <w:r w:rsidRPr="00F92727">
        <w:rPr>
          <w:lang w:val="es-ES_tradnl"/>
        </w:rPr>
        <w:t xml:space="preserve">un único formulario </w:t>
      </w:r>
      <w:r w:rsidR="00BA5624" w:rsidRPr="00F92727">
        <w:rPr>
          <w:lang w:val="es-ES_tradnl"/>
        </w:rPr>
        <w:t xml:space="preserve">conjunto </w:t>
      </w:r>
      <w:r w:rsidRPr="00F92727">
        <w:rPr>
          <w:lang w:val="es-ES_tradnl"/>
        </w:rPr>
        <w:t>d</w:t>
      </w:r>
      <w:r w:rsidR="00BA5624" w:rsidRPr="00F92727">
        <w:rPr>
          <w:lang w:val="es-ES_tradnl"/>
        </w:rPr>
        <w:t>e solicitud en línea</w:t>
      </w:r>
      <w:r w:rsidRPr="00F92727">
        <w:rPr>
          <w:lang w:val="es-ES_tradnl"/>
        </w:rPr>
        <w:t>;</w:t>
      </w:r>
    </w:p>
    <w:p w:rsidR="009A4195" w:rsidRDefault="00F92727" w:rsidP="00C66F79">
      <w:pPr>
        <w:pStyle w:val="ListParagraph"/>
        <w:numPr>
          <w:ilvl w:val="0"/>
          <w:numId w:val="3"/>
        </w:numPr>
        <w:tabs>
          <w:tab w:val="left" w:pos="567"/>
          <w:tab w:val="left" w:pos="1134"/>
          <w:tab w:val="left" w:pos="1701"/>
          <w:tab w:val="left" w:pos="5387"/>
          <w:tab w:val="left" w:pos="5954"/>
        </w:tabs>
        <w:rPr>
          <w:lang w:val="es-ES_tradnl"/>
        </w:rPr>
      </w:pPr>
      <w:r w:rsidRPr="00B83EF4">
        <w:rPr>
          <w:lang w:val="es-ES_tradnl"/>
        </w:rPr>
        <w:t>brinda</w:t>
      </w:r>
      <w:r w:rsidR="00702F39" w:rsidRPr="00B83EF4">
        <w:rPr>
          <w:lang w:val="es-ES_tradnl"/>
        </w:rPr>
        <w:t xml:space="preserve">rá un sistema seguro, </w:t>
      </w:r>
      <w:r w:rsidR="0095412C" w:rsidRPr="00B83EF4">
        <w:rPr>
          <w:lang w:val="es-ES_tradnl"/>
        </w:rPr>
        <w:t>con capacidad de adaptación flexible a los sistemas existentes de los miembros y basado en la tecnología de cadenas de bloques</w:t>
      </w:r>
      <w:r w:rsidR="00702F39" w:rsidRPr="00B83EF4">
        <w:rPr>
          <w:lang w:val="es-ES_tradnl"/>
        </w:rPr>
        <w:t>.</w:t>
      </w:r>
      <w:r w:rsidR="006F2AE6" w:rsidRPr="00F17AA5">
        <w:rPr>
          <w:lang w:val="es-ES_tradnl"/>
        </w:rPr>
        <w:t xml:space="preserve"> </w:t>
      </w:r>
    </w:p>
    <w:p w:rsidR="009A4195" w:rsidRDefault="009A4195" w:rsidP="006F2AE6">
      <w:pPr>
        <w:tabs>
          <w:tab w:val="left" w:pos="851"/>
        </w:tabs>
      </w:pPr>
    </w:p>
    <w:p w:rsidR="006F2AE6" w:rsidRPr="00A5777E" w:rsidRDefault="007E24C1" w:rsidP="007E24C1">
      <w:pPr>
        <w:tabs>
          <w:tab w:val="left" w:pos="851"/>
        </w:tabs>
        <w:jc w:val="center"/>
      </w:pPr>
      <w:r w:rsidRPr="007E24C1">
        <w:rPr>
          <w:noProof/>
          <w:lang w:val="en-US"/>
        </w:rPr>
        <w:drawing>
          <wp:inline distT="0" distB="0" distL="0" distR="0">
            <wp:extent cx="6120000" cy="4222672"/>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11882" r="13059" b="8577"/>
                    <a:stretch>
                      <a:fillRect/>
                    </a:stretch>
                  </pic:blipFill>
                  <pic:spPr bwMode="auto">
                    <a:xfrm>
                      <a:off x="0" y="0"/>
                      <a:ext cx="6120000" cy="4222672"/>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6F2AE6" w:rsidRPr="00A5777E" w:rsidTr="003A695A">
        <w:tc>
          <w:tcPr>
            <w:tcW w:w="9629" w:type="dxa"/>
            <w:hideMark/>
          </w:tcPr>
          <w:p w:rsidR="006F2AE6" w:rsidRPr="00A5777E" w:rsidRDefault="006F2AE6" w:rsidP="003A695A">
            <w:pPr>
              <w:jc w:val="center"/>
            </w:pPr>
          </w:p>
        </w:tc>
      </w:tr>
    </w:tbl>
    <w:p w:rsidR="009A4195" w:rsidRDefault="009A4195" w:rsidP="006F2AE6">
      <w:pPr>
        <w:tabs>
          <w:tab w:val="left" w:pos="567"/>
          <w:tab w:val="left" w:pos="1134"/>
          <w:tab w:val="left" w:pos="1701"/>
          <w:tab w:val="left" w:pos="5387"/>
          <w:tab w:val="left" w:pos="5954"/>
        </w:tabs>
      </w:pPr>
    </w:p>
    <w:p w:rsidR="009A4195" w:rsidRDefault="009A4195" w:rsidP="006F2AE6">
      <w:pPr>
        <w:tabs>
          <w:tab w:val="left" w:pos="567"/>
          <w:tab w:val="left" w:pos="1134"/>
          <w:tab w:val="left" w:pos="1701"/>
          <w:tab w:val="left" w:pos="5387"/>
          <w:tab w:val="left" w:pos="5954"/>
        </w:tabs>
      </w:pPr>
    </w:p>
    <w:p w:rsidR="009A4195" w:rsidRDefault="00702F39" w:rsidP="00C66F79">
      <w:pPr>
        <w:keepNext/>
        <w:outlineLvl w:val="0"/>
        <w:rPr>
          <w:caps/>
        </w:rPr>
      </w:pPr>
      <w:bookmarkStart w:id="7" w:name="_Toc82776613"/>
      <w:r w:rsidRPr="00B83EF4">
        <w:rPr>
          <w:caps/>
        </w:rPr>
        <w:t>MÓDULO DE LA PLANTILLA DE DOCUMENTOS TG PARA ELABORAR LAS DIRECTRICES DE EXAMEN PROPIAS DE CADA AUTORIDAD</w:t>
      </w:r>
      <w:bookmarkEnd w:id="7"/>
    </w:p>
    <w:p w:rsidR="009A4195" w:rsidRDefault="009A4195" w:rsidP="00562BAF">
      <w:pPr>
        <w:keepNext/>
        <w:ind w:left="1134" w:hanging="567"/>
        <w:contextualSpacing/>
        <w:rPr>
          <w:rFonts w:cs="Arial"/>
        </w:rPr>
      </w:pPr>
    </w:p>
    <w:p w:rsidR="009A4195" w:rsidRPr="00311992" w:rsidRDefault="002E63F7" w:rsidP="00562BAF">
      <w:pPr>
        <w:keepLines/>
        <w:rPr>
          <w:lang w:val="es-ES"/>
        </w:rPr>
      </w:pPr>
      <w:r w:rsidRPr="00A5777E">
        <w:fldChar w:fldCharType="begin"/>
      </w:r>
      <w:r w:rsidR="006F2AE6" w:rsidRPr="00A5777E">
        <w:instrText xml:space="preserve"> AUTONUM  </w:instrText>
      </w:r>
      <w:r w:rsidRPr="00A5777E">
        <w:fldChar w:fldCharType="end"/>
      </w:r>
      <w:r w:rsidR="006F2AE6" w:rsidRPr="00A5777E">
        <w:tab/>
      </w:r>
      <w:r w:rsidR="00830C47" w:rsidRPr="0010363D">
        <w:t xml:space="preserve">Antes de 2022 se efectuará la migración </w:t>
      </w:r>
      <w:r w:rsidR="007465BB" w:rsidRPr="0010363D">
        <w:t xml:space="preserve">de la </w:t>
      </w:r>
      <w:r w:rsidR="00830C47" w:rsidRPr="0010363D">
        <w:t xml:space="preserve">plantilla en Internet de los documentos TG y la </w:t>
      </w:r>
      <w:r w:rsidR="00B83EF4" w:rsidRPr="0010363D">
        <w:t xml:space="preserve">base de datos </w:t>
      </w:r>
      <w:r w:rsidR="00830C47" w:rsidRPr="0010363D">
        <w:t xml:space="preserve">de caracteres aprobados </w:t>
      </w:r>
      <w:r w:rsidR="007465BB" w:rsidRPr="0010363D">
        <w:t>a servidores alojados en la nube</w:t>
      </w:r>
      <w:r w:rsidR="00830C47" w:rsidRPr="0010363D">
        <w:t>.</w:t>
      </w:r>
      <w:r w:rsidR="00A5777E">
        <w:t xml:space="preserve"> </w:t>
      </w:r>
      <w:r w:rsidR="00E00970" w:rsidRPr="0010363D">
        <w:t xml:space="preserve">La migración </w:t>
      </w:r>
      <w:r w:rsidR="00F71F51" w:rsidRPr="0010363D">
        <w:t>inclu</w:t>
      </w:r>
      <w:r w:rsidR="00E00970" w:rsidRPr="0010363D">
        <w:t xml:space="preserve">irá una restructuración del programa </w:t>
      </w:r>
      <w:r w:rsidR="00945842" w:rsidRPr="0010363D">
        <w:t xml:space="preserve">a partir de </w:t>
      </w:r>
      <w:r w:rsidR="00E00970" w:rsidRPr="0010363D">
        <w:t>las cuestiones planteadas por los usuarios</w:t>
      </w:r>
      <w:r w:rsidR="00F71F51" w:rsidRPr="0010363D">
        <w:t>.</w:t>
      </w:r>
      <w:r w:rsidR="00A5777E" w:rsidRPr="00311992">
        <w:rPr>
          <w:lang w:val="es-ES"/>
        </w:rPr>
        <w:t xml:space="preserve"> </w:t>
      </w:r>
      <w:r w:rsidR="003B58D1" w:rsidRPr="0010363D">
        <w:t>Una vez finalizada la migración, la plantilla en Internet de los documentos TG permitirá utilizar la base de datos de caracteres en línea para redactar las directrices de examen propias de cada autoridad en diferentes idiomas.</w:t>
      </w:r>
      <w:r w:rsidR="00A5777E" w:rsidRPr="00311992">
        <w:rPr>
          <w:lang w:val="es-ES"/>
        </w:rPr>
        <w:t xml:space="preserve"> </w:t>
      </w:r>
      <w:r w:rsidR="003B58D1" w:rsidRPr="0010363D">
        <w:t>Los asuntos relativos a la plantilla en Internet de los documentos TG se examinan en el documento TC/57/12 “Plantilla en Internet de los documentos TG”.</w:t>
      </w:r>
    </w:p>
    <w:p w:rsidR="009A4195" w:rsidRPr="00311992" w:rsidRDefault="009A4195" w:rsidP="006F2AE6">
      <w:pPr>
        <w:rPr>
          <w:lang w:val="es-ES"/>
        </w:rPr>
      </w:pPr>
    </w:p>
    <w:p w:rsidR="009A4195" w:rsidRPr="00311992" w:rsidRDefault="009A4195" w:rsidP="006F2AE6">
      <w:pPr>
        <w:tabs>
          <w:tab w:val="left" w:pos="567"/>
          <w:tab w:val="left" w:pos="1134"/>
          <w:tab w:val="left" w:pos="1701"/>
          <w:tab w:val="left" w:pos="5387"/>
          <w:tab w:val="left" w:pos="5954"/>
        </w:tabs>
        <w:rPr>
          <w:lang w:val="es-ES"/>
        </w:rPr>
      </w:pPr>
    </w:p>
    <w:p w:rsidR="009A4195" w:rsidRDefault="00382197" w:rsidP="00C66F79">
      <w:pPr>
        <w:keepNext/>
        <w:outlineLvl w:val="0"/>
        <w:rPr>
          <w:caps/>
        </w:rPr>
      </w:pPr>
      <w:bookmarkStart w:id="8" w:name="_Toc82776614"/>
      <w:r w:rsidRPr="0010363D">
        <w:rPr>
          <w:caps/>
        </w:rPr>
        <w:t xml:space="preserve">PLATAFORMA </w:t>
      </w:r>
      <w:r w:rsidR="004C0C97" w:rsidRPr="0010363D">
        <w:rPr>
          <w:caps/>
        </w:rPr>
        <w:t xml:space="preserve">De </w:t>
      </w:r>
      <w:r w:rsidRPr="0010363D">
        <w:rPr>
          <w:caps/>
        </w:rPr>
        <w:t xml:space="preserve">BASES DE DATOS DE LOS MIEMBROS DE LA UPOV CON </w:t>
      </w:r>
      <w:r w:rsidRPr="0010363D">
        <w:t>INFORMACIÓN RELATIVA A LA DESCRIPCIÓN DE VARIEDADES</w:t>
      </w:r>
      <w:bookmarkEnd w:id="8"/>
    </w:p>
    <w:p w:rsidR="009A4195" w:rsidRDefault="009A4195" w:rsidP="006F2AE6"/>
    <w:p w:rsidR="009A4195" w:rsidRPr="00311992" w:rsidRDefault="002E63F7" w:rsidP="00C66F79">
      <w:pPr>
        <w:rPr>
          <w:lang w:val="es-ES"/>
        </w:rPr>
      </w:pPr>
      <w:r w:rsidRPr="00A5777E">
        <w:fldChar w:fldCharType="begin"/>
      </w:r>
      <w:r w:rsidR="006F2AE6" w:rsidRPr="00A5777E">
        <w:instrText xml:space="preserve"> AUTONUM  </w:instrText>
      </w:r>
      <w:r w:rsidRPr="00A5777E">
        <w:fldChar w:fldCharType="end"/>
      </w:r>
      <w:r w:rsidR="006F2AE6" w:rsidRPr="00A5777E">
        <w:tab/>
      </w:r>
      <w:r w:rsidR="004C0C97" w:rsidRPr="0010363D">
        <w:t>Para desarrollar una plataforma de bases de datos de los miembros de la UPOV con información relativa a la descripción de variedades, es necesario que estos indiquen las bases de datos que tienen intención de compartir.</w:t>
      </w:r>
      <w:r w:rsidR="00A5777E">
        <w:t xml:space="preserve"> </w:t>
      </w:r>
      <w:r w:rsidR="007F3943" w:rsidRPr="0010363D">
        <w:t xml:space="preserve">La Oficina de la Unión no ha recibido ninguna manifestación de interés de los miembros de la Unión </w:t>
      </w:r>
      <w:r w:rsidR="00CE3822" w:rsidRPr="0010363D">
        <w:t xml:space="preserve">en </w:t>
      </w:r>
      <w:r w:rsidR="007F3943" w:rsidRPr="0010363D">
        <w:t>compartir sus bases de datos.</w:t>
      </w:r>
      <w:r w:rsidR="00A5777E" w:rsidRPr="00311992">
        <w:rPr>
          <w:lang w:val="es-ES"/>
        </w:rPr>
        <w:t xml:space="preserve"> </w:t>
      </w:r>
    </w:p>
    <w:p w:rsidR="009A4195" w:rsidRPr="00311992" w:rsidRDefault="009A4195" w:rsidP="006F2AE6">
      <w:pPr>
        <w:tabs>
          <w:tab w:val="left" w:pos="567"/>
          <w:tab w:val="left" w:pos="1134"/>
          <w:tab w:val="left" w:pos="1701"/>
          <w:tab w:val="left" w:pos="5387"/>
          <w:tab w:val="left" w:pos="5954"/>
        </w:tabs>
        <w:rPr>
          <w:lang w:val="es-ES"/>
        </w:rPr>
      </w:pPr>
    </w:p>
    <w:p w:rsidR="009A4195" w:rsidRPr="00311992" w:rsidRDefault="009A4195" w:rsidP="006F2AE6">
      <w:pPr>
        <w:tabs>
          <w:tab w:val="left" w:pos="567"/>
          <w:tab w:val="left" w:pos="1134"/>
          <w:tab w:val="left" w:pos="1701"/>
          <w:tab w:val="left" w:pos="5387"/>
          <w:tab w:val="left" w:pos="5954"/>
        </w:tabs>
        <w:rPr>
          <w:lang w:val="es-ES"/>
        </w:rPr>
      </w:pPr>
    </w:p>
    <w:p w:rsidR="009A4195" w:rsidRDefault="007F3943" w:rsidP="00C66F79">
      <w:pPr>
        <w:keepNext/>
        <w:outlineLvl w:val="0"/>
        <w:rPr>
          <w:caps/>
        </w:rPr>
      </w:pPr>
      <w:bookmarkStart w:id="9" w:name="_Toc82776615"/>
      <w:r w:rsidRPr="0010363D">
        <w:t>TECNOLOGÍA DE TRADUCCIÓN AUTOMÁTICA</w:t>
      </w:r>
      <w:bookmarkEnd w:id="9"/>
    </w:p>
    <w:p w:rsidR="009A4195" w:rsidRDefault="009A4195" w:rsidP="006F2AE6">
      <w:pPr>
        <w:tabs>
          <w:tab w:val="left" w:pos="567"/>
          <w:tab w:val="left" w:pos="1134"/>
          <w:tab w:val="left" w:pos="1701"/>
          <w:tab w:val="left" w:pos="5387"/>
          <w:tab w:val="left" w:pos="5954"/>
        </w:tabs>
      </w:pPr>
    </w:p>
    <w:p w:rsidR="009A4195" w:rsidRDefault="002E63F7" w:rsidP="00C66F79">
      <w:pPr>
        <w:tabs>
          <w:tab w:val="left" w:pos="567"/>
          <w:tab w:val="left" w:pos="1134"/>
          <w:tab w:val="left" w:pos="1701"/>
          <w:tab w:val="left" w:pos="5387"/>
          <w:tab w:val="left" w:pos="5954"/>
        </w:tabs>
      </w:pPr>
      <w:r w:rsidRPr="00A5777E">
        <w:rPr>
          <w:snapToGrid w:val="0"/>
        </w:rPr>
        <w:fldChar w:fldCharType="begin"/>
      </w:r>
      <w:r w:rsidR="006F2AE6" w:rsidRPr="00A5777E">
        <w:rPr>
          <w:snapToGrid w:val="0"/>
        </w:rPr>
        <w:instrText xml:space="preserve"> AUTONUM  </w:instrText>
      </w:r>
      <w:r w:rsidRPr="00A5777E">
        <w:rPr>
          <w:snapToGrid w:val="0"/>
        </w:rPr>
        <w:fldChar w:fldCharType="end"/>
      </w:r>
      <w:r w:rsidR="006F2AE6" w:rsidRPr="00A5777E">
        <w:rPr>
          <w:snapToGrid w:val="0"/>
        </w:rPr>
        <w:tab/>
      </w:r>
      <w:r w:rsidR="007C18CE" w:rsidRPr="008D4F19">
        <w:rPr>
          <w:snapToGrid w:val="0"/>
        </w:rPr>
        <w:t>En su quincuagésima sexta sesión, el </w:t>
      </w:r>
      <w:r w:rsidR="007F3943" w:rsidRPr="008D4F19">
        <w:rPr>
          <w:snapToGrid w:val="0"/>
        </w:rPr>
        <w:t xml:space="preserve">TC </w:t>
      </w:r>
      <w:r w:rsidR="007C18CE" w:rsidRPr="008D4F19">
        <w:rPr>
          <w:snapToGrid w:val="0"/>
        </w:rPr>
        <w:t>tomó nota de las posibilidades que ofrece la tecnología de traducción automática para reducir los costos de traducción de los documentos de la UPOV a los idiomas de la Unión y para elaborar material de la UPOV en una gama más amplia de idiomas</w:t>
      </w:r>
      <w:r w:rsidR="007F3943" w:rsidRPr="008D4F19">
        <w:t xml:space="preserve"> (véase el </w:t>
      </w:r>
      <w:r w:rsidR="007C18CE" w:rsidRPr="008D4F19">
        <w:t xml:space="preserve">párrafo 42 del </w:t>
      </w:r>
      <w:r w:rsidR="007F3943" w:rsidRPr="008D4F19">
        <w:t>documento TC/56/22 “</w:t>
      </w:r>
      <w:r w:rsidR="004032A8" w:rsidRPr="008D4F19">
        <w:t>Resultado del examen de los documentos por correspondencia</w:t>
      </w:r>
      <w:r w:rsidR="007F3943" w:rsidRPr="008D4F19">
        <w:t>”).</w:t>
      </w:r>
    </w:p>
    <w:p w:rsidR="009A4195" w:rsidRDefault="009A4195" w:rsidP="006F2AE6">
      <w:pPr>
        <w:tabs>
          <w:tab w:val="left" w:pos="851"/>
        </w:tabs>
        <w:contextualSpacing/>
        <w:rPr>
          <w:rFonts w:cs="Arial"/>
        </w:rPr>
      </w:pPr>
    </w:p>
    <w:p w:rsidR="009A4195" w:rsidRPr="00311992" w:rsidRDefault="002E63F7" w:rsidP="00C66F79">
      <w:pPr>
        <w:tabs>
          <w:tab w:val="left" w:pos="567"/>
        </w:tabs>
        <w:contextualSpacing/>
        <w:rPr>
          <w:rFonts w:cs="Arial"/>
          <w:lang w:val="es-ES"/>
        </w:rPr>
      </w:pPr>
      <w:r w:rsidRPr="00A5777E">
        <w:rPr>
          <w:rFonts w:cs="Arial"/>
        </w:rPr>
        <w:fldChar w:fldCharType="begin"/>
      </w:r>
      <w:r w:rsidR="006F2AE6" w:rsidRPr="00A5777E">
        <w:rPr>
          <w:rFonts w:cs="Arial"/>
        </w:rPr>
        <w:instrText xml:space="preserve"> AUTONUM  </w:instrText>
      </w:r>
      <w:r w:rsidRPr="00A5777E">
        <w:rPr>
          <w:rFonts w:cs="Arial"/>
        </w:rPr>
        <w:fldChar w:fldCharType="end"/>
      </w:r>
      <w:r w:rsidR="006F2AE6" w:rsidRPr="00A5777E">
        <w:rPr>
          <w:rFonts w:cs="Arial"/>
        </w:rPr>
        <w:tab/>
      </w:r>
      <w:r w:rsidR="0026503A" w:rsidRPr="0079448A">
        <w:rPr>
          <w:rFonts w:cs="Arial"/>
        </w:rPr>
        <w:t>Los rápidos avances de la tecnología de traducción automática ofrecen nuevas oportunidades de reducir los costos de traducción de los documentos de la UPOV a los idiomas de la Unión y de elaborar material de la UPOV en una gama más amplia de idiomas, en la medida en que los recursos disponibles lo permitan.</w:t>
      </w:r>
      <w:r w:rsidR="00A5777E">
        <w:rPr>
          <w:rFonts w:cs="Arial"/>
        </w:rPr>
        <w:t xml:space="preserve"> </w:t>
      </w:r>
      <w:r w:rsidR="00FD20BD" w:rsidRPr="0079448A">
        <w:rPr>
          <w:rFonts w:cs="Arial"/>
        </w:rPr>
        <w:t>Se está evaluando el uso de la tecnología de traducción automática en el marco de un examen de la política de la UPOV en materia de traducción.</w:t>
      </w:r>
    </w:p>
    <w:p w:rsidR="009A4195" w:rsidRPr="00311992" w:rsidRDefault="009A4195" w:rsidP="006F2AE6">
      <w:pPr>
        <w:rPr>
          <w:lang w:val="es-ES"/>
        </w:rPr>
      </w:pPr>
    </w:p>
    <w:p w:rsidR="009A4195" w:rsidRPr="00311992" w:rsidRDefault="009A4195" w:rsidP="006F2AE6">
      <w:pPr>
        <w:rPr>
          <w:u w:val="single"/>
          <w:lang w:val="es-ES"/>
        </w:rPr>
      </w:pPr>
    </w:p>
    <w:p w:rsidR="009A4195" w:rsidRDefault="003D7933" w:rsidP="00C66F79">
      <w:pPr>
        <w:keepNext/>
        <w:outlineLvl w:val="0"/>
        <w:rPr>
          <w:caps/>
        </w:rPr>
      </w:pPr>
      <w:bookmarkStart w:id="10" w:name="_Toc82776616"/>
      <w:r w:rsidRPr="0079448A">
        <w:rPr>
          <w:caps/>
        </w:rPr>
        <w:t xml:space="preserve">increMENTAR LA </w:t>
      </w:r>
      <w:r w:rsidRPr="0079448A">
        <w:t>COOPERACIÓN</w:t>
      </w:r>
      <w:r w:rsidRPr="0079448A">
        <w:rPr>
          <w:caps/>
        </w:rPr>
        <w:t xml:space="preserve"> mediante </w:t>
      </w:r>
      <w:r w:rsidR="00FD20BD" w:rsidRPr="0079448A">
        <w:t>LOS TWP</w:t>
      </w:r>
      <w:bookmarkEnd w:id="10"/>
    </w:p>
    <w:p w:rsidR="009A4195" w:rsidRDefault="009A4195" w:rsidP="006F2AE6">
      <w:pPr>
        <w:keepNext/>
      </w:pPr>
    </w:p>
    <w:p w:rsidR="009A4195" w:rsidRDefault="002E63F7" w:rsidP="00C66F79">
      <w:pPr>
        <w:keepNext/>
      </w:pPr>
      <w:r w:rsidRPr="00A5777E">
        <w:fldChar w:fldCharType="begin"/>
      </w:r>
      <w:r w:rsidR="006F2AE6" w:rsidRPr="00A5777E">
        <w:instrText xml:space="preserve"> AUTONUM  </w:instrText>
      </w:r>
      <w:r w:rsidRPr="00A5777E">
        <w:fldChar w:fldCharType="end"/>
      </w:r>
      <w:r w:rsidR="006F2AE6" w:rsidRPr="00A5777E">
        <w:tab/>
      </w:r>
      <w:r w:rsidR="003D7933" w:rsidRPr="00260AA0">
        <w:t xml:space="preserve">En su quincuagésima quinta sesión, el TC </w:t>
      </w:r>
      <w:r w:rsidR="00D450A8" w:rsidRPr="00260AA0">
        <w:t>observó</w:t>
      </w:r>
      <w:r w:rsidR="003D7933" w:rsidRPr="00260AA0">
        <w:t xml:space="preserve"> que las sesiones de los TWP brinda</w:t>
      </w:r>
      <w:r w:rsidR="00D450A8" w:rsidRPr="00260AA0">
        <w:t>n</w:t>
      </w:r>
      <w:r w:rsidR="003D7933" w:rsidRPr="00260AA0">
        <w:t xml:space="preserve"> a los expertos la oportunidad de potenciar la colaboración y el intercambio de información y </w:t>
      </w:r>
      <w:r w:rsidR="00D450A8" w:rsidRPr="00260AA0">
        <w:t>convino en que dich</w:t>
      </w:r>
      <w:r w:rsidR="003D7933" w:rsidRPr="00260AA0">
        <w:t>as sesiones de</w:t>
      </w:r>
      <w:r w:rsidR="00D450A8" w:rsidRPr="00260AA0">
        <w:t>ben</w:t>
      </w:r>
      <w:r w:rsidR="003D7933" w:rsidRPr="00260AA0">
        <w:t xml:space="preserve"> </w:t>
      </w:r>
      <w:r w:rsidR="00156F1C" w:rsidRPr="00260AA0">
        <w:t>aprovech</w:t>
      </w:r>
      <w:r w:rsidR="00D450A8" w:rsidRPr="00260AA0">
        <w:t>arse para fomentar una</w:t>
      </w:r>
      <w:r w:rsidR="003D7933" w:rsidRPr="00260AA0">
        <w:t xml:space="preserve"> </w:t>
      </w:r>
      <w:r w:rsidR="00D450A8" w:rsidRPr="00260AA0">
        <w:t xml:space="preserve">mayor </w:t>
      </w:r>
      <w:r w:rsidR="003D7933" w:rsidRPr="00260AA0">
        <w:t xml:space="preserve">cooperación entre </w:t>
      </w:r>
      <w:r w:rsidR="00D450A8" w:rsidRPr="00260AA0">
        <w:t xml:space="preserve">los </w:t>
      </w:r>
      <w:r w:rsidR="003D7933" w:rsidRPr="00260AA0">
        <w:t>miembros.</w:t>
      </w:r>
      <w:r w:rsidR="006F2AE6" w:rsidRPr="00A5777E">
        <w:t xml:space="preserve"> </w:t>
      </w:r>
    </w:p>
    <w:p w:rsidR="009A4195" w:rsidRDefault="009A4195" w:rsidP="006F2AE6"/>
    <w:p w:rsidR="009A4195" w:rsidRDefault="002E63F7" w:rsidP="00C66F79">
      <w:r w:rsidRPr="00A5777E">
        <w:fldChar w:fldCharType="begin"/>
      </w:r>
      <w:r w:rsidR="006F2AE6" w:rsidRPr="00A5777E">
        <w:instrText xml:space="preserve"> AUTONUM  </w:instrText>
      </w:r>
      <w:r w:rsidRPr="00A5777E">
        <w:fldChar w:fldCharType="end"/>
      </w:r>
      <w:r w:rsidR="006F2AE6" w:rsidRPr="00A5777E">
        <w:tab/>
      </w:r>
      <w:r w:rsidR="00D450A8" w:rsidRPr="00260AA0">
        <w:t>En el documento TC/57/10 “Aumento de la participación en la labor del TC y de los TWP” se examinan medidas para incrementar la cooperación entre los expertos en las sesiones de los TWP.</w:t>
      </w:r>
    </w:p>
    <w:p w:rsidR="009A4195" w:rsidRDefault="009A4195" w:rsidP="006F2AE6"/>
    <w:p w:rsidR="009A4195" w:rsidRDefault="009A4195" w:rsidP="006F2AE6"/>
    <w:p w:rsidR="009A4195" w:rsidRDefault="00FD4E0D" w:rsidP="00C66F79">
      <w:pPr>
        <w:pStyle w:val="Heading1"/>
        <w:rPr>
          <w:lang w:val="es-ES_tradnl"/>
        </w:rPr>
      </w:pPr>
      <w:bookmarkStart w:id="11" w:name="_Toc82776617"/>
      <w:r w:rsidRPr="00260AA0">
        <w:rPr>
          <w:caps w:val="0"/>
          <w:lang w:val="es-ES_tradnl"/>
        </w:rPr>
        <w:t>INFORMACIÓN</w:t>
      </w:r>
      <w:r w:rsidRPr="00260AA0">
        <w:rPr>
          <w:lang w:val="es-ES_tradnl"/>
        </w:rPr>
        <w:t xml:space="preserve"> QUE SE HA DE </w:t>
      </w:r>
      <w:r w:rsidR="005959B0" w:rsidRPr="00260AA0">
        <w:rPr>
          <w:lang w:val="es-ES_tradnl"/>
        </w:rPr>
        <w:t>suministr</w:t>
      </w:r>
      <w:r w:rsidRPr="00260AA0">
        <w:rPr>
          <w:lang w:val="es-ES_tradnl"/>
        </w:rPr>
        <w:t xml:space="preserve">AR JUNTO </w:t>
      </w:r>
      <w:r w:rsidRPr="00260AA0">
        <w:rPr>
          <w:caps w:val="0"/>
          <w:lang w:val="es-ES_tradnl"/>
        </w:rPr>
        <w:t>CON</w:t>
      </w:r>
      <w:r w:rsidRPr="00260AA0">
        <w:rPr>
          <w:lang w:val="es-ES_tradnl"/>
        </w:rPr>
        <w:t xml:space="preserve"> LOS </w:t>
      </w:r>
      <w:r w:rsidRPr="00260AA0">
        <w:rPr>
          <w:caps w:val="0"/>
          <w:lang w:val="es-ES_tradnl"/>
        </w:rPr>
        <w:t>INFORMES DHE</w:t>
      </w:r>
      <w:bookmarkEnd w:id="11"/>
      <w:r w:rsidR="006F2AE6" w:rsidRPr="00A5777E">
        <w:rPr>
          <w:lang w:val="es-ES_tradnl"/>
        </w:rPr>
        <w:t xml:space="preserve"> </w:t>
      </w:r>
    </w:p>
    <w:p w:rsidR="009A4195" w:rsidRDefault="009A4195" w:rsidP="006F2AE6">
      <w:pPr>
        <w:keepNext/>
        <w:tabs>
          <w:tab w:val="left" w:pos="567"/>
          <w:tab w:val="left" w:pos="1134"/>
          <w:tab w:val="left" w:pos="1701"/>
          <w:tab w:val="left" w:pos="5954"/>
        </w:tabs>
      </w:pPr>
    </w:p>
    <w:p w:rsidR="009A4195" w:rsidRDefault="002E63F7" w:rsidP="00C66F79">
      <w:pPr>
        <w:keepNext/>
        <w:tabs>
          <w:tab w:val="left" w:pos="567"/>
          <w:tab w:val="left" w:pos="1134"/>
          <w:tab w:val="left" w:pos="1701"/>
          <w:tab w:val="left" w:pos="5387"/>
          <w:tab w:val="left" w:pos="5954"/>
        </w:tabs>
      </w:pPr>
      <w:r w:rsidRPr="00A5777E">
        <w:rPr>
          <w:snapToGrid w:val="0"/>
        </w:rPr>
        <w:fldChar w:fldCharType="begin"/>
      </w:r>
      <w:r w:rsidR="006F2AE6" w:rsidRPr="00A5777E">
        <w:rPr>
          <w:snapToGrid w:val="0"/>
        </w:rPr>
        <w:instrText xml:space="preserve"> AUTONUM  </w:instrText>
      </w:r>
      <w:r w:rsidRPr="00A5777E">
        <w:rPr>
          <w:snapToGrid w:val="0"/>
        </w:rPr>
        <w:fldChar w:fldCharType="end"/>
      </w:r>
      <w:r w:rsidR="006F2AE6" w:rsidRPr="00A5777E">
        <w:rPr>
          <w:snapToGrid w:val="0"/>
        </w:rPr>
        <w:tab/>
      </w:r>
      <w:r w:rsidR="0017678B" w:rsidRPr="000335BD">
        <w:rPr>
          <w:snapToGrid w:val="0"/>
        </w:rPr>
        <w:t>En su quincuagésima sexta sesión, el TC convino en revisar la sección 6 “Informe de la UPOV sobre el examen técnico” y “Formulario UPOV para la descripción de variedades” del documento TGP/5 a fin de incluir información adicional en los informes de los exámenes DHE, con los siguientes objetivos</w:t>
      </w:r>
      <w:r w:rsidR="0017678B" w:rsidRPr="000335BD">
        <w:t xml:space="preserve"> (véase el párrafo 43 del documento TC/56/22 “Resultado del examen de los documentos por correspondencia”):</w:t>
      </w:r>
    </w:p>
    <w:p w:rsidR="009A4195" w:rsidRDefault="009A4195" w:rsidP="006F2AE6">
      <w:pPr>
        <w:tabs>
          <w:tab w:val="left" w:pos="567"/>
          <w:tab w:val="left" w:pos="1134"/>
          <w:tab w:val="left" w:pos="1701"/>
          <w:tab w:val="left" w:pos="5387"/>
          <w:tab w:val="left" w:pos="5954"/>
        </w:tabs>
      </w:pPr>
    </w:p>
    <w:p w:rsidR="009A4195" w:rsidRDefault="0017678B" w:rsidP="00C66F79">
      <w:pPr>
        <w:pStyle w:val="ListParagraph"/>
        <w:numPr>
          <w:ilvl w:val="0"/>
          <w:numId w:val="2"/>
        </w:numPr>
        <w:spacing w:after="200" w:line="280" w:lineRule="auto"/>
        <w:ind w:hanging="513"/>
        <w:jc w:val="left"/>
        <w:rPr>
          <w:lang w:val="es-ES_tradnl"/>
        </w:rPr>
      </w:pPr>
      <w:r w:rsidRPr="000335BD">
        <w:rPr>
          <w:lang w:val="es-ES_tradnl"/>
        </w:rPr>
        <w:t>proporcionar información sobre las variedades incluidas en la colección de variedades;</w:t>
      </w:r>
    </w:p>
    <w:p w:rsidR="009A4195" w:rsidRDefault="0017678B" w:rsidP="00C66F79">
      <w:pPr>
        <w:pStyle w:val="ListParagraph"/>
        <w:numPr>
          <w:ilvl w:val="0"/>
          <w:numId w:val="2"/>
        </w:numPr>
        <w:spacing w:after="200" w:line="280" w:lineRule="auto"/>
        <w:ind w:hanging="513"/>
        <w:jc w:val="left"/>
        <w:rPr>
          <w:lang w:val="es-ES_tradnl"/>
        </w:rPr>
      </w:pPr>
      <w:r w:rsidRPr="000335BD">
        <w:rPr>
          <w:lang w:val="es-ES_tradnl"/>
        </w:rPr>
        <w:t>indicar las variedades consideradas en el examen (no solo las variedades similares);</w:t>
      </w:r>
    </w:p>
    <w:p w:rsidR="009A4195" w:rsidRDefault="0017678B" w:rsidP="00C66F79">
      <w:pPr>
        <w:pStyle w:val="ListParagraph"/>
        <w:numPr>
          <w:ilvl w:val="0"/>
          <w:numId w:val="2"/>
        </w:numPr>
        <w:spacing w:after="200" w:line="280" w:lineRule="auto"/>
        <w:ind w:hanging="513"/>
        <w:jc w:val="left"/>
        <w:rPr>
          <w:lang w:val="es-ES_tradnl"/>
        </w:rPr>
      </w:pPr>
      <w:r w:rsidRPr="000335BD">
        <w:rPr>
          <w:lang w:val="es-ES_tradnl"/>
        </w:rPr>
        <w:t>facilitar datos de observaciones sobre el terreno, junto con el informe del examen DHE de cada variedad; y</w:t>
      </w:r>
    </w:p>
    <w:p w:rsidR="009A4195" w:rsidRDefault="0017678B" w:rsidP="00C66F79">
      <w:pPr>
        <w:pStyle w:val="ListParagraph"/>
        <w:numPr>
          <w:ilvl w:val="0"/>
          <w:numId w:val="2"/>
        </w:numPr>
        <w:spacing w:after="200" w:line="280" w:lineRule="auto"/>
        <w:ind w:hanging="513"/>
        <w:jc w:val="left"/>
        <w:rPr>
          <w:lang w:val="es-ES_tradnl"/>
        </w:rPr>
      </w:pPr>
      <w:r w:rsidRPr="000335BD">
        <w:rPr>
          <w:lang w:val="es-ES_tradnl"/>
        </w:rPr>
        <w:t>facilitar información sobre el medio ambiente en el que se ha realizado el examen DHE.</w:t>
      </w:r>
    </w:p>
    <w:p w:rsidR="009A4195" w:rsidRDefault="002E63F7" w:rsidP="00C66F79">
      <w:r w:rsidRPr="00A5777E">
        <w:fldChar w:fldCharType="begin"/>
      </w:r>
      <w:r w:rsidR="006F2AE6" w:rsidRPr="00A5777E">
        <w:instrText xml:space="preserve"> AUTONUM  </w:instrText>
      </w:r>
      <w:r w:rsidRPr="00A5777E">
        <w:fldChar w:fldCharType="end"/>
      </w:r>
      <w:r w:rsidR="006F2AE6" w:rsidRPr="00A5777E">
        <w:tab/>
      </w:r>
      <w:r w:rsidR="0017678B" w:rsidRPr="000335BD">
        <w:t>Los asuntos relativos a la revisión de la sección 6 del documento TGP/5 se abordan en el documento TC/57/5 “Elaboración de orientaciones y material de información”.</w:t>
      </w:r>
      <w:r w:rsidR="006F2AE6" w:rsidRPr="00A5777E">
        <w:t xml:space="preserve"> </w:t>
      </w:r>
    </w:p>
    <w:p w:rsidR="009A4195" w:rsidRDefault="009A4195" w:rsidP="006F2AE6"/>
    <w:p w:rsidR="009A4195" w:rsidRDefault="009A4195" w:rsidP="006F2AE6"/>
    <w:p w:rsidR="009A4195" w:rsidRDefault="005959B0" w:rsidP="00C66F79">
      <w:pPr>
        <w:keepNext/>
        <w:outlineLvl w:val="0"/>
        <w:rPr>
          <w:caps/>
        </w:rPr>
      </w:pPr>
      <w:bookmarkStart w:id="12" w:name="_Toc82776618"/>
      <w:r w:rsidRPr="000335BD">
        <w:t>PROPUESTA</w:t>
      </w:r>
      <w:r w:rsidRPr="000335BD">
        <w:rPr>
          <w:caps/>
        </w:rPr>
        <w:t xml:space="preserve"> de </w:t>
      </w:r>
      <w:r w:rsidRPr="000335BD">
        <w:t>ORIENTACIÓN SOBRE EL ENCARGO DE INFORMES DE EXAMEN DHE</w:t>
      </w:r>
      <w:bookmarkEnd w:id="12"/>
      <w:r w:rsidR="006F2AE6" w:rsidRPr="00A5777E">
        <w:rPr>
          <w:caps/>
        </w:rPr>
        <w:t xml:space="preserve"> </w:t>
      </w:r>
    </w:p>
    <w:p w:rsidR="009A4195" w:rsidRDefault="009A4195" w:rsidP="006F2AE6"/>
    <w:p w:rsidR="009A4195" w:rsidRDefault="002E63F7" w:rsidP="00C66F79">
      <w:r w:rsidRPr="00A5777E">
        <w:fldChar w:fldCharType="begin"/>
      </w:r>
      <w:r w:rsidR="006F2AE6" w:rsidRPr="00A5777E">
        <w:instrText xml:space="preserve"> AUTONUM  </w:instrText>
      </w:r>
      <w:r w:rsidRPr="00A5777E">
        <w:fldChar w:fldCharType="end"/>
      </w:r>
      <w:r w:rsidR="006F2AE6" w:rsidRPr="00A5777E">
        <w:tab/>
      </w:r>
      <w:r w:rsidR="005959B0" w:rsidRPr="000335BD">
        <w:t>En su quincuagésima sexta sesión, el TC examinó el documento TC/56/22 “Resultado del examen de los documentos por correspondencia” (véanse los párrafos 57 a 63 del documento TC/56/23 “Informe”).</w:t>
      </w:r>
    </w:p>
    <w:p w:rsidR="009A4195" w:rsidRDefault="009A4195" w:rsidP="006F2AE6"/>
    <w:p w:rsidR="009A4195" w:rsidRDefault="002E63F7" w:rsidP="00C66F79">
      <w:r w:rsidRPr="00A5777E">
        <w:fldChar w:fldCharType="begin"/>
      </w:r>
      <w:r w:rsidR="006F2AE6" w:rsidRPr="00A5777E">
        <w:instrText xml:space="preserve"> AUTONUM  </w:instrText>
      </w:r>
      <w:r w:rsidRPr="00A5777E">
        <w:fldChar w:fldCharType="end"/>
      </w:r>
      <w:r w:rsidR="006F2AE6" w:rsidRPr="00A5777E">
        <w:tab/>
      </w:r>
      <w:r w:rsidR="0033365A" w:rsidRPr="000335BD">
        <w:t>El</w:t>
      </w:r>
      <w:r w:rsidR="00AB1D71" w:rsidRPr="000335BD">
        <w:t> </w:t>
      </w:r>
      <w:r w:rsidR="0033365A" w:rsidRPr="000335BD">
        <w:t>TC tomó nota de los comentarios recibidos, durante el procedimiento de examen de los documentos por correspondencia, sobre el documento TC/56/11 “Cooperación en el examen”, que se exponen en los párrafos 45 a 48 del documento TC/56/22.</w:t>
      </w:r>
    </w:p>
    <w:p w:rsidR="009A4195" w:rsidRDefault="009A4195" w:rsidP="006F2AE6"/>
    <w:p w:rsidR="009A4195" w:rsidRDefault="002E63F7" w:rsidP="00562BAF">
      <w:pPr>
        <w:keepLines/>
        <w:rPr>
          <w:rFonts w:cs="Arial"/>
          <w:color w:val="000000"/>
          <w:szCs w:val="18"/>
          <w:lang w:eastAsia="ja-JP"/>
        </w:rPr>
      </w:pPr>
      <w:r w:rsidRPr="00A5777E">
        <w:fldChar w:fldCharType="begin"/>
      </w:r>
      <w:r w:rsidR="006F2AE6" w:rsidRPr="00A5777E">
        <w:instrText xml:space="preserve"> AUTONUM  </w:instrText>
      </w:r>
      <w:r w:rsidRPr="00A5777E">
        <w:fldChar w:fldCharType="end"/>
      </w:r>
      <w:r w:rsidR="006F2AE6" w:rsidRPr="00A5777E">
        <w:tab/>
      </w:r>
      <w:r w:rsidR="0033365A" w:rsidRPr="007E0809">
        <w:t>El</w:t>
      </w:r>
      <w:r w:rsidR="00AB1D71" w:rsidRPr="007E0809">
        <w:t> </w:t>
      </w:r>
      <w:r w:rsidR="0033365A" w:rsidRPr="007E0809">
        <w:t>TC tomó nota del comentario formulado por el Japón en respuesta a la circular E-20/119, de 21 de agosto de 2020, sobre las dificultades para presentar material vegetal a la autoridad que recibe una solicitud por motivos fitosanitarios, de cuarentena u otras cuestiones conexas, que se exponen en los párrafos 47 y 48 del documento TC/56/22.</w:t>
      </w:r>
      <w:r w:rsidR="00A5777E">
        <w:rPr>
          <w:rFonts w:cs="Arial"/>
          <w:color w:val="000000"/>
          <w:szCs w:val="18"/>
          <w:lang w:eastAsia="ja-JP"/>
        </w:rPr>
        <w:t xml:space="preserve"> </w:t>
      </w:r>
    </w:p>
    <w:p w:rsidR="009A4195" w:rsidRDefault="009A4195" w:rsidP="006F2AE6">
      <w:pPr>
        <w:rPr>
          <w:rFonts w:cs="Arial"/>
          <w:color w:val="000000"/>
          <w:szCs w:val="18"/>
          <w:lang w:eastAsia="ja-JP"/>
        </w:rPr>
      </w:pPr>
    </w:p>
    <w:p w:rsidR="009A4195" w:rsidRDefault="002E63F7" w:rsidP="00C66F79">
      <w:pPr>
        <w:rPr>
          <w:rFonts w:cs="Arial"/>
          <w:color w:val="000000"/>
          <w:szCs w:val="18"/>
          <w:lang w:eastAsia="ja-JP"/>
        </w:rPr>
      </w:pPr>
      <w:r w:rsidRPr="00A5777E">
        <w:rPr>
          <w:rFonts w:cs="Arial"/>
          <w:color w:val="000000"/>
          <w:szCs w:val="18"/>
          <w:lang w:eastAsia="ja-JP"/>
        </w:rPr>
        <w:fldChar w:fldCharType="begin"/>
      </w:r>
      <w:r w:rsidR="006F2AE6" w:rsidRPr="00A5777E">
        <w:rPr>
          <w:rFonts w:cs="Arial"/>
          <w:color w:val="000000"/>
          <w:szCs w:val="18"/>
          <w:lang w:eastAsia="ja-JP"/>
        </w:rPr>
        <w:instrText xml:space="preserve"> AUTONUM  </w:instrText>
      </w:r>
      <w:r w:rsidRPr="00A5777E">
        <w:rPr>
          <w:rFonts w:cs="Arial"/>
          <w:color w:val="000000"/>
          <w:szCs w:val="18"/>
          <w:lang w:eastAsia="ja-JP"/>
        </w:rPr>
        <w:fldChar w:fldCharType="end"/>
      </w:r>
      <w:r w:rsidR="006F2AE6" w:rsidRPr="00A5777E">
        <w:rPr>
          <w:rFonts w:cs="Arial"/>
          <w:color w:val="000000"/>
          <w:szCs w:val="18"/>
          <w:lang w:eastAsia="ja-JP"/>
        </w:rPr>
        <w:tab/>
      </w:r>
      <w:r w:rsidR="00C301CE" w:rsidRPr="007E0809">
        <w:rPr>
          <w:rFonts w:cs="Arial"/>
          <w:color w:val="000000"/>
          <w:szCs w:val="18"/>
          <w:lang w:eastAsia="ja-JP"/>
        </w:rPr>
        <w:t>El TC tomó nota de que el material vegetal se exige como condición para conceder los derechos de obtentor en algunos miembros de la Unión.</w:t>
      </w:r>
      <w:r w:rsidR="00A5777E">
        <w:rPr>
          <w:rFonts w:cs="Arial"/>
          <w:color w:val="000000"/>
          <w:szCs w:val="18"/>
          <w:lang w:eastAsia="ja-JP"/>
        </w:rPr>
        <w:t xml:space="preserve"> </w:t>
      </w:r>
    </w:p>
    <w:p w:rsidR="009A4195" w:rsidRDefault="009A4195" w:rsidP="006F2AE6">
      <w:pPr>
        <w:rPr>
          <w:rFonts w:cs="Arial"/>
          <w:color w:val="000000"/>
          <w:szCs w:val="18"/>
          <w:lang w:eastAsia="ja-JP"/>
        </w:rPr>
      </w:pPr>
    </w:p>
    <w:p w:rsidR="009A4195" w:rsidRPr="00311992" w:rsidRDefault="002E63F7" w:rsidP="00C66F79">
      <w:pPr>
        <w:rPr>
          <w:lang w:val="es-ES"/>
        </w:rPr>
      </w:pPr>
      <w:r w:rsidRPr="00A5777E">
        <w:rPr>
          <w:rFonts w:cs="Arial"/>
          <w:color w:val="000000"/>
          <w:szCs w:val="18"/>
          <w:lang w:eastAsia="ja-JP"/>
        </w:rPr>
        <w:fldChar w:fldCharType="begin"/>
      </w:r>
      <w:r w:rsidR="006F2AE6" w:rsidRPr="00A5777E">
        <w:rPr>
          <w:rFonts w:cs="Arial"/>
          <w:color w:val="000000"/>
          <w:szCs w:val="18"/>
          <w:lang w:eastAsia="ja-JP"/>
        </w:rPr>
        <w:instrText xml:space="preserve"> AUTONUM  </w:instrText>
      </w:r>
      <w:r w:rsidRPr="00A5777E">
        <w:rPr>
          <w:rFonts w:cs="Arial"/>
          <w:color w:val="000000"/>
          <w:szCs w:val="18"/>
          <w:lang w:eastAsia="ja-JP"/>
        </w:rPr>
        <w:fldChar w:fldCharType="end"/>
      </w:r>
      <w:r w:rsidR="006F2AE6" w:rsidRPr="00A5777E">
        <w:rPr>
          <w:rFonts w:cs="Arial"/>
          <w:color w:val="000000"/>
          <w:szCs w:val="18"/>
          <w:lang w:eastAsia="ja-JP"/>
        </w:rPr>
        <w:tab/>
      </w:r>
      <w:r w:rsidR="00B6183D" w:rsidRPr="007E0809">
        <w:t>En su quincuagésima sexta sesión, el TC convino en proponer al </w:t>
      </w:r>
      <w:r w:rsidR="00AB1D71" w:rsidRPr="007E0809">
        <w:t xml:space="preserve">CAJ la elaboración </w:t>
      </w:r>
      <w:r w:rsidR="00B6183D" w:rsidRPr="007E0809">
        <w:t xml:space="preserve">de </w:t>
      </w:r>
      <w:r w:rsidR="00AB1D71" w:rsidRPr="007E0809">
        <w:t>orientaciones para alentar a los miembros de la</w:t>
      </w:r>
      <w:r w:rsidR="00B6183D" w:rsidRPr="007E0809">
        <w:t> </w:t>
      </w:r>
      <w:r w:rsidR="00AB1D71" w:rsidRPr="007E0809">
        <w:t xml:space="preserve">UPOV, con carácter voluntario, a hacerse </w:t>
      </w:r>
      <w:r w:rsidR="00B6183D" w:rsidRPr="007E0809">
        <w:t>cargo de los informes de examen </w:t>
      </w:r>
      <w:r w:rsidR="00AB1D71" w:rsidRPr="007E0809">
        <w:t>DHE cuando los solicitantes no puedan presentar material vegetal por motivos fitosanitarios u otras cuestiones conexas, siempre que sea aceptable para los miembros de la</w:t>
      </w:r>
      <w:r w:rsidR="00B6183D" w:rsidRPr="007E0809">
        <w:t> </w:t>
      </w:r>
      <w:r w:rsidR="00AB1D71" w:rsidRPr="007E0809">
        <w:t>Unión interesados.</w:t>
      </w:r>
      <w:r w:rsidR="00A5777E">
        <w:t xml:space="preserve"> </w:t>
      </w:r>
      <w:r w:rsidR="00B6183D" w:rsidRPr="007E0809">
        <w:t>El TC convino en que esta propuesta debe someterse al examen del CAJ y se expondrá en el documento CAJ/77/2 “</w:t>
      </w:r>
      <w:r w:rsidR="00B6183D" w:rsidRPr="00311992">
        <w:rPr>
          <w:i/>
          <w:iCs/>
          <w:lang w:val="es-ES"/>
        </w:rPr>
        <w:t>Report on developments in the Technical Committee</w:t>
      </w:r>
      <w:r w:rsidR="00B6183D" w:rsidRPr="007E0809">
        <w:t>” (Informe sobre las novedades acaecidas en el Comité Técnico) (véanse los párrafos 57 a 63 del documento TC/56/23 “Informe”).</w:t>
      </w:r>
    </w:p>
    <w:p w:rsidR="009A4195" w:rsidRPr="00311992" w:rsidRDefault="009A4195" w:rsidP="006F2AE6">
      <w:pPr>
        <w:rPr>
          <w:lang w:val="es-ES"/>
        </w:rPr>
      </w:pPr>
    </w:p>
    <w:p w:rsidR="009A4195" w:rsidRDefault="002E63F7" w:rsidP="00C66F79">
      <w:r w:rsidRPr="00A5777E">
        <w:fldChar w:fldCharType="begin"/>
      </w:r>
      <w:r w:rsidR="006F2AE6" w:rsidRPr="00A5777E">
        <w:instrText xml:space="preserve"> AUTONUM  </w:instrText>
      </w:r>
      <w:r w:rsidRPr="00A5777E">
        <w:fldChar w:fldCharType="end"/>
      </w:r>
      <w:r w:rsidR="006F2AE6" w:rsidRPr="00A5777E">
        <w:tab/>
      </w:r>
      <w:r w:rsidR="0037356F" w:rsidRPr="007E0809">
        <w:t>En su septuagésima séptima sesión,</w:t>
      </w:r>
      <w:r w:rsidR="0037356F" w:rsidRPr="007E0809">
        <w:rPr>
          <w:vertAlign w:val="superscript"/>
        </w:rPr>
        <w:footnoteReference w:id="3"/>
      </w:r>
      <w:r w:rsidR="0037356F" w:rsidRPr="007E0809">
        <w:t xml:space="preserve"> el CAJ tomó nota de las medidas acordadas por el TC para superar los obstáculos que impiden la cooperación internacional en el examen DHE (véanse los párrafos 13 a 15 del documento </w:t>
      </w:r>
      <w:r w:rsidR="0037356F" w:rsidRPr="00DA6326">
        <w:t>CAJ/77/10</w:t>
      </w:r>
      <w:r w:rsidR="0037356F" w:rsidRPr="007E0809">
        <w:t xml:space="preserve"> “Informe”).</w:t>
      </w:r>
      <w:r w:rsidR="00A5777E">
        <w:t xml:space="preserve"> </w:t>
      </w:r>
    </w:p>
    <w:p w:rsidR="009A4195" w:rsidRDefault="009A4195" w:rsidP="006F2AE6"/>
    <w:p w:rsidR="009A4195" w:rsidRDefault="002E63F7" w:rsidP="00C66F79">
      <w:r w:rsidRPr="00A5777E">
        <w:fldChar w:fldCharType="begin"/>
      </w:r>
      <w:r w:rsidR="006F2AE6" w:rsidRPr="00A5777E">
        <w:instrText xml:space="preserve"> AUTONUM  </w:instrText>
      </w:r>
      <w:r w:rsidRPr="00A5777E">
        <w:fldChar w:fldCharType="end"/>
      </w:r>
      <w:r w:rsidR="006F2AE6" w:rsidRPr="00A5777E">
        <w:tab/>
      </w:r>
      <w:r w:rsidR="00854F09" w:rsidRPr="007E0809">
        <w:t xml:space="preserve">En respuesta a la solicitud del TC, el CAJ pidió a la Oficina de la Unión que elabore un documento, que se examinará en su septuagésima octava sesión, </w:t>
      </w:r>
      <w:r w:rsidR="001F670B" w:rsidRPr="007E0809">
        <w:t xml:space="preserve">prevista para el 27 de octubre de 2021, </w:t>
      </w:r>
      <w:r w:rsidR="00854F09" w:rsidRPr="007E0809">
        <w:t>sobre los siguientes obstáculos normativos o jurídicos que el</w:t>
      </w:r>
      <w:r w:rsidR="00990B59" w:rsidRPr="007E0809">
        <w:t> </w:t>
      </w:r>
      <w:r w:rsidR="00854F09" w:rsidRPr="007E0809">
        <w:t>TC ha señalado como impedimentos para la cooperación internacional en el examen</w:t>
      </w:r>
      <w:r w:rsidR="00990B59" w:rsidRPr="007E0809">
        <w:t> </w:t>
      </w:r>
      <w:r w:rsidR="00854F09" w:rsidRPr="007E0809">
        <w:t>DHE y las posibles medidas para abordar estos obstáculos:</w:t>
      </w:r>
    </w:p>
    <w:p w:rsidR="009A4195" w:rsidRDefault="009A4195" w:rsidP="006F2AE6"/>
    <w:p w:rsidR="009A4195" w:rsidRDefault="00A5777E" w:rsidP="00C66F79">
      <w:pPr>
        <w:tabs>
          <w:tab w:val="left" w:pos="1134"/>
        </w:tabs>
        <w:ind w:left="567"/>
      </w:pPr>
      <w:r w:rsidRPr="00C66F79">
        <w:t>i)</w:t>
      </w:r>
      <w:r w:rsidR="006F2AE6" w:rsidRPr="00C66F79">
        <w:tab/>
      </w:r>
      <w:r w:rsidR="00990B59" w:rsidRPr="007E0809">
        <w:t>Obligación de suscribir un acuerdo formal de cooperación;</w:t>
      </w:r>
    </w:p>
    <w:p w:rsidR="009A4195" w:rsidRDefault="00A5777E" w:rsidP="00C66F79">
      <w:pPr>
        <w:tabs>
          <w:tab w:val="left" w:pos="1134"/>
        </w:tabs>
        <w:ind w:left="567"/>
      </w:pPr>
      <w:r w:rsidRPr="00C66F79">
        <w:t>ii)</w:t>
      </w:r>
      <w:r w:rsidR="006F2AE6" w:rsidRPr="00C66F79">
        <w:tab/>
      </w:r>
      <w:r w:rsidR="00990B59" w:rsidRPr="007E0809">
        <w:t>Obligación de que el examen DHE sea efectuado por la autoridad que concede los títulos;</w:t>
      </w:r>
    </w:p>
    <w:p w:rsidR="009A4195" w:rsidRDefault="00A5777E" w:rsidP="00C66F79">
      <w:pPr>
        <w:tabs>
          <w:tab w:val="left" w:pos="1134"/>
        </w:tabs>
        <w:ind w:left="567"/>
      </w:pPr>
      <w:r w:rsidRPr="00C66F79">
        <w:t>iii)</w:t>
      </w:r>
      <w:r w:rsidR="006F2AE6" w:rsidRPr="00C66F79">
        <w:tab/>
      </w:r>
      <w:r w:rsidR="00990B59" w:rsidRPr="007E0809">
        <w:t>No se admiten los informes de los exámenes DHE realizados por obtentores:</w:t>
      </w:r>
    </w:p>
    <w:p w:rsidR="009A4195" w:rsidRDefault="006F2AE6" w:rsidP="00C66F79">
      <w:pPr>
        <w:tabs>
          <w:tab w:val="left" w:pos="1134"/>
        </w:tabs>
        <w:ind w:left="567"/>
      </w:pPr>
      <w:r w:rsidRPr="00C66F79">
        <w:t>iv)</w:t>
      </w:r>
      <w:r w:rsidRPr="00C66F79">
        <w:tab/>
      </w:r>
      <w:r w:rsidR="00990B59" w:rsidRPr="007E0809">
        <w:t>Deseo de los obtentores de utilizar (o no) los informes DHE existentes.</w:t>
      </w:r>
    </w:p>
    <w:p w:rsidR="009A4195" w:rsidRDefault="009A4195" w:rsidP="006F2AE6"/>
    <w:p w:rsidR="009A4195" w:rsidRDefault="002E63F7" w:rsidP="00C66F79">
      <w:pPr>
        <w:keepNext/>
        <w:keepLines/>
      </w:pPr>
      <w:r w:rsidRPr="00A5777E">
        <w:fldChar w:fldCharType="begin"/>
      </w:r>
      <w:r w:rsidR="006F2AE6" w:rsidRPr="00A5777E">
        <w:instrText xml:space="preserve"> AUTONUM  </w:instrText>
      </w:r>
      <w:r w:rsidRPr="00A5777E">
        <w:fldChar w:fldCharType="end"/>
      </w:r>
      <w:r w:rsidR="006F2AE6" w:rsidRPr="00A5777E">
        <w:tab/>
      </w:r>
      <w:r w:rsidR="00990B59" w:rsidRPr="007E0809">
        <w:t>En respuesta a la solicitud del TC, el CAJ pidió además a la Oficina de la Unión que elabore un documento, que se someterá a examen en su septuagésima octava sesión, con propuestas para elaborar orientaciones a fin de alentar a los miembros de la UPOV a hacerse cargo, con carácter voluntario, de los informes de examen DHE cuando los solicitantes no puedan presentar material vegetal por motivos fitosanitarios u otras cuestiones conexas, siempre que sea aceptable para los miembros de la Unión interesados.</w:t>
      </w:r>
      <w:r w:rsidR="006F2AE6" w:rsidRPr="00A5777E">
        <w:t xml:space="preserve"> </w:t>
      </w:r>
    </w:p>
    <w:p w:rsidR="009A4195" w:rsidRDefault="009A4195" w:rsidP="006F2AE6">
      <w:pPr>
        <w:tabs>
          <w:tab w:val="left" w:pos="567"/>
          <w:tab w:val="left" w:pos="1134"/>
          <w:tab w:val="left" w:pos="1701"/>
          <w:tab w:val="left" w:pos="5387"/>
          <w:tab w:val="left" w:pos="5954"/>
        </w:tabs>
      </w:pPr>
    </w:p>
    <w:p w:rsidR="009A4195" w:rsidRDefault="009A4195" w:rsidP="006F2AE6">
      <w:pPr>
        <w:tabs>
          <w:tab w:val="left" w:pos="567"/>
          <w:tab w:val="left" w:pos="1134"/>
          <w:tab w:val="left" w:pos="1701"/>
          <w:tab w:val="left" w:pos="5387"/>
          <w:tab w:val="left" w:pos="5954"/>
        </w:tabs>
      </w:pPr>
    </w:p>
    <w:p w:rsidR="009A4195" w:rsidRDefault="00990B59" w:rsidP="00C66F79">
      <w:pPr>
        <w:keepNext/>
        <w:outlineLvl w:val="0"/>
        <w:rPr>
          <w:caps/>
        </w:rPr>
      </w:pPr>
      <w:bookmarkStart w:id="13" w:name="_Toc82776619"/>
      <w:r w:rsidRPr="007E0809">
        <w:t>EVALUACIÓN DE LA REPERCUSIÓN</w:t>
      </w:r>
      <w:bookmarkEnd w:id="13"/>
    </w:p>
    <w:p w:rsidR="009A4195" w:rsidRDefault="009A4195" w:rsidP="006F2AE6"/>
    <w:p w:rsidR="009A4195" w:rsidRDefault="002E63F7" w:rsidP="00C66F79">
      <w:pPr>
        <w:tabs>
          <w:tab w:val="left" w:pos="567"/>
          <w:tab w:val="left" w:pos="1134"/>
          <w:tab w:val="left" w:pos="1701"/>
          <w:tab w:val="left" w:pos="5387"/>
          <w:tab w:val="left" w:pos="5954"/>
        </w:tabs>
        <w:rPr>
          <w:snapToGrid w:val="0"/>
        </w:rPr>
      </w:pPr>
      <w:r w:rsidRPr="00A5777E">
        <w:rPr>
          <w:snapToGrid w:val="0"/>
        </w:rPr>
        <w:fldChar w:fldCharType="begin"/>
      </w:r>
      <w:r w:rsidR="006F2AE6" w:rsidRPr="00A5777E">
        <w:rPr>
          <w:snapToGrid w:val="0"/>
        </w:rPr>
        <w:instrText xml:space="preserve"> AUTONUM  </w:instrText>
      </w:r>
      <w:r w:rsidRPr="00A5777E">
        <w:rPr>
          <w:snapToGrid w:val="0"/>
        </w:rPr>
        <w:fldChar w:fldCharType="end"/>
      </w:r>
      <w:r w:rsidR="006F2AE6" w:rsidRPr="00A5777E">
        <w:rPr>
          <w:snapToGrid w:val="0"/>
        </w:rPr>
        <w:tab/>
      </w:r>
      <w:r w:rsidR="00990B59" w:rsidRPr="007E0809">
        <w:rPr>
          <w:snapToGrid w:val="0"/>
        </w:rPr>
        <w:t xml:space="preserve">En su quincuagésima sexta sesión, el TC convino en que la repercusión de las medidas propuestas se evalúe en función del número de acuerdos de cooperación notificados por los miembros de la Unión, conforme a lo expuesto en el documento C/[xx]/INF/5 “Cooperación en materia de examen” </w:t>
      </w:r>
      <w:r w:rsidR="00990B59" w:rsidRPr="007E0809">
        <w:t>(véase el párrafo 44 del documento TC/56/22 “Resultado del examen de los documentos por correspondencia”)</w:t>
      </w:r>
      <w:r w:rsidR="00990B59" w:rsidRPr="007E0809">
        <w:rPr>
          <w:snapToGrid w:val="0"/>
        </w:rPr>
        <w:t>.</w:t>
      </w:r>
    </w:p>
    <w:p w:rsidR="009A4195" w:rsidRDefault="009A4195" w:rsidP="006F2AE6">
      <w:pPr>
        <w:tabs>
          <w:tab w:val="left" w:pos="567"/>
          <w:tab w:val="left" w:pos="1134"/>
          <w:tab w:val="left" w:pos="1701"/>
          <w:tab w:val="left" w:pos="5387"/>
          <w:tab w:val="left" w:pos="5954"/>
        </w:tabs>
      </w:pPr>
    </w:p>
    <w:p w:rsidR="009A4195" w:rsidRDefault="009A4195" w:rsidP="006F2AE6">
      <w:pPr>
        <w:tabs>
          <w:tab w:val="left" w:pos="567"/>
          <w:tab w:val="left" w:pos="1134"/>
          <w:tab w:val="left" w:pos="1701"/>
          <w:tab w:val="left" w:pos="5387"/>
          <w:tab w:val="left" w:pos="5954"/>
        </w:tabs>
        <w:rPr>
          <w:snapToGrid w:val="0"/>
        </w:rPr>
      </w:pPr>
    </w:p>
    <w:p w:rsidR="009A4195" w:rsidRDefault="002E63F7" w:rsidP="00C66F79">
      <w:pPr>
        <w:keepNext/>
        <w:keepLines/>
        <w:tabs>
          <w:tab w:val="left" w:pos="567"/>
          <w:tab w:val="left" w:pos="1134"/>
          <w:tab w:val="left" w:pos="1701"/>
          <w:tab w:val="left" w:pos="5387"/>
          <w:tab w:val="left" w:pos="5954"/>
        </w:tabs>
        <w:ind w:left="4820"/>
        <w:rPr>
          <w:i/>
        </w:rPr>
      </w:pPr>
      <w:r w:rsidRPr="00A5777E">
        <w:rPr>
          <w:i/>
        </w:rPr>
        <w:fldChar w:fldCharType="begin"/>
      </w:r>
      <w:r w:rsidR="006F2AE6" w:rsidRPr="00A5777E">
        <w:rPr>
          <w:i/>
        </w:rPr>
        <w:instrText xml:space="preserve"> AUTONUM  </w:instrText>
      </w:r>
      <w:r w:rsidRPr="00A5777E">
        <w:rPr>
          <w:i/>
        </w:rPr>
        <w:fldChar w:fldCharType="end"/>
      </w:r>
      <w:r w:rsidR="006F2AE6" w:rsidRPr="00A5777E">
        <w:rPr>
          <w:i/>
        </w:rPr>
        <w:tab/>
      </w:r>
      <w:r w:rsidR="00F814D5" w:rsidRPr="007E0809">
        <w:rPr>
          <w:i/>
        </w:rPr>
        <w:t>Se invita al TC a tomar nota:</w:t>
      </w:r>
    </w:p>
    <w:p w:rsidR="009A4195" w:rsidRDefault="009A4195" w:rsidP="006F2AE6">
      <w:pPr>
        <w:keepNext/>
        <w:keepLines/>
        <w:tabs>
          <w:tab w:val="left" w:pos="567"/>
          <w:tab w:val="left" w:pos="1134"/>
          <w:tab w:val="left" w:pos="1701"/>
          <w:tab w:val="left" w:pos="5387"/>
          <w:tab w:val="left" w:pos="5954"/>
        </w:tabs>
        <w:ind w:left="4820" w:firstLine="567"/>
        <w:rPr>
          <w:i/>
        </w:rPr>
      </w:pPr>
    </w:p>
    <w:p w:rsidR="009A4195" w:rsidRDefault="006F2AE6" w:rsidP="00562BAF">
      <w:pPr>
        <w:keepLines/>
        <w:tabs>
          <w:tab w:val="left" w:pos="5954"/>
        </w:tabs>
        <w:ind w:left="4820" w:firstLine="567"/>
        <w:rPr>
          <w:i/>
        </w:rPr>
      </w:pPr>
      <w:r w:rsidRPr="00C66F79">
        <w:rPr>
          <w:i/>
        </w:rPr>
        <w:t>a)</w:t>
      </w:r>
      <w:r w:rsidRPr="00C66F79">
        <w:rPr>
          <w:i/>
        </w:rPr>
        <w:tab/>
      </w:r>
      <w:r w:rsidR="007E0809" w:rsidRPr="007E0809">
        <w:rPr>
          <w:i/>
        </w:rPr>
        <w:t>de que los miembros de la Unión disponen de las siguientes opciones para actualizar la información sobre la(s) persona(s) de enlace para asuntos relativos a la cooperación internacional en materia de examen DHE:</w:t>
      </w:r>
    </w:p>
    <w:p w:rsidR="009A4195" w:rsidRDefault="009A4195" w:rsidP="006F2AE6">
      <w:pPr>
        <w:tabs>
          <w:tab w:val="left" w:pos="5954"/>
        </w:tabs>
        <w:ind w:left="4820"/>
        <w:rPr>
          <w:i/>
        </w:rPr>
      </w:pPr>
    </w:p>
    <w:p w:rsidR="009A4195" w:rsidRDefault="006F2AE6" w:rsidP="00C66F79">
      <w:pPr>
        <w:tabs>
          <w:tab w:val="left" w:pos="1134"/>
          <w:tab w:val="left" w:pos="5954"/>
          <w:tab w:val="left" w:pos="6521"/>
        </w:tabs>
        <w:ind w:left="5387"/>
        <w:rPr>
          <w:i/>
        </w:rPr>
      </w:pPr>
      <w:r w:rsidRPr="00A5777E">
        <w:rPr>
          <w:i/>
        </w:rPr>
        <w:tab/>
      </w:r>
      <w:r w:rsidRPr="00C66F79">
        <w:rPr>
          <w:i/>
        </w:rPr>
        <w:t>i)</w:t>
      </w:r>
      <w:r w:rsidRPr="00C66F79">
        <w:rPr>
          <w:i/>
        </w:rPr>
        <w:tab/>
      </w:r>
      <w:r w:rsidR="007E0809" w:rsidRPr="007E0809">
        <w:rPr>
          <w:i/>
        </w:rPr>
        <w:t>actualizar la información cuando se les invite a facilitar información para el documento TC/[xx]/4 “Lista de géneros y especies respecto de los cuales las autoridades poseen experiencia práctica en el examen de la distinción, la homogeneidad y la estabilidad”; o</w:t>
      </w:r>
    </w:p>
    <w:p w:rsidR="009A4195" w:rsidRDefault="009A4195" w:rsidP="006F2AE6">
      <w:pPr>
        <w:tabs>
          <w:tab w:val="left" w:pos="1134"/>
          <w:tab w:val="left" w:pos="5954"/>
          <w:tab w:val="left" w:pos="6521"/>
        </w:tabs>
        <w:ind w:left="5387"/>
        <w:rPr>
          <w:i/>
        </w:rPr>
      </w:pPr>
    </w:p>
    <w:p w:rsidR="009A4195" w:rsidRDefault="006F2AE6" w:rsidP="00C66F79">
      <w:pPr>
        <w:tabs>
          <w:tab w:val="left" w:pos="1134"/>
          <w:tab w:val="left" w:pos="5954"/>
          <w:tab w:val="left" w:pos="6521"/>
        </w:tabs>
        <w:ind w:left="5387"/>
        <w:rPr>
          <w:i/>
        </w:rPr>
      </w:pPr>
      <w:r w:rsidRPr="00A5777E">
        <w:rPr>
          <w:i/>
        </w:rPr>
        <w:tab/>
      </w:r>
      <w:r w:rsidRPr="00C66F79">
        <w:rPr>
          <w:i/>
        </w:rPr>
        <w:t>ii)</w:t>
      </w:r>
      <w:r w:rsidRPr="00C66F79">
        <w:rPr>
          <w:i/>
        </w:rPr>
        <w:tab/>
      </w:r>
      <w:r w:rsidR="007E0809" w:rsidRPr="007E0809">
        <w:rPr>
          <w:i/>
        </w:rPr>
        <w:t xml:space="preserve">notificar la información a la Oficina de la Unión enviando un mensaje de correo electrónico a la dirección </w:t>
      </w:r>
      <w:r w:rsidR="007E0809" w:rsidRPr="00FD0D31">
        <w:rPr>
          <w:i/>
        </w:rPr>
        <w:t>upov.mail@upov.int</w:t>
      </w:r>
      <w:r w:rsidR="007E0809" w:rsidRPr="007E0809">
        <w:rPr>
          <w:i/>
        </w:rPr>
        <w:t>;</w:t>
      </w:r>
    </w:p>
    <w:p w:rsidR="009A4195" w:rsidRDefault="009A4195" w:rsidP="006F2AE6">
      <w:pPr>
        <w:tabs>
          <w:tab w:val="left" w:pos="5954"/>
        </w:tabs>
        <w:ind w:left="4820"/>
        <w:rPr>
          <w:i/>
        </w:rPr>
      </w:pPr>
    </w:p>
    <w:p w:rsidR="009A4195" w:rsidRDefault="006F2AE6" w:rsidP="00C66F79">
      <w:pPr>
        <w:keepNext/>
        <w:keepLines/>
        <w:tabs>
          <w:tab w:val="left" w:pos="567"/>
          <w:tab w:val="left" w:pos="1134"/>
          <w:tab w:val="left" w:pos="1701"/>
          <w:tab w:val="left" w:pos="5387"/>
          <w:tab w:val="left" w:pos="5954"/>
        </w:tabs>
        <w:ind w:left="4820"/>
        <w:rPr>
          <w:i/>
          <w:snapToGrid w:val="0"/>
        </w:rPr>
      </w:pPr>
      <w:r w:rsidRPr="00A5777E">
        <w:rPr>
          <w:i/>
          <w:snapToGrid w:val="0"/>
        </w:rPr>
        <w:tab/>
      </w:r>
      <w:r w:rsidRPr="00C66F79">
        <w:rPr>
          <w:i/>
          <w:snapToGrid w:val="0"/>
        </w:rPr>
        <w:t>b)</w:t>
      </w:r>
      <w:r w:rsidRPr="00C66F79">
        <w:rPr>
          <w:i/>
          <w:snapToGrid w:val="0"/>
        </w:rPr>
        <w:tab/>
      </w:r>
      <w:r w:rsidR="007E0809" w:rsidRPr="007E0809">
        <w:rPr>
          <w:i/>
          <w:snapToGrid w:val="0"/>
        </w:rPr>
        <w:t>del desarrollo de un conjunto de herramientas informáticas compatibles para solventar las cuestiones técnicas y administrativas conexas que impiden la cooperación en el examen DHE, según se expone en los párrafos 9 a 14 del presente documento;</w:t>
      </w:r>
    </w:p>
    <w:p w:rsidR="009A4195" w:rsidRDefault="009A4195" w:rsidP="006F2AE6">
      <w:pPr>
        <w:tabs>
          <w:tab w:val="left" w:pos="567"/>
          <w:tab w:val="left" w:pos="1134"/>
          <w:tab w:val="left" w:pos="1701"/>
          <w:tab w:val="left" w:pos="5387"/>
          <w:tab w:val="left" w:pos="5954"/>
        </w:tabs>
        <w:ind w:left="4820" w:firstLine="567"/>
        <w:rPr>
          <w:i/>
          <w:snapToGrid w:val="0"/>
        </w:rPr>
      </w:pPr>
    </w:p>
    <w:p w:rsidR="009A4195" w:rsidRDefault="006F2AE6" w:rsidP="00C66F79">
      <w:pPr>
        <w:tabs>
          <w:tab w:val="left" w:pos="567"/>
          <w:tab w:val="left" w:pos="1134"/>
          <w:tab w:val="left" w:pos="1701"/>
          <w:tab w:val="left" w:pos="5387"/>
          <w:tab w:val="left" w:pos="5954"/>
        </w:tabs>
        <w:ind w:left="4820" w:firstLine="567"/>
        <w:rPr>
          <w:i/>
          <w:snapToGrid w:val="0"/>
        </w:rPr>
      </w:pPr>
      <w:r w:rsidRPr="00C66F79">
        <w:rPr>
          <w:i/>
          <w:snapToGrid w:val="0"/>
        </w:rPr>
        <w:t>c)</w:t>
      </w:r>
      <w:r w:rsidRPr="00C66F79">
        <w:rPr>
          <w:i/>
          <w:snapToGrid w:val="0"/>
        </w:rPr>
        <w:tab/>
      </w:r>
      <w:r w:rsidR="007E0809" w:rsidRPr="007E0809">
        <w:rPr>
          <w:i/>
          <w:snapToGrid w:val="0"/>
        </w:rPr>
        <w:t>de que en la quincuagésima séptima sesión del TC se ofrecerá una presentación sobre el proyecto piloto e-PVP Asia;</w:t>
      </w:r>
    </w:p>
    <w:p w:rsidR="009A4195" w:rsidRDefault="009A4195" w:rsidP="006F2AE6">
      <w:pPr>
        <w:tabs>
          <w:tab w:val="left" w:pos="567"/>
          <w:tab w:val="left" w:pos="1134"/>
          <w:tab w:val="left" w:pos="1701"/>
          <w:tab w:val="left" w:pos="5387"/>
          <w:tab w:val="left" w:pos="5954"/>
        </w:tabs>
        <w:ind w:left="4820" w:firstLine="567"/>
        <w:rPr>
          <w:i/>
          <w:snapToGrid w:val="0"/>
        </w:rPr>
      </w:pPr>
    </w:p>
    <w:p w:rsidR="009A4195" w:rsidRDefault="006F2AE6" w:rsidP="00C66F79">
      <w:pPr>
        <w:tabs>
          <w:tab w:val="left" w:pos="567"/>
          <w:tab w:val="left" w:pos="1134"/>
          <w:tab w:val="left" w:pos="1701"/>
          <w:tab w:val="left" w:pos="5387"/>
          <w:tab w:val="left" w:pos="5954"/>
        </w:tabs>
        <w:ind w:left="4820" w:firstLine="567"/>
        <w:rPr>
          <w:i/>
        </w:rPr>
      </w:pPr>
      <w:r w:rsidRPr="00C66F79">
        <w:rPr>
          <w:i/>
          <w:snapToGrid w:val="0"/>
        </w:rPr>
        <w:t>d)</w:t>
      </w:r>
      <w:r w:rsidRPr="00C66F79">
        <w:rPr>
          <w:i/>
          <w:snapToGrid w:val="0"/>
        </w:rPr>
        <w:tab/>
      </w:r>
      <w:r w:rsidR="007E0809" w:rsidRPr="007E0809">
        <w:rPr>
          <w:i/>
          <w:snapToGrid w:val="0"/>
        </w:rPr>
        <w:t>de que las novedades acerca de la utilización de la plantilla en Internet de los documentos TG para redactar las directrices de examen propias de cada autoridad se exponen en el documento TC/57/12;</w:t>
      </w:r>
    </w:p>
    <w:p w:rsidR="009A4195" w:rsidRDefault="009A4195" w:rsidP="006F2AE6">
      <w:pPr>
        <w:tabs>
          <w:tab w:val="left" w:pos="567"/>
          <w:tab w:val="left" w:pos="1134"/>
          <w:tab w:val="left" w:pos="1701"/>
          <w:tab w:val="left" w:pos="5387"/>
          <w:tab w:val="left" w:pos="5954"/>
        </w:tabs>
        <w:ind w:left="4820" w:firstLine="567"/>
        <w:rPr>
          <w:i/>
        </w:rPr>
      </w:pPr>
    </w:p>
    <w:p w:rsidR="009A4195" w:rsidRDefault="006F2AE6" w:rsidP="00C66F79">
      <w:pPr>
        <w:tabs>
          <w:tab w:val="left" w:pos="567"/>
          <w:tab w:val="left" w:pos="1134"/>
          <w:tab w:val="left" w:pos="1701"/>
          <w:tab w:val="left" w:pos="5387"/>
          <w:tab w:val="left" w:pos="5954"/>
        </w:tabs>
        <w:ind w:left="4820" w:firstLine="567"/>
        <w:rPr>
          <w:i/>
        </w:rPr>
      </w:pPr>
      <w:r w:rsidRPr="00C66F79">
        <w:rPr>
          <w:i/>
        </w:rPr>
        <w:t>e)</w:t>
      </w:r>
      <w:r w:rsidRPr="00C66F79">
        <w:rPr>
          <w:i/>
        </w:rPr>
        <w:tab/>
      </w:r>
      <w:r w:rsidR="007E0809" w:rsidRPr="007E0809">
        <w:rPr>
          <w:i/>
        </w:rPr>
        <w:t>de que, para desarrollar una plataforma de bases de datos de los miembros de la UPOV con información relativa a la descripción de variedades, es necesario que estos indiquen las bases de datos que tienen intención de compartir;</w:t>
      </w:r>
    </w:p>
    <w:p w:rsidR="009A4195" w:rsidRDefault="009A4195" w:rsidP="006F2AE6">
      <w:pPr>
        <w:tabs>
          <w:tab w:val="left" w:pos="567"/>
          <w:tab w:val="left" w:pos="1134"/>
          <w:tab w:val="left" w:pos="1701"/>
          <w:tab w:val="left" w:pos="5387"/>
          <w:tab w:val="left" w:pos="5954"/>
        </w:tabs>
        <w:ind w:left="4820" w:firstLine="567"/>
        <w:rPr>
          <w:i/>
        </w:rPr>
      </w:pPr>
    </w:p>
    <w:p w:rsidR="009A4195" w:rsidRDefault="006F2AE6" w:rsidP="00C66F79">
      <w:pPr>
        <w:keepNext/>
        <w:keepLines/>
        <w:tabs>
          <w:tab w:val="left" w:pos="567"/>
          <w:tab w:val="left" w:pos="1134"/>
          <w:tab w:val="left" w:pos="1701"/>
          <w:tab w:val="left" w:pos="5387"/>
          <w:tab w:val="left" w:pos="5954"/>
        </w:tabs>
        <w:ind w:left="4820" w:firstLine="567"/>
        <w:rPr>
          <w:i/>
        </w:rPr>
      </w:pPr>
      <w:r w:rsidRPr="00C66F79">
        <w:rPr>
          <w:i/>
        </w:rPr>
        <w:t>f)</w:t>
      </w:r>
      <w:r w:rsidRPr="00C66F79">
        <w:rPr>
          <w:i/>
        </w:rPr>
        <w:tab/>
      </w:r>
      <w:r w:rsidR="007E0809" w:rsidRPr="007E0809">
        <w:rPr>
          <w:i/>
        </w:rPr>
        <w:t>de que los asuntos relativos a la revisión de la sección 6 del documento TGP/5 se abordan en el documento TC/57/5 “Elaboración de orientaciones y material de información”;</w:t>
      </w:r>
      <w:r w:rsidRPr="00A5777E">
        <w:rPr>
          <w:i/>
        </w:rPr>
        <w:t xml:space="preserve"> </w:t>
      </w:r>
    </w:p>
    <w:p w:rsidR="009A4195" w:rsidRDefault="009A4195" w:rsidP="006F2AE6">
      <w:pPr>
        <w:tabs>
          <w:tab w:val="left" w:pos="567"/>
          <w:tab w:val="left" w:pos="1134"/>
          <w:tab w:val="left" w:pos="1701"/>
          <w:tab w:val="left" w:pos="5387"/>
          <w:tab w:val="left" w:pos="5954"/>
        </w:tabs>
        <w:ind w:left="4820" w:firstLine="567"/>
        <w:rPr>
          <w:i/>
        </w:rPr>
      </w:pPr>
    </w:p>
    <w:p w:rsidR="009A4195" w:rsidRDefault="006F2AE6" w:rsidP="00C66F79">
      <w:pPr>
        <w:tabs>
          <w:tab w:val="left" w:pos="567"/>
          <w:tab w:val="left" w:pos="5387"/>
          <w:tab w:val="left" w:pos="5954"/>
          <w:tab w:val="left" w:pos="6521"/>
        </w:tabs>
        <w:ind w:left="4820"/>
        <w:contextualSpacing/>
        <w:rPr>
          <w:rFonts w:cs="Arial"/>
          <w:i/>
        </w:rPr>
      </w:pPr>
      <w:r w:rsidRPr="00A5777E">
        <w:rPr>
          <w:rFonts w:cs="Arial"/>
          <w:i/>
        </w:rPr>
        <w:tab/>
      </w:r>
      <w:r w:rsidRPr="00C66F79">
        <w:rPr>
          <w:rFonts w:cs="Arial"/>
          <w:i/>
        </w:rPr>
        <w:t>g)</w:t>
      </w:r>
      <w:r w:rsidRPr="00C66F79">
        <w:rPr>
          <w:rFonts w:cs="Arial"/>
          <w:i/>
        </w:rPr>
        <w:tab/>
      </w:r>
      <w:r w:rsidR="007E0809" w:rsidRPr="007E0809">
        <w:rPr>
          <w:rFonts w:cs="Arial"/>
          <w:i/>
        </w:rPr>
        <w:t>de que se está evaluando el uso de la tecnología de traducción automática en el marco de un examen de la política de la UPOV en materia de traducción;</w:t>
      </w:r>
    </w:p>
    <w:p w:rsidR="009A4195" w:rsidRDefault="009A4195" w:rsidP="006F2AE6">
      <w:pPr>
        <w:tabs>
          <w:tab w:val="left" w:pos="567"/>
          <w:tab w:val="left" w:pos="5954"/>
        </w:tabs>
        <w:ind w:left="4820"/>
        <w:contextualSpacing/>
        <w:rPr>
          <w:rFonts w:cs="Arial"/>
          <w:i/>
        </w:rPr>
      </w:pPr>
    </w:p>
    <w:p w:rsidR="009A4195" w:rsidRDefault="006F2AE6" w:rsidP="00C66F79">
      <w:pPr>
        <w:tabs>
          <w:tab w:val="left" w:pos="567"/>
          <w:tab w:val="left" w:pos="5387"/>
          <w:tab w:val="left" w:pos="5954"/>
          <w:tab w:val="left" w:pos="6521"/>
        </w:tabs>
        <w:ind w:left="4820"/>
        <w:contextualSpacing/>
        <w:rPr>
          <w:rFonts w:cs="Arial"/>
          <w:i/>
        </w:rPr>
      </w:pPr>
      <w:r w:rsidRPr="00A5777E">
        <w:rPr>
          <w:rFonts w:cs="Arial"/>
          <w:i/>
        </w:rPr>
        <w:tab/>
      </w:r>
      <w:r w:rsidRPr="00C66F79">
        <w:rPr>
          <w:rFonts w:cs="Arial"/>
          <w:i/>
        </w:rPr>
        <w:t>h)</w:t>
      </w:r>
      <w:r w:rsidRPr="00C66F79">
        <w:rPr>
          <w:rFonts w:cs="Arial"/>
          <w:i/>
        </w:rPr>
        <w:tab/>
      </w:r>
      <w:r w:rsidR="007E0809" w:rsidRPr="007E0809">
        <w:rPr>
          <w:rFonts w:cs="Arial"/>
          <w:i/>
        </w:rPr>
        <w:t>de que en el documento TC/57/10 “Aumento de la participación en la labor del TC y de los TWP” se examinan medidas para incrementar la cooperación entre los expertos en las sesiones de los TWP;</w:t>
      </w:r>
    </w:p>
    <w:p w:rsidR="009A4195" w:rsidRDefault="009A4195" w:rsidP="006F2AE6">
      <w:pPr>
        <w:tabs>
          <w:tab w:val="left" w:pos="567"/>
          <w:tab w:val="left" w:pos="1134"/>
          <w:tab w:val="left" w:pos="1701"/>
          <w:tab w:val="left" w:pos="5387"/>
          <w:tab w:val="left" w:pos="5954"/>
        </w:tabs>
        <w:ind w:left="4820" w:firstLine="567"/>
        <w:rPr>
          <w:i/>
        </w:rPr>
      </w:pPr>
    </w:p>
    <w:p w:rsidR="009A4195" w:rsidRDefault="006F2AE6" w:rsidP="00C66F79">
      <w:pPr>
        <w:tabs>
          <w:tab w:val="left" w:pos="567"/>
          <w:tab w:val="left" w:pos="1134"/>
          <w:tab w:val="left" w:pos="1701"/>
          <w:tab w:val="left" w:pos="5954"/>
          <w:tab w:val="left" w:pos="6521"/>
        </w:tabs>
        <w:ind w:left="4820" w:firstLine="567"/>
        <w:rPr>
          <w:i/>
        </w:rPr>
      </w:pPr>
      <w:r w:rsidRPr="00C66F79">
        <w:rPr>
          <w:i/>
        </w:rPr>
        <w:t>i)</w:t>
      </w:r>
      <w:r w:rsidRPr="00C66F79">
        <w:rPr>
          <w:i/>
        </w:rPr>
        <w:tab/>
      </w:r>
      <w:r w:rsidR="007E0809" w:rsidRPr="007E0809">
        <w:rPr>
          <w:i/>
        </w:rPr>
        <w:t>de que, en su septuagésima octava sesión, el CAJ examinará:</w:t>
      </w:r>
    </w:p>
    <w:p w:rsidR="009A4195" w:rsidRDefault="009A4195" w:rsidP="006F2AE6">
      <w:pPr>
        <w:tabs>
          <w:tab w:val="left" w:pos="567"/>
          <w:tab w:val="left" w:pos="1134"/>
          <w:tab w:val="left" w:pos="1701"/>
          <w:tab w:val="left" w:pos="5387"/>
          <w:tab w:val="left" w:pos="5954"/>
          <w:tab w:val="left" w:pos="6521"/>
        </w:tabs>
        <w:ind w:left="5387"/>
        <w:rPr>
          <w:i/>
        </w:rPr>
      </w:pPr>
    </w:p>
    <w:p w:rsidR="009A4195" w:rsidRDefault="006F2AE6" w:rsidP="00562BAF">
      <w:pPr>
        <w:keepLines/>
        <w:tabs>
          <w:tab w:val="left" w:pos="567"/>
          <w:tab w:val="left" w:pos="1134"/>
          <w:tab w:val="left" w:pos="1701"/>
          <w:tab w:val="left" w:pos="5387"/>
          <w:tab w:val="left" w:pos="5954"/>
          <w:tab w:val="left" w:pos="6521"/>
        </w:tabs>
        <w:ind w:left="5387"/>
        <w:rPr>
          <w:i/>
        </w:rPr>
      </w:pPr>
      <w:r w:rsidRPr="00A5777E">
        <w:rPr>
          <w:i/>
        </w:rPr>
        <w:tab/>
      </w:r>
      <w:r w:rsidRPr="00C66F79">
        <w:rPr>
          <w:i/>
        </w:rPr>
        <w:t>i)</w:t>
      </w:r>
      <w:r w:rsidRPr="00C66F79">
        <w:rPr>
          <w:i/>
        </w:rPr>
        <w:tab/>
      </w:r>
      <w:r w:rsidR="007E0809" w:rsidRPr="007E0809">
        <w:rPr>
          <w:i/>
        </w:rPr>
        <w:t>los obstáculos normativos o jurídicos señalados por el TC como impedimentos para la cooperación internacional en el examen DHE y las posibles medidas para abordarlos; y</w:t>
      </w:r>
    </w:p>
    <w:p w:rsidR="009A4195" w:rsidRDefault="009A4195" w:rsidP="006F2AE6">
      <w:pPr>
        <w:tabs>
          <w:tab w:val="left" w:pos="567"/>
          <w:tab w:val="left" w:pos="1134"/>
          <w:tab w:val="left" w:pos="1701"/>
          <w:tab w:val="left" w:pos="5387"/>
          <w:tab w:val="left" w:pos="5954"/>
        </w:tabs>
        <w:ind w:left="4820"/>
        <w:rPr>
          <w:i/>
        </w:rPr>
      </w:pPr>
    </w:p>
    <w:p w:rsidR="009A4195" w:rsidRDefault="006F2AE6" w:rsidP="00C66F79">
      <w:pPr>
        <w:tabs>
          <w:tab w:val="left" w:pos="567"/>
          <w:tab w:val="left" w:pos="1134"/>
          <w:tab w:val="left" w:pos="1701"/>
          <w:tab w:val="left" w:pos="5387"/>
          <w:tab w:val="left" w:pos="5954"/>
          <w:tab w:val="left" w:pos="6521"/>
        </w:tabs>
        <w:ind w:left="5387"/>
        <w:rPr>
          <w:i/>
          <w:snapToGrid w:val="0"/>
        </w:rPr>
      </w:pPr>
      <w:r w:rsidRPr="00A5777E">
        <w:rPr>
          <w:i/>
        </w:rPr>
        <w:tab/>
      </w:r>
      <w:r w:rsidRPr="00C66F79">
        <w:rPr>
          <w:i/>
        </w:rPr>
        <w:t>ii)</w:t>
      </w:r>
      <w:r w:rsidRPr="00C66F79">
        <w:rPr>
          <w:i/>
        </w:rPr>
        <w:tab/>
      </w:r>
      <w:r w:rsidR="007E0809" w:rsidRPr="007E0809">
        <w:rPr>
          <w:i/>
        </w:rPr>
        <w:t>las propuestas para elaborar orientaciones a fin de alentar a los miembros de la Unión a hacerse cargo, con carácter voluntario, de los informes de examen DHE cuando los solicitantes no puedan presentar material vegetal por motivos fitosanitarios u otras cuestiones conexas; y</w:t>
      </w:r>
    </w:p>
    <w:p w:rsidR="009A4195" w:rsidRDefault="009A4195" w:rsidP="006F2AE6">
      <w:pPr>
        <w:tabs>
          <w:tab w:val="left" w:pos="567"/>
          <w:tab w:val="left" w:pos="1134"/>
          <w:tab w:val="left" w:pos="1701"/>
          <w:tab w:val="left" w:pos="5387"/>
          <w:tab w:val="left" w:pos="5954"/>
        </w:tabs>
        <w:ind w:left="4820" w:firstLine="567"/>
        <w:rPr>
          <w:i/>
          <w:snapToGrid w:val="0"/>
        </w:rPr>
      </w:pPr>
    </w:p>
    <w:p w:rsidR="009A4195" w:rsidRDefault="006F2AE6" w:rsidP="00C66F79">
      <w:pPr>
        <w:tabs>
          <w:tab w:val="left" w:pos="567"/>
          <w:tab w:val="left" w:pos="1134"/>
          <w:tab w:val="left" w:pos="1701"/>
          <w:tab w:val="left" w:pos="5387"/>
          <w:tab w:val="left" w:pos="5954"/>
        </w:tabs>
        <w:ind w:left="4820" w:firstLine="567"/>
        <w:rPr>
          <w:i/>
        </w:rPr>
      </w:pPr>
      <w:r w:rsidRPr="00C66F79">
        <w:rPr>
          <w:i/>
          <w:snapToGrid w:val="0"/>
        </w:rPr>
        <w:t>j)</w:t>
      </w:r>
      <w:r w:rsidRPr="00C66F79">
        <w:rPr>
          <w:i/>
          <w:snapToGrid w:val="0"/>
        </w:rPr>
        <w:tab/>
      </w:r>
      <w:r w:rsidR="007E0809" w:rsidRPr="007E0809">
        <w:rPr>
          <w:i/>
          <w:snapToGrid w:val="0"/>
        </w:rPr>
        <w:t>de que la repercusión de las medidas propuestas se evaluará en función del número de acuerdos de cooperación notificados por los miembros de la Unión, conforme a lo expuesto en el documento C/[xx]/INF/5 “Cooperación en materia de examen”.</w:t>
      </w:r>
    </w:p>
    <w:p w:rsidR="009A4195" w:rsidRDefault="009A4195" w:rsidP="006F2AE6">
      <w:pPr>
        <w:tabs>
          <w:tab w:val="left" w:pos="5954"/>
        </w:tabs>
      </w:pPr>
    </w:p>
    <w:p w:rsidR="009A4195" w:rsidRDefault="009A4195" w:rsidP="006F2AE6"/>
    <w:p w:rsidR="009A4195" w:rsidRDefault="009A4195" w:rsidP="006F2AE6"/>
    <w:p w:rsidR="009A4195" w:rsidRDefault="007E0809" w:rsidP="00C66F79">
      <w:pPr>
        <w:jc w:val="right"/>
      </w:pPr>
      <w:r w:rsidRPr="007E0809">
        <w:t>[Fin del documento]</w:t>
      </w:r>
    </w:p>
    <w:p w:rsidR="00050E16" w:rsidRPr="00A5777E" w:rsidRDefault="00050E16" w:rsidP="006F2AE6">
      <w:pPr>
        <w:jc w:val="right"/>
      </w:pPr>
    </w:p>
    <w:sectPr w:rsidR="00050E16" w:rsidRPr="00A5777E" w:rsidSect="00906DDC">
      <w:head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F09" w:rsidRDefault="00854F09" w:rsidP="006655D3">
      <w:r>
        <w:separator/>
      </w:r>
    </w:p>
    <w:p w:rsidR="00854F09" w:rsidRDefault="00854F09" w:rsidP="006655D3"/>
    <w:p w:rsidR="00854F09" w:rsidRDefault="00854F09" w:rsidP="006655D3"/>
  </w:endnote>
  <w:endnote w:type="continuationSeparator" w:id="0">
    <w:p w:rsidR="00854F09" w:rsidRDefault="00854F09" w:rsidP="006655D3">
      <w:r>
        <w:separator/>
      </w:r>
    </w:p>
    <w:p w:rsidR="00854F09" w:rsidRPr="00294751" w:rsidRDefault="00854F09">
      <w:pPr>
        <w:pStyle w:val="Footer"/>
        <w:spacing w:after="60"/>
        <w:rPr>
          <w:sz w:val="18"/>
          <w:lang w:val="fr-FR"/>
        </w:rPr>
      </w:pPr>
      <w:r w:rsidRPr="00294751">
        <w:rPr>
          <w:sz w:val="18"/>
          <w:lang w:val="fr-FR"/>
        </w:rPr>
        <w:t>[Suite de la note de la page précédente]</w:t>
      </w:r>
    </w:p>
    <w:p w:rsidR="00854F09" w:rsidRPr="00294751" w:rsidRDefault="00854F09" w:rsidP="006655D3">
      <w:pPr>
        <w:rPr>
          <w:lang w:val="fr-FR"/>
        </w:rPr>
      </w:pPr>
    </w:p>
    <w:p w:rsidR="00854F09" w:rsidRPr="00294751" w:rsidRDefault="00854F09" w:rsidP="006655D3">
      <w:pPr>
        <w:rPr>
          <w:lang w:val="fr-FR"/>
        </w:rPr>
      </w:pPr>
    </w:p>
  </w:endnote>
  <w:endnote w:type="continuationNotice" w:id="1">
    <w:p w:rsidR="00854F09" w:rsidRPr="00294751" w:rsidRDefault="00854F09" w:rsidP="006655D3">
      <w:pPr>
        <w:rPr>
          <w:lang w:val="fr-FR"/>
        </w:rPr>
      </w:pPr>
      <w:r w:rsidRPr="00294751">
        <w:rPr>
          <w:lang w:val="fr-FR"/>
        </w:rPr>
        <w:t>[Suite de la note page suivante]</w:t>
      </w:r>
    </w:p>
    <w:p w:rsidR="00854F09" w:rsidRPr="00294751" w:rsidRDefault="00854F09" w:rsidP="006655D3">
      <w:pPr>
        <w:rPr>
          <w:lang w:val="fr-FR"/>
        </w:rPr>
      </w:pPr>
    </w:p>
    <w:p w:rsidR="00854F09" w:rsidRPr="00294751" w:rsidRDefault="00854F0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F09" w:rsidRDefault="00854F09" w:rsidP="006655D3">
      <w:r>
        <w:separator/>
      </w:r>
    </w:p>
  </w:footnote>
  <w:footnote w:type="continuationSeparator" w:id="0">
    <w:p w:rsidR="00854F09" w:rsidRDefault="00854F09" w:rsidP="006655D3">
      <w:r>
        <w:separator/>
      </w:r>
    </w:p>
  </w:footnote>
  <w:footnote w:type="continuationNotice" w:id="1">
    <w:p w:rsidR="00854F09" w:rsidRPr="00AB530F" w:rsidRDefault="00854F09" w:rsidP="00AB530F">
      <w:pPr>
        <w:pStyle w:val="Footer"/>
      </w:pPr>
    </w:p>
  </w:footnote>
  <w:footnote w:id="2">
    <w:p w:rsidR="00854F09" w:rsidRPr="00311992" w:rsidRDefault="00854F09" w:rsidP="00C66F79">
      <w:pPr>
        <w:pStyle w:val="FootnoteText"/>
        <w:rPr>
          <w:lang w:val="es-ES"/>
        </w:rPr>
      </w:pPr>
      <w:r>
        <w:rPr>
          <w:rStyle w:val="FootnoteReference"/>
        </w:rPr>
        <w:footnoteRef/>
      </w:r>
      <w:r w:rsidRPr="00311992">
        <w:rPr>
          <w:lang w:val="es-ES"/>
        </w:rPr>
        <w:t xml:space="preserve"> </w:t>
      </w:r>
      <w:r w:rsidRPr="00FB738A">
        <w:t>Celebrada por vía telemática los días 26 y 27 de octubre de 2020.</w:t>
      </w:r>
    </w:p>
  </w:footnote>
  <w:footnote w:id="3">
    <w:p w:rsidR="00854F09" w:rsidRPr="00311992" w:rsidRDefault="00854F09" w:rsidP="00C66F79">
      <w:pPr>
        <w:pStyle w:val="FootnoteText"/>
        <w:rPr>
          <w:lang w:val="es-ES"/>
        </w:rPr>
      </w:pPr>
      <w:r>
        <w:rPr>
          <w:rStyle w:val="FootnoteReference"/>
        </w:rPr>
        <w:footnoteRef/>
      </w:r>
      <w:r w:rsidRPr="00311992">
        <w:rPr>
          <w:lang w:val="es-ES"/>
        </w:rPr>
        <w:t xml:space="preserve"> </w:t>
      </w:r>
      <w:r w:rsidRPr="00C56400">
        <w:t>Celebrada por vía telemática el 28 de octubre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F09" w:rsidRPr="000A23DC" w:rsidRDefault="00854F09" w:rsidP="000A23DC">
    <w:pPr>
      <w:pStyle w:val="Header"/>
      <w:rPr>
        <w:rStyle w:val="PageNumber"/>
      </w:rPr>
    </w:pPr>
    <w:r>
      <w:rPr>
        <w:rStyle w:val="PageNumber"/>
      </w:rPr>
      <w:t>TC/57</w:t>
    </w:r>
    <w:r w:rsidRPr="000A23DC">
      <w:rPr>
        <w:rStyle w:val="PageNumber"/>
      </w:rPr>
      <w:t>/</w:t>
    </w:r>
    <w:r>
      <w:rPr>
        <w:rStyle w:val="PageNumber"/>
      </w:rPr>
      <w:t>9</w:t>
    </w:r>
  </w:p>
  <w:p w:rsidR="00854F09" w:rsidRPr="008E6F57" w:rsidRDefault="00854F09" w:rsidP="008B3D8D">
    <w:pPr>
      <w:pStyle w:val="Header"/>
    </w:pPr>
    <w:r w:rsidRPr="008E6F57">
      <w:t xml:space="preserve">página </w:t>
    </w:r>
    <w:r w:rsidR="002E63F7" w:rsidRPr="008E6F57">
      <w:rPr>
        <w:rStyle w:val="PageNumber"/>
      </w:rPr>
      <w:fldChar w:fldCharType="begin"/>
    </w:r>
    <w:r w:rsidRPr="008E6F57">
      <w:rPr>
        <w:rStyle w:val="PageNumber"/>
      </w:rPr>
      <w:instrText xml:space="preserve"> PAGE </w:instrText>
    </w:r>
    <w:r w:rsidR="002E63F7" w:rsidRPr="008E6F57">
      <w:rPr>
        <w:rStyle w:val="PageNumber"/>
      </w:rPr>
      <w:fldChar w:fldCharType="separate"/>
    </w:r>
    <w:r w:rsidR="00A2104E">
      <w:rPr>
        <w:rStyle w:val="PageNumber"/>
        <w:noProof/>
      </w:rPr>
      <w:t>8</w:t>
    </w:r>
    <w:r w:rsidR="002E63F7" w:rsidRPr="008E6F57">
      <w:rPr>
        <w:rStyle w:val="PageNumber"/>
      </w:rPr>
      <w:fldChar w:fldCharType="end"/>
    </w:r>
  </w:p>
  <w:p w:rsidR="00854F09" w:rsidRPr="00202E38" w:rsidRDefault="00854F09" w:rsidP="006655D3">
    <w:pP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338E"/>
    <w:multiLevelType w:val="multilevel"/>
    <w:tmpl w:val="117E6628"/>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 w15:restartNumberingAfterBreak="0">
    <w:nsid w:val="2D18286D"/>
    <w:multiLevelType w:val="hybridMultilevel"/>
    <w:tmpl w:val="3174B1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3AB439B"/>
    <w:multiLevelType w:val="hybridMultilevel"/>
    <w:tmpl w:val="BB0E98B4"/>
    <w:lvl w:ilvl="0" w:tplc="B798E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12"/>
  </w:docVars>
  <w:rsids>
    <w:rsidRoot w:val="006F2AE6"/>
    <w:rsid w:val="00010CF3"/>
    <w:rsid w:val="0001118F"/>
    <w:rsid w:val="00011E27"/>
    <w:rsid w:val="000148BC"/>
    <w:rsid w:val="00024AB8"/>
    <w:rsid w:val="00024C05"/>
    <w:rsid w:val="00030854"/>
    <w:rsid w:val="000335BD"/>
    <w:rsid w:val="00036028"/>
    <w:rsid w:val="00044642"/>
    <w:rsid w:val="000446B9"/>
    <w:rsid w:val="00047E21"/>
    <w:rsid w:val="00050E16"/>
    <w:rsid w:val="000638A9"/>
    <w:rsid w:val="00085505"/>
    <w:rsid w:val="00090532"/>
    <w:rsid w:val="000A05D2"/>
    <w:rsid w:val="000A23DC"/>
    <w:rsid w:val="000A6F1B"/>
    <w:rsid w:val="000B3851"/>
    <w:rsid w:val="000B7BB9"/>
    <w:rsid w:val="000B7C7B"/>
    <w:rsid w:val="000C4E25"/>
    <w:rsid w:val="000C7021"/>
    <w:rsid w:val="000D6BBC"/>
    <w:rsid w:val="000D7780"/>
    <w:rsid w:val="000E0E3F"/>
    <w:rsid w:val="000E636A"/>
    <w:rsid w:val="000F2F11"/>
    <w:rsid w:val="0010363D"/>
    <w:rsid w:val="00105929"/>
    <w:rsid w:val="001066E7"/>
    <w:rsid w:val="00110C36"/>
    <w:rsid w:val="001131D5"/>
    <w:rsid w:val="001363C2"/>
    <w:rsid w:val="00140261"/>
    <w:rsid w:val="00141DB8"/>
    <w:rsid w:val="001426BA"/>
    <w:rsid w:val="00156F1C"/>
    <w:rsid w:val="00172084"/>
    <w:rsid w:val="0017474A"/>
    <w:rsid w:val="001758C6"/>
    <w:rsid w:val="0017678B"/>
    <w:rsid w:val="00182B99"/>
    <w:rsid w:val="00187330"/>
    <w:rsid w:val="00191FCD"/>
    <w:rsid w:val="001A203D"/>
    <w:rsid w:val="001B406D"/>
    <w:rsid w:val="001F64BF"/>
    <w:rsid w:val="001F670B"/>
    <w:rsid w:val="001F7C84"/>
    <w:rsid w:val="00202E38"/>
    <w:rsid w:val="0021332C"/>
    <w:rsid w:val="00213982"/>
    <w:rsid w:val="0024416D"/>
    <w:rsid w:val="002464A3"/>
    <w:rsid w:val="00260AA0"/>
    <w:rsid w:val="0026333F"/>
    <w:rsid w:val="0026503A"/>
    <w:rsid w:val="00267362"/>
    <w:rsid w:val="00271911"/>
    <w:rsid w:val="002800A0"/>
    <w:rsid w:val="002801B3"/>
    <w:rsid w:val="00281060"/>
    <w:rsid w:val="002940E8"/>
    <w:rsid w:val="00294751"/>
    <w:rsid w:val="00295416"/>
    <w:rsid w:val="002A6E50"/>
    <w:rsid w:val="002B1185"/>
    <w:rsid w:val="002B4298"/>
    <w:rsid w:val="002C256A"/>
    <w:rsid w:val="002C3D98"/>
    <w:rsid w:val="002D69E8"/>
    <w:rsid w:val="002E2EEF"/>
    <w:rsid w:val="002E3A8B"/>
    <w:rsid w:val="002E5944"/>
    <w:rsid w:val="002E63F7"/>
    <w:rsid w:val="002F3AC1"/>
    <w:rsid w:val="002F6B55"/>
    <w:rsid w:val="002F75E1"/>
    <w:rsid w:val="00305A7F"/>
    <w:rsid w:val="00311992"/>
    <w:rsid w:val="003152FE"/>
    <w:rsid w:val="00324098"/>
    <w:rsid w:val="00327436"/>
    <w:rsid w:val="0033365A"/>
    <w:rsid w:val="00344BD6"/>
    <w:rsid w:val="003459CA"/>
    <w:rsid w:val="00351A90"/>
    <w:rsid w:val="003520B6"/>
    <w:rsid w:val="00354E27"/>
    <w:rsid w:val="0035528D"/>
    <w:rsid w:val="00355E13"/>
    <w:rsid w:val="00361821"/>
    <w:rsid w:val="00361E9E"/>
    <w:rsid w:val="00362FA0"/>
    <w:rsid w:val="00365603"/>
    <w:rsid w:val="003701C6"/>
    <w:rsid w:val="00370C49"/>
    <w:rsid w:val="0037356F"/>
    <w:rsid w:val="00375C54"/>
    <w:rsid w:val="00382197"/>
    <w:rsid w:val="003952A6"/>
    <w:rsid w:val="003A695A"/>
    <w:rsid w:val="003B031A"/>
    <w:rsid w:val="003B58D1"/>
    <w:rsid w:val="003C7FBE"/>
    <w:rsid w:val="003D227C"/>
    <w:rsid w:val="003D2B4D"/>
    <w:rsid w:val="003D7933"/>
    <w:rsid w:val="003E27A7"/>
    <w:rsid w:val="003E6BC1"/>
    <w:rsid w:val="00401B57"/>
    <w:rsid w:val="004032A8"/>
    <w:rsid w:val="0040557F"/>
    <w:rsid w:val="00444A88"/>
    <w:rsid w:val="00460B10"/>
    <w:rsid w:val="0046229F"/>
    <w:rsid w:val="00466B29"/>
    <w:rsid w:val="00467B42"/>
    <w:rsid w:val="00474DA4"/>
    <w:rsid w:val="00476B4D"/>
    <w:rsid w:val="004805FA"/>
    <w:rsid w:val="004935D2"/>
    <w:rsid w:val="00495285"/>
    <w:rsid w:val="004B1215"/>
    <w:rsid w:val="004B5D5D"/>
    <w:rsid w:val="004C0C97"/>
    <w:rsid w:val="004D047D"/>
    <w:rsid w:val="004D567A"/>
    <w:rsid w:val="004E7FDA"/>
    <w:rsid w:val="004F156E"/>
    <w:rsid w:val="004F1E9E"/>
    <w:rsid w:val="004F305A"/>
    <w:rsid w:val="004F3304"/>
    <w:rsid w:val="004F3D46"/>
    <w:rsid w:val="00501715"/>
    <w:rsid w:val="00512164"/>
    <w:rsid w:val="00520297"/>
    <w:rsid w:val="00520EF3"/>
    <w:rsid w:val="005279DD"/>
    <w:rsid w:val="005338F9"/>
    <w:rsid w:val="0054281C"/>
    <w:rsid w:val="00544581"/>
    <w:rsid w:val="00545E42"/>
    <w:rsid w:val="0055268D"/>
    <w:rsid w:val="00562BAF"/>
    <w:rsid w:val="00576BE4"/>
    <w:rsid w:val="005770AA"/>
    <w:rsid w:val="005959B0"/>
    <w:rsid w:val="005A15B8"/>
    <w:rsid w:val="005A1EC1"/>
    <w:rsid w:val="005A400A"/>
    <w:rsid w:val="005D2F93"/>
    <w:rsid w:val="005F7B92"/>
    <w:rsid w:val="00612379"/>
    <w:rsid w:val="006153B6"/>
    <w:rsid w:val="0061555F"/>
    <w:rsid w:val="006234EC"/>
    <w:rsid w:val="0062504E"/>
    <w:rsid w:val="00631E71"/>
    <w:rsid w:val="00636CA6"/>
    <w:rsid w:val="00637EDD"/>
    <w:rsid w:val="00641200"/>
    <w:rsid w:val="00645CA8"/>
    <w:rsid w:val="006513D9"/>
    <w:rsid w:val="006655D3"/>
    <w:rsid w:val="00667404"/>
    <w:rsid w:val="00682953"/>
    <w:rsid w:val="00687EB4"/>
    <w:rsid w:val="00695C56"/>
    <w:rsid w:val="006A5CDE"/>
    <w:rsid w:val="006A644A"/>
    <w:rsid w:val="006B17D2"/>
    <w:rsid w:val="006C224E"/>
    <w:rsid w:val="006C3EBF"/>
    <w:rsid w:val="006D780A"/>
    <w:rsid w:val="006F0560"/>
    <w:rsid w:val="006F0CC0"/>
    <w:rsid w:val="006F2AE6"/>
    <w:rsid w:val="00702623"/>
    <w:rsid w:val="00702F39"/>
    <w:rsid w:val="0071271E"/>
    <w:rsid w:val="00732DEC"/>
    <w:rsid w:val="0073379E"/>
    <w:rsid w:val="00735BD5"/>
    <w:rsid w:val="007465BB"/>
    <w:rsid w:val="00751613"/>
    <w:rsid w:val="007556F6"/>
    <w:rsid w:val="00760EEF"/>
    <w:rsid w:val="00772B51"/>
    <w:rsid w:val="007767EE"/>
    <w:rsid w:val="00777EE5"/>
    <w:rsid w:val="00783722"/>
    <w:rsid w:val="00784836"/>
    <w:rsid w:val="0079023E"/>
    <w:rsid w:val="00790CD1"/>
    <w:rsid w:val="0079448A"/>
    <w:rsid w:val="0079702C"/>
    <w:rsid w:val="007A2854"/>
    <w:rsid w:val="007B4068"/>
    <w:rsid w:val="007C18CE"/>
    <w:rsid w:val="007C1D92"/>
    <w:rsid w:val="007C43FE"/>
    <w:rsid w:val="007C4CB9"/>
    <w:rsid w:val="007D0B9D"/>
    <w:rsid w:val="007D19B0"/>
    <w:rsid w:val="007E0809"/>
    <w:rsid w:val="007E24C1"/>
    <w:rsid w:val="007F3943"/>
    <w:rsid w:val="007F498F"/>
    <w:rsid w:val="007F7C15"/>
    <w:rsid w:val="0080679D"/>
    <w:rsid w:val="008108B0"/>
    <w:rsid w:val="00811B20"/>
    <w:rsid w:val="0081609F"/>
    <w:rsid w:val="008211B5"/>
    <w:rsid w:val="0082296E"/>
    <w:rsid w:val="00824099"/>
    <w:rsid w:val="00830C47"/>
    <w:rsid w:val="00846871"/>
    <w:rsid w:val="00846D7C"/>
    <w:rsid w:val="00854F09"/>
    <w:rsid w:val="00864C55"/>
    <w:rsid w:val="00867AC1"/>
    <w:rsid w:val="008872D4"/>
    <w:rsid w:val="00890DF8"/>
    <w:rsid w:val="008967F1"/>
    <w:rsid w:val="008A743F"/>
    <w:rsid w:val="008B1114"/>
    <w:rsid w:val="008B3D8D"/>
    <w:rsid w:val="008C0970"/>
    <w:rsid w:val="008D0092"/>
    <w:rsid w:val="008D0BC5"/>
    <w:rsid w:val="008D2CF7"/>
    <w:rsid w:val="008D4F19"/>
    <w:rsid w:val="008E5B88"/>
    <w:rsid w:val="008E6F57"/>
    <w:rsid w:val="008F4B4D"/>
    <w:rsid w:val="00900C26"/>
    <w:rsid w:val="0090197F"/>
    <w:rsid w:val="00906DDC"/>
    <w:rsid w:val="009151D6"/>
    <w:rsid w:val="00934E09"/>
    <w:rsid w:val="00936253"/>
    <w:rsid w:val="00940D46"/>
    <w:rsid w:val="00945842"/>
    <w:rsid w:val="00952DD4"/>
    <w:rsid w:val="0095412C"/>
    <w:rsid w:val="0096175D"/>
    <w:rsid w:val="00962CD6"/>
    <w:rsid w:val="00965AE7"/>
    <w:rsid w:val="00970FED"/>
    <w:rsid w:val="00990B59"/>
    <w:rsid w:val="00992D82"/>
    <w:rsid w:val="00997029"/>
    <w:rsid w:val="009A4195"/>
    <w:rsid w:val="009A7339"/>
    <w:rsid w:val="009B440E"/>
    <w:rsid w:val="009C553A"/>
    <w:rsid w:val="009D0C15"/>
    <w:rsid w:val="009D684E"/>
    <w:rsid w:val="009D690D"/>
    <w:rsid w:val="009E65B6"/>
    <w:rsid w:val="009E7BC9"/>
    <w:rsid w:val="00A20201"/>
    <w:rsid w:val="00A2104E"/>
    <w:rsid w:val="00A24C10"/>
    <w:rsid w:val="00A42AC3"/>
    <w:rsid w:val="00A430CF"/>
    <w:rsid w:val="00A54309"/>
    <w:rsid w:val="00A5777E"/>
    <w:rsid w:val="00A706D3"/>
    <w:rsid w:val="00A74586"/>
    <w:rsid w:val="00AB1D71"/>
    <w:rsid w:val="00AB2B46"/>
    <w:rsid w:val="00AB2B93"/>
    <w:rsid w:val="00AB530F"/>
    <w:rsid w:val="00AB7E5B"/>
    <w:rsid w:val="00AC2883"/>
    <w:rsid w:val="00AC6769"/>
    <w:rsid w:val="00AD2A7E"/>
    <w:rsid w:val="00AE0EF1"/>
    <w:rsid w:val="00AE2937"/>
    <w:rsid w:val="00B07301"/>
    <w:rsid w:val="00B11F3E"/>
    <w:rsid w:val="00B224DE"/>
    <w:rsid w:val="00B263DA"/>
    <w:rsid w:val="00B324D4"/>
    <w:rsid w:val="00B36B12"/>
    <w:rsid w:val="00B44704"/>
    <w:rsid w:val="00B46575"/>
    <w:rsid w:val="00B46653"/>
    <w:rsid w:val="00B61777"/>
    <w:rsid w:val="00B6183D"/>
    <w:rsid w:val="00B66ABC"/>
    <w:rsid w:val="00B83EF4"/>
    <w:rsid w:val="00B84BBD"/>
    <w:rsid w:val="00BA413E"/>
    <w:rsid w:val="00BA43FB"/>
    <w:rsid w:val="00BA5624"/>
    <w:rsid w:val="00BB77D0"/>
    <w:rsid w:val="00BC0BD4"/>
    <w:rsid w:val="00BC0CB8"/>
    <w:rsid w:val="00BC127D"/>
    <w:rsid w:val="00BC1FE6"/>
    <w:rsid w:val="00BE02CB"/>
    <w:rsid w:val="00C04D48"/>
    <w:rsid w:val="00C061B6"/>
    <w:rsid w:val="00C0764E"/>
    <w:rsid w:val="00C14B8A"/>
    <w:rsid w:val="00C23E7D"/>
    <w:rsid w:val="00C2446C"/>
    <w:rsid w:val="00C301CE"/>
    <w:rsid w:val="00C36AE5"/>
    <w:rsid w:val="00C41F17"/>
    <w:rsid w:val="00C46644"/>
    <w:rsid w:val="00C527FA"/>
    <w:rsid w:val="00C5280D"/>
    <w:rsid w:val="00C53EB3"/>
    <w:rsid w:val="00C56400"/>
    <w:rsid w:val="00C5791C"/>
    <w:rsid w:val="00C629F6"/>
    <w:rsid w:val="00C645AB"/>
    <w:rsid w:val="00C6492B"/>
    <w:rsid w:val="00C66290"/>
    <w:rsid w:val="00C66F79"/>
    <w:rsid w:val="00C72B7A"/>
    <w:rsid w:val="00C857AD"/>
    <w:rsid w:val="00C973F2"/>
    <w:rsid w:val="00CA304C"/>
    <w:rsid w:val="00CA774A"/>
    <w:rsid w:val="00CC11B0"/>
    <w:rsid w:val="00CC2841"/>
    <w:rsid w:val="00CE1719"/>
    <w:rsid w:val="00CE3822"/>
    <w:rsid w:val="00CE49AB"/>
    <w:rsid w:val="00CF1330"/>
    <w:rsid w:val="00CF7E36"/>
    <w:rsid w:val="00D11964"/>
    <w:rsid w:val="00D34D45"/>
    <w:rsid w:val="00D3708D"/>
    <w:rsid w:val="00D40426"/>
    <w:rsid w:val="00D450A8"/>
    <w:rsid w:val="00D57C96"/>
    <w:rsid w:val="00D57D18"/>
    <w:rsid w:val="00D75606"/>
    <w:rsid w:val="00D86ABC"/>
    <w:rsid w:val="00D91203"/>
    <w:rsid w:val="00D95174"/>
    <w:rsid w:val="00D9682D"/>
    <w:rsid w:val="00DA1E5E"/>
    <w:rsid w:val="00DA3533"/>
    <w:rsid w:val="00DA4973"/>
    <w:rsid w:val="00DA6326"/>
    <w:rsid w:val="00DA6F36"/>
    <w:rsid w:val="00DB596E"/>
    <w:rsid w:val="00DB7773"/>
    <w:rsid w:val="00DC00EA"/>
    <w:rsid w:val="00DC3802"/>
    <w:rsid w:val="00E00970"/>
    <w:rsid w:val="00E07D87"/>
    <w:rsid w:val="00E32F7E"/>
    <w:rsid w:val="00E3367F"/>
    <w:rsid w:val="00E5267B"/>
    <w:rsid w:val="00E632DE"/>
    <w:rsid w:val="00E633F9"/>
    <w:rsid w:val="00E63C0E"/>
    <w:rsid w:val="00E6420C"/>
    <w:rsid w:val="00E6595D"/>
    <w:rsid w:val="00E72D49"/>
    <w:rsid w:val="00E7593C"/>
    <w:rsid w:val="00E7678A"/>
    <w:rsid w:val="00E81D68"/>
    <w:rsid w:val="00E935F1"/>
    <w:rsid w:val="00E94A81"/>
    <w:rsid w:val="00EA1FFB"/>
    <w:rsid w:val="00EB048E"/>
    <w:rsid w:val="00EB4E9C"/>
    <w:rsid w:val="00EC2265"/>
    <w:rsid w:val="00EE34DF"/>
    <w:rsid w:val="00EE3C81"/>
    <w:rsid w:val="00EF2F89"/>
    <w:rsid w:val="00EF7562"/>
    <w:rsid w:val="00F03E98"/>
    <w:rsid w:val="00F0485A"/>
    <w:rsid w:val="00F1237A"/>
    <w:rsid w:val="00F15480"/>
    <w:rsid w:val="00F165CC"/>
    <w:rsid w:val="00F17AA5"/>
    <w:rsid w:val="00F22CBD"/>
    <w:rsid w:val="00F272F1"/>
    <w:rsid w:val="00F3096C"/>
    <w:rsid w:val="00F37EE4"/>
    <w:rsid w:val="00F45372"/>
    <w:rsid w:val="00F560F7"/>
    <w:rsid w:val="00F6334D"/>
    <w:rsid w:val="00F71269"/>
    <w:rsid w:val="00F71F51"/>
    <w:rsid w:val="00F779EB"/>
    <w:rsid w:val="00F814D5"/>
    <w:rsid w:val="00F92727"/>
    <w:rsid w:val="00FA49AB"/>
    <w:rsid w:val="00FB738A"/>
    <w:rsid w:val="00FD0D31"/>
    <w:rsid w:val="00FD20BD"/>
    <w:rsid w:val="00FD3F87"/>
    <w:rsid w:val="00FD4E0D"/>
    <w:rsid w:val="00FE39C7"/>
    <w:rsid w:val="00FF4D07"/>
    <w:rsid w:val="00FF78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893DAA3"/>
  <w15:docId w15:val="{525D96D3-ACFA-40A3-87DA-F2F7F377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967F1"/>
    <w:pPr>
      <w:tabs>
        <w:tab w:val="right" w:leader="dot" w:pos="9639"/>
      </w:tabs>
      <w:spacing w:before="60"/>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6F2AE6"/>
    <w:rPr>
      <w:rFonts w:ascii="Arial" w:hAnsi="Arial"/>
      <w:sz w:val="16"/>
      <w:lang w:val="es-ES_tradnl"/>
    </w:rPr>
  </w:style>
  <w:style w:type="table" w:styleId="TableGrid">
    <w:name w:val="Table Grid"/>
    <w:basedOn w:val="TableNormal"/>
    <w:rsid w:val="006F2AE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uto_list_(i),List Paragraph1"/>
    <w:basedOn w:val="Normal"/>
    <w:link w:val="ListParagraphChar"/>
    <w:uiPriority w:val="34"/>
    <w:qFormat/>
    <w:rsid w:val="006F2AE6"/>
    <w:pPr>
      <w:ind w:left="720"/>
      <w:contextualSpacing/>
    </w:pPr>
    <w:rPr>
      <w:lang w:val="en-US"/>
    </w:rPr>
  </w:style>
  <w:style w:type="character" w:customStyle="1" w:styleId="ListParagraphChar">
    <w:name w:val="List Paragraph Char"/>
    <w:aliases w:val="auto_list_(i) Char,List Paragraph1 Char"/>
    <w:basedOn w:val="DefaultParagraphFont"/>
    <w:link w:val="ListParagraph"/>
    <w:uiPriority w:val="34"/>
    <w:rsid w:val="006F2AE6"/>
    <w:rPr>
      <w:rFonts w:ascii="Arial" w:hAnsi="Arial"/>
    </w:rPr>
  </w:style>
  <w:style w:type="character" w:styleId="FollowedHyperlink">
    <w:name w:val="FollowedHyperlink"/>
    <w:basedOn w:val="DefaultParagraphFont"/>
    <w:semiHidden/>
    <w:unhideWhenUsed/>
    <w:rsid w:val="00466B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pov.int/databases/es/contact_cooperatio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mailto:upov.mail@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3341</Words>
  <Characters>18533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TC/57/9</vt:lpstr>
    </vt:vector>
  </TitlesOfParts>
  <Company>UPOV</Company>
  <LinksUpToDate>false</LinksUpToDate>
  <CharactersWithSpaces>21831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TC/57/9</dc:title>
  <dc:creator>AS</dc:creator>
  <cp:lastModifiedBy>MAY Jessica</cp:lastModifiedBy>
  <cp:revision>4</cp:revision>
  <cp:lastPrinted>2016-11-22T15:41:00Z</cp:lastPrinted>
  <dcterms:created xsi:type="dcterms:W3CDTF">2021-09-20T07:55:00Z</dcterms:created>
  <dcterms:modified xsi:type="dcterms:W3CDTF">2021-09-28T12:50:00Z</dcterms:modified>
</cp:coreProperties>
</file>