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062E9" w14:paraId="27C30BF6" w14:textId="77777777" w:rsidTr="00EB4E9C">
        <w:tc>
          <w:tcPr>
            <w:tcW w:w="6522" w:type="dxa"/>
          </w:tcPr>
          <w:p w14:paraId="49BAD99F" w14:textId="77777777" w:rsidR="00DC3802" w:rsidRPr="003062E9" w:rsidRDefault="00DC3802" w:rsidP="00AC2883">
            <w:pPr>
              <w:rPr>
                <w:lang w:val="es-ES_tradnl"/>
              </w:rPr>
            </w:pPr>
            <w:r w:rsidRPr="003062E9">
              <w:rPr>
                <w:noProof/>
                <w:lang w:val="en-US"/>
              </w:rPr>
              <w:drawing>
                <wp:inline distT="0" distB="0" distL="0" distR="0" wp14:anchorId="10F020C7" wp14:editId="67262F4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03B8DFE" w14:textId="77777777" w:rsidR="00DC3802" w:rsidRPr="003062E9" w:rsidRDefault="002E5944" w:rsidP="00AC2883">
            <w:pPr>
              <w:pStyle w:val="Lettrine"/>
              <w:rPr>
                <w:lang w:val="es-ES_tradnl"/>
              </w:rPr>
            </w:pPr>
            <w:r w:rsidRPr="003062E9">
              <w:rPr>
                <w:lang w:val="es-ES_tradnl"/>
              </w:rPr>
              <w:t>S</w:t>
            </w:r>
          </w:p>
        </w:tc>
      </w:tr>
      <w:tr w:rsidR="00DC3802" w:rsidRPr="003062E9" w14:paraId="6235C483" w14:textId="77777777" w:rsidTr="00645CA8">
        <w:trPr>
          <w:trHeight w:val="219"/>
        </w:trPr>
        <w:tc>
          <w:tcPr>
            <w:tcW w:w="6522" w:type="dxa"/>
          </w:tcPr>
          <w:p w14:paraId="00AEA92C" w14:textId="77777777" w:rsidR="00DC3802" w:rsidRPr="003062E9" w:rsidRDefault="002E5944" w:rsidP="00BC0BD4">
            <w:pPr>
              <w:pStyle w:val="upove"/>
              <w:rPr>
                <w:lang w:val="es-ES_tradnl"/>
              </w:rPr>
            </w:pPr>
            <w:r w:rsidRPr="003062E9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479CB76E" w14:textId="77777777" w:rsidR="00DC3802" w:rsidRPr="003062E9" w:rsidRDefault="00DC3802" w:rsidP="00DA4973">
            <w:pPr>
              <w:rPr>
                <w:lang w:val="es-ES_tradnl"/>
              </w:rPr>
            </w:pPr>
          </w:p>
        </w:tc>
      </w:tr>
    </w:tbl>
    <w:p w14:paraId="43C0BAD1" w14:textId="77777777" w:rsidR="00DC3802" w:rsidRPr="003062E9" w:rsidRDefault="00DC3802" w:rsidP="00DC3802">
      <w:pPr>
        <w:rPr>
          <w:lang w:val="es-ES_tradnl"/>
        </w:rPr>
      </w:pPr>
    </w:p>
    <w:p w14:paraId="53CBCCF9" w14:textId="77777777" w:rsidR="00DA4973" w:rsidRPr="003062E9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062E9" w14:paraId="45302FBE" w14:textId="77777777" w:rsidTr="00EE3C81">
        <w:tc>
          <w:tcPr>
            <w:tcW w:w="6512" w:type="dxa"/>
            <w:tcBorders>
              <w:bottom w:val="single" w:sz="4" w:space="0" w:color="auto"/>
            </w:tcBorders>
          </w:tcPr>
          <w:p w14:paraId="4C835F9F" w14:textId="77777777" w:rsidR="00EB4E9C" w:rsidRPr="003062E9" w:rsidRDefault="002E5944" w:rsidP="00AC2883">
            <w:pPr>
              <w:pStyle w:val="Sessiontc"/>
              <w:spacing w:line="240" w:lineRule="auto"/>
              <w:rPr>
                <w:lang w:val="es-ES_tradnl"/>
              </w:rPr>
            </w:pPr>
            <w:r w:rsidRPr="003062E9">
              <w:rPr>
                <w:lang w:val="es-ES_tradnl"/>
              </w:rPr>
              <w:t>Comité Técnico</w:t>
            </w:r>
          </w:p>
          <w:p w14:paraId="66F83791" w14:textId="77777777" w:rsidR="00EB4E9C" w:rsidRPr="003062E9" w:rsidRDefault="002E5944" w:rsidP="00324098">
            <w:pPr>
              <w:pStyle w:val="Sessiontcplacedate"/>
              <w:rPr>
                <w:sz w:val="22"/>
                <w:lang w:val="es-ES_tradnl"/>
              </w:rPr>
            </w:pPr>
            <w:r w:rsidRPr="003062E9">
              <w:rPr>
                <w:lang w:val="es-ES_tradnl"/>
              </w:rPr>
              <w:t>Quincuagésima séptima sesión</w:t>
            </w:r>
            <w:r w:rsidRPr="003062E9">
              <w:rPr>
                <w:lang w:val="es-ES_tradnl"/>
              </w:rPr>
              <w:br/>
              <w:t>Ginebra, 25 y 26 de octubre de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B78A997" w14:textId="77777777" w:rsidR="00EB4E9C" w:rsidRPr="003062E9" w:rsidRDefault="00467B42" w:rsidP="003C7FBE">
            <w:pPr>
              <w:pStyle w:val="Doccode"/>
              <w:rPr>
                <w:lang w:val="es-ES_tradnl"/>
              </w:rPr>
            </w:pPr>
            <w:r w:rsidRPr="003062E9">
              <w:rPr>
                <w:lang w:val="es-ES_tradnl"/>
              </w:rPr>
              <w:t xml:space="preserve">TC/57/8 </w:t>
            </w:r>
            <w:proofErr w:type="spellStart"/>
            <w:r w:rsidRPr="003062E9">
              <w:rPr>
                <w:lang w:val="es-ES_tradnl"/>
              </w:rPr>
              <w:t>Add</w:t>
            </w:r>
            <w:proofErr w:type="spellEnd"/>
            <w:r w:rsidRPr="003062E9">
              <w:rPr>
                <w:lang w:val="es-ES_tradnl"/>
              </w:rPr>
              <w:t>.</w:t>
            </w:r>
          </w:p>
          <w:p w14:paraId="3F0EDF9F" w14:textId="77777777" w:rsidR="00EB4E9C" w:rsidRPr="003062E9" w:rsidRDefault="00EB4E9C" w:rsidP="003C7FBE">
            <w:pPr>
              <w:pStyle w:val="Docoriginal"/>
              <w:rPr>
                <w:lang w:val="es-ES_tradnl"/>
              </w:rPr>
            </w:pPr>
            <w:r w:rsidRPr="003062E9">
              <w:rPr>
                <w:lang w:val="es-ES_tradnl"/>
              </w:rPr>
              <w:t>Original:</w:t>
            </w:r>
            <w:r w:rsidRPr="003062E9">
              <w:rPr>
                <w:b w:val="0"/>
                <w:lang w:val="es-ES_tradnl"/>
              </w:rPr>
              <w:t xml:space="preserve"> </w:t>
            </w:r>
            <w:proofErr w:type="gramStart"/>
            <w:r w:rsidRPr="003062E9">
              <w:rPr>
                <w:b w:val="0"/>
                <w:lang w:val="es-ES_tradnl"/>
              </w:rPr>
              <w:t>Inglés</w:t>
            </w:r>
            <w:proofErr w:type="gramEnd"/>
          </w:p>
          <w:p w14:paraId="38A5A177" w14:textId="77777777" w:rsidR="00EE3C81" w:rsidRPr="003062E9" w:rsidRDefault="002E5944" w:rsidP="00390134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3062E9">
              <w:rPr>
                <w:lang w:val="es-ES_tradnl"/>
              </w:rPr>
              <w:t>Fecha:</w:t>
            </w:r>
            <w:r w:rsidRPr="003062E9">
              <w:rPr>
                <w:b w:val="0"/>
                <w:lang w:val="es-ES_tradnl"/>
              </w:rPr>
              <w:t xml:space="preserve"> 8 de octubre de 2021</w:t>
            </w:r>
          </w:p>
        </w:tc>
      </w:tr>
    </w:tbl>
    <w:p w14:paraId="7E6CC078" w14:textId="77777777" w:rsidR="000D7780" w:rsidRPr="003062E9" w:rsidRDefault="00390134" w:rsidP="006A644A">
      <w:pPr>
        <w:pStyle w:val="Titleofdoc0"/>
        <w:rPr>
          <w:lang w:val="es-ES_tradnl"/>
        </w:rPr>
      </w:pPr>
      <w:bookmarkStart w:id="0" w:name="TitleOfDoc"/>
      <w:bookmarkEnd w:id="0"/>
      <w:r w:rsidRPr="003062E9">
        <w:rPr>
          <w:lang w:val="es-ES_tradnl"/>
        </w:rPr>
        <w:t>Adición a las</w:t>
      </w:r>
      <w:r w:rsidRPr="003062E9">
        <w:rPr>
          <w:lang w:val="es-ES_tradnl"/>
        </w:rPr>
        <w:br/>
        <w:t>técnicas moleculares</w:t>
      </w:r>
    </w:p>
    <w:p w14:paraId="2D20C816" w14:textId="77777777" w:rsidR="006A644A" w:rsidRPr="003062E9" w:rsidRDefault="000638A9" w:rsidP="006A644A">
      <w:pPr>
        <w:pStyle w:val="preparedby1"/>
        <w:jc w:val="left"/>
        <w:rPr>
          <w:lang w:val="es-ES_tradnl"/>
        </w:rPr>
      </w:pPr>
      <w:bookmarkStart w:id="1" w:name="Prepared"/>
      <w:bookmarkEnd w:id="1"/>
      <w:r w:rsidRPr="003062E9">
        <w:rPr>
          <w:lang w:val="es-ES_tradnl"/>
        </w:rPr>
        <w:t>Documento preparado por la Oficina de la Unión</w:t>
      </w:r>
    </w:p>
    <w:p w14:paraId="5DA8BDA5" w14:textId="77777777" w:rsidR="00050E16" w:rsidRPr="003062E9" w:rsidRDefault="000638A9" w:rsidP="006A644A">
      <w:pPr>
        <w:pStyle w:val="Disclaimer"/>
        <w:rPr>
          <w:lang w:val="es-ES_tradnl"/>
        </w:rPr>
      </w:pPr>
      <w:r w:rsidRPr="003062E9">
        <w:rPr>
          <w:lang w:val="es-ES_tradnl"/>
        </w:rPr>
        <w:t>Descargo de responsabilidad: el presente documento no constituye un documento de política u orientación de la UPOV</w:t>
      </w:r>
    </w:p>
    <w:p w14:paraId="2D8051FD" w14:textId="77777777" w:rsidR="00390134" w:rsidRPr="003062E9" w:rsidRDefault="00390134" w:rsidP="00390134">
      <w:pPr>
        <w:pStyle w:val="Heading1"/>
        <w:rPr>
          <w:snapToGrid w:val="0"/>
          <w:lang w:val="es-ES_tradnl"/>
        </w:rPr>
      </w:pPr>
      <w:bookmarkStart w:id="2" w:name="_Toc53597259"/>
      <w:bookmarkStart w:id="3" w:name="_Toc85563988"/>
      <w:r w:rsidRPr="003062E9">
        <w:rPr>
          <w:snapToGrid w:val="0"/>
          <w:lang w:val="es-ES_tradnl"/>
        </w:rPr>
        <w:t>Resumen</w:t>
      </w:r>
      <w:bookmarkEnd w:id="2"/>
      <w:bookmarkEnd w:id="3"/>
    </w:p>
    <w:p w14:paraId="2ED611BB" w14:textId="77777777" w:rsidR="00390134" w:rsidRPr="003062E9" w:rsidRDefault="00390134" w:rsidP="00390134">
      <w:pPr>
        <w:rPr>
          <w:lang w:val="es-ES_tradnl" w:eastAsia="ja-JP"/>
        </w:rPr>
      </w:pPr>
    </w:p>
    <w:p w14:paraId="6572FCF6" w14:textId="7290F725" w:rsidR="00390134" w:rsidRPr="003062E9" w:rsidRDefault="00390134" w:rsidP="00390134">
      <w:pPr>
        <w:rPr>
          <w:color w:val="000000"/>
          <w:lang w:val="es-ES_tradnl"/>
        </w:rPr>
      </w:pPr>
      <w:r w:rsidRPr="003062E9">
        <w:rPr>
          <w:color w:val="000000"/>
          <w:lang w:val="es-ES_tradnl"/>
        </w:rPr>
        <w:fldChar w:fldCharType="begin"/>
      </w:r>
      <w:r w:rsidRPr="003062E9">
        <w:rPr>
          <w:color w:val="000000"/>
          <w:lang w:val="es-ES_tradnl"/>
        </w:rPr>
        <w:instrText xml:space="preserve"> AUTONUM  </w:instrText>
      </w:r>
      <w:r w:rsidRPr="003062E9">
        <w:rPr>
          <w:color w:val="000000"/>
          <w:lang w:val="es-ES_tradnl"/>
        </w:rPr>
        <w:fldChar w:fldCharType="end"/>
      </w:r>
      <w:r w:rsidRPr="003062E9">
        <w:rPr>
          <w:color w:val="000000"/>
          <w:lang w:val="es-ES_tradnl"/>
        </w:rPr>
        <w:tab/>
      </w:r>
      <w:r w:rsidRPr="003062E9">
        <w:rPr>
          <w:snapToGrid w:val="0"/>
          <w:lang w:val="es-ES_tradnl"/>
        </w:rPr>
        <w:t>La presente adición tiene por objeto informar en la</w:t>
      </w:r>
      <w:r w:rsidR="001D329A" w:rsidRPr="003062E9">
        <w:rPr>
          <w:snapToGrid w:val="0"/>
          <w:lang w:val="es-ES_tradnl"/>
        </w:rPr>
        <w:t>s</w:t>
      </w:r>
      <w:r w:rsidRPr="003062E9">
        <w:rPr>
          <w:snapToGrid w:val="0"/>
          <w:lang w:val="es-ES_tradnl"/>
        </w:rPr>
        <w:t xml:space="preserve"> sesiones de</w:t>
      </w:r>
      <w:r w:rsidR="001D329A" w:rsidRPr="003062E9">
        <w:rPr>
          <w:snapToGrid w:val="0"/>
          <w:lang w:val="es-ES_tradnl"/>
        </w:rPr>
        <w:t> </w:t>
      </w:r>
      <w:r w:rsidRPr="003062E9">
        <w:rPr>
          <w:snapToGrid w:val="0"/>
          <w:lang w:val="es-ES_tradnl"/>
        </w:rPr>
        <w:t>2021 de los Grupos de Trabajo Técnico (TWP) y del Grupo de Trabajo sobre Técnicas Bioquímicas y Moleculares, y Perfiles de ADN en Particular (BMT) de las novedades que se han producido en relación a: 1)</w:t>
      </w:r>
      <w:r w:rsidR="00484328" w:rsidRPr="003062E9">
        <w:rPr>
          <w:snapToGrid w:val="0"/>
          <w:lang w:val="es-ES_tradnl"/>
        </w:rPr>
        <w:t> </w:t>
      </w:r>
      <w:r w:rsidRPr="003062E9">
        <w:rPr>
          <w:snapToGrid w:val="0"/>
          <w:lang w:val="es-ES_tradnl"/>
        </w:rPr>
        <w:t>cooperación entre las organizaciones internacionales; y 2)</w:t>
      </w:r>
      <w:r w:rsidR="00484328" w:rsidRPr="003062E9">
        <w:rPr>
          <w:snapToGrid w:val="0"/>
          <w:lang w:val="es-ES_tradnl"/>
        </w:rPr>
        <w:t> </w:t>
      </w:r>
      <w:r w:rsidRPr="003062E9">
        <w:rPr>
          <w:snapToGrid w:val="0"/>
          <w:lang w:val="es-ES_tradnl"/>
        </w:rPr>
        <w:t>sesiones para facilitar la cooperación en el uso de técnicas moleculares</w:t>
      </w:r>
      <w:r w:rsidRPr="003062E9">
        <w:rPr>
          <w:color w:val="000000"/>
          <w:lang w:val="es-ES_tradnl"/>
        </w:rPr>
        <w:t>.</w:t>
      </w:r>
    </w:p>
    <w:p w14:paraId="075F54E5" w14:textId="77777777" w:rsidR="00390134" w:rsidRPr="003062E9" w:rsidRDefault="00390134" w:rsidP="00390134">
      <w:pPr>
        <w:jc w:val="left"/>
        <w:rPr>
          <w:rFonts w:cs="Arial"/>
          <w:snapToGrid w:val="0"/>
          <w:szCs w:val="24"/>
          <w:lang w:val="es-ES_tradnl" w:eastAsia="ja-JP"/>
        </w:rPr>
      </w:pPr>
    </w:p>
    <w:p w14:paraId="6F487B67" w14:textId="77777777" w:rsidR="00390134" w:rsidRPr="003062E9" w:rsidRDefault="00390134" w:rsidP="00390134">
      <w:pPr>
        <w:tabs>
          <w:tab w:val="left" w:pos="567"/>
          <w:tab w:val="left" w:pos="1134"/>
          <w:tab w:val="left" w:pos="5387"/>
          <w:tab w:val="left" w:pos="5954"/>
        </w:tabs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Se invita al TC a:</w:t>
      </w:r>
    </w:p>
    <w:p w14:paraId="4AB310AF" w14:textId="77777777" w:rsidR="00390134" w:rsidRPr="003062E9" w:rsidRDefault="00390134" w:rsidP="00390134">
      <w:pPr>
        <w:tabs>
          <w:tab w:val="left" w:pos="567"/>
          <w:tab w:val="left" w:pos="1134"/>
          <w:tab w:val="left" w:pos="5387"/>
          <w:tab w:val="left" w:pos="5954"/>
        </w:tabs>
        <w:rPr>
          <w:lang w:val="es-ES_tradnl"/>
        </w:rPr>
      </w:pPr>
    </w:p>
    <w:p w14:paraId="5293E390" w14:textId="50B91236" w:rsidR="00390134" w:rsidRPr="003062E9" w:rsidRDefault="00390134" w:rsidP="00390134">
      <w:pPr>
        <w:tabs>
          <w:tab w:val="left" w:pos="567"/>
          <w:tab w:val="left" w:pos="1134"/>
          <w:tab w:val="left" w:pos="5387"/>
          <w:tab w:val="left" w:pos="5954"/>
        </w:tabs>
        <w:rPr>
          <w:lang w:val="es-ES_tradnl"/>
        </w:rPr>
      </w:pPr>
      <w:r w:rsidRPr="003062E9">
        <w:rPr>
          <w:lang w:val="es-ES_tradnl"/>
        </w:rPr>
        <w:tab/>
        <w:t>a)</w:t>
      </w:r>
      <w:r w:rsidRPr="003062E9">
        <w:rPr>
          <w:lang w:val="es-ES_tradnl"/>
        </w:rPr>
        <w:tab/>
        <w:t>examinar los siguientes posibles temas para un futuro taller conjunto UPOV</w:t>
      </w:r>
      <w:r w:rsidR="00484328" w:rsidRPr="003062E9">
        <w:rPr>
          <w:lang w:val="es-ES_tradnl"/>
        </w:rPr>
        <w:noBreakHyphen/>
      </w:r>
      <w:r w:rsidRPr="003062E9">
        <w:rPr>
          <w:lang w:val="es-ES_tradnl"/>
        </w:rPr>
        <w:t>OCDE</w:t>
      </w:r>
      <w:r w:rsidR="00484328" w:rsidRPr="003062E9">
        <w:rPr>
          <w:lang w:val="es-ES_tradnl"/>
        </w:rPr>
        <w:noBreakHyphen/>
      </w:r>
      <w:r w:rsidRPr="003062E9">
        <w:rPr>
          <w:lang w:val="es-ES_tradnl"/>
        </w:rPr>
        <w:t>ISTA:</w:t>
      </w:r>
    </w:p>
    <w:p w14:paraId="0E8DEAED" w14:textId="77777777" w:rsidR="00390134" w:rsidRPr="003062E9" w:rsidRDefault="00390134" w:rsidP="00390134">
      <w:pPr>
        <w:tabs>
          <w:tab w:val="left" w:pos="567"/>
          <w:tab w:val="left" w:pos="1134"/>
          <w:tab w:val="left" w:pos="5954"/>
        </w:tabs>
        <w:ind w:firstLine="567"/>
        <w:rPr>
          <w:lang w:val="es-ES_tradnl"/>
        </w:rPr>
      </w:pPr>
    </w:p>
    <w:p w14:paraId="757A30E1" w14:textId="361D0B38" w:rsidR="00390134" w:rsidRPr="003062E9" w:rsidRDefault="00390134" w:rsidP="00390134">
      <w:pPr>
        <w:pStyle w:val="ListParagraph"/>
        <w:tabs>
          <w:tab w:val="left" w:pos="567"/>
          <w:tab w:val="left" w:pos="1134"/>
          <w:tab w:val="left" w:pos="1701"/>
          <w:tab w:val="left" w:pos="5954"/>
        </w:tabs>
        <w:ind w:left="1134"/>
        <w:rPr>
          <w:lang w:val="es-ES_tradnl"/>
        </w:rPr>
      </w:pPr>
      <w:r w:rsidRPr="003062E9">
        <w:rPr>
          <w:lang w:val="es-ES_tradnl"/>
        </w:rPr>
        <w:t>i)</w:t>
      </w:r>
      <w:r w:rsidRPr="003062E9">
        <w:rPr>
          <w:lang w:val="es-ES_tradnl"/>
        </w:rPr>
        <w:tab/>
        <w:t>proporcionar información sobre el uso de técnicas moleculares en cada organización;</w:t>
      </w:r>
    </w:p>
    <w:p w14:paraId="6BB21D13" w14:textId="1344431B" w:rsidR="00390134" w:rsidRPr="003062E9" w:rsidRDefault="00390134" w:rsidP="00390134">
      <w:pPr>
        <w:pStyle w:val="ListParagraph"/>
        <w:tabs>
          <w:tab w:val="left" w:pos="567"/>
          <w:tab w:val="left" w:pos="1134"/>
          <w:tab w:val="left" w:pos="1701"/>
          <w:tab w:val="left" w:pos="5954"/>
        </w:tabs>
        <w:ind w:left="1134"/>
        <w:rPr>
          <w:lang w:val="es-ES_tradnl"/>
        </w:rPr>
      </w:pPr>
      <w:r w:rsidRPr="003062E9">
        <w:rPr>
          <w:lang w:val="es-ES_tradnl"/>
        </w:rPr>
        <w:t>ii)</w:t>
      </w:r>
      <w:r w:rsidRPr="003062E9">
        <w:rPr>
          <w:lang w:val="es-ES_tradnl"/>
        </w:rPr>
        <w:tab/>
        <w:t>procedimiento para la aprobación de métodos bioquímicos y moleculares en cada organización; y</w:t>
      </w:r>
    </w:p>
    <w:p w14:paraId="2B124D20" w14:textId="1AC53B6A" w:rsidR="00390134" w:rsidRPr="003062E9" w:rsidRDefault="00390134" w:rsidP="00390134">
      <w:pPr>
        <w:pStyle w:val="ListParagraph"/>
        <w:tabs>
          <w:tab w:val="left" w:pos="567"/>
          <w:tab w:val="left" w:pos="1134"/>
          <w:tab w:val="left" w:pos="1701"/>
          <w:tab w:val="left" w:pos="5954"/>
        </w:tabs>
        <w:ind w:left="1134"/>
        <w:rPr>
          <w:lang w:val="es-ES_tradnl"/>
        </w:rPr>
      </w:pPr>
      <w:r w:rsidRPr="003062E9">
        <w:rPr>
          <w:lang w:val="es-ES_tradnl"/>
        </w:rPr>
        <w:t>iii)</w:t>
      </w:r>
      <w:r w:rsidRPr="003062E9">
        <w:rPr>
          <w:lang w:val="es-ES_tradnl"/>
        </w:rPr>
        <w:tab/>
        <w:t>posibilidades de armonizar los métodos entre la</w:t>
      </w:r>
      <w:r w:rsidR="00484328" w:rsidRPr="003062E9">
        <w:rPr>
          <w:lang w:val="es-ES_tradnl"/>
        </w:rPr>
        <w:t> </w:t>
      </w:r>
      <w:r w:rsidRPr="003062E9">
        <w:rPr>
          <w:lang w:val="es-ES_tradnl"/>
        </w:rPr>
        <w:t>UPOV, la</w:t>
      </w:r>
      <w:r w:rsidR="00484328" w:rsidRPr="003062E9">
        <w:rPr>
          <w:lang w:val="es-ES_tradnl"/>
        </w:rPr>
        <w:t> </w:t>
      </w:r>
      <w:r w:rsidRPr="003062E9">
        <w:rPr>
          <w:lang w:val="es-ES_tradnl"/>
        </w:rPr>
        <w:t>OCDE y la</w:t>
      </w:r>
      <w:r w:rsidR="00484328" w:rsidRPr="003062E9">
        <w:rPr>
          <w:lang w:val="es-ES_tradnl"/>
        </w:rPr>
        <w:t> </w:t>
      </w:r>
      <w:r w:rsidRPr="003062E9">
        <w:rPr>
          <w:lang w:val="es-ES_tradnl"/>
        </w:rPr>
        <w:t xml:space="preserve">ISTA. </w:t>
      </w:r>
    </w:p>
    <w:p w14:paraId="78259BC3" w14:textId="77777777" w:rsidR="00390134" w:rsidRPr="003062E9" w:rsidRDefault="00390134" w:rsidP="00390134">
      <w:pPr>
        <w:tabs>
          <w:tab w:val="left" w:pos="567"/>
          <w:tab w:val="left" w:pos="1134"/>
        </w:tabs>
        <w:jc w:val="left"/>
        <w:rPr>
          <w:rFonts w:cs="Arial"/>
          <w:snapToGrid w:val="0"/>
          <w:szCs w:val="24"/>
          <w:lang w:val="es-ES_tradnl" w:eastAsia="ja-JP"/>
        </w:rPr>
      </w:pPr>
    </w:p>
    <w:p w14:paraId="55D5918F" w14:textId="5AAC973E" w:rsidR="00390134" w:rsidRPr="003062E9" w:rsidRDefault="00390134" w:rsidP="00390134">
      <w:pPr>
        <w:tabs>
          <w:tab w:val="left" w:pos="567"/>
          <w:tab w:val="left" w:pos="1134"/>
          <w:tab w:val="left" w:pos="5387"/>
        </w:tabs>
        <w:ind w:firstLine="567"/>
        <w:rPr>
          <w:lang w:val="es-ES_tradnl"/>
        </w:rPr>
      </w:pPr>
      <w:r w:rsidRPr="003062E9">
        <w:rPr>
          <w:lang w:val="es-ES_tradnl"/>
        </w:rPr>
        <w:t>b)</w:t>
      </w:r>
      <w:r w:rsidRPr="003062E9">
        <w:rPr>
          <w:lang w:val="es-ES_tradnl"/>
        </w:rPr>
        <w:tab/>
        <w:t xml:space="preserve">considerar si mantener la encuesta sobre la utilización de técnicas basadas en marcadores moleculares para obtener información de un mayor número de miembros de la UPOV; y </w:t>
      </w:r>
    </w:p>
    <w:p w14:paraId="7D3DEF64" w14:textId="77777777" w:rsidR="00390134" w:rsidRPr="003062E9" w:rsidRDefault="00390134" w:rsidP="00390134">
      <w:pPr>
        <w:tabs>
          <w:tab w:val="left" w:pos="567"/>
          <w:tab w:val="left" w:pos="1134"/>
          <w:tab w:val="left" w:pos="5387"/>
        </w:tabs>
        <w:ind w:firstLine="567"/>
        <w:rPr>
          <w:lang w:val="es-ES_tradnl"/>
        </w:rPr>
      </w:pPr>
    </w:p>
    <w:p w14:paraId="4C15C45E" w14:textId="6B65E8D5" w:rsidR="00390134" w:rsidRPr="003062E9" w:rsidRDefault="00390134" w:rsidP="00390134">
      <w:pPr>
        <w:tabs>
          <w:tab w:val="left" w:pos="567"/>
          <w:tab w:val="left" w:pos="1134"/>
          <w:tab w:val="left" w:pos="5387"/>
        </w:tabs>
        <w:ind w:firstLine="567"/>
        <w:rPr>
          <w:lang w:val="es-ES_tradnl"/>
        </w:rPr>
      </w:pPr>
      <w:r w:rsidRPr="003062E9">
        <w:rPr>
          <w:lang w:val="es-ES_tradnl"/>
        </w:rPr>
        <w:t>c)</w:t>
      </w:r>
      <w:r w:rsidRPr="003062E9">
        <w:rPr>
          <w:lang w:val="es-ES_tradnl"/>
        </w:rPr>
        <w:tab/>
        <w:t>investigar las razones de algunos miembros de la</w:t>
      </w:r>
      <w:r w:rsidR="008E79CB" w:rsidRPr="003062E9">
        <w:rPr>
          <w:lang w:val="es-ES_tradnl"/>
        </w:rPr>
        <w:t> </w:t>
      </w:r>
      <w:r w:rsidRPr="003062E9">
        <w:rPr>
          <w:lang w:val="es-ES_tradnl"/>
        </w:rPr>
        <w:t>Unión para no responder a la primera encuesta.</w:t>
      </w:r>
    </w:p>
    <w:p w14:paraId="7A1B197F" w14:textId="77777777" w:rsidR="00390134" w:rsidRPr="003062E9" w:rsidRDefault="00390134" w:rsidP="00390134">
      <w:pPr>
        <w:jc w:val="left"/>
        <w:rPr>
          <w:rFonts w:cs="Arial"/>
          <w:snapToGrid w:val="0"/>
          <w:szCs w:val="24"/>
          <w:lang w:val="es-ES_tradnl" w:eastAsia="ja-JP"/>
        </w:rPr>
      </w:pPr>
    </w:p>
    <w:p w14:paraId="7CAE04AF" w14:textId="77777777" w:rsidR="00390134" w:rsidRPr="003062E9" w:rsidRDefault="00390134" w:rsidP="00390134">
      <w:pPr>
        <w:keepNext/>
        <w:keepLines/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El presente documento se estructura del siguiente modo:</w:t>
      </w:r>
    </w:p>
    <w:sdt>
      <w:sdtPr>
        <w:rPr>
          <w:smallCaps/>
          <w:sz w:val="18"/>
          <w:lang w:val="es-ES_tradnl"/>
        </w:rPr>
        <w:id w:val="-1800911247"/>
        <w:docPartObj>
          <w:docPartGallery w:val="Table of Contents"/>
          <w:docPartUnique/>
        </w:docPartObj>
      </w:sdtPr>
      <w:sdtEndPr>
        <w:rPr>
          <w:smallCaps w:val="0"/>
          <w:noProof/>
        </w:rPr>
      </w:sdtEndPr>
      <w:sdtContent>
        <w:p w14:paraId="3AF6AEFA" w14:textId="77777777" w:rsidR="00390134" w:rsidRPr="003062E9" w:rsidRDefault="00390134" w:rsidP="00390134">
          <w:pPr>
            <w:keepNext/>
            <w:keepLines/>
            <w:rPr>
              <w:rFonts w:cs="Arial"/>
              <w:b/>
              <w:sz w:val="18"/>
              <w:lang w:val="es-ES_tradnl"/>
            </w:rPr>
          </w:pPr>
        </w:p>
        <w:p w14:paraId="24A37AF9" w14:textId="77777777" w:rsidR="00257A51" w:rsidRPr="003062E9" w:rsidRDefault="00390134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s-ES_tradnl" w:eastAsia="es-ES"/>
            </w:rPr>
          </w:pPr>
          <w:r w:rsidRPr="003062E9">
            <w:rPr>
              <w:rFonts w:cs="Arial"/>
              <w:szCs w:val="18"/>
              <w:lang w:val="es-ES_tradnl"/>
            </w:rPr>
            <w:fldChar w:fldCharType="begin"/>
          </w:r>
          <w:r w:rsidRPr="003062E9">
            <w:rPr>
              <w:rFonts w:cs="Arial"/>
              <w:bCs/>
              <w:szCs w:val="18"/>
              <w:lang w:val="es-ES_tradnl"/>
            </w:rPr>
            <w:instrText xml:space="preserve"> TOC \o "1-3" \h \z \u </w:instrText>
          </w:r>
          <w:r w:rsidRPr="003062E9">
            <w:rPr>
              <w:rFonts w:cs="Arial"/>
              <w:szCs w:val="18"/>
              <w:lang w:val="es-ES_tradnl"/>
            </w:rPr>
            <w:fldChar w:fldCharType="separate"/>
          </w:r>
          <w:hyperlink w:anchor="_Toc85563988" w:history="1">
            <w:r w:rsidR="00257A51" w:rsidRPr="003062E9">
              <w:rPr>
                <w:rStyle w:val="Hyperlink"/>
                <w:noProof/>
                <w:snapToGrid w:val="0"/>
                <w:lang w:val="es-ES_tradnl"/>
              </w:rPr>
              <w:t>Resumen</w:t>
            </w:r>
            <w:r w:rsidR="00257A51" w:rsidRPr="003062E9">
              <w:rPr>
                <w:noProof/>
                <w:webHidden/>
                <w:lang w:val="es-ES_tradnl"/>
              </w:rPr>
              <w:tab/>
            </w:r>
            <w:r w:rsidR="00257A51" w:rsidRPr="003062E9">
              <w:rPr>
                <w:noProof/>
                <w:webHidden/>
                <w:lang w:val="es-ES_tradnl"/>
              </w:rPr>
              <w:fldChar w:fldCharType="begin"/>
            </w:r>
            <w:r w:rsidR="00257A51" w:rsidRPr="003062E9">
              <w:rPr>
                <w:noProof/>
                <w:webHidden/>
                <w:lang w:val="es-ES_tradnl"/>
              </w:rPr>
              <w:instrText xml:space="preserve"> PAGEREF _Toc85563988 \h </w:instrText>
            </w:r>
            <w:r w:rsidR="00257A51" w:rsidRPr="003062E9">
              <w:rPr>
                <w:noProof/>
                <w:webHidden/>
                <w:lang w:val="es-ES_tradnl"/>
              </w:rPr>
            </w:r>
            <w:r w:rsidR="00257A51" w:rsidRPr="003062E9">
              <w:rPr>
                <w:noProof/>
                <w:webHidden/>
                <w:lang w:val="es-ES_tradnl"/>
              </w:rPr>
              <w:fldChar w:fldCharType="separate"/>
            </w:r>
            <w:r w:rsidR="00257A51" w:rsidRPr="003062E9">
              <w:rPr>
                <w:noProof/>
                <w:webHidden/>
                <w:lang w:val="es-ES_tradnl"/>
              </w:rPr>
              <w:t>1</w:t>
            </w:r>
            <w:r w:rsidR="00257A51" w:rsidRPr="003062E9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2EB1673E" w14:textId="77777777" w:rsidR="00257A51" w:rsidRPr="003062E9" w:rsidRDefault="00BC6F5E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s-ES_tradnl" w:eastAsia="es-ES"/>
            </w:rPr>
          </w:pPr>
          <w:hyperlink w:anchor="_Toc85563989" w:history="1">
            <w:r w:rsidR="00257A51" w:rsidRPr="003062E9">
              <w:rPr>
                <w:rStyle w:val="Hyperlink"/>
                <w:noProof/>
                <w:lang w:val="es-ES_tradnl"/>
              </w:rPr>
              <w:t>Cooperación entre las organizaciones internacionales</w:t>
            </w:r>
            <w:r w:rsidR="00257A51" w:rsidRPr="003062E9">
              <w:rPr>
                <w:noProof/>
                <w:webHidden/>
                <w:lang w:val="es-ES_tradnl"/>
              </w:rPr>
              <w:tab/>
            </w:r>
            <w:r w:rsidR="00257A51" w:rsidRPr="003062E9">
              <w:rPr>
                <w:noProof/>
                <w:webHidden/>
                <w:lang w:val="es-ES_tradnl"/>
              </w:rPr>
              <w:fldChar w:fldCharType="begin"/>
            </w:r>
            <w:r w:rsidR="00257A51" w:rsidRPr="003062E9">
              <w:rPr>
                <w:noProof/>
                <w:webHidden/>
                <w:lang w:val="es-ES_tradnl"/>
              </w:rPr>
              <w:instrText xml:space="preserve"> PAGEREF _Toc85563989 \h </w:instrText>
            </w:r>
            <w:r w:rsidR="00257A51" w:rsidRPr="003062E9">
              <w:rPr>
                <w:noProof/>
                <w:webHidden/>
                <w:lang w:val="es-ES_tradnl"/>
              </w:rPr>
            </w:r>
            <w:r w:rsidR="00257A51" w:rsidRPr="003062E9">
              <w:rPr>
                <w:noProof/>
                <w:webHidden/>
                <w:lang w:val="es-ES_tradnl"/>
              </w:rPr>
              <w:fldChar w:fldCharType="separate"/>
            </w:r>
            <w:r w:rsidR="00257A51" w:rsidRPr="003062E9">
              <w:rPr>
                <w:noProof/>
                <w:webHidden/>
                <w:lang w:val="es-ES_tradnl"/>
              </w:rPr>
              <w:t>2</w:t>
            </w:r>
            <w:r w:rsidR="00257A51" w:rsidRPr="003062E9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66D2859F" w14:textId="77777777" w:rsidR="00257A51" w:rsidRPr="003062E9" w:rsidRDefault="00BC6F5E" w:rsidP="00512AD6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hyperlink w:anchor="_Toc85563990" w:history="1">
            <w:r w:rsidR="00257A51" w:rsidRPr="003062E9">
              <w:rPr>
                <w:rStyle w:val="Hyperlink"/>
                <w:noProof/>
                <w:lang w:val="es-ES_tradnl"/>
              </w:rPr>
              <w:t>Listas de posibles iniciativas conjuntas con la OCDE y la ISTA relacionadas con las técnicas moleculares</w:t>
            </w:r>
            <w:r w:rsidR="00257A51" w:rsidRPr="003062E9">
              <w:rPr>
                <w:noProof/>
                <w:webHidden/>
                <w:lang w:val="es-ES_tradnl"/>
              </w:rPr>
              <w:tab/>
            </w:r>
            <w:r w:rsidR="00257A51" w:rsidRPr="003062E9">
              <w:rPr>
                <w:noProof/>
                <w:webHidden/>
                <w:lang w:val="es-ES_tradnl"/>
              </w:rPr>
              <w:fldChar w:fldCharType="begin"/>
            </w:r>
            <w:r w:rsidR="00257A51" w:rsidRPr="003062E9">
              <w:rPr>
                <w:noProof/>
                <w:webHidden/>
                <w:lang w:val="es-ES_tradnl"/>
              </w:rPr>
              <w:instrText xml:space="preserve"> PAGEREF _Toc85563990 \h </w:instrText>
            </w:r>
            <w:r w:rsidR="00257A51" w:rsidRPr="003062E9">
              <w:rPr>
                <w:noProof/>
                <w:webHidden/>
                <w:lang w:val="es-ES_tradnl"/>
              </w:rPr>
            </w:r>
            <w:r w:rsidR="00257A51" w:rsidRPr="003062E9">
              <w:rPr>
                <w:noProof/>
                <w:webHidden/>
                <w:lang w:val="es-ES_tradnl"/>
              </w:rPr>
              <w:fldChar w:fldCharType="separate"/>
            </w:r>
            <w:r w:rsidR="00257A51" w:rsidRPr="003062E9">
              <w:rPr>
                <w:noProof/>
                <w:webHidden/>
                <w:lang w:val="es-ES_tradnl"/>
              </w:rPr>
              <w:t>2</w:t>
            </w:r>
            <w:r w:rsidR="00257A51" w:rsidRPr="003062E9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355D0545" w14:textId="77777777" w:rsidR="00257A51" w:rsidRPr="003062E9" w:rsidRDefault="00BC6F5E" w:rsidP="00512AD6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hyperlink w:anchor="_Toc85563991" w:history="1">
            <w:r w:rsidR="00257A51" w:rsidRPr="003062E9">
              <w:rPr>
                <w:rStyle w:val="Hyperlink"/>
                <w:noProof/>
                <w:lang w:val="es-ES_tradnl"/>
              </w:rPr>
              <w:t>Documento conjunto en el que se explican las principales características de los sistemas de la OCDE, la UPOV y la ISTA</w:t>
            </w:r>
            <w:r w:rsidR="00257A51" w:rsidRPr="003062E9">
              <w:rPr>
                <w:noProof/>
                <w:webHidden/>
                <w:lang w:val="es-ES_tradnl"/>
              </w:rPr>
              <w:tab/>
            </w:r>
            <w:r w:rsidR="00257A51" w:rsidRPr="003062E9">
              <w:rPr>
                <w:noProof/>
                <w:webHidden/>
                <w:lang w:val="es-ES_tradnl"/>
              </w:rPr>
              <w:fldChar w:fldCharType="begin"/>
            </w:r>
            <w:r w:rsidR="00257A51" w:rsidRPr="003062E9">
              <w:rPr>
                <w:noProof/>
                <w:webHidden/>
                <w:lang w:val="es-ES_tradnl"/>
              </w:rPr>
              <w:instrText xml:space="preserve"> PAGEREF _Toc85563991 \h </w:instrText>
            </w:r>
            <w:r w:rsidR="00257A51" w:rsidRPr="003062E9">
              <w:rPr>
                <w:noProof/>
                <w:webHidden/>
                <w:lang w:val="es-ES_tradnl"/>
              </w:rPr>
            </w:r>
            <w:r w:rsidR="00257A51" w:rsidRPr="003062E9">
              <w:rPr>
                <w:noProof/>
                <w:webHidden/>
                <w:lang w:val="es-ES_tradnl"/>
              </w:rPr>
              <w:fldChar w:fldCharType="separate"/>
            </w:r>
            <w:r w:rsidR="00257A51" w:rsidRPr="003062E9">
              <w:rPr>
                <w:noProof/>
                <w:webHidden/>
                <w:lang w:val="es-ES_tradnl"/>
              </w:rPr>
              <w:t>3</w:t>
            </w:r>
            <w:r w:rsidR="00257A51" w:rsidRPr="003062E9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4CA0001B" w14:textId="77777777" w:rsidR="00257A51" w:rsidRPr="003062E9" w:rsidRDefault="00BC6F5E" w:rsidP="00512AD6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hyperlink w:anchor="_Toc85563992" w:history="1">
            <w:r w:rsidR="00257A51" w:rsidRPr="003062E9">
              <w:rPr>
                <w:rStyle w:val="Hyperlink"/>
                <w:noProof/>
                <w:lang w:val="es-ES_tradnl"/>
              </w:rPr>
              <w:t>Inventario sobre el uso de técnicas basadas en marcadores moleculares, por cultivos</w:t>
            </w:r>
            <w:r w:rsidR="00257A51" w:rsidRPr="003062E9">
              <w:rPr>
                <w:noProof/>
                <w:webHidden/>
                <w:lang w:val="es-ES_tradnl"/>
              </w:rPr>
              <w:tab/>
            </w:r>
            <w:r w:rsidR="00257A51" w:rsidRPr="003062E9">
              <w:rPr>
                <w:noProof/>
                <w:webHidden/>
                <w:lang w:val="es-ES_tradnl"/>
              </w:rPr>
              <w:fldChar w:fldCharType="begin"/>
            </w:r>
            <w:r w:rsidR="00257A51" w:rsidRPr="003062E9">
              <w:rPr>
                <w:noProof/>
                <w:webHidden/>
                <w:lang w:val="es-ES_tradnl"/>
              </w:rPr>
              <w:instrText xml:space="preserve"> PAGEREF _Toc85563992 \h </w:instrText>
            </w:r>
            <w:r w:rsidR="00257A51" w:rsidRPr="003062E9">
              <w:rPr>
                <w:noProof/>
                <w:webHidden/>
                <w:lang w:val="es-ES_tradnl"/>
              </w:rPr>
            </w:r>
            <w:r w:rsidR="00257A51" w:rsidRPr="003062E9">
              <w:rPr>
                <w:noProof/>
                <w:webHidden/>
                <w:lang w:val="es-ES_tradnl"/>
              </w:rPr>
              <w:fldChar w:fldCharType="separate"/>
            </w:r>
            <w:r w:rsidR="00257A51" w:rsidRPr="003062E9">
              <w:rPr>
                <w:noProof/>
                <w:webHidden/>
                <w:lang w:val="es-ES_tradnl"/>
              </w:rPr>
              <w:t>3</w:t>
            </w:r>
            <w:r w:rsidR="00257A51" w:rsidRPr="003062E9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3130F60F" w14:textId="77777777" w:rsidR="00257A51" w:rsidRPr="003062E9" w:rsidRDefault="00BC6F5E" w:rsidP="00512AD6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hyperlink w:anchor="_Toc85563993" w:history="1">
            <w:r w:rsidR="00257A51" w:rsidRPr="003062E9">
              <w:rPr>
                <w:rStyle w:val="Hyperlink"/>
                <w:noProof/>
                <w:lang w:val="es-ES_tradnl"/>
              </w:rPr>
              <w:t>International Seed Testing Association (Asociación Internacional para el Ensayo de Semillas)</w:t>
            </w:r>
            <w:r w:rsidR="00257A51" w:rsidRPr="003062E9">
              <w:rPr>
                <w:noProof/>
                <w:webHidden/>
                <w:lang w:val="es-ES_tradnl"/>
              </w:rPr>
              <w:tab/>
            </w:r>
            <w:r w:rsidR="00257A51" w:rsidRPr="003062E9">
              <w:rPr>
                <w:noProof/>
                <w:webHidden/>
                <w:lang w:val="es-ES_tradnl"/>
              </w:rPr>
              <w:fldChar w:fldCharType="begin"/>
            </w:r>
            <w:r w:rsidR="00257A51" w:rsidRPr="003062E9">
              <w:rPr>
                <w:noProof/>
                <w:webHidden/>
                <w:lang w:val="es-ES_tradnl"/>
              </w:rPr>
              <w:instrText xml:space="preserve"> PAGEREF _Toc85563993 \h </w:instrText>
            </w:r>
            <w:r w:rsidR="00257A51" w:rsidRPr="003062E9">
              <w:rPr>
                <w:noProof/>
                <w:webHidden/>
                <w:lang w:val="es-ES_tradnl"/>
              </w:rPr>
            </w:r>
            <w:r w:rsidR="00257A51" w:rsidRPr="003062E9">
              <w:rPr>
                <w:noProof/>
                <w:webHidden/>
                <w:lang w:val="es-ES_tradnl"/>
              </w:rPr>
              <w:fldChar w:fldCharType="separate"/>
            </w:r>
            <w:r w:rsidR="00257A51" w:rsidRPr="003062E9">
              <w:rPr>
                <w:noProof/>
                <w:webHidden/>
                <w:lang w:val="es-ES_tradnl"/>
              </w:rPr>
              <w:t>3</w:t>
            </w:r>
            <w:r w:rsidR="00257A51" w:rsidRPr="003062E9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3E5C66A8" w14:textId="77777777" w:rsidR="00257A51" w:rsidRPr="003062E9" w:rsidRDefault="00BC6F5E" w:rsidP="00512AD6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hyperlink w:anchor="_Toc85563994" w:history="1">
            <w:r w:rsidR="00257A51" w:rsidRPr="003062E9">
              <w:rPr>
                <w:rStyle w:val="Hyperlink"/>
                <w:noProof/>
                <w:lang w:val="es-ES_tradnl"/>
              </w:rPr>
              <w:t>Organización de Cooperación y Desarrollo Económicos</w:t>
            </w:r>
            <w:r w:rsidR="00257A51" w:rsidRPr="003062E9">
              <w:rPr>
                <w:noProof/>
                <w:webHidden/>
                <w:lang w:val="es-ES_tradnl"/>
              </w:rPr>
              <w:tab/>
            </w:r>
            <w:r w:rsidR="00257A51" w:rsidRPr="003062E9">
              <w:rPr>
                <w:noProof/>
                <w:webHidden/>
                <w:lang w:val="es-ES_tradnl"/>
              </w:rPr>
              <w:fldChar w:fldCharType="begin"/>
            </w:r>
            <w:r w:rsidR="00257A51" w:rsidRPr="003062E9">
              <w:rPr>
                <w:noProof/>
                <w:webHidden/>
                <w:lang w:val="es-ES_tradnl"/>
              </w:rPr>
              <w:instrText xml:space="preserve"> PAGEREF _Toc85563994 \h </w:instrText>
            </w:r>
            <w:r w:rsidR="00257A51" w:rsidRPr="003062E9">
              <w:rPr>
                <w:noProof/>
                <w:webHidden/>
                <w:lang w:val="es-ES_tradnl"/>
              </w:rPr>
            </w:r>
            <w:r w:rsidR="00257A51" w:rsidRPr="003062E9">
              <w:rPr>
                <w:noProof/>
                <w:webHidden/>
                <w:lang w:val="es-ES_tradnl"/>
              </w:rPr>
              <w:fldChar w:fldCharType="separate"/>
            </w:r>
            <w:r w:rsidR="00257A51" w:rsidRPr="003062E9">
              <w:rPr>
                <w:noProof/>
                <w:webHidden/>
                <w:lang w:val="es-ES_tradnl"/>
              </w:rPr>
              <w:t>3</w:t>
            </w:r>
            <w:r w:rsidR="00257A51" w:rsidRPr="003062E9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79DB0043" w14:textId="77777777" w:rsidR="00257A51" w:rsidRPr="003062E9" w:rsidRDefault="00BC6F5E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s-ES_tradnl" w:eastAsia="es-ES"/>
            </w:rPr>
          </w:pPr>
          <w:hyperlink w:anchor="_Toc85563995" w:history="1">
            <w:r w:rsidR="00257A51" w:rsidRPr="003062E9">
              <w:rPr>
                <w:rStyle w:val="Hyperlink"/>
                <w:noProof/>
                <w:snapToGrid w:val="0"/>
                <w:lang w:val="es-ES_tradnl"/>
              </w:rPr>
              <w:t>Sesión para facilitar la cooperación en el uso de técnicas moleculares</w:t>
            </w:r>
            <w:r w:rsidR="00257A51" w:rsidRPr="003062E9">
              <w:rPr>
                <w:noProof/>
                <w:webHidden/>
                <w:lang w:val="es-ES_tradnl"/>
              </w:rPr>
              <w:tab/>
            </w:r>
            <w:r w:rsidR="00257A51" w:rsidRPr="003062E9">
              <w:rPr>
                <w:noProof/>
                <w:webHidden/>
                <w:lang w:val="es-ES_tradnl"/>
              </w:rPr>
              <w:fldChar w:fldCharType="begin"/>
            </w:r>
            <w:r w:rsidR="00257A51" w:rsidRPr="003062E9">
              <w:rPr>
                <w:noProof/>
                <w:webHidden/>
                <w:lang w:val="es-ES_tradnl"/>
              </w:rPr>
              <w:instrText xml:space="preserve"> PAGEREF _Toc85563995 \h </w:instrText>
            </w:r>
            <w:r w:rsidR="00257A51" w:rsidRPr="003062E9">
              <w:rPr>
                <w:noProof/>
                <w:webHidden/>
                <w:lang w:val="es-ES_tradnl"/>
              </w:rPr>
            </w:r>
            <w:r w:rsidR="00257A51" w:rsidRPr="003062E9">
              <w:rPr>
                <w:noProof/>
                <w:webHidden/>
                <w:lang w:val="es-ES_tradnl"/>
              </w:rPr>
              <w:fldChar w:fldCharType="separate"/>
            </w:r>
            <w:r w:rsidR="00257A51" w:rsidRPr="003062E9">
              <w:rPr>
                <w:noProof/>
                <w:webHidden/>
                <w:lang w:val="es-ES_tradnl"/>
              </w:rPr>
              <w:t>4</w:t>
            </w:r>
            <w:r w:rsidR="00257A51" w:rsidRPr="003062E9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61A6043F" w14:textId="77777777" w:rsidR="00257A51" w:rsidRPr="003062E9" w:rsidRDefault="00BC6F5E" w:rsidP="00512AD6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hyperlink w:anchor="_Toc85563996" w:history="1">
            <w:r w:rsidR="00257A51" w:rsidRPr="003062E9">
              <w:rPr>
                <w:rStyle w:val="Hyperlink"/>
                <w:noProof/>
                <w:lang w:val="es-ES_tradnl"/>
              </w:rPr>
              <w:t>Grupos de Trabajo Técnico (TWP)</w:t>
            </w:r>
            <w:r w:rsidR="00257A51" w:rsidRPr="003062E9">
              <w:rPr>
                <w:noProof/>
                <w:webHidden/>
                <w:lang w:val="es-ES_tradnl"/>
              </w:rPr>
              <w:tab/>
            </w:r>
            <w:r w:rsidR="00257A51" w:rsidRPr="003062E9">
              <w:rPr>
                <w:noProof/>
                <w:webHidden/>
                <w:lang w:val="es-ES_tradnl"/>
              </w:rPr>
              <w:fldChar w:fldCharType="begin"/>
            </w:r>
            <w:r w:rsidR="00257A51" w:rsidRPr="003062E9">
              <w:rPr>
                <w:noProof/>
                <w:webHidden/>
                <w:lang w:val="es-ES_tradnl"/>
              </w:rPr>
              <w:instrText xml:space="preserve"> PAGEREF _Toc85563996 \h </w:instrText>
            </w:r>
            <w:r w:rsidR="00257A51" w:rsidRPr="003062E9">
              <w:rPr>
                <w:noProof/>
                <w:webHidden/>
                <w:lang w:val="es-ES_tradnl"/>
              </w:rPr>
            </w:r>
            <w:r w:rsidR="00257A51" w:rsidRPr="003062E9">
              <w:rPr>
                <w:noProof/>
                <w:webHidden/>
                <w:lang w:val="es-ES_tradnl"/>
              </w:rPr>
              <w:fldChar w:fldCharType="separate"/>
            </w:r>
            <w:r w:rsidR="00257A51" w:rsidRPr="003062E9">
              <w:rPr>
                <w:noProof/>
                <w:webHidden/>
                <w:lang w:val="es-ES_tradnl"/>
              </w:rPr>
              <w:t>4</w:t>
            </w:r>
            <w:r w:rsidR="00257A51" w:rsidRPr="003062E9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38FDD31B" w14:textId="77777777" w:rsidR="00257A51" w:rsidRPr="003062E9" w:rsidRDefault="00BC6F5E" w:rsidP="00512AD6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hyperlink w:anchor="_Toc85563997" w:history="1">
            <w:r w:rsidR="00257A51" w:rsidRPr="003062E9">
              <w:rPr>
                <w:rStyle w:val="Hyperlink"/>
                <w:noProof/>
                <w:lang w:val="es-ES_tradnl"/>
              </w:rPr>
              <w:t>Grupo de Trabajo sobre Técnicas Bioquímicas y Moleculares, y Perfiles de ADN en Particular (BMT)</w:t>
            </w:r>
            <w:r w:rsidR="00257A51" w:rsidRPr="003062E9">
              <w:rPr>
                <w:noProof/>
                <w:webHidden/>
                <w:lang w:val="es-ES_tradnl"/>
              </w:rPr>
              <w:tab/>
            </w:r>
            <w:r w:rsidR="00257A51" w:rsidRPr="003062E9">
              <w:rPr>
                <w:noProof/>
                <w:webHidden/>
                <w:lang w:val="es-ES_tradnl"/>
              </w:rPr>
              <w:fldChar w:fldCharType="begin"/>
            </w:r>
            <w:r w:rsidR="00257A51" w:rsidRPr="003062E9">
              <w:rPr>
                <w:noProof/>
                <w:webHidden/>
                <w:lang w:val="es-ES_tradnl"/>
              </w:rPr>
              <w:instrText xml:space="preserve"> PAGEREF _Toc85563997 \h </w:instrText>
            </w:r>
            <w:r w:rsidR="00257A51" w:rsidRPr="003062E9">
              <w:rPr>
                <w:noProof/>
                <w:webHidden/>
                <w:lang w:val="es-ES_tradnl"/>
              </w:rPr>
            </w:r>
            <w:r w:rsidR="00257A51" w:rsidRPr="003062E9">
              <w:rPr>
                <w:noProof/>
                <w:webHidden/>
                <w:lang w:val="es-ES_tradnl"/>
              </w:rPr>
              <w:fldChar w:fldCharType="separate"/>
            </w:r>
            <w:r w:rsidR="00257A51" w:rsidRPr="003062E9">
              <w:rPr>
                <w:noProof/>
                <w:webHidden/>
                <w:lang w:val="es-ES_tradnl"/>
              </w:rPr>
              <w:t>4</w:t>
            </w:r>
            <w:r w:rsidR="00257A51" w:rsidRPr="003062E9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7C989410" w14:textId="77777777" w:rsidR="00390134" w:rsidRPr="003062E9" w:rsidRDefault="00390134" w:rsidP="00512AD6">
          <w:pPr>
            <w:pStyle w:val="TOC2"/>
            <w:rPr>
              <w:lang w:val="es-ES_tradnl"/>
            </w:rPr>
          </w:pPr>
          <w:r w:rsidRPr="003062E9">
            <w:rPr>
              <w:lang w:val="es-ES_tradnl"/>
            </w:rPr>
            <w:fldChar w:fldCharType="end"/>
          </w:r>
        </w:p>
      </w:sdtContent>
    </w:sdt>
    <w:p w14:paraId="0475212D" w14:textId="2B0390FA" w:rsidR="00390134" w:rsidRPr="003062E9" w:rsidRDefault="00390134" w:rsidP="00390134">
      <w:pPr>
        <w:rPr>
          <w:sz w:val="18"/>
          <w:lang w:val="es-ES_tradnl"/>
        </w:rPr>
      </w:pPr>
      <w:r w:rsidRPr="003062E9">
        <w:rPr>
          <w:sz w:val="18"/>
          <w:lang w:val="es-ES_tradnl"/>
        </w:rPr>
        <w:t>Anexo: Encuesta dirigida a los participantes en la vigésima sesión del</w:t>
      </w:r>
      <w:r w:rsidR="00E95B41" w:rsidRPr="003062E9">
        <w:rPr>
          <w:sz w:val="18"/>
          <w:lang w:val="es-ES_tradnl"/>
        </w:rPr>
        <w:t> </w:t>
      </w:r>
      <w:r w:rsidRPr="003062E9">
        <w:rPr>
          <w:sz w:val="18"/>
          <w:lang w:val="es-ES_tradnl"/>
        </w:rPr>
        <w:t>BMT acerca de la cooperación con la</w:t>
      </w:r>
      <w:r w:rsidR="00E95B41" w:rsidRPr="003062E9">
        <w:rPr>
          <w:sz w:val="18"/>
          <w:lang w:val="es-ES_tradnl"/>
        </w:rPr>
        <w:t> </w:t>
      </w:r>
      <w:r w:rsidRPr="003062E9">
        <w:rPr>
          <w:sz w:val="18"/>
          <w:lang w:val="es-ES_tradnl"/>
        </w:rPr>
        <w:t>OCDE y la</w:t>
      </w:r>
      <w:r w:rsidR="00E95B41" w:rsidRPr="003062E9">
        <w:rPr>
          <w:sz w:val="18"/>
          <w:lang w:val="es-ES_tradnl"/>
        </w:rPr>
        <w:t> </w:t>
      </w:r>
      <w:r w:rsidRPr="003062E9">
        <w:rPr>
          <w:sz w:val="18"/>
          <w:lang w:val="es-ES_tradnl"/>
        </w:rPr>
        <w:t>ISTA</w:t>
      </w:r>
    </w:p>
    <w:p w14:paraId="1C867C76" w14:textId="77777777" w:rsidR="00390134" w:rsidRPr="003062E9" w:rsidRDefault="00390134" w:rsidP="00390134">
      <w:pPr>
        <w:rPr>
          <w:lang w:val="es-ES_tradnl"/>
        </w:rPr>
      </w:pPr>
    </w:p>
    <w:p w14:paraId="6E618EC9" w14:textId="77777777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En el presente documento se utilizan las siguientes abreviaturas:</w:t>
      </w:r>
    </w:p>
    <w:p w14:paraId="2FAF9FA5" w14:textId="77777777" w:rsidR="00390134" w:rsidRPr="003062E9" w:rsidRDefault="00390134" w:rsidP="00390134">
      <w:pPr>
        <w:rPr>
          <w:lang w:val="es-ES_tradnl"/>
        </w:rPr>
      </w:pPr>
    </w:p>
    <w:p w14:paraId="7F8C42B2" w14:textId="77777777" w:rsidR="00390134" w:rsidRPr="003062E9" w:rsidRDefault="00390134" w:rsidP="00390134">
      <w:pPr>
        <w:keepNext/>
        <w:tabs>
          <w:tab w:val="left" w:pos="567"/>
        </w:tabs>
        <w:ind w:left="1701" w:hanging="1134"/>
        <w:rPr>
          <w:sz w:val="18"/>
          <w:lang w:val="es-ES_tradnl"/>
        </w:rPr>
      </w:pPr>
      <w:r w:rsidRPr="003062E9">
        <w:rPr>
          <w:sz w:val="18"/>
          <w:lang w:val="es-ES_tradnl"/>
        </w:rPr>
        <w:t>BMT:</w:t>
      </w:r>
      <w:r w:rsidRPr="003062E9">
        <w:rPr>
          <w:sz w:val="18"/>
          <w:lang w:val="es-ES_tradnl"/>
        </w:rPr>
        <w:tab/>
        <w:t xml:space="preserve">Grupo de Trabajo sobre Técnicas Bioquímicas y Moleculares, y Perfiles de ADN en Particular </w:t>
      </w:r>
    </w:p>
    <w:p w14:paraId="42E7AAFD" w14:textId="77777777" w:rsidR="00390134" w:rsidRPr="003062E9" w:rsidRDefault="00390134" w:rsidP="00390134">
      <w:pPr>
        <w:ind w:left="1701" w:hanging="1134"/>
        <w:rPr>
          <w:rFonts w:cs="Arial"/>
          <w:snapToGrid w:val="0"/>
          <w:sz w:val="18"/>
          <w:szCs w:val="24"/>
          <w:lang w:val="es-ES_tradnl"/>
        </w:rPr>
      </w:pPr>
      <w:r w:rsidRPr="003062E9">
        <w:rPr>
          <w:snapToGrid w:val="0"/>
          <w:sz w:val="18"/>
          <w:szCs w:val="24"/>
          <w:lang w:val="es-ES_tradnl"/>
        </w:rPr>
        <w:t xml:space="preserve">ISTA: </w:t>
      </w:r>
      <w:r w:rsidRPr="003062E9">
        <w:rPr>
          <w:snapToGrid w:val="0"/>
          <w:sz w:val="18"/>
          <w:szCs w:val="24"/>
          <w:lang w:val="es-ES_tradnl"/>
        </w:rPr>
        <w:tab/>
      </w:r>
      <w:r w:rsidRPr="003062E9">
        <w:rPr>
          <w:i/>
          <w:iCs/>
          <w:snapToGrid w:val="0"/>
          <w:sz w:val="18"/>
          <w:szCs w:val="24"/>
          <w:lang w:val="es-ES_tradnl"/>
        </w:rPr>
        <w:t xml:space="preserve">International </w:t>
      </w:r>
      <w:proofErr w:type="spellStart"/>
      <w:r w:rsidRPr="003062E9">
        <w:rPr>
          <w:i/>
          <w:iCs/>
          <w:snapToGrid w:val="0"/>
          <w:sz w:val="18"/>
          <w:szCs w:val="24"/>
          <w:lang w:val="es-ES_tradnl"/>
        </w:rPr>
        <w:t>Seed</w:t>
      </w:r>
      <w:proofErr w:type="spellEnd"/>
      <w:r w:rsidRPr="003062E9">
        <w:rPr>
          <w:i/>
          <w:iCs/>
          <w:snapToGrid w:val="0"/>
          <w:sz w:val="18"/>
          <w:szCs w:val="24"/>
          <w:lang w:val="es-ES_tradnl"/>
        </w:rPr>
        <w:t xml:space="preserve"> </w:t>
      </w:r>
      <w:proofErr w:type="spellStart"/>
      <w:r w:rsidRPr="003062E9">
        <w:rPr>
          <w:i/>
          <w:iCs/>
          <w:snapToGrid w:val="0"/>
          <w:sz w:val="18"/>
          <w:szCs w:val="24"/>
          <w:lang w:val="es-ES_tradnl"/>
        </w:rPr>
        <w:t>Testing</w:t>
      </w:r>
      <w:proofErr w:type="spellEnd"/>
      <w:r w:rsidRPr="003062E9">
        <w:rPr>
          <w:i/>
          <w:iCs/>
          <w:snapToGrid w:val="0"/>
          <w:sz w:val="18"/>
          <w:szCs w:val="24"/>
          <w:lang w:val="es-ES_tradnl"/>
        </w:rPr>
        <w:t xml:space="preserve"> </w:t>
      </w:r>
      <w:proofErr w:type="spellStart"/>
      <w:r w:rsidRPr="003062E9">
        <w:rPr>
          <w:i/>
          <w:iCs/>
          <w:snapToGrid w:val="0"/>
          <w:sz w:val="18"/>
          <w:szCs w:val="24"/>
          <w:lang w:val="es-ES_tradnl"/>
        </w:rPr>
        <w:t>Association</w:t>
      </w:r>
      <w:proofErr w:type="spellEnd"/>
      <w:r w:rsidRPr="003062E9">
        <w:rPr>
          <w:snapToGrid w:val="0"/>
          <w:sz w:val="18"/>
          <w:szCs w:val="24"/>
          <w:lang w:val="es-ES_tradnl"/>
        </w:rPr>
        <w:t xml:space="preserve"> (Asociación Internacional para el Ensayo de Semillas)</w:t>
      </w:r>
    </w:p>
    <w:p w14:paraId="4C977D5B" w14:textId="77777777" w:rsidR="00390134" w:rsidRPr="003062E9" w:rsidRDefault="00390134" w:rsidP="00390134">
      <w:pPr>
        <w:ind w:left="1701" w:hanging="1134"/>
        <w:rPr>
          <w:rFonts w:eastAsia="PMingLiU" w:cs="Arial"/>
          <w:snapToGrid w:val="0"/>
          <w:sz w:val="18"/>
          <w:szCs w:val="24"/>
          <w:lang w:val="es-ES_tradnl"/>
        </w:rPr>
      </w:pPr>
      <w:r w:rsidRPr="003062E9">
        <w:rPr>
          <w:sz w:val="18"/>
          <w:szCs w:val="24"/>
          <w:lang w:val="es-ES_tradnl"/>
        </w:rPr>
        <w:t>OCDE:</w:t>
      </w:r>
      <w:r w:rsidRPr="003062E9">
        <w:rPr>
          <w:sz w:val="18"/>
          <w:szCs w:val="24"/>
          <w:lang w:val="es-ES_tradnl"/>
        </w:rPr>
        <w:tab/>
      </w:r>
      <w:r w:rsidRPr="003062E9">
        <w:rPr>
          <w:snapToGrid w:val="0"/>
          <w:sz w:val="18"/>
          <w:szCs w:val="24"/>
          <w:lang w:val="es-ES_tradnl"/>
        </w:rPr>
        <w:t>Organización de Cooperación y Desarrollo Económicos</w:t>
      </w:r>
    </w:p>
    <w:p w14:paraId="6AB0F6E7" w14:textId="77777777" w:rsidR="00390134" w:rsidRPr="003062E9" w:rsidRDefault="00390134" w:rsidP="00390134">
      <w:pPr>
        <w:keepNext/>
        <w:tabs>
          <w:tab w:val="left" w:pos="567"/>
        </w:tabs>
        <w:ind w:left="1701" w:hanging="1134"/>
        <w:rPr>
          <w:sz w:val="18"/>
          <w:lang w:val="es-ES_tradnl"/>
        </w:rPr>
      </w:pPr>
      <w:r w:rsidRPr="003062E9">
        <w:rPr>
          <w:sz w:val="18"/>
          <w:lang w:val="es-ES_tradnl"/>
        </w:rPr>
        <w:t>TC:</w:t>
      </w:r>
      <w:r w:rsidRPr="003062E9">
        <w:rPr>
          <w:sz w:val="18"/>
          <w:lang w:val="es-ES_tradnl"/>
        </w:rPr>
        <w:tab/>
        <w:t>Comité Técnico</w:t>
      </w:r>
    </w:p>
    <w:p w14:paraId="21FCFCDF" w14:textId="77777777" w:rsidR="00390134" w:rsidRPr="003062E9" w:rsidRDefault="00390134" w:rsidP="00390134">
      <w:pPr>
        <w:ind w:left="1701" w:hanging="1134"/>
        <w:rPr>
          <w:rFonts w:eastAsia="PMingLiU" w:cs="Arial"/>
          <w:sz w:val="18"/>
          <w:szCs w:val="24"/>
          <w:lang w:val="es-ES_tradnl"/>
        </w:rPr>
      </w:pPr>
      <w:r w:rsidRPr="003062E9">
        <w:rPr>
          <w:sz w:val="18"/>
          <w:szCs w:val="24"/>
          <w:lang w:val="es-ES_tradnl"/>
        </w:rPr>
        <w:t>TWA:</w:t>
      </w:r>
      <w:r w:rsidRPr="003062E9">
        <w:rPr>
          <w:sz w:val="18"/>
          <w:szCs w:val="24"/>
          <w:lang w:val="es-ES_tradnl"/>
        </w:rPr>
        <w:tab/>
        <w:t>Grupo de Trabajo Técnico sobre Plantas Agrícolas</w:t>
      </w:r>
    </w:p>
    <w:p w14:paraId="017DC1A5" w14:textId="77777777" w:rsidR="00390134" w:rsidRPr="003062E9" w:rsidRDefault="00390134" w:rsidP="00390134">
      <w:pPr>
        <w:ind w:left="1701" w:hanging="1134"/>
        <w:rPr>
          <w:rFonts w:eastAsia="PMingLiU" w:cs="Arial"/>
          <w:sz w:val="18"/>
          <w:szCs w:val="24"/>
          <w:lang w:val="es-ES_tradnl"/>
        </w:rPr>
      </w:pPr>
      <w:r w:rsidRPr="003062E9">
        <w:rPr>
          <w:sz w:val="18"/>
          <w:szCs w:val="24"/>
          <w:lang w:val="es-ES_tradnl"/>
        </w:rPr>
        <w:t>TWC:</w:t>
      </w:r>
      <w:r w:rsidRPr="003062E9">
        <w:rPr>
          <w:sz w:val="18"/>
          <w:szCs w:val="24"/>
          <w:lang w:val="es-ES_tradnl"/>
        </w:rPr>
        <w:tab/>
        <w:t>Grupo de Trabajo Técnico sobre Automatización y Programas Informáticos</w:t>
      </w:r>
    </w:p>
    <w:p w14:paraId="507A871F" w14:textId="77777777" w:rsidR="00390134" w:rsidRPr="003062E9" w:rsidRDefault="00390134" w:rsidP="00390134">
      <w:pPr>
        <w:ind w:left="1701" w:hanging="1134"/>
        <w:rPr>
          <w:rFonts w:eastAsia="PMingLiU" w:cs="Arial"/>
          <w:sz w:val="18"/>
          <w:szCs w:val="24"/>
          <w:lang w:val="es-ES_tradnl"/>
        </w:rPr>
      </w:pPr>
      <w:r w:rsidRPr="003062E9">
        <w:rPr>
          <w:sz w:val="18"/>
          <w:szCs w:val="24"/>
          <w:lang w:val="es-ES_tradnl"/>
        </w:rPr>
        <w:t>TWF:</w:t>
      </w:r>
      <w:r w:rsidRPr="003062E9">
        <w:rPr>
          <w:sz w:val="18"/>
          <w:szCs w:val="24"/>
          <w:lang w:val="es-ES_tradnl"/>
        </w:rPr>
        <w:tab/>
        <w:t>Grupo de Trabajo Técnico sobre Plantas Frutales</w:t>
      </w:r>
    </w:p>
    <w:p w14:paraId="079E823D" w14:textId="77777777" w:rsidR="00390134" w:rsidRPr="003062E9" w:rsidRDefault="00390134" w:rsidP="00390134">
      <w:pPr>
        <w:ind w:left="1701" w:hanging="1134"/>
        <w:rPr>
          <w:rFonts w:eastAsia="PMingLiU" w:cs="Arial"/>
          <w:sz w:val="18"/>
          <w:szCs w:val="24"/>
          <w:lang w:val="es-ES_tradnl"/>
        </w:rPr>
      </w:pPr>
      <w:r w:rsidRPr="003062E9">
        <w:rPr>
          <w:sz w:val="18"/>
          <w:szCs w:val="24"/>
          <w:lang w:val="es-ES_tradnl"/>
        </w:rPr>
        <w:t>TWM:</w:t>
      </w:r>
      <w:r w:rsidRPr="003062E9">
        <w:rPr>
          <w:sz w:val="18"/>
          <w:szCs w:val="24"/>
          <w:lang w:val="es-ES_tradnl"/>
        </w:rPr>
        <w:tab/>
        <w:t xml:space="preserve">Grupo de Trabajo Técnico sobre Métodos y Técnicas de Examen </w:t>
      </w:r>
    </w:p>
    <w:p w14:paraId="66F71229" w14:textId="77777777" w:rsidR="00390134" w:rsidRPr="003062E9" w:rsidRDefault="00390134" w:rsidP="00390134">
      <w:pPr>
        <w:ind w:left="1701" w:hanging="1134"/>
        <w:rPr>
          <w:rFonts w:eastAsia="PMingLiU" w:cs="Arial"/>
          <w:sz w:val="18"/>
          <w:szCs w:val="24"/>
          <w:lang w:val="es-ES_tradnl"/>
        </w:rPr>
      </w:pPr>
      <w:r w:rsidRPr="003062E9">
        <w:rPr>
          <w:sz w:val="18"/>
          <w:szCs w:val="24"/>
          <w:lang w:val="es-ES_tradnl"/>
        </w:rPr>
        <w:t>TWO:</w:t>
      </w:r>
      <w:r w:rsidRPr="003062E9">
        <w:rPr>
          <w:sz w:val="18"/>
          <w:szCs w:val="24"/>
          <w:lang w:val="es-ES_tradnl"/>
        </w:rPr>
        <w:tab/>
        <w:t>Grupo de Trabajo Técnico sobre Plantas Ornamentales y Árboles Forestales</w:t>
      </w:r>
    </w:p>
    <w:p w14:paraId="2F808AFC" w14:textId="77777777" w:rsidR="00390134" w:rsidRPr="003062E9" w:rsidRDefault="00390134" w:rsidP="00390134">
      <w:pPr>
        <w:ind w:left="1701" w:hanging="1134"/>
        <w:rPr>
          <w:rFonts w:eastAsia="PMingLiU" w:cs="Arial"/>
          <w:sz w:val="18"/>
          <w:szCs w:val="24"/>
          <w:lang w:val="es-ES_tradnl"/>
        </w:rPr>
      </w:pPr>
      <w:r w:rsidRPr="003062E9">
        <w:rPr>
          <w:sz w:val="18"/>
          <w:szCs w:val="24"/>
          <w:lang w:val="es-ES_tradnl"/>
        </w:rPr>
        <w:t>TWP:</w:t>
      </w:r>
      <w:r w:rsidRPr="003062E9">
        <w:rPr>
          <w:sz w:val="18"/>
          <w:szCs w:val="24"/>
          <w:lang w:val="es-ES_tradnl"/>
        </w:rPr>
        <w:tab/>
        <w:t>Grupos de Trabajo Técnico</w:t>
      </w:r>
    </w:p>
    <w:p w14:paraId="7160A216" w14:textId="77777777" w:rsidR="00390134" w:rsidRPr="003062E9" w:rsidRDefault="00390134" w:rsidP="00390134">
      <w:pPr>
        <w:ind w:left="1701" w:hanging="1134"/>
        <w:rPr>
          <w:rFonts w:eastAsia="PMingLiU" w:cs="Arial"/>
          <w:sz w:val="18"/>
          <w:szCs w:val="24"/>
          <w:lang w:val="es-ES_tradnl"/>
        </w:rPr>
      </w:pPr>
      <w:r w:rsidRPr="003062E9">
        <w:rPr>
          <w:sz w:val="18"/>
          <w:szCs w:val="24"/>
          <w:lang w:val="es-ES_tradnl"/>
        </w:rPr>
        <w:t>TWV:</w:t>
      </w:r>
      <w:r w:rsidRPr="003062E9">
        <w:rPr>
          <w:sz w:val="18"/>
          <w:szCs w:val="24"/>
          <w:lang w:val="es-ES_tradnl"/>
        </w:rPr>
        <w:tab/>
        <w:t>Grupo de Trabajo Técnico sobre Hortalizas</w:t>
      </w:r>
    </w:p>
    <w:p w14:paraId="14682D6F" w14:textId="77777777" w:rsidR="00390134" w:rsidRPr="003062E9" w:rsidRDefault="00390134" w:rsidP="00390134">
      <w:pPr>
        <w:rPr>
          <w:lang w:val="es-ES_tradnl" w:eastAsia="ja-JP"/>
        </w:rPr>
      </w:pPr>
    </w:p>
    <w:p w14:paraId="7BA3B11F" w14:textId="77777777" w:rsidR="00390134" w:rsidRPr="003062E9" w:rsidRDefault="00390134" w:rsidP="00390134">
      <w:pPr>
        <w:rPr>
          <w:lang w:val="es-ES_tradnl" w:eastAsia="ja-JP"/>
        </w:rPr>
      </w:pPr>
    </w:p>
    <w:p w14:paraId="51CEDC22" w14:textId="77777777" w:rsidR="00390134" w:rsidRPr="003062E9" w:rsidRDefault="00390134" w:rsidP="00390134">
      <w:pPr>
        <w:pStyle w:val="Heading1"/>
        <w:rPr>
          <w:lang w:val="es-ES_tradnl"/>
        </w:rPr>
      </w:pPr>
      <w:bookmarkStart w:id="4" w:name="_Toc525647214"/>
      <w:bookmarkStart w:id="5" w:name="_Toc526175654"/>
      <w:bookmarkStart w:id="6" w:name="_Toc69722875"/>
      <w:bookmarkStart w:id="7" w:name="_Toc84364036"/>
      <w:bookmarkStart w:id="8" w:name="_Toc85563989"/>
      <w:r w:rsidRPr="003062E9">
        <w:rPr>
          <w:lang w:val="es-ES_tradnl"/>
        </w:rPr>
        <w:t>Cooperación entre las organizaciones internacionales</w:t>
      </w:r>
      <w:bookmarkEnd w:id="4"/>
      <w:bookmarkEnd w:id="5"/>
      <w:bookmarkEnd w:id="6"/>
      <w:bookmarkEnd w:id="7"/>
      <w:bookmarkEnd w:id="8"/>
    </w:p>
    <w:p w14:paraId="07DFF785" w14:textId="77777777" w:rsidR="00390134" w:rsidRPr="003062E9" w:rsidRDefault="00390134" w:rsidP="00390134">
      <w:pPr>
        <w:keepNext/>
        <w:keepLines/>
        <w:rPr>
          <w:lang w:val="es-ES_tradnl" w:eastAsia="ja-JP"/>
        </w:rPr>
      </w:pPr>
    </w:p>
    <w:p w14:paraId="362763C3" w14:textId="1805610C" w:rsidR="00390134" w:rsidRPr="003062E9" w:rsidRDefault="00390134" w:rsidP="00390134">
      <w:pPr>
        <w:keepNext/>
        <w:keepLines/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En sus sesiones de 2021, el TWV</w:t>
      </w:r>
      <w:r w:rsidRPr="003062E9">
        <w:rPr>
          <w:vertAlign w:val="superscript"/>
          <w:lang w:val="es-ES_tradnl"/>
        </w:rPr>
        <w:footnoteReference w:id="2"/>
      </w:r>
      <w:r w:rsidRPr="003062E9">
        <w:rPr>
          <w:lang w:val="es-ES_tradnl"/>
        </w:rPr>
        <w:t>, el TWO</w:t>
      </w:r>
      <w:r w:rsidRPr="003062E9">
        <w:rPr>
          <w:vertAlign w:val="superscript"/>
          <w:lang w:val="es-ES_tradnl"/>
        </w:rPr>
        <w:footnoteReference w:id="3"/>
      </w:r>
      <w:r w:rsidRPr="003062E9">
        <w:rPr>
          <w:lang w:val="es-ES_tradnl"/>
        </w:rPr>
        <w:t>, el TWA</w:t>
      </w:r>
      <w:r w:rsidRPr="003062E9">
        <w:rPr>
          <w:vertAlign w:val="superscript"/>
          <w:lang w:val="es-ES_tradnl"/>
        </w:rPr>
        <w:footnoteReference w:id="4"/>
      </w:r>
      <w:r w:rsidRPr="003062E9">
        <w:rPr>
          <w:lang w:val="es-ES_tradnl"/>
        </w:rPr>
        <w:t>, el TWF</w:t>
      </w:r>
      <w:r w:rsidRPr="003062E9">
        <w:rPr>
          <w:vertAlign w:val="superscript"/>
          <w:lang w:val="es-ES_tradnl"/>
        </w:rPr>
        <w:footnoteReference w:id="5"/>
      </w:r>
      <w:r w:rsidRPr="003062E9">
        <w:rPr>
          <w:lang w:val="es-ES_tradnl"/>
        </w:rPr>
        <w:t xml:space="preserve"> y el TWC</w:t>
      </w:r>
      <w:r w:rsidRPr="003062E9">
        <w:rPr>
          <w:rStyle w:val="FootnoteReference"/>
          <w:lang w:val="es-ES_tradnl"/>
        </w:rPr>
        <w:footnoteReference w:id="6"/>
      </w:r>
      <w:r w:rsidRPr="003062E9">
        <w:rPr>
          <w:lang w:val="es-ES_tradnl"/>
        </w:rPr>
        <w:t xml:space="preserve"> examinaron el documento TWP/5/7 “</w:t>
      </w:r>
      <w:r w:rsidRPr="003062E9">
        <w:rPr>
          <w:i/>
          <w:lang w:val="es-ES_tradnl"/>
        </w:rPr>
        <w:t xml:space="preserve">Molecular </w:t>
      </w:r>
      <w:proofErr w:type="spellStart"/>
      <w:r w:rsidRPr="003062E9">
        <w:rPr>
          <w:i/>
          <w:lang w:val="es-ES_tradnl"/>
        </w:rPr>
        <w:t>Techniques</w:t>
      </w:r>
      <w:proofErr w:type="spellEnd"/>
      <w:r w:rsidRPr="003062E9">
        <w:rPr>
          <w:lang w:val="es-ES_tradnl"/>
        </w:rPr>
        <w:t xml:space="preserve">” (Técnicas moleculares) </w:t>
      </w:r>
      <w:r w:rsidR="002E3192" w:rsidRPr="003062E9">
        <w:rPr>
          <w:lang w:val="es-ES_tradnl"/>
        </w:rPr>
        <w:t>(véanse los documentos TWV/55/16 “</w:t>
      </w:r>
      <w:proofErr w:type="spellStart"/>
      <w:r w:rsidR="002E3192" w:rsidRPr="003062E9">
        <w:rPr>
          <w:i/>
          <w:iCs/>
          <w:lang w:val="es-ES_tradnl"/>
        </w:rPr>
        <w:t>Report</w:t>
      </w:r>
      <w:proofErr w:type="spellEnd"/>
      <w:r w:rsidR="002E3192" w:rsidRPr="003062E9">
        <w:rPr>
          <w:lang w:val="es-ES_tradnl"/>
        </w:rPr>
        <w:t>”, párrafos 51 a 55; TWO/53/10 “</w:t>
      </w:r>
      <w:proofErr w:type="spellStart"/>
      <w:r w:rsidR="002E3192" w:rsidRPr="003062E9">
        <w:rPr>
          <w:i/>
          <w:iCs/>
          <w:lang w:val="es-ES_tradnl"/>
        </w:rPr>
        <w:t>Report</w:t>
      </w:r>
      <w:proofErr w:type="spellEnd"/>
      <w:r w:rsidR="002E3192" w:rsidRPr="003062E9">
        <w:rPr>
          <w:lang w:val="es-ES_tradnl"/>
        </w:rPr>
        <w:t>”, párrafos 59 a 61; TWA/50/9 “</w:t>
      </w:r>
      <w:proofErr w:type="spellStart"/>
      <w:r w:rsidR="002E3192" w:rsidRPr="003062E9">
        <w:rPr>
          <w:i/>
          <w:iCs/>
          <w:lang w:val="es-ES_tradnl"/>
        </w:rPr>
        <w:t>Report</w:t>
      </w:r>
      <w:proofErr w:type="spellEnd"/>
      <w:r w:rsidR="002E3192" w:rsidRPr="003062E9">
        <w:rPr>
          <w:lang w:val="es-ES_tradnl"/>
        </w:rPr>
        <w:t>”, párrafos 88 a 90; TWF/52/10 “</w:t>
      </w:r>
      <w:proofErr w:type="spellStart"/>
      <w:r w:rsidR="002E3192" w:rsidRPr="003062E9">
        <w:rPr>
          <w:i/>
          <w:iCs/>
          <w:lang w:val="es-ES_tradnl"/>
        </w:rPr>
        <w:t>Report</w:t>
      </w:r>
      <w:proofErr w:type="spellEnd"/>
      <w:r w:rsidR="002E3192" w:rsidRPr="003062E9">
        <w:rPr>
          <w:lang w:val="es-ES_tradnl"/>
        </w:rPr>
        <w:t>”, párrafos 13 a 15; y TWC/39/9 “</w:t>
      </w:r>
      <w:proofErr w:type="spellStart"/>
      <w:r w:rsidR="002E3192" w:rsidRPr="003062E9">
        <w:rPr>
          <w:i/>
          <w:iCs/>
          <w:lang w:val="es-ES_tradnl"/>
        </w:rPr>
        <w:t>Report</w:t>
      </w:r>
      <w:proofErr w:type="spellEnd"/>
      <w:r w:rsidR="002E3192" w:rsidRPr="003062E9">
        <w:rPr>
          <w:lang w:val="es-ES_tradnl"/>
        </w:rPr>
        <w:t>”, párrafos 72 a 76).</w:t>
      </w:r>
    </w:p>
    <w:p w14:paraId="202AFD65" w14:textId="77777777" w:rsidR="00390134" w:rsidRPr="003062E9" w:rsidRDefault="00390134" w:rsidP="00390134">
      <w:pPr>
        <w:rPr>
          <w:lang w:val="es-ES_tradnl"/>
        </w:rPr>
      </w:pPr>
    </w:p>
    <w:p w14:paraId="2C47BF18" w14:textId="3A6544F6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En su vigésima sesión</w:t>
      </w:r>
      <w:r w:rsidRPr="003062E9">
        <w:rPr>
          <w:rStyle w:val="FootnoteReference"/>
          <w:lang w:val="es-ES_tradnl"/>
        </w:rPr>
        <w:footnoteReference w:id="7"/>
      </w:r>
      <w:r w:rsidRPr="003062E9">
        <w:rPr>
          <w:lang w:val="es-ES_tradnl"/>
        </w:rPr>
        <w:t>, el</w:t>
      </w:r>
      <w:r w:rsidR="002E3192" w:rsidRPr="003062E9">
        <w:rPr>
          <w:lang w:val="es-ES_tradnl"/>
        </w:rPr>
        <w:t> </w:t>
      </w:r>
      <w:r w:rsidRPr="003062E9">
        <w:rPr>
          <w:lang w:val="es-ES_tradnl"/>
        </w:rPr>
        <w:t>BMT examinó el documento BMT/20/4 “</w:t>
      </w:r>
      <w:proofErr w:type="spellStart"/>
      <w:r w:rsidRPr="003062E9">
        <w:rPr>
          <w:i/>
          <w:lang w:val="es-ES_tradnl"/>
        </w:rPr>
        <w:t>Cooperation</w:t>
      </w:r>
      <w:proofErr w:type="spellEnd"/>
      <w:r w:rsidRPr="003062E9">
        <w:rPr>
          <w:i/>
          <w:lang w:val="es-ES_tradnl"/>
        </w:rPr>
        <w:t xml:space="preserve"> </w:t>
      </w:r>
      <w:proofErr w:type="spellStart"/>
      <w:r w:rsidRPr="003062E9">
        <w:rPr>
          <w:i/>
          <w:lang w:val="es-ES_tradnl"/>
        </w:rPr>
        <w:t>between</w:t>
      </w:r>
      <w:proofErr w:type="spellEnd"/>
      <w:r w:rsidRPr="003062E9">
        <w:rPr>
          <w:i/>
          <w:lang w:val="es-ES_tradnl"/>
        </w:rPr>
        <w:t xml:space="preserve"> </w:t>
      </w:r>
      <w:proofErr w:type="spellStart"/>
      <w:r w:rsidRPr="003062E9">
        <w:rPr>
          <w:i/>
          <w:lang w:val="es-ES_tradnl"/>
        </w:rPr>
        <w:t>international</w:t>
      </w:r>
      <w:proofErr w:type="spellEnd"/>
      <w:r w:rsidRPr="003062E9">
        <w:rPr>
          <w:i/>
          <w:lang w:val="es-ES_tradnl"/>
        </w:rPr>
        <w:t xml:space="preserve"> </w:t>
      </w:r>
      <w:proofErr w:type="spellStart"/>
      <w:r w:rsidRPr="003062E9">
        <w:rPr>
          <w:i/>
          <w:lang w:val="es-ES_tradnl"/>
        </w:rPr>
        <w:t>organizations</w:t>
      </w:r>
      <w:proofErr w:type="spellEnd"/>
      <w:r w:rsidRPr="003062E9">
        <w:rPr>
          <w:lang w:val="es-ES_tradnl"/>
        </w:rPr>
        <w:t>” (Cooperación entre las organizaciones internacionales) (véanse los párrafos</w:t>
      </w:r>
      <w:r w:rsidR="002E3192" w:rsidRPr="003062E9">
        <w:rPr>
          <w:lang w:val="es-ES_tradnl"/>
        </w:rPr>
        <w:t> </w:t>
      </w:r>
      <w:r w:rsidRPr="003062E9">
        <w:rPr>
          <w:lang w:val="es-ES_tradnl"/>
        </w:rPr>
        <w:t>13 a</w:t>
      </w:r>
      <w:r w:rsidR="002E3192" w:rsidRPr="003062E9">
        <w:rPr>
          <w:lang w:val="es-ES_tradnl"/>
        </w:rPr>
        <w:t> </w:t>
      </w:r>
      <w:r w:rsidRPr="003062E9">
        <w:rPr>
          <w:lang w:val="es-ES_tradnl"/>
        </w:rPr>
        <w:t>24 del documento BMT/20/12 “</w:t>
      </w:r>
      <w:proofErr w:type="spellStart"/>
      <w:r w:rsidRPr="003062E9">
        <w:rPr>
          <w:i/>
          <w:lang w:val="es-ES_tradnl"/>
        </w:rPr>
        <w:t>Report</w:t>
      </w:r>
      <w:proofErr w:type="spellEnd"/>
      <w:r w:rsidRPr="003062E9">
        <w:rPr>
          <w:lang w:val="es-ES_tradnl"/>
        </w:rPr>
        <w:t>”)</w:t>
      </w:r>
    </w:p>
    <w:p w14:paraId="577AC66C" w14:textId="77777777" w:rsidR="00390134" w:rsidRPr="003062E9" w:rsidRDefault="00390134" w:rsidP="00390134">
      <w:pPr>
        <w:rPr>
          <w:lang w:val="es-ES_tradnl"/>
        </w:rPr>
      </w:pPr>
    </w:p>
    <w:p w14:paraId="1C1AFABF" w14:textId="77777777" w:rsidR="00390134" w:rsidRPr="003062E9" w:rsidRDefault="00390134" w:rsidP="00390134">
      <w:pPr>
        <w:rPr>
          <w:lang w:val="es-ES_tradnl"/>
        </w:rPr>
      </w:pPr>
    </w:p>
    <w:p w14:paraId="52123F3D" w14:textId="0D216288" w:rsidR="00390134" w:rsidRPr="003062E9" w:rsidRDefault="00390134" w:rsidP="00390134">
      <w:pPr>
        <w:pStyle w:val="Heading2"/>
        <w:rPr>
          <w:lang w:val="es-ES_tradnl"/>
        </w:rPr>
      </w:pPr>
      <w:bookmarkStart w:id="9" w:name="_Toc14980929"/>
      <w:bookmarkStart w:id="10" w:name="_Toc15059500"/>
      <w:bookmarkStart w:id="11" w:name="_Toc15295345"/>
      <w:bookmarkStart w:id="12" w:name="_Toc22564624"/>
      <w:bookmarkStart w:id="13" w:name="_Toc27663378"/>
      <w:bookmarkStart w:id="14" w:name="_Toc69722878"/>
      <w:bookmarkStart w:id="15" w:name="_Toc84364038"/>
      <w:bookmarkStart w:id="16" w:name="_Toc85563990"/>
      <w:r w:rsidRPr="003062E9">
        <w:rPr>
          <w:lang w:val="es-ES_tradnl"/>
        </w:rPr>
        <w:t>Listas de posibles iniciativas conjuntas con la</w:t>
      </w:r>
      <w:r w:rsidR="002E3192" w:rsidRPr="003062E9">
        <w:rPr>
          <w:lang w:val="es-ES_tradnl"/>
        </w:rPr>
        <w:t> </w:t>
      </w:r>
      <w:r w:rsidRPr="003062E9">
        <w:rPr>
          <w:lang w:val="es-ES_tradnl"/>
        </w:rPr>
        <w:t>OCDE y la</w:t>
      </w:r>
      <w:r w:rsidR="002E3192" w:rsidRPr="003062E9">
        <w:rPr>
          <w:lang w:val="es-ES_tradnl"/>
        </w:rPr>
        <w:t> </w:t>
      </w:r>
      <w:r w:rsidRPr="003062E9">
        <w:rPr>
          <w:lang w:val="es-ES_tradnl"/>
        </w:rPr>
        <w:t>ISTA relacionadas con las técnicas moleculares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110D670" w14:textId="77777777" w:rsidR="00390134" w:rsidRPr="003062E9" w:rsidRDefault="00390134" w:rsidP="00390134">
      <w:pPr>
        <w:rPr>
          <w:lang w:val="es-ES_tradnl"/>
        </w:rPr>
      </w:pPr>
    </w:p>
    <w:p w14:paraId="1DFF40E9" w14:textId="348959A9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Los</w:t>
      </w:r>
      <w:r w:rsidR="002E3192" w:rsidRPr="003062E9">
        <w:rPr>
          <w:lang w:val="es-ES_tradnl"/>
        </w:rPr>
        <w:t> </w:t>
      </w:r>
      <w:r w:rsidRPr="003062E9">
        <w:rPr>
          <w:lang w:val="es-ES_tradnl"/>
        </w:rPr>
        <w:t>TWP y el</w:t>
      </w:r>
      <w:r w:rsidR="002E3192" w:rsidRPr="003062E9">
        <w:rPr>
          <w:lang w:val="es-ES_tradnl"/>
        </w:rPr>
        <w:t> </w:t>
      </w:r>
      <w:r w:rsidRPr="003062E9">
        <w:rPr>
          <w:lang w:val="es-ES_tradnl"/>
        </w:rPr>
        <w:t>BMT tomaron nota de que, en su quincuagésima sexta sesión, el</w:t>
      </w:r>
      <w:r w:rsidR="00302C1B" w:rsidRPr="003062E9">
        <w:rPr>
          <w:lang w:val="es-ES_tradnl"/>
        </w:rPr>
        <w:t> </w:t>
      </w:r>
      <w:r w:rsidRPr="003062E9">
        <w:rPr>
          <w:lang w:val="es-ES_tradnl"/>
        </w:rPr>
        <w:t xml:space="preserve">TC convino en que se debe organizar otro taller conjunto </w:t>
      </w:r>
      <w:r w:rsidR="00302C1B" w:rsidRPr="003062E9">
        <w:rPr>
          <w:lang w:val="es-ES_tradnl"/>
        </w:rPr>
        <w:t>UPOV</w:t>
      </w:r>
      <w:r w:rsidR="00302C1B" w:rsidRPr="003062E9">
        <w:rPr>
          <w:lang w:val="es-ES_tradnl"/>
        </w:rPr>
        <w:noBreakHyphen/>
        <w:t>OCDE</w:t>
      </w:r>
      <w:r w:rsidR="00302C1B" w:rsidRPr="003062E9">
        <w:rPr>
          <w:lang w:val="es-ES_tradnl"/>
        </w:rPr>
        <w:noBreakHyphen/>
        <w:t>ISTA</w:t>
      </w:r>
      <w:r w:rsidRPr="003062E9">
        <w:rPr>
          <w:lang w:val="es-ES_tradnl"/>
        </w:rPr>
        <w:t xml:space="preserve"> relacionado con las técnicas moleculares en un futuro próximo. </w:t>
      </w:r>
    </w:p>
    <w:p w14:paraId="6469E34A" w14:textId="77777777" w:rsidR="00390134" w:rsidRPr="003062E9" w:rsidRDefault="00390134" w:rsidP="00390134">
      <w:pPr>
        <w:rPr>
          <w:lang w:val="es-ES_tradnl"/>
        </w:rPr>
      </w:pPr>
    </w:p>
    <w:p w14:paraId="4D417402" w14:textId="32FD3EB7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Los</w:t>
      </w:r>
      <w:r w:rsidR="00302C1B" w:rsidRPr="003062E9">
        <w:rPr>
          <w:lang w:val="es-ES_tradnl"/>
        </w:rPr>
        <w:t> </w:t>
      </w:r>
      <w:r w:rsidRPr="003062E9">
        <w:rPr>
          <w:lang w:val="es-ES_tradnl"/>
        </w:rPr>
        <w:t>TWP y el</w:t>
      </w:r>
      <w:r w:rsidR="00302C1B" w:rsidRPr="003062E9">
        <w:rPr>
          <w:lang w:val="es-ES_tradnl"/>
        </w:rPr>
        <w:t> </w:t>
      </w:r>
      <w:r w:rsidRPr="003062E9">
        <w:rPr>
          <w:lang w:val="es-ES_tradnl"/>
        </w:rPr>
        <w:t>BMT tomaron nota de que el</w:t>
      </w:r>
      <w:r w:rsidR="00302C1B" w:rsidRPr="003062E9">
        <w:rPr>
          <w:lang w:val="es-ES_tradnl"/>
        </w:rPr>
        <w:t> </w:t>
      </w:r>
      <w:r w:rsidRPr="003062E9">
        <w:rPr>
          <w:lang w:val="es-ES_tradnl"/>
        </w:rPr>
        <w:t xml:space="preserve">TC convino en que un taller conjunto </w:t>
      </w:r>
      <w:r w:rsidR="00302C1B" w:rsidRPr="003062E9">
        <w:rPr>
          <w:lang w:val="es-ES_tradnl"/>
        </w:rPr>
        <w:t>UPOV</w:t>
      </w:r>
      <w:r w:rsidR="00302C1B" w:rsidRPr="003062E9">
        <w:rPr>
          <w:lang w:val="es-ES_tradnl"/>
        </w:rPr>
        <w:noBreakHyphen/>
        <w:t>OCDE</w:t>
      </w:r>
      <w:r w:rsidR="00302C1B" w:rsidRPr="003062E9">
        <w:rPr>
          <w:lang w:val="es-ES_tradnl"/>
        </w:rPr>
        <w:noBreakHyphen/>
        <w:t>ISTA</w:t>
      </w:r>
      <w:r w:rsidRPr="003062E9">
        <w:rPr>
          <w:lang w:val="es-ES_tradnl"/>
        </w:rPr>
        <w:t xml:space="preserve"> relacionado con las técnicas moleculares será una oportunidad para debatir las definiciones utilizadas en las técnicas moleculares con miras a su armonización.</w:t>
      </w:r>
    </w:p>
    <w:p w14:paraId="630C60AB" w14:textId="77777777" w:rsidR="00390134" w:rsidRPr="003062E9" w:rsidRDefault="00390134" w:rsidP="00390134">
      <w:pPr>
        <w:rPr>
          <w:lang w:val="es-ES_tradnl"/>
        </w:rPr>
      </w:pPr>
    </w:p>
    <w:p w14:paraId="6CE56832" w14:textId="5539FFB7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El BMT tomó nota de que, durante su vigésima sesión, se realizó una encuesta para obtener la siguiente información de los participantes:</w:t>
      </w:r>
    </w:p>
    <w:p w14:paraId="37DB2B78" w14:textId="77777777" w:rsidR="00390134" w:rsidRPr="003062E9" w:rsidRDefault="00390134" w:rsidP="00390134">
      <w:pPr>
        <w:rPr>
          <w:lang w:val="es-ES_tradnl"/>
        </w:rPr>
      </w:pPr>
    </w:p>
    <w:p w14:paraId="6E1F643F" w14:textId="0BC5921E" w:rsidR="00390134" w:rsidRPr="003062E9" w:rsidRDefault="00390134" w:rsidP="00390134">
      <w:pPr>
        <w:pStyle w:val="ListParagraph"/>
        <w:numPr>
          <w:ilvl w:val="0"/>
          <w:numId w:val="2"/>
        </w:numPr>
        <w:ind w:left="851" w:hanging="284"/>
        <w:rPr>
          <w:lang w:val="es-ES_tradnl"/>
        </w:rPr>
      </w:pPr>
      <w:r w:rsidRPr="003062E9">
        <w:rPr>
          <w:lang w:val="es-ES_tradnl"/>
        </w:rPr>
        <w:t>¿Cuáles son los ámbitos de interés común entre la</w:t>
      </w:r>
      <w:r w:rsidR="00302C1B" w:rsidRPr="003062E9">
        <w:rPr>
          <w:lang w:val="es-ES_tradnl"/>
        </w:rPr>
        <w:t> </w:t>
      </w:r>
      <w:r w:rsidRPr="003062E9">
        <w:rPr>
          <w:lang w:val="es-ES_tradnl"/>
        </w:rPr>
        <w:t>UPOV, la</w:t>
      </w:r>
      <w:r w:rsidR="00302C1B" w:rsidRPr="003062E9">
        <w:rPr>
          <w:lang w:val="es-ES_tradnl"/>
        </w:rPr>
        <w:t> </w:t>
      </w:r>
      <w:r w:rsidRPr="003062E9">
        <w:rPr>
          <w:lang w:val="es-ES_tradnl"/>
        </w:rPr>
        <w:t>OCDE y la</w:t>
      </w:r>
      <w:r w:rsidR="00302C1B" w:rsidRPr="003062E9">
        <w:rPr>
          <w:lang w:val="es-ES_tradnl"/>
        </w:rPr>
        <w:t> </w:t>
      </w:r>
      <w:r w:rsidRPr="003062E9">
        <w:rPr>
          <w:lang w:val="es-ES_tradnl"/>
        </w:rPr>
        <w:t xml:space="preserve">ISTA en relación con el uso de técnicas bioquímicas y moleculares? </w:t>
      </w:r>
    </w:p>
    <w:p w14:paraId="4555B3EE" w14:textId="0EA84B69" w:rsidR="00390134" w:rsidRPr="003062E9" w:rsidRDefault="00390134" w:rsidP="00390134">
      <w:pPr>
        <w:pStyle w:val="ListParagraph"/>
        <w:numPr>
          <w:ilvl w:val="0"/>
          <w:numId w:val="2"/>
        </w:numPr>
        <w:ind w:left="851" w:hanging="284"/>
        <w:rPr>
          <w:lang w:val="es-ES_tradnl"/>
        </w:rPr>
      </w:pPr>
      <w:r w:rsidRPr="003062E9">
        <w:rPr>
          <w:lang w:val="es-ES_tradnl"/>
        </w:rPr>
        <w:t>¿Qué temas sería adecuado tratar en un taller conjunto UPOV</w:t>
      </w:r>
      <w:r w:rsidR="00302C1B" w:rsidRPr="003062E9">
        <w:rPr>
          <w:lang w:val="es-ES_tradnl"/>
        </w:rPr>
        <w:noBreakHyphen/>
      </w:r>
      <w:r w:rsidRPr="003062E9">
        <w:rPr>
          <w:lang w:val="es-ES_tradnl"/>
        </w:rPr>
        <w:t>OCDE</w:t>
      </w:r>
      <w:r w:rsidR="00302C1B" w:rsidRPr="003062E9">
        <w:rPr>
          <w:lang w:val="es-ES_tradnl"/>
        </w:rPr>
        <w:noBreakHyphen/>
      </w:r>
      <w:r w:rsidRPr="003062E9">
        <w:rPr>
          <w:lang w:val="es-ES_tradnl"/>
        </w:rPr>
        <w:t>ISTA relacionado con las técnicas moleculares?</w:t>
      </w:r>
    </w:p>
    <w:p w14:paraId="03E492CC" w14:textId="77777777" w:rsidR="00390134" w:rsidRPr="003062E9" w:rsidRDefault="00390134" w:rsidP="00390134">
      <w:pPr>
        <w:rPr>
          <w:lang w:val="es-ES_tradnl"/>
        </w:rPr>
      </w:pPr>
    </w:p>
    <w:p w14:paraId="72E04DB6" w14:textId="05B2A1F1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 xml:space="preserve">El BMT examinó las respuestas de la encuesta, que se reproducen en el Anexo II de este documento, y convino en proponer los siguientes posibles temas para un futuro taller conjunto </w:t>
      </w:r>
      <w:r w:rsidR="00302C1B" w:rsidRPr="003062E9">
        <w:rPr>
          <w:lang w:val="es-ES_tradnl"/>
        </w:rPr>
        <w:t>UPOV</w:t>
      </w:r>
      <w:r w:rsidR="00302C1B" w:rsidRPr="003062E9">
        <w:rPr>
          <w:lang w:val="es-ES_tradnl"/>
        </w:rPr>
        <w:noBreakHyphen/>
        <w:t>OCDE</w:t>
      </w:r>
      <w:r w:rsidR="00302C1B" w:rsidRPr="003062E9">
        <w:rPr>
          <w:lang w:val="es-ES_tradnl"/>
        </w:rPr>
        <w:noBreakHyphen/>
        <w:t>ISTA</w:t>
      </w:r>
      <w:r w:rsidRPr="003062E9">
        <w:rPr>
          <w:lang w:val="es-ES_tradnl"/>
        </w:rPr>
        <w:t>:</w:t>
      </w:r>
    </w:p>
    <w:p w14:paraId="22122266" w14:textId="77777777" w:rsidR="00390134" w:rsidRPr="003062E9" w:rsidRDefault="00390134" w:rsidP="00390134">
      <w:pPr>
        <w:rPr>
          <w:lang w:val="es-ES_tradnl"/>
        </w:rPr>
      </w:pPr>
    </w:p>
    <w:p w14:paraId="2CBE7075" w14:textId="77777777" w:rsidR="00390134" w:rsidRPr="003062E9" w:rsidRDefault="00390134" w:rsidP="00390134">
      <w:pPr>
        <w:pStyle w:val="ListParagraph"/>
        <w:numPr>
          <w:ilvl w:val="0"/>
          <w:numId w:val="1"/>
        </w:numPr>
        <w:ind w:left="851" w:hanging="284"/>
        <w:rPr>
          <w:lang w:val="es-ES_tradnl"/>
        </w:rPr>
      </w:pPr>
      <w:r w:rsidRPr="003062E9">
        <w:rPr>
          <w:lang w:val="es-ES_tradnl"/>
        </w:rPr>
        <w:t>proporcionar información sobre el uso de técnicas moleculares en cada organización;</w:t>
      </w:r>
    </w:p>
    <w:p w14:paraId="20ED0455" w14:textId="77777777" w:rsidR="00390134" w:rsidRPr="003062E9" w:rsidRDefault="00390134" w:rsidP="00390134">
      <w:pPr>
        <w:pStyle w:val="ListParagraph"/>
        <w:numPr>
          <w:ilvl w:val="0"/>
          <w:numId w:val="1"/>
        </w:numPr>
        <w:ind w:left="851" w:hanging="284"/>
        <w:rPr>
          <w:lang w:val="es-ES_tradnl"/>
        </w:rPr>
      </w:pPr>
      <w:r w:rsidRPr="003062E9">
        <w:rPr>
          <w:lang w:val="es-ES_tradnl"/>
        </w:rPr>
        <w:t>procedimiento para la aprobación de métodos bioquímicos y moleculares en cada organización; y</w:t>
      </w:r>
    </w:p>
    <w:p w14:paraId="3FCC03D3" w14:textId="4447E413" w:rsidR="00390134" w:rsidRPr="003062E9" w:rsidRDefault="00390134" w:rsidP="00390134">
      <w:pPr>
        <w:pStyle w:val="ListParagraph"/>
        <w:numPr>
          <w:ilvl w:val="0"/>
          <w:numId w:val="1"/>
        </w:numPr>
        <w:ind w:left="851" w:hanging="284"/>
        <w:rPr>
          <w:lang w:val="es-ES_tradnl"/>
        </w:rPr>
      </w:pPr>
      <w:r w:rsidRPr="003062E9">
        <w:rPr>
          <w:lang w:val="es-ES_tradnl"/>
        </w:rPr>
        <w:t>posibilidades de armonizar los métodos entre la</w:t>
      </w:r>
      <w:r w:rsidR="00302C1B" w:rsidRPr="003062E9">
        <w:rPr>
          <w:lang w:val="es-ES_tradnl"/>
        </w:rPr>
        <w:t> </w:t>
      </w:r>
      <w:r w:rsidRPr="003062E9">
        <w:rPr>
          <w:lang w:val="es-ES_tradnl"/>
        </w:rPr>
        <w:t>UPOV, la</w:t>
      </w:r>
      <w:r w:rsidR="00302C1B" w:rsidRPr="003062E9">
        <w:rPr>
          <w:lang w:val="es-ES_tradnl"/>
        </w:rPr>
        <w:t> </w:t>
      </w:r>
      <w:r w:rsidRPr="003062E9">
        <w:rPr>
          <w:lang w:val="es-ES_tradnl"/>
        </w:rPr>
        <w:t>OCDE y la</w:t>
      </w:r>
      <w:r w:rsidR="00302C1B" w:rsidRPr="003062E9">
        <w:rPr>
          <w:lang w:val="es-ES_tradnl"/>
        </w:rPr>
        <w:t> </w:t>
      </w:r>
      <w:r w:rsidRPr="003062E9">
        <w:rPr>
          <w:lang w:val="es-ES_tradnl"/>
        </w:rPr>
        <w:t xml:space="preserve">ISTA. </w:t>
      </w:r>
    </w:p>
    <w:p w14:paraId="10BB926B" w14:textId="77777777" w:rsidR="00390134" w:rsidRPr="003062E9" w:rsidRDefault="00390134" w:rsidP="00390134">
      <w:pPr>
        <w:pStyle w:val="ListParagraph"/>
        <w:ind w:left="851"/>
        <w:rPr>
          <w:lang w:val="es-ES_tradnl"/>
        </w:rPr>
      </w:pPr>
    </w:p>
    <w:p w14:paraId="06ECC168" w14:textId="53C9CC10" w:rsidR="00390134" w:rsidRPr="003062E9" w:rsidRDefault="00390134" w:rsidP="00390134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  <w:r w:rsidRPr="003062E9">
        <w:rPr>
          <w:i/>
          <w:lang w:val="es-ES_tradnl"/>
        </w:rPr>
        <w:fldChar w:fldCharType="begin"/>
      </w:r>
      <w:r w:rsidRPr="003062E9">
        <w:rPr>
          <w:i/>
          <w:lang w:val="es-ES_tradnl"/>
        </w:rPr>
        <w:instrText xml:space="preserve"> AUTONUM  </w:instrText>
      </w:r>
      <w:r w:rsidRPr="003062E9">
        <w:rPr>
          <w:i/>
          <w:lang w:val="es-ES_tradnl"/>
        </w:rPr>
        <w:fldChar w:fldCharType="end"/>
      </w:r>
      <w:r w:rsidRPr="003062E9">
        <w:rPr>
          <w:i/>
          <w:lang w:val="es-ES_tradnl"/>
        </w:rPr>
        <w:tab/>
        <w:t>Se invita al</w:t>
      </w:r>
      <w:r w:rsidR="0073273D" w:rsidRPr="003062E9">
        <w:rPr>
          <w:i/>
          <w:lang w:val="es-ES_tradnl"/>
        </w:rPr>
        <w:t> </w:t>
      </w:r>
      <w:r w:rsidRPr="003062E9">
        <w:rPr>
          <w:i/>
          <w:lang w:val="es-ES_tradnl"/>
        </w:rPr>
        <w:t xml:space="preserve">TC a examinar los siguientes posibles temas para un futuro taller conjunto </w:t>
      </w:r>
      <w:r w:rsidR="0073273D" w:rsidRPr="003062E9">
        <w:rPr>
          <w:i/>
          <w:lang w:val="es-ES_tradnl"/>
        </w:rPr>
        <w:t>UPOV</w:t>
      </w:r>
      <w:r w:rsidR="0073273D" w:rsidRPr="003062E9">
        <w:rPr>
          <w:i/>
          <w:lang w:val="es-ES_tradnl"/>
        </w:rPr>
        <w:noBreakHyphen/>
        <w:t>OCDE</w:t>
      </w:r>
      <w:r w:rsidR="0073273D" w:rsidRPr="003062E9">
        <w:rPr>
          <w:i/>
          <w:lang w:val="es-ES_tradnl"/>
        </w:rPr>
        <w:noBreakHyphen/>
        <w:t>ISTA</w:t>
      </w:r>
      <w:r w:rsidRPr="003062E9">
        <w:rPr>
          <w:i/>
          <w:lang w:val="es-ES_tradnl"/>
        </w:rPr>
        <w:t>:</w:t>
      </w:r>
    </w:p>
    <w:p w14:paraId="43C45E8A" w14:textId="77777777" w:rsidR="00390134" w:rsidRPr="003062E9" w:rsidRDefault="00390134" w:rsidP="00390134">
      <w:pPr>
        <w:tabs>
          <w:tab w:val="left" w:pos="5954"/>
        </w:tabs>
        <w:ind w:left="4820" w:firstLine="567"/>
        <w:rPr>
          <w:i/>
          <w:lang w:val="es-ES_tradnl"/>
        </w:rPr>
      </w:pPr>
    </w:p>
    <w:p w14:paraId="5F6BB0F8" w14:textId="13D22679" w:rsidR="00390134" w:rsidRPr="003062E9" w:rsidRDefault="00390134" w:rsidP="00390134">
      <w:pPr>
        <w:pStyle w:val="DecisionParagraphs"/>
        <w:rPr>
          <w:lang w:val="es-ES_tradnl"/>
        </w:rPr>
      </w:pPr>
      <w:r w:rsidRPr="003062E9">
        <w:rPr>
          <w:lang w:val="es-ES_tradnl"/>
        </w:rPr>
        <w:tab/>
        <w:t>i)</w:t>
      </w:r>
      <w:r w:rsidRPr="003062E9">
        <w:rPr>
          <w:lang w:val="es-ES_tradnl"/>
        </w:rPr>
        <w:tab/>
        <w:t>proporcionar información sobre el uso de técnicas moleculares en cada organización;</w:t>
      </w:r>
    </w:p>
    <w:p w14:paraId="4170F5F5" w14:textId="001A9B92" w:rsidR="00390134" w:rsidRPr="003062E9" w:rsidRDefault="00390134" w:rsidP="00390134">
      <w:pPr>
        <w:pStyle w:val="DecisionParagraphs"/>
        <w:rPr>
          <w:lang w:val="es-ES_tradnl"/>
        </w:rPr>
      </w:pPr>
      <w:r w:rsidRPr="003062E9">
        <w:rPr>
          <w:lang w:val="es-ES_tradnl"/>
        </w:rPr>
        <w:tab/>
        <w:t>ii)</w:t>
      </w:r>
      <w:r w:rsidRPr="003062E9">
        <w:rPr>
          <w:lang w:val="es-ES_tradnl"/>
        </w:rPr>
        <w:tab/>
        <w:t>procedimiento para la aprobación de métodos bioquímicos y moleculares en cada organización; y</w:t>
      </w:r>
    </w:p>
    <w:p w14:paraId="25988602" w14:textId="17CEE414" w:rsidR="00390134" w:rsidRPr="003062E9" w:rsidRDefault="00390134" w:rsidP="00390134">
      <w:pPr>
        <w:pStyle w:val="DecisionParagraphs"/>
        <w:rPr>
          <w:lang w:val="es-ES_tradnl"/>
        </w:rPr>
      </w:pPr>
      <w:r w:rsidRPr="003062E9">
        <w:rPr>
          <w:lang w:val="es-ES_tradnl"/>
        </w:rPr>
        <w:tab/>
        <w:t>iii)</w:t>
      </w:r>
      <w:r w:rsidRPr="003062E9">
        <w:rPr>
          <w:lang w:val="es-ES_tradnl"/>
        </w:rPr>
        <w:tab/>
        <w:t>posibilidades de armonizar los métodos entre la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UPOV, la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OCDE y la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 xml:space="preserve">ISTA. </w:t>
      </w:r>
    </w:p>
    <w:p w14:paraId="6759B192" w14:textId="77777777" w:rsidR="00390134" w:rsidRPr="003062E9" w:rsidRDefault="00390134" w:rsidP="00390134">
      <w:pPr>
        <w:rPr>
          <w:lang w:val="es-ES_tradnl"/>
        </w:rPr>
      </w:pPr>
    </w:p>
    <w:p w14:paraId="76FE2CBD" w14:textId="77777777" w:rsidR="00390134" w:rsidRPr="003062E9" w:rsidRDefault="00390134" w:rsidP="00390134">
      <w:pPr>
        <w:rPr>
          <w:lang w:val="es-ES_tradnl"/>
        </w:rPr>
      </w:pPr>
    </w:p>
    <w:p w14:paraId="100754C9" w14:textId="706C3620" w:rsidR="00390134" w:rsidRPr="003062E9" w:rsidRDefault="00390134" w:rsidP="00390134">
      <w:pPr>
        <w:pStyle w:val="Heading2"/>
        <w:rPr>
          <w:lang w:val="es-ES_tradnl"/>
        </w:rPr>
      </w:pPr>
      <w:bookmarkStart w:id="17" w:name="_Toc69722881"/>
      <w:bookmarkStart w:id="18" w:name="_Toc84364039"/>
      <w:bookmarkStart w:id="19" w:name="_Toc85563991"/>
      <w:r w:rsidRPr="003062E9">
        <w:rPr>
          <w:lang w:val="es-ES_tradnl"/>
        </w:rPr>
        <w:t>Documento conjunto en el que se explican las principales características de los sistemas de la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OCDE, la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UPOV y la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ISTA</w:t>
      </w:r>
      <w:bookmarkEnd w:id="17"/>
      <w:bookmarkEnd w:id="18"/>
      <w:bookmarkEnd w:id="19"/>
    </w:p>
    <w:p w14:paraId="044C5BE5" w14:textId="77777777" w:rsidR="00390134" w:rsidRPr="003062E9" w:rsidRDefault="00390134" w:rsidP="00390134">
      <w:pPr>
        <w:keepNext/>
        <w:rPr>
          <w:lang w:val="es-ES_tradnl"/>
        </w:rPr>
      </w:pPr>
    </w:p>
    <w:p w14:paraId="006E0E80" w14:textId="2393190A" w:rsidR="00390134" w:rsidRPr="003062E9" w:rsidRDefault="00390134" w:rsidP="00390134">
      <w:pPr>
        <w:keepNext/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Los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TWP y el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BMT tomaron nota de que se presentará un proyecto de documento conjunto en el que se explican las principales características de los sistemas de la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OCDE, la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UPOV y la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ISTA para que sea examinado por el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TC en su quincuagésima séptima sesión.</w:t>
      </w:r>
    </w:p>
    <w:p w14:paraId="192F01B8" w14:textId="77777777" w:rsidR="00390134" w:rsidRPr="003062E9" w:rsidRDefault="00390134" w:rsidP="00390134">
      <w:pPr>
        <w:keepNext/>
        <w:rPr>
          <w:lang w:val="es-ES_tradnl"/>
        </w:rPr>
      </w:pPr>
    </w:p>
    <w:p w14:paraId="3B61B2AE" w14:textId="060797B1" w:rsidR="00390134" w:rsidRPr="003062E9" w:rsidRDefault="00390134" w:rsidP="00390134">
      <w:pPr>
        <w:keepNext/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En su vigésima sesión, el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BMT tomó nota de que, con sujeción a la aprobación por parte del TC del proyecto de documento conjunto, se invitará al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TC a pedir a la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Oficina de la</w:t>
      </w:r>
      <w:r w:rsidR="0073273D" w:rsidRPr="003062E9">
        <w:rPr>
          <w:lang w:val="es-ES_tradnl"/>
        </w:rPr>
        <w:t> </w:t>
      </w:r>
      <w:r w:rsidRPr="003062E9">
        <w:rPr>
          <w:lang w:val="es-ES_tradnl"/>
        </w:rPr>
        <w:t>Unión que informe a la</w:t>
      </w:r>
      <w:r w:rsidR="00092F50" w:rsidRPr="003062E9">
        <w:rPr>
          <w:lang w:val="es-ES_tradnl"/>
        </w:rPr>
        <w:t> </w:t>
      </w:r>
      <w:r w:rsidRPr="003062E9">
        <w:rPr>
          <w:lang w:val="es-ES_tradnl"/>
        </w:rPr>
        <w:t>OCDE y a la</w:t>
      </w:r>
      <w:r w:rsidR="00092F50" w:rsidRPr="003062E9">
        <w:rPr>
          <w:lang w:val="es-ES_tradnl"/>
        </w:rPr>
        <w:t> </w:t>
      </w:r>
      <w:r w:rsidRPr="003062E9">
        <w:rPr>
          <w:lang w:val="es-ES_tradnl"/>
        </w:rPr>
        <w:t>ISTA al respecto.</w:t>
      </w:r>
    </w:p>
    <w:p w14:paraId="2E10A374" w14:textId="77777777" w:rsidR="00390134" w:rsidRPr="003062E9" w:rsidRDefault="00390134" w:rsidP="00390134">
      <w:pPr>
        <w:rPr>
          <w:lang w:val="es-ES_tradnl" w:eastAsia="ja-JP"/>
        </w:rPr>
      </w:pPr>
    </w:p>
    <w:p w14:paraId="4F5B5A07" w14:textId="77777777" w:rsidR="00390134" w:rsidRPr="003062E9" w:rsidRDefault="00390134" w:rsidP="00390134">
      <w:pPr>
        <w:keepNext/>
        <w:rPr>
          <w:lang w:val="es-ES_tradnl"/>
        </w:rPr>
      </w:pPr>
    </w:p>
    <w:p w14:paraId="7E99A3EB" w14:textId="77777777" w:rsidR="00390134" w:rsidRPr="003062E9" w:rsidRDefault="00390134" w:rsidP="00390134">
      <w:pPr>
        <w:pStyle w:val="Heading2"/>
        <w:rPr>
          <w:lang w:val="es-ES_tradnl"/>
        </w:rPr>
      </w:pPr>
      <w:bookmarkStart w:id="20" w:name="_Toc14980928"/>
      <w:bookmarkStart w:id="21" w:name="_Toc15059498"/>
      <w:bookmarkStart w:id="22" w:name="_Toc15295343"/>
      <w:bookmarkStart w:id="23" w:name="_Toc22564623"/>
      <w:bookmarkStart w:id="24" w:name="_Toc27663377"/>
      <w:bookmarkStart w:id="25" w:name="_Toc69722877"/>
      <w:bookmarkStart w:id="26" w:name="_Toc84364037"/>
      <w:bookmarkStart w:id="27" w:name="_Toc85563992"/>
      <w:r w:rsidRPr="003062E9">
        <w:rPr>
          <w:lang w:val="es-ES_tradnl"/>
        </w:rPr>
        <w:t>Inventario sobre el uso de técnicas basadas en marcadores moleculares, por cultivos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732655B" w14:textId="77777777" w:rsidR="00390134" w:rsidRPr="003062E9" w:rsidRDefault="00390134" w:rsidP="00390134">
      <w:pPr>
        <w:keepNext/>
        <w:rPr>
          <w:lang w:val="es-ES_tradnl"/>
        </w:rPr>
      </w:pPr>
    </w:p>
    <w:p w14:paraId="13673EFC" w14:textId="2D49340C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Los</w:t>
      </w:r>
      <w:r w:rsidR="00092F50" w:rsidRPr="003062E9">
        <w:rPr>
          <w:lang w:val="es-ES_tradnl"/>
        </w:rPr>
        <w:t> </w:t>
      </w:r>
      <w:r w:rsidRPr="003062E9">
        <w:rPr>
          <w:lang w:val="es-ES_tradnl"/>
        </w:rPr>
        <w:t>TWP y el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BMT tomaron nota de que el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16 de octubre de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2020 la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Oficina de la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Unión envió la Circular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E</w:t>
      </w:r>
      <w:r w:rsidR="008E2A19" w:rsidRPr="003062E9">
        <w:rPr>
          <w:lang w:val="es-ES_tradnl"/>
        </w:rPr>
        <w:noBreakHyphen/>
      </w:r>
      <w:r w:rsidRPr="003062E9">
        <w:rPr>
          <w:lang w:val="es-ES_tradnl"/>
        </w:rPr>
        <w:t>20/189, en la que invita a los miembros a responder a la encuesta sobre el uso de técnicas basadas en marcadores moleculares antes del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15 de diciembre de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2020.</w:t>
      </w:r>
    </w:p>
    <w:p w14:paraId="7AE804BD" w14:textId="77777777" w:rsidR="00390134" w:rsidRPr="003062E9" w:rsidRDefault="00390134" w:rsidP="00390134">
      <w:pPr>
        <w:rPr>
          <w:lang w:val="es-ES_tradnl"/>
        </w:rPr>
      </w:pPr>
    </w:p>
    <w:p w14:paraId="320AB388" w14:textId="20662E89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Los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TWP y el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BMT tomaron nota de que los resultados de la encuesta se presentarán al Comité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Técnico en su quincuagésima séptima sesión, que se celebrará en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2021.</w:t>
      </w:r>
    </w:p>
    <w:p w14:paraId="5F963F65" w14:textId="77777777" w:rsidR="00390134" w:rsidRPr="003062E9" w:rsidRDefault="00390134" w:rsidP="00390134">
      <w:pPr>
        <w:rPr>
          <w:lang w:val="es-ES_tradnl"/>
        </w:rPr>
      </w:pPr>
    </w:p>
    <w:p w14:paraId="220B017A" w14:textId="18F74A95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En su vigésima sesión, el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BMT tomó nota de que se invitará al Comité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Técnico, en su quincuagésima séptima sesión, a solicitar a la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Oficina de la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Unión que comunique a la</w:t>
      </w:r>
      <w:r w:rsidR="008E2A19" w:rsidRPr="003062E9">
        <w:rPr>
          <w:lang w:val="es-ES_tradnl"/>
        </w:rPr>
        <w:t> </w:t>
      </w:r>
      <w:r w:rsidRPr="003062E9">
        <w:rPr>
          <w:lang w:val="es-ES_tradnl"/>
        </w:rPr>
        <w:t>OCDE los resultados de la encuesta y que se informe</w:t>
      </w:r>
      <w:r w:rsidR="00EC0925" w:rsidRPr="003062E9">
        <w:rPr>
          <w:lang w:val="es-ES_tradnl"/>
        </w:rPr>
        <w:t>, en la quincuagésima octava sesión del TC,</w:t>
      </w:r>
      <w:r w:rsidRPr="003062E9">
        <w:rPr>
          <w:lang w:val="es-ES_tradnl"/>
        </w:rPr>
        <w:t xml:space="preserve"> de las novedades que se produzcan.</w:t>
      </w:r>
    </w:p>
    <w:p w14:paraId="1B445B7F" w14:textId="77777777" w:rsidR="00390134" w:rsidRPr="003062E9" w:rsidRDefault="00390134" w:rsidP="00390134">
      <w:pPr>
        <w:rPr>
          <w:lang w:val="es-ES_tradnl"/>
        </w:rPr>
      </w:pPr>
    </w:p>
    <w:p w14:paraId="2876D721" w14:textId="77777777" w:rsidR="00390134" w:rsidRPr="003062E9" w:rsidRDefault="00390134" w:rsidP="00390134">
      <w:pPr>
        <w:rPr>
          <w:lang w:val="es-ES_tradnl"/>
        </w:rPr>
      </w:pPr>
    </w:p>
    <w:p w14:paraId="7227C51B" w14:textId="77777777" w:rsidR="00390134" w:rsidRPr="003062E9" w:rsidRDefault="00390134" w:rsidP="00390134">
      <w:pPr>
        <w:pStyle w:val="Heading2"/>
        <w:rPr>
          <w:lang w:val="es-ES_tradnl"/>
        </w:rPr>
      </w:pPr>
      <w:bookmarkStart w:id="28" w:name="_Toc85563993"/>
      <w:r w:rsidRPr="003062E9">
        <w:rPr>
          <w:lang w:val="es-ES_tradnl"/>
        </w:rPr>
        <w:t xml:space="preserve">International </w:t>
      </w:r>
      <w:proofErr w:type="spellStart"/>
      <w:r w:rsidRPr="003062E9">
        <w:rPr>
          <w:lang w:val="es-ES_tradnl"/>
        </w:rPr>
        <w:t>Seed</w:t>
      </w:r>
      <w:proofErr w:type="spellEnd"/>
      <w:r w:rsidRPr="003062E9">
        <w:rPr>
          <w:lang w:val="es-ES_tradnl"/>
        </w:rPr>
        <w:t xml:space="preserve"> </w:t>
      </w:r>
      <w:proofErr w:type="spellStart"/>
      <w:r w:rsidRPr="003062E9">
        <w:rPr>
          <w:lang w:val="es-ES_tradnl"/>
        </w:rPr>
        <w:t>Testing</w:t>
      </w:r>
      <w:proofErr w:type="spellEnd"/>
      <w:r w:rsidRPr="003062E9">
        <w:rPr>
          <w:lang w:val="es-ES_tradnl"/>
        </w:rPr>
        <w:t xml:space="preserve"> </w:t>
      </w:r>
      <w:proofErr w:type="spellStart"/>
      <w:r w:rsidRPr="003062E9">
        <w:rPr>
          <w:lang w:val="es-ES_tradnl"/>
        </w:rPr>
        <w:t>Association</w:t>
      </w:r>
      <w:proofErr w:type="spellEnd"/>
      <w:r w:rsidRPr="003062E9">
        <w:rPr>
          <w:lang w:val="es-ES_tradnl"/>
        </w:rPr>
        <w:t xml:space="preserve"> (Asociación Internacional para el Ensayo de Semillas)</w:t>
      </w:r>
      <w:bookmarkEnd w:id="28"/>
    </w:p>
    <w:p w14:paraId="7AC19EE1" w14:textId="77777777" w:rsidR="00390134" w:rsidRPr="003062E9" w:rsidRDefault="00390134" w:rsidP="00390134">
      <w:pPr>
        <w:rPr>
          <w:lang w:val="es-ES_tradnl"/>
        </w:rPr>
      </w:pPr>
    </w:p>
    <w:p w14:paraId="70F92A87" w14:textId="0BC3F035" w:rsidR="00390134" w:rsidRPr="003062E9" w:rsidRDefault="00390134" w:rsidP="00390134">
      <w:pPr>
        <w:rPr>
          <w:rFonts w:cs="Arial"/>
          <w:iCs/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En su vigésima sesión, el</w:t>
      </w:r>
      <w:r w:rsidR="00EC0925" w:rsidRPr="003062E9">
        <w:rPr>
          <w:lang w:val="es-ES_tradnl"/>
        </w:rPr>
        <w:t> </w:t>
      </w:r>
      <w:r w:rsidRPr="003062E9">
        <w:rPr>
          <w:lang w:val="es-ES_tradnl"/>
        </w:rPr>
        <w:t>BMT asistió a una ponencia, a cargo de la Sra. Ana Laura Vicario (</w:t>
      </w:r>
      <w:r w:rsidRPr="003062E9">
        <w:rPr>
          <w:i/>
          <w:iCs/>
          <w:lang w:val="es-ES_tradnl"/>
        </w:rPr>
        <w:t xml:space="preserve">International </w:t>
      </w:r>
      <w:proofErr w:type="spellStart"/>
      <w:r w:rsidRPr="003062E9">
        <w:rPr>
          <w:i/>
          <w:iCs/>
          <w:lang w:val="es-ES_tradnl"/>
        </w:rPr>
        <w:t>Seed</w:t>
      </w:r>
      <w:proofErr w:type="spellEnd"/>
      <w:r w:rsidRPr="003062E9">
        <w:rPr>
          <w:i/>
          <w:iCs/>
          <w:lang w:val="es-ES_tradnl"/>
        </w:rPr>
        <w:t xml:space="preserve"> </w:t>
      </w:r>
      <w:proofErr w:type="spellStart"/>
      <w:r w:rsidRPr="003062E9">
        <w:rPr>
          <w:i/>
          <w:iCs/>
          <w:lang w:val="es-ES_tradnl"/>
        </w:rPr>
        <w:t>Testing</w:t>
      </w:r>
      <w:proofErr w:type="spellEnd"/>
      <w:r w:rsidRPr="003062E9">
        <w:rPr>
          <w:i/>
          <w:iCs/>
          <w:lang w:val="es-ES_tradnl"/>
        </w:rPr>
        <w:t xml:space="preserve"> </w:t>
      </w:r>
      <w:proofErr w:type="spellStart"/>
      <w:r w:rsidRPr="003062E9">
        <w:rPr>
          <w:i/>
          <w:iCs/>
          <w:lang w:val="es-ES_tradnl"/>
        </w:rPr>
        <w:t>Association</w:t>
      </w:r>
      <w:proofErr w:type="spellEnd"/>
      <w:r w:rsidRPr="003062E9">
        <w:rPr>
          <w:i/>
          <w:iCs/>
          <w:lang w:val="es-ES_tradnl"/>
        </w:rPr>
        <w:t xml:space="preserve"> </w:t>
      </w:r>
      <w:r w:rsidRPr="003062E9">
        <w:rPr>
          <w:lang w:val="es-ES_tradnl"/>
        </w:rPr>
        <w:t>(ISTA)), titulada “</w:t>
      </w:r>
      <w:r w:rsidRPr="003062E9">
        <w:rPr>
          <w:i/>
          <w:lang w:val="es-ES_tradnl"/>
        </w:rPr>
        <w:t xml:space="preserve">ISTA </w:t>
      </w:r>
      <w:proofErr w:type="spellStart"/>
      <w:r w:rsidRPr="003062E9">
        <w:rPr>
          <w:i/>
          <w:lang w:val="es-ES_tradnl"/>
        </w:rPr>
        <w:t>report</w:t>
      </w:r>
      <w:proofErr w:type="spellEnd"/>
      <w:r w:rsidRPr="003062E9">
        <w:rPr>
          <w:i/>
          <w:lang w:val="es-ES_tradnl"/>
        </w:rPr>
        <w:t xml:space="preserve"> </w:t>
      </w:r>
      <w:proofErr w:type="spellStart"/>
      <w:r w:rsidRPr="003062E9">
        <w:rPr>
          <w:i/>
          <w:lang w:val="es-ES_tradnl"/>
        </w:rPr>
        <w:t>on</w:t>
      </w:r>
      <w:proofErr w:type="spellEnd"/>
      <w:r w:rsidRPr="003062E9">
        <w:rPr>
          <w:i/>
          <w:lang w:val="es-ES_tradnl"/>
        </w:rPr>
        <w:t xml:space="preserve"> </w:t>
      </w:r>
      <w:proofErr w:type="spellStart"/>
      <w:r w:rsidRPr="003062E9">
        <w:rPr>
          <w:i/>
          <w:lang w:val="es-ES_tradnl"/>
        </w:rPr>
        <w:t>biochemical</w:t>
      </w:r>
      <w:proofErr w:type="spellEnd"/>
      <w:r w:rsidRPr="003062E9">
        <w:rPr>
          <w:i/>
          <w:lang w:val="es-ES_tradnl"/>
        </w:rPr>
        <w:t xml:space="preserve"> and molecular </w:t>
      </w:r>
      <w:proofErr w:type="spellStart"/>
      <w:r w:rsidRPr="003062E9">
        <w:rPr>
          <w:i/>
          <w:lang w:val="es-ES_tradnl"/>
        </w:rPr>
        <w:t>techniques</w:t>
      </w:r>
      <w:proofErr w:type="spellEnd"/>
      <w:r w:rsidRPr="003062E9">
        <w:rPr>
          <w:lang w:val="es-ES_tradnl"/>
        </w:rPr>
        <w:t>” (Informe de la ISTA sobre técnicas bioquímicas y moleculares), que se reproduce en el documento BMT/20/11.</w:t>
      </w:r>
    </w:p>
    <w:p w14:paraId="21E16293" w14:textId="77777777" w:rsidR="00390134" w:rsidRPr="003062E9" w:rsidRDefault="00390134" w:rsidP="00390134">
      <w:pPr>
        <w:rPr>
          <w:lang w:val="es-ES_tradnl"/>
        </w:rPr>
      </w:pPr>
    </w:p>
    <w:p w14:paraId="5E8F59AC" w14:textId="1EA85115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 xml:space="preserve">El BMT convino en que es útil conocer los avances </w:t>
      </w:r>
      <w:r w:rsidR="00557BED" w:rsidRPr="003062E9">
        <w:rPr>
          <w:lang w:val="es-ES_tradnl"/>
        </w:rPr>
        <w:t xml:space="preserve">logrados </w:t>
      </w:r>
      <w:r w:rsidRPr="003062E9">
        <w:rPr>
          <w:lang w:val="es-ES_tradnl"/>
        </w:rPr>
        <w:t>en los métodos de validación de la</w:t>
      </w:r>
      <w:r w:rsidR="00557BED" w:rsidRPr="003062E9">
        <w:rPr>
          <w:lang w:val="es-ES_tradnl"/>
        </w:rPr>
        <w:t> </w:t>
      </w:r>
      <w:r w:rsidRPr="003062E9">
        <w:rPr>
          <w:lang w:val="es-ES_tradnl"/>
        </w:rPr>
        <w:t>ISTA, como se expone en la ponencia.</w:t>
      </w:r>
    </w:p>
    <w:p w14:paraId="3C700522" w14:textId="77777777" w:rsidR="00390134" w:rsidRPr="003062E9" w:rsidRDefault="00390134" w:rsidP="00390134">
      <w:pPr>
        <w:rPr>
          <w:lang w:val="es-ES_tradnl"/>
        </w:rPr>
      </w:pPr>
    </w:p>
    <w:p w14:paraId="3081C78A" w14:textId="77777777" w:rsidR="00390134" w:rsidRPr="003062E9" w:rsidRDefault="00390134" w:rsidP="00390134">
      <w:pPr>
        <w:rPr>
          <w:lang w:val="es-ES_tradnl"/>
        </w:rPr>
      </w:pPr>
    </w:p>
    <w:p w14:paraId="7DD0B8F8" w14:textId="77777777" w:rsidR="00390134" w:rsidRPr="003062E9" w:rsidRDefault="00390134" w:rsidP="00390134">
      <w:pPr>
        <w:pStyle w:val="Heading2"/>
        <w:rPr>
          <w:rFonts w:cs="Arial"/>
          <w:lang w:val="es-ES_tradnl"/>
        </w:rPr>
      </w:pPr>
      <w:bookmarkStart w:id="29" w:name="_Toc85563994"/>
      <w:r w:rsidRPr="003062E9">
        <w:rPr>
          <w:lang w:val="es-ES_tradnl"/>
        </w:rPr>
        <w:t>Organización de Cooperación y Desarrollo Económicos</w:t>
      </w:r>
      <w:bookmarkEnd w:id="29"/>
    </w:p>
    <w:p w14:paraId="4B54F901" w14:textId="77777777" w:rsidR="00390134" w:rsidRPr="003062E9" w:rsidRDefault="00390134" w:rsidP="00390134">
      <w:pPr>
        <w:rPr>
          <w:lang w:val="es-ES_tradnl"/>
        </w:rPr>
      </w:pPr>
    </w:p>
    <w:p w14:paraId="15E17F65" w14:textId="609A1879" w:rsidR="00390134" w:rsidRPr="003062E9" w:rsidRDefault="00390134" w:rsidP="00390134">
      <w:pPr>
        <w:rPr>
          <w:rFonts w:cs="Arial"/>
          <w:iCs/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En su vigésima sesión, el</w:t>
      </w:r>
      <w:r w:rsidR="00557BED" w:rsidRPr="003062E9">
        <w:rPr>
          <w:lang w:val="es-ES_tradnl"/>
        </w:rPr>
        <w:t> </w:t>
      </w:r>
      <w:r w:rsidRPr="003062E9">
        <w:rPr>
          <w:lang w:val="es-ES_tradnl"/>
        </w:rPr>
        <w:t>BMT asistió a una ponencia, a cargo del Sr.</w:t>
      </w:r>
      <w:r w:rsidR="00557BED" w:rsidRPr="003062E9">
        <w:rPr>
          <w:lang w:val="es-ES_tradnl"/>
        </w:rPr>
        <w:t> </w:t>
      </w:r>
      <w:proofErr w:type="spellStart"/>
      <w:r w:rsidRPr="003062E9">
        <w:rPr>
          <w:lang w:val="es-ES_tradnl"/>
        </w:rPr>
        <w:t>Csaba</w:t>
      </w:r>
      <w:proofErr w:type="spellEnd"/>
      <w:r w:rsidRPr="003062E9">
        <w:rPr>
          <w:lang w:val="es-ES_tradnl"/>
        </w:rPr>
        <w:t xml:space="preserve"> Gaspar (Organización de Cooperación y Desarrollo Económicos (OCDE)), titulada “</w:t>
      </w:r>
      <w:proofErr w:type="spellStart"/>
      <w:r w:rsidRPr="003062E9">
        <w:rPr>
          <w:i/>
          <w:lang w:val="es-ES_tradnl"/>
        </w:rPr>
        <w:t>Current</w:t>
      </w:r>
      <w:proofErr w:type="spellEnd"/>
      <w:r w:rsidRPr="003062E9">
        <w:rPr>
          <w:i/>
          <w:lang w:val="es-ES_tradnl"/>
        </w:rPr>
        <w:t xml:space="preserve"> status of BMT </w:t>
      </w:r>
      <w:proofErr w:type="spellStart"/>
      <w:r w:rsidRPr="003062E9">
        <w:rPr>
          <w:i/>
          <w:lang w:val="es-ES_tradnl"/>
        </w:rPr>
        <w:t>under</w:t>
      </w:r>
      <w:proofErr w:type="spellEnd"/>
      <w:r w:rsidRPr="003062E9">
        <w:rPr>
          <w:i/>
          <w:lang w:val="es-ES_tradnl"/>
        </w:rPr>
        <w:t xml:space="preserve"> </w:t>
      </w:r>
      <w:proofErr w:type="spellStart"/>
      <w:r w:rsidRPr="003062E9">
        <w:rPr>
          <w:i/>
          <w:lang w:val="es-ES_tradnl"/>
        </w:rPr>
        <w:t>the</w:t>
      </w:r>
      <w:proofErr w:type="spellEnd"/>
      <w:r w:rsidRPr="003062E9">
        <w:rPr>
          <w:i/>
          <w:lang w:val="es-ES_tradnl"/>
        </w:rPr>
        <w:t xml:space="preserve"> OECD </w:t>
      </w:r>
      <w:proofErr w:type="spellStart"/>
      <w:r w:rsidRPr="003062E9">
        <w:rPr>
          <w:i/>
          <w:lang w:val="es-ES_tradnl"/>
        </w:rPr>
        <w:t>Seed</w:t>
      </w:r>
      <w:proofErr w:type="spellEnd"/>
      <w:r w:rsidRPr="003062E9">
        <w:rPr>
          <w:i/>
          <w:lang w:val="es-ES_tradnl"/>
        </w:rPr>
        <w:t xml:space="preserve"> </w:t>
      </w:r>
      <w:proofErr w:type="spellStart"/>
      <w:r w:rsidRPr="003062E9">
        <w:rPr>
          <w:i/>
          <w:lang w:val="es-ES_tradnl"/>
        </w:rPr>
        <w:t>Schemes</w:t>
      </w:r>
      <w:proofErr w:type="spellEnd"/>
      <w:r w:rsidRPr="003062E9">
        <w:rPr>
          <w:lang w:val="es-ES_tradnl"/>
        </w:rPr>
        <w:t>” (Situación de las técnicas bioquímicas y moleculares en los Sistemas de semillas de la</w:t>
      </w:r>
      <w:r w:rsidR="00557BED" w:rsidRPr="003062E9">
        <w:rPr>
          <w:lang w:val="es-ES_tradnl"/>
        </w:rPr>
        <w:t> </w:t>
      </w:r>
      <w:r w:rsidRPr="003062E9">
        <w:rPr>
          <w:lang w:val="es-ES_tradnl"/>
        </w:rPr>
        <w:t>OCDE), que se reproduce en el documento BMT/20/10.</w:t>
      </w:r>
    </w:p>
    <w:p w14:paraId="06E10BFA" w14:textId="77777777" w:rsidR="00390134" w:rsidRPr="003062E9" w:rsidRDefault="00390134" w:rsidP="00390134">
      <w:pPr>
        <w:rPr>
          <w:rFonts w:cs="Arial"/>
          <w:iCs/>
          <w:lang w:val="es-ES_tradnl"/>
        </w:rPr>
      </w:pPr>
    </w:p>
    <w:p w14:paraId="029537D6" w14:textId="34CC0C94" w:rsidR="00390134" w:rsidRPr="003062E9" w:rsidRDefault="00390134" w:rsidP="00390134">
      <w:pPr>
        <w:rPr>
          <w:rFonts w:cs="Arial"/>
          <w:iCs/>
          <w:lang w:val="es-ES_tradnl"/>
        </w:rPr>
      </w:pPr>
      <w:r w:rsidRPr="003062E9">
        <w:rPr>
          <w:rFonts w:cs="Arial"/>
          <w:iCs/>
          <w:lang w:val="es-ES_tradnl"/>
        </w:rPr>
        <w:fldChar w:fldCharType="begin"/>
      </w:r>
      <w:r w:rsidRPr="003062E9">
        <w:rPr>
          <w:rFonts w:cs="Arial"/>
          <w:iCs/>
          <w:lang w:val="es-ES_tradnl"/>
        </w:rPr>
        <w:instrText xml:space="preserve"> AUTONUM  </w:instrText>
      </w:r>
      <w:r w:rsidRPr="003062E9">
        <w:rPr>
          <w:rFonts w:cs="Arial"/>
          <w:iCs/>
          <w:lang w:val="es-ES_tradnl"/>
        </w:rPr>
        <w:fldChar w:fldCharType="end"/>
      </w:r>
      <w:r w:rsidRPr="003062E9">
        <w:rPr>
          <w:lang w:val="es-ES_tradnl"/>
        </w:rPr>
        <w:tab/>
        <w:t>El BMT tomó nota del interés manifestado por la</w:t>
      </w:r>
      <w:r w:rsidR="00557BED" w:rsidRPr="003062E9">
        <w:rPr>
          <w:lang w:val="es-ES_tradnl"/>
        </w:rPr>
        <w:t> </w:t>
      </w:r>
      <w:r w:rsidRPr="003062E9">
        <w:rPr>
          <w:lang w:val="es-ES_tradnl"/>
        </w:rPr>
        <w:t>OCDE en seguir colaborando con la</w:t>
      </w:r>
      <w:r w:rsidR="00557BED" w:rsidRPr="003062E9">
        <w:rPr>
          <w:lang w:val="es-ES_tradnl"/>
        </w:rPr>
        <w:t> </w:t>
      </w:r>
      <w:r w:rsidRPr="003062E9">
        <w:rPr>
          <w:lang w:val="es-ES_tradnl"/>
        </w:rPr>
        <w:t>UPOV en cuestiones relacionadas con el uso de marcadores moleculares en la organización y convino en que se debe proseguir con las iniciativas conjuntas.</w:t>
      </w:r>
    </w:p>
    <w:p w14:paraId="318BC131" w14:textId="77777777" w:rsidR="00390134" w:rsidRPr="003062E9" w:rsidRDefault="00390134" w:rsidP="00390134">
      <w:pPr>
        <w:rPr>
          <w:lang w:val="es-ES_tradnl" w:eastAsia="ja-JP"/>
        </w:rPr>
      </w:pPr>
    </w:p>
    <w:p w14:paraId="04D3486E" w14:textId="77777777" w:rsidR="00390134" w:rsidRPr="003062E9" w:rsidRDefault="00390134" w:rsidP="00390134">
      <w:pPr>
        <w:rPr>
          <w:lang w:val="es-ES_tradnl"/>
        </w:rPr>
      </w:pPr>
    </w:p>
    <w:p w14:paraId="388E47A1" w14:textId="77777777" w:rsidR="00390134" w:rsidRPr="003062E9" w:rsidRDefault="00390134" w:rsidP="00390134">
      <w:pPr>
        <w:pStyle w:val="Heading1"/>
        <w:rPr>
          <w:lang w:val="es-ES_tradnl"/>
        </w:rPr>
      </w:pPr>
      <w:bookmarkStart w:id="30" w:name="_Toc69722870"/>
      <w:bookmarkStart w:id="31" w:name="_Toc84364034"/>
      <w:bookmarkStart w:id="32" w:name="_Toc85563995"/>
      <w:r w:rsidRPr="003062E9">
        <w:rPr>
          <w:snapToGrid w:val="0"/>
          <w:lang w:val="es-ES_tradnl"/>
        </w:rPr>
        <w:t>Sesión para facilitar la cooperación en el uso de técnicas moleculares</w:t>
      </w:r>
      <w:bookmarkEnd w:id="30"/>
      <w:bookmarkEnd w:id="31"/>
      <w:bookmarkEnd w:id="32"/>
    </w:p>
    <w:p w14:paraId="455EB0A6" w14:textId="77777777" w:rsidR="00390134" w:rsidRPr="003062E9" w:rsidRDefault="00390134" w:rsidP="00390134">
      <w:pPr>
        <w:keepNext/>
        <w:rPr>
          <w:lang w:val="es-ES_tradnl"/>
        </w:rPr>
      </w:pPr>
    </w:p>
    <w:p w14:paraId="5CAB9CE1" w14:textId="77777777" w:rsidR="00390134" w:rsidRPr="003062E9" w:rsidRDefault="00390134" w:rsidP="00390134">
      <w:pPr>
        <w:pStyle w:val="Heading2"/>
        <w:rPr>
          <w:lang w:val="es-ES_tradnl"/>
        </w:rPr>
      </w:pPr>
      <w:bookmarkStart w:id="33" w:name="_Toc85563996"/>
      <w:r w:rsidRPr="003062E9">
        <w:rPr>
          <w:lang w:val="es-ES_tradnl"/>
        </w:rPr>
        <w:t>Grupos de Trabajo Técnico (TWP)</w:t>
      </w:r>
      <w:bookmarkEnd w:id="33"/>
    </w:p>
    <w:p w14:paraId="3EAE5601" w14:textId="77777777" w:rsidR="00390134" w:rsidRPr="003062E9" w:rsidRDefault="00390134" w:rsidP="00390134">
      <w:pPr>
        <w:keepNext/>
        <w:rPr>
          <w:lang w:val="es-ES_tradnl"/>
        </w:rPr>
      </w:pPr>
    </w:p>
    <w:p w14:paraId="41263E47" w14:textId="33B4D284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En sus sesiones de 2021, los</w:t>
      </w:r>
      <w:r w:rsidR="00557BED" w:rsidRPr="003062E9">
        <w:rPr>
          <w:lang w:val="es-ES_tradnl"/>
        </w:rPr>
        <w:t> </w:t>
      </w:r>
      <w:r w:rsidRPr="003062E9">
        <w:rPr>
          <w:lang w:val="es-ES_tradnl"/>
        </w:rPr>
        <w:t>TWP tomaron nota de la información aportada por los participantes en la decimonovena sesión del</w:t>
      </w:r>
      <w:r w:rsidR="00557BED" w:rsidRPr="003062E9">
        <w:rPr>
          <w:lang w:val="es-ES_tradnl"/>
        </w:rPr>
        <w:t> </w:t>
      </w:r>
      <w:r w:rsidRPr="003062E9">
        <w:rPr>
          <w:lang w:val="es-ES_tradnl"/>
        </w:rPr>
        <w:t>BMT sobre su labor en materia de técnicas bioquímicas y moleculares y ámbitos de cooperación, que se reproduce en el Anexo</w:t>
      </w:r>
      <w:r w:rsidR="00557BED" w:rsidRPr="003062E9">
        <w:rPr>
          <w:lang w:val="es-ES_tradnl"/>
        </w:rPr>
        <w:t> </w:t>
      </w:r>
      <w:r w:rsidRPr="003062E9">
        <w:rPr>
          <w:lang w:val="es-ES_tradnl"/>
        </w:rPr>
        <w:t xml:space="preserve">I del documento TWP/5/7; </w:t>
      </w:r>
      <w:r w:rsidR="00557BED" w:rsidRPr="003062E9">
        <w:rPr>
          <w:lang w:val="es-ES_tradnl"/>
        </w:rPr>
        <w:t>véanse los documentos TWV/55/16 “</w:t>
      </w:r>
      <w:proofErr w:type="spellStart"/>
      <w:r w:rsidR="00557BED" w:rsidRPr="003062E9">
        <w:rPr>
          <w:i/>
          <w:iCs/>
          <w:lang w:val="es-ES_tradnl"/>
        </w:rPr>
        <w:t>Report</w:t>
      </w:r>
      <w:proofErr w:type="spellEnd"/>
      <w:r w:rsidR="00557BED" w:rsidRPr="003062E9">
        <w:rPr>
          <w:lang w:val="es-ES_tradnl"/>
        </w:rPr>
        <w:t xml:space="preserve">”, párrafos 48 </w:t>
      </w:r>
      <w:r w:rsidR="003F5D58">
        <w:rPr>
          <w:lang w:val="es-ES_tradnl"/>
        </w:rPr>
        <w:t>y</w:t>
      </w:r>
      <w:r w:rsidR="00557BED" w:rsidRPr="003062E9">
        <w:rPr>
          <w:lang w:val="es-ES_tradnl"/>
        </w:rPr>
        <w:t> 49; TWO/53/10 “</w:t>
      </w:r>
      <w:proofErr w:type="spellStart"/>
      <w:r w:rsidR="00557BED" w:rsidRPr="003062E9">
        <w:rPr>
          <w:i/>
          <w:iCs/>
          <w:lang w:val="es-ES_tradnl"/>
        </w:rPr>
        <w:t>Report</w:t>
      </w:r>
      <w:proofErr w:type="spellEnd"/>
      <w:r w:rsidR="00557BED" w:rsidRPr="003062E9">
        <w:rPr>
          <w:lang w:val="es-ES_tradnl"/>
        </w:rPr>
        <w:t>”, párrafo 57; TWA/50/9 “</w:t>
      </w:r>
      <w:proofErr w:type="spellStart"/>
      <w:r w:rsidR="00557BED" w:rsidRPr="003062E9">
        <w:rPr>
          <w:i/>
          <w:iCs/>
          <w:lang w:val="es-ES_tradnl"/>
        </w:rPr>
        <w:t>Report</w:t>
      </w:r>
      <w:proofErr w:type="spellEnd"/>
      <w:r w:rsidR="00557BED" w:rsidRPr="003062E9">
        <w:rPr>
          <w:lang w:val="es-ES_tradnl"/>
        </w:rPr>
        <w:t>”, párrafos 85 y 86; TWF/52/10 “</w:t>
      </w:r>
      <w:proofErr w:type="spellStart"/>
      <w:r w:rsidR="00557BED" w:rsidRPr="003062E9">
        <w:rPr>
          <w:i/>
          <w:iCs/>
          <w:lang w:val="es-ES_tradnl"/>
        </w:rPr>
        <w:t>Report</w:t>
      </w:r>
      <w:proofErr w:type="spellEnd"/>
      <w:r w:rsidR="00557BED" w:rsidRPr="003062E9">
        <w:rPr>
          <w:lang w:val="es-ES_tradnl"/>
        </w:rPr>
        <w:t>”, párrafos 10 y 11; y TWC/39/9 “</w:t>
      </w:r>
      <w:proofErr w:type="spellStart"/>
      <w:r w:rsidR="00557BED" w:rsidRPr="003062E9">
        <w:rPr>
          <w:i/>
          <w:iCs/>
          <w:lang w:val="es-ES_tradnl"/>
        </w:rPr>
        <w:t>Report</w:t>
      </w:r>
      <w:proofErr w:type="spellEnd"/>
      <w:r w:rsidR="00557BED" w:rsidRPr="003062E9">
        <w:rPr>
          <w:lang w:val="es-ES_tradnl"/>
        </w:rPr>
        <w:t>”, párrafo 70)</w:t>
      </w:r>
    </w:p>
    <w:p w14:paraId="7330026E" w14:textId="77777777" w:rsidR="00390134" w:rsidRPr="003062E9" w:rsidRDefault="00390134" w:rsidP="00390134">
      <w:pPr>
        <w:rPr>
          <w:lang w:val="es-ES_tradnl"/>
        </w:rPr>
      </w:pPr>
    </w:p>
    <w:p w14:paraId="13DA3198" w14:textId="77777777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En su quincuagésima quinta sesión, el TWV formó un grupo de debate para que los participantes puedan intercambiar información sobre su labor en materia de técnicas bioquímicas y moleculares y definir posibles ámbitos de cooperación. En el grupo de debate se habló del tomate, la lechuga y el pimiento.</w:t>
      </w:r>
    </w:p>
    <w:p w14:paraId="34AD62F8" w14:textId="77777777" w:rsidR="00390134" w:rsidRPr="003062E9" w:rsidRDefault="00390134" w:rsidP="00390134">
      <w:pPr>
        <w:rPr>
          <w:lang w:val="es-ES_tradnl"/>
        </w:rPr>
      </w:pPr>
    </w:p>
    <w:p w14:paraId="7ABA9A42" w14:textId="69E6D431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En su quincuagésima sesión, el TWA celebró una sesión de debate para que los participantes pudieran intercambiar información sobre su labor en materia de técnicas bioquímicas y moleculares y definir ámbitos de cooperación para la soja, la papa/patata, la colza, el cáñamo, el haba y el trigo. El</w:t>
      </w:r>
      <w:r w:rsidR="0021015F" w:rsidRPr="003062E9">
        <w:rPr>
          <w:lang w:val="es-ES_tradnl"/>
        </w:rPr>
        <w:t> </w:t>
      </w:r>
      <w:r w:rsidRPr="003062E9">
        <w:rPr>
          <w:lang w:val="es-ES_tradnl"/>
        </w:rPr>
        <w:t>TWA convino en invitar a presentar ponencias sobre técnicas bioquímicas y moleculares en los diferentes cultivos considerados</w:t>
      </w:r>
      <w:r w:rsidR="003F5D58">
        <w:rPr>
          <w:lang w:val="es-ES_tradnl"/>
        </w:rPr>
        <w:t>, en</w:t>
      </w:r>
      <w:r w:rsidR="003F5D58" w:rsidRPr="003062E9">
        <w:rPr>
          <w:lang w:val="es-ES_tradnl"/>
        </w:rPr>
        <w:t xml:space="preserve"> su quincuagésima primera sesión</w:t>
      </w:r>
      <w:r w:rsidR="003F5D58">
        <w:rPr>
          <w:lang w:val="es-ES_tradnl"/>
        </w:rPr>
        <w:t>, que se celebrará en 2022</w:t>
      </w:r>
      <w:r w:rsidRPr="003062E9">
        <w:rPr>
          <w:lang w:val="es-ES_tradnl"/>
        </w:rPr>
        <w:t>.</w:t>
      </w:r>
    </w:p>
    <w:p w14:paraId="63BCD1D5" w14:textId="77777777" w:rsidR="00390134" w:rsidRPr="003062E9" w:rsidRDefault="00390134" w:rsidP="00390134">
      <w:pPr>
        <w:rPr>
          <w:lang w:val="es-ES_tradnl"/>
        </w:rPr>
      </w:pPr>
    </w:p>
    <w:p w14:paraId="5DCABBF5" w14:textId="35846DA9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En su quincuagésima tercera sesión, el TWF celebró una sesión de debate para que los participantes pudieran intercambiar información sobre su labor en materia de técnicas bioquímicas y moleculares y definir posibles ámbitos de cooperación para el manzano, la fresa/frutilla y el durazno/melocotonero. El</w:t>
      </w:r>
      <w:r w:rsidR="00896746" w:rsidRPr="003062E9">
        <w:rPr>
          <w:lang w:val="es-ES_tradnl"/>
        </w:rPr>
        <w:t> </w:t>
      </w:r>
      <w:r w:rsidRPr="003062E9">
        <w:rPr>
          <w:lang w:val="es-ES_tradnl"/>
        </w:rPr>
        <w:t>TWF convino en invitar a los expertos de la Unión</w:t>
      </w:r>
      <w:r w:rsidR="00896746" w:rsidRPr="003062E9">
        <w:rPr>
          <w:lang w:val="es-ES_tradnl"/>
        </w:rPr>
        <w:t> </w:t>
      </w:r>
      <w:r w:rsidRPr="003062E9">
        <w:rPr>
          <w:lang w:val="es-ES_tradnl"/>
        </w:rPr>
        <w:t>Europea y Francia a presentar ponencias sobre el uso de técnicas moleculares en el examen DHE de variedades de manzano, en su quincuagésima tercera sesión.</w:t>
      </w:r>
    </w:p>
    <w:p w14:paraId="45998F34" w14:textId="77777777" w:rsidR="00390134" w:rsidRPr="003062E9" w:rsidRDefault="00390134" w:rsidP="00390134">
      <w:pPr>
        <w:rPr>
          <w:lang w:val="es-ES_tradnl"/>
        </w:rPr>
      </w:pPr>
    </w:p>
    <w:p w14:paraId="2F1798A1" w14:textId="77777777" w:rsidR="00390134" w:rsidRPr="003062E9" w:rsidRDefault="00390134" w:rsidP="00390134">
      <w:pPr>
        <w:rPr>
          <w:lang w:val="es-ES_tradnl"/>
        </w:rPr>
      </w:pPr>
    </w:p>
    <w:p w14:paraId="3747310E" w14:textId="77777777" w:rsidR="00390134" w:rsidRPr="003062E9" w:rsidRDefault="00390134" w:rsidP="00390134">
      <w:pPr>
        <w:pStyle w:val="Heading2"/>
        <w:rPr>
          <w:lang w:val="es-ES_tradnl"/>
        </w:rPr>
      </w:pPr>
      <w:bookmarkStart w:id="34" w:name="_Toc85563997"/>
      <w:r w:rsidRPr="003062E9">
        <w:rPr>
          <w:lang w:val="es-ES_tradnl"/>
        </w:rPr>
        <w:t>Grupo de Trabajo sobre Técnicas Bioquímicas y Moleculares, y Perfiles de ADN en Particular (BMT)</w:t>
      </w:r>
      <w:bookmarkEnd w:id="34"/>
    </w:p>
    <w:p w14:paraId="4131B463" w14:textId="77777777" w:rsidR="00390134" w:rsidRPr="003062E9" w:rsidRDefault="00390134" w:rsidP="00390134">
      <w:pPr>
        <w:rPr>
          <w:lang w:val="es-ES_tradnl"/>
        </w:rPr>
      </w:pPr>
    </w:p>
    <w:p w14:paraId="2AE20CB0" w14:textId="17C5ED6B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En su vigésima sesión, el</w:t>
      </w:r>
      <w:r w:rsidR="00896746" w:rsidRPr="003062E9">
        <w:rPr>
          <w:lang w:val="es-ES_tradnl"/>
        </w:rPr>
        <w:t> </w:t>
      </w:r>
      <w:r w:rsidRPr="003062E9">
        <w:rPr>
          <w:lang w:val="es-ES_tradnl"/>
        </w:rPr>
        <w:t>BMT examinó el documento BMT/20/6 “</w:t>
      </w:r>
      <w:proofErr w:type="spellStart"/>
      <w:r w:rsidRPr="003062E9">
        <w:rPr>
          <w:i/>
          <w:lang w:val="es-ES_tradnl"/>
        </w:rPr>
        <w:t>Session</w:t>
      </w:r>
      <w:proofErr w:type="spellEnd"/>
      <w:r w:rsidRPr="003062E9">
        <w:rPr>
          <w:i/>
          <w:lang w:val="es-ES_tradnl"/>
        </w:rPr>
        <w:t xml:space="preserve"> to </w:t>
      </w:r>
      <w:proofErr w:type="spellStart"/>
      <w:r w:rsidRPr="003062E9">
        <w:rPr>
          <w:i/>
          <w:lang w:val="es-ES_tradnl"/>
        </w:rPr>
        <w:t>facilitate</w:t>
      </w:r>
      <w:proofErr w:type="spellEnd"/>
      <w:r w:rsidRPr="003062E9">
        <w:rPr>
          <w:i/>
          <w:lang w:val="es-ES_tradnl"/>
        </w:rPr>
        <w:t xml:space="preserve"> </w:t>
      </w:r>
      <w:proofErr w:type="spellStart"/>
      <w:r w:rsidRPr="003062E9">
        <w:rPr>
          <w:i/>
          <w:lang w:val="es-ES_tradnl"/>
        </w:rPr>
        <w:t>cooperation</w:t>
      </w:r>
      <w:proofErr w:type="spellEnd"/>
      <w:r w:rsidRPr="003062E9">
        <w:rPr>
          <w:lang w:val="es-ES_tradnl"/>
        </w:rPr>
        <w:t>” (Sesión para facilitar la cooperación) (véanse los párrafos</w:t>
      </w:r>
      <w:r w:rsidR="00896746" w:rsidRPr="003062E9">
        <w:rPr>
          <w:lang w:val="es-ES_tradnl"/>
        </w:rPr>
        <w:t> </w:t>
      </w:r>
      <w:r w:rsidRPr="003062E9">
        <w:rPr>
          <w:lang w:val="es-ES_tradnl"/>
        </w:rPr>
        <w:t>28 a</w:t>
      </w:r>
      <w:r w:rsidR="00896746" w:rsidRPr="003062E9">
        <w:rPr>
          <w:lang w:val="es-ES_tradnl"/>
        </w:rPr>
        <w:t> </w:t>
      </w:r>
      <w:r w:rsidRPr="003062E9">
        <w:rPr>
          <w:lang w:val="es-ES_tradnl"/>
        </w:rPr>
        <w:t>35 del documento BMT/20/12 “</w:t>
      </w:r>
      <w:proofErr w:type="spellStart"/>
      <w:r w:rsidRPr="003062E9">
        <w:rPr>
          <w:i/>
          <w:lang w:val="es-ES_tradnl"/>
        </w:rPr>
        <w:t>Report</w:t>
      </w:r>
      <w:proofErr w:type="spellEnd"/>
      <w:r w:rsidRPr="003062E9">
        <w:rPr>
          <w:lang w:val="es-ES_tradnl"/>
        </w:rPr>
        <w:t>”).</w:t>
      </w:r>
    </w:p>
    <w:p w14:paraId="3D0D83CB" w14:textId="77777777" w:rsidR="00390134" w:rsidRPr="003062E9" w:rsidRDefault="00390134" w:rsidP="00390134">
      <w:pPr>
        <w:rPr>
          <w:lang w:val="es-ES_tradnl"/>
        </w:rPr>
      </w:pPr>
    </w:p>
    <w:p w14:paraId="4A85E401" w14:textId="1685AA87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El</w:t>
      </w:r>
      <w:r w:rsidR="001F6234" w:rsidRPr="003062E9">
        <w:rPr>
          <w:lang w:val="es-ES_tradnl"/>
        </w:rPr>
        <w:t> </w:t>
      </w:r>
      <w:r w:rsidRPr="003062E9">
        <w:rPr>
          <w:lang w:val="es-ES_tradnl"/>
        </w:rPr>
        <w:t>BMT recordó la información aportada por los participantes en la decimonovena sesión del</w:t>
      </w:r>
      <w:r w:rsidR="001F6234" w:rsidRPr="003062E9">
        <w:rPr>
          <w:lang w:val="es-ES_tradnl"/>
        </w:rPr>
        <w:t> </w:t>
      </w:r>
      <w:r w:rsidRPr="003062E9">
        <w:rPr>
          <w:lang w:val="es-ES_tradnl"/>
        </w:rPr>
        <w:t>BMT sobre su labor en materia de técnicas bioquímicas y moleculares y ámbitos de cooperación, que se reproduce en el Anexo del documento BMT/20/6.</w:t>
      </w:r>
    </w:p>
    <w:p w14:paraId="0D88CB5D" w14:textId="77777777" w:rsidR="00390134" w:rsidRPr="003062E9" w:rsidRDefault="00390134" w:rsidP="00390134">
      <w:pPr>
        <w:rPr>
          <w:lang w:val="es-ES_tradnl"/>
        </w:rPr>
      </w:pPr>
    </w:p>
    <w:p w14:paraId="53EE6FD2" w14:textId="0EF657F0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El BMT tomó nota de la información acerca de los grupos de debate que se formaron en las sesiones de</w:t>
      </w:r>
      <w:r w:rsidR="001F6234" w:rsidRPr="003062E9">
        <w:rPr>
          <w:lang w:val="es-ES_tradnl"/>
        </w:rPr>
        <w:t> </w:t>
      </w:r>
      <w:r w:rsidRPr="003062E9">
        <w:rPr>
          <w:lang w:val="es-ES_tradnl"/>
        </w:rPr>
        <w:t>2021 de los Grupos de Trabajo Técnico para que los participantes pudieran intercambiar información sobre su labor en materia de técnicas bioquímicas y moleculares y definir ámbitos de cooperación.</w:t>
      </w:r>
    </w:p>
    <w:p w14:paraId="7D44BE9A" w14:textId="77777777" w:rsidR="00390134" w:rsidRPr="003062E9" w:rsidRDefault="00390134" w:rsidP="00390134">
      <w:pPr>
        <w:rPr>
          <w:lang w:val="es-ES_tradnl"/>
        </w:rPr>
      </w:pPr>
    </w:p>
    <w:p w14:paraId="515108B0" w14:textId="3D824F93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El</w:t>
      </w:r>
      <w:r w:rsidR="00896746" w:rsidRPr="003062E9">
        <w:rPr>
          <w:lang w:val="es-ES_tradnl"/>
        </w:rPr>
        <w:t> </w:t>
      </w:r>
      <w:r w:rsidRPr="003062E9">
        <w:rPr>
          <w:lang w:val="es-ES_tradnl"/>
        </w:rPr>
        <w:t xml:space="preserve">BMT celebró una sesión de debate para que los participantes pudieran intercambiar información sobre su labor en materia de técnicas bioquímicas y moleculares y definir posibles ámbitos de cooperación. </w:t>
      </w:r>
    </w:p>
    <w:p w14:paraId="2CC733C3" w14:textId="77777777" w:rsidR="00390134" w:rsidRPr="003062E9" w:rsidRDefault="00390134" w:rsidP="00390134">
      <w:pPr>
        <w:rPr>
          <w:lang w:val="es-ES_tradnl"/>
        </w:rPr>
      </w:pPr>
    </w:p>
    <w:p w14:paraId="711981ED" w14:textId="46E2A8BB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El BMT consideró si la</w:t>
      </w:r>
      <w:r w:rsidR="001F6234" w:rsidRPr="003062E9">
        <w:rPr>
          <w:lang w:val="es-ES_tradnl"/>
        </w:rPr>
        <w:t> </w:t>
      </w:r>
      <w:r w:rsidRPr="003062E9">
        <w:rPr>
          <w:lang w:val="es-ES_tradnl"/>
        </w:rPr>
        <w:t>UPOV podría apoyar la armonización y la cooperación entre los miembros que ya utilizan marcadores moleculares en el examen DHE o poner a disposición de otros miembros de la</w:t>
      </w:r>
      <w:r w:rsidR="001F6234" w:rsidRPr="003062E9">
        <w:rPr>
          <w:lang w:val="es-ES_tradnl"/>
        </w:rPr>
        <w:t> </w:t>
      </w:r>
      <w:r w:rsidRPr="003062E9">
        <w:rPr>
          <w:lang w:val="es-ES_tradnl"/>
        </w:rPr>
        <w:t>UPOV información o servicios relacionados con las técnicas bioquímicas y moleculares.</w:t>
      </w:r>
    </w:p>
    <w:p w14:paraId="7A9A42E0" w14:textId="77777777" w:rsidR="00390134" w:rsidRPr="003062E9" w:rsidRDefault="00390134" w:rsidP="00390134">
      <w:pPr>
        <w:rPr>
          <w:lang w:val="es-ES_tradnl"/>
        </w:rPr>
      </w:pPr>
    </w:p>
    <w:p w14:paraId="0B048D3B" w14:textId="61A25703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El BMT convino en que la información acerca del uso de marcadores moleculares por cultivos era importante para promover la cooperación entre los miembros de la</w:t>
      </w:r>
      <w:r w:rsidR="001F6234" w:rsidRPr="003062E9">
        <w:rPr>
          <w:lang w:val="es-ES_tradnl"/>
        </w:rPr>
        <w:t> </w:t>
      </w:r>
      <w:r w:rsidRPr="003062E9">
        <w:rPr>
          <w:lang w:val="es-ES_tradnl"/>
        </w:rPr>
        <w:t xml:space="preserve">UPOV y acordó proponer que se mantuviera la encuesta sobre la utilización de técnicas basadas en marcadores moleculares para obtener información de un mayor número de miembros de la UPOV. </w:t>
      </w:r>
    </w:p>
    <w:p w14:paraId="48AABBAB" w14:textId="77777777" w:rsidR="00390134" w:rsidRPr="003062E9" w:rsidRDefault="00390134" w:rsidP="00390134">
      <w:pPr>
        <w:rPr>
          <w:lang w:val="es-ES_tradnl"/>
        </w:rPr>
      </w:pPr>
    </w:p>
    <w:p w14:paraId="58EE618B" w14:textId="77777777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 xml:space="preserve">El BMT convino en que sería útil confirmar las razones para no contestar a la primera encuesta. </w:t>
      </w:r>
    </w:p>
    <w:p w14:paraId="4C20E3D8" w14:textId="77777777" w:rsidR="00390134" w:rsidRPr="003062E9" w:rsidRDefault="00390134" w:rsidP="00390134">
      <w:pPr>
        <w:rPr>
          <w:lang w:val="es-ES_tradnl"/>
        </w:rPr>
      </w:pPr>
    </w:p>
    <w:p w14:paraId="24D1A0D9" w14:textId="562C1982" w:rsidR="00390134" w:rsidRPr="003062E9" w:rsidRDefault="00390134" w:rsidP="00390134">
      <w:pPr>
        <w:rPr>
          <w:lang w:val="es-ES_tradnl"/>
        </w:rPr>
      </w:pPr>
      <w:r w:rsidRPr="003062E9">
        <w:rPr>
          <w:lang w:val="es-ES_tradnl"/>
        </w:rPr>
        <w:fldChar w:fldCharType="begin"/>
      </w:r>
      <w:r w:rsidRPr="003062E9">
        <w:rPr>
          <w:lang w:val="es-ES_tradnl"/>
        </w:rPr>
        <w:instrText xml:space="preserve"> AUTONUM  </w:instrText>
      </w:r>
      <w:r w:rsidRPr="003062E9">
        <w:rPr>
          <w:lang w:val="es-ES_tradnl"/>
        </w:rPr>
        <w:fldChar w:fldCharType="end"/>
      </w:r>
      <w:r w:rsidRPr="003062E9">
        <w:rPr>
          <w:lang w:val="es-ES_tradnl"/>
        </w:rPr>
        <w:tab/>
        <w:t>El</w:t>
      </w:r>
      <w:r w:rsidR="001F6234" w:rsidRPr="003062E9">
        <w:rPr>
          <w:lang w:val="es-ES_tradnl"/>
        </w:rPr>
        <w:t> </w:t>
      </w:r>
      <w:r w:rsidRPr="003062E9">
        <w:rPr>
          <w:lang w:val="es-ES_tradnl"/>
        </w:rPr>
        <w:t>BMT convino en que debe mantenerse la posibilidad de formar grupos de debate durante las sesiones.</w:t>
      </w:r>
    </w:p>
    <w:p w14:paraId="19147455" w14:textId="77777777" w:rsidR="00390134" w:rsidRPr="003062E9" w:rsidRDefault="00390134" w:rsidP="00390134">
      <w:pPr>
        <w:rPr>
          <w:lang w:val="es-ES_tradnl" w:eastAsia="ja-JP"/>
        </w:rPr>
      </w:pPr>
    </w:p>
    <w:p w14:paraId="40BFB001" w14:textId="2027C3DC" w:rsidR="00390134" w:rsidRPr="003062E9" w:rsidRDefault="00390134" w:rsidP="00390134">
      <w:pPr>
        <w:tabs>
          <w:tab w:val="left" w:pos="5387"/>
        </w:tabs>
        <w:ind w:left="4820" w:hanging="50"/>
        <w:rPr>
          <w:i/>
          <w:lang w:val="es-ES_tradnl"/>
        </w:rPr>
      </w:pPr>
      <w:r w:rsidRPr="003062E9">
        <w:rPr>
          <w:i/>
          <w:lang w:val="es-ES_tradnl"/>
        </w:rPr>
        <w:fldChar w:fldCharType="begin"/>
      </w:r>
      <w:r w:rsidRPr="003062E9">
        <w:rPr>
          <w:i/>
          <w:lang w:val="es-ES_tradnl"/>
        </w:rPr>
        <w:instrText xml:space="preserve"> AUTONUM  </w:instrText>
      </w:r>
      <w:r w:rsidRPr="003062E9">
        <w:rPr>
          <w:i/>
          <w:lang w:val="es-ES_tradnl"/>
        </w:rPr>
        <w:fldChar w:fldCharType="end"/>
      </w:r>
      <w:r w:rsidRPr="003062E9">
        <w:rPr>
          <w:i/>
          <w:lang w:val="es-ES_tradnl"/>
        </w:rPr>
        <w:tab/>
        <w:t>Se invita al</w:t>
      </w:r>
      <w:r w:rsidR="001F6234" w:rsidRPr="003062E9">
        <w:rPr>
          <w:i/>
          <w:lang w:val="es-ES_tradnl"/>
        </w:rPr>
        <w:t> </w:t>
      </w:r>
      <w:r w:rsidRPr="003062E9">
        <w:rPr>
          <w:i/>
          <w:lang w:val="es-ES_tradnl"/>
        </w:rPr>
        <w:t xml:space="preserve">TC a: </w:t>
      </w:r>
    </w:p>
    <w:p w14:paraId="14CFE903" w14:textId="77777777" w:rsidR="00390134" w:rsidRPr="003062E9" w:rsidRDefault="00390134" w:rsidP="00390134">
      <w:pPr>
        <w:tabs>
          <w:tab w:val="left" w:pos="5387"/>
        </w:tabs>
        <w:ind w:left="4820" w:hanging="50"/>
        <w:rPr>
          <w:i/>
          <w:lang w:val="es-ES_tradnl"/>
        </w:rPr>
      </w:pPr>
    </w:p>
    <w:p w14:paraId="072AD8FB" w14:textId="274DA369" w:rsidR="00390134" w:rsidRPr="003062E9" w:rsidRDefault="00390134" w:rsidP="00390134">
      <w:pPr>
        <w:pStyle w:val="ListParagraph"/>
        <w:numPr>
          <w:ilvl w:val="0"/>
          <w:numId w:val="5"/>
        </w:numPr>
        <w:tabs>
          <w:tab w:val="left" w:pos="5940"/>
        </w:tabs>
        <w:ind w:left="4770" w:firstLine="630"/>
        <w:rPr>
          <w:i/>
          <w:lang w:val="es-ES_tradnl"/>
        </w:rPr>
      </w:pPr>
      <w:r w:rsidRPr="003062E9">
        <w:rPr>
          <w:i/>
          <w:lang w:val="es-ES_tradnl"/>
        </w:rPr>
        <w:t>considerar si mantener la encuesta sobre la utilización de técnicas basadas en marcadores moleculares para obtener información de un mayor número de miembros de la UPOV; y</w:t>
      </w:r>
    </w:p>
    <w:p w14:paraId="11D2D434" w14:textId="77777777" w:rsidR="00390134" w:rsidRPr="003062E9" w:rsidRDefault="00390134" w:rsidP="00390134">
      <w:pPr>
        <w:pStyle w:val="ListParagraph"/>
        <w:tabs>
          <w:tab w:val="left" w:pos="5387"/>
          <w:tab w:val="left" w:pos="5940"/>
        </w:tabs>
        <w:ind w:left="4770" w:firstLine="630"/>
        <w:rPr>
          <w:i/>
          <w:lang w:val="es-ES_tradnl"/>
        </w:rPr>
      </w:pPr>
    </w:p>
    <w:p w14:paraId="60237926" w14:textId="77777777" w:rsidR="00390134" w:rsidRPr="003062E9" w:rsidRDefault="00390134" w:rsidP="00390134">
      <w:pPr>
        <w:pStyle w:val="ListParagraph"/>
        <w:numPr>
          <w:ilvl w:val="0"/>
          <w:numId w:val="5"/>
        </w:numPr>
        <w:tabs>
          <w:tab w:val="left" w:pos="5387"/>
          <w:tab w:val="left" w:pos="5940"/>
        </w:tabs>
        <w:ind w:left="4770" w:firstLine="630"/>
        <w:rPr>
          <w:i/>
          <w:lang w:val="es-ES_tradnl"/>
        </w:rPr>
      </w:pPr>
      <w:r w:rsidRPr="003062E9">
        <w:rPr>
          <w:i/>
          <w:lang w:val="es-ES_tradnl"/>
        </w:rPr>
        <w:t>investigar las razones de algunos miembros de la Unión para no responder a la primera encuesta.</w:t>
      </w:r>
    </w:p>
    <w:p w14:paraId="4BEB91BA" w14:textId="63A00874" w:rsidR="00390134" w:rsidRDefault="00390134" w:rsidP="00390134">
      <w:pPr>
        <w:rPr>
          <w:lang w:val="es-ES_tradnl" w:eastAsia="ja-JP"/>
        </w:rPr>
      </w:pPr>
    </w:p>
    <w:p w14:paraId="0D7134FE" w14:textId="5E272FE2" w:rsidR="00512AD6" w:rsidRDefault="00512AD6" w:rsidP="00390134">
      <w:pPr>
        <w:rPr>
          <w:lang w:val="es-ES_tradnl" w:eastAsia="ja-JP"/>
        </w:rPr>
      </w:pPr>
    </w:p>
    <w:p w14:paraId="2064E53E" w14:textId="77777777" w:rsidR="00512AD6" w:rsidRPr="003062E9" w:rsidRDefault="00512AD6" w:rsidP="00390134">
      <w:pPr>
        <w:rPr>
          <w:lang w:val="es-ES_tradnl" w:eastAsia="ja-JP"/>
        </w:rPr>
      </w:pPr>
      <w:bookmarkStart w:id="35" w:name="_GoBack"/>
      <w:bookmarkEnd w:id="35"/>
    </w:p>
    <w:p w14:paraId="023E150F" w14:textId="77777777" w:rsidR="00390134" w:rsidRPr="003062E9" w:rsidRDefault="00390134" w:rsidP="00390134">
      <w:pPr>
        <w:jc w:val="right"/>
        <w:rPr>
          <w:lang w:val="es-ES_tradnl"/>
        </w:rPr>
      </w:pPr>
      <w:r w:rsidRPr="003062E9">
        <w:rPr>
          <w:lang w:val="es-ES_tradnl"/>
        </w:rPr>
        <w:t>[Sigue el Anexo]</w:t>
      </w:r>
    </w:p>
    <w:p w14:paraId="22BA888A" w14:textId="77777777" w:rsidR="00390134" w:rsidRPr="003062E9" w:rsidRDefault="00390134" w:rsidP="00390134">
      <w:pPr>
        <w:jc w:val="right"/>
        <w:rPr>
          <w:lang w:val="es-ES_tradnl" w:eastAsia="ja-JP"/>
        </w:rPr>
        <w:sectPr w:rsidR="00390134" w:rsidRPr="003062E9" w:rsidSect="004C24E1">
          <w:headerReference w:type="default" r:id="rId8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6914D06D" w14:textId="659F38C7" w:rsidR="00390134" w:rsidRPr="003062E9" w:rsidRDefault="00390134" w:rsidP="00390134">
      <w:pPr>
        <w:jc w:val="center"/>
        <w:rPr>
          <w:rFonts w:eastAsia="MS Mincho"/>
          <w:lang w:val="es-ES_tradnl"/>
        </w:rPr>
      </w:pPr>
      <w:r w:rsidRPr="003062E9">
        <w:rPr>
          <w:lang w:val="es-ES_tradnl"/>
        </w:rPr>
        <w:t>ENCUESTA DIRIGIDA A LOS PARTICIPANTES EN LA VIGÉSIMA SESIÓN DEL BMT ACERCA DE LA COPPERACIÓN ENTRA LA</w:t>
      </w:r>
      <w:r w:rsidR="001F6234" w:rsidRPr="003062E9">
        <w:rPr>
          <w:lang w:val="es-ES_tradnl"/>
        </w:rPr>
        <w:t> </w:t>
      </w:r>
      <w:r w:rsidRPr="003062E9">
        <w:rPr>
          <w:lang w:val="es-ES_tradnl"/>
        </w:rPr>
        <w:t>OCDE Y LA</w:t>
      </w:r>
      <w:r w:rsidR="001F6234" w:rsidRPr="003062E9">
        <w:rPr>
          <w:lang w:val="es-ES_tradnl"/>
        </w:rPr>
        <w:t> </w:t>
      </w:r>
      <w:r w:rsidRPr="003062E9">
        <w:rPr>
          <w:lang w:val="es-ES_tradnl"/>
        </w:rPr>
        <w:t>ISTA</w:t>
      </w:r>
    </w:p>
    <w:p w14:paraId="5E8CE294" w14:textId="77777777" w:rsidR="00390134" w:rsidRPr="003062E9" w:rsidRDefault="00390134" w:rsidP="00390134">
      <w:pPr>
        <w:jc w:val="center"/>
        <w:rPr>
          <w:rFonts w:eastAsia="MS Mincho"/>
          <w:lang w:val="es-ES_tradnl"/>
        </w:rPr>
      </w:pPr>
    </w:p>
    <w:p w14:paraId="5DDD20B4" w14:textId="50324336" w:rsidR="00390134" w:rsidRPr="003062E9" w:rsidRDefault="00390134" w:rsidP="00390134">
      <w:pPr>
        <w:keepNext/>
        <w:keepLines/>
        <w:spacing w:before="180" w:after="120"/>
        <w:jc w:val="left"/>
        <w:rPr>
          <w:rFonts w:eastAsia="MS Mincho"/>
          <w:bCs/>
          <w:snapToGrid w:val="0"/>
          <w:lang w:val="es-ES_tradnl"/>
        </w:rPr>
      </w:pPr>
      <w:bookmarkStart w:id="36" w:name="_Ref83374737"/>
      <w:r w:rsidRPr="003062E9">
        <w:rPr>
          <w:bCs/>
          <w:snapToGrid w:val="0"/>
          <w:lang w:val="es-ES_tradnl"/>
        </w:rPr>
        <w:t>¿Cuáles son los ámbitos de interés común entre la</w:t>
      </w:r>
      <w:r w:rsidR="001F6234" w:rsidRPr="003062E9">
        <w:rPr>
          <w:bCs/>
          <w:snapToGrid w:val="0"/>
          <w:lang w:val="es-ES_tradnl"/>
        </w:rPr>
        <w:t> </w:t>
      </w:r>
      <w:r w:rsidRPr="003062E9">
        <w:rPr>
          <w:bCs/>
          <w:snapToGrid w:val="0"/>
          <w:lang w:val="es-ES_tradnl"/>
        </w:rPr>
        <w:t>UPOV, la</w:t>
      </w:r>
      <w:r w:rsidR="001F6234" w:rsidRPr="003062E9">
        <w:rPr>
          <w:bCs/>
          <w:snapToGrid w:val="0"/>
          <w:lang w:val="es-ES_tradnl"/>
        </w:rPr>
        <w:t> </w:t>
      </w:r>
      <w:r w:rsidRPr="003062E9">
        <w:rPr>
          <w:bCs/>
          <w:snapToGrid w:val="0"/>
          <w:lang w:val="es-ES_tradnl"/>
        </w:rPr>
        <w:t>OCDE y la</w:t>
      </w:r>
      <w:r w:rsidR="001F6234" w:rsidRPr="003062E9">
        <w:rPr>
          <w:bCs/>
          <w:snapToGrid w:val="0"/>
          <w:lang w:val="es-ES_tradnl"/>
        </w:rPr>
        <w:t> </w:t>
      </w:r>
      <w:r w:rsidRPr="003062E9">
        <w:rPr>
          <w:bCs/>
          <w:snapToGrid w:val="0"/>
          <w:lang w:val="es-ES_tradnl"/>
        </w:rPr>
        <w:t>ISTA en relación con el uso de técnicas bioquímicas y moleculares?</w:t>
      </w:r>
      <w:bookmarkEnd w:id="36"/>
    </w:p>
    <w:p w14:paraId="073C8A89" w14:textId="1BD91201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Pureza/uniformidad de las semillas</w:t>
      </w:r>
      <w:r w:rsidR="00472AA2" w:rsidRPr="003062E9">
        <w:rPr>
          <w:snapToGrid w:val="0"/>
          <w:lang w:val="es-ES_tradnl"/>
        </w:rPr>
        <w:t>.</w:t>
      </w:r>
    </w:p>
    <w:p w14:paraId="389B67E3" w14:textId="1D608B9F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Armonización de conjuntos de marcadores SNP en determinados cultivos con fines de identificación</w:t>
      </w:r>
      <w:r w:rsidR="00472AA2" w:rsidRPr="003062E9">
        <w:rPr>
          <w:snapToGrid w:val="0"/>
          <w:lang w:val="es-ES_tradnl"/>
        </w:rPr>
        <w:t>.</w:t>
      </w:r>
    </w:p>
    <w:p w14:paraId="3CED3932" w14:textId="490D46C3" w:rsidR="00390134" w:rsidRPr="003062E9" w:rsidRDefault="001F62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H</w:t>
      </w:r>
      <w:r w:rsidR="00390134" w:rsidRPr="003062E9">
        <w:rPr>
          <w:snapToGrid w:val="0"/>
          <w:lang w:val="es-ES_tradnl"/>
        </w:rPr>
        <w:t>erramientas para la verificación de variedades</w:t>
      </w:r>
      <w:r w:rsidR="00472AA2" w:rsidRPr="003062E9">
        <w:rPr>
          <w:snapToGrid w:val="0"/>
          <w:lang w:val="es-ES_tradnl"/>
        </w:rPr>
        <w:t>.</w:t>
      </w:r>
    </w:p>
    <w:p w14:paraId="73B802CF" w14:textId="77777777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Identificación de plantas fuera de tipo/impurezas. Identificación y descripción de una variedad.</w:t>
      </w:r>
    </w:p>
    <w:p w14:paraId="7550C29F" w14:textId="785FED4A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 xml:space="preserve">Armonización de </w:t>
      </w:r>
      <w:r w:rsidR="001F6234" w:rsidRPr="003062E9">
        <w:rPr>
          <w:snapToGrid w:val="0"/>
          <w:lang w:val="es-ES_tradnl"/>
        </w:rPr>
        <w:t xml:space="preserve">los </w:t>
      </w:r>
      <w:r w:rsidRPr="003062E9">
        <w:rPr>
          <w:snapToGrid w:val="0"/>
          <w:lang w:val="es-ES_tradnl"/>
        </w:rPr>
        <w:t>marcadores moleculares.</w:t>
      </w:r>
    </w:p>
    <w:p w14:paraId="36473EAE" w14:textId="12AF861C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 xml:space="preserve">Disponer de conjuntos de marcadores validados </w:t>
      </w:r>
      <w:r w:rsidR="001F6234" w:rsidRPr="003062E9">
        <w:rPr>
          <w:snapToGrid w:val="0"/>
          <w:lang w:val="es-ES_tradnl"/>
        </w:rPr>
        <w:t xml:space="preserve">para su uso </w:t>
      </w:r>
      <w:r w:rsidR="00EC4AA2" w:rsidRPr="003062E9">
        <w:rPr>
          <w:snapToGrid w:val="0"/>
          <w:lang w:val="es-ES_tradnl"/>
        </w:rPr>
        <w:t>en la consecución de l</w:t>
      </w:r>
      <w:r w:rsidR="00903D49" w:rsidRPr="003062E9">
        <w:rPr>
          <w:snapToGrid w:val="0"/>
          <w:lang w:val="es-ES_tradnl"/>
        </w:rPr>
        <w:t xml:space="preserve">os </w:t>
      </w:r>
      <w:r w:rsidR="00EC4AA2" w:rsidRPr="003062E9">
        <w:rPr>
          <w:snapToGrid w:val="0"/>
          <w:lang w:val="es-ES_tradnl"/>
        </w:rPr>
        <w:t>objetivos</w:t>
      </w:r>
      <w:r w:rsidR="00903D49" w:rsidRPr="003062E9">
        <w:rPr>
          <w:snapToGrid w:val="0"/>
          <w:lang w:val="es-ES_tradnl"/>
        </w:rPr>
        <w:t xml:space="preserve"> de cada organización. </w:t>
      </w:r>
      <w:r w:rsidRPr="003062E9">
        <w:rPr>
          <w:snapToGrid w:val="0"/>
          <w:lang w:val="es-ES_tradnl"/>
        </w:rPr>
        <w:t>Examinar la manera de colaborar para aprovechar el potencial de cada organización.</w:t>
      </w:r>
    </w:p>
    <w:p w14:paraId="663C68DC" w14:textId="71946F86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 xml:space="preserve">Orientaciones sobre la forma de validar un método alternativo </w:t>
      </w:r>
      <w:r w:rsidR="00EC4AA2" w:rsidRPr="003062E9">
        <w:rPr>
          <w:snapToGrid w:val="0"/>
          <w:lang w:val="es-ES_tradnl"/>
        </w:rPr>
        <w:t xml:space="preserve">frente a </w:t>
      </w:r>
      <w:r w:rsidRPr="003062E9">
        <w:rPr>
          <w:snapToGrid w:val="0"/>
          <w:lang w:val="es-ES_tradnl"/>
        </w:rPr>
        <w:t>un método de referencia; identidad varietal</w:t>
      </w:r>
      <w:r w:rsidR="00472AA2" w:rsidRPr="003062E9">
        <w:rPr>
          <w:snapToGrid w:val="0"/>
          <w:lang w:val="es-ES_tradnl"/>
        </w:rPr>
        <w:t>.</w:t>
      </w:r>
    </w:p>
    <w:p w14:paraId="368F9CFC" w14:textId="66876C9A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Criterios de homogeneidad, umbrales de variación, uso de métodos moleculares para fomentar la homogeneidad (disminuir el impacto de la influencia medioambiental o de los distintos niveles de conocimientos especializados o formación de los recolectores de datos)</w:t>
      </w:r>
      <w:r w:rsidR="00472AA2" w:rsidRPr="003062E9">
        <w:rPr>
          <w:snapToGrid w:val="0"/>
          <w:lang w:val="es-ES_tradnl"/>
        </w:rPr>
        <w:t>.</w:t>
      </w:r>
    </w:p>
    <w:p w14:paraId="3E8639F3" w14:textId="745E32C6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Identidad varietal</w:t>
      </w:r>
      <w:r w:rsidR="00472AA2" w:rsidRPr="003062E9">
        <w:rPr>
          <w:snapToGrid w:val="0"/>
          <w:lang w:val="es-ES_tradnl"/>
        </w:rPr>
        <w:t>.</w:t>
      </w:r>
    </w:p>
    <w:p w14:paraId="3E6A0747" w14:textId="151F6C9A" w:rsidR="00390134" w:rsidRPr="003062E9" w:rsidRDefault="00472AA2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N</w:t>
      </w:r>
      <w:r w:rsidR="00390134" w:rsidRPr="003062E9">
        <w:rPr>
          <w:snapToGrid w:val="0"/>
          <w:lang w:val="es-ES_tradnl"/>
        </w:rPr>
        <w:t>uevas variedades vegetales</w:t>
      </w:r>
      <w:r w:rsidRPr="003062E9">
        <w:rPr>
          <w:snapToGrid w:val="0"/>
          <w:lang w:val="es-ES_tradnl"/>
        </w:rPr>
        <w:t>.</w:t>
      </w:r>
    </w:p>
    <w:p w14:paraId="04A60D22" w14:textId="167BCE2B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Consenso, armonización de las definiciones</w:t>
      </w:r>
      <w:r w:rsidR="00EC4AA2" w:rsidRPr="003062E9">
        <w:rPr>
          <w:snapToGrid w:val="0"/>
          <w:lang w:val="es-ES_tradnl"/>
        </w:rPr>
        <w:t>.</w:t>
      </w:r>
      <w:r w:rsidRPr="003062E9">
        <w:rPr>
          <w:snapToGrid w:val="0"/>
          <w:lang w:val="es-ES_tradnl"/>
        </w:rPr>
        <w:t xml:space="preserve"> Intercambio de conocimientos y creación de una base de datos común </w:t>
      </w:r>
      <w:r w:rsidR="00AD1F0C">
        <w:rPr>
          <w:snapToGrid w:val="0"/>
          <w:lang w:val="es-ES_tradnl"/>
        </w:rPr>
        <w:t>que recoja</w:t>
      </w:r>
      <w:r w:rsidRPr="003062E9">
        <w:rPr>
          <w:snapToGrid w:val="0"/>
          <w:lang w:val="es-ES_tradnl"/>
        </w:rPr>
        <w:t xml:space="preserve"> los métodos usados para diferentes propósitos en los países miembros.</w:t>
      </w:r>
    </w:p>
    <w:p w14:paraId="715278C3" w14:textId="2C88818D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El uso de marcadores de ADN para el examen DHE de cultivos de grano y oleaginosos</w:t>
      </w:r>
      <w:r w:rsidR="00EC4AA2" w:rsidRPr="003062E9">
        <w:rPr>
          <w:snapToGrid w:val="0"/>
          <w:lang w:val="es-ES_tradnl"/>
        </w:rPr>
        <w:t>.</w:t>
      </w:r>
    </w:p>
    <w:p w14:paraId="03EFBF83" w14:textId="719612DB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Uso de métodos validados para la identificación de variedades</w:t>
      </w:r>
      <w:r w:rsidR="00472AA2" w:rsidRPr="003062E9">
        <w:rPr>
          <w:snapToGrid w:val="0"/>
          <w:lang w:val="es-ES_tradnl"/>
        </w:rPr>
        <w:t>.</w:t>
      </w:r>
    </w:p>
    <w:p w14:paraId="1F92C302" w14:textId="4A34367B" w:rsidR="00390134" w:rsidRPr="003062E9" w:rsidRDefault="00472AA2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I</w:t>
      </w:r>
      <w:r w:rsidR="00390134" w:rsidRPr="003062E9">
        <w:rPr>
          <w:snapToGrid w:val="0"/>
          <w:lang w:val="es-ES_tradnl"/>
        </w:rPr>
        <w:t>dentificación de variedades</w:t>
      </w:r>
      <w:r w:rsidRPr="003062E9">
        <w:rPr>
          <w:snapToGrid w:val="0"/>
          <w:lang w:val="es-ES_tradnl"/>
        </w:rPr>
        <w:t>.</w:t>
      </w:r>
    </w:p>
    <w:p w14:paraId="5C4FE2F7" w14:textId="5EE9EF6C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Podría ser interesante para la</w:t>
      </w:r>
      <w:r w:rsidR="00472AA2" w:rsidRPr="003062E9">
        <w:rPr>
          <w:snapToGrid w:val="0"/>
          <w:lang w:val="es-ES_tradnl"/>
        </w:rPr>
        <w:t> </w:t>
      </w:r>
      <w:r w:rsidRPr="003062E9">
        <w:rPr>
          <w:snapToGrid w:val="0"/>
          <w:lang w:val="es-ES_tradnl"/>
        </w:rPr>
        <w:t>UPOV y la</w:t>
      </w:r>
      <w:r w:rsidR="00472AA2" w:rsidRPr="003062E9">
        <w:rPr>
          <w:snapToGrid w:val="0"/>
          <w:lang w:val="es-ES_tradnl"/>
        </w:rPr>
        <w:t> </w:t>
      </w:r>
      <w:r w:rsidRPr="003062E9">
        <w:rPr>
          <w:snapToGrid w:val="0"/>
          <w:lang w:val="es-ES_tradnl"/>
        </w:rPr>
        <w:t>OCDE aplicar conjuntos de marcadores comparables para cuestiones de identidad.</w:t>
      </w:r>
    </w:p>
    <w:p w14:paraId="7FC30341" w14:textId="4F92F5B3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La eficacia del uso de la tecnología de ADN en la identificación de una variedad</w:t>
      </w:r>
      <w:r w:rsidR="00472AA2" w:rsidRPr="003062E9">
        <w:rPr>
          <w:snapToGrid w:val="0"/>
          <w:lang w:val="es-ES_tradnl"/>
        </w:rPr>
        <w:t>.</w:t>
      </w:r>
    </w:p>
    <w:p w14:paraId="7760D988" w14:textId="686679B2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Verificación</w:t>
      </w:r>
      <w:r w:rsidR="00472AA2" w:rsidRPr="003062E9">
        <w:rPr>
          <w:snapToGrid w:val="0"/>
          <w:lang w:val="es-ES_tradnl"/>
        </w:rPr>
        <w:t xml:space="preserve"> de variedades</w:t>
      </w:r>
      <w:r w:rsidRPr="003062E9">
        <w:rPr>
          <w:snapToGrid w:val="0"/>
          <w:lang w:val="es-ES_tradnl"/>
        </w:rPr>
        <w:t>, descripción de variedades, y derechos de obtentor/a</w:t>
      </w:r>
      <w:r w:rsidR="00472AA2" w:rsidRPr="003062E9">
        <w:rPr>
          <w:snapToGrid w:val="0"/>
          <w:lang w:val="es-ES_tradnl"/>
        </w:rPr>
        <w:t>.</w:t>
      </w:r>
    </w:p>
    <w:p w14:paraId="59863F99" w14:textId="3E5798E0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Cooperación, intercambio de información</w:t>
      </w:r>
      <w:r w:rsidR="00472AA2" w:rsidRPr="003062E9">
        <w:rPr>
          <w:snapToGrid w:val="0"/>
          <w:lang w:val="es-ES_tradnl"/>
        </w:rPr>
        <w:t>.</w:t>
      </w:r>
    </w:p>
    <w:p w14:paraId="0E42C0E7" w14:textId="62507AC1" w:rsidR="00390134" w:rsidRPr="003062E9" w:rsidRDefault="00472AA2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T</w:t>
      </w:r>
      <w:r w:rsidR="00390134" w:rsidRPr="003062E9">
        <w:rPr>
          <w:snapToGrid w:val="0"/>
          <w:lang w:val="es-ES_tradnl"/>
        </w:rPr>
        <w:t>ecnología</w:t>
      </w:r>
      <w:r w:rsidRPr="003062E9">
        <w:rPr>
          <w:snapToGrid w:val="0"/>
          <w:lang w:val="es-ES_tradnl"/>
        </w:rPr>
        <w:t>.</w:t>
      </w:r>
    </w:p>
    <w:p w14:paraId="31EF1C1C" w14:textId="4FBAE7D8" w:rsidR="00390134" w:rsidRPr="003062E9" w:rsidRDefault="00472AA2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L</w:t>
      </w:r>
      <w:r w:rsidR="00390134" w:rsidRPr="003062E9">
        <w:rPr>
          <w:snapToGrid w:val="0"/>
          <w:lang w:val="es-ES_tradnl"/>
        </w:rPr>
        <w:t>ista de marcadores y procedimientos acordados para identificar una variedad</w:t>
      </w:r>
      <w:r w:rsidRPr="003062E9">
        <w:rPr>
          <w:snapToGrid w:val="0"/>
          <w:lang w:val="es-ES_tradnl"/>
        </w:rPr>
        <w:t>.</w:t>
      </w:r>
    </w:p>
    <w:p w14:paraId="3D162EDF" w14:textId="0AF8B028" w:rsidR="00390134" w:rsidRPr="003062E9" w:rsidRDefault="00472AA2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I</w:t>
      </w:r>
      <w:r w:rsidR="00390134" w:rsidRPr="003062E9">
        <w:rPr>
          <w:snapToGrid w:val="0"/>
          <w:lang w:val="es-ES_tradnl"/>
        </w:rPr>
        <w:t>dentificación de variedades mediante el ADN</w:t>
      </w:r>
      <w:r w:rsidRPr="003062E9">
        <w:rPr>
          <w:snapToGrid w:val="0"/>
          <w:lang w:val="es-ES_tradnl"/>
        </w:rPr>
        <w:t>.</w:t>
      </w:r>
    </w:p>
    <w:p w14:paraId="1710EC8B" w14:textId="65D86C43" w:rsidR="00390134" w:rsidRPr="003062E9" w:rsidRDefault="0039013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 xml:space="preserve">Garantizar la protección de las obtenciones vegetales </w:t>
      </w:r>
      <w:r w:rsidR="00472AA2" w:rsidRPr="003062E9">
        <w:rPr>
          <w:snapToGrid w:val="0"/>
          <w:lang w:val="es-ES_tradnl"/>
        </w:rPr>
        <w:t xml:space="preserve">en lo relativo a </w:t>
      </w:r>
      <w:r w:rsidRPr="003062E9">
        <w:rPr>
          <w:snapToGrid w:val="0"/>
          <w:lang w:val="es-ES_tradnl"/>
        </w:rPr>
        <w:t>la certificación de semillas</w:t>
      </w:r>
      <w:r w:rsidR="007705D4" w:rsidRPr="003062E9">
        <w:rPr>
          <w:snapToGrid w:val="0"/>
          <w:lang w:val="es-ES_tradnl"/>
        </w:rPr>
        <w:t>,</w:t>
      </w:r>
      <w:r w:rsidRPr="003062E9">
        <w:rPr>
          <w:snapToGrid w:val="0"/>
          <w:lang w:val="es-ES_tradnl"/>
        </w:rPr>
        <w:t xml:space="preserve"> desarrollando métodos para la identificación de variedades protegidas.</w:t>
      </w:r>
    </w:p>
    <w:p w14:paraId="7F4F4791" w14:textId="28BB823E" w:rsidR="00390134" w:rsidRPr="003062E9" w:rsidRDefault="007705D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I</w:t>
      </w:r>
      <w:r w:rsidR="00390134" w:rsidRPr="003062E9">
        <w:rPr>
          <w:snapToGrid w:val="0"/>
          <w:lang w:val="es-ES_tradnl"/>
        </w:rPr>
        <w:t>dentificación de variedades</w:t>
      </w:r>
      <w:r w:rsidRPr="003062E9">
        <w:rPr>
          <w:snapToGrid w:val="0"/>
          <w:lang w:val="es-ES_tradnl"/>
        </w:rPr>
        <w:t>.</w:t>
      </w:r>
    </w:p>
    <w:p w14:paraId="1F7972EC" w14:textId="0075B803" w:rsidR="00390134" w:rsidRPr="003062E9" w:rsidRDefault="007705D4" w:rsidP="00390134">
      <w:pPr>
        <w:numPr>
          <w:ilvl w:val="0"/>
          <w:numId w:val="3"/>
        </w:numPr>
        <w:ind w:left="567" w:hanging="567"/>
        <w:contextualSpacing/>
        <w:jc w:val="left"/>
        <w:rPr>
          <w:rFonts w:eastAsia="MS Mincho" w:cs="Arial"/>
          <w:lang w:val="es-ES_tradnl"/>
        </w:rPr>
      </w:pPr>
      <w:r w:rsidRPr="003062E9">
        <w:rPr>
          <w:snapToGrid w:val="0"/>
          <w:lang w:val="es-ES_tradnl"/>
        </w:rPr>
        <w:t>R</w:t>
      </w:r>
      <w:r w:rsidR="00390134" w:rsidRPr="003062E9">
        <w:rPr>
          <w:snapToGrid w:val="0"/>
          <w:lang w:val="es-ES_tradnl"/>
        </w:rPr>
        <w:t>econocimiento de métodos; esfuerzo conjunto en materia de investigación</w:t>
      </w:r>
      <w:r w:rsidRPr="003062E9">
        <w:rPr>
          <w:snapToGrid w:val="0"/>
          <w:lang w:val="es-ES_tradnl"/>
        </w:rPr>
        <w:t>.</w:t>
      </w:r>
    </w:p>
    <w:p w14:paraId="113A9B48" w14:textId="77777777" w:rsidR="00390134" w:rsidRPr="003062E9" w:rsidRDefault="00390134" w:rsidP="00390134">
      <w:pPr>
        <w:rPr>
          <w:rFonts w:eastAsia="MS Mincho"/>
          <w:lang w:val="es-ES_tradnl"/>
        </w:rPr>
      </w:pPr>
    </w:p>
    <w:p w14:paraId="1063E0F1" w14:textId="77777777" w:rsidR="00390134" w:rsidRPr="003062E9" w:rsidRDefault="00390134" w:rsidP="00390134">
      <w:pPr>
        <w:keepNext/>
        <w:keepLines/>
        <w:jc w:val="left"/>
        <w:rPr>
          <w:rFonts w:eastAsia="MS Mincho"/>
          <w:bCs/>
          <w:snapToGrid w:val="0"/>
          <w:lang w:val="es-ES_tradnl"/>
        </w:rPr>
      </w:pPr>
      <w:r w:rsidRPr="003062E9">
        <w:rPr>
          <w:bCs/>
          <w:snapToGrid w:val="0"/>
          <w:lang w:val="es-ES_tradnl"/>
        </w:rPr>
        <w:t>¿Qué temas sería adecuado tratar en un taller conjunto UPOV-OCDE-ISTA relacionado con las técnicas bioquímicas y moleculares?</w:t>
      </w:r>
    </w:p>
    <w:p w14:paraId="62B93179" w14:textId="77777777" w:rsidR="00390134" w:rsidRPr="003062E9" w:rsidRDefault="00390134" w:rsidP="00390134">
      <w:pPr>
        <w:rPr>
          <w:rFonts w:eastAsia="MS Mincho"/>
          <w:snapToGrid w:val="0"/>
          <w:lang w:val="es-ES_tradnl"/>
        </w:rPr>
      </w:pPr>
    </w:p>
    <w:p w14:paraId="75ABEA70" w14:textId="48F6754F" w:rsidR="00390134" w:rsidRPr="003062E9" w:rsidRDefault="0039013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El uso de marcadores para la identificación de variedades</w:t>
      </w:r>
      <w:r w:rsidR="007705D4" w:rsidRPr="003062E9">
        <w:rPr>
          <w:snapToGrid w:val="0"/>
          <w:lang w:val="es-ES_tradnl"/>
        </w:rPr>
        <w:t>.</w:t>
      </w:r>
    </w:p>
    <w:p w14:paraId="5F4DB1B6" w14:textId="31FF4240" w:rsidR="00390134" w:rsidRPr="003062E9" w:rsidRDefault="007705D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C</w:t>
      </w:r>
      <w:r w:rsidR="00390134" w:rsidRPr="003062E9">
        <w:rPr>
          <w:snapToGrid w:val="0"/>
          <w:lang w:val="es-ES_tradnl"/>
        </w:rPr>
        <w:t>ómo armonizar métodos y pruebas para asegurar la coherencia</w:t>
      </w:r>
      <w:r w:rsidRPr="003062E9">
        <w:rPr>
          <w:snapToGrid w:val="0"/>
          <w:lang w:val="es-ES_tradnl"/>
        </w:rPr>
        <w:t>.</w:t>
      </w:r>
    </w:p>
    <w:p w14:paraId="42A78A07" w14:textId="289D4FF7" w:rsidR="00390134" w:rsidRPr="003062E9" w:rsidRDefault="0039013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Métodos aplicados, temas de actualidad y labor futura</w:t>
      </w:r>
      <w:r w:rsidR="007705D4" w:rsidRPr="003062E9">
        <w:rPr>
          <w:snapToGrid w:val="0"/>
          <w:lang w:val="es-ES_tradnl"/>
        </w:rPr>
        <w:t>.</w:t>
      </w:r>
    </w:p>
    <w:p w14:paraId="30671280" w14:textId="77777777" w:rsidR="00390134" w:rsidRPr="003062E9" w:rsidRDefault="0039013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Estudio sobre la relación entre los marcadores moleculares y los caracteres DHE.</w:t>
      </w:r>
    </w:p>
    <w:p w14:paraId="7D3D77D0" w14:textId="51C4612A" w:rsidR="00390134" w:rsidRPr="003062E9" w:rsidRDefault="0039013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Método de validación de la ISTA, uso de marcadores moleculares por parte de la UPOV, uso de marcadores moleculares por parte de la OCDE. Debate sobre cuáles son l</w:t>
      </w:r>
      <w:r w:rsidR="007705D4" w:rsidRPr="003062E9">
        <w:rPr>
          <w:snapToGrid w:val="0"/>
          <w:lang w:val="es-ES_tradnl"/>
        </w:rPr>
        <w:t>o</w:t>
      </w:r>
      <w:r w:rsidRPr="003062E9">
        <w:rPr>
          <w:snapToGrid w:val="0"/>
          <w:lang w:val="es-ES_tradnl"/>
        </w:rPr>
        <w:t>s mejores marcadores moleculares para distintos cultivos y usos.</w:t>
      </w:r>
    </w:p>
    <w:p w14:paraId="3A2A530F" w14:textId="2C861647" w:rsidR="00390134" w:rsidRPr="003062E9" w:rsidRDefault="007705D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N</w:t>
      </w:r>
      <w:r w:rsidR="00390134" w:rsidRPr="003062E9">
        <w:rPr>
          <w:snapToGrid w:val="0"/>
          <w:lang w:val="es-ES_tradnl"/>
        </w:rPr>
        <w:t>uevas tecnologías y posibles</w:t>
      </w:r>
      <w:r w:rsidRPr="003062E9">
        <w:rPr>
          <w:snapToGrid w:val="0"/>
          <w:lang w:val="es-ES_tradnl"/>
        </w:rPr>
        <w:t xml:space="preserve"> usos.</w:t>
      </w:r>
    </w:p>
    <w:p w14:paraId="04C140E4" w14:textId="2F11720B" w:rsidR="00390134" w:rsidRPr="003062E9" w:rsidRDefault="0039013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Criterios de determinación de la homogeneidad, umbrales de variación</w:t>
      </w:r>
      <w:r w:rsidR="007705D4" w:rsidRPr="003062E9">
        <w:rPr>
          <w:snapToGrid w:val="0"/>
          <w:lang w:val="es-ES_tradnl"/>
        </w:rPr>
        <w:t>.</w:t>
      </w:r>
    </w:p>
    <w:p w14:paraId="04E32786" w14:textId="77777777" w:rsidR="00390134" w:rsidRPr="003062E9" w:rsidRDefault="0039013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Identidad - caracteres distintivos - métodos</w:t>
      </w:r>
    </w:p>
    <w:p w14:paraId="196FF81A" w14:textId="777E4710" w:rsidR="00390134" w:rsidRPr="003062E9" w:rsidRDefault="007705D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L</w:t>
      </w:r>
      <w:r w:rsidR="00390134" w:rsidRPr="003062E9">
        <w:rPr>
          <w:snapToGrid w:val="0"/>
          <w:lang w:val="es-ES_tradnl"/>
        </w:rPr>
        <w:t>a OCDE prescribe las reglas relativas a la propagación por semilla y al tratamiento de las semillas</w:t>
      </w:r>
    </w:p>
    <w:p w14:paraId="778DCEAA" w14:textId="154FEF28" w:rsidR="00390134" w:rsidRPr="003062E9" w:rsidRDefault="0039013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Limitaciones y posibilidades del uso de marcadores moleculares para el ensayo de semillas, la certificación de variedades y la protección de las obtenciones vegetales. Áreas comunes de interés y maneras de abordar desarrollos futuros</w:t>
      </w:r>
      <w:r w:rsidR="00AF3338" w:rsidRPr="003062E9">
        <w:rPr>
          <w:snapToGrid w:val="0"/>
          <w:lang w:val="es-ES_tradnl"/>
        </w:rPr>
        <w:t>.</w:t>
      </w:r>
    </w:p>
    <w:p w14:paraId="163E4C11" w14:textId="36969917" w:rsidR="00390134" w:rsidRPr="003062E9" w:rsidRDefault="0039013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Tipos de marcadores de ADN para distintos cultivos</w:t>
      </w:r>
      <w:r w:rsidR="00AF3338" w:rsidRPr="003062E9">
        <w:rPr>
          <w:snapToGrid w:val="0"/>
          <w:lang w:val="es-ES_tradnl"/>
        </w:rPr>
        <w:t>.</w:t>
      </w:r>
    </w:p>
    <w:p w14:paraId="6EF8E8D6" w14:textId="05A6D69F" w:rsidR="00390134" w:rsidRPr="003062E9" w:rsidRDefault="0039013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Comparación entre actividades</w:t>
      </w:r>
      <w:r w:rsidR="00AD1F0C">
        <w:rPr>
          <w:snapToGrid w:val="0"/>
          <w:lang w:val="es-ES_tradnl"/>
        </w:rPr>
        <w:t xml:space="preserve"> y </w:t>
      </w:r>
      <w:r w:rsidR="00AD1F0C" w:rsidRPr="003062E9">
        <w:rPr>
          <w:snapToGrid w:val="0"/>
          <w:lang w:val="es-ES_tradnl"/>
        </w:rPr>
        <w:t>sistemas</w:t>
      </w:r>
      <w:r w:rsidR="00AF3338" w:rsidRPr="003062E9">
        <w:rPr>
          <w:snapToGrid w:val="0"/>
          <w:lang w:val="es-ES_tradnl"/>
        </w:rPr>
        <w:t xml:space="preserve"> relacionados con las técnicas bioquímicas y moleculares</w:t>
      </w:r>
      <w:r w:rsidRPr="003062E9">
        <w:rPr>
          <w:snapToGrid w:val="0"/>
          <w:lang w:val="es-ES_tradnl"/>
        </w:rPr>
        <w:t>, posibles ámbitos de armonización, maneras de fomentar la cooperación y el intercambio de información</w:t>
      </w:r>
      <w:r w:rsidR="00AF3338" w:rsidRPr="003062E9">
        <w:rPr>
          <w:snapToGrid w:val="0"/>
          <w:lang w:val="es-ES_tradnl"/>
        </w:rPr>
        <w:t>.</w:t>
      </w:r>
    </w:p>
    <w:p w14:paraId="5E095094" w14:textId="2ED2B328" w:rsidR="00390134" w:rsidRPr="003062E9" w:rsidRDefault="00AF3338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A</w:t>
      </w:r>
      <w:r w:rsidR="00390134" w:rsidRPr="003062E9">
        <w:rPr>
          <w:snapToGrid w:val="0"/>
          <w:lang w:val="es-ES_tradnl"/>
        </w:rPr>
        <w:t>clarar la postura de las distintas asociaciones en lo que respecta al uso de</w:t>
      </w:r>
      <w:r w:rsidR="00130275" w:rsidRPr="003062E9">
        <w:rPr>
          <w:snapToGrid w:val="0"/>
          <w:lang w:val="es-ES_tradnl"/>
        </w:rPr>
        <w:t xml:space="preserve"> </w:t>
      </w:r>
      <w:r w:rsidR="00390134" w:rsidRPr="003062E9">
        <w:rPr>
          <w:snapToGrid w:val="0"/>
          <w:lang w:val="es-ES_tradnl"/>
        </w:rPr>
        <w:t>marcadores moleculares, evaluar las metodologías disponibles, ejemplos prácticos de uso realizados por las oficinas de examen y certificación de semillas. ¿Cómo armonizar estas metodologías entre oficinas para obtener resultados comparables?</w:t>
      </w:r>
    </w:p>
    <w:p w14:paraId="26651AE7" w14:textId="0EE4CC99" w:rsidR="00390134" w:rsidRPr="003062E9" w:rsidRDefault="0039013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Base de datos común de marcadores por especie / validación y reconocimiento de técnicas y protocolos actuales / umbrales / iniciativas existentes del sector privado en materia de marcadores</w:t>
      </w:r>
      <w:r w:rsidR="00E27C4B" w:rsidRPr="003062E9">
        <w:rPr>
          <w:snapToGrid w:val="0"/>
          <w:lang w:val="es-ES_tradnl"/>
        </w:rPr>
        <w:t>.</w:t>
      </w:r>
    </w:p>
    <w:p w14:paraId="0FC5E14B" w14:textId="62984F7E" w:rsidR="00390134" w:rsidRPr="003062E9" w:rsidRDefault="00E27C4B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D</w:t>
      </w:r>
      <w:r w:rsidR="00390134" w:rsidRPr="003062E9">
        <w:rPr>
          <w:snapToGrid w:val="0"/>
          <w:lang w:val="es-ES_tradnl"/>
        </w:rPr>
        <w:t>esarrollo</w:t>
      </w:r>
      <w:r w:rsidRPr="003062E9">
        <w:rPr>
          <w:snapToGrid w:val="0"/>
          <w:lang w:val="es-ES_tradnl"/>
        </w:rPr>
        <w:t>.</w:t>
      </w:r>
    </w:p>
    <w:p w14:paraId="3560B7C3" w14:textId="6A863452" w:rsidR="00390134" w:rsidRPr="003062E9" w:rsidRDefault="00E27C4B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A</w:t>
      </w:r>
      <w:r w:rsidR="00390134" w:rsidRPr="003062E9">
        <w:rPr>
          <w:snapToGrid w:val="0"/>
          <w:lang w:val="es-ES_tradnl"/>
        </w:rPr>
        <w:t>rmonización de marcadores y procedimientos adecuados para el perfil de ADN de variedades para que los perfiles se puedan intercambiar o recopilar en bases de datos de uso común</w:t>
      </w:r>
      <w:r w:rsidRPr="003062E9">
        <w:rPr>
          <w:snapToGrid w:val="0"/>
          <w:lang w:val="es-ES_tradnl"/>
        </w:rPr>
        <w:t>.</w:t>
      </w:r>
    </w:p>
    <w:p w14:paraId="5A76928C" w14:textId="39922AB2" w:rsidR="00390134" w:rsidRPr="003062E9" w:rsidRDefault="0039013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Escenarios en los que es necesaria la identificación de la variedad mediante ADN</w:t>
      </w:r>
      <w:r w:rsidR="00E27C4B" w:rsidRPr="003062E9">
        <w:rPr>
          <w:snapToGrid w:val="0"/>
          <w:lang w:val="es-ES_tradnl"/>
        </w:rPr>
        <w:t>.</w:t>
      </w:r>
    </w:p>
    <w:p w14:paraId="11E0F57B" w14:textId="6932C8A3" w:rsidR="00390134" w:rsidRPr="003062E9" w:rsidRDefault="00E27C4B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="MS Mincho"/>
          <w:snapToGrid w:val="0"/>
          <w:lang w:val="es-ES_tradnl"/>
        </w:rPr>
      </w:pPr>
      <w:r w:rsidRPr="003062E9">
        <w:rPr>
          <w:snapToGrid w:val="0"/>
          <w:lang w:val="es-ES_tradnl"/>
        </w:rPr>
        <w:t>I</w:t>
      </w:r>
      <w:r w:rsidR="00390134" w:rsidRPr="003062E9">
        <w:rPr>
          <w:snapToGrid w:val="0"/>
          <w:lang w:val="es-ES_tradnl"/>
        </w:rPr>
        <w:t>dentificación de variedades</w:t>
      </w:r>
      <w:r w:rsidRPr="003062E9">
        <w:rPr>
          <w:snapToGrid w:val="0"/>
          <w:lang w:val="es-ES_tradnl"/>
        </w:rPr>
        <w:t>.</w:t>
      </w:r>
    </w:p>
    <w:p w14:paraId="7E362361" w14:textId="5C4808D4" w:rsidR="00390134" w:rsidRPr="003062E9" w:rsidRDefault="00390134" w:rsidP="00390134">
      <w:pPr>
        <w:numPr>
          <w:ilvl w:val="0"/>
          <w:numId w:val="4"/>
        </w:numPr>
        <w:ind w:left="567" w:hanging="567"/>
        <w:contextualSpacing/>
        <w:jc w:val="left"/>
        <w:rPr>
          <w:rFonts w:eastAsiaTheme="minorEastAsia" w:cs="Arial"/>
          <w:lang w:val="es-ES_tradnl"/>
        </w:rPr>
      </w:pPr>
      <w:r w:rsidRPr="003062E9">
        <w:rPr>
          <w:snapToGrid w:val="0"/>
          <w:lang w:val="es-ES_tradnl"/>
        </w:rPr>
        <w:t>Estrategia sobre el uso de técnicas bioquímicas y moleculares; organización de los conocimientos especializados sobre técnicas bioquímicas y moleculares; validación de métodos</w:t>
      </w:r>
      <w:r w:rsidR="00E27C4B" w:rsidRPr="003062E9">
        <w:rPr>
          <w:snapToGrid w:val="0"/>
          <w:lang w:val="es-ES_tradnl"/>
        </w:rPr>
        <w:t>.</w:t>
      </w:r>
    </w:p>
    <w:p w14:paraId="7DF84D2D" w14:textId="77777777" w:rsidR="00390134" w:rsidRPr="003062E9" w:rsidRDefault="00390134" w:rsidP="00390134">
      <w:pPr>
        <w:rPr>
          <w:rFonts w:eastAsia="MS Mincho"/>
          <w:lang w:val="es-ES_tradnl"/>
        </w:rPr>
      </w:pPr>
    </w:p>
    <w:p w14:paraId="39B5AAD0" w14:textId="77777777" w:rsidR="00390134" w:rsidRPr="003062E9" w:rsidRDefault="00390134" w:rsidP="00390134">
      <w:pPr>
        <w:jc w:val="left"/>
        <w:rPr>
          <w:rFonts w:eastAsia="MS Mincho"/>
          <w:lang w:val="es-ES_tradnl"/>
        </w:rPr>
      </w:pPr>
    </w:p>
    <w:p w14:paraId="0966C3F5" w14:textId="77777777" w:rsidR="00390134" w:rsidRPr="003062E9" w:rsidRDefault="00390134" w:rsidP="00390134">
      <w:pPr>
        <w:rPr>
          <w:rFonts w:eastAsia="MS Mincho"/>
          <w:lang w:val="es-ES_tradnl"/>
        </w:rPr>
      </w:pPr>
    </w:p>
    <w:p w14:paraId="4678520A" w14:textId="77777777" w:rsidR="00050E16" w:rsidRPr="003062E9" w:rsidRDefault="00390134" w:rsidP="00390134">
      <w:pPr>
        <w:jc w:val="right"/>
        <w:rPr>
          <w:rFonts w:eastAsia="MS Mincho"/>
          <w:lang w:val="es-ES_tradnl"/>
        </w:rPr>
      </w:pPr>
      <w:r w:rsidRPr="003062E9">
        <w:rPr>
          <w:lang w:val="es-ES_tradnl"/>
        </w:rPr>
        <w:t>[Fin del Anexo y del documento]</w:t>
      </w:r>
    </w:p>
    <w:sectPr w:rsidR="00050E16" w:rsidRPr="003062E9" w:rsidSect="00390134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9BED5" w14:textId="77777777" w:rsidR="00366D21" w:rsidRDefault="00366D21" w:rsidP="006655D3">
      <w:r>
        <w:separator/>
      </w:r>
    </w:p>
    <w:p w14:paraId="7D0AC479" w14:textId="77777777" w:rsidR="00366D21" w:rsidRDefault="00366D21" w:rsidP="006655D3"/>
    <w:p w14:paraId="212040A8" w14:textId="77777777" w:rsidR="00366D21" w:rsidRDefault="00366D21" w:rsidP="006655D3"/>
  </w:endnote>
  <w:endnote w:type="continuationSeparator" w:id="0">
    <w:p w14:paraId="2C7AC172" w14:textId="77777777" w:rsidR="00366D21" w:rsidRDefault="00366D21" w:rsidP="006655D3">
      <w:r>
        <w:separator/>
      </w:r>
    </w:p>
    <w:p w14:paraId="7C5C085A" w14:textId="77777777" w:rsidR="00366D21" w:rsidRPr="00294751" w:rsidRDefault="00366D2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1B97202" w14:textId="77777777" w:rsidR="00366D21" w:rsidRPr="00294751" w:rsidRDefault="00366D21" w:rsidP="006655D3">
      <w:pPr>
        <w:rPr>
          <w:lang w:val="fr-FR"/>
        </w:rPr>
      </w:pPr>
    </w:p>
    <w:p w14:paraId="7257A6BE" w14:textId="77777777" w:rsidR="00366D21" w:rsidRPr="00294751" w:rsidRDefault="00366D21" w:rsidP="006655D3">
      <w:pPr>
        <w:rPr>
          <w:lang w:val="fr-FR"/>
        </w:rPr>
      </w:pPr>
    </w:p>
  </w:endnote>
  <w:endnote w:type="continuationNotice" w:id="1">
    <w:p w14:paraId="74EC6B4D" w14:textId="77777777" w:rsidR="00366D21" w:rsidRPr="00294751" w:rsidRDefault="00366D2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CDD5C37" w14:textId="77777777" w:rsidR="00366D21" w:rsidRPr="00294751" w:rsidRDefault="00366D21" w:rsidP="006655D3">
      <w:pPr>
        <w:rPr>
          <w:lang w:val="fr-FR"/>
        </w:rPr>
      </w:pPr>
    </w:p>
    <w:p w14:paraId="43276B8B" w14:textId="77777777" w:rsidR="00366D21" w:rsidRPr="00294751" w:rsidRDefault="00366D2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B0AD2" w14:textId="77777777" w:rsidR="00366D21" w:rsidRDefault="00366D21" w:rsidP="006655D3">
      <w:r>
        <w:separator/>
      </w:r>
    </w:p>
  </w:footnote>
  <w:footnote w:type="continuationSeparator" w:id="0">
    <w:p w14:paraId="28EB5613" w14:textId="77777777" w:rsidR="00366D21" w:rsidRDefault="00366D21" w:rsidP="006655D3">
      <w:r>
        <w:separator/>
      </w:r>
    </w:p>
  </w:footnote>
  <w:footnote w:type="continuationNotice" w:id="1">
    <w:p w14:paraId="49FB63D2" w14:textId="77777777" w:rsidR="00366D21" w:rsidRPr="00AB530F" w:rsidRDefault="00366D21" w:rsidP="00AB530F">
      <w:pPr>
        <w:pStyle w:val="Footer"/>
      </w:pPr>
    </w:p>
  </w:footnote>
  <w:footnote w:id="2">
    <w:p w14:paraId="0AF0DC1C" w14:textId="198EA272" w:rsidR="00390134" w:rsidRPr="00390134" w:rsidRDefault="00390134" w:rsidP="00390134">
      <w:pPr>
        <w:pStyle w:val="FootnoteText"/>
      </w:pPr>
      <w:r>
        <w:rPr>
          <w:rStyle w:val="FootnoteReference"/>
        </w:rPr>
        <w:footnoteRef/>
      </w:r>
      <w:r>
        <w:t xml:space="preserve"> En su quincuagésima quinta sesión, organizada por Turquía y celebrada por medios electrónicos del</w:t>
      </w:r>
      <w:r w:rsidR="0073273D">
        <w:t> </w:t>
      </w:r>
      <w:r>
        <w:t>3 al</w:t>
      </w:r>
      <w:r w:rsidR="0073273D">
        <w:t> </w:t>
      </w:r>
      <w:r>
        <w:t>7 de mayo de</w:t>
      </w:r>
      <w:r w:rsidR="0073273D">
        <w:t> </w:t>
      </w:r>
      <w:r>
        <w:t>2021.</w:t>
      </w:r>
    </w:p>
  </w:footnote>
  <w:footnote w:id="3">
    <w:p w14:paraId="5538C283" w14:textId="0C81D49D" w:rsidR="00390134" w:rsidRPr="00390134" w:rsidRDefault="00390134" w:rsidP="00390134">
      <w:pPr>
        <w:pStyle w:val="FootnoteText"/>
      </w:pPr>
      <w:r>
        <w:rPr>
          <w:rStyle w:val="FootnoteReference"/>
        </w:rPr>
        <w:footnoteRef/>
      </w:r>
      <w:r>
        <w:t xml:space="preserve"> En su quincuagésima tercera sesión, organizada por los Países Bajos y celebrada por medios electrónicos del</w:t>
      </w:r>
      <w:r w:rsidR="0073273D">
        <w:t> </w:t>
      </w:r>
      <w:r>
        <w:t>7 al</w:t>
      </w:r>
      <w:r w:rsidR="0073273D">
        <w:t> </w:t>
      </w:r>
      <w:r>
        <w:t>11 de junio de</w:t>
      </w:r>
      <w:r w:rsidR="0073273D">
        <w:t> </w:t>
      </w:r>
      <w:r>
        <w:t>2021.</w:t>
      </w:r>
    </w:p>
  </w:footnote>
  <w:footnote w:id="4">
    <w:p w14:paraId="7D8AF919" w14:textId="2D2BEE49" w:rsidR="00390134" w:rsidRPr="00390134" w:rsidRDefault="00390134" w:rsidP="00390134">
      <w:pPr>
        <w:pStyle w:val="FootnoteText"/>
      </w:pPr>
      <w:r>
        <w:rPr>
          <w:rStyle w:val="FootnoteReference"/>
        </w:rPr>
        <w:footnoteRef/>
      </w:r>
      <w:r>
        <w:t xml:space="preserve"> En su quincuagésima sesión, organizada por la República Unida de </w:t>
      </w:r>
      <w:proofErr w:type="spellStart"/>
      <w:r>
        <w:t>Tanzanía</w:t>
      </w:r>
      <w:proofErr w:type="spellEnd"/>
      <w:r>
        <w:t xml:space="preserve"> y celebrada por medios electrónicos del</w:t>
      </w:r>
      <w:r w:rsidR="0073273D">
        <w:t> </w:t>
      </w:r>
      <w:r>
        <w:t>21 al</w:t>
      </w:r>
      <w:r w:rsidR="0073273D">
        <w:t> </w:t>
      </w:r>
      <w:r>
        <w:t>25 de junio de</w:t>
      </w:r>
      <w:r w:rsidR="0073273D">
        <w:t> </w:t>
      </w:r>
      <w:r>
        <w:t>2021.</w:t>
      </w:r>
    </w:p>
  </w:footnote>
  <w:footnote w:id="5">
    <w:p w14:paraId="5783284B" w14:textId="295BFEB9" w:rsidR="00390134" w:rsidRPr="00390134" w:rsidRDefault="00390134" w:rsidP="00390134">
      <w:pPr>
        <w:pStyle w:val="FootnoteText"/>
      </w:pPr>
      <w:r>
        <w:rPr>
          <w:rStyle w:val="FootnoteReference"/>
        </w:rPr>
        <w:footnoteRef/>
      </w:r>
      <w:r>
        <w:t xml:space="preserve"> En su quincuagésima segunda sesión, organizada por China y celebrada por medios electrónicos del</w:t>
      </w:r>
      <w:r w:rsidR="0073273D">
        <w:t> </w:t>
      </w:r>
      <w:r>
        <w:t>12 al</w:t>
      </w:r>
      <w:r w:rsidR="0073273D">
        <w:t> </w:t>
      </w:r>
      <w:r>
        <w:t>16 de julio de</w:t>
      </w:r>
      <w:r w:rsidR="0073273D">
        <w:t> </w:t>
      </w:r>
      <w:r>
        <w:t>2021.</w:t>
      </w:r>
    </w:p>
  </w:footnote>
  <w:footnote w:id="6">
    <w:p w14:paraId="5DADBAF5" w14:textId="6C900FF8" w:rsidR="00390134" w:rsidRPr="00390134" w:rsidRDefault="00390134" w:rsidP="00390134">
      <w:pPr>
        <w:pStyle w:val="FootnoteText"/>
      </w:pPr>
      <w:r>
        <w:rPr>
          <w:rStyle w:val="FootnoteReference"/>
        </w:rPr>
        <w:footnoteRef/>
      </w:r>
      <w:r>
        <w:t xml:space="preserve"> En su trigésima novena sesión, organizada por los Estados Unidos de América y celebrada por medios electrónicos del</w:t>
      </w:r>
      <w:r w:rsidR="0073273D">
        <w:t> </w:t>
      </w:r>
      <w:r>
        <w:t>20 al</w:t>
      </w:r>
      <w:r w:rsidR="0073273D">
        <w:t> </w:t>
      </w:r>
      <w:r>
        <w:t>22 de septiembre de</w:t>
      </w:r>
      <w:r w:rsidR="0073273D">
        <w:t> </w:t>
      </w:r>
      <w:r>
        <w:t>2021.</w:t>
      </w:r>
    </w:p>
  </w:footnote>
  <w:footnote w:id="7">
    <w:p w14:paraId="6CEA308D" w14:textId="7F88C163" w:rsidR="00390134" w:rsidRPr="00390134" w:rsidRDefault="00390134" w:rsidP="00390134">
      <w:pPr>
        <w:pStyle w:val="FootnoteText"/>
      </w:pPr>
      <w:r>
        <w:rPr>
          <w:rStyle w:val="FootnoteReference"/>
        </w:rPr>
        <w:footnoteRef/>
      </w:r>
      <w:r>
        <w:t xml:space="preserve"> Organizada por los Estados</w:t>
      </w:r>
      <w:r w:rsidR="0073273D">
        <w:t> </w:t>
      </w:r>
      <w:r>
        <w:t>Unidos de América y celebrada por medios electrónicos del</w:t>
      </w:r>
      <w:r w:rsidR="0073273D">
        <w:t> </w:t>
      </w:r>
      <w:r>
        <w:t>22 al</w:t>
      </w:r>
      <w:r w:rsidR="0073273D">
        <w:t> </w:t>
      </w:r>
      <w:r>
        <w:t>24 de septiembre de</w:t>
      </w:r>
      <w:r w:rsidR="0073273D">
        <w:t> </w:t>
      </w:r>
      <w:r>
        <w:t>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2D4B4" w14:textId="77777777" w:rsidR="00390134" w:rsidRPr="00390134" w:rsidRDefault="00390134" w:rsidP="004C24E1">
    <w:pPr>
      <w:pStyle w:val="Header"/>
      <w:rPr>
        <w:rStyle w:val="PageNumber"/>
      </w:rPr>
    </w:pPr>
    <w:r>
      <w:rPr>
        <w:rStyle w:val="PageNumber"/>
      </w:rPr>
      <w:t xml:space="preserve">TC/57/8 </w:t>
    </w:r>
    <w:proofErr w:type="spellStart"/>
    <w:r>
      <w:rPr>
        <w:rStyle w:val="PageNumber"/>
      </w:rPr>
      <w:t>Add</w:t>
    </w:r>
    <w:proofErr w:type="spellEnd"/>
    <w:r>
      <w:rPr>
        <w:rStyle w:val="PageNumber"/>
      </w:rPr>
      <w:t>.</w:t>
    </w:r>
  </w:p>
  <w:p w14:paraId="6146FBF1" w14:textId="4ACC1F28" w:rsidR="00390134" w:rsidRPr="00390134" w:rsidRDefault="00390134" w:rsidP="004C24E1">
    <w:pPr>
      <w:pStyle w:val="Header"/>
      <w:rPr>
        <w:rStyle w:val="PageNumber"/>
      </w:rPr>
    </w:pPr>
    <w:r>
      <w:t xml:space="preserve">página </w:t>
    </w:r>
    <w:r w:rsidRPr="00390134">
      <w:rPr>
        <w:rStyle w:val="PageNumber"/>
      </w:rPr>
      <w:fldChar w:fldCharType="begin"/>
    </w:r>
    <w:r w:rsidRPr="00390134">
      <w:rPr>
        <w:rStyle w:val="PageNumber"/>
      </w:rPr>
      <w:instrText xml:space="preserve"> PAGE </w:instrText>
    </w:r>
    <w:r w:rsidRPr="00390134">
      <w:rPr>
        <w:rStyle w:val="PageNumber"/>
      </w:rPr>
      <w:fldChar w:fldCharType="separate"/>
    </w:r>
    <w:r w:rsidR="00BC6F5E">
      <w:rPr>
        <w:rStyle w:val="PageNumber"/>
        <w:noProof/>
      </w:rPr>
      <w:t>4</w:t>
    </w:r>
    <w:r w:rsidRPr="00390134">
      <w:rPr>
        <w:rStyle w:val="PageNumber"/>
      </w:rPr>
      <w:fldChar w:fldCharType="end"/>
    </w:r>
  </w:p>
  <w:p w14:paraId="7B3C44BC" w14:textId="77777777" w:rsidR="00390134" w:rsidRPr="00390134" w:rsidRDefault="00390134" w:rsidP="004C24E1">
    <w:pPr>
      <w:pStyle w:val="Header"/>
    </w:pPr>
  </w:p>
  <w:p w14:paraId="5225C79F" w14:textId="77777777" w:rsidR="00390134" w:rsidRPr="00390134" w:rsidRDefault="00390134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1DD8B" w14:textId="77777777" w:rsidR="00390134" w:rsidRPr="00390134" w:rsidRDefault="00390134" w:rsidP="00390134">
    <w:pPr>
      <w:pStyle w:val="Header"/>
      <w:rPr>
        <w:rStyle w:val="PageNumber"/>
      </w:rPr>
    </w:pPr>
    <w:r>
      <w:rPr>
        <w:rStyle w:val="PageNumber"/>
      </w:rPr>
      <w:t xml:space="preserve">TC/57/8 </w:t>
    </w:r>
    <w:proofErr w:type="spellStart"/>
    <w:r>
      <w:rPr>
        <w:rStyle w:val="PageNumber"/>
      </w:rPr>
      <w:t>Add</w:t>
    </w:r>
    <w:proofErr w:type="spellEnd"/>
    <w:r>
      <w:rPr>
        <w:rStyle w:val="PageNumber"/>
      </w:rPr>
      <w:t>.</w:t>
    </w:r>
  </w:p>
  <w:p w14:paraId="391D04AC" w14:textId="755CE4A7" w:rsidR="00390134" w:rsidRPr="00390134" w:rsidRDefault="00390134" w:rsidP="00390134">
    <w:pPr>
      <w:pStyle w:val="Header"/>
      <w:rPr>
        <w:rStyle w:val="PageNumber"/>
      </w:rPr>
    </w:pPr>
    <w:r>
      <w:t xml:space="preserve">Anexo, página </w:t>
    </w:r>
    <w:r w:rsidRPr="00390134">
      <w:rPr>
        <w:rStyle w:val="PageNumber"/>
      </w:rPr>
      <w:fldChar w:fldCharType="begin"/>
    </w:r>
    <w:r w:rsidRPr="00390134">
      <w:rPr>
        <w:rStyle w:val="PageNumber"/>
      </w:rPr>
      <w:instrText xml:space="preserve"> PAGE </w:instrText>
    </w:r>
    <w:r w:rsidRPr="00390134">
      <w:rPr>
        <w:rStyle w:val="PageNumber"/>
      </w:rPr>
      <w:fldChar w:fldCharType="separate"/>
    </w:r>
    <w:r w:rsidR="00055830">
      <w:rPr>
        <w:rStyle w:val="PageNumber"/>
        <w:noProof/>
      </w:rPr>
      <w:t>2</w:t>
    </w:r>
    <w:r w:rsidRPr="00390134">
      <w:rPr>
        <w:rStyle w:val="PageNumber"/>
      </w:rPr>
      <w:fldChar w:fldCharType="end"/>
    </w:r>
  </w:p>
  <w:p w14:paraId="294918E5" w14:textId="77777777" w:rsidR="00390134" w:rsidRPr="00390134" w:rsidRDefault="00390134" w:rsidP="00390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B045F" w14:textId="77777777" w:rsidR="00390134" w:rsidRDefault="00390134" w:rsidP="00390134">
    <w:pPr>
      <w:pStyle w:val="Header"/>
      <w:rPr>
        <w:rStyle w:val="PageNumber"/>
      </w:rPr>
    </w:pPr>
    <w:r>
      <w:rPr>
        <w:rStyle w:val="PageNumber"/>
      </w:rPr>
      <w:t xml:space="preserve">TC/57/8 </w:t>
    </w:r>
    <w:proofErr w:type="spellStart"/>
    <w:r>
      <w:rPr>
        <w:rStyle w:val="PageNumber"/>
      </w:rPr>
      <w:t>Add</w:t>
    </w:r>
    <w:proofErr w:type="spellEnd"/>
    <w:r>
      <w:rPr>
        <w:rStyle w:val="PageNumber"/>
      </w:rPr>
      <w:t>.</w:t>
    </w:r>
  </w:p>
  <w:p w14:paraId="2A1395BE" w14:textId="77777777" w:rsidR="00390134" w:rsidRPr="00390134" w:rsidRDefault="00390134" w:rsidP="00390134">
    <w:pPr>
      <w:pStyle w:val="Header"/>
      <w:rPr>
        <w:rStyle w:val="PageNumber"/>
      </w:rPr>
    </w:pPr>
  </w:p>
  <w:p w14:paraId="4C645CB6" w14:textId="77777777" w:rsidR="00390134" w:rsidRPr="00390134" w:rsidRDefault="00390134" w:rsidP="00390134">
    <w:pPr>
      <w:pStyle w:val="Header"/>
      <w:rPr>
        <w:rStyle w:val="PageNumber"/>
      </w:rPr>
    </w:pPr>
    <w:r>
      <w:t>ANEXO</w:t>
    </w:r>
  </w:p>
  <w:p w14:paraId="41457EEB" w14:textId="77777777" w:rsidR="00390134" w:rsidRPr="00390134" w:rsidRDefault="00390134" w:rsidP="00390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71AFF"/>
    <w:multiLevelType w:val="hybridMultilevel"/>
    <w:tmpl w:val="86C2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28B6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435BD"/>
    <w:multiLevelType w:val="hybridMultilevel"/>
    <w:tmpl w:val="A51CABB2"/>
    <w:lvl w:ilvl="0" w:tplc="0C0A0017">
      <w:start w:val="1"/>
      <w:numFmt w:val="lowerLetter"/>
      <w:lvlText w:val="%1)"/>
      <w:lvlJc w:val="left"/>
      <w:pPr>
        <w:ind w:left="5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60" w:hanging="360"/>
      </w:pPr>
    </w:lvl>
    <w:lvl w:ilvl="2" w:tplc="0409001B" w:tentative="1">
      <w:start w:val="1"/>
      <w:numFmt w:val="lowerRoman"/>
      <w:lvlText w:val="%3."/>
      <w:lvlJc w:val="right"/>
      <w:pPr>
        <w:ind w:left="6880" w:hanging="180"/>
      </w:pPr>
    </w:lvl>
    <w:lvl w:ilvl="3" w:tplc="0409000F" w:tentative="1">
      <w:start w:val="1"/>
      <w:numFmt w:val="decimal"/>
      <w:lvlText w:val="%4."/>
      <w:lvlJc w:val="left"/>
      <w:pPr>
        <w:ind w:left="7600" w:hanging="360"/>
      </w:pPr>
    </w:lvl>
    <w:lvl w:ilvl="4" w:tplc="04090019" w:tentative="1">
      <w:start w:val="1"/>
      <w:numFmt w:val="lowerLetter"/>
      <w:lvlText w:val="%5."/>
      <w:lvlJc w:val="left"/>
      <w:pPr>
        <w:ind w:left="8320" w:hanging="360"/>
      </w:pPr>
    </w:lvl>
    <w:lvl w:ilvl="5" w:tplc="0409001B" w:tentative="1">
      <w:start w:val="1"/>
      <w:numFmt w:val="lowerRoman"/>
      <w:lvlText w:val="%6."/>
      <w:lvlJc w:val="right"/>
      <w:pPr>
        <w:ind w:left="9040" w:hanging="180"/>
      </w:pPr>
    </w:lvl>
    <w:lvl w:ilvl="6" w:tplc="0409000F" w:tentative="1">
      <w:start w:val="1"/>
      <w:numFmt w:val="decimal"/>
      <w:lvlText w:val="%7."/>
      <w:lvlJc w:val="left"/>
      <w:pPr>
        <w:ind w:left="9760" w:hanging="360"/>
      </w:pPr>
    </w:lvl>
    <w:lvl w:ilvl="7" w:tplc="04090019" w:tentative="1">
      <w:start w:val="1"/>
      <w:numFmt w:val="lowerLetter"/>
      <w:lvlText w:val="%8."/>
      <w:lvlJc w:val="left"/>
      <w:pPr>
        <w:ind w:left="10480" w:hanging="360"/>
      </w:pPr>
    </w:lvl>
    <w:lvl w:ilvl="8" w:tplc="0409001B" w:tentative="1">
      <w:start w:val="1"/>
      <w:numFmt w:val="lowerRoman"/>
      <w:lvlText w:val="%9."/>
      <w:lvlJc w:val="right"/>
      <w:pPr>
        <w:ind w:left="11200" w:hanging="180"/>
      </w:pPr>
    </w:lvl>
  </w:abstractNum>
  <w:abstractNum w:abstractNumId="2" w15:restartNumberingAfterBreak="0">
    <w:nsid w:val="3ED6635A"/>
    <w:multiLevelType w:val="hybridMultilevel"/>
    <w:tmpl w:val="6B96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2688"/>
    <w:multiLevelType w:val="hybridMultilevel"/>
    <w:tmpl w:val="C2B2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22C42"/>
    <w:multiLevelType w:val="hybridMultilevel"/>
    <w:tmpl w:val="143479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3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5830"/>
    <w:rsid w:val="000638A9"/>
    <w:rsid w:val="00085505"/>
    <w:rsid w:val="00092F50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30275"/>
    <w:rsid w:val="00141DB8"/>
    <w:rsid w:val="00172084"/>
    <w:rsid w:val="0017474A"/>
    <w:rsid w:val="001758C6"/>
    <w:rsid w:val="00182B99"/>
    <w:rsid w:val="001C6ADE"/>
    <w:rsid w:val="001D329A"/>
    <w:rsid w:val="001F6234"/>
    <w:rsid w:val="001F64BF"/>
    <w:rsid w:val="00202E38"/>
    <w:rsid w:val="0021015F"/>
    <w:rsid w:val="0021332C"/>
    <w:rsid w:val="00213982"/>
    <w:rsid w:val="0024416D"/>
    <w:rsid w:val="002464A3"/>
    <w:rsid w:val="00257A51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3192"/>
    <w:rsid w:val="002E5944"/>
    <w:rsid w:val="00302C1B"/>
    <w:rsid w:val="00305A7F"/>
    <w:rsid w:val="003062E9"/>
    <w:rsid w:val="003152FE"/>
    <w:rsid w:val="00324098"/>
    <w:rsid w:val="00327436"/>
    <w:rsid w:val="00344BD6"/>
    <w:rsid w:val="0035528D"/>
    <w:rsid w:val="00361821"/>
    <w:rsid w:val="00361E9E"/>
    <w:rsid w:val="00366D21"/>
    <w:rsid w:val="00390134"/>
    <w:rsid w:val="003B031A"/>
    <w:rsid w:val="003C7FBE"/>
    <w:rsid w:val="003D227C"/>
    <w:rsid w:val="003D2B4D"/>
    <w:rsid w:val="003F5D58"/>
    <w:rsid w:val="0040557F"/>
    <w:rsid w:val="00444A88"/>
    <w:rsid w:val="00467B42"/>
    <w:rsid w:val="00472AA2"/>
    <w:rsid w:val="00474DA4"/>
    <w:rsid w:val="00476B4D"/>
    <w:rsid w:val="004805FA"/>
    <w:rsid w:val="00484328"/>
    <w:rsid w:val="004935D2"/>
    <w:rsid w:val="004B1215"/>
    <w:rsid w:val="004D047D"/>
    <w:rsid w:val="004F1E9E"/>
    <w:rsid w:val="004F305A"/>
    <w:rsid w:val="00512164"/>
    <w:rsid w:val="00512AD6"/>
    <w:rsid w:val="00520297"/>
    <w:rsid w:val="005338F9"/>
    <w:rsid w:val="0054281C"/>
    <w:rsid w:val="00544581"/>
    <w:rsid w:val="00545E42"/>
    <w:rsid w:val="0055268D"/>
    <w:rsid w:val="00557BED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73D"/>
    <w:rsid w:val="00732DEC"/>
    <w:rsid w:val="00735BD5"/>
    <w:rsid w:val="00736903"/>
    <w:rsid w:val="007425E1"/>
    <w:rsid w:val="00751613"/>
    <w:rsid w:val="007556F6"/>
    <w:rsid w:val="00760EEF"/>
    <w:rsid w:val="007705D4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6746"/>
    <w:rsid w:val="008A743F"/>
    <w:rsid w:val="008B3D8D"/>
    <w:rsid w:val="008C0970"/>
    <w:rsid w:val="008D0BC5"/>
    <w:rsid w:val="008D2CF7"/>
    <w:rsid w:val="008E2A19"/>
    <w:rsid w:val="008E79CB"/>
    <w:rsid w:val="00900C26"/>
    <w:rsid w:val="0090197F"/>
    <w:rsid w:val="00903D49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0C15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D1F0C"/>
    <w:rsid w:val="00AE0EF1"/>
    <w:rsid w:val="00AE2937"/>
    <w:rsid w:val="00AF3338"/>
    <w:rsid w:val="00B07301"/>
    <w:rsid w:val="00B11F3E"/>
    <w:rsid w:val="00B224DE"/>
    <w:rsid w:val="00B324D4"/>
    <w:rsid w:val="00B46575"/>
    <w:rsid w:val="00B56870"/>
    <w:rsid w:val="00B61777"/>
    <w:rsid w:val="00B84BBD"/>
    <w:rsid w:val="00B85E94"/>
    <w:rsid w:val="00BA43FB"/>
    <w:rsid w:val="00BC0BD4"/>
    <w:rsid w:val="00BC127D"/>
    <w:rsid w:val="00BC1FE6"/>
    <w:rsid w:val="00BC6F5E"/>
    <w:rsid w:val="00C061B6"/>
    <w:rsid w:val="00C2446C"/>
    <w:rsid w:val="00C30B1F"/>
    <w:rsid w:val="00C36AE5"/>
    <w:rsid w:val="00C41F17"/>
    <w:rsid w:val="00C527FA"/>
    <w:rsid w:val="00C5280D"/>
    <w:rsid w:val="00C53EB3"/>
    <w:rsid w:val="00C5791C"/>
    <w:rsid w:val="00C66290"/>
    <w:rsid w:val="00C72B7A"/>
    <w:rsid w:val="00C7471D"/>
    <w:rsid w:val="00C973F2"/>
    <w:rsid w:val="00CA304C"/>
    <w:rsid w:val="00CA774A"/>
    <w:rsid w:val="00CC11B0"/>
    <w:rsid w:val="00CC2841"/>
    <w:rsid w:val="00CE49AB"/>
    <w:rsid w:val="00CF1330"/>
    <w:rsid w:val="00CF7E36"/>
    <w:rsid w:val="00D12D4C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7C4B"/>
    <w:rsid w:val="00E32F7E"/>
    <w:rsid w:val="00E3444F"/>
    <w:rsid w:val="00E5267B"/>
    <w:rsid w:val="00E63C0E"/>
    <w:rsid w:val="00E72D49"/>
    <w:rsid w:val="00E7593C"/>
    <w:rsid w:val="00E7678A"/>
    <w:rsid w:val="00E935F1"/>
    <w:rsid w:val="00E94A81"/>
    <w:rsid w:val="00E95B41"/>
    <w:rsid w:val="00EA1FFB"/>
    <w:rsid w:val="00EB048E"/>
    <w:rsid w:val="00EB4E9C"/>
    <w:rsid w:val="00EC0925"/>
    <w:rsid w:val="00EC2265"/>
    <w:rsid w:val="00EC4AA2"/>
    <w:rsid w:val="00EE34DF"/>
    <w:rsid w:val="00EE3C81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0DEE0"/>
  <w15:docId w15:val="{48E2B7A5-1880-477E-AF4D-0B8E311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512AD6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736903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390134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390134"/>
    <w:rPr>
      <w:rFonts w:ascii="Arial" w:hAnsi="Arial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90134"/>
    <w:rPr>
      <w:rFonts w:ascii="Arial" w:hAnsi="Arial"/>
      <w:sz w:val="16"/>
      <w:lang w:val="es-ES"/>
    </w:rPr>
  </w:style>
  <w:style w:type="paragraph" w:styleId="ListParagraph">
    <w:name w:val="List Paragraph"/>
    <w:basedOn w:val="Normal"/>
    <w:uiPriority w:val="34"/>
    <w:qFormat/>
    <w:rsid w:val="0039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2650</Words>
  <Characters>15337</Characters>
  <Application>Microsoft Office Word</Application>
  <DocSecurity>0</DocSecurity>
  <Lines>340</Lines>
  <Paragraphs>168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TC/57</vt:lpstr>
      <vt:lpstr>TC/57</vt:lpstr>
    </vt:vector>
  </TitlesOfParts>
  <Company>UPOV</Company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TC/57/8 Add.</dc:title>
  <dc:creator>BOU LLORET Amparo</dc:creator>
  <cp:lastModifiedBy>MAY Jessica</cp:lastModifiedBy>
  <cp:revision>7</cp:revision>
  <cp:lastPrinted>2016-11-22T15:41:00Z</cp:lastPrinted>
  <dcterms:created xsi:type="dcterms:W3CDTF">2021-10-20T07:23:00Z</dcterms:created>
  <dcterms:modified xsi:type="dcterms:W3CDTF">2021-10-21T08:10:00Z</dcterms:modified>
</cp:coreProperties>
</file>