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B2987" w:rsidRPr="00DB2987" w:rsidTr="00EB4E9C">
        <w:tc>
          <w:tcPr>
            <w:tcW w:w="6522" w:type="dxa"/>
          </w:tcPr>
          <w:p w:rsidR="00DC3802" w:rsidRPr="00DB2987" w:rsidRDefault="004F0D47" w:rsidP="00670CCB">
            <w:pPr>
              <w:rPr>
                <w:dstrike/>
                <w:lang w:val="es-ES"/>
              </w:rPr>
            </w:pPr>
            <w:r w:rsidRPr="00DB298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2212340</wp:posOffset>
                      </wp:positionH>
                      <wp:positionV relativeFrom="paragraph">
                        <wp:posOffset>5647690</wp:posOffset>
                      </wp:positionV>
                      <wp:extent cx="6350" cy="6350"/>
                      <wp:effectExtent l="0" t="0" r="4445" b="381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31D091" id="Rectangle 6" o:spid="_x0000_s1026" style="position:absolute;margin-left:174.2pt;margin-top:444.7pt;width:.5pt;height: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" fillcolor="black" stroked="f"/>
                  </w:pict>
                </mc:Fallback>
              </mc:AlternateContent>
            </w:r>
            <w:r w:rsidR="00DC3802" w:rsidRPr="00DB2987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DB2987" w:rsidRDefault="002E5944" w:rsidP="00AC2883">
            <w:pPr>
              <w:pStyle w:val="Lettrine"/>
              <w:rPr>
                <w:lang w:val="es-ES"/>
              </w:rPr>
            </w:pPr>
            <w:r w:rsidRPr="00DB2987">
              <w:rPr>
                <w:lang w:val="es-ES"/>
              </w:rPr>
              <w:t>S</w:t>
            </w:r>
          </w:p>
        </w:tc>
      </w:tr>
      <w:tr w:rsidR="00DC3802" w:rsidRPr="00DB2987" w:rsidTr="00645CA8">
        <w:trPr>
          <w:trHeight w:val="219"/>
        </w:trPr>
        <w:tc>
          <w:tcPr>
            <w:tcW w:w="6522" w:type="dxa"/>
          </w:tcPr>
          <w:p w:rsidR="00DC3802" w:rsidRPr="00DB2987" w:rsidRDefault="002E5944" w:rsidP="00BC0BD4">
            <w:pPr>
              <w:pStyle w:val="upove"/>
              <w:rPr>
                <w:dstrike/>
                <w:lang w:val="es-ES"/>
              </w:rPr>
            </w:pPr>
            <w:r w:rsidRPr="00DB2987">
              <w:rPr>
                <w:lang w:val="es-ES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B2987" w:rsidRDefault="00DC3802" w:rsidP="00DA4973">
            <w:pPr>
              <w:rPr>
                <w:lang w:val="es-ES"/>
              </w:rPr>
            </w:pPr>
          </w:p>
        </w:tc>
      </w:tr>
    </w:tbl>
    <w:p w:rsidR="00DC3802" w:rsidRPr="00DB2987" w:rsidRDefault="00DC3802" w:rsidP="00DC3802">
      <w:pPr>
        <w:rPr>
          <w:lang w:val="es-ES"/>
        </w:rPr>
      </w:pPr>
    </w:p>
    <w:p w:rsidR="00DA4973" w:rsidRPr="00DB2987" w:rsidRDefault="00DA4973" w:rsidP="00DC3802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DB2987" w:rsidRPr="00DB2987" w:rsidTr="00EE3C81">
        <w:tc>
          <w:tcPr>
            <w:tcW w:w="6512" w:type="dxa"/>
            <w:tcBorders>
              <w:bottom w:val="single" w:sz="4" w:space="0" w:color="auto"/>
            </w:tcBorders>
          </w:tcPr>
          <w:p w:rsidR="00EB4E9C" w:rsidRPr="00DB2987" w:rsidRDefault="002E5944" w:rsidP="00AC2883">
            <w:pPr>
              <w:pStyle w:val="Sessiontc"/>
              <w:spacing w:line="240" w:lineRule="auto"/>
              <w:rPr>
                <w:lang w:val="es-ES"/>
              </w:rPr>
            </w:pPr>
            <w:r w:rsidRPr="00DB2987">
              <w:rPr>
                <w:lang w:val="es-ES"/>
              </w:rPr>
              <w:t>Comité Técnico</w:t>
            </w:r>
          </w:p>
          <w:p w:rsidR="00EB4E9C" w:rsidRPr="00DB2987" w:rsidRDefault="002E5944" w:rsidP="00324098">
            <w:pPr>
              <w:pStyle w:val="Sessiontcplacedate"/>
              <w:rPr>
                <w:dstrike/>
                <w:sz w:val="22"/>
                <w:lang w:val="es-ES"/>
              </w:rPr>
            </w:pPr>
            <w:r w:rsidRPr="00DB2987">
              <w:rPr>
                <w:lang w:val="es-ES"/>
              </w:rPr>
              <w:t xml:space="preserve">Quincuagésima </w:t>
            </w:r>
            <w:r w:rsidR="00467B42" w:rsidRPr="00DB2987">
              <w:rPr>
                <w:lang w:val="es-ES"/>
              </w:rPr>
              <w:t>s</w:t>
            </w:r>
            <w:r w:rsidR="00324098" w:rsidRPr="00DB2987">
              <w:rPr>
                <w:lang w:val="es-ES"/>
              </w:rPr>
              <w:t>éptima</w:t>
            </w:r>
            <w:r w:rsidRPr="00DB2987">
              <w:rPr>
                <w:lang w:val="es-ES"/>
              </w:rPr>
              <w:t xml:space="preserve"> sesión</w:t>
            </w:r>
            <w:r w:rsidR="00EB4E9C" w:rsidRPr="00DB2987">
              <w:rPr>
                <w:lang w:val="es-ES"/>
              </w:rPr>
              <w:br/>
            </w:r>
            <w:r w:rsidRPr="00DB2987">
              <w:rPr>
                <w:lang w:val="es-ES"/>
              </w:rPr>
              <w:t>Ginebra</w:t>
            </w:r>
            <w:r w:rsidR="00AF0490" w:rsidRPr="00DB2987">
              <w:rPr>
                <w:lang w:val="es-ES"/>
              </w:rPr>
              <w:t>, 2</w:t>
            </w:r>
            <w:r w:rsidR="00324098" w:rsidRPr="00DB2987">
              <w:rPr>
                <w:lang w:val="es-ES"/>
              </w:rPr>
              <w:t>5</w:t>
            </w:r>
            <w:r w:rsidR="005A1EC1" w:rsidRPr="00DB2987">
              <w:rPr>
                <w:lang w:val="es-ES"/>
              </w:rPr>
              <w:t xml:space="preserve"> y</w:t>
            </w:r>
            <w:r w:rsidR="00AF0490" w:rsidRPr="00DB2987">
              <w:rPr>
                <w:lang w:val="es-ES"/>
              </w:rPr>
              <w:t> 2</w:t>
            </w:r>
            <w:r w:rsidR="00324098" w:rsidRPr="00DB2987">
              <w:rPr>
                <w:lang w:val="es-ES"/>
              </w:rPr>
              <w:t>6</w:t>
            </w:r>
            <w:r w:rsidR="005A1EC1" w:rsidRPr="00DB2987">
              <w:rPr>
                <w:lang w:val="es-ES"/>
              </w:rPr>
              <w:t xml:space="preserve"> de octubre </w:t>
            </w:r>
            <w:r w:rsidRPr="00DB2987">
              <w:rPr>
                <w:lang w:val="es-ES"/>
              </w:rPr>
              <w:t>de</w:t>
            </w:r>
            <w:r w:rsidR="00AF0490" w:rsidRPr="00DB2987">
              <w:rPr>
                <w:lang w:val="es-ES"/>
              </w:rPr>
              <w:t> 2</w:t>
            </w:r>
            <w:r w:rsidR="00467B42" w:rsidRPr="00DB2987">
              <w:rPr>
                <w:lang w:val="es-ES"/>
              </w:rPr>
              <w:t>02</w:t>
            </w:r>
            <w:r w:rsidR="00324098" w:rsidRPr="00DB2987">
              <w:rPr>
                <w:lang w:val="es-ES"/>
              </w:rPr>
              <w:t>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EB4E9C" w:rsidRPr="00DB2987" w:rsidRDefault="00467B42" w:rsidP="003C7FBE">
            <w:pPr>
              <w:pStyle w:val="Doccode"/>
              <w:rPr>
                <w:lang w:val="es-ES"/>
              </w:rPr>
            </w:pPr>
            <w:r w:rsidRPr="00DB2987">
              <w:rPr>
                <w:lang w:val="es-ES"/>
              </w:rPr>
              <w:t>TC/5</w:t>
            </w:r>
            <w:r w:rsidR="00324098" w:rsidRPr="00DB2987">
              <w:rPr>
                <w:lang w:val="es-ES"/>
              </w:rPr>
              <w:t>7</w:t>
            </w:r>
            <w:r w:rsidR="00EB4E9C" w:rsidRPr="00DB2987">
              <w:rPr>
                <w:lang w:val="es-ES"/>
              </w:rPr>
              <w:t>/</w:t>
            </w:r>
            <w:r w:rsidR="00AE66A3" w:rsidRPr="00DB2987">
              <w:rPr>
                <w:lang w:val="es-ES"/>
              </w:rPr>
              <w:t>8</w:t>
            </w:r>
          </w:p>
          <w:p w:rsidR="00EB4E9C" w:rsidRPr="00DB2987" w:rsidRDefault="00EB4E9C" w:rsidP="003C7FBE">
            <w:pPr>
              <w:pStyle w:val="Docoriginal"/>
              <w:rPr>
                <w:lang w:val="es-ES"/>
              </w:rPr>
            </w:pPr>
            <w:r w:rsidRPr="00DB2987">
              <w:rPr>
                <w:lang w:val="es-ES"/>
              </w:rPr>
              <w:t>Original:</w:t>
            </w:r>
            <w:r w:rsidR="00AE66A3" w:rsidRPr="00DB2987">
              <w:rPr>
                <w:b w:val="0"/>
                <w:spacing w:val="0"/>
                <w:lang w:val="es-ES"/>
              </w:rPr>
              <w:t xml:space="preserve"> </w:t>
            </w:r>
            <w:proofErr w:type="gramStart"/>
            <w:r w:rsidR="002E5944" w:rsidRPr="00DB2987">
              <w:rPr>
                <w:b w:val="0"/>
                <w:spacing w:val="0"/>
                <w:lang w:val="es-ES"/>
              </w:rPr>
              <w:t>Inglés</w:t>
            </w:r>
            <w:proofErr w:type="gramEnd"/>
          </w:p>
          <w:p w:rsidR="00EE3C81" w:rsidRPr="00DB2987" w:rsidRDefault="002E5944" w:rsidP="00F54D26">
            <w:pPr>
              <w:pStyle w:val="Docoriginal"/>
              <w:rPr>
                <w:b w:val="0"/>
                <w:spacing w:val="0"/>
                <w:lang w:val="es-ES"/>
              </w:rPr>
            </w:pPr>
            <w:r w:rsidRPr="00DB2987">
              <w:rPr>
                <w:lang w:val="es-ES"/>
              </w:rPr>
              <w:t>Fecha</w:t>
            </w:r>
            <w:r w:rsidR="00EB4E9C" w:rsidRPr="00DB2987">
              <w:rPr>
                <w:lang w:val="es-ES"/>
              </w:rPr>
              <w:t>:</w:t>
            </w:r>
            <w:r w:rsidR="00AF0490" w:rsidRPr="00DB2987">
              <w:rPr>
                <w:b w:val="0"/>
                <w:spacing w:val="0"/>
                <w:lang w:val="es-ES"/>
              </w:rPr>
              <w:t> </w:t>
            </w:r>
            <w:r w:rsidR="00AF0490" w:rsidRPr="00801E9E">
              <w:rPr>
                <w:b w:val="0"/>
                <w:spacing w:val="0"/>
                <w:lang w:val="es-ES"/>
              </w:rPr>
              <w:t>1</w:t>
            </w:r>
            <w:r w:rsidR="00F54D26" w:rsidRPr="00801E9E">
              <w:rPr>
                <w:b w:val="0"/>
                <w:spacing w:val="0"/>
                <w:lang w:val="es-ES"/>
              </w:rPr>
              <w:t>5</w:t>
            </w:r>
            <w:r w:rsidR="00AE66A3" w:rsidRPr="00801E9E">
              <w:rPr>
                <w:b w:val="0"/>
                <w:spacing w:val="0"/>
                <w:lang w:val="es-ES"/>
              </w:rPr>
              <w:t xml:space="preserve"> de junio de</w:t>
            </w:r>
            <w:r w:rsidR="00AF0490" w:rsidRPr="00801E9E">
              <w:rPr>
                <w:b w:val="0"/>
                <w:spacing w:val="0"/>
                <w:lang w:val="es-ES"/>
              </w:rPr>
              <w:t> 2</w:t>
            </w:r>
            <w:r w:rsidR="00467B42" w:rsidRPr="00801E9E">
              <w:rPr>
                <w:b w:val="0"/>
                <w:spacing w:val="0"/>
                <w:lang w:val="es-ES"/>
              </w:rPr>
              <w:t>02</w:t>
            </w:r>
            <w:r w:rsidR="00324098" w:rsidRPr="00801E9E">
              <w:rPr>
                <w:b w:val="0"/>
                <w:spacing w:val="0"/>
                <w:lang w:val="es-ES"/>
              </w:rPr>
              <w:t>1</w:t>
            </w:r>
          </w:p>
        </w:tc>
      </w:tr>
      <w:tr w:rsidR="00DB2987" w:rsidRPr="00DB2987" w:rsidTr="00EE3C81"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:rsidR="00EE3C81" w:rsidRPr="00DB2987" w:rsidRDefault="00EE3C81" w:rsidP="00591906">
            <w:pPr>
              <w:pStyle w:val="Sessiontc"/>
              <w:spacing w:line="240" w:lineRule="auto"/>
              <w:rPr>
                <w:i/>
                <w:dstrike/>
                <w:lang w:val="es-ES"/>
              </w:rPr>
            </w:pPr>
            <w:r w:rsidRPr="00DB2987">
              <w:rPr>
                <w:i/>
                <w:lang w:val="es-ES"/>
              </w:rPr>
              <w:t>para examen por correspondencia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EE3C81" w:rsidRPr="00DB2987" w:rsidRDefault="00EE3C81" w:rsidP="00EE3C81">
            <w:pPr>
              <w:pStyle w:val="Doccode"/>
              <w:rPr>
                <w:lang w:val="es-ES"/>
              </w:rPr>
            </w:pPr>
          </w:p>
        </w:tc>
      </w:tr>
    </w:tbl>
    <w:p w:rsidR="000D7780" w:rsidRPr="00DB2987" w:rsidRDefault="00AF4ECD" w:rsidP="00670CCB">
      <w:pPr>
        <w:pStyle w:val="Titleofdoc0"/>
        <w:rPr>
          <w:lang w:val="es-ES"/>
        </w:rPr>
      </w:pPr>
      <w:bookmarkStart w:id="0" w:name="TitleOfDoc"/>
      <w:bookmarkEnd w:id="0"/>
      <w:r w:rsidRPr="00DB2987">
        <w:t>TÉCNICAS MOLECULARES</w:t>
      </w:r>
    </w:p>
    <w:p w:rsidR="006A644A" w:rsidRPr="00DB2987" w:rsidRDefault="000638A9" w:rsidP="006A644A">
      <w:pPr>
        <w:pStyle w:val="preparedby1"/>
        <w:jc w:val="left"/>
        <w:rPr>
          <w:lang w:val="es-ES"/>
        </w:rPr>
      </w:pPr>
      <w:bookmarkStart w:id="1" w:name="Prepared"/>
      <w:bookmarkEnd w:id="1"/>
      <w:r w:rsidRPr="00DB2987">
        <w:rPr>
          <w:lang w:val="es-ES"/>
        </w:rPr>
        <w:t>Documento preparado por la Oficina de la Unión</w:t>
      </w:r>
    </w:p>
    <w:p w:rsidR="00050E16" w:rsidRPr="00801E9E" w:rsidRDefault="000638A9" w:rsidP="00801E9E">
      <w:pPr>
        <w:pStyle w:val="Disclaimer"/>
      </w:pPr>
      <w:r w:rsidRPr="00801E9E">
        <w:t>Descargo de responsabilidad: el presente documento no constituye un documento de política u orientación de la UPOV</w:t>
      </w:r>
    </w:p>
    <w:p w:rsidR="00617BD3" w:rsidRPr="00DB2987" w:rsidRDefault="00617BD3" w:rsidP="00617BD3">
      <w:pPr>
        <w:pStyle w:val="Heading1"/>
        <w:rPr>
          <w:snapToGrid w:val="0"/>
          <w:lang w:val="es-ES_tradnl" w:eastAsia="ja-JP"/>
        </w:rPr>
      </w:pPr>
      <w:bookmarkStart w:id="2" w:name="_Toc14980927"/>
      <w:bookmarkStart w:id="3" w:name="_Toc15059497"/>
      <w:bookmarkStart w:id="4" w:name="_Toc15295342"/>
      <w:bookmarkStart w:id="5" w:name="_Toc22564625"/>
      <w:bookmarkStart w:id="6" w:name="_Toc27663379"/>
      <w:bookmarkStart w:id="7" w:name="_Toc410899581"/>
      <w:bookmarkStart w:id="8" w:name="_Toc410823313"/>
      <w:bookmarkStart w:id="9" w:name="_Toc410822806"/>
      <w:bookmarkStart w:id="10" w:name="_Toc410822402"/>
      <w:bookmarkStart w:id="11" w:name="_Toc75351571"/>
      <w:r w:rsidRPr="00DB2987">
        <w:rPr>
          <w:snapToGrid w:val="0"/>
          <w:lang w:val="es-ES_tradnl" w:eastAsia="ja-JP"/>
        </w:rPr>
        <w:t>RESUMEN</w:t>
      </w:r>
      <w:bookmarkEnd w:id="11"/>
    </w:p>
    <w:p w:rsidR="00617BD3" w:rsidRPr="00DB2987" w:rsidRDefault="00617BD3" w:rsidP="00617BD3">
      <w:pPr>
        <w:rPr>
          <w:lang w:val="es-ES" w:eastAsia="ja-JP"/>
        </w:rPr>
      </w:pPr>
    </w:p>
    <w:p w:rsidR="00617BD3" w:rsidRPr="00DB2987" w:rsidRDefault="009B62A7" w:rsidP="00670CCB">
      <w:pPr>
        <w:rPr>
          <w:lang w:val="es-ES"/>
        </w:rPr>
      </w:pPr>
      <w:r w:rsidRPr="00DB2987">
        <w:fldChar w:fldCharType="begin"/>
      </w:r>
      <w:r w:rsidR="00617BD3" w:rsidRPr="00DB2987">
        <w:rPr>
          <w:lang w:val="es-ES"/>
        </w:rPr>
        <w:instrText xml:space="preserve"> AUTONUM  </w:instrText>
      </w:r>
      <w:r w:rsidRPr="00DB2987">
        <w:fldChar w:fldCharType="end"/>
      </w:r>
      <w:r w:rsidR="00617BD3" w:rsidRPr="00DB2987">
        <w:rPr>
          <w:lang w:val="es-ES"/>
        </w:rPr>
        <w:tab/>
      </w:r>
      <w:r w:rsidR="00AF4ECD" w:rsidRPr="00DB2987">
        <w:t>El presente documento tiene por finalidad informar acerca de las novedades que se han producido en el ámbito de las técnicas moleculares e invitar al</w:t>
      </w:r>
      <w:r w:rsidR="000A1AEB" w:rsidRPr="00DB2987">
        <w:t> </w:t>
      </w:r>
      <w:r w:rsidR="00AF4ECD" w:rsidRPr="00DB2987">
        <w:t>TC</w:t>
      </w:r>
      <w:r w:rsidR="00AF4ECD" w:rsidRPr="00DB2987">
        <w:rPr>
          <w:rFonts w:cs="Arial"/>
        </w:rPr>
        <w:t xml:space="preserve"> a examinar las</w:t>
      </w:r>
      <w:r w:rsidR="00AF4ECD" w:rsidRPr="00DB2987">
        <w:rPr>
          <w:snapToGrid w:val="0"/>
        </w:rPr>
        <w:t xml:space="preserve"> propuestas referentes a la cooperación entre la UPOV y otras organizaciones internacionales</w:t>
      </w:r>
      <w:r w:rsidR="00AF4ECD" w:rsidRPr="00DB2987">
        <w:t>.</w:t>
      </w:r>
      <w:r w:rsidR="00617BD3" w:rsidRPr="00DB2987">
        <w:rPr>
          <w:lang w:val="es-ES"/>
        </w:rPr>
        <w:t xml:space="preserve"> </w:t>
      </w:r>
    </w:p>
    <w:p w:rsidR="00617BD3" w:rsidRPr="00DB2987" w:rsidRDefault="00617BD3" w:rsidP="00617BD3">
      <w:pPr>
        <w:rPr>
          <w:lang w:val="es-ES"/>
        </w:rPr>
      </w:pPr>
    </w:p>
    <w:p w:rsidR="00617BD3" w:rsidRPr="00DB2987" w:rsidRDefault="009B62A7" w:rsidP="00617BD3">
      <w:pPr>
        <w:rPr>
          <w:lang w:val="es-DO"/>
        </w:rPr>
      </w:pPr>
      <w:r w:rsidRPr="00DB2987">
        <w:fldChar w:fldCharType="begin"/>
      </w:r>
      <w:r w:rsidR="00617BD3" w:rsidRPr="00DB2987">
        <w:rPr>
          <w:lang w:val="es-DO"/>
        </w:rPr>
        <w:instrText xml:space="preserve"> AUTONUM  </w:instrText>
      </w:r>
      <w:r w:rsidRPr="00DB2987">
        <w:fldChar w:fldCharType="end"/>
      </w:r>
      <w:r w:rsidR="00617BD3" w:rsidRPr="00DB2987">
        <w:rPr>
          <w:lang w:val="es-DO"/>
        </w:rPr>
        <w:tab/>
      </w:r>
      <w:r w:rsidR="00617BD3" w:rsidRPr="00DB2987">
        <w:t>Las cuestiones relativas a la revisión del documento UPOV/INF/17</w:t>
      </w:r>
      <w:r w:rsidR="00AF0490" w:rsidRPr="00DB2987">
        <w:t xml:space="preserve">, </w:t>
      </w:r>
      <w:r w:rsidR="00617BD3" w:rsidRPr="00DB2987">
        <w:t>“Directrices para los perfiles de ADN: selección de marcadores moleculares y creación de una bas</w:t>
      </w:r>
      <w:r w:rsidR="00F36BE4" w:rsidRPr="00DB2987">
        <w:t>e de datos (“Directrices BMT”)”</w:t>
      </w:r>
      <w:r w:rsidR="00617BD3" w:rsidRPr="00DB2987">
        <w:t xml:space="preserve"> se exponen en el documento TC/57/4.</w:t>
      </w:r>
    </w:p>
    <w:p w:rsidR="00617BD3" w:rsidRPr="00DB2987" w:rsidRDefault="00617BD3" w:rsidP="00617BD3">
      <w:pPr>
        <w:rPr>
          <w:lang w:val="es-DO"/>
        </w:rPr>
      </w:pPr>
    </w:p>
    <w:p w:rsidR="00617BD3" w:rsidRPr="00DB2987" w:rsidRDefault="00617BD3" w:rsidP="00617BD3">
      <w:pPr>
        <w:tabs>
          <w:tab w:val="left" w:pos="567"/>
          <w:tab w:val="left" w:pos="1134"/>
          <w:tab w:val="left" w:pos="5387"/>
        </w:tabs>
        <w:rPr>
          <w:u w:val="single"/>
          <w:lang w:val="es-DO"/>
        </w:rPr>
      </w:pPr>
      <w:r w:rsidRPr="00DB2987">
        <w:rPr>
          <w:u w:val="single"/>
        </w:rPr>
        <w:t>Cooperación entre las organizaciones internacionales</w:t>
      </w:r>
    </w:p>
    <w:p w:rsidR="00617BD3" w:rsidRPr="00DB2987" w:rsidRDefault="00617BD3" w:rsidP="00617BD3">
      <w:pPr>
        <w:tabs>
          <w:tab w:val="left" w:pos="567"/>
          <w:tab w:val="left" w:pos="1134"/>
          <w:tab w:val="left" w:pos="5387"/>
        </w:tabs>
        <w:rPr>
          <w:lang w:val="es-DO"/>
        </w:rPr>
      </w:pPr>
    </w:p>
    <w:p w:rsidR="00617BD3" w:rsidRPr="00DB2987" w:rsidRDefault="00617BD3" w:rsidP="00617BD3">
      <w:pPr>
        <w:tabs>
          <w:tab w:val="left" w:pos="567"/>
          <w:tab w:val="left" w:pos="1134"/>
          <w:tab w:val="left" w:pos="5387"/>
        </w:tabs>
        <w:rPr>
          <w:i/>
          <w:lang w:val="es-DO"/>
        </w:rPr>
      </w:pPr>
      <w:r w:rsidRPr="00DB2987">
        <w:rPr>
          <w:i/>
        </w:rPr>
        <w:t>Inventario sobre la utilización de técnicas basadas en marcadores moleculares</w:t>
      </w:r>
      <w:r w:rsidR="00AF0490" w:rsidRPr="00DB2987">
        <w:rPr>
          <w:i/>
        </w:rPr>
        <w:t xml:space="preserve">, </w:t>
      </w:r>
      <w:r w:rsidRPr="00DB2987">
        <w:rPr>
          <w:i/>
        </w:rPr>
        <w:t>por cultivos</w:t>
      </w:r>
    </w:p>
    <w:p w:rsidR="00617BD3" w:rsidRPr="00DB2987" w:rsidRDefault="00617BD3" w:rsidP="00617BD3">
      <w:pPr>
        <w:tabs>
          <w:tab w:val="left" w:pos="567"/>
          <w:tab w:val="left" w:pos="1134"/>
          <w:tab w:val="left" w:pos="5387"/>
        </w:tabs>
        <w:rPr>
          <w:lang w:val="es-DO"/>
        </w:rPr>
      </w:pPr>
    </w:p>
    <w:p w:rsidR="00617BD3" w:rsidRPr="00DB2987" w:rsidRDefault="009B62A7" w:rsidP="00617BD3">
      <w:pPr>
        <w:pStyle w:val="DecisionParagraphs"/>
        <w:keepNext/>
        <w:keepLines/>
        <w:tabs>
          <w:tab w:val="left" w:pos="567"/>
          <w:tab w:val="left" w:pos="1134"/>
        </w:tabs>
        <w:ind w:left="0"/>
        <w:rPr>
          <w:i w:val="0"/>
          <w:lang w:val="es-DO"/>
        </w:rPr>
      </w:pPr>
      <w:r w:rsidRPr="00DB2987">
        <w:rPr>
          <w:i w:val="0"/>
        </w:rPr>
        <w:fldChar w:fldCharType="begin"/>
      </w:r>
      <w:r w:rsidR="00617BD3" w:rsidRPr="00DB2987">
        <w:rPr>
          <w:i w:val="0"/>
          <w:lang w:val="es-DO"/>
        </w:rPr>
        <w:instrText xml:space="preserve"> AUTONUM  </w:instrText>
      </w:r>
      <w:r w:rsidRPr="00DB2987">
        <w:rPr>
          <w:i w:val="0"/>
        </w:rPr>
        <w:fldChar w:fldCharType="end"/>
      </w:r>
      <w:r w:rsidR="00617BD3" w:rsidRPr="00DB2987">
        <w:rPr>
          <w:i w:val="0"/>
          <w:lang w:val="es-DO"/>
        </w:rPr>
        <w:tab/>
      </w:r>
      <w:r w:rsidR="00617BD3" w:rsidRPr="00DB2987">
        <w:rPr>
          <w:i w:val="0"/>
        </w:rPr>
        <w:t>Se invita al TC a:</w:t>
      </w:r>
    </w:p>
    <w:p w:rsidR="00617BD3" w:rsidRPr="00DB2987" w:rsidRDefault="00617BD3" w:rsidP="00617BD3">
      <w:pPr>
        <w:pStyle w:val="DecisionParagraphs"/>
        <w:keepNext/>
        <w:keepLines/>
        <w:tabs>
          <w:tab w:val="left" w:pos="567"/>
          <w:tab w:val="left" w:pos="1134"/>
        </w:tabs>
        <w:ind w:left="0"/>
        <w:rPr>
          <w:i w:val="0"/>
          <w:lang w:val="es-DO"/>
        </w:rPr>
      </w:pPr>
    </w:p>
    <w:p w:rsidR="00617BD3" w:rsidRPr="00DB2987" w:rsidRDefault="00617BD3" w:rsidP="00617BD3">
      <w:pPr>
        <w:pStyle w:val="DecisionParagraphs"/>
        <w:keepNext/>
        <w:keepLines/>
        <w:numPr>
          <w:ilvl w:val="0"/>
          <w:numId w:val="4"/>
        </w:numPr>
        <w:tabs>
          <w:tab w:val="left" w:pos="567"/>
          <w:tab w:val="left" w:pos="1134"/>
          <w:tab w:val="left" w:pos="5954"/>
        </w:tabs>
        <w:rPr>
          <w:i w:val="0"/>
          <w:lang w:val="es-DO"/>
        </w:rPr>
      </w:pPr>
      <w:r w:rsidRPr="00DB2987">
        <w:rPr>
          <w:i w:val="0"/>
          <w:lang w:val="es-DO"/>
        </w:rPr>
        <w:t>tomar nota de que el</w:t>
      </w:r>
      <w:r w:rsidR="00AF0490" w:rsidRPr="00DB2987">
        <w:rPr>
          <w:i w:val="0"/>
          <w:lang w:val="es-DO"/>
        </w:rPr>
        <w:t> </w:t>
      </w:r>
      <w:r w:rsidR="00AF0490" w:rsidRPr="00DB2987">
        <w:rPr>
          <w:i w:val="0"/>
        </w:rPr>
        <w:t>1</w:t>
      </w:r>
      <w:r w:rsidRPr="00DB2987">
        <w:rPr>
          <w:i w:val="0"/>
        </w:rPr>
        <w:t>6 de octubre de</w:t>
      </w:r>
      <w:r w:rsidR="00AF0490" w:rsidRPr="00DB2987">
        <w:rPr>
          <w:i w:val="0"/>
        </w:rPr>
        <w:t> 2</w:t>
      </w:r>
      <w:r w:rsidRPr="00DB2987">
        <w:rPr>
          <w:i w:val="0"/>
        </w:rPr>
        <w:t>020</w:t>
      </w:r>
      <w:r w:rsidR="00AF0490" w:rsidRPr="00DB2987">
        <w:rPr>
          <w:i w:val="0"/>
        </w:rPr>
        <w:t xml:space="preserve">, </w:t>
      </w:r>
      <w:r w:rsidRPr="00DB2987">
        <w:rPr>
          <w:i w:val="0"/>
        </w:rPr>
        <w:t>la Oficina de la Unión envió la Circular E-20/189</w:t>
      </w:r>
      <w:r w:rsidR="00AF0490" w:rsidRPr="00DB2987">
        <w:rPr>
          <w:i w:val="0"/>
        </w:rPr>
        <w:t xml:space="preserve">, </w:t>
      </w:r>
      <w:r w:rsidRPr="00DB2987">
        <w:rPr>
          <w:i w:val="0"/>
        </w:rPr>
        <w:t>en la que invita a los miembros a responder a la encuesta sobre el uso de técnicas basadas en marcadores moleculares antes del</w:t>
      </w:r>
      <w:r w:rsidR="00AF0490" w:rsidRPr="00DB2987">
        <w:rPr>
          <w:i w:val="0"/>
        </w:rPr>
        <w:t> 1</w:t>
      </w:r>
      <w:r w:rsidRPr="00DB2987">
        <w:rPr>
          <w:i w:val="0"/>
        </w:rPr>
        <w:t>5 de diciembre de</w:t>
      </w:r>
      <w:r w:rsidR="00AF0490" w:rsidRPr="00DB2987">
        <w:rPr>
          <w:i w:val="0"/>
        </w:rPr>
        <w:t> 2</w:t>
      </w:r>
      <w:r w:rsidRPr="00DB2987">
        <w:rPr>
          <w:i w:val="0"/>
        </w:rPr>
        <w:t>020.</w:t>
      </w:r>
    </w:p>
    <w:p w:rsidR="00617BD3" w:rsidRPr="00DB2987" w:rsidRDefault="00617BD3" w:rsidP="00617BD3">
      <w:pPr>
        <w:pStyle w:val="DecisionParagraphs"/>
        <w:keepNext/>
        <w:keepLines/>
        <w:tabs>
          <w:tab w:val="left" w:pos="567"/>
          <w:tab w:val="left" w:pos="1134"/>
        </w:tabs>
        <w:ind w:left="1128"/>
        <w:rPr>
          <w:i w:val="0"/>
          <w:lang w:val="es-DO"/>
        </w:rPr>
      </w:pPr>
    </w:p>
    <w:p w:rsidR="00617BD3" w:rsidRPr="00DB2987" w:rsidRDefault="00AF4ECD" w:rsidP="00670CCB">
      <w:pPr>
        <w:pStyle w:val="DecisionParagraphs"/>
        <w:keepNext/>
        <w:keepLines/>
        <w:numPr>
          <w:ilvl w:val="0"/>
          <w:numId w:val="4"/>
        </w:numPr>
        <w:tabs>
          <w:tab w:val="left" w:pos="567"/>
          <w:tab w:val="left" w:pos="1134"/>
          <w:tab w:val="left" w:pos="5954"/>
        </w:tabs>
        <w:rPr>
          <w:i w:val="0"/>
          <w:lang w:val="es-ES"/>
        </w:rPr>
      </w:pPr>
      <w:r w:rsidRPr="00DB2987">
        <w:rPr>
          <w:i w:val="0"/>
        </w:rPr>
        <w:t xml:space="preserve">tomar nota de los resultados de la encuesta sobre el uso de técnicas basadas en marcadores </w:t>
      </w:r>
      <w:r w:rsidR="000E6809" w:rsidRPr="00DB2987">
        <w:rPr>
          <w:i w:val="0"/>
        </w:rPr>
        <w:t>moleculares</w:t>
      </w:r>
      <w:r w:rsidR="00AF0490" w:rsidRPr="00DB2987">
        <w:rPr>
          <w:i w:val="0"/>
        </w:rPr>
        <w:t xml:space="preserve">, </w:t>
      </w:r>
      <w:r w:rsidR="000E6809" w:rsidRPr="00DB2987">
        <w:rPr>
          <w:i w:val="0"/>
        </w:rPr>
        <w:t>por miembros y por cultivos</w:t>
      </w:r>
      <w:r w:rsidR="00AF0490" w:rsidRPr="00DB2987">
        <w:rPr>
          <w:i w:val="0"/>
        </w:rPr>
        <w:t xml:space="preserve">, </w:t>
      </w:r>
      <w:r w:rsidRPr="00DB2987">
        <w:rPr>
          <w:i w:val="0"/>
        </w:rPr>
        <w:t>que se recogen en el Anexo</w:t>
      </w:r>
      <w:r w:rsidR="00F54D26" w:rsidRPr="00DB2987">
        <w:rPr>
          <w:i w:val="0"/>
        </w:rPr>
        <w:t> I</w:t>
      </w:r>
      <w:r w:rsidRPr="00DB2987">
        <w:rPr>
          <w:i w:val="0"/>
        </w:rPr>
        <w:t xml:space="preserve"> del presente documento; y</w:t>
      </w:r>
    </w:p>
    <w:p w:rsidR="00617BD3" w:rsidRPr="00DB2987" w:rsidRDefault="00617BD3" w:rsidP="00617BD3">
      <w:pPr>
        <w:pStyle w:val="ListParagraph"/>
        <w:rPr>
          <w:i/>
          <w:lang w:val="es-ES"/>
        </w:rPr>
      </w:pPr>
    </w:p>
    <w:p w:rsidR="00617BD3" w:rsidRPr="00DB2987" w:rsidRDefault="00F54D26" w:rsidP="00670CCB">
      <w:pPr>
        <w:pStyle w:val="DecisionParagraphs"/>
        <w:keepNext/>
        <w:keepLines/>
        <w:numPr>
          <w:ilvl w:val="0"/>
          <w:numId w:val="4"/>
        </w:numPr>
        <w:tabs>
          <w:tab w:val="left" w:pos="567"/>
          <w:tab w:val="left" w:pos="1134"/>
          <w:tab w:val="left" w:pos="5954"/>
        </w:tabs>
        <w:rPr>
          <w:i w:val="0"/>
          <w:lang w:val="es-ES"/>
        </w:rPr>
      </w:pPr>
      <w:r w:rsidRPr="00DB2987">
        <w:rPr>
          <w:i w:val="0"/>
        </w:rPr>
        <w:t>solicitar a la Oficina de la Unión que comunique a la</w:t>
      </w:r>
      <w:r w:rsidR="00DC56CD" w:rsidRPr="00DB2987">
        <w:rPr>
          <w:i w:val="0"/>
        </w:rPr>
        <w:t> </w:t>
      </w:r>
      <w:r w:rsidRPr="00DB2987">
        <w:rPr>
          <w:i w:val="0"/>
        </w:rPr>
        <w:t xml:space="preserve">OCDE los resultados de la encuesta y </w:t>
      </w:r>
      <w:r w:rsidR="00524487" w:rsidRPr="00DB2987">
        <w:rPr>
          <w:i w:val="0"/>
        </w:rPr>
        <w:t>le informe de las novedades que se produzcan en la quincuagésima octava</w:t>
      </w:r>
      <w:r w:rsidRPr="00DB2987">
        <w:rPr>
          <w:i w:val="0"/>
        </w:rPr>
        <w:t xml:space="preserve"> sesión del</w:t>
      </w:r>
      <w:r w:rsidR="00DC56CD" w:rsidRPr="00DB2987">
        <w:rPr>
          <w:i w:val="0"/>
        </w:rPr>
        <w:t> </w:t>
      </w:r>
      <w:r w:rsidRPr="00DB2987">
        <w:rPr>
          <w:i w:val="0"/>
        </w:rPr>
        <w:t>TC.</w:t>
      </w:r>
      <w:r w:rsidR="005C19A7" w:rsidRPr="00DB2987">
        <w:t xml:space="preserve"> </w:t>
      </w:r>
    </w:p>
    <w:p w:rsidR="00617BD3" w:rsidRPr="00DB2987" w:rsidRDefault="00617BD3" w:rsidP="00617BD3">
      <w:pPr>
        <w:pStyle w:val="ListParagraph"/>
        <w:rPr>
          <w:i/>
          <w:lang w:val="es-ES"/>
        </w:rPr>
      </w:pPr>
    </w:p>
    <w:p w:rsidR="00617BD3" w:rsidRPr="00DB2987" w:rsidRDefault="00617BD3" w:rsidP="00617BD3">
      <w:pPr>
        <w:tabs>
          <w:tab w:val="left" w:pos="567"/>
          <w:tab w:val="left" w:pos="1134"/>
          <w:tab w:val="left" w:pos="5387"/>
        </w:tabs>
        <w:rPr>
          <w:i/>
          <w:lang w:val="es-DO"/>
        </w:rPr>
      </w:pPr>
      <w:r w:rsidRPr="00DB2987">
        <w:rPr>
          <w:i/>
        </w:rPr>
        <w:t>Documento conjunto en el que se expliquen las características principales de los sistemas de la OCDE</w:t>
      </w:r>
      <w:r w:rsidR="00AF0490" w:rsidRPr="00DB2987">
        <w:rPr>
          <w:i/>
        </w:rPr>
        <w:t xml:space="preserve">, </w:t>
      </w:r>
      <w:r w:rsidRPr="00DB2987">
        <w:rPr>
          <w:i/>
        </w:rPr>
        <w:t>la UPOV y la ISTA</w:t>
      </w:r>
    </w:p>
    <w:p w:rsidR="00617BD3" w:rsidRPr="00DB2987" w:rsidRDefault="00617BD3" w:rsidP="00617BD3">
      <w:pPr>
        <w:tabs>
          <w:tab w:val="left" w:pos="567"/>
          <w:tab w:val="left" w:pos="1134"/>
          <w:tab w:val="left" w:pos="5387"/>
        </w:tabs>
        <w:rPr>
          <w:lang w:val="es-DO"/>
        </w:rPr>
      </w:pPr>
    </w:p>
    <w:p w:rsidR="00617BD3" w:rsidRPr="00DB2987" w:rsidRDefault="009B62A7" w:rsidP="00617BD3">
      <w:pPr>
        <w:pStyle w:val="DecisionParagraphs"/>
        <w:tabs>
          <w:tab w:val="left" w:pos="567"/>
          <w:tab w:val="left" w:pos="1134"/>
        </w:tabs>
        <w:ind w:left="0"/>
        <w:rPr>
          <w:i w:val="0"/>
          <w:lang w:val="es-DO"/>
        </w:rPr>
      </w:pPr>
      <w:r w:rsidRPr="00DB2987">
        <w:rPr>
          <w:i w:val="0"/>
        </w:rPr>
        <w:fldChar w:fldCharType="begin"/>
      </w:r>
      <w:r w:rsidR="00617BD3" w:rsidRPr="00DB2987">
        <w:rPr>
          <w:i w:val="0"/>
          <w:lang w:val="es-DO"/>
        </w:rPr>
        <w:instrText xml:space="preserve"> AUTONUM  </w:instrText>
      </w:r>
      <w:r w:rsidRPr="00DB2987">
        <w:rPr>
          <w:i w:val="0"/>
        </w:rPr>
        <w:fldChar w:fldCharType="end"/>
      </w:r>
      <w:r w:rsidR="00617BD3" w:rsidRPr="00DB2987">
        <w:rPr>
          <w:i w:val="0"/>
          <w:lang w:val="es-DO"/>
        </w:rPr>
        <w:tab/>
      </w:r>
      <w:r w:rsidR="00617BD3" w:rsidRPr="00DB2987">
        <w:rPr>
          <w:i w:val="0"/>
        </w:rPr>
        <w:t>Se invita al TC a:</w:t>
      </w:r>
    </w:p>
    <w:p w:rsidR="00617BD3" w:rsidRPr="00DB2987" w:rsidRDefault="00617BD3" w:rsidP="00617BD3">
      <w:pPr>
        <w:pStyle w:val="DecisionParagraphs"/>
        <w:tabs>
          <w:tab w:val="left" w:pos="567"/>
          <w:tab w:val="left" w:pos="1134"/>
        </w:tabs>
        <w:ind w:left="0"/>
        <w:rPr>
          <w:i w:val="0"/>
          <w:lang w:val="es-DO"/>
        </w:rPr>
      </w:pPr>
      <w:r w:rsidRPr="00DB2987">
        <w:rPr>
          <w:i w:val="0"/>
          <w:lang w:val="es-DO"/>
        </w:rPr>
        <w:t xml:space="preserve"> </w:t>
      </w:r>
    </w:p>
    <w:p w:rsidR="00617BD3" w:rsidRPr="00DB2987" w:rsidRDefault="00617BD3" w:rsidP="00670CCB">
      <w:pPr>
        <w:pStyle w:val="ListParagraph"/>
        <w:ind w:left="1170" w:hanging="450"/>
        <w:rPr>
          <w:lang w:val="es-ES"/>
        </w:rPr>
      </w:pPr>
      <w:r w:rsidRPr="00DB2987">
        <w:rPr>
          <w:lang w:val="es-ES"/>
        </w:rPr>
        <w:t>a)</w:t>
      </w:r>
      <w:r w:rsidRPr="00DB2987">
        <w:rPr>
          <w:lang w:val="es-ES"/>
        </w:rPr>
        <w:tab/>
      </w:r>
      <w:r w:rsidR="00F54D26" w:rsidRPr="00DB2987">
        <w:rPr>
          <w:lang w:val="es-ES_tradnl"/>
        </w:rPr>
        <w:t>aprobar el proyecto de documento conjunto en el que se expliquen las características principales de los sistemas de la OCDE</w:t>
      </w:r>
      <w:r w:rsidR="00AF0490" w:rsidRPr="00DB2987">
        <w:rPr>
          <w:lang w:val="es-ES_tradnl"/>
        </w:rPr>
        <w:t xml:space="preserve">, </w:t>
      </w:r>
      <w:r w:rsidR="00F54D26" w:rsidRPr="00DB2987">
        <w:rPr>
          <w:lang w:val="es-ES_tradnl"/>
        </w:rPr>
        <w:t>la UPOV y la ISTA</w:t>
      </w:r>
      <w:r w:rsidR="00AF0490" w:rsidRPr="00DB2987">
        <w:rPr>
          <w:lang w:val="es-ES_tradnl"/>
        </w:rPr>
        <w:t xml:space="preserve">, </w:t>
      </w:r>
      <w:r w:rsidR="00A30C53" w:rsidRPr="00DB2987">
        <w:rPr>
          <w:lang w:val="es-ES_tradnl"/>
        </w:rPr>
        <w:t>que figura en el Anexo II del presente documento</w:t>
      </w:r>
      <w:r w:rsidR="00F54D26" w:rsidRPr="00DB2987">
        <w:rPr>
          <w:lang w:val="es-ES_tradnl"/>
        </w:rPr>
        <w:t>; y</w:t>
      </w:r>
    </w:p>
    <w:p w:rsidR="00617BD3" w:rsidRPr="00DB2987" w:rsidRDefault="00617BD3" w:rsidP="00617BD3">
      <w:pPr>
        <w:rPr>
          <w:lang w:val="es-ES"/>
        </w:rPr>
      </w:pPr>
    </w:p>
    <w:p w:rsidR="00617BD3" w:rsidRPr="00DB2987" w:rsidRDefault="00F54D26" w:rsidP="00670CCB">
      <w:pPr>
        <w:pStyle w:val="ListParagraph"/>
        <w:rPr>
          <w:i/>
          <w:lang w:val="es-ES"/>
        </w:rPr>
      </w:pPr>
      <w:r w:rsidRPr="00DB2987">
        <w:rPr>
          <w:lang w:val="es-ES_tradnl"/>
        </w:rPr>
        <w:t>b)</w:t>
      </w:r>
      <w:r w:rsidR="00617BD3" w:rsidRPr="00DB2987">
        <w:rPr>
          <w:lang w:val="es-ES"/>
        </w:rPr>
        <w:tab/>
      </w:r>
      <w:r w:rsidRPr="00DB2987">
        <w:rPr>
          <w:lang w:val="es-ES_tradnl"/>
        </w:rPr>
        <w:t>a reserva de la aprobación de</w:t>
      </w:r>
      <w:r w:rsidR="003E68C9" w:rsidRPr="00DB2987">
        <w:rPr>
          <w:lang w:val="es-ES_tradnl"/>
        </w:rPr>
        <w:t>l proyecto mencionado en el punto</w:t>
      </w:r>
      <w:r w:rsidR="007960A2" w:rsidRPr="00DB2987">
        <w:rPr>
          <w:lang w:val="es-ES_tradnl"/>
        </w:rPr>
        <w:t> </w:t>
      </w:r>
      <w:r w:rsidRPr="00DB2987">
        <w:rPr>
          <w:lang w:val="es-ES_tradnl"/>
        </w:rPr>
        <w:t>a)</w:t>
      </w:r>
      <w:r w:rsidR="00AF0490" w:rsidRPr="00DB2987">
        <w:rPr>
          <w:lang w:val="es-ES_tradnl"/>
        </w:rPr>
        <w:t xml:space="preserve">, </w:t>
      </w:r>
      <w:r w:rsidRPr="00DB2987">
        <w:rPr>
          <w:lang w:val="es-ES_tradnl"/>
        </w:rPr>
        <w:t>inform</w:t>
      </w:r>
      <w:r w:rsidR="007960A2" w:rsidRPr="00DB2987">
        <w:rPr>
          <w:lang w:val="es-ES_tradnl"/>
        </w:rPr>
        <w:t>ar en consecuencia a la </w:t>
      </w:r>
      <w:r w:rsidRPr="00DB2987">
        <w:rPr>
          <w:lang w:val="es-ES_tradnl"/>
        </w:rPr>
        <w:t xml:space="preserve">OCDE y </w:t>
      </w:r>
      <w:r w:rsidR="007960A2" w:rsidRPr="00DB2987">
        <w:rPr>
          <w:lang w:val="es-ES_tradnl"/>
        </w:rPr>
        <w:t>a la </w:t>
      </w:r>
      <w:r w:rsidRPr="00DB2987">
        <w:rPr>
          <w:lang w:val="es-ES_tradnl"/>
        </w:rPr>
        <w:t>ISTA.</w:t>
      </w:r>
      <w:r w:rsidR="00ED6E82" w:rsidRPr="00DB2987">
        <w:rPr>
          <w:lang w:val="es-ES"/>
        </w:rPr>
        <w:t xml:space="preserve"> </w:t>
      </w:r>
    </w:p>
    <w:p w:rsidR="00617BD3" w:rsidRPr="00DB2987" w:rsidRDefault="00617BD3" w:rsidP="00617BD3">
      <w:pPr>
        <w:tabs>
          <w:tab w:val="left" w:pos="567"/>
          <w:tab w:val="left" w:pos="1134"/>
          <w:tab w:val="left" w:pos="5387"/>
        </w:tabs>
        <w:rPr>
          <w:lang w:val="es-ES"/>
        </w:rPr>
      </w:pPr>
    </w:p>
    <w:p w:rsidR="00617BD3" w:rsidRPr="00DB2987" w:rsidRDefault="009B62A7" w:rsidP="00801E9E">
      <w:pPr>
        <w:keepNext/>
        <w:keepLines/>
        <w:rPr>
          <w:lang w:val="es-DO"/>
        </w:rPr>
      </w:pPr>
      <w:r w:rsidRPr="00DB2987">
        <w:fldChar w:fldCharType="begin"/>
      </w:r>
      <w:r w:rsidR="00617BD3" w:rsidRPr="00DB2987">
        <w:rPr>
          <w:lang w:val="es-DO"/>
        </w:rPr>
        <w:instrText xml:space="preserve"> AUTONUM  </w:instrText>
      </w:r>
      <w:r w:rsidRPr="00DB2987">
        <w:fldChar w:fldCharType="end"/>
      </w:r>
      <w:r w:rsidR="00617BD3" w:rsidRPr="00DB2987">
        <w:rPr>
          <w:lang w:val="es-DO"/>
        </w:rPr>
        <w:tab/>
      </w:r>
      <w:r w:rsidR="00617BD3" w:rsidRPr="00DB2987">
        <w:t>En el presente documento se utilizan las abreviaturas siguientes:</w:t>
      </w:r>
    </w:p>
    <w:p w:rsidR="00617BD3" w:rsidRPr="00DB2987" w:rsidRDefault="00617BD3" w:rsidP="00801E9E">
      <w:pPr>
        <w:keepNext/>
        <w:keepLines/>
        <w:rPr>
          <w:lang w:val="es-DO"/>
        </w:rPr>
      </w:pPr>
    </w:p>
    <w:p w:rsidR="00617BD3" w:rsidRPr="00DB2987" w:rsidRDefault="00617BD3" w:rsidP="00801E9E">
      <w:pPr>
        <w:keepNext/>
        <w:keepLines/>
        <w:tabs>
          <w:tab w:val="left" w:pos="567"/>
        </w:tabs>
        <w:ind w:left="1701" w:hanging="1134"/>
        <w:rPr>
          <w:sz w:val="18"/>
          <w:lang w:val="es-DO"/>
        </w:rPr>
      </w:pPr>
      <w:r w:rsidRPr="00DB2987">
        <w:rPr>
          <w:sz w:val="18"/>
        </w:rPr>
        <w:lastRenderedPageBreak/>
        <w:t xml:space="preserve">BMT: </w:t>
      </w:r>
      <w:r w:rsidR="00801E9E">
        <w:rPr>
          <w:sz w:val="18"/>
        </w:rPr>
        <w:tab/>
      </w:r>
      <w:r w:rsidRPr="00DB2987">
        <w:rPr>
          <w:sz w:val="18"/>
        </w:rPr>
        <w:t>Grupo de Trabajo sobre Técnicas Bioquímicas y Moleculares</w:t>
      </w:r>
      <w:r w:rsidR="00AF0490" w:rsidRPr="00DB2987">
        <w:rPr>
          <w:sz w:val="18"/>
        </w:rPr>
        <w:t xml:space="preserve">, </w:t>
      </w:r>
      <w:r w:rsidRPr="00DB2987">
        <w:rPr>
          <w:sz w:val="18"/>
        </w:rPr>
        <w:t>y Perfiles de ADN en particular</w:t>
      </w:r>
      <w:r w:rsidRPr="00DB2987">
        <w:rPr>
          <w:sz w:val="18"/>
          <w:lang w:val="es-DO"/>
        </w:rPr>
        <w:t xml:space="preserve"> </w:t>
      </w:r>
    </w:p>
    <w:p w:rsidR="00617BD3" w:rsidRPr="00DB2987" w:rsidRDefault="00617BD3" w:rsidP="00617BD3">
      <w:pPr>
        <w:ind w:left="1701" w:hanging="1134"/>
        <w:rPr>
          <w:rFonts w:cs="Arial"/>
          <w:snapToGrid w:val="0"/>
          <w:sz w:val="18"/>
          <w:szCs w:val="24"/>
          <w:lang w:val="es-DO" w:eastAsia="ja-JP"/>
        </w:rPr>
      </w:pPr>
      <w:r w:rsidRPr="00DB2987">
        <w:rPr>
          <w:rFonts w:cs="Arial"/>
          <w:snapToGrid w:val="0"/>
          <w:sz w:val="18"/>
          <w:szCs w:val="24"/>
          <w:lang w:eastAsia="ja-JP"/>
        </w:rPr>
        <w:t xml:space="preserve">ISTA </w:t>
      </w:r>
      <w:r w:rsidR="00801E9E">
        <w:rPr>
          <w:rFonts w:cs="Arial"/>
          <w:snapToGrid w:val="0"/>
          <w:sz w:val="18"/>
          <w:szCs w:val="24"/>
          <w:lang w:eastAsia="ja-JP"/>
        </w:rPr>
        <w:tab/>
      </w:r>
      <w:r w:rsidRPr="00DB2987">
        <w:rPr>
          <w:rFonts w:cs="Arial"/>
          <w:i/>
          <w:snapToGrid w:val="0"/>
          <w:sz w:val="18"/>
          <w:szCs w:val="24"/>
          <w:lang w:val="es-ES" w:eastAsia="ja-JP"/>
        </w:rPr>
        <w:t xml:space="preserve">International </w:t>
      </w:r>
      <w:proofErr w:type="spellStart"/>
      <w:r w:rsidRPr="00DB2987">
        <w:rPr>
          <w:rFonts w:cs="Arial"/>
          <w:i/>
          <w:snapToGrid w:val="0"/>
          <w:sz w:val="18"/>
          <w:szCs w:val="24"/>
          <w:lang w:val="es-ES" w:eastAsia="ja-JP"/>
        </w:rPr>
        <w:t>Seed</w:t>
      </w:r>
      <w:proofErr w:type="spellEnd"/>
      <w:r w:rsidRPr="00DB2987">
        <w:rPr>
          <w:rFonts w:cs="Arial"/>
          <w:i/>
          <w:snapToGrid w:val="0"/>
          <w:sz w:val="18"/>
          <w:szCs w:val="24"/>
          <w:lang w:val="es-ES" w:eastAsia="ja-JP"/>
        </w:rPr>
        <w:t xml:space="preserve"> </w:t>
      </w:r>
      <w:proofErr w:type="spellStart"/>
      <w:r w:rsidRPr="00DB2987">
        <w:rPr>
          <w:rFonts w:cs="Arial"/>
          <w:i/>
          <w:snapToGrid w:val="0"/>
          <w:sz w:val="18"/>
          <w:szCs w:val="24"/>
          <w:lang w:val="es-ES" w:eastAsia="ja-JP"/>
        </w:rPr>
        <w:t>Testing</w:t>
      </w:r>
      <w:proofErr w:type="spellEnd"/>
      <w:r w:rsidRPr="00DB2987">
        <w:rPr>
          <w:rFonts w:cs="Arial"/>
          <w:i/>
          <w:snapToGrid w:val="0"/>
          <w:sz w:val="18"/>
          <w:szCs w:val="24"/>
          <w:lang w:val="es-ES" w:eastAsia="ja-JP"/>
        </w:rPr>
        <w:t xml:space="preserve"> </w:t>
      </w:r>
      <w:proofErr w:type="spellStart"/>
      <w:r w:rsidRPr="00DB2987">
        <w:rPr>
          <w:rFonts w:cs="Arial"/>
          <w:i/>
          <w:snapToGrid w:val="0"/>
          <w:sz w:val="18"/>
          <w:szCs w:val="24"/>
          <w:lang w:val="es-ES" w:eastAsia="ja-JP"/>
        </w:rPr>
        <w:t>Association</w:t>
      </w:r>
      <w:proofErr w:type="spellEnd"/>
      <w:r w:rsidRPr="00DB2987">
        <w:rPr>
          <w:rFonts w:cs="Arial"/>
          <w:i/>
          <w:snapToGrid w:val="0"/>
          <w:sz w:val="18"/>
          <w:szCs w:val="24"/>
          <w:lang w:eastAsia="ja-JP"/>
        </w:rPr>
        <w:t xml:space="preserve"> </w:t>
      </w:r>
      <w:r w:rsidRPr="00DB2987">
        <w:rPr>
          <w:rFonts w:cs="Arial"/>
          <w:iCs/>
          <w:snapToGrid w:val="0"/>
          <w:sz w:val="18"/>
          <w:szCs w:val="24"/>
          <w:lang w:eastAsia="ja-JP"/>
        </w:rPr>
        <w:t>(Asociación Internacional para el Ensayo de Semillas)</w:t>
      </w:r>
    </w:p>
    <w:p w:rsidR="00617BD3" w:rsidRPr="00DB2987" w:rsidRDefault="00617BD3" w:rsidP="00617BD3">
      <w:pPr>
        <w:ind w:left="1701" w:hanging="1134"/>
        <w:rPr>
          <w:rFonts w:eastAsia="PMingLiU" w:cs="Arial"/>
          <w:snapToGrid w:val="0"/>
          <w:sz w:val="18"/>
          <w:szCs w:val="24"/>
          <w:lang w:val="es-DO"/>
        </w:rPr>
      </w:pPr>
      <w:r w:rsidRPr="00DB2987">
        <w:rPr>
          <w:rFonts w:eastAsia="PMingLiU" w:cs="Arial"/>
          <w:snapToGrid w:val="0"/>
          <w:sz w:val="18"/>
          <w:szCs w:val="24"/>
        </w:rPr>
        <w:t xml:space="preserve">OCDE: </w:t>
      </w:r>
      <w:r w:rsidR="00801E9E">
        <w:rPr>
          <w:rFonts w:eastAsia="PMingLiU" w:cs="Arial"/>
          <w:snapToGrid w:val="0"/>
          <w:sz w:val="18"/>
          <w:szCs w:val="24"/>
        </w:rPr>
        <w:tab/>
      </w:r>
      <w:r w:rsidRPr="00DB2987">
        <w:rPr>
          <w:rFonts w:eastAsia="PMingLiU" w:cs="Arial"/>
          <w:snapToGrid w:val="0"/>
          <w:sz w:val="18"/>
          <w:szCs w:val="24"/>
        </w:rPr>
        <w:t>Organización de Cooperación y Desarrollo Económicos</w:t>
      </w:r>
    </w:p>
    <w:p w:rsidR="00617BD3" w:rsidRPr="00DB2987" w:rsidRDefault="00617BD3" w:rsidP="00617BD3">
      <w:pPr>
        <w:keepNext/>
        <w:tabs>
          <w:tab w:val="left" w:pos="567"/>
        </w:tabs>
        <w:ind w:left="1701" w:hanging="1134"/>
        <w:rPr>
          <w:sz w:val="18"/>
          <w:lang w:val="es-DO"/>
        </w:rPr>
      </w:pPr>
      <w:r w:rsidRPr="00DB2987">
        <w:rPr>
          <w:sz w:val="18"/>
        </w:rPr>
        <w:t xml:space="preserve">TC: </w:t>
      </w:r>
      <w:r w:rsidR="00801E9E">
        <w:rPr>
          <w:sz w:val="18"/>
        </w:rPr>
        <w:tab/>
      </w:r>
      <w:r w:rsidRPr="00DB2987">
        <w:rPr>
          <w:sz w:val="18"/>
        </w:rPr>
        <w:t>Comité Técnico</w:t>
      </w:r>
    </w:p>
    <w:p w:rsidR="00617BD3" w:rsidRPr="00DB2987" w:rsidRDefault="00617BD3" w:rsidP="00617BD3">
      <w:pPr>
        <w:ind w:left="1701" w:hanging="1134"/>
        <w:rPr>
          <w:rFonts w:eastAsia="PMingLiU" w:cs="Arial"/>
          <w:sz w:val="18"/>
          <w:szCs w:val="24"/>
          <w:lang w:val="es-DO"/>
        </w:rPr>
      </w:pPr>
      <w:r w:rsidRPr="00DB2987">
        <w:rPr>
          <w:rFonts w:eastAsia="PMingLiU" w:cs="Arial"/>
          <w:sz w:val="18"/>
          <w:szCs w:val="24"/>
        </w:rPr>
        <w:t xml:space="preserve">TWA: </w:t>
      </w:r>
      <w:r w:rsidR="00801E9E">
        <w:rPr>
          <w:rFonts w:eastAsia="PMingLiU" w:cs="Arial"/>
          <w:sz w:val="18"/>
          <w:szCs w:val="24"/>
        </w:rPr>
        <w:tab/>
      </w:r>
      <w:r w:rsidRPr="00DB2987">
        <w:rPr>
          <w:rFonts w:eastAsia="PMingLiU" w:cs="Arial"/>
          <w:sz w:val="18"/>
          <w:szCs w:val="24"/>
        </w:rPr>
        <w:t>Grupo de Trabajo Técnico sobre Plantas Agrícolas</w:t>
      </w:r>
    </w:p>
    <w:p w:rsidR="00617BD3" w:rsidRPr="00DB2987" w:rsidRDefault="00617BD3" w:rsidP="00617BD3">
      <w:pPr>
        <w:ind w:left="1701" w:hanging="1134"/>
        <w:rPr>
          <w:rFonts w:eastAsia="PMingLiU" w:cs="Arial"/>
          <w:sz w:val="18"/>
          <w:szCs w:val="24"/>
          <w:lang w:val="es-DO"/>
        </w:rPr>
      </w:pPr>
      <w:r w:rsidRPr="00DB2987">
        <w:rPr>
          <w:rFonts w:eastAsia="PMingLiU" w:cs="Arial"/>
          <w:sz w:val="18"/>
          <w:szCs w:val="24"/>
        </w:rPr>
        <w:t xml:space="preserve">TWC: </w:t>
      </w:r>
      <w:r w:rsidR="00801E9E">
        <w:rPr>
          <w:rFonts w:eastAsia="PMingLiU" w:cs="Arial"/>
          <w:sz w:val="18"/>
          <w:szCs w:val="24"/>
        </w:rPr>
        <w:tab/>
      </w:r>
      <w:r w:rsidRPr="00DB2987">
        <w:rPr>
          <w:rFonts w:eastAsia="PMingLiU" w:cs="Arial"/>
          <w:sz w:val="18"/>
          <w:szCs w:val="24"/>
        </w:rPr>
        <w:t>Grupo de Trabajo Técnico sobre Automatización y Programas Informáticos</w:t>
      </w:r>
    </w:p>
    <w:p w:rsidR="00617BD3" w:rsidRPr="00DB2987" w:rsidRDefault="00617BD3" w:rsidP="00617BD3">
      <w:pPr>
        <w:ind w:left="1701" w:hanging="1134"/>
        <w:rPr>
          <w:rFonts w:eastAsia="PMingLiU" w:cs="Arial"/>
          <w:sz w:val="18"/>
          <w:szCs w:val="24"/>
          <w:lang w:val="es-DO"/>
        </w:rPr>
      </w:pPr>
      <w:r w:rsidRPr="00DB2987">
        <w:rPr>
          <w:rFonts w:eastAsia="PMingLiU" w:cs="Arial"/>
          <w:sz w:val="18"/>
          <w:szCs w:val="24"/>
        </w:rPr>
        <w:t xml:space="preserve">TWF: </w:t>
      </w:r>
      <w:r w:rsidR="00801E9E">
        <w:rPr>
          <w:rFonts w:eastAsia="PMingLiU" w:cs="Arial"/>
          <w:sz w:val="18"/>
          <w:szCs w:val="24"/>
        </w:rPr>
        <w:tab/>
      </w:r>
      <w:r w:rsidRPr="00DB2987">
        <w:rPr>
          <w:rFonts w:eastAsia="PMingLiU" w:cs="Arial"/>
          <w:sz w:val="18"/>
          <w:szCs w:val="24"/>
        </w:rPr>
        <w:t>Grupo de Trabajo Técnico sobre Plantas Frutales</w:t>
      </w:r>
    </w:p>
    <w:p w:rsidR="00617BD3" w:rsidRPr="00DB2987" w:rsidRDefault="00617BD3" w:rsidP="00617BD3">
      <w:pPr>
        <w:ind w:left="1701" w:hanging="1134"/>
        <w:rPr>
          <w:rFonts w:eastAsia="PMingLiU" w:cs="Arial"/>
          <w:sz w:val="18"/>
          <w:szCs w:val="24"/>
          <w:lang w:val="es-DO"/>
        </w:rPr>
      </w:pPr>
      <w:r w:rsidRPr="00DB2987">
        <w:rPr>
          <w:rFonts w:eastAsia="PMingLiU" w:cs="Arial"/>
          <w:sz w:val="18"/>
          <w:szCs w:val="24"/>
        </w:rPr>
        <w:t xml:space="preserve">TWO: </w:t>
      </w:r>
      <w:r w:rsidR="00801E9E">
        <w:rPr>
          <w:rFonts w:eastAsia="PMingLiU" w:cs="Arial"/>
          <w:sz w:val="18"/>
          <w:szCs w:val="24"/>
        </w:rPr>
        <w:tab/>
      </w:r>
      <w:r w:rsidRPr="00DB2987">
        <w:rPr>
          <w:rFonts w:eastAsia="PMingLiU" w:cs="Arial"/>
          <w:sz w:val="18"/>
          <w:szCs w:val="24"/>
        </w:rPr>
        <w:t>Grupo de Trabajo Técnico sobre Plantas Ornamentales y Árboles Forestales</w:t>
      </w:r>
    </w:p>
    <w:p w:rsidR="00617BD3" w:rsidRPr="00DB2987" w:rsidRDefault="00617BD3" w:rsidP="00617BD3">
      <w:pPr>
        <w:ind w:left="1701" w:hanging="1134"/>
        <w:rPr>
          <w:rFonts w:eastAsia="PMingLiU" w:cs="Arial"/>
          <w:sz w:val="18"/>
          <w:szCs w:val="24"/>
          <w:lang w:val="es-DO"/>
        </w:rPr>
      </w:pPr>
      <w:r w:rsidRPr="00DB2987">
        <w:rPr>
          <w:rFonts w:eastAsia="PMingLiU" w:cs="Arial"/>
          <w:sz w:val="18"/>
          <w:szCs w:val="24"/>
        </w:rPr>
        <w:t xml:space="preserve">TWP: </w:t>
      </w:r>
      <w:r w:rsidR="00801E9E">
        <w:rPr>
          <w:rFonts w:eastAsia="PMingLiU" w:cs="Arial"/>
          <w:sz w:val="18"/>
          <w:szCs w:val="24"/>
        </w:rPr>
        <w:tab/>
      </w:r>
      <w:r w:rsidRPr="00DB2987">
        <w:rPr>
          <w:rFonts w:eastAsia="PMingLiU" w:cs="Arial"/>
          <w:sz w:val="18"/>
          <w:szCs w:val="24"/>
        </w:rPr>
        <w:t>Grupos de Trabajo Técnico</w:t>
      </w:r>
    </w:p>
    <w:p w:rsidR="00617BD3" w:rsidRPr="00DB2987" w:rsidRDefault="00617BD3" w:rsidP="00617BD3">
      <w:pPr>
        <w:ind w:left="1701" w:hanging="1134"/>
        <w:rPr>
          <w:rFonts w:eastAsia="PMingLiU" w:cs="Arial"/>
          <w:sz w:val="18"/>
          <w:szCs w:val="24"/>
          <w:lang w:val="es-DO"/>
        </w:rPr>
      </w:pPr>
      <w:r w:rsidRPr="00DB2987">
        <w:rPr>
          <w:rFonts w:eastAsia="PMingLiU" w:cs="Arial"/>
          <w:sz w:val="18"/>
          <w:szCs w:val="24"/>
        </w:rPr>
        <w:t xml:space="preserve">TWV: </w:t>
      </w:r>
      <w:r w:rsidR="00801E9E">
        <w:rPr>
          <w:rFonts w:eastAsia="PMingLiU" w:cs="Arial"/>
          <w:sz w:val="18"/>
          <w:szCs w:val="24"/>
        </w:rPr>
        <w:tab/>
      </w:r>
      <w:r w:rsidRPr="00DB2987">
        <w:rPr>
          <w:rFonts w:eastAsia="PMingLiU" w:cs="Arial"/>
          <w:sz w:val="18"/>
          <w:szCs w:val="24"/>
        </w:rPr>
        <w:t>Grupo de Trabajo Técnico sobre Hortalizas</w:t>
      </w:r>
    </w:p>
    <w:p w:rsidR="00617BD3" w:rsidRPr="00DB2987" w:rsidRDefault="00617BD3" w:rsidP="00617BD3">
      <w:pPr>
        <w:jc w:val="left"/>
        <w:rPr>
          <w:rFonts w:cs="Arial"/>
          <w:snapToGrid w:val="0"/>
          <w:sz w:val="18"/>
          <w:szCs w:val="24"/>
          <w:lang w:val="es-DO" w:eastAsia="ja-JP"/>
        </w:rPr>
      </w:pPr>
    </w:p>
    <w:p w:rsidR="00617BD3" w:rsidRPr="00DB2987" w:rsidRDefault="00617BD3" w:rsidP="00617BD3">
      <w:pPr>
        <w:jc w:val="left"/>
        <w:rPr>
          <w:rFonts w:cs="Arial"/>
          <w:snapToGrid w:val="0"/>
          <w:sz w:val="18"/>
          <w:szCs w:val="24"/>
          <w:lang w:val="es-DO" w:eastAsia="ja-JP"/>
        </w:rPr>
      </w:pPr>
    </w:p>
    <w:p w:rsidR="00617BD3" w:rsidRPr="00DB2987" w:rsidRDefault="009B62A7" w:rsidP="00617BD3">
      <w:pPr>
        <w:keepNext/>
        <w:rPr>
          <w:lang w:val="es-DO"/>
        </w:rPr>
      </w:pPr>
      <w:r w:rsidRPr="00DB2987">
        <w:fldChar w:fldCharType="begin"/>
      </w:r>
      <w:r w:rsidR="00617BD3" w:rsidRPr="00DB2987">
        <w:rPr>
          <w:lang w:val="es-DO"/>
        </w:rPr>
        <w:instrText xml:space="preserve"> AUTONUM  </w:instrText>
      </w:r>
      <w:r w:rsidRPr="00DB2987">
        <w:fldChar w:fldCharType="end"/>
      </w:r>
      <w:r w:rsidR="00617BD3" w:rsidRPr="00DB2987">
        <w:rPr>
          <w:lang w:val="es-DO"/>
        </w:rPr>
        <w:tab/>
      </w:r>
      <w:r w:rsidR="00617BD3" w:rsidRPr="00DB2987">
        <w:t>El presente documento se estructura del modo siguiente:</w:t>
      </w:r>
    </w:p>
    <w:sdt>
      <w:sdtPr>
        <w:rPr>
          <w:smallCaps/>
        </w:rPr>
        <w:id w:val="-1800911247"/>
        <w:docPartObj>
          <w:docPartGallery w:val="Table of Contents"/>
          <w:docPartUnique/>
        </w:docPartObj>
      </w:sdtPr>
      <w:sdtEndPr>
        <w:rPr>
          <w:b/>
          <w:bCs/>
          <w:noProof/>
          <w:sz w:val="18"/>
          <w:szCs w:val="18"/>
        </w:rPr>
      </w:sdtEndPr>
      <w:sdtContent>
        <w:p w:rsidR="00617BD3" w:rsidRPr="00DB2987" w:rsidRDefault="00617BD3" w:rsidP="00617BD3">
          <w:pPr>
            <w:keepNext/>
            <w:rPr>
              <w:rFonts w:cs="Arial"/>
              <w:b/>
            </w:rPr>
          </w:pPr>
        </w:p>
        <w:p w:rsidR="00B2250C" w:rsidRDefault="009B62A7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en-US"/>
            </w:rPr>
          </w:pPr>
          <w:r w:rsidRPr="00DB2987">
            <w:rPr>
              <w:rFonts w:cs="Arial"/>
              <w:sz w:val="20"/>
              <w:szCs w:val="18"/>
              <w:lang w:val="en-US"/>
            </w:rPr>
            <w:fldChar w:fldCharType="begin"/>
          </w:r>
          <w:r w:rsidR="00617BD3" w:rsidRPr="00DB2987">
            <w:rPr>
              <w:szCs w:val="18"/>
            </w:rPr>
            <w:instrText xml:space="preserve"> TOC \o "1-3" \h \z \u </w:instrText>
          </w:r>
          <w:r w:rsidRPr="00DB2987">
            <w:rPr>
              <w:rFonts w:cs="Arial"/>
              <w:sz w:val="20"/>
              <w:szCs w:val="18"/>
              <w:lang w:val="en-US"/>
            </w:rPr>
            <w:fldChar w:fldCharType="separate"/>
          </w:r>
          <w:hyperlink w:anchor="_Toc75351571" w:history="1">
            <w:r w:rsidR="00B2250C" w:rsidRPr="003C57E4">
              <w:rPr>
                <w:rStyle w:val="Hyperlink"/>
                <w:noProof/>
                <w:snapToGrid w:val="0"/>
                <w:lang w:eastAsia="ja-JP"/>
              </w:rPr>
              <w:t>RESUMEN</w:t>
            </w:r>
            <w:r w:rsidR="00B2250C">
              <w:rPr>
                <w:noProof/>
                <w:webHidden/>
              </w:rPr>
              <w:tab/>
            </w:r>
            <w:r w:rsidR="00B2250C">
              <w:rPr>
                <w:noProof/>
                <w:webHidden/>
              </w:rPr>
              <w:fldChar w:fldCharType="begin"/>
            </w:r>
            <w:r w:rsidR="00B2250C">
              <w:rPr>
                <w:noProof/>
                <w:webHidden/>
              </w:rPr>
              <w:instrText xml:space="preserve"> PAGEREF _Toc75351571 \h </w:instrText>
            </w:r>
            <w:r w:rsidR="00B2250C">
              <w:rPr>
                <w:noProof/>
                <w:webHidden/>
              </w:rPr>
            </w:r>
            <w:r w:rsidR="00B2250C">
              <w:rPr>
                <w:noProof/>
                <w:webHidden/>
              </w:rPr>
              <w:fldChar w:fldCharType="separate"/>
            </w:r>
            <w:r w:rsidR="00B2250C">
              <w:rPr>
                <w:noProof/>
                <w:webHidden/>
              </w:rPr>
              <w:t>1</w:t>
            </w:r>
            <w:r w:rsidR="00B2250C">
              <w:rPr>
                <w:noProof/>
                <w:webHidden/>
              </w:rPr>
              <w:fldChar w:fldCharType="end"/>
            </w:r>
          </w:hyperlink>
        </w:p>
        <w:p w:rsidR="00B2250C" w:rsidRDefault="00B2250C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en-US"/>
            </w:rPr>
          </w:pPr>
          <w:hyperlink w:anchor="_Toc75351572" w:history="1">
            <w:r w:rsidRPr="003C57E4">
              <w:rPr>
                <w:rStyle w:val="Hyperlink"/>
                <w:noProof/>
                <w:lang w:eastAsia="ja-JP"/>
              </w:rPr>
              <w:t>COOPERACIÓN ENTRE LAS ORGANIZACIONES INTERNACIONALES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_Toc75351572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250C" w:rsidRDefault="00B2250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75351573" w:history="1">
            <w:r w:rsidRPr="003C57E4">
              <w:rPr>
                <w:rStyle w:val="Hyperlink"/>
                <w:noProof/>
              </w:rPr>
              <w:t>Antecedentes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_Toc75351573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250C" w:rsidRDefault="00B2250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75351574" w:history="1">
            <w:r w:rsidRPr="003C57E4">
              <w:rPr>
                <w:rStyle w:val="Hyperlink"/>
                <w:noProof/>
              </w:rPr>
              <w:t>Inventario sobre la utilización de técnicas basadas en marcadores moleculares, por cultivos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_Toc75351574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250C" w:rsidRDefault="00B2250C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75351575" w:history="1">
            <w:r w:rsidRPr="003C57E4">
              <w:rPr>
                <w:rStyle w:val="Hyperlink"/>
                <w:noProof/>
              </w:rPr>
              <w:t>Documento conjunto en el que se expliquen las características principales de los sistemas de la OCDE, la UPOV y la ISTA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_Toc75351575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250C" w:rsidRDefault="00B2250C">
          <w:pPr>
            <w:pStyle w:val="TOC3"/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val="en-US"/>
            </w:rPr>
          </w:pPr>
          <w:hyperlink w:anchor="_Toc75351576" w:history="1">
            <w:r w:rsidRPr="003C57E4">
              <w:rPr>
                <w:rStyle w:val="Hyperlink"/>
                <w:noProof/>
                <w:lang w:val="es-ES_tradnl"/>
              </w:rPr>
              <w:t>Antecedentes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_Toc75351576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2250C" w:rsidRDefault="00B2250C">
          <w:pPr>
            <w:pStyle w:val="TOC3"/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val="en-US"/>
            </w:rPr>
          </w:pPr>
          <w:hyperlink w:anchor="_Toc75351577" w:history="1">
            <w:r w:rsidRPr="003C57E4">
              <w:rPr>
                <w:rStyle w:val="Hyperlink"/>
                <w:noProof/>
              </w:rPr>
              <w:t>Proyecto de documento conjunto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_Toc75351577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17BD3" w:rsidRPr="00DB2987" w:rsidRDefault="009B62A7" w:rsidP="00617BD3">
          <w:pPr>
            <w:tabs>
              <w:tab w:val="center" w:pos="4479"/>
            </w:tabs>
            <w:spacing w:before="120"/>
            <w:ind w:right="851"/>
            <w:contextualSpacing/>
            <w:jc w:val="left"/>
            <w:rPr>
              <w:b/>
              <w:bCs/>
              <w:smallCaps/>
              <w:noProof/>
              <w:sz w:val="18"/>
              <w:szCs w:val="18"/>
            </w:rPr>
          </w:pPr>
          <w:r w:rsidRPr="00DB2987">
            <w:rPr>
              <w:b/>
              <w:bCs/>
              <w:smallCaps/>
              <w:noProof/>
              <w:sz w:val="18"/>
              <w:szCs w:val="18"/>
            </w:rPr>
            <w:fldChar w:fldCharType="end"/>
          </w:r>
        </w:p>
      </w:sdtContent>
    </w:sdt>
    <w:bookmarkStart w:id="12" w:name="_Toc460313637" w:displacedByCustomXml="prev"/>
    <w:bookmarkEnd w:id="12"/>
    <w:p w:rsidR="00BB191B" w:rsidRPr="00DB2987" w:rsidRDefault="003E68C9" w:rsidP="00670CCB">
      <w:pPr>
        <w:spacing w:before="60" w:after="120"/>
        <w:ind w:left="1134" w:hanging="1134"/>
        <w:rPr>
          <w:snapToGrid w:val="0"/>
          <w:sz w:val="18"/>
          <w:szCs w:val="18"/>
          <w:lang w:eastAsia="ja-JP"/>
        </w:rPr>
      </w:pPr>
      <w:r w:rsidRPr="00DB2987">
        <w:rPr>
          <w:snapToGrid w:val="0"/>
          <w:sz w:val="18"/>
          <w:szCs w:val="18"/>
          <w:lang w:eastAsia="ja-JP"/>
        </w:rPr>
        <w:t>ANEXO I</w:t>
      </w:r>
      <w:r w:rsidR="00BB191B" w:rsidRPr="00DB2987">
        <w:rPr>
          <w:snapToGrid w:val="0"/>
          <w:sz w:val="18"/>
          <w:szCs w:val="18"/>
          <w:lang w:eastAsia="ja-JP"/>
        </w:rPr>
        <w:t xml:space="preserve"> </w:t>
      </w:r>
      <w:r w:rsidR="00BB191B" w:rsidRPr="00DB2987">
        <w:rPr>
          <w:rFonts w:hint="eastAsia"/>
          <w:snapToGrid w:val="0"/>
          <w:sz w:val="18"/>
          <w:szCs w:val="18"/>
          <w:lang w:eastAsia="ja-JP"/>
        </w:rPr>
        <w:tab/>
      </w:r>
      <w:r w:rsidRPr="00DB2987">
        <w:rPr>
          <w:snapToGrid w:val="0"/>
          <w:sz w:val="18"/>
          <w:szCs w:val="18"/>
          <w:lang w:eastAsia="ja-JP"/>
        </w:rPr>
        <w:t>ENCUESTA SOBRE EL USO DE TÉCNICAS BASADAS EN MARCADORES MOLECULARES</w:t>
      </w:r>
      <w:r w:rsidR="00AF0490" w:rsidRPr="00DB2987">
        <w:rPr>
          <w:snapToGrid w:val="0"/>
          <w:sz w:val="18"/>
          <w:szCs w:val="18"/>
          <w:lang w:eastAsia="ja-JP"/>
        </w:rPr>
        <w:t xml:space="preserve">, </w:t>
      </w:r>
      <w:r w:rsidRPr="00DB2987">
        <w:rPr>
          <w:snapToGrid w:val="0"/>
          <w:sz w:val="18"/>
          <w:szCs w:val="18"/>
          <w:lang w:eastAsia="ja-JP"/>
        </w:rPr>
        <w:t>POR CULTIVOS</w:t>
      </w:r>
    </w:p>
    <w:p w:rsidR="00BB191B" w:rsidRPr="00DB2987" w:rsidRDefault="003E68C9" w:rsidP="00670CCB">
      <w:pPr>
        <w:spacing w:before="60" w:after="120"/>
        <w:ind w:left="1134" w:hanging="1134"/>
        <w:rPr>
          <w:snapToGrid w:val="0"/>
          <w:sz w:val="18"/>
          <w:szCs w:val="18"/>
          <w:lang w:eastAsia="ja-JP"/>
        </w:rPr>
      </w:pPr>
      <w:r w:rsidRPr="00DB2987">
        <w:rPr>
          <w:snapToGrid w:val="0"/>
          <w:sz w:val="18"/>
          <w:szCs w:val="18"/>
          <w:lang w:eastAsia="ja-JP"/>
        </w:rPr>
        <w:t>ANEXO II</w:t>
      </w:r>
      <w:r w:rsidR="00BB191B" w:rsidRPr="00DB2987">
        <w:rPr>
          <w:snapToGrid w:val="0"/>
          <w:sz w:val="18"/>
          <w:szCs w:val="18"/>
          <w:lang w:eastAsia="ja-JP"/>
        </w:rPr>
        <w:t xml:space="preserve"> </w:t>
      </w:r>
      <w:r w:rsidR="00BB191B" w:rsidRPr="00DB2987">
        <w:rPr>
          <w:snapToGrid w:val="0"/>
          <w:sz w:val="18"/>
          <w:szCs w:val="18"/>
          <w:lang w:eastAsia="ja-JP"/>
        </w:rPr>
        <w:tab/>
      </w:r>
      <w:r w:rsidRPr="00DB2987">
        <w:rPr>
          <w:snapToGrid w:val="0"/>
          <w:sz w:val="18"/>
          <w:szCs w:val="18"/>
          <w:lang w:eastAsia="ja-JP"/>
        </w:rPr>
        <w:t xml:space="preserve">ELEMENTOS </w:t>
      </w:r>
      <w:r w:rsidR="00D36F76" w:rsidRPr="00DB2987">
        <w:rPr>
          <w:snapToGrid w:val="0"/>
          <w:sz w:val="18"/>
          <w:szCs w:val="18"/>
          <w:lang w:eastAsia="ja-JP"/>
        </w:rPr>
        <w:t xml:space="preserve">DEL PROYECTO DE DOCUMENTO CONJUNTO </w:t>
      </w:r>
      <w:r w:rsidRPr="00DB2987">
        <w:rPr>
          <w:snapToGrid w:val="0"/>
          <w:sz w:val="18"/>
          <w:szCs w:val="18"/>
          <w:lang w:eastAsia="ja-JP"/>
        </w:rPr>
        <w:t>EN EL QUE SE EXPLIQUEN LAS CARACTERÍSTICAS PRINCIPALES DE LOS SISTEMAS DE LA OCDE</w:t>
      </w:r>
      <w:r w:rsidR="00AF0490" w:rsidRPr="00DB2987">
        <w:rPr>
          <w:snapToGrid w:val="0"/>
          <w:sz w:val="18"/>
          <w:szCs w:val="18"/>
          <w:lang w:eastAsia="ja-JP"/>
        </w:rPr>
        <w:t xml:space="preserve">, </w:t>
      </w:r>
      <w:r w:rsidRPr="00DB2987">
        <w:rPr>
          <w:snapToGrid w:val="0"/>
          <w:sz w:val="18"/>
          <w:szCs w:val="18"/>
          <w:lang w:eastAsia="ja-JP"/>
        </w:rPr>
        <w:t>LA UPOV Y LA ISTA</w:t>
      </w:r>
    </w:p>
    <w:p w:rsidR="00BB191B" w:rsidRPr="00DB2987" w:rsidRDefault="00BB191B" w:rsidP="00BB191B">
      <w:pPr>
        <w:rPr>
          <w:snapToGrid w:val="0"/>
          <w:lang w:eastAsia="ja-JP"/>
        </w:rPr>
      </w:pPr>
    </w:p>
    <w:p w:rsidR="00BB191B" w:rsidRPr="00DB2987" w:rsidRDefault="00BB191B" w:rsidP="00BB191B">
      <w:pPr>
        <w:rPr>
          <w:snapToGrid w:val="0"/>
          <w:lang w:eastAsia="ja-JP"/>
        </w:rPr>
      </w:pPr>
    </w:p>
    <w:p w:rsidR="00617BD3" w:rsidRPr="00DB2987" w:rsidRDefault="00617BD3" w:rsidP="00617BD3">
      <w:pPr>
        <w:pStyle w:val="Heading1"/>
        <w:rPr>
          <w:lang w:val="es-DO" w:eastAsia="ja-JP"/>
        </w:rPr>
      </w:pPr>
      <w:bookmarkStart w:id="13" w:name="_Toc75351572"/>
      <w:r w:rsidRPr="00DB2987">
        <w:rPr>
          <w:lang w:val="es-ES_tradnl" w:eastAsia="ja-JP"/>
        </w:rPr>
        <w:t>COOPERACIÓN ENTRE LAS ORGANIZACIONES INTERNACIONALES</w:t>
      </w:r>
      <w:bookmarkEnd w:id="13"/>
    </w:p>
    <w:p w:rsidR="00617BD3" w:rsidRPr="00DB2987" w:rsidRDefault="00617BD3" w:rsidP="00617BD3">
      <w:pPr>
        <w:keepNext/>
        <w:rPr>
          <w:rFonts w:cs="Arial"/>
          <w:iCs/>
          <w:lang w:val="es-DO"/>
        </w:rPr>
      </w:pPr>
    </w:p>
    <w:p w:rsidR="00617BD3" w:rsidRPr="00DB2987" w:rsidRDefault="00617BD3" w:rsidP="00617BD3">
      <w:pPr>
        <w:pStyle w:val="Heading2"/>
        <w:rPr>
          <w:lang w:val="es-DO"/>
        </w:rPr>
      </w:pPr>
      <w:bookmarkStart w:id="14" w:name="_Toc75351573"/>
      <w:r w:rsidRPr="00DB2987">
        <w:rPr>
          <w:lang w:val="es-ES_tradnl"/>
        </w:rPr>
        <w:t>Antecedentes</w:t>
      </w:r>
      <w:bookmarkEnd w:id="14"/>
    </w:p>
    <w:p w:rsidR="00617BD3" w:rsidRPr="00DB2987" w:rsidRDefault="00617BD3" w:rsidP="00617BD3">
      <w:pPr>
        <w:rPr>
          <w:lang w:val="es-DO"/>
        </w:rPr>
      </w:pPr>
    </w:p>
    <w:p w:rsidR="00617BD3" w:rsidRPr="00DB2987" w:rsidRDefault="009B62A7" w:rsidP="00617BD3">
      <w:pPr>
        <w:rPr>
          <w:rFonts w:eastAsiaTheme="minorEastAsia"/>
          <w:lang w:val="es-DO" w:eastAsia="ja-JP"/>
        </w:rPr>
      </w:pPr>
      <w:r w:rsidRPr="00DB2987">
        <w:fldChar w:fldCharType="begin"/>
      </w:r>
      <w:r w:rsidR="00617BD3" w:rsidRPr="00DB2987">
        <w:rPr>
          <w:lang w:val="es-DO"/>
        </w:rPr>
        <w:instrText xml:space="preserve"> AUTONUM  </w:instrText>
      </w:r>
      <w:r w:rsidRPr="00DB2987">
        <w:fldChar w:fldCharType="end"/>
      </w:r>
      <w:r w:rsidR="00617BD3" w:rsidRPr="00DB2987">
        <w:rPr>
          <w:lang w:val="es-DO"/>
        </w:rPr>
        <w:tab/>
      </w:r>
      <w:r w:rsidR="00617BD3" w:rsidRPr="00DB2987">
        <w:t xml:space="preserve"> Los antecedentes de esta cuestión figuran en el documento TC/56/7 “Técnicas moleculares”.</w:t>
      </w:r>
    </w:p>
    <w:p w:rsidR="00617BD3" w:rsidRPr="00DB2987" w:rsidRDefault="00617BD3" w:rsidP="00617BD3">
      <w:pPr>
        <w:rPr>
          <w:rFonts w:eastAsiaTheme="minorEastAsia"/>
          <w:lang w:val="es-DO" w:eastAsia="ja-JP"/>
        </w:rPr>
      </w:pPr>
    </w:p>
    <w:p w:rsidR="00617BD3" w:rsidRPr="00DB2987" w:rsidRDefault="009B62A7" w:rsidP="00617BD3">
      <w:pPr>
        <w:rPr>
          <w:rFonts w:eastAsiaTheme="minorEastAsia"/>
          <w:lang w:val="es-DO" w:eastAsia="ja-JP"/>
        </w:rPr>
      </w:pPr>
      <w:r w:rsidRPr="00DB2987">
        <w:rPr>
          <w:rFonts w:eastAsiaTheme="minorEastAsia"/>
          <w:lang w:eastAsia="ja-JP"/>
        </w:rPr>
        <w:fldChar w:fldCharType="begin"/>
      </w:r>
      <w:r w:rsidR="00617BD3" w:rsidRPr="00DB2987">
        <w:rPr>
          <w:rFonts w:eastAsiaTheme="minorEastAsia"/>
          <w:lang w:val="es-DO" w:eastAsia="ja-JP"/>
        </w:rPr>
        <w:instrText xml:space="preserve"> AUTONUM  </w:instrText>
      </w:r>
      <w:r w:rsidRPr="00DB2987">
        <w:rPr>
          <w:rFonts w:eastAsiaTheme="minorEastAsia"/>
          <w:lang w:eastAsia="ja-JP"/>
        </w:rPr>
        <w:fldChar w:fldCharType="end"/>
      </w:r>
      <w:r w:rsidR="00617BD3" w:rsidRPr="00DB2987">
        <w:rPr>
          <w:rFonts w:eastAsiaTheme="minorEastAsia"/>
          <w:lang w:val="es-DO" w:eastAsia="ja-JP"/>
        </w:rPr>
        <w:tab/>
      </w:r>
      <w:r w:rsidR="00617BD3" w:rsidRPr="00DB2987">
        <w:rPr>
          <w:rFonts w:eastAsiaTheme="minorEastAsia"/>
          <w:lang w:eastAsia="ja-JP"/>
        </w:rPr>
        <w:t>En su quincuagésima cuarta sesión</w:t>
      </w:r>
      <w:r w:rsidR="00AF0490" w:rsidRPr="00DB2987">
        <w:rPr>
          <w:rFonts w:eastAsiaTheme="minorEastAsia"/>
          <w:lang w:eastAsia="ja-JP"/>
        </w:rPr>
        <w:t xml:space="preserve">, </w:t>
      </w:r>
      <w:r w:rsidR="00617BD3" w:rsidRPr="00DB2987">
        <w:rPr>
          <w:rFonts w:eastAsiaTheme="minorEastAsia"/>
          <w:lang w:eastAsia="ja-JP"/>
        </w:rPr>
        <w:t>el TC convino en que la UPOV y la OCDE avancen en los asuntos convenidos con anterioridad por el TC (véanse los párrafos 267 a 271 del documento TC/54/31</w:t>
      </w:r>
      <w:r w:rsidR="00AF0490" w:rsidRPr="00DB2987">
        <w:rPr>
          <w:rFonts w:eastAsiaTheme="minorEastAsia"/>
          <w:lang w:eastAsia="ja-JP"/>
        </w:rPr>
        <w:t xml:space="preserve">, </w:t>
      </w:r>
      <w:r w:rsidR="00617BD3" w:rsidRPr="00DB2987">
        <w:rPr>
          <w:rFonts w:eastAsiaTheme="minorEastAsia"/>
          <w:lang w:eastAsia="ja-JP"/>
        </w:rPr>
        <w:t>“Informe”)</w:t>
      </w:r>
      <w:r w:rsidR="00AF0490" w:rsidRPr="00DB2987">
        <w:rPr>
          <w:rFonts w:eastAsiaTheme="minorEastAsia"/>
          <w:lang w:eastAsia="ja-JP"/>
        </w:rPr>
        <w:t xml:space="preserve">, </w:t>
      </w:r>
      <w:r w:rsidR="00617BD3" w:rsidRPr="00DB2987">
        <w:rPr>
          <w:rFonts w:eastAsiaTheme="minorEastAsia"/>
          <w:lang w:eastAsia="ja-JP"/>
        </w:rPr>
        <w:t>en concreto:</w:t>
      </w:r>
      <w:r w:rsidR="00617BD3" w:rsidRPr="00DB2987">
        <w:rPr>
          <w:rStyle w:val="FootnoteReference"/>
          <w:rFonts w:eastAsiaTheme="minorEastAsia"/>
          <w:lang w:eastAsia="ja-JP"/>
        </w:rPr>
        <w:footnoteReference w:id="2"/>
      </w:r>
      <w:r w:rsidR="00617BD3" w:rsidRPr="00DB2987">
        <w:rPr>
          <w:rFonts w:eastAsiaTheme="minorEastAsia"/>
          <w:lang w:val="es-DO" w:eastAsia="ja-JP"/>
        </w:rPr>
        <w:t xml:space="preserve"> </w:t>
      </w:r>
    </w:p>
    <w:p w:rsidR="00617BD3" w:rsidRPr="00DB2987" w:rsidRDefault="00617BD3" w:rsidP="00617BD3">
      <w:pPr>
        <w:rPr>
          <w:rFonts w:eastAsiaTheme="minorEastAsia"/>
          <w:lang w:val="es-DO" w:eastAsia="ja-JP"/>
        </w:rPr>
      </w:pPr>
    </w:p>
    <w:p w:rsidR="00617BD3" w:rsidRPr="00DB2987" w:rsidRDefault="00617BD3" w:rsidP="00094BCD">
      <w:pPr>
        <w:ind w:firstLine="567"/>
        <w:rPr>
          <w:rFonts w:eastAsiaTheme="minorEastAsia"/>
          <w:lang w:val="es-DO" w:eastAsia="ja-JP"/>
        </w:rPr>
      </w:pPr>
      <w:r w:rsidRPr="00DB2987">
        <w:rPr>
          <w:rFonts w:eastAsiaTheme="minorEastAsia"/>
          <w:lang w:eastAsia="ja-JP"/>
        </w:rPr>
        <w:t>a)</w:t>
      </w:r>
      <w:r w:rsidR="00094BCD" w:rsidRPr="00DB2987">
        <w:rPr>
          <w:rFonts w:eastAsiaTheme="minorEastAsia"/>
          <w:lang w:eastAsia="ja-JP"/>
        </w:rPr>
        <w:tab/>
      </w:r>
      <w:r w:rsidRPr="00DB2987">
        <w:rPr>
          <w:rFonts w:eastAsiaTheme="minorEastAsia"/>
          <w:lang w:eastAsia="ja-JP"/>
        </w:rPr>
        <w:t>la elaboración de un documento conjunto en el que se expliquen las características principales de los sistemas de la OCDE</w:t>
      </w:r>
      <w:r w:rsidR="00AF0490" w:rsidRPr="00DB2987">
        <w:rPr>
          <w:rFonts w:eastAsiaTheme="minorEastAsia"/>
          <w:lang w:eastAsia="ja-JP"/>
        </w:rPr>
        <w:t xml:space="preserve">, </w:t>
      </w:r>
      <w:r w:rsidRPr="00DB2987">
        <w:rPr>
          <w:rFonts w:eastAsiaTheme="minorEastAsia"/>
          <w:lang w:eastAsia="ja-JP"/>
        </w:rPr>
        <w:t>la UPOV y la ISTA;</w:t>
      </w:r>
      <w:r w:rsidRPr="00DB2987">
        <w:rPr>
          <w:rFonts w:eastAsiaTheme="minorEastAsia"/>
          <w:lang w:val="es-DO" w:eastAsia="ja-JP"/>
        </w:rPr>
        <w:t xml:space="preserve"> </w:t>
      </w:r>
    </w:p>
    <w:p w:rsidR="00617BD3" w:rsidRPr="00DB2987" w:rsidRDefault="00617BD3" w:rsidP="00617BD3">
      <w:pPr>
        <w:ind w:firstLine="567"/>
        <w:rPr>
          <w:rFonts w:eastAsiaTheme="minorEastAsia"/>
          <w:lang w:val="es-DO" w:eastAsia="ja-JP"/>
        </w:rPr>
      </w:pPr>
    </w:p>
    <w:p w:rsidR="00617BD3" w:rsidRPr="00DB2987" w:rsidRDefault="00617BD3" w:rsidP="00094BCD">
      <w:pPr>
        <w:ind w:firstLine="567"/>
        <w:rPr>
          <w:rFonts w:eastAsiaTheme="minorEastAsia"/>
          <w:lang w:val="es-DO" w:eastAsia="ja-JP"/>
        </w:rPr>
      </w:pPr>
      <w:r w:rsidRPr="00DB2987">
        <w:rPr>
          <w:rFonts w:eastAsiaTheme="minorEastAsia"/>
          <w:lang w:eastAsia="ja-JP"/>
        </w:rPr>
        <w:t>b)</w:t>
      </w:r>
      <w:r w:rsidR="00094BCD" w:rsidRPr="00DB2987">
        <w:rPr>
          <w:rFonts w:eastAsiaTheme="minorEastAsia"/>
          <w:lang w:eastAsia="ja-JP"/>
        </w:rPr>
        <w:tab/>
      </w:r>
      <w:r w:rsidRPr="00DB2987">
        <w:rPr>
          <w:rFonts w:eastAsiaTheme="minorEastAsia"/>
          <w:lang w:eastAsia="ja-JP"/>
        </w:rPr>
        <w:t>la realización de un inventario sobre la utilización de técnicas basadas en marcadores moleculares</w:t>
      </w:r>
      <w:r w:rsidR="00AF0490" w:rsidRPr="00DB2987">
        <w:rPr>
          <w:rFonts w:eastAsiaTheme="minorEastAsia"/>
          <w:lang w:eastAsia="ja-JP"/>
        </w:rPr>
        <w:t xml:space="preserve">, </w:t>
      </w:r>
      <w:r w:rsidRPr="00DB2987">
        <w:rPr>
          <w:rFonts w:eastAsiaTheme="minorEastAsia"/>
          <w:lang w:eastAsia="ja-JP"/>
        </w:rPr>
        <w:t>por cultivos</w:t>
      </w:r>
      <w:r w:rsidR="00AF0490" w:rsidRPr="00DB2987">
        <w:rPr>
          <w:rFonts w:eastAsiaTheme="minorEastAsia"/>
          <w:lang w:eastAsia="ja-JP"/>
        </w:rPr>
        <w:t xml:space="preserve">, </w:t>
      </w:r>
      <w:r w:rsidRPr="00DB2987">
        <w:rPr>
          <w:rFonts w:eastAsiaTheme="minorEastAsia"/>
          <w:lang w:eastAsia="ja-JP"/>
        </w:rPr>
        <w:t>con objeto de elaborar un documento conjunto de la UPOV</w:t>
      </w:r>
      <w:r w:rsidR="00AF0490" w:rsidRPr="00DB2987">
        <w:rPr>
          <w:rFonts w:eastAsiaTheme="minorEastAsia"/>
          <w:lang w:eastAsia="ja-JP"/>
        </w:rPr>
        <w:t xml:space="preserve">, </w:t>
      </w:r>
      <w:r w:rsidRPr="00DB2987">
        <w:rPr>
          <w:rFonts w:eastAsiaTheme="minorEastAsia"/>
          <w:lang w:eastAsia="ja-JP"/>
        </w:rPr>
        <w:t>la OCDE y la ISTA en el que figure dicha información en un formato similar al del documento UPOV/INF/16</w:t>
      </w:r>
      <w:r w:rsidR="00AF0490" w:rsidRPr="00DB2987">
        <w:rPr>
          <w:rFonts w:eastAsiaTheme="minorEastAsia"/>
          <w:lang w:eastAsia="ja-JP"/>
        </w:rPr>
        <w:t xml:space="preserve">, </w:t>
      </w:r>
      <w:r w:rsidRPr="00DB2987">
        <w:rPr>
          <w:rFonts w:eastAsiaTheme="minorEastAsia"/>
          <w:lang w:eastAsia="ja-JP"/>
        </w:rPr>
        <w:t>“Programas informáticos para intercambio”</w:t>
      </w:r>
      <w:r w:rsidR="00AF0490" w:rsidRPr="00DB2987">
        <w:rPr>
          <w:rFonts w:eastAsiaTheme="minorEastAsia"/>
          <w:lang w:eastAsia="ja-JP"/>
        </w:rPr>
        <w:t xml:space="preserve">, </w:t>
      </w:r>
      <w:r w:rsidRPr="00DB2987">
        <w:rPr>
          <w:rFonts w:eastAsiaTheme="minorEastAsia"/>
          <w:lang w:eastAsia="ja-JP"/>
        </w:rPr>
        <w:t>con sujeción a la aprobación por el Consejo y en coordinación con la OCDE y la ISTA; y</w:t>
      </w:r>
      <w:r w:rsidRPr="00DB2987">
        <w:rPr>
          <w:rFonts w:eastAsiaTheme="minorEastAsia"/>
          <w:lang w:val="es-DO" w:eastAsia="ja-JP"/>
        </w:rPr>
        <w:t xml:space="preserve"> </w:t>
      </w:r>
    </w:p>
    <w:p w:rsidR="00617BD3" w:rsidRPr="00DB2987" w:rsidRDefault="00617BD3" w:rsidP="00617BD3">
      <w:pPr>
        <w:ind w:firstLine="567"/>
        <w:rPr>
          <w:rFonts w:eastAsiaTheme="minorEastAsia"/>
          <w:lang w:val="es-DO" w:eastAsia="ja-JP"/>
        </w:rPr>
      </w:pPr>
    </w:p>
    <w:p w:rsidR="00617BD3" w:rsidRPr="00DB2987" w:rsidRDefault="00617BD3" w:rsidP="00094BCD">
      <w:pPr>
        <w:ind w:firstLine="567"/>
        <w:rPr>
          <w:rFonts w:eastAsiaTheme="minorEastAsia"/>
          <w:lang w:val="es-DO" w:eastAsia="ja-JP"/>
        </w:rPr>
      </w:pPr>
      <w:r w:rsidRPr="00DB2987">
        <w:rPr>
          <w:rFonts w:eastAsiaTheme="minorEastAsia"/>
          <w:lang w:eastAsia="ja-JP"/>
        </w:rPr>
        <w:t>c)</w:t>
      </w:r>
      <w:r w:rsidR="00094BCD" w:rsidRPr="00DB2987">
        <w:rPr>
          <w:rFonts w:eastAsiaTheme="minorEastAsia"/>
          <w:lang w:eastAsia="ja-JP"/>
        </w:rPr>
        <w:tab/>
      </w:r>
      <w:r w:rsidRPr="00DB2987">
        <w:rPr>
          <w:rFonts w:eastAsiaTheme="minorEastAsia"/>
          <w:lang w:eastAsia="ja-JP"/>
        </w:rPr>
        <w:t>la elaboración</w:t>
      </w:r>
      <w:r w:rsidR="00AF0490" w:rsidRPr="00DB2987">
        <w:rPr>
          <w:rFonts w:eastAsiaTheme="minorEastAsia"/>
          <w:lang w:eastAsia="ja-JP"/>
        </w:rPr>
        <w:t xml:space="preserve">, </w:t>
      </w:r>
      <w:r w:rsidRPr="00DB2987">
        <w:rPr>
          <w:rFonts w:eastAsiaTheme="minorEastAsia"/>
          <w:lang w:eastAsia="ja-JP"/>
        </w:rPr>
        <w:t>por parte del BMT</w:t>
      </w:r>
      <w:r w:rsidR="00AF0490" w:rsidRPr="00DB2987">
        <w:rPr>
          <w:rFonts w:eastAsiaTheme="minorEastAsia"/>
          <w:lang w:eastAsia="ja-JP"/>
        </w:rPr>
        <w:t xml:space="preserve">, </w:t>
      </w:r>
      <w:r w:rsidRPr="00DB2987">
        <w:rPr>
          <w:rFonts w:eastAsiaTheme="minorEastAsia"/>
          <w:lang w:eastAsia="ja-JP"/>
        </w:rPr>
        <w:t>de listas de posibles iniciativas conjuntas con la OCDE y la ISTA relacionadas con las técnicas moleculares a fin de que las examine el TC.</w:t>
      </w:r>
      <w:r w:rsidRPr="00DB2987">
        <w:rPr>
          <w:rFonts w:eastAsiaTheme="minorEastAsia"/>
          <w:lang w:val="es-DO" w:eastAsia="ja-JP"/>
        </w:rPr>
        <w:t xml:space="preserve"> </w:t>
      </w:r>
    </w:p>
    <w:p w:rsidR="00617BD3" w:rsidRPr="00DB2987" w:rsidRDefault="00617BD3" w:rsidP="00617BD3">
      <w:pPr>
        <w:rPr>
          <w:rFonts w:eastAsiaTheme="minorEastAsia"/>
          <w:lang w:val="es-DO" w:eastAsia="ja-JP"/>
        </w:rPr>
      </w:pPr>
    </w:p>
    <w:p w:rsidR="00617BD3" w:rsidRPr="00DB2987" w:rsidRDefault="009B62A7" w:rsidP="00617BD3">
      <w:pPr>
        <w:rPr>
          <w:rFonts w:eastAsiaTheme="minorEastAsia"/>
          <w:lang w:val="es-DO" w:eastAsia="ja-JP"/>
        </w:rPr>
      </w:pPr>
      <w:r w:rsidRPr="00DB2987">
        <w:rPr>
          <w:rFonts w:eastAsiaTheme="minorEastAsia"/>
          <w:lang w:eastAsia="ja-JP"/>
        </w:rPr>
        <w:fldChar w:fldCharType="begin"/>
      </w:r>
      <w:r w:rsidR="00617BD3" w:rsidRPr="00DB2987">
        <w:rPr>
          <w:rFonts w:eastAsiaTheme="minorEastAsia"/>
          <w:lang w:val="es-DO" w:eastAsia="ja-JP"/>
        </w:rPr>
        <w:instrText xml:space="preserve"> AUTONUM  </w:instrText>
      </w:r>
      <w:r w:rsidRPr="00DB2987">
        <w:rPr>
          <w:rFonts w:eastAsiaTheme="minorEastAsia"/>
          <w:lang w:eastAsia="ja-JP"/>
        </w:rPr>
        <w:fldChar w:fldCharType="end"/>
      </w:r>
      <w:r w:rsidR="00617BD3" w:rsidRPr="00DB2987">
        <w:rPr>
          <w:rFonts w:eastAsiaTheme="minorEastAsia"/>
          <w:lang w:val="es-DO" w:eastAsia="ja-JP"/>
        </w:rPr>
        <w:tab/>
      </w:r>
      <w:r w:rsidR="00617BD3" w:rsidRPr="00DB2987">
        <w:rPr>
          <w:rFonts w:eastAsiaTheme="minorEastAsia"/>
          <w:lang w:eastAsia="ja-JP"/>
        </w:rPr>
        <w:t>En su quincuagésima cuarta sesión</w:t>
      </w:r>
      <w:r w:rsidR="00AF0490" w:rsidRPr="00DB2987">
        <w:rPr>
          <w:rFonts w:eastAsiaTheme="minorEastAsia"/>
          <w:lang w:eastAsia="ja-JP"/>
        </w:rPr>
        <w:t xml:space="preserve">, </w:t>
      </w:r>
      <w:r w:rsidR="00617BD3" w:rsidRPr="00DB2987">
        <w:rPr>
          <w:rFonts w:eastAsiaTheme="minorEastAsia"/>
          <w:lang w:eastAsia="ja-JP"/>
        </w:rPr>
        <w:t>el TC convino en invitar a la ISTA a sumarse a las iniciativas en el momento en que lo disponga.</w:t>
      </w:r>
      <w:r w:rsidR="00617BD3" w:rsidRPr="00DB2987">
        <w:rPr>
          <w:rFonts w:eastAsiaTheme="minorEastAsia"/>
          <w:lang w:val="es-DO" w:eastAsia="ja-JP"/>
        </w:rPr>
        <w:t xml:space="preserve"> </w:t>
      </w:r>
    </w:p>
    <w:p w:rsidR="00617BD3" w:rsidRPr="00DB2987" w:rsidRDefault="00617BD3" w:rsidP="00617BD3">
      <w:pPr>
        <w:rPr>
          <w:rFonts w:eastAsiaTheme="minorEastAsia"/>
          <w:lang w:val="es-DO" w:eastAsia="ja-JP"/>
        </w:rPr>
      </w:pPr>
    </w:p>
    <w:p w:rsidR="00617BD3" w:rsidRPr="00DB2987" w:rsidRDefault="009B62A7" w:rsidP="00617BD3">
      <w:pPr>
        <w:rPr>
          <w:rFonts w:eastAsiaTheme="minorEastAsia"/>
          <w:lang w:val="es-DO" w:eastAsia="ja-JP"/>
        </w:rPr>
      </w:pPr>
      <w:r w:rsidRPr="00DB2987">
        <w:rPr>
          <w:rFonts w:eastAsiaTheme="minorEastAsia"/>
          <w:lang w:eastAsia="ja-JP"/>
        </w:rPr>
        <w:fldChar w:fldCharType="begin"/>
      </w:r>
      <w:r w:rsidR="00617BD3" w:rsidRPr="00DB2987">
        <w:rPr>
          <w:rFonts w:eastAsiaTheme="minorEastAsia"/>
          <w:lang w:val="es-DO" w:eastAsia="ja-JP"/>
        </w:rPr>
        <w:instrText xml:space="preserve"> AUTONUM  </w:instrText>
      </w:r>
      <w:r w:rsidRPr="00DB2987">
        <w:rPr>
          <w:rFonts w:eastAsiaTheme="minorEastAsia"/>
          <w:lang w:eastAsia="ja-JP"/>
        </w:rPr>
        <w:fldChar w:fldCharType="end"/>
      </w:r>
      <w:r w:rsidR="00617BD3" w:rsidRPr="00DB2987">
        <w:rPr>
          <w:rFonts w:eastAsiaTheme="minorEastAsia"/>
          <w:lang w:val="es-DO" w:eastAsia="ja-JP"/>
        </w:rPr>
        <w:tab/>
      </w:r>
      <w:r w:rsidR="00617BD3" w:rsidRPr="00DB2987">
        <w:rPr>
          <w:rFonts w:eastAsiaTheme="minorEastAsia"/>
          <w:lang w:eastAsia="ja-JP"/>
        </w:rPr>
        <w:t>Las novedades relativas a las cuestiones mencionadas supra son las siguientes:</w:t>
      </w:r>
    </w:p>
    <w:p w:rsidR="00617BD3" w:rsidRPr="00DB2987" w:rsidRDefault="00617BD3" w:rsidP="00617BD3">
      <w:pPr>
        <w:rPr>
          <w:rFonts w:eastAsiaTheme="minorEastAsia"/>
          <w:lang w:val="es-DO"/>
        </w:rPr>
      </w:pPr>
    </w:p>
    <w:p w:rsidR="00617BD3" w:rsidRPr="00DB2987" w:rsidRDefault="00617BD3" w:rsidP="00617BD3">
      <w:pPr>
        <w:pStyle w:val="Heading2"/>
        <w:keepLines/>
        <w:rPr>
          <w:rFonts w:eastAsiaTheme="minorEastAsia"/>
          <w:lang w:val="es-DO"/>
        </w:rPr>
      </w:pPr>
      <w:bookmarkStart w:id="15" w:name="_Toc75351574"/>
      <w:r w:rsidRPr="00DB2987">
        <w:rPr>
          <w:rFonts w:eastAsiaTheme="minorEastAsia"/>
          <w:lang w:val="es-ES_tradnl"/>
        </w:rPr>
        <w:t>Inventario sobre la utilización de técnicas basadas en marcadores moleculares</w:t>
      </w:r>
      <w:r w:rsidR="00AF0490" w:rsidRPr="00DB2987">
        <w:rPr>
          <w:rFonts w:eastAsiaTheme="minorEastAsia"/>
          <w:lang w:val="es-ES_tradnl"/>
        </w:rPr>
        <w:t xml:space="preserve">, </w:t>
      </w:r>
      <w:r w:rsidRPr="00DB2987">
        <w:rPr>
          <w:rFonts w:eastAsiaTheme="minorEastAsia"/>
          <w:lang w:val="es-ES_tradnl"/>
        </w:rPr>
        <w:t>por cultivos</w:t>
      </w:r>
      <w:bookmarkEnd w:id="15"/>
    </w:p>
    <w:p w:rsidR="00617BD3" w:rsidRPr="00DB2987" w:rsidRDefault="00617BD3" w:rsidP="00617BD3">
      <w:pPr>
        <w:keepNext/>
        <w:keepLines/>
        <w:rPr>
          <w:rFonts w:eastAsiaTheme="minorEastAsia"/>
          <w:lang w:val="es-DO"/>
        </w:rPr>
      </w:pPr>
    </w:p>
    <w:p w:rsidR="00617BD3" w:rsidRPr="00DB2987" w:rsidRDefault="009B62A7" w:rsidP="00617BD3">
      <w:pPr>
        <w:keepNext/>
        <w:rPr>
          <w:lang w:val="es-DO"/>
        </w:rPr>
      </w:pPr>
      <w:r w:rsidRPr="00DB2987">
        <w:fldChar w:fldCharType="begin"/>
      </w:r>
      <w:r w:rsidR="00617BD3" w:rsidRPr="00DB2987">
        <w:rPr>
          <w:lang w:val="es-DO"/>
        </w:rPr>
        <w:instrText xml:space="preserve"> AUTONUM  </w:instrText>
      </w:r>
      <w:r w:rsidRPr="00DB2987">
        <w:fldChar w:fldCharType="end"/>
      </w:r>
      <w:r w:rsidR="00617BD3" w:rsidRPr="00DB2987">
        <w:rPr>
          <w:lang w:val="es-DO"/>
        </w:rPr>
        <w:tab/>
      </w:r>
      <w:r w:rsidR="00617BD3" w:rsidRPr="00DB2987">
        <w:t xml:space="preserve"> En su quincuagésima quinta sesión,</w:t>
      </w:r>
      <w:r w:rsidR="00617BD3" w:rsidRPr="00DB2987">
        <w:rPr>
          <w:rStyle w:val="FootnoteReference"/>
        </w:rPr>
        <w:footnoteReference w:id="3"/>
      </w:r>
      <w:r w:rsidR="00617BD3" w:rsidRPr="00DB2987">
        <w:t xml:space="preserve"> el TC acordó los siguientes elementos para el inventario sobre la utilización de técnicas basadas en marcadores moleculares</w:t>
      </w:r>
      <w:r w:rsidR="00AF0490" w:rsidRPr="00DB2987">
        <w:t xml:space="preserve">, </w:t>
      </w:r>
      <w:r w:rsidR="00617BD3" w:rsidRPr="00DB2987">
        <w:t>por cultivos (véanse los párrafos</w:t>
      </w:r>
      <w:r w:rsidR="00AF0490" w:rsidRPr="00DB2987">
        <w:t> 1</w:t>
      </w:r>
      <w:r w:rsidR="00617BD3" w:rsidRPr="00DB2987">
        <w:t>84 y</w:t>
      </w:r>
      <w:r w:rsidR="00AF0490" w:rsidRPr="00DB2987">
        <w:t> 1</w:t>
      </w:r>
      <w:r w:rsidR="00617BD3" w:rsidRPr="00DB2987">
        <w:t>85 del documento TC/55/25</w:t>
      </w:r>
      <w:r w:rsidR="00AF0490" w:rsidRPr="00DB2987">
        <w:t xml:space="preserve">, </w:t>
      </w:r>
      <w:r w:rsidR="00617BD3" w:rsidRPr="00DB2987">
        <w:t>“Informe”):</w:t>
      </w:r>
    </w:p>
    <w:p w:rsidR="00617BD3" w:rsidRPr="00DB2987" w:rsidRDefault="00617BD3" w:rsidP="00617BD3">
      <w:pPr>
        <w:rPr>
          <w:lang w:val="es-DO"/>
        </w:rPr>
      </w:pPr>
    </w:p>
    <w:p w:rsidR="00617BD3" w:rsidRPr="00DB2987" w:rsidRDefault="00617BD3" w:rsidP="00617BD3">
      <w:pPr>
        <w:numPr>
          <w:ilvl w:val="0"/>
          <w:numId w:val="2"/>
        </w:numPr>
        <w:spacing w:line="276" w:lineRule="auto"/>
        <w:ind w:left="1134" w:hanging="567"/>
        <w:contextualSpacing/>
        <w:rPr>
          <w:lang w:val="es-DO"/>
        </w:rPr>
      </w:pPr>
      <w:r w:rsidRPr="00DB2987">
        <w:t>País u organización intergubernamental que utiliza la técnica basada en marcadores moleculares</w:t>
      </w:r>
      <w:r w:rsidRPr="00DB2987">
        <w:rPr>
          <w:lang w:val="es-DO"/>
        </w:rPr>
        <w:t xml:space="preserve"> </w:t>
      </w:r>
    </w:p>
    <w:p w:rsidR="00617BD3" w:rsidRPr="00DB2987" w:rsidRDefault="00617BD3" w:rsidP="00617BD3">
      <w:pPr>
        <w:numPr>
          <w:ilvl w:val="0"/>
          <w:numId w:val="2"/>
        </w:numPr>
        <w:spacing w:line="276" w:lineRule="auto"/>
        <w:ind w:left="1134" w:hanging="567"/>
        <w:contextualSpacing/>
        <w:rPr>
          <w:rFonts w:eastAsiaTheme="minorEastAsia"/>
          <w:lang w:val="es-DO"/>
        </w:rPr>
      </w:pPr>
      <w:r w:rsidRPr="00DB2987">
        <w:t>Si la autoridad utiliza técnicas basadas en marcadores moleculares</w:t>
      </w:r>
      <w:r w:rsidRPr="00DB2987">
        <w:rPr>
          <w:lang w:val="es-DO"/>
        </w:rPr>
        <w:t xml:space="preserve"> </w:t>
      </w:r>
    </w:p>
    <w:p w:rsidR="00617BD3" w:rsidRPr="00DB2987" w:rsidRDefault="00617BD3" w:rsidP="00617BD3">
      <w:pPr>
        <w:numPr>
          <w:ilvl w:val="0"/>
          <w:numId w:val="2"/>
        </w:numPr>
        <w:spacing w:line="276" w:lineRule="auto"/>
        <w:ind w:left="1134" w:hanging="567"/>
        <w:contextualSpacing/>
        <w:rPr>
          <w:lang w:val="es-DO"/>
        </w:rPr>
      </w:pPr>
      <w:r w:rsidRPr="00DB2987">
        <w:t>Fuente [nombre de la autoridad] y datos de contacto [dirección de correo electrónico]</w:t>
      </w:r>
    </w:p>
    <w:p w:rsidR="00617BD3" w:rsidRPr="00DB2987" w:rsidRDefault="00617BD3" w:rsidP="00617BD3">
      <w:pPr>
        <w:numPr>
          <w:ilvl w:val="0"/>
          <w:numId w:val="2"/>
        </w:numPr>
        <w:spacing w:line="276" w:lineRule="auto"/>
        <w:ind w:left="1134" w:hanging="567"/>
        <w:contextualSpacing/>
        <w:rPr>
          <w:lang w:val="es-DO"/>
        </w:rPr>
      </w:pPr>
      <w:r w:rsidRPr="00DB2987">
        <w:t>Tipo de técnica basada en marcadores moleculares [AFLP</w:t>
      </w:r>
      <w:r w:rsidR="00AF0490" w:rsidRPr="00DB2987">
        <w:t xml:space="preserve">, </w:t>
      </w:r>
      <w:r w:rsidRPr="00DB2987">
        <w:t>análisis de fragmentos por electroforesis capilar</w:t>
      </w:r>
      <w:r w:rsidR="00AF0490" w:rsidRPr="00DB2987">
        <w:t xml:space="preserve">, </w:t>
      </w:r>
      <w:r w:rsidRPr="00DB2987">
        <w:t>MNP</w:t>
      </w:r>
      <w:r w:rsidR="00AF0490" w:rsidRPr="00DB2987">
        <w:t xml:space="preserve">, </w:t>
      </w:r>
      <w:r w:rsidRPr="00DB2987">
        <w:t>RAPD-STS</w:t>
      </w:r>
      <w:r w:rsidR="00AF0490" w:rsidRPr="00DB2987">
        <w:t xml:space="preserve">, </w:t>
      </w:r>
      <w:r w:rsidRPr="00DB2987">
        <w:t>SSR</w:t>
      </w:r>
      <w:r w:rsidR="00AF0490" w:rsidRPr="00DB2987">
        <w:t xml:space="preserve">, </w:t>
      </w:r>
      <w:r w:rsidRPr="00DB2987">
        <w:t>SNP</w:t>
      </w:r>
      <w:r w:rsidR="00AF0490" w:rsidRPr="00DB2987">
        <w:t xml:space="preserve">, </w:t>
      </w:r>
      <w:proofErr w:type="spellStart"/>
      <w:r w:rsidRPr="00DB2987">
        <w:t>Taq</w:t>
      </w:r>
      <w:r w:rsidR="005D0082" w:rsidRPr="00DB2987">
        <w:t>M</w:t>
      </w:r>
      <w:r w:rsidRPr="00DB2987">
        <w:t>an</w:t>
      </w:r>
      <w:proofErr w:type="spellEnd"/>
      <w:r w:rsidR="00AF0490" w:rsidRPr="00DB2987">
        <w:t xml:space="preserve">, </w:t>
      </w:r>
      <w:r w:rsidRPr="00DB2987">
        <w:t>secuenciación del genoma completo u otra técnica (sírvase especificar)] [se admite más de una respuesta]</w:t>
      </w:r>
    </w:p>
    <w:p w:rsidR="00617BD3" w:rsidRPr="00DB2987" w:rsidRDefault="00617BD3" w:rsidP="00617BD3">
      <w:pPr>
        <w:numPr>
          <w:ilvl w:val="0"/>
          <w:numId w:val="2"/>
        </w:numPr>
        <w:spacing w:line="276" w:lineRule="auto"/>
        <w:ind w:left="1134" w:hanging="567"/>
        <w:contextualSpacing/>
        <w:rPr>
          <w:lang w:val="es-DO"/>
        </w:rPr>
      </w:pPr>
      <w:r w:rsidRPr="00DB2987">
        <w:t>Fuente del marcador molecular y datos de contacto [dirección de correo electrónico]</w:t>
      </w:r>
    </w:p>
    <w:p w:rsidR="00617BD3" w:rsidRPr="00DB2987" w:rsidRDefault="00617BD3" w:rsidP="00617BD3">
      <w:pPr>
        <w:numPr>
          <w:ilvl w:val="0"/>
          <w:numId w:val="2"/>
        </w:numPr>
        <w:spacing w:line="276" w:lineRule="auto"/>
        <w:ind w:left="1134" w:hanging="567"/>
        <w:contextualSpacing/>
        <w:rPr>
          <w:lang w:val="es-DO"/>
        </w:rPr>
      </w:pPr>
      <w:r w:rsidRPr="00DB2987">
        <w:t>Disponibilidad del marcador [a disposición del público o protegido]</w:t>
      </w:r>
    </w:p>
    <w:p w:rsidR="00617BD3" w:rsidRPr="00DB2987" w:rsidRDefault="00617BD3" w:rsidP="00617BD3">
      <w:pPr>
        <w:numPr>
          <w:ilvl w:val="0"/>
          <w:numId w:val="2"/>
        </w:numPr>
        <w:spacing w:line="276" w:lineRule="auto"/>
        <w:ind w:left="1134" w:hanging="567"/>
        <w:contextualSpacing/>
        <w:rPr>
          <w:lang w:val="es-DO"/>
        </w:rPr>
      </w:pPr>
      <w:r w:rsidRPr="00DB2987">
        <w:t>Situación (es decir</w:t>
      </w:r>
      <w:r w:rsidR="00AF0490" w:rsidRPr="00DB2987">
        <w:t xml:space="preserve">, </w:t>
      </w:r>
      <w:r w:rsidRPr="00DB2987">
        <w:t>en uso actualmente o en desarrollo)</w:t>
      </w:r>
    </w:p>
    <w:p w:rsidR="00617BD3" w:rsidRPr="00DB2987" w:rsidRDefault="00617BD3" w:rsidP="00617BD3">
      <w:pPr>
        <w:numPr>
          <w:ilvl w:val="0"/>
          <w:numId w:val="2"/>
        </w:numPr>
        <w:spacing w:line="276" w:lineRule="auto"/>
        <w:ind w:left="1134" w:hanging="567"/>
        <w:contextualSpacing/>
        <w:rPr>
          <w:lang w:val="es-DO"/>
        </w:rPr>
      </w:pPr>
      <w:r w:rsidRPr="00DB2987">
        <w:t>Cultivo(s) para el(los) que se utiliza la técnica basada en marcadores moleculares y carácter al que está ligado [se han de facilitar el(los) nombre(s) botánico(s) y código(s) UPOV]</w:t>
      </w:r>
    </w:p>
    <w:p w:rsidR="00617BD3" w:rsidRPr="00DB2987" w:rsidRDefault="00617BD3" w:rsidP="00617BD3">
      <w:pPr>
        <w:numPr>
          <w:ilvl w:val="0"/>
          <w:numId w:val="2"/>
        </w:numPr>
        <w:spacing w:line="276" w:lineRule="auto"/>
        <w:ind w:left="1134" w:hanging="567"/>
        <w:contextualSpacing/>
        <w:rPr>
          <w:lang w:val="es-DO"/>
        </w:rPr>
      </w:pPr>
      <w:r w:rsidRPr="00DB2987">
        <w:t>Finalidad de la utilización de la técnica molecular [modelo de la UPOV “Marcadores moleculares ligados a caracteres”</w:t>
      </w:r>
      <w:r w:rsidR="00AF0490" w:rsidRPr="00DB2987">
        <w:t xml:space="preserve">, </w:t>
      </w:r>
      <w:r w:rsidRPr="00DB2987">
        <w:t>modelo de la UPOV “Combinación de distancias fenotípicas y moleculares en la gestión de las colecciones de variedades”</w:t>
      </w:r>
      <w:r w:rsidR="00AF0490" w:rsidRPr="00DB2987">
        <w:t xml:space="preserve">, </w:t>
      </w:r>
      <w:r w:rsidRPr="00DB2987">
        <w:t>pureza</w:t>
      </w:r>
      <w:r w:rsidR="00AF0490" w:rsidRPr="00DB2987">
        <w:t xml:space="preserve">, </w:t>
      </w:r>
      <w:r w:rsidRPr="00DB2987">
        <w:t>identidad</w:t>
      </w:r>
      <w:r w:rsidR="00AF0490" w:rsidRPr="00DB2987">
        <w:t xml:space="preserve">, </w:t>
      </w:r>
      <w:r w:rsidRPr="00DB2987">
        <w:t>comprobación de la correspondencia entre el material vegetal y una variedad protegida a efectos del ejercicio de los derechos de obtentor</w:t>
      </w:r>
      <w:r w:rsidR="00AF0490" w:rsidRPr="00DB2987">
        <w:t xml:space="preserve">, </w:t>
      </w:r>
      <w:r w:rsidRPr="00DB2987">
        <w:t>verificación de la hibridez]</w:t>
      </w:r>
    </w:p>
    <w:p w:rsidR="00617BD3" w:rsidRPr="00DB2987" w:rsidRDefault="00617BD3" w:rsidP="00617BD3">
      <w:pPr>
        <w:numPr>
          <w:ilvl w:val="0"/>
          <w:numId w:val="2"/>
        </w:numPr>
        <w:spacing w:line="276" w:lineRule="auto"/>
        <w:ind w:left="1134" w:hanging="567"/>
        <w:contextualSpacing/>
        <w:rPr>
          <w:lang w:val="es-DO"/>
        </w:rPr>
      </w:pPr>
      <w:r w:rsidRPr="00DB2987">
        <w:t>Si se ha utilizado la técnica basada en marcadores moleculares como parte de una certificación de semillas en los últimos dos años [certificación nacional</w:t>
      </w:r>
      <w:r w:rsidR="00AF0490" w:rsidRPr="00DB2987">
        <w:t xml:space="preserve">, </w:t>
      </w:r>
      <w:r w:rsidRPr="00DB2987">
        <w:t xml:space="preserve">certificación de la OCDE] [relevante para los </w:t>
      </w:r>
      <w:r w:rsidR="007C0082" w:rsidRPr="00DB2987">
        <w:t xml:space="preserve">Sistemas </w:t>
      </w:r>
      <w:r w:rsidRPr="00DB2987">
        <w:t>de semillas de la OCDE]</w:t>
      </w:r>
    </w:p>
    <w:p w:rsidR="00617BD3" w:rsidRPr="00DB2987" w:rsidRDefault="00617BD3" w:rsidP="00617BD3">
      <w:pPr>
        <w:numPr>
          <w:ilvl w:val="0"/>
          <w:numId w:val="2"/>
        </w:numPr>
        <w:spacing w:line="276" w:lineRule="auto"/>
        <w:ind w:left="1134" w:hanging="567"/>
        <w:contextualSpacing/>
        <w:rPr>
          <w:lang w:val="es-DO"/>
        </w:rPr>
      </w:pPr>
      <w:r w:rsidRPr="00DB2987">
        <w:t>Número de veces que la autoridad utilizó la técnica basada en marcadores moleculares en los últimos dos años [habitual</w:t>
      </w:r>
      <w:r w:rsidR="00AF0490" w:rsidRPr="00DB2987">
        <w:t xml:space="preserve">, </w:t>
      </w:r>
      <w:r w:rsidRPr="00DB2987">
        <w:t>ocasional] [p. ej.</w:t>
      </w:r>
      <w:r w:rsidR="00AF0490" w:rsidRPr="00DB2987">
        <w:t xml:space="preserve">, </w:t>
      </w:r>
      <w:r w:rsidRPr="00DB2987">
        <w:t>entre</w:t>
      </w:r>
      <w:r w:rsidR="00AF0490" w:rsidRPr="00DB2987">
        <w:t> 1</w:t>
      </w:r>
      <w:r w:rsidRPr="00DB2987">
        <w:t xml:space="preserve"> y</w:t>
      </w:r>
      <w:r w:rsidR="00AF0490" w:rsidRPr="00DB2987">
        <w:t xml:space="preserve"> 5, </w:t>
      </w:r>
      <w:r w:rsidRPr="00DB2987">
        <w:t>entre</w:t>
      </w:r>
      <w:r w:rsidR="00AF0490" w:rsidRPr="00DB2987">
        <w:t> 6</w:t>
      </w:r>
      <w:r w:rsidRPr="00DB2987">
        <w:t xml:space="preserve"> y</w:t>
      </w:r>
      <w:r w:rsidR="00AF0490" w:rsidRPr="00DB2987">
        <w:t> 2</w:t>
      </w:r>
      <w:r w:rsidRPr="00DB2987">
        <w:t>0</w:t>
      </w:r>
      <w:r w:rsidR="00AF0490" w:rsidRPr="00DB2987">
        <w:t xml:space="preserve">, </w:t>
      </w:r>
      <w:r w:rsidRPr="00DB2987">
        <w:t>entre</w:t>
      </w:r>
      <w:r w:rsidR="00AF0490" w:rsidRPr="00DB2987">
        <w:t> 2</w:t>
      </w:r>
      <w:r w:rsidRPr="00DB2987">
        <w:t>1 y</w:t>
      </w:r>
      <w:r w:rsidR="00AF0490" w:rsidRPr="00DB2987">
        <w:t> 1</w:t>
      </w:r>
      <w:r w:rsidRPr="00DB2987">
        <w:t>00 o más de 100]</w:t>
      </w:r>
      <w:r w:rsidRPr="00DB2987">
        <w:rPr>
          <w:lang w:val="es-DO"/>
        </w:rPr>
        <w:t xml:space="preserve"> </w:t>
      </w:r>
    </w:p>
    <w:p w:rsidR="00617BD3" w:rsidRPr="00DB2987" w:rsidRDefault="00617BD3" w:rsidP="00617BD3">
      <w:pPr>
        <w:numPr>
          <w:ilvl w:val="0"/>
          <w:numId w:val="2"/>
        </w:numPr>
        <w:spacing w:line="276" w:lineRule="auto"/>
        <w:ind w:left="1134" w:hanging="567"/>
        <w:contextualSpacing/>
        <w:rPr>
          <w:lang w:val="es-DO"/>
        </w:rPr>
      </w:pPr>
      <w:r w:rsidRPr="00DB2987">
        <w:t>Si la técnica basada en marcadores moleculares está contemplada en [directriz(ces) de examen de la UPOV</w:t>
      </w:r>
      <w:r w:rsidR="00AF0490" w:rsidRPr="00DB2987">
        <w:t xml:space="preserve">, </w:t>
      </w:r>
      <w:r w:rsidRPr="00DB2987">
        <w:t>documento(s) TGP de la UPOV</w:t>
      </w:r>
      <w:r w:rsidR="00AF0490" w:rsidRPr="00DB2987">
        <w:t xml:space="preserve">, </w:t>
      </w:r>
      <w:r w:rsidRPr="00DB2987">
        <w:t>otro(s) documento(s) de la UPOV (especifique)</w:t>
      </w:r>
    </w:p>
    <w:p w:rsidR="00617BD3" w:rsidRPr="00DB2987" w:rsidRDefault="00617BD3" w:rsidP="00617BD3">
      <w:pPr>
        <w:numPr>
          <w:ilvl w:val="0"/>
          <w:numId w:val="2"/>
        </w:numPr>
        <w:spacing w:line="276" w:lineRule="auto"/>
        <w:ind w:left="1134" w:hanging="567"/>
        <w:contextualSpacing/>
        <w:rPr>
          <w:lang w:val="es-DO"/>
        </w:rPr>
      </w:pPr>
      <w:r w:rsidRPr="00DB2987">
        <w:t>Si la técnica molecular está validada</w:t>
      </w:r>
      <w:r w:rsidR="00AF0490" w:rsidRPr="00DB2987">
        <w:t xml:space="preserve">, </w:t>
      </w:r>
      <w:r w:rsidRPr="00DB2987">
        <w:t>reconocida o autorizada [si lo está</w:t>
      </w:r>
      <w:r w:rsidR="00AF0490" w:rsidRPr="00DB2987">
        <w:t xml:space="preserve">, </w:t>
      </w:r>
      <w:r w:rsidRPr="00DB2987">
        <w:t xml:space="preserve">indique una organización o autoridad concreta] [relevante para los </w:t>
      </w:r>
      <w:r w:rsidR="007C0082" w:rsidRPr="00DB2987">
        <w:t xml:space="preserve">Sistemas </w:t>
      </w:r>
      <w:r w:rsidRPr="00DB2987">
        <w:t>de semillas de la OCDE]</w:t>
      </w:r>
    </w:p>
    <w:p w:rsidR="00617BD3" w:rsidRPr="00DB2987" w:rsidRDefault="00617BD3" w:rsidP="00617BD3">
      <w:pPr>
        <w:numPr>
          <w:ilvl w:val="0"/>
          <w:numId w:val="2"/>
        </w:numPr>
        <w:spacing w:line="276" w:lineRule="auto"/>
        <w:ind w:left="1134" w:hanging="567"/>
        <w:contextualSpacing/>
        <w:rPr>
          <w:lang w:val="es-DO"/>
        </w:rPr>
      </w:pPr>
      <w:r w:rsidRPr="00DB2987">
        <w:t>Si la autoridad ha creado bases de datos con información obtenida a partir de la utilización de la técnica basada en marcadores moleculares</w:t>
      </w:r>
      <w:r w:rsidRPr="00DB2987">
        <w:rPr>
          <w:lang w:val="es-DO"/>
        </w:rPr>
        <w:t xml:space="preserve"> </w:t>
      </w:r>
    </w:p>
    <w:p w:rsidR="00617BD3" w:rsidRPr="00DB2987" w:rsidRDefault="00617BD3" w:rsidP="00617BD3">
      <w:pPr>
        <w:rPr>
          <w:lang w:val="es-DO"/>
        </w:rPr>
      </w:pPr>
    </w:p>
    <w:p w:rsidR="00617BD3" w:rsidRPr="00DB2987" w:rsidRDefault="009B62A7" w:rsidP="00670CCB">
      <w:pPr>
        <w:rPr>
          <w:lang w:val="es-ES"/>
        </w:rPr>
      </w:pPr>
      <w:r w:rsidRPr="00DB2987">
        <w:fldChar w:fldCharType="begin"/>
      </w:r>
      <w:r w:rsidR="00617BD3" w:rsidRPr="00DB2987">
        <w:rPr>
          <w:lang w:val="es-ES"/>
        </w:rPr>
        <w:instrText xml:space="preserve"> AUTONUM  </w:instrText>
      </w:r>
      <w:r w:rsidRPr="00DB2987">
        <w:fldChar w:fldCharType="end"/>
      </w:r>
      <w:r w:rsidR="00617BD3" w:rsidRPr="00DB2987">
        <w:rPr>
          <w:lang w:val="es-ES"/>
        </w:rPr>
        <w:tab/>
      </w:r>
      <w:r w:rsidR="00B94264" w:rsidRPr="00DB2987">
        <w:t>El TC convino en que se envíe una circular para solicitar a los miembros de la Unión que respondan una encuesta como punto de partida de la elaboración de un inventario sobre la utilización de técnicas basadas en marcadores moleculares</w:t>
      </w:r>
      <w:r w:rsidR="00AF0490" w:rsidRPr="00DB2987">
        <w:t xml:space="preserve">, </w:t>
      </w:r>
      <w:r w:rsidR="00B94264" w:rsidRPr="00DB2987">
        <w:t>por cultivos</w:t>
      </w:r>
      <w:r w:rsidR="00AF0490" w:rsidRPr="00DB2987">
        <w:t xml:space="preserve">, </w:t>
      </w:r>
      <w:r w:rsidR="00B94264" w:rsidRPr="00DB2987">
        <w:t>en coordinación con la</w:t>
      </w:r>
      <w:r w:rsidR="0027032D" w:rsidRPr="00DB2987">
        <w:t> </w:t>
      </w:r>
      <w:r w:rsidR="00B94264" w:rsidRPr="00DB2987">
        <w:t>OCDE.</w:t>
      </w:r>
      <w:r w:rsidR="00ED6E82" w:rsidRPr="00DB2987">
        <w:rPr>
          <w:lang w:val="es-ES"/>
        </w:rPr>
        <w:t xml:space="preserve"> </w:t>
      </w:r>
      <w:r w:rsidR="0027032D" w:rsidRPr="00DB2987">
        <w:t xml:space="preserve">La Oficina de la UPOV consultó a los </w:t>
      </w:r>
      <w:r w:rsidR="007C0082" w:rsidRPr="00DB2987">
        <w:t xml:space="preserve">Sistemas de semillas </w:t>
      </w:r>
      <w:r w:rsidR="0027032D" w:rsidRPr="00DB2987">
        <w:t xml:space="preserve">de la OCDE acerca de la organización de la encuesta y </w:t>
      </w:r>
      <w:r w:rsidR="00C24747" w:rsidRPr="00DB2987">
        <w:t>de los pasos que pueden darse a continuación</w:t>
      </w:r>
      <w:r w:rsidR="0027032D" w:rsidRPr="00DB2987">
        <w:t>.</w:t>
      </w:r>
    </w:p>
    <w:p w:rsidR="00617BD3" w:rsidRPr="00DB2987" w:rsidRDefault="00617BD3" w:rsidP="00617BD3">
      <w:pPr>
        <w:rPr>
          <w:lang w:val="es-ES"/>
        </w:rPr>
      </w:pPr>
    </w:p>
    <w:p w:rsidR="00617BD3" w:rsidRPr="00DB2987" w:rsidRDefault="009B62A7" w:rsidP="00670CCB">
      <w:pPr>
        <w:rPr>
          <w:lang w:val="es-ES"/>
        </w:rPr>
      </w:pPr>
      <w:r w:rsidRPr="00DB2987">
        <w:fldChar w:fldCharType="begin"/>
      </w:r>
      <w:r w:rsidR="00617BD3" w:rsidRPr="00DB2987">
        <w:rPr>
          <w:lang w:val="es-ES"/>
        </w:rPr>
        <w:instrText xml:space="preserve"> AUTONUM  </w:instrText>
      </w:r>
      <w:r w:rsidRPr="00DB2987">
        <w:fldChar w:fldCharType="end"/>
      </w:r>
      <w:r w:rsidR="00617BD3" w:rsidRPr="00DB2987">
        <w:rPr>
          <w:lang w:val="es-ES"/>
        </w:rPr>
        <w:tab/>
      </w:r>
      <w:r w:rsidR="00C24747" w:rsidRPr="00DB2987">
        <w:t>Tras la consulta a la</w:t>
      </w:r>
      <w:r w:rsidR="001C4DB7" w:rsidRPr="00DB2987">
        <w:t> </w:t>
      </w:r>
      <w:r w:rsidR="00C24747" w:rsidRPr="00DB2987">
        <w:t>OCDE</w:t>
      </w:r>
      <w:r w:rsidR="00AF0490" w:rsidRPr="00DB2987">
        <w:t xml:space="preserve">, </w:t>
      </w:r>
      <w:r w:rsidR="00C24747" w:rsidRPr="00DB2987">
        <w:t xml:space="preserve">la Oficina de la Unión envió la circular E-20/189 </w:t>
      </w:r>
      <w:r w:rsidR="001C4DB7" w:rsidRPr="00DB2987">
        <w:t>el 16 de octubre de 2020</w:t>
      </w:r>
      <w:r w:rsidR="00AF0490" w:rsidRPr="00DB2987">
        <w:t xml:space="preserve">, </w:t>
      </w:r>
      <w:r w:rsidR="001C4DB7" w:rsidRPr="00DB2987">
        <w:t>invita</w:t>
      </w:r>
      <w:r w:rsidR="00933534" w:rsidRPr="00DB2987">
        <w:t>ndo</w:t>
      </w:r>
      <w:r w:rsidR="001C4DB7" w:rsidRPr="00DB2987">
        <w:t xml:space="preserve"> a los miembros </w:t>
      </w:r>
      <w:r w:rsidR="00C24747" w:rsidRPr="00DB2987">
        <w:t xml:space="preserve">a </w:t>
      </w:r>
      <w:r w:rsidR="001C4DB7" w:rsidRPr="00DB2987">
        <w:t xml:space="preserve">responder </w:t>
      </w:r>
      <w:r w:rsidR="000E6809" w:rsidRPr="00DB2987">
        <w:t>a un</w:t>
      </w:r>
      <w:r w:rsidR="001C4DB7" w:rsidRPr="00DB2987">
        <w:t xml:space="preserve">a </w:t>
      </w:r>
      <w:r w:rsidR="00C24747" w:rsidRPr="00DB2987">
        <w:t>encuesta</w:t>
      </w:r>
      <w:r w:rsidR="001C4DB7" w:rsidRPr="00DB2987">
        <w:t xml:space="preserve"> sobre el </w:t>
      </w:r>
      <w:r w:rsidR="00C24747" w:rsidRPr="00DB2987">
        <w:t>us</w:t>
      </w:r>
      <w:r w:rsidR="001C4DB7" w:rsidRPr="00DB2987">
        <w:t>o</w:t>
      </w:r>
      <w:r w:rsidR="00C24747" w:rsidRPr="00DB2987">
        <w:t xml:space="preserve"> de técnicas basadas en marcadores moleculares</w:t>
      </w:r>
      <w:r w:rsidR="00AF0490" w:rsidRPr="00DB2987">
        <w:t xml:space="preserve">, </w:t>
      </w:r>
      <w:r w:rsidR="000E6809" w:rsidRPr="00DB2987">
        <w:t>antes del</w:t>
      </w:r>
      <w:r w:rsidR="00AF0490" w:rsidRPr="00DB2987">
        <w:t> 1</w:t>
      </w:r>
      <w:r w:rsidR="000E6809" w:rsidRPr="00DB2987">
        <w:t>5 de diciembre de</w:t>
      </w:r>
      <w:r w:rsidR="00AF0490" w:rsidRPr="00DB2987">
        <w:t> 2</w:t>
      </w:r>
      <w:r w:rsidR="000E6809" w:rsidRPr="00DB2987">
        <w:t>020</w:t>
      </w:r>
      <w:r w:rsidR="00C24747" w:rsidRPr="00DB2987">
        <w:t>.</w:t>
      </w:r>
      <w:r w:rsidR="00ED6E82" w:rsidRPr="00DB2987">
        <w:rPr>
          <w:lang w:val="es-ES"/>
        </w:rPr>
        <w:t xml:space="preserve"> </w:t>
      </w:r>
    </w:p>
    <w:p w:rsidR="00617BD3" w:rsidRPr="00DB2987" w:rsidRDefault="00617BD3" w:rsidP="00617BD3">
      <w:pPr>
        <w:rPr>
          <w:lang w:val="es-ES"/>
        </w:rPr>
      </w:pPr>
    </w:p>
    <w:p w:rsidR="00617BD3" w:rsidRPr="00DB2987" w:rsidRDefault="009B62A7" w:rsidP="00670CCB">
      <w:pPr>
        <w:rPr>
          <w:lang w:val="es-ES"/>
        </w:rPr>
      </w:pPr>
      <w:r w:rsidRPr="00DB2987">
        <w:fldChar w:fldCharType="begin"/>
      </w:r>
      <w:r w:rsidR="00617BD3" w:rsidRPr="00DB2987">
        <w:rPr>
          <w:lang w:val="es-ES"/>
        </w:rPr>
        <w:instrText xml:space="preserve"> AUTONUM  </w:instrText>
      </w:r>
      <w:r w:rsidRPr="00DB2987">
        <w:fldChar w:fldCharType="end"/>
      </w:r>
      <w:r w:rsidR="00617BD3" w:rsidRPr="00DB2987">
        <w:rPr>
          <w:lang w:val="es-ES"/>
        </w:rPr>
        <w:tab/>
      </w:r>
      <w:r w:rsidR="000E6809" w:rsidRPr="00DB2987">
        <w:t>En respuesta a la circular E-20/189</w:t>
      </w:r>
      <w:r w:rsidR="00AF0490" w:rsidRPr="00DB2987">
        <w:t xml:space="preserve">, </w:t>
      </w:r>
      <w:r w:rsidR="000E6809" w:rsidRPr="00DB2987">
        <w:t>los siguientes 23 miembros de la Unión remitieron información sobre la utilización de técnicas basadas en marcadores moleculares:</w:t>
      </w:r>
    </w:p>
    <w:p w:rsidR="00AE66A3" w:rsidRPr="00DB2987" w:rsidRDefault="00AE66A3" w:rsidP="00AE66A3">
      <w:pPr>
        <w:rPr>
          <w:lang w:val="es-ES"/>
        </w:rPr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DB2987" w:rsidRPr="00DB2987" w:rsidTr="00E37392">
        <w:tc>
          <w:tcPr>
            <w:tcW w:w="4814" w:type="dxa"/>
          </w:tcPr>
          <w:p w:rsidR="00DB4E87" w:rsidRPr="00DB2987" w:rsidRDefault="00DB4E87" w:rsidP="00801E9E">
            <w:pPr>
              <w:rPr>
                <w:sz w:val="20"/>
                <w:szCs w:val="20"/>
              </w:rPr>
            </w:pPr>
            <w:r w:rsidRPr="00DB2987">
              <w:rPr>
                <w:sz w:val="20"/>
                <w:szCs w:val="20"/>
              </w:rPr>
              <w:t>Alemania</w:t>
            </w:r>
          </w:p>
        </w:tc>
        <w:tc>
          <w:tcPr>
            <w:tcW w:w="4815" w:type="dxa"/>
          </w:tcPr>
          <w:p w:rsidR="00DB4E87" w:rsidRPr="00DB2987" w:rsidRDefault="00DB4E87" w:rsidP="00801E9E">
            <w:pPr>
              <w:rPr>
                <w:sz w:val="20"/>
                <w:szCs w:val="20"/>
              </w:rPr>
            </w:pPr>
            <w:r w:rsidRPr="00DB2987">
              <w:rPr>
                <w:sz w:val="20"/>
                <w:szCs w:val="20"/>
              </w:rPr>
              <w:t xml:space="preserve">Jordania </w:t>
            </w:r>
          </w:p>
        </w:tc>
      </w:tr>
      <w:tr w:rsidR="00DB2987" w:rsidRPr="00DB2987" w:rsidTr="00E37392">
        <w:tc>
          <w:tcPr>
            <w:tcW w:w="4814" w:type="dxa"/>
          </w:tcPr>
          <w:p w:rsidR="00DB4E87" w:rsidRPr="00DB2987" w:rsidRDefault="00DB4E87" w:rsidP="00801E9E">
            <w:pPr>
              <w:rPr>
                <w:sz w:val="20"/>
                <w:szCs w:val="20"/>
              </w:rPr>
            </w:pPr>
            <w:r w:rsidRPr="00DB2987">
              <w:rPr>
                <w:sz w:val="20"/>
                <w:szCs w:val="20"/>
              </w:rPr>
              <w:t>Australia</w:t>
            </w:r>
          </w:p>
        </w:tc>
        <w:tc>
          <w:tcPr>
            <w:tcW w:w="4815" w:type="dxa"/>
          </w:tcPr>
          <w:p w:rsidR="00DB4E87" w:rsidRPr="00DB2987" w:rsidRDefault="00DB4E87" w:rsidP="00801E9E">
            <w:pPr>
              <w:rPr>
                <w:sz w:val="20"/>
                <w:szCs w:val="20"/>
              </w:rPr>
            </w:pPr>
            <w:r w:rsidRPr="00DB2987">
              <w:rPr>
                <w:sz w:val="20"/>
                <w:szCs w:val="20"/>
              </w:rPr>
              <w:t xml:space="preserve">Lituania </w:t>
            </w:r>
          </w:p>
        </w:tc>
      </w:tr>
      <w:tr w:rsidR="00DB2987" w:rsidRPr="00DB2987" w:rsidTr="00E37392">
        <w:tc>
          <w:tcPr>
            <w:tcW w:w="4814" w:type="dxa"/>
          </w:tcPr>
          <w:p w:rsidR="00DB4E87" w:rsidRPr="00DB2987" w:rsidRDefault="00DB4E87" w:rsidP="00801E9E">
            <w:pPr>
              <w:rPr>
                <w:sz w:val="20"/>
                <w:szCs w:val="20"/>
              </w:rPr>
            </w:pPr>
            <w:r w:rsidRPr="00DB2987">
              <w:rPr>
                <w:sz w:val="20"/>
                <w:szCs w:val="20"/>
              </w:rPr>
              <w:t>Bélgica</w:t>
            </w:r>
          </w:p>
        </w:tc>
        <w:tc>
          <w:tcPr>
            <w:tcW w:w="4815" w:type="dxa"/>
          </w:tcPr>
          <w:p w:rsidR="00DB4E87" w:rsidRPr="00DB2987" w:rsidRDefault="00DB4E87" w:rsidP="00801E9E">
            <w:pPr>
              <w:rPr>
                <w:sz w:val="20"/>
                <w:szCs w:val="20"/>
              </w:rPr>
            </w:pPr>
            <w:r w:rsidRPr="00DB2987">
              <w:rPr>
                <w:sz w:val="20"/>
                <w:szCs w:val="20"/>
              </w:rPr>
              <w:t xml:space="preserve">México </w:t>
            </w:r>
          </w:p>
        </w:tc>
      </w:tr>
      <w:tr w:rsidR="00DB2987" w:rsidRPr="00DB2987" w:rsidTr="00E37392">
        <w:tc>
          <w:tcPr>
            <w:tcW w:w="4814" w:type="dxa"/>
          </w:tcPr>
          <w:p w:rsidR="00DB4E87" w:rsidRPr="00DB2987" w:rsidRDefault="00DB4E87" w:rsidP="00801E9E">
            <w:pPr>
              <w:rPr>
                <w:sz w:val="20"/>
                <w:szCs w:val="20"/>
              </w:rPr>
            </w:pPr>
            <w:r w:rsidRPr="00DB2987">
              <w:rPr>
                <w:sz w:val="20"/>
                <w:szCs w:val="20"/>
              </w:rPr>
              <w:t xml:space="preserve">Brasil </w:t>
            </w:r>
          </w:p>
        </w:tc>
        <w:tc>
          <w:tcPr>
            <w:tcW w:w="4815" w:type="dxa"/>
          </w:tcPr>
          <w:p w:rsidR="00DB4E87" w:rsidRPr="00DB2987" w:rsidRDefault="00DB4E87" w:rsidP="00801E9E">
            <w:pPr>
              <w:rPr>
                <w:sz w:val="20"/>
                <w:szCs w:val="20"/>
              </w:rPr>
            </w:pPr>
            <w:r w:rsidRPr="00DB2987">
              <w:rPr>
                <w:sz w:val="20"/>
                <w:szCs w:val="20"/>
              </w:rPr>
              <w:t xml:space="preserve">Noruega </w:t>
            </w:r>
          </w:p>
        </w:tc>
      </w:tr>
      <w:tr w:rsidR="00DB2987" w:rsidRPr="00DB2987" w:rsidTr="00E37392">
        <w:tc>
          <w:tcPr>
            <w:tcW w:w="4814" w:type="dxa"/>
          </w:tcPr>
          <w:p w:rsidR="00DB4E87" w:rsidRPr="00DB2987" w:rsidRDefault="00DB4E87" w:rsidP="00801E9E">
            <w:pPr>
              <w:rPr>
                <w:sz w:val="20"/>
                <w:szCs w:val="20"/>
              </w:rPr>
            </w:pPr>
            <w:r w:rsidRPr="00DB2987">
              <w:rPr>
                <w:sz w:val="20"/>
                <w:szCs w:val="20"/>
              </w:rPr>
              <w:t>China</w:t>
            </w:r>
          </w:p>
        </w:tc>
        <w:tc>
          <w:tcPr>
            <w:tcW w:w="4815" w:type="dxa"/>
          </w:tcPr>
          <w:p w:rsidR="00DB4E87" w:rsidRPr="00DB2987" w:rsidRDefault="00DB4E87" w:rsidP="00801E9E">
            <w:pPr>
              <w:rPr>
                <w:sz w:val="20"/>
                <w:szCs w:val="20"/>
              </w:rPr>
            </w:pPr>
            <w:r w:rsidRPr="00DB2987">
              <w:rPr>
                <w:sz w:val="20"/>
                <w:szCs w:val="20"/>
              </w:rPr>
              <w:t>Países Bajos</w:t>
            </w:r>
          </w:p>
        </w:tc>
      </w:tr>
      <w:tr w:rsidR="00DB2987" w:rsidRPr="00DB2987" w:rsidTr="00E37392">
        <w:tc>
          <w:tcPr>
            <w:tcW w:w="4814" w:type="dxa"/>
          </w:tcPr>
          <w:p w:rsidR="00DB4E87" w:rsidRPr="00DB2987" w:rsidRDefault="00DB4E87" w:rsidP="00801E9E">
            <w:pPr>
              <w:rPr>
                <w:sz w:val="20"/>
                <w:szCs w:val="20"/>
              </w:rPr>
            </w:pPr>
            <w:r w:rsidRPr="00DB2987">
              <w:rPr>
                <w:sz w:val="20"/>
                <w:szCs w:val="20"/>
              </w:rPr>
              <w:t>Eslovaquia</w:t>
            </w:r>
          </w:p>
        </w:tc>
        <w:tc>
          <w:tcPr>
            <w:tcW w:w="4815" w:type="dxa"/>
          </w:tcPr>
          <w:p w:rsidR="00DB4E87" w:rsidRPr="00DB2987" w:rsidRDefault="00DB4E87" w:rsidP="00801E9E">
            <w:pPr>
              <w:rPr>
                <w:sz w:val="20"/>
                <w:szCs w:val="20"/>
              </w:rPr>
            </w:pPr>
            <w:r w:rsidRPr="00DB2987">
              <w:rPr>
                <w:sz w:val="20"/>
                <w:szCs w:val="20"/>
              </w:rPr>
              <w:t xml:space="preserve">Panamá </w:t>
            </w:r>
          </w:p>
        </w:tc>
      </w:tr>
      <w:tr w:rsidR="00DB2987" w:rsidRPr="00DB2987" w:rsidTr="00E37392">
        <w:tc>
          <w:tcPr>
            <w:tcW w:w="4814" w:type="dxa"/>
          </w:tcPr>
          <w:p w:rsidR="00DB4E87" w:rsidRPr="00DB2987" w:rsidRDefault="00DB4E87" w:rsidP="00801E9E">
            <w:pPr>
              <w:rPr>
                <w:sz w:val="20"/>
                <w:szCs w:val="20"/>
              </w:rPr>
            </w:pPr>
            <w:r w:rsidRPr="00DB2987">
              <w:rPr>
                <w:sz w:val="20"/>
                <w:szCs w:val="20"/>
              </w:rPr>
              <w:t xml:space="preserve">España </w:t>
            </w:r>
          </w:p>
        </w:tc>
        <w:tc>
          <w:tcPr>
            <w:tcW w:w="4815" w:type="dxa"/>
          </w:tcPr>
          <w:p w:rsidR="00DB4E87" w:rsidRPr="00DB2987" w:rsidRDefault="00DB4E87" w:rsidP="00801E9E">
            <w:pPr>
              <w:rPr>
                <w:sz w:val="20"/>
                <w:szCs w:val="20"/>
              </w:rPr>
            </w:pPr>
            <w:r w:rsidRPr="00DB2987">
              <w:rPr>
                <w:sz w:val="20"/>
                <w:szCs w:val="20"/>
              </w:rPr>
              <w:t>Reino Unido</w:t>
            </w:r>
          </w:p>
        </w:tc>
      </w:tr>
      <w:tr w:rsidR="00DB2987" w:rsidRPr="00DB2987" w:rsidTr="00E37392">
        <w:tc>
          <w:tcPr>
            <w:tcW w:w="4814" w:type="dxa"/>
          </w:tcPr>
          <w:p w:rsidR="00DB4E87" w:rsidRPr="00DB2987" w:rsidRDefault="00DB4E87" w:rsidP="00801E9E">
            <w:pPr>
              <w:rPr>
                <w:sz w:val="20"/>
                <w:szCs w:val="20"/>
              </w:rPr>
            </w:pPr>
            <w:r w:rsidRPr="00DB2987">
              <w:rPr>
                <w:sz w:val="20"/>
                <w:szCs w:val="20"/>
              </w:rPr>
              <w:t xml:space="preserve">Estados Unidos de América </w:t>
            </w:r>
          </w:p>
        </w:tc>
        <w:tc>
          <w:tcPr>
            <w:tcW w:w="4815" w:type="dxa"/>
          </w:tcPr>
          <w:p w:rsidR="00DB4E87" w:rsidRPr="00DB2987" w:rsidRDefault="00DB4E87" w:rsidP="00801E9E">
            <w:pPr>
              <w:rPr>
                <w:sz w:val="20"/>
                <w:szCs w:val="20"/>
              </w:rPr>
            </w:pPr>
            <w:r w:rsidRPr="00DB2987">
              <w:rPr>
                <w:sz w:val="20"/>
                <w:szCs w:val="20"/>
              </w:rPr>
              <w:t xml:space="preserve">República Checa </w:t>
            </w:r>
          </w:p>
        </w:tc>
      </w:tr>
      <w:tr w:rsidR="00DB2987" w:rsidRPr="00DB2987" w:rsidTr="00E37392">
        <w:tc>
          <w:tcPr>
            <w:tcW w:w="4814" w:type="dxa"/>
          </w:tcPr>
          <w:p w:rsidR="00DB4E87" w:rsidRPr="00DB2987" w:rsidRDefault="00DB4E87" w:rsidP="00801E9E">
            <w:pPr>
              <w:rPr>
                <w:sz w:val="20"/>
                <w:szCs w:val="20"/>
              </w:rPr>
            </w:pPr>
            <w:r w:rsidRPr="00DB2987">
              <w:rPr>
                <w:sz w:val="20"/>
                <w:szCs w:val="20"/>
              </w:rPr>
              <w:t>Estonia</w:t>
            </w:r>
          </w:p>
        </w:tc>
        <w:tc>
          <w:tcPr>
            <w:tcW w:w="4815" w:type="dxa"/>
          </w:tcPr>
          <w:p w:rsidR="00DB4E87" w:rsidRPr="00DB2987" w:rsidRDefault="00DB4E87" w:rsidP="00801E9E">
            <w:pPr>
              <w:rPr>
                <w:sz w:val="20"/>
                <w:szCs w:val="20"/>
              </w:rPr>
            </w:pPr>
            <w:r w:rsidRPr="00DB2987">
              <w:rPr>
                <w:sz w:val="20"/>
                <w:szCs w:val="20"/>
              </w:rPr>
              <w:t xml:space="preserve">Rumania </w:t>
            </w:r>
          </w:p>
        </w:tc>
      </w:tr>
      <w:tr w:rsidR="00DB2987" w:rsidRPr="00DB2987" w:rsidTr="00E37392">
        <w:tc>
          <w:tcPr>
            <w:tcW w:w="4814" w:type="dxa"/>
          </w:tcPr>
          <w:p w:rsidR="00DB4E87" w:rsidRPr="00DB2987" w:rsidRDefault="00DB4E87" w:rsidP="00801E9E">
            <w:pPr>
              <w:rPr>
                <w:sz w:val="20"/>
                <w:szCs w:val="20"/>
              </w:rPr>
            </w:pPr>
            <w:r w:rsidRPr="00DB2987">
              <w:rPr>
                <w:sz w:val="20"/>
                <w:szCs w:val="20"/>
              </w:rPr>
              <w:t>Francia</w:t>
            </w:r>
          </w:p>
        </w:tc>
        <w:tc>
          <w:tcPr>
            <w:tcW w:w="4815" w:type="dxa"/>
          </w:tcPr>
          <w:p w:rsidR="00DB4E87" w:rsidRPr="00DB2987" w:rsidRDefault="00DB4E87" w:rsidP="00801E9E">
            <w:pPr>
              <w:rPr>
                <w:sz w:val="20"/>
                <w:szCs w:val="20"/>
              </w:rPr>
            </w:pPr>
            <w:r w:rsidRPr="00DB2987">
              <w:rPr>
                <w:sz w:val="20"/>
                <w:szCs w:val="20"/>
              </w:rPr>
              <w:t>Ucrania</w:t>
            </w:r>
          </w:p>
        </w:tc>
      </w:tr>
      <w:tr w:rsidR="00DB2987" w:rsidRPr="00DB2987" w:rsidTr="00E37392">
        <w:tc>
          <w:tcPr>
            <w:tcW w:w="4814" w:type="dxa"/>
          </w:tcPr>
          <w:p w:rsidR="00DB4E87" w:rsidRPr="00DB2987" w:rsidRDefault="00DB4E87" w:rsidP="00801E9E">
            <w:pPr>
              <w:rPr>
                <w:sz w:val="20"/>
                <w:szCs w:val="20"/>
              </w:rPr>
            </w:pPr>
            <w:r w:rsidRPr="00DB2987">
              <w:rPr>
                <w:sz w:val="20"/>
                <w:szCs w:val="20"/>
              </w:rPr>
              <w:t xml:space="preserve">Israel </w:t>
            </w:r>
          </w:p>
        </w:tc>
        <w:tc>
          <w:tcPr>
            <w:tcW w:w="4815" w:type="dxa"/>
          </w:tcPr>
          <w:p w:rsidR="00DB4E87" w:rsidRPr="00DB2987" w:rsidRDefault="00DB4E87" w:rsidP="00801E9E">
            <w:pPr>
              <w:rPr>
                <w:sz w:val="20"/>
                <w:szCs w:val="20"/>
              </w:rPr>
            </w:pPr>
            <w:r w:rsidRPr="00DB2987">
              <w:rPr>
                <w:sz w:val="20"/>
                <w:szCs w:val="20"/>
              </w:rPr>
              <w:t>Unión Europea</w:t>
            </w:r>
          </w:p>
        </w:tc>
      </w:tr>
      <w:tr w:rsidR="00DB2987" w:rsidRPr="00DB2987" w:rsidTr="00E37392">
        <w:tc>
          <w:tcPr>
            <w:tcW w:w="4814" w:type="dxa"/>
          </w:tcPr>
          <w:p w:rsidR="00DB4E87" w:rsidRPr="00DB2987" w:rsidRDefault="00DB4E87" w:rsidP="00801E9E">
            <w:pPr>
              <w:rPr>
                <w:sz w:val="20"/>
                <w:szCs w:val="20"/>
              </w:rPr>
            </w:pPr>
            <w:r w:rsidRPr="00DB2987">
              <w:rPr>
                <w:sz w:val="20"/>
                <w:szCs w:val="20"/>
              </w:rPr>
              <w:t xml:space="preserve">Japón </w:t>
            </w:r>
          </w:p>
        </w:tc>
        <w:tc>
          <w:tcPr>
            <w:tcW w:w="4815" w:type="dxa"/>
          </w:tcPr>
          <w:p w:rsidR="00DB4E87" w:rsidRPr="00DB2987" w:rsidRDefault="00DB4E87" w:rsidP="00E37392">
            <w:pPr>
              <w:rPr>
                <w:sz w:val="20"/>
                <w:szCs w:val="20"/>
              </w:rPr>
            </w:pPr>
          </w:p>
        </w:tc>
      </w:tr>
    </w:tbl>
    <w:p w:rsidR="00AE66A3" w:rsidRPr="00DB2987" w:rsidRDefault="00AE66A3" w:rsidP="00AE66A3">
      <w:pPr>
        <w:rPr>
          <w:lang w:val="es-ES"/>
        </w:rPr>
      </w:pPr>
    </w:p>
    <w:p w:rsidR="00617BD3" w:rsidRPr="00DB2987" w:rsidRDefault="009B62A7" w:rsidP="00670CCB">
      <w:pPr>
        <w:rPr>
          <w:lang w:val="es-ES"/>
        </w:rPr>
      </w:pPr>
      <w:r w:rsidRPr="00DB2987">
        <w:rPr>
          <w:lang w:val="es-ES"/>
        </w:rPr>
        <w:fldChar w:fldCharType="begin"/>
      </w:r>
      <w:r w:rsidR="00AE66A3" w:rsidRPr="00DB2987">
        <w:rPr>
          <w:lang w:val="es-ES"/>
        </w:rPr>
        <w:instrText xml:space="preserve"> AUTONUM  </w:instrText>
      </w:r>
      <w:r w:rsidRPr="00DB2987">
        <w:rPr>
          <w:lang w:val="es-ES"/>
        </w:rPr>
        <w:fldChar w:fldCharType="end"/>
      </w:r>
      <w:r w:rsidR="00AE66A3" w:rsidRPr="00DB2987">
        <w:rPr>
          <w:lang w:val="es-ES"/>
        </w:rPr>
        <w:tab/>
      </w:r>
      <w:bookmarkEnd w:id="2"/>
      <w:bookmarkEnd w:id="3"/>
      <w:bookmarkEnd w:id="4"/>
      <w:bookmarkEnd w:id="5"/>
      <w:bookmarkEnd w:id="6"/>
      <w:r w:rsidR="000E6809" w:rsidRPr="00DB2987">
        <w:t>Los resultados de la encuesta se recogen en el Anexo I.</w:t>
      </w:r>
    </w:p>
    <w:p w:rsidR="00617BD3" w:rsidRPr="00DB2987" w:rsidRDefault="00617BD3" w:rsidP="00617BD3">
      <w:pPr>
        <w:rPr>
          <w:i/>
          <w:snapToGrid w:val="0"/>
          <w:lang w:val="es-ES" w:eastAsia="ja-JP"/>
        </w:rPr>
      </w:pPr>
    </w:p>
    <w:p w:rsidR="00617BD3" w:rsidRPr="00DB2987" w:rsidRDefault="009B62A7" w:rsidP="00617BD3">
      <w:pPr>
        <w:pStyle w:val="DecisionParagraphs"/>
      </w:pPr>
      <w:r w:rsidRPr="00DB2987">
        <w:fldChar w:fldCharType="begin"/>
      </w:r>
      <w:r w:rsidR="00617BD3" w:rsidRPr="00DB2987">
        <w:instrText xml:space="preserve"> AUTONUM  </w:instrText>
      </w:r>
      <w:r w:rsidRPr="00DB2987">
        <w:fldChar w:fldCharType="end"/>
      </w:r>
      <w:r w:rsidR="00617BD3" w:rsidRPr="00DB2987">
        <w:tab/>
        <w:t>Se invita al TC a:</w:t>
      </w:r>
    </w:p>
    <w:p w:rsidR="00617BD3" w:rsidRPr="00DB2987" w:rsidRDefault="00617BD3" w:rsidP="00617BD3">
      <w:pPr>
        <w:pStyle w:val="DecisionParagraphs"/>
      </w:pPr>
    </w:p>
    <w:p w:rsidR="00617BD3" w:rsidRPr="00DB2987" w:rsidRDefault="00617BD3" w:rsidP="00DE5DA0">
      <w:pPr>
        <w:pStyle w:val="DecisionParagraphs"/>
        <w:tabs>
          <w:tab w:val="clear" w:pos="5387"/>
          <w:tab w:val="left" w:pos="5954"/>
        </w:tabs>
        <w:ind w:firstLine="567"/>
      </w:pPr>
      <w:r w:rsidRPr="00DB2987">
        <w:t>a)</w:t>
      </w:r>
      <w:r w:rsidR="00DE5DA0">
        <w:tab/>
      </w:r>
      <w:r w:rsidRPr="00DB2987">
        <w:t>tomar nota de que el 16 de octubre de 2020</w:t>
      </w:r>
      <w:r w:rsidR="00AF0490" w:rsidRPr="00DB2987">
        <w:t xml:space="preserve">, </w:t>
      </w:r>
      <w:r w:rsidRPr="00DB2987">
        <w:t>la Oficina de la Unión ha enviado la Circular E-20/189 en la que invita a los miembros a responder una encuesta sobre la utilización de técnicas basadas en marcadores moleculares</w:t>
      </w:r>
      <w:r w:rsidR="00AF0490" w:rsidRPr="00DB2987">
        <w:t xml:space="preserve">, </w:t>
      </w:r>
      <w:r w:rsidRPr="00DB2987">
        <w:t xml:space="preserve">antes del 15 de diciembre de 2020. </w:t>
      </w:r>
    </w:p>
    <w:p w:rsidR="00617BD3" w:rsidRPr="00DB2987" w:rsidRDefault="00617BD3" w:rsidP="00617BD3">
      <w:pPr>
        <w:pStyle w:val="DecisionParagraphs"/>
      </w:pPr>
    </w:p>
    <w:p w:rsidR="00617BD3" w:rsidRPr="00DB2987" w:rsidRDefault="000E6809" w:rsidP="00DE5DA0">
      <w:pPr>
        <w:pStyle w:val="DecisionParagraphs"/>
        <w:tabs>
          <w:tab w:val="clear" w:pos="5387"/>
          <w:tab w:val="left" w:pos="5954"/>
        </w:tabs>
        <w:ind w:firstLine="567"/>
        <w:rPr>
          <w:lang w:val="es-ES"/>
        </w:rPr>
      </w:pPr>
      <w:r w:rsidRPr="00DB2987">
        <w:t>b)</w:t>
      </w:r>
      <w:r w:rsidR="00617BD3" w:rsidRPr="00DB2987">
        <w:rPr>
          <w:lang w:val="es-ES"/>
        </w:rPr>
        <w:tab/>
      </w:r>
      <w:r w:rsidRPr="00DB2987">
        <w:t>tomar nota de los resultados de la encuesta sobre el uso de técnicas basadas en marcadores moleculares</w:t>
      </w:r>
      <w:r w:rsidR="00AF0490" w:rsidRPr="00DB2987">
        <w:t xml:space="preserve">, </w:t>
      </w:r>
      <w:r w:rsidRPr="00DB2987">
        <w:t>por miembros y por cultivos</w:t>
      </w:r>
      <w:r w:rsidR="00AF0490" w:rsidRPr="00DB2987">
        <w:t xml:space="preserve">, </w:t>
      </w:r>
      <w:r w:rsidRPr="00DB2987">
        <w:t>que se recogen en el Anexo I del presente documento; y</w:t>
      </w:r>
    </w:p>
    <w:p w:rsidR="00617BD3" w:rsidRPr="00DB2987" w:rsidRDefault="00617BD3" w:rsidP="00617BD3">
      <w:pPr>
        <w:pStyle w:val="DecisionParagraphs"/>
        <w:rPr>
          <w:lang w:val="es-ES"/>
        </w:rPr>
      </w:pPr>
    </w:p>
    <w:p w:rsidR="00617BD3" w:rsidRPr="00DB2987" w:rsidRDefault="00DC56CD" w:rsidP="00DE5DA0">
      <w:pPr>
        <w:pStyle w:val="DecisionParagraphs"/>
        <w:tabs>
          <w:tab w:val="clear" w:pos="5387"/>
          <w:tab w:val="left" w:pos="5954"/>
        </w:tabs>
        <w:ind w:firstLine="567"/>
        <w:rPr>
          <w:lang w:val="es-ES"/>
        </w:rPr>
      </w:pPr>
      <w:r w:rsidRPr="00DB2987">
        <w:t>c)</w:t>
      </w:r>
      <w:r w:rsidR="00617BD3" w:rsidRPr="00DB2987">
        <w:rPr>
          <w:lang w:val="es-ES"/>
        </w:rPr>
        <w:tab/>
      </w:r>
      <w:r w:rsidRPr="00DB2987">
        <w:t xml:space="preserve">solicitar a la Oficina de la Unión que comunique a la OCDE los resultados de la encuesta y </w:t>
      </w:r>
      <w:r w:rsidR="00524487" w:rsidRPr="00DB2987">
        <w:t>le informe de las novedades que se produzcan en la quincuagésima octava</w:t>
      </w:r>
      <w:r w:rsidRPr="00DB2987">
        <w:t xml:space="preserve"> sesión del TC.</w:t>
      </w:r>
    </w:p>
    <w:p w:rsidR="00617BD3" w:rsidRPr="00DB2987" w:rsidRDefault="00617BD3" w:rsidP="00617BD3">
      <w:pPr>
        <w:tabs>
          <w:tab w:val="left" w:pos="5387"/>
          <w:tab w:val="left" w:pos="5954"/>
        </w:tabs>
        <w:ind w:left="4820"/>
        <w:rPr>
          <w:i/>
          <w:lang w:val="es-ES"/>
        </w:rPr>
      </w:pPr>
    </w:p>
    <w:p w:rsidR="00617BD3" w:rsidRPr="00DB2987" w:rsidRDefault="00617BD3" w:rsidP="00617BD3">
      <w:pPr>
        <w:tabs>
          <w:tab w:val="left" w:pos="5387"/>
          <w:tab w:val="left" w:pos="5954"/>
        </w:tabs>
        <w:ind w:left="4820"/>
        <w:rPr>
          <w:rFonts w:eastAsiaTheme="minorEastAsia"/>
          <w:lang w:val="es-ES"/>
        </w:rPr>
      </w:pPr>
    </w:p>
    <w:p w:rsidR="00617BD3" w:rsidRPr="00DB2987" w:rsidRDefault="00617BD3" w:rsidP="00617BD3">
      <w:pPr>
        <w:pStyle w:val="Heading2"/>
        <w:rPr>
          <w:rFonts w:eastAsiaTheme="minorEastAsia"/>
          <w:lang w:val="es-ES"/>
        </w:rPr>
      </w:pPr>
      <w:bookmarkStart w:id="16" w:name="_Toc75351575"/>
      <w:r w:rsidRPr="00DB2987">
        <w:rPr>
          <w:rFonts w:eastAsiaTheme="minorEastAsia"/>
          <w:lang w:val="es-ES_tradnl"/>
        </w:rPr>
        <w:t>Documento conjunto en el que se expliquen las características principales de los sistemas de la OCDE</w:t>
      </w:r>
      <w:r w:rsidR="00AF0490" w:rsidRPr="00DB2987">
        <w:rPr>
          <w:rFonts w:eastAsiaTheme="minorEastAsia"/>
          <w:lang w:val="es-ES_tradnl"/>
        </w:rPr>
        <w:t xml:space="preserve">, </w:t>
      </w:r>
      <w:r w:rsidRPr="00DB2987">
        <w:rPr>
          <w:rFonts w:eastAsiaTheme="minorEastAsia"/>
          <w:lang w:val="es-ES_tradnl"/>
        </w:rPr>
        <w:t>la UPOV y la ISTA</w:t>
      </w:r>
      <w:bookmarkEnd w:id="16"/>
    </w:p>
    <w:p w:rsidR="00617BD3" w:rsidRPr="00DB2987" w:rsidRDefault="00617BD3" w:rsidP="00617BD3">
      <w:bookmarkStart w:id="17" w:name="_Toc22569703"/>
    </w:p>
    <w:p w:rsidR="00617BD3" w:rsidRPr="00DB2987" w:rsidRDefault="00617BD3" w:rsidP="00617BD3">
      <w:pPr>
        <w:pStyle w:val="Heading3"/>
        <w:rPr>
          <w:lang w:val="es-ES"/>
        </w:rPr>
      </w:pPr>
      <w:bookmarkStart w:id="18" w:name="_Toc75351576"/>
      <w:r w:rsidRPr="00DB2987">
        <w:rPr>
          <w:lang w:val="es-ES_tradnl"/>
        </w:rPr>
        <w:t>Antecedentes</w:t>
      </w:r>
      <w:bookmarkEnd w:id="18"/>
    </w:p>
    <w:p w:rsidR="00617BD3" w:rsidRPr="00DB2987" w:rsidRDefault="00617BD3" w:rsidP="00617BD3"/>
    <w:p w:rsidR="00617BD3" w:rsidRPr="00DB2987" w:rsidRDefault="009B62A7" w:rsidP="00617BD3">
      <w:pPr>
        <w:keepNext/>
        <w:rPr>
          <w:rFonts w:eastAsiaTheme="minorEastAsia"/>
          <w:iCs/>
        </w:rPr>
      </w:pPr>
      <w:r w:rsidRPr="00DB2987">
        <w:rPr>
          <w:rFonts w:eastAsiaTheme="minorEastAsia"/>
        </w:rPr>
        <w:fldChar w:fldCharType="begin"/>
      </w:r>
      <w:r w:rsidR="00617BD3" w:rsidRPr="00DB2987">
        <w:rPr>
          <w:rFonts w:eastAsiaTheme="minorEastAsia"/>
        </w:rPr>
        <w:instrText xml:space="preserve"> AUTONUM  </w:instrText>
      </w:r>
      <w:r w:rsidRPr="00DB2987">
        <w:rPr>
          <w:rFonts w:eastAsiaTheme="minorEastAsia"/>
        </w:rPr>
        <w:fldChar w:fldCharType="end"/>
      </w:r>
      <w:r w:rsidR="00617BD3" w:rsidRPr="00DB2987">
        <w:rPr>
          <w:rFonts w:eastAsiaTheme="minorEastAsia"/>
        </w:rPr>
        <w:tab/>
        <w:t>En su quincuagésima quinta sesión</w:t>
      </w:r>
      <w:r w:rsidR="00AF0490" w:rsidRPr="00DB2987">
        <w:rPr>
          <w:rFonts w:eastAsiaTheme="minorEastAsia"/>
        </w:rPr>
        <w:t xml:space="preserve">, </w:t>
      </w:r>
      <w:r w:rsidR="00617BD3" w:rsidRPr="00DB2987">
        <w:rPr>
          <w:rFonts w:eastAsiaTheme="minorEastAsia"/>
        </w:rPr>
        <w:t>el TC convino con el BMT</w:t>
      </w:r>
      <w:r w:rsidR="00AF0490" w:rsidRPr="00DB2987">
        <w:rPr>
          <w:rFonts w:eastAsiaTheme="minorEastAsia"/>
        </w:rPr>
        <w:t xml:space="preserve">, </w:t>
      </w:r>
      <w:r w:rsidR="00617BD3" w:rsidRPr="00DB2987">
        <w:rPr>
          <w:rFonts w:eastAsiaTheme="minorEastAsia"/>
        </w:rPr>
        <w:t>en su decimoctava sesión</w:t>
      </w:r>
      <w:r w:rsidR="00AF0490" w:rsidRPr="00DB2987">
        <w:rPr>
          <w:rFonts w:eastAsiaTheme="minorEastAsia"/>
        </w:rPr>
        <w:t xml:space="preserve">, </w:t>
      </w:r>
      <w:r w:rsidR="00617BD3" w:rsidRPr="00DB2987">
        <w:rPr>
          <w:rFonts w:eastAsiaTheme="minorEastAsia"/>
        </w:rPr>
        <w:t>que los elementos pertinentes del Proyecto Mundial de Semillas y las preguntas frecuentes sobre la utilización de técnicas moleculares en el examen DHE constituyen una base adecuada para que la Oficina de la Unión elabore</w:t>
      </w:r>
      <w:r w:rsidR="00AF0490" w:rsidRPr="00DB2987">
        <w:rPr>
          <w:rFonts w:eastAsiaTheme="minorEastAsia"/>
        </w:rPr>
        <w:t xml:space="preserve">, </w:t>
      </w:r>
      <w:r w:rsidR="00617BD3" w:rsidRPr="00DB2987">
        <w:rPr>
          <w:rFonts w:eastAsiaTheme="minorEastAsia"/>
        </w:rPr>
        <w:t>previa consulta con la OCDE</w:t>
      </w:r>
      <w:r w:rsidR="00AF0490" w:rsidRPr="00DB2987">
        <w:rPr>
          <w:rFonts w:eastAsiaTheme="minorEastAsia"/>
        </w:rPr>
        <w:t xml:space="preserve">, </w:t>
      </w:r>
      <w:r w:rsidR="00617BD3" w:rsidRPr="00DB2987">
        <w:rPr>
          <w:rFonts w:eastAsiaTheme="minorEastAsia"/>
        </w:rPr>
        <w:t>un proyecto de documento conjunto en el que se expliquen las características principales de los sistemas de la OCDE</w:t>
      </w:r>
      <w:r w:rsidR="00AF0490" w:rsidRPr="00DB2987">
        <w:rPr>
          <w:rFonts w:eastAsiaTheme="minorEastAsia"/>
        </w:rPr>
        <w:t xml:space="preserve">, </w:t>
      </w:r>
      <w:r w:rsidR="00617BD3" w:rsidRPr="00DB2987">
        <w:rPr>
          <w:rFonts w:eastAsiaTheme="minorEastAsia"/>
        </w:rPr>
        <w:t>la UPOV y la ISTA (véase el párrafo</w:t>
      </w:r>
      <w:r w:rsidR="00AF0490" w:rsidRPr="00DB2987">
        <w:rPr>
          <w:rFonts w:eastAsiaTheme="minorEastAsia"/>
        </w:rPr>
        <w:t> 1</w:t>
      </w:r>
      <w:r w:rsidR="00617BD3" w:rsidRPr="00DB2987">
        <w:rPr>
          <w:rFonts w:eastAsiaTheme="minorEastAsia"/>
        </w:rPr>
        <w:t>82 del documento TC/55/25</w:t>
      </w:r>
      <w:r w:rsidR="00AF0490" w:rsidRPr="00DB2987">
        <w:rPr>
          <w:rFonts w:eastAsiaTheme="minorEastAsia"/>
        </w:rPr>
        <w:t xml:space="preserve">, </w:t>
      </w:r>
      <w:r w:rsidR="00617BD3" w:rsidRPr="00DB2987">
        <w:rPr>
          <w:rFonts w:eastAsiaTheme="minorEastAsia"/>
        </w:rPr>
        <w:t>“Informe”).</w:t>
      </w:r>
    </w:p>
    <w:p w:rsidR="00617BD3" w:rsidRPr="00DB2987" w:rsidRDefault="00617BD3" w:rsidP="00617BD3">
      <w:pPr>
        <w:rPr>
          <w:rFonts w:eastAsiaTheme="minorEastAsia"/>
        </w:rPr>
      </w:pPr>
    </w:p>
    <w:p w:rsidR="00617BD3" w:rsidRPr="00DB2987" w:rsidRDefault="00617BD3" w:rsidP="00617BD3">
      <w:pPr>
        <w:rPr>
          <w:rFonts w:eastAsiaTheme="minorEastAsia"/>
        </w:rPr>
      </w:pPr>
    </w:p>
    <w:p w:rsidR="00617BD3" w:rsidRPr="00DB2987" w:rsidRDefault="00617BD3" w:rsidP="00617BD3">
      <w:pPr>
        <w:keepNext/>
        <w:outlineLvl w:val="2"/>
        <w:rPr>
          <w:rFonts w:eastAsiaTheme="minorEastAsia"/>
          <w:i/>
          <w:lang w:val="es-ES"/>
        </w:rPr>
      </w:pPr>
      <w:bookmarkStart w:id="19" w:name="_Toc75351577"/>
      <w:r w:rsidRPr="00DB2987">
        <w:rPr>
          <w:rFonts w:eastAsiaTheme="minorEastAsia"/>
          <w:i/>
        </w:rPr>
        <w:t>Proyecto de documento conjunto</w:t>
      </w:r>
      <w:bookmarkEnd w:id="19"/>
    </w:p>
    <w:p w:rsidR="00617BD3" w:rsidRPr="00DB2987" w:rsidRDefault="00617BD3" w:rsidP="00617BD3">
      <w:pPr>
        <w:keepNext/>
        <w:rPr>
          <w:rFonts w:eastAsiaTheme="minorEastAsia"/>
          <w:lang w:val="es-ES"/>
        </w:rPr>
      </w:pPr>
    </w:p>
    <w:p w:rsidR="00617BD3" w:rsidRPr="00DB2987" w:rsidRDefault="009B62A7" w:rsidP="00670CCB">
      <w:pPr>
        <w:keepNext/>
        <w:rPr>
          <w:lang w:val="es-ES"/>
        </w:rPr>
      </w:pPr>
      <w:r w:rsidRPr="00DB2987">
        <w:rPr>
          <w:rFonts w:eastAsiaTheme="minorEastAsia"/>
        </w:rPr>
        <w:fldChar w:fldCharType="begin"/>
      </w:r>
      <w:r w:rsidR="00617BD3" w:rsidRPr="00DB2987">
        <w:rPr>
          <w:rFonts w:eastAsiaTheme="minorEastAsia"/>
          <w:lang w:val="es-ES"/>
        </w:rPr>
        <w:instrText xml:space="preserve"> AUTONUM  </w:instrText>
      </w:r>
      <w:r w:rsidRPr="00DB2987">
        <w:rPr>
          <w:rFonts w:eastAsiaTheme="minorEastAsia"/>
        </w:rPr>
        <w:fldChar w:fldCharType="end"/>
      </w:r>
      <w:r w:rsidR="00617BD3" w:rsidRPr="00DB2987">
        <w:rPr>
          <w:rFonts w:eastAsiaTheme="minorEastAsia"/>
          <w:lang w:val="es-ES"/>
        </w:rPr>
        <w:tab/>
      </w:r>
      <w:r w:rsidR="0001226D" w:rsidRPr="00DB2987">
        <w:t>En su quincuagésima sexta sesión</w:t>
      </w:r>
      <w:r w:rsidR="00AF0490" w:rsidRPr="00DB2987">
        <w:t xml:space="preserve">, </w:t>
      </w:r>
      <w:r w:rsidR="0068162A" w:rsidRPr="00DB2987">
        <w:t>el </w:t>
      </w:r>
      <w:r w:rsidR="0001226D" w:rsidRPr="00DB2987">
        <w:t>TC tomó nota de las novedades relativas a un documento conjunto en el que se expliquen las características principales de los sistemas de la OCDE</w:t>
      </w:r>
      <w:r w:rsidR="00AF0490" w:rsidRPr="00DB2987">
        <w:t xml:space="preserve">, </w:t>
      </w:r>
      <w:r w:rsidR="0001226D" w:rsidRPr="00DB2987">
        <w:t>la UPOV y la ISTA</w:t>
      </w:r>
      <w:r w:rsidR="00AF0490" w:rsidRPr="00DB2987">
        <w:t xml:space="preserve">, </w:t>
      </w:r>
      <w:r w:rsidR="0001226D" w:rsidRPr="00DB2987">
        <w:t>con miras a proponer un proyecto del mencionado documento conjunto que se someterá al examen de este Comité en su quincuagésima séptima sesión (véanse los párrafos</w:t>
      </w:r>
      <w:r w:rsidR="00AF0490" w:rsidRPr="00DB2987">
        <w:t> 5</w:t>
      </w:r>
      <w:r w:rsidR="0001226D" w:rsidRPr="00DB2987">
        <w:t>0 y</w:t>
      </w:r>
      <w:r w:rsidR="00AF0490" w:rsidRPr="00DB2987">
        <w:t> 5</w:t>
      </w:r>
      <w:r w:rsidR="0001226D" w:rsidRPr="00DB2987">
        <w:t>1 del documento TC/56/23 “Informe”).</w:t>
      </w:r>
    </w:p>
    <w:p w:rsidR="00617BD3" w:rsidRPr="00DB2987" w:rsidRDefault="00617BD3" w:rsidP="00617BD3">
      <w:pPr>
        <w:rPr>
          <w:lang w:val="es-ES"/>
        </w:rPr>
      </w:pPr>
    </w:p>
    <w:p w:rsidR="00617BD3" w:rsidRPr="00DB2987" w:rsidRDefault="009B62A7" w:rsidP="00670CCB">
      <w:pPr>
        <w:rPr>
          <w:lang w:val="es-ES"/>
        </w:rPr>
      </w:pPr>
      <w:r w:rsidRPr="00DB2987">
        <w:fldChar w:fldCharType="begin"/>
      </w:r>
      <w:r w:rsidR="00617BD3" w:rsidRPr="00DB2987">
        <w:rPr>
          <w:lang w:val="es-ES"/>
        </w:rPr>
        <w:instrText xml:space="preserve"> AUTONUM  </w:instrText>
      </w:r>
      <w:r w:rsidRPr="00DB2987">
        <w:fldChar w:fldCharType="end"/>
      </w:r>
      <w:r w:rsidR="00617BD3" w:rsidRPr="00DB2987">
        <w:rPr>
          <w:lang w:val="es-ES"/>
        </w:rPr>
        <w:tab/>
      </w:r>
      <w:r w:rsidR="000C7D8B" w:rsidRPr="00DB2987">
        <w:t>El TC tomó nota de que en el documento conjunto se ofrecer</w:t>
      </w:r>
      <w:r w:rsidR="00754D6E" w:rsidRPr="00DB2987">
        <w:t>ía</w:t>
      </w:r>
      <w:r w:rsidR="000C7D8B" w:rsidRPr="00DB2987">
        <w:t xml:space="preserve"> información sobre la situación de las técnicas moleculares a los fines de cada organización.</w:t>
      </w:r>
      <w:r w:rsidR="00ED6E82" w:rsidRPr="00DB2987">
        <w:rPr>
          <w:lang w:val="es-ES"/>
        </w:rPr>
        <w:t xml:space="preserve"> </w:t>
      </w:r>
      <w:r w:rsidR="000C7D8B" w:rsidRPr="00DB2987">
        <w:t>El TC recordó que la</w:t>
      </w:r>
      <w:r w:rsidR="00D36F76" w:rsidRPr="00DB2987">
        <w:t> </w:t>
      </w:r>
      <w:r w:rsidR="000C7D8B" w:rsidRPr="00DB2987">
        <w:t>UPOV ofrece orientaciones para la utilización armonizada de las técnicas moleculares en los documentos UPOV/INF/17</w:t>
      </w:r>
      <w:r w:rsidR="00AF0490" w:rsidRPr="00DB2987">
        <w:t xml:space="preserve">, </w:t>
      </w:r>
      <w:r w:rsidR="000C7D8B" w:rsidRPr="00DB2987">
        <w:t>TGP/15 y en las directrices de examen.</w:t>
      </w:r>
    </w:p>
    <w:p w:rsidR="00617BD3" w:rsidRPr="00DB2987" w:rsidRDefault="00617BD3" w:rsidP="00617BD3">
      <w:pPr>
        <w:rPr>
          <w:rFonts w:eastAsiaTheme="minorEastAsia"/>
          <w:lang w:val="es-ES"/>
        </w:rPr>
      </w:pPr>
    </w:p>
    <w:p w:rsidR="00617BD3" w:rsidRPr="00DB2987" w:rsidRDefault="009B62A7" w:rsidP="00670CCB">
      <w:pPr>
        <w:rPr>
          <w:rFonts w:eastAsiaTheme="minorEastAsia"/>
          <w:lang w:val="es-ES"/>
        </w:rPr>
      </w:pPr>
      <w:r w:rsidRPr="00DB2987">
        <w:rPr>
          <w:rFonts w:eastAsiaTheme="minorEastAsia"/>
        </w:rPr>
        <w:fldChar w:fldCharType="begin"/>
      </w:r>
      <w:r w:rsidR="00617BD3" w:rsidRPr="00DB2987">
        <w:rPr>
          <w:rFonts w:eastAsiaTheme="minorEastAsia"/>
          <w:lang w:val="es-ES"/>
        </w:rPr>
        <w:instrText xml:space="preserve"> AUTONUM  </w:instrText>
      </w:r>
      <w:r w:rsidRPr="00DB2987">
        <w:rPr>
          <w:rFonts w:eastAsiaTheme="minorEastAsia"/>
        </w:rPr>
        <w:fldChar w:fldCharType="end"/>
      </w:r>
      <w:r w:rsidR="00617BD3" w:rsidRPr="00DB2987">
        <w:rPr>
          <w:rFonts w:eastAsiaTheme="minorEastAsia"/>
          <w:lang w:val="es-ES"/>
        </w:rPr>
        <w:tab/>
      </w:r>
      <w:r w:rsidR="00D36F76" w:rsidRPr="00DB2987">
        <w:rPr>
          <w:rFonts w:eastAsiaTheme="minorEastAsia"/>
        </w:rPr>
        <w:t>En el Anexo II del presente documento se recogen los elementos del proyecto de documento conjunto.</w:t>
      </w:r>
    </w:p>
    <w:p w:rsidR="00617BD3" w:rsidRPr="00DB2987" w:rsidRDefault="00617BD3" w:rsidP="00617BD3">
      <w:pPr>
        <w:rPr>
          <w:rFonts w:eastAsiaTheme="minorEastAsia"/>
          <w:lang w:val="es-ES"/>
        </w:rPr>
      </w:pPr>
    </w:p>
    <w:p w:rsidR="00617BD3" w:rsidRPr="00DB2987" w:rsidRDefault="009B62A7" w:rsidP="00617BD3">
      <w:pPr>
        <w:pStyle w:val="DecisionParagraphs"/>
      </w:pPr>
      <w:r w:rsidRPr="00DB2987">
        <w:fldChar w:fldCharType="begin"/>
      </w:r>
      <w:r w:rsidR="00617BD3" w:rsidRPr="00DB2987">
        <w:instrText xml:space="preserve"> AUTONUM  </w:instrText>
      </w:r>
      <w:r w:rsidRPr="00DB2987">
        <w:fldChar w:fldCharType="end"/>
      </w:r>
      <w:r w:rsidR="00617BD3" w:rsidRPr="00DB2987">
        <w:tab/>
        <w:t>Se invita al TC a:</w:t>
      </w:r>
    </w:p>
    <w:p w:rsidR="00617BD3" w:rsidRPr="00DB2987" w:rsidRDefault="00617BD3" w:rsidP="00617BD3">
      <w:pPr>
        <w:pStyle w:val="DecisionParagraphs"/>
      </w:pPr>
    </w:p>
    <w:bookmarkEnd w:id="17"/>
    <w:p w:rsidR="00617BD3" w:rsidRPr="00DB2987" w:rsidRDefault="00E54D6B" w:rsidP="00DE5DA0">
      <w:pPr>
        <w:tabs>
          <w:tab w:val="left" w:pos="5954"/>
        </w:tabs>
        <w:ind w:left="4820" w:firstLine="567"/>
        <w:rPr>
          <w:i/>
          <w:lang w:val="es-ES"/>
        </w:rPr>
      </w:pPr>
      <w:r w:rsidRPr="00DB2987">
        <w:rPr>
          <w:i/>
        </w:rPr>
        <w:t>a)</w:t>
      </w:r>
      <w:r w:rsidR="00617BD3" w:rsidRPr="00DB2987">
        <w:rPr>
          <w:i/>
          <w:lang w:val="es-ES"/>
        </w:rPr>
        <w:tab/>
      </w:r>
      <w:r w:rsidRPr="00DB2987">
        <w:rPr>
          <w:i/>
        </w:rPr>
        <w:t>aprobar el proyecto de documento conjunto en el que se expliquen las características principales de los sistemas de la OCDE</w:t>
      </w:r>
      <w:r w:rsidR="00AF0490" w:rsidRPr="00DB2987">
        <w:rPr>
          <w:i/>
        </w:rPr>
        <w:t xml:space="preserve">, </w:t>
      </w:r>
      <w:r w:rsidRPr="00DB2987">
        <w:rPr>
          <w:i/>
        </w:rPr>
        <w:t>la UPOV y la ISTA; y</w:t>
      </w:r>
    </w:p>
    <w:p w:rsidR="00617BD3" w:rsidRPr="00DB2987" w:rsidRDefault="00617BD3" w:rsidP="00617BD3">
      <w:pPr>
        <w:tabs>
          <w:tab w:val="left" w:pos="5387"/>
        </w:tabs>
        <w:ind w:left="4820"/>
        <w:rPr>
          <w:i/>
          <w:lang w:val="es-ES"/>
        </w:rPr>
      </w:pPr>
      <w:r w:rsidRPr="00DB2987">
        <w:rPr>
          <w:i/>
          <w:lang w:val="es-ES"/>
        </w:rPr>
        <w:t xml:space="preserve"> </w:t>
      </w:r>
    </w:p>
    <w:p w:rsidR="00617BD3" w:rsidRPr="00DB2987" w:rsidRDefault="00617BD3" w:rsidP="00DE5DA0">
      <w:pPr>
        <w:tabs>
          <w:tab w:val="left" w:pos="5954"/>
        </w:tabs>
        <w:ind w:left="4820" w:firstLine="567"/>
        <w:rPr>
          <w:i/>
          <w:lang w:val="es-ES"/>
        </w:rPr>
      </w:pPr>
      <w:r w:rsidRPr="00DB2987">
        <w:rPr>
          <w:i/>
          <w:lang w:val="es-ES"/>
        </w:rPr>
        <w:t>b)</w:t>
      </w:r>
      <w:r w:rsidRPr="00DB2987">
        <w:rPr>
          <w:i/>
          <w:lang w:val="es-ES"/>
        </w:rPr>
        <w:tab/>
      </w:r>
      <w:bookmarkStart w:id="20" w:name="_GoBack"/>
      <w:bookmarkEnd w:id="20"/>
      <w:r w:rsidR="00F828C4" w:rsidRPr="00DB2987">
        <w:rPr>
          <w:i/>
        </w:rPr>
        <w:t>a reserva de la aprobación del proyecto mencionado en el punto a)</w:t>
      </w:r>
      <w:r w:rsidR="00AF0490" w:rsidRPr="00DB2987">
        <w:rPr>
          <w:i/>
        </w:rPr>
        <w:t xml:space="preserve">, </w:t>
      </w:r>
      <w:r w:rsidR="00F828C4" w:rsidRPr="00DB2987">
        <w:rPr>
          <w:i/>
        </w:rPr>
        <w:t>informar en consecuencia a la OCDE y a la ISTA.</w:t>
      </w:r>
    </w:p>
    <w:p w:rsidR="00617BD3" w:rsidRPr="00DB2987" w:rsidRDefault="00617BD3" w:rsidP="00617BD3">
      <w:pPr>
        <w:pStyle w:val="DecisionParagraphs"/>
        <w:rPr>
          <w:lang w:val="es-ES"/>
        </w:rPr>
      </w:pPr>
    </w:p>
    <w:p w:rsidR="00617BD3" w:rsidRPr="00DB2987" w:rsidRDefault="00617BD3" w:rsidP="00617BD3">
      <w:pPr>
        <w:pStyle w:val="DecisionParagraphs"/>
        <w:rPr>
          <w:lang w:val="es-ES"/>
        </w:rPr>
      </w:pPr>
    </w:p>
    <w:p w:rsidR="00617BD3" w:rsidRPr="00DB2987" w:rsidRDefault="00617BD3" w:rsidP="00617BD3">
      <w:pPr>
        <w:pStyle w:val="DecisionParagraphs"/>
        <w:rPr>
          <w:lang w:val="es-ES"/>
        </w:rPr>
      </w:pPr>
    </w:p>
    <w:p w:rsidR="00AE66A3" w:rsidRPr="00DB2987" w:rsidRDefault="00617BD3" w:rsidP="00E37392">
      <w:pPr>
        <w:jc w:val="right"/>
        <w:rPr>
          <w:lang w:val="es-ES"/>
        </w:rPr>
      </w:pPr>
      <w:r w:rsidRPr="00DB2987">
        <w:t>[</w:t>
      </w:r>
      <w:r w:rsidR="007B41F1" w:rsidRPr="00DB2987">
        <w:t>Siguen los Anexos</w:t>
      </w:r>
      <w:r w:rsidRPr="00DB2987">
        <w:t>]</w:t>
      </w:r>
      <w:bookmarkEnd w:id="7"/>
      <w:bookmarkEnd w:id="8"/>
      <w:bookmarkEnd w:id="9"/>
      <w:bookmarkEnd w:id="10"/>
    </w:p>
    <w:p w:rsidR="00AE66A3" w:rsidRPr="00DB2987" w:rsidRDefault="00AE66A3" w:rsidP="00AE66A3">
      <w:pPr>
        <w:rPr>
          <w:lang w:val="es-ES"/>
        </w:rPr>
      </w:pPr>
    </w:p>
    <w:p w:rsidR="00AE66A3" w:rsidRPr="00DB2987" w:rsidRDefault="00AE66A3" w:rsidP="00AE66A3">
      <w:pPr>
        <w:jc w:val="left"/>
        <w:rPr>
          <w:lang w:val="es-ES"/>
        </w:rPr>
        <w:sectPr w:rsidR="00AE66A3" w:rsidRPr="00DB2987" w:rsidSect="00617BD3">
          <w:headerReference w:type="default" r:id="rId8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AE66A3" w:rsidRPr="00DB2987" w:rsidRDefault="00AE66A3" w:rsidP="00AE66A3">
      <w:pPr>
        <w:rPr>
          <w:lang w:val="es-ES"/>
        </w:rPr>
      </w:pPr>
    </w:p>
    <w:p w:rsidR="00AE66A3" w:rsidRPr="00DB2987" w:rsidRDefault="00617BD3" w:rsidP="00AE66A3">
      <w:pPr>
        <w:jc w:val="center"/>
        <w:rPr>
          <w:u w:val="single"/>
          <w:lang w:val="es-ES"/>
        </w:rPr>
      </w:pPr>
      <w:r w:rsidRPr="00DB2987">
        <w:rPr>
          <w:u w:val="single"/>
        </w:rPr>
        <w:t>ENCUESTA SOBRE LA UTILIZACIÓN DE TÉCNICAS BASADAS EN MARCADORES MOLECULARES</w:t>
      </w:r>
      <w:r w:rsidR="00AF0490" w:rsidRPr="00DB2987">
        <w:rPr>
          <w:u w:val="single"/>
        </w:rPr>
        <w:t xml:space="preserve">, </w:t>
      </w:r>
      <w:r w:rsidRPr="00DB2987">
        <w:rPr>
          <w:u w:val="single"/>
        </w:rPr>
        <w:t>POR CULTIVOS</w:t>
      </w:r>
    </w:p>
    <w:p w:rsidR="00AE66A3" w:rsidRPr="00DB2987" w:rsidRDefault="00AE66A3" w:rsidP="00AE66A3">
      <w:pPr>
        <w:rPr>
          <w:lang w:val="es-ES"/>
        </w:rPr>
      </w:pPr>
    </w:p>
    <w:p w:rsidR="00AE66A3" w:rsidRPr="00DB2987" w:rsidRDefault="00AE66A3" w:rsidP="00AE66A3">
      <w:pPr>
        <w:rPr>
          <w:rFonts w:eastAsia="Cambria"/>
          <w:lang w:val="es-ES"/>
        </w:rPr>
      </w:pPr>
    </w:p>
    <w:p w:rsidR="00AE66A3" w:rsidRPr="00DB2987" w:rsidRDefault="00AE66A3" w:rsidP="00AE66A3">
      <w:pPr>
        <w:rPr>
          <w:snapToGrid w:val="0"/>
          <w:lang w:val="es-ES"/>
        </w:rPr>
      </w:pPr>
    </w:p>
    <w:p w:rsidR="00AE66A3" w:rsidRPr="00DB2987" w:rsidRDefault="00AE66A3" w:rsidP="00AE66A3">
      <w:pPr>
        <w:rPr>
          <w:snapToGrid w:val="0"/>
          <w:lang w:val="es-ES"/>
        </w:rPr>
      </w:pPr>
    </w:p>
    <w:p w:rsidR="00AE66A3" w:rsidRPr="00DB2987" w:rsidRDefault="00F828C4" w:rsidP="00670CCB">
      <w:pPr>
        <w:jc w:val="center"/>
        <w:rPr>
          <w:rFonts w:cs="Arial"/>
          <w:i/>
          <w:lang w:val="es-ES"/>
        </w:rPr>
      </w:pPr>
      <w:r w:rsidRPr="00DB2987">
        <w:rPr>
          <w:rFonts w:cs="Arial"/>
          <w:i/>
        </w:rPr>
        <w:t>Las respuestas recibidas figuran en la hoja de cálculo de Excel.</w:t>
      </w:r>
    </w:p>
    <w:p w:rsidR="00AE66A3" w:rsidRPr="00DB2987" w:rsidRDefault="00AE66A3" w:rsidP="00AE66A3">
      <w:pPr>
        <w:rPr>
          <w:lang w:val="es-ES"/>
        </w:rPr>
      </w:pPr>
    </w:p>
    <w:p w:rsidR="00AE66A3" w:rsidRPr="00DB2987" w:rsidRDefault="00AE66A3" w:rsidP="00AE66A3">
      <w:pPr>
        <w:rPr>
          <w:u w:val="single"/>
          <w:lang w:val="es-ES"/>
        </w:rPr>
      </w:pPr>
    </w:p>
    <w:p w:rsidR="00AE66A3" w:rsidRPr="00DB2987" w:rsidRDefault="00AE66A3" w:rsidP="00AE66A3">
      <w:pPr>
        <w:rPr>
          <w:u w:val="single"/>
          <w:lang w:val="es-ES"/>
        </w:rPr>
      </w:pPr>
    </w:p>
    <w:p w:rsidR="00AE66A3" w:rsidRPr="00DB2987" w:rsidRDefault="00AE66A3" w:rsidP="00AE66A3">
      <w:pPr>
        <w:pStyle w:val="DecisionParagraphs"/>
        <w:jc w:val="right"/>
        <w:rPr>
          <w:i w:val="0"/>
          <w:lang w:val="es-ES"/>
        </w:rPr>
      </w:pPr>
      <w:r w:rsidRPr="00DB2987">
        <w:rPr>
          <w:i w:val="0"/>
          <w:lang w:val="es-ES"/>
        </w:rPr>
        <w:t>[</w:t>
      </w:r>
      <w:r w:rsidR="007B41F1" w:rsidRPr="00DB2987">
        <w:rPr>
          <w:i w:val="0"/>
          <w:lang w:val="es-ES"/>
        </w:rPr>
        <w:t>Sigue el Apéndice del Anexo I</w:t>
      </w:r>
      <w:r w:rsidRPr="00DB2987">
        <w:rPr>
          <w:i w:val="0"/>
          <w:lang w:val="es-ES"/>
        </w:rPr>
        <w:t>]</w:t>
      </w:r>
    </w:p>
    <w:p w:rsidR="00AE66A3" w:rsidRPr="00DB2987" w:rsidRDefault="00AE66A3" w:rsidP="00AE66A3">
      <w:pPr>
        <w:pStyle w:val="DecisionParagraphs"/>
        <w:rPr>
          <w:lang w:val="es-ES"/>
        </w:rPr>
      </w:pPr>
    </w:p>
    <w:p w:rsidR="00AE66A3" w:rsidRPr="00DB2987" w:rsidRDefault="00AE66A3" w:rsidP="00AE66A3">
      <w:pPr>
        <w:rPr>
          <w:u w:val="single"/>
          <w:lang w:val="es-ES"/>
        </w:rPr>
        <w:sectPr w:rsidR="00AE66A3" w:rsidRPr="00DB2987" w:rsidSect="00617BD3">
          <w:headerReference w:type="default" r:id="rId9"/>
          <w:headerReference w:type="first" r:id="rId10"/>
          <w:pgSz w:w="11907" w:h="16840" w:code="9"/>
          <w:pgMar w:top="510" w:right="1134" w:bottom="1134" w:left="1134" w:header="510" w:footer="624" w:gutter="0"/>
          <w:pgNumType w:start="1"/>
          <w:cols w:space="720"/>
          <w:titlePg/>
          <w:docGrid w:linePitch="272"/>
        </w:sectPr>
      </w:pPr>
    </w:p>
    <w:p w:rsidR="00AE66A3" w:rsidRPr="00DB2987" w:rsidRDefault="00AE66A3" w:rsidP="00AE66A3">
      <w:pPr>
        <w:rPr>
          <w:u w:val="single"/>
          <w:lang w:val="es-ES"/>
        </w:rPr>
      </w:pPr>
    </w:p>
    <w:p w:rsidR="00AE66A3" w:rsidRPr="00DB2987" w:rsidRDefault="00AE66A3" w:rsidP="00AE66A3">
      <w:pPr>
        <w:rPr>
          <w:u w:val="single"/>
          <w:lang w:val="es-ES"/>
        </w:rPr>
      </w:pPr>
    </w:p>
    <w:p w:rsidR="00AE66A3" w:rsidRPr="00DB2987" w:rsidRDefault="00F828C4" w:rsidP="00670CCB">
      <w:pPr>
        <w:rPr>
          <w:u w:val="single"/>
          <w:lang w:val="es-ES"/>
        </w:rPr>
      </w:pPr>
      <w:r w:rsidRPr="00DB2987">
        <w:rPr>
          <w:u w:val="single"/>
        </w:rPr>
        <w:t>Respuesta de la Unión Europea:</w:t>
      </w:r>
    </w:p>
    <w:p w:rsidR="00AE66A3" w:rsidRPr="00DB2987" w:rsidRDefault="00AE66A3" w:rsidP="00AE66A3">
      <w:pPr>
        <w:rPr>
          <w:lang w:val="es-ES"/>
        </w:rPr>
      </w:pPr>
    </w:p>
    <w:p w:rsidR="00AE66A3" w:rsidRPr="00DB2987" w:rsidRDefault="00AE66A3" w:rsidP="00AE66A3">
      <w:pPr>
        <w:rPr>
          <w:lang w:val="es-ES"/>
        </w:rPr>
      </w:pPr>
    </w:p>
    <w:p w:rsidR="00AE66A3" w:rsidRPr="00DB2987" w:rsidRDefault="00F828C4" w:rsidP="00670CCB">
      <w:pPr>
        <w:jc w:val="center"/>
        <w:rPr>
          <w:rFonts w:eastAsia="Cambria"/>
          <w:lang w:val="es-ES"/>
        </w:rPr>
      </w:pPr>
      <w:r w:rsidRPr="00DB2987">
        <w:rPr>
          <w:rFonts w:eastAsia="Cambria"/>
        </w:rPr>
        <w:t xml:space="preserve">UTILIZACIÓN DE TÉCNICAS BASADAS EN MARCADORES MOLECULARES EN EL EXAMEN DHE </w:t>
      </w:r>
      <w:r w:rsidR="00FE616D" w:rsidRPr="00DB2987">
        <w:rPr>
          <w:rFonts w:eastAsia="Cambria"/>
        </w:rPr>
        <w:t>EN EL MARCO DE</w:t>
      </w:r>
      <w:r w:rsidR="009975A7" w:rsidRPr="00DB2987">
        <w:rPr>
          <w:rFonts w:eastAsia="Cambria"/>
        </w:rPr>
        <w:t xml:space="preserve"> </w:t>
      </w:r>
      <w:r w:rsidR="00FE616D" w:rsidRPr="00DB2987">
        <w:rPr>
          <w:rFonts w:eastAsia="Cambria"/>
        </w:rPr>
        <w:t>L</w:t>
      </w:r>
      <w:r w:rsidR="009975A7" w:rsidRPr="00DB2987">
        <w:rPr>
          <w:rFonts w:eastAsia="Cambria"/>
        </w:rPr>
        <w:t>A</w:t>
      </w:r>
      <w:r w:rsidR="00FE616D" w:rsidRPr="00DB2987">
        <w:rPr>
          <w:rFonts w:eastAsia="Cambria"/>
        </w:rPr>
        <w:t xml:space="preserve"> </w:t>
      </w:r>
      <w:r w:rsidR="009975A7" w:rsidRPr="00DB2987">
        <w:rPr>
          <w:rFonts w:eastAsia="Cambria"/>
        </w:rPr>
        <w:t>PROTECCIÓN COMUNITARIA DE LAS OBTENCIONES VEGETALES</w:t>
      </w:r>
    </w:p>
    <w:p w:rsidR="00AE66A3" w:rsidRPr="00DB2987" w:rsidRDefault="00AE66A3" w:rsidP="00AE66A3">
      <w:pPr>
        <w:rPr>
          <w:rFonts w:eastAsia="Cambria"/>
          <w:lang w:val="es-ES"/>
        </w:rPr>
      </w:pPr>
    </w:p>
    <w:p w:rsidR="00AE66A3" w:rsidRPr="00DB2987" w:rsidRDefault="00AE66A3" w:rsidP="00AE66A3">
      <w:pPr>
        <w:rPr>
          <w:rFonts w:eastAsia="Cambria"/>
          <w:lang w:val="es-ES"/>
        </w:rPr>
      </w:pPr>
    </w:p>
    <w:p w:rsidR="00AE66A3" w:rsidRPr="002B0539" w:rsidRDefault="009975A7" w:rsidP="002B0539">
      <w:pPr>
        <w:rPr>
          <w:rFonts w:eastAsia="Cambria"/>
          <w:u w:val="single"/>
          <w:lang w:val="es-ES"/>
        </w:rPr>
      </w:pPr>
      <w:r w:rsidRPr="002B0539">
        <w:rPr>
          <w:rFonts w:eastAsia="Cambria"/>
          <w:u w:val="single"/>
        </w:rPr>
        <w:t>Elementos de contexto</w:t>
      </w:r>
    </w:p>
    <w:p w:rsidR="00AE66A3" w:rsidRPr="00DB2987" w:rsidRDefault="00AE66A3" w:rsidP="00AE66A3">
      <w:pPr>
        <w:rPr>
          <w:rFonts w:eastAsia="Cambria"/>
          <w:lang w:val="es-ES"/>
        </w:rPr>
      </w:pPr>
    </w:p>
    <w:p w:rsidR="00AE66A3" w:rsidRPr="00DB2987" w:rsidRDefault="00AA79A9" w:rsidP="00670CCB">
      <w:pPr>
        <w:rPr>
          <w:rFonts w:eastAsia="Cambria"/>
          <w:lang w:val="es-ES"/>
        </w:rPr>
      </w:pPr>
      <w:r w:rsidRPr="00DB2987">
        <w:rPr>
          <w:rFonts w:eastAsia="Cambria"/>
        </w:rPr>
        <w:t>En su quincuagésima quinta sesión</w:t>
      </w:r>
      <w:r w:rsidR="00AF0490" w:rsidRPr="00DB2987">
        <w:rPr>
          <w:rFonts w:eastAsia="Cambria"/>
        </w:rPr>
        <w:t xml:space="preserve">, </w:t>
      </w:r>
      <w:r w:rsidRPr="00DB2987">
        <w:rPr>
          <w:rFonts w:eastAsia="Cambria"/>
        </w:rPr>
        <w:t>celebrada en Ginebra</w:t>
      </w:r>
      <w:r w:rsidRPr="00DB2987">
        <w:t xml:space="preserve"> l</w:t>
      </w:r>
      <w:r w:rsidRPr="00DB2987">
        <w:rPr>
          <w:rFonts w:eastAsia="Cambria"/>
        </w:rPr>
        <w:t>os días</w:t>
      </w:r>
      <w:r w:rsidR="00AF0490" w:rsidRPr="00DB2987">
        <w:rPr>
          <w:rFonts w:eastAsia="Cambria"/>
        </w:rPr>
        <w:t> 2</w:t>
      </w:r>
      <w:r w:rsidRPr="00DB2987">
        <w:rPr>
          <w:rFonts w:eastAsia="Cambria"/>
        </w:rPr>
        <w:t>8 y</w:t>
      </w:r>
      <w:r w:rsidR="00AF0490" w:rsidRPr="00DB2987">
        <w:rPr>
          <w:rFonts w:eastAsia="Cambria"/>
        </w:rPr>
        <w:t> 2</w:t>
      </w:r>
      <w:r w:rsidRPr="00DB2987">
        <w:rPr>
          <w:rFonts w:eastAsia="Cambria"/>
        </w:rPr>
        <w:t>9 de octubre de</w:t>
      </w:r>
      <w:r w:rsidR="00AF0490" w:rsidRPr="00DB2987">
        <w:rPr>
          <w:rFonts w:eastAsia="Cambria"/>
        </w:rPr>
        <w:t> 2</w:t>
      </w:r>
      <w:r w:rsidRPr="00DB2987">
        <w:rPr>
          <w:rFonts w:eastAsia="Cambria"/>
        </w:rPr>
        <w:t>019</w:t>
      </w:r>
      <w:r w:rsidR="00AF0490" w:rsidRPr="00DB2987">
        <w:rPr>
          <w:rFonts w:eastAsia="Cambria"/>
        </w:rPr>
        <w:t xml:space="preserve">, </w:t>
      </w:r>
      <w:r w:rsidRPr="00DB2987">
        <w:rPr>
          <w:rFonts w:eastAsia="Cambria"/>
        </w:rPr>
        <w:t xml:space="preserve">el </w:t>
      </w:r>
      <w:r w:rsidR="009975A7" w:rsidRPr="00DB2987">
        <w:rPr>
          <w:rFonts w:eastAsia="Cambria"/>
        </w:rPr>
        <w:t xml:space="preserve">Comité Técnico (TC) de la UPOV acordó invitar </w:t>
      </w:r>
      <w:r w:rsidR="00746DD6" w:rsidRPr="00DB2987">
        <w:rPr>
          <w:rFonts w:eastAsia="Cambria"/>
        </w:rPr>
        <w:t xml:space="preserve">a los </w:t>
      </w:r>
      <w:r w:rsidR="009975A7" w:rsidRPr="00DB2987">
        <w:rPr>
          <w:rFonts w:eastAsia="Cambria"/>
        </w:rPr>
        <w:t xml:space="preserve">miembros de la Unión </w:t>
      </w:r>
      <w:r w:rsidR="00746DD6" w:rsidRPr="00DB2987">
        <w:rPr>
          <w:rFonts w:eastAsia="Cambria"/>
        </w:rPr>
        <w:t xml:space="preserve">a responder a </w:t>
      </w:r>
      <w:r w:rsidRPr="00DB2987">
        <w:rPr>
          <w:rFonts w:eastAsia="Cambria"/>
        </w:rPr>
        <w:t>una encuesta como punto de partida de la elaboración de un inventario sobre la utilización de técnicas basadas en marcadores moleculares</w:t>
      </w:r>
      <w:r w:rsidR="00AF0490" w:rsidRPr="00DB2987">
        <w:rPr>
          <w:rFonts w:eastAsia="Cambria"/>
        </w:rPr>
        <w:t xml:space="preserve">, </w:t>
      </w:r>
      <w:r w:rsidRPr="00DB2987">
        <w:rPr>
          <w:rFonts w:eastAsia="Cambria"/>
        </w:rPr>
        <w:t>por cultivos</w:t>
      </w:r>
      <w:r w:rsidR="00AF0490" w:rsidRPr="00DB2987">
        <w:rPr>
          <w:rFonts w:eastAsia="Cambria"/>
        </w:rPr>
        <w:t xml:space="preserve">, </w:t>
      </w:r>
      <w:r w:rsidR="009975A7" w:rsidRPr="00DB2987">
        <w:rPr>
          <w:rFonts w:eastAsia="Cambria"/>
        </w:rPr>
        <w:t xml:space="preserve">en coordinación con los </w:t>
      </w:r>
      <w:r w:rsidR="007C0082" w:rsidRPr="00DB2987">
        <w:rPr>
          <w:rFonts w:eastAsia="Cambria"/>
        </w:rPr>
        <w:t xml:space="preserve">Sistemas de semillas </w:t>
      </w:r>
      <w:r w:rsidR="009975A7" w:rsidRPr="00DB2987">
        <w:rPr>
          <w:rFonts w:eastAsia="Cambria"/>
        </w:rPr>
        <w:t>de la OCDE (véanse los párrafos</w:t>
      </w:r>
      <w:r w:rsidR="00AF0490" w:rsidRPr="00DB2987">
        <w:rPr>
          <w:rFonts w:eastAsia="Cambria"/>
        </w:rPr>
        <w:t> 1</w:t>
      </w:r>
      <w:r w:rsidR="009975A7" w:rsidRPr="00DB2987">
        <w:rPr>
          <w:rFonts w:eastAsia="Cambria"/>
        </w:rPr>
        <w:t>84 y</w:t>
      </w:r>
      <w:r w:rsidR="00AF0490" w:rsidRPr="00DB2987">
        <w:rPr>
          <w:rFonts w:eastAsia="Cambria"/>
        </w:rPr>
        <w:t> 1</w:t>
      </w:r>
      <w:r w:rsidR="009975A7" w:rsidRPr="00DB2987">
        <w:rPr>
          <w:rFonts w:eastAsia="Cambria"/>
        </w:rPr>
        <w:t>85 del documento TC/55/25 “Informe”).</w:t>
      </w:r>
    </w:p>
    <w:p w:rsidR="00AE66A3" w:rsidRPr="00DB2987" w:rsidRDefault="00AE66A3" w:rsidP="00AE66A3">
      <w:pPr>
        <w:rPr>
          <w:rFonts w:eastAsia="Cambria"/>
          <w:lang w:val="es-ES"/>
        </w:rPr>
      </w:pPr>
    </w:p>
    <w:p w:rsidR="00AE66A3" w:rsidRPr="00DB2987" w:rsidRDefault="00746DD6" w:rsidP="00670CCB">
      <w:pPr>
        <w:rPr>
          <w:rFonts w:eastAsia="Cambria"/>
          <w:lang w:val="es-ES"/>
        </w:rPr>
      </w:pPr>
      <w:r w:rsidRPr="00DB2987">
        <w:rPr>
          <w:rFonts w:eastAsia="Cambria"/>
        </w:rPr>
        <w:t>La información sobre las técnicas basadas en marcadores moleculares empleadas por los miembros de la Unión servirá para elaborar un documento conjunto de la UPOV</w:t>
      </w:r>
      <w:r w:rsidR="00AF0490" w:rsidRPr="00DB2987">
        <w:rPr>
          <w:rFonts w:eastAsia="Cambria"/>
        </w:rPr>
        <w:t xml:space="preserve">, </w:t>
      </w:r>
      <w:r w:rsidRPr="00DB2987">
        <w:rPr>
          <w:rFonts w:eastAsia="Cambria"/>
        </w:rPr>
        <w:t>la OCDE y la ISTA en el que figure dicha información en un formato similar al del documento UPOV/INF/16 “Programas informáticos para intercambio”</w:t>
      </w:r>
      <w:r w:rsidR="00AF0490" w:rsidRPr="00DB2987">
        <w:rPr>
          <w:rFonts w:eastAsia="Cambria"/>
        </w:rPr>
        <w:t xml:space="preserve">, </w:t>
      </w:r>
      <w:r w:rsidRPr="00DB2987">
        <w:rPr>
          <w:rFonts w:eastAsia="Cambria"/>
        </w:rPr>
        <w:t>con sujeción a la aprobación por el Consejo y en coordinación con la OCDE y la ISTA.</w:t>
      </w:r>
    </w:p>
    <w:p w:rsidR="00AE66A3" w:rsidRPr="00DB2987" w:rsidRDefault="00AE66A3" w:rsidP="00AE66A3">
      <w:pPr>
        <w:rPr>
          <w:rFonts w:eastAsia="Cambria"/>
          <w:lang w:val="es-ES"/>
        </w:rPr>
      </w:pPr>
    </w:p>
    <w:p w:rsidR="00AE66A3" w:rsidRDefault="00D47226" w:rsidP="00670CCB">
      <w:pPr>
        <w:rPr>
          <w:rFonts w:eastAsia="Cambria"/>
        </w:rPr>
      </w:pPr>
      <w:r w:rsidRPr="00DB2987">
        <w:rPr>
          <w:rFonts w:eastAsia="Cambria"/>
        </w:rPr>
        <w:t>E</w:t>
      </w:r>
      <w:r w:rsidR="00944EE1" w:rsidRPr="00DB2987">
        <w:rPr>
          <w:rFonts w:eastAsia="Cambria"/>
        </w:rPr>
        <w:t>n e</w:t>
      </w:r>
      <w:r w:rsidRPr="00DB2987">
        <w:rPr>
          <w:rFonts w:eastAsia="Cambria"/>
        </w:rPr>
        <w:t xml:space="preserve">l </w:t>
      </w:r>
      <w:r w:rsidR="00746DD6" w:rsidRPr="00DB2987">
        <w:rPr>
          <w:rFonts w:eastAsia="Cambria"/>
        </w:rPr>
        <w:t>presente documento</w:t>
      </w:r>
      <w:r w:rsidR="00AF0490" w:rsidRPr="00DB2987">
        <w:rPr>
          <w:rFonts w:eastAsia="Cambria"/>
        </w:rPr>
        <w:t xml:space="preserve">, </w:t>
      </w:r>
      <w:r w:rsidR="00944EE1" w:rsidRPr="00DB2987">
        <w:rPr>
          <w:rFonts w:eastAsia="Cambria"/>
        </w:rPr>
        <w:t xml:space="preserve">que </w:t>
      </w:r>
      <w:r w:rsidR="00746DD6" w:rsidRPr="00DB2987">
        <w:rPr>
          <w:rFonts w:eastAsia="Cambria"/>
        </w:rPr>
        <w:t>constitu</w:t>
      </w:r>
      <w:r w:rsidRPr="00DB2987">
        <w:rPr>
          <w:rFonts w:eastAsia="Cambria"/>
        </w:rPr>
        <w:t>ye</w:t>
      </w:r>
      <w:r w:rsidR="00746DD6" w:rsidRPr="00DB2987">
        <w:rPr>
          <w:rFonts w:eastAsia="Cambria"/>
        </w:rPr>
        <w:t xml:space="preserve"> </w:t>
      </w:r>
      <w:r w:rsidRPr="00DB2987">
        <w:rPr>
          <w:rFonts w:eastAsia="Cambria"/>
        </w:rPr>
        <w:t xml:space="preserve">la aportación </w:t>
      </w:r>
      <w:r w:rsidR="00746DD6" w:rsidRPr="00DB2987">
        <w:rPr>
          <w:rFonts w:eastAsia="Cambria"/>
        </w:rPr>
        <w:t xml:space="preserve">de la OCVV </w:t>
      </w:r>
      <w:r w:rsidR="00943847" w:rsidRPr="00DB2987">
        <w:rPr>
          <w:rFonts w:eastAsia="Cambria"/>
        </w:rPr>
        <w:t xml:space="preserve">a dicha </w:t>
      </w:r>
      <w:r w:rsidR="00746DD6" w:rsidRPr="00DB2987">
        <w:rPr>
          <w:rFonts w:eastAsia="Cambria"/>
        </w:rPr>
        <w:t>encuesta</w:t>
      </w:r>
      <w:r w:rsidR="00AF0490" w:rsidRPr="00DB2987">
        <w:rPr>
          <w:rFonts w:eastAsia="Cambria"/>
        </w:rPr>
        <w:t xml:space="preserve">, </w:t>
      </w:r>
      <w:r w:rsidR="00943847" w:rsidRPr="00DB2987">
        <w:rPr>
          <w:rFonts w:eastAsia="Cambria"/>
        </w:rPr>
        <w:t xml:space="preserve">se </w:t>
      </w:r>
      <w:r w:rsidR="00944EE1" w:rsidRPr="00DB2987">
        <w:rPr>
          <w:rFonts w:eastAsia="Cambria"/>
        </w:rPr>
        <w:t>indica</w:t>
      </w:r>
      <w:r w:rsidR="00943847" w:rsidRPr="00DB2987">
        <w:rPr>
          <w:rFonts w:eastAsia="Cambria"/>
        </w:rPr>
        <w:t>n</w:t>
      </w:r>
      <w:r w:rsidR="00746DD6" w:rsidRPr="00DB2987">
        <w:rPr>
          <w:rFonts w:eastAsia="Cambria"/>
        </w:rPr>
        <w:t xml:space="preserve"> </w:t>
      </w:r>
      <w:r w:rsidR="00943847" w:rsidRPr="00DB2987">
        <w:rPr>
          <w:rFonts w:eastAsia="Cambria"/>
        </w:rPr>
        <w:t xml:space="preserve">las </w:t>
      </w:r>
      <w:r w:rsidR="00746DD6" w:rsidRPr="00DB2987">
        <w:rPr>
          <w:rFonts w:eastAsia="Cambria"/>
        </w:rPr>
        <w:t xml:space="preserve">técnicas basadas en marcadores moleculares </w:t>
      </w:r>
      <w:r w:rsidR="00933D99" w:rsidRPr="00DB2987">
        <w:rPr>
          <w:rFonts w:eastAsia="Cambria"/>
        </w:rPr>
        <w:t xml:space="preserve">que se pueden utilizar en </w:t>
      </w:r>
      <w:r w:rsidR="0045295D" w:rsidRPr="00DB2987">
        <w:rPr>
          <w:rFonts w:eastAsia="Cambria"/>
        </w:rPr>
        <w:t>un</w:t>
      </w:r>
      <w:r w:rsidR="00746DD6" w:rsidRPr="00DB2987">
        <w:rPr>
          <w:rFonts w:eastAsia="Cambria"/>
        </w:rPr>
        <w:t xml:space="preserve"> examen</w:t>
      </w:r>
      <w:r w:rsidR="00933D99" w:rsidRPr="00DB2987">
        <w:rPr>
          <w:rFonts w:eastAsia="Cambria"/>
        </w:rPr>
        <w:t> </w:t>
      </w:r>
      <w:r w:rsidR="00746DD6" w:rsidRPr="00DB2987">
        <w:rPr>
          <w:rFonts w:eastAsia="Cambria"/>
        </w:rPr>
        <w:t xml:space="preserve">DHE </w:t>
      </w:r>
      <w:r w:rsidR="00915641" w:rsidRPr="00DB2987">
        <w:rPr>
          <w:rFonts w:eastAsia="Cambria"/>
        </w:rPr>
        <w:t>que tenga por objeto</w:t>
      </w:r>
      <w:r w:rsidR="0045295D" w:rsidRPr="00DB2987">
        <w:rPr>
          <w:rFonts w:eastAsia="Cambria"/>
        </w:rPr>
        <w:t xml:space="preserve"> la concesión</w:t>
      </w:r>
      <w:r w:rsidR="00746DD6" w:rsidRPr="00DB2987">
        <w:rPr>
          <w:rFonts w:eastAsia="Cambria"/>
        </w:rPr>
        <w:t xml:space="preserve"> </w:t>
      </w:r>
      <w:r w:rsidR="0045295D" w:rsidRPr="00DB2987">
        <w:rPr>
          <w:rFonts w:eastAsia="Cambria"/>
        </w:rPr>
        <w:t xml:space="preserve">de protección comunitaria </w:t>
      </w:r>
      <w:r w:rsidR="005B5507" w:rsidRPr="00DB2987">
        <w:rPr>
          <w:rFonts w:eastAsia="Cambria"/>
        </w:rPr>
        <w:t xml:space="preserve">a una </w:t>
      </w:r>
      <w:r w:rsidR="0045295D" w:rsidRPr="00DB2987">
        <w:rPr>
          <w:rFonts w:eastAsia="Cambria"/>
        </w:rPr>
        <w:t>obtenci</w:t>
      </w:r>
      <w:r w:rsidR="005B5507" w:rsidRPr="00DB2987">
        <w:rPr>
          <w:rFonts w:eastAsia="Cambria"/>
        </w:rPr>
        <w:t>ón vegetal</w:t>
      </w:r>
      <w:r w:rsidR="00746DD6" w:rsidRPr="00DB2987">
        <w:rPr>
          <w:rFonts w:eastAsia="Cambria"/>
        </w:rPr>
        <w:t xml:space="preserve"> en </w:t>
      </w:r>
      <w:r w:rsidR="0045295D" w:rsidRPr="00DB2987">
        <w:rPr>
          <w:rFonts w:eastAsia="Cambria"/>
        </w:rPr>
        <w:t xml:space="preserve">el </w:t>
      </w:r>
      <w:r w:rsidR="00746DD6" w:rsidRPr="00DB2987">
        <w:rPr>
          <w:rFonts w:eastAsia="Cambria"/>
        </w:rPr>
        <w:t xml:space="preserve">marco de </w:t>
      </w:r>
      <w:r w:rsidR="0045295D" w:rsidRPr="00DB2987">
        <w:rPr>
          <w:rFonts w:eastAsia="Cambria"/>
        </w:rPr>
        <w:t xml:space="preserve">la política de </w:t>
      </w:r>
      <w:r w:rsidR="00746DD6" w:rsidRPr="00DB2987">
        <w:rPr>
          <w:rFonts w:eastAsia="Cambria"/>
        </w:rPr>
        <w:t>la OCVV.</w:t>
      </w:r>
    </w:p>
    <w:p w:rsidR="002B0539" w:rsidRDefault="002B0539" w:rsidP="00670CCB">
      <w:pPr>
        <w:rPr>
          <w:rFonts w:eastAsia="Cambria"/>
          <w:lang w:val="es-ES"/>
        </w:rPr>
      </w:pPr>
    </w:p>
    <w:p w:rsidR="002B0539" w:rsidRPr="00DB2987" w:rsidRDefault="002B0539" w:rsidP="00670CCB">
      <w:pPr>
        <w:rPr>
          <w:rFonts w:eastAsia="Cambria"/>
          <w:lang w:val="es-ES"/>
        </w:rPr>
      </w:pPr>
    </w:p>
    <w:p w:rsidR="00AE66A3" w:rsidRDefault="002B0539" w:rsidP="002B0539">
      <w:pPr>
        <w:rPr>
          <w:rFonts w:cs="Arial"/>
          <w:spacing w:val="-3"/>
          <w:kern w:val="32"/>
          <w:szCs w:val="32"/>
        </w:rPr>
      </w:pPr>
      <w:r>
        <w:t>1.</w:t>
      </w:r>
      <w:r>
        <w:tab/>
      </w:r>
      <w:r w:rsidR="005B5507" w:rsidRPr="002B0539">
        <w:t>Marco jurídico del uso de técnicas moleculares en el examen DHE para la concesión de protección</w:t>
      </w:r>
      <w:r w:rsidR="005B5507" w:rsidRPr="00DB2987">
        <w:rPr>
          <w:rFonts w:cs="Arial"/>
          <w:spacing w:val="-3"/>
          <w:kern w:val="32"/>
          <w:szCs w:val="32"/>
        </w:rPr>
        <w:t xml:space="preserve"> comunitaria a obtenciones vegetales</w:t>
      </w:r>
    </w:p>
    <w:p w:rsidR="002B0539" w:rsidRPr="00DB2987" w:rsidRDefault="002B0539" w:rsidP="002B0539">
      <w:pPr>
        <w:rPr>
          <w:rFonts w:cs="Arial"/>
          <w:spacing w:val="-3"/>
          <w:kern w:val="32"/>
          <w:szCs w:val="32"/>
          <w:lang w:val="es-ES"/>
        </w:rPr>
      </w:pPr>
    </w:p>
    <w:p w:rsidR="00AE66A3" w:rsidRPr="00DB2987" w:rsidRDefault="00A1360C" w:rsidP="00670CCB">
      <w:pPr>
        <w:rPr>
          <w:rFonts w:eastAsia="Cambria"/>
          <w:lang w:val="es-ES"/>
        </w:rPr>
      </w:pPr>
      <w:r w:rsidRPr="00DB2987">
        <w:rPr>
          <w:rFonts w:eastAsia="Cambria"/>
        </w:rPr>
        <w:t xml:space="preserve">El </w:t>
      </w:r>
      <w:r w:rsidR="005B5507" w:rsidRPr="00DB2987">
        <w:rPr>
          <w:rFonts w:eastAsia="Cambria"/>
        </w:rPr>
        <w:t xml:space="preserve">marco jurídico </w:t>
      </w:r>
      <w:r w:rsidRPr="00DB2987">
        <w:rPr>
          <w:rFonts w:eastAsia="Cambria"/>
        </w:rPr>
        <w:t>para la realización de exámenes </w:t>
      </w:r>
      <w:r w:rsidR="005B5507" w:rsidRPr="00DB2987">
        <w:rPr>
          <w:rFonts w:eastAsia="Cambria"/>
        </w:rPr>
        <w:t xml:space="preserve">DHE </w:t>
      </w:r>
      <w:r w:rsidR="00B849E7" w:rsidRPr="00DB2987">
        <w:rPr>
          <w:rFonts w:eastAsia="Cambria"/>
        </w:rPr>
        <w:t xml:space="preserve">a efectos de la protección comunitaria de las obtenciones vegetales está </w:t>
      </w:r>
      <w:r w:rsidR="003E41FC" w:rsidRPr="00DB2987">
        <w:rPr>
          <w:rFonts w:eastAsia="Cambria"/>
        </w:rPr>
        <w:t xml:space="preserve">compuesto </w:t>
      </w:r>
      <w:r w:rsidR="00B849E7" w:rsidRPr="00DB2987">
        <w:rPr>
          <w:rFonts w:eastAsia="Cambria"/>
        </w:rPr>
        <w:t>por</w:t>
      </w:r>
      <w:r w:rsidR="005B5507" w:rsidRPr="00DB2987">
        <w:rPr>
          <w:rFonts w:eastAsia="Cambria"/>
        </w:rPr>
        <w:t xml:space="preserve"> </w:t>
      </w:r>
      <w:r w:rsidR="00B849E7" w:rsidRPr="00DB2987">
        <w:rPr>
          <w:rFonts w:eastAsia="Cambria"/>
        </w:rPr>
        <w:t>el Reglamento de base n.º</w:t>
      </w:r>
      <w:r w:rsidR="00AF0490" w:rsidRPr="00DB2987">
        <w:rPr>
          <w:rFonts w:eastAsia="Cambria"/>
        </w:rPr>
        <w:t> 2</w:t>
      </w:r>
      <w:r w:rsidR="00B849E7" w:rsidRPr="00DB2987">
        <w:rPr>
          <w:rFonts w:eastAsia="Cambria"/>
        </w:rPr>
        <w:t xml:space="preserve">100/94 de la OCVV </w:t>
      </w:r>
      <w:r w:rsidR="005B5507" w:rsidRPr="00DB2987">
        <w:rPr>
          <w:rFonts w:eastAsia="Cambria"/>
        </w:rPr>
        <w:t xml:space="preserve">y </w:t>
      </w:r>
      <w:r w:rsidR="00B849E7" w:rsidRPr="00DB2987">
        <w:rPr>
          <w:rFonts w:eastAsia="Cambria"/>
        </w:rPr>
        <w:t>sus</w:t>
      </w:r>
      <w:r w:rsidR="005B5507" w:rsidRPr="00DB2987">
        <w:rPr>
          <w:rFonts w:eastAsia="Cambria"/>
        </w:rPr>
        <w:t xml:space="preserve"> </w:t>
      </w:r>
      <w:r w:rsidR="00B849E7" w:rsidRPr="00DB2987">
        <w:rPr>
          <w:rFonts w:eastAsia="Cambria"/>
        </w:rPr>
        <w:t>disposiciones de aplicación</w:t>
      </w:r>
      <w:r w:rsidR="00AF0490" w:rsidRPr="00DB2987">
        <w:rPr>
          <w:rFonts w:eastAsia="Cambria"/>
        </w:rPr>
        <w:t xml:space="preserve">, </w:t>
      </w:r>
      <w:r w:rsidRPr="00DB2987">
        <w:rPr>
          <w:rFonts w:eastAsia="Cambria"/>
        </w:rPr>
        <w:t xml:space="preserve">los protocolos técnicos de </w:t>
      </w:r>
      <w:r w:rsidR="005B5507" w:rsidRPr="00DB2987">
        <w:rPr>
          <w:rFonts w:eastAsia="Cambria"/>
        </w:rPr>
        <w:t xml:space="preserve">la OCVV y </w:t>
      </w:r>
      <w:r w:rsidRPr="00DB2987">
        <w:rPr>
          <w:rFonts w:eastAsia="Cambria"/>
        </w:rPr>
        <w:t>los</w:t>
      </w:r>
      <w:r w:rsidR="005B5507" w:rsidRPr="00DB2987">
        <w:rPr>
          <w:rFonts w:eastAsia="Cambria"/>
        </w:rPr>
        <w:t xml:space="preserve"> </w:t>
      </w:r>
      <w:r w:rsidRPr="00DB2987">
        <w:rPr>
          <w:rFonts w:eastAsia="Cambria"/>
        </w:rPr>
        <w:t xml:space="preserve">documentos de orientación </w:t>
      </w:r>
      <w:r w:rsidR="005B5507" w:rsidRPr="00DB2987">
        <w:rPr>
          <w:rFonts w:eastAsia="Cambria"/>
        </w:rPr>
        <w:t>aprobado</w:t>
      </w:r>
      <w:r w:rsidRPr="00DB2987">
        <w:rPr>
          <w:rFonts w:eastAsia="Cambria"/>
        </w:rPr>
        <w:t>s</w:t>
      </w:r>
      <w:r w:rsidR="005B5507" w:rsidRPr="00DB2987">
        <w:rPr>
          <w:rFonts w:eastAsia="Cambria"/>
        </w:rPr>
        <w:t xml:space="preserve"> por </w:t>
      </w:r>
      <w:r w:rsidRPr="00DB2987">
        <w:rPr>
          <w:rFonts w:eastAsia="Cambria"/>
        </w:rPr>
        <w:t>la </w:t>
      </w:r>
      <w:r w:rsidR="005B5507" w:rsidRPr="00DB2987">
        <w:rPr>
          <w:rFonts w:eastAsia="Cambria"/>
        </w:rPr>
        <w:t>UPOV.</w:t>
      </w:r>
    </w:p>
    <w:p w:rsidR="00AE66A3" w:rsidRPr="00DB2987" w:rsidRDefault="00AE66A3" w:rsidP="00AE66A3">
      <w:pPr>
        <w:rPr>
          <w:rFonts w:eastAsia="Cambria"/>
          <w:lang w:val="es-ES"/>
        </w:rPr>
      </w:pPr>
    </w:p>
    <w:p w:rsidR="00AE66A3" w:rsidRPr="00DB2987" w:rsidRDefault="00B849E7" w:rsidP="00670CCB">
      <w:pPr>
        <w:rPr>
          <w:rFonts w:eastAsia="Cambria"/>
          <w:lang w:val="es-ES"/>
        </w:rPr>
      </w:pPr>
      <w:r w:rsidRPr="00DB2987">
        <w:rPr>
          <w:rFonts w:eastAsia="Cambria"/>
        </w:rPr>
        <w:t xml:space="preserve">La OCVV no </w:t>
      </w:r>
      <w:r w:rsidR="00FB3C75" w:rsidRPr="00DB2987">
        <w:rPr>
          <w:rFonts w:eastAsia="Cambria"/>
        </w:rPr>
        <w:t xml:space="preserve">se encarga de la realización de </w:t>
      </w:r>
      <w:r w:rsidRPr="00DB2987">
        <w:rPr>
          <w:rFonts w:eastAsia="Cambria"/>
        </w:rPr>
        <w:t>exámenes</w:t>
      </w:r>
      <w:r w:rsidR="00FB3C75" w:rsidRPr="00DB2987">
        <w:rPr>
          <w:rFonts w:eastAsia="Cambria"/>
        </w:rPr>
        <w:t> </w:t>
      </w:r>
      <w:r w:rsidRPr="00DB2987">
        <w:rPr>
          <w:rFonts w:eastAsia="Cambria"/>
        </w:rPr>
        <w:t>DHE</w:t>
      </w:r>
      <w:r w:rsidR="00AF0490" w:rsidRPr="00DB2987">
        <w:rPr>
          <w:rFonts w:eastAsia="Cambria"/>
        </w:rPr>
        <w:t xml:space="preserve">, </w:t>
      </w:r>
      <w:r w:rsidR="003E41FC" w:rsidRPr="00DB2987">
        <w:rPr>
          <w:rFonts w:eastAsia="Cambria"/>
        </w:rPr>
        <w:t>si bien</w:t>
      </w:r>
      <w:r w:rsidR="00AF0490" w:rsidRPr="00DB2987">
        <w:rPr>
          <w:rFonts w:eastAsia="Cambria"/>
        </w:rPr>
        <w:t xml:space="preserve">, </w:t>
      </w:r>
      <w:r w:rsidR="00FB3C75" w:rsidRPr="00DB2987">
        <w:rPr>
          <w:rFonts w:eastAsia="Cambria"/>
        </w:rPr>
        <w:t xml:space="preserve">como se establece </w:t>
      </w:r>
      <w:r w:rsidRPr="00DB2987">
        <w:rPr>
          <w:rFonts w:eastAsia="Cambria"/>
        </w:rPr>
        <w:t xml:space="preserve">en </w:t>
      </w:r>
      <w:r w:rsidR="00FB3C75" w:rsidRPr="00DB2987">
        <w:rPr>
          <w:rFonts w:eastAsia="Cambria"/>
        </w:rPr>
        <w:t>el artículo</w:t>
      </w:r>
      <w:r w:rsidR="00AF0490" w:rsidRPr="00DB2987">
        <w:rPr>
          <w:rFonts w:eastAsia="Cambria"/>
        </w:rPr>
        <w:t> 5</w:t>
      </w:r>
      <w:r w:rsidR="001E09E8" w:rsidRPr="00DB2987">
        <w:rPr>
          <w:rFonts w:eastAsia="Cambria"/>
        </w:rPr>
        <w:t>5</w:t>
      </w:r>
      <w:r w:rsidRPr="00DB2987">
        <w:rPr>
          <w:rFonts w:eastAsia="Cambria"/>
        </w:rPr>
        <w:t xml:space="preserve"> </w:t>
      </w:r>
      <w:r w:rsidR="00FB3C75" w:rsidRPr="00DB2987">
        <w:rPr>
          <w:rFonts w:eastAsia="Cambria"/>
        </w:rPr>
        <w:t xml:space="preserve">del </w:t>
      </w:r>
      <w:r w:rsidR="00590E4C" w:rsidRPr="00DB2987">
        <w:rPr>
          <w:rFonts w:eastAsia="Cambria"/>
        </w:rPr>
        <w:t>Reglamento de base</w:t>
      </w:r>
      <w:r w:rsidR="00AF0490" w:rsidRPr="00DB2987">
        <w:rPr>
          <w:rFonts w:eastAsia="Cambria"/>
        </w:rPr>
        <w:t xml:space="preserve">, </w:t>
      </w:r>
      <w:r w:rsidRPr="00DB2987">
        <w:rPr>
          <w:rFonts w:eastAsia="Cambria"/>
        </w:rPr>
        <w:t>“</w:t>
      </w:r>
      <w:r w:rsidR="00FB3C75" w:rsidRPr="00DB2987">
        <w:rPr>
          <w:rFonts w:eastAsia="Cambria"/>
        </w:rPr>
        <w:t xml:space="preserve">dispondrá lo necesario para que se realice el examen técnico </w:t>
      </w:r>
      <w:proofErr w:type="gramStart"/>
      <w:r w:rsidRPr="00DB2987">
        <w:rPr>
          <w:rFonts w:eastAsia="Cambria"/>
        </w:rPr>
        <w:t>[...]</w:t>
      </w:r>
      <w:r w:rsidR="00FB3C75" w:rsidRPr="00DB2987">
        <w:rPr>
          <w:rFonts w:eastAsia="Cambria"/>
        </w:rPr>
        <w:t xml:space="preserve"> </w:t>
      </w:r>
      <w:r w:rsidR="00AE66A3" w:rsidRPr="00DB2987">
        <w:rPr>
          <w:rFonts w:eastAsia="Cambria"/>
          <w:lang w:val="es-ES"/>
        </w:rPr>
        <w:t xml:space="preserve"> </w:t>
      </w:r>
      <w:r w:rsidR="00C7309F" w:rsidRPr="00DB2987">
        <w:rPr>
          <w:rFonts w:eastAsia="Cambria"/>
        </w:rPr>
        <w:t>por</w:t>
      </w:r>
      <w:proofErr w:type="gramEnd"/>
      <w:r w:rsidR="00C7309F" w:rsidRPr="00DB2987">
        <w:rPr>
          <w:rFonts w:eastAsia="Cambria"/>
        </w:rPr>
        <w:t xml:space="preserve"> la oficina u oficinas competentes [...] por lo menos en uno de los Estados miembros</w:t>
      </w:r>
      <w:r w:rsidR="00AF0490" w:rsidRPr="00DB2987">
        <w:rPr>
          <w:rFonts w:eastAsia="Cambria"/>
        </w:rPr>
        <w:t xml:space="preserve">, </w:t>
      </w:r>
      <w:r w:rsidR="00C7309F" w:rsidRPr="00DB2987">
        <w:rPr>
          <w:rFonts w:eastAsia="Cambria"/>
        </w:rPr>
        <w:t>facultadas por el consejo de administración</w:t>
      </w:r>
      <w:r w:rsidR="00193F76" w:rsidRPr="00DB2987">
        <w:rPr>
          <w:rFonts w:eastAsia="Cambria"/>
        </w:rPr>
        <w:t xml:space="preserve"> para el examen técnico de variedades de las especies de que se trate</w:t>
      </w:r>
      <w:r w:rsidR="00FB3C75" w:rsidRPr="00DB2987">
        <w:rPr>
          <w:rFonts w:eastAsia="Cambria"/>
        </w:rPr>
        <w:t>”.</w:t>
      </w:r>
    </w:p>
    <w:p w:rsidR="00AE66A3" w:rsidRPr="00DB2987" w:rsidRDefault="00AE66A3" w:rsidP="00AE66A3">
      <w:pPr>
        <w:rPr>
          <w:rFonts w:eastAsia="Cambria"/>
          <w:lang w:val="es-ES"/>
        </w:rPr>
      </w:pPr>
    </w:p>
    <w:p w:rsidR="00AE66A3" w:rsidRPr="00DB2987" w:rsidRDefault="001E09E8" w:rsidP="00670CCB">
      <w:pPr>
        <w:rPr>
          <w:rFonts w:eastAsia="Cambria"/>
          <w:lang w:val="es-ES"/>
        </w:rPr>
      </w:pPr>
      <w:r w:rsidRPr="00DB2987">
        <w:rPr>
          <w:rFonts w:eastAsia="Cambria"/>
        </w:rPr>
        <w:t xml:space="preserve">Cuando </w:t>
      </w:r>
      <w:r w:rsidR="00E617F4" w:rsidRPr="00DB2987">
        <w:rPr>
          <w:rFonts w:eastAsia="Cambria"/>
        </w:rPr>
        <w:t>se lleve a cabo un</w:t>
      </w:r>
      <w:r w:rsidRPr="00DB2987">
        <w:rPr>
          <w:rFonts w:eastAsia="Cambria"/>
        </w:rPr>
        <w:t xml:space="preserve"> examen técnico</w:t>
      </w:r>
      <w:r w:rsidR="00AF0490" w:rsidRPr="00DB2987">
        <w:rPr>
          <w:rFonts w:eastAsia="Cambria"/>
        </w:rPr>
        <w:t xml:space="preserve">, </w:t>
      </w:r>
      <w:r w:rsidRPr="00DB2987">
        <w:rPr>
          <w:rFonts w:eastAsia="Cambria"/>
        </w:rPr>
        <w:t>“[…]</w:t>
      </w:r>
      <w:r w:rsidR="00590E4C" w:rsidRPr="00DB2987">
        <w:rPr>
          <w:rFonts w:eastAsia="Cambria"/>
        </w:rPr>
        <w:t xml:space="preserve"> las Oficinas de examen cultivarán la variedad o emprenderán cualquier otra investigación que sea necesaria</w:t>
      </w:r>
      <w:r w:rsidR="00AF0490" w:rsidRPr="00DB2987">
        <w:rPr>
          <w:rFonts w:eastAsia="Cambria"/>
        </w:rPr>
        <w:t xml:space="preserve">, </w:t>
      </w:r>
      <w:r w:rsidR="00590E4C" w:rsidRPr="00DB2987">
        <w:rPr>
          <w:rFonts w:eastAsia="Cambria"/>
        </w:rPr>
        <w:t>a efectos del examen técnico</w:t>
      </w:r>
      <w:r w:rsidRPr="00DB2987">
        <w:rPr>
          <w:rFonts w:eastAsia="Cambria"/>
        </w:rPr>
        <w:t>” (</w:t>
      </w:r>
      <w:r w:rsidR="00590E4C" w:rsidRPr="00DB2987">
        <w:rPr>
          <w:rFonts w:eastAsia="Cambria"/>
        </w:rPr>
        <w:t>artículo</w:t>
      </w:r>
      <w:r w:rsidR="00AF0490" w:rsidRPr="00DB2987">
        <w:rPr>
          <w:rFonts w:eastAsia="Cambria"/>
        </w:rPr>
        <w:t> 5</w:t>
      </w:r>
      <w:r w:rsidRPr="00DB2987">
        <w:rPr>
          <w:rFonts w:eastAsia="Cambria"/>
        </w:rPr>
        <w:t>6</w:t>
      </w:r>
      <w:r w:rsidR="00590E4C" w:rsidRPr="00DB2987">
        <w:rPr>
          <w:rFonts w:eastAsia="Cambria"/>
        </w:rPr>
        <w:t xml:space="preserve"> del Reglamento de base</w:t>
      </w:r>
      <w:r w:rsidRPr="00DB2987">
        <w:rPr>
          <w:rFonts w:eastAsia="Cambria"/>
        </w:rPr>
        <w:t>).</w:t>
      </w:r>
      <w:r w:rsidR="00AE66A3" w:rsidRPr="00DB2987">
        <w:rPr>
          <w:rFonts w:eastAsia="Cambria"/>
          <w:lang w:val="es-ES"/>
        </w:rPr>
        <w:t xml:space="preserve"> </w:t>
      </w:r>
      <w:r w:rsidR="00DB75B6" w:rsidRPr="00DB2987">
        <w:rPr>
          <w:rFonts w:eastAsia="Cambria"/>
        </w:rPr>
        <w:t>Por consiguiente</w:t>
      </w:r>
      <w:r w:rsidR="00AF0490" w:rsidRPr="00DB2987">
        <w:rPr>
          <w:rFonts w:eastAsia="Cambria"/>
        </w:rPr>
        <w:t xml:space="preserve">, </w:t>
      </w:r>
      <w:r w:rsidR="00DB75B6" w:rsidRPr="00DB2987">
        <w:rPr>
          <w:rFonts w:eastAsia="Cambria"/>
        </w:rPr>
        <w:t xml:space="preserve">las oficinas encargadas del examen pueden utilizar técnicas </w:t>
      </w:r>
      <w:r w:rsidR="007C27E2" w:rsidRPr="00DB2987">
        <w:rPr>
          <w:rFonts w:eastAsia="Cambria"/>
        </w:rPr>
        <w:t xml:space="preserve">moleculares </w:t>
      </w:r>
      <w:r w:rsidR="00DB75B6" w:rsidRPr="00DB2987">
        <w:rPr>
          <w:rFonts w:eastAsia="Cambria"/>
        </w:rPr>
        <w:t xml:space="preserve">en apoyo del </w:t>
      </w:r>
      <w:r w:rsidR="007C27E2" w:rsidRPr="00DB2987">
        <w:rPr>
          <w:rFonts w:eastAsia="Cambria"/>
        </w:rPr>
        <w:t>examen</w:t>
      </w:r>
      <w:r w:rsidR="00DB75B6" w:rsidRPr="00DB2987">
        <w:rPr>
          <w:rFonts w:eastAsia="Cambria"/>
        </w:rPr>
        <w:t> </w:t>
      </w:r>
      <w:r w:rsidR="007C27E2" w:rsidRPr="00DB2987">
        <w:rPr>
          <w:rFonts w:eastAsia="Cambria"/>
        </w:rPr>
        <w:t>DHE</w:t>
      </w:r>
      <w:r w:rsidR="00AF0490" w:rsidRPr="00DB2987">
        <w:rPr>
          <w:rFonts w:eastAsia="Cambria"/>
        </w:rPr>
        <w:t xml:space="preserve">, </w:t>
      </w:r>
      <w:r w:rsidR="00DB75B6" w:rsidRPr="00DB2987">
        <w:rPr>
          <w:rFonts w:eastAsia="Cambria"/>
        </w:rPr>
        <w:t>siempre y cuando el</w:t>
      </w:r>
      <w:r w:rsidR="007C27E2" w:rsidRPr="00DB2987">
        <w:rPr>
          <w:rFonts w:eastAsia="Cambria"/>
        </w:rPr>
        <w:t xml:space="preserve"> examen técnico </w:t>
      </w:r>
      <w:r w:rsidR="006D2B9C" w:rsidRPr="00DB2987">
        <w:rPr>
          <w:rFonts w:eastAsia="Cambria"/>
        </w:rPr>
        <w:t>se efectúe</w:t>
      </w:r>
      <w:r w:rsidR="007C27E2" w:rsidRPr="00DB2987">
        <w:rPr>
          <w:rFonts w:eastAsia="Cambria"/>
        </w:rPr>
        <w:t xml:space="preserve"> de conformidad con </w:t>
      </w:r>
      <w:r w:rsidR="006D2B9C" w:rsidRPr="00DB2987">
        <w:rPr>
          <w:rFonts w:eastAsia="Cambria"/>
        </w:rPr>
        <w:t xml:space="preserve">las </w:t>
      </w:r>
      <w:r w:rsidR="007C27E2" w:rsidRPr="00DB2987">
        <w:rPr>
          <w:rFonts w:eastAsia="Cambria"/>
        </w:rPr>
        <w:t xml:space="preserve">directrices de examen </w:t>
      </w:r>
      <w:r w:rsidR="006D2B9C" w:rsidRPr="00DB2987">
        <w:rPr>
          <w:rFonts w:eastAsia="Cambria"/>
        </w:rPr>
        <w:t>publicadas</w:t>
      </w:r>
      <w:r w:rsidR="007C27E2" w:rsidRPr="00DB2987">
        <w:rPr>
          <w:rFonts w:eastAsia="Cambria"/>
        </w:rPr>
        <w:t xml:space="preserve"> por </w:t>
      </w:r>
      <w:r w:rsidR="006D2B9C" w:rsidRPr="00DB2987">
        <w:rPr>
          <w:rFonts w:eastAsia="Cambria"/>
        </w:rPr>
        <w:t xml:space="preserve">el </w:t>
      </w:r>
      <w:r w:rsidR="007C27E2" w:rsidRPr="00DB2987">
        <w:rPr>
          <w:rFonts w:eastAsia="Cambria"/>
        </w:rPr>
        <w:t xml:space="preserve">Consejo </w:t>
      </w:r>
      <w:r w:rsidR="006D2B9C" w:rsidRPr="00DB2987">
        <w:rPr>
          <w:rFonts w:eastAsia="Cambria"/>
        </w:rPr>
        <w:t xml:space="preserve">de </w:t>
      </w:r>
      <w:r w:rsidR="007C27E2" w:rsidRPr="00DB2987">
        <w:rPr>
          <w:rFonts w:eastAsia="Cambria"/>
        </w:rPr>
        <w:t xml:space="preserve">Administración </w:t>
      </w:r>
      <w:r w:rsidR="006D2B9C" w:rsidRPr="00DB2987">
        <w:rPr>
          <w:rFonts w:eastAsia="Cambria"/>
        </w:rPr>
        <w:t>de la </w:t>
      </w:r>
      <w:r w:rsidR="007C27E2" w:rsidRPr="00DB2987">
        <w:rPr>
          <w:rFonts w:eastAsia="Cambria"/>
        </w:rPr>
        <w:t>OCVV.</w:t>
      </w:r>
    </w:p>
    <w:p w:rsidR="00AE66A3" w:rsidRPr="00DB2987" w:rsidRDefault="00AE66A3" w:rsidP="00AE66A3">
      <w:pPr>
        <w:rPr>
          <w:rFonts w:eastAsia="Cambria"/>
          <w:lang w:val="es-ES"/>
        </w:rPr>
      </w:pPr>
    </w:p>
    <w:p w:rsidR="00AE66A3" w:rsidRPr="00DB2987" w:rsidRDefault="00867488" w:rsidP="00670CCB">
      <w:pPr>
        <w:rPr>
          <w:rFonts w:eastAsia="Cambria"/>
          <w:lang w:val="es-ES"/>
        </w:rPr>
      </w:pPr>
      <w:r w:rsidRPr="00DB2987">
        <w:rPr>
          <w:rFonts w:eastAsia="Cambria"/>
        </w:rPr>
        <w:t>Dado</w:t>
      </w:r>
      <w:r w:rsidR="009F07E6" w:rsidRPr="00DB2987">
        <w:rPr>
          <w:rFonts w:eastAsia="Cambria"/>
        </w:rPr>
        <w:t xml:space="preserve"> que </w:t>
      </w:r>
      <w:r w:rsidRPr="00DB2987">
        <w:rPr>
          <w:rFonts w:eastAsia="Cambria"/>
        </w:rPr>
        <w:t xml:space="preserve">tanto para la protección como para la inscripción de las variedades en la Unión Europea </w:t>
      </w:r>
      <w:r w:rsidR="009F07E6" w:rsidRPr="00DB2987">
        <w:rPr>
          <w:rFonts w:eastAsia="Cambria"/>
        </w:rPr>
        <w:t>se aplican las mismas</w:t>
      </w:r>
      <w:r w:rsidR="00071B16" w:rsidRPr="00DB2987">
        <w:rPr>
          <w:rFonts w:eastAsia="Cambria"/>
        </w:rPr>
        <w:t xml:space="preserve"> directrices</w:t>
      </w:r>
      <w:r w:rsidR="00AF0490" w:rsidRPr="00DB2987">
        <w:rPr>
          <w:rFonts w:eastAsia="Cambria"/>
        </w:rPr>
        <w:t xml:space="preserve">, </w:t>
      </w:r>
      <w:r w:rsidR="009F07E6" w:rsidRPr="00DB2987">
        <w:rPr>
          <w:rFonts w:eastAsia="Cambria"/>
        </w:rPr>
        <w:t xml:space="preserve">también se </w:t>
      </w:r>
      <w:r w:rsidRPr="00DB2987">
        <w:rPr>
          <w:rFonts w:eastAsia="Cambria"/>
        </w:rPr>
        <w:t>tienen</w:t>
      </w:r>
      <w:r w:rsidR="009F07E6" w:rsidRPr="00DB2987">
        <w:rPr>
          <w:rFonts w:eastAsia="Cambria"/>
        </w:rPr>
        <w:t xml:space="preserve"> en </w:t>
      </w:r>
      <w:r w:rsidRPr="00DB2987">
        <w:rPr>
          <w:rFonts w:eastAsia="Cambria"/>
        </w:rPr>
        <w:t xml:space="preserve">cuenta </w:t>
      </w:r>
      <w:r w:rsidR="009F07E6" w:rsidRPr="00DB2987">
        <w:rPr>
          <w:rFonts w:eastAsia="Cambria"/>
        </w:rPr>
        <w:t xml:space="preserve">las directivas referentes al catálogo común </w:t>
      </w:r>
      <w:r w:rsidR="00071B16" w:rsidRPr="00DB2987">
        <w:rPr>
          <w:rFonts w:eastAsia="Cambria"/>
        </w:rPr>
        <w:t>(Directiv</w:t>
      </w:r>
      <w:r w:rsidR="009F07E6" w:rsidRPr="00DB2987">
        <w:rPr>
          <w:rFonts w:eastAsia="Cambria"/>
        </w:rPr>
        <w:t>a</w:t>
      </w:r>
      <w:r w:rsidR="00071B16" w:rsidRPr="00DB2987">
        <w:rPr>
          <w:rFonts w:eastAsia="Cambria"/>
        </w:rPr>
        <w:t>s</w:t>
      </w:r>
      <w:r w:rsidR="00AF0490" w:rsidRPr="00DB2987">
        <w:rPr>
          <w:rFonts w:eastAsia="Cambria"/>
        </w:rPr>
        <w:t> 2</w:t>
      </w:r>
      <w:r w:rsidR="00071B16" w:rsidRPr="00DB2987">
        <w:rPr>
          <w:rFonts w:eastAsia="Cambria"/>
        </w:rPr>
        <w:t>002/53/</w:t>
      </w:r>
      <w:r w:rsidR="009F07E6" w:rsidRPr="00DB2987">
        <w:rPr>
          <w:rFonts w:eastAsia="Cambria"/>
        </w:rPr>
        <w:t>CE</w:t>
      </w:r>
      <w:r w:rsidR="00071B16" w:rsidRPr="00DB2987">
        <w:rPr>
          <w:rFonts w:eastAsia="Cambria"/>
        </w:rPr>
        <w:t xml:space="preserve"> y</w:t>
      </w:r>
      <w:r w:rsidR="00AF0490" w:rsidRPr="00DB2987">
        <w:rPr>
          <w:rFonts w:eastAsia="Cambria"/>
        </w:rPr>
        <w:t> 2</w:t>
      </w:r>
      <w:r w:rsidR="00071B16" w:rsidRPr="00DB2987">
        <w:rPr>
          <w:rFonts w:eastAsia="Cambria"/>
        </w:rPr>
        <w:t>002/55/</w:t>
      </w:r>
      <w:r w:rsidR="009F07E6" w:rsidRPr="00DB2987">
        <w:rPr>
          <w:rFonts w:eastAsia="Cambria"/>
        </w:rPr>
        <w:t>CE del Consejo</w:t>
      </w:r>
      <w:r w:rsidR="00071B16" w:rsidRPr="00DB2987">
        <w:rPr>
          <w:rFonts w:eastAsia="Cambria"/>
        </w:rPr>
        <w:t>).</w:t>
      </w:r>
      <w:r w:rsidR="00AE66A3" w:rsidRPr="00DB2987">
        <w:rPr>
          <w:rFonts w:eastAsia="Cambria"/>
          <w:lang w:val="es-ES"/>
        </w:rPr>
        <w:t xml:space="preserve"> </w:t>
      </w:r>
      <w:r w:rsidR="00490373" w:rsidRPr="00DB2987">
        <w:rPr>
          <w:rFonts w:eastAsia="Cambria"/>
        </w:rPr>
        <w:t>De conformidad con esas directivas</w:t>
      </w:r>
      <w:r w:rsidR="00AF0490" w:rsidRPr="00DB2987">
        <w:rPr>
          <w:rFonts w:eastAsia="Cambria"/>
        </w:rPr>
        <w:t xml:space="preserve">, </w:t>
      </w:r>
      <w:r w:rsidR="00490373" w:rsidRPr="00DB2987">
        <w:rPr>
          <w:rFonts w:eastAsia="Cambria"/>
        </w:rPr>
        <w:t>la admisión de las variedades será el resultado de exámenes oficiales</w:t>
      </w:r>
      <w:r w:rsidR="00AF0490" w:rsidRPr="00DB2987">
        <w:rPr>
          <w:rFonts w:eastAsia="Cambria"/>
        </w:rPr>
        <w:t xml:space="preserve">, </w:t>
      </w:r>
      <w:r w:rsidR="00490373" w:rsidRPr="00DB2987">
        <w:rPr>
          <w:rFonts w:eastAsia="Cambria"/>
        </w:rPr>
        <w:t>efectuados especialmente en cultivo y sobre un número suficiente de caracteres que permita describir la variedad</w:t>
      </w:r>
      <w:r w:rsidR="0088281E" w:rsidRPr="00DB2987">
        <w:rPr>
          <w:rFonts w:eastAsia="Cambria"/>
        </w:rPr>
        <w:t>.</w:t>
      </w:r>
      <w:r w:rsidR="00AE66A3" w:rsidRPr="00DB2987">
        <w:rPr>
          <w:rFonts w:eastAsia="Cambria"/>
          <w:lang w:val="es-ES"/>
        </w:rPr>
        <w:t xml:space="preserve"> </w:t>
      </w:r>
      <w:r w:rsidR="00490373" w:rsidRPr="00DB2987">
        <w:rPr>
          <w:rFonts w:eastAsia="Cambria"/>
        </w:rPr>
        <w:t>Por consiguiente</w:t>
      </w:r>
      <w:r w:rsidR="00AF0490" w:rsidRPr="00DB2987">
        <w:rPr>
          <w:rFonts w:eastAsia="Cambria"/>
        </w:rPr>
        <w:t xml:space="preserve">, </w:t>
      </w:r>
      <w:r w:rsidR="00490373" w:rsidRPr="00DB2987">
        <w:rPr>
          <w:rFonts w:eastAsia="Cambria"/>
        </w:rPr>
        <w:t>las técnicas moleculares solo se podrán utilizar como complemento de los exámenes en cultivo.</w:t>
      </w:r>
    </w:p>
    <w:p w:rsidR="00AE66A3" w:rsidRPr="00DB2987" w:rsidRDefault="00AE66A3" w:rsidP="00AE66A3">
      <w:pPr>
        <w:rPr>
          <w:rFonts w:eastAsia="Cambria"/>
          <w:lang w:val="es-ES"/>
        </w:rPr>
      </w:pPr>
    </w:p>
    <w:p w:rsidR="00AE66A3" w:rsidRDefault="00490373" w:rsidP="00670CCB">
      <w:pPr>
        <w:rPr>
          <w:rFonts w:eastAsia="Cambria"/>
        </w:rPr>
      </w:pPr>
      <w:r w:rsidRPr="00DB2987">
        <w:rPr>
          <w:rFonts w:eastAsia="Cambria"/>
        </w:rPr>
        <w:t>Como miembro de la UPOV</w:t>
      </w:r>
      <w:r w:rsidR="00AF0490" w:rsidRPr="00DB2987">
        <w:rPr>
          <w:rFonts w:eastAsia="Cambria"/>
        </w:rPr>
        <w:t xml:space="preserve">, </w:t>
      </w:r>
      <w:r w:rsidRPr="00DB2987">
        <w:rPr>
          <w:rFonts w:eastAsia="Cambria"/>
        </w:rPr>
        <w:t>la OCVV respeta el marco acordado para el uso de técnicas moleculares en el examen DHE</w:t>
      </w:r>
      <w:r w:rsidR="00AF0490" w:rsidRPr="00DB2987">
        <w:rPr>
          <w:rFonts w:eastAsia="Cambria"/>
        </w:rPr>
        <w:t xml:space="preserve">, </w:t>
      </w:r>
      <w:r w:rsidRPr="00DB2987">
        <w:rPr>
          <w:rFonts w:eastAsia="Cambria"/>
        </w:rPr>
        <w:t>establecido en los documentos UPOV/INF/18 (aprobado por el Consejo de la UPOV en</w:t>
      </w:r>
      <w:r w:rsidR="00AF0490" w:rsidRPr="00DB2987">
        <w:rPr>
          <w:rFonts w:eastAsia="Cambria"/>
        </w:rPr>
        <w:t> 2</w:t>
      </w:r>
      <w:r w:rsidRPr="00DB2987">
        <w:rPr>
          <w:rFonts w:eastAsia="Cambria"/>
        </w:rPr>
        <w:t>011) y UPOV/TGP/15/3 (aprobado por el Consejo de la UPOV en</w:t>
      </w:r>
      <w:r w:rsidR="00AF0490" w:rsidRPr="00DB2987">
        <w:rPr>
          <w:rFonts w:eastAsia="Cambria"/>
        </w:rPr>
        <w:t> 2</w:t>
      </w:r>
      <w:r w:rsidRPr="00DB2987">
        <w:rPr>
          <w:rFonts w:eastAsia="Cambria"/>
        </w:rPr>
        <w:t>020).</w:t>
      </w:r>
      <w:r w:rsidR="00AE66A3" w:rsidRPr="00DB2987">
        <w:rPr>
          <w:rFonts w:eastAsia="Cambria"/>
          <w:lang w:val="es-ES"/>
        </w:rPr>
        <w:t xml:space="preserve"> </w:t>
      </w:r>
      <w:r w:rsidR="00C33B57" w:rsidRPr="00DB2987">
        <w:rPr>
          <w:rFonts w:eastAsia="Cambria"/>
        </w:rPr>
        <w:t xml:space="preserve">Más </w:t>
      </w:r>
      <w:r w:rsidR="00B07D80" w:rsidRPr="00DB2987">
        <w:rPr>
          <w:rFonts w:eastAsia="Cambria"/>
        </w:rPr>
        <w:t>concretamente</w:t>
      </w:r>
      <w:r w:rsidR="00AF0490" w:rsidRPr="00DB2987">
        <w:rPr>
          <w:rFonts w:eastAsia="Cambria"/>
        </w:rPr>
        <w:t xml:space="preserve">, </w:t>
      </w:r>
      <w:r w:rsidR="00C33B57" w:rsidRPr="00DB2987">
        <w:rPr>
          <w:rFonts w:eastAsia="Cambria"/>
        </w:rPr>
        <w:t xml:space="preserve">la OCVV </w:t>
      </w:r>
      <w:r w:rsidR="00C341E4" w:rsidRPr="00DB2987">
        <w:rPr>
          <w:rFonts w:eastAsia="Cambria"/>
        </w:rPr>
        <w:t>respalda</w:t>
      </w:r>
      <w:r w:rsidR="00C33B57" w:rsidRPr="00DB2987">
        <w:rPr>
          <w:rFonts w:eastAsia="Cambria"/>
        </w:rPr>
        <w:t xml:space="preserve"> </w:t>
      </w:r>
      <w:r w:rsidR="00C341E4" w:rsidRPr="00DB2987">
        <w:rPr>
          <w:rFonts w:eastAsia="Cambria"/>
        </w:rPr>
        <w:t>la utilización</w:t>
      </w:r>
      <w:r w:rsidR="008A2CE0" w:rsidRPr="00DB2987">
        <w:rPr>
          <w:rFonts w:eastAsia="Cambria"/>
        </w:rPr>
        <w:t xml:space="preserve"> de instrumentos moleculares</w:t>
      </w:r>
      <w:r w:rsidR="00C341E4" w:rsidRPr="00DB2987">
        <w:rPr>
          <w:rFonts w:eastAsia="Cambria"/>
        </w:rPr>
        <w:t xml:space="preserve"> </w:t>
      </w:r>
      <w:r w:rsidR="001D2032" w:rsidRPr="00DB2987">
        <w:rPr>
          <w:rFonts w:eastAsia="Cambria"/>
        </w:rPr>
        <w:t>por su red de oficinas encargadas del examen</w:t>
      </w:r>
      <w:r w:rsidR="00AF0490" w:rsidRPr="00DB2987">
        <w:rPr>
          <w:rFonts w:eastAsia="Cambria"/>
        </w:rPr>
        <w:t xml:space="preserve">, </w:t>
      </w:r>
      <w:r w:rsidR="008026C6" w:rsidRPr="00DB2987">
        <w:rPr>
          <w:rFonts w:eastAsia="Cambria"/>
        </w:rPr>
        <w:t>con arreglo a los</w:t>
      </w:r>
      <w:r w:rsidR="00C33B57" w:rsidRPr="00DB2987">
        <w:rPr>
          <w:rFonts w:eastAsia="Cambria"/>
        </w:rPr>
        <w:t xml:space="preserve"> model</w:t>
      </w:r>
      <w:r w:rsidR="00C341E4" w:rsidRPr="00DB2987">
        <w:rPr>
          <w:rFonts w:eastAsia="Cambria"/>
        </w:rPr>
        <w:t>o</w:t>
      </w:r>
      <w:r w:rsidR="00C33B57" w:rsidRPr="00DB2987">
        <w:rPr>
          <w:rFonts w:eastAsia="Cambria"/>
        </w:rPr>
        <w:t xml:space="preserve">s </w:t>
      </w:r>
      <w:r w:rsidR="001D2032" w:rsidRPr="00DB2987">
        <w:rPr>
          <w:rFonts w:eastAsia="Cambria"/>
        </w:rPr>
        <w:t xml:space="preserve">que hayan </w:t>
      </w:r>
      <w:r w:rsidR="008A2CE0" w:rsidRPr="00DB2987">
        <w:rPr>
          <w:rFonts w:eastAsia="Cambria"/>
        </w:rPr>
        <w:t>sido considerados</w:t>
      </w:r>
      <w:r w:rsidR="00C341E4" w:rsidRPr="00DB2987">
        <w:rPr>
          <w:rFonts w:eastAsia="Cambria"/>
        </w:rPr>
        <w:t xml:space="preserve"> </w:t>
      </w:r>
      <w:r w:rsidR="008A2CE0" w:rsidRPr="00DB2987">
        <w:rPr>
          <w:rFonts w:eastAsia="Cambria"/>
        </w:rPr>
        <w:t xml:space="preserve">conformes </w:t>
      </w:r>
      <w:r w:rsidR="00C33B57" w:rsidRPr="00DB2987">
        <w:rPr>
          <w:rFonts w:eastAsia="Cambria"/>
        </w:rPr>
        <w:t xml:space="preserve">con </w:t>
      </w:r>
      <w:r w:rsidR="00C341E4" w:rsidRPr="00DB2987">
        <w:rPr>
          <w:rFonts w:eastAsia="Cambria"/>
        </w:rPr>
        <w:t>el</w:t>
      </w:r>
      <w:r w:rsidR="00C33B57" w:rsidRPr="00DB2987">
        <w:rPr>
          <w:rFonts w:eastAsia="Cambria"/>
        </w:rPr>
        <w:t xml:space="preserve"> Convenio de la UPOV.</w:t>
      </w:r>
    </w:p>
    <w:p w:rsidR="002B0539" w:rsidRDefault="002B0539" w:rsidP="00670CCB">
      <w:pPr>
        <w:rPr>
          <w:rFonts w:eastAsia="Cambria"/>
        </w:rPr>
      </w:pPr>
    </w:p>
    <w:p w:rsidR="002B0539" w:rsidRPr="00DB2987" w:rsidRDefault="002B0539" w:rsidP="00670CCB">
      <w:pPr>
        <w:rPr>
          <w:rFonts w:eastAsia="Cambria"/>
          <w:lang w:val="es-ES"/>
        </w:rPr>
      </w:pPr>
    </w:p>
    <w:p w:rsidR="00AE66A3" w:rsidRDefault="002B0539" w:rsidP="002B0539">
      <w:pPr>
        <w:keepNext/>
      </w:pPr>
      <w:r>
        <w:t>2.</w:t>
      </w:r>
      <w:r>
        <w:tab/>
      </w:r>
      <w:r w:rsidR="008026C6" w:rsidRPr="00DB2987">
        <w:t>Modelos admitidos por la OCVV y ejemplos de aplicación</w:t>
      </w:r>
    </w:p>
    <w:p w:rsidR="002B0539" w:rsidRPr="00DB2987" w:rsidRDefault="002B0539" w:rsidP="002B0539">
      <w:pPr>
        <w:keepNext/>
        <w:rPr>
          <w:lang w:val="es-ES"/>
        </w:rPr>
      </w:pPr>
    </w:p>
    <w:p w:rsidR="00AE66A3" w:rsidRDefault="002B0539" w:rsidP="002B0539">
      <w:r>
        <w:t>2.1</w:t>
      </w:r>
      <w:r>
        <w:tab/>
      </w:r>
      <w:r w:rsidR="006A36DA" w:rsidRPr="00DB2987">
        <w:t xml:space="preserve">Marcadores </w:t>
      </w:r>
      <w:r w:rsidR="000A3C5E" w:rsidRPr="00DB2987">
        <w:t xml:space="preserve">ligados a </w:t>
      </w:r>
      <w:r w:rsidR="006A36DA" w:rsidRPr="00DB2987">
        <w:t>caracteres</w:t>
      </w:r>
    </w:p>
    <w:p w:rsidR="002B0539" w:rsidRPr="00DB2987" w:rsidRDefault="002B0539" w:rsidP="002B0539">
      <w:pPr>
        <w:rPr>
          <w:lang w:val="es-ES"/>
        </w:rPr>
      </w:pPr>
    </w:p>
    <w:p w:rsidR="00AE66A3" w:rsidRDefault="00607A36" w:rsidP="00670CCB">
      <w:pPr>
        <w:rPr>
          <w:rFonts w:eastAsia="Cambria"/>
          <w:lang w:val="es-ES"/>
        </w:rPr>
      </w:pPr>
      <w:r w:rsidRPr="00DB2987">
        <w:rPr>
          <w:rFonts w:eastAsia="Cambria"/>
        </w:rPr>
        <w:t>Si existe un vínculo claro</w:t>
      </w:r>
      <w:r w:rsidR="00AF0490" w:rsidRPr="00DB2987">
        <w:rPr>
          <w:rFonts w:eastAsia="Cambria"/>
        </w:rPr>
        <w:t xml:space="preserve">, </w:t>
      </w:r>
      <w:r w:rsidR="00427C8A" w:rsidRPr="00DB2987">
        <w:rPr>
          <w:rFonts w:eastAsia="Cambria"/>
        </w:rPr>
        <w:t>se pueden emplear</w:t>
      </w:r>
      <w:r w:rsidRPr="00DB2987">
        <w:rPr>
          <w:rFonts w:eastAsia="Cambria"/>
        </w:rPr>
        <w:t xml:space="preserve"> </w:t>
      </w:r>
      <w:r w:rsidR="0065120C" w:rsidRPr="00DB2987">
        <w:rPr>
          <w:rFonts w:eastAsia="Cambria"/>
        </w:rPr>
        <w:t xml:space="preserve">marcadores moleculares </w:t>
      </w:r>
      <w:r w:rsidR="00427C8A" w:rsidRPr="00DB2987">
        <w:rPr>
          <w:rFonts w:eastAsia="Cambria"/>
        </w:rPr>
        <w:t xml:space="preserve">como </w:t>
      </w:r>
      <w:r w:rsidRPr="00DB2987">
        <w:rPr>
          <w:rFonts w:eastAsia="Cambria"/>
        </w:rPr>
        <w:t>alternativa</w:t>
      </w:r>
      <w:r w:rsidR="0065120C" w:rsidRPr="00DB2987">
        <w:rPr>
          <w:rFonts w:eastAsia="Cambria"/>
        </w:rPr>
        <w:t xml:space="preserve"> </w:t>
      </w:r>
      <w:r w:rsidRPr="00DB2987">
        <w:rPr>
          <w:rFonts w:eastAsia="Cambria"/>
        </w:rPr>
        <w:t xml:space="preserve">a la observación </w:t>
      </w:r>
      <w:r w:rsidR="0065120C" w:rsidRPr="00DB2987">
        <w:rPr>
          <w:rFonts w:eastAsia="Cambria"/>
        </w:rPr>
        <w:t>fenotípica</w:t>
      </w:r>
      <w:r w:rsidR="00AF0490" w:rsidRPr="00DB2987">
        <w:rPr>
          <w:rFonts w:eastAsia="Cambria"/>
        </w:rPr>
        <w:t xml:space="preserve">, </w:t>
      </w:r>
      <w:r w:rsidR="00427C8A" w:rsidRPr="00DB2987">
        <w:rPr>
          <w:rFonts w:eastAsia="Cambria"/>
        </w:rPr>
        <w:t>para predecir</w:t>
      </w:r>
      <w:r w:rsidR="0065120C" w:rsidRPr="00DB2987">
        <w:rPr>
          <w:rFonts w:eastAsia="Cambria"/>
        </w:rPr>
        <w:t xml:space="preserve"> caracteres </w:t>
      </w:r>
      <w:r w:rsidRPr="00DB2987">
        <w:rPr>
          <w:rFonts w:eastAsia="Cambria"/>
        </w:rPr>
        <w:t xml:space="preserve">convencionales </w:t>
      </w:r>
      <w:r w:rsidR="00427C8A" w:rsidRPr="00DB2987">
        <w:rPr>
          <w:rFonts w:eastAsia="Cambria"/>
        </w:rPr>
        <w:t>cuya evaluación resulte</w:t>
      </w:r>
      <w:r w:rsidRPr="00DB2987">
        <w:rPr>
          <w:rFonts w:eastAsia="Cambria"/>
        </w:rPr>
        <w:t xml:space="preserve"> </w:t>
      </w:r>
      <w:r w:rsidR="0065120C" w:rsidRPr="00DB2987">
        <w:rPr>
          <w:rFonts w:eastAsia="Cambria"/>
        </w:rPr>
        <w:t xml:space="preserve">difícil o </w:t>
      </w:r>
      <w:r w:rsidR="00427C8A" w:rsidRPr="00DB2987">
        <w:rPr>
          <w:rFonts w:eastAsia="Cambria"/>
        </w:rPr>
        <w:t>laboriosa</w:t>
      </w:r>
      <w:r w:rsidR="0065120C" w:rsidRPr="00DB2987">
        <w:rPr>
          <w:rFonts w:eastAsia="Cambria"/>
        </w:rPr>
        <w:t>.</w:t>
      </w:r>
      <w:r w:rsidR="00AE66A3" w:rsidRPr="00DB2987">
        <w:rPr>
          <w:rFonts w:eastAsia="Cambria"/>
          <w:lang w:val="es-ES"/>
        </w:rPr>
        <w:t xml:space="preserve"> </w:t>
      </w:r>
      <w:r w:rsidR="00427C8A" w:rsidRPr="00DB2987">
        <w:rPr>
          <w:rFonts w:eastAsia="Cambria"/>
        </w:rPr>
        <w:t>La correlación que se establezca</w:t>
      </w:r>
      <w:r w:rsidR="001C3442" w:rsidRPr="00DB2987">
        <w:rPr>
          <w:rFonts w:eastAsia="Cambria"/>
        </w:rPr>
        <w:t xml:space="preserve"> </w:t>
      </w:r>
      <w:r w:rsidR="00427C8A" w:rsidRPr="00DB2987">
        <w:rPr>
          <w:rFonts w:eastAsia="Cambria"/>
        </w:rPr>
        <w:t>entre dichos marcadores y el fenotipo puede ser</w:t>
      </w:r>
      <w:r w:rsidR="001C3442" w:rsidRPr="00DB2987">
        <w:rPr>
          <w:rFonts w:eastAsia="Cambria"/>
        </w:rPr>
        <w:t xml:space="preserve"> total o parcial</w:t>
      </w:r>
      <w:r w:rsidRPr="00DB2987">
        <w:rPr>
          <w:rFonts w:eastAsia="Cambria"/>
        </w:rPr>
        <w:t>.</w:t>
      </w:r>
      <w:r w:rsidR="00AE66A3" w:rsidRPr="00DB2987">
        <w:rPr>
          <w:rFonts w:eastAsia="Cambria"/>
          <w:lang w:val="es-ES"/>
        </w:rPr>
        <w:t xml:space="preserve"> </w:t>
      </w:r>
      <w:r w:rsidR="0092576C" w:rsidRPr="00DB2987">
        <w:rPr>
          <w:rFonts w:eastAsia="Cambria"/>
        </w:rPr>
        <w:t>Estos</w:t>
      </w:r>
      <w:r w:rsidR="001C3442" w:rsidRPr="00DB2987">
        <w:rPr>
          <w:rFonts w:eastAsia="Cambria"/>
        </w:rPr>
        <w:t xml:space="preserve"> métodos </w:t>
      </w:r>
      <w:r w:rsidR="0092576C" w:rsidRPr="00DB2987">
        <w:rPr>
          <w:rFonts w:eastAsia="Cambria"/>
        </w:rPr>
        <w:t xml:space="preserve">se incluyen </w:t>
      </w:r>
      <w:r w:rsidR="001C3442" w:rsidRPr="00DB2987">
        <w:rPr>
          <w:rFonts w:eastAsia="Cambria"/>
        </w:rPr>
        <w:t xml:space="preserve">en </w:t>
      </w:r>
      <w:r w:rsidR="0092576C" w:rsidRPr="00DB2987">
        <w:rPr>
          <w:rFonts w:eastAsia="Cambria"/>
        </w:rPr>
        <w:t xml:space="preserve">los </w:t>
      </w:r>
      <w:r w:rsidR="001C3442" w:rsidRPr="00DB2987">
        <w:rPr>
          <w:rFonts w:eastAsia="Cambria"/>
        </w:rPr>
        <w:t xml:space="preserve">protocolos técnicos de la OCVV sobre la base de </w:t>
      </w:r>
      <w:r w:rsidR="00754831" w:rsidRPr="00DB2987">
        <w:rPr>
          <w:rFonts w:eastAsia="Cambria"/>
        </w:rPr>
        <w:t xml:space="preserve">la </w:t>
      </w:r>
      <w:r w:rsidR="001C3442" w:rsidRPr="00DB2987">
        <w:rPr>
          <w:rFonts w:eastAsia="Cambria"/>
        </w:rPr>
        <w:t>evaluación</w:t>
      </w:r>
      <w:r w:rsidR="00621B11" w:rsidRPr="00DB2987">
        <w:rPr>
          <w:rFonts w:eastAsia="Cambria"/>
        </w:rPr>
        <w:t>/</w:t>
      </w:r>
      <w:r w:rsidR="001C3442" w:rsidRPr="00DB2987">
        <w:rPr>
          <w:rFonts w:eastAsia="Cambria"/>
        </w:rPr>
        <w:t xml:space="preserve">validación y las </w:t>
      </w:r>
      <w:r w:rsidR="00621B11" w:rsidRPr="00DB2987">
        <w:rPr>
          <w:rFonts w:eastAsia="Cambria"/>
        </w:rPr>
        <w:t xml:space="preserve">indicaciones </w:t>
      </w:r>
      <w:r w:rsidR="001C3442" w:rsidRPr="00DB2987">
        <w:rPr>
          <w:rFonts w:eastAsia="Cambria"/>
        </w:rPr>
        <w:t xml:space="preserve">de los grupos de </w:t>
      </w:r>
      <w:r w:rsidR="00104D0A" w:rsidRPr="00DB2987">
        <w:rPr>
          <w:rFonts w:eastAsia="Cambria"/>
        </w:rPr>
        <w:t>expertos en cultivos</w:t>
      </w:r>
      <w:r w:rsidR="001C3442" w:rsidRPr="00DB2987">
        <w:rPr>
          <w:rFonts w:eastAsia="Cambria"/>
        </w:rPr>
        <w:t xml:space="preserve"> de la OCVV.</w:t>
      </w:r>
      <w:r w:rsidR="00AE66A3" w:rsidRPr="00DB2987">
        <w:rPr>
          <w:rFonts w:eastAsia="Cambria"/>
          <w:lang w:val="es-ES"/>
        </w:rPr>
        <w:t xml:space="preserve"> </w:t>
      </w:r>
    </w:p>
    <w:p w:rsidR="002B0539" w:rsidRPr="00DB2987" w:rsidRDefault="002B0539" w:rsidP="00670CCB">
      <w:pPr>
        <w:rPr>
          <w:rFonts w:eastAsia="Cambria"/>
          <w:lang w:val="es-ES"/>
        </w:rPr>
      </w:pPr>
    </w:p>
    <w:p w:rsidR="00AE66A3" w:rsidRDefault="002B0539" w:rsidP="002B0539">
      <w:pPr>
        <w:rPr>
          <w:rFonts w:eastAsia="Cambria"/>
        </w:rPr>
      </w:pPr>
      <w:r>
        <w:rPr>
          <w:rFonts w:eastAsia="Cambria"/>
        </w:rPr>
        <w:t>2.1.1.</w:t>
      </w:r>
      <w:r>
        <w:rPr>
          <w:rFonts w:eastAsia="Cambria"/>
        </w:rPr>
        <w:tab/>
      </w:r>
      <w:r w:rsidR="0092576C" w:rsidRPr="00DB2987">
        <w:rPr>
          <w:rFonts w:eastAsia="Cambria"/>
        </w:rPr>
        <w:t xml:space="preserve">Marcadores </w:t>
      </w:r>
      <w:r w:rsidR="0010239E" w:rsidRPr="00DB2987">
        <w:rPr>
          <w:rFonts w:eastAsia="Cambria"/>
        </w:rPr>
        <w:t>que guardan una correlación del</w:t>
      </w:r>
      <w:r w:rsidR="00AF0490" w:rsidRPr="00DB2987">
        <w:rPr>
          <w:rFonts w:eastAsia="Cambria"/>
        </w:rPr>
        <w:t> 1</w:t>
      </w:r>
      <w:r w:rsidR="0092576C" w:rsidRPr="00DB2987">
        <w:rPr>
          <w:rFonts w:eastAsia="Cambria"/>
        </w:rPr>
        <w:t xml:space="preserve">00% </w:t>
      </w:r>
      <w:r w:rsidR="0010239E" w:rsidRPr="00DB2987">
        <w:rPr>
          <w:rFonts w:eastAsia="Cambria"/>
        </w:rPr>
        <w:t xml:space="preserve">con un determinado </w:t>
      </w:r>
      <w:r w:rsidR="0092576C" w:rsidRPr="00DB2987">
        <w:rPr>
          <w:rFonts w:eastAsia="Cambria"/>
        </w:rPr>
        <w:t>nivel de expresión de</w:t>
      </w:r>
      <w:r w:rsidR="0010239E" w:rsidRPr="00DB2987">
        <w:rPr>
          <w:rFonts w:eastAsia="Cambria"/>
        </w:rPr>
        <w:t>l</w:t>
      </w:r>
      <w:r w:rsidR="0092576C" w:rsidRPr="00DB2987">
        <w:rPr>
          <w:rFonts w:eastAsia="Cambria"/>
        </w:rPr>
        <w:t xml:space="preserve"> carácter</w:t>
      </w:r>
    </w:p>
    <w:p w:rsidR="002B0539" w:rsidRPr="00DB2987" w:rsidRDefault="002B0539" w:rsidP="002B0539">
      <w:pPr>
        <w:rPr>
          <w:rFonts w:eastAsia="Cambria"/>
          <w:lang w:val="es-ES"/>
        </w:rPr>
      </w:pPr>
    </w:p>
    <w:p w:rsidR="00AE66A3" w:rsidRPr="00DB2987" w:rsidRDefault="008A3763" w:rsidP="00670CCB">
      <w:pPr>
        <w:rPr>
          <w:rFonts w:eastAsia="Cambria"/>
          <w:lang w:val="es-ES"/>
        </w:rPr>
      </w:pPr>
      <w:r w:rsidRPr="00DB2987">
        <w:rPr>
          <w:rFonts w:eastAsia="Cambria"/>
        </w:rPr>
        <w:t>En es</w:t>
      </w:r>
      <w:r w:rsidR="00E5395D" w:rsidRPr="00DB2987">
        <w:rPr>
          <w:rFonts w:eastAsia="Cambria"/>
        </w:rPr>
        <w:t>e</w:t>
      </w:r>
      <w:r w:rsidRPr="00DB2987">
        <w:rPr>
          <w:rFonts w:eastAsia="Cambria"/>
        </w:rPr>
        <w:t xml:space="preserve"> caso</w:t>
      </w:r>
      <w:r w:rsidR="00AF0490" w:rsidRPr="00DB2987">
        <w:rPr>
          <w:rFonts w:eastAsia="Cambria"/>
        </w:rPr>
        <w:t xml:space="preserve">, </w:t>
      </w:r>
      <w:r w:rsidRPr="00DB2987">
        <w:rPr>
          <w:rFonts w:eastAsia="Cambria"/>
        </w:rPr>
        <w:t>el marcador puede reemplazar a la observación fenotípica.</w:t>
      </w:r>
    </w:p>
    <w:p w:rsidR="00AE66A3" w:rsidRPr="00DB2987" w:rsidRDefault="00AE66A3" w:rsidP="00AE66A3">
      <w:pPr>
        <w:rPr>
          <w:rFonts w:eastAsia="Cambria"/>
          <w:lang w:val="es-ES"/>
        </w:rPr>
      </w:pPr>
    </w:p>
    <w:p w:rsidR="00AE66A3" w:rsidRPr="00DB2987" w:rsidRDefault="008A3763" w:rsidP="00670CCB">
      <w:pPr>
        <w:rPr>
          <w:rFonts w:eastAsia="Cambria"/>
          <w:lang w:val="es-ES"/>
        </w:rPr>
      </w:pPr>
      <w:r w:rsidRPr="00DB2987">
        <w:rPr>
          <w:rFonts w:eastAsia="Cambria"/>
        </w:rPr>
        <w:t>Ejemplos de tales caracteres:</w:t>
      </w:r>
    </w:p>
    <w:p w:rsidR="00AE66A3" w:rsidRPr="00DB2987" w:rsidRDefault="00AE66A3" w:rsidP="00670CCB">
      <w:pPr>
        <w:ind w:left="567"/>
        <w:rPr>
          <w:rFonts w:eastAsia="Cambria"/>
          <w:lang w:val="es-ES"/>
        </w:rPr>
      </w:pPr>
      <w:r w:rsidRPr="00DB2987">
        <w:rPr>
          <w:rFonts w:eastAsia="Cambria"/>
          <w:lang w:val="es-ES"/>
        </w:rPr>
        <w:t xml:space="preserve">- </w:t>
      </w:r>
      <w:r w:rsidR="008A3763" w:rsidRPr="00DB2987">
        <w:rPr>
          <w:rFonts w:eastAsia="Cambria"/>
        </w:rPr>
        <w:t xml:space="preserve">resistencia a enfermedades mono- u </w:t>
      </w:r>
      <w:proofErr w:type="spellStart"/>
      <w:r w:rsidR="008A3763" w:rsidRPr="00DB2987">
        <w:rPr>
          <w:rFonts w:eastAsia="Cambria"/>
        </w:rPr>
        <w:t>oligogénicas</w:t>
      </w:r>
      <w:proofErr w:type="spellEnd"/>
      <w:r w:rsidR="008A3763" w:rsidRPr="00DB2987">
        <w:rPr>
          <w:rFonts w:eastAsia="Cambria"/>
        </w:rPr>
        <w:t xml:space="preserve"> (por ejemplo</w:t>
      </w:r>
      <w:r w:rsidR="00AF0490" w:rsidRPr="00DB2987">
        <w:rPr>
          <w:rFonts w:eastAsia="Cambria"/>
        </w:rPr>
        <w:t xml:space="preserve">, </w:t>
      </w:r>
      <w:r w:rsidR="008A3763" w:rsidRPr="00DB2987">
        <w:rPr>
          <w:rFonts w:eastAsia="Cambria"/>
        </w:rPr>
        <w:t>enfermedades de plantas hortícolas</w:t>
      </w:r>
      <w:r w:rsidR="00AF0490" w:rsidRPr="00DB2987">
        <w:rPr>
          <w:rFonts w:eastAsia="Cambria"/>
        </w:rPr>
        <w:t xml:space="preserve">, </w:t>
      </w:r>
      <w:r w:rsidR="008A3763" w:rsidRPr="00DB2987">
        <w:rPr>
          <w:rFonts w:eastAsia="Cambria"/>
        </w:rPr>
        <w:t xml:space="preserve">resistencia al nematodo </w:t>
      </w:r>
      <w:proofErr w:type="spellStart"/>
      <w:r w:rsidR="008A3763" w:rsidRPr="00DB2987">
        <w:rPr>
          <w:rFonts w:eastAsia="Cambria"/>
          <w:i/>
          <w:iCs/>
        </w:rPr>
        <w:t>Heterodera</w:t>
      </w:r>
      <w:proofErr w:type="spellEnd"/>
      <w:r w:rsidR="008A3763" w:rsidRPr="00DB2987">
        <w:rPr>
          <w:rFonts w:eastAsia="Cambria"/>
          <w:i/>
          <w:iCs/>
        </w:rPr>
        <w:t xml:space="preserve"> </w:t>
      </w:r>
      <w:proofErr w:type="spellStart"/>
      <w:r w:rsidR="008A3763" w:rsidRPr="00DB2987">
        <w:rPr>
          <w:rFonts w:eastAsia="Cambria"/>
          <w:i/>
          <w:iCs/>
        </w:rPr>
        <w:t>schachtii</w:t>
      </w:r>
      <w:proofErr w:type="spellEnd"/>
      <w:r w:rsidR="008A3763" w:rsidRPr="00DB2987">
        <w:rPr>
          <w:rFonts w:eastAsia="Cambria"/>
        </w:rPr>
        <w:t xml:space="preserve"> en la remolacha azucarera);</w:t>
      </w:r>
    </w:p>
    <w:p w:rsidR="00AE66A3" w:rsidRPr="00DB2987" w:rsidRDefault="00AE66A3" w:rsidP="00670CCB">
      <w:pPr>
        <w:ind w:left="567"/>
        <w:rPr>
          <w:rFonts w:eastAsia="Cambria"/>
          <w:lang w:val="es-ES"/>
        </w:rPr>
      </w:pPr>
      <w:r w:rsidRPr="00DB2987">
        <w:rPr>
          <w:rFonts w:eastAsia="Cambria"/>
          <w:lang w:val="es-ES"/>
        </w:rPr>
        <w:t xml:space="preserve">- </w:t>
      </w:r>
      <w:proofErr w:type="spellStart"/>
      <w:r w:rsidR="008A3763" w:rsidRPr="00DB2987">
        <w:rPr>
          <w:rFonts w:eastAsia="Cambria"/>
        </w:rPr>
        <w:t>androesterilidad</w:t>
      </w:r>
      <w:proofErr w:type="spellEnd"/>
      <w:r w:rsidR="008A3763" w:rsidRPr="00DB2987">
        <w:rPr>
          <w:rFonts w:eastAsia="Cambria"/>
        </w:rPr>
        <w:t xml:space="preserve"> citoplasmática en </w:t>
      </w:r>
      <w:r w:rsidR="006E7C79" w:rsidRPr="00DB2987">
        <w:rPr>
          <w:rFonts w:eastAsia="Cambria"/>
        </w:rPr>
        <w:t>coles;</w:t>
      </w:r>
    </w:p>
    <w:p w:rsidR="00AE66A3" w:rsidRPr="00DB2987" w:rsidRDefault="00AE66A3" w:rsidP="00670CCB">
      <w:pPr>
        <w:ind w:left="567"/>
        <w:rPr>
          <w:rFonts w:eastAsia="Cambria"/>
          <w:lang w:val="es-ES"/>
        </w:rPr>
      </w:pPr>
      <w:r w:rsidRPr="00DB2987">
        <w:rPr>
          <w:rFonts w:eastAsia="Cambria"/>
          <w:lang w:val="es-ES"/>
        </w:rPr>
        <w:t xml:space="preserve">- </w:t>
      </w:r>
      <w:r w:rsidR="006E7C79" w:rsidRPr="00DB2987">
        <w:rPr>
          <w:rFonts w:eastAsia="Cambria"/>
        </w:rPr>
        <w:t>herbicidas (por ejemplo</w:t>
      </w:r>
      <w:r w:rsidR="00AF0490" w:rsidRPr="00DB2987">
        <w:rPr>
          <w:rFonts w:eastAsia="Cambria"/>
        </w:rPr>
        <w:t xml:space="preserve">, </w:t>
      </w:r>
      <w:r w:rsidR="00B10468" w:rsidRPr="00DB2987">
        <w:rPr>
          <w:rFonts w:eastAsia="Cambria"/>
        </w:rPr>
        <w:t xml:space="preserve">el </w:t>
      </w:r>
      <w:r w:rsidR="006E7C79" w:rsidRPr="00DB2987">
        <w:rPr>
          <w:rFonts w:eastAsia="Cambria"/>
        </w:rPr>
        <w:t>girasol</w:t>
      </w:r>
      <w:r w:rsidR="00AF0490" w:rsidRPr="00DB2987">
        <w:rPr>
          <w:rFonts w:eastAsia="Cambria"/>
        </w:rPr>
        <w:t xml:space="preserve">, </w:t>
      </w:r>
      <w:r w:rsidR="00B10468" w:rsidRPr="00DB2987">
        <w:rPr>
          <w:rFonts w:eastAsia="Cambria"/>
        </w:rPr>
        <w:t xml:space="preserve">la </w:t>
      </w:r>
      <w:r w:rsidR="006E7C79" w:rsidRPr="00DB2987">
        <w:rPr>
          <w:rFonts w:eastAsia="Cambria"/>
        </w:rPr>
        <w:t>colza).</w:t>
      </w:r>
    </w:p>
    <w:p w:rsidR="00AE66A3" w:rsidRPr="00DB2987" w:rsidRDefault="00AE66A3" w:rsidP="00AE66A3">
      <w:pPr>
        <w:rPr>
          <w:rFonts w:eastAsia="Cambria"/>
          <w:lang w:val="es-ES"/>
        </w:rPr>
      </w:pPr>
    </w:p>
    <w:p w:rsidR="00AE66A3" w:rsidRDefault="006E7C79" w:rsidP="00670CCB">
      <w:pPr>
        <w:rPr>
          <w:rFonts w:eastAsia="Cambria"/>
        </w:rPr>
      </w:pPr>
      <w:r w:rsidRPr="00DB2987">
        <w:rPr>
          <w:rFonts w:eastAsia="Cambria"/>
        </w:rPr>
        <w:t>Por el momento</w:t>
      </w:r>
      <w:r w:rsidR="00AF0490" w:rsidRPr="00DB2987">
        <w:rPr>
          <w:rFonts w:eastAsia="Cambria"/>
        </w:rPr>
        <w:t xml:space="preserve">, </w:t>
      </w:r>
      <w:r w:rsidRPr="00DB2987">
        <w:rPr>
          <w:rFonts w:eastAsia="Cambria"/>
        </w:rPr>
        <w:t>ninguno de estos marcadores ha sido incluido en los protocolos técnicos de la OCVV.</w:t>
      </w:r>
    </w:p>
    <w:p w:rsidR="002B0539" w:rsidRPr="00DB2987" w:rsidRDefault="002B0539" w:rsidP="00670CCB">
      <w:pPr>
        <w:rPr>
          <w:rFonts w:eastAsia="Cambria"/>
          <w:lang w:val="es-ES"/>
        </w:rPr>
      </w:pPr>
    </w:p>
    <w:p w:rsidR="00AE66A3" w:rsidRDefault="002B0539" w:rsidP="002B0539">
      <w:pPr>
        <w:rPr>
          <w:rFonts w:eastAsia="Cambria"/>
        </w:rPr>
      </w:pPr>
      <w:r>
        <w:rPr>
          <w:rFonts w:eastAsia="Cambria"/>
        </w:rPr>
        <w:t>2.1.2.</w:t>
      </w:r>
      <w:r>
        <w:rPr>
          <w:rFonts w:eastAsia="Cambria"/>
        </w:rPr>
        <w:tab/>
      </w:r>
      <w:r w:rsidR="006E7C79" w:rsidRPr="00DB2987">
        <w:rPr>
          <w:rFonts w:eastAsia="Cambria"/>
        </w:rPr>
        <w:t xml:space="preserve">Marcadores </w:t>
      </w:r>
      <w:r w:rsidR="006377AB" w:rsidRPr="00DB2987">
        <w:rPr>
          <w:rFonts w:eastAsia="Cambria"/>
        </w:rPr>
        <w:t xml:space="preserve">que aportan </w:t>
      </w:r>
      <w:r w:rsidR="00C51657" w:rsidRPr="00DB2987">
        <w:rPr>
          <w:rFonts w:eastAsia="Cambria"/>
        </w:rPr>
        <w:t>información</w:t>
      </w:r>
      <w:r w:rsidR="006E7C79" w:rsidRPr="00DB2987">
        <w:rPr>
          <w:rFonts w:eastAsia="Cambria"/>
        </w:rPr>
        <w:t xml:space="preserve"> </w:t>
      </w:r>
      <w:r w:rsidR="00C51657" w:rsidRPr="00DB2987">
        <w:rPr>
          <w:rFonts w:eastAsia="Cambria"/>
        </w:rPr>
        <w:t xml:space="preserve">incompleta sobre el </w:t>
      </w:r>
      <w:r w:rsidR="006E7C79" w:rsidRPr="00DB2987">
        <w:rPr>
          <w:rFonts w:eastAsia="Cambria"/>
        </w:rPr>
        <w:t>nivel de expresión del carácter</w:t>
      </w:r>
    </w:p>
    <w:p w:rsidR="002B0539" w:rsidRPr="00DB2987" w:rsidRDefault="002B0539" w:rsidP="002B0539">
      <w:pPr>
        <w:rPr>
          <w:rFonts w:eastAsia="Cambria"/>
          <w:lang w:val="es-ES"/>
        </w:rPr>
      </w:pPr>
    </w:p>
    <w:p w:rsidR="00AE66A3" w:rsidRPr="00DB2987" w:rsidRDefault="006377AB" w:rsidP="00670CCB">
      <w:pPr>
        <w:rPr>
          <w:rFonts w:eastAsia="Cambria"/>
          <w:vanish/>
        </w:rPr>
      </w:pPr>
      <w:r w:rsidRPr="00DB2987">
        <w:rPr>
          <w:rFonts w:eastAsia="Cambria"/>
        </w:rPr>
        <w:t xml:space="preserve">En ese </w:t>
      </w:r>
      <w:r w:rsidR="00C51657" w:rsidRPr="00DB2987">
        <w:rPr>
          <w:rFonts w:eastAsia="Cambria"/>
        </w:rPr>
        <w:t>caso</w:t>
      </w:r>
      <w:r w:rsidR="00AF0490" w:rsidRPr="00DB2987">
        <w:rPr>
          <w:rFonts w:eastAsia="Cambria"/>
        </w:rPr>
        <w:t xml:space="preserve">, </w:t>
      </w:r>
      <w:r w:rsidR="00C37FE8" w:rsidRPr="00DB2987">
        <w:rPr>
          <w:rFonts w:eastAsia="Cambria"/>
        </w:rPr>
        <w:t>el</w:t>
      </w:r>
      <w:r w:rsidR="00C51657" w:rsidRPr="00DB2987">
        <w:rPr>
          <w:rFonts w:eastAsia="Cambria"/>
        </w:rPr>
        <w:t xml:space="preserve"> marcador </w:t>
      </w:r>
      <w:r w:rsidR="00B10468" w:rsidRPr="00DB2987">
        <w:rPr>
          <w:rFonts w:eastAsia="Cambria"/>
        </w:rPr>
        <w:t xml:space="preserve">está </w:t>
      </w:r>
      <w:r w:rsidR="00C51657" w:rsidRPr="00DB2987">
        <w:rPr>
          <w:rFonts w:eastAsia="Cambria"/>
        </w:rPr>
        <w:t>solo</w:t>
      </w:r>
      <w:r w:rsidR="00C37FE8" w:rsidRPr="00DB2987">
        <w:rPr>
          <w:rFonts w:eastAsia="Cambria"/>
        </w:rPr>
        <w:t xml:space="preserve"> </w:t>
      </w:r>
      <w:r w:rsidR="00C51657" w:rsidRPr="00DB2987">
        <w:rPr>
          <w:rFonts w:eastAsia="Cambria"/>
        </w:rPr>
        <w:t>parcialmente li</w:t>
      </w:r>
      <w:r w:rsidR="00C37FE8" w:rsidRPr="00DB2987">
        <w:rPr>
          <w:rFonts w:eastAsia="Cambria"/>
        </w:rPr>
        <w:t xml:space="preserve">gado al </w:t>
      </w:r>
      <w:r w:rsidR="00C51657" w:rsidRPr="00DB2987">
        <w:rPr>
          <w:rFonts w:eastAsia="Cambria"/>
        </w:rPr>
        <w:t xml:space="preserve">carácter y </w:t>
      </w:r>
      <w:r w:rsidR="00C37FE8" w:rsidRPr="00DB2987">
        <w:rPr>
          <w:rFonts w:eastAsia="Cambria"/>
        </w:rPr>
        <w:t>aporta información incompleta sobre su nivel de expresión</w:t>
      </w:r>
      <w:r w:rsidR="00C51657" w:rsidRPr="00DB2987">
        <w:rPr>
          <w:rFonts w:eastAsia="Cambria"/>
        </w:rPr>
        <w:t>.</w:t>
      </w:r>
      <w:r w:rsidR="00AE66A3" w:rsidRPr="00DB2987">
        <w:rPr>
          <w:rFonts w:eastAsia="Cambria"/>
          <w:lang w:val="es-ES"/>
        </w:rPr>
        <w:t xml:space="preserve"> </w:t>
      </w:r>
      <w:r w:rsidR="00B10468" w:rsidRPr="00DB2987">
        <w:rPr>
          <w:rFonts w:eastAsia="Cambria"/>
        </w:rPr>
        <w:t xml:space="preserve">Su uso ha de describirse en un </w:t>
      </w:r>
      <w:r w:rsidR="00FF597E" w:rsidRPr="00DB2987">
        <w:rPr>
          <w:rFonts w:eastAsia="Cambria"/>
        </w:rPr>
        <w:t xml:space="preserve">sistema </w:t>
      </w:r>
      <w:r w:rsidR="00B10468" w:rsidRPr="00DB2987">
        <w:rPr>
          <w:rFonts w:eastAsia="Cambria"/>
        </w:rPr>
        <w:t>de evaluación en el que se detallen las situaciones en que puede utilizarse y cu</w:t>
      </w:r>
      <w:r w:rsidR="00FF597E" w:rsidRPr="00DB2987">
        <w:rPr>
          <w:rFonts w:eastAsia="Cambria"/>
        </w:rPr>
        <w:t>á</w:t>
      </w:r>
      <w:r w:rsidR="00B10468" w:rsidRPr="00DB2987">
        <w:rPr>
          <w:rFonts w:eastAsia="Cambria"/>
        </w:rPr>
        <w:t xml:space="preserve">ndo debe complementarse con </w:t>
      </w:r>
      <w:r w:rsidR="00FF597E" w:rsidRPr="00DB2987">
        <w:rPr>
          <w:rFonts w:eastAsia="Cambria"/>
        </w:rPr>
        <w:t>l</w:t>
      </w:r>
      <w:r w:rsidR="00B10468" w:rsidRPr="00DB2987">
        <w:rPr>
          <w:rFonts w:eastAsia="Cambria"/>
        </w:rPr>
        <w:t>a observación fenotípica.</w:t>
      </w:r>
      <w:r w:rsidR="00FF597E" w:rsidRPr="00DB2987">
        <w:rPr>
          <w:rFonts w:eastAsia="Cambria"/>
          <w:vanish/>
        </w:rPr>
        <w:t xml:space="preserve">  </w:t>
      </w:r>
    </w:p>
    <w:p w:rsidR="00FF597E" w:rsidRPr="00DB2987" w:rsidRDefault="00FF597E" w:rsidP="00FF597E">
      <w:pPr>
        <w:rPr>
          <w:rFonts w:eastAsia="Cambria"/>
          <w:lang w:val="es-ES"/>
        </w:rPr>
      </w:pPr>
    </w:p>
    <w:p w:rsidR="00AE66A3" w:rsidRPr="00DB2987" w:rsidRDefault="00B10468" w:rsidP="00670CCB">
      <w:pPr>
        <w:rPr>
          <w:rFonts w:eastAsia="Cambria"/>
          <w:lang w:val="es-ES"/>
        </w:rPr>
      </w:pPr>
      <w:r w:rsidRPr="00DB2987">
        <w:rPr>
          <w:rFonts w:eastAsia="Cambria"/>
        </w:rPr>
        <w:t>Ejemplos de tales caracteres:</w:t>
      </w:r>
      <w:r w:rsidR="00AE66A3" w:rsidRPr="00DB2987">
        <w:rPr>
          <w:rFonts w:eastAsia="Cambria"/>
          <w:lang w:val="es-ES"/>
        </w:rPr>
        <w:t xml:space="preserve"> </w:t>
      </w:r>
      <w:r w:rsidRPr="00DB2987">
        <w:rPr>
          <w:rFonts w:eastAsia="Cambria"/>
        </w:rPr>
        <w:t>resistencia cuantitativa a enfermedades en plantas hortícolas</w:t>
      </w:r>
      <w:r w:rsidR="00AF0490" w:rsidRPr="00DB2987">
        <w:rPr>
          <w:rFonts w:eastAsia="Cambria"/>
        </w:rPr>
        <w:t xml:space="preserve">, </w:t>
      </w:r>
      <w:r w:rsidRPr="00DB2987">
        <w:rPr>
          <w:rFonts w:eastAsia="Cambria"/>
        </w:rPr>
        <w:t>por ejemplo:</w:t>
      </w:r>
    </w:p>
    <w:p w:rsidR="00AE66A3" w:rsidRPr="00DB2987" w:rsidRDefault="00AE66A3" w:rsidP="00670CCB">
      <w:pPr>
        <w:ind w:left="567"/>
        <w:rPr>
          <w:rFonts w:eastAsia="Cambria"/>
          <w:lang w:val="es-ES"/>
        </w:rPr>
      </w:pPr>
      <w:r w:rsidRPr="00DB2987">
        <w:rPr>
          <w:rFonts w:eastAsia="Cambria"/>
          <w:lang w:val="es-ES"/>
        </w:rPr>
        <w:t xml:space="preserve">- </w:t>
      </w:r>
      <w:r w:rsidR="00B10468" w:rsidRPr="00DB2987">
        <w:rPr>
          <w:rFonts w:eastAsia="Cambria"/>
        </w:rPr>
        <w:t>el virus del mosaico del tomate (</w:t>
      </w:r>
      <w:proofErr w:type="spellStart"/>
      <w:r w:rsidR="00B10468" w:rsidRPr="00DB2987">
        <w:rPr>
          <w:rFonts w:eastAsia="Cambria"/>
        </w:rPr>
        <w:t>ToMV</w:t>
      </w:r>
      <w:proofErr w:type="spellEnd"/>
      <w:r w:rsidR="00B10468" w:rsidRPr="00DB2987">
        <w:rPr>
          <w:rFonts w:eastAsia="Cambria"/>
        </w:rPr>
        <w:t>);</w:t>
      </w:r>
    </w:p>
    <w:p w:rsidR="00AE66A3" w:rsidRPr="00DB2987" w:rsidRDefault="00AE66A3" w:rsidP="00670CCB">
      <w:pPr>
        <w:ind w:left="567"/>
        <w:rPr>
          <w:rFonts w:eastAsia="Cambria"/>
          <w:lang w:val="es-ES"/>
        </w:rPr>
      </w:pPr>
      <w:r w:rsidRPr="00DB2987">
        <w:rPr>
          <w:rFonts w:eastAsia="Cambria"/>
          <w:lang w:val="es-ES"/>
        </w:rPr>
        <w:t xml:space="preserve">- </w:t>
      </w:r>
      <w:r w:rsidR="00B10468" w:rsidRPr="00DB2987">
        <w:rPr>
          <w:rFonts w:eastAsia="Cambria"/>
        </w:rPr>
        <w:t>el virus del bronceado del tomate (TSWV).</w:t>
      </w:r>
    </w:p>
    <w:p w:rsidR="00AE66A3" w:rsidRPr="00DB2987" w:rsidRDefault="00AE66A3" w:rsidP="00AE66A3">
      <w:pPr>
        <w:rPr>
          <w:rFonts w:eastAsia="Cambria"/>
          <w:lang w:val="es-ES"/>
        </w:rPr>
      </w:pPr>
    </w:p>
    <w:p w:rsidR="00AE66A3" w:rsidRDefault="00EE66F5" w:rsidP="00670CCB">
      <w:pPr>
        <w:rPr>
          <w:rFonts w:eastAsia="Cambria"/>
        </w:rPr>
      </w:pPr>
      <w:r w:rsidRPr="00DB2987">
        <w:rPr>
          <w:rFonts w:eastAsia="Cambria"/>
        </w:rPr>
        <w:t xml:space="preserve">En los protocolos técnicos de la OCVV para el tomate (4.4-2) y el </w:t>
      </w:r>
      <w:proofErr w:type="spellStart"/>
      <w:r w:rsidRPr="00DB2987">
        <w:rPr>
          <w:rFonts w:eastAsia="Cambria"/>
        </w:rPr>
        <w:t>portainjertos</w:t>
      </w:r>
      <w:proofErr w:type="spellEnd"/>
      <w:r w:rsidRPr="00DB2987">
        <w:rPr>
          <w:rFonts w:eastAsia="Cambria"/>
        </w:rPr>
        <w:t xml:space="preserve"> de tomate (1.4) se han incluido los </w:t>
      </w:r>
      <w:r w:rsidR="00E47400" w:rsidRPr="00DB2987">
        <w:rPr>
          <w:rFonts w:eastAsia="Cambria"/>
        </w:rPr>
        <w:t>dos conjuntos</w:t>
      </w:r>
      <w:r w:rsidR="00B10468" w:rsidRPr="00DB2987">
        <w:rPr>
          <w:rFonts w:eastAsia="Cambria"/>
        </w:rPr>
        <w:t xml:space="preserve"> de </w:t>
      </w:r>
      <w:r w:rsidR="00E47400" w:rsidRPr="00DB2987">
        <w:rPr>
          <w:rFonts w:eastAsia="Cambria"/>
        </w:rPr>
        <w:t xml:space="preserve">marcadores </w:t>
      </w:r>
      <w:proofErr w:type="spellStart"/>
      <w:r w:rsidR="00B10468" w:rsidRPr="00DB2987">
        <w:rPr>
          <w:rFonts w:eastAsia="Cambria"/>
        </w:rPr>
        <w:t>codominante</w:t>
      </w:r>
      <w:r w:rsidR="00E47400" w:rsidRPr="00DB2987">
        <w:rPr>
          <w:rFonts w:eastAsia="Cambria"/>
        </w:rPr>
        <w:t>s</w:t>
      </w:r>
      <w:proofErr w:type="spellEnd"/>
      <w:r w:rsidR="00B10468" w:rsidRPr="00DB2987">
        <w:rPr>
          <w:rFonts w:eastAsia="Cambria"/>
        </w:rPr>
        <w:t xml:space="preserve"> </w:t>
      </w:r>
      <w:r w:rsidR="00E47400" w:rsidRPr="00DB2987">
        <w:rPr>
          <w:rFonts w:eastAsia="Cambria"/>
        </w:rPr>
        <w:t>desarrollados</w:t>
      </w:r>
      <w:r w:rsidR="00B10468" w:rsidRPr="00DB2987">
        <w:rPr>
          <w:rFonts w:eastAsia="Cambria"/>
        </w:rPr>
        <w:t xml:space="preserve"> </w:t>
      </w:r>
      <w:r w:rsidR="00E47400" w:rsidRPr="00DB2987">
        <w:rPr>
          <w:rFonts w:eastAsia="Cambria"/>
        </w:rPr>
        <w:t xml:space="preserve">para estos dos virus del </w:t>
      </w:r>
      <w:r w:rsidR="00B10468" w:rsidRPr="00DB2987">
        <w:rPr>
          <w:rFonts w:eastAsia="Cambria"/>
        </w:rPr>
        <w:t xml:space="preserve">tomate </w:t>
      </w:r>
      <w:r w:rsidR="00E47400" w:rsidRPr="00DB2987">
        <w:rPr>
          <w:rFonts w:eastAsia="Cambria"/>
        </w:rPr>
        <w:t>como</w:t>
      </w:r>
      <w:r w:rsidR="00B10468" w:rsidRPr="00DB2987">
        <w:rPr>
          <w:rFonts w:eastAsia="Cambria"/>
        </w:rPr>
        <w:t xml:space="preserve"> po</w:t>
      </w:r>
      <w:r w:rsidR="00E47400" w:rsidRPr="00DB2987">
        <w:rPr>
          <w:rFonts w:eastAsia="Cambria"/>
        </w:rPr>
        <w:t>sible alternativa</w:t>
      </w:r>
      <w:r w:rsidR="00B10468" w:rsidRPr="00DB2987">
        <w:rPr>
          <w:rFonts w:eastAsia="Cambria"/>
        </w:rPr>
        <w:t xml:space="preserve"> </w:t>
      </w:r>
      <w:r w:rsidR="00E47400" w:rsidRPr="00DB2987">
        <w:rPr>
          <w:rFonts w:eastAsia="Cambria"/>
        </w:rPr>
        <w:t xml:space="preserve">a los bioensayos </w:t>
      </w:r>
      <w:r w:rsidR="00B10468" w:rsidRPr="00DB2987">
        <w:rPr>
          <w:rFonts w:eastAsia="Cambria"/>
        </w:rPr>
        <w:t xml:space="preserve">en </w:t>
      </w:r>
      <w:r w:rsidR="001F49B5" w:rsidRPr="00DB2987">
        <w:rPr>
          <w:rFonts w:eastAsia="Cambria"/>
        </w:rPr>
        <w:t xml:space="preserve">determinados </w:t>
      </w:r>
      <w:r w:rsidR="00E47400" w:rsidRPr="00DB2987">
        <w:rPr>
          <w:rFonts w:eastAsia="Cambria"/>
        </w:rPr>
        <w:t>caso</w:t>
      </w:r>
      <w:r w:rsidR="00B10468" w:rsidRPr="00DB2987">
        <w:rPr>
          <w:rFonts w:eastAsia="Cambria"/>
        </w:rPr>
        <w:t>s.</w:t>
      </w:r>
    </w:p>
    <w:p w:rsidR="002B0539" w:rsidRDefault="002B0539" w:rsidP="00670CCB">
      <w:pPr>
        <w:rPr>
          <w:rFonts w:eastAsia="Cambria"/>
        </w:rPr>
      </w:pPr>
    </w:p>
    <w:p w:rsidR="002B0539" w:rsidRPr="00DB2987" w:rsidRDefault="002B0539" w:rsidP="00670CCB">
      <w:pPr>
        <w:rPr>
          <w:rFonts w:eastAsia="Cambria"/>
          <w:lang w:val="es-ES"/>
        </w:rPr>
      </w:pPr>
    </w:p>
    <w:p w:rsidR="00AE66A3" w:rsidRDefault="002B0539" w:rsidP="002B0539">
      <w:r>
        <w:t>2.2.</w:t>
      </w:r>
      <w:r>
        <w:tab/>
      </w:r>
      <w:r w:rsidR="00617BD3" w:rsidRPr="00DB2987">
        <w:t>Gestión de las colecciones de variedades</w:t>
      </w:r>
    </w:p>
    <w:p w:rsidR="002B0539" w:rsidRPr="00DB2987" w:rsidRDefault="002B0539" w:rsidP="002B0539">
      <w:pPr>
        <w:rPr>
          <w:lang w:val="es-ES"/>
        </w:rPr>
      </w:pPr>
    </w:p>
    <w:p w:rsidR="00AE66A3" w:rsidRDefault="002B0539" w:rsidP="002B0539">
      <w:pPr>
        <w:rPr>
          <w:rFonts w:eastAsia="Cambria"/>
        </w:rPr>
      </w:pPr>
      <w:r>
        <w:rPr>
          <w:rFonts w:eastAsia="Cambria"/>
        </w:rPr>
        <w:t>2.2.1.</w:t>
      </w:r>
      <w:r>
        <w:rPr>
          <w:rFonts w:eastAsia="Cambria"/>
        </w:rPr>
        <w:tab/>
      </w:r>
      <w:r w:rsidR="00EE66F5" w:rsidRPr="00DB2987">
        <w:rPr>
          <w:rFonts w:eastAsia="Cambria"/>
        </w:rPr>
        <w:t xml:space="preserve">Combinación de umbrales moleculares y fenotípicos para excluir variedades </w:t>
      </w:r>
      <w:r w:rsidR="00D37276" w:rsidRPr="00DB2987">
        <w:rPr>
          <w:rFonts w:eastAsia="Cambria"/>
        </w:rPr>
        <w:t>con</w:t>
      </w:r>
      <w:r w:rsidR="00EE66F5" w:rsidRPr="00DB2987">
        <w:rPr>
          <w:rFonts w:eastAsia="Cambria"/>
        </w:rPr>
        <w:t xml:space="preserve"> “distinción </w:t>
      </w:r>
      <w:r w:rsidR="00D37276" w:rsidRPr="00DB2987">
        <w:rPr>
          <w:rFonts w:eastAsia="Cambria"/>
        </w:rPr>
        <w:t>calificada</w:t>
      </w:r>
      <w:r w:rsidR="00EE66F5" w:rsidRPr="00DB2987">
        <w:rPr>
          <w:rFonts w:eastAsia="Cambria"/>
        </w:rPr>
        <w:t>” a partir del segundo ensayo en cultivo</w:t>
      </w:r>
    </w:p>
    <w:p w:rsidR="002B0539" w:rsidRPr="00DB2987" w:rsidRDefault="002B0539" w:rsidP="002B0539">
      <w:pPr>
        <w:rPr>
          <w:rFonts w:eastAsia="Cambria"/>
          <w:lang w:val="es-ES"/>
        </w:rPr>
      </w:pPr>
    </w:p>
    <w:p w:rsidR="00AE66A3" w:rsidRPr="00DB2987" w:rsidRDefault="00650A02" w:rsidP="00670CCB">
      <w:pPr>
        <w:rPr>
          <w:rFonts w:eastAsia="Cambria"/>
          <w:lang w:val="es-ES"/>
        </w:rPr>
      </w:pPr>
      <w:r w:rsidRPr="00DB2987">
        <w:rPr>
          <w:rFonts w:eastAsia="Cambria"/>
        </w:rPr>
        <w:t xml:space="preserve">En </w:t>
      </w:r>
      <w:r w:rsidR="00D37276" w:rsidRPr="00DB2987">
        <w:rPr>
          <w:rFonts w:eastAsia="Cambria"/>
        </w:rPr>
        <w:t>este model</w:t>
      </w:r>
      <w:r w:rsidRPr="00DB2987">
        <w:rPr>
          <w:rFonts w:eastAsia="Cambria"/>
        </w:rPr>
        <w:t>o</w:t>
      </w:r>
      <w:r w:rsidR="00AF0490" w:rsidRPr="00DB2987">
        <w:rPr>
          <w:rFonts w:eastAsia="Cambria"/>
        </w:rPr>
        <w:t xml:space="preserve">, </w:t>
      </w:r>
      <w:r w:rsidRPr="00DB2987">
        <w:rPr>
          <w:rFonts w:eastAsia="Cambria"/>
        </w:rPr>
        <w:t xml:space="preserve">se establecen dos </w:t>
      </w:r>
      <w:r w:rsidR="00D37276" w:rsidRPr="00DB2987">
        <w:rPr>
          <w:rFonts w:eastAsia="Cambria"/>
        </w:rPr>
        <w:t xml:space="preserve">umbrales </w:t>
      </w:r>
      <w:r w:rsidRPr="00DB2987">
        <w:rPr>
          <w:rFonts w:eastAsia="Cambria"/>
        </w:rPr>
        <w:t xml:space="preserve">independientes para </w:t>
      </w:r>
      <w:r w:rsidR="00D37276" w:rsidRPr="00DB2987">
        <w:rPr>
          <w:rFonts w:eastAsia="Cambria"/>
        </w:rPr>
        <w:t>selecci</w:t>
      </w:r>
      <w:r w:rsidRPr="00DB2987">
        <w:rPr>
          <w:rFonts w:eastAsia="Cambria"/>
        </w:rPr>
        <w:t xml:space="preserve">onar las </w:t>
      </w:r>
      <w:r w:rsidR="00D37276" w:rsidRPr="00DB2987">
        <w:rPr>
          <w:rFonts w:eastAsia="Cambria"/>
        </w:rPr>
        <w:t xml:space="preserve">variedades </w:t>
      </w:r>
      <w:r w:rsidRPr="00DB2987">
        <w:rPr>
          <w:rFonts w:eastAsia="Cambria"/>
        </w:rPr>
        <w:t xml:space="preserve">similares que se </w:t>
      </w:r>
      <w:r w:rsidR="00D37276" w:rsidRPr="00DB2987">
        <w:rPr>
          <w:rFonts w:eastAsia="Cambria"/>
        </w:rPr>
        <w:t>inclu</w:t>
      </w:r>
      <w:r w:rsidRPr="00DB2987">
        <w:rPr>
          <w:rFonts w:eastAsia="Cambria"/>
        </w:rPr>
        <w:t xml:space="preserve">irán en el </w:t>
      </w:r>
      <w:r w:rsidR="00D37276" w:rsidRPr="00DB2987">
        <w:rPr>
          <w:rFonts w:eastAsia="Cambria"/>
        </w:rPr>
        <w:t>ensayo en cultivo.</w:t>
      </w:r>
      <w:r w:rsidR="00AE66A3" w:rsidRPr="00DB2987">
        <w:rPr>
          <w:rFonts w:eastAsia="Cambria"/>
          <w:lang w:val="es-ES"/>
        </w:rPr>
        <w:t xml:space="preserve"> </w:t>
      </w:r>
      <w:r w:rsidRPr="00DB2987">
        <w:rPr>
          <w:rFonts w:eastAsia="Cambria"/>
        </w:rPr>
        <w:t>El primer umbral se basa en la información de los caracteres morfológicos y el segundo se basa en la distancia genética calculada a partir de un conjunto de marcadores distribuidos por todo el genoma.</w:t>
      </w:r>
      <w:r w:rsidR="00AE66A3" w:rsidRPr="00DB2987">
        <w:rPr>
          <w:rFonts w:eastAsia="Cambria"/>
          <w:lang w:val="es-ES"/>
        </w:rPr>
        <w:t xml:space="preserve"> </w:t>
      </w:r>
      <w:r w:rsidRPr="00DB2987">
        <w:rPr>
          <w:rFonts w:eastAsia="Cambria"/>
        </w:rPr>
        <w:t>Salvo si se trata de variedades muy similares desde el punto de vista morfológico</w:t>
      </w:r>
      <w:r w:rsidR="00AF0490" w:rsidRPr="00DB2987">
        <w:rPr>
          <w:rFonts w:eastAsia="Cambria"/>
        </w:rPr>
        <w:t xml:space="preserve">, </w:t>
      </w:r>
      <w:r w:rsidRPr="00DB2987">
        <w:rPr>
          <w:rFonts w:eastAsia="Cambria"/>
        </w:rPr>
        <w:t xml:space="preserve">no es necesario incluir en el ensayo en cultivo </w:t>
      </w:r>
      <w:r w:rsidR="003A7878" w:rsidRPr="00DB2987">
        <w:rPr>
          <w:rFonts w:eastAsia="Cambria"/>
        </w:rPr>
        <w:t>aquel</w:t>
      </w:r>
      <w:r w:rsidRPr="00DB2987">
        <w:rPr>
          <w:rFonts w:eastAsia="Cambria"/>
        </w:rPr>
        <w:t xml:space="preserve">las variedades de referencia que superen los dos umbrales (se consideran variedades con distinción </w:t>
      </w:r>
      <w:r w:rsidR="00D51097" w:rsidRPr="00DB2987">
        <w:rPr>
          <w:rFonts w:eastAsia="Cambria"/>
        </w:rPr>
        <w:t>“</w:t>
      </w:r>
      <w:r w:rsidRPr="00DB2987">
        <w:rPr>
          <w:rFonts w:eastAsia="Cambria"/>
        </w:rPr>
        <w:t xml:space="preserve">calificada” </w:t>
      </w:r>
      <w:r w:rsidR="00D51097" w:rsidRPr="00DB2987">
        <w:rPr>
          <w:rFonts w:eastAsia="Cambria"/>
        </w:rPr>
        <w:t>(</w:t>
      </w:r>
      <w:r w:rsidRPr="00DB2987">
        <w:rPr>
          <w:rFonts w:eastAsia="Cambria"/>
        </w:rPr>
        <w:t>o “plus”)</w:t>
      </w:r>
      <w:r w:rsidR="00D51097" w:rsidRPr="00DB2987">
        <w:rPr>
          <w:rFonts w:eastAsia="Cambria"/>
        </w:rPr>
        <w:t>)</w:t>
      </w:r>
      <w:r w:rsidRPr="00DB2987">
        <w:rPr>
          <w:rFonts w:eastAsia="Cambria"/>
        </w:rPr>
        <w:t>.</w:t>
      </w:r>
    </w:p>
    <w:p w:rsidR="00AE66A3" w:rsidRPr="00DB2987" w:rsidRDefault="00AE66A3" w:rsidP="00AE66A3">
      <w:pPr>
        <w:rPr>
          <w:rFonts w:eastAsia="Cambria"/>
          <w:lang w:val="es-ES"/>
        </w:rPr>
      </w:pPr>
    </w:p>
    <w:p w:rsidR="00AE66A3" w:rsidRDefault="003A7878" w:rsidP="00670CCB">
      <w:pPr>
        <w:rPr>
          <w:rFonts w:eastAsia="Cambria"/>
        </w:rPr>
      </w:pPr>
      <w:r w:rsidRPr="00DB2987">
        <w:rPr>
          <w:rFonts w:eastAsia="Cambria"/>
        </w:rPr>
        <w:t>Algunas oficinas encargadas del examen aplican sistemáticamente este modelo con especies como el maíz</w:t>
      </w:r>
      <w:r w:rsidR="00AF0490" w:rsidRPr="00DB2987">
        <w:rPr>
          <w:rFonts w:eastAsia="Cambria"/>
        </w:rPr>
        <w:t xml:space="preserve">, </w:t>
      </w:r>
      <w:r w:rsidRPr="00DB2987">
        <w:rPr>
          <w:rFonts w:eastAsia="Cambria"/>
        </w:rPr>
        <w:t>la lechuga</w:t>
      </w:r>
      <w:r w:rsidR="00AF0490" w:rsidRPr="00DB2987">
        <w:rPr>
          <w:rFonts w:eastAsia="Cambria"/>
        </w:rPr>
        <w:t xml:space="preserve">, </w:t>
      </w:r>
      <w:r w:rsidRPr="00DB2987">
        <w:rPr>
          <w:rFonts w:eastAsia="Cambria"/>
        </w:rPr>
        <w:t>el trigo y la cebada</w:t>
      </w:r>
      <w:r w:rsidR="00AF0490" w:rsidRPr="00DB2987">
        <w:rPr>
          <w:rFonts w:eastAsia="Cambria"/>
        </w:rPr>
        <w:t xml:space="preserve">, </w:t>
      </w:r>
      <w:r w:rsidRPr="00DB2987">
        <w:rPr>
          <w:rFonts w:eastAsia="Cambria"/>
        </w:rPr>
        <w:t xml:space="preserve">y </w:t>
      </w:r>
      <w:r w:rsidR="008D1037" w:rsidRPr="00DB2987">
        <w:rPr>
          <w:rFonts w:eastAsia="Cambria"/>
        </w:rPr>
        <w:t>actualmente</w:t>
      </w:r>
      <w:r w:rsidRPr="00DB2987">
        <w:rPr>
          <w:rFonts w:eastAsia="Cambria"/>
        </w:rPr>
        <w:t xml:space="preserve"> </w:t>
      </w:r>
      <w:r w:rsidR="00C23D46" w:rsidRPr="00DB2987">
        <w:rPr>
          <w:rFonts w:eastAsia="Cambria"/>
        </w:rPr>
        <w:t>se está ensayando</w:t>
      </w:r>
      <w:r w:rsidRPr="00DB2987">
        <w:rPr>
          <w:rFonts w:eastAsia="Cambria"/>
        </w:rPr>
        <w:t xml:space="preserve"> </w:t>
      </w:r>
      <w:r w:rsidR="00C23D46" w:rsidRPr="00DB2987">
        <w:rPr>
          <w:rFonts w:eastAsia="Cambria"/>
        </w:rPr>
        <w:t xml:space="preserve">con la </w:t>
      </w:r>
      <w:r w:rsidRPr="00DB2987">
        <w:rPr>
          <w:rFonts w:eastAsia="Cambria"/>
        </w:rPr>
        <w:t xml:space="preserve">colza oleaginosa </w:t>
      </w:r>
      <w:r w:rsidR="00C23D46" w:rsidRPr="00DB2987">
        <w:rPr>
          <w:rFonts w:eastAsia="Cambria"/>
        </w:rPr>
        <w:t xml:space="preserve">en </w:t>
      </w:r>
      <w:r w:rsidRPr="00DB2987">
        <w:rPr>
          <w:rFonts w:eastAsia="Cambria"/>
        </w:rPr>
        <w:t>proyectos de I+D co</w:t>
      </w:r>
      <w:r w:rsidR="00C23D46" w:rsidRPr="00DB2987">
        <w:rPr>
          <w:rFonts w:eastAsia="Cambria"/>
        </w:rPr>
        <w:t>financiados</w:t>
      </w:r>
      <w:r w:rsidRPr="00DB2987">
        <w:rPr>
          <w:rFonts w:eastAsia="Cambria"/>
        </w:rPr>
        <w:t xml:space="preserve"> por </w:t>
      </w:r>
      <w:r w:rsidR="00C23D46" w:rsidRPr="00DB2987">
        <w:rPr>
          <w:rFonts w:eastAsia="Cambria"/>
        </w:rPr>
        <w:t>la </w:t>
      </w:r>
      <w:r w:rsidRPr="00DB2987">
        <w:rPr>
          <w:rFonts w:eastAsia="Cambria"/>
        </w:rPr>
        <w:t>OCVV.</w:t>
      </w:r>
    </w:p>
    <w:p w:rsidR="002B0539" w:rsidRPr="00DB2987" w:rsidRDefault="002B0539" w:rsidP="00670CCB">
      <w:pPr>
        <w:rPr>
          <w:rFonts w:eastAsia="Cambria"/>
          <w:lang w:val="es-ES"/>
        </w:rPr>
      </w:pPr>
    </w:p>
    <w:p w:rsidR="00AE66A3" w:rsidRDefault="002B0539" w:rsidP="002B0539">
      <w:pPr>
        <w:rPr>
          <w:rFonts w:eastAsia="Cambria"/>
        </w:rPr>
      </w:pPr>
      <w:r>
        <w:rPr>
          <w:rFonts w:eastAsia="Cambria"/>
        </w:rPr>
        <w:t>2.2.2.</w:t>
      </w:r>
      <w:r>
        <w:rPr>
          <w:rFonts w:eastAsia="Cambria"/>
        </w:rPr>
        <w:tab/>
      </w:r>
      <w:r w:rsidR="008D1037" w:rsidRPr="00DB2987">
        <w:rPr>
          <w:rFonts w:eastAsia="Cambria"/>
        </w:rPr>
        <w:t>Selección genética de variedades similares para el primer ciclo de cultivo</w:t>
      </w:r>
    </w:p>
    <w:p w:rsidR="002B0539" w:rsidRPr="00DB2987" w:rsidRDefault="002B0539" w:rsidP="002B0539">
      <w:pPr>
        <w:rPr>
          <w:rFonts w:eastAsia="Cambria"/>
          <w:lang w:val="es-ES"/>
        </w:rPr>
      </w:pPr>
    </w:p>
    <w:p w:rsidR="00AE66A3" w:rsidRPr="00DB2987" w:rsidRDefault="0046265F" w:rsidP="00670CCB">
      <w:pPr>
        <w:rPr>
          <w:rFonts w:eastAsia="Cambria"/>
          <w:lang w:val="es-ES"/>
        </w:rPr>
      </w:pPr>
      <w:r w:rsidRPr="00DB2987">
        <w:rPr>
          <w:rFonts w:eastAsia="Cambria"/>
        </w:rPr>
        <w:t xml:space="preserve">Se determina el genotipo de la </w:t>
      </w:r>
      <w:r w:rsidR="008D1037" w:rsidRPr="00DB2987">
        <w:rPr>
          <w:rFonts w:eastAsia="Cambria"/>
        </w:rPr>
        <w:t xml:space="preserve">variedad candidata </w:t>
      </w:r>
      <w:r w:rsidRPr="00DB2987">
        <w:rPr>
          <w:rFonts w:eastAsia="Cambria"/>
        </w:rPr>
        <w:t xml:space="preserve">a partir de un conjunto predefinido de marcadores </w:t>
      </w:r>
      <w:r w:rsidR="008D1037" w:rsidRPr="00DB2987">
        <w:rPr>
          <w:rFonts w:eastAsia="Cambria"/>
        </w:rPr>
        <w:t xml:space="preserve">y </w:t>
      </w:r>
      <w:r w:rsidRPr="00DB2987">
        <w:rPr>
          <w:rFonts w:eastAsia="Cambria"/>
        </w:rPr>
        <w:t xml:space="preserve">se compara su </w:t>
      </w:r>
      <w:r w:rsidR="008D1037" w:rsidRPr="00DB2987">
        <w:rPr>
          <w:rFonts w:eastAsia="Cambria"/>
        </w:rPr>
        <w:t xml:space="preserve">perfil </w:t>
      </w:r>
      <w:r w:rsidRPr="00DB2987">
        <w:rPr>
          <w:rFonts w:eastAsia="Cambria"/>
        </w:rPr>
        <w:t xml:space="preserve">con el de </w:t>
      </w:r>
      <w:r w:rsidR="008B060A" w:rsidRPr="00DB2987">
        <w:rPr>
          <w:rFonts w:eastAsia="Cambria"/>
        </w:rPr>
        <w:t xml:space="preserve">las </w:t>
      </w:r>
      <w:r w:rsidR="008D1037" w:rsidRPr="00DB2987">
        <w:rPr>
          <w:rFonts w:eastAsia="Cambria"/>
        </w:rPr>
        <w:t xml:space="preserve">variedades </w:t>
      </w:r>
      <w:r w:rsidRPr="00DB2987">
        <w:rPr>
          <w:rFonts w:eastAsia="Cambria"/>
        </w:rPr>
        <w:t xml:space="preserve">de la </w:t>
      </w:r>
      <w:r w:rsidR="008D1037" w:rsidRPr="00DB2987">
        <w:rPr>
          <w:rFonts w:eastAsia="Cambria"/>
        </w:rPr>
        <w:t>colección de referencia.</w:t>
      </w:r>
      <w:r w:rsidR="00AE66A3" w:rsidRPr="00DB2987">
        <w:rPr>
          <w:rFonts w:eastAsia="Cambria"/>
          <w:lang w:val="es-ES"/>
        </w:rPr>
        <w:t xml:space="preserve"> </w:t>
      </w:r>
      <w:r w:rsidR="00606873" w:rsidRPr="00DB2987">
        <w:rPr>
          <w:rFonts w:eastAsia="Cambria"/>
        </w:rPr>
        <w:t xml:space="preserve">En el primer ciclo de cultivo se </w:t>
      </w:r>
      <w:r w:rsidR="008B060A" w:rsidRPr="00DB2987">
        <w:rPr>
          <w:rFonts w:eastAsia="Cambria"/>
        </w:rPr>
        <w:t xml:space="preserve">incluyen todas </w:t>
      </w:r>
      <w:r w:rsidRPr="00DB2987">
        <w:rPr>
          <w:rFonts w:eastAsia="Cambria"/>
        </w:rPr>
        <w:t xml:space="preserve">las variedades de referencia que presenten </w:t>
      </w:r>
      <w:r w:rsidR="00176B29" w:rsidRPr="00DB2987">
        <w:rPr>
          <w:rFonts w:eastAsia="Cambria"/>
        </w:rPr>
        <w:t xml:space="preserve">respecto de la variedad candidata una </w:t>
      </w:r>
      <w:r w:rsidRPr="00DB2987">
        <w:rPr>
          <w:rFonts w:eastAsia="Cambria"/>
        </w:rPr>
        <w:t xml:space="preserve">similitud genética </w:t>
      </w:r>
      <w:r w:rsidR="00176B29" w:rsidRPr="00DB2987">
        <w:rPr>
          <w:rFonts w:eastAsia="Cambria"/>
        </w:rPr>
        <w:t xml:space="preserve">superior a un </w:t>
      </w:r>
      <w:r w:rsidRPr="00DB2987">
        <w:rPr>
          <w:rFonts w:eastAsia="Cambria"/>
        </w:rPr>
        <w:t xml:space="preserve">porcentaje </w:t>
      </w:r>
      <w:r w:rsidR="00176B29" w:rsidRPr="00DB2987">
        <w:rPr>
          <w:rFonts w:eastAsia="Cambria"/>
        </w:rPr>
        <w:t xml:space="preserve">determinado </w:t>
      </w:r>
      <w:r w:rsidRPr="00DB2987">
        <w:rPr>
          <w:rFonts w:eastAsia="Cambria"/>
        </w:rPr>
        <w:t>(</w:t>
      </w:r>
      <w:r w:rsidR="00176B29" w:rsidRPr="00DB2987">
        <w:rPr>
          <w:rFonts w:eastAsia="Cambria"/>
        </w:rPr>
        <w:t>por ejemplo</w:t>
      </w:r>
      <w:r w:rsidR="00AF0490" w:rsidRPr="00DB2987">
        <w:rPr>
          <w:rFonts w:eastAsia="Cambria"/>
        </w:rPr>
        <w:t>, 8</w:t>
      </w:r>
      <w:r w:rsidRPr="00DB2987">
        <w:rPr>
          <w:rFonts w:eastAsia="Cambria"/>
        </w:rPr>
        <w:t>0%)</w:t>
      </w:r>
      <w:r w:rsidR="008B060A" w:rsidRPr="00DB2987">
        <w:rPr>
          <w:rFonts w:eastAsia="Cambria"/>
        </w:rPr>
        <w:t xml:space="preserve"> y</w:t>
      </w:r>
      <w:r w:rsidRPr="00DB2987">
        <w:rPr>
          <w:rFonts w:eastAsia="Cambria"/>
        </w:rPr>
        <w:t xml:space="preserve"> </w:t>
      </w:r>
      <w:r w:rsidR="008B060A" w:rsidRPr="00DB2987">
        <w:rPr>
          <w:rFonts w:eastAsia="Cambria"/>
        </w:rPr>
        <w:t>toda</w:t>
      </w:r>
      <w:r w:rsidRPr="00DB2987">
        <w:rPr>
          <w:rFonts w:eastAsia="Cambria"/>
        </w:rPr>
        <w:t xml:space="preserve">s </w:t>
      </w:r>
      <w:r w:rsidR="008B060A" w:rsidRPr="00DB2987">
        <w:rPr>
          <w:rFonts w:eastAsia="Cambria"/>
        </w:rPr>
        <w:t>las demás se excluyen</w:t>
      </w:r>
      <w:r w:rsidRPr="00DB2987">
        <w:rPr>
          <w:rFonts w:eastAsia="Cambria"/>
        </w:rPr>
        <w:t>.</w:t>
      </w:r>
    </w:p>
    <w:p w:rsidR="00AE66A3" w:rsidRPr="00DB2987" w:rsidRDefault="00AE66A3" w:rsidP="00AE66A3">
      <w:pPr>
        <w:rPr>
          <w:rFonts w:eastAsia="Cambria"/>
          <w:lang w:val="es-ES"/>
        </w:rPr>
      </w:pPr>
    </w:p>
    <w:p w:rsidR="00AE66A3" w:rsidRPr="00DB2987" w:rsidRDefault="00606873" w:rsidP="00670CCB">
      <w:pPr>
        <w:rPr>
          <w:rFonts w:eastAsia="Cambria"/>
          <w:lang w:val="es-ES"/>
        </w:rPr>
      </w:pPr>
      <w:r w:rsidRPr="00DB2987">
        <w:rPr>
          <w:rFonts w:eastAsia="Cambria"/>
        </w:rPr>
        <w:t xml:space="preserve">En </w:t>
      </w:r>
      <w:r w:rsidR="008B060A" w:rsidRPr="00DB2987">
        <w:rPr>
          <w:rFonts w:eastAsia="Cambria"/>
        </w:rPr>
        <w:t>el primer ciclo</w:t>
      </w:r>
      <w:r w:rsidR="00AF0490" w:rsidRPr="00DB2987">
        <w:rPr>
          <w:rFonts w:eastAsia="Cambria"/>
        </w:rPr>
        <w:t xml:space="preserve"> </w:t>
      </w:r>
      <w:r w:rsidR="008B060A" w:rsidRPr="00DB2987">
        <w:rPr>
          <w:rFonts w:eastAsia="Cambria"/>
        </w:rPr>
        <w:t>se evalúa la homogeneidad de la variedad candidata y se describe esta desde el punto de vista morfológico conforme al protocolo técnico.</w:t>
      </w:r>
      <w:r w:rsidR="00AE66A3" w:rsidRPr="00DB2987">
        <w:rPr>
          <w:rFonts w:eastAsia="Cambria"/>
          <w:lang w:val="es-ES"/>
        </w:rPr>
        <w:t xml:space="preserve"> </w:t>
      </w:r>
      <w:r w:rsidR="00F06651" w:rsidRPr="00DB2987">
        <w:rPr>
          <w:rFonts w:eastAsia="Cambria"/>
        </w:rPr>
        <w:t>A continuación</w:t>
      </w:r>
      <w:r w:rsidR="00AF0490" w:rsidRPr="00DB2987">
        <w:rPr>
          <w:rFonts w:eastAsia="Cambria"/>
        </w:rPr>
        <w:t xml:space="preserve">, </w:t>
      </w:r>
      <w:r w:rsidR="00F06651" w:rsidRPr="00DB2987">
        <w:rPr>
          <w:rFonts w:eastAsia="Cambria"/>
          <w:iCs/>
        </w:rPr>
        <w:t>por medios informáticos</w:t>
      </w:r>
      <w:r w:rsidR="00AF0490" w:rsidRPr="00DB2987">
        <w:rPr>
          <w:rFonts w:eastAsia="Cambria"/>
          <w:iCs/>
        </w:rPr>
        <w:t xml:space="preserve">, </w:t>
      </w:r>
      <w:r w:rsidR="00F06651" w:rsidRPr="00DB2987">
        <w:rPr>
          <w:rFonts w:eastAsia="Cambria"/>
        </w:rPr>
        <w:t xml:space="preserve">se compara su </w:t>
      </w:r>
      <w:r w:rsidR="008B060A" w:rsidRPr="00DB2987">
        <w:rPr>
          <w:rFonts w:eastAsia="Cambria"/>
        </w:rPr>
        <w:t xml:space="preserve">descripción </w:t>
      </w:r>
      <w:r w:rsidR="00F06651" w:rsidRPr="00DB2987">
        <w:rPr>
          <w:rFonts w:eastAsia="Cambria"/>
        </w:rPr>
        <w:t>morfológica con las</w:t>
      </w:r>
      <w:r w:rsidR="008B060A" w:rsidRPr="00DB2987">
        <w:rPr>
          <w:rFonts w:eastAsia="Cambria"/>
        </w:rPr>
        <w:t xml:space="preserve"> descripciones de </w:t>
      </w:r>
      <w:r w:rsidR="00F06651" w:rsidRPr="00DB2987">
        <w:rPr>
          <w:rFonts w:eastAsia="Cambria"/>
        </w:rPr>
        <w:t>toda</w:t>
      </w:r>
      <w:r w:rsidR="008B060A" w:rsidRPr="00DB2987">
        <w:rPr>
          <w:rFonts w:eastAsia="Cambria"/>
        </w:rPr>
        <w:t xml:space="preserve">s </w:t>
      </w:r>
      <w:r w:rsidR="00F06651" w:rsidRPr="00DB2987">
        <w:rPr>
          <w:rFonts w:eastAsia="Cambria"/>
        </w:rPr>
        <w:t xml:space="preserve">las </w:t>
      </w:r>
      <w:r w:rsidR="008B060A" w:rsidRPr="00DB2987">
        <w:rPr>
          <w:rFonts w:eastAsia="Cambria"/>
        </w:rPr>
        <w:t>variedades de referencia.</w:t>
      </w:r>
    </w:p>
    <w:p w:rsidR="00AE66A3" w:rsidRPr="00DB2987" w:rsidRDefault="00AE66A3" w:rsidP="00AE66A3">
      <w:pPr>
        <w:rPr>
          <w:rFonts w:eastAsia="Cambria"/>
          <w:lang w:val="es-ES"/>
        </w:rPr>
      </w:pPr>
    </w:p>
    <w:p w:rsidR="00AE66A3" w:rsidRPr="00DB2987" w:rsidRDefault="006C5262" w:rsidP="00670CCB">
      <w:pPr>
        <w:rPr>
          <w:rFonts w:eastAsia="Cambria"/>
          <w:i/>
          <w:sz w:val="16"/>
          <w:lang w:val="es-ES"/>
        </w:rPr>
      </w:pPr>
      <w:r w:rsidRPr="00DB2987">
        <w:rPr>
          <w:rFonts w:eastAsia="Cambria"/>
          <w:i/>
          <w:sz w:val="16"/>
        </w:rPr>
        <w:t>Observación:</w:t>
      </w:r>
      <w:r w:rsidR="00AE66A3" w:rsidRPr="00DB2987">
        <w:rPr>
          <w:rFonts w:eastAsia="Cambria"/>
          <w:i/>
          <w:sz w:val="16"/>
          <w:lang w:val="es-ES"/>
        </w:rPr>
        <w:t xml:space="preserve"> </w:t>
      </w:r>
      <w:r w:rsidRPr="00DB2987">
        <w:rPr>
          <w:rFonts w:eastAsia="Cambria"/>
          <w:i/>
          <w:sz w:val="16"/>
        </w:rPr>
        <w:t>las descripciones morfológicas de las variedades de referencia utilizadas para la comparación informática deberán basarse en las observaciones realizadas por la oficina de examen (descripciones de variedades</w:t>
      </w:r>
      <w:r w:rsidR="00CF4C3E" w:rsidRPr="00DB2987">
        <w:rPr>
          <w:rFonts w:eastAsia="Cambria"/>
          <w:i/>
          <w:sz w:val="16"/>
        </w:rPr>
        <w:t xml:space="preserve"> de elaboración propia</w:t>
      </w:r>
      <w:r w:rsidRPr="00DB2987">
        <w:rPr>
          <w:rFonts w:eastAsia="Cambria"/>
          <w:i/>
          <w:sz w:val="16"/>
        </w:rPr>
        <w:t>).</w:t>
      </w:r>
      <w:r w:rsidR="00AE66A3" w:rsidRPr="00DB2987">
        <w:rPr>
          <w:rFonts w:eastAsia="Cambria"/>
          <w:i/>
          <w:sz w:val="16"/>
          <w:lang w:val="es-ES"/>
        </w:rPr>
        <w:t xml:space="preserve"> </w:t>
      </w:r>
      <w:r w:rsidR="00CF4C3E" w:rsidRPr="00DB2987">
        <w:rPr>
          <w:rFonts w:eastAsia="Cambria"/>
          <w:i/>
          <w:sz w:val="16"/>
        </w:rPr>
        <w:t>Si las descripciones de variedades no son de elaboración propia</w:t>
      </w:r>
      <w:r w:rsidR="00AF0490" w:rsidRPr="00DB2987">
        <w:rPr>
          <w:rFonts w:eastAsia="Cambria"/>
          <w:i/>
          <w:sz w:val="16"/>
        </w:rPr>
        <w:t xml:space="preserve">, </w:t>
      </w:r>
      <w:r w:rsidR="00CF4C3E" w:rsidRPr="00DB2987">
        <w:rPr>
          <w:rFonts w:eastAsia="Cambria"/>
          <w:i/>
          <w:sz w:val="16"/>
        </w:rPr>
        <w:t xml:space="preserve">solo se podrán utilizar si </w:t>
      </w:r>
      <w:r w:rsidR="009E037F" w:rsidRPr="00DB2987">
        <w:rPr>
          <w:rFonts w:eastAsia="Cambria"/>
          <w:i/>
          <w:sz w:val="16"/>
        </w:rPr>
        <w:t>se han armonizado (por ejemplo</w:t>
      </w:r>
      <w:r w:rsidR="00AF0490" w:rsidRPr="00DB2987">
        <w:rPr>
          <w:rFonts w:eastAsia="Cambria"/>
          <w:i/>
          <w:sz w:val="16"/>
        </w:rPr>
        <w:t xml:space="preserve">, </w:t>
      </w:r>
      <w:r w:rsidR="009E037F" w:rsidRPr="00DB2987">
        <w:rPr>
          <w:rFonts w:eastAsia="Cambria"/>
          <w:i/>
          <w:sz w:val="16"/>
        </w:rPr>
        <w:t>mediante pruebas de comparación (</w:t>
      </w:r>
      <w:r w:rsidR="009E037F" w:rsidRPr="00DB2987">
        <w:rPr>
          <w:rFonts w:eastAsia="Cambria"/>
          <w:iCs/>
          <w:sz w:val="16"/>
        </w:rPr>
        <w:t xml:space="preserve">ring </w:t>
      </w:r>
      <w:proofErr w:type="spellStart"/>
      <w:r w:rsidR="009E037F" w:rsidRPr="00DB2987">
        <w:rPr>
          <w:rFonts w:eastAsia="Cambria"/>
          <w:iCs/>
          <w:sz w:val="16"/>
        </w:rPr>
        <w:t>tests</w:t>
      </w:r>
      <w:proofErr w:type="spellEnd"/>
      <w:r w:rsidR="009E037F" w:rsidRPr="00DB2987">
        <w:rPr>
          <w:rFonts w:eastAsia="Cambria"/>
          <w:i/>
          <w:sz w:val="16"/>
        </w:rPr>
        <w:t xml:space="preserve">)) </w:t>
      </w:r>
      <w:r w:rsidR="00524CC5" w:rsidRPr="00DB2987">
        <w:rPr>
          <w:rFonts w:eastAsia="Cambria"/>
          <w:i/>
          <w:sz w:val="16"/>
        </w:rPr>
        <w:t>las escalas de notación de</w:t>
      </w:r>
      <w:r w:rsidR="00CF4C3E" w:rsidRPr="00DB2987">
        <w:rPr>
          <w:rFonts w:eastAsia="Cambria"/>
          <w:i/>
          <w:sz w:val="16"/>
        </w:rPr>
        <w:t xml:space="preserve"> las oficinas de examen que hayan generado </w:t>
      </w:r>
      <w:r w:rsidR="009E037F" w:rsidRPr="00DB2987">
        <w:rPr>
          <w:rFonts w:eastAsia="Cambria"/>
          <w:i/>
          <w:sz w:val="16"/>
        </w:rPr>
        <w:t xml:space="preserve">las descripciones </w:t>
      </w:r>
      <w:r w:rsidR="00CF4C3E" w:rsidRPr="00DB2987">
        <w:rPr>
          <w:rFonts w:eastAsia="Cambria"/>
          <w:i/>
          <w:sz w:val="16"/>
        </w:rPr>
        <w:t xml:space="preserve">y las </w:t>
      </w:r>
      <w:r w:rsidR="00524CC5" w:rsidRPr="00DB2987">
        <w:rPr>
          <w:rFonts w:eastAsia="Cambria"/>
          <w:i/>
          <w:sz w:val="16"/>
        </w:rPr>
        <w:t xml:space="preserve">de las oficinas </w:t>
      </w:r>
      <w:r w:rsidR="00CF4C3E" w:rsidRPr="00DB2987">
        <w:rPr>
          <w:rFonts w:eastAsia="Cambria"/>
          <w:i/>
          <w:sz w:val="16"/>
        </w:rPr>
        <w:t>que las utilicen.</w:t>
      </w:r>
    </w:p>
    <w:p w:rsidR="00AE66A3" w:rsidRPr="00DB2987" w:rsidRDefault="00AE66A3" w:rsidP="00AE66A3">
      <w:pPr>
        <w:rPr>
          <w:rFonts w:eastAsia="Cambria"/>
          <w:lang w:val="es-ES"/>
        </w:rPr>
      </w:pPr>
    </w:p>
    <w:p w:rsidR="00AE66A3" w:rsidRPr="00DB2987" w:rsidRDefault="00294D13" w:rsidP="00670CCB">
      <w:pPr>
        <w:rPr>
          <w:rFonts w:eastAsia="Cambria"/>
          <w:lang w:val="es-ES"/>
        </w:rPr>
      </w:pPr>
      <w:r w:rsidRPr="00DB2987">
        <w:rPr>
          <w:rFonts w:eastAsia="Cambria"/>
        </w:rPr>
        <w:t>Las variedades de referencia que resulten similares desde el punto de vista morfológico a la variedad candidata se incluirán en un segundo ensayo en cultivo para su comparación.</w:t>
      </w:r>
      <w:r w:rsidR="00AE66A3" w:rsidRPr="00DB2987">
        <w:rPr>
          <w:rFonts w:eastAsia="Cambria"/>
          <w:lang w:val="es-ES"/>
        </w:rPr>
        <w:t xml:space="preserve"> </w:t>
      </w:r>
      <w:r w:rsidRPr="00DB2987">
        <w:rPr>
          <w:rFonts w:eastAsia="Cambria"/>
        </w:rPr>
        <w:t xml:space="preserve">Si la variedad es claramente distinta de las variedades similares en el primer ciclo de cultivo y </w:t>
      </w:r>
      <w:r w:rsidR="00F53941" w:rsidRPr="00DB2987">
        <w:rPr>
          <w:rFonts w:eastAsia="Cambria"/>
        </w:rPr>
        <w:t xml:space="preserve">después de este </w:t>
      </w:r>
      <w:r w:rsidRPr="00DB2987">
        <w:rPr>
          <w:rFonts w:eastAsia="Cambria"/>
        </w:rPr>
        <w:t xml:space="preserve">no se detectan </w:t>
      </w:r>
      <w:r w:rsidR="00BE4A5A" w:rsidRPr="00DB2987">
        <w:rPr>
          <w:rFonts w:eastAsia="Cambria"/>
        </w:rPr>
        <w:t xml:space="preserve">variedades </w:t>
      </w:r>
      <w:r w:rsidRPr="00DB2987">
        <w:rPr>
          <w:rFonts w:eastAsia="Cambria"/>
        </w:rPr>
        <w:t>similar</w:t>
      </w:r>
      <w:r w:rsidR="00BE4A5A" w:rsidRPr="00DB2987">
        <w:rPr>
          <w:rFonts w:eastAsia="Cambria"/>
        </w:rPr>
        <w:t>es</w:t>
      </w:r>
      <w:r w:rsidRPr="00DB2987">
        <w:rPr>
          <w:rFonts w:eastAsia="Cambria"/>
        </w:rPr>
        <w:t xml:space="preserve"> </w:t>
      </w:r>
      <w:r w:rsidR="00BE4A5A" w:rsidRPr="00DB2987">
        <w:rPr>
          <w:rFonts w:eastAsia="Cambria"/>
        </w:rPr>
        <w:t xml:space="preserve">con arreglo a la </w:t>
      </w:r>
      <w:r w:rsidRPr="00DB2987">
        <w:rPr>
          <w:rFonts w:eastAsia="Cambria"/>
        </w:rPr>
        <w:t>descripción de la variedad</w:t>
      </w:r>
      <w:r w:rsidR="00AF0490" w:rsidRPr="00DB2987">
        <w:rPr>
          <w:rFonts w:eastAsia="Cambria"/>
        </w:rPr>
        <w:t xml:space="preserve">, </w:t>
      </w:r>
      <w:r w:rsidR="00F53941" w:rsidRPr="00DB2987">
        <w:rPr>
          <w:rFonts w:eastAsia="Cambria"/>
        </w:rPr>
        <w:t>se puede adoptar un</w:t>
      </w:r>
      <w:r w:rsidRPr="00DB2987">
        <w:rPr>
          <w:rFonts w:eastAsia="Cambria"/>
        </w:rPr>
        <w:t xml:space="preserve">a decisión favorable </w:t>
      </w:r>
      <w:r w:rsidR="00F53941" w:rsidRPr="00DB2987">
        <w:rPr>
          <w:rFonts w:eastAsia="Cambria"/>
        </w:rPr>
        <w:t>respecto de la</w:t>
      </w:r>
      <w:r w:rsidRPr="00DB2987">
        <w:rPr>
          <w:rFonts w:eastAsia="Cambria"/>
        </w:rPr>
        <w:t xml:space="preserve"> distinción tras </w:t>
      </w:r>
      <w:r w:rsidR="00F53941" w:rsidRPr="00DB2987">
        <w:rPr>
          <w:rFonts w:eastAsia="Cambria"/>
        </w:rPr>
        <w:t>un solo</w:t>
      </w:r>
      <w:r w:rsidRPr="00DB2987">
        <w:rPr>
          <w:rFonts w:eastAsia="Cambria"/>
        </w:rPr>
        <w:t xml:space="preserve"> ciclo de cultivo.</w:t>
      </w:r>
    </w:p>
    <w:p w:rsidR="00AE66A3" w:rsidRPr="00DB2987" w:rsidRDefault="00AE66A3" w:rsidP="00AE66A3">
      <w:pPr>
        <w:rPr>
          <w:rFonts w:eastAsia="Cambria"/>
          <w:lang w:val="es-ES"/>
        </w:rPr>
      </w:pPr>
    </w:p>
    <w:p w:rsidR="00AE66A3" w:rsidRPr="00DB2987" w:rsidRDefault="00A74746" w:rsidP="00670CCB">
      <w:pPr>
        <w:rPr>
          <w:rFonts w:eastAsia="Cambria"/>
          <w:lang w:val="es-ES"/>
        </w:rPr>
      </w:pPr>
      <w:r w:rsidRPr="00DB2987">
        <w:rPr>
          <w:rFonts w:eastAsia="Cambria"/>
        </w:rPr>
        <w:t>Este es el modelo que aplican algunas oficinas encargadas del examen con especies como la judía común/alubia y la papa/patata.</w:t>
      </w:r>
      <w:r w:rsidR="00AE66A3" w:rsidRPr="00DB2987">
        <w:rPr>
          <w:rFonts w:eastAsia="Cambria"/>
          <w:lang w:val="es-ES"/>
        </w:rPr>
        <w:t xml:space="preserve"> </w:t>
      </w:r>
      <w:r w:rsidRPr="00DB2987">
        <w:rPr>
          <w:rFonts w:eastAsia="Cambria"/>
        </w:rPr>
        <w:t>Actualmente se está ensayando con el trigo duro y se va a ensayar con el tomate y el cáñamo en proyectos de I+D cofinanciados por la OCVV.</w:t>
      </w:r>
    </w:p>
    <w:p w:rsidR="00AE66A3" w:rsidRPr="00DB2987" w:rsidRDefault="00AE66A3" w:rsidP="00AE66A3">
      <w:pPr>
        <w:rPr>
          <w:rFonts w:eastAsia="Cambria"/>
          <w:lang w:val="es-ES"/>
        </w:rPr>
      </w:pPr>
    </w:p>
    <w:p w:rsidR="00AE66A3" w:rsidRDefault="00225364" w:rsidP="00670CCB">
      <w:pPr>
        <w:rPr>
          <w:rFonts w:eastAsia="Cambria"/>
          <w:lang w:val="es-ES"/>
        </w:rPr>
      </w:pPr>
      <w:r w:rsidRPr="00DB2987">
        <w:rPr>
          <w:rFonts w:eastAsia="Cambria"/>
        </w:rPr>
        <w:t>Los métodos son evaluados por grupos de expertos en cultivos de la OCVV.</w:t>
      </w:r>
      <w:r w:rsidR="00AE66A3" w:rsidRPr="00DB2987">
        <w:rPr>
          <w:rFonts w:eastAsia="Cambria"/>
          <w:lang w:val="es-ES"/>
        </w:rPr>
        <w:t xml:space="preserve"> </w:t>
      </w:r>
    </w:p>
    <w:p w:rsidR="002B0539" w:rsidRDefault="002B0539" w:rsidP="00670CCB">
      <w:pPr>
        <w:rPr>
          <w:rFonts w:eastAsia="Cambria"/>
          <w:lang w:val="es-ES"/>
        </w:rPr>
      </w:pPr>
    </w:p>
    <w:p w:rsidR="002B0539" w:rsidRPr="00DB2987" w:rsidRDefault="002B0539" w:rsidP="00670CCB">
      <w:pPr>
        <w:rPr>
          <w:rFonts w:eastAsia="Cambria"/>
          <w:lang w:val="es-ES"/>
        </w:rPr>
      </w:pPr>
    </w:p>
    <w:p w:rsidR="00AE66A3" w:rsidRDefault="002B0539" w:rsidP="002B0539">
      <w:r>
        <w:t>2.3.</w:t>
      </w:r>
      <w:r>
        <w:tab/>
      </w:r>
      <w:r w:rsidR="004D68D9" w:rsidRPr="00DB2987">
        <w:t>Otros usos</w:t>
      </w:r>
    </w:p>
    <w:p w:rsidR="002B0539" w:rsidRPr="00DB2987" w:rsidRDefault="002B0539" w:rsidP="002B0539">
      <w:pPr>
        <w:rPr>
          <w:lang w:val="es-ES"/>
        </w:rPr>
      </w:pPr>
    </w:p>
    <w:p w:rsidR="00912F44" w:rsidRDefault="002B0539" w:rsidP="002B0539">
      <w:pPr>
        <w:rPr>
          <w:rFonts w:eastAsia="Cambria"/>
          <w:vanish/>
        </w:rPr>
      </w:pPr>
      <w:r>
        <w:rPr>
          <w:rFonts w:eastAsia="Cambria"/>
        </w:rPr>
        <w:t>2.3.1.</w:t>
      </w:r>
      <w:r>
        <w:rPr>
          <w:rFonts w:eastAsia="Cambria"/>
        </w:rPr>
        <w:tab/>
      </w:r>
      <w:r w:rsidR="00CB5662" w:rsidRPr="00DB2987">
        <w:rPr>
          <w:rFonts w:eastAsia="Cambria"/>
        </w:rPr>
        <w:t xml:space="preserve">Identificación a efectos del mantenimiento </w:t>
      </w:r>
      <w:r w:rsidR="004D68D9" w:rsidRPr="00DB2987">
        <w:rPr>
          <w:rFonts w:eastAsia="Cambria"/>
        </w:rPr>
        <w:t xml:space="preserve">de </w:t>
      </w:r>
      <w:r w:rsidR="00CB5662" w:rsidRPr="00DB2987">
        <w:rPr>
          <w:rFonts w:eastAsia="Cambria"/>
        </w:rPr>
        <w:t xml:space="preserve">las </w:t>
      </w:r>
      <w:r w:rsidR="004D68D9" w:rsidRPr="00DB2987">
        <w:rPr>
          <w:rFonts w:eastAsia="Cambria"/>
        </w:rPr>
        <w:t>colecciones de variedades</w:t>
      </w:r>
      <w:r w:rsidR="002B46CA" w:rsidRPr="00DB2987">
        <w:rPr>
          <w:rFonts w:eastAsia="Cambria"/>
          <w:vanish/>
        </w:rPr>
        <w:t xml:space="preserve">  </w:t>
      </w:r>
    </w:p>
    <w:p w:rsidR="002B0539" w:rsidRPr="00DB2987" w:rsidRDefault="002B0539" w:rsidP="002B0539">
      <w:pPr>
        <w:rPr>
          <w:rFonts w:eastAsia="Cambria"/>
          <w:lang w:val="es-ES"/>
        </w:rPr>
      </w:pPr>
    </w:p>
    <w:p w:rsidR="00AE66A3" w:rsidRPr="00DB2987" w:rsidRDefault="00CB5662" w:rsidP="00670CCB">
      <w:pPr>
        <w:rPr>
          <w:rFonts w:eastAsia="Cambria"/>
          <w:lang w:val="es-ES"/>
        </w:rPr>
      </w:pPr>
      <w:r w:rsidRPr="00DB2987">
        <w:rPr>
          <w:rFonts w:eastAsia="Cambria"/>
        </w:rPr>
        <w:t xml:space="preserve">Todos los marcadores moleculares mencionados en los ejemplos precedentes </w:t>
      </w:r>
      <w:r w:rsidR="00F0015F" w:rsidRPr="00DB2987">
        <w:rPr>
          <w:rFonts w:eastAsia="Cambria"/>
        </w:rPr>
        <w:t xml:space="preserve">se pueden utilizar </w:t>
      </w:r>
      <w:r w:rsidRPr="00DB2987">
        <w:rPr>
          <w:rFonts w:eastAsia="Cambria"/>
        </w:rPr>
        <w:t xml:space="preserve">con fines de identificación </w:t>
      </w:r>
      <w:r w:rsidR="002F2E6F" w:rsidRPr="00DB2987">
        <w:rPr>
          <w:rFonts w:eastAsia="Cambria"/>
        </w:rPr>
        <w:t xml:space="preserve">como ayuda para el mantenimiento </w:t>
      </w:r>
      <w:r w:rsidRPr="00DB2987">
        <w:rPr>
          <w:rFonts w:eastAsia="Cambria"/>
        </w:rPr>
        <w:t xml:space="preserve">de </w:t>
      </w:r>
      <w:r w:rsidR="00F0015F" w:rsidRPr="00DB2987">
        <w:rPr>
          <w:rFonts w:eastAsia="Cambria"/>
        </w:rPr>
        <w:t xml:space="preserve">las </w:t>
      </w:r>
      <w:r w:rsidRPr="00DB2987">
        <w:rPr>
          <w:rFonts w:eastAsia="Cambria"/>
        </w:rPr>
        <w:t>colecciones</w:t>
      </w:r>
      <w:r w:rsidR="00F0015F" w:rsidRPr="00DB2987">
        <w:rPr>
          <w:rFonts w:eastAsia="Cambria"/>
        </w:rPr>
        <w:t xml:space="preserve"> de </w:t>
      </w:r>
      <w:r w:rsidR="0066716C" w:rsidRPr="00DB2987">
        <w:rPr>
          <w:rFonts w:eastAsia="Cambria"/>
        </w:rPr>
        <w:t xml:space="preserve">variedades de </w:t>
      </w:r>
      <w:r w:rsidR="00F0015F" w:rsidRPr="00DB2987">
        <w:rPr>
          <w:rFonts w:eastAsia="Cambria"/>
        </w:rPr>
        <w:t>referencia</w:t>
      </w:r>
      <w:r w:rsidRPr="00DB2987">
        <w:rPr>
          <w:rFonts w:eastAsia="Cambria"/>
        </w:rPr>
        <w:t>.</w:t>
      </w:r>
      <w:r w:rsidR="00912F44" w:rsidRPr="00DB2987">
        <w:rPr>
          <w:rFonts w:eastAsia="Cambria"/>
          <w:lang w:val="es-ES"/>
        </w:rPr>
        <w:t xml:space="preserve"> </w:t>
      </w:r>
    </w:p>
    <w:p w:rsidR="00063FCB" w:rsidRPr="00DB2987" w:rsidRDefault="00063FCB" w:rsidP="00063FCB">
      <w:pPr>
        <w:rPr>
          <w:rFonts w:eastAsia="Cambria"/>
          <w:lang w:val="es-ES"/>
        </w:rPr>
      </w:pPr>
    </w:p>
    <w:p w:rsidR="00AE66A3" w:rsidRDefault="00DA5306" w:rsidP="00670CCB">
      <w:pPr>
        <w:rPr>
          <w:rFonts w:eastAsia="Cambria"/>
          <w:lang w:val="es-ES"/>
        </w:rPr>
      </w:pPr>
      <w:r w:rsidRPr="00DB2987">
        <w:rPr>
          <w:rFonts w:eastAsia="Cambria"/>
        </w:rPr>
        <w:t>Asimismo</w:t>
      </w:r>
      <w:r w:rsidR="00AF0490" w:rsidRPr="00DB2987">
        <w:rPr>
          <w:rFonts w:eastAsia="Cambria"/>
        </w:rPr>
        <w:t xml:space="preserve">, </w:t>
      </w:r>
      <w:r w:rsidRPr="00DB2987">
        <w:rPr>
          <w:rFonts w:eastAsia="Cambria"/>
        </w:rPr>
        <w:t>a</w:t>
      </w:r>
      <w:r w:rsidR="004F6B48" w:rsidRPr="00DB2987">
        <w:rPr>
          <w:rFonts w:eastAsia="Cambria"/>
        </w:rPr>
        <w:t xml:space="preserve">lgunas oficinas encargadas del examen </w:t>
      </w:r>
      <w:r w:rsidRPr="00DB2987">
        <w:rPr>
          <w:rFonts w:eastAsia="Cambria"/>
        </w:rPr>
        <w:t xml:space="preserve">pueden </w:t>
      </w:r>
      <w:r w:rsidR="004F6B48" w:rsidRPr="00DB2987">
        <w:rPr>
          <w:rFonts w:eastAsia="Cambria"/>
        </w:rPr>
        <w:t>utiliz</w:t>
      </w:r>
      <w:r w:rsidRPr="00DB2987">
        <w:rPr>
          <w:rFonts w:eastAsia="Cambria"/>
        </w:rPr>
        <w:t>ar</w:t>
      </w:r>
      <w:r w:rsidR="004F6B48" w:rsidRPr="00DB2987">
        <w:rPr>
          <w:rFonts w:eastAsia="Cambria"/>
        </w:rPr>
        <w:t xml:space="preserve"> otros conjuntos de marcadores moleculares con fines de identificación en especies como el rosal</w:t>
      </w:r>
      <w:r w:rsidR="00AF0490" w:rsidRPr="00DB2987">
        <w:rPr>
          <w:rFonts w:eastAsia="Cambria"/>
        </w:rPr>
        <w:t xml:space="preserve">, </w:t>
      </w:r>
      <w:r w:rsidR="004F6B48" w:rsidRPr="00DB2987">
        <w:rPr>
          <w:rFonts w:eastAsia="Cambria"/>
        </w:rPr>
        <w:t>el cerezo</w:t>
      </w:r>
      <w:r w:rsidR="00AF0490" w:rsidRPr="00DB2987">
        <w:rPr>
          <w:rFonts w:eastAsia="Cambria"/>
        </w:rPr>
        <w:t xml:space="preserve">, </w:t>
      </w:r>
      <w:r w:rsidR="004F6B48" w:rsidRPr="00DB2987">
        <w:rPr>
          <w:rFonts w:eastAsia="Cambria"/>
        </w:rPr>
        <w:t>el duraznero/melocotonero</w:t>
      </w:r>
      <w:r w:rsidR="00AF0490" w:rsidRPr="00DB2987">
        <w:rPr>
          <w:rFonts w:eastAsia="Cambria"/>
        </w:rPr>
        <w:t xml:space="preserve">, </w:t>
      </w:r>
      <w:r w:rsidR="004F6B48" w:rsidRPr="00DB2987">
        <w:rPr>
          <w:rFonts w:eastAsia="Cambria"/>
        </w:rPr>
        <w:t>la vid</w:t>
      </w:r>
      <w:r w:rsidR="00AF0490" w:rsidRPr="00DB2987">
        <w:rPr>
          <w:rFonts w:eastAsia="Cambria"/>
        </w:rPr>
        <w:t xml:space="preserve">, </w:t>
      </w:r>
      <w:r w:rsidR="004F6B48" w:rsidRPr="00DB2987">
        <w:rPr>
          <w:rFonts w:eastAsia="Cambria"/>
        </w:rPr>
        <w:t>los cítricos…</w:t>
      </w:r>
      <w:r w:rsidR="00AE66A3" w:rsidRPr="00DB2987">
        <w:rPr>
          <w:rFonts w:eastAsia="Cambria"/>
          <w:lang w:val="es-ES"/>
        </w:rPr>
        <w:t xml:space="preserve"> </w:t>
      </w:r>
      <w:r w:rsidRPr="00DB2987">
        <w:rPr>
          <w:rFonts w:eastAsia="Cambria"/>
        </w:rPr>
        <w:t>Esos conjuntos de marcadores pueden estar armonizados entre las oficinas encargadas del examen (por ejemplo</w:t>
      </w:r>
      <w:r w:rsidR="00AF0490" w:rsidRPr="00DB2987">
        <w:rPr>
          <w:rFonts w:eastAsia="Cambria"/>
        </w:rPr>
        <w:t xml:space="preserve">, </w:t>
      </w:r>
      <w:r w:rsidRPr="00DB2987">
        <w:rPr>
          <w:rFonts w:eastAsia="Cambria"/>
        </w:rPr>
        <w:t>la papa/patata gracias a un proyecto apoyado por la OCVV) o no.</w:t>
      </w:r>
      <w:r w:rsidR="00AE66A3" w:rsidRPr="00DB2987">
        <w:rPr>
          <w:rFonts w:eastAsia="Cambria"/>
          <w:lang w:val="es-ES"/>
        </w:rPr>
        <w:t xml:space="preserve"> </w:t>
      </w:r>
    </w:p>
    <w:p w:rsidR="002B0539" w:rsidRPr="00DB2987" w:rsidRDefault="002B0539" w:rsidP="00670CCB">
      <w:pPr>
        <w:rPr>
          <w:rFonts w:eastAsia="Cambria"/>
          <w:lang w:val="es-ES"/>
        </w:rPr>
      </w:pPr>
    </w:p>
    <w:p w:rsidR="00AE66A3" w:rsidRDefault="002B0539" w:rsidP="002B0539">
      <w:pPr>
        <w:rPr>
          <w:rFonts w:eastAsia="Cambria"/>
        </w:rPr>
      </w:pPr>
      <w:r>
        <w:rPr>
          <w:rFonts w:eastAsia="Cambria"/>
        </w:rPr>
        <w:t>2.3.2.</w:t>
      </w:r>
      <w:r>
        <w:rPr>
          <w:rFonts w:eastAsia="Cambria"/>
        </w:rPr>
        <w:tab/>
      </w:r>
      <w:r w:rsidR="00DA5306" w:rsidRPr="00DB2987">
        <w:rPr>
          <w:rFonts w:eastAsia="Cambria"/>
        </w:rPr>
        <w:t>Detección de organismos modificados genéticamente (conforme a la Directiva</w:t>
      </w:r>
      <w:r w:rsidR="00AF0490" w:rsidRPr="00DB2987">
        <w:rPr>
          <w:rFonts w:eastAsia="Cambria"/>
        </w:rPr>
        <w:t> 2</w:t>
      </w:r>
      <w:r w:rsidR="00DA5306" w:rsidRPr="00DB2987">
        <w:rPr>
          <w:rFonts w:eastAsia="Cambria"/>
        </w:rPr>
        <w:t>001/18/CE)</w:t>
      </w:r>
    </w:p>
    <w:p w:rsidR="002B0539" w:rsidRPr="00DB2987" w:rsidRDefault="002B0539" w:rsidP="002B0539">
      <w:pPr>
        <w:rPr>
          <w:rFonts w:eastAsia="Cambria"/>
          <w:lang w:val="es-ES"/>
        </w:rPr>
      </w:pPr>
    </w:p>
    <w:p w:rsidR="00AE66A3" w:rsidRPr="00DB2987" w:rsidRDefault="001F49B5" w:rsidP="00670CCB">
      <w:pPr>
        <w:rPr>
          <w:rFonts w:eastAsia="Cambria"/>
          <w:lang w:val="es-ES"/>
        </w:rPr>
      </w:pPr>
      <w:r w:rsidRPr="00DB2987">
        <w:rPr>
          <w:rFonts w:eastAsia="Cambria"/>
        </w:rPr>
        <w:t>En determinados casos</w:t>
      </w:r>
      <w:r w:rsidR="00AF0490" w:rsidRPr="00DB2987">
        <w:rPr>
          <w:rFonts w:eastAsia="Cambria"/>
        </w:rPr>
        <w:t xml:space="preserve">, </w:t>
      </w:r>
      <w:r w:rsidR="0009445D" w:rsidRPr="00DB2987">
        <w:rPr>
          <w:rFonts w:eastAsia="Cambria"/>
        </w:rPr>
        <w:t xml:space="preserve">las oficinas encargadas del examen utilizan </w:t>
      </w:r>
      <w:r w:rsidRPr="00DB2987">
        <w:rPr>
          <w:rFonts w:eastAsia="Cambria"/>
        </w:rPr>
        <w:t xml:space="preserve">marcadores </w:t>
      </w:r>
      <w:r w:rsidR="0009445D" w:rsidRPr="00DB2987">
        <w:rPr>
          <w:rFonts w:eastAsia="Cambria"/>
        </w:rPr>
        <w:t xml:space="preserve">para </w:t>
      </w:r>
      <w:r w:rsidRPr="00DB2987">
        <w:rPr>
          <w:rFonts w:eastAsia="Cambria"/>
        </w:rPr>
        <w:t>detect</w:t>
      </w:r>
      <w:r w:rsidR="0009445D" w:rsidRPr="00DB2987">
        <w:rPr>
          <w:rFonts w:eastAsia="Cambria"/>
        </w:rPr>
        <w:t>ar</w:t>
      </w:r>
      <w:r w:rsidRPr="00DB2987">
        <w:rPr>
          <w:rFonts w:eastAsia="Cambria"/>
        </w:rPr>
        <w:t xml:space="preserve"> variedades produc</w:t>
      </w:r>
      <w:r w:rsidR="0009445D" w:rsidRPr="00DB2987">
        <w:rPr>
          <w:rFonts w:eastAsia="Cambria"/>
        </w:rPr>
        <w:t xml:space="preserve">idas </w:t>
      </w:r>
      <w:r w:rsidR="00470188" w:rsidRPr="00DB2987">
        <w:rPr>
          <w:rFonts w:eastAsia="Cambria"/>
        </w:rPr>
        <w:t>con la ayuda de</w:t>
      </w:r>
      <w:r w:rsidRPr="00DB2987">
        <w:rPr>
          <w:rFonts w:eastAsia="Cambria"/>
        </w:rPr>
        <w:t xml:space="preserve"> </w:t>
      </w:r>
      <w:r w:rsidR="0009445D" w:rsidRPr="00DB2987">
        <w:rPr>
          <w:rFonts w:eastAsia="Cambria"/>
        </w:rPr>
        <w:t xml:space="preserve">técnicas de transgénesis </w:t>
      </w:r>
      <w:r w:rsidRPr="00DB2987">
        <w:rPr>
          <w:rFonts w:eastAsia="Cambria"/>
        </w:rPr>
        <w:t xml:space="preserve">o </w:t>
      </w:r>
      <w:proofErr w:type="spellStart"/>
      <w:r w:rsidR="0009445D" w:rsidRPr="00DB2987">
        <w:rPr>
          <w:rFonts w:eastAsia="Cambria"/>
        </w:rPr>
        <w:t>mutagénesis</w:t>
      </w:r>
      <w:proofErr w:type="spellEnd"/>
      <w:r w:rsidR="0009445D" w:rsidRPr="00DB2987">
        <w:rPr>
          <w:rFonts w:eastAsia="Cambria"/>
        </w:rPr>
        <w:t xml:space="preserve"> dirigida</w:t>
      </w:r>
      <w:r w:rsidR="00AF0490" w:rsidRPr="00DB2987">
        <w:rPr>
          <w:rFonts w:eastAsia="Cambria"/>
        </w:rPr>
        <w:t xml:space="preserve">, </w:t>
      </w:r>
      <w:r w:rsidR="0009445D" w:rsidRPr="00DB2987">
        <w:rPr>
          <w:rFonts w:eastAsia="Cambria"/>
        </w:rPr>
        <w:t>con objeto de</w:t>
      </w:r>
      <w:r w:rsidRPr="00DB2987">
        <w:rPr>
          <w:rFonts w:eastAsia="Cambria"/>
        </w:rPr>
        <w:t>:</w:t>
      </w:r>
    </w:p>
    <w:p w:rsidR="00AE66A3" w:rsidRPr="00DB2987" w:rsidRDefault="00AE66A3" w:rsidP="00670CCB">
      <w:pPr>
        <w:ind w:left="567"/>
        <w:rPr>
          <w:rFonts w:eastAsia="Cambria"/>
          <w:lang w:val="es-ES"/>
        </w:rPr>
      </w:pPr>
      <w:r w:rsidRPr="00DB2987">
        <w:rPr>
          <w:rFonts w:eastAsia="Cambria"/>
          <w:lang w:val="es-ES"/>
        </w:rPr>
        <w:t xml:space="preserve">- </w:t>
      </w:r>
      <w:r w:rsidR="00470188" w:rsidRPr="00DB2987">
        <w:rPr>
          <w:rFonts w:eastAsia="Cambria"/>
        </w:rPr>
        <w:t xml:space="preserve">confirmar la presencia de una transformación genética declarada (inserción de </w:t>
      </w:r>
      <w:proofErr w:type="spellStart"/>
      <w:r w:rsidR="00470188" w:rsidRPr="00DB2987">
        <w:rPr>
          <w:rFonts w:eastAsia="Cambria"/>
        </w:rPr>
        <w:t>transgenes</w:t>
      </w:r>
      <w:proofErr w:type="spellEnd"/>
      <w:r w:rsidR="00470188" w:rsidRPr="00DB2987">
        <w:rPr>
          <w:rFonts w:eastAsia="Cambria"/>
        </w:rPr>
        <w:t xml:space="preserve"> o mutaciones puntuales provocadas mediante técnicas de modificación de genes);</w:t>
      </w:r>
    </w:p>
    <w:p w:rsidR="00AE66A3" w:rsidRPr="00DB2987" w:rsidRDefault="00AE66A3" w:rsidP="00670CCB">
      <w:pPr>
        <w:ind w:left="567"/>
        <w:rPr>
          <w:rFonts w:eastAsia="Cambria"/>
          <w:lang w:val="es-ES"/>
        </w:rPr>
      </w:pPr>
      <w:r w:rsidRPr="00DB2987">
        <w:rPr>
          <w:rFonts w:eastAsia="Cambria"/>
          <w:lang w:val="es-ES"/>
        </w:rPr>
        <w:t xml:space="preserve">- </w:t>
      </w:r>
      <w:r w:rsidR="00304582" w:rsidRPr="00DB2987">
        <w:rPr>
          <w:rFonts w:eastAsia="Cambria"/>
        </w:rPr>
        <w:t xml:space="preserve">detectar la presencia accidental de semillas modificadas genéticamente en </w:t>
      </w:r>
      <w:r w:rsidR="00723D72" w:rsidRPr="00DB2987">
        <w:rPr>
          <w:rFonts w:eastAsia="Cambria"/>
        </w:rPr>
        <w:t>los</w:t>
      </w:r>
      <w:r w:rsidR="00304582" w:rsidRPr="00DB2987">
        <w:rPr>
          <w:rFonts w:eastAsia="Cambria"/>
        </w:rPr>
        <w:t xml:space="preserve"> </w:t>
      </w:r>
      <w:r w:rsidR="00723D72" w:rsidRPr="00DB2987">
        <w:rPr>
          <w:rFonts w:eastAsia="Cambria"/>
        </w:rPr>
        <w:t xml:space="preserve">lotes de </w:t>
      </w:r>
      <w:r w:rsidR="00304582" w:rsidRPr="00DB2987">
        <w:rPr>
          <w:rFonts w:eastAsia="Cambria"/>
        </w:rPr>
        <w:t>referencia</w:t>
      </w:r>
      <w:r w:rsidR="00723D72" w:rsidRPr="00DB2987">
        <w:rPr>
          <w:rFonts w:eastAsia="Cambria"/>
        </w:rPr>
        <w:t xml:space="preserve"> presentados</w:t>
      </w:r>
      <w:r w:rsidR="00304582" w:rsidRPr="00DB2987">
        <w:rPr>
          <w:rFonts w:eastAsia="Cambria"/>
        </w:rPr>
        <w:t>.</w:t>
      </w:r>
    </w:p>
    <w:p w:rsidR="00AE66A3" w:rsidRPr="00DB2987" w:rsidRDefault="00AE66A3" w:rsidP="00AE66A3">
      <w:pPr>
        <w:rPr>
          <w:rFonts w:eastAsia="Cambria"/>
          <w:lang w:val="es-ES"/>
        </w:rPr>
      </w:pPr>
    </w:p>
    <w:p w:rsidR="00AE66A3" w:rsidRPr="00DB2987" w:rsidRDefault="00723D72" w:rsidP="00670CCB">
      <w:pPr>
        <w:suppressAutoHyphens/>
        <w:spacing w:line="260" w:lineRule="auto"/>
        <w:rPr>
          <w:rFonts w:eastAsia="Cambria" w:cs="Arial"/>
          <w:bCs/>
          <w:spacing w:val="-3"/>
          <w:szCs w:val="18"/>
          <w:lang w:val="es-ES"/>
        </w:rPr>
      </w:pPr>
      <w:r w:rsidRPr="00DB2987">
        <w:rPr>
          <w:rFonts w:eastAsia="Cambria" w:cs="Arial"/>
          <w:bCs/>
          <w:spacing w:val="-3"/>
          <w:szCs w:val="18"/>
        </w:rPr>
        <w:t>Conclusiones</w:t>
      </w:r>
    </w:p>
    <w:p w:rsidR="00AE66A3" w:rsidRPr="00DB2987" w:rsidRDefault="00AE66A3" w:rsidP="00AE66A3">
      <w:pPr>
        <w:rPr>
          <w:rFonts w:eastAsia="Cambria"/>
          <w:lang w:val="es-ES"/>
        </w:rPr>
      </w:pPr>
    </w:p>
    <w:p w:rsidR="00AE66A3" w:rsidRPr="00DB2987" w:rsidRDefault="00723D72" w:rsidP="00670CCB">
      <w:pPr>
        <w:rPr>
          <w:rFonts w:eastAsia="Cambria"/>
          <w:lang w:val="es-ES"/>
        </w:rPr>
      </w:pPr>
      <w:r w:rsidRPr="00DB2987">
        <w:rPr>
          <w:rFonts w:eastAsia="Cambria"/>
        </w:rPr>
        <w:t>En resumen</w:t>
      </w:r>
      <w:r w:rsidR="00AF0490" w:rsidRPr="00DB2987">
        <w:rPr>
          <w:rFonts w:eastAsia="Cambria"/>
        </w:rPr>
        <w:t xml:space="preserve">, </w:t>
      </w:r>
      <w:r w:rsidRPr="00DB2987">
        <w:rPr>
          <w:rFonts w:eastAsia="Cambria"/>
        </w:rPr>
        <w:t>cabe decir que</w:t>
      </w:r>
      <w:r w:rsidR="00AF0490" w:rsidRPr="00DB2987">
        <w:rPr>
          <w:rFonts w:eastAsia="Cambria"/>
        </w:rPr>
        <w:t xml:space="preserve">, </w:t>
      </w:r>
      <w:r w:rsidRPr="00DB2987">
        <w:rPr>
          <w:rFonts w:eastAsia="Cambria"/>
        </w:rPr>
        <w:t>en la actualidad</w:t>
      </w:r>
      <w:r w:rsidR="00AF0490" w:rsidRPr="00DB2987">
        <w:rPr>
          <w:rFonts w:eastAsia="Cambria"/>
        </w:rPr>
        <w:t xml:space="preserve">, </w:t>
      </w:r>
      <w:r w:rsidRPr="00DB2987">
        <w:rPr>
          <w:rFonts w:eastAsia="Cambria"/>
        </w:rPr>
        <w:t>la</w:t>
      </w:r>
      <w:r w:rsidR="004E2212" w:rsidRPr="00DB2987">
        <w:rPr>
          <w:rFonts w:eastAsia="Cambria"/>
        </w:rPr>
        <w:t>s</w:t>
      </w:r>
      <w:r w:rsidRPr="00DB2987">
        <w:rPr>
          <w:rFonts w:eastAsia="Cambria"/>
        </w:rPr>
        <w:t xml:space="preserve"> </w:t>
      </w:r>
      <w:r w:rsidR="004E2212" w:rsidRPr="00DB2987">
        <w:rPr>
          <w:rFonts w:eastAsia="Cambria"/>
        </w:rPr>
        <w:t xml:space="preserve">oficinas encargadas del examen pertenecientes a la </w:t>
      </w:r>
      <w:r w:rsidRPr="00DB2987">
        <w:rPr>
          <w:rFonts w:eastAsia="Cambria"/>
        </w:rPr>
        <w:t xml:space="preserve">red </w:t>
      </w:r>
      <w:r w:rsidR="00F37AD9" w:rsidRPr="00DB2987">
        <w:rPr>
          <w:rFonts w:eastAsia="Cambria"/>
        </w:rPr>
        <w:t xml:space="preserve">de la OCVV </w:t>
      </w:r>
      <w:r w:rsidRPr="00DB2987">
        <w:rPr>
          <w:rFonts w:eastAsia="Cambria"/>
        </w:rPr>
        <w:t>utiliza</w:t>
      </w:r>
      <w:r w:rsidR="004E2212" w:rsidRPr="00DB2987">
        <w:rPr>
          <w:rFonts w:eastAsia="Cambria"/>
        </w:rPr>
        <w:t>n</w:t>
      </w:r>
      <w:r w:rsidR="00AF0490" w:rsidRPr="00DB2987">
        <w:rPr>
          <w:rFonts w:eastAsia="Cambria"/>
        </w:rPr>
        <w:t xml:space="preserve">, </w:t>
      </w:r>
      <w:r w:rsidRPr="00DB2987">
        <w:rPr>
          <w:rFonts w:eastAsia="Cambria"/>
        </w:rPr>
        <w:t>o está</w:t>
      </w:r>
      <w:r w:rsidR="004E2212" w:rsidRPr="00DB2987">
        <w:rPr>
          <w:rFonts w:eastAsia="Cambria"/>
        </w:rPr>
        <w:t>n</w:t>
      </w:r>
      <w:r w:rsidRPr="00DB2987">
        <w:rPr>
          <w:rFonts w:eastAsia="Cambria"/>
        </w:rPr>
        <w:t xml:space="preserve"> desarrollando</w:t>
      </w:r>
      <w:r w:rsidR="00AF0490" w:rsidRPr="00DB2987">
        <w:rPr>
          <w:rFonts w:eastAsia="Cambria"/>
        </w:rPr>
        <w:t xml:space="preserve">, </w:t>
      </w:r>
      <w:r w:rsidRPr="00DB2987">
        <w:rPr>
          <w:rFonts w:eastAsia="Cambria"/>
        </w:rPr>
        <w:t>múltiples métodos moleculares en apoyo del examen DHE.</w:t>
      </w:r>
      <w:r w:rsidR="008D5376" w:rsidRPr="00DB2987">
        <w:rPr>
          <w:rFonts w:eastAsia="Cambria"/>
          <w:vanish/>
        </w:rPr>
        <w:t xml:space="preserve"> </w:t>
      </w:r>
    </w:p>
    <w:p w:rsidR="008D5376" w:rsidRPr="00DB2987" w:rsidRDefault="00F176B7" w:rsidP="00670CCB">
      <w:pPr>
        <w:rPr>
          <w:rFonts w:eastAsia="Cambria"/>
          <w:lang w:val="es-ES"/>
        </w:rPr>
      </w:pPr>
      <w:r w:rsidRPr="00DB2987">
        <w:rPr>
          <w:rFonts w:eastAsia="Cambria"/>
        </w:rPr>
        <w:t>Sin embargo</w:t>
      </w:r>
      <w:r w:rsidR="00AF0490" w:rsidRPr="00DB2987">
        <w:rPr>
          <w:rFonts w:eastAsia="Cambria"/>
        </w:rPr>
        <w:t xml:space="preserve">, </w:t>
      </w:r>
      <w:r w:rsidRPr="00DB2987">
        <w:rPr>
          <w:rFonts w:eastAsia="Cambria"/>
        </w:rPr>
        <w:t xml:space="preserve">en los protocolos técnicos de la OCVV solo </w:t>
      </w:r>
      <w:r w:rsidR="002E4897" w:rsidRPr="00DB2987">
        <w:rPr>
          <w:rFonts w:eastAsia="Cambria"/>
        </w:rPr>
        <w:t>se encuentran</w:t>
      </w:r>
      <w:r w:rsidRPr="00DB2987">
        <w:rPr>
          <w:rFonts w:eastAsia="Cambria"/>
        </w:rPr>
        <w:t xml:space="preserve"> descritos oficialmente dos conjuntos </w:t>
      </w:r>
      <w:r w:rsidR="002E4897" w:rsidRPr="00DB2987">
        <w:rPr>
          <w:rFonts w:eastAsia="Cambria"/>
        </w:rPr>
        <w:t xml:space="preserve">de </w:t>
      </w:r>
      <w:r w:rsidRPr="00DB2987">
        <w:rPr>
          <w:rFonts w:eastAsia="Cambria"/>
        </w:rPr>
        <w:t>marcadores moleculares ligados a caracteres</w:t>
      </w:r>
      <w:r w:rsidR="002E4897" w:rsidRPr="00DB2987">
        <w:rPr>
          <w:rFonts w:eastAsia="Cambria"/>
        </w:rPr>
        <w:t>,</w:t>
      </w:r>
      <w:r w:rsidRPr="00DB2987">
        <w:rPr>
          <w:rFonts w:eastAsia="Cambria"/>
        </w:rPr>
        <w:t xml:space="preserve"> </w:t>
      </w:r>
      <w:r w:rsidR="00C06D85" w:rsidRPr="00DB2987">
        <w:rPr>
          <w:rFonts w:eastAsia="Cambria"/>
        </w:rPr>
        <w:t>sobre la</w:t>
      </w:r>
      <w:r w:rsidRPr="00DB2987">
        <w:rPr>
          <w:rFonts w:eastAsia="Cambria"/>
        </w:rPr>
        <w:t xml:space="preserve"> bas</w:t>
      </w:r>
      <w:r w:rsidR="00C06D85" w:rsidRPr="00DB2987">
        <w:rPr>
          <w:rFonts w:eastAsia="Cambria"/>
        </w:rPr>
        <w:t>e</w:t>
      </w:r>
      <w:r w:rsidRPr="00DB2987">
        <w:rPr>
          <w:rFonts w:eastAsia="Cambria"/>
        </w:rPr>
        <w:t xml:space="preserve"> de </w:t>
      </w:r>
      <w:r w:rsidR="00C06D85" w:rsidRPr="00DB2987">
        <w:rPr>
          <w:rFonts w:eastAsia="Cambria"/>
        </w:rPr>
        <w:t xml:space="preserve">la </w:t>
      </w:r>
      <w:r w:rsidRPr="00DB2987">
        <w:rPr>
          <w:rFonts w:eastAsia="Cambria"/>
        </w:rPr>
        <w:t>evaluación/validación de los grupos de expertos de la OCVV.</w:t>
      </w:r>
      <w:r w:rsidR="00AE66A3" w:rsidRPr="00DB2987">
        <w:rPr>
          <w:rFonts w:eastAsia="Cambria"/>
          <w:lang w:val="es-ES"/>
        </w:rPr>
        <w:t xml:space="preserve"> </w:t>
      </w:r>
      <w:r w:rsidR="00C06D85" w:rsidRPr="00DB2987">
        <w:rPr>
          <w:rFonts w:eastAsia="Cambria"/>
        </w:rPr>
        <w:t>Se trata de marcadores de dominio público.</w:t>
      </w:r>
      <w:r w:rsidR="008D5376" w:rsidRPr="00DB2987">
        <w:rPr>
          <w:rFonts w:eastAsia="Cambria"/>
          <w:vanish/>
        </w:rPr>
        <w:t xml:space="preserve"> </w:t>
      </w:r>
    </w:p>
    <w:p w:rsidR="008D5376" w:rsidRPr="00DB2987" w:rsidRDefault="0066716C" w:rsidP="00670CCB">
      <w:pPr>
        <w:rPr>
          <w:rFonts w:eastAsia="Cambria"/>
          <w:lang w:val="es-ES"/>
        </w:rPr>
      </w:pPr>
      <w:r w:rsidRPr="00DB2987">
        <w:rPr>
          <w:rFonts w:eastAsia="Cambria"/>
        </w:rPr>
        <w:t>Por consiguiente</w:t>
      </w:r>
      <w:r w:rsidR="00AF0490" w:rsidRPr="00DB2987">
        <w:rPr>
          <w:rFonts w:eastAsia="Cambria"/>
        </w:rPr>
        <w:t xml:space="preserve">, </w:t>
      </w:r>
      <w:r w:rsidR="002D3F9C" w:rsidRPr="00DB2987">
        <w:rPr>
          <w:rFonts w:eastAsia="Cambria"/>
        </w:rPr>
        <w:t xml:space="preserve">corresponde a </w:t>
      </w:r>
      <w:r w:rsidRPr="00DB2987">
        <w:rPr>
          <w:rFonts w:eastAsia="Cambria"/>
        </w:rPr>
        <w:t xml:space="preserve">las oficinas encargadas del examen describir los instrumentos moleculares que utilizan </w:t>
      </w:r>
      <w:r w:rsidR="002D3F9C" w:rsidRPr="00DB2987">
        <w:rPr>
          <w:rFonts w:eastAsia="Cambria"/>
        </w:rPr>
        <w:t xml:space="preserve">en relación con </w:t>
      </w:r>
      <w:r w:rsidRPr="00DB2987">
        <w:rPr>
          <w:rFonts w:eastAsia="Cambria"/>
        </w:rPr>
        <w:t xml:space="preserve">la política de la OCVV </w:t>
      </w:r>
      <w:r w:rsidR="002D3F9C" w:rsidRPr="00DB2987">
        <w:rPr>
          <w:rFonts w:eastAsia="Cambria"/>
        </w:rPr>
        <w:t>sobre</w:t>
      </w:r>
      <w:r w:rsidRPr="00DB2987">
        <w:rPr>
          <w:rFonts w:eastAsia="Cambria"/>
        </w:rPr>
        <w:t xml:space="preserve"> los métodos </w:t>
      </w:r>
      <w:r w:rsidR="002D3F9C" w:rsidRPr="00DB2987">
        <w:rPr>
          <w:rFonts w:eastAsia="Cambria"/>
        </w:rPr>
        <w:t xml:space="preserve">relativos a </w:t>
      </w:r>
      <w:r w:rsidRPr="00DB2987">
        <w:rPr>
          <w:rFonts w:eastAsia="Cambria"/>
        </w:rPr>
        <w:t>las colecciones de variedades de referencia.</w:t>
      </w:r>
      <w:r w:rsidR="008D5376" w:rsidRPr="00DB2987">
        <w:rPr>
          <w:rFonts w:eastAsia="Cambria"/>
          <w:vanish/>
        </w:rPr>
        <w:t xml:space="preserve"> </w:t>
      </w:r>
    </w:p>
    <w:p w:rsidR="00AE66A3" w:rsidRPr="00DB2987" w:rsidRDefault="00AE66A3" w:rsidP="008D5376">
      <w:pPr>
        <w:rPr>
          <w:rFonts w:eastAsia="Cambria"/>
          <w:lang w:val="es-ES"/>
        </w:rPr>
      </w:pPr>
    </w:p>
    <w:p w:rsidR="00AE66A3" w:rsidRPr="00DB2987" w:rsidRDefault="00AE66A3" w:rsidP="00AE66A3">
      <w:pPr>
        <w:rPr>
          <w:rFonts w:eastAsia="Cambria"/>
          <w:lang w:val="es-ES"/>
        </w:rPr>
      </w:pPr>
    </w:p>
    <w:p w:rsidR="00AE66A3" w:rsidRPr="00DB2987" w:rsidRDefault="00AE66A3" w:rsidP="00AE66A3">
      <w:pPr>
        <w:rPr>
          <w:lang w:val="es-ES"/>
        </w:rPr>
      </w:pPr>
    </w:p>
    <w:p w:rsidR="00AE66A3" w:rsidRPr="00DB2987" w:rsidRDefault="00AE66A3" w:rsidP="00AE66A3">
      <w:pPr>
        <w:jc w:val="right"/>
      </w:pPr>
      <w:r w:rsidRPr="00DB2987">
        <w:t>[</w:t>
      </w:r>
      <w:r w:rsidR="007B41F1" w:rsidRPr="00DB2987">
        <w:t xml:space="preserve">Sigue el Anexo </w:t>
      </w:r>
      <w:r w:rsidRPr="00DB2987">
        <w:t>II]</w:t>
      </w:r>
    </w:p>
    <w:p w:rsidR="00AE66A3" w:rsidRPr="00DB2987" w:rsidRDefault="00AE66A3" w:rsidP="00AE66A3">
      <w:pPr>
        <w:rPr>
          <w:rFonts w:eastAsia="Cambria"/>
          <w:lang w:val="es-ES"/>
        </w:rPr>
      </w:pPr>
    </w:p>
    <w:p w:rsidR="00AE66A3" w:rsidRPr="00DB2987" w:rsidRDefault="00AE66A3" w:rsidP="00AE66A3">
      <w:pPr>
        <w:jc w:val="left"/>
        <w:rPr>
          <w:lang w:val="es-ES"/>
        </w:rPr>
        <w:sectPr w:rsidR="00AE66A3" w:rsidRPr="00DB2987" w:rsidSect="00617BD3">
          <w:headerReference w:type="first" r:id="rId11"/>
          <w:pgSz w:w="11907" w:h="16840" w:code="9"/>
          <w:pgMar w:top="510" w:right="1134" w:bottom="1134" w:left="1134" w:header="510" w:footer="624" w:gutter="0"/>
          <w:pgNumType w:start="1"/>
          <w:cols w:space="720"/>
          <w:titlePg/>
          <w:docGrid w:linePitch="272"/>
        </w:sectPr>
      </w:pPr>
    </w:p>
    <w:p w:rsidR="002B696D" w:rsidRPr="00DB2987" w:rsidRDefault="002B696D" w:rsidP="00670CCB"/>
    <w:p w:rsidR="00AE66A3" w:rsidRPr="00DB2987" w:rsidRDefault="00292706" w:rsidP="00670CCB">
      <w:pPr>
        <w:rPr>
          <w:lang w:val="es-ES"/>
        </w:rPr>
      </w:pPr>
      <w:r w:rsidRPr="00DB2987">
        <w:t>ELEMENTOS DEL PROYECTO DE DOCUMENTO CONJUNTO EN EL QUE SE EXPLIQUEN LAS CARACTERÍSTICAS PRINCIPALES DE LOS SISTEMAS DE LA OCDE</w:t>
      </w:r>
      <w:r w:rsidR="00AF0490" w:rsidRPr="00DB2987">
        <w:t xml:space="preserve">, </w:t>
      </w:r>
      <w:r w:rsidRPr="00DB2987">
        <w:t>LA UPOV Y LA ISTA</w:t>
      </w:r>
    </w:p>
    <w:p w:rsidR="00AE66A3" w:rsidRPr="00DB2987" w:rsidRDefault="00AE66A3" w:rsidP="00AE66A3">
      <w:pPr>
        <w:rPr>
          <w:lang w:val="es-ES"/>
        </w:rPr>
      </w:pPr>
    </w:p>
    <w:p w:rsidR="00AE66A3" w:rsidRPr="00DB2987" w:rsidRDefault="00292706" w:rsidP="00670CCB">
      <w:pPr>
        <w:rPr>
          <w:bCs/>
          <w:u w:val="single"/>
          <w:lang w:val="es-ES"/>
        </w:rPr>
      </w:pPr>
      <w:r w:rsidRPr="00DB2987">
        <w:rPr>
          <w:bCs/>
          <w:u w:val="single"/>
        </w:rPr>
        <w:t>Organización para la Cooperación y el Desarrollo Económicos (OCDE)</w:t>
      </w:r>
    </w:p>
    <w:p w:rsidR="00AE66A3" w:rsidRPr="00DB2987" w:rsidRDefault="00AE66A3" w:rsidP="00AE66A3">
      <w:pPr>
        <w:rPr>
          <w:lang w:val="es-ES"/>
        </w:rPr>
      </w:pPr>
    </w:p>
    <w:p w:rsidR="00AE66A3" w:rsidRPr="00DB2987" w:rsidRDefault="007C0082" w:rsidP="00670CCB">
      <w:pPr>
        <w:spacing w:before="100"/>
        <w:rPr>
          <w:i/>
          <w:lang w:val="es-ES"/>
        </w:rPr>
      </w:pPr>
      <w:r w:rsidRPr="00DB2987">
        <w:rPr>
          <w:i/>
        </w:rPr>
        <w:t>¿Qué son</w:t>
      </w:r>
      <w:r w:rsidR="00292706" w:rsidRPr="00DB2987">
        <w:rPr>
          <w:i/>
        </w:rPr>
        <w:t xml:space="preserve"> los </w:t>
      </w:r>
      <w:r w:rsidRPr="00DB2987">
        <w:rPr>
          <w:i/>
        </w:rPr>
        <w:t xml:space="preserve">Sistemas </w:t>
      </w:r>
      <w:r w:rsidR="00292706" w:rsidRPr="00DB2987">
        <w:rPr>
          <w:i/>
        </w:rPr>
        <w:t>de semillas de la</w:t>
      </w:r>
      <w:r w:rsidRPr="00DB2987">
        <w:rPr>
          <w:i/>
        </w:rPr>
        <w:t> </w:t>
      </w:r>
      <w:r w:rsidR="00292706" w:rsidRPr="00DB2987">
        <w:rPr>
          <w:i/>
        </w:rPr>
        <w:t>OCDE</w:t>
      </w:r>
      <w:r w:rsidRPr="00DB2987">
        <w:rPr>
          <w:i/>
        </w:rPr>
        <w:t>?</w:t>
      </w:r>
    </w:p>
    <w:p w:rsidR="00AE66A3" w:rsidRPr="00DB2987" w:rsidRDefault="00AE66A3" w:rsidP="00AE66A3">
      <w:pPr>
        <w:spacing w:before="4"/>
        <w:rPr>
          <w:b/>
          <w:lang w:val="es-ES"/>
        </w:rPr>
      </w:pPr>
    </w:p>
    <w:p w:rsidR="00AE66A3" w:rsidRPr="00DB2987" w:rsidRDefault="007C0082" w:rsidP="00670CCB">
      <w:pPr>
        <w:widowControl w:val="0"/>
        <w:tabs>
          <w:tab w:val="left" w:pos="1125"/>
          <w:tab w:val="left" w:pos="1126"/>
        </w:tabs>
        <w:autoSpaceDE w:val="0"/>
        <w:autoSpaceDN w:val="0"/>
        <w:spacing w:before="1"/>
        <w:ind w:right="214"/>
        <w:rPr>
          <w:rFonts w:cs="Arial"/>
          <w:lang w:val="es-ES" w:eastAsia="en-GB" w:bidi="en-GB"/>
        </w:rPr>
      </w:pPr>
      <w:r w:rsidRPr="00DB2987">
        <w:rPr>
          <w:rFonts w:cs="Arial"/>
          <w:lang w:eastAsia="en-GB" w:bidi="en-GB"/>
        </w:rPr>
        <w:t>Los Sistemas de semillas de la OCDE proporcionan un marco internacional para la certificación varietal de las semillas agrícolas destinadas al comercio internacional.</w:t>
      </w:r>
      <w:r w:rsidR="007B41F1" w:rsidRPr="00DB2987">
        <w:rPr>
          <w:rFonts w:cs="Arial"/>
          <w:lang w:val="es-ES" w:eastAsia="en-GB" w:bidi="en-GB"/>
        </w:rPr>
        <w:t xml:space="preserve"> </w:t>
      </w:r>
      <w:r w:rsidR="007B41F1" w:rsidRPr="00DB2987">
        <w:rPr>
          <w:rFonts w:cs="Arial"/>
          <w:lang w:eastAsia="en-GB" w:bidi="en-GB"/>
        </w:rPr>
        <w:t>Los Sistemas de semillas se crearon en 1958 impulsados por una combinación de factores</w:t>
      </w:r>
      <w:r w:rsidR="00AF0490" w:rsidRPr="00DB2987">
        <w:rPr>
          <w:rFonts w:cs="Arial"/>
          <w:lang w:eastAsia="en-GB" w:bidi="en-GB"/>
        </w:rPr>
        <w:t xml:space="preserve">, </w:t>
      </w:r>
      <w:r w:rsidR="007B41F1" w:rsidRPr="00DB2987">
        <w:rPr>
          <w:rFonts w:cs="Arial"/>
          <w:lang w:eastAsia="en-GB" w:bidi="en-GB"/>
        </w:rPr>
        <w:t>entre ellos el rápido crecimiento del comercio de semillas</w:t>
      </w:r>
      <w:r w:rsidR="00AF0490" w:rsidRPr="00DB2987">
        <w:rPr>
          <w:rFonts w:cs="Arial"/>
          <w:lang w:eastAsia="en-GB" w:bidi="en-GB"/>
        </w:rPr>
        <w:t xml:space="preserve">, </w:t>
      </w:r>
      <w:r w:rsidR="007B41F1" w:rsidRPr="00DB2987">
        <w:rPr>
          <w:rFonts w:cs="Arial"/>
          <w:lang w:eastAsia="en-GB" w:bidi="en-GB"/>
        </w:rPr>
        <w:t>la armonización de las normas en Europa</w:t>
      </w:r>
      <w:r w:rsidR="00AF0490" w:rsidRPr="00DB2987">
        <w:rPr>
          <w:rFonts w:cs="Arial"/>
          <w:lang w:eastAsia="en-GB" w:bidi="en-GB"/>
        </w:rPr>
        <w:t xml:space="preserve">, </w:t>
      </w:r>
      <w:r w:rsidR="007B41F1" w:rsidRPr="00DB2987">
        <w:rPr>
          <w:rFonts w:cs="Arial"/>
          <w:lang w:eastAsia="en-GB" w:bidi="en-GB"/>
        </w:rPr>
        <w:t>el desarrollo de la producción fuera de temporada</w:t>
      </w:r>
      <w:r w:rsidR="00AF0490" w:rsidRPr="00DB2987">
        <w:rPr>
          <w:rFonts w:cs="Arial"/>
          <w:lang w:eastAsia="en-GB" w:bidi="en-GB"/>
        </w:rPr>
        <w:t xml:space="preserve">, </w:t>
      </w:r>
      <w:r w:rsidR="007B41F1" w:rsidRPr="00DB2987">
        <w:rPr>
          <w:rFonts w:cs="Arial"/>
          <w:lang w:eastAsia="en-GB" w:bidi="en-GB"/>
        </w:rPr>
        <w:t xml:space="preserve">el potencial de producción y </w:t>
      </w:r>
      <w:proofErr w:type="spellStart"/>
      <w:r w:rsidR="007B41F1" w:rsidRPr="00DB2987">
        <w:rPr>
          <w:rFonts w:cs="Arial"/>
          <w:lang w:eastAsia="en-GB" w:bidi="en-GB"/>
        </w:rPr>
        <w:t>fitomejoramiento</w:t>
      </w:r>
      <w:proofErr w:type="spellEnd"/>
      <w:r w:rsidR="007B41F1" w:rsidRPr="00DB2987">
        <w:rPr>
          <w:rFonts w:cs="Arial"/>
          <w:lang w:eastAsia="en-GB" w:bidi="en-GB"/>
        </w:rPr>
        <w:t xml:space="preserve"> de semillas de los grandes países exportadores de Europa y América (del Norte y del Sur) y el apoyo de la industria privada.</w:t>
      </w:r>
      <w:r w:rsidR="00ED6E82" w:rsidRPr="00DB2987">
        <w:rPr>
          <w:rFonts w:cs="Arial"/>
          <w:lang w:eastAsia="en-GB" w:bidi="en-GB"/>
        </w:rPr>
        <w:t xml:space="preserve"> </w:t>
      </w:r>
      <w:r w:rsidR="007B41F1" w:rsidRPr="00DB2987">
        <w:rPr>
          <w:rFonts w:cs="Arial"/>
          <w:lang w:eastAsia="en-GB" w:bidi="en-GB"/>
        </w:rPr>
        <w:t>La adhesión a los Sistemas de semillas es voluntaria y el grado de participación es variable.</w:t>
      </w:r>
      <w:r w:rsidR="007B41F1" w:rsidRPr="00DB2987">
        <w:rPr>
          <w:rFonts w:cs="Arial"/>
          <w:lang w:val="es-ES" w:eastAsia="en-GB" w:bidi="en-GB"/>
        </w:rPr>
        <w:t xml:space="preserve"> </w:t>
      </w:r>
      <w:r w:rsidRPr="00DB2987">
        <w:rPr>
          <w:rFonts w:cs="Arial"/>
          <w:lang w:eastAsia="en-GB" w:bidi="en-GB"/>
        </w:rPr>
        <w:t>Existen siete Sistemas de semillas agrícolas.</w:t>
      </w:r>
    </w:p>
    <w:p w:rsidR="00AE66A3" w:rsidRPr="00DB2987" w:rsidRDefault="00AE66A3" w:rsidP="00AE66A3">
      <w:pPr>
        <w:spacing w:before="3"/>
        <w:rPr>
          <w:rFonts w:cs="Arial"/>
          <w:lang w:val="es-ES"/>
        </w:rPr>
      </w:pPr>
    </w:p>
    <w:p w:rsidR="00AE66A3" w:rsidRPr="00DB2987" w:rsidRDefault="007B41F1" w:rsidP="00AE66A3">
      <w:pPr>
        <w:rPr>
          <w:i/>
          <w:lang w:val="es-ES"/>
        </w:rPr>
      </w:pPr>
      <w:bookmarkStart w:id="21" w:name="Participating_countries"/>
      <w:bookmarkEnd w:id="21"/>
      <w:r w:rsidRPr="00DB2987">
        <w:rPr>
          <w:i/>
        </w:rPr>
        <w:t>Países participantes</w:t>
      </w:r>
    </w:p>
    <w:p w:rsidR="00AE66A3" w:rsidRPr="00DB2987" w:rsidRDefault="00AE66A3" w:rsidP="00AE66A3">
      <w:pPr>
        <w:spacing w:before="4"/>
        <w:rPr>
          <w:rFonts w:cs="Arial"/>
          <w:b/>
          <w:lang w:val="es-ES"/>
        </w:rPr>
      </w:pPr>
    </w:p>
    <w:p w:rsidR="00AE66A3" w:rsidRPr="00DB2987" w:rsidRDefault="004959A0" w:rsidP="00670CCB">
      <w:pPr>
        <w:widowControl w:val="0"/>
        <w:tabs>
          <w:tab w:val="left" w:pos="567"/>
        </w:tabs>
        <w:autoSpaceDE w:val="0"/>
        <w:autoSpaceDN w:val="0"/>
        <w:spacing w:before="1"/>
        <w:ind w:right="216"/>
        <w:rPr>
          <w:rFonts w:cs="Arial"/>
          <w:lang w:val="es-ES" w:eastAsia="en-GB" w:bidi="en-GB"/>
        </w:rPr>
      </w:pPr>
      <w:r w:rsidRPr="00DB2987">
        <w:rPr>
          <w:rFonts w:cs="Arial"/>
          <w:lang w:eastAsia="en-GB" w:bidi="en-GB"/>
        </w:rPr>
        <w:t>En la actualidad</w:t>
      </w:r>
      <w:r w:rsidR="00AF0490" w:rsidRPr="00DB2987">
        <w:rPr>
          <w:rFonts w:cs="Arial"/>
          <w:lang w:eastAsia="en-GB" w:bidi="en-GB"/>
        </w:rPr>
        <w:t xml:space="preserve">, </w:t>
      </w:r>
      <w:r w:rsidRPr="00DB2987">
        <w:rPr>
          <w:rFonts w:cs="Arial"/>
          <w:lang w:eastAsia="en-GB" w:bidi="en-GB"/>
        </w:rPr>
        <w:t>participan en los Sistemas de semillas de la OCDE</w:t>
      </w:r>
      <w:r w:rsidR="00AF0490" w:rsidRPr="00DB2987">
        <w:rPr>
          <w:rFonts w:cs="Arial"/>
          <w:lang w:eastAsia="en-GB" w:bidi="en-GB"/>
        </w:rPr>
        <w:t> 5</w:t>
      </w:r>
      <w:r w:rsidR="007C0082" w:rsidRPr="00DB2987">
        <w:rPr>
          <w:rFonts w:cs="Arial"/>
          <w:lang w:eastAsia="en-GB" w:bidi="en-GB"/>
        </w:rPr>
        <w:t xml:space="preserve">9 países </w:t>
      </w:r>
      <w:r w:rsidRPr="00DB2987">
        <w:rPr>
          <w:rFonts w:cs="Arial"/>
          <w:lang w:eastAsia="en-GB" w:bidi="en-GB"/>
        </w:rPr>
        <w:t xml:space="preserve">de </w:t>
      </w:r>
      <w:r w:rsidR="007C0082" w:rsidRPr="00DB2987">
        <w:rPr>
          <w:rFonts w:cs="Arial"/>
          <w:lang w:eastAsia="en-GB" w:bidi="en-GB"/>
        </w:rPr>
        <w:t>Europa</w:t>
      </w:r>
      <w:r w:rsidR="00AF0490" w:rsidRPr="00DB2987">
        <w:rPr>
          <w:rFonts w:cs="Arial"/>
          <w:lang w:eastAsia="en-GB" w:bidi="en-GB"/>
        </w:rPr>
        <w:t xml:space="preserve">, </w:t>
      </w:r>
      <w:r w:rsidRPr="00DB2987">
        <w:rPr>
          <w:rFonts w:cs="Arial"/>
          <w:lang w:eastAsia="en-GB" w:bidi="en-GB"/>
        </w:rPr>
        <w:t xml:space="preserve">América del </w:t>
      </w:r>
      <w:r w:rsidR="007C0082" w:rsidRPr="00DB2987">
        <w:rPr>
          <w:rFonts w:cs="Arial"/>
          <w:lang w:eastAsia="en-GB" w:bidi="en-GB"/>
        </w:rPr>
        <w:t xml:space="preserve">Norte y </w:t>
      </w:r>
      <w:r w:rsidRPr="00DB2987">
        <w:rPr>
          <w:rFonts w:cs="Arial"/>
          <w:lang w:eastAsia="en-GB" w:bidi="en-GB"/>
        </w:rPr>
        <w:t xml:space="preserve">del </w:t>
      </w:r>
      <w:r w:rsidR="007C0082" w:rsidRPr="00DB2987">
        <w:rPr>
          <w:rFonts w:cs="Arial"/>
          <w:lang w:eastAsia="en-GB" w:bidi="en-GB"/>
        </w:rPr>
        <w:t>Sur</w:t>
      </w:r>
      <w:r w:rsidR="00AF0490" w:rsidRPr="00DB2987">
        <w:rPr>
          <w:rFonts w:cs="Arial"/>
          <w:lang w:eastAsia="en-GB" w:bidi="en-GB"/>
        </w:rPr>
        <w:t xml:space="preserve">, </w:t>
      </w:r>
      <w:r w:rsidR="007C0082" w:rsidRPr="00DB2987">
        <w:rPr>
          <w:rFonts w:cs="Arial"/>
          <w:lang w:eastAsia="en-GB" w:bidi="en-GB"/>
        </w:rPr>
        <w:t>África</w:t>
      </w:r>
      <w:r w:rsidR="00AF0490" w:rsidRPr="00DB2987">
        <w:rPr>
          <w:rFonts w:cs="Arial"/>
          <w:lang w:eastAsia="en-GB" w:bidi="en-GB"/>
        </w:rPr>
        <w:t xml:space="preserve">, </w:t>
      </w:r>
      <w:r w:rsidRPr="00DB2987">
        <w:rPr>
          <w:rFonts w:cs="Arial"/>
          <w:lang w:eastAsia="en-GB" w:bidi="en-GB"/>
        </w:rPr>
        <w:t>Oriente Medio</w:t>
      </w:r>
      <w:r w:rsidR="00AF0490" w:rsidRPr="00DB2987">
        <w:rPr>
          <w:rFonts w:cs="Arial"/>
          <w:lang w:eastAsia="en-GB" w:bidi="en-GB"/>
        </w:rPr>
        <w:t xml:space="preserve">, </w:t>
      </w:r>
      <w:r w:rsidR="007C0082" w:rsidRPr="00DB2987">
        <w:rPr>
          <w:rFonts w:cs="Arial"/>
          <w:lang w:eastAsia="en-GB" w:bidi="en-GB"/>
        </w:rPr>
        <w:t>Asia y Oceanía:</w:t>
      </w:r>
    </w:p>
    <w:p w:rsidR="00AE66A3" w:rsidRPr="00DB2987" w:rsidRDefault="00AE66A3" w:rsidP="00AE66A3">
      <w:pPr>
        <w:spacing w:before="5"/>
        <w:rPr>
          <w:sz w:val="21"/>
          <w:lang w:val="es-ES"/>
        </w:rPr>
      </w:pPr>
    </w:p>
    <w:tbl>
      <w:tblPr>
        <w:tblW w:w="7942" w:type="dxa"/>
        <w:tblInd w:w="16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2"/>
        <w:gridCol w:w="1438"/>
        <w:gridCol w:w="2879"/>
        <w:gridCol w:w="1143"/>
      </w:tblGrid>
      <w:tr w:rsidR="00DB2987" w:rsidRPr="00DB2987" w:rsidTr="00471784">
        <w:trPr>
          <w:trHeight w:val="257"/>
        </w:trPr>
        <w:tc>
          <w:tcPr>
            <w:tcW w:w="2482" w:type="dxa"/>
            <w:tcBorders>
              <w:top w:val="single" w:sz="4" w:space="0" w:color="000000"/>
            </w:tcBorders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34" w:line="208" w:lineRule="exact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ALBANIA</w:t>
            </w:r>
          </w:p>
        </w:tc>
        <w:tc>
          <w:tcPr>
            <w:tcW w:w="1438" w:type="dxa"/>
            <w:tcBorders>
              <w:top w:val="single" w:sz="4" w:space="0" w:color="000000"/>
            </w:tcBorders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34" w:line="208" w:lineRule="exact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(2)</w:t>
            </w:r>
          </w:p>
        </w:tc>
        <w:tc>
          <w:tcPr>
            <w:tcW w:w="2879" w:type="dxa"/>
            <w:tcBorders>
              <w:top w:val="single" w:sz="8" w:space="0" w:color="000000"/>
            </w:tcBorders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JAPÓN</w:t>
            </w:r>
          </w:p>
        </w:tc>
        <w:tc>
          <w:tcPr>
            <w:tcW w:w="1143" w:type="dxa"/>
            <w:tcBorders>
              <w:top w:val="single" w:sz="8" w:space="0" w:color="000000"/>
            </w:tcBorders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(1)</w:t>
            </w:r>
          </w:p>
        </w:tc>
      </w:tr>
      <w:tr w:rsidR="00DB2987" w:rsidRPr="00DB2987" w:rsidTr="00471784">
        <w:trPr>
          <w:trHeight w:val="248"/>
        </w:trPr>
        <w:tc>
          <w:tcPr>
            <w:tcW w:w="2482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ALEMANIA</w:t>
            </w:r>
          </w:p>
        </w:tc>
        <w:tc>
          <w:tcPr>
            <w:tcW w:w="1438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(1)</w:t>
            </w:r>
          </w:p>
        </w:tc>
        <w:tc>
          <w:tcPr>
            <w:tcW w:w="2879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KENYA</w:t>
            </w:r>
          </w:p>
        </w:tc>
        <w:tc>
          <w:tcPr>
            <w:tcW w:w="1143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(2)</w:t>
            </w:r>
          </w:p>
        </w:tc>
      </w:tr>
      <w:tr w:rsidR="00DB2987" w:rsidRPr="00DB2987" w:rsidTr="00471784">
        <w:trPr>
          <w:trHeight w:val="249"/>
        </w:trPr>
        <w:tc>
          <w:tcPr>
            <w:tcW w:w="2482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ARGENTINA</w:t>
            </w:r>
          </w:p>
        </w:tc>
        <w:tc>
          <w:tcPr>
            <w:tcW w:w="1438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(2)</w:t>
            </w:r>
          </w:p>
        </w:tc>
        <w:tc>
          <w:tcPr>
            <w:tcW w:w="2879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KIRGUISTÁN</w:t>
            </w:r>
          </w:p>
        </w:tc>
        <w:tc>
          <w:tcPr>
            <w:tcW w:w="1143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(2)</w:t>
            </w:r>
          </w:p>
        </w:tc>
      </w:tr>
      <w:tr w:rsidR="00DB2987" w:rsidRPr="00DB2987" w:rsidTr="00471784">
        <w:trPr>
          <w:trHeight w:val="249"/>
        </w:trPr>
        <w:tc>
          <w:tcPr>
            <w:tcW w:w="2482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20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AUSTRALIA</w:t>
            </w:r>
          </w:p>
        </w:tc>
        <w:tc>
          <w:tcPr>
            <w:tcW w:w="1438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20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(1)</w:t>
            </w:r>
          </w:p>
        </w:tc>
        <w:tc>
          <w:tcPr>
            <w:tcW w:w="2879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LETONIA</w:t>
            </w:r>
          </w:p>
        </w:tc>
        <w:tc>
          <w:tcPr>
            <w:tcW w:w="1143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(2)</w:t>
            </w:r>
          </w:p>
        </w:tc>
      </w:tr>
      <w:tr w:rsidR="00DB2987" w:rsidRPr="00DB2987" w:rsidTr="00471784">
        <w:trPr>
          <w:trHeight w:val="248"/>
        </w:trPr>
        <w:tc>
          <w:tcPr>
            <w:tcW w:w="2482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20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AUSTRIA</w:t>
            </w:r>
          </w:p>
        </w:tc>
        <w:tc>
          <w:tcPr>
            <w:tcW w:w="1438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20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(1)</w:t>
            </w:r>
          </w:p>
        </w:tc>
        <w:tc>
          <w:tcPr>
            <w:tcW w:w="2879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LITUANIA</w:t>
            </w:r>
          </w:p>
        </w:tc>
        <w:tc>
          <w:tcPr>
            <w:tcW w:w="1143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(2)</w:t>
            </w:r>
          </w:p>
        </w:tc>
      </w:tr>
      <w:tr w:rsidR="00DB2987" w:rsidRPr="00DB2987" w:rsidTr="00471784">
        <w:trPr>
          <w:trHeight w:val="248"/>
        </w:trPr>
        <w:tc>
          <w:tcPr>
            <w:tcW w:w="2482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20" w:line="208" w:lineRule="exact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BÉLGICA</w:t>
            </w:r>
          </w:p>
        </w:tc>
        <w:tc>
          <w:tcPr>
            <w:tcW w:w="1438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20" w:line="208" w:lineRule="exact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(1)</w:t>
            </w:r>
          </w:p>
        </w:tc>
        <w:tc>
          <w:tcPr>
            <w:tcW w:w="2879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LUXEMBURGO</w:t>
            </w:r>
          </w:p>
        </w:tc>
        <w:tc>
          <w:tcPr>
            <w:tcW w:w="1143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(1)</w:t>
            </w:r>
          </w:p>
        </w:tc>
      </w:tr>
      <w:tr w:rsidR="00DB2987" w:rsidRPr="00DB2987" w:rsidTr="00471784">
        <w:trPr>
          <w:trHeight w:val="249"/>
        </w:trPr>
        <w:tc>
          <w:tcPr>
            <w:tcW w:w="2482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BOLIVIA</w:t>
            </w:r>
          </w:p>
        </w:tc>
        <w:tc>
          <w:tcPr>
            <w:tcW w:w="1438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(2)</w:t>
            </w:r>
          </w:p>
        </w:tc>
        <w:tc>
          <w:tcPr>
            <w:tcW w:w="2879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MARRUECOS</w:t>
            </w:r>
          </w:p>
        </w:tc>
        <w:tc>
          <w:tcPr>
            <w:tcW w:w="1143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(2)</w:t>
            </w:r>
          </w:p>
        </w:tc>
      </w:tr>
      <w:tr w:rsidR="00DB2987" w:rsidRPr="00DB2987" w:rsidTr="00471784">
        <w:trPr>
          <w:trHeight w:val="249"/>
        </w:trPr>
        <w:tc>
          <w:tcPr>
            <w:tcW w:w="2482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20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BRASIL</w:t>
            </w:r>
          </w:p>
        </w:tc>
        <w:tc>
          <w:tcPr>
            <w:tcW w:w="1438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20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(2)</w:t>
            </w:r>
          </w:p>
        </w:tc>
        <w:tc>
          <w:tcPr>
            <w:tcW w:w="2879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MÉXICO</w:t>
            </w:r>
          </w:p>
        </w:tc>
        <w:tc>
          <w:tcPr>
            <w:tcW w:w="1143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(1)</w:t>
            </w:r>
          </w:p>
        </w:tc>
      </w:tr>
      <w:tr w:rsidR="00DB2987" w:rsidRPr="00DB2987" w:rsidTr="00471784">
        <w:trPr>
          <w:trHeight w:val="248"/>
        </w:trPr>
        <w:tc>
          <w:tcPr>
            <w:tcW w:w="2482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20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BULGARIA</w:t>
            </w:r>
          </w:p>
        </w:tc>
        <w:tc>
          <w:tcPr>
            <w:tcW w:w="1438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20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(2)</w:t>
            </w:r>
          </w:p>
        </w:tc>
        <w:tc>
          <w:tcPr>
            <w:tcW w:w="2879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MOLDOVA</w:t>
            </w:r>
          </w:p>
        </w:tc>
        <w:tc>
          <w:tcPr>
            <w:tcW w:w="1143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(2)</w:t>
            </w:r>
          </w:p>
        </w:tc>
      </w:tr>
      <w:tr w:rsidR="00DB2987" w:rsidRPr="00DB2987" w:rsidTr="00471784">
        <w:trPr>
          <w:trHeight w:val="260"/>
        </w:trPr>
        <w:tc>
          <w:tcPr>
            <w:tcW w:w="2482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20" w:line="208" w:lineRule="exact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CANADÁ</w:t>
            </w:r>
          </w:p>
        </w:tc>
        <w:tc>
          <w:tcPr>
            <w:tcW w:w="1438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20" w:line="208" w:lineRule="exact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(1)</w:t>
            </w:r>
          </w:p>
        </w:tc>
        <w:tc>
          <w:tcPr>
            <w:tcW w:w="2879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NORUEGA</w:t>
            </w:r>
          </w:p>
        </w:tc>
        <w:tc>
          <w:tcPr>
            <w:tcW w:w="1143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(1)</w:t>
            </w:r>
          </w:p>
        </w:tc>
      </w:tr>
      <w:tr w:rsidR="00DB2987" w:rsidRPr="00DB2987" w:rsidTr="00471784">
        <w:trPr>
          <w:trHeight w:val="272"/>
        </w:trPr>
        <w:tc>
          <w:tcPr>
            <w:tcW w:w="2482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CHILE</w:t>
            </w:r>
          </w:p>
        </w:tc>
        <w:tc>
          <w:tcPr>
            <w:tcW w:w="1438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(1)</w:t>
            </w:r>
          </w:p>
        </w:tc>
        <w:tc>
          <w:tcPr>
            <w:tcW w:w="2879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NUEVA ZELANDIA</w:t>
            </w:r>
          </w:p>
        </w:tc>
        <w:tc>
          <w:tcPr>
            <w:tcW w:w="1143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(1)</w:t>
            </w:r>
          </w:p>
        </w:tc>
      </w:tr>
      <w:tr w:rsidR="00DB2987" w:rsidRPr="00DB2987" w:rsidTr="00471784">
        <w:trPr>
          <w:trHeight w:val="283"/>
        </w:trPr>
        <w:tc>
          <w:tcPr>
            <w:tcW w:w="2482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30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CHIPRE</w:t>
            </w: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vertAlign w:val="superscript"/>
                <w:lang w:val="es-ES" w:eastAsia="en-GB" w:bidi="en-GB"/>
              </w:rPr>
              <w:t>1</w:t>
            </w:r>
          </w:p>
        </w:tc>
        <w:tc>
          <w:tcPr>
            <w:tcW w:w="1438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30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(2)</w:t>
            </w:r>
          </w:p>
        </w:tc>
        <w:tc>
          <w:tcPr>
            <w:tcW w:w="2879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PAÍSES BAJOS</w:t>
            </w:r>
          </w:p>
        </w:tc>
        <w:tc>
          <w:tcPr>
            <w:tcW w:w="1143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(1)</w:t>
            </w:r>
          </w:p>
        </w:tc>
      </w:tr>
      <w:tr w:rsidR="00DB2987" w:rsidRPr="00DB2987" w:rsidTr="00471784">
        <w:trPr>
          <w:trHeight w:val="272"/>
        </w:trPr>
        <w:tc>
          <w:tcPr>
            <w:tcW w:w="2482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32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CROACIA</w:t>
            </w:r>
          </w:p>
        </w:tc>
        <w:tc>
          <w:tcPr>
            <w:tcW w:w="1438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32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(2)</w:t>
            </w:r>
          </w:p>
        </w:tc>
        <w:tc>
          <w:tcPr>
            <w:tcW w:w="2879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POLONIA</w:t>
            </w:r>
          </w:p>
        </w:tc>
        <w:tc>
          <w:tcPr>
            <w:tcW w:w="1143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(1)</w:t>
            </w:r>
          </w:p>
        </w:tc>
      </w:tr>
      <w:tr w:rsidR="00DB2987" w:rsidRPr="00DB2987" w:rsidTr="00471784">
        <w:trPr>
          <w:trHeight w:val="272"/>
        </w:trPr>
        <w:tc>
          <w:tcPr>
            <w:tcW w:w="2482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DINAMARCA</w:t>
            </w:r>
          </w:p>
        </w:tc>
        <w:tc>
          <w:tcPr>
            <w:tcW w:w="1438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(1)</w:t>
            </w:r>
          </w:p>
        </w:tc>
        <w:tc>
          <w:tcPr>
            <w:tcW w:w="2879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PORTUGAL</w:t>
            </w:r>
          </w:p>
        </w:tc>
        <w:tc>
          <w:tcPr>
            <w:tcW w:w="1143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(1)</w:t>
            </w:r>
          </w:p>
        </w:tc>
      </w:tr>
      <w:tr w:rsidR="00DB2987" w:rsidRPr="00DB2987" w:rsidTr="00F52D2B">
        <w:trPr>
          <w:trHeight w:val="272"/>
        </w:trPr>
        <w:tc>
          <w:tcPr>
            <w:tcW w:w="2482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20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EGIPTO</w:t>
            </w:r>
          </w:p>
        </w:tc>
        <w:tc>
          <w:tcPr>
            <w:tcW w:w="1438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20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(2)</w:t>
            </w:r>
          </w:p>
        </w:tc>
        <w:tc>
          <w:tcPr>
            <w:tcW w:w="2879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REINO UNIDO</w:t>
            </w:r>
          </w:p>
        </w:tc>
        <w:tc>
          <w:tcPr>
            <w:tcW w:w="1143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(1)</w:t>
            </w:r>
          </w:p>
        </w:tc>
      </w:tr>
      <w:tr w:rsidR="00DB2987" w:rsidRPr="00DB2987" w:rsidTr="00471784">
        <w:trPr>
          <w:trHeight w:val="271"/>
        </w:trPr>
        <w:tc>
          <w:tcPr>
            <w:tcW w:w="2482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ESLOVAQUIA</w:t>
            </w:r>
          </w:p>
        </w:tc>
        <w:tc>
          <w:tcPr>
            <w:tcW w:w="1438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(1)</w:t>
            </w:r>
          </w:p>
        </w:tc>
        <w:tc>
          <w:tcPr>
            <w:tcW w:w="2879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20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REPÚBLICA CHECA</w:t>
            </w:r>
          </w:p>
        </w:tc>
        <w:tc>
          <w:tcPr>
            <w:tcW w:w="1143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20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(1)</w:t>
            </w:r>
          </w:p>
        </w:tc>
      </w:tr>
      <w:tr w:rsidR="00DB2987" w:rsidRPr="00DB2987" w:rsidTr="00471784">
        <w:trPr>
          <w:trHeight w:val="272"/>
        </w:trPr>
        <w:tc>
          <w:tcPr>
            <w:tcW w:w="2482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ESLOVENIA</w:t>
            </w:r>
          </w:p>
        </w:tc>
        <w:tc>
          <w:tcPr>
            <w:tcW w:w="1438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(1)</w:t>
            </w:r>
          </w:p>
        </w:tc>
        <w:tc>
          <w:tcPr>
            <w:tcW w:w="2879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RUMANIA</w:t>
            </w:r>
          </w:p>
        </w:tc>
        <w:tc>
          <w:tcPr>
            <w:tcW w:w="1143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(2)</w:t>
            </w:r>
          </w:p>
        </w:tc>
      </w:tr>
      <w:tr w:rsidR="00DB2987" w:rsidRPr="00DB2987" w:rsidTr="00471784">
        <w:trPr>
          <w:trHeight w:val="272"/>
        </w:trPr>
        <w:tc>
          <w:tcPr>
            <w:tcW w:w="2482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ESPAÑA</w:t>
            </w:r>
          </w:p>
        </w:tc>
        <w:tc>
          <w:tcPr>
            <w:tcW w:w="1438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(1)</w:t>
            </w:r>
          </w:p>
        </w:tc>
        <w:tc>
          <w:tcPr>
            <w:tcW w:w="2879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SENEGAL</w:t>
            </w:r>
          </w:p>
        </w:tc>
        <w:tc>
          <w:tcPr>
            <w:tcW w:w="1143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(2)</w:t>
            </w:r>
          </w:p>
        </w:tc>
      </w:tr>
      <w:tr w:rsidR="00DB2987" w:rsidRPr="00DB2987" w:rsidTr="00471784">
        <w:trPr>
          <w:trHeight w:val="265"/>
        </w:trPr>
        <w:tc>
          <w:tcPr>
            <w:tcW w:w="2482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ESTADOS UNIDOS</w:t>
            </w:r>
          </w:p>
        </w:tc>
        <w:tc>
          <w:tcPr>
            <w:tcW w:w="1438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(1)</w:t>
            </w:r>
          </w:p>
        </w:tc>
        <w:tc>
          <w:tcPr>
            <w:tcW w:w="2879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SERBIA</w:t>
            </w:r>
          </w:p>
        </w:tc>
        <w:tc>
          <w:tcPr>
            <w:tcW w:w="1143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(2)</w:t>
            </w:r>
          </w:p>
        </w:tc>
      </w:tr>
      <w:tr w:rsidR="00DB2987" w:rsidRPr="00DB2987" w:rsidTr="001878FF">
        <w:trPr>
          <w:trHeight w:val="265"/>
        </w:trPr>
        <w:tc>
          <w:tcPr>
            <w:tcW w:w="2482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ESTONIA</w:t>
            </w:r>
          </w:p>
        </w:tc>
        <w:tc>
          <w:tcPr>
            <w:tcW w:w="1438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(1)</w:t>
            </w:r>
          </w:p>
        </w:tc>
        <w:tc>
          <w:tcPr>
            <w:tcW w:w="2879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SUDÁFRICA</w:t>
            </w:r>
          </w:p>
        </w:tc>
        <w:tc>
          <w:tcPr>
            <w:tcW w:w="1143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(2)</w:t>
            </w:r>
          </w:p>
        </w:tc>
      </w:tr>
      <w:tr w:rsidR="00DB2987" w:rsidRPr="00DB2987" w:rsidTr="001878FF">
        <w:trPr>
          <w:trHeight w:val="265"/>
        </w:trPr>
        <w:tc>
          <w:tcPr>
            <w:tcW w:w="2482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FEDERACIÓN DE RUSIA</w:t>
            </w:r>
          </w:p>
        </w:tc>
        <w:tc>
          <w:tcPr>
            <w:tcW w:w="1438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(2)</w:t>
            </w:r>
          </w:p>
        </w:tc>
        <w:tc>
          <w:tcPr>
            <w:tcW w:w="2879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SUECIA</w:t>
            </w:r>
          </w:p>
        </w:tc>
        <w:tc>
          <w:tcPr>
            <w:tcW w:w="1143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(1)</w:t>
            </w:r>
          </w:p>
        </w:tc>
      </w:tr>
      <w:tr w:rsidR="00DB2987" w:rsidRPr="00DB2987" w:rsidTr="001878FF">
        <w:trPr>
          <w:trHeight w:val="265"/>
        </w:trPr>
        <w:tc>
          <w:tcPr>
            <w:tcW w:w="2482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FINLANDIA</w:t>
            </w:r>
          </w:p>
        </w:tc>
        <w:tc>
          <w:tcPr>
            <w:tcW w:w="1438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(1)</w:t>
            </w:r>
          </w:p>
        </w:tc>
        <w:tc>
          <w:tcPr>
            <w:tcW w:w="2879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SUIZA</w:t>
            </w:r>
          </w:p>
        </w:tc>
        <w:tc>
          <w:tcPr>
            <w:tcW w:w="1143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(1)</w:t>
            </w:r>
          </w:p>
        </w:tc>
      </w:tr>
      <w:tr w:rsidR="00DB2987" w:rsidRPr="00DB2987" w:rsidTr="001878FF">
        <w:trPr>
          <w:trHeight w:val="265"/>
        </w:trPr>
        <w:tc>
          <w:tcPr>
            <w:tcW w:w="2482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21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FRANCIA</w:t>
            </w:r>
          </w:p>
        </w:tc>
        <w:tc>
          <w:tcPr>
            <w:tcW w:w="1438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21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(1)</w:t>
            </w:r>
          </w:p>
        </w:tc>
        <w:tc>
          <w:tcPr>
            <w:tcW w:w="2879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TÚNEZ</w:t>
            </w:r>
          </w:p>
        </w:tc>
        <w:tc>
          <w:tcPr>
            <w:tcW w:w="1143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(2)</w:t>
            </w:r>
          </w:p>
        </w:tc>
      </w:tr>
      <w:tr w:rsidR="00DB2987" w:rsidRPr="00DB2987" w:rsidTr="001878FF">
        <w:trPr>
          <w:trHeight w:val="265"/>
        </w:trPr>
        <w:tc>
          <w:tcPr>
            <w:tcW w:w="2482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GRECIA</w:t>
            </w:r>
          </w:p>
        </w:tc>
        <w:tc>
          <w:tcPr>
            <w:tcW w:w="1438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(1)</w:t>
            </w:r>
          </w:p>
        </w:tc>
        <w:tc>
          <w:tcPr>
            <w:tcW w:w="2879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TURQUÍA</w:t>
            </w:r>
          </w:p>
        </w:tc>
        <w:tc>
          <w:tcPr>
            <w:tcW w:w="1143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(1)</w:t>
            </w:r>
          </w:p>
        </w:tc>
      </w:tr>
      <w:tr w:rsidR="00DB2987" w:rsidRPr="00DB2987" w:rsidTr="001878FF">
        <w:trPr>
          <w:trHeight w:val="265"/>
        </w:trPr>
        <w:tc>
          <w:tcPr>
            <w:tcW w:w="2482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HUNGRÍA</w:t>
            </w:r>
          </w:p>
        </w:tc>
        <w:tc>
          <w:tcPr>
            <w:tcW w:w="1438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(1)</w:t>
            </w:r>
          </w:p>
        </w:tc>
        <w:tc>
          <w:tcPr>
            <w:tcW w:w="2879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UCRANIA</w:t>
            </w:r>
          </w:p>
        </w:tc>
        <w:tc>
          <w:tcPr>
            <w:tcW w:w="1143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(2)</w:t>
            </w:r>
          </w:p>
        </w:tc>
      </w:tr>
      <w:tr w:rsidR="00DB2987" w:rsidRPr="00DB2987" w:rsidTr="001878FF">
        <w:trPr>
          <w:trHeight w:val="265"/>
        </w:trPr>
        <w:tc>
          <w:tcPr>
            <w:tcW w:w="2482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INDIA</w:t>
            </w:r>
          </w:p>
        </w:tc>
        <w:tc>
          <w:tcPr>
            <w:tcW w:w="1438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(2)</w:t>
            </w:r>
          </w:p>
        </w:tc>
        <w:tc>
          <w:tcPr>
            <w:tcW w:w="2879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UGANDA</w:t>
            </w:r>
          </w:p>
        </w:tc>
        <w:tc>
          <w:tcPr>
            <w:tcW w:w="1143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(2)</w:t>
            </w:r>
          </w:p>
        </w:tc>
      </w:tr>
      <w:tr w:rsidR="00DB2987" w:rsidRPr="00DB2987" w:rsidTr="001878FF">
        <w:trPr>
          <w:trHeight w:val="265"/>
        </w:trPr>
        <w:tc>
          <w:tcPr>
            <w:tcW w:w="2482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IRÁN</w:t>
            </w:r>
          </w:p>
        </w:tc>
        <w:tc>
          <w:tcPr>
            <w:tcW w:w="1438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(2)</w:t>
            </w:r>
          </w:p>
        </w:tc>
        <w:tc>
          <w:tcPr>
            <w:tcW w:w="2879" w:type="dxa"/>
            <w:shd w:val="clear" w:color="auto" w:fill="DBE5F1"/>
          </w:tcPr>
          <w:p w:rsidR="00925668" w:rsidRPr="00DB2987" w:rsidRDefault="00925668" w:rsidP="001878FF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eastAsia="en-GB" w:bidi="en-GB"/>
              </w:rPr>
              <w:t>URUGUAY</w:t>
            </w:r>
          </w:p>
        </w:tc>
        <w:tc>
          <w:tcPr>
            <w:tcW w:w="1143" w:type="dxa"/>
          </w:tcPr>
          <w:p w:rsidR="00925668" w:rsidRPr="00DB2987" w:rsidRDefault="00925668" w:rsidP="001878FF">
            <w:pPr>
              <w:widowControl w:val="0"/>
              <w:autoSpaceDE w:val="0"/>
              <w:autoSpaceDN w:val="0"/>
              <w:spacing w:before="19" w:line="225" w:lineRule="exact"/>
              <w:jc w:val="left"/>
              <w:rPr>
                <w:rFonts w:asciiTheme="minorBidi" w:eastAsia="Trebuchet MS" w:hAnsiTheme="minorBidi" w:cstheme="minorBidi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Cs w:val="22"/>
                <w:lang w:val="es-ES" w:eastAsia="en-GB" w:bidi="en-GB"/>
              </w:rPr>
              <w:t>(2)</w:t>
            </w:r>
          </w:p>
        </w:tc>
      </w:tr>
      <w:tr w:rsidR="00DB2987" w:rsidRPr="00DB2987" w:rsidTr="001878FF">
        <w:trPr>
          <w:trHeight w:val="265"/>
        </w:trPr>
        <w:tc>
          <w:tcPr>
            <w:tcW w:w="2482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IRLANDA</w:t>
            </w:r>
          </w:p>
        </w:tc>
        <w:tc>
          <w:tcPr>
            <w:tcW w:w="1438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(1)</w:t>
            </w:r>
          </w:p>
        </w:tc>
        <w:tc>
          <w:tcPr>
            <w:tcW w:w="2879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eastAsia="en-GB" w:bidi="en-GB"/>
              </w:rPr>
              <w:t>ZIMBABWE</w:t>
            </w:r>
          </w:p>
        </w:tc>
        <w:tc>
          <w:tcPr>
            <w:tcW w:w="1143" w:type="dxa"/>
          </w:tcPr>
          <w:p w:rsidR="00925668" w:rsidRPr="00DB2987" w:rsidRDefault="00925668" w:rsidP="001878FF">
            <w:pPr>
              <w:widowControl w:val="0"/>
              <w:autoSpaceDE w:val="0"/>
              <w:autoSpaceDN w:val="0"/>
              <w:spacing w:before="19" w:line="225" w:lineRule="exact"/>
              <w:jc w:val="left"/>
              <w:rPr>
                <w:rFonts w:asciiTheme="minorBidi" w:eastAsia="Trebuchet MS" w:hAnsiTheme="minorBidi" w:cstheme="minorBidi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Cs w:val="22"/>
                <w:lang w:val="es-ES" w:eastAsia="en-GB" w:bidi="en-GB"/>
              </w:rPr>
              <w:t>(2)</w:t>
            </w:r>
          </w:p>
        </w:tc>
      </w:tr>
      <w:tr w:rsidR="00DB2987" w:rsidRPr="00DB2987" w:rsidTr="001878FF">
        <w:trPr>
          <w:trHeight w:val="265"/>
        </w:trPr>
        <w:tc>
          <w:tcPr>
            <w:tcW w:w="2482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ISLANDIA</w:t>
            </w:r>
          </w:p>
        </w:tc>
        <w:tc>
          <w:tcPr>
            <w:tcW w:w="1438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(1)</w:t>
            </w:r>
          </w:p>
        </w:tc>
        <w:tc>
          <w:tcPr>
            <w:tcW w:w="2879" w:type="dxa"/>
            <w:shd w:val="clear" w:color="auto" w:fill="DBE5F1"/>
          </w:tcPr>
          <w:p w:rsidR="00925668" w:rsidRPr="00DB2987" w:rsidRDefault="00925668" w:rsidP="001878FF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eastAsia="en-GB" w:bidi="en-GB"/>
              </w:rPr>
            </w:pPr>
          </w:p>
        </w:tc>
        <w:tc>
          <w:tcPr>
            <w:tcW w:w="1143" w:type="dxa"/>
          </w:tcPr>
          <w:p w:rsidR="00925668" w:rsidRPr="00DB2987" w:rsidRDefault="00925668" w:rsidP="001878FF">
            <w:pPr>
              <w:widowControl w:val="0"/>
              <w:autoSpaceDE w:val="0"/>
              <w:autoSpaceDN w:val="0"/>
              <w:spacing w:before="19" w:line="225" w:lineRule="exact"/>
              <w:jc w:val="left"/>
              <w:rPr>
                <w:rFonts w:asciiTheme="minorBidi" w:eastAsia="Trebuchet MS" w:hAnsiTheme="minorBidi" w:cstheme="minorBidi"/>
                <w:szCs w:val="22"/>
                <w:lang w:val="es-ES" w:eastAsia="en-GB" w:bidi="en-GB"/>
              </w:rPr>
            </w:pPr>
          </w:p>
        </w:tc>
      </w:tr>
      <w:tr w:rsidR="00DB2987" w:rsidRPr="00DB2987" w:rsidTr="00863E05">
        <w:trPr>
          <w:trHeight w:val="265"/>
        </w:trPr>
        <w:tc>
          <w:tcPr>
            <w:tcW w:w="2482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ISRAEL</w:t>
            </w:r>
          </w:p>
        </w:tc>
        <w:tc>
          <w:tcPr>
            <w:tcW w:w="1438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(1)</w:t>
            </w:r>
          </w:p>
        </w:tc>
        <w:tc>
          <w:tcPr>
            <w:tcW w:w="2879" w:type="dxa"/>
            <w:shd w:val="clear" w:color="auto" w:fill="auto"/>
          </w:tcPr>
          <w:p w:rsidR="00925668" w:rsidRPr="00DB2987" w:rsidRDefault="00925668" w:rsidP="001878FF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eastAsia="en-GB" w:bidi="en-GB"/>
              </w:rPr>
              <w:t>(1) País miembro de la OCDE</w:t>
            </w:r>
          </w:p>
        </w:tc>
        <w:tc>
          <w:tcPr>
            <w:tcW w:w="1143" w:type="dxa"/>
            <w:shd w:val="clear" w:color="auto" w:fill="auto"/>
          </w:tcPr>
          <w:p w:rsidR="00925668" w:rsidRPr="00DB2987" w:rsidRDefault="00925668" w:rsidP="001878FF">
            <w:pPr>
              <w:widowControl w:val="0"/>
              <w:autoSpaceDE w:val="0"/>
              <w:autoSpaceDN w:val="0"/>
              <w:spacing w:before="19" w:line="225" w:lineRule="exact"/>
              <w:jc w:val="left"/>
              <w:rPr>
                <w:rFonts w:asciiTheme="minorBidi" w:eastAsia="Trebuchet MS" w:hAnsiTheme="minorBidi" w:cstheme="minorBidi"/>
                <w:szCs w:val="22"/>
                <w:lang w:val="es-ES" w:eastAsia="en-GB" w:bidi="en-GB"/>
              </w:rPr>
            </w:pPr>
          </w:p>
        </w:tc>
      </w:tr>
      <w:tr w:rsidR="00DB2987" w:rsidRPr="00DB2987" w:rsidTr="00801E9E">
        <w:trPr>
          <w:trHeight w:val="249"/>
        </w:trPr>
        <w:tc>
          <w:tcPr>
            <w:tcW w:w="2482" w:type="dxa"/>
            <w:shd w:val="clear" w:color="auto" w:fill="DBE5F1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ITALIA</w:t>
            </w:r>
          </w:p>
        </w:tc>
        <w:tc>
          <w:tcPr>
            <w:tcW w:w="1438" w:type="dxa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19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>(1)</w:t>
            </w:r>
          </w:p>
        </w:tc>
        <w:tc>
          <w:tcPr>
            <w:tcW w:w="4022" w:type="dxa"/>
            <w:gridSpan w:val="2"/>
          </w:tcPr>
          <w:p w:rsidR="00925668" w:rsidRPr="00DB2987" w:rsidRDefault="00925668" w:rsidP="00801E9E">
            <w:pPr>
              <w:widowControl w:val="0"/>
              <w:autoSpaceDE w:val="0"/>
              <w:autoSpaceDN w:val="0"/>
              <w:spacing w:before="20"/>
              <w:jc w:val="left"/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</w:pP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val="es-ES" w:eastAsia="en-GB" w:bidi="en-GB"/>
              </w:rPr>
              <w:t xml:space="preserve">(2) </w:t>
            </w:r>
            <w:r w:rsidRPr="00DB2987">
              <w:rPr>
                <w:rFonts w:asciiTheme="minorBidi" w:eastAsia="Trebuchet MS" w:hAnsiTheme="minorBidi" w:cstheme="minorBidi"/>
                <w:sz w:val="18"/>
                <w:szCs w:val="22"/>
                <w:lang w:eastAsia="en-GB" w:bidi="en-GB"/>
              </w:rPr>
              <w:t>País no miembro de la OCDE</w:t>
            </w:r>
          </w:p>
        </w:tc>
      </w:tr>
    </w:tbl>
    <w:p w:rsidR="00AE66A3" w:rsidRDefault="00AE66A3" w:rsidP="00AE66A3">
      <w:pPr>
        <w:rPr>
          <w:rFonts w:ascii="Trebuchet MS"/>
          <w:lang w:val="es-ES"/>
        </w:rPr>
      </w:pPr>
    </w:p>
    <w:p w:rsidR="00AE66A3" w:rsidRPr="00DB2987" w:rsidRDefault="00AE66A3" w:rsidP="00AE66A3">
      <w:pPr>
        <w:spacing w:before="5"/>
        <w:rPr>
          <w:rFonts w:ascii="Trebuchet MS"/>
          <w:lang w:val="es-ES"/>
        </w:rPr>
      </w:pPr>
    </w:p>
    <w:p w:rsidR="00AE66A3" w:rsidRPr="00DB2987" w:rsidRDefault="008D4A01" w:rsidP="00670CCB">
      <w:pPr>
        <w:rPr>
          <w:lang w:val="es-ES"/>
        </w:rPr>
      </w:pPr>
      <w:r w:rsidRPr="00DB2987">
        <w:t>Gráfico 1.</w:t>
      </w:r>
      <w:r w:rsidR="00AE66A3" w:rsidRPr="00DB2987">
        <w:rPr>
          <w:lang w:val="es-ES"/>
        </w:rPr>
        <w:t xml:space="preserve"> </w:t>
      </w:r>
      <w:r w:rsidRPr="00DB2987">
        <w:t>Mapa de los países participantes en los Sistemas de semillas de la OCDE (2016)</w:t>
      </w:r>
    </w:p>
    <w:p w:rsidR="00AE66A3" w:rsidRPr="00DB2987" w:rsidRDefault="00AE66A3" w:rsidP="00AE66A3">
      <w:pPr>
        <w:rPr>
          <w:b/>
          <w:lang w:val="es-ES"/>
        </w:rPr>
      </w:pPr>
    </w:p>
    <w:p w:rsidR="00AE66A3" w:rsidRPr="00DB2987" w:rsidRDefault="00AE66A3" w:rsidP="00AE66A3">
      <w:pPr>
        <w:spacing w:before="5"/>
        <w:rPr>
          <w:b/>
          <w:sz w:val="15"/>
          <w:lang w:val="es-ES"/>
        </w:rPr>
      </w:pPr>
      <w:r w:rsidRPr="00DB2987">
        <w:rPr>
          <w:noProof/>
          <w:lang w:val="en-U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676909</wp:posOffset>
            </wp:positionH>
            <wp:positionV relativeFrom="paragraph">
              <wp:posOffset>137582</wp:posOffset>
            </wp:positionV>
            <wp:extent cx="6348250" cy="2987040"/>
            <wp:effectExtent l="0" t="0" r="0" b="0"/>
            <wp:wrapTopAndBottom/>
            <wp:docPr id="2" name="image2.jpeg" descr="\\FS-CH-1.main.oecd.org\Users2\gaspar_c\Desktop\OECD seed map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8250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66A3" w:rsidRPr="00DB2987" w:rsidRDefault="00AE66A3" w:rsidP="00AE66A3">
      <w:pPr>
        <w:spacing w:before="11"/>
        <w:rPr>
          <w:b/>
          <w:sz w:val="23"/>
          <w:lang w:val="es-ES"/>
        </w:rPr>
      </w:pPr>
    </w:p>
    <w:p w:rsidR="00AE66A3" w:rsidRPr="00DB2987" w:rsidRDefault="00AE66A3" w:rsidP="00943847">
      <w:pPr>
        <w:rPr>
          <w:i/>
        </w:rPr>
      </w:pPr>
      <w:bookmarkStart w:id="22" w:name="Objectives"/>
      <w:bookmarkEnd w:id="22"/>
      <w:r w:rsidRPr="00DB2987">
        <w:rPr>
          <w:i/>
        </w:rPr>
        <w:t>Objetiv</w:t>
      </w:r>
      <w:r w:rsidR="007B41F1" w:rsidRPr="00DB2987">
        <w:rPr>
          <w:i/>
        </w:rPr>
        <w:t>os</w:t>
      </w:r>
    </w:p>
    <w:p w:rsidR="00AE66A3" w:rsidRPr="00DB2987" w:rsidRDefault="00AE66A3" w:rsidP="00AE66A3">
      <w:pPr>
        <w:spacing w:before="4"/>
        <w:rPr>
          <w:rFonts w:cs="Arial"/>
          <w:b/>
          <w:lang w:val="es-ES"/>
        </w:rPr>
      </w:pPr>
    </w:p>
    <w:p w:rsidR="00AE66A3" w:rsidRPr="00DB2987" w:rsidRDefault="004B234F" w:rsidP="00670CCB">
      <w:pPr>
        <w:widowControl w:val="0"/>
        <w:tabs>
          <w:tab w:val="left" w:pos="1069"/>
          <w:tab w:val="left" w:pos="1071"/>
        </w:tabs>
        <w:autoSpaceDE w:val="0"/>
        <w:autoSpaceDN w:val="0"/>
        <w:ind w:right="213"/>
        <w:rPr>
          <w:rFonts w:cs="Arial"/>
          <w:lang w:val="es-ES" w:eastAsia="en-GB" w:bidi="en-GB"/>
        </w:rPr>
      </w:pPr>
      <w:r w:rsidRPr="00DB2987">
        <w:rPr>
          <w:rFonts w:cs="Arial"/>
          <w:lang w:eastAsia="en-GB" w:bidi="en-GB"/>
        </w:rPr>
        <w:t xml:space="preserve">Los Sistemas de semillas tienen por objetivo </w:t>
      </w:r>
      <w:r w:rsidR="00143536" w:rsidRPr="00DB2987">
        <w:rPr>
          <w:rFonts w:cs="Arial"/>
          <w:lang w:eastAsia="en-GB" w:bidi="en-GB"/>
        </w:rPr>
        <w:t>fomentar la producción y utilización de semillas de “calidad garantizada” en los países participantes.</w:t>
      </w:r>
      <w:r w:rsidR="00AE66A3" w:rsidRPr="00DB2987">
        <w:rPr>
          <w:rFonts w:cs="Arial"/>
          <w:lang w:val="es-ES" w:eastAsia="en-GB" w:bidi="en-GB"/>
        </w:rPr>
        <w:t xml:space="preserve"> </w:t>
      </w:r>
      <w:r w:rsidRPr="00DB2987">
        <w:rPr>
          <w:rFonts w:cs="Arial"/>
          <w:lang w:eastAsia="en-GB" w:bidi="en-GB"/>
        </w:rPr>
        <w:t>Los Sistemas permiten la utilización de etiquetas y certificados en las semillas producidas y procesadas para el comercio internacional conforme a unos principios acordados que garantizan la identidad y la pureza varietal.</w:t>
      </w:r>
    </w:p>
    <w:p w:rsidR="00AE66A3" w:rsidRPr="00DB2987" w:rsidRDefault="00AE66A3" w:rsidP="00AE66A3">
      <w:pPr>
        <w:rPr>
          <w:rFonts w:cs="Arial"/>
          <w:lang w:val="es-ES"/>
        </w:rPr>
      </w:pPr>
    </w:p>
    <w:p w:rsidR="00AE66A3" w:rsidRPr="00DB2987" w:rsidRDefault="004B234F" w:rsidP="00670CCB">
      <w:pPr>
        <w:widowControl w:val="0"/>
        <w:tabs>
          <w:tab w:val="left" w:pos="1069"/>
          <w:tab w:val="left" w:pos="1071"/>
        </w:tabs>
        <w:autoSpaceDE w:val="0"/>
        <w:autoSpaceDN w:val="0"/>
        <w:spacing w:before="1"/>
        <w:ind w:right="212"/>
        <w:rPr>
          <w:rFonts w:cs="Arial"/>
          <w:lang w:val="es-ES" w:eastAsia="en-GB" w:bidi="en-GB"/>
        </w:rPr>
      </w:pPr>
      <w:r w:rsidRPr="00DB2987">
        <w:rPr>
          <w:rFonts w:cs="Arial"/>
          <w:lang w:eastAsia="en-GB" w:bidi="en-GB"/>
        </w:rPr>
        <w:t>Los Sistemas facilitan la importación y exportación de semillas eliminando las barreras técnicas al comercio</w:t>
      </w:r>
      <w:r w:rsidR="00AF0490" w:rsidRPr="00DB2987">
        <w:rPr>
          <w:rFonts w:cs="Arial"/>
          <w:lang w:eastAsia="en-GB" w:bidi="en-GB"/>
        </w:rPr>
        <w:t xml:space="preserve">, </w:t>
      </w:r>
      <w:r w:rsidRPr="00DB2987">
        <w:rPr>
          <w:rFonts w:cs="Arial"/>
          <w:lang w:eastAsia="en-GB" w:bidi="en-GB"/>
        </w:rPr>
        <w:t>ya que su identidad y su origen se garantizan mediante unas etiquetas para la comercialización (“pasaportes”) que están reconocidas internacionalmente.</w:t>
      </w:r>
      <w:r w:rsidR="007B41F1" w:rsidRPr="00DB2987">
        <w:rPr>
          <w:rFonts w:cs="Arial"/>
          <w:lang w:val="es-ES" w:eastAsia="en-GB" w:bidi="en-GB"/>
        </w:rPr>
        <w:t xml:space="preserve"> </w:t>
      </w:r>
      <w:r w:rsidR="007B41F1" w:rsidRPr="00DB2987">
        <w:rPr>
          <w:rFonts w:cs="Arial"/>
          <w:lang w:eastAsia="en-GB" w:bidi="en-GB"/>
        </w:rPr>
        <w:t>Los Sistemas también establecen directrices para la multiplicación de semillas en el extranjero</w:t>
      </w:r>
      <w:r w:rsidR="00AF0490" w:rsidRPr="00DB2987">
        <w:rPr>
          <w:rFonts w:cs="Arial"/>
          <w:lang w:eastAsia="en-GB" w:bidi="en-GB"/>
        </w:rPr>
        <w:t xml:space="preserve">, </w:t>
      </w:r>
      <w:r w:rsidR="007B41F1" w:rsidRPr="00DB2987">
        <w:rPr>
          <w:rFonts w:cs="Arial"/>
          <w:lang w:eastAsia="en-GB" w:bidi="en-GB"/>
        </w:rPr>
        <w:t>así como para delegar en el sector privado algunas de las actividades de control (“autorización”).</w:t>
      </w:r>
      <w:r w:rsidR="007B41F1" w:rsidRPr="00DB2987">
        <w:rPr>
          <w:rFonts w:cs="Arial"/>
          <w:lang w:val="es-ES" w:eastAsia="en-GB" w:bidi="en-GB"/>
        </w:rPr>
        <w:t xml:space="preserve"> </w:t>
      </w:r>
      <w:r w:rsidRPr="00DB2987">
        <w:rPr>
          <w:rFonts w:cs="Arial"/>
          <w:lang w:eastAsia="en-GB" w:bidi="en-GB"/>
        </w:rPr>
        <w:t>La cantidad de semillas certificadas por los Sistemas de la OCDE ha aumentado rápidamente en los últimos años y en la actualidad supera el millón de toneladas.</w:t>
      </w:r>
    </w:p>
    <w:p w:rsidR="00AE66A3" w:rsidRPr="00DB2987" w:rsidRDefault="00AE66A3" w:rsidP="00AE66A3">
      <w:pPr>
        <w:spacing w:before="5"/>
        <w:rPr>
          <w:sz w:val="14"/>
          <w:lang w:val="es-ES"/>
        </w:rPr>
      </w:pPr>
    </w:p>
    <w:p w:rsidR="00AE66A3" w:rsidRPr="00DB2987" w:rsidRDefault="004B234F" w:rsidP="00670CCB">
      <w:pPr>
        <w:rPr>
          <w:i/>
          <w:lang w:val="es-ES"/>
        </w:rPr>
      </w:pPr>
      <w:bookmarkStart w:id="23" w:name="How_do_the_Seed_Schemes_operate"/>
      <w:bookmarkEnd w:id="23"/>
      <w:r w:rsidRPr="00DB2987">
        <w:rPr>
          <w:i/>
        </w:rPr>
        <w:t>Funcionamiento de los Sistemas de semillas</w:t>
      </w:r>
    </w:p>
    <w:p w:rsidR="00AE66A3" w:rsidRPr="00DB2987" w:rsidRDefault="00AE66A3" w:rsidP="00AE66A3">
      <w:pPr>
        <w:spacing w:before="4"/>
        <w:rPr>
          <w:rFonts w:cs="Arial"/>
          <w:b/>
          <w:lang w:val="es-ES"/>
        </w:rPr>
      </w:pPr>
    </w:p>
    <w:p w:rsidR="00AE66A3" w:rsidRPr="00DB2987" w:rsidRDefault="004B234F" w:rsidP="00670CCB">
      <w:pPr>
        <w:widowControl w:val="0"/>
        <w:tabs>
          <w:tab w:val="left" w:pos="1069"/>
          <w:tab w:val="left" w:pos="1071"/>
        </w:tabs>
        <w:autoSpaceDE w:val="0"/>
        <w:autoSpaceDN w:val="0"/>
        <w:ind w:right="216"/>
        <w:rPr>
          <w:rFonts w:cs="Arial"/>
          <w:lang w:val="es-ES" w:eastAsia="en-GB" w:bidi="en-GB"/>
        </w:rPr>
      </w:pPr>
      <w:r w:rsidRPr="00DB2987">
        <w:rPr>
          <w:rFonts w:cs="Arial"/>
          <w:lang w:eastAsia="en-GB" w:bidi="en-GB"/>
        </w:rPr>
        <w:t>El éxito de la certificación internacional de semillas depende de la estrecha cooperación entre los mantenedores</w:t>
      </w:r>
      <w:r w:rsidR="00AF0490" w:rsidRPr="00DB2987">
        <w:rPr>
          <w:rFonts w:cs="Arial"/>
          <w:lang w:eastAsia="en-GB" w:bidi="en-GB"/>
        </w:rPr>
        <w:t xml:space="preserve">, </w:t>
      </w:r>
      <w:r w:rsidRPr="00DB2987">
        <w:rPr>
          <w:rFonts w:cs="Arial"/>
          <w:lang w:eastAsia="en-GB" w:bidi="en-GB"/>
        </w:rPr>
        <w:t>los productores de semillas</w:t>
      </w:r>
      <w:r w:rsidR="00AF0490" w:rsidRPr="00DB2987">
        <w:rPr>
          <w:rFonts w:cs="Arial"/>
          <w:lang w:eastAsia="en-GB" w:bidi="en-GB"/>
        </w:rPr>
        <w:t xml:space="preserve">, </w:t>
      </w:r>
      <w:r w:rsidRPr="00DB2987">
        <w:rPr>
          <w:rFonts w:cs="Arial"/>
          <w:lang w:eastAsia="en-GB" w:bidi="en-GB"/>
        </w:rPr>
        <w:t>los comerciantes y la autoridad designada (nombrada por el gobierno) en cada país participante.</w:t>
      </w:r>
      <w:r w:rsidR="00AE66A3" w:rsidRPr="00DB2987">
        <w:rPr>
          <w:rFonts w:cs="Arial"/>
          <w:lang w:val="es-ES" w:eastAsia="en-GB" w:bidi="en-GB"/>
        </w:rPr>
        <w:t xml:space="preserve"> </w:t>
      </w:r>
      <w:r w:rsidR="0024111C" w:rsidRPr="00DB2987">
        <w:rPr>
          <w:rFonts w:cs="Arial"/>
          <w:lang w:eastAsia="en-GB" w:bidi="en-GB"/>
        </w:rPr>
        <w:t>Las frecuentes reuniones favorecen el diálogo entre las diversas partes interesadas para intercambiar información</w:t>
      </w:r>
      <w:r w:rsidR="00AF0490" w:rsidRPr="00DB2987">
        <w:rPr>
          <w:rFonts w:cs="Arial"/>
          <w:lang w:eastAsia="en-GB" w:bidi="en-GB"/>
        </w:rPr>
        <w:t xml:space="preserve">, </w:t>
      </w:r>
      <w:r w:rsidR="0024111C" w:rsidRPr="00DB2987">
        <w:rPr>
          <w:rFonts w:cs="Arial"/>
          <w:lang w:eastAsia="en-GB" w:bidi="en-GB"/>
        </w:rPr>
        <w:t>analizar casos prácticos</w:t>
      </w:r>
      <w:r w:rsidR="00AF0490" w:rsidRPr="00DB2987">
        <w:rPr>
          <w:rFonts w:cs="Arial"/>
          <w:lang w:eastAsia="en-GB" w:bidi="en-GB"/>
        </w:rPr>
        <w:t xml:space="preserve">, </w:t>
      </w:r>
      <w:r w:rsidR="0024111C" w:rsidRPr="00DB2987">
        <w:rPr>
          <w:rFonts w:cs="Arial"/>
          <w:lang w:eastAsia="en-GB" w:bidi="en-GB"/>
        </w:rPr>
        <w:t>revisar las normas y actualizar los Sistemas.</w:t>
      </w:r>
      <w:r w:rsidR="00AE66A3" w:rsidRPr="00DB2987">
        <w:rPr>
          <w:rFonts w:cs="Arial"/>
          <w:lang w:val="es-ES" w:eastAsia="en-GB" w:bidi="en-GB"/>
        </w:rPr>
        <w:t xml:space="preserve"> </w:t>
      </w:r>
      <w:r w:rsidR="0024111C" w:rsidRPr="00DB2987">
        <w:rPr>
          <w:rFonts w:cs="Arial"/>
          <w:lang w:eastAsia="en-GB" w:bidi="en-GB"/>
        </w:rPr>
        <w:t>Una amplia variedad de organizaciones internacionales y no gubernamentales</w:t>
      </w:r>
      <w:r w:rsidR="00AF0490" w:rsidRPr="00DB2987">
        <w:rPr>
          <w:rFonts w:cs="Arial"/>
          <w:lang w:eastAsia="en-GB" w:bidi="en-GB"/>
        </w:rPr>
        <w:t xml:space="preserve">, </w:t>
      </w:r>
      <w:r w:rsidR="0024111C" w:rsidRPr="00DB2987">
        <w:rPr>
          <w:rFonts w:cs="Arial"/>
          <w:lang w:eastAsia="en-GB" w:bidi="en-GB"/>
        </w:rPr>
        <w:t>así como redes de la industria de las semillas</w:t>
      </w:r>
      <w:r w:rsidR="00AF0490" w:rsidRPr="00DB2987">
        <w:rPr>
          <w:rFonts w:cs="Arial"/>
          <w:lang w:eastAsia="en-GB" w:bidi="en-GB"/>
        </w:rPr>
        <w:t xml:space="preserve">, </w:t>
      </w:r>
      <w:r w:rsidR="0024111C" w:rsidRPr="00DB2987">
        <w:rPr>
          <w:rFonts w:cs="Arial"/>
          <w:lang w:eastAsia="en-GB" w:bidi="en-GB"/>
        </w:rPr>
        <w:t>participan activamente en los Sistemas.</w:t>
      </w:r>
    </w:p>
    <w:p w:rsidR="00AE66A3" w:rsidRPr="00DB2987" w:rsidRDefault="00AE66A3" w:rsidP="00AE66A3">
      <w:pPr>
        <w:spacing w:before="3"/>
        <w:rPr>
          <w:rFonts w:cs="Arial"/>
          <w:lang w:val="es-ES"/>
        </w:rPr>
      </w:pPr>
    </w:p>
    <w:p w:rsidR="00AE66A3" w:rsidRPr="00DB2987" w:rsidRDefault="007B41F1" w:rsidP="00AE66A3">
      <w:pPr>
        <w:rPr>
          <w:i/>
          <w:lang w:val="es-ES"/>
        </w:rPr>
      </w:pPr>
      <w:bookmarkStart w:id="24" w:name="Benefits_of_the_Schemes"/>
      <w:bookmarkEnd w:id="24"/>
      <w:r w:rsidRPr="00DB2987">
        <w:rPr>
          <w:i/>
        </w:rPr>
        <w:t>Ventajas de los Sistemas de semillas</w:t>
      </w:r>
    </w:p>
    <w:p w:rsidR="00AE66A3" w:rsidRPr="00DB2987" w:rsidRDefault="00AE66A3" w:rsidP="00AE66A3">
      <w:pPr>
        <w:spacing w:before="5"/>
        <w:rPr>
          <w:rFonts w:cs="Arial"/>
          <w:b/>
          <w:lang w:val="es-ES"/>
        </w:rPr>
      </w:pPr>
    </w:p>
    <w:p w:rsidR="00AE66A3" w:rsidRPr="00DB2987" w:rsidRDefault="007B41F1" w:rsidP="00AE66A3">
      <w:pPr>
        <w:widowControl w:val="0"/>
        <w:numPr>
          <w:ilvl w:val="1"/>
          <w:numId w:val="9"/>
        </w:numPr>
        <w:tabs>
          <w:tab w:val="left" w:pos="1071"/>
        </w:tabs>
        <w:autoSpaceDE w:val="0"/>
        <w:autoSpaceDN w:val="0"/>
        <w:ind w:right="219"/>
        <w:rPr>
          <w:rFonts w:cs="Arial"/>
          <w:lang w:val="es-ES" w:eastAsia="en-GB" w:bidi="en-GB"/>
        </w:rPr>
      </w:pPr>
      <w:r w:rsidRPr="00DB2987">
        <w:rPr>
          <w:rFonts w:cs="Arial"/>
          <w:lang w:eastAsia="en-GB" w:bidi="en-GB"/>
        </w:rPr>
        <w:t>Facilitar el comercio internacional mediante el empleo de procedimientos armonizados de certificación</w:t>
      </w:r>
      <w:r w:rsidR="00AF0490" w:rsidRPr="00DB2987">
        <w:rPr>
          <w:rFonts w:cs="Arial"/>
          <w:lang w:eastAsia="en-GB" w:bidi="en-GB"/>
        </w:rPr>
        <w:t xml:space="preserve">, </w:t>
      </w:r>
      <w:r w:rsidRPr="00DB2987">
        <w:rPr>
          <w:rFonts w:cs="Arial"/>
          <w:lang w:eastAsia="en-GB" w:bidi="en-GB"/>
        </w:rPr>
        <w:t>técnicas de inspección de cultivos y parcelas de control. Los estándares de pureza varietal de las especies de interés también se acuerdan y armonizan entre todos los Estados miembros.</w:t>
      </w:r>
    </w:p>
    <w:p w:rsidR="00AE66A3" w:rsidRPr="00DB2987" w:rsidRDefault="0024111C" w:rsidP="00670CCB">
      <w:pPr>
        <w:widowControl w:val="0"/>
        <w:numPr>
          <w:ilvl w:val="1"/>
          <w:numId w:val="9"/>
        </w:numPr>
        <w:tabs>
          <w:tab w:val="left" w:pos="1069"/>
          <w:tab w:val="left" w:pos="1071"/>
        </w:tabs>
        <w:autoSpaceDE w:val="0"/>
        <w:autoSpaceDN w:val="0"/>
        <w:ind w:hanging="410"/>
        <w:jc w:val="left"/>
        <w:rPr>
          <w:rFonts w:cs="Arial"/>
          <w:lang w:val="es-ES" w:eastAsia="en-GB" w:bidi="en-GB"/>
        </w:rPr>
      </w:pPr>
      <w:r w:rsidRPr="00DB2987">
        <w:rPr>
          <w:rFonts w:cs="Arial"/>
          <w:lang w:eastAsia="en-GB" w:bidi="en-GB"/>
        </w:rPr>
        <w:t>Disponer de un marco para desarrollar la producción de semillas con otros países o empresas.</w:t>
      </w:r>
    </w:p>
    <w:p w:rsidR="00AE66A3" w:rsidRPr="00DB2987" w:rsidRDefault="0024111C" w:rsidP="00670CCB">
      <w:pPr>
        <w:widowControl w:val="0"/>
        <w:numPr>
          <w:ilvl w:val="1"/>
          <w:numId w:val="9"/>
        </w:numPr>
        <w:tabs>
          <w:tab w:val="left" w:pos="1069"/>
          <w:tab w:val="left" w:pos="1071"/>
        </w:tabs>
        <w:autoSpaceDE w:val="0"/>
        <w:autoSpaceDN w:val="0"/>
        <w:ind w:hanging="410"/>
        <w:jc w:val="left"/>
        <w:rPr>
          <w:rFonts w:cs="Arial"/>
          <w:lang w:val="es-ES" w:eastAsia="en-GB" w:bidi="en-GB"/>
        </w:rPr>
      </w:pPr>
      <w:r w:rsidRPr="00DB2987">
        <w:rPr>
          <w:rFonts w:cs="Arial"/>
          <w:lang w:eastAsia="en-GB" w:bidi="en-GB"/>
        </w:rPr>
        <w:t>Participar en la elaboración de las normas internacionales para la certificación de semillas.</w:t>
      </w:r>
    </w:p>
    <w:p w:rsidR="00AE66A3" w:rsidRPr="00DB2987" w:rsidRDefault="0024111C" w:rsidP="00670CCB">
      <w:pPr>
        <w:widowControl w:val="0"/>
        <w:numPr>
          <w:ilvl w:val="1"/>
          <w:numId w:val="9"/>
        </w:numPr>
        <w:tabs>
          <w:tab w:val="left" w:pos="1069"/>
          <w:tab w:val="left" w:pos="1071"/>
        </w:tabs>
        <w:autoSpaceDE w:val="0"/>
        <w:autoSpaceDN w:val="0"/>
        <w:ind w:hanging="410"/>
        <w:jc w:val="left"/>
        <w:rPr>
          <w:rFonts w:cs="Arial"/>
          <w:lang w:val="es-ES" w:eastAsia="en-GB" w:bidi="en-GB"/>
        </w:rPr>
      </w:pPr>
      <w:r w:rsidRPr="00DB2987">
        <w:rPr>
          <w:rFonts w:cs="Arial"/>
          <w:lang w:eastAsia="en-GB" w:bidi="en-GB"/>
        </w:rPr>
        <w:t>Desarrollar la colaboración entre los sectores público y privado.</w:t>
      </w:r>
    </w:p>
    <w:p w:rsidR="00AE66A3" w:rsidRPr="00DB2987" w:rsidRDefault="0024111C" w:rsidP="00670CCB">
      <w:pPr>
        <w:widowControl w:val="0"/>
        <w:numPr>
          <w:ilvl w:val="1"/>
          <w:numId w:val="9"/>
        </w:numPr>
        <w:tabs>
          <w:tab w:val="left" w:pos="1071"/>
        </w:tabs>
        <w:autoSpaceDE w:val="0"/>
        <w:autoSpaceDN w:val="0"/>
        <w:ind w:right="225"/>
        <w:rPr>
          <w:rFonts w:cs="Arial"/>
          <w:lang w:val="es-ES" w:eastAsia="en-GB" w:bidi="en-GB"/>
        </w:rPr>
      </w:pPr>
      <w:r w:rsidRPr="00DB2987">
        <w:rPr>
          <w:rFonts w:cs="Arial"/>
          <w:lang w:eastAsia="en-GB" w:bidi="en-GB"/>
        </w:rPr>
        <w:t>Beneficiarse de intercambios periódicos de información con otros organismos nacionales de certificación y organizaciones observadoras.</w:t>
      </w:r>
    </w:p>
    <w:p w:rsidR="00AE66A3" w:rsidRPr="00DB2987" w:rsidRDefault="00AE66A3" w:rsidP="00AE66A3">
      <w:pPr>
        <w:spacing w:before="5"/>
        <w:rPr>
          <w:rFonts w:cs="Arial"/>
          <w:lang w:val="es-ES"/>
        </w:rPr>
      </w:pPr>
    </w:p>
    <w:p w:rsidR="00AE66A3" w:rsidRPr="00DB2987" w:rsidRDefault="0024111C" w:rsidP="00670CCB">
      <w:pPr>
        <w:rPr>
          <w:i/>
          <w:lang w:val="es-ES"/>
        </w:rPr>
      </w:pPr>
      <w:bookmarkStart w:id="25" w:name="Annual_List_of_Varieties"/>
      <w:bookmarkEnd w:id="25"/>
      <w:r w:rsidRPr="00DB2987">
        <w:rPr>
          <w:i/>
        </w:rPr>
        <w:t>Lista anual de variedades</w:t>
      </w:r>
    </w:p>
    <w:p w:rsidR="00AE66A3" w:rsidRPr="00DB2987" w:rsidRDefault="00AE66A3" w:rsidP="00AE66A3">
      <w:pPr>
        <w:spacing w:before="4"/>
        <w:rPr>
          <w:rFonts w:cs="Arial"/>
          <w:b/>
          <w:lang w:val="es-ES"/>
        </w:rPr>
      </w:pPr>
    </w:p>
    <w:p w:rsidR="00AE66A3" w:rsidRPr="00DB2987" w:rsidRDefault="0024111C" w:rsidP="00670CCB">
      <w:pPr>
        <w:widowControl w:val="0"/>
        <w:tabs>
          <w:tab w:val="left" w:pos="1127"/>
          <w:tab w:val="left" w:pos="1128"/>
        </w:tabs>
        <w:autoSpaceDE w:val="0"/>
        <w:autoSpaceDN w:val="0"/>
        <w:ind w:right="216"/>
        <w:rPr>
          <w:rFonts w:cs="Arial"/>
          <w:lang w:val="es-ES" w:eastAsia="en-GB" w:bidi="en-GB"/>
        </w:rPr>
      </w:pPr>
      <w:r w:rsidRPr="00DB2987">
        <w:rPr>
          <w:rFonts w:cs="Arial"/>
          <w:w w:val="105"/>
          <w:lang w:eastAsia="en-GB" w:bidi="en-GB"/>
        </w:rPr>
        <w:t>En la lista anual de variedades aptas para obtener la certificación de la</w:t>
      </w:r>
      <w:r w:rsidR="00A0722E" w:rsidRPr="00DB2987">
        <w:rPr>
          <w:rFonts w:cs="Arial"/>
          <w:w w:val="105"/>
          <w:lang w:eastAsia="en-GB" w:bidi="en-GB"/>
        </w:rPr>
        <w:t> </w:t>
      </w:r>
      <w:r w:rsidRPr="00DB2987">
        <w:rPr>
          <w:rFonts w:cs="Arial"/>
          <w:w w:val="105"/>
          <w:lang w:eastAsia="en-GB" w:bidi="en-GB"/>
        </w:rPr>
        <w:t>OCDE figuran aquellas que están reconocidas oficialmente como distintas</w:t>
      </w:r>
      <w:r w:rsidR="00AF0490" w:rsidRPr="00DB2987">
        <w:rPr>
          <w:rFonts w:cs="Arial"/>
          <w:w w:val="105"/>
          <w:lang w:eastAsia="en-GB" w:bidi="en-GB"/>
        </w:rPr>
        <w:t xml:space="preserve">, </w:t>
      </w:r>
      <w:r w:rsidRPr="00DB2987">
        <w:rPr>
          <w:rFonts w:cs="Arial"/>
          <w:w w:val="105"/>
          <w:lang w:eastAsia="en-GB" w:bidi="en-GB"/>
        </w:rPr>
        <w:t>homogéneas y estables y poseen un valor aceptable en uno o más países participantes.</w:t>
      </w:r>
      <w:r w:rsidR="00AE66A3" w:rsidRPr="00DB2987">
        <w:rPr>
          <w:rFonts w:cs="Arial"/>
          <w:w w:val="105"/>
          <w:lang w:val="es-ES" w:eastAsia="en-GB" w:bidi="en-GB"/>
        </w:rPr>
        <w:t xml:space="preserve"> </w:t>
      </w:r>
      <w:r w:rsidR="00A0722E" w:rsidRPr="00DB2987">
        <w:rPr>
          <w:rFonts w:cs="Arial"/>
          <w:w w:val="105"/>
          <w:lang w:eastAsia="en-GB" w:bidi="en-GB"/>
        </w:rPr>
        <w:t>La lista contiene las variedades de semilla comercializadas a escala internacional a través de los Sistemas de semillas de la OCDE.</w:t>
      </w:r>
      <w:r w:rsidR="00AE66A3" w:rsidRPr="00DB2987">
        <w:rPr>
          <w:rFonts w:cs="Arial"/>
          <w:w w:val="105"/>
          <w:lang w:val="es-ES" w:eastAsia="en-GB" w:bidi="en-GB"/>
        </w:rPr>
        <w:t xml:space="preserve"> </w:t>
      </w:r>
      <w:r w:rsidR="00A0722E" w:rsidRPr="00DB2987">
        <w:rPr>
          <w:rFonts w:cs="Arial"/>
          <w:w w:val="105"/>
          <w:lang w:eastAsia="en-GB" w:bidi="en-GB"/>
        </w:rPr>
        <w:t>El número de variedades incluidas ha aumentado constantemente en los últimos treinta años.</w:t>
      </w:r>
      <w:r w:rsidR="00AE66A3" w:rsidRPr="00DB2987">
        <w:rPr>
          <w:rFonts w:cs="Arial"/>
          <w:w w:val="105"/>
          <w:lang w:val="es-ES" w:eastAsia="en-GB" w:bidi="en-GB"/>
        </w:rPr>
        <w:t xml:space="preserve"> </w:t>
      </w:r>
      <w:r w:rsidR="00A0722E" w:rsidRPr="00DB2987">
        <w:rPr>
          <w:rFonts w:cs="Arial"/>
          <w:w w:val="105"/>
          <w:lang w:eastAsia="en-GB" w:bidi="en-GB"/>
        </w:rPr>
        <w:t>En la actualidad</w:t>
      </w:r>
      <w:r w:rsidR="00AF0490" w:rsidRPr="00DB2987">
        <w:rPr>
          <w:rFonts w:cs="Arial"/>
          <w:w w:val="105"/>
          <w:lang w:eastAsia="en-GB" w:bidi="en-GB"/>
        </w:rPr>
        <w:t xml:space="preserve">, </w:t>
      </w:r>
      <w:r w:rsidR="00A0722E" w:rsidRPr="00DB2987">
        <w:rPr>
          <w:rFonts w:cs="Arial"/>
          <w:w w:val="105"/>
          <w:lang w:eastAsia="en-GB" w:bidi="en-GB"/>
        </w:rPr>
        <w:t>el número de variedades incluidas en la lista supera las</w:t>
      </w:r>
      <w:r w:rsidR="00AF0490" w:rsidRPr="00DB2987">
        <w:rPr>
          <w:rFonts w:cs="Arial"/>
          <w:w w:val="105"/>
          <w:lang w:eastAsia="en-GB" w:bidi="en-GB"/>
        </w:rPr>
        <w:t> 6</w:t>
      </w:r>
      <w:r w:rsidR="00A0722E" w:rsidRPr="00DB2987">
        <w:rPr>
          <w:rFonts w:cs="Arial"/>
          <w:w w:val="105"/>
          <w:lang w:eastAsia="en-GB" w:bidi="en-GB"/>
        </w:rPr>
        <w:t>2.000</w:t>
      </w:r>
      <w:r w:rsidR="00AF0490" w:rsidRPr="00DB2987">
        <w:rPr>
          <w:rFonts w:cs="Arial"/>
          <w:w w:val="105"/>
          <w:lang w:eastAsia="en-GB" w:bidi="en-GB"/>
        </w:rPr>
        <w:t xml:space="preserve">, </w:t>
      </w:r>
      <w:r w:rsidR="00A0722E" w:rsidRPr="00DB2987">
        <w:rPr>
          <w:rFonts w:cs="Arial"/>
          <w:w w:val="105"/>
          <w:lang w:eastAsia="en-GB" w:bidi="en-GB"/>
        </w:rPr>
        <w:t>correspondientes a</w:t>
      </w:r>
      <w:r w:rsidR="00AF0490" w:rsidRPr="00DB2987">
        <w:rPr>
          <w:rFonts w:cs="Arial"/>
          <w:w w:val="105"/>
          <w:lang w:eastAsia="en-GB" w:bidi="en-GB"/>
        </w:rPr>
        <w:t> 2</w:t>
      </w:r>
      <w:r w:rsidR="00A0722E" w:rsidRPr="00DB2987">
        <w:rPr>
          <w:rFonts w:cs="Arial"/>
          <w:w w:val="105"/>
          <w:lang w:eastAsia="en-GB" w:bidi="en-GB"/>
        </w:rPr>
        <w:t>00 especies.</w:t>
      </w:r>
      <w:r w:rsidR="00AE66A3" w:rsidRPr="00DB2987">
        <w:rPr>
          <w:rFonts w:cs="Arial"/>
          <w:w w:val="105"/>
          <w:lang w:val="es-ES" w:eastAsia="en-GB" w:bidi="en-GB"/>
        </w:rPr>
        <w:t xml:space="preserve"> </w:t>
      </w:r>
      <w:r w:rsidR="00A0722E" w:rsidRPr="00DB2987">
        <w:rPr>
          <w:rFonts w:cs="Arial"/>
          <w:w w:val="105"/>
          <w:lang w:eastAsia="en-GB" w:bidi="en-GB"/>
        </w:rPr>
        <w:t>La lista puede consultarse en Internet y se actualiza con frecuencia.</w:t>
      </w:r>
    </w:p>
    <w:p w:rsidR="00AE66A3" w:rsidRPr="00DB2987" w:rsidRDefault="00AE66A3" w:rsidP="00AE66A3">
      <w:pPr>
        <w:spacing w:before="4"/>
        <w:rPr>
          <w:rFonts w:cs="Arial"/>
          <w:lang w:val="es-ES"/>
        </w:rPr>
      </w:pPr>
    </w:p>
    <w:p w:rsidR="00AE66A3" w:rsidRPr="00DB2987" w:rsidRDefault="00A0722E" w:rsidP="00670CCB">
      <w:pPr>
        <w:rPr>
          <w:i/>
          <w:lang w:val="es-ES"/>
        </w:rPr>
      </w:pPr>
      <w:bookmarkStart w:id="26" w:name="Outlook"/>
      <w:bookmarkEnd w:id="26"/>
      <w:r w:rsidRPr="00DB2987">
        <w:rPr>
          <w:i/>
        </w:rPr>
        <w:t>Perspectivas</w:t>
      </w:r>
    </w:p>
    <w:p w:rsidR="00AE66A3" w:rsidRPr="00DB2987" w:rsidRDefault="00AE66A3" w:rsidP="00AE66A3">
      <w:pPr>
        <w:spacing w:before="6"/>
        <w:rPr>
          <w:rFonts w:cs="Arial"/>
          <w:b/>
          <w:lang w:val="es-ES"/>
        </w:rPr>
      </w:pPr>
    </w:p>
    <w:p w:rsidR="004034C5" w:rsidRPr="00DB2987" w:rsidRDefault="00B8601D" w:rsidP="00670CCB">
      <w:pPr>
        <w:ind w:right="102"/>
        <w:rPr>
          <w:vanish/>
        </w:rPr>
      </w:pPr>
      <w:r w:rsidRPr="00DB2987">
        <w:rPr>
          <w:rFonts w:cs="Arial"/>
          <w:lang w:eastAsia="en-GB" w:bidi="en-GB"/>
        </w:rPr>
        <w:t>Cuanto mayor es</w:t>
      </w:r>
      <w:r w:rsidR="007242AF" w:rsidRPr="00DB2987">
        <w:rPr>
          <w:rFonts w:cs="Arial"/>
          <w:lang w:eastAsia="en-GB" w:bidi="en-GB"/>
        </w:rPr>
        <w:t xml:space="preserve"> el grado de exigencia de los usuarios de </w:t>
      </w:r>
      <w:r w:rsidRPr="00DB2987">
        <w:rPr>
          <w:rFonts w:cs="Arial"/>
          <w:lang w:eastAsia="en-GB" w:bidi="en-GB"/>
        </w:rPr>
        <w:t xml:space="preserve">las </w:t>
      </w:r>
      <w:r w:rsidR="007242AF" w:rsidRPr="00DB2987">
        <w:rPr>
          <w:rFonts w:cs="Arial"/>
          <w:lang w:eastAsia="en-GB" w:bidi="en-GB"/>
        </w:rPr>
        <w:t>semillas</w:t>
      </w:r>
      <w:r w:rsidR="00AF0490" w:rsidRPr="00DB2987">
        <w:rPr>
          <w:rFonts w:cs="Arial"/>
          <w:lang w:eastAsia="en-GB" w:bidi="en-GB"/>
        </w:rPr>
        <w:t xml:space="preserve">, </w:t>
      </w:r>
      <w:r w:rsidRPr="00DB2987">
        <w:rPr>
          <w:rFonts w:cs="Arial"/>
          <w:lang w:eastAsia="en-GB" w:bidi="en-GB"/>
        </w:rPr>
        <w:t xml:space="preserve">mayor es </w:t>
      </w:r>
      <w:r w:rsidR="007242AF" w:rsidRPr="00DB2987">
        <w:rPr>
          <w:rFonts w:cs="Arial"/>
          <w:lang w:eastAsia="en-GB" w:bidi="en-GB"/>
        </w:rPr>
        <w:t xml:space="preserve">la necesidad de </w:t>
      </w:r>
      <w:r w:rsidRPr="00DB2987">
        <w:rPr>
          <w:rFonts w:cs="Arial"/>
          <w:lang w:eastAsia="en-GB" w:bidi="en-GB"/>
        </w:rPr>
        <w:t>que estas se rijan por</w:t>
      </w:r>
      <w:r w:rsidR="007242AF" w:rsidRPr="00DB2987">
        <w:rPr>
          <w:rFonts w:cs="Arial"/>
          <w:lang w:eastAsia="en-GB" w:bidi="en-GB"/>
        </w:rPr>
        <w:t xml:space="preserve"> normas uniformes</w:t>
      </w:r>
      <w:r w:rsidR="00AF0490" w:rsidRPr="00DB2987">
        <w:rPr>
          <w:rFonts w:cs="Arial"/>
          <w:lang w:eastAsia="en-GB" w:bidi="en-GB"/>
        </w:rPr>
        <w:t xml:space="preserve">, </w:t>
      </w:r>
      <w:r w:rsidR="00431472" w:rsidRPr="00DB2987">
        <w:rPr>
          <w:rFonts w:cs="Arial"/>
          <w:lang w:eastAsia="en-GB" w:bidi="en-GB"/>
        </w:rPr>
        <w:t>si bien</w:t>
      </w:r>
      <w:r w:rsidR="00EE7597" w:rsidRPr="00DB2987">
        <w:rPr>
          <w:rFonts w:cs="Arial"/>
          <w:lang w:eastAsia="en-GB" w:bidi="en-GB"/>
        </w:rPr>
        <w:t xml:space="preserve"> los recursos financieros públicos para la regulación y el control de </w:t>
      </w:r>
      <w:r w:rsidR="007242AF" w:rsidRPr="00DB2987">
        <w:rPr>
          <w:rFonts w:cs="Arial"/>
          <w:lang w:eastAsia="en-GB" w:bidi="en-GB"/>
        </w:rPr>
        <w:t xml:space="preserve">la </w:t>
      </w:r>
      <w:r w:rsidR="00EE7597" w:rsidRPr="00DB2987">
        <w:rPr>
          <w:rFonts w:cs="Arial"/>
          <w:lang w:eastAsia="en-GB" w:bidi="en-GB"/>
        </w:rPr>
        <w:t>calidad son limitados.</w:t>
      </w:r>
      <w:r w:rsidR="004034C5" w:rsidRPr="00DB2987">
        <w:rPr>
          <w:vanish/>
        </w:rPr>
        <w:t xml:space="preserve"> </w:t>
      </w:r>
    </w:p>
    <w:p w:rsidR="004034C5" w:rsidRPr="00DB2987" w:rsidRDefault="004034C5" w:rsidP="004034C5">
      <w:pPr>
        <w:ind w:right="102"/>
        <w:rPr>
          <w:vanish/>
        </w:rPr>
      </w:pPr>
    </w:p>
    <w:p w:rsidR="00E83423" w:rsidRPr="00DB2987" w:rsidRDefault="007242AF" w:rsidP="00670CCB">
      <w:pPr>
        <w:ind w:right="102"/>
        <w:rPr>
          <w:vanish/>
        </w:rPr>
      </w:pPr>
      <w:r w:rsidRPr="00DB2987">
        <w:rPr>
          <w:rFonts w:cs="Arial"/>
          <w:iCs/>
          <w:lang w:eastAsia="en-GB" w:bidi="en-GB"/>
        </w:rPr>
        <w:t xml:space="preserve">La cooperación entre los países y las partes interesadas en el marco de los Sistemas </w:t>
      </w:r>
      <w:r w:rsidR="00174B54" w:rsidRPr="00DB2987">
        <w:rPr>
          <w:rFonts w:cs="Arial"/>
          <w:iCs/>
          <w:lang w:eastAsia="en-GB" w:bidi="en-GB"/>
        </w:rPr>
        <w:t>es una respuesta</w:t>
      </w:r>
      <w:r w:rsidRPr="00DB2987">
        <w:rPr>
          <w:rFonts w:cs="Arial"/>
          <w:iCs/>
          <w:lang w:eastAsia="en-GB" w:bidi="en-GB"/>
        </w:rPr>
        <w:t xml:space="preserve"> a</w:t>
      </w:r>
      <w:r w:rsidR="00174B54" w:rsidRPr="00DB2987">
        <w:rPr>
          <w:rFonts w:cs="Arial"/>
          <w:iCs/>
          <w:lang w:eastAsia="en-GB" w:bidi="en-GB"/>
        </w:rPr>
        <w:t xml:space="preserve"> la</w:t>
      </w:r>
      <w:r w:rsidRPr="00DB2987">
        <w:rPr>
          <w:rFonts w:cs="Arial"/>
          <w:iCs/>
          <w:lang w:eastAsia="en-GB" w:bidi="en-GB"/>
        </w:rPr>
        <w:t xml:space="preserve"> </w:t>
      </w:r>
      <w:r w:rsidR="00174B54" w:rsidRPr="00DB2987">
        <w:rPr>
          <w:rFonts w:cs="Arial"/>
          <w:iCs/>
          <w:lang w:eastAsia="en-GB" w:bidi="en-GB"/>
        </w:rPr>
        <w:t xml:space="preserve">demanda de </w:t>
      </w:r>
      <w:r w:rsidRPr="00DB2987">
        <w:rPr>
          <w:rFonts w:cs="Arial"/>
          <w:iCs/>
          <w:lang w:eastAsia="en-GB" w:bidi="en-GB"/>
        </w:rPr>
        <w:t xml:space="preserve">un enfoque normativo </w:t>
      </w:r>
      <w:r w:rsidR="008D0C1C" w:rsidRPr="00DB2987">
        <w:rPr>
          <w:rFonts w:cs="Arial"/>
          <w:iCs/>
          <w:lang w:eastAsia="en-GB" w:bidi="en-GB"/>
        </w:rPr>
        <w:t xml:space="preserve">que sea </w:t>
      </w:r>
      <w:r w:rsidR="00174B54" w:rsidRPr="00DB2987">
        <w:rPr>
          <w:rFonts w:cs="Arial"/>
          <w:iCs/>
          <w:lang w:eastAsia="en-GB" w:bidi="en-GB"/>
        </w:rPr>
        <w:t xml:space="preserve">sensible </w:t>
      </w:r>
      <w:r w:rsidRPr="00DB2987">
        <w:rPr>
          <w:rFonts w:cs="Arial"/>
          <w:iCs/>
          <w:lang w:eastAsia="en-GB" w:bidi="en-GB"/>
        </w:rPr>
        <w:t>a la</w:t>
      </w:r>
      <w:r w:rsidR="009F657C" w:rsidRPr="00DB2987">
        <w:rPr>
          <w:rFonts w:cs="Arial"/>
          <w:iCs/>
          <w:lang w:eastAsia="en-GB" w:bidi="en-GB"/>
        </w:rPr>
        <w:t>s</w:t>
      </w:r>
      <w:r w:rsidRPr="00DB2987">
        <w:rPr>
          <w:rFonts w:cs="Arial"/>
          <w:iCs/>
          <w:lang w:eastAsia="en-GB" w:bidi="en-GB"/>
        </w:rPr>
        <w:t xml:space="preserve"> </w:t>
      </w:r>
      <w:r w:rsidR="009F657C" w:rsidRPr="00DB2987">
        <w:rPr>
          <w:rFonts w:cs="Arial"/>
          <w:iCs/>
          <w:lang w:eastAsia="en-GB" w:bidi="en-GB"/>
        </w:rPr>
        <w:t>condiciones</w:t>
      </w:r>
      <w:r w:rsidRPr="00DB2987">
        <w:rPr>
          <w:rFonts w:cs="Arial"/>
          <w:iCs/>
          <w:lang w:eastAsia="en-GB" w:bidi="en-GB"/>
        </w:rPr>
        <w:t xml:space="preserve"> del mercado.</w:t>
      </w:r>
      <w:r w:rsidR="00AE66A3" w:rsidRPr="00DB2987">
        <w:rPr>
          <w:rFonts w:cs="Arial"/>
          <w:i/>
          <w:lang w:val="es-ES" w:eastAsia="en-GB" w:bidi="en-GB"/>
        </w:rPr>
        <w:t xml:space="preserve"> </w:t>
      </w:r>
      <w:r w:rsidR="006C03D0" w:rsidRPr="00DB2987">
        <w:rPr>
          <w:rFonts w:cs="Arial"/>
          <w:lang w:eastAsia="en-GB" w:bidi="en-GB"/>
        </w:rPr>
        <w:t xml:space="preserve">Aunque </w:t>
      </w:r>
      <w:r w:rsidR="001E2244" w:rsidRPr="00DB2987">
        <w:rPr>
          <w:rFonts w:cs="Arial"/>
          <w:lang w:eastAsia="en-GB" w:bidi="en-GB"/>
        </w:rPr>
        <w:t>el marco jurídico, las barreras institucionales y las relaciones comerciales varían de un</w:t>
      </w:r>
      <w:r w:rsidR="006C03D0" w:rsidRPr="00DB2987">
        <w:rPr>
          <w:rFonts w:cs="Arial"/>
          <w:lang w:eastAsia="en-GB" w:bidi="en-GB"/>
        </w:rPr>
        <w:t xml:space="preserve"> país </w:t>
      </w:r>
      <w:r w:rsidR="001E2244" w:rsidRPr="00DB2987">
        <w:rPr>
          <w:rFonts w:cs="Arial"/>
          <w:lang w:eastAsia="en-GB" w:bidi="en-GB"/>
        </w:rPr>
        <w:t>a otro, los enfoques de los países que acced</w:t>
      </w:r>
      <w:r w:rsidR="008D0C1C" w:rsidRPr="00DB2987">
        <w:rPr>
          <w:rFonts w:cs="Arial"/>
          <w:lang w:eastAsia="en-GB" w:bidi="en-GB"/>
        </w:rPr>
        <w:t>e</w:t>
      </w:r>
      <w:r w:rsidR="001E2244" w:rsidRPr="00DB2987">
        <w:rPr>
          <w:rFonts w:cs="Arial"/>
          <w:lang w:eastAsia="en-GB" w:bidi="en-GB"/>
        </w:rPr>
        <w:t xml:space="preserve">n a los mercados internacionales como importadores o exportadores de semillas </w:t>
      </w:r>
      <w:r w:rsidR="006C03D0" w:rsidRPr="00DB2987">
        <w:rPr>
          <w:rFonts w:cs="Arial"/>
          <w:lang w:eastAsia="en-GB" w:bidi="en-GB"/>
        </w:rPr>
        <w:t xml:space="preserve">deben ser </w:t>
      </w:r>
      <w:r w:rsidR="001E2244" w:rsidRPr="00DB2987">
        <w:rPr>
          <w:rFonts w:cs="Arial"/>
          <w:lang w:eastAsia="en-GB" w:bidi="en-GB"/>
        </w:rPr>
        <w:t>homogéneos</w:t>
      </w:r>
      <w:r w:rsidR="006C03D0" w:rsidRPr="00DB2987">
        <w:rPr>
          <w:rFonts w:cs="Arial"/>
          <w:lang w:eastAsia="en-GB" w:bidi="en-GB"/>
        </w:rPr>
        <w:t>.</w:t>
      </w:r>
      <w:r w:rsidR="00E83423" w:rsidRPr="00DB2987">
        <w:rPr>
          <w:vanish/>
        </w:rPr>
        <w:t xml:space="preserve"> </w:t>
      </w:r>
    </w:p>
    <w:p w:rsidR="00E83423" w:rsidRPr="00DB2987" w:rsidRDefault="00E83423" w:rsidP="00E83423">
      <w:pPr>
        <w:ind w:right="102"/>
        <w:rPr>
          <w:lang w:val="es-ES"/>
        </w:rPr>
      </w:pPr>
    </w:p>
    <w:p w:rsidR="004034C5" w:rsidRPr="00DB2987" w:rsidRDefault="00003C63" w:rsidP="00670CCB">
      <w:pPr>
        <w:widowControl w:val="0"/>
        <w:tabs>
          <w:tab w:val="left" w:pos="1069"/>
          <w:tab w:val="left" w:pos="1071"/>
        </w:tabs>
        <w:autoSpaceDE w:val="0"/>
        <w:autoSpaceDN w:val="0"/>
        <w:spacing w:before="1"/>
        <w:ind w:right="223"/>
        <w:rPr>
          <w:vanish/>
        </w:rPr>
      </w:pPr>
      <w:r w:rsidRPr="00DB2987">
        <w:rPr>
          <w:rFonts w:cs="Arial"/>
          <w:lang w:eastAsia="en-GB" w:bidi="en-GB"/>
        </w:rPr>
        <w:t xml:space="preserve">Incumbe a los </w:t>
      </w:r>
      <w:r w:rsidR="00A00FFA" w:rsidRPr="00DB2987">
        <w:rPr>
          <w:rFonts w:cs="Arial"/>
          <w:lang w:eastAsia="en-GB" w:bidi="en-GB"/>
        </w:rPr>
        <w:t xml:space="preserve">mantenedores y </w:t>
      </w:r>
      <w:r w:rsidRPr="00DB2987">
        <w:rPr>
          <w:rFonts w:cs="Arial"/>
          <w:lang w:eastAsia="en-GB" w:bidi="en-GB"/>
        </w:rPr>
        <w:t xml:space="preserve">a </w:t>
      </w:r>
      <w:r w:rsidR="00A00FFA" w:rsidRPr="00DB2987">
        <w:rPr>
          <w:rFonts w:cs="Arial"/>
          <w:lang w:eastAsia="en-GB" w:bidi="en-GB"/>
        </w:rPr>
        <w:t xml:space="preserve">las empresas de semillas </w:t>
      </w:r>
      <w:r w:rsidRPr="00DB2987">
        <w:rPr>
          <w:rFonts w:cs="Arial"/>
          <w:lang w:eastAsia="en-GB" w:bidi="en-GB"/>
        </w:rPr>
        <w:t>conservar la pureza d</w:t>
      </w:r>
      <w:r w:rsidR="00136CA3" w:rsidRPr="00DB2987">
        <w:rPr>
          <w:rFonts w:cs="Arial"/>
          <w:lang w:eastAsia="en-GB" w:bidi="en-GB"/>
        </w:rPr>
        <w:t xml:space="preserve">e sus variedades </w:t>
      </w:r>
      <w:r w:rsidR="00A00FFA" w:rsidRPr="00DB2987">
        <w:rPr>
          <w:rFonts w:cs="Arial"/>
          <w:lang w:eastAsia="en-GB" w:bidi="en-GB"/>
        </w:rPr>
        <w:t xml:space="preserve">y </w:t>
      </w:r>
      <w:r w:rsidRPr="00DB2987">
        <w:rPr>
          <w:rFonts w:cs="Arial"/>
          <w:lang w:eastAsia="en-GB" w:bidi="en-GB"/>
        </w:rPr>
        <w:t>la conformidad de estas con</w:t>
      </w:r>
      <w:r w:rsidR="00136CA3" w:rsidRPr="00DB2987">
        <w:rPr>
          <w:rFonts w:cs="Arial"/>
          <w:lang w:eastAsia="en-GB" w:bidi="en-GB"/>
        </w:rPr>
        <w:t xml:space="preserve"> su </w:t>
      </w:r>
      <w:r w:rsidR="00A00FFA" w:rsidRPr="00DB2987">
        <w:rPr>
          <w:rFonts w:cs="Arial"/>
          <w:lang w:eastAsia="en-GB" w:bidi="en-GB"/>
        </w:rPr>
        <w:t xml:space="preserve">descripción y </w:t>
      </w:r>
      <w:r w:rsidRPr="00DB2987">
        <w:rPr>
          <w:rFonts w:cs="Arial"/>
          <w:lang w:eastAsia="en-GB" w:bidi="en-GB"/>
        </w:rPr>
        <w:t>con</w:t>
      </w:r>
      <w:r w:rsidR="00A00FFA" w:rsidRPr="00DB2987">
        <w:rPr>
          <w:rFonts w:cs="Arial"/>
          <w:lang w:eastAsia="en-GB" w:bidi="en-GB"/>
        </w:rPr>
        <w:t xml:space="preserve"> la muestra definitiva (que </w:t>
      </w:r>
      <w:r w:rsidR="00763DA6" w:rsidRPr="00DB2987">
        <w:rPr>
          <w:rFonts w:cs="Arial"/>
          <w:lang w:eastAsia="en-GB" w:bidi="en-GB"/>
        </w:rPr>
        <w:t>constituye</w:t>
      </w:r>
      <w:r w:rsidR="00A00FFA" w:rsidRPr="00DB2987">
        <w:rPr>
          <w:rFonts w:cs="Arial"/>
          <w:lang w:eastAsia="en-GB" w:bidi="en-GB"/>
        </w:rPr>
        <w:t xml:space="preserve"> la “descripción viva” de la variedad)</w:t>
      </w:r>
      <w:r w:rsidRPr="00DB2987">
        <w:rPr>
          <w:rFonts w:cs="Arial"/>
          <w:lang w:eastAsia="en-GB" w:bidi="en-GB"/>
        </w:rPr>
        <w:t>,</w:t>
      </w:r>
      <w:r w:rsidR="00A00FFA" w:rsidRPr="00DB2987">
        <w:rPr>
          <w:rFonts w:cs="Arial"/>
          <w:lang w:eastAsia="en-GB" w:bidi="en-GB"/>
        </w:rPr>
        <w:t xml:space="preserve"> </w:t>
      </w:r>
      <w:r w:rsidRPr="00DB2987">
        <w:rPr>
          <w:rFonts w:cs="Arial"/>
          <w:lang w:eastAsia="en-GB" w:bidi="en-GB"/>
        </w:rPr>
        <w:t xml:space="preserve">tanto </w:t>
      </w:r>
      <w:r w:rsidR="00A00FFA" w:rsidRPr="00DB2987">
        <w:rPr>
          <w:rFonts w:cs="Arial"/>
          <w:lang w:eastAsia="en-GB" w:bidi="en-GB"/>
        </w:rPr>
        <w:t>en el ámbito nacional</w:t>
      </w:r>
      <w:r w:rsidR="00AF0490" w:rsidRPr="00DB2987">
        <w:rPr>
          <w:rFonts w:cs="Arial"/>
          <w:lang w:eastAsia="en-GB" w:bidi="en-GB"/>
        </w:rPr>
        <w:t xml:space="preserve"> </w:t>
      </w:r>
      <w:r w:rsidRPr="00DB2987">
        <w:rPr>
          <w:rFonts w:cs="Arial"/>
          <w:lang w:eastAsia="en-GB" w:bidi="en-GB"/>
        </w:rPr>
        <w:t xml:space="preserve">como </w:t>
      </w:r>
      <w:r w:rsidR="00A00FFA" w:rsidRPr="00DB2987">
        <w:rPr>
          <w:rFonts w:cs="Arial"/>
          <w:lang w:eastAsia="en-GB" w:bidi="en-GB"/>
        </w:rPr>
        <w:t xml:space="preserve">en el </w:t>
      </w:r>
      <w:r w:rsidR="0097266A" w:rsidRPr="00DB2987">
        <w:rPr>
          <w:rFonts w:cs="Arial"/>
          <w:lang w:eastAsia="en-GB" w:bidi="en-GB"/>
        </w:rPr>
        <w:t>transfronterizo</w:t>
      </w:r>
      <w:r w:rsidR="00A00FFA" w:rsidRPr="00DB2987">
        <w:rPr>
          <w:rFonts w:cs="Arial"/>
          <w:lang w:eastAsia="en-GB" w:bidi="en-GB"/>
        </w:rPr>
        <w:t>.</w:t>
      </w:r>
      <w:r w:rsidR="00AE66A3" w:rsidRPr="00DB2987">
        <w:rPr>
          <w:rFonts w:cs="Arial"/>
          <w:lang w:val="es-ES" w:eastAsia="en-GB" w:bidi="en-GB"/>
        </w:rPr>
        <w:t xml:space="preserve"> </w:t>
      </w:r>
      <w:r w:rsidR="0097266A" w:rsidRPr="00DB2987">
        <w:rPr>
          <w:rFonts w:cs="Arial"/>
          <w:lang w:eastAsia="en-GB" w:bidi="en-GB"/>
        </w:rPr>
        <w:t>No obstante</w:t>
      </w:r>
      <w:r w:rsidR="00AF0490" w:rsidRPr="00DB2987">
        <w:rPr>
          <w:rFonts w:cs="Arial"/>
          <w:lang w:eastAsia="en-GB" w:bidi="en-GB"/>
        </w:rPr>
        <w:t xml:space="preserve">, </w:t>
      </w:r>
      <w:r w:rsidR="00856C18" w:rsidRPr="00DB2987">
        <w:rPr>
          <w:rFonts w:cs="Arial"/>
          <w:lang w:eastAsia="en-GB" w:bidi="en-GB"/>
        </w:rPr>
        <w:t xml:space="preserve">para la multiplicación a gran escala de las semillas destinadas al comercio, </w:t>
      </w:r>
      <w:r w:rsidR="00AB3E6C" w:rsidRPr="00DB2987">
        <w:rPr>
          <w:rFonts w:cs="Arial"/>
          <w:lang w:eastAsia="en-GB" w:bidi="en-GB"/>
        </w:rPr>
        <w:t>es necesario definir, aprobar y aplicar unos criterios mínimos comunes</w:t>
      </w:r>
      <w:r w:rsidR="00A00FFA" w:rsidRPr="00DB2987">
        <w:rPr>
          <w:rFonts w:cs="Arial"/>
          <w:lang w:eastAsia="en-GB" w:bidi="en-GB"/>
        </w:rPr>
        <w:t>.</w:t>
      </w:r>
      <w:r w:rsidR="00AE66A3" w:rsidRPr="00DB2987">
        <w:rPr>
          <w:rFonts w:cs="Arial"/>
          <w:lang w:val="es-ES" w:eastAsia="en-GB" w:bidi="en-GB"/>
        </w:rPr>
        <w:t xml:space="preserve"> </w:t>
      </w:r>
      <w:r w:rsidR="00A00FFA" w:rsidRPr="00DB2987">
        <w:rPr>
          <w:rFonts w:cs="Arial"/>
          <w:lang w:eastAsia="en-GB" w:bidi="en-GB"/>
        </w:rPr>
        <w:t xml:space="preserve">Los Sistemas de semillas de la OCDE proporcionan </w:t>
      </w:r>
      <w:r w:rsidR="002D4B49" w:rsidRPr="00DB2987">
        <w:rPr>
          <w:rFonts w:cs="Arial"/>
          <w:lang w:eastAsia="en-GB" w:bidi="en-GB"/>
        </w:rPr>
        <w:t xml:space="preserve">a tal fin </w:t>
      </w:r>
      <w:r w:rsidR="00A00FFA" w:rsidRPr="00DB2987">
        <w:rPr>
          <w:rFonts w:cs="Arial"/>
          <w:lang w:eastAsia="en-GB" w:bidi="en-GB"/>
        </w:rPr>
        <w:t xml:space="preserve">un </w:t>
      </w:r>
      <w:r w:rsidR="00323F43" w:rsidRPr="00DB2987">
        <w:rPr>
          <w:rFonts w:cs="Arial"/>
          <w:lang w:eastAsia="en-GB" w:bidi="en-GB"/>
        </w:rPr>
        <w:t xml:space="preserve">marco jurídico de </w:t>
      </w:r>
      <w:r w:rsidR="0097266A" w:rsidRPr="00DB2987">
        <w:rPr>
          <w:rFonts w:cs="Arial"/>
          <w:lang w:eastAsia="en-GB" w:bidi="en-GB"/>
        </w:rPr>
        <w:t>alcance</w:t>
      </w:r>
      <w:r w:rsidR="00323F43" w:rsidRPr="00DB2987">
        <w:rPr>
          <w:rFonts w:cs="Arial"/>
          <w:lang w:eastAsia="en-GB" w:bidi="en-GB"/>
        </w:rPr>
        <w:t xml:space="preserve"> </w:t>
      </w:r>
      <w:r w:rsidR="00A00FFA" w:rsidRPr="00DB2987">
        <w:rPr>
          <w:rFonts w:cs="Arial"/>
          <w:lang w:eastAsia="en-GB" w:bidi="en-GB"/>
        </w:rPr>
        <w:t>internacional.</w:t>
      </w:r>
      <w:r w:rsidR="004034C5" w:rsidRPr="00DB2987">
        <w:rPr>
          <w:vanish/>
        </w:rPr>
        <w:t xml:space="preserve"> </w:t>
      </w:r>
    </w:p>
    <w:p w:rsidR="004034C5" w:rsidRPr="00DB2987" w:rsidRDefault="004034C5" w:rsidP="004034C5">
      <w:pPr>
        <w:ind w:right="102"/>
        <w:rPr>
          <w:lang w:val="es-ES"/>
        </w:rPr>
      </w:pPr>
    </w:p>
    <w:p w:rsidR="004034C5" w:rsidRPr="00DB2987" w:rsidRDefault="00EB09EB" w:rsidP="00670CCB">
      <w:pPr>
        <w:ind w:right="102"/>
        <w:rPr>
          <w:vanish/>
        </w:rPr>
      </w:pPr>
      <w:r w:rsidRPr="00DB2987">
        <w:rPr>
          <w:i/>
        </w:rPr>
        <w:t>Situación de las técnicas bioquímicas y moleculares en los Sistemas de semillas de la OCDE</w:t>
      </w:r>
      <w:r w:rsidR="004034C5" w:rsidRPr="00DB2987">
        <w:rPr>
          <w:vanish/>
        </w:rPr>
        <w:t xml:space="preserve"> </w:t>
      </w:r>
    </w:p>
    <w:p w:rsidR="004034C5" w:rsidRPr="00DB2987" w:rsidRDefault="004034C5" w:rsidP="004034C5">
      <w:pPr>
        <w:ind w:right="102"/>
        <w:rPr>
          <w:vanish/>
        </w:rPr>
      </w:pPr>
    </w:p>
    <w:p w:rsidR="008579B9" w:rsidRPr="00DB2987" w:rsidRDefault="00761FF6" w:rsidP="00670CCB">
      <w:pPr>
        <w:ind w:right="102"/>
        <w:rPr>
          <w:vanish/>
        </w:rPr>
      </w:pPr>
      <w:r w:rsidRPr="00DB2987">
        <w:t xml:space="preserve">Los Sistemas de semillas de la OCDE no avalan específicamente ningún método de laboratorio para determinar la identidad o la pureza </w:t>
      </w:r>
      <w:r w:rsidR="00207F98" w:rsidRPr="00DB2987">
        <w:t>varietal</w:t>
      </w:r>
      <w:r w:rsidRPr="00DB2987">
        <w:t>.</w:t>
      </w:r>
      <w:r w:rsidR="00AE66A3" w:rsidRPr="00DB2987">
        <w:rPr>
          <w:lang w:val="es-ES"/>
        </w:rPr>
        <w:t xml:space="preserve"> </w:t>
      </w:r>
      <w:r w:rsidR="00266551" w:rsidRPr="00DB2987">
        <w:t xml:space="preserve">Los métodos </w:t>
      </w:r>
      <w:r w:rsidR="006B74AD" w:rsidRPr="00DB2987">
        <w:t>establecidos</w:t>
      </w:r>
      <w:r w:rsidR="00266551" w:rsidRPr="00DB2987">
        <w:t xml:space="preserve"> para ese fin son los métodos </w:t>
      </w:r>
      <w:r w:rsidR="0043004B" w:rsidRPr="00DB2987">
        <w:t>tradicionales de la OCDE</w:t>
      </w:r>
      <w:r w:rsidR="00266551" w:rsidRPr="00DB2987">
        <w:t>,</w:t>
      </w:r>
      <w:r w:rsidR="00AF0490" w:rsidRPr="00DB2987">
        <w:t xml:space="preserve"> </w:t>
      </w:r>
      <w:r w:rsidR="00856C18" w:rsidRPr="00DB2987">
        <w:t xml:space="preserve">es decir, </w:t>
      </w:r>
      <w:r w:rsidR="00C8533D" w:rsidRPr="00DB2987">
        <w:t>la</w:t>
      </w:r>
      <w:r w:rsidR="0043004B" w:rsidRPr="00DB2987">
        <w:t xml:space="preserve"> </w:t>
      </w:r>
      <w:r w:rsidR="00C8533D" w:rsidRPr="00DB2987">
        <w:t xml:space="preserve">inspección </w:t>
      </w:r>
      <w:r w:rsidR="0043004B" w:rsidRPr="00DB2987">
        <w:t xml:space="preserve">sobre el terreno </w:t>
      </w:r>
      <w:r w:rsidR="00C8533D" w:rsidRPr="00DB2987">
        <w:t>y la</w:t>
      </w:r>
      <w:r w:rsidR="00856C18" w:rsidRPr="00DB2987">
        <w:t>s</w:t>
      </w:r>
      <w:r w:rsidR="00C8533D" w:rsidRPr="00DB2987">
        <w:t xml:space="preserve"> </w:t>
      </w:r>
      <w:r w:rsidR="0043004B" w:rsidRPr="00DB2987">
        <w:t xml:space="preserve">parcelas de </w:t>
      </w:r>
      <w:proofErr w:type="spellStart"/>
      <w:r w:rsidR="007C293D" w:rsidRPr="00DB2987">
        <w:t>pre</w:t>
      </w:r>
      <w:r w:rsidR="0043004B" w:rsidRPr="00DB2987">
        <w:t>control</w:t>
      </w:r>
      <w:proofErr w:type="spellEnd"/>
      <w:r w:rsidR="007C293D" w:rsidRPr="00DB2987">
        <w:t xml:space="preserve"> y </w:t>
      </w:r>
      <w:proofErr w:type="spellStart"/>
      <w:r w:rsidR="007C293D" w:rsidRPr="00DB2987">
        <w:t>poscontrol</w:t>
      </w:r>
      <w:proofErr w:type="spellEnd"/>
      <w:r w:rsidR="00CC5793" w:rsidRPr="00DB2987">
        <w:t>.</w:t>
      </w:r>
      <w:r w:rsidR="008579B9" w:rsidRPr="00DB2987">
        <w:rPr>
          <w:vanish/>
        </w:rPr>
        <w:t xml:space="preserve"> </w:t>
      </w:r>
    </w:p>
    <w:p w:rsidR="008579B9" w:rsidRPr="00DB2987" w:rsidRDefault="008579B9" w:rsidP="008579B9">
      <w:pPr>
        <w:ind w:right="102"/>
        <w:rPr>
          <w:vanish/>
        </w:rPr>
      </w:pPr>
    </w:p>
    <w:p w:rsidR="00AE66A3" w:rsidRPr="00DB2987" w:rsidRDefault="00C8533D" w:rsidP="00670CCB">
      <w:pPr>
        <w:spacing w:line="240" w:lineRule="exact"/>
        <w:rPr>
          <w:lang w:val="es-ES"/>
        </w:rPr>
      </w:pPr>
      <w:r w:rsidRPr="00DB2987">
        <w:t>No obstante</w:t>
      </w:r>
      <w:r w:rsidR="00AF0490" w:rsidRPr="00DB2987">
        <w:t xml:space="preserve">, </w:t>
      </w:r>
      <w:r w:rsidR="00C84742" w:rsidRPr="00DB2987">
        <w:t>los</w:t>
      </w:r>
      <w:r w:rsidRPr="00DB2987">
        <w:t xml:space="preserve"> Sistemas </w:t>
      </w:r>
      <w:r w:rsidR="00C84742" w:rsidRPr="00DB2987">
        <w:t>de semillas de la </w:t>
      </w:r>
      <w:r w:rsidRPr="00DB2987">
        <w:t>OCDE reco</w:t>
      </w:r>
      <w:r w:rsidR="00CB0305" w:rsidRPr="00DB2987">
        <w:t>nocen</w:t>
      </w:r>
      <w:r w:rsidRPr="00DB2987">
        <w:t xml:space="preserve"> </w:t>
      </w:r>
      <w:r w:rsidR="00CB0305" w:rsidRPr="00DB2987">
        <w:t>que</w:t>
      </w:r>
      <w:r w:rsidR="00AF0490" w:rsidRPr="00DB2987">
        <w:t xml:space="preserve">, </w:t>
      </w:r>
      <w:r w:rsidR="00CB0305" w:rsidRPr="00DB2987">
        <w:t xml:space="preserve">en </w:t>
      </w:r>
      <w:r w:rsidRPr="00DB2987">
        <w:t>oc</w:t>
      </w:r>
      <w:r w:rsidR="00CB0305" w:rsidRPr="00DB2987">
        <w:t>asiones</w:t>
      </w:r>
      <w:r w:rsidR="00AF0490" w:rsidRPr="00DB2987">
        <w:t xml:space="preserve">, </w:t>
      </w:r>
      <w:r w:rsidR="00FC3D2A" w:rsidRPr="00DB2987">
        <w:t>esos</w:t>
      </w:r>
      <w:r w:rsidR="00CB0305" w:rsidRPr="00DB2987">
        <w:t xml:space="preserve"> métodos tradicionales limitan la </w:t>
      </w:r>
      <w:r w:rsidR="00C4525B" w:rsidRPr="00DB2987">
        <w:t>fiabilidad</w:t>
      </w:r>
      <w:r w:rsidR="00CB0305" w:rsidRPr="00DB2987">
        <w:t xml:space="preserve"> de la determinación varietal y</w:t>
      </w:r>
      <w:r w:rsidR="00AF0490" w:rsidRPr="00DB2987">
        <w:t xml:space="preserve">, </w:t>
      </w:r>
      <w:r w:rsidR="00CB0305" w:rsidRPr="00DB2987">
        <w:t xml:space="preserve">en </w:t>
      </w:r>
      <w:r w:rsidR="00C4525B" w:rsidRPr="00DB2987">
        <w:t>ciertos</w:t>
      </w:r>
      <w:r w:rsidR="00CB0305" w:rsidRPr="00DB2987">
        <w:t xml:space="preserve"> casos</w:t>
      </w:r>
      <w:r w:rsidR="00AF0490" w:rsidRPr="00DB2987">
        <w:t xml:space="preserve">, </w:t>
      </w:r>
      <w:r w:rsidR="00CB0305" w:rsidRPr="00DB2987">
        <w:t>no permiten identificar con certeza las variedades de algunas especies.</w:t>
      </w:r>
      <w:r w:rsidR="00AE66A3" w:rsidRPr="00DB2987">
        <w:rPr>
          <w:lang w:val="es-ES"/>
        </w:rPr>
        <w:t xml:space="preserve"> </w:t>
      </w:r>
      <w:r w:rsidR="00977123" w:rsidRPr="00DB2987">
        <w:t>En esas circunstancias concretas</w:t>
      </w:r>
      <w:r w:rsidR="00AF0490" w:rsidRPr="00DB2987">
        <w:t xml:space="preserve">, </w:t>
      </w:r>
      <w:r w:rsidR="00977123" w:rsidRPr="00DB2987">
        <w:t>podría</w:t>
      </w:r>
      <w:r w:rsidR="00621642" w:rsidRPr="00DB2987">
        <w:t>n</w:t>
      </w:r>
      <w:r w:rsidR="00977123" w:rsidRPr="00DB2987">
        <w:t xml:space="preserve"> </w:t>
      </w:r>
      <w:r w:rsidR="00621642" w:rsidRPr="00DB2987">
        <w:t>resultar</w:t>
      </w:r>
      <w:r w:rsidR="00977123" w:rsidRPr="00DB2987">
        <w:t xml:space="preserve"> </w:t>
      </w:r>
      <w:r w:rsidR="00621642" w:rsidRPr="00DB2987">
        <w:t>útiles</w:t>
      </w:r>
      <w:r w:rsidR="00977123" w:rsidRPr="00DB2987">
        <w:t xml:space="preserve"> técnicas </w:t>
      </w:r>
      <w:r w:rsidR="00621642" w:rsidRPr="00DB2987">
        <w:t xml:space="preserve">que </w:t>
      </w:r>
      <w:r w:rsidR="00977123" w:rsidRPr="00DB2987">
        <w:t xml:space="preserve">no </w:t>
      </w:r>
      <w:r w:rsidR="00621642" w:rsidRPr="00DB2987">
        <w:t>s</w:t>
      </w:r>
      <w:r w:rsidR="008F34E4" w:rsidRPr="00DB2987">
        <w:t xml:space="preserve">e </w:t>
      </w:r>
      <w:r w:rsidR="00621642" w:rsidRPr="00DB2987">
        <w:t>apliquen sobre el terreno</w:t>
      </w:r>
      <w:r w:rsidR="00AF0490" w:rsidRPr="00DB2987">
        <w:t xml:space="preserve">, </w:t>
      </w:r>
      <w:r w:rsidR="00977123" w:rsidRPr="00DB2987">
        <w:t xml:space="preserve">como </w:t>
      </w:r>
      <w:r w:rsidR="008F34E4" w:rsidRPr="00DB2987">
        <w:t>las técnicas bioquímicas y moleculares</w:t>
      </w:r>
      <w:r w:rsidR="00AF0490" w:rsidRPr="00DB2987">
        <w:t xml:space="preserve">, </w:t>
      </w:r>
      <w:r w:rsidR="00977123" w:rsidRPr="00DB2987">
        <w:t>que debe</w:t>
      </w:r>
      <w:r w:rsidR="008F34E4" w:rsidRPr="00DB2987">
        <w:t>n</w:t>
      </w:r>
      <w:r w:rsidR="00977123" w:rsidRPr="00DB2987">
        <w:t xml:space="preserve"> considerarse c</w:t>
      </w:r>
      <w:r w:rsidR="00097366" w:rsidRPr="00DB2987">
        <w:t>omplementarias</w:t>
      </w:r>
      <w:r w:rsidR="00977123" w:rsidRPr="00DB2987">
        <w:t xml:space="preserve"> y no </w:t>
      </w:r>
      <w:r w:rsidR="00097366" w:rsidRPr="00DB2987">
        <w:t>sustitutivas</w:t>
      </w:r>
      <w:r w:rsidR="00977123" w:rsidRPr="00DB2987">
        <w:t xml:space="preserve"> de los métodos tradicionales.</w:t>
      </w:r>
      <w:r w:rsidR="00850D23" w:rsidRPr="00DB2987">
        <w:rPr>
          <w:vanish/>
        </w:rPr>
        <w:t xml:space="preserve"> </w:t>
      </w:r>
    </w:p>
    <w:p w:rsidR="00AE66A3" w:rsidRPr="00DB2987" w:rsidRDefault="00AE66A3" w:rsidP="00AE66A3">
      <w:pPr>
        <w:spacing w:before="8"/>
        <w:rPr>
          <w:lang w:val="es-ES"/>
        </w:rPr>
      </w:pPr>
    </w:p>
    <w:p w:rsidR="00AE66A3" w:rsidRPr="00DB2987" w:rsidRDefault="008F34E4" w:rsidP="00670CCB">
      <w:pPr>
        <w:spacing w:before="1"/>
        <w:rPr>
          <w:b/>
          <w:lang w:val="es-ES"/>
        </w:rPr>
      </w:pPr>
      <w:r w:rsidRPr="00DB2987">
        <w:t>Puede encontrarse más información acerca de los Sistemas de semillas de la OCDE en la siguiente dirección:</w:t>
      </w:r>
      <w:r w:rsidR="00AE66A3" w:rsidRPr="00DB2987">
        <w:rPr>
          <w:lang w:val="es-ES"/>
        </w:rPr>
        <w:t xml:space="preserve"> </w:t>
      </w:r>
      <w:hyperlink r:id="rId13">
        <w:r w:rsidR="00AE66A3" w:rsidRPr="00DB2987">
          <w:rPr>
            <w:b/>
            <w:lang w:val="es-ES"/>
          </w:rPr>
          <w:t>www.oecd.org/tad</w:t>
        </w:r>
        <w:r w:rsidR="00AE66A3" w:rsidRPr="00DB2987">
          <w:rPr>
            <w:lang w:val="es-ES"/>
          </w:rPr>
          <w:t>/</w:t>
        </w:r>
        <w:r w:rsidR="00AE66A3" w:rsidRPr="00DB2987">
          <w:rPr>
            <w:b/>
            <w:lang w:val="es-ES"/>
          </w:rPr>
          <w:t>seed</w:t>
        </w:r>
      </w:hyperlink>
    </w:p>
    <w:p w:rsidR="00AE66A3" w:rsidRPr="00DB2987" w:rsidRDefault="00AE66A3" w:rsidP="00AE66A3">
      <w:pPr>
        <w:rPr>
          <w:lang w:val="es-ES"/>
        </w:rPr>
      </w:pPr>
    </w:p>
    <w:p w:rsidR="00CF2B9E" w:rsidRPr="00DB2987" w:rsidRDefault="00CF2B9E" w:rsidP="00670CCB">
      <w:pPr>
        <w:rPr>
          <w:bCs/>
          <w:u w:val="single"/>
        </w:rPr>
      </w:pPr>
    </w:p>
    <w:p w:rsidR="00AE66A3" w:rsidRPr="00DB2987" w:rsidRDefault="008F34E4" w:rsidP="00670CCB">
      <w:pPr>
        <w:rPr>
          <w:bCs/>
          <w:u w:val="single"/>
          <w:lang w:val="es-ES"/>
        </w:rPr>
      </w:pPr>
      <w:r w:rsidRPr="00DB2987">
        <w:rPr>
          <w:bCs/>
          <w:u w:val="single"/>
        </w:rPr>
        <w:t>Unión Internacional para la Protección de las Obtenciones Vegetales (UPOV)</w:t>
      </w:r>
    </w:p>
    <w:p w:rsidR="00AE66A3" w:rsidRPr="00DB2987" w:rsidRDefault="00AE66A3" w:rsidP="00AE66A3">
      <w:pPr>
        <w:rPr>
          <w:lang w:val="es-ES"/>
        </w:rPr>
      </w:pPr>
    </w:p>
    <w:p w:rsidR="00AE66A3" w:rsidRPr="00DB2987" w:rsidRDefault="008F34E4" w:rsidP="00670CCB">
      <w:pPr>
        <w:rPr>
          <w:lang w:val="es-ES"/>
        </w:rPr>
      </w:pPr>
      <w:r w:rsidRPr="00DB2987">
        <w:rPr>
          <w:bCs/>
        </w:rPr>
        <w:t>Tipo de organización:</w:t>
      </w:r>
      <w:r w:rsidR="00AE66A3" w:rsidRPr="00DB2987">
        <w:rPr>
          <w:bCs/>
          <w:lang w:val="es-ES"/>
        </w:rPr>
        <w:t xml:space="preserve"> </w:t>
      </w:r>
      <w:r w:rsidRPr="00DB2987">
        <w:t>intergubernamental.</w:t>
      </w:r>
    </w:p>
    <w:p w:rsidR="00AE66A3" w:rsidRPr="00DB2987" w:rsidRDefault="00AE66A3" w:rsidP="00AE66A3">
      <w:pPr>
        <w:rPr>
          <w:lang w:val="es-ES"/>
        </w:rPr>
      </w:pPr>
      <w:r w:rsidRPr="00DB2987">
        <w:rPr>
          <w:lang w:val="es-ES"/>
        </w:rPr>
        <w:t> </w:t>
      </w:r>
    </w:p>
    <w:p w:rsidR="007B41F1" w:rsidRPr="00DB2987" w:rsidRDefault="007B41F1" w:rsidP="007B41F1">
      <w:pPr>
        <w:rPr>
          <w:bCs/>
        </w:rPr>
      </w:pPr>
      <w:r w:rsidRPr="00DB2987">
        <w:rPr>
          <w:bCs/>
        </w:rPr>
        <w:t>Miembros</w:t>
      </w:r>
      <w:r w:rsidR="00D6646C" w:rsidRPr="00DB2987">
        <w:rPr>
          <w:bCs/>
        </w:rPr>
        <w:t>:</w:t>
      </w:r>
    </w:p>
    <w:p w:rsidR="00D6646C" w:rsidRPr="00DB2987" w:rsidRDefault="00D6646C" w:rsidP="007B41F1">
      <w:pPr>
        <w:rPr>
          <w:bCs/>
          <w:lang w:val="es-ES"/>
        </w:rPr>
      </w:pPr>
    </w:p>
    <w:p w:rsidR="007B41F1" w:rsidRPr="00DB2987" w:rsidRDefault="00801E9E" w:rsidP="00ED6E82">
      <w:hyperlink r:id="rId14" w:history="1">
        <w:r w:rsidR="00AB5E9F" w:rsidRPr="00D661B6">
          <w:rPr>
            <w:color w:val="0000FF"/>
            <w:u w:val="single"/>
            <w:lang w:val="en-US"/>
          </w:rPr>
          <w:t>Lista de miembros de la UPOV</w:t>
        </w:r>
      </w:hyperlink>
      <w:r w:rsidR="00D661B6">
        <w:rPr>
          <w:u w:val="single"/>
        </w:rPr>
        <w:t xml:space="preserve"> </w:t>
      </w:r>
      <w:r w:rsidR="007B41F1" w:rsidRPr="00DB2987">
        <w:t xml:space="preserve">/ </w:t>
      </w:r>
      <w:hyperlink r:id="rId15" w:history="1">
        <w:r w:rsidR="00AB5E9F" w:rsidRPr="00D661B6">
          <w:rPr>
            <w:color w:val="0000FF"/>
            <w:u w:val="single"/>
            <w:lang w:val="en-US"/>
          </w:rPr>
          <w:t>Situación en relación con la UPOV</w:t>
        </w:r>
      </w:hyperlink>
    </w:p>
    <w:p w:rsidR="007B41F1" w:rsidRPr="00DB2987" w:rsidRDefault="007B41F1" w:rsidP="007B41F1">
      <w:pPr>
        <w:rPr>
          <w:lang w:val="es-ES"/>
        </w:rPr>
      </w:pPr>
      <w:r w:rsidRPr="00DB2987">
        <w:rPr>
          <w:lang w:val="es-ES"/>
        </w:rPr>
        <w:t> </w:t>
      </w:r>
    </w:p>
    <w:p w:rsidR="00AE66A3" w:rsidRPr="00DB2987" w:rsidRDefault="007B41F1" w:rsidP="00D661B6">
      <w:pPr>
        <w:keepNext/>
        <w:rPr>
          <w:bCs/>
          <w:i/>
          <w:lang w:val="es-ES"/>
        </w:rPr>
      </w:pPr>
      <w:r w:rsidRPr="00DB2987">
        <w:rPr>
          <w:bCs/>
          <w:i/>
        </w:rPr>
        <w:t>¿Qué es la UPOV?</w:t>
      </w:r>
    </w:p>
    <w:p w:rsidR="00AE66A3" w:rsidRPr="00DB2987" w:rsidRDefault="00AE66A3" w:rsidP="00D661B6">
      <w:pPr>
        <w:keepNext/>
        <w:rPr>
          <w:bCs/>
          <w:lang w:val="es-ES"/>
        </w:rPr>
      </w:pPr>
    </w:p>
    <w:p w:rsidR="00AE66A3" w:rsidRPr="00DB2987" w:rsidRDefault="00721BCF" w:rsidP="00D661B6">
      <w:pPr>
        <w:keepNext/>
        <w:rPr>
          <w:lang w:val="es-ES"/>
        </w:rPr>
      </w:pPr>
      <w:r w:rsidRPr="00DB2987">
        <w:t>La Unión Internacional para la Protección de las Obtenciones Vegetales (UPOV) es una organización intergubernamental con sede en Ginebra (Suiza).</w:t>
      </w:r>
      <w:r w:rsidR="00AE66A3" w:rsidRPr="00DB2987">
        <w:rPr>
          <w:lang w:val="es-ES"/>
        </w:rPr>
        <w:t xml:space="preserve"> </w:t>
      </w:r>
      <w:r w:rsidRPr="00DB2987">
        <w:t>La UPOV fue constituida en</w:t>
      </w:r>
      <w:r w:rsidR="00AF0490" w:rsidRPr="00DB2987">
        <w:t> 1</w:t>
      </w:r>
      <w:r w:rsidRPr="00DB2987">
        <w:t>961 por el Convenio Internacional para la Protección de las Obtenciones Vegetales (“Convenio de la UPOV”).</w:t>
      </w:r>
    </w:p>
    <w:p w:rsidR="00AE66A3" w:rsidRPr="00DB2987" w:rsidRDefault="00721BCF" w:rsidP="00670CCB">
      <w:pPr>
        <w:rPr>
          <w:lang w:val="es-ES"/>
        </w:rPr>
      </w:pPr>
      <w:r w:rsidRPr="00DB2987">
        <w:t>La misión de la UPOV es proporcionar y fomentar un sistema eficaz para la protección de las variedades vegetales con miras al desarrollo de obtenciones vegetales en beneficio de la sociedad.</w:t>
      </w:r>
    </w:p>
    <w:p w:rsidR="00AE66A3" w:rsidRPr="00DB2987" w:rsidRDefault="00721BCF" w:rsidP="00670CCB">
      <w:pPr>
        <w:rPr>
          <w:lang w:val="es-ES"/>
        </w:rPr>
      </w:pPr>
      <w:r w:rsidRPr="00DB2987">
        <w:t xml:space="preserve">El Convenio de la UPOV es el fundamento en que se apoyan los miembros para fomentar el </w:t>
      </w:r>
      <w:proofErr w:type="spellStart"/>
      <w:r w:rsidRPr="00DB2987">
        <w:t>fitomejoramiento</w:t>
      </w:r>
      <w:proofErr w:type="spellEnd"/>
      <w:r w:rsidRPr="00DB2987">
        <w:t xml:space="preserve"> mediante la concesión</w:t>
      </w:r>
      <w:r w:rsidR="00AF0490" w:rsidRPr="00DB2987">
        <w:t xml:space="preserve">, </w:t>
      </w:r>
      <w:r w:rsidRPr="00DB2987">
        <w:t>a los obtentores de variedades vegetales</w:t>
      </w:r>
      <w:r w:rsidR="00AF0490" w:rsidRPr="00DB2987">
        <w:t xml:space="preserve">, </w:t>
      </w:r>
      <w:r w:rsidRPr="00DB2987">
        <w:t>de un derecho de propiedad intelectual:</w:t>
      </w:r>
      <w:r w:rsidR="00AE66A3" w:rsidRPr="00DB2987">
        <w:rPr>
          <w:lang w:val="es-ES"/>
        </w:rPr>
        <w:t xml:space="preserve"> </w:t>
      </w:r>
      <w:r w:rsidRPr="00DB2987">
        <w:t>el derecho de obtentor.</w:t>
      </w:r>
    </w:p>
    <w:p w:rsidR="00AE66A3" w:rsidRPr="00DB2987" w:rsidRDefault="00AE66A3" w:rsidP="00AE66A3">
      <w:pPr>
        <w:rPr>
          <w:lang w:val="es-ES"/>
        </w:rPr>
      </w:pPr>
      <w:r w:rsidRPr="00DB2987">
        <w:rPr>
          <w:lang w:val="es-ES"/>
        </w:rPr>
        <w:t> </w:t>
      </w:r>
    </w:p>
    <w:p w:rsidR="007B41F1" w:rsidRPr="00DB2987" w:rsidRDefault="007B41F1" w:rsidP="007B41F1">
      <w:pPr>
        <w:rPr>
          <w:bCs/>
          <w:i/>
        </w:rPr>
      </w:pPr>
      <w:r w:rsidRPr="00DB2987">
        <w:rPr>
          <w:bCs/>
          <w:i/>
        </w:rPr>
        <w:t>¿Qué hace la UPOV?</w:t>
      </w:r>
    </w:p>
    <w:p w:rsidR="007B41F1" w:rsidRPr="00DB2987" w:rsidRDefault="007B41F1" w:rsidP="007B41F1">
      <w:pPr>
        <w:rPr>
          <w:bCs/>
        </w:rPr>
      </w:pPr>
    </w:p>
    <w:p w:rsidR="00AE66A3" w:rsidRPr="00DB2987" w:rsidRDefault="00721BCF" w:rsidP="007B41F1">
      <w:pPr>
        <w:rPr>
          <w:lang w:val="es-ES"/>
        </w:rPr>
      </w:pPr>
      <w:r w:rsidRPr="00DB2987">
        <w:t>La misión de la UPOV es proporcionar y fomentar un sistema eficaz para la protección de las variedades vegetales con miras al desarrollo de obtenciones vegetales en beneficio de la sociedad</w:t>
      </w:r>
      <w:r w:rsidR="007B41F1" w:rsidRPr="00DB2987">
        <w:t>. Los principales objetivos de la Unión</w:t>
      </w:r>
      <w:r w:rsidR="00AF0490" w:rsidRPr="00DB2987">
        <w:t xml:space="preserve">, </w:t>
      </w:r>
      <w:r w:rsidR="007B41F1" w:rsidRPr="00DB2987">
        <w:t>de conformidad con el Convenio de la UPOV</w:t>
      </w:r>
      <w:r w:rsidR="00AF0490" w:rsidRPr="00DB2987">
        <w:t xml:space="preserve">, </w:t>
      </w:r>
      <w:r w:rsidR="007B41F1" w:rsidRPr="00DB2987">
        <w:t>son los siguientes</w:t>
      </w:r>
      <w:r w:rsidR="00AE66A3" w:rsidRPr="00DB2987">
        <w:rPr>
          <w:lang w:val="es-ES"/>
        </w:rPr>
        <w:t>:</w:t>
      </w:r>
    </w:p>
    <w:p w:rsidR="00AE66A3" w:rsidRPr="00DB2987" w:rsidRDefault="00721BCF" w:rsidP="00670CCB">
      <w:pPr>
        <w:numPr>
          <w:ilvl w:val="0"/>
          <w:numId w:val="6"/>
        </w:numPr>
        <w:rPr>
          <w:lang w:val="es-ES"/>
        </w:rPr>
      </w:pPr>
      <w:r w:rsidRPr="00DB2987">
        <w:t>proporcionar y desarrollar las bases jurídicas</w:t>
      </w:r>
      <w:r w:rsidR="00AF0490" w:rsidRPr="00DB2987">
        <w:t xml:space="preserve">, </w:t>
      </w:r>
      <w:r w:rsidRPr="00DB2987">
        <w:t>administrativas y técnicas para la cooperación internacional en materia de protección de las variedades vegetales;</w:t>
      </w:r>
    </w:p>
    <w:p w:rsidR="00AE66A3" w:rsidRPr="00DB2987" w:rsidRDefault="00721BCF" w:rsidP="00670CCB">
      <w:pPr>
        <w:numPr>
          <w:ilvl w:val="0"/>
          <w:numId w:val="6"/>
        </w:numPr>
        <w:rPr>
          <w:lang w:val="es-ES"/>
        </w:rPr>
      </w:pPr>
      <w:r w:rsidRPr="00DB2987">
        <w:t>prestar asistencia a los Estados y las organizaciones en la elaboración de legislación y en la aplicación de un sistema eficaz de protección de las obtenciones vegetales; y</w:t>
      </w:r>
    </w:p>
    <w:p w:rsidR="00AE66A3" w:rsidRPr="00DB2987" w:rsidRDefault="007B41F1" w:rsidP="00AE66A3">
      <w:pPr>
        <w:numPr>
          <w:ilvl w:val="0"/>
          <w:numId w:val="6"/>
        </w:numPr>
        <w:rPr>
          <w:lang w:val="es-ES"/>
        </w:rPr>
      </w:pPr>
      <w:r w:rsidRPr="00DB2987">
        <w:t>mejorar la comprensión del público en general y sensibilizarlo en relación con el sistema de la UPOV de protección de las variedades vegetales</w:t>
      </w:r>
      <w:r w:rsidR="00AE66A3" w:rsidRPr="00DB2987">
        <w:rPr>
          <w:lang w:val="es-ES"/>
        </w:rPr>
        <w:t>.</w:t>
      </w:r>
    </w:p>
    <w:p w:rsidR="00AE66A3" w:rsidRPr="00DB2987" w:rsidRDefault="00AE66A3" w:rsidP="00AE66A3">
      <w:pPr>
        <w:rPr>
          <w:lang w:val="es-ES"/>
        </w:rPr>
      </w:pPr>
      <w:r w:rsidRPr="00DB2987">
        <w:rPr>
          <w:bCs/>
          <w:lang w:val="es-ES"/>
        </w:rPr>
        <w:t> </w:t>
      </w:r>
    </w:p>
    <w:p w:rsidR="00AE66A3" w:rsidRPr="00DB2987" w:rsidRDefault="00721BCF" w:rsidP="00670CCB">
      <w:pPr>
        <w:rPr>
          <w:bCs/>
          <w:i/>
          <w:lang w:val="es-ES"/>
        </w:rPr>
      </w:pPr>
      <w:r w:rsidRPr="00DB2987">
        <w:rPr>
          <w:bCs/>
          <w:i/>
        </w:rPr>
        <w:t>¿Qué beneficios ofrece la protección de las obtenciones vegetales y la pertenencia a la UPOV?</w:t>
      </w:r>
    </w:p>
    <w:p w:rsidR="00AE66A3" w:rsidRPr="00DB2987" w:rsidRDefault="00AE66A3" w:rsidP="00AE66A3">
      <w:pPr>
        <w:rPr>
          <w:bCs/>
          <w:lang w:val="es-ES"/>
        </w:rPr>
      </w:pPr>
    </w:p>
    <w:p w:rsidR="00AE66A3" w:rsidRPr="00DB2987" w:rsidRDefault="00721BCF" w:rsidP="00670CCB">
      <w:pPr>
        <w:rPr>
          <w:lang w:val="es-ES"/>
        </w:rPr>
      </w:pPr>
      <w:r w:rsidRPr="00DB2987">
        <w:t>El Informe de la UPOV sobre el impacto de la protección de las obtenciones vegetales puso de manifiesto que</w:t>
      </w:r>
      <w:r w:rsidR="00AF0490" w:rsidRPr="00DB2987">
        <w:t xml:space="preserve">, </w:t>
      </w:r>
      <w:r w:rsidRPr="00DB2987">
        <w:t>para poder disfrutar de todos los beneficios que es capaz de generar la protección de las obtenciones vegetales</w:t>
      </w:r>
      <w:r w:rsidR="00AF0490" w:rsidRPr="00DB2987">
        <w:t xml:space="preserve">, </w:t>
      </w:r>
      <w:r w:rsidRPr="00DB2987">
        <w:t>son importantes tanto la aplicación del Convenio de la UPOV como la pertenencia a la UPOV.</w:t>
      </w:r>
      <w:r w:rsidR="00AE66A3" w:rsidRPr="00DB2987">
        <w:rPr>
          <w:lang w:val="es-ES"/>
        </w:rPr>
        <w:t xml:space="preserve"> </w:t>
      </w:r>
      <w:r w:rsidRPr="00DB2987">
        <w:t>Se constató que la adopción del sistema de la UPOV de protección de las obtenciones vegetales y la pertenencia a la UPOV están asociadas a:</w:t>
      </w:r>
    </w:p>
    <w:p w:rsidR="00AE66A3" w:rsidRPr="00DB2987" w:rsidRDefault="00AE66A3" w:rsidP="00AE66A3">
      <w:pPr>
        <w:rPr>
          <w:lang w:val="es-ES"/>
        </w:rPr>
      </w:pPr>
    </w:p>
    <w:p w:rsidR="007B41F1" w:rsidRPr="00DB2987" w:rsidRDefault="007B41F1" w:rsidP="007B41F1">
      <w:r w:rsidRPr="00DB2987">
        <w:t xml:space="preserve">a) un aumento de las actividades de </w:t>
      </w:r>
      <w:proofErr w:type="spellStart"/>
      <w:r w:rsidRPr="00DB2987">
        <w:t>fitomejoramiento</w:t>
      </w:r>
      <w:proofErr w:type="spellEnd"/>
      <w:r w:rsidRPr="00DB2987">
        <w:t>,</w:t>
      </w:r>
    </w:p>
    <w:p w:rsidR="007B41F1" w:rsidRPr="00DB2987" w:rsidRDefault="007B41F1" w:rsidP="007B41F1">
      <w:r w:rsidRPr="00DB2987">
        <w:t>b) una mayor disponibilidad de variedades mejoradas,</w:t>
      </w:r>
    </w:p>
    <w:p w:rsidR="007B41F1" w:rsidRPr="00DB2987" w:rsidRDefault="007B41F1" w:rsidP="00670CCB">
      <w:pPr>
        <w:rPr>
          <w:lang w:val="es-ES"/>
        </w:rPr>
      </w:pPr>
      <w:r w:rsidRPr="00DB2987">
        <w:rPr>
          <w:lang w:val="es-ES"/>
        </w:rPr>
        <w:t xml:space="preserve">c) </w:t>
      </w:r>
      <w:r w:rsidR="00721BCF" w:rsidRPr="00DB2987">
        <w:t>un aumento del número de variedades nuevas,</w:t>
      </w:r>
    </w:p>
    <w:p w:rsidR="007B41F1" w:rsidRPr="00DB2987" w:rsidRDefault="007B41F1" w:rsidP="007B41F1">
      <w:r w:rsidRPr="00DB2987">
        <w:t>d) la diversificación de los tipos de obtentores (por ejemplo</w:t>
      </w:r>
      <w:r w:rsidR="00AF0490" w:rsidRPr="00DB2987">
        <w:t xml:space="preserve">, </w:t>
      </w:r>
      <w:r w:rsidRPr="00DB2987">
        <w:t>obtentores privados</w:t>
      </w:r>
      <w:r w:rsidR="00AF0490" w:rsidRPr="00DB2987">
        <w:t xml:space="preserve">, </w:t>
      </w:r>
      <w:r w:rsidRPr="00DB2987">
        <w:t>investigadores),</w:t>
      </w:r>
    </w:p>
    <w:p w:rsidR="007B41F1" w:rsidRPr="00DB2987" w:rsidRDefault="007B41F1" w:rsidP="00670CCB">
      <w:pPr>
        <w:rPr>
          <w:lang w:val="es-ES"/>
        </w:rPr>
      </w:pPr>
      <w:r w:rsidRPr="00DB2987">
        <w:rPr>
          <w:lang w:val="es-ES"/>
        </w:rPr>
        <w:t xml:space="preserve">e) </w:t>
      </w:r>
      <w:r w:rsidR="00721BCF" w:rsidRPr="00DB2987">
        <w:t>un aumento del número de variedades nuevas extranjeras,</w:t>
      </w:r>
    </w:p>
    <w:p w:rsidR="00AE66A3" w:rsidRPr="00DB2987" w:rsidRDefault="007B41F1" w:rsidP="007B41F1">
      <w:pPr>
        <w:rPr>
          <w:lang w:val="es-ES"/>
        </w:rPr>
      </w:pPr>
      <w:r w:rsidRPr="00DB2987">
        <w:t>f) el fomento del desarrollo de la competitividad de nuevas industrias en los mercados exteriores</w:t>
      </w:r>
      <w:r w:rsidR="00AF0490" w:rsidRPr="00DB2987">
        <w:t xml:space="preserve">, </w:t>
      </w:r>
      <w:r w:rsidRPr="00DB2987">
        <w:t>y</w:t>
      </w:r>
    </w:p>
    <w:p w:rsidR="00AE66A3" w:rsidRPr="00DB2987" w:rsidRDefault="00AE66A3" w:rsidP="00670CCB">
      <w:pPr>
        <w:rPr>
          <w:lang w:val="es-ES"/>
        </w:rPr>
      </w:pPr>
      <w:r w:rsidRPr="00DB2987">
        <w:rPr>
          <w:lang w:val="es-ES"/>
        </w:rPr>
        <w:t xml:space="preserve">g) </w:t>
      </w:r>
      <w:r w:rsidR="00721BCF" w:rsidRPr="00DB2987">
        <w:t>un mejor acceso a obtenciones vegetales extranjeras y una mejora de los programas de mejoramiento nacionales.</w:t>
      </w:r>
    </w:p>
    <w:p w:rsidR="00721BCF" w:rsidRPr="00DB2987" w:rsidRDefault="00721BCF" w:rsidP="00AE66A3">
      <w:pPr>
        <w:rPr>
          <w:lang w:val="es-ES"/>
        </w:rPr>
      </w:pPr>
    </w:p>
    <w:p w:rsidR="00AE66A3" w:rsidRPr="00DB2987" w:rsidRDefault="00721BCF" w:rsidP="00670CCB">
      <w:pPr>
        <w:rPr>
          <w:lang w:val="es-ES"/>
        </w:rPr>
      </w:pPr>
      <w:r w:rsidRPr="00DB2987">
        <w:t>Para llegar a ser miembro de la UPOV</w:t>
      </w:r>
      <w:r w:rsidR="00AF0490" w:rsidRPr="00DB2987">
        <w:t xml:space="preserve">, </w:t>
      </w:r>
      <w:r w:rsidRPr="00DB2987">
        <w:t>es preciso que el Consejo de la UPOV compruebe que la legislación del futuro miembro es conforme con las disposiciones del Convenio de la UPOV.</w:t>
      </w:r>
      <w:r w:rsidR="00AE66A3" w:rsidRPr="00DB2987">
        <w:rPr>
          <w:lang w:val="es-ES"/>
        </w:rPr>
        <w:t xml:space="preserve"> </w:t>
      </w:r>
      <w:r w:rsidRPr="00DB2987">
        <w:t>Este procedimiento da lugar</w:t>
      </w:r>
      <w:r w:rsidR="00AF0490" w:rsidRPr="00DB2987">
        <w:t xml:space="preserve">, </w:t>
      </w:r>
      <w:r w:rsidRPr="00DB2987">
        <w:t>por sí mismo</w:t>
      </w:r>
      <w:r w:rsidR="00AF0490" w:rsidRPr="00DB2987">
        <w:t xml:space="preserve">, </w:t>
      </w:r>
      <w:r w:rsidRPr="00DB2987">
        <w:t>a un alto grado de armonía en esas leyes</w:t>
      </w:r>
      <w:r w:rsidR="00AF0490" w:rsidRPr="00DB2987">
        <w:t xml:space="preserve">, </w:t>
      </w:r>
      <w:r w:rsidRPr="00DB2987">
        <w:t>lo que facilita la cooperación entre los miembros en la aplicación del sistema.</w:t>
      </w:r>
    </w:p>
    <w:p w:rsidR="00AE66A3" w:rsidRPr="00DB2987" w:rsidRDefault="00AE66A3" w:rsidP="00AE66A3">
      <w:pPr>
        <w:keepNext/>
        <w:rPr>
          <w:i/>
          <w:lang w:val="es-ES"/>
        </w:rPr>
      </w:pPr>
    </w:p>
    <w:p w:rsidR="00AE66A3" w:rsidRPr="00DB2987" w:rsidRDefault="00F92299" w:rsidP="00670CCB">
      <w:pPr>
        <w:keepNext/>
        <w:rPr>
          <w:i/>
          <w:lang w:val="es-ES"/>
        </w:rPr>
      </w:pPr>
      <w:r w:rsidRPr="00DB2987">
        <w:rPr>
          <w:i/>
        </w:rPr>
        <w:t>¿Permite la </w:t>
      </w:r>
      <w:r w:rsidR="00E70DDC" w:rsidRPr="00DB2987">
        <w:rPr>
          <w:i/>
        </w:rPr>
        <w:t>UPOV el uso de datos bioquím</w:t>
      </w:r>
      <w:r w:rsidRPr="00DB2987">
        <w:rPr>
          <w:i/>
        </w:rPr>
        <w:t>icos o moleculares en el examen </w:t>
      </w:r>
      <w:r w:rsidR="00E70DDC" w:rsidRPr="00DB2987">
        <w:rPr>
          <w:i/>
        </w:rPr>
        <w:t>DHE?</w:t>
      </w:r>
    </w:p>
    <w:p w:rsidR="00AE66A3" w:rsidRPr="00DB2987" w:rsidRDefault="00AE66A3" w:rsidP="00AE66A3">
      <w:pPr>
        <w:keepNext/>
        <w:rPr>
          <w:lang w:val="es-ES"/>
        </w:rPr>
      </w:pPr>
    </w:p>
    <w:p w:rsidR="007B41F1" w:rsidRPr="00DB2987" w:rsidRDefault="007B41F1" w:rsidP="007B41F1">
      <w:pPr>
        <w:keepNext/>
        <w:rPr>
          <w:lang w:val="es-ES"/>
        </w:rPr>
      </w:pPr>
      <w:r w:rsidRPr="00DB2987">
        <w:t>Es importante señalar que</w:t>
      </w:r>
      <w:r w:rsidR="00AF0490" w:rsidRPr="00DB2987">
        <w:t xml:space="preserve">, </w:t>
      </w:r>
      <w:r w:rsidRPr="00DB2987">
        <w:t>en algunos casos</w:t>
      </w:r>
      <w:r w:rsidR="00AF0490" w:rsidRPr="00DB2987">
        <w:t xml:space="preserve">, </w:t>
      </w:r>
      <w:r w:rsidRPr="00DB2987">
        <w:t>variedades con un perfil de ADN diferente pueden ser fenotípicamente idénticas; mientras que</w:t>
      </w:r>
      <w:r w:rsidR="00AF0490" w:rsidRPr="00DB2987">
        <w:t xml:space="preserve">, </w:t>
      </w:r>
      <w:r w:rsidRPr="00DB2987">
        <w:t>en otros casos</w:t>
      </w:r>
      <w:r w:rsidR="00AF0490" w:rsidRPr="00DB2987">
        <w:t xml:space="preserve">, </w:t>
      </w:r>
      <w:r w:rsidRPr="00DB2987">
        <w:t>variedades que presentan una gran diferencia fenotípica pueden tener el mismo perfil de ADN para un conjunto concreto de marcadores moleculares (p. ej.</w:t>
      </w:r>
      <w:r w:rsidR="00AF0490" w:rsidRPr="00DB2987">
        <w:t xml:space="preserve">, </w:t>
      </w:r>
      <w:r w:rsidRPr="00DB2987">
        <w:t>ciertas mutaciones).</w:t>
      </w:r>
    </w:p>
    <w:p w:rsidR="007B41F1" w:rsidRPr="00DB2987" w:rsidRDefault="007B41F1" w:rsidP="007B41F1">
      <w:pPr>
        <w:rPr>
          <w:lang w:val="es-ES"/>
        </w:rPr>
      </w:pPr>
    </w:p>
    <w:p w:rsidR="00AE66A3" w:rsidRPr="00DB2987" w:rsidRDefault="007B41F1" w:rsidP="007B41F1">
      <w:pPr>
        <w:rPr>
          <w:lang w:val="es-ES"/>
        </w:rPr>
      </w:pPr>
      <w:r w:rsidRPr="00DB2987">
        <w:t>En relación con el uso de marcadores moleculares que no están ligados a diferencias fenotípicas</w:t>
      </w:r>
      <w:r w:rsidR="00AF0490" w:rsidRPr="00DB2987">
        <w:t xml:space="preserve">, </w:t>
      </w:r>
      <w:r w:rsidRPr="00DB2987">
        <w:t>se ha expresado la preocupación por el posible uso de un número ilimitado de marcadores para encontrar diferencias entre variedades en el plano genético que no se reflejen en caracteres fenotípicos</w:t>
      </w:r>
      <w:r w:rsidR="00AE66A3" w:rsidRPr="00DB2987">
        <w:rPr>
          <w:lang w:val="es-ES"/>
        </w:rPr>
        <w:t>.</w:t>
      </w:r>
    </w:p>
    <w:p w:rsidR="00AE66A3" w:rsidRPr="00DB2987" w:rsidRDefault="00AE66A3" w:rsidP="00AE66A3">
      <w:pPr>
        <w:rPr>
          <w:lang w:val="es-ES"/>
        </w:rPr>
      </w:pPr>
    </w:p>
    <w:p w:rsidR="00AE66A3" w:rsidRPr="00DB2987" w:rsidRDefault="00E70DDC" w:rsidP="00670CCB">
      <w:pPr>
        <w:rPr>
          <w:lang w:val="es-ES"/>
        </w:rPr>
      </w:pPr>
      <w:r w:rsidRPr="00DB2987">
        <w:t>Teniéndolo en cuenta</w:t>
      </w:r>
      <w:r w:rsidR="00AF0490" w:rsidRPr="00DB2987">
        <w:t xml:space="preserve">, </w:t>
      </w:r>
      <w:r w:rsidRPr="00DB2987">
        <w:t>la UPOV ha acordado los siguientes usos de los marcadores moleculares en el examen DHE:</w:t>
      </w:r>
    </w:p>
    <w:p w:rsidR="00AE66A3" w:rsidRPr="00DB2987" w:rsidRDefault="00AE66A3" w:rsidP="00AE66A3">
      <w:pPr>
        <w:rPr>
          <w:lang w:val="es-ES"/>
        </w:rPr>
      </w:pPr>
    </w:p>
    <w:p w:rsidR="007B41F1" w:rsidRPr="00DB2987" w:rsidRDefault="00AE66A3" w:rsidP="007B41F1">
      <w:pPr>
        <w:rPr>
          <w:lang w:val="es-ES"/>
        </w:rPr>
      </w:pPr>
      <w:r w:rsidRPr="00DB2987">
        <w:rPr>
          <w:lang w:val="es-ES"/>
        </w:rPr>
        <w:t>a)</w:t>
      </w:r>
      <w:r w:rsidR="006A665F" w:rsidRPr="00DB2987">
        <w:rPr>
          <w:lang w:val="es-ES"/>
        </w:rPr>
        <w:t xml:space="preserve"> </w:t>
      </w:r>
      <w:r w:rsidR="007B41F1" w:rsidRPr="00DB2987">
        <w:t>Los marcadores moleculares se pueden utilizar</w:t>
      </w:r>
      <w:r w:rsidR="00AF0490" w:rsidRPr="00DB2987">
        <w:t xml:space="preserve">, </w:t>
      </w:r>
      <w:r w:rsidR="007B41F1" w:rsidRPr="00DB2987">
        <w:t>a efectos del examen DHE</w:t>
      </w:r>
      <w:r w:rsidR="00AF0490" w:rsidRPr="00DB2987">
        <w:t xml:space="preserve">, </w:t>
      </w:r>
      <w:r w:rsidR="007B41F1" w:rsidRPr="00DB2987">
        <w:t>como método de examen de los caracteres que cumplen los criterios que figuran en la Introducción General si se comprueba la fiabilidad de la vinculación entre el marcador y el carácter.</w:t>
      </w:r>
    </w:p>
    <w:p w:rsidR="007B41F1" w:rsidRPr="00DB2987" w:rsidRDefault="007B41F1" w:rsidP="007B41F1">
      <w:pPr>
        <w:rPr>
          <w:lang w:val="es-ES"/>
        </w:rPr>
      </w:pPr>
    </w:p>
    <w:p w:rsidR="007B41F1" w:rsidRPr="00DB2987" w:rsidRDefault="007B41F1" w:rsidP="007B41F1">
      <w:pPr>
        <w:rPr>
          <w:lang w:val="es-ES"/>
        </w:rPr>
      </w:pPr>
      <w:r w:rsidRPr="00DB2987">
        <w:t>b) Puede utilizarse una combinación de diferencias fenotípicas y distancias moleculares para mejorar la selección de variedades que han de compararse en el ensayo en cultivo si las distancias moleculares están suficientemente relacionadas con las diferencias fenotípicas y el método no aumenta el riesgo de no seleccionar una variedad de la colección de variedades que sea necesario comparar con las variedades candidatas en el ensayo DHE en cultivo.</w:t>
      </w:r>
    </w:p>
    <w:p w:rsidR="007B41F1" w:rsidRPr="00DB2987" w:rsidRDefault="007B41F1" w:rsidP="007B41F1">
      <w:pPr>
        <w:rPr>
          <w:lang w:val="es-ES"/>
        </w:rPr>
      </w:pPr>
    </w:p>
    <w:p w:rsidR="00AE66A3" w:rsidRPr="00DB2987" w:rsidRDefault="007B41F1" w:rsidP="007B41F1">
      <w:pPr>
        <w:rPr>
          <w:lang w:val="es-ES"/>
        </w:rPr>
      </w:pPr>
      <w:r w:rsidRPr="00DB2987">
        <w:t>La situación en la UPOV se explica en los documentos TGP/15 “Orientación sobre el uso de marcadores bioquímicos y moleculares en el examen de la distinción</w:t>
      </w:r>
      <w:r w:rsidR="00AF0490" w:rsidRPr="00DB2987">
        <w:t xml:space="preserve">, </w:t>
      </w:r>
      <w:r w:rsidRPr="00DB2987">
        <w:t>la homogeneidad y la estabilidad (DHE)” y UPOV/INF/18 “Posibilidad de utilizar marcadores moleculares en el examen de la distinción</w:t>
      </w:r>
      <w:r w:rsidR="00AF0490" w:rsidRPr="00DB2987">
        <w:t xml:space="preserve">, </w:t>
      </w:r>
      <w:r w:rsidRPr="00DB2987">
        <w:t>homogeneidad y estabilidad (DUS)”.</w:t>
      </w:r>
    </w:p>
    <w:p w:rsidR="00AE66A3" w:rsidRPr="00DB2987" w:rsidRDefault="00AE66A3" w:rsidP="00AE66A3">
      <w:pPr>
        <w:rPr>
          <w:lang w:val="es-ES"/>
        </w:rPr>
      </w:pPr>
    </w:p>
    <w:p w:rsidR="00AE66A3" w:rsidRPr="00DB2987" w:rsidRDefault="00801E9E" w:rsidP="00F92299">
      <w:pPr>
        <w:rPr>
          <w:lang w:val="es-ES"/>
        </w:rPr>
      </w:pPr>
      <w:hyperlink r:id="rId16" w:anchor="QB80" w:history="1">
        <w:r w:rsidR="00E70DDC" w:rsidRPr="00D661B6">
          <w:rPr>
            <w:color w:val="0000FF"/>
            <w:u w:val="single"/>
            <w:lang w:val="en-GB"/>
          </w:rPr>
          <w:t>https://www.upov.int/about/es/faq.html#QB80</w:t>
        </w:r>
      </w:hyperlink>
    </w:p>
    <w:p w:rsidR="00AE66A3" w:rsidRPr="00DB2987" w:rsidRDefault="00AE66A3" w:rsidP="00AE66A3">
      <w:pPr>
        <w:rPr>
          <w:lang w:val="es-ES"/>
        </w:rPr>
      </w:pPr>
    </w:p>
    <w:p w:rsidR="00AE66A3" w:rsidRPr="00DB2987" w:rsidRDefault="00AE66A3" w:rsidP="00AE66A3">
      <w:pPr>
        <w:rPr>
          <w:lang w:val="es-ES"/>
        </w:rPr>
      </w:pPr>
    </w:p>
    <w:p w:rsidR="00AE66A3" w:rsidRPr="00DB2987" w:rsidRDefault="007B41F1" w:rsidP="00AE66A3">
      <w:pPr>
        <w:rPr>
          <w:bCs/>
          <w:u w:val="single"/>
          <w:lang w:val="es-ES"/>
        </w:rPr>
      </w:pPr>
      <w:r w:rsidRPr="00DB2987">
        <w:rPr>
          <w:bCs/>
          <w:u w:val="single"/>
        </w:rPr>
        <w:t>Asociación Internacional para el Ensayo de Semillas (ISTA)</w:t>
      </w:r>
    </w:p>
    <w:p w:rsidR="00AE66A3" w:rsidRPr="00DB2987" w:rsidRDefault="00AE66A3" w:rsidP="00AE66A3">
      <w:pPr>
        <w:rPr>
          <w:lang w:val="es-ES"/>
        </w:rPr>
      </w:pPr>
    </w:p>
    <w:p w:rsidR="00AE66A3" w:rsidRPr="00DB2987" w:rsidRDefault="003976F8" w:rsidP="00670CCB">
      <w:pPr>
        <w:rPr>
          <w:rFonts w:eastAsia="Calibri"/>
          <w:lang w:val="es-ES"/>
        </w:rPr>
      </w:pPr>
      <w:r w:rsidRPr="00DB2987">
        <w:rPr>
          <w:rFonts w:eastAsia="Calibri"/>
        </w:rPr>
        <w:t>LA ASPIRACIÓN DE LA ISTA:</w:t>
      </w:r>
      <w:r w:rsidR="00AE66A3" w:rsidRPr="00DB2987">
        <w:rPr>
          <w:rFonts w:eastAsia="Calibri"/>
          <w:lang w:val="es-ES"/>
        </w:rPr>
        <w:t xml:space="preserve"> </w:t>
      </w:r>
      <w:r w:rsidRPr="00DB2987">
        <w:rPr>
          <w:rFonts w:eastAsia="Calibri"/>
        </w:rPr>
        <w:t xml:space="preserve">LA UNIFORMIDAD EN </w:t>
      </w:r>
      <w:r w:rsidR="00F321F8" w:rsidRPr="00DB2987">
        <w:rPr>
          <w:rFonts w:eastAsia="Calibri"/>
        </w:rPr>
        <w:t xml:space="preserve">EL ENSAYO </w:t>
      </w:r>
      <w:r w:rsidRPr="00DB2987">
        <w:rPr>
          <w:rFonts w:eastAsia="Calibri"/>
        </w:rPr>
        <w:t>DE SEMILLAS</w:t>
      </w:r>
    </w:p>
    <w:p w:rsidR="00AE66A3" w:rsidRPr="00DB2987" w:rsidRDefault="00AE66A3" w:rsidP="00AE66A3">
      <w:pPr>
        <w:rPr>
          <w:rFonts w:eastAsia="Calibri"/>
          <w:lang w:val="es-ES"/>
        </w:rPr>
      </w:pPr>
    </w:p>
    <w:p w:rsidR="00AE66A3" w:rsidRPr="00DB2987" w:rsidRDefault="004470AA" w:rsidP="00670CCB">
      <w:pPr>
        <w:spacing w:after="160" w:line="260" w:lineRule="auto"/>
        <w:rPr>
          <w:rFonts w:eastAsia="Calibri" w:cs="Arial"/>
          <w:shd w:val="clear" w:color="auto" w:fill="FFFFFF"/>
          <w:lang w:val="es-ES"/>
        </w:rPr>
      </w:pPr>
      <w:r w:rsidRPr="00DB2987">
        <w:rPr>
          <w:rFonts w:eastAsia="Calibri" w:cs="Arial"/>
          <w:shd w:val="clear" w:color="auto" w:fill="FFFFFF"/>
        </w:rPr>
        <w:t>La ISTA</w:t>
      </w:r>
      <w:r w:rsidR="00F321F8" w:rsidRPr="00DB2987">
        <w:rPr>
          <w:rFonts w:eastAsia="Calibri" w:cs="Arial"/>
          <w:shd w:val="clear" w:color="auto" w:fill="FFFFFF"/>
        </w:rPr>
        <w:t xml:space="preserve"> está ligada indisolublemente a la historia del ensayo de semillas</w:t>
      </w:r>
      <w:r w:rsidR="00AF0490" w:rsidRPr="00DB2987">
        <w:rPr>
          <w:rFonts w:eastAsia="Calibri" w:cs="Arial"/>
          <w:shd w:val="clear" w:color="auto" w:fill="FFFFFF"/>
        </w:rPr>
        <w:t xml:space="preserve">, </w:t>
      </w:r>
      <w:r w:rsidR="00F321F8" w:rsidRPr="00DB2987">
        <w:rPr>
          <w:rFonts w:eastAsia="Calibri" w:cs="Arial"/>
          <w:shd w:val="clear" w:color="auto" w:fill="FFFFFF"/>
        </w:rPr>
        <w:t xml:space="preserve">ya que </w:t>
      </w:r>
      <w:r w:rsidR="00A519BD" w:rsidRPr="00DB2987">
        <w:rPr>
          <w:rFonts w:eastAsia="Calibri" w:cs="Arial"/>
          <w:shd w:val="clear" w:color="auto" w:fill="FFFFFF"/>
        </w:rPr>
        <w:t xml:space="preserve">se </w:t>
      </w:r>
      <w:r w:rsidRPr="00DB2987">
        <w:rPr>
          <w:rFonts w:eastAsia="Calibri" w:cs="Arial"/>
          <w:shd w:val="clear" w:color="auto" w:fill="FFFFFF"/>
        </w:rPr>
        <w:t>fund</w:t>
      </w:r>
      <w:r w:rsidR="00A519BD" w:rsidRPr="00DB2987">
        <w:rPr>
          <w:rFonts w:eastAsia="Calibri" w:cs="Arial"/>
          <w:shd w:val="clear" w:color="auto" w:fill="FFFFFF"/>
        </w:rPr>
        <w:t>ó</w:t>
      </w:r>
      <w:r w:rsidRPr="00DB2987">
        <w:rPr>
          <w:rFonts w:eastAsia="Calibri" w:cs="Arial"/>
          <w:shd w:val="clear" w:color="auto" w:fill="FFFFFF"/>
        </w:rPr>
        <w:t xml:space="preserve"> en</w:t>
      </w:r>
      <w:r w:rsidR="00D94FB1" w:rsidRPr="00DB2987">
        <w:rPr>
          <w:rFonts w:eastAsia="Calibri" w:cs="Arial"/>
          <w:shd w:val="clear" w:color="auto" w:fill="FFFFFF"/>
        </w:rPr>
        <w:t> </w:t>
      </w:r>
      <w:r w:rsidRPr="00DB2987">
        <w:rPr>
          <w:rFonts w:eastAsia="Calibri" w:cs="Arial"/>
          <w:shd w:val="clear" w:color="auto" w:fill="FFFFFF"/>
        </w:rPr>
        <w:t xml:space="preserve">1924 con el objetivo de </w:t>
      </w:r>
      <w:r w:rsidR="00F40EC4" w:rsidRPr="00DB2987">
        <w:rPr>
          <w:rFonts w:eastAsia="Calibri" w:cs="Arial"/>
          <w:shd w:val="clear" w:color="auto" w:fill="FFFFFF"/>
        </w:rPr>
        <w:t>desarrollar</w:t>
      </w:r>
      <w:r w:rsidRPr="00DB2987">
        <w:rPr>
          <w:rFonts w:eastAsia="Calibri" w:cs="Arial"/>
          <w:shd w:val="clear" w:color="auto" w:fill="FFFFFF"/>
        </w:rPr>
        <w:t xml:space="preserve"> y publicar procedimientos </w:t>
      </w:r>
      <w:r w:rsidR="00F321F8" w:rsidRPr="00DB2987">
        <w:rPr>
          <w:rFonts w:eastAsia="Calibri" w:cs="Arial"/>
          <w:shd w:val="clear" w:color="auto" w:fill="FFFFFF"/>
        </w:rPr>
        <w:t>normalizados</w:t>
      </w:r>
      <w:r w:rsidRPr="00DB2987">
        <w:rPr>
          <w:rFonts w:eastAsia="Calibri" w:cs="Arial"/>
          <w:shd w:val="clear" w:color="auto" w:fill="FFFFFF"/>
        </w:rPr>
        <w:t xml:space="preserve"> </w:t>
      </w:r>
      <w:r w:rsidR="00D94FB1" w:rsidRPr="00DB2987">
        <w:rPr>
          <w:rFonts w:eastAsia="Calibri" w:cs="Arial"/>
          <w:shd w:val="clear" w:color="auto" w:fill="FFFFFF"/>
        </w:rPr>
        <w:t>para tal fin</w:t>
      </w:r>
      <w:r w:rsidRPr="00DB2987">
        <w:rPr>
          <w:rFonts w:eastAsia="Calibri" w:cs="Arial"/>
          <w:shd w:val="clear" w:color="auto" w:fill="FFFFFF"/>
        </w:rPr>
        <w:t>.</w:t>
      </w:r>
      <w:r w:rsidR="00AE66A3" w:rsidRPr="00DB2987">
        <w:rPr>
          <w:rFonts w:eastAsia="Calibri" w:cs="Arial"/>
          <w:shd w:val="clear" w:color="auto" w:fill="FFFFFF"/>
          <w:lang w:val="es-ES"/>
        </w:rPr>
        <w:t xml:space="preserve"> </w:t>
      </w:r>
      <w:r w:rsidR="00D94FB1" w:rsidRPr="00DB2987">
        <w:rPr>
          <w:rFonts w:eastAsia="Calibri" w:cs="Arial"/>
          <w:shd w:val="clear" w:color="auto" w:fill="FFFFFF"/>
        </w:rPr>
        <w:t>Los miembros de la ISTA conforman una red de ámbito internacional</w:t>
      </w:r>
      <w:r w:rsidR="00AF0490" w:rsidRPr="00DB2987">
        <w:rPr>
          <w:rFonts w:eastAsia="Calibri" w:cs="Arial"/>
          <w:shd w:val="clear" w:color="auto" w:fill="FFFFFF"/>
        </w:rPr>
        <w:t xml:space="preserve">, </w:t>
      </w:r>
      <w:r w:rsidR="00D94FB1" w:rsidRPr="00DB2987">
        <w:rPr>
          <w:rFonts w:eastAsia="Calibri" w:cs="Arial"/>
          <w:shd w:val="clear" w:color="auto" w:fill="FFFFFF"/>
        </w:rPr>
        <w:t xml:space="preserve">ya que cuenta con laboratorios adheridos </w:t>
      </w:r>
      <w:r w:rsidR="004C52C8" w:rsidRPr="00DB2987">
        <w:rPr>
          <w:rFonts w:eastAsia="Calibri" w:cs="Arial"/>
          <w:shd w:val="clear" w:color="auto" w:fill="FFFFFF"/>
        </w:rPr>
        <w:t>en más de </w:t>
      </w:r>
      <w:r w:rsidR="00D94FB1" w:rsidRPr="00DB2987">
        <w:rPr>
          <w:rFonts w:eastAsia="Calibri" w:cs="Arial"/>
          <w:shd w:val="clear" w:color="auto" w:fill="FFFFFF"/>
        </w:rPr>
        <w:t xml:space="preserve">80 países </w:t>
      </w:r>
      <w:r w:rsidR="004C52C8" w:rsidRPr="00DB2987">
        <w:rPr>
          <w:rFonts w:eastAsia="Calibri" w:cs="Arial"/>
          <w:shd w:val="clear" w:color="auto" w:fill="FFFFFF"/>
        </w:rPr>
        <w:t>o</w:t>
      </w:r>
      <w:r w:rsidR="00D94FB1" w:rsidRPr="00DB2987">
        <w:rPr>
          <w:rFonts w:eastAsia="Calibri" w:cs="Arial"/>
          <w:shd w:val="clear" w:color="auto" w:fill="FFFFFF"/>
        </w:rPr>
        <w:t xml:space="preserve"> economías </w:t>
      </w:r>
      <w:r w:rsidR="004C52C8" w:rsidRPr="00DB2987">
        <w:rPr>
          <w:rFonts w:eastAsia="Calibri" w:cs="Arial"/>
          <w:shd w:val="clear" w:color="auto" w:fill="FFFFFF"/>
        </w:rPr>
        <w:t xml:space="preserve">distintivas </w:t>
      </w:r>
      <w:r w:rsidR="00D94FB1" w:rsidRPr="00DB2987">
        <w:rPr>
          <w:rFonts w:eastAsia="Calibri" w:cs="Arial"/>
          <w:shd w:val="clear" w:color="auto" w:fill="FFFFFF"/>
        </w:rPr>
        <w:t>de todo el mundo.</w:t>
      </w:r>
    </w:p>
    <w:p w:rsidR="00AE66A3" w:rsidRPr="00DB2987" w:rsidRDefault="00A519BD" w:rsidP="00670CCB">
      <w:pPr>
        <w:spacing w:after="160" w:line="260" w:lineRule="auto"/>
        <w:rPr>
          <w:rFonts w:eastAsia="Calibri" w:cs="Arial"/>
          <w:shd w:val="clear" w:color="auto" w:fill="FFFFFF"/>
          <w:lang w:val="es-ES"/>
        </w:rPr>
      </w:pPr>
      <w:r w:rsidRPr="00DB2987">
        <w:rPr>
          <w:rFonts w:eastAsia="Calibri" w:cs="Arial"/>
          <w:shd w:val="clear" w:color="auto" w:fill="FFFFFF"/>
        </w:rPr>
        <w:t>La</w:t>
      </w:r>
      <w:r w:rsidR="00F92299" w:rsidRPr="00DB2987">
        <w:rPr>
          <w:rFonts w:eastAsia="Calibri" w:cs="Arial"/>
          <w:shd w:val="clear" w:color="auto" w:fill="FFFFFF"/>
        </w:rPr>
        <w:t> </w:t>
      </w:r>
      <w:r w:rsidRPr="00DB2987">
        <w:rPr>
          <w:rFonts w:eastAsia="Calibri" w:cs="Arial"/>
          <w:shd w:val="clear" w:color="auto" w:fill="FFFFFF"/>
        </w:rPr>
        <w:t xml:space="preserve">ISTA elabora normas acordadas </w:t>
      </w:r>
      <w:r w:rsidR="00AD0B3B" w:rsidRPr="00DB2987">
        <w:rPr>
          <w:rFonts w:eastAsia="Calibri" w:cs="Arial"/>
          <w:shd w:val="clear" w:color="auto" w:fill="FFFFFF"/>
        </w:rPr>
        <w:t>a escala internacional</w:t>
      </w:r>
      <w:r w:rsidRPr="00DB2987">
        <w:rPr>
          <w:rFonts w:eastAsia="Calibri" w:cs="Arial"/>
          <w:shd w:val="clear" w:color="auto" w:fill="FFFFFF"/>
        </w:rPr>
        <w:t xml:space="preserve"> para el muestreo y </w:t>
      </w:r>
      <w:r w:rsidR="00335B9D" w:rsidRPr="00DB2987">
        <w:rPr>
          <w:rFonts w:eastAsia="Calibri" w:cs="Arial"/>
          <w:shd w:val="clear" w:color="auto" w:fill="FFFFFF"/>
        </w:rPr>
        <w:t>ensayo</w:t>
      </w:r>
      <w:r w:rsidRPr="00DB2987">
        <w:rPr>
          <w:rFonts w:eastAsia="Calibri" w:cs="Arial"/>
          <w:shd w:val="clear" w:color="auto" w:fill="FFFFFF"/>
        </w:rPr>
        <w:t xml:space="preserve"> de semillas</w:t>
      </w:r>
      <w:r w:rsidR="00AF0490" w:rsidRPr="00DB2987">
        <w:rPr>
          <w:rFonts w:eastAsia="Calibri" w:cs="Arial"/>
          <w:shd w:val="clear" w:color="auto" w:fill="FFFFFF"/>
        </w:rPr>
        <w:t xml:space="preserve">, </w:t>
      </w:r>
      <w:r w:rsidRPr="00DB2987">
        <w:rPr>
          <w:rFonts w:eastAsia="Calibri" w:cs="Arial"/>
          <w:shd w:val="clear" w:color="auto" w:fill="FFFFFF"/>
        </w:rPr>
        <w:t>acredita laboratorios</w:t>
      </w:r>
      <w:r w:rsidR="00AF0490" w:rsidRPr="00DB2987">
        <w:rPr>
          <w:rFonts w:eastAsia="Calibri" w:cs="Arial"/>
          <w:shd w:val="clear" w:color="auto" w:fill="FFFFFF"/>
        </w:rPr>
        <w:t xml:space="preserve">, </w:t>
      </w:r>
      <w:r w:rsidRPr="00DB2987">
        <w:rPr>
          <w:rFonts w:eastAsia="Calibri" w:cs="Arial"/>
          <w:shd w:val="clear" w:color="auto" w:fill="FFFFFF"/>
        </w:rPr>
        <w:t>promueve la investigación</w:t>
      </w:r>
      <w:r w:rsidR="00AF0490" w:rsidRPr="00DB2987">
        <w:rPr>
          <w:rFonts w:eastAsia="Calibri" w:cs="Arial"/>
          <w:shd w:val="clear" w:color="auto" w:fill="FFFFFF"/>
        </w:rPr>
        <w:t xml:space="preserve">, </w:t>
      </w:r>
      <w:r w:rsidRPr="00DB2987">
        <w:rPr>
          <w:rFonts w:eastAsia="Calibri" w:cs="Arial"/>
          <w:shd w:val="clear" w:color="auto" w:fill="FFFFFF"/>
        </w:rPr>
        <w:t>proporciona certificados internacionales de análisis de semillas y formación</w:t>
      </w:r>
      <w:r w:rsidR="00335B9D" w:rsidRPr="00DB2987">
        <w:rPr>
          <w:rFonts w:eastAsia="Calibri" w:cs="Arial"/>
          <w:shd w:val="clear" w:color="auto" w:fill="FFFFFF"/>
        </w:rPr>
        <w:t xml:space="preserve"> en ese campo</w:t>
      </w:r>
      <w:r w:rsidR="00AF0490" w:rsidRPr="00DB2987">
        <w:rPr>
          <w:rFonts w:eastAsia="Calibri" w:cs="Arial"/>
          <w:shd w:val="clear" w:color="auto" w:fill="FFFFFF"/>
        </w:rPr>
        <w:t xml:space="preserve">, </w:t>
      </w:r>
      <w:r w:rsidRPr="00DB2987">
        <w:rPr>
          <w:rFonts w:eastAsia="Calibri" w:cs="Arial"/>
          <w:shd w:val="clear" w:color="auto" w:fill="FFFFFF"/>
        </w:rPr>
        <w:t xml:space="preserve">y difunde </w:t>
      </w:r>
      <w:r w:rsidR="00AD0B3B" w:rsidRPr="00DB2987">
        <w:rPr>
          <w:rFonts w:eastAsia="Calibri" w:cs="Arial"/>
          <w:shd w:val="clear" w:color="auto" w:fill="FFFFFF"/>
        </w:rPr>
        <w:t>información sobre</w:t>
      </w:r>
      <w:r w:rsidRPr="00DB2987">
        <w:rPr>
          <w:rFonts w:eastAsia="Calibri" w:cs="Arial"/>
          <w:shd w:val="clear" w:color="auto" w:fill="FFFFFF"/>
        </w:rPr>
        <w:t xml:space="preserve"> ciencia y tecnología de las semillas en nombre </w:t>
      </w:r>
      <w:r w:rsidR="00AD0B3B" w:rsidRPr="00DB2987">
        <w:rPr>
          <w:rFonts w:eastAsia="Calibri" w:cs="Arial"/>
          <w:shd w:val="clear" w:color="auto" w:fill="FFFFFF"/>
        </w:rPr>
        <w:t xml:space="preserve">de sus miembros y bajo la dirección </w:t>
      </w:r>
      <w:r w:rsidRPr="00DB2987">
        <w:rPr>
          <w:rFonts w:eastAsia="Calibri" w:cs="Arial"/>
          <w:shd w:val="clear" w:color="auto" w:fill="FFFFFF"/>
        </w:rPr>
        <w:t xml:space="preserve">de </w:t>
      </w:r>
      <w:r w:rsidR="00AD0B3B" w:rsidRPr="00DB2987">
        <w:rPr>
          <w:rFonts w:eastAsia="Calibri" w:cs="Arial"/>
          <w:shd w:val="clear" w:color="auto" w:fill="FFFFFF"/>
        </w:rPr>
        <w:t>los</w:t>
      </w:r>
      <w:r w:rsidRPr="00DB2987">
        <w:rPr>
          <w:rFonts w:eastAsia="Calibri" w:cs="Arial"/>
          <w:shd w:val="clear" w:color="auto" w:fill="FFFFFF"/>
        </w:rPr>
        <w:t xml:space="preserve"> </w:t>
      </w:r>
      <w:r w:rsidR="00AD0B3B" w:rsidRPr="00DB2987">
        <w:rPr>
          <w:rFonts w:eastAsia="Calibri" w:cs="Arial"/>
          <w:shd w:val="clear" w:color="auto" w:fill="FFFFFF"/>
        </w:rPr>
        <w:t>países y economías distintivas que integran la asociación</w:t>
      </w:r>
      <w:r w:rsidR="004C52C8" w:rsidRPr="00DB2987">
        <w:rPr>
          <w:rFonts w:eastAsia="Calibri" w:cs="Arial"/>
          <w:shd w:val="clear" w:color="auto" w:fill="FFFFFF"/>
        </w:rPr>
        <w:t>.</w:t>
      </w:r>
      <w:r w:rsidR="00AE66A3" w:rsidRPr="00DB2987">
        <w:rPr>
          <w:rFonts w:eastAsia="Calibri" w:cs="Arial"/>
          <w:shd w:val="clear" w:color="auto" w:fill="FFFFFF"/>
          <w:lang w:val="es-ES"/>
        </w:rPr>
        <w:t xml:space="preserve"> </w:t>
      </w:r>
      <w:r w:rsidR="00F92299" w:rsidRPr="00DB2987">
        <w:rPr>
          <w:rFonts w:eastAsia="Calibri" w:cs="Arial"/>
          <w:shd w:val="clear" w:color="auto" w:fill="FFFFFF"/>
        </w:rPr>
        <w:t>De ese modo</w:t>
      </w:r>
      <w:r w:rsidR="00AF0490" w:rsidRPr="00DB2987">
        <w:rPr>
          <w:rFonts w:eastAsia="Calibri" w:cs="Arial"/>
          <w:shd w:val="clear" w:color="auto" w:fill="FFFFFF"/>
        </w:rPr>
        <w:t xml:space="preserve">, </w:t>
      </w:r>
      <w:r w:rsidR="00730324" w:rsidRPr="00DB2987">
        <w:rPr>
          <w:rFonts w:eastAsia="Calibri" w:cs="Arial"/>
          <w:shd w:val="clear" w:color="auto" w:fill="FFFFFF"/>
        </w:rPr>
        <w:t>la ISTA facilita el comercio nacional e internacional de semillas y contribuye a la seguridad alimentaria.</w:t>
      </w:r>
    </w:p>
    <w:p w:rsidR="00AE66A3" w:rsidRPr="00DB2987" w:rsidRDefault="00730324" w:rsidP="00670CCB">
      <w:pPr>
        <w:spacing w:after="160" w:line="260" w:lineRule="auto"/>
        <w:jc w:val="left"/>
        <w:rPr>
          <w:rFonts w:eastAsia="Calibri" w:cs="Arial"/>
          <w:bCs/>
          <w:lang w:val="es-ES"/>
        </w:rPr>
      </w:pPr>
      <w:r w:rsidRPr="00DB2987">
        <w:rPr>
          <w:rFonts w:eastAsia="Calibri" w:cs="Arial"/>
          <w:bCs/>
        </w:rPr>
        <w:t>MIEMBROS DE LA ISTA (2019)</w:t>
      </w:r>
    </w:p>
    <w:p w:rsidR="00AE66A3" w:rsidRPr="00DB2987" w:rsidRDefault="00730324" w:rsidP="00670CCB">
      <w:pPr>
        <w:spacing w:after="160" w:line="260" w:lineRule="auto"/>
        <w:rPr>
          <w:rFonts w:eastAsia="Calibri" w:cs="Arial"/>
          <w:lang w:val="es-ES"/>
        </w:rPr>
      </w:pPr>
      <w:r w:rsidRPr="00DB2987">
        <w:rPr>
          <w:rFonts w:eastAsia="Calibri" w:cs="Arial"/>
        </w:rPr>
        <w:t>Los miembros de la ISTA conforman una red de ámbito internacional</w:t>
      </w:r>
      <w:r w:rsidR="00AF0490" w:rsidRPr="00DB2987">
        <w:rPr>
          <w:rFonts w:eastAsia="Calibri" w:cs="Arial"/>
        </w:rPr>
        <w:t xml:space="preserve">, </w:t>
      </w:r>
      <w:r w:rsidRPr="00DB2987">
        <w:rPr>
          <w:rFonts w:eastAsia="Calibri" w:cs="Arial"/>
        </w:rPr>
        <w:t>ya que cuent</w:t>
      </w:r>
      <w:r w:rsidR="00181541" w:rsidRPr="00DB2987">
        <w:rPr>
          <w:rFonts w:eastAsia="Calibri" w:cs="Arial"/>
        </w:rPr>
        <w:t>a con laboratorios adheridos en </w:t>
      </w:r>
      <w:r w:rsidRPr="00DB2987">
        <w:rPr>
          <w:rFonts w:eastAsia="Calibri" w:cs="Arial"/>
        </w:rPr>
        <w:t>82 países o economías distintivas de todo el mundo.</w:t>
      </w:r>
      <w:r w:rsidR="00AE66A3" w:rsidRPr="00DB2987">
        <w:rPr>
          <w:rFonts w:eastAsia="Calibri" w:cs="Arial"/>
          <w:lang w:val="es-ES"/>
        </w:rPr>
        <w:t xml:space="preserve"> </w:t>
      </w:r>
      <w:r w:rsidR="00181541" w:rsidRPr="00DB2987">
        <w:rPr>
          <w:rFonts w:eastAsia="Calibri" w:cs="Arial"/>
        </w:rPr>
        <w:t>En la actualidad</w:t>
      </w:r>
      <w:r w:rsidR="00AF0490" w:rsidRPr="00DB2987">
        <w:rPr>
          <w:rFonts w:eastAsia="Calibri" w:cs="Arial"/>
        </w:rPr>
        <w:t xml:space="preserve">, </w:t>
      </w:r>
      <w:r w:rsidR="00181541" w:rsidRPr="00DB2987">
        <w:rPr>
          <w:rFonts w:eastAsia="Calibri" w:cs="Arial"/>
        </w:rPr>
        <w:t>integran la ISTA los siguientes miembros:</w:t>
      </w:r>
    </w:p>
    <w:p w:rsidR="00AE66A3" w:rsidRPr="00DB2987" w:rsidRDefault="00AE66A3" w:rsidP="00AE66A3">
      <w:pPr>
        <w:autoSpaceDE w:val="0"/>
        <w:autoSpaceDN w:val="0"/>
        <w:adjustRightInd w:val="0"/>
        <w:jc w:val="left"/>
        <w:rPr>
          <w:rFonts w:eastAsia="Calibri" w:cs="Arial"/>
          <w:strike/>
          <w:lang w:val="es-ES"/>
        </w:rPr>
      </w:pPr>
    </w:p>
    <w:p w:rsidR="00AE66A3" w:rsidRPr="00DB2987" w:rsidRDefault="00181541" w:rsidP="00670CCB">
      <w:pPr>
        <w:numPr>
          <w:ilvl w:val="0"/>
          <w:numId w:val="8"/>
        </w:numPr>
        <w:autoSpaceDE w:val="0"/>
        <w:autoSpaceDN w:val="0"/>
        <w:adjustRightInd w:val="0"/>
        <w:spacing w:after="280" w:line="260" w:lineRule="auto"/>
        <w:jc w:val="left"/>
        <w:rPr>
          <w:rFonts w:eastAsia="Calibri" w:cs="Arial"/>
          <w:lang w:val="es-ES"/>
        </w:rPr>
      </w:pPr>
      <w:r w:rsidRPr="00DB2987">
        <w:rPr>
          <w:rFonts w:eastAsia="Calibri" w:cs="Arial"/>
        </w:rPr>
        <w:t>235 laboratorios adheridos</w:t>
      </w:r>
      <w:r w:rsidR="00AF0490" w:rsidRPr="00DB2987">
        <w:rPr>
          <w:rFonts w:eastAsia="Calibri" w:cs="Arial"/>
        </w:rPr>
        <w:t xml:space="preserve">, </w:t>
      </w:r>
      <w:r w:rsidRPr="00DB2987">
        <w:rPr>
          <w:rFonts w:eastAsia="Calibri" w:cs="Arial"/>
        </w:rPr>
        <w:t>de los que</w:t>
      </w:r>
      <w:r w:rsidR="00AF0490" w:rsidRPr="00DB2987">
        <w:rPr>
          <w:rFonts w:eastAsia="Calibri" w:cs="Arial"/>
        </w:rPr>
        <w:t> 1</w:t>
      </w:r>
      <w:r w:rsidRPr="00DB2987">
        <w:rPr>
          <w:rFonts w:eastAsia="Calibri" w:cs="Arial"/>
        </w:rPr>
        <w:t>36 están acreditados por la</w:t>
      </w:r>
      <w:r w:rsidR="003F1128" w:rsidRPr="00DB2987">
        <w:rPr>
          <w:rFonts w:eastAsia="Calibri" w:cs="Arial"/>
        </w:rPr>
        <w:t> </w:t>
      </w:r>
      <w:r w:rsidRPr="00DB2987">
        <w:rPr>
          <w:rFonts w:eastAsia="Calibri" w:cs="Arial"/>
        </w:rPr>
        <w:t>ISTA;</w:t>
      </w:r>
      <w:r w:rsidR="00AE66A3" w:rsidRPr="00DB2987">
        <w:rPr>
          <w:rFonts w:eastAsia="Calibri" w:cs="Arial"/>
          <w:lang w:val="es-ES"/>
        </w:rPr>
        <w:t xml:space="preserve"> </w:t>
      </w:r>
    </w:p>
    <w:p w:rsidR="00AE66A3" w:rsidRPr="00DB2987" w:rsidRDefault="00181541" w:rsidP="00670CCB">
      <w:pPr>
        <w:numPr>
          <w:ilvl w:val="0"/>
          <w:numId w:val="8"/>
        </w:numPr>
        <w:autoSpaceDE w:val="0"/>
        <w:autoSpaceDN w:val="0"/>
        <w:adjustRightInd w:val="0"/>
        <w:spacing w:after="280" w:line="260" w:lineRule="auto"/>
        <w:jc w:val="left"/>
        <w:rPr>
          <w:rFonts w:eastAsia="Calibri" w:cs="Arial"/>
          <w:lang w:val="es-ES"/>
        </w:rPr>
      </w:pPr>
      <w:r w:rsidRPr="00DB2987">
        <w:rPr>
          <w:rFonts w:eastAsia="Calibri" w:cs="Arial"/>
        </w:rPr>
        <w:t>63 miembros asociados;</w:t>
      </w:r>
    </w:p>
    <w:p w:rsidR="00AE66A3" w:rsidRPr="00DB2987" w:rsidRDefault="00181541" w:rsidP="00670CCB">
      <w:pPr>
        <w:numPr>
          <w:ilvl w:val="0"/>
          <w:numId w:val="8"/>
        </w:numPr>
        <w:autoSpaceDE w:val="0"/>
        <w:autoSpaceDN w:val="0"/>
        <w:adjustRightInd w:val="0"/>
        <w:spacing w:after="280" w:line="260" w:lineRule="auto"/>
        <w:jc w:val="left"/>
        <w:rPr>
          <w:rFonts w:eastAsia="Calibri" w:cs="Arial"/>
          <w:lang w:val="es-ES"/>
        </w:rPr>
      </w:pPr>
      <w:r w:rsidRPr="00DB2987">
        <w:rPr>
          <w:rFonts w:eastAsia="Calibri" w:cs="Arial"/>
        </w:rPr>
        <w:t>39 miembros personales.</w:t>
      </w:r>
    </w:p>
    <w:p w:rsidR="00AE66A3" w:rsidRPr="00DB2987" w:rsidRDefault="00181541" w:rsidP="00670CCB">
      <w:pPr>
        <w:autoSpaceDE w:val="0"/>
        <w:autoSpaceDN w:val="0"/>
        <w:adjustRightInd w:val="0"/>
        <w:jc w:val="left"/>
        <w:rPr>
          <w:rFonts w:eastAsia="Calibri" w:cs="Arial"/>
          <w:bCs/>
          <w:lang w:val="es-ES"/>
        </w:rPr>
      </w:pPr>
      <w:r w:rsidRPr="00DB2987">
        <w:rPr>
          <w:rFonts w:eastAsia="Calibri" w:cs="Arial"/>
          <w:bCs/>
        </w:rPr>
        <w:t>LABOR TÉCNICA DE LA ISTA</w:t>
      </w:r>
    </w:p>
    <w:p w:rsidR="00AE66A3" w:rsidRPr="00DB2987" w:rsidRDefault="00AE66A3" w:rsidP="00AE66A3">
      <w:pPr>
        <w:autoSpaceDE w:val="0"/>
        <w:autoSpaceDN w:val="0"/>
        <w:adjustRightInd w:val="0"/>
        <w:jc w:val="left"/>
        <w:rPr>
          <w:rFonts w:eastAsia="Calibri" w:cs="Arial"/>
          <w:b/>
          <w:bCs/>
          <w:lang w:val="es-ES"/>
        </w:rPr>
      </w:pPr>
    </w:p>
    <w:p w:rsidR="00AE66A3" w:rsidRPr="00DB2987" w:rsidRDefault="004B0479" w:rsidP="00670CCB">
      <w:pPr>
        <w:autoSpaceDE w:val="0"/>
        <w:autoSpaceDN w:val="0"/>
        <w:adjustRightInd w:val="0"/>
        <w:rPr>
          <w:rFonts w:eastAsia="Calibri" w:cs="Arial"/>
          <w:lang w:val="es-ES"/>
        </w:rPr>
      </w:pPr>
      <w:r w:rsidRPr="00DB2987">
        <w:rPr>
          <w:rFonts w:eastAsia="Calibri" w:cs="Arial"/>
        </w:rPr>
        <w:t>El objetivo principal de los Comités Técnicos de la ISTA consiste en desarrollar</w:t>
      </w:r>
      <w:r w:rsidR="00AF0490" w:rsidRPr="00DB2987">
        <w:rPr>
          <w:rFonts w:eastAsia="Calibri" w:cs="Arial"/>
        </w:rPr>
        <w:t xml:space="preserve">, </w:t>
      </w:r>
      <w:r w:rsidRPr="00DB2987">
        <w:rPr>
          <w:rFonts w:eastAsia="Calibri" w:cs="Arial"/>
        </w:rPr>
        <w:t xml:space="preserve">normalizar y validar métodos </w:t>
      </w:r>
      <w:r w:rsidR="00A51052" w:rsidRPr="00DB2987">
        <w:rPr>
          <w:rFonts w:eastAsia="Calibri" w:cs="Arial"/>
        </w:rPr>
        <w:t>para</w:t>
      </w:r>
      <w:r w:rsidRPr="00DB2987">
        <w:rPr>
          <w:rFonts w:eastAsia="Calibri" w:cs="Arial"/>
        </w:rPr>
        <w:t xml:space="preserve"> muestre</w:t>
      </w:r>
      <w:r w:rsidR="00A51052" w:rsidRPr="00DB2987">
        <w:rPr>
          <w:rFonts w:eastAsia="Calibri" w:cs="Arial"/>
        </w:rPr>
        <w:t>ar</w:t>
      </w:r>
      <w:r w:rsidRPr="00DB2987">
        <w:rPr>
          <w:rFonts w:eastAsia="Calibri" w:cs="Arial"/>
        </w:rPr>
        <w:t xml:space="preserve"> semillas y evalua</w:t>
      </w:r>
      <w:r w:rsidR="00A51052" w:rsidRPr="00DB2987">
        <w:rPr>
          <w:rFonts w:eastAsia="Calibri" w:cs="Arial"/>
        </w:rPr>
        <w:t>r</w:t>
      </w:r>
      <w:r w:rsidRPr="00DB2987">
        <w:rPr>
          <w:rFonts w:eastAsia="Calibri" w:cs="Arial"/>
        </w:rPr>
        <w:t xml:space="preserve"> su calidad </w:t>
      </w:r>
      <w:r w:rsidR="00A51052" w:rsidRPr="00DB2987">
        <w:rPr>
          <w:rFonts w:eastAsia="Calibri" w:cs="Arial"/>
        </w:rPr>
        <w:t>aplicando</w:t>
      </w:r>
      <w:r w:rsidRPr="00DB2987">
        <w:rPr>
          <w:rFonts w:eastAsia="Calibri" w:cs="Arial"/>
        </w:rPr>
        <w:t xml:space="preserve"> </w:t>
      </w:r>
      <w:r w:rsidR="00A51052" w:rsidRPr="00DB2987">
        <w:rPr>
          <w:rFonts w:eastAsia="Calibri" w:cs="Arial"/>
        </w:rPr>
        <w:t xml:space="preserve">los </w:t>
      </w:r>
      <w:r w:rsidRPr="00DB2987">
        <w:rPr>
          <w:rFonts w:eastAsia="Calibri" w:cs="Arial"/>
        </w:rPr>
        <w:t xml:space="preserve">conocimientos científicos </w:t>
      </w:r>
      <w:r w:rsidR="00A51052" w:rsidRPr="00DB2987">
        <w:rPr>
          <w:rFonts w:eastAsia="Calibri" w:cs="Arial"/>
        </w:rPr>
        <w:t>más solventes</w:t>
      </w:r>
      <w:r w:rsidRPr="00DB2987">
        <w:rPr>
          <w:rFonts w:eastAsia="Calibri" w:cs="Arial"/>
        </w:rPr>
        <w:t>.</w:t>
      </w:r>
      <w:r w:rsidR="00AE66A3" w:rsidRPr="00DB2987">
        <w:rPr>
          <w:rFonts w:eastAsia="Calibri" w:cs="Arial"/>
          <w:lang w:val="es-ES"/>
        </w:rPr>
        <w:t xml:space="preserve"> </w:t>
      </w:r>
      <w:r w:rsidR="007C2CD0" w:rsidRPr="00DB2987">
        <w:rPr>
          <w:rFonts w:eastAsia="Calibri" w:cs="Arial"/>
        </w:rPr>
        <w:t xml:space="preserve">Dichos comités se </w:t>
      </w:r>
      <w:r w:rsidR="00F92299" w:rsidRPr="00DB2987">
        <w:rPr>
          <w:rFonts w:eastAsia="Calibri" w:cs="Arial"/>
        </w:rPr>
        <w:t xml:space="preserve">ocupan de </w:t>
      </w:r>
      <w:r w:rsidR="007C2CD0" w:rsidRPr="00DB2987">
        <w:rPr>
          <w:rFonts w:eastAsia="Calibri" w:cs="Arial"/>
        </w:rPr>
        <w:t xml:space="preserve">mejorar las </w:t>
      </w:r>
      <w:r w:rsidR="007C2CD0" w:rsidRPr="00DB2987">
        <w:rPr>
          <w:rFonts w:eastAsia="Calibri" w:cs="Arial"/>
          <w:b/>
          <w:bCs/>
        </w:rPr>
        <w:t>normas internacionales de la ISTA para el ensayo de semillas</w:t>
      </w:r>
      <w:r w:rsidR="007C2CD0" w:rsidRPr="00DB2987">
        <w:rPr>
          <w:rFonts w:eastAsia="Calibri" w:cs="Arial"/>
        </w:rPr>
        <w:t xml:space="preserve"> </w:t>
      </w:r>
      <w:r w:rsidR="00A51052" w:rsidRPr="00DB2987">
        <w:rPr>
          <w:rFonts w:eastAsia="Calibri" w:cs="Arial"/>
        </w:rPr>
        <w:t xml:space="preserve">y </w:t>
      </w:r>
      <w:r w:rsidR="00F92299" w:rsidRPr="00DB2987">
        <w:rPr>
          <w:rFonts w:eastAsia="Calibri" w:cs="Arial"/>
        </w:rPr>
        <w:t xml:space="preserve">de </w:t>
      </w:r>
      <w:r w:rsidR="007C2CD0" w:rsidRPr="00DB2987">
        <w:rPr>
          <w:rFonts w:eastAsia="Calibri" w:cs="Arial"/>
        </w:rPr>
        <w:t>elaborar los manuales de la </w:t>
      </w:r>
      <w:r w:rsidR="00A51052" w:rsidRPr="00DB2987">
        <w:rPr>
          <w:rFonts w:eastAsia="Calibri" w:cs="Arial"/>
        </w:rPr>
        <w:t xml:space="preserve">ISTA </w:t>
      </w:r>
      <w:r w:rsidR="007C2CD0" w:rsidRPr="00DB2987">
        <w:rPr>
          <w:rFonts w:eastAsia="Calibri" w:cs="Arial"/>
        </w:rPr>
        <w:t>sobre</w:t>
      </w:r>
      <w:r w:rsidR="00A51052" w:rsidRPr="00DB2987">
        <w:rPr>
          <w:rFonts w:eastAsia="Calibri" w:cs="Arial"/>
        </w:rPr>
        <w:t xml:space="preserve"> métodos </w:t>
      </w:r>
      <w:r w:rsidR="007C2CD0" w:rsidRPr="00DB2987">
        <w:rPr>
          <w:rFonts w:eastAsia="Calibri" w:cs="Arial"/>
        </w:rPr>
        <w:t>relativos a las semillas</w:t>
      </w:r>
      <w:r w:rsidR="00AF0490" w:rsidRPr="00DB2987">
        <w:rPr>
          <w:rFonts w:eastAsia="Calibri" w:cs="Arial"/>
        </w:rPr>
        <w:t xml:space="preserve">, </w:t>
      </w:r>
      <w:r w:rsidR="007C2CD0" w:rsidRPr="00DB2987">
        <w:rPr>
          <w:rFonts w:eastAsia="Calibri" w:cs="Arial"/>
        </w:rPr>
        <w:t xml:space="preserve">entre ellos los de </w:t>
      </w:r>
      <w:r w:rsidR="00A51052" w:rsidRPr="00DB2987">
        <w:rPr>
          <w:rFonts w:eastAsia="Calibri" w:cs="Arial"/>
        </w:rPr>
        <w:t xml:space="preserve">muestreo y </w:t>
      </w:r>
      <w:r w:rsidR="007C2CD0" w:rsidRPr="00DB2987">
        <w:rPr>
          <w:rFonts w:eastAsia="Calibri" w:cs="Arial"/>
        </w:rPr>
        <w:t>ensayo</w:t>
      </w:r>
      <w:r w:rsidR="00A51052" w:rsidRPr="00DB2987">
        <w:rPr>
          <w:rFonts w:eastAsia="Calibri" w:cs="Arial"/>
        </w:rPr>
        <w:t>.</w:t>
      </w:r>
      <w:r w:rsidR="00AE66A3" w:rsidRPr="00DB2987">
        <w:rPr>
          <w:rFonts w:eastAsia="Calibri" w:cs="Arial"/>
          <w:lang w:val="es-ES"/>
        </w:rPr>
        <w:t xml:space="preserve"> </w:t>
      </w:r>
      <w:r w:rsidR="008F5E52" w:rsidRPr="00DB2987">
        <w:rPr>
          <w:rFonts w:eastAsia="Calibri" w:cs="Arial"/>
        </w:rPr>
        <w:t>Asimismo</w:t>
      </w:r>
      <w:r w:rsidR="00AF0490" w:rsidRPr="00DB2987">
        <w:rPr>
          <w:rFonts w:eastAsia="Calibri" w:cs="Arial"/>
        </w:rPr>
        <w:t xml:space="preserve">, </w:t>
      </w:r>
      <w:r w:rsidR="008F5E52" w:rsidRPr="00DB2987">
        <w:rPr>
          <w:rFonts w:eastAsia="Calibri" w:cs="Arial"/>
        </w:rPr>
        <w:t>se encargan de organizar simposios</w:t>
      </w:r>
      <w:r w:rsidR="00AF0490" w:rsidRPr="00DB2987">
        <w:rPr>
          <w:rFonts w:eastAsia="Calibri" w:cs="Arial"/>
        </w:rPr>
        <w:t xml:space="preserve">, </w:t>
      </w:r>
      <w:r w:rsidR="008F5E52" w:rsidRPr="00DB2987">
        <w:rPr>
          <w:rFonts w:eastAsia="Calibri" w:cs="Arial"/>
        </w:rPr>
        <w:t>seminarios y talleres.</w:t>
      </w:r>
      <w:r w:rsidR="00AE66A3" w:rsidRPr="00DB2987">
        <w:rPr>
          <w:rFonts w:eastAsia="Calibri" w:cs="Arial"/>
          <w:lang w:val="es-ES"/>
        </w:rPr>
        <w:t xml:space="preserve"> </w:t>
      </w:r>
      <w:r w:rsidR="005962F4" w:rsidRPr="00DB2987">
        <w:rPr>
          <w:rFonts w:eastAsia="Calibri" w:cs="Arial"/>
        </w:rPr>
        <w:t xml:space="preserve">Los Comités Técnicos de la ISTA </w:t>
      </w:r>
      <w:r w:rsidR="00D24E6E" w:rsidRPr="00DB2987">
        <w:rPr>
          <w:rFonts w:eastAsia="Calibri" w:cs="Arial"/>
        </w:rPr>
        <w:t xml:space="preserve">celebran </w:t>
      </w:r>
      <w:r w:rsidR="005962F4" w:rsidRPr="00DB2987">
        <w:rPr>
          <w:rFonts w:eastAsia="Calibri" w:cs="Arial"/>
        </w:rPr>
        <w:t xml:space="preserve">regularmente talleres </w:t>
      </w:r>
      <w:r w:rsidR="00D24E6E" w:rsidRPr="00DB2987">
        <w:rPr>
          <w:rFonts w:eastAsia="Calibri" w:cs="Arial"/>
        </w:rPr>
        <w:t>que brindan la oportunidad de adquirir formación e intercambiar</w:t>
      </w:r>
      <w:r w:rsidR="005962F4" w:rsidRPr="00DB2987">
        <w:rPr>
          <w:rFonts w:eastAsia="Calibri" w:cs="Arial"/>
        </w:rPr>
        <w:t xml:space="preserve"> información</w:t>
      </w:r>
      <w:r w:rsidR="00AF0490" w:rsidRPr="00DB2987">
        <w:rPr>
          <w:rFonts w:eastAsia="Calibri" w:cs="Arial"/>
        </w:rPr>
        <w:t xml:space="preserve">, </w:t>
      </w:r>
      <w:r w:rsidR="005962F4" w:rsidRPr="00DB2987">
        <w:rPr>
          <w:rFonts w:eastAsia="Calibri" w:cs="Arial"/>
        </w:rPr>
        <w:t>experiencia e ideas.</w:t>
      </w:r>
    </w:p>
    <w:p w:rsidR="00AE66A3" w:rsidRPr="00DB2987" w:rsidRDefault="00AE66A3" w:rsidP="00AE66A3">
      <w:pPr>
        <w:autoSpaceDE w:val="0"/>
        <w:autoSpaceDN w:val="0"/>
        <w:adjustRightInd w:val="0"/>
        <w:jc w:val="left"/>
        <w:rPr>
          <w:rFonts w:eastAsia="Calibri" w:cs="Arial"/>
          <w:lang w:val="es-ES"/>
        </w:rPr>
      </w:pPr>
    </w:p>
    <w:p w:rsidR="00AE66A3" w:rsidRPr="00DB2987" w:rsidRDefault="00D24E6E" w:rsidP="00B61D54">
      <w:pPr>
        <w:keepNext/>
        <w:autoSpaceDE w:val="0"/>
        <w:autoSpaceDN w:val="0"/>
        <w:adjustRightInd w:val="0"/>
        <w:jc w:val="left"/>
        <w:rPr>
          <w:rFonts w:eastAsia="Calibri" w:cs="Arial"/>
          <w:lang w:val="es-ES"/>
        </w:rPr>
      </w:pPr>
      <w:r w:rsidRPr="00DB2987">
        <w:rPr>
          <w:rFonts w:eastAsia="Calibri" w:cs="Arial"/>
        </w:rPr>
        <w:t>Los Comités Técnicos de la ISTA son</w:t>
      </w:r>
      <w:r w:rsidR="00AF0490" w:rsidRPr="00DB2987">
        <w:rPr>
          <w:rFonts w:eastAsia="Calibri" w:cs="Arial"/>
        </w:rPr>
        <w:t> 2</w:t>
      </w:r>
      <w:r w:rsidRPr="00DB2987">
        <w:rPr>
          <w:rFonts w:eastAsia="Calibri" w:cs="Arial"/>
        </w:rPr>
        <w:t>0:</w:t>
      </w:r>
    </w:p>
    <w:p w:rsidR="00AE66A3" w:rsidRPr="00DB2987" w:rsidRDefault="00AE66A3" w:rsidP="00B61D54">
      <w:pPr>
        <w:keepNext/>
        <w:autoSpaceDE w:val="0"/>
        <w:autoSpaceDN w:val="0"/>
        <w:adjustRightInd w:val="0"/>
        <w:jc w:val="left"/>
        <w:rPr>
          <w:rFonts w:eastAsia="Calibri" w:cs="Arial"/>
          <w:lang w:val="es-ES"/>
        </w:rPr>
      </w:pP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529"/>
      </w:tblGrid>
      <w:tr w:rsidR="00DB2987" w:rsidRPr="00DB2987" w:rsidTr="00B61D54">
        <w:trPr>
          <w:trHeight w:val="474"/>
        </w:trPr>
        <w:tc>
          <w:tcPr>
            <w:tcW w:w="567" w:type="dxa"/>
          </w:tcPr>
          <w:p w:rsidR="00AE66A3" w:rsidRPr="00DB2987" w:rsidRDefault="00AE66A3" w:rsidP="00617BD3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</w:p>
        </w:tc>
        <w:tc>
          <w:tcPr>
            <w:tcW w:w="5529" w:type="dxa"/>
          </w:tcPr>
          <w:p w:rsidR="00AE66A3" w:rsidRPr="00DB2987" w:rsidRDefault="00AE66A3" w:rsidP="00617BD3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b/>
                <w:bCs/>
                <w:sz w:val="20"/>
                <w:szCs w:val="20"/>
                <w:lang w:val="es-ES"/>
              </w:rPr>
            </w:pPr>
          </w:p>
          <w:p w:rsidR="00AE66A3" w:rsidRPr="00DB2987" w:rsidRDefault="007B41F1" w:rsidP="00617BD3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b/>
                <w:bCs/>
                <w:sz w:val="20"/>
                <w:szCs w:val="20"/>
                <w:lang w:val="es-ES"/>
              </w:rPr>
            </w:pPr>
            <w:r w:rsidRPr="00DB2987">
              <w:rPr>
                <w:rFonts w:asciiTheme="minorBidi" w:hAnsiTheme="minorBidi" w:cstheme="minorBidi"/>
                <w:sz w:val="20"/>
                <w:szCs w:val="20"/>
                <w:lang w:val="es-ES"/>
              </w:rPr>
              <w:t>Comité Técnico</w:t>
            </w:r>
          </w:p>
          <w:p w:rsidR="00AE66A3" w:rsidRPr="00DB2987" w:rsidRDefault="00AE66A3" w:rsidP="00617BD3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</w:p>
        </w:tc>
      </w:tr>
      <w:tr w:rsidR="00DB2987" w:rsidRPr="00DB2987" w:rsidTr="00B61D54">
        <w:tc>
          <w:tcPr>
            <w:tcW w:w="567" w:type="dxa"/>
          </w:tcPr>
          <w:p w:rsidR="00AE66A3" w:rsidRPr="00DB2987" w:rsidRDefault="00AE66A3" w:rsidP="00617BD3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DB2987">
              <w:rPr>
                <w:rFonts w:asciiTheme="minorBidi" w:hAnsiTheme="minorBidi" w:cstheme="minorBidi"/>
                <w:sz w:val="20"/>
                <w:szCs w:val="20"/>
                <w:lang w:val="es-ES"/>
              </w:rPr>
              <w:t>1.</w:t>
            </w:r>
          </w:p>
        </w:tc>
        <w:tc>
          <w:tcPr>
            <w:tcW w:w="5529" w:type="dxa"/>
          </w:tcPr>
          <w:p w:rsidR="00AE66A3" w:rsidRPr="00DB2987" w:rsidRDefault="00E40B78" w:rsidP="00670CCB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DB2987">
              <w:rPr>
                <w:rFonts w:asciiTheme="minorBidi" w:hAnsiTheme="minorBidi" w:cstheme="minorBidi"/>
                <w:sz w:val="20"/>
                <w:szCs w:val="20"/>
              </w:rPr>
              <w:t>Comité de Tecnologías Avanzadas</w:t>
            </w:r>
          </w:p>
        </w:tc>
      </w:tr>
      <w:tr w:rsidR="00DB2987" w:rsidRPr="00DB2987" w:rsidTr="00B61D54">
        <w:tc>
          <w:tcPr>
            <w:tcW w:w="567" w:type="dxa"/>
          </w:tcPr>
          <w:p w:rsidR="00AE66A3" w:rsidRPr="00DB2987" w:rsidRDefault="00AE66A3" w:rsidP="00617BD3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DB2987">
              <w:rPr>
                <w:rFonts w:asciiTheme="minorBidi" w:hAnsiTheme="minorBidi" w:cstheme="minorBidi"/>
                <w:sz w:val="20"/>
                <w:szCs w:val="20"/>
                <w:lang w:val="es-ES"/>
              </w:rPr>
              <w:t>2.</w:t>
            </w:r>
          </w:p>
        </w:tc>
        <w:tc>
          <w:tcPr>
            <w:tcW w:w="5529" w:type="dxa"/>
          </w:tcPr>
          <w:p w:rsidR="00AE66A3" w:rsidRPr="00DB2987" w:rsidRDefault="00E40B78" w:rsidP="00670CCB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DB2987">
              <w:rPr>
                <w:rFonts w:asciiTheme="minorBidi" w:hAnsiTheme="minorBidi" w:cstheme="minorBidi"/>
                <w:sz w:val="20"/>
                <w:szCs w:val="20"/>
              </w:rPr>
              <w:t xml:space="preserve">Comité de Selección en </w:t>
            </w:r>
            <w:r w:rsidR="00E00E22" w:rsidRPr="00DB2987">
              <w:rPr>
                <w:rFonts w:asciiTheme="minorBidi" w:hAnsiTheme="minorBidi" w:cstheme="minorBidi"/>
                <w:sz w:val="20"/>
                <w:szCs w:val="20"/>
              </w:rPr>
              <w:t>Bloque</w:t>
            </w:r>
            <w:r w:rsidRPr="00DB2987">
              <w:rPr>
                <w:rFonts w:asciiTheme="minorBidi" w:hAnsiTheme="minorBidi" w:cstheme="minorBidi"/>
                <w:sz w:val="20"/>
                <w:szCs w:val="20"/>
              </w:rPr>
              <w:t xml:space="preserve"> y Muestreo</w:t>
            </w:r>
          </w:p>
        </w:tc>
      </w:tr>
      <w:tr w:rsidR="00DB2987" w:rsidRPr="00801E9E" w:rsidTr="00B61D54">
        <w:tc>
          <w:tcPr>
            <w:tcW w:w="567" w:type="dxa"/>
          </w:tcPr>
          <w:p w:rsidR="00AE66A3" w:rsidRPr="00DB2987" w:rsidRDefault="00AE66A3" w:rsidP="00617BD3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DB2987">
              <w:rPr>
                <w:rFonts w:asciiTheme="minorBidi" w:hAnsiTheme="minorBidi" w:cstheme="minorBidi"/>
                <w:sz w:val="20"/>
                <w:szCs w:val="20"/>
                <w:lang w:val="es-ES"/>
              </w:rPr>
              <w:t>3.</w:t>
            </w:r>
          </w:p>
        </w:tc>
        <w:tc>
          <w:tcPr>
            <w:tcW w:w="5529" w:type="dxa"/>
          </w:tcPr>
          <w:p w:rsidR="00AE66A3" w:rsidRPr="00DB2987" w:rsidRDefault="00E40B78" w:rsidP="00670CCB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0"/>
                <w:szCs w:val="20"/>
                <w:lang w:val="fr-CH"/>
              </w:rPr>
            </w:pPr>
            <w:r w:rsidRPr="00DB2987">
              <w:rPr>
                <w:rFonts w:asciiTheme="minorBidi" w:hAnsiTheme="minorBidi" w:cstheme="minorBidi"/>
                <w:sz w:val="20"/>
                <w:szCs w:val="20"/>
                <w:lang w:val="fr-CH"/>
              </w:rPr>
              <w:t xml:space="preserve">Comité de </w:t>
            </w:r>
            <w:proofErr w:type="spellStart"/>
            <w:r w:rsidRPr="00DB2987">
              <w:rPr>
                <w:rFonts w:asciiTheme="minorBidi" w:hAnsiTheme="minorBidi" w:cstheme="minorBidi"/>
                <w:sz w:val="20"/>
                <w:szCs w:val="20"/>
                <w:lang w:val="fr-CH"/>
              </w:rPr>
              <w:t>Redacción</w:t>
            </w:r>
            <w:proofErr w:type="spellEnd"/>
            <w:r w:rsidRPr="00DB2987">
              <w:rPr>
                <w:rFonts w:asciiTheme="minorBidi" w:hAnsiTheme="minorBidi" w:cstheme="minorBidi"/>
                <w:sz w:val="20"/>
                <w:szCs w:val="20"/>
                <w:lang w:val="fr-CH"/>
              </w:rPr>
              <w:t xml:space="preserve"> de </w:t>
            </w:r>
            <w:proofErr w:type="spellStart"/>
            <w:r w:rsidR="005E5D9A" w:rsidRPr="00DB2987">
              <w:rPr>
                <w:rFonts w:asciiTheme="minorBidi" w:hAnsiTheme="minorBidi" w:cstheme="minorBidi"/>
                <w:i/>
                <w:iCs/>
                <w:sz w:val="20"/>
                <w:szCs w:val="20"/>
                <w:lang w:val="fr-CH"/>
              </w:rPr>
              <w:t>Seed</w:t>
            </w:r>
            <w:proofErr w:type="spellEnd"/>
            <w:r w:rsidR="005E5D9A" w:rsidRPr="00DB2987">
              <w:rPr>
                <w:rFonts w:asciiTheme="minorBidi" w:hAnsiTheme="minorBidi" w:cstheme="minorBidi"/>
                <w:i/>
                <w:iCs/>
                <w:sz w:val="20"/>
                <w:szCs w:val="20"/>
                <w:lang w:val="fr-CH"/>
              </w:rPr>
              <w:t xml:space="preserve"> Science and </w:t>
            </w:r>
            <w:proofErr w:type="spellStart"/>
            <w:r w:rsidR="005E5D9A" w:rsidRPr="00DB2987">
              <w:rPr>
                <w:rFonts w:asciiTheme="minorBidi" w:hAnsiTheme="minorBidi" w:cstheme="minorBidi"/>
                <w:i/>
                <w:iCs/>
                <w:sz w:val="20"/>
                <w:szCs w:val="20"/>
                <w:lang w:val="fr-CH"/>
              </w:rPr>
              <w:t>Technology</w:t>
            </w:r>
            <w:proofErr w:type="spellEnd"/>
          </w:p>
        </w:tc>
      </w:tr>
      <w:tr w:rsidR="00DB2987" w:rsidRPr="00DB2987" w:rsidTr="00B61D54">
        <w:tc>
          <w:tcPr>
            <w:tcW w:w="567" w:type="dxa"/>
          </w:tcPr>
          <w:p w:rsidR="00AE66A3" w:rsidRPr="00DB2987" w:rsidRDefault="00AE66A3" w:rsidP="00617BD3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DB2987">
              <w:rPr>
                <w:rFonts w:asciiTheme="minorBidi" w:hAnsiTheme="minorBidi" w:cstheme="minorBidi"/>
                <w:sz w:val="20"/>
                <w:szCs w:val="20"/>
                <w:lang w:val="es-ES"/>
              </w:rPr>
              <w:t>4.</w:t>
            </w:r>
          </w:p>
        </w:tc>
        <w:tc>
          <w:tcPr>
            <w:tcW w:w="5529" w:type="dxa"/>
          </w:tcPr>
          <w:p w:rsidR="00AE66A3" w:rsidRPr="00DB2987" w:rsidRDefault="00E00E22" w:rsidP="00670CCB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DB2987">
              <w:rPr>
                <w:rFonts w:asciiTheme="minorBidi" w:hAnsiTheme="minorBidi" w:cstheme="minorBidi"/>
                <w:sz w:val="20"/>
                <w:szCs w:val="20"/>
              </w:rPr>
              <w:t xml:space="preserve">Comité de Ensayo de Semillas de Plantas de </w:t>
            </w:r>
            <w:r w:rsidR="005E5D9A" w:rsidRPr="00DB2987">
              <w:rPr>
                <w:rFonts w:asciiTheme="minorBidi" w:hAnsiTheme="minorBidi" w:cstheme="minorBidi"/>
                <w:sz w:val="20"/>
                <w:szCs w:val="20"/>
              </w:rPr>
              <w:t>Flor</w:t>
            </w:r>
          </w:p>
        </w:tc>
      </w:tr>
      <w:tr w:rsidR="00DB2987" w:rsidRPr="00DB2987" w:rsidTr="00B61D54">
        <w:tc>
          <w:tcPr>
            <w:tcW w:w="567" w:type="dxa"/>
          </w:tcPr>
          <w:p w:rsidR="00AE66A3" w:rsidRPr="00DB2987" w:rsidRDefault="00AE66A3" w:rsidP="00617BD3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DB2987">
              <w:rPr>
                <w:rFonts w:asciiTheme="minorBidi" w:hAnsiTheme="minorBidi" w:cstheme="minorBidi"/>
                <w:sz w:val="20"/>
                <w:szCs w:val="20"/>
                <w:lang w:val="es-ES"/>
              </w:rPr>
              <w:t xml:space="preserve">5. </w:t>
            </w:r>
          </w:p>
        </w:tc>
        <w:tc>
          <w:tcPr>
            <w:tcW w:w="5529" w:type="dxa"/>
          </w:tcPr>
          <w:p w:rsidR="00AE66A3" w:rsidRPr="00DB2987" w:rsidRDefault="00E00E22" w:rsidP="00670CCB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DB2987">
              <w:rPr>
                <w:rFonts w:asciiTheme="minorBidi" w:hAnsiTheme="minorBidi" w:cstheme="minorBidi"/>
                <w:sz w:val="20"/>
                <w:szCs w:val="20"/>
              </w:rPr>
              <w:t>Comité de Semillas de Árboles y Arbustos Forestales</w:t>
            </w:r>
          </w:p>
        </w:tc>
      </w:tr>
      <w:tr w:rsidR="00DB2987" w:rsidRPr="00DB2987" w:rsidTr="00B61D54">
        <w:tc>
          <w:tcPr>
            <w:tcW w:w="567" w:type="dxa"/>
          </w:tcPr>
          <w:p w:rsidR="00AE66A3" w:rsidRPr="00DB2987" w:rsidRDefault="00AE66A3" w:rsidP="00617BD3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DB2987">
              <w:rPr>
                <w:rFonts w:asciiTheme="minorBidi" w:hAnsiTheme="minorBidi" w:cstheme="minorBidi"/>
                <w:sz w:val="20"/>
                <w:szCs w:val="20"/>
                <w:lang w:val="es-ES"/>
              </w:rPr>
              <w:t>6.</w:t>
            </w:r>
          </w:p>
        </w:tc>
        <w:tc>
          <w:tcPr>
            <w:tcW w:w="5529" w:type="dxa"/>
          </w:tcPr>
          <w:p w:rsidR="00AE66A3" w:rsidRPr="00DB2987" w:rsidRDefault="00E00E22" w:rsidP="00670CCB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DB2987">
              <w:rPr>
                <w:rFonts w:asciiTheme="minorBidi" w:hAnsiTheme="minorBidi" w:cstheme="minorBidi"/>
                <w:sz w:val="20"/>
                <w:szCs w:val="20"/>
              </w:rPr>
              <w:t>Comité de Germinación</w:t>
            </w:r>
          </w:p>
        </w:tc>
      </w:tr>
      <w:tr w:rsidR="00DB2987" w:rsidRPr="00DB2987" w:rsidTr="00B61D54">
        <w:tc>
          <w:tcPr>
            <w:tcW w:w="567" w:type="dxa"/>
          </w:tcPr>
          <w:p w:rsidR="00AE66A3" w:rsidRPr="00DB2987" w:rsidRDefault="00AE66A3" w:rsidP="00617BD3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DB2987">
              <w:rPr>
                <w:rFonts w:asciiTheme="minorBidi" w:hAnsiTheme="minorBidi" w:cstheme="minorBidi"/>
                <w:sz w:val="20"/>
                <w:szCs w:val="20"/>
                <w:lang w:val="es-ES"/>
              </w:rPr>
              <w:t>7.</w:t>
            </w:r>
          </w:p>
        </w:tc>
        <w:tc>
          <w:tcPr>
            <w:tcW w:w="5529" w:type="dxa"/>
          </w:tcPr>
          <w:p w:rsidR="00AE66A3" w:rsidRPr="00DB2987" w:rsidRDefault="00FA7A0C" w:rsidP="00670CCB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DB2987">
              <w:rPr>
                <w:rFonts w:asciiTheme="minorBidi" w:hAnsiTheme="minorBidi" w:cstheme="minorBidi"/>
                <w:sz w:val="20"/>
                <w:szCs w:val="20"/>
              </w:rPr>
              <w:t>Comité de Organismos Modificados Genéticamente</w:t>
            </w:r>
          </w:p>
        </w:tc>
      </w:tr>
      <w:tr w:rsidR="00DB2987" w:rsidRPr="00DB2987" w:rsidTr="00B61D54">
        <w:tc>
          <w:tcPr>
            <w:tcW w:w="567" w:type="dxa"/>
          </w:tcPr>
          <w:p w:rsidR="00AE66A3" w:rsidRPr="00DB2987" w:rsidRDefault="00AE66A3" w:rsidP="00617BD3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DB2987">
              <w:rPr>
                <w:rFonts w:asciiTheme="minorBidi" w:hAnsiTheme="minorBidi" w:cstheme="minorBidi"/>
                <w:sz w:val="20"/>
                <w:szCs w:val="20"/>
                <w:lang w:val="es-ES"/>
              </w:rPr>
              <w:t>8.</w:t>
            </w:r>
          </w:p>
        </w:tc>
        <w:tc>
          <w:tcPr>
            <w:tcW w:w="5529" w:type="dxa"/>
          </w:tcPr>
          <w:p w:rsidR="00AE66A3" w:rsidRPr="00DB2987" w:rsidRDefault="00FA7A0C" w:rsidP="00670CCB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DB2987">
              <w:rPr>
                <w:rFonts w:asciiTheme="minorBidi" w:hAnsiTheme="minorBidi" w:cstheme="minorBidi"/>
                <w:sz w:val="20"/>
                <w:szCs w:val="20"/>
              </w:rPr>
              <w:t>Comité de Contenido de Humedad</w:t>
            </w:r>
          </w:p>
        </w:tc>
      </w:tr>
      <w:tr w:rsidR="00DB2987" w:rsidRPr="00DB2987" w:rsidTr="00B61D54">
        <w:tc>
          <w:tcPr>
            <w:tcW w:w="567" w:type="dxa"/>
          </w:tcPr>
          <w:p w:rsidR="00AE66A3" w:rsidRPr="00DB2987" w:rsidRDefault="00AE66A3" w:rsidP="00617BD3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DB2987">
              <w:rPr>
                <w:rFonts w:asciiTheme="minorBidi" w:hAnsiTheme="minorBidi" w:cstheme="minorBidi"/>
                <w:sz w:val="20"/>
                <w:szCs w:val="20"/>
                <w:lang w:val="es-ES"/>
              </w:rPr>
              <w:t>9.</w:t>
            </w:r>
          </w:p>
        </w:tc>
        <w:tc>
          <w:tcPr>
            <w:tcW w:w="5529" w:type="dxa"/>
          </w:tcPr>
          <w:p w:rsidR="00AE66A3" w:rsidRPr="00DB2987" w:rsidRDefault="00FA7A0C" w:rsidP="00670CCB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DB2987">
              <w:rPr>
                <w:rFonts w:asciiTheme="minorBidi" w:hAnsiTheme="minorBidi" w:cstheme="minorBidi"/>
                <w:sz w:val="20"/>
                <w:szCs w:val="20"/>
              </w:rPr>
              <w:t>Comité de Nomenclatura</w:t>
            </w:r>
          </w:p>
        </w:tc>
      </w:tr>
      <w:tr w:rsidR="00DB2987" w:rsidRPr="00DB2987" w:rsidTr="00B61D54">
        <w:tc>
          <w:tcPr>
            <w:tcW w:w="567" w:type="dxa"/>
          </w:tcPr>
          <w:p w:rsidR="00AE66A3" w:rsidRPr="00DB2987" w:rsidRDefault="00AE66A3" w:rsidP="00617BD3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DB2987">
              <w:rPr>
                <w:rFonts w:asciiTheme="minorBidi" w:hAnsiTheme="minorBidi" w:cstheme="minorBidi"/>
                <w:sz w:val="20"/>
                <w:szCs w:val="20"/>
                <w:lang w:val="es-ES"/>
              </w:rPr>
              <w:t>10.</w:t>
            </w:r>
          </w:p>
        </w:tc>
        <w:tc>
          <w:tcPr>
            <w:tcW w:w="5529" w:type="dxa"/>
          </w:tcPr>
          <w:p w:rsidR="00AE66A3" w:rsidRPr="00DB2987" w:rsidRDefault="00FA7A0C" w:rsidP="00670CCB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DB2987">
              <w:rPr>
                <w:rFonts w:asciiTheme="minorBidi" w:hAnsiTheme="minorBidi" w:cstheme="minorBidi"/>
                <w:sz w:val="20"/>
                <w:szCs w:val="20"/>
              </w:rPr>
              <w:t xml:space="preserve">Comité de </w:t>
            </w:r>
            <w:r w:rsidR="004A108D" w:rsidRPr="00DB2987">
              <w:rPr>
                <w:rFonts w:asciiTheme="minorBidi" w:hAnsiTheme="minorBidi" w:cstheme="minorBidi"/>
                <w:sz w:val="20"/>
                <w:szCs w:val="20"/>
              </w:rPr>
              <w:t>Pruebas de Aptitud</w:t>
            </w:r>
          </w:p>
        </w:tc>
      </w:tr>
      <w:tr w:rsidR="00DB2987" w:rsidRPr="00DB2987" w:rsidTr="00B61D54">
        <w:tc>
          <w:tcPr>
            <w:tcW w:w="567" w:type="dxa"/>
          </w:tcPr>
          <w:p w:rsidR="00AE66A3" w:rsidRPr="00DB2987" w:rsidRDefault="00AE66A3" w:rsidP="00617BD3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DB2987">
              <w:rPr>
                <w:rFonts w:asciiTheme="minorBidi" w:hAnsiTheme="minorBidi" w:cstheme="minorBidi"/>
                <w:sz w:val="20"/>
                <w:szCs w:val="20"/>
                <w:lang w:val="es-ES"/>
              </w:rPr>
              <w:t>11.</w:t>
            </w:r>
          </w:p>
        </w:tc>
        <w:tc>
          <w:tcPr>
            <w:tcW w:w="5529" w:type="dxa"/>
          </w:tcPr>
          <w:p w:rsidR="00AE66A3" w:rsidRPr="00DB2987" w:rsidRDefault="004A108D" w:rsidP="00670CCB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DB2987">
              <w:rPr>
                <w:rFonts w:asciiTheme="minorBidi" w:hAnsiTheme="minorBidi" w:cstheme="minorBidi"/>
                <w:sz w:val="20"/>
                <w:szCs w:val="20"/>
              </w:rPr>
              <w:t>Comité de Pureza</w:t>
            </w:r>
          </w:p>
        </w:tc>
      </w:tr>
      <w:tr w:rsidR="00DB2987" w:rsidRPr="00DB2987" w:rsidTr="00B61D54">
        <w:tc>
          <w:tcPr>
            <w:tcW w:w="567" w:type="dxa"/>
          </w:tcPr>
          <w:p w:rsidR="00AE66A3" w:rsidRPr="00DB2987" w:rsidRDefault="00AE66A3" w:rsidP="00617BD3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DB2987">
              <w:rPr>
                <w:rFonts w:asciiTheme="minorBidi" w:hAnsiTheme="minorBidi" w:cstheme="minorBidi"/>
                <w:sz w:val="20"/>
                <w:szCs w:val="20"/>
                <w:lang w:val="es-ES"/>
              </w:rPr>
              <w:t>12.</w:t>
            </w:r>
          </w:p>
        </w:tc>
        <w:tc>
          <w:tcPr>
            <w:tcW w:w="5529" w:type="dxa"/>
          </w:tcPr>
          <w:p w:rsidR="00AE66A3" w:rsidRPr="00DB2987" w:rsidRDefault="00D95BA0" w:rsidP="00670CCB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DB2987">
              <w:rPr>
                <w:rFonts w:asciiTheme="minorBidi" w:hAnsiTheme="minorBidi" w:cstheme="minorBidi"/>
                <w:sz w:val="20"/>
                <w:szCs w:val="20"/>
              </w:rPr>
              <w:t>Comité de Normas</w:t>
            </w:r>
          </w:p>
        </w:tc>
      </w:tr>
      <w:tr w:rsidR="00DB2987" w:rsidRPr="00DB2987" w:rsidTr="00B61D54">
        <w:tc>
          <w:tcPr>
            <w:tcW w:w="567" w:type="dxa"/>
          </w:tcPr>
          <w:p w:rsidR="00AE66A3" w:rsidRPr="00DB2987" w:rsidRDefault="00AE66A3" w:rsidP="00617BD3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DB2987">
              <w:rPr>
                <w:rFonts w:asciiTheme="minorBidi" w:hAnsiTheme="minorBidi" w:cstheme="minorBidi"/>
                <w:sz w:val="20"/>
                <w:szCs w:val="20"/>
                <w:lang w:val="es-ES"/>
              </w:rPr>
              <w:t>13.</w:t>
            </w:r>
          </w:p>
        </w:tc>
        <w:tc>
          <w:tcPr>
            <w:tcW w:w="5529" w:type="dxa"/>
          </w:tcPr>
          <w:p w:rsidR="00AE66A3" w:rsidRPr="00DB2987" w:rsidRDefault="00D95BA0" w:rsidP="00670CCB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DB2987">
              <w:rPr>
                <w:rFonts w:asciiTheme="minorBidi" w:hAnsiTheme="minorBidi" w:cstheme="minorBidi"/>
                <w:sz w:val="20"/>
                <w:szCs w:val="20"/>
              </w:rPr>
              <w:t xml:space="preserve">Comité de </w:t>
            </w:r>
            <w:r w:rsidR="00B23690" w:rsidRPr="00DB2987">
              <w:rPr>
                <w:rFonts w:asciiTheme="minorBidi" w:hAnsiTheme="minorBidi" w:cstheme="minorBidi"/>
                <w:sz w:val="20"/>
                <w:szCs w:val="20"/>
              </w:rPr>
              <w:t>Sanidad</w:t>
            </w:r>
            <w:r w:rsidRPr="00DB2987">
              <w:rPr>
                <w:rFonts w:asciiTheme="minorBidi" w:hAnsiTheme="minorBidi" w:cstheme="minorBidi"/>
                <w:sz w:val="20"/>
                <w:szCs w:val="20"/>
              </w:rPr>
              <w:t xml:space="preserve"> de las Semillas</w:t>
            </w:r>
          </w:p>
        </w:tc>
      </w:tr>
      <w:tr w:rsidR="00DB2987" w:rsidRPr="00DB2987" w:rsidTr="00B61D54">
        <w:tc>
          <w:tcPr>
            <w:tcW w:w="567" w:type="dxa"/>
          </w:tcPr>
          <w:p w:rsidR="00AE66A3" w:rsidRPr="00DB2987" w:rsidRDefault="00AE66A3" w:rsidP="00617BD3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DB2987">
              <w:rPr>
                <w:rFonts w:asciiTheme="minorBidi" w:hAnsiTheme="minorBidi" w:cstheme="minorBidi"/>
                <w:sz w:val="20"/>
                <w:szCs w:val="20"/>
                <w:lang w:val="es-ES"/>
              </w:rPr>
              <w:t>14.</w:t>
            </w:r>
          </w:p>
        </w:tc>
        <w:tc>
          <w:tcPr>
            <w:tcW w:w="5529" w:type="dxa"/>
          </w:tcPr>
          <w:p w:rsidR="00AE66A3" w:rsidRPr="00DB2987" w:rsidRDefault="00D95BA0" w:rsidP="00670CCB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DB2987">
              <w:rPr>
                <w:rFonts w:asciiTheme="minorBidi" w:hAnsiTheme="minorBidi" w:cstheme="minorBidi"/>
                <w:sz w:val="20"/>
                <w:szCs w:val="20"/>
              </w:rPr>
              <w:t xml:space="preserve">Grupo Asesor </w:t>
            </w:r>
            <w:r w:rsidR="00671F3F" w:rsidRPr="00DB2987">
              <w:rPr>
                <w:rFonts w:asciiTheme="minorBidi" w:hAnsiTheme="minorBidi" w:cstheme="minorBidi"/>
                <w:sz w:val="20"/>
                <w:szCs w:val="20"/>
              </w:rPr>
              <w:t>sobr</w:t>
            </w:r>
            <w:r w:rsidRPr="00DB2987">
              <w:rPr>
                <w:rFonts w:asciiTheme="minorBidi" w:hAnsiTheme="minorBidi" w:cstheme="minorBidi"/>
                <w:sz w:val="20"/>
                <w:szCs w:val="20"/>
              </w:rPr>
              <w:t>e Ciencia de las Semillas</w:t>
            </w:r>
          </w:p>
        </w:tc>
      </w:tr>
      <w:tr w:rsidR="00DB2987" w:rsidRPr="00DB2987" w:rsidTr="00B61D54">
        <w:tc>
          <w:tcPr>
            <w:tcW w:w="567" w:type="dxa"/>
          </w:tcPr>
          <w:p w:rsidR="00AE66A3" w:rsidRPr="00DB2987" w:rsidRDefault="00AE66A3" w:rsidP="00617BD3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DB2987">
              <w:rPr>
                <w:rFonts w:asciiTheme="minorBidi" w:hAnsiTheme="minorBidi" w:cstheme="minorBidi"/>
                <w:sz w:val="20"/>
                <w:szCs w:val="20"/>
                <w:lang w:val="es-ES"/>
              </w:rPr>
              <w:t>15.</w:t>
            </w:r>
          </w:p>
        </w:tc>
        <w:tc>
          <w:tcPr>
            <w:tcW w:w="5529" w:type="dxa"/>
          </w:tcPr>
          <w:p w:rsidR="00AE66A3" w:rsidRPr="00DB2987" w:rsidRDefault="00D95BA0" w:rsidP="00670CCB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DB2987">
              <w:rPr>
                <w:rFonts w:asciiTheme="minorBidi" w:hAnsiTheme="minorBidi" w:cstheme="minorBidi"/>
                <w:sz w:val="20"/>
                <w:szCs w:val="20"/>
              </w:rPr>
              <w:t>Comité de Estadística</w:t>
            </w:r>
          </w:p>
        </w:tc>
      </w:tr>
      <w:tr w:rsidR="00DB2987" w:rsidRPr="00DB2987" w:rsidTr="00B61D54">
        <w:tc>
          <w:tcPr>
            <w:tcW w:w="567" w:type="dxa"/>
          </w:tcPr>
          <w:p w:rsidR="00AE66A3" w:rsidRPr="00DB2987" w:rsidRDefault="00AE66A3" w:rsidP="00617BD3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DB2987">
              <w:rPr>
                <w:rFonts w:asciiTheme="minorBidi" w:hAnsiTheme="minorBidi" w:cstheme="minorBidi"/>
                <w:sz w:val="20"/>
                <w:szCs w:val="20"/>
                <w:lang w:val="es-ES"/>
              </w:rPr>
              <w:t>16.</w:t>
            </w:r>
          </w:p>
        </w:tc>
        <w:tc>
          <w:tcPr>
            <w:tcW w:w="5529" w:type="dxa"/>
          </w:tcPr>
          <w:p w:rsidR="00AE66A3" w:rsidRPr="00DB2987" w:rsidRDefault="00D95BA0" w:rsidP="00670CCB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DB2987">
              <w:rPr>
                <w:rFonts w:asciiTheme="minorBidi" w:hAnsiTheme="minorBidi" w:cstheme="minorBidi"/>
                <w:sz w:val="20"/>
                <w:szCs w:val="20"/>
              </w:rPr>
              <w:t>Comité de Almacenamiento de Semillas</w:t>
            </w:r>
          </w:p>
        </w:tc>
      </w:tr>
      <w:tr w:rsidR="00DB2987" w:rsidRPr="00DB2987" w:rsidTr="00B61D54">
        <w:tc>
          <w:tcPr>
            <w:tcW w:w="567" w:type="dxa"/>
          </w:tcPr>
          <w:p w:rsidR="00AE66A3" w:rsidRPr="00DB2987" w:rsidRDefault="00AE66A3" w:rsidP="00617BD3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DB2987">
              <w:rPr>
                <w:rFonts w:asciiTheme="minorBidi" w:hAnsiTheme="minorBidi" w:cstheme="minorBidi"/>
                <w:sz w:val="20"/>
                <w:szCs w:val="20"/>
                <w:lang w:val="es-ES"/>
              </w:rPr>
              <w:t>17.</w:t>
            </w:r>
          </w:p>
        </w:tc>
        <w:tc>
          <w:tcPr>
            <w:tcW w:w="5529" w:type="dxa"/>
          </w:tcPr>
          <w:p w:rsidR="00AE66A3" w:rsidRPr="00DB2987" w:rsidRDefault="00D95BA0" w:rsidP="00670CCB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DB2987">
              <w:rPr>
                <w:rFonts w:asciiTheme="minorBidi" w:hAnsiTheme="minorBidi" w:cstheme="minorBidi"/>
                <w:sz w:val="20"/>
                <w:szCs w:val="20"/>
              </w:rPr>
              <w:t xml:space="preserve">Comité de </w:t>
            </w:r>
            <w:proofErr w:type="spellStart"/>
            <w:r w:rsidRPr="00DB2987">
              <w:rPr>
                <w:rFonts w:asciiTheme="minorBidi" w:hAnsiTheme="minorBidi" w:cstheme="minorBidi"/>
                <w:sz w:val="20"/>
                <w:szCs w:val="20"/>
              </w:rPr>
              <w:t>Tetrazolio</w:t>
            </w:r>
            <w:proofErr w:type="spellEnd"/>
          </w:p>
        </w:tc>
      </w:tr>
      <w:tr w:rsidR="00DB2987" w:rsidRPr="00DB2987" w:rsidTr="00B61D54">
        <w:tc>
          <w:tcPr>
            <w:tcW w:w="567" w:type="dxa"/>
          </w:tcPr>
          <w:p w:rsidR="00AE66A3" w:rsidRPr="00DB2987" w:rsidRDefault="00AE66A3" w:rsidP="00617BD3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DB2987">
              <w:rPr>
                <w:rFonts w:asciiTheme="minorBidi" w:hAnsiTheme="minorBidi" w:cstheme="minorBidi"/>
                <w:sz w:val="20"/>
                <w:szCs w:val="20"/>
                <w:lang w:val="es-ES"/>
              </w:rPr>
              <w:t>18.</w:t>
            </w:r>
          </w:p>
        </w:tc>
        <w:tc>
          <w:tcPr>
            <w:tcW w:w="5529" w:type="dxa"/>
          </w:tcPr>
          <w:p w:rsidR="00AE66A3" w:rsidRPr="00DB2987" w:rsidRDefault="005471B5" w:rsidP="00670CCB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DB2987">
              <w:rPr>
                <w:rFonts w:asciiTheme="minorBidi" w:hAnsiTheme="minorBidi" w:cstheme="minorBidi"/>
                <w:sz w:val="20"/>
                <w:szCs w:val="20"/>
              </w:rPr>
              <w:t>Comité de Variedades</w:t>
            </w:r>
          </w:p>
        </w:tc>
      </w:tr>
      <w:tr w:rsidR="00DB2987" w:rsidRPr="00DB2987" w:rsidTr="00B61D54">
        <w:tc>
          <w:tcPr>
            <w:tcW w:w="567" w:type="dxa"/>
          </w:tcPr>
          <w:p w:rsidR="00AE66A3" w:rsidRPr="00DB2987" w:rsidRDefault="00AE66A3" w:rsidP="00617BD3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DB2987">
              <w:rPr>
                <w:rFonts w:asciiTheme="minorBidi" w:hAnsiTheme="minorBidi" w:cstheme="minorBidi"/>
                <w:sz w:val="20"/>
                <w:szCs w:val="20"/>
                <w:lang w:val="es-ES"/>
              </w:rPr>
              <w:t>19.</w:t>
            </w:r>
          </w:p>
        </w:tc>
        <w:tc>
          <w:tcPr>
            <w:tcW w:w="5529" w:type="dxa"/>
          </w:tcPr>
          <w:p w:rsidR="00AE66A3" w:rsidRPr="00DB2987" w:rsidRDefault="005471B5" w:rsidP="00670CCB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DB2987">
              <w:rPr>
                <w:rFonts w:asciiTheme="minorBidi" w:hAnsiTheme="minorBidi" w:cstheme="minorBidi"/>
                <w:sz w:val="20"/>
                <w:szCs w:val="20"/>
              </w:rPr>
              <w:t>Comité de Vigor</w:t>
            </w:r>
          </w:p>
        </w:tc>
      </w:tr>
      <w:tr w:rsidR="00DB2987" w:rsidRPr="00DB2987" w:rsidTr="00B61D54">
        <w:tc>
          <w:tcPr>
            <w:tcW w:w="567" w:type="dxa"/>
          </w:tcPr>
          <w:p w:rsidR="00AE66A3" w:rsidRPr="00DB2987" w:rsidRDefault="00AE66A3" w:rsidP="00617BD3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DB2987">
              <w:rPr>
                <w:rFonts w:asciiTheme="minorBidi" w:hAnsiTheme="minorBidi" w:cstheme="minorBidi"/>
                <w:sz w:val="20"/>
                <w:szCs w:val="20"/>
                <w:lang w:val="es-ES"/>
              </w:rPr>
              <w:t>20.</w:t>
            </w:r>
          </w:p>
        </w:tc>
        <w:tc>
          <w:tcPr>
            <w:tcW w:w="5529" w:type="dxa"/>
          </w:tcPr>
          <w:p w:rsidR="00AE66A3" w:rsidRPr="00DB2987" w:rsidRDefault="005471B5" w:rsidP="00670CCB">
            <w:pPr>
              <w:autoSpaceDE w:val="0"/>
              <w:autoSpaceDN w:val="0"/>
              <w:adjustRightInd w:val="0"/>
              <w:jc w:val="left"/>
              <w:rPr>
                <w:rFonts w:asciiTheme="minorBidi" w:hAnsiTheme="minorBidi" w:cstheme="minorBidi"/>
                <w:sz w:val="20"/>
                <w:szCs w:val="20"/>
                <w:lang w:val="es-ES"/>
              </w:rPr>
            </w:pPr>
            <w:r w:rsidRPr="00DB2987">
              <w:rPr>
                <w:rFonts w:asciiTheme="minorBidi" w:hAnsiTheme="minorBidi" w:cstheme="minorBidi"/>
                <w:sz w:val="20"/>
                <w:szCs w:val="20"/>
              </w:rPr>
              <w:t>Grupo de Trabajo sobre Especies Silvestres</w:t>
            </w:r>
          </w:p>
        </w:tc>
      </w:tr>
    </w:tbl>
    <w:p w:rsidR="00AE66A3" w:rsidRPr="00DB2987" w:rsidRDefault="00AE66A3" w:rsidP="00AE66A3">
      <w:pPr>
        <w:spacing w:after="160" w:line="259" w:lineRule="auto"/>
        <w:jc w:val="left"/>
        <w:rPr>
          <w:rFonts w:asciiTheme="minorBidi" w:eastAsia="Calibri" w:hAnsiTheme="minorBidi" w:cstheme="minorBidi"/>
          <w:b/>
          <w:bCs/>
          <w:lang w:val="es-ES"/>
        </w:rPr>
      </w:pPr>
    </w:p>
    <w:p w:rsidR="00AE66A3" w:rsidRPr="00DB2987" w:rsidRDefault="00B23690" w:rsidP="00670CCB">
      <w:pPr>
        <w:spacing w:after="160" w:line="260" w:lineRule="auto"/>
        <w:jc w:val="left"/>
        <w:rPr>
          <w:rFonts w:asciiTheme="minorBidi" w:eastAsia="Calibri" w:hAnsiTheme="minorBidi" w:cstheme="minorBidi"/>
          <w:bCs/>
          <w:lang w:val="es-ES"/>
        </w:rPr>
      </w:pPr>
      <w:r w:rsidRPr="00DB2987">
        <w:rPr>
          <w:rFonts w:asciiTheme="minorBidi" w:eastAsia="Calibri" w:hAnsiTheme="minorBidi" w:cstheme="minorBidi"/>
          <w:bCs/>
        </w:rPr>
        <w:t>PROGRAMA DE ACREDITACIÓN DE LA ISTA:</w:t>
      </w:r>
    </w:p>
    <w:p w:rsidR="00AE66A3" w:rsidRPr="00DB2987" w:rsidRDefault="00903B7B" w:rsidP="00670CCB">
      <w:pPr>
        <w:rPr>
          <w:rFonts w:asciiTheme="minorBidi" w:eastAsia="Calibri" w:hAnsiTheme="minorBidi" w:cstheme="minorBidi"/>
          <w:lang w:val="es-ES"/>
        </w:rPr>
      </w:pPr>
      <w:r w:rsidRPr="00DB2987">
        <w:rPr>
          <w:rFonts w:asciiTheme="minorBidi" w:eastAsia="Calibri" w:hAnsiTheme="minorBidi" w:cstheme="minorBidi"/>
        </w:rPr>
        <w:t>En el proceso de</w:t>
      </w:r>
      <w:r w:rsidR="00265037" w:rsidRPr="00DB2987">
        <w:rPr>
          <w:rFonts w:asciiTheme="minorBidi" w:eastAsia="Calibri" w:hAnsiTheme="minorBidi" w:cstheme="minorBidi"/>
        </w:rPr>
        <w:t xml:space="preserve"> acreditación de la ISTA </w:t>
      </w:r>
      <w:r w:rsidRPr="00DB2987">
        <w:rPr>
          <w:rFonts w:asciiTheme="minorBidi" w:eastAsia="Calibri" w:hAnsiTheme="minorBidi" w:cstheme="minorBidi"/>
        </w:rPr>
        <w:t xml:space="preserve">se </w:t>
      </w:r>
      <w:r w:rsidR="00265037" w:rsidRPr="00DB2987">
        <w:rPr>
          <w:rFonts w:asciiTheme="minorBidi" w:eastAsia="Calibri" w:hAnsiTheme="minorBidi" w:cstheme="minorBidi"/>
        </w:rPr>
        <w:t xml:space="preserve">comprueba si un laboratorio </w:t>
      </w:r>
      <w:r w:rsidRPr="00DB2987">
        <w:rPr>
          <w:rFonts w:asciiTheme="minorBidi" w:eastAsia="Calibri" w:hAnsiTheme="minorBidi" w:cstheme="minorBidi"/>
        </w:rPr>
        <w:t xml:space="preserve">posee competencias técnicas </w:t>
      </w:r>
      <w:r w:rsidR="00265037" w:rsidRPr="00DB2987">
        <w:rPr>
          <w:rFonts w:asciiTheme="minorBidi" w:eastAsia="Calibri" w:hAnsiTheme="minorBidi" w:cstheme="minorBidi"/>
        </w:rPr>
        <w:t xml:space="preserve">para </w:t>
      </w:r>
      <w:r w:rsidRPr="00DB2987">
        <w:rPr>
          <w:rFonts w:asciiTheme="minorBidi" w:eastAsia="Calibri" w:hAnsiTheme="minorBidi" w:cstheme="minorBidi"/>
        </w:rPr>
        <w:t xml:space="preserve">llevar a cabo los procedimientos de </w:t>
      </w:r>
      <w:r w:rsidR="00265037" w:rsidRPr="00DB2987">
        <w:rPr>
          <w:rFonts w:asciiTheme="minorBidi" w:eastAsia="Calibri" w:hAnsiTheme="minorBidi" w:cstheme="minorBidi"/>
        </w:rPr>
        <w:t xml:space="preserve">muestreo y ensayo de semillas </w:t>
      </w:r>
      <w:r w:rsidRPr="00DB2987">
        <w:rPr>
          <w:rFonts w:asciiTheme="minorBidi" w:eastAsia="Calibri" w:hAnsiTheme="minorBidi" w:cstheme="minorBidi"/>
        </w:rPr>
        <w:t xml:space="preserve">de conformidad con </w:t>
      </w:r>
      <w:r w:rsidR="00265037" w:rsidRPr="00DB2987">
        <w:rPr>
          <w:rFonts w:asciiTheme="minorBidi" w:eastAsia="Calibri" w:hAnsiTheme="minorBidi" w:cstheme="minorBidi"/>
        </w:rPr>
        <w:t xml:space="preserve">las </w:t>
      </w:r>
      <w:r w:rsidRPr="00DB2987">
        <w:rPr>
          <w:rFonts w:asciiTheme="minorBidi" w:eastAsia="Calibri" w:hAnsiTheme="minorBidi" w:cstheme="minorBidi"/>
        </w:rPr>
        <w:t>normas internacionales de la ISTA para el ensayo de semillas</w:t>
      </w:r>
      <w:r w:rsidR="00265037" w:rsidRPr="00DB2987">
        <w:rPr>
          <w:rFonts w:asciiTheme="minorBidi" w:eastAsia="Calibri" w:hAnsiTheme="minorBidi" w:cstheme="minorBidi"/>
        </w:rPr>
        <w:t>.</w:t>
      </w:r>
      <w:r w:rsidR="00AE66A3" w:rsidRPr="00DB2987">
        <w:rPr>
          <w:rFonts w:asciiTheme="minorBidi" w:eastAsia="Calibri" w:hAnsiTheme="minorBidi" w:cstheme="minorBidi"/>
          <w:lang w:val="es-ES"/>
        </w:rPr>
        <w:t xml:space="preserve"> </w:t>
      </w:r>
      <w:r w:rsidR="00ED1E73" w:rsidRPr="00DB2987">
        <w:rPr>
          <w:rFonts w:asciiTheme="minorBidi" w:eastAsia="Calibri" w:hAnsiTheme="minorBidi" w:cstheme="minorBidi"/>
        </w:rPr>
        <w:t>Los laboratorios acreditados deben contar con un sistema de garantía de calidad que cumpla los requisitos de la norma de acreditación de la ISTA.</w:t>
      </w:r>
      <w:r w:rsidR="00AE66A3" w:rsidRPr="00DB2987">
        <w:rPr>
          <w:rFonts w:asciiTheme="minorBidi" w:eastAsia="Calibri" w:hAnsiTheme="minorBidi" w:cstheme="minorBidi"/>
          <w:lang w:val="es-ES"/>
        </w:rPr>
        <w:t xml:space="preserve"> </w:t>
      </w:r>
      <w:r w:rsidR="008537D6" w:rsidRPr="00DB2987">
        <w:rPr>
          <w:rFonts w:asciiTheme="minorBidi" w:eastAsia="Calibri" w:hAnsiTheme="minorBidi" w:cstheme="minorBidi"/>
        </w:rPr>
        <w:t xml:space="preserve">La acreditación se </w:t>
      </w:r>
      <w:r w:rsidR="00ED1E73" w:rsidRPr="00DB2987">
        <w:rPr>
          <w:rFonts w:asciiTheme="minorBidi" w:eastAsia="Calibri" w:hAnsiTheme="minorBidi" w:cstheme="minorBidi"/>
        </w:rPr>
        <w:t xml:space="preserve">puede conceder </w:t>
      </w:r>
      <w:r w:rsidR="008537D6" w:rsidRPr="00DB2987">
        <w:rPr>
          <w:rFonts w:asciiTheme="minorBidi" w:eastAsia="Calibri" w:hAnsiTheme="minorBidi" w:cstheme="minorBidi"/>
        </w:rPr>
        <w:t>a</w:t>
      </w:r>
      <w:r w:rsidR="00ED1E73" w:rsidRPr="00DB2987">
        <w:rPr>
          <w:rFonts w:asciiTheme="minorBidi" w:eastAsia="Calibri" w:hAnsiTheme="minorBidi" w:cstheme="minorBidi"/>
        </w:rPr>
        <w:t>:</w:t>
      </w:r>
    </w:p>
    <w:p w:rsidR="00AE66A3" w:rsidRPr="00DB2987" w:rsidRDefault="008537D6" w:rsidP="00670C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60" w:lineRule="auto"/>
        <w:jc w:val="left"/>
        <w:rPr>
          <w:rFonts w:asciiTheme="minorBidi" w:eastAsia="Calibri" w:hAnsiTheme="minorBidi" w:cstheme="minorBidi"/>
          <w:lang w:val="es-ES"/>
        </w:rPr>
      </w:pPr>
      <w:r w:rsidRPr="00DB2987">
        <w:rPr>
          <w:rFonts w:asciiTheme="minorBidi" w:eastAsia="Calibri" w:hAnsiTheme="minorBidi" w:cstheme="minorBidi"/>
        </w:rPr>
        <w:t>entidades que únicamente se dediquen al muestreo;</w:t>
      </w:r>
      <w:r w:rsidR="00AE66A3" w:rsidRPr="00DB2987">
        <w:rPr>
          <w:rFonts w:asciiTheme="minorBidi" w:eastAsia="Calibri" w:hAnsiTheme="minorBidi" w:cstheme="minorBidi"/>
          <w:lang w:val="es-ES"/>
        </w:rPr>
        <w:br/>
      </w:r>
    </w:p>
    <w:p w:rsidR="00AE66A3" w:rsidRPr="00DB2987" w:rsidRDefault="008537D6" w:rsidP="00670C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60" w:lineRule="auto"/>
        <w:jc w:val="left"/>
        <w:rPr>
          <w:rFonts w:asciiTheme="minorBidi" w:eastAsia="Calibri" w:hAnsiTheme="minorBidi" w:cstheme="minorBidi"/>
          <w:lang w:val="es-ES"/>
        </w:rPr>
      </w:pPr>
      <w:r w:rsidRPr="00DB2987">
        <w:rPr>
          <w:rFonts w:asciiTheme="minorBidi" w:eastAsia="Calibri" w:hAnsiTheme="minorBidi" w:cstheme="minorBidi"/>
        </w:rPr>
        <w:t>laboratorios que únicamente se dediquen al ensayo;</w:t>
      </w:r>
      <w:r w:rsidR="00AE66A3" w:rsidRPr="00DB2987">
        <w:rPr>
          <w:rFonts w:asciiTheme="minorBidi" w:eastAsia="Calibri" w:hAnsiTheme="minorBidi" w:cstheme="minorBidi"/>
          <w:lang w:val="es-ES"/>
        </w:rPr>
        <w:br/>
      </w:r>
    </w:p>
    <w:p w:rsidR="00AE66A3" w:rsidRPr="00DB2987" w:rsidRDefault="008537D6" w:rsidP="00670CC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60" w:lineRule="auto"/>
        <w:jc w:val="left"/>
        <w:rPr>
          <w:rFonts w:asciiTheme="minorBidi" w:eastAsia="Calibri" w:hAnsiTheme="minorBidi" w:cstheme="minorBidi"/>
          <w:lang w:val="es-ES"/>
        </w:rPr>
      </w:pPr>
      <w:r w:rsidRPr="00DB2987">
        <w:rPr>
          <w:rFonts w:asciiTheme="minorBidi" w:eastAsia="Calibri" w:hAnsiTheme="minorBidi" w:cstheme="minorBidi"/>
        </w:rPr>
        <w:t>laboratorios que se dediquen al muestreo y al ensayo;</w:t>
      </w:r>
    </w:p>
    <w:p w:rsidR="00AE66A3" w:rsidRPr="00DB2987" w:rsidRDefault="008537D6" w:rsidP="00670CCB">
      <w:pPr>
        <w:spacing w:after="160" w:line="260" w:lineRule="auto"/>
        <w:jc w:val="left"/>
        <w:rPr>
          <w:rFonts w:asciiTheme="minorBidi" w:eastAsia="Calibri" w:hAnsiTheme="minorBidi" w:cstheme="minorBidi"/>
          <w:bCs/>
          <w:lang w:val="es-ES"/>
        </w:rPr>
      </w:pPr>
      <w:r w:rsidRPr="00DB2987">
        <w:rPr>
          <w:rFonts w:asciiTheme="minorBidi" w:eastAsia="Calibri" w:hAnsiTheme="minorBidi" w:cstheme="minorBidi"/>
          <w:bCs/>
        </w:rPr>
        <w:t>CERTIFICADOS DE LA ISTA:</w:t>
      </w:r>
      <w:r w:rsidR="00AE66A3" w:rsidRPr="00DB2987">
        <w:rPr>
          <w:rFonts w:asciiTheme="minorBidi" w:eastAsia="Calibri" w:hAnsiTheme="minorBidi" w:cstheme="minorBidi"/>
          <w:bCs/>
          <w:lang w:val="es-ES"/>
        </w:rPr>
        <w:t xml:space="preserve"> </w:t>
      </w:r>
      <w:r w:rsidRPr="00DB2987">
        <w:rPr>
          <w:rFonts w:asciiTheme="minorBidi" w:eastAsia="Calibri" w:hAnsiTheme="minorBidi" w:cstheme="minorBidi"/>
          <w:bCs/>
        </w:rPr>
        <w:t>PAS</w:t>
      </w:r>
      <w:r w:rsidR="00E74F0D" w:rsidRPr="00DB2987">
        <w:rPr>
          <w:rFonts w:asciiTheme="minorBidi" w:eastAsia="Calibri" w:hAnsiTheme="minorBidi" w:cstheme="minorBidi"/>
          <w:bCs/>
        </w:rPr>
        <w:t>A</w:t>
      </w:r>
      <w:r w:rsidRPr="00DB2987">
        <w:rPr>
          <w:rFonts w:asciiTheme="minorBidi" w:eastAsia="Calibri" w:hAnsiTheme="minorBidi" w:cstheme="minorBidi"/>
          <w:bCs/>
        </w:rPr>
        <w:t>PORT</w:t>
      </w:r>
      <w:r w:rsidR="00E74F0D" w:rsidRPr="00DB2987">
        <w:rPr>
          <w:rFonts w:asciiTheme="minorBidi" w:eastAsia="Calibri" w:hAnsiTheme="minorBidi" w:cstheme="minorBidi"/>
          <w:bCs/>
        </w:rPr>
        <w:t>E</w:t>
      </w:r>
      <w:r w:rsidRPr="00DB2987">
        <w:rPr>
          <w:rFonts w:asciiTheme="minorBidi" w:eastAsia="Calibri" w:hAnsiTheme="minorBidi" w:cstheme="minorBidi"/>
          <w:bCs/>
        </w:rPr>
        <w:t xml:space="preserve"> </w:t>
      </w:r>
      <w:r w:rsidR="00E74F0D" w:rsidRPr="00DB2987">
        <w:rPr>
          <w:rFonts w:asciiTheme="minorBidi" w:eastAsia="Calibri" w:hAnsiTheme="minorBidi" w:cstheme="minorBidi"/>
          <w:bCs/>
        </w:rPr>
        <w:t>PARA EL COMERCIO</w:t>
      </w:r>
      <w:r w:rsidRPr="00DB2987">
        <w:rPr>
          <w:rFonts w:asciiTheme="minorBidi" w:eastAsia="Calibri" w:hAnsiTheme="minorBidi" w:cstheme="minorBidi"/>
          <w:bCs/>
        </w:rPr>
        <w:t xml:space="preserve"> INTERNACIONAL </w:t>
      </w:r>
      <w:r w:rsidR="00E74F0D" w:rsidRPr="00DB2987">
        <w:rPr>
          <w:rFonts w:asciiTheme="minorBidi" w:eastAsia="Calibri" w:hAnsiTheme="minorBidi" w:cstheme="minorBidi"/>
          <w:bCs/>
        </w:rPr>
        <w:t xml:space="preserve">DE </w:t>
      </w:r>
      <w:r w:rsidRPr="00DB2987">
        <w:rPr>
          <w:rFonts w:asciiTheme="minorBidi" w:eastAsia="Calibri" w:hAnsiTheme="minorBidi" w:cstheme="minorBidi"/>
          <w:bCs/>
        </w:rPr>
        <w:t>SEMILLA</w:t>
      </w:r>
      <w:r w:rsidR="00E74F0D" w:rsidRPr="00DB2987">
        <w:rPr>
          <w:rFonts w:asciiTheme="minorBidi" w:eastAsia="Calibri" w:hAnsiTheme="minorBidi" w:cstheme="minorBidi"/>
          <w:bCs/>
        </w:rPr>
        <w:t>S</w:t>
      </w:r>
    </w:p>
    <w:p w:rsidR="00AE66A3" w:rsidRPr="00DB2987" w:rsidRDefault="00E74F0D" w:rsidP="00670CCB">
      <w:pPr>
        <w:spacing w:after="160" w:line="260" w:lineRule="auto"/>
        <w:rPr>
          <w:rFonts w:eastAsia="Calibri" w:cs="Arial"/>
          <w:lang w:val="es-ES"/>
        </w:rPr>
      </w:pPr>
      <w:r w:rsidRPr="00DB2987">
        <w:rPr>
          <w:rFonts w:eastAsia="Calibri" w:cs="Arial"/>
        </w:rPr>
        <w:t>Solo los laboratorios acreditados por la ISTA poseen autorización para emitir certificados ISTA de análisis de semillas.</w:t>
      </w:r>
    </w:p>
    <w:p w:rsidR="00AE66A3" w:rsidRPr="00DB2987" w:rsidRDefault="00E74F0D" w:rsidP="00670CCB">
      <w:pPr>
        <w:spacing w:after="160" w:line="260" w:lineRule="auto"/>
        <w:rPr>
          <w:rFonts w:eastAsia="Calibri" w:cs="Arial"/>
          <w:lang w:val="es-ES"/>
        </w:rPr>
      </w:pPr>
      <w:r w:rsidRPr="00DB2987">
        <w:rPr>
          <w:rFonts w:eastAsia="Calibri" w:cs="Arial"/>
        </w:rPr>
        <w:t xml:space="preserve">Al </w:t>
      </w:r>
      <w:r w:rsidR="00CE33F4" w:rsidRPr="00DB2987">
        <w:rPr>
          <w:rFonts w:eastAsia="Calibri" w:cs="Arial"/>
        </w:rPr>
        <w:t>notificar</w:t>
      </w:r>
      <w:r w:rsidRPr="00DB2987">
        <w:rPr>
          <w:rFonts w:eastAsia="Calibri" w:cs="Arial"/>
        </w:rPr>
        <w:t xml:space="preserve"> los resultados de</w:t>
      </w:r>
      <w:r w:rsidR="00CE33F4" w:rsidRPr="00DB2987">
        <w:rPr>
          <w:rFonts w:eastAsia="Calibri" w:cs="Arial"/>
        </w:rPr>
        <w:t>l</w:t>
      </w:r>
      <w:r w:rsidRPr="00DB2987">
        <w:rPr>
          <w:rFonts w:eastAsia="Calibri" w:cs="Arial"/>
        </w:rPr>
        <w:t xml:space="preserve"> </w:t>
      </w:r>
      <w:r w:rsidR="00CE33F4" w:rsidRPr="00DB2987">
        <w:rPr>
          <w:rFonts w:eastAsia="Calibri" w:cs="Arial"/>
        </w:rPr>
        <w:t>ensayo</w:t>
      </w:r>
      <w:r w:rsidRPr="00DB2987">
        <w:rPr>
          <w:rFonts w:eastAsia="Calibri" w:cs="Arial"/>
        </w:rPr>
        <w:t xml:space="preserve"> de semillas en </w:t>
      </w:r>
      <w:r w:rsidR="00CE33F4" w:rsidRPr="00DB2987">
        <w:rPr>
          <w:rFonts w:eastAsia="Calibri" w:cs="Arial"/>
        </w:rPr>
        <w:t>un</w:t>
      </w:r>
      <w:r w:rsidRPr="00DB2987">
        <w:rPr>
          <w:rFonts w:eastAsia="Calibri" w:cs="Arial"/>
        </w:rPr>
        <w:t xml:space="preserve"> certificado ISTA</w:t>
      </w:r>
      <w:r w:rsidR="00AF0490" w:rsidRPr="00DB2987">
        <w:rPr>
          <w:rFonts w:eastAsia="Calibri" w:cs="Arial"/>
        </w:rPr>
        <w:t xml:space="preserve">, </w:t>
      </w:r>
      <w:r w:rsidRPr="00DB2987">
        <w:rPr>
          <w:rFonts w:eastAsia="Calibri" w:cs="Arial"/>
        </w:rPr>
        <w:t xml:space="preserve">el laboratorio emisor garantiza que el muestreo y </w:t>
      </w:r>
      <w:r w:rsidR="00CE33F4" w:rsidRPr="00DB2987">
        <w:rPr>
          <w:rFonts w:eastAsia="Calibri" w:cs="Arial"/>
        </w:rPr>
        <w:t>el ensayo</w:t>
      </w:r>
      <w:r w:rsidRPr="00DB2987">
        <w:rPr>
          <w:rFonts w:eastAsia="Calibri" w:cs="Arial"/>
        </w:rPr>
        <w:t xml:space="preserve"> se han realizado </w:t>
      </w:r>
      <w:r w:rsidR="00CE33F4" w:rsidRPr="00DB2987">
        <w:rPr>
          <w:rFonts w:eastAsia="Calibri" w:cs="Arial"/>
        </w:rPr>
        <w:t>de conformidad con</w:t>
      </w:r>
      <w:r w:rsidRPr="00DB2987">
        <w:rPr>
          <w:rFonts w:eastAsia="Calibri" w:cs="Arial"/>
        </w:rPr>
        <w:t xml:space="preserve"> las normas </w:t>
      </w:r>
      <w:r w:rsidR="00CE33F4" w:rsidRPr="00DB2987">
        <w:rPr>
          <w:rFonts w:eastAsia="Calibri" w:cs="Arial"/>
        </w:rPr>
        <w:t>de la</w:t>
      </w:r>
      <w:r w:rsidR="007B77F5" w:rsidRPr="00DB2987">
        <w:rPr>
          <w:rFonts w:eastAsia="Calibri" w:cs="Arial"/>
        </w:rPr>
        <w:t xml:space="preserve"> asociación</w:t>
      </w:r>
      <w:r w:rsidR="00CE33F4" w:rsidRPr="00DB2987">
        <w:rPr>
          <w:rFonts w:eastAsia="Calibri" w:cs="Arial"/>
        </w:rPr>
        <w:t>.</w:t>
      </w:r>
      <w:r w:rsidR="00AE66A3" w:rsidRPr="00DB2987">
        <w:rPr>
          <w:rFonts w:eastAsia="Calibri" w:cs="Arial"/>
          <w:lang w:val="es-ES"/>
        </w:rPr>
        <w:t xml:space="preserve"> </w:t>
      </w:r>
      <w:r w:rsidR="00CE33F4" w:rsidRPr="00DB2987">
        <w:rPr>
          <w:rFonts w:eastAsia="Calibri" w:cs="Arial"/>
        </w:rPr>
        <w:t>Los certificados ISTA son aceptados por la mayor parte de las autoridades y se mencionan en las leyes sobre semillas de varios países.</w:t>
      </w:r>
    </w:p>
    <w:p w:rsidR="00AE66A3" w:rsidRPr="00DB2987" w:rsidRDefault="00CE33F4" w:rsidP="00670CCB">
      <w:pPr>
        <w:spacing w:after="160" w:line="260" w:lineRule="auto"/>
        <w:rPr>
          <w:rFonts w:eastAsia="Calibri" w:cs="Arial"/>
          <w:lang w:val="es-ES"/>
        </w:rPr>
      </w:pPr>
      <w:r w:rsidRPr="00DB2987">
        <w:rPr>
          <w:rFonts w:eastAsia="Calibri" w:cs="Arial"/>
        </w:rPr>
        <w:t>Los certificados ISTA garantizan que los resultados son exactos y reproducibles e indican la calidad de las semillas analizadas.</w:t>
      </w:r>
    </w:p>
    <w:p w:rsidR="00AE66A3" w:rsidRPr="00DB2987" w:rsidRDefault="00AE66A3" w:rsidP="00AE66A3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val="es-ES"/>
        </w:rPr>
      </w:pPr>
    </w:p>
    <w:p w:rsidR="00AE66A3" w:rsidRPr="00DB2987" w:rsidRDefault="00B61D54" w:rsidP="00AE66A3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val="es-ES"/>
        </w:rPr>
      </w:pPr>
      <w:r w:rsidRPr="00DB2987">
        <w:rPr>
          <w:rFonts w:ascii="Calibri" w:eastAsia="Calibri" w:hAnsi="Calibri"/>
          <w:noProof/>
          <w:sz w:val="22"/>
          <w:szCs w:val="22"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963930</wp:posOffset>
            </wp:positionH>
            <wp:positionV relativeFrom="paragraph">
              <wp:posOffset>49530</wp:posOffset>
            </wp:positionV>
            <wp:extent cx="4123055" cy="1744980"/>
            <wp:effectExtent l="38100" t="0" r="48895" b="0"/>
            <wp:wrapNone/>
            <wp:docPr id="1" name="Di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anchor>
        </w:drawing>
      </w:r>
    </w:p>
    <w:p w:rsidR="00AE66A3" w:rsidRPr="00DB2987" w:rsidRDefault="00AE66A3" w:rsidP="00AE66A3">
      <w:pPr>
        <w:tabs>
          <w:tab w:val="left" w:pos="3102"/>
          <w:tab w:val="left" w:pos="6961"/>
        </w:tabs>
        <w:spacing w:after="160" w:line="259" w:lineRule="auto"/>
        <w:jc w:val="left"/>
        <w:rPr>
          <w:rFonts w:ascii="Calibri" w:eastAsia="Calibri" w:hAnsi="Calibri"/>
          <w:sz w:val="22"/>
          <w:szCs w:val="22"/>
          <w:lang w:val="es-ES"/>
        </w:rPr>
      </w:pPr>
    </w:p>
    <w:p w:rsidR="00AE66A3" w:rsidRPr="00DB2987" w:rsidRDefault="00AE66A3" w:rsidP="00AE66A3">
      <w:pPr>
        <w:tabs>
          <w:tab w:val="left" w:pos="7433"/>
        </w:tabs>
        <w:spacing w:after="160" w:line="259" w:lineRule="auto"/>
        <w:jc w:val="left"/>
        <w:rPr>
          <w:rFonts w:ascii="Calibri" w:eastAsia="Calibri" w:hAnsi="Calibri"/>
          <w:sz w:val="22"/>
          <w:szCs w:val="22"/>
          <w:lang w:val="es-ES"/>
        </w:rPr>
      </w:pPr>
    </w:p>
    <w:p w:rsidR="00B61D54" w:rsidRPr="00DB2987" w:rsidRDefault="00B61D54" w:rsidP="00670CCB">
      <w:pPr>
        <w:spacing w:after="160" w:line="260" w:lineRule="auto"/>
        <w:rPr>
          <w:rFonts w:eastAsia="Calibri" w:cs="Arial"/>
        </w:rPr>
      </w:pPr>
    </w:p>
    <w:p w:rsidR="00B61D54" w:rsidRPr="00DB2987" w:rsidRDefault="00B61D54" w:rsidP="00670CCB">
      <w:pPr>
        <w:spacing w:after="160" w:line="260" w:lineRule="auto"/>
        <w:rPr>
          <w:rFonts w:eastAsia="Calibri" w:cs="Arial"/>
        </w:rPr>
      </w:pPr>
    </w:p>
    <w:p w:rsidR="00B61D54" w:rsidRPr="00DB2987" w:rsidRDefault="00B61D54" w:rsidP="00670CCB">
      <w:pPr>
        <w:spacing w:after="160" w:line="260" w:lineRule="auto"/>
        <w:rPr>
          <w:rFonts w:eastAsia="Calibri" w:cs="Arial"/>
        </w:rPr>
      </w:pPr>
    </w:p>
    <w:p w:rsidR="00B61D54" w:rsidRPr="00DB2987" w:rsidRDefault="00B61D54" w:rsidP="00670CCB">
      <w:pPr>
        <w:spacing w:after="160" w:line="260" w:lineRule="auto"/>
        <w:rPr>
          <w:rFonts w:eastAsia="Calibri" w:cs="Arial"/>
        </w:rPr>
      </w:pPr>
    </w:p>
    <w:p w:rsidR="00AE66A3" w:rsidRPr="00DB2987" w:rsidRDefault="00CE33F4" w:rsidP="00670CCB">
      <w:pPr>
        <w:spacing w:after="160" w:line="260" w:lineRule="auto"/>
        <w:rPr>
          <w:rFonts w:eastAsia="Calibri" w:cs="Arial"/>
          <w:lang w:val="es-ES"/>
        </w:rPr>
      </w:pPr>
      <w:r w:rsidRPr="00DB2987">
        <w:rPr>
          <w:rFonts w:eastAsia="Calibri" w:cs="Arial"/>
        </w:rPr>
        <w:t>Cada año se emiten más de 200.000 certificados naranjas y azules de la ISTA</w:t>
      </w:r>
      <w:r w:rsidR="00AF0490" w:rsidRPr="00DB2987">
        <w:rPr>
          <w:rFonts w:eastAsia="Calibri" w:cs="Arial"/>
        </w:rPr>
        <w:t xml:space="preserve">, </w:t>
      </w:r>
      <w:r w:rsidRPr="00DB2987">
        <w:rPr>
          <w:rFonts w:eastAsia="Calibri" w:cs="Arial"/>
        </w:rPr>
        <w:t>que facilitan el comercio internacional de semillas.</w:t>
      </w:r>
    </w:p>
    <w:p w:rsidR="00AE66A3" w:rsidRPr="00DB2987" w:rsidRDefault="00AE66A3" w:rsidP="00AE66A3">
      <w:pPr>
        <w:spacing w:line="259" w:lineRule="auto"/>
        <w:rPr>
          <w:rFonts w:eastAsia="Calibri" w:cs="Arial"/>
          <w:lang w:val="es-ES"/>
        </w:rPr>
      </w:pPr>
    </w:p>
    <w:p w:rsidR="00AE66A3" w:rsidRPr="00DB2987" w:rsidRDefault="00CE33F4" w:rsidP="00670CCB">
      <w:pPr>
        <w:spacing w:after="160" w:line="260" w:lineRule="auto"/>
        <w:rPr>
          <w:rFonts w:eastAsia="Calibri" w:cs="Arial"/>
          <w:b/>
          <w:bCs/>
          <w:lang w:val="es-ES"/>
        </w:rPr>
      </w:pPr>
      <w:r w:rsidRPr="00DB2987">
        <w:rPr>
          <w:rFonts w:eastAsia="Calibri" w:cs="Arial"/>
          <w:b/>
          <w:bCs/>
        </w:rPr>
        <w:t>SITUACIÓN DE LAS TÉCNICAS BIOQUÍMICAS Y MOLECULARES EN LA ISTA</w:t>
      </w:r>
    </w:p>
    <w:p w:rsidR="00B61D54" w:rsidRPr="00DB2987" w:rsidRDefault="00701175" w:rsidP="00B61D54">
      <w:pPr>
        <w:spacing w:after="160" w:line="260" w:lineRule="auto"/>
        <w:rPr>
          <w:rFonts w:eastAsia="Calibri" w:cs="Arial"/>
        </w:rPr>
      </w:pPr>
      <w:r w:rsidRPr="00DB2987">
        <w:rPr>
          <w:rFonts w:eastAsia="Calibri" w:cs="Arial"/>
        </w:rPr>
        <w:t xml:space="preserve">Las </w:t>
      </w:r>
      <w:r w:rsidR="00CE33F4" w:rsidRPr="00DB2987">
        <w:rPr>
          <w:rFonts w:eastAsia="Calibri" w:cs="Arial"/>
        </w:rPr>
        <w:t>normas internacionales de la</w:t>
      </w:r>
      <w:r w:rsidRPr="00DB2987">
        <w:rPr>
          <w:rFonts w:eastAsia="Calibri" w:cs="Arial"/>
        </w:rPr>
        <w:t> </w:t>
      </w:r>
      <w:r w:rsidR="00CE33F4" w:rsidRPr="00DB2987">
        <w:rPr>
          <w:rFonts w:eastAsia="Calibri" w:cs="Arial"/>
        </w:rPr>
        <w:t>ISTA para el ensayo de semillas</w:t>
      </w:r>
      <w:r w:rsidRPr="00DB2987">
        <w:rPr>
          <w:rFonts w:eastAsia="Calibri" w:cs="Arial"/>
        </w:rPr>
        <w:t xml:space="preserve"> contemplan las técnicas bioquímicas y moleculares desde hace muchos años.</w:t>
      </w:r>
      <w:r w:rsidR="00AE66A3" w:rsidRPr="00DB2987">
        <w:rPr>
          <w:rFonts w:eastAsia="Calibri" w:cs="Arial"/>
        </w:rPr>
        <w:t xml:space="preserve"> </w:t>
      </w:r>
      <w:r w:rsidR="002F4EE2" w:rsidRPr="00DB2987">
        <w:rPr>
          <w:rFonts w:eastAsia="Calibri" w:cs="Arial"/>
        </w:rPr>
        <w:t>Dichas técnicas son admisibles</w:t>
      </w:r>
      <w:r w:rsidR="00AF0490" w:rsidRPr="00DB2987">
        <w:rPr>
          <w:rFonts w:eastAsia="Calibri" w:cs="Arial"/>
        </w:rPr>
        <w:t xml:space="preserve">, </w:t>
      </w:r>
      <w:r w:rsidR="002F4EE2" w:rsidRPr="00DB2987">
        <w:rPr>
          <w:rFonts w:eastAsia="Calibri" w:cs="Arial"/>
        </w:rPr>
        <w:t>por ejemplo</w:t>
      </w:r>
      <w:r w:rsidR="00AF0490" w:rsidRPr="00DB2987">
        <w:rPr>
          <w:rFonts w:eastAsia="Calibri" w:cs="Arial"/>
        </w:rPr>
        <w:t xml:space="preserve">, </w:t>
      </w:r>
      <w:r w:rsidR="002F4EE2" w:rsidRPr="00DB2987">
        <w:rPr>
          <w:rFonts w:eastAsia="Calibri" w:cs="Arial"/>
        </w:rPr>
        <w:t xml:space="preserve">para ensayos de organismos modificados genéticamente </w:t>
      </w:r>
      <w:r w:rsidR="00B46CE7" w:rsidRPr="00DB2987">
        <w:rPr>
          <w:rFonts w:eastAsia="Calibri" w:cs="Arial"/>
        </w:rPr>
        <w:t>en los que se aplique</w:t>
      </w:r>
      <w:r w:rsidR="002F4EE2" w:rsidRPr="00DB2987">
        <w:rPr>
          <w:rFonts w:eastAsia="Calibri" w:cs="Arial"/>
        </w:rPr>
        <w:t xml:space="preserve"> un </w:t>
      </w:r>
      <w:r w:rsidR="008259F8" w:rsidRPr="00DB2987">
        <w:rPr>
          <w:rFonts w:eastAsia="Calibri" w:cs="Arial"/>
        </w:rPr>
        <w:t>“</w:t>
      </w:r>
      <w:r w:rsidR="002F4EE2" w:rsidRPr="00DB2987">
        <w:rPr>
          <w:rFonts w:eastAsia="Calibri" w:cs="Arial"/>
        </w:rPr>
        <w:t xml:space="preserve">enfoque </w:t>
      </w:r>
      <w:r w:rsidR="008259F8" w:rsidRPr="00DB2987">
        <w:rPr>
          <w:rFonts w:eastAsia="Calibri" w:cs="Arial"/>
        </w:rPr>
        <w:t>orientado a los resultados”</w:t>
      </w:r>
      <w:r w:rsidR="00B46CE7" w:rsidRPr="00DB2987">
        <w:rPr>
          <w:rFonts w:eastAsia="Calibri" w:cs="Arial"/>
        </w:rPr>
        <w:t>.</w:t>
      </w:r>
      <w:r w:rsidR="002F4EE2" w:rsidRPr="00DB2987">
        <w:rPr>
          <w:rFonts w:eastAsia="Calibri" w:cs="Arial"/>
        </w:rPr>
        <w:t xml:space="preserve"> </w:t>
      </w:r>
      <w:r w:rsidR="00B46CE7" w:rsidRPr="00DB2987">
        <w:rPr>
          <w:rFonts w:eastAsia="Calibri" w:cs="Arial"/>
        </w:rPr>
        <w:t xml:space="preserve">Entre </w:t>
      </w:r>
      <w:r w:rsidR="002F4EE2" w:rsidRPr="00DB2987">
        <w:rPr>
          <w:rFonts w:eastAsia="Calibri" w:cs="Arial"/>
        </w:rPr>
        <w:t xml:space="preserve">los métodos </w:t>
      </w:r>
      <w:r w:rsidR="00B46CE7" w:rsidRPr="00DB2987">
        <w:rPr>
          <w:rFonts w:eastAsia="Calibri" w:cs="Arial"/>
        </w:rPr>
        <w:t xml:space="preserve">empleados </w:t>
      </w:r>
      <w:r w:rsidR="002F4EE2" w:rsidRPr="00DB2987">
        <w:rPr>
          <w:rFonts w:eastAsia="Calibri" w:cs="Arial"/>
        </w:rPr>
        <w:t xml:space="preserve">con </w:t>
      </w:r>
      <w:r w:rsidR="00B46CE7" w:rsidRPr="00DB2987">
        <w:rPr>
          <w:rFonts w:eastAsia="Calibri" w:cs="Arial"/>
        </w:rPr>
        <w:t xml:space="preserve">mayor </w:t>
      </w:r>
      <w:r w:rsidR="002F4EE2" w:rsidRPr="00DB2987">
        <w:rPr>
          <w:rFonts w:eastAsia="Calibri" w:cs="Arial"/>
        </w:rPr>
        <w:t xml:space="preserve">frecuencia </w:t>
      </w:r>
      <w:r w:rsidR="008868E7" w:rsidRPr="00DB2987">
        <w:rPr>
          <w:rFonts w:eastAsia="Calibri" w:cs="Arial"/>
        </w:rPr>
        <w:t>se encuentran</w:t>
      </w:r>
      <w:r w:rsidR="00B46CE7" w:rsidRPr="00DB2987">
        <w:rPr>
          <w:rFonts w:eastAsia="Calibri" w:cs="Arial"/>
        </w:rPr>
        <w:t xml:space="preserve"> los </w:t>
      </w:r>
      <w:r w:rsidR="002F4EE2" w:rsidRPr="00DB2987">
        <w:rPr>
          <w:rFonts w:eastAsia="Calibri" w:cs="Arial"/>
        </w:rPr>
        <w:t>análisis cualitativos y cuantitativos de detección de proteínas y varios métodos basados en el ADN.</w:t>
      </w:r>
      <w:r w:rsidR="006A665F" w:rsidRPr="00DB2987">
        <w:rPr>
          <w:rFonts w:eastAsia="Calibri" w:cs="Arial"/>
        </w:rPr>
        <w:t xml:space="preserve"> </w:t>
      </w:r>
      <w:r w:rsidR="00B46CE7" w:rsidRPr="00DB2987">
        <w:rPr>
          <w:rFonts w:eastAsia="Calibri" w:cs="Arial"/>
        </w:rPr>
        <w:t>Las técnicas bioquímicas y moleculares se utilizan con fines de evaluación diagnóstica y cuantitativa en métodos de examen de la sanidad de las semillas.</w:t>
      </w:r>
      <w:r w:rsidR="00AE66A3" w:rsidRPr="00DB2987">
        <w:rPr>
          <w:rFonts w:eastAsia="Calibri" w:cs="Arial"/>
        </w:rPr>
        <w:t xml:space="preserve"> </w:t>
      </w:r>
      <w:r w:rsidR="00F36C27" w:rsidRPr="00DB2987">
        <w:rPr>
          <w:rFonts w:eastAsia="Calibri" w:cs="Arial"/>
        </w:rPr>
        <w:t xml:space="preserve">También se utilizan técnicas bioquímicas y moleculares para la </w:t>
      </w:r>
      <w:r w:rsidR="00B46CE7" w:rsidRPr="00DB2987">
        <w:rPr>
          <w:rFonts w:eastAsia="Calibri" w:cs="Arial"/>
        </w:rPr>
        <w:t>verificación de especies y variedades</w:t>
      </w:r>
      <w:r w:rsidR="00AF0490" w:rsidRPr="00DB2987">
        <w:rPr>
          <w:rFonts w:eastAsia="Calibri" w:cs="Arial"/>
        </w:rPr>
        <w:t xml:space="preserve">, </w:t>
      </w:r>
      <w:r w:rsidR="00F36C27" w:rsidRPr="00DB2987">
        <w:rPr>
          <w:rFonts w:eastAsia="Calibri" w:cs="Arial"/>
        </w:rPr>
        <w:t>por ejemplo</w:t>
      </w:r>
      <w:r w:rsidR="00AF0490" w:rsidRPr="00DB2987">
        <w:rPr>
          <w:rFonts w:eastAsia="Calibri" w:cs="Arial"/>
        </w:rPr>
        <w:t xml:space="preserve">, </w:t>
      </w:r>
      <w:r w:rsidR="002913FD" w:rsidRPr="00DB2987">
        <w:rPr>
          <w:rFonts w:eastAsia="Calibri" w:cs="Arial"/>
        </w:rPr>
        <w:t xml:space="preserve">en el </w:t>
      </w:r>
      <w:r w:rsidR="00F36C27" w:rsidRPr="00DB2987">
        <w:rPr>
          <w:rFonts w:eastAsia="Calibri" w:cs="Arial"/>
        </w:rPr>
        <w:t xml:space="preserve">análisis de perfiles de proteínas de </w:t>
      </w:r>
      <w:r w:rsidR="00B46CE7" w:rsidRPr="00DB2987">
        <w:rPr>
          <w:rFonts w:eastAsia="Calibri" w:cs="Arial"/>
        </w:rPr>
        <w:t xml:space="preserve">almacenamiento </w:t>
      </w:r>
      <w:r w:rsidR="002913FD" w:rsidRPr="00DB2987">
        <w:rPr>
          <w:rFonts w:eastAsia="Calibri" w:cs="Arial"/>
        </w:rPr>
        <w:t>en</w:t>
      </w:r>
      <w:r w:rsidR="00F36C27" w:rsidRPr="00DB2987">
        <w:rPr>
          <w:rFonts w:eastAsia="Calibri" w:cs="Arial"/>
        </w:rPr>
        <w:t xml:space="preserve"> </w:t>
      </w:r>
      <w:r w:rsidR="00B46CE7" w:rsidRPr="00DB2987">
        <w:rPr>
          <w:rFonts w:eastAsia="Calibri" w:cs="Arial"/>
        </w:rPr>
        <w:t>girasol</w:t>
      </w:r>
      <w:r w:rsidR="00AF0490" w:rsidRPr="00DB2987">
        <w:rPr>
          <w:rFonts w:eastAsia="Calibri" w:cs="Arial"/>
        </w:rPr>
        <w:t xml:space="preserve">, </w:t>
      </w:r>
      <w:r w:rsidR="00B46CE7" w:rsidRPr="00DB2987">
        <w:rPr>
          <w:rFonts w:eastAsia="Calibri" w:cs="Arial"/>
        </w:rPr>
        <w:t>maíz</w:t>
      </w:r>
      <w:r w:rsidR="00AF0490" w:rsidRPr="00DB2987">
        <w:rPr>
          <w:rFonts w:eastAsia="Calibri" w:cs="Arial"/>
        </w:rPr>
        <w:t xml:space="preserve">, </w:t>
      </w:r>
      <w:r w:rsidR="00B46CE7" w:rsidRPr="00DB2987">
        <w:rPr>
          <w:rFonts w:eastAsia="Calibri" w:cs="Arial"/>
        </w:rPr>
        <w:t>avena</w:t>
      </w:r>
      <w:r w:rsidR="00AF0490" w:rsidRPr="00DB2987">
        <w:rPr>
          <w:rFonts w:eastAsia="Calibri" w:cs="Arial"/>
        </w:rPr>
        <w:t xml:space="preserve">, </w:t>
      </w:r>
      <w:r w:rsidR="00B46CE7" w:rsidRPr="00DB2987">
        <w:rPr>
          <w:rFonts w:eastAsia="Calibri" w:cs="Arial"/>
        </w:rPr>
        <w:t>cebada</w:t>
      </w:r>
      <w:r w:rsidR="00AF0490" w:rsidRPr="00DB2987">
        <w:rPr>
          <w:rFonts w:eastAsia="Calibri" w:cs="Arial"/>
        </w:rPr>
        <w:t xml:space="preserve">, </w:t>
      </w:r>
      <w:r w:rsidR="00B46CE7" w:rsidRPr="00DB2987">
        <w:rPr>
          <w:rFonts w:eastAsia="Calibri" w:cs="Arial"/>
        </w:rPr>
        <w:t>trigo</w:t>
      </w:r>
      <w:r w:rsidR="00AF0490" w:rsidRPr="00DB2987">
        <w:rPr>
          <w:rFonts w:eastAsia="Calibri" w:cs="Arial"/>
        </w:rPr>
        <w:t xml:space="preserve">, </w:t>
      </w:r>
      <w:proofErr w:type="spellStart"/>
      <w:r w:rsidR="00B46CE7" w:rsidRPr="00DB2987">
        <w:rPr>
          <w:rFonts w:eastAsia="Calibri" w:cs="Arial"/>
        </w:rPr>
        <w:t>raygrás</w:t>
      </w:r>
      <w:proofErr w:type="spellEnd"/>
      <w:r w:rsidR="00B46CE7" w:rsidRPr="00DB2987">
        <w:rPr>
          <w:rFonts w:eastAsia="Calibri" w:cs="Arial"/>
        </w:rPr>
        <w:t xml:space="preserve"> y guisante/arveja</w:t>
      </w:r>
      <w:r w:rsidR="008868E7" w:rsidRPr="00DB2987">
        <w:rPr>
          <w:rFonts w:eastAsia="Calibri" w:cs="Arial"/>
        </w:rPr>
        <w:t>,</w:t>
      </w:r>
      <w:r w:rsidR="00B46CE7" w:rsidRPr="00DB2987">
        <w:rPr>
          <w:rFonts w:eastAsia="Calibri" w:cs="Arial"/>
        </w:rPr>
        <w:t xml:space="preserve"> o </w:t>
      </w:r>
      <w:r w:rsidR="002913FD" w:rsidRPr="00DB2987">
        <w:rPr>
          <w:rFonts w:eastAsia="Calibri" w:cs="Arial"/>
        </w:rPr>
        <w:t xml:space="preserve">de perfiles de </w:t>
      </w:r>
      <w:r w:rsidR="00B46CE7" w:rsidRPr="00DB2987">
        <w:rPr>
          <w:rFonts w:eastAsia="Calibri" w:cs="Arial"/>
        </w:rPr>
        <w:t xml:space="preserve">ADN </w:t>
      </w:r>
      <w:r w:rsidR="002913FD" w:rsidRPr="00DB2987">
        <w:rPr>
          <w:rFonts w:eastAsia="Calibri" w:cs="Arial"/>
        </w:rPr>
        <w:t xml:space="preserve">mediante </w:t>
      </w:r>
      <w:r w:rsidR="00B46CE7" w:rsidRPr="00DB2987">
        <w:rPr>
          <w:rFonts w:eastAsia="Calibri" w:cs="Arial"/>
        </w:rPr>
        <w:t xml:space="preserve">marcadores moleculares </w:t>
      </w:r>
      <w:r w:rsidR="002913FD" w:rsidRPr="00DB2987">
        <w:rPr>
          <w:rFonts w:eastAsia="Calibri" w:cs="Arial"/>
        </w:rPr>
        <w:t xml:space="preserve">en </w:t>
      </w:r>
      <w:r w:rsidR="00B46CE7" w:rsidRPr="00DB2987">
        <w:rPr>
          <w:rFonts w:eastAsia="Calibri" w:cs="Arial"/>
        </w:rPr>
        <w:t>maíz y trigo.</w:t>
      </w:r>
      <w:r w:rsidR="00AE66A3" w:rsidRPr="00DB2987">
        <w:rPr>
          <w:rFonts w:eastAsia="Calibri" w:cs="Arial"/>
        </w:rPr>
        <w:t xml:space="preserve"> </w:t>
      </w:r>
      <w:r w:rsidR="008E7B38" w:rsidRPr="00DB2987">
        <w:rPr>
          <w:rFonts w:eastAsia="Calibri" w:cs="Arial"/>
        </w:rPr>
        <w:t>Dadas la cada vez mayor versatilidad y la disminución del costo de estos métodos</w:t>
      </w:r>
      <w:r w:rsidR="00AF0490" w:rsidRPr="00DB2987">
        <w:rPr>
          <w:rFonts w:eastAsia="Calibri" w:cs="Arial"/>
        </w:rPr>
        <w:t xml:space="preserve">, </w:t>
      </w:r>
      <w:r w:rsidR="008E7B38" w:rsidRPr="00DB2987">
        <w:rPr>
          <w:rFonts w:eastAsia="Calibri" w:cs="Arial"/>
        </w:rPr>
        <w:t>es posible que en el futuro se extienda su uso para el ensayo de semillas.</w:t>
      </w:r>
    </w:p>
    <w:p w:rsidR="00AE66A3" w:rsidRPr="00DB2987" w:rsidRDefault="008E7B38" w:rsidP="00B61D54">
      <w:pPr>
        <w:spacing w:after="160" w:line="260" w:lineRule="auto"/>
        <w:rPr>
          <w:rFonts w:eastAsia="Calibri" w:cs="Arial"/>
          <w:lang w:val="es-ES"/>
        </w:rPr>
      </w:pPr>
      <w:r w:rsidRPr="00DB2987">
        <w:rPr>
          <w:rFonts w:eastAsia="Calibri" w:cs="Arial"/>
        </w:rPr>
        <w:t>Se ofrece más información acerca de la ISTA en su sitio web:</w:t>
      </w:r>
      <w:r w:rsidR="00AE66A3" w:rsidRPr="00DB2987">
        <w:rPr>
          <w:rFonts w:eastAsia="Calibri" w:cs="Arial"/>
          <w:lang w:val="es-ES"/>
        </w:rPr>
        <w:t xml:space="preserve"> </w:t>
      </w:r>
      <w:hyperlink r:id="rId22" w:history="1">
        <w:r w:rsidR="00AE66A3" w:rsidRPr="00DB2987">
          <w:rPr>
            <w:rFonts w:eastAsia="Calibri" w:cs="Arial"/>
            <w:lang w:val="es-ES"/>
          </w:rPr>
          <w:t>www.seedtest.org</w:t>
        </w:r>
      </w:hyperlink>
    </w:p>
    <w:p w:rsidR="00AE66A3" w:rsidRPr="00DB2987" w:rsidRDefault="00AE66A3" w:rsidP="00AE66A3">
      <w:pPr>
        <w:rPr>
          <w:lang w:val="es-ES"/>
        </w:rPr>
      </w:pPr>
    </w:p>
    <w:p w:rsidR="00AE66A3" w:rsidRPr="00DB2987" w:rsidRDefault="00AE66A3" w:rsidP="00AE66A3">
      <w:pPr>
        <w:jc w:val="left"/>
        <w:rPr>
          <w:lang w:val="es-ES"/>
        </w:rPr>
      </w:pPr>
    </w:p>
    <w:p w:rsidR="00AE66A3" w:rsidRPr="00DB2987" w:rsidRDefault="00AE66A3" w:rsidP="00AE66A3">
      <w:pPr>
        <w:rPr>
          <w:lang w:val="es-ES"/>
        </w:rPr>
      </w:pPr>
    </w:p>
    <w:p w:rsidR="00050E16" w:rsidRPr="00DB2987" w:rsidRDefault="00050E16" w:rsidP="00AE66A3">
      <w:pPr>
        <w:jc w:val="right"/>
        <w:rPr>
          <w:lang w:val="es-ES"/>
        </w:rPr>
      </w:pPr>
      <w:r w:rsidRPr="00DB2987">
        <w:rPr>
          <w:lang w:val="es-ES"/>
        </w:rPr>
        <w:t>[</w:t>
      </w:r>
      <w:r w:rsidR="000638A9" w:rsidRPr="00DB2987">
        <w:rPr>
          <w:lang w:val="es-ES"/>
        </w:rPr>
        <w:t>Fin del</w:t>
      </w:r>
      <w:r w:rsidR="007B41F1" w:rsidRPr="00DB2987">
        <w:rPr>
          <w:lang w:val="es-ES"/>
        </w:rPr>
        <w:t xml:space="preserve"> Anexo II y del</w:t>
      </w:r>
      <w:r w:rsidR="000638A9" w:rsidRPr="00DB2987">
        <w:rPr>
          <w:lang w:val="es-ES"/>
        </w:rPr>
        <w:t xml:space="preserve"> documento</w:t>
      </w:r>
      <w:r w:rsidRPr="00DB2987">
        <w:rPr>
          <w:lang w:val="es-ES"/>
        </w:rPr>
        <w:t>]</w:t>
      </w:r>
    </w:p>
    <w:sectPr w:rsidR="00050E16" w:rsidRPr="00DB2987" w:rsidSect="007B41F1">
      <w:headerReference w:type="default" r:id="rId23"/>
      <w:headerReference w:type="first" r:id="rId24"/>
      <w:footerReference w:type="first" r:id="rId25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E9E" w:rsidRDefault="00801E9E" w:rsidP="006655D3">
      <w:r>
        <w:separator/>
      </w:r>
    </w:p>
    <w:p w:rsidR="00801E9E" w:rsidRDefault="00801E9E" w:rsidP="006655D3"/>
    <w:p w:rsidR="00801E9E" w:rsidRDefault="00801E9E" w:rsidP="006655D3"/>
  </w:endnote>
  <w:endnote w:type="continuationSeparator" w:id="0">
    <w:p w:rsidR="00801E9E" w:rsidRDefault="00801E9E" w:rsidP="006655D3">
      <w:r>
        <w:separator/>
      </w:r>
    </w:p>
    <w:p w:rsidR="00801E9E" w:rsidRPr="00294751" w:rsidRDefault="00801E9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801E9E" w:rsidRPr="00294751" w:rsidRDefault="00801E9E" w:rsidP="006655D3">
      <w:pPr>
        <w:rPr>
          <w:lang w:val="fr-FR"/>
        </w:rPr>
      </w:pPr>
    </w:p>
    <w:p w:rsidR="00801E9E" w:rsidRPr="00294751" w:rsidRDefault="00801E9E" w:rsidP="006655D3">
      <w:pPr>
        <w:rPr>
          <w:lang w:val="fr-FR"/>
        </w:rPr>
      </w:pPr>
    </w:p>
  </w:endnote>
  <w:endnote w:type="continuationNotice" w:id="1">
    <w:p w:rsidR="00801E9E" w:rsidRPr="00294751" w:rsidRDefault="00801E9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801E9E" w:rsidRPr="00294751" w:rsidRDefault="00801E9E" w:rsidP="006655D3">
      <w:pPr>
        <w:rPr>
          <w:lang w:val="fr-FR"/>
        </w:rPr>
      </w:pPr>
    </w:p>
    <w:p w:rsidR="00801E9E" w:rsidRPr="00294751" w:rsidRDefault="00801E9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1B6" w:rsidRPr="00DB2987" w:rsidRDefault="00D661B6" w:rsidP="00D661B6">
    <w:pPr>
      <w:spacing w:before="2"/>
      <w:rPr>
        <w:rFonts w:asciiTheme="minorBidi" w:hAnsiTheme="minorBidi" w:cstheme="minorBidi"/>
        <w:sz w:val="18"/>
        <w:szCs w:val="18"/>
        <w:lang w:val="es-ES"/>
      </w:rPr>
    </w:pPr>
    <w:r w:rsidRPr="00863E05">
      <w:rPr>
        <w:rFonts w:asciiTheme="minorBidi" w:hAnsiTheme="minorBidi" w:cstheme="minorBidi"/>
        <w:noProof/>
        <w:sz w:val="18"/>
        <w:szCs w:val="18"/>
        <w:vertAlign w:val="superscript"/>
        <w:lang w:val="en-US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4E6BF40" wp14:editId="6343C840">
              <wp:simplePos x="0" y="0"/>
              <wp:positionH relativeFrom="page">
                <wp:posOffset>457200</wp:posOffset>
              </wp:positionH>
              <wp:positionV relativeFrom="paragraph">
                <wp:posOffset>139700</wp:posOffset>
              </wp:positionV>
              <wp:extent cx="1829435" cy="1270"/>
              <wp:effectExtent l="0" t="0" r="0" b="0"/>
              <wp:wrapTopAndBottom/>
              <wp:docPr id="5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29435" cy="1270"/>
                      </a:xfrm>
                      <a:custGeom>
                        <a:avLst/>
                        <a:gdLst>
                          <a:gd name="T0" fmla="+- 0 720 720"/>
                          <a:gd name="T1" fmla="*/ T0 w 2881"/>
                          <a:gd name="T2" fmla="+- 0 3600 720"/>
                          <a:gd name="T3" fmla="*/ T2 w 2881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2881">
                            <a:moveTo>
                              <a:pt x="0" y="0"/>
                            </a:moveTo>
                            <a:lnTo>
                              <a:pt x="2880" y="0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F2A57C" id="Freeform 5" o:spid="_x0000_s1026" style="position:absolute;margin-left:36pt;margin-top:11pt;width:144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" path="m,l2880,e" filled="f" strokeweight=".6pt">
              <v:path arrowok="t" o:connecttype="custom" o:connectlocs="0,0;1828800,0" o:connectangles="0,0"/>
              <w10:wrap type="topAndBottom" anchorx="page"/>
            </v:shape>
          </w:pict>
        </mc:Fallback>
      </mc:AlternateContent>
    </w:r>
    <w:r w:rsidRPr="00863E05">
      <w:rPr>
        <w:rFonts w:asciiTheme="minorBidi" w:hAnsiTheme="minorBidi" w:cstheme="minorBidi"/>
        <w:position w:val="9"/>
        <w:sz w:val="18"/>
        <w:szCs w:val="18"/>
        <w:vertAlign w:val="superscript"/>
        <w:lang w:val="es-ES"/>
      </w:rPr>
      <w:t xml:space="preserve">1 </w:t>
    </w:r>
    <w:proofErr w:type="spellStart"/>
    <w:r>
      <w:rPr>
        <w:rFonts w:asciiTheme="minorBidi" w:hAnsiTheme="minorBidi" w:cstheme="minorBidi"/>
        <w:sz w:val="18"/>
        <w:szCs w:val="18"/>
      </w:rPr>
      <w:t>Source</w:t>
    </w:r>
    <w:proofErr w:type="spellEnd"/>
    <w:r>
      <w:rPr>
        <w:rFonts w:asciiTheme="minorBidi" w:hAnsiTheme="minorBidi" w:cstheme="minorBidi"/>
        <w:sz w:val="18"/>
        <w:szCs w:val="18"/>
      </w:rPr>
      <w:t xml:space="preserve"> OCDE “</w:t>
    </w:r>
    <w:r w:rsidRPr="00DB2987">
      <w:rPr>
        <w:rFonts w:asciiTheme="minorBidi" w:hAnsiTheme="minorBidi" w:cstheme="minorBidi"/>
        <w:sz w:val="18"/>
        <w:szCs w:val="18"/>
      </w:rPr>
      <w:t>Nota de Turquía:</w:t>
    </w:r>
  </w:p>
  <w:p w:rsidR="00D661B6" w:rsidRPr="00DB2987" w:rsidRDefault="00D661B6" w:rsidP="00D661B6">
    <w:pPr>
      <w:spacing w:before="120"/>
      <w:ind w:right="216"/>
      <w:rPr>
        <w:rFonts w:asciiTheme="minorBidi" w:hAnsiTheme="minorBidi" w:cstheme="minorBidi"/>
        <w:sz w:val="18"/>
        <w:szCs w:val="18"/>
        <w:lang w:val="es-ES"/>
      </w:rPr>
    </w:pPr>
    <w:r w:rsidRPr="00DB2987">
      <w:rPr>
        <w:rFonts w:asciiTheme="minorBidi" w:hAnsiTheme="minorBidi" w:cstheme="minorBidi"/>
        <w:sz w:val="18"/>
        <w:szCs w:val="18"/>
      </w:rPr>
      <w:t>La información contenida en este documento sobre “Chipre” hace referencia a la parte meridional de la isla.</w:t>
    </w:r>
    <w:r w:rsidRPr="00DB2987">
      <w:rPr>
        <w:rFonts w:asciiTheme="minorBidi" w:hAnsiTheme="minorBidi" w:cstheme="minorBidi"/>
        <w:sz w:val="18"/>
        <w:szCs w:val="18"/>
        <w:lang w:val="es-ES"/>
      </w:rPr>
      <w:t xml:space="preserve"> </w:t>
    </w:r>
    <w:r w:rsidRPr="00DB2987">
      <w:rPr>
        <w:rFonts w:asciiTheme="minorBidi" w:hAnsiTheme="minorBidi" w:cstheme="minorBidi"/>
        <w:sz w:val="18"/>
        <w:szCs w:val="18"/>
      </w:rPr>
      <w:t>No existe una única autoridad que represente a la población turco-chipriota y a la población greco-chipriota de la isla.</w:t>
    </w:r>
    <w:r w:rsidRPr="00DB2987">
      <w:rPr>
        <w:rFonts w:asciiTheme="minorBidi" w:hAnsiTheme="minorBidi" w:cstheme="minorBidi"/>
        <w:sz w:val="18"/>
        <w:szCs w:val="18"/>
        <w:lang w:val="es-ES"/>
      </w:rPr>
      <w:t xml:space="preserve"> </w:t>
    </w:r>
    <w:r w:rsidRPr="00DB2987">
      <w:rPr>
        <w:rFonts w:asciiTheme="minorBidi" w:hAnsiTheme="minorBidi" w:cstheme="minorBidi"/>
        <w:sz w:val="18"/>
        <w:szCs w:val="18"/>
      </w:rPr>
      <w:t>Turquía reconoce la República Turca del Norte de Chipre (RTNC).</w:t>
    </w:r>
    <w:r w:rsidRPr="00DB2987">
      <w:rPr>
        <w:rFonts w:asciiTheme="minorBidi" w:hAnsiTheme="minorBidi" w:cstheme="minorBidi"/>
        <w:sz w:val="18"/>
        <w:szCs w:val="18"/>
        <w:lang w:val="es-ES"/>
      </w:rPr>
      <w:t xml:space="preserve"> </w:t>
    </w:r>
    <w:r w:rsidRPr="00DB2987">
      <w:rPr>
        <w:rFonts w:asciiTheme="minorBidi" w:hAnsiTheme="minorBidi" w:cstheme="minorBidi"/>
        <w:sz w:val="18"/>
        <w:szCs w:val="18"/>
      </w:rPr>
      <w:t>Hasta encontrar una solución definitiva y equitativa en el contexto de las Naciones Unidas, Turquía preservará su postura en lo concerniente a la “cuestión chipriota”.</w:t>
    </w:r>
  </w:p>
  <w:p w:rsidR="00D661B6" w:rsidRPr="00DB2987" w:rsidRDefault="00D661B6" w:rsidP="00D661B6">
    <w:pPr>
      <w:spacing w:before="120"/>
      <w:rPr>
        <w:rFonts w:asciiTheme="minorBidi" w:hAnsiTheme="minorBidi" w:cstheme="minorBidi"/>
        <w:sz w:val="18"/>
        <w:szCs w:val="18"/>
        <w:lang w:val="es-ES"/>
      </w:rPr>
    </w:pPr>
    <w:r w:rsidRPr="00DB2987">
      <w:rPr>
        <w:rFonts w:asciiTheme="minorBidi" w:hAnsiTheme="minorBidi" w:cstheme="minorBidi"/>
        <w:sz w:val="18"/>
        <w:szCs w:val="18"/>
      </w:rPr>
      <w:t>Nota de todos los Estados miembros de la Unión Europea que son países de la OCDE y de la Unión Europea:</w:t>
    </w:r>
  </w:p>
  <w:p w:rsidR="00D661B6" w:rsidRPr="00DB2987" w:rsidRDefault="00D661B6" w:rsidP="00D661B6">
    <w:pPr>
      <w:spacing w:before="120"/>
      <w:ind w:right="216"/>
      <w:rPr>
        <w:rFonts w:asciiTheme="minorBidi" w:hAnsiTheme="minorBidi" w:cstheme="minorBidi"/>
        <w:sz w:val="18"/>
        <w:szCs w:val="18"/>
        <w:lang w:val="es-ES"/>
      </w:rPr>
    </w:pPr>
    <w:r w:rsidRPr="00DB2987">
      <w:rPr>
        <w:rFonts w:asciiTheme="minorBidi" w:hAnsiTheme="minorBidi" w:cstheme="minorBidi"/>
        <w:sz w:val="18"/>
        <w:szCs w:val="18"/>
      </w:rPr>
      <w:t>La República de Chipre ha sido reconocida por todos los miembros de las Naciones Unidas, a excepción de Turquía.</w:t>
    </w:r>
    <w:r w:rsidRPr="00DB2987">
      <w:rPr>
        <w:rFonts w:asciiTheme="minorBidi" w:hAnsiTheme="minorBidi" w:cstheme="minorBidi"/>
        <w:sz w:val="18"/>
        <w:szCs w:val="18"/>
        <w:lang w:val="es-ES"/>
      </w:rPr>
      <w:t xml:space="preserve"> </w:t>
    </w:r>
    <w:r w:rsidRPr="00DB2987">
      <w:rPr>
        <w:rFonts w:asciiTheme="minorBidi" w:hAnsiTheme="minorBidi" w:cstheme="minorBidi"/>
        <w:sz w:val="18"/>
        <w:szCs w:val="18"/>
      </w:rPr>
      <w:t>La información contenida en este documento se refiere al área sometida al control efectivo del Gobierno de la República de Chipre.</w:t>
    </w:r>
    <w:r>
      <w:rPr>
        <w:rFonts w:asciiTheme="minorBidi" w:hAnsiTheme="minorBidi" w:cstheme="minorBidi"/>
        <w:sz w:val="18"/>
        <w:szCs w:val="18"/>
      </w:rPr>
      <w:t>”</w:t>
    </w:r>
  </w:p>
  <w:p w:rsidR="00D661B6" w:rsidRPr="00D661B6" w:rsidRDefault="00D661B6">
    <w:pPr>
      <w:pStyle w:val="Footer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E9E" w:rsidRDefault="00801E9E" w:rsidP="006655D3">
      <w:r>
        <w:separator/>
      </w:r>
    </w:p>
  </w:footnote>
  <w:footnote w:type="continuationSeparator" w:id="0">
    <w:p w:rsidR="00801E9E" w:rsidRDefault="00801E9E" w:rsidP="006655D3">
      <w:r>
        <w:separator/>
      </w:r>
    </w:p>
  </w:footnote>
  <w:footnote w:type="continuationNotice" w:id="1">
    <w:p w:rsidR="00801E9E" w:rsidRPr="00AB530F" w:rsidRDefault="00801E9E" w:rsidP="00AB530F">
      <w:pPr>
        <w:pStyle w:val="Footer"/>
      </w:pPr>
    </w:p>
  </w:footnote>
  <w:footnote w:id="2">
    <w:p w:rsidR="00801E9E" w:rsidRPr="00C93879" w:rsidRDefault="00801E9E" w:rsidP="00617BD3">
      <w:pPr>
        <w:pStyle w:val="FootnoteText"/>
        <w:rPr>
          <w:lang w:val="es-DO"/>
        </w:rPr>
      </w:pPr>
      <w:r>
        <w:rPr>
          <w:rStyle w:val="FootnoteReference"/>
        </w:rPr>
        <w:footnoteRef/>
      </w:r>
      <w:r w:rsidRPr="00C93879">
        <w:rPr>
          <w:lang w:val="es-DO"/>
        </w:rPr>
        <w:t xml:space="preserve"> </w:t>
      </w:r>
      <w:r w:rsidRPr="00BB7DEC">
        <w:rPr>
          <w:color w:val="808080"/>
        </w:rPr>
        <w:t>Celebrada en Ginebra el 29 y el 30 de octubre de 2018.</w:t>
      </w:r>
    </w:p>
  </w:footnote>
  <w:footnote w:id="3">
    <w:p w:rsidR="00801E9E" w:rsidRPr="00DB2987" w:rsidRDefault="00801E9E" w:rsidP="0051322C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DB2987">
        <w:rPr>
          <w:lang w:val="es-ES"/>
        </w:rPr>
        <w:t xml:space="preserve"> </w:t>
      </w:r>
      <w:r w:rsidRPr="005D4254">
        <w:rPr>
          <w:rFonts w:eastAsiaTheme="minorEastAsia"/>
          <w:lang w:eastAsia="ja-JP"/>
        </w:rPr>
        <w:t>Celebrada en Ginebra el 28 y el 29 de octubre de 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E9E" w:rsidRPr="006A665F" w:rsidRDefault="00801E9E" w:rsidP="006A665F">
    <w:pPr>
      <w:pStyle w:val="Header"/>
      <w:rPr>
        <w:rStyle w:val="PageNumber"/>
        <w:lang w:val="es-ES"/>
      </w:rPr>
    </w:pPr>
    <w:r w:rsidRPr="006A665F">
      <w:rPr>
        <w:rStyle w:val="PageNumber"/>
        <w:lang w:val="es-ES"/>
      </w:rPr>
      <w:t>TC/57/8</w:t>
    </w:r>
  </w:p>
  <w:p w:rsidR="00801E9E" w:rsidRPr="006A665F" w:rsidRDefault="00801E9E" w:rsidP="006A665F">
    <w:pPr>
      <w:pStyle w:val="Header"/>
      <w:rPr>
        <w:lang w:val="es-ES"/>
      </w:rPr>
    </w:pPr>
    <w:r w:rsidRPr="006A665F">
      <w:rPr>
        <w:lang w:val="es-ES"/>
      </w:rPr>
      <w:t>p</w:t>
    </w:r>
    <w:r>
      <w:rPr>
        <w:lang w:val="es-ES"/>
      </w:rPr>
      <w:t>ágina</w:t>
    </w:r>
    <w:r w:rsidRPr="006A665F">
      <w:rPr>
        <w:lang w:val="es-ES"/>
      </w:rPr>
      <w:t xml:space="preserve"> </w:t>
    </w:r>
    <w:r w:rsidRPr="006A665F">
      <w:rPr>
        <w:rStyle w:val="PageNumber"/>
        <w:lang w:val="es-ES"/>
      </w:rPr>
      <w:fldChar w:fldCharType="begin"/>
    </w:r>
    <w:r w:rsidRPr="006A665F">
      <w:rPr>
        <w:rStyle w:val="PageNumber"/>
        <w:lang w:val="es-ES"/>
      </w:rPr>
      <w:instrText xml:space="preserve"> PAGE </w:instrText>
    </w:r>
    <w:r w:rsidRPr="006A665F">
      <w:rPr>
        <w:rStyle w:val="PageNumber"/>
        <w:lang w:val="es-ES"/>
      </w:rPr>
      <w:fldChar w:fldCharType="separate"/>
    </w:r>
    <w:r w:rsidR="00DE5DA0">
      <w:rPr>
        <w:rStyle w:val="PageNumber"/>
        <w:noProof/>
        <w:lang w:val="es-ES"/>
      </w:rPr>
      <w:t>5</w:t>
    </w:r>
    <w:r w:rsidRPr="006A665F">
      <w:rPr>
        <w:rStyle w:val="PageNumber"/>
        <w:lang w:val="es-ES"/>
      </w:rPr>
      <w:fldChar w:fldCharType="end"/>
    </w:r>
  </w:p>
  <w:p w:rsidR="00801E9E" w:rsidRPr="006A665F" w:rsidRDefault="00801E9E" w:rsidP="006A665F">
    <w:pPr>
      <w:jc w:val="center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E9E" w:rsidRPr="006A665F" w:rsidRDefault="00801E9E" w:rsidP="006A665F">
    <w:pPr>
      <w:pStyle w:val="Header"/>
      <w:rPr>
        <w:lang w:val="es-ES"/>
      </w:rPr>
    </w:pPr>
    <w:r w:rsidRPr="006A665F">
      <w:rPr>
        <w:lang w:val="es-ES"/>
      </w:rPr>
      <w:t>TC/57/8</w:t>
    </w:r>
  </w:p>
  <w:p w:rsidR="00801E9E" w:rsidRPr="006A665F" w:rsidRDefault="00801E9E" w:rsidP="006A665F">
    <w:pPr>
      <w:pStyle w:val="Header"/>
      <w:rPr>
        <w:noProof/>
        <w:lang w:val="es-ES"/>
      </w:rPr>
    </w:pPr>
    <w:r w:rsidRPr="006A665F">
      <w:rPr>
        <w:lang w:val="es-ES"/>
      </w:rPr>
      <w:t xml:space="preserve">Apéndice del Anexo I, página </w:t>
    </w:r>
    <w:r w:rsidRPr="006A665F">
      <w:rPr>
        <w:lang w:val="es-ES"/>
      </w:rPr>
      <w:fldChar w:fldCharType="begin"/>
    </w:r>
    <w:r w:rsidRPr="006A665F">
      <w:rPr>
        <w:lang w:val="es-ES"/>
      </w:rPr>
      <w:instrText xml:space="preserve"> PAGE   \* MERGEFORMAT </w:instrText>
    </w:r>
    <w:r w:rsidRPr="006A665F">
      <w:rPr>
        <w:lang w:val="es-ES"/>
      </w:rPr>
      <w:fldChar w:fldCharType="separate"/>
    </w:r>
    <w:r w:rsidR="00DE5DA0">
      <w:rPr>
        <w:noProof/>
        <w:lang w:val="es-ES"/>
      </w:rPr>
      <w:t>3</w:t>
    </w:r>
    <w:r w:rsidRPr="006A665F">
      <w:rPr>
        <w:noProof/>
        <w:lang w:val="es-ES"/>
      </w:rPr>
      <w:fldChar w:fldCharType="end"/>
    </w:r>
  </w:p>
  <w:p w:rsidR="00801E9E" w:rsidRPr="006A665F" w:rsidRDefault="00801E9E" w:rsidP="006A665F">
    <w:pPr>
      <w:pStyle w:val="Header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E9E" w:rsidRPr="006A665F" w:rsidRDefault="00801E9E">
    <w:pPr>
      <w:pStyle w:val="Header"/>
      <w:rPr>
        <w:lang w:val="es-ES"/>
      </w:rPr>
    </w:pPr>
    <w:r w:rsidRPr="006A665F">
      <w:rPr>
        <w:lang w:val="es-ES"/>
      </w:rPr>
      <w:t>TC/57/8</w:t>
    </w:r>
  </w:p>
  <w:p w:rsidR="00801E9E" w:rsidRPr="006A665F" w:rsidRDefault="00801E9E">
    <w:pPr>
      <w:pStyle w:val="Header"/>
      <w:rPr>
        <w:lang w:val="es-ES"/>
      </w:rPr>
    </w:pPr>
  </w:p>
  <w:p w:rsidR="00801E9E" w:rsidRPr="006A665F" w:rsidRDefault="00801E9E">
    <w:pPr>
      <w:pStyle w:val="Header"/>
      <w:rPr>
        <w:lang w:val="es-ES"/>
      </w:rPr>
    </w:pPr>
    <w:r w:rsidRPr="006A665F">
      <w:rPr>
        <w:lang w:val="es-ES"/>
      </w:rPr>
      <w:t>ANEXO I</w:t>
    </w:r>
  </w:p>
  <w:p w:rsidR="00801E9E" w:rsidRPr="006A665F" w:rsidRDefault="00801E9E">
    <w:pPr>
      <w:pStyle w:val="Header"/>
      <w:rPr>
        <w:lang w:val="es-E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E9E" w:rsidRPr="006A665F" w:rsidRDefault="00801E9E">
    <w:pPr>
      <w:pStyle w:val="Header"/>
      <w:rPr>
        <w:lang w:val="es-ES"/>
      </w:rPr>
    </w:pPr>
    <w:r w:rsidRPr="006A665F">
      <w:rPr>
        <w:lang w:val="es-ES"/>
      </w:rPr>
      <w:t>TC/57/8</w:t>
    </w:r>
  </w:p>
  <w:p w:rsidR="00801E9E" w:rsidRPr="006A665F" w:rsidRDefault="00801E9E">
    <w:pPr>
      <w:pStyle w:val="Header"/>
      <w:rPr>
        <w:lang w:val="es-ES"/>
      </w:rPr>
    </w:pPr>
  </w:p>
  <w:p w:rsidR="00801E9E" w:rsidRPr="006A665F" w:rsidRDefault="00801E9E">
    <w:pPr>
      <w:pStyle w:val="Header"/>
      <w:rPr>
        <w:lang w:val="es-ES"/>
      </w:rPr>
    </w:pPr>
    <w:r w:rsidRPr="006A665F">
      <w:rPr>
        <w:lang w:val="es-ES"/>
      </w:rPr>
      <w:t>AP</w:t>
    </w:r>
    <w:r>
      <w:rPr>
        <w:lang w:val="es-ES"/>
      </w:rPr>
      <w:t>ÉNDICE DEL AN</w:t>
    </w:r>
    <w:r w:rsidRPr="006A665F">
      <w:rPr>
        <w:lang w:val="es-ES"/>
      </w:rPr>
      <w:t>EX</w:t>
    </w:r>
    <w:r>
      <w:rPr>
        <w:lang w:val="es-ES"/>
      </w:rPr>
      <w:t>O</w:t>
    </w:r>
    <w:r w:rsidRPr="006A665F">
      <w:rPr>
        <w:lang w:val="es-ES"/>
      </w:rPr>
      <w:t xml:space="preserve"> I</w:t>
    </w:r>
  </w:p>
  <w:p w:rsidR="00801E9E" w:rsidRPr="006A665F" w:rsidRDefault="00801E9E">
    <w:pPr>
      <w:pStyle w:val="Header"/>
      <w:rPr>
        <w:lang w:val="es-E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E9E" w:rsidRPr="00AE66A3" w:rsidRDefault="00801E9E" w:rsidP="00AE66A3">
    <w:pPr>
      <w:pStyle w:val="Header"/>
      <w:rPr>
        <w:rStyle w:val="PageNumber"/>
        <w:lang w:val="es-ES"/>
      </w:rPr>
    </w:pPr>
    <w:r w:rsidRPr="00AE66A3">
      <w:rPr>
        <w:rStyle w:val="PageNumber"/>
        <w:lang w:val="es-ES"/>
      </w:rPr>
      <w:t>TC/57/8</w:t>
    </w:r>
  </w:p>
  <w:p w:rsidR="00801E9E" w:rsidRPr="00AE66A3" w:rsidRDefault="00801E9E" w:rsidP="00AE66A3">
    <w:pPr>
      <w:pStyle w:val="Header"/>
      <w:rPr>
        <w:lang w:val="es-ES"/>
      </w:rPr>
    </w:pPr>
    <w:r>
      <w:rPr>
        <w:lang w:val="es-ES"/>
      </w:rPr>
      <w:t xml:space="preserve">Anexo II, </w:t>
    </w:r>
    <w:r w:rsidRPr="00AE66A3">
      <w:rPr>
        <w:lang w:val="es-ES"/>
      </w:rPr>
      <w:t xml:space="preserve">página </w:t>
    </w:r>
    <w:r w:rsidRPr="00AE66A3">
      <w:rPr>
        <w:rStyle w:val="PageNumber"/>
        <w:lang w:val="es-ES"/>
      </w:rPr>
      <w:fldChar w:fldCharType="begin"/>
    </w:r>
    <w:r w:rsidRPr="00AE66A3">
      <w:rPr>
        <w:rStyle w:val="PageNumber"/>
        <w:lang w:val="es-ES"/>
      </w:rPr>
      <w:instrText xml:space="preserve"> PAGE </w:instrText>
    </w:r>
    <w:r w:rsidRPr="00AE66A3">
      <w:rPr>
        <w:rStyle w:val="PageNumber"/>
        <w:lang w:val="es-ES"/>
      </w:rPr>
      <w:fldChar w:fldCharType="separate"/>
    </w:r>
    <w:r w:rsidR="00DE5DA0">
      <w:rPr>
        <w:rStyle w:val="PageNumber"/>
        <w:noProof/>
        <w:lang w:val="es-ES"/>
      </w:rPr>
      <w:t>7</w:t>
    </w:r>
    <w:r w:rsidRPr="00AE66A3">
      <w:rPr>
        <w:rStyle w:val="PageNumber"/>
        <w:lang w:val="es-ES"/>
      </w:rPr>
      <w:fldChar w:fldCharType="end"/>
    </w:r>
  </w:p>
  <w:p w:rsidR="00801E9E" w:rsidRPr="00AE66A3" w:rsidRDefault="00801E9E" w:rsidP="00AE66A3">
    <w:pPr>
      <w:jc w:val="center"/>
      <w:rPr>
        <w:lang w:val="es-E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E9E" w:rsidRPr="006A665F" w:rsidRDefault="00801E9E">
    <w:pPr>
      <w:pStyle w:val="Header"/>
      <w:rPr>
        <w:lang w:val="es-ES"/>
      </w:rPr>
    </w:pPr>
    <w:r w:rsidRPr="006A665F">
      <w:rPr>
        <w:lang w:val="es-ES"/>
      </w:rPr>
      <w:t>TC/57/8</w:t>
    </w:r>
  </w:p>
  <w:p w:rsidR="00801E9E" w:rsidRPr="006A665F" w:rsidRDefault="00801E9E">
    <w:pPr>
      <w:pStyle w:val="Header"/>
      <w:rPr>
        <w:lang w:val="es-ES"/>
      </w:rPr>
    </w:pPr>
  </w:p>
  <w:p w:rsidR="00801E9E" w:rsidRPr="006A665F" w:rsidRDefault="00801E9E">
    <w:pPr>
      <w:pStyle w:val="Header"/>
      <w:rPr>
        <w:lang w:val="es-ES"/>
      </w:rPr>
    </w:pPr>
    <w:r>
      <w:rPr>
        <w:lang w:val="es-ES"/>
      </w:rPr>
      <w:t>AN</w:t>
    </w:r>
    <w:r w:rsidRPr="006A665F">
      <w:rPr>
        <w:lang w:val="es-ES"/>
      </w:rPr>
      <w:t>EX</w:t>
    </w:r>
    <w:r>
      <w:rPr>
        <w:lang w:val="es-ES"/>
      </w:rPr>
      <w:t>O</w:t>
    </w:r>
    <w:r w:rsidRPr="006A665F">
      <w:rPr>
        <w:lang w:val="es-ES"/>
      </w:rPr>
      <w:t xml:space="preserve"> </w:t>
    </w:r>
    <w:r>
      <w:rPr>
        <w:lang w:val="es-ES"/>
      </w:rPr>
      <w:t>I</w:t>
    </w:r>
    <w:r w:rsidRPr="006A665F">
      <w:rPr>
        <w:lang w:val="es-ES"/>
      </w:rPr>
      <w:t>I</w:t>
    </w:r>
  </w:p>
  <w:p w:rsidR="00801E9E" w:rsidRPr="006A665F" w:rsidRDefault="00801E9E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30D00"/>
    <w:multiLevelType w:val="hybridMultilevel"/>
    <w:tmpl w:val="CFF2F340"/>
    <w:lvl w:ilvl="0" w:tplc="0628ADF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62292"/>
    <w:multiLevelType w:val="hybridMultilevel"/>
    <w:tmpl w:val="DCCAC554"/>
    <w:lvl w:ilvl="0" w:tplc="C5DC1DF8">
      <w:start w:val="1"/>
      <w:numFmt w:val="decimal"/>
      <w:lvlText w:val="%1."/>
      <w:lvlJc w:val="left"/>
      <w:pPr>
        <w:ind w:left="220" w:hanging="9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378EC1DE">
      <w:numFmt w:val="bullet"/>
      <w:lvlText w:val=""/>
      <w:lvlJc w:val="left"/>
      <w:pPr>
        <w:ind w:left="1070" w:hanging="409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2" w:tplc="09903808">
      <w:numFmt w:val="bullet"/>
      <w:lvlText w:val="•"/>
      <w:lvlJc w:val="left"/>
      <w:pPr>
        <w:ind w:left="2208" w:hanging="409"/>
      </w:pPr>
      <w:rPr>
        <w:rFonts w:hint="default"/>
        <w:lang w:val="en-GB" w:eastAsia="en-GB" w:bidi="en-GB"/>
      </w:rPr>
    </w:lvl>
    <w:lvl w:ilvl="3" w:tplc="DFA420FE">
      <w:numFmt w:val="bullet"/>
      <w:lvlText w:val="•"/>
      <w:lvlJc w:val="left"/>
      <w:pPr>
        <w:ind w:left="3337" w:hanging="409"/>
      </w:pPr>
      <w:rPr>
        <w:rFonts w:hint="default"/>
        <w:lang w:val="en-GB" w:eastAsia="en-GB" w:bidi="en-GB"/>
      </w:rPr>
    </w:lvl>
    <w:lvl w:ilvl="4" w:tplc="26B42B78">
      <w:numFmt w:val="bullet"/>
      <w:lvlText w:val="•"/>
      <w:lvlJc w:val="left"/>
      <w:pPr>
        <w:ind w:left="4466" w:hanging="409"/>
      </w:pPr>
      <w:rPr>
        <w:rFonts w:hint="default"/>
        <w:lang w:val="en-GB" w:eastAsia="en-GB" w:bidi="en-GB"/>
      </w:rPr>
    </w:lvl>
    <w:lvl w:ilvl="5" w:tplc="E292BF4E">
      <w:numFmt w:val="bullet"/>
      <w:lvlText w:val="•"/>
      <w:lvlJc w:val="left"/>
      <w:pPr>
        <w:ind w:left="5595" w:hanging="409"/>
      </w:pPr>
      <w:rPr>
        <w:rFonts w:hint="default"/>
        <w:lang w:val="en-GB" w:eastAsia="en-GB" w:bidi="en-GB"/>
      </w:rPr>
    </w:lvl>
    <w:lvl w:ilvl="6" w:tplc="C338AFB2">
      <w:numFmt w:val="bullet"/>
      <w:lvlText w:val="•"/>
      <w:lvlJc w:val="left"/>
      <w:pPr>
        <w:ind w:left="6724" w:hanging="409"/>
      </w:pPr>
      <w:rPr>
        <w:rFonts w:hint="default"/>
        <w:lang w:val="en-GB" w:eastAsia="en-GB" w:bidi="en-GB"/>
      </w:rPr>
    </w:lvl>
    <w:lvl w:ilvl="7" w:tplc="E0F8143E">
      <w:numFmt w:val="bullet"/>
      <w:lvlText w:val="•"/>
      <w:lvlJc w:val="left"/>
      <w:pPr>
        <w:ind w:left="7853" w:hanging="409"/>
      </w:pPr>
      <w:rPr>
        <w:rFonts w:hint="default"/>
        <w:lang w:val="en-GB" w:eastAsia="en-GB" w:bidi="en-GB"/>
      </w:rPr>
    </w:lvl>
    <w:lvl w:ilvl="8" w:tplc="E094185C">
      <w:numFmt w:val="bullet"/>
      <w:lvlText w:val="•"/>
      <w:lvlJc w:val="left"/>
      <w:pPr>
        <w:ind w:left="8982" w:hanging="409"/>
      </w:pPr>
      <w:rPr>
        <w:rFonts w:hint="default"/>
        <w:lang w:val="en-GB" w:eastAsia="en-GB" w:bidi="en-GB"/>
      </w:rPr>
    </w:lvl>
  </w:abstractNum>
  <w:abstractNum w:abstractNumId="2" w15:restartNumberingAfterBreak="0">
    <w:nsid w:val="31B073DB"/>
    <w:multiLevelType w:val="multilevel"/>
    <w:tmpl w:val="8D3CD76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418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"/>
      <w:lvlJc w:val="left"/>
      <w:pPr>
        <w:ind w:left="1588" w:hanging="284"/>
      </w:pPr>
      <w:rPr>
        <w:rFonts w:ascii="Symbol" w:hAnsi="Symbol" w:hint="default"/>
        <w:color w:val="auto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3" w15:restartNumberingAfterBreak="0">
    <w:nsid w:val="35413021"/>
    <w:multiLevelType w:val="multilevel"/>
    <w:tmpl w:val="40F2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 w15:restartNumberingAfterBreak="0">
    <w:nsid w:val="4B985B1E"/>
    <w:multiLevelType w:val="hybridMultilevel"/>
    <w:tmpl w:val="A308E4E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99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6518E"/>
    <w:multiLevelType w:val="hybridMultilevel"/>
    <w:tmpl w:val="8BD6FA24"/>
    <w:lvl w:ilvl="0" w:tplc="04090017">
      <w:start w:val="1"/>
      <w:numFmt w:val="lowerLetter"/>
      <w:lvlText w:val="%1)"/>
      <w:lvlJc w:val="left"/>
      <w:pPr>
        <w:ind w:left="1128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7" w15:restartNumberingAfterBreak="0">
    <w:nsid w:val="61B104BD"/>
    <w:multiLevelType w:val="multilevel"/>
    <w:tmpl w:val="E47E4C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99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5239DE"/>
    <w:multiLevelType w:val="hybridMultilevel"/>
    <w:tmpl w:val="1DA0FF64"/>
    <w:lvl w:ilvl="0" w:tplc="E286ECEE">
      <w:start w:val="1"/>
      <w:numFmt w:val="lowerLetter"/>
      <w:lvlText w:val="(%1)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17"/>
  </w:docVars>
  <w:rsids>
    <w:rsidRoot w:val="00AE66A3"/>
    <w:rsid w:val="00003C63"/>
    <w:rsid w:val="00010B92"/>
    <w:rsid w:val="00010CF3"/>
    <w:rsid w:val="00011E27"/>
    <w:rsid w:val="0001226D"/>
    <w:rsid w:val="00012D58"/>
    <w:rsid w:val="000148BC"/>
    <w:rsid w:val="00015EE7"/>
    <w:rsid w:val="00024AB8"/>
    <w:rsid w:val="00030854"/>
    <w:rsid w:val="00036028"/>
    <w:rsid w:val="00043F44"/>
    <w:rsid w:val="00044642"/>
    <w:rsid w:val="000446B9"/>
    <w:rsid w:val="00047E21"/>
    <w:rsid w:val="00050E16"/>
    <w:rsid w:val="00053E48"/>
    <w:rsid w:val="000638A9"/>
    <w:rsid w:val="00063FCB"/>
    <w:rsid w:val="00071B16"/>
    <w:rsid w:val="0007259D"/>
    <w:rsid w:val="00082D2A"/>
    <w:rsid w:val="00085505"/>
    <w:rsid w:val="0009445D"/>
    <w:rsid w:val="00094BCD"/>
    <w:rsid w:val="000959BA"/>
    <w:rsid w:val="00096D19"/>
    <w:rsid w:val="00097366"/>
    <w:rsid w:val="000A1AEB"/>
    <w:rsid w:val="000A23DC"/>
    <w:rsid w:val="000A3C5E"/>
    <w:rsid w:val="000A5FDD"/>
    <w:rsid w:val="000B7BB9"/>
    <w:rsid w:val="000C4E25"/>
    <w:rsid w:val="000C532C"/>
    <w:rsid w:val="000C7021"/>
    <w:rsid w:val="000C7D8B"/>
    <w:rsid w:val="000D4DAC"/>
    <w:rsid w:val="000D6BBC"/>
    <w:rsid w:val="000D7780"/>
    <w:rsid w:val="000E636A"/>
    <w:rsid w:val="000E6809"/>
    <w:rsid w:val="000F230B"/>
    <w:rsid w:val="000F2F11"/>
    <w:rsid w:val="0010239E"/>
    <w:rsid w:val="00104D0A"/>
    <w:rsid w:val="00105929"/>
    <w:rsid w:val="001066E7"/>
    <w:rsid w:val="00110C36"/>
    <w:rsid w:val="001131D5"/>
    <w:rsid w:val="001338D7"/>
    <w:rsid w:val="00136CA3"/>
    <w:rsid w:val="00141DB8"/>
    <w:rsid w:val="00143536"/>
    <w:rsid w:val="00160692"/>
    <w:rsid w:val="00172084"/>
    <w:rsid w:val="0017474A"/>
    <w:rsid w:val="00174B54"/>
    <w:rsid w:val="001758C6"/>
    <w:rsid w:val="00176B29"/>
    <w:rsid w:val="00181541"/>
    <w:rsid w:val="00182B99"/>
    <w:rsid w:val="001878FF"/>
    <w:rsid w:val="00193F76"/>
    <w:rsid w:val="0019753D"/>
    <w:rsid w:val="001B0D81"/>
    <w:rsid w:val="001C3442"/>
    <w:rsid w:val="001C4DB7"/>
    <w:rsid w:val="001D2032"/>
    <w:rsid w:val="001E09E8"/>
    <w:rsid w:val="001E2244"/>
    <w:rsid w:val="001E5032"/>
    <w:rsid w:val="001F49B5"/>
    <w:rsid w:val="001F64BF"/>
    <w:rsid w:val="00202E38"/>
    <w:rsid w:val="00207F98"/>
    <w:rsid w:val="0021332C"/>
    <w:rsid w:val="00213982"/>
    <w:rsid w:val="00225364"/>
    <w:rsid w:val="0024111C"/>
    <w:rsid w:val="00243970"/>
    <w:rsid w:val="0024416D"/>
    <w:rsid w:val="00245D96"/>
    <w:rsid w:val="002464A3"/>
    <w:rsid w:val="00265037"/>
    <w:rsid w:val="00266551"/>
    <w:rsid w:val="0027032D"/>
    <w:rsid w:val="00271911"/>
    <w:rsid w:val="002800A0"/>
    <w:rsid w:val="002801B3"/>
    <w:rsid w:val="00281060"/>
    <w:rsid w:val="002913FD"/>
    <w:rsid w:val="00292706"/>
    <w:rsid w:val="002940E8"/>
    <w:rsid w:val="00294751"/>
    <w:rsid w:val="00294D13"/>
    <w:rsid w:val="002A6E50"/>
    <w:rsid w:val="002B0539"/>
    <w:rsid w:val="002B4298"/>
    <w:rsid w:val="002B46CA"/>
    <w:rsid w:val="002B696D"/>
    <w:rsid w:val="002C256A"/>
    <w:rsid w:val="002C3D98"/>
    <w:rsid w:val="002C409B"/>
    <w:rsid w:val="002D3F9C"/>
    <w:rsid w:val="002D4B49"/>
    <w:rsid w:val="002E024E"/>
    <w:rsid w:val="002E4897"/>
    <w:rsid w:val="002E5944"/>
    <w:rsid w:val="002F27D2"/>
    <w:rsid w:val="002F2E6F"/>
    <w:rsid w:val="002F3A27"/>
    <w:rsid w:val="002F4DFF"/>
    <w:rsid w:val="002F4EE2"/>
    <w:rsid w:val="0030059E"/>
    <w:rsid w:val="0030292A"/>
    <w:rsid w:val="00304582"/>
    <w:rsid w:val="00305A7F"/>
    <w:rsid w:val="003152FE"/>
    <w:rsid w:val="00316385"/>
    <w:rsid w:val="00323F43"/>
    <w:rsid w:val="00324098"/>
    <w:rsid w:val="00327436"/>
    <w:rsid w:val="00330279"/>
    <w:rsid w:val="00335B9D"/>
    <w:rsid w:val="00344BD6"/>
    <w:rsid w:val="00346992"/>
    <w:rsid w:val="003518F7"/>
    <w:rsid w:val="0035528D"/>
    <w:rsid w:val="00361821"/>
    <w:rsid w:val="00361E9E"/>
    <w:rsid w:val="003976F8"/>
    <w:rsid w:val="003A7878"/>
    <w:rsid w:val="003B031A"/>
    <w:rsid w:val="003B48AE"/>
    <w:rsid w:val="003B5B5A"/>
    <w:rsid w:val="003C7FBE"/>
    <w:rsid w:val="003D227C"/>
    <w:rsid w:val="003D2B4D"/>
    <w:rsid w:val="003E0DE7"/>
    <w:rsid w:val="003E41FC"/>
    <w:rsid w:val="003E68C9"/>
    <w:rsid w:val="003F1128"/>
    <w:rsid w:val="004034C5"/>
    <w:rsid w:val="00403E8F"/>
    <w:rsid w:val="0040557F"/>
    <w:rsid w:val="004071D8"/>
    <w:rsid w:val="00420E7B"/>
    <w:rsid w:val="00427C8A"/>
    <w:rsid w:val="0043004B"/>
    <w:rsid w:val="00431472"/>
    <w:rsid w:val="00444A88"/>
    <w:rsid w:val="004470AA"/>
    <w:rsid w:val="0045295D"/>
    <w:rsid w:val="0046265F"/>
    <w:rsid w:val="00467B42"/>
    <w:rsid w:val="00470188"/>
    <w:rsid w:val="00471784"/>
    <w:rsid w:val="00474DA4"/>
    <w:rsid w:val="00476B4D"/>
    <w:rsid w:val="004805FA"/>
    <w:rsid w:val="00490373"/>
    <w:rsid w:val="00490FCD"/>
    <w:rsid w:val="004935D2"/>
    <w:rsid w:val="00495754"/>
    <w:rsid w:val="004959A0"/>
    <w:rsid w:val="004A108D"/>
    <w:rsid w:val="004A4283"/>
    <w:rsid w:val="004B0479"/>
    <w:rsid w:val="004B1215"/>
    <w:rsid w:val="004B234F"/>
    <w:rsid w:val="004B7415"/>
    <w:rsid w:val="004C52C8"/>
    <w:rsid w:val="004D047D"/>
    <w:rsid w:val="004D68D9"/>
    <w:rsid w:val="004E02A2"/>
    <w:rsid w:val="004E2212"/>
    <w:rsid w:val="004E60ED"/>
    <w:rsid w:val="004F0D47"/>
    <w:rsid w:val="004F1E9E"/>
    <w:rsid w:val="004F305A"/>
    <w:rsid w:val="004F6B48"/>
    <w:rsid w:val="0050054D"/>
    <w:rsid w:val="00512164"/>
    <w:rsid w:val="0051322C"/>
    <w:rsid w:val="00520297"/>
    <w:rsid w:val="00524487"/>
    <w:rsid w:val="00524CC5"/>
    <w:rsid w:val="005338F9"/>
    <w:rsid w:val="0054281C"/>
    <w:rsid w:val="00544581"/>
    <w:rsid w:val="00545E42"/>
    <w:rsid w:val="005471B5"/>
    <w:rsid w:val="0055268D"/>
    <w:rsid w:val="00576BE4"/>
    <w:rsid w:val="00590E4C"/>
    <w:rsid w:val="00591906"/>
    <w:rsid w:val="005962F4"/>
    <w:rsid w:val="00597D06"/>
    <w:rsid w:val="005A1EC1"/>
    <w:rsid w:val="005A400A"/>
    <w:rsid w:val="005A663E"/>
    <w:rsid w:val="005B5507"/>
    <w:rsid w:val="005C19A7"/>
    <w:rsid w:val="005D0082"/>
    <w:rsid w:val="005D4254"/>
    <w:rsid w:val="005D5F07"/>
    <w:rsid w:val="005E38DF"/>
    <w:rsid w:val="005E5D9A"/>
    <w:rsid w:val="005F7B92"/>
    <w:rsid w:val="00606873"/>
    <w:rsid w:val="00607A36"/>
    <w:rsid w:val="00612379"/>
    <w:rsid w:val="006153B6"/>
    <w:rsid w:val="0061555F"/>
    <w:rsid w:val="00617BD3"/>
    <w:rsid w:val="00621642"/>
    <w:rsid w:val="00621B11"/>
    <w:rsid w:val="00631E71"/>
    <w:rsid w:val="00636CA6"/>
    <w:rsid w:val="006377AB"/>
    <w:rsid w:val="00637EDD"/>
    <w:rsid w:val="00641200"/>
    <w:rsid w:val="00645CA8"/>
    <w:rsid w:val="00650A02"/>
    <w:rsid w:val="0065120C"/>
    <w:rsid w:val="00656927"/>
    <w:rsid w:val="006655D3"/>
    <w:rsid w:val="0066716C"/>
    <w:rsid w:val="00667404"/>
    <w:rsid w:val="00667A48"/>
    <w:rsid w:val="00670CCB"/>
    <w:rsid w:val="00671F3F"/>
    <w:rsid w:val="0068162A"/>
    <w:rsid w:val="00684E0E"/>
    <w:rsid w:val="00687EB4"/>
    <w:rsid w:val="00695C56"/>
    <w:rsid w:val="0069747D"/>
    <w:rsid w:val="006A1ED6"/>
    <w:rsid w:val="006A36DA"/>
    <w:rsid w:val="006A5CDE"/>
    <w:rsid w:val="006A644A"/>
    <w:rsid w:val="006A665F"/>
    <w:rsid w:val="006B059A"/>
    <w:rsid w:val="006B17D2"/>
    <w:rsid w:val="006B74AD"/>
    <w:rsid w:val="006C03D0"/>
    <w:rsid w:val="006C224E"/>
    <w:rsid w:val="006C5262"/>
    <w:rsid w:val="006C61EB"/>
    <w:rsid w:val="006D2B9C"/>
    <w:rsid w:val="006D780A"/>
    <w:rsid w:val="006E3EF2"/>
    <w:rsid w:val="006E7C79"/>
    <w:rsid w:val="006F540B"/>
    <w:rsid w:val="00701175"/>
    <w:rsid w:val="0070409E"/>
    <w:rsid w:val="0071271E"/>
    <w:rsid w:val="00721BCF"/>
    <w:rsid w:val="00723D72"/>
    <w:rsid w:val="007242AF"/>
    <w:rsid w:val="00725238"/>
    <w:rsid w:val="00730324"/>
    <w:rsid w:val="00732DEC"/>
    <w:rsid w:val="00735BD5"/>
    <w:rsid w:val="00746DD6"/>
    <w:rsid w:val="00751613"/>
    <w:rsid w:val="00754831"/>
    <w:rsid w:val="00754D6E"/>
    <w:rsid w:val="007556F6"/>
    <w:rsid w:val="00760EEF"/>
    <w:rsid w:val="00761FF6"/>
    <w:rsid w:val="00763DA6"/>
    <w:rsid w:val="00772B51"/>
    <w:rsid w:val="00777EE5"/>
    <w:rsid w:val="00783722"/>
    <w:rsid w:val="00784836"/>
    <w:rsid w:val="0079023E"/>
    <w:rsid w:val="007960A2"/>
    <w:rsid w:val="007A2854"/>
    <w:rsid w:val="007B41F1"/>
    <w:rsid w:val="007B6C14"/>
    <w:rsid w:val="007B77F5"/>
    <w:rsid w:val="007C0082"/>
    <w:rsid w:val="007C017E"/>
    <w:rsid w:val="007C1D92"/>
    <w:rsid w:val="007C27E2"/>
    <w:rsid w:val="007C293D"/>
    <w:rsid w:val="007C2CD0"/>
    <w:rsid w:val="007C4CB9"/>
    <w:rsid w:val="007D0B9D"/>
    <w:rsid w:val="007D19B0"/>
    <w:rsid w:val="007D459E"/>
    <w:rsid w:val="007F498F"/>
    <w:rsid w:val="00801E9E"/>
    <w:rsid w:val="008026C6"/>
    <w:rsid w:val="0080679D"/>
    <w:rsid w:val="008108B0"/>
    <w:rsid w:val="00811B20"/>
    <w:rsid w:val="00813657"/>
    <w:rsid w:val="0081777C"/>
    <w:rsid w:val="008211B5"/>
    <w:rsid w:val="0082296E"/>
    <w:rsid w:val="00824099"/>
    <w:rsid w:val="008259F8"/>
    <w:rsid w:val="0083724D"/>
    <w:rsid w:val="00846D7C"/>
    <w:rsid w:val="00850D23"/>
    <w:rsid w:val="008537D6"/>
    <w:rsid w:val="00856C18"/>
    <w:rsid w:val="008579B9"/>
    <w:rsid w:val="00857B75"/>
    <w:rsid w:val="00862CF0"/>
    <w:rsid w:val="00863E05"/>
    <w:rsid w:val="00864C55"/>
    <w:rsid w:val="00867488"/>
    <w:rsid w:val="00867AC1"/>
    <w:rsid w:val="00875AA3"/>
    <w:rsid w:val="00881E83"/>
    <w:rsid w:val="0088281E"/>
    <w:rsid w:val="008868E7"/>
    <w:rsid w:val="00890DF8"/>
    <w:rsid w:val="008A2CE0"/>
    <w:rsid w:val="008A3763"/>
    <w:rsid w:val="008A743F"/>
    <w:rsid w:val="008B060A"/>
    <w:rsid w:val="008B3D8D"/>
    <w:rsid w:val="008B5C2E"/>
    <w:rsid w:val="008C0970"/>
    <w:rsid w:val="008D0BC5"/>
    <w:rsid w:val="008D0C1C"/>
    <w:rsid w:val="008D1037"/>
    <w:rsid w:val="008D2CF7"/>
    <w:rsid w:val="008D4A01"/>
    <w:rsid w:val="008D5376"/>
    <w:rsid w:val="008E7B38"/>
    <w:rsid w:val="008F34E4"/>
    <w:rsid w:val="008F5E52"/>
    <w:rsid w:val="00900C26"/>
    <w:rsid w:val="0090197F"/>
    <w:rsid w:val="00903B7B"/>
    <w:rsid w:val="00906DDC"/>
    <w:rsid w:val="00912F44"/>
    <w:rsid w:val="00915641"/>
    <w:rsid w:val="00922ABC"/>
    <w:rsid w:val="00925668"/>
    <w:rsid w:val="0092576C"/>
    <w:rsid w:val="00933534"/>
    <w:rsid w:val="00933D99"/>
    <w:rsid w:val="00934E09"/>
    <w:rsid w:val="00935AC2"/>
    <w:rsid w:val="00936253"/>
    <w:rsid w:val="00940D46"/>
    <w:rsid w:val="00943847"/>
    <w:rsid w:val="00944EE1"/>
    <w:rsid w:val="00952DD4"/>
    <w:rsid w:val="0096175D"/>
    <w:rsid w:val="00965AE7"/>
    <w:rsid w:val="00970FED"/>
    <w:rsid w:val="0097266A"/>
    <w:rsid w:val="00977123"/>
    <w:rsid w:val="009911DE"/>
    <w:rsid w:val="00992D82"/>
    <w:rsid w:val="00997029"/>
    <w:rsid w:val="009975A7"/>
    <w:rsid w:val="009A0DCA"/>
    <w:rsid w:val="009A7339"/>
    <w:rsid w:val="009B440E"/>
    <w:rsid w:val="009B62A7"/>
    <w:rsid w:val="009D0C15"/>
    <w:rsid w:val="009D690D"/>
    <w:rsid w:val="009D74CF"/>
    <w:rsid w:val="009E037F"/>
    <w:rsid w:val="009E4937"/>
    <w:rsid w:val="009E65B6"/>
    <w:rsid w:val="009F07E6"/>
    <w:rsid w:val="009F657C"/>
    <w:rsid w:val="00A00FFA"/>
    <w:rsid w:val="00A0722E"/>
    <w:rsid w:val="00A1360C"/>
    <w:rsid w:val="00A24C10"/>
    <w:rsid w:val="00A30C53"/>
    <w:rsid w:val="00A42AC3"/>
    <w:rsid w:val="00A430CF"/>
    <w:rsid w:val="00A51052"/>
    <w:rsid w:val="00A519BD"/>
    <w:rsid w:val="00A54309"/>
    <w:rsid w:val="00A640FF"/>
    <w:rsid w:val="00A706D3"/>
    <w:rsid w:val="00A74746"/>
    <w:rsid w:val="00A763D1"/>
    <w:rsid w:val="00A84AD2"/>
    <w:rsid w:val="00A864D5"/>
    <w:rsid w:val="00AA79A9"/>
    <w:rsid w:val="00AB2B93"/>
    <w:rsid w:val="00AB3E6C"/>
    <w:rsid w:val="00AB530F"/>
    <w:rsid w:val="00AB5E9F"/>
    <w:rsid w:val="00AB7E5B"/>
    <w:rsid w:val="00AC2883"/>
    <w:rsid w:val="00AC2DC5"/>
    <w:rsid w:val="00AD0B3B"/>
    <w:rsid w:val="00AE0EF1"/>
    <w:rsid w:val="00AE2937"/>
    <w:rsid w:val="00AE66A3"/>
    <w:rsid w:val="00AF0490"/>
    <w:rsid w:val="00AF4ECD"/>
    <w:rsid w:val="00B050D6"/>
    <w:rsid w:val="00B07301"/>
    <w:rsid w:val="00B07D80"/>
    <w:rsid w:val="00B10468"/>
    <w:rsid w:val="00B11F3E"/>
    <w:rsid w:val="00B224DE"/>
    <w:rsid w:val="00B2250C"/>
    <w:rsid w:val="00B23690"/>
    <w:rsid w:val="00B324D4"/>
    <w:rsid w:val="00B4233E"/>
    <w:rsid w:val="00B44CEA"/>
    <w:rsid w:val="00B46575"/>
    <w:rsid w:val="00B46CE7"/>
    <w:rsid w:val="00B61356"/>
    <w:rsid w:val="00B61777"/>
    <w:rsid w:val="00B61D54"/>
    <w:rsid w:val="00B849E7"/>
    <w:rsid w:val="00B84BBD"/>
    <w:rsid w:val="00B8601D"/>
    <w:rsid w:val="00B93F8F"/>
    <w:rsid w:val="00B94264"/>
    <w:rsid w:val="00B978DA"/>
    <w:rsid w:val="00BA0914"/>
    <w:rsid w:val="00BA43FB"/>
    <w:rsid w:val="00BB191B"/>
    <w:rsid w:val="00BB7DEC"/>
    <w:rsid w:val="00BB7DF2"/>
    <w:rsid w:val="00BC0BD4"/>
    <w:rsid w:val="00BC127D"/>
    <w:rsid w:val="00BC1FE6"/>
    <w:rsid w:val="00BE4A5A"/>
    <w:rsid w:val="00BE7845"/>
    <w:rsid w:val="00C01188"/>
    <w:rsid w:val="00C05863"/>
    <w:rsid w:val="00C061B6"/>
    <w:rsid w:val="00C069BC"/>
    <w:rsid w:val="00C06D85"/>
    <w:rsid w:val="00C0775F"/>
    <w:rsid w:val="00C2111B"/>
    <w:rsid w:val="00C23D46"/>
    <w:rsid w:val="00C2446C"/>
    <w:rsid w:val="00C24747"/>
    <w:rsid w:val="00C33B57"/>
    <w:rsid w:val="00C341E4"/>
    <w:rsid w:val="00C36AE5"/>
    <w:rsid w:val="00C37FE8"/>
    <w:rsid w:val="00C41F17"/>
    <w:rsid w:val="00C4525B"/>
    <w:rsid w:val="00C51657"/>
    <w:rsid w:val="00C527FA"/>
    <w:rsid w:val="00C5280D"/>
    <w:rsid w:val="00C53EB3"/>
    <w:rsid w:val="00C5791C"/>
    <w:rsid w:val="00C66290"/>
    <w:rsid w:val="00C72B7A"/>
    <w:rsid w:val="00C7309F"/>
    <w:rsid w:val="00C84742"/>
    <w:rsid w:val="00C8533D"/>
    <w:rsid w:val="00C9630C"/>
    <w:rsid w:val="00C973F2"/>
    <w:rsid w:val="00CA304C"/>
    <w:rsid w:val="00CA774A"/>
    <w:rsid w:val="00CB0305"/>
    <w:rsid w:val="00CB380E"/>
    <w:rsid w:val="00CB5662"/>
    <w:rsid w:val="00CC11B0"/>
    <w:rsid w:val="00CC2841"/>
    <w:rsid w:val="00CC5793"/>
    <w:rsid w:val="00CD0EE9"/>
    <w:rsid w:val="00CE33F4"/>
    <w:rsid w:val="00CE49AB"/>
    <w:rsid w:val="00CF1330"/>
    <w:rsid w:val="00CF2B9E"/>
    <w:rsid w:val="00CF4C3E"/>
    <w:rsid w:val="00CF54A9"/>
    <w:rsid w:val="00CF5A76"/>
    <w:rsid w:val="00CF7E36"/>
    <w:rsid w:val="00D17B13"/>
    <w:rsid w:val="00D24BE0"/>
    <w:rsid w:val="00D24E6E"/>
    <w:rsid w:val="00D36F76"/>
    <w:rsid w:val="00D3708D"/>
    <w:rsid w:val="00D37276"/>
    <w:rsid w:val="00D3799A"/>
    <w:rsid w:val="00D40255"/>
    <w:rsid w:val="00D40426"/>
    <w:rsid w:val="00D47226"/>
    <w:rsid w:val="00D51097"/>
    <w:rsid w:val="00D57C96"/>
    <w:rsid w:val="00D57D18"/>
    <w:rsid w:val="00D661B6"/>
    <w:rsid w:val="00D6646C"/>
    <w:rsid w:val="00D7576F"/>
    <w:rsid w:val="00D91203"/>
    <w:rsid w:val="00D92672"/>
    <w:rsid w:val="00D94FB1"/>
    <w:rsid w:val="00D95174"/>
    <w:rsid w:val="00D95BA0"/>
    <w:rsid w:val="00DA4973"/>
    <w:rsid w:val="00DA5306"/>
    <w:rsid w:val="00DA6F36"/>
    <w:rsid w:val="00DB1028"/>
    <w:rsid w:val="00DB2987"/>
    <w:rsid w:val="00DB4E87"/>
    <w:rsid w:val="00DB596E"/>
    <w:rsid w:val="00DB75B6"/>
    <w:rsid w:val="00DB7773"/>
    <w:rsid w:val="00DC00EA"/>
    <w:rsid w:val="00DC1160"/>
    <w:rsid w:val="00DC3802"/>
    <w:rsid w:val="00DC56CD"/>
    <w:rsid w:val="00DD3777"/>
    <w:rsid w:val="00DE5DA0"/>
    <w:rsid w:val="00DF4370"/>
    <w:rsid w:val="00E00E22"/>
    <w:rsid w:val="00E07D87"/>
    <w:rsid w:val="00E32F7E"/>
    <w:rsid w:val="00E37392"/>
    <w:rsid w:val="00E40B78"/>
    <w:rsid w:val="00E47400"/>
    <w:rsid w:val="00E5267B"/>
    <w:rsid w:val="00E5395D"/>
    <w:rsid w:val="00E54D6B"/>
    <w:rsid w:val="00E617F4"/>
    <w:rsid w:val="00E63C0E"/>
    <w:rsid w:val="00E70DDC"/>
    <w:rsid w:val="00E72D49"/>
    <w:rsid w:val="00E74F0D"/>
    <w:rsid w:val="00E7593C"/>
    <w:rsid w:val="00E7678A"/>
    <w:rsid w:val="00E83423"/>
    <w:rsid w:val="00E935F1"/>
    <w:rsid w:val="00E94A81"/>
    <w:rsid w:val="00EA1FFB"/>
    <w:rsid w:val="00EB048E"/>
    <w:rsid w:val="00EB09EB"/>
    <w:rsid w:val="00EB4E9C"/>
    <w:rsid w:val="00EC2265"/>
    <w:rsid w:val="00ED1E73"/>
    <w:rsid w:val="00ED6E82"/>
    <w:rsid w:val="00EE34DF"/>
    <w:rsid w:val="00EE3C81"/>
    <w:rsid w:val="00EE66F5"/>
    <w:rsid w:val="00EE7597"/>
    <w:rsid w:val="00EF2F89"/>
    <w:rsid w:val="00EF378F"/>
    <w:rsid w:val="00F0015F"/>
    <w:rsid w:val="00F03E98"/>
    <w:rsid w:val="00F06651"/>
    <w:rsid w:val="00F1237A"/>
    <w:rsid w:val="00F176B7"/>
    <w:rsid w:val="00F22CBD"/>
    <w:rsid w:val="00F272F1"/>
    <w:rsid w:val="00F31BFA"/>
    <w:rsid w:val="00F321F8"/>
    <w:rsid w:val="00F33BB8"/>
    <w:rsid w:val="00F36BE4"/>
    <w:rsid w:val="00F36C27"/>
    <w:rsid w:val="00F37AD9"/>
    <w:rsid w:val="00F40EC4"/>
    <w:rsid w:val="00F41332"/>
    <w:rsid w:val="00F4165B"/>
    <w:rsid w:val="00F45372"/>
    <w:rsid w:val="00F52D2B"/>
    <w:rsid w:val="00F53941"/>
    <w:rsid w:val="00F54D26"/>
    <w:rsid w:val="00F560F7"/>
    <w:rsid w:val="00F61B91"/>
    <w:rsid w:val="00F6334D"/>
    <w:rsid w:val="00F828C4"/>
    <w:rsid w:val="00F84FF6"/>
    <w:rsid w:val="00F92299"/>
    <w:rsid w:val="00FA49AB"/>
    <w:rsid w:val="00FA5669"/>
    <w:rsid w:val="00FA7A0C"/>
    <w:rsid w:val="00FB3C75"/>
    <w:rsid w:val="00FC3D2A"/>
    <w:rsid w:val="00FC6330"/>
    <w:rsid w:val="00FD0B2B"/>
    <w:rsid w:val="00FD3F87"/>
    <w:rsid w:val="00FE1321"/>
    <w:rsid w:val="00FE39C7"/>
    <w:rsid w:val="00FE616D"/>
    <w:rsid w:val="00FF4D07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63346324"/>
  <w15:docId w15:val="{1F9B7F55-E9DE-44FA-8576-9E0BF708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aliases w:val="COMMON NAME,common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qFormat/>
    <w:rsid w:val="00801E9E"/>
    <w:pPr>
      <w:tabs>
        <w:tab w:val="right" w:leader="dot" w:pos="9639"/>
      </w:tabs>
      <w:ind w:left="568" w:right="851" w:hanging="284"/>
      <w:contextualSpacing/>
    </w:pPr>
    <w:rPr>
      <w:sz w:val="18"/>
    </w:rPr>
  </w:style>
  <w:style w:type="paragraph" w:styleId="TOC3">
    <w:name w:val="toc 3"/>
    <w:next w:val="Normal"/>
    <w:autoRedefine/>
    <w:uiPriority w:val="39"/>
    <w:qFormat/>
    <w:rsid w:val="00801E9E"/>
    <w:pPr>
      <w:tabs>
        <w:tab w:val="right" w:leader="dot" w:pos="9639"/>
      </w:tabs>
      <w:spacing w:after="60"/>
      <w:ind w:left="851" w:right="1418" w:hanging="284"/>
      <w:contextualSpacing/>
    </w:pPr>
    <w:rPr>
      <w:rFonts w:ascii="Arial" w:hAnsi="Arial"/>
      <w:i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801E9E"/>
    <w:pPr>
      <w:tabs>
        <w:tab w:val="left" w:pos="568"/>
        <w:tab w:val="right" w:leader="dot" w:pos="9639"/>
      </w:tabs>
      <w:spacing w:before="60"/>
      <w:ind w:right="1418"/>
      <w:contextualSpacing/>
      <w:jc w:val="left"/>
    </w:pPr>
    <w:rPr>
      <w:caps/>
      <w:sz w:val="18"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aliases w:val="COMMON NAME Char,common Char"/>
    <w:basedOn w:val="DefaultParagraphFont"/>
    <w:link w:val="Heading1"/>
    <w:rsid w:val="00AE66A3"/>
    <w:rPr>
      <w:rFonts w:ascii="Arial" w:hAnsi="Arial"/>
      <w:caps/>
    </w:rPr>
  </w:style>
  <w:style w:type="character" w:customStyle="1" w:styleId="Heading2Char">
    <w:name w:val="Heading 2 Char"/>
    <w:aliases w:val="VARIETY Char,variety Char"/>
    <w:link w:val="Heading2"/>
    <w:locked/>
    <w:rsid w:val="00AE66A3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AE66A3"/>
    <w:rPr>
      <w:rFonts w:ascii="Arial" w:hAnsi="Arial"/>
      <w:i/>
    </w:rPr>
  </w:style>
  <w:style w:type="character" w:customStyle="1" w:styleId="FootnoteTextChar">
    <w:name w:val="Footnote Text Char"/>
    <w:basedOn w:val="DefaultParagraphFont"/>
    <w:link w:val="FootnoteText"/>
    <w:rsid w:val="00AE66A3"/>
    <w:rPr>
      <w:rFonts w:ascii="Arial" w:hAnsi="Arial"/>
      <w:sz w:val="16"/>
      <w:lang w:val="es-ES_tradnl"/>
    </w:rPr>
  </w:style>
  <w:style w:type="paragraph" w:styleId="ListParagraph">
    <w:name w:val="List Paragraph"/>
    <w:basedOn w:val="Normal"/>
    <w:uiPriority w:val="34"/>
    <w:qFormat/>
    <w:rsid w:val="00AE66A3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AE66A3"/>
    <w:rPr>
      <w:rFonts w:ascii="Calibri" w:eastAsia="Calibri" w:hAnsi="Calibr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E66A3"/>
    <w:rPr>
      <w:rFonts w:ascii="Calibri" w:eastAsia="Calibri" w:hAnsi="Calibr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oecd.org/tad/seed" TargetMode="External"/><Relationship Id="rId18" Type="http://schemas.openxmlformats.org/officeDocument/2006/relationships/diagramLayout" Target="diagrams/layout1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diagramDrawing" Target="diagrams/drawing1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diagramData" Target="diagrams/data1.xm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upov.int/about/es/faq.html" TargetMode="External"/><Relationship Id="rId20" Type="http://schemas.openxmlformats.org/officeDocument/2006/relationships/diagramColors" Target="diagrams/colors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hyperlink" Target="http://www.upov.int/export/sites/upov/images/worldmap_es.jpg" TargetMode="External"/><Relationship Id="rId23" Type="http://schemas.openxmlformats.org/officeDocument/2006/relationships/header" Target="header5.xml"/><Relationship Id="rId10" Type="http://schemas.openxmlformats.org/officeDocument/2006/relationships/header" Target="header3.xml"/><Relationship Id="rId19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upov.int/export/sites/upov/members/es/pdf/pub423.pdf" TargetMode="External"/><Relationship Id="rId22" Type="http://schemas.openxmlformats.org/officeDocument/2006/relationships/hyperlink" Target="http://www.seedtest.org" TargetMode="Externa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3952CA9-C758-47E0-8313-93B1F913A98D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CH"/>
        </a:p>
      </dgm:t>
    </dgm:pt>
    <dgm:pt modelId="{D9C435B6-CA06-41AF-87DD-21B230F0E89E}">
      <dgm:prSet phldrT="[Text]" custT="1"/>
      <dgm:spPr>
        <a:xfrm>
          <a:off x="503" y="108863"/>
          <a:ext cx="1833653" cy="373982"/>
        </a:xfrm>
        <a:solidFill>
          <a:srgbClr val="FA7C18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ES_tradnl" sz="10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Certificado naranja internacional de lotes de semillas</a:t>
          </a:r>
          <a:r>
            <a:rPr lang="de-CH" sz="10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        </a:t>
          </a:r>
        </a:p>
      </dgm:t>
    </dgm:pt>
    <dgm:pt modelId="{60F0F445-5A1F-466E-A879-552C6E220B91}" type="parTrans" cxnId="{BBD38531-A795-4472-A241-14040624A61C}">
      <dgm:prSet/>
      <dgm:spPr/>
      <dgm:t>
        <a:bodyPr/>
        <a:lstStyle/>
        <a:p>
          <a:pPr algn="ctr"/>
          <a:endParaRPr lang="de-CH"/>
        </a:p>
      </dgm:t>
    </dgm:pt>
    <dgm:pt modelId="{F434DDCD-BE05-4BB0-B100-B26C93922D6B}" type="sibTrans" cxnId="{BBD38531-A795-4472-A241-14040624A61C}">
      <dgm:prSet/>
      <dgm:spPr/>
      <dgm:t>
        <a:bodyPr/>
        <a:lstStyle/>
        <a:p>
          <a:pPr algn="ctr"/>
          <a:endParaRPr lang="de-CH"/>
        </a:p>
      </dgm:t>
    </dgm:pt>
    <dgm:pt modelId="{4E0612E4-7DE3-44E1-8880-3956F30B1785}">
      <dgm:prSet phldrT="[Text]" custT="1"/>
      <dgm:spPr>
        <a:xfrm>
          <a:off x="367234" y="712052"/>
          <a:ext cx="1466922" cy="91682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A7C18"/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ES_tradn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Se expide cuando tanto la toma de la muestra del lote como el análisis de la muestra se llevan a cabo bajo la responsabilidad de un laboratorio acreditado por la ISTA para el ensayo de semillas.</a:t>
          </a:r>
          <a:endParaRPr lang="de-CH" sz="7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076A0B1D-E446-4335-AE64-FDABA5C77E38}" type="parTrans" cxnId="{6CFC5D1C-D684-46B9-97C6-67593215A77D}">
      <dgm:prSet>
        <dgm:style>
          <a:lnRef idx="1">
            <a:schemeClr val="accent2"/>
          </a:lnRef>
          <a:fillRef idx="0">
            <a:schemeClr val="accent2"/>
          </a:fillRef>
          <a:effectRef idx="0">
            <a:schemeClr val="accent2"/>
          </a:effectRef>
          <a:fontRef idx="minor">
            <a:schemeClr val="tx1"/>
          </a:fontRef>
        </dgm:style>
      </dgm:prSet>
      <dgm:spPr>
        <a:xfrm>
          <a:off x="183869" y="482845"/>
          <a:ext cx="183365" cy="687619"/>
        </a:xfrm>
        <a:noFill/>
        <a:ln w="12700" cap="flat" cmpd="sng" algn="ctr">
          <a:solidFill>
            <a:srgbClr val="FA7C18"/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de-CH"/>
        </a:p>
      </dgm:t>
    </dgm:pt>
    <dgm:pt modelId="{E0BB8903-8419-4644-B34B-FDAF75049E5F}" type="sibTrans" cxnId="{6CFC5D1C-D684-46B9-97C6-67593215A77D}">
      <dgm:prSet/>
      <dgm:spPr/>
      <dgm:t>
        <a:bodyPr/>
        <a:lstStyle/>
        <a:p>
          <a:pPr algn="ctr"/>
          <a:endParaRPr lang="de-CH"/>
        </a:p>
      </dgm:t>
    </dgm:pt>
    <dgm:pt modelId="{955721B5-58CA-4695-8D31-B7D79B661D4C}">
      <dgm:prSet phldrT="[Text]" custT="1"/>
      <dgm:spPr>
        <a:xfrm>
          <a:off x="2292570" y="108863"/>
          <a:ext cx="1833653" cy="377576"/>
        </a:xfrm>
        <a:solidFill>
          <a:srgbClr val="5B9BD5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ES_tradnl" sz="10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Certificado azul internacional de lotes de semillas</a:t>
          </a:r>
          <a:endParaRPr lang="de-CH" sz="1000">
            <a:solidFill>
              <a:sysClr val="window" lastClr="FFFFF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A7F5E5F9-EC3D-4825-A194-DBFAAC55B49C}" type="parTrans" cxnId="{31C28D41-F13C-4891-9DEE-2EB2CED64D01}">
      <dgm:prSet/>
      <dgm:spPr/>
      <dgm:t>
        <a:bodyPr/>
        <a:lstStyle/>
        <a:p>
          <a:pPr algn="ctr"/>
          <a:endParaRPr lang="de-CH"/>
        </a:p>
      </dgm:t>
    </dgm:pt>
    <dgm:pt modelId="{321BE7A8-357B-4AC9-A61B-9966AF862E5F}" type="sibTrans" cxnId="{31C28D41-F13C-4891-9DEE-2EB2CED64D01}">
      <dgm:prSet/>
      <dgm:spPr/>
      <dgm:t>
        <a:bodyPr/>
        <a:lstStyle/>
        <a:p>
          <a:pPr algn="ctr"/>
          <a:endParaRPr lang="de-CH"/>
        </a:p>
      </dgm:t>
    </dgm:pt>
    <dgm:pt modelId="{00850504-3439-4058-A245-665152206831}">
      <dgm:prSet phldrT="[Text]" custT="1"/>
      <dgm:spPr>
        <a:xfrm>
          <a:off x="2659300" y="715646"/>
          <a:ext cx="1466922" cy="91682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es-ES_tradnl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Se expide cuando la toma de la muestra del lote no se lleva a cabo bajo la responsabilidad de un laboratorio acreditado por la ISTA. Por tanto, los resultados que obtenga el laboratorio acreditado por la ISTA solo son válidos para la muestra y no para el lote de semillas del que se tomó la muestra.</a:t>
          </a:r>
          <a:endParaRPr lang="de-CH" sz="7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A54E6803-71BC-4123-9179-1A77314244FC}" type="parTrans" cxnId="{A4FD51F1-B7FE-4139-B878-784FDD951FC9}">
      <dgm:prSet/>
      <dgm:spPr>
        <a:xfrm>
          <a:off x="2475935" y="486439"/>
          <a:ext cx="183365" cy="687619"/>
        </a:xfrm>
        <a:noFill/>
        <a:ln w="12700" cap="flat" cmpd="sng" algn="ctr">
          <a:solidFill>
            <a:srgbClr val="5B9BD5"/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de-CH"/>
        </a:p>
      </dgm:t>
    </dgm:pt>
    <dgm:pt modelId="{CDD9A283-4ACE-4179-9AC9-377E2482305B}" type="sibTrans" cxnId="{A4FD51F1-B7FE-4139-B878-784FDD951FC9}">
      <dgm:prSet/>
      <dgm:spPr/>
      <dgm:t>
        <a:bodyPr/>
        <a:lstStyle/>
        <a:p>
          <a:pPr algn="ctr"/>
          <a:endParaRPr lang="de-CH"/>
        </a:p>
      </dgm:t>
    </dgm:pt>
    <dgm:pt modelId="{310A1E43-F36E-4A87-9425-43095855FC1C}" type="pres">
      <dgm:prSet presAssocID="{03952CA9-C758-47E0-8313-93B1F913A98D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EE8568D5-56BE-4C5E-B521-55C2960B5C7E}" type="pres">
      <dgm:prSet presAssocID="{D9C435B6-CA06-41AF-87DD-21B230F0E89E}" presName="root" presStyleCnt="0"/>
      <dgm:spPr/>
    </dgm:pt>
    <dgm:pt modelId="{42D807D9-08C7-442A-9E44-4F0BC0A41562}" type="pres">
      <dgm:prSet presAssocID="{D9C435B6-CA06-41AF-87DD-21B230F0E89E}" presName="rootComposite" presStyleCnt="0"/>
      <dgm:spPr/>
    </dgm:pt>
    <dgm:pt modelId="{48E9BA03-7739-4D6F-A1C0-DF79115C6FDE}" type="pres">
      <dgm:prSet presAssocID="{D9C435B6-CA06-41AF-87DD-21B230F0E89E}" presName="rootText" presStyleLbl="node1" presStyleIdx="0" presStyleCnt="2" custScaleX="110671" custScaleY="4079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283657B9-F591-4BA6-A67D-314150D7B551}" type="pres">
      <dgm:prSet presAssocID="{D9C435B6-CA06-41AF-87DD-21B230F0E89E}" presName="rootConnector" presStyleLbl="node1" presStyleIdx="0" presStyleCnt="2"/>
      <dgm:spPr/>
      <dgm:t>
        <a:bodyPr/>
        <a:lstStyle/>
        <a:p>
          <a:endParaRPr lang="en-US"/>
        </a:p>
      </dgm:t>
    </dgm:pt>
    <dgm:pt modelId="{998D10DC-E806-42AE-A6B6-D17C71BCE90D}" type="pres">
      <dgm:prSet presAssocID="{D9C435B6-CA06-41AF-87DD-21B230F0E89E}" presName="childShape" presStyleCnt="0"/>
      <dgm:spPr/>
    </dgm:pt>
    <dgm:pt modelId="{9716A20C-CD2C-4073-8675-311BA46592F5}" type="pres">
      <dgm:prSet presAssocID="{076A0B1D-E446-4335-AE64-FDABA5C77E38}" presName="Name13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7619"/>
              </a:lnTo>
              <a:lnTo>
                <a:pt x="183365" y="687619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7BE9336B-A08B-4FD0-87A7-703A2A8906C8}" type="pres">
      <dgm:prSet presAssocID="{4E0612E4-7DE3-44E1-8880-3956F30B1785}" presName="childText" presStyleLbl="bgAcc1" presStyleIdx="0" presStyleCnt="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9AD994E1-EF94-4A0C-B097-38F4E436903B}" type="pres">
      <dgm:prSet presAssocID="{955721B5-58CA-4695-8D31-B7D79B661D4C}" presName="root" presStyleCnt="0"/>
      <dgm:spPr/>
    </dgm:pt>
    <dgm:pt modelId="{81FCE613-3A14-46D7-8271-F171F93F7E79}" type="pres">
      <dgm:prSet presAssocID="{955721B5-58CA-4695-8D31-B7D79B661D4C}" presName="rootComposite" presStyleCnt="0"/>
      <dgm:spPr/>
    </dgm:pt>
    <dgm:pt modelId="{9E23BC41-006F-43C3-B525-B187D23D71C7}" type="pres">
      <dgm:prSet presAssocID="{955721B5-58CA-4695-8D31-B7D79B661D4C}" presName="rootText" presStyleLbl="node1" presStyleIdx="1" presStyleCnt="2" custScaleY="41183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BCDD0BF-8055-49CF-8D9E-6C440A9D31CC}" type="pres">
      <dgm:prSet presAssocID="{955721B5-58CA-4695-8D31-B7D79B661D4C}" presName="rootConnector" presStyleLbl="node1" presStyleIdx="1" presStyleCnt="2"/>
      <dgm:spPr/>
      <dgm:t>
        <a:bodyPr/>
        <a:lstStyle/>
        <a:p>
          <a:endParaRPr lang="en-US"/>
        </a:p>
      </dgm:t>
    </dgm:pt>
    <dgm:pt modelId="{0D3BC009-24AA-448B-8AAA-7D23793AB5C2}" type="pres">
      <dgm:prSet presAssocID="{955721B5-58CA-4695-8D31-B7D79B661D4C}" presName="childShape" presStyleCnt="0"/>
      <dgm:spPr/>
    </dgm:pt>
    <dgm:pt modelId="{1967C7AE-0426-4D3C-90E0-E227DFA0551B}" type="pres">
      <dgm:prSet presAssocID="{A54E6803-71BC-4123-9179-1A77314244FC}" presName="Name13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7619"/>
              </a:lnTo>
              <a:lnTo>
                <a:pt x="183365" y="687619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324828C7-EE9E-44F7-B1DA-9F9F3CE0E904}" type="pres">
      <dgm:prSet presAssocID="{00850504-3439-4058-A245-665152206831}" presName="childText" presStyleLbl="bgAcc1" presStyleIdx="1" presStyleCnt="2" custScaleY="11383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</dgm:ptLst>
  <dgm:cxnLst>
    <dgm:cxn modelId="{14BAADEE-5812-4D52-BE65-6641953C98E6}" type="presOf" srcId="{00850504-3439-4058-A245-665152206831}" destId="{324828C7-EE9E-44F7-B1DA-9F9F3CE0E904}" srcOrd="0" destOrd="0" presId="urn:microsoft.com/office/officeart/2005/8/layout/hierarchy3"/>
    <dgm:cxn modelId="{CD5693DC-DC79-4371-AE8B-14687FA689FF}" type="presOf" srcId="{4E0612E4-7DE3-44E1-8880-3956F30B1785}" destId="{7BE9336B-A08B-4FD0-87A7-703A2A8906C8}" srcOrd="0" destOrd="0" presId="urn:microsoft.com/office/officeart/2005/8/layout/hierarchy3"/>
    <dgm:cxn modelId="{F6D90180-4442-407A-8A54-6477F2DFD617}" type="presOf" srcId="{D9C435B6-CA06-41AF-87DD-21B230F0E89E}" destId="{283657B9-F591-4BA6-A67D-314150D7B551}" srcOrd="1" destOrd="0" presId="urn:microsoft.com/office/officeart/2005/8/layout/hierarchy3"/>
    <dgm:cxn modelId="{62BAFEB1-A265-4E93-8B1A-5752CBA6F5A0}" type="presOf" srcId="{955721B5-58CA-4695-8D31-B7D79B661D4C}" destId="{FBCDD0BF-8055-49CF-8D9E-6C440A9D31CC}" srcOrd="1" destOrd="0" presId="urn:microsoft.com/office/officeart/2005/8/layout/hierarchy3"/>
    <dgm:cxn modelId="{5FE4CD69-2F13-4A4D-9EA3-F48676870DA1}" type="presOf" srcId="{076A0B1D-E446-4335-AE64-FDABA5C77E38}" destId="{9716A20C-CD2C-4073-8675-311BA46592F5}" srcOrd="0" destOrd="0" presId="urn:microsoft.com/office/officeart/2005/8/layout/hierarchy3"/>
    <dgm:cxn modelId="{6EB651CF-D3AE-4BFF-B7E3-43F6ABFA01F4}" type="presOf" srcId="{03952CA9-C758-47E0-8313-93B1F913A98D}" destId="{310A1E43-F36E-4A87-9425-43095855FC1C}" srcOrd="0" destOrd="0" presId="urn:microsoft.com/office/officeart/2005/8/layout/hierarchy3"/>
    <dgm:cxn modelId="{EBBEE58E-B7D4-4AF1-884B-57BCD941D721}" type="presOf" srcId="{955721B5-58CA-4695-8D31-B7D79B661D4C}" destId="{9E23BC41-006F-43C3-B525-B187D23D71C7}" srcOrd="0" destOrd="0" presId="urn:microsoft.com/office/officeart/2005/8/layout/hierarchy3"/>
    <dgm:cxn modelId="{6CFC5D1C-D684-46B9-97C6-67593215A77D}" srcId="{D9C435B6-CA06-41AF-87DD-21B230F0E89E}" destId="{4E0612E4-7DE3-44E1-8880-3956F30B1785}" srcOrd="0" destOrd="0" parTransId="{076A0B1D-E446-4335-AE64-FDABA5C77E38}" sibTransId="{E0BB8903-8419-4644-B34B-FDAF75049E5F}"/>
    <dgm:cxn modelId="{E95F4495-0FD7-468A-B4A0-B2B4BE9BFB30}" type="presOf" srcId="{D9C435B6-CA06-41AF-87DD-21B230F0E89E}" destId="{48E9BA03-7739-4D6F-A1C0-DF79115C6FDE}" srcOrd="0" destOrd="0" presId="urn:microsoft.com/office/officeart/2005/8/layout/hierarchy3"/>
    <dgm:cxn modelId="{BBD38531-A795-4472-A241-14040624A61C}" srcId="{03952CA9-C758-47E0-8313-93B1F913A98D}" destId="{D9C435B6-CA06-41AF-87DD-21B230F0E89E}" srcOrd="0" destOrd="0" parTransId="{60F0F445-5A1F-466E-A879-552C6E220B91}" sibTransId="{F434DDCD-BE05-4BB0-B100-B26C93922D6B}"/>
    <dgm:cxn modelId="{A4FD51F1-B7FE-4139-B878-784FDD951FC9}" srcId="{955721B5-58CA-4695-8D31-B7D79B661D4C}" destId="{00850504-3439-4058-A245-665152206831}" srcOrd="0" destOrd="0" parTransId="{A54E6803-71BC-4123-9179-1A77314244FC}" sibTransId="{CDD9A283-4ACE-4179-9AC9-377E2482305B}"/>
    <dgm:cxn modelId="{31C28D41-F13C-4891-9DEE-2EB2CED64D01}" srcId="{03952CA9-C758-47E0-8313-93B1F913A98D}" destId="{955721B5-58CA-4695-8D31-B7D79B661D4C}" srcOrd="1" destOrd="0" parTransId="{A7F5E5F9-EC3D-4825-A194-DBFAAC55B49C}" sibTransId="{321BE7A8-357B-4AC9-A61B-9966AF862E5F}"/>
    <dgm:cxn modelId="{81CFB255-0137-40CB-91E5-7EE78CEE14C9}" type="presOf" srcId="{A54E6803-71BC-4123-9179-1A77314244FC}" destId="{1967C7AE-0426-4D3C-90E0-E227DFA0551B}" srcOrd="0" destOrd="0" presId="urn:microsoft.com/office/officeart/2005/8/layout/hierarchy3"/>
    <dgm:cxn modelId="{FF5B7904-8703-4CB9-82FB-404493866F10}" type="presParOf" srcId="{310A1E43-F36E-4A87-9425-43095855FC1C}" destId="{EE8568D5-56BE-4C5E-B521-55C2960B5C7E}" srcOrd="0" destOrd="0" presId="urn:microsoft.com/office/officeart/2005/8/layout/hierarchy3"/>
    <dgm:cxn modelId="{C34489E7-2AD3-42D6-8A4E-6A9B2108A693}" type="presParOf" srcId="{EE8568D5-56BE-4C5E-B521-55C2960B5C7E}" destId="{42D807D9-08C7-442A-9E44-4F0BC0A41562}" srcOrd="0" destOrd="0" presId="urn:microsoft.com/office/officeart/2005/8/layout/hierarchy3"/>
    <dgm:cxn modelId="{2B85EE19-17D5-45DD-B5F0-7929E32BB83F}" type="presParOf" srcId="{42D807D9-08C7-442A-9E44-4F0BC0A41562}" destId="{48E9BA03-7739-4D6F-A1C0-DF79115C6FDE}" srcOrd="0" destOrd="0" presId="urn:microsoft.com/office/officeart/2005/8/layout/hierarchy3"/>
    <dgm:cxn modelId="{54B38318-14E4-4CBE-9B92-BE103FFA8EDD}" type="presParOf" srcId="{42D807D9-08C7-442A-9E44-4F0BC0A41562}" destId="{283657B9-F591-4BA6-A67D-314150D7B551}" srcOrd="1" destOrd="0" presId="urn:microsoft.com/office/officeart/2005/8/layout/hierarchy3"/>
    <dgm:cxn modelId="{933EEBEF-C93C-48C9-BF84-1190DA083D89}" type="presParOf" srcId="{EE8568D5-56BE-4C5E-B521-55C2960B5C7E}" destId="{998D10DC-E806-42AE-A6B6-D17C71BCE90D}" srcOrd="1" destOrd="0" presId="urn:microsoft.com/office/officeart/2005/8/layout/hierarchy3"/>
    <dgm:cxn modelId="{691E0CE1-CF1A-4A7A-A418-94A27E78D11C}" type="presParOf" srcId="{998D10DC-E806-42AE-A6B6-D17C71BCE90D}" destId="{9716A20C-CD2C-4073-8675-311BA46592F5}" srcOrd="0" destOrd="0" presId="urn:microsoft.com/office/officeart/2005/8/layout/hierarchy3"/>
    <dgm:cxn modelId="{ED589D3E-0F07-4B24-8BB0-07CBF71C1BA0}" type="presParOf" srcId="{998D10DC-E806-42AE-A6B6-D17C71BCE90D}" destId="{7BE9336B-A08B-4FD0-87A7-703A2A8906C8}" srcOrd="1" destOrd="0" presId="urn:microsoft.com/office/officeart/2005/8/layout/hierarchy3"/>
    <dgm:cxn modelId="{D09C212F-81FE-471D-BEEC-817BE97C1B8A}" type="presParOf" srcId="{310A1E43-F36E-4A87-9425-43095855FC1C}" destId="{9AD994E1-EF94-4A0C-B097-38F4E436903B}" srcOrd="1" destOrd="0" presId="urn:microsoft.com/office/officeart/2005/8/layout/hierarchy3"/>
    <dgm:cxn modelId="{9C922B9F-48A4-4B2A-99E1-B298B60C34D9}" type="presParOf" srcId="{9AD994E1-EF94-4A0C-B097-38F4E436903B}" destId="{81FCE613-3A14-46D7-8271-F171F93F7E79}" srcOrd="0" destOrd="0" presId="urn:microsoft.com/office/officeart/2005/8/layout/hierarchy3"/>
    <dgm:cxn modelId="{0A10F8BF-41BE-40B6-9DDD-09C8BE65BB58}" type="presParOf" srcId="{81FCE613-3A14-46D7-8271-F171F93F7E79}" destId="{9E23BC41-006F-43C3-B525-B187D23D71C7}" srcOrd="0" destOrd="0" presId="urn:microsoft.com/office/officeart/2005/8/layout/hierarchy3"/>
    <dgm:cxn modelId="{722E3C03-A837-429D-B40A-FDFED4D9367C}" type="presParOf" srcId="{81FCE613-3A14-46D7-8271-F171F93F7E79}" destId="{FBCDD0BF-8055-49CF-8D9E-6C440A9D31CC}" srcOrd="1" destOrd="0" presId="urn:microsoft.com/office/officeart/2005/8/layout/hierarchy3"/>
    <dgm:cxn modelId="{4B754669-F083-42A2-AC1A-6D98C433E1BF}" type="presParOf" srcId="{9AD994E1-EF94-4A0C-B097-38F4E436903B}" destId="{0D3BC009-24AA-448B-8AAA-7D23793AB5C2}" srcOrd="1" destOrd="0" presId="urn:microsoft.com/office/officeart/2005/8/layout/hierarchy3"/>
    <dgm:cxn modelId="{0017FFDD-76DE-4250-B091-3F94838B93A8}" type="presParOf" srcId="{0D3BC009-24AA-448B-8AAA-7D23793AB5C2}" destId="{1967C7AE-0426-4D3C-90E0-E227DFA0551B}" srcOrd="0" destOrd="0" presId="urn:microsoft.com/office/officeart/2005/8/layout/hierarchy3"/>
    <dgm:cxn modelId="{AE604FD8-27CA-4C6E-B75F-F2E881637099}" type="presParOf" srcId="{0D3BC009-24AA-448B-8AAA-7D23793AB5C2}" destId="{324828C7-EE9E-44F7-B1DA-9F9F3CE0E904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E9BA03-7739-4D6F-A1C0-DF79115C6FDE}">
      <dsp:nvSpPr>
        <dsp:cNvPr id="0" name=""/>
        <dsp:cNvSpPr/>
      </dsp:nvSpPr>
      <dsp:spPr>
        <a:xfrm>
          <a:off x="19" y="85140"/>
          <a:ext cx="1936166" cy="356815"/>
        </a:xfrm>
        <a:prstGeom prst="roundRect">
          <a:avLst>
            <a:gd name="adj" fmla="val 10000"/>
          </a:avLst>
        </a:prstGeom>
        <a:solidFill>
          <a:srgbClr val="FA7C18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0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Certificado naranja internacional de lotes de semillas</a:t>
          </a:r>
          <a:r>
            <a:rPr lang="de-CH" sz="10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        </a:t>
          </a:r>
        </a:p>
      </dsp:txBody>
      <dsp:txXfrm>
        <a:off x="10470" y="95591"/>
        <a:ext cx="1915264" cy="335913"/>
      </dsp:txXfrm>
    </dsp:sp>
    <dsp:sp modelId="{9716A20C-CD2C-4073-8675-311BA46592F5}">
      <dsp:nvSpPr>
        <dsp:cNvPr id="0" name=""/>
        <dsp:cNvSpPr/>
      </dsp:nvSpPr>
      <dsp:spPr>
        <a:xfrm>
          <a:off x="193635" y="441956"/>
          <a:ext cx="193616" cy="6560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7619"/>
              </a:lnTo>
              <a:lnTo>
                <a:pt x="183365" y="687619"/>
              </a:lnTo>
            </a:path>
          </a:pathLst>
        </a:custGeom>
        <a:noFill/>
        <a:ln w="12700" cap="flat" cmpd="sng" algn="ctr">
          <a:solidFill>
            <a:srgbClr val="FA7C18"/>
          </a:solidFill>
          <a:prstDash val="solid"/>
          <a:miter lim="800000"/>
        </a:ln>
        <a:effectLst/>
      </dsp:spPr>
      <dsp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dsp:style>
    </dsp:sp>
    <dsp:sp modelId="{7BE9336B-A08B-4FD0-87A7-703A2A8906C8}">
      <dsp:nvSpPr>
        <dsp:cNvPr id="0" name=""/>
        <dsp:cNvSpPr/>
      </dsp:nvSpPr>
      <dsp:spPr>
        <a:xfrm>
          <a:off x="387252" y="660641"/>
          <a:ext cx="1399583" cy="87473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A7C1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Se expide cuando tanto la toma de la muestra del lote como el análisis de la muestra se llevan a cabo bajo la responsabilidad de un laboratorio acreditado por la ISTA para el ensayo de semillas.</a:t>
          </a:r>
          <a:endParaRPr lang="de-CH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412872" y="686261"/>
        <a:ext cx="1348343" cy="823499"/>
      </dsp:txXfrm>
    </dsp:sp>
    <dsp:sp modelId="{9E23BC41-006F-43C3-B525-B187D23D71C7}">
      <dsp:nvSpPr>
        <dsp:cNvPr id="0" name=""/>
        <dsp:cNvSpPr/>
      </dsp:nvSpPr>
      <dsp:spPr>
        <a:xfrm>
          <a:off x="2373555" y="85140"/>
          <a:ext cx="1749479" cy="360244"/>
        </a:xfrm>
        <a:prstGeom prst="roundRect">
          <a:avLst>
            <a:gd name="adj" fmla="val 10000"/>
          </a:avLst>
        </a:prstGeom>
        <a:solidFill>
          <a:srgbClr val="5B9BD5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10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Certificado azul internacional de lotes de semillas</a:t>
          </a:r>
          <a:endParaRPr lang="de-CH" sz="1000" kern="1200">
            <a:solidFill>
              <a:sysClr val="window" lastClr="FFFFF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2384106" y="95691"/>
        <a:ext cx="1728377" cy="339142"/>
      </dsp:txXfrm>
    </dsp:sp>
    <dsp:sp modelId="{1967C7AE-0426-4D3C-90E0-E227DFA0551B}">
      <dsp:nvSpPr>
        <dsp:cNvPr id="0" name=""/>
        <dsp:cNvSpPr/>
      </dsp:nvSpPr>
      <dsp:spPr>
        <a:xfrm>
          <a:off x="2548503" y="445385"/>
          <a:ext cx="174947" cy="7165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7619"/>
              </a:lnTo>
              <a:lnTo>
                <a:pt x="183365" y="687619"/>
              </a:lnTo>
            </a:path>
          </a:pathLst>
        </a:custGeom>
        <a:noFill/>
        <a:ln w="12700" cap="flat" cmpd="sng" algn="ctr">
          <a:solidFill>
            <a:srgbClr val="5B9BD5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4828C7-EE9E-44F7-B1DA-9F9F3CE0E904}">
      <dsp:nvSpPr>
        <dsp:cNvPr id="0" name=""/>
        <dsp:cNvSpPr/>
      </dsp:nvSpPr>
      <dsp:spPr>
        <a:xfrm>
          <a:off x="2723451" y="664070"/>
          <a:ext cx="1399583" cy="99576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_tradnl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Se expide cuando la toma de la muestra del lote no se lleva a cabo bajo la responsabilidad de un laboratorio acreditado por la ISTA. Por tanto, los resultados que obtenga el laboratorio acreditado por la ISTA solo son válidos para la muestra y no para el lote de semillas del que se tomó la muestra.</a:t>
          </a:r>
          <a:endParaRPr lang="de-CH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2752616" y="693235"/>
        <a:ext cx="1341253" cy="9374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6316</Words>
  <Characters>35045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TC/57/8</vt:lpstr>
    </vt:vector>
  </TitlesOfParts>
  <Company>UPOV</Company>
  <LinksUpToDate>false</LinksUpToDate>
  <CharactersWithSpaces>41279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TC/57/8</dc:title>
  <dc:creator>AS</dc:creator>
  <cp:lastModifiedBy>MAY Jessica</cp:lastModifiedBy>
  <cp:revision>5</cp:revision>
  <cp:lastPrinted>2016-11-22T15:41:00Z</cp:lastPrinted>
  <dcterms:created xsi:type="dcterms:W3CDTF">2021-06-22T11:18:00Z</dcterms:created>
  <dcterms:modified xsi:type="dcterms:W3CDTF">2021-06-23T12:45:00Z</dcterms:modified>
</cp:coreProperties>
</file>