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426"/>
        <w:gridCol w:w="3071"/>
      </w:tblGrid>
      <w:tr w:rsidR="00DC3802" w:rsidRPr="007624F0" w14:paraId="01EDBE7D" w14:textId="77777777" w:rsidTr="00EB4E9C">
        <w:tc>
          <w:tcPr>
            <w:tcW w:w="6522" w:type="dxa"/>
          </w:tcPr>
          <w:p w14:paraId="1EB44CD4" w14:textId="77777777" w:rsidR="00DC3802" w:rsidRPr="007624F0" w:rsidRDefault="00DC3802" w:rsidP="00AC2883">
            <w:pPr>
              <w:rPr>
                <w:lang w:val="es-419"/>
              </w:rPr>
            </w:pPr>
            <w:r w:rsidRPr="007624F0">
              <w:rPr>
                <w:noProof/>
                <w:lang w:val="en-US"/>
              </w:rPr>
              <w:drawing>
                <wp:inline distT="0" distB="0" distL="0" distR="0" wp14:anchorId="143B577F" wp14:editId="43986A8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5F422F5" w14:textId="77777777" w:rsidR="00DC3802" w:rsidRPr="007624F0" w:rsidRDefault="002E5944" w:rsidP="00AC2883">
            <w:pPr>
              <w:pStyle w:val="Lettrine"/>
              <w:rPr>
                <w:lang w:val="es-419"/>
              </w:rPr>
            </w:pPr>
            <w:r w:rsidRPr="007624F0">
              <w:rPr>
                <w:lang w:val="es-419"/>
              </w:rPr>
              <w:t>S</w:t>
            </w:r>
          </w:p>
        </w:tc>
      </w:tr>
      <w:tr w:rsidR="00DC3802" w:rsidRPr="007624F0" w14:paraId="4EDA30C9" w14:textId="77777777" w:rsidTr="00645CA8">
        <w:trPr>
          <w:trHeight w:val="219"/>
        </w:trPr>
        <w:tc>
          <w:tcPr>
            <w:tcW w:w="6522" w:type="dxa"/>
          </w:tcPr>
          <w:p w14:paraId="18B17EB4" w14:textId="77777777" w:rsidR="00DC3802" w:rsidRPr="007624F0" w:rsidRDefault="002E5944" w:rsidP="00BC0BD4">
            <w:pPr>
              <w:pStyle w:val="upove"/>
              <w:rPr>
                <w:lang w:val="es-419"/>
              </w:rPr>
            </w:pPr>
            <w:r w:rsidRPr="007624F0">
              <w:rPr>
                <w:lang w:val="es-419"/>
              </w:rPr>
              <w:t>Unión Internacional para la Protección de las Obtenciones Vegetales</w:t>
            </w:r>
          </w:p>
        </w:tc>
        <w:tc>
          <w:tcPr>
            <w:tcW w:w="3117" w:type="dxa"/>
          </w:tcPr>
          <w:p w14:paraId="6C568932" w14:textId="77777777" w:rsidR="00DC3802" w:rsidRPr="007624F0" w:rsidRDefault="00DC3802" w:rsidP="00DA4973">
            <w:pPr>
              <w:rPr>
                <w:lang w:val="es-419"/>
              </w:rPr>
            </w:pPr>
          </w:p>
        </w:tc>
      </w:tr>
    </w:tbl>
    <w:p w14:paraId="238E5EF8" w14:textId="77777777" w:rsidR="00DC3802" w:rsidRPr="007624F0" w:rsidRDefault="00DC3802" w:rsidP="00DC3802">
      <w:pPr>
        <w:rPr>
          <w:lang w:val="es-419"/>
        </w:rPr>
      </w:pPr>
    </w:p>
    <w:p w14:paraId="27DE22AB" w14:textId="77777777" w:rsidR="00DA4973" w:rsidRPr="007624F0"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416"/>
        <w:gridCol w:w="3081"/>
      </w:tblGrid>
      <w:tr w:rsidR="00EB4E9C" w:rsidRPr="007624F0" w14:paraId="2CE5819B" w14:textId="77777777" w:rsidTr="00F6355D">
        <w:tc>
          <w:tcPr>
            <w:tcW w:w="6416" w:type="dxa"/>
            <w:tcBorders>
              <w:bottom w:val="single" w:sz="4" w:space="0" w:color="auto"/>
            </w:tcBorders>
          </w:tcPr>
          <w:p w14:paraId="0FE4B40B" w14:textId="77777777" w:rsidR="00EB4E9C" w:rsidRPr="007624F0" w:rsidRDefault="002E5944" w:rsidP="00AC2883">
            <w:pPr>
              <w:pStyle w:val="Sessiontc"/>
              <w:spacing w:line="240" w:lineRule="auto"/>
              <w:rPr>
                <w:lang w:val="es-419"/>
              </w:rPr>
            </w:pPr>
            <w:r w:rsidRPr="007624F0">
              <w:rPr>
                <w:lang w:val="es-419"/>
              </w:rPr>
              <w:t>Comité Técnico</w:t>
            </w:r>
          </w:p>
          <w:p w14:paraId="53DBCD22" w14:textId="77777777" w:rsidR="00EB4E9C" w:rsidRPr="007624F0" w:rsidRDefault="002E5944" w:rsidP="00324098">
            <w:pPr>
              <w:pStyle w:val="Sessiontcplacedate"/>
              <w:rPr>
                <w:sz w:val="22"/>
                <w:lang w:val="es-419"/>
              </w:rPr>
            </w:pPr>
            <w:r w:rsidRPr="007624F0">
              <w:rPr>
                <w:lang w:val="es-419"/>
              </w:rPr>
              <w:t>Quincuagésima séptima sesión</w:t>
            </w:r>
            <w:r w:rsidRPr="007624F0">
              <w:rPr>
                <w:lang w:val="es-419"/>
              </w:rPr>
              <w:br/>
              <w:t>Ginebra, 25 y 26 de octubre de 2021</w:t>
            </w:r>
          </w:p>
        </w:tc>
        <w:tc>
          <w:tcPr>
            <w:tcW w:w="3081" w:type="dxa"/>
            <w:tcBorders>
              <w:bottom w:val="single" w:sz="4" w:space="0" w:color="auto"/>
            </w:tcBorders>
          </w:tcPr>
          <w:p w14:paraId="3259619A" w14:textId="77777777" w:rsidR="00EB4E9C" w:rsidRPr="007624F0" w:rsidRDefault="00467B42" w:rsidP="003C7FBE">
            <w:pPr>
              <w:pStyle w:val="Doccode"/>
              <w:rPr>
                <w:lang w:val="es-419"/>
              </w:rPr>
            </w:pPr>
            <w:r w:rsidRPr="007624F0">
              <w:rPr>
                <w:lang w:val="es-419"/>
              </w:rPr>
              <w:t>TC/57/6</w:t>
            </w:r>
          </w:p>
          <w:p w14:paraId="2A021907" w14:textId="77777777" w:rsidR="00EB4E9C" w:rsidRPr="007624F0" w:rsidRDefault="00EB4E9C" w:rsidP="003C7FBE">
            <w:pPr>
              <w:pStyle w:val="Docoriginal"/>
              <w:rPr>
                <w:lang w:val="es-419"/>
              </w:rPr>
            </w:pPr>
            <w:r w:rsidRPr="007624F0">
              <w:rPr>
                <w:lang w:val="es-419"/>
              </w:rPr>
              <w:t>Original:</w:t>
            </w:r>
            <w:r w:rsidRPr="007624F0">
              <w:rPr>
                <w:b w:val="0"/>
                <w:lang w:val="es-419"/>
              </w:rPr>
              <w:t xml:space="preserve"> </w:t>
            </w:r>
            <w:proofErr w:type="gramStart"/>
            <w:r w:rsidRPr="007624F0">
              <w:rPr>
                <w:b w:val="0"/>
                <w:lang w:val="es-419"/>
              </w:rPr>
              <w:t>Inglés</w:t>
            </w:r>
            <w:proofErr w:type="gramEnd"/>
          </w:p>
          <w:p w14:paraId="2D86F158" w14:textId="77777777" w:rsidR="00EE3C81" w:rsidRPr="007624F0" w:rsidRDefault="002E5944" w:rsidP="009B73BF">
            <w:pPr>
              <w:pStyle w:val="Docoriginal"/>
              <w:rPr>
                <w:b w:val="0"/>
                <w:spacing w:val="0"/>
                <w:lang w:val="es-419"/>
              </w:rPr>
            </w:pPr>
            <w:r w:rsidRPr="007624F0">
              <w:rPr>
                <w:lang w:val="es-419"/>
              </w:rPr>
              <w:t>Fecha:</w:t>
            </w:r>
            <w:r w:rsidRPr="007624F0">
              <w:rPr>
                <w:b w:val="0"/>
                <w:lang w:val="es-419"/>
              </w:rPr>
              <w:t xml:space="preserve"> </w:t>
            </w:r>
            <w:r w:rsidRPr="00B87EA9">
              <w:rPr>
                <w:b w:val="0"/>
                <w:lang w:val="es-419"/>
              </w:rPr>
              <w:t>25 de agosto de 2021</w:t>
            </w:r>
          </w:p>
        </w:tc>
      </w:tr>
    </w:tbl>
    <w:p w14:paraId="7BA9D978" w14:textId="77777777" w:rsidR="00D02EB9" w:rsidRPr="007624F0" w:rsidRDefault="00D02EB9" w:rsidP="00D02EB9">
      <w:pPr>
        <w:pStyle w:val="Titleofdoc0"/>
        <w:rPr>
          <w:lang w:val="es-419"/>
        </w:rPr>
      </w:pPr>
      <w:bookmarkStart w:id="0" w:name="TitleOfDoc"/>
      <w:bookmarkStart w:id="1" w:name="Prepared"/>
      <w:bookmarkEnd w:id="0"/>
      <w:bookmarkEnd w:id="1"/>
      <w:r w:rsidRPr="007624F0">
        <w:rPr>
          <w:lang w:val="es-419"/>
        </w:rPr>
        <w:t>Tratamiento de datos para la elaboración de descripciones de variedades en el caso de los caracteres cuantitativos medidos</w:t>
      </w:r>
    </w:p>
    <w:p w14:paraId="3E08B958" w14:textId="77777777" w:rsidR="006A644A" w:rsidRPr="007624F0" w:rsidRDefault="000638A9" w:rsidP="006A644A">
      <w:pPr>
        <w:pStyle w:val="preparedby1"/>
        <w:jc w:val="left"/>
        <w:rPr>
          <w:lang w:val="es-419"/>
        </w:rPr>
      </w:pPr>
      <w:r w:rsidRPr="007624F0">
        <w:rPr>
          <w:lang w:val="es-419"/>
        </w:rPr>
        <w:t>Documento preparado por la Oficina de la Unión</w:t>
      </w:r>
    </w:p>
    <w:p w14:paraId="6FBB3C68" w14:textId="77777777" w:rsidR="00050E16" w:rsidRPr="007624F0" w:rsidRDefault="000638A9" w:rsidP="006A644A">
      <w:pPr>
        <w:pStyle w:val="Disclaimer"/>
        <w:rPr>
          <w:lang w:val="es-419"/>
        </w:rPr>
      </w:pPr>
      <w:r w:rsidRPr="007624F0">
        <w:rPr>
          <w:lang w:val="es-419"/>
        </w:rPr>
        <w:t>Descargo de responsabilidad: el presente documento no constituye un documento de política u orientación de la UPOV</w:t>
      </w:r>
    </w:p>
    <w:p w14:paraId="7D096102" w14:textId="77777777" w:rsidR="00D02EB9" w:rsidRPr="007624F0" w:rsidRDefault="00D02EB9" w:rsidP="00D02EB9">
      <w:pPr>
        <w:keepNext/>
        <w:outlineLvl w:val="0"/>
        <w:rPr>
          <w:caps/>
          <w:lang w:val="es-419"/>
        </w:rPr>
      </w:pPr>
      <w:bookmarkStart w:id="2" w:name="_Toc475955714"/>
      <w:bookmarkStart w:id="3" w:name="_Toc81551200"/>
      <w:r w:rsidRPr="007624F0">
        <w:rPr>
          <w:caps/>
          <w:lang w:val="es-419"/>
        </w:rPr>
        <w:t>RESUMEN</w:t>
      </w:r>
      <w:bookmarkEnd w:id="2"/>
      <w:bookmarkEnd w:id="3"/>
    </w:p>
    <w:p w14:paraId="6BDB740C" w14:textId="77777777" w:rsidR="00D02EB9" w:rsidRPr="007624F0" w:rsidRDefault="00D02EB9" w:rsidP="00D02EB9">
      <w:pPr>
        <w:rPr>
          <w:snapToGrid w:val="0"/>
          <w:lang w:val="es-419"/>
        </w:rPr>
      </w:pPr>
    </w:p>
    <w:p w14:paraId="5CFFE6F8" w14:textId="77777777" w:rsidR="00D02EB9" w:rsidRPr="007624F0" w:rsidRDefault="00D02EB9" w:rsidP="00D02EB9">
      <w:pPr>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El presente documento tiene por objeto proponer la inclusión de una orientación sobre “Diferentes formas que pueden adoptar las descripciones de variedades y la importancia de los niveles de escala” en el documento TGP/8 “Diseño de ensayos y técnicas utilizados en el examen de la distinción, la homogeneidad y la estabilidad”; e invitar a los miembros de la Unión a proponer la inclusión de programas informáticos que incorporen sus métodos de transformación de observaciones en notas en el documento UPOV/INF/16 o el documento UPOV/INF/22.</w:t>
      </w:r>
    </w:p>
    <w:p w14:paraId="604CA69D" w14:textId="77777777" w:rsidR="00D02EB9" w:rsidRPr="007624F0" w:rsidRDefault="00D02EB9" w:rsidP="00D02EB9">
      <w:pPr>
        <w:rPr>
          <w:rFonts w:cs="Arial"/>
          <w:lang w:val="es-419"/>
        </w:rPr>
      </w:pPr>
    </w:p>
    <w:p w14:paraId="77A0ABCD" w14:textId="77777777" w:rsidR="00D02EB9" w:rsidRPr="007624F0" w:rsidRDefault="00D02EB9" w:rsidP="00D02EB9">
      <w:pPr>
        <w:rPr>
          <w:color w:val="000000"/>
          <w:lang w:val="es-419"/>
        </w:rPr>
      </w:pPr>
      <w:r w:rsidRPr="007624F0">
        <w:rPr>
          <w:color w:val="000000"/>
          <w:lang w:val="es-419"/>
        </w:rPr>
        <w:fldChar w:fldCharType="begin"/>
      </w:r>
      <w:r w:rsidRPr="007624F0">
        <w:rPr>
          <w:color w:val="000000"/>
          <w:lang w:val="es-419"/>
        </w:rPr>
        <w:instrText xml:space="preserve"> AUTONUM  </w:instrText>
      </w:r>
      <w:r w:rsidRPr="007624F0">
        <w:rPr>
          <w:color w:val="000000"/>
          <w:lang w:val="es-419"/>
        </w:rPr>
        <w:fldChar w:fldCharType="end"/>
      </w:r>
      <w:r w:rsidRPr="007624F0">
        <w:rPr>
          <w:color w:val="000000"/>
          <w:lang w:val="es-419"/>
        </w:rPr>
        <w:tab/>
        <w:t xml:space="preserve">Los comentarios del </w:t>
      </w:r>
      <w:r w:rsidRPr="007624F0">
        <w:rPr>
          <w:snapToGrid w:val="0"/>
          <w:lang w:val="es-419"/>
        </w:rPr>
        <w:t>Grupo de Trabajo Técnico sobre Automatización y Programas Informáticos (TWC) formulados en su sesión,</w:t>
      </w:r>
      <w:r w:rsidRPr="007624F0">
        <w:rPr>
          <w:snapToGrid w:val="0"/>
          <w:vertAlign w:val="superscript"/>
          <w:lang w:val="es-419"/>
        </w:rPr>
        <w:footnoteReference w:id="2"/>
      </w:r>
      <w:r w:rsidRPr="007624F0">
        <w:rPr>
          <w:snapToGrid w:val="0"/>
          <w:lang w:val="es-419"/>
        </w:rPr>
        <w:t xml:space="preserve"> que se celebrará del 20 al 22 de septiembre de 2021, se expondrán en una adición al presente documento. </w:t>
      </w:r>
    </w:p>
    <w:p w14:paraId="69EBBE59" w14:textId="77777777" w:rsidR="00D02EB9" w:rsidRPr="007624F0" w:rsidRDefault="00D02EB9" w:rsidP="00D02EB9">
      <w:pPr>
        <w:rPr>
          <w:snapToGrid w:val="0"/>
          <w:lang w:val="es-419"/>
        </w:rPr>
      </w:pPr>
    </w:p>
    <w:p w14:paraId="13F2454F" w14:textId="77777777" w:rsidR="00D02EB9" w:rsidRPr="007624F0" w:rsidRDefault="00D02EB9" w:rsidP="00D02EB9">
      <w:pPr>
        <w:keepNext/>
        <w:tabs>
          <w:tab w:val="left" w:pos="567"/>
          <w:tab w:val="left" w:pos="1134"/>
          <w:tab w:val="left" w:pos="5387"/>
        </w:tabs>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 xml:space="preserve">Se invita al TC a: </w:t>
      </w:r>
    </w:p>
    <w:p w14:paraId="5059AD88" w14:textId="77777777" w:rsidR="00D02EB9" w:rsidRPr="007624F0" w:rsidRDefault="00D02EB9" w:rsidP="00D02EB9">
      <w:pPr>
        <w:tabs>
          <w:tab w:val="left" w:pos="567"/>
          <w:tab w:val="left" w:pos="1134"/>
          <w:tab w:val="left" w:pos="5387"/>
        </w:tabs>
        <w:rPr>
          <w:lang w:val="es-419"/>
        </w:rPr>
      </w:pPr>
    </w:p>
    <w:p w14:paraId="1B631F56" w14:textId="51C65553" w:rsidR="00D02EB9" w:rsidRPr="007624F0" w:rsidRDefault="008B4986" w:rsidP="008B4986">
      <w:pPr>
        <w:tabs>
          <w:tab w:val="left" w:pos="567"/>
          <w:tab w:val="left" w:pos="1134"/>
          <w:tab w:val="left" w:pos="5954"/>
        </w:tabs>
        <w:ind w:left="567"/>
        <w:rPr>
          <w:lang w:val="es-419"/>
        </w:rPr>
      </w:pPr>
      <w:r w:rsidRPr="007624F0">
        <w:rPr>
          <w:lang w:val="es-419"/>
        </w:rPr>
        <w:t>a)</w:t>
      </w:r>
      <w:r w:rsidRPr="007624F0">
        <w:rPr>
          <w:lang w:val="es-419"/>
        </w:rPr>
        <w:tab/>
      </w:r>
      <w:r w:rsidR="00D02EB9" w:rsidRPr="007624F0">
        <w:rPr>
          <w:lang w:val="es-419"/>
        </w:rPr>
        <w:t xml:space="preserve">tomar nota de los comentarios formulados por los TWP en sus sesiones de 2021, expuestos en </w:t>
      </w:r>
      <w:r w:rsidR="00D02EB9" w:rsidRPr="00B87EA9">
        <w:rPr>
          <w:lang w:val="es-419"/>
        </w:rPr>
        <w:t>los párrafos 16 a 19 del presente</w:t>
      </w:r>
      <w:r w:rsidR="00D02EB9" w:rsidRPr="007624F0">
        <w:rPr>
          <w:lang w:val="es-419"/>
        </w:rPr>
        <w:t xml:space="preserve"> documento;</w:t>
      </w:r>
    </w:p>
    <w:p w14:paraId="44B5F36B" w14:textId="77777777" w:rsidR="00D02EB9" w:rsidRPr="007624F0" w:rsidRDefault="00D02EB9" w:rsidP="008B4986">
      <w:pPr>
        <w:pStyle w:val="ListParagraph"/>
        <w:tabs>
          <w:tab w:val="left" w:pos="567"/>
          <w:tab w:val="left" w:pos="1134"/>
          <w:tab w:val="left" w:pos="6237"/>
        </w:tabs>
        <w:ind w:left="567"/>
        <w:rPr>
          <w:lang w:val="es-419"/>
        </w:rPr>
      </w:pPr>
    </w:p>
    <w:p w14:paraId="13482D29" w14:textId="77777777" w:rsidR="00D02EB9" w:rsidRPr="007624F0" w:rsidRDefault="00D02EB9" w:rsidP="008B4986">
      <w:pPr>
        <w:tabs>
          <w:tab w:val="left" w:pos="567"/>
          <w:tab w:val="left" w:pos="1134"/>
          <w:tab w:val="left" w:pos="5954"/>
        </w:tabs>
        <w:ind w:left="567"/>
        <w:rPr>
          <w:lang w:val="es-419"/>
        </w:rPr>
      </w:pPr>
      <w:r w:rsidRPr="007624F0">
        <w:rPr>
          <w:lang w:val="es-419"/>
        </w:rPr>
        <w:t>b)</w:t>
      </w:r>
      <w:r w:rsidRPr="007624F0">
        <w:rPr>
          <w:lang w:val="es-419"/>
        </w:rPr>
        <w:tab/>
        <w:t xml:space="preserve">tomar nota de que los comentarios que formule el TWC se expondrán en una adición al presente documento; </w:t>
      </w:r>
    </w:p>
    <w:p w14:paraId="52F936D7" w14:textId="77777777" w:rsidR="00D02EB9" w:rsidRPr="007624F0" w:rsidRDefault="00D02EB9" w:rsidP="008B4986">
      <w:pPr>
        <w:tabs>
          <w:tab w:val="left" w:pos="567"/>
          <w:tab w:val="left" w:pos="1134"/>
          <w:tab w:val="left" w:pos="5954"/>
        </w:tabs>
        <w:ind w:left="567"/>
        <w:rPr>
          <w:lang w:val="es-419"/>
        </w:rPr>
      </w:pPr>
    </w:p>
    <w:p w14:paraId="3DB9B1BE" w14:textId="77777777" w:rsidR="00D02EB9" w:rsidRPr="007624F0" w:rsidRDefault="00D02EB9" w:rsidP="008B4986">
      <w:pPr>
        <w:tabs>
          <w:tab w:val="left" w:pos="567"/>
          <w:tab w:val="left" w:pos="1134"/>
          <w:tab w:val="left" w:pos="5954"/>
        </w:tabs>
        <w:ind w:left="567"/>
        <w:rPr>
          <w:lang w:val="es-419"/>
        </w:rPr>
      </w:pPr>
      <w:r w:rsidRPr="007624F0">
        <w:rPr>
          <w:lang w:val="es-419"/>
        </w:rPr>
        <w:t>c)</w:t>
      </w:r>
      <w:r w:rsidRPr="007624F0">
        <w:rPr>
          <w:lang w:val="es-419"/>
        </w:rPr>
        <w:tab/>
        <w:t>examinar la inclusión de la orientación sobre “Diferentes formas que pueden adoptar las descripciones de variedades y la importancia de los niveles de escala”, que se expone en el Anexo del presente documento, en el documento TGP/8, parte I, sección 2 “Datos que han de registrarse” como una nueva sección 2.5; y</w:t>
      </w:r>
    </w:p>
    <w:p w14:paraId="17E4A57C" w14:textId="77777777" w:rsidR="00D02EB9" w:rsidRPr="007624F0" w:rsidRDefault="00D02EB9" w:rsidP="008B4986">
      <w:pPr>
        <w:tabs>
          <w:tab w:val="left" w:pos="567"/>
          <w:tab w:val="left" w:pos="1134"/>
        </w:tabs>
        <w:ind w:left="567"/>
        <w:rPr>
          <w:lang w:val="es-419"/>
        </w:rPr>
      </w:pPr>
    </w:p>
    <w:p w14:paraId="39AD4942" w14:textId="77777777" w:rsidR="00D02EB9" w:rsidRPr="007624F0" w:rsidRDefault="00D02EB9" w:rsidP="008B4986">
      <w:pPr>
        <w:tabs>
          <w:tab w:val="left" w:pos="567"/>
          <w:tab w:val="left" w:pos="1134"/>
          <w:tab w:val="left" w:pos="5954"/>
        </w:tabs>
        <w:ind w:left="567"/>
        <w:rPr>
          <w:lang w:val="es-419"/>
        </w:rPr>
      </w:pPr>
      <w:r w:rsidRPr="007624F0">
        <w:rPr>
          <w:lang w:val="es-419"/>
        </w:rPr>
        <w:t>d)</w:t>
      </w:r>
      <w:r w:rsidRPr="007624F0">
        <w:rPr>
          <w:lang w:val="es-419"/>
        </w:rPr>
        <w:tab/>
        <w:t>examinar si procede invitar a los miembros de la Unión a proponer la inclusión de programas informáticos que incorporen sus métodos de transformación de observaciones en notas en el documento UPOV/INF/16 o el documento UPOV/INF/22, según corresponda, con una referencia a la disponibilidad de estos métodos en la nueva sección 2.5 del documento TGP/8, parte I.</w:t>
      </w:r>
    </w:p>
    <w:p w14:paraId="47E04031" w14:textId="77777777" w:rsidR="00D02EB9" w:rsidRPr="007624F0" w:rsidRDefault="00D02EB9" w:rsidP="00D02EB9">
      <w:pPr>
        <w:rPr>
          <w:lang w:val="es-419"/>
        </w:rPr>
      </w:pPr>
    </w:p>
    <w:p w14:paraId="010B8221" w14:textId="77777777" w:rsidR="00D02EB9" w:rsidRPr="007624F0" w:rsidRDefault="00D02EB9" w:rsidP="00D02EB9">
      <w:pPr>
        <w:keepNext/>
        <w:keepLines/>
        <w:spacing w:after="240"/>
        <w:rPr>
          <w:snapToGrid w:val="0"/>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r>
      <w:r w:rsidRPr="007624F0">
        <w:rPr>
          <w:snapToGrid w:val="0"/>
          <w:lang w:val="es-419"/>
        </w:rPr>
        <w:t>El presente documento se estructura del modo siguiente:</w:t>
      </w:r>
    </w:p>
    <w:p w14:paraId="318BD5CD" w14:textId="77777777" w:rsidR="008B4986" w:rsidRPr="007624F0" w:rsidRDefault="00D02EB9" w:rsidP="008B4986">
      <w:pPr>
        <w:pStyle w:val="TOC1"/>
        <w:rPr>
          <w:rFonts w:asciiTheme="minorHAnsi" w:eastAsiaTheme="minorEastAsia" w:hAnsiTheme="minorHAnsi" w:cstheme="minorBidi"/>
          <w:noProof/>
          <w:sz w:val="22"/>
          <w:szCs w:val="22"/>
          <w:lang w:val="es-419" w:eastAsia="es-ES"/>
        </w:rPr>
      </w:pPr>
      <w:r w:rsidRPr="007624F0">
        <w:rPr>
          <w:rFonts w:cs="Arial"/>
          <w:snapToGrid w:val="0"/>
          <w:sz w:val="22"/>
          <w:lang w:val="es-419"/>
        </w:rPr>
        <w:fldChar w:fldCharType="begin"/>
      </w:r>
      <w:r w:rsidRPr="007624F0">
        <w:rPr>
          <w:rFonts w:cs="Arial"/>
          <w:snapToGrid w:val="0"/>
          <w:sz w:val="22"/>
          <w:lang w:val="es-419"/>
        </w:rPr>
        <w:instrText xml:space="preserve"> TOC \o "1-1" \h \z \u </w:instrText>
      </w:r>
      <w:r w:rsidRPr="007624F0">
        <w:rPr>
          <w:rFonts w:cs="Arial"/>
          <w:snapToGrid w:val="0"/>
          <w:sz w:val="22"/>
          <w:lang w:val="es-419"/>
        </w:rPr>
        <w:fldChar w:fldCharType="separate"/>
      </w:r>
      <w:hyperlink w:anchor="_Toc81551200" w:history="1">
        <w:r w:rsidR="008B4986" w:rsidRPr="007624F0">
          <w:rPr>
            <w:rStyle w:val="Hyperlink"/>
            <w:noProof/>
            <w:lang w:val="es-419"/>
          </w:rPr>
          <w:t>RESUMEN</w:t>
        </w:r>
        <w:r w:rsidR="008B4986" w:rsidRPr="007624F0">
          <w:rPr>
            <w:noProof/>
            <w:webHidden/>
            <w:lang w:val="es-419"/>
          </w:rPr>
          <w:tab/>
        </w:r>
        <w:r w:rsidR="008B4986" w:rsidRPr="007624F0">
          <w:rPr>
            <w:noProof/>
            <w:webHidden/>
            <w:lang w:val="es-419"/>
          </w:rPr>
          <w:fldChar w:fldCharType="begin"/>
        </w:r>
        <w:r w:rsidR="008B4986" w:rsidRPr="007624F0">
          <w:rPr>
            <w:noProof/>
            <w:webHidden/>
            <w:lang w:val="es-419"/>
          </w:rPr>
          <w:instrText xml:space="preserve"> PAGEREF _Toc81551200 \h </w:instrText>
        </w:r>
        <w:r w:rsidR="008B4986" w:rsidRPr="007624F0">
          <w:rPr>
            <w:noProof/>
            <w:webHidden/>
            <w:lang w:val="es-419"/>
          </w:rPr>
        </w:r>
        <w:r w:rsidR="008B4986" w:rsidRPr="007624F0">
          <w:rPr>
            <w:noProof/>
            <w:webHidden/>
            <w:lang w:val="es-419"/>
          </w:rPr>
          <w:fldChar w:fldCharType="separate"/>
        </w:r>
        <w:r w:rsidR="008B4986" w:rsidRPr="007624F0">
          <w:rPr>
            <w:noProof/>
            <w:webHidden/>
            <w:lang w:val="es-419"/>
          </w:rPr>
          <w:t>1</w:t>
        </w:r>
        <w:r w:rsidR="008B4986" w:rsidRPr="007624F0">
          <w:rPr>
            <w:noProof/>
            <w:webHidden/>
            <w:lang w:val="es-419"/>
          </w:rPr>
          <w:fldChar w:fldCharType="end"/>
        </w:r>
      </w:hyperlink>
    </w:p>
    <w:p w14:paraId="5C95DA96" w14:textId="77777777" w:rsidR="008B4986" w:rsidRPr="007624F0" w:rsidRDefault="0054361B" w:rsidP="008B4986">
      <w:pPr>
        <w:pStyle w:val="TOC1"/>
        <w:rPr>
          <w:rFonts w:asciiTheme="minorHAnsi" w:eastAsiaTheme="minorEastAsia" w:hAnsiTheme="minorHAnsi" w:cstheme="minorBidi"/>
          <w:noProof/>
          <w:sz w:val="22"/>
          <w:szCs w:val="22"/>
          <w:lang w:val="es-419" w:eastAsia="es-ES"/>
        </w:rPr>
      </w:pPr>
      <w:hyperlink w:anchor="_Toc81551201" w:history="1">
        <w:r w:rsidR="008B4986" w:rsidRPr="007624F0">
          <w:rPr>
            <w:rStyle w:val="Hyperlink"/>
            <w:noProof/>
            <w:lang w:val="es-419"/>
          </w:rPr>
          <w:t>ANTECEDENTES</w:t>
        </w:r>
        <w:r w:rsidR="008B4986" w:rsidRPr="007624F0">
          <w:rPr>
            <w:noProof/>
            <w:webHidden/>
            <w:lang w:val="es-419"/>
          </w:rPr>
          <w:tab/>
        </w:r>
        <w:r w:rsidR="008B4986" w:rsidRPr="007624F0">
          <w:rPr>
            <w:noProof/>
            <w:webHidden/>
            <w:lang w:val="es-419"/>
          </w:rPr>
          <w:fldChar w:fldCharType="begin"/>
        </w:r>
        <w:r w:rsidR="008B4986" w:rsidRPr="007624F0">
          <w:rPr>
            <w:noProof/>
            <w:webHidden/>
            <w:lang w:val="es-419"/>
          </w:rPr>
          <w:instrText xml:space="preserve"> PAGEREF _Toc81551201 \h </w:instrText>
        </w:r>
        <w:r w:rsidR="008B4986" w:rsidRPr="007624F0">
          <w:rPr>
            <w:noProof/>
            <w:webHidden/>
            <w:lang w:val="es-419"/>
          </w:rPr>
        </w:r>
        <w:r w:rsidR="008B4986" w:rsidRPr="007624F0">
          <w:rPr>
            <w:noProof/>
            <w:webHidden/>
            <w:lang w:val="es-419"/>
          </w:rPr>
          <w:fldChar w:fldCharType="separate"/>
        </w:r>
        <w:r w:rsidR="008B4986" w:rsidRPr="007624F0">
          <w:rPr>
            <w:noProof/>
            <w:webHidden/>
            <w:lang w:val="es-419"/>
          </w:rPr>
          <w:t>2</w:t>
        </w:r>
        <w:r w:rsidR="008B4986" w:rsidRPr="007624F0">
          <w:rPr>
            <w:noProof/>
            <w:webHidden/>
            <w:lang w:val="es-419"/>
          </w:rPr>
          <w:fldChar w:fldCharType="end"/>
        </w:r>
      </w:hyperlink>
    </w:p>
    <w:p w14:paraId="7BEF8BE9" w14:textId="4EC411EB" w:rsidR="008B4986" w:rsidRPr="007624F0" w:rsidRDefault="0054361B" w:rsidP="008B4986">
      <w:pPr>
        <w:pStyle w:val="TOC1"/>
        <w:rPr>
          <w:rFonts w:asciiTheme="minorHAnsi" w:eastAsiaTheme="minorEastAsia" w:hAnsiTheme="minorHAnsi" w:cstheme="minorBidi"/>
          <w:noProof/>
          <w:sz w:val="22"/>
          <w:szCs w:val="22"/>
          <w:lang w:val="es-419" w:eastAsia="es-ES"/>
        </w:rPr>
      </w:pPr>
      <w:hyperlink w:anchor="_Toc81551202" w:history="1">
        <w:r w:rsidR="008B4986" w:rsidRPr="007624F0">
          <w:rPr>
            <w:rStyle w:val="Hyperlink"/>
            <w:noProof/>
            <w:lang w:val="es-419"/>
          </w:rPr>
          <w:t xml:space="preserve">Propuesta elaborada por el presidente del Comité Técnico en </w:t>
        </w:r>
        <w:r w:rsidR="00875CE4" w:rsidRPr="007624F0">
          <w:rPr>
            <w:rStyle w:val="Hyperlink"/>
            <w:noProof/>
            <w:lang w:val="es-419"/>
          </w:rPr>
          <w:br/>
        </w:r>
        <w:r w:rsidR="008B4986" w:rsidRPr="007624F0">
          <w:rPr>
            <w:rStyle w:val="Hyperlink"/>
            <w:noProof/>
            <w:lang w:val="es-419"/>
          </w:rPr>
          <w:t>colaboración con la Oficina de la Unión</w:t>
        </w:r>
        <w:r w:rsidR="008B4986" w:rsidRPr="007624F0">
          <w:rPr>
            <w:noProof/>
            <w:webHidden/>
            <w:lang w:val="es-419"/>
          </w:rPr>
          <w:tab/>
        </w:r>
        <w:r w:rsidR="008B4986" w:rsidRPr="007624F0">
          <w:rPr>
            <w:noProof/>
            <w:webHidden/>
            <w:lang w:val="es-419"/>
          </w:rPr>
          <w:fldChar w:fldCharType="begin"/>
        </w:r>
        <w:r w:rsidR="008B4986" w:rsidRPr="007624F0">
          <w:rPr>
            <w:noProof/>
            <w:webHidden/>
            <w:lang w:val="es-419"/>
          </w:rPr>
          <w:instrText xml:space="preserve"> PAGEREF _Toc81551202 \h </w:instrText>
        </w:r>
        <w:r w:rsidR="008B4986" w:rsidRPr="007624F0">
          <w:rPr>
            <w:noProof/>
            <w:webHidden/>
            <w:lang w:val="es-419"/>
          </w:rPr>
        </w:r>
        <w:r w:rsidR="008B4986" w:rsidRPr="007624F0">
          <w:rPr>
            <w:noProof/>
            <w:webHidden/>
            <w:lang w:val="es-419"/>
          </w:rPr>
          <w:fldChar w:fldCharType="separate"/>
        </w:r>
        <w:r w:rsidR="008B4986" w:rsidRPr="007624F0">
          <w:rPr>
            <w:noProof/>
            <w:webHidden/>
            <w:lang w:val="es-419"/>
          </w:rPr>
          <w:t>3</w:t>
        </w:r>
        <w:r w:rsidR="008B4986" w:rsidRPr="007624F0">
          <w:rPr>
            <w:noProof/>
            <w:webHidden/>
            <w:lang w:val="es-419"/>
          </w:rPr>
          <w:fldChar w:fldCharType="end"/>
        </w:r>
      </w:hyperlink>
    </w:p>
    <w:p w14:paraId="2FD762E1" w14:textId="77777777" w:rsidR="00D02EB9" w:rsidRPr="007624F0" w:rsidRDefault="00D02EB9" w:rsidP="00D02EB9">
      <w:pPr>
        <w:tabs>
          <w:tab w:val="left" w:pos="2397"/>
        </w:tabs>
        <w:rPr>
          <w:snapToGrid w:val="0"/>
          <w:lang w:val="es-419"/>
        </w:rPr>
      </w:pPr>
      <w:r w:rsidRPr="007624F0">
        <w:rPr>
          <w:rFonts w:cs="Arial"/>
          <w:snapToGrid w:val="0"/>
          <w:sz w:val="22"/>
          <w:lang w:val="es-419"/>
        </w:rPr>
        <w:fldChar w:fldCharType="end"/>
      </w:r>
      <w:r w:rsidRPr="007624F0">
        <w:rPr>
          <w:snapToGrid w:val="0"/>
          <w:sz w:val="22"/>
          <w:lang w:val="es-419"/>
        </w:rPr>
        <w:tab/>
      </w:r>
    </w:p>
    <w:p w14:paraId="74F927AE" w14:textId="77777777" w:rsidR="00D02EB9" w:rsidRPr="007624F0" w:rsidRDefault="00D02EB9" w:rsidP="00D02EB9">
      <w:pPr>
        <w:ind w:left="1134" w:hanging="1134"/>
        <w:rPr>
          <w:spacing w:val="-2"/>
          <w:sz w:val="18"/>
          <w:szCs w:val="18"/>
          <w:lang w:val="es-419"/>
        </w:rPr>
      </w:pPr>
      <w:r w:rsidRPr="007624F0">
        <w:rPr>
          <w:snapToGrid w:val="0"/>
          <w:sz w:val="18"/>
          <w:lang w:val="es-419"/>
        </w:rPr>
        <w:t>ANEXO</w:t>
      </w:r>
      <w:r w:rsidRPr="007624F0">
        <w:rPr>
          <w:snapToGrid w:val="0"/>
          <w:sz w:val="18"/>
          <w:lang w:val="es-419"/>
        </w:rPr>
        <w:tab/>
        <w:t>“</w:t>
      </w:r>
      <w:r w:rsidRPr="007624F0">
        <w:rPr>
          <w:sz w:val="18"/>
          <w:lang w:val="es-419"/>
        </w:rPr>
        <w:t>Diferentes formas que pueden adoptar las descripciones de variedades y la importancia de los niveles de escala”, documento elaborado por un experto de Alemania</w:t>
      </w:r>
    </w:p>
    <w:p w14:paraId="1574252A" w14:textId="77777777" w:rsidR="00D02EB9" w:rsidRPr="007624F0" w:rsidRDefault="00D02EB9" w:rsidP="00D02EB9">
      <w:pPr>
        <w:rPr>
          <w:snapToGrid w:val="0"/>
          <w:lang w:val="es-419"/>
        </w:rPr>
      </w:pPr>
    </w:p>
    <w:p w14:paraId="23C285EA" w14:textId="77777777" w:rsidR="00D02EB9" w:rsidRPr="007624F0" w:rsidRDefault="00D02EB9" w:rsidP="00D02EB9">
      <w:pPr>
        <w:keepNext/>
        <w:rPr>
          <w:lang w:val="es-419"/>
        </w:rPr>
      </w:pPr>
      <w:r w:rsidRPr="007624F0">
        <w:rPr>
          <w:lang w:val="es-419"/>
        </w:rPr>
        <w:lastRenderedPageBreak/>
        <w:fldChar w:fldCharType="begin"/>
      </w:r>
      <w:r w:rsidRPr="007624F0">
        <w:rPr>
          <w:lang w:val="es-419"/>
        </w:rPr>
        <w:instrText xml:space="preserve"> AUTONUM  </w:instrText>
      </w:r>
      <w:r w:rsidRPr="007624F0">
        <w:rPr>
          <w:lang w:val="es-419"/>
        </w:rPr>
        <w:fldChar w:fldCharType="end"/>
      </w:r>
      <w:r w:rsidRPr="007624F0">
        <w:rPr>
          <w:lang w:val="es-419"/>
        </w:rPr>
        <w:tab/>
        <w:t>En el presente documento se utilizan las siguientes abreviaturas:</w:t>
      </w:r>
    </w:p>
    <w:p w14:paraId="78982AAF" w14:textId="77777777" w:rsidR="00D02EB9" w:rsidRPr="007624F0" w:rsidRDefault="00D02EB9" w:rsidP="00D02EB9">
      <w:pPr>
        <w:keepNext/>
        <w:rPr>
          <w:color w:val="000000"/>
          <w:sz w:val="16"/>
          <w:lang w:val="es-419"/>
        </w:rPr>
      </w:pPr>
    </w:p>
    <w:p w14:paraId="00AA8320" w14:textId="39F8E7E4" w:rsidR="00D02EB9" w:rsidRPr="007624F0" w:rsidRDefault="00D02EB9" w:rsidP="00D02EB9">
      <w:pPr>
        <w:keepNext/>
        <w:ind w:left="1701" w:hanging="1134"/>
        <w:rPr>
          <w:lang w:val="es-419"/>
        </w:rPr>
      </w:pPr>
      <w:r w:rsidRPr="007624F0">
        <w:rPr>
          <w:lang w:val="es-419"/>
        </w:rPr>
        <w:t>TC:</w:t>
      </w:r>
      <w:r w:rsidR="00875CE4" w:rsidRPr="007624F0">
        <w:rPr>
          <w:lang w:val="es-419"/>
        </w:rPr>
        <w:t xml:space="preserve"> </w:t>
      </w:r>
      <w:r w:rsidRPr="007624F0">
        <w:rPr>
          <w:lang w:val="es-419"/>
        </w:rPr>
        <w:tab/>
        <w:t>Comité Técnico</w:t>
      </w:r>
    </w:p>
    <w:p w14:paraId="2875065E" w14:textId="15F382FC" w:rsidR="00D02EB9" w:rsidRPr="007624F0" w:rsidRDefault="00D02EB9" w:rsidP="00D02EB9">
      <w:pPr>
        <w:keepNext/>
        <w:ind w:left="1701" w:hanging="1134"/>
        <w:rPr>
          <w:lang w:val="es-419"/>
        </w:rPr>
      </w:pPr>
      <w:r w:rsidRPr="007624F0">
        <w:rPr>
          <w:lang w:val="es-419"/>
        </w:rPr>
        <w:t>TC-EDC:</w:t>
      </w:r>
      <w:r w:rsidR="00875CE4" w:rsidRPr="007624F0">
        <w:rPr>
          <w:lang w:val="es-419"/>
        </w:rPr>
        <w:t xml:space="preserve"> </w:t>
      </w:r>
      <w:r w:rsidRPr="007624F0">
        <w:rPr>
          <w:lang w:val="es-419"/>
        </w:rPr>
        <w:tab/>
        <w:t>Comité de Redacción Ampliado</w:t>
      </w:r>
    </w:p>
    <w:p w14:paraId="2C821047" w14:textId="7E00E4C6" w:rsidR="00D02EB9" w:rsidRPr="007624F0" w:rsidRDefault="00D02EB9" w:rsidP="00D02EB9">
      <w:pPr>
        <w:keepNext/>
        <w:ind w:left="1701" w:hanging="1134"/>
        <w:rPr>
          <w:lang w:val="es-419"/>
        </w:rPr>
      </w:pPr>
      <w:r w:rsidRPr="007624F0">
        <w:rPr>
          <w:lang w:val="es-419"/>
        </w:rPr>
        <w:t>TWA:</w:t>
      </w:r>
      <w:r w:rsidR="00875CE4" w:rsidRPr="007624F0">
        <w:rPr>
          <w:lang w:val="es-419"/>
        </w:rPr>
        <w:t xml:space="preserve"> </w:t>
      </w:r>
      <w:r w:rsidRPr="007624F0">
        <w:rPr>
          <w:lang w:val="es-419"/>
        </w:rPr>
        <w:tab/>
        <w:t>Grupo de Trabajo Técnico sobre Plantas Agrícolas</w:t>
      </w:r>
    </w:p>
    <w:p w14:paraId="14B747C1" w14:textId="04211315" w:rsidR="00D02EB9" w:rsidRPr="007624F0" w:rsidRDefault="00D02EB9" w:rsidP="00D02EB9">
      <w:pPr>
        <w:keepNext/>
        <w:ind w:left="1701" w:hanging="1134"/>
        <w:rPr>
          <w:lang w:val="es-419"/>
        </w:rPr>
      </w:pPr>
      <w:r w:rsidRPr="007624F0">
        <w:rPr>
          <w:lang w:val="es-419"/>
        </w:rPr>
        <w:t>TWC:</w:t>
      </w:r>
      <w:r w:rsidR="00875CE4" w:rsidRPr="007624F0">
        <w:rPr>
          <w:lang w:val="es-419"/>
        </w:rPr>
        <w:t xml:space="preserve"> </w:t>
      </w:r>
      <w:r w:rsidRPr="007624F0">
        <w:rPr>
          <w:lang w:val="es-419"/>
        </w:rPr>
        <w:tab/>
        <w:t>Grupo de Trabajo Técnico sobre Automatización y Programas Informáticos</w:t>
      </w:r>
    </w:p>
    <w:p w14:paraId="56486BAD" w14:textId="204F7A40" w:rsidR="00D02EB9" w:rsidRPr="007624F0" w:rsidRDefault="00D02EB9" w:rsidP="00D02EB9">
      <w:pPr>
        <w:keepNext/>
        <w:ind w:left="1701" w:hanging="1134"/>
        <w:rPr>
          <w:lang w:val="es-419"/>
        </w:rPr>
      </w:pPr>
      <w:r w:rsidRPr="007624F0">
        <w:rPr>
          <w:lang w:val="es-419"/>
        </w:rPr>
        <w:t>TWF:</w:t>
      </w:r>
      <w:r w:rsidR="00875CE4" w:rsidRPr="007624F0">
        <w:rPr>
          <w:lang w:val="es-419"/>
        </w:rPr>
        <w:t xml:space="preserve"> </w:t>
      </w:r>
      <w:r w:rsidRPr="007624F0">
        <w:rPr>
          <w:lang w:val="es-419"/>
        </w:rPr>
        <w:tab/>
        <w:t xml:space="preserve">Grupo de Trabajo Técnico sobre Plantas Frutales </w:t>
      </w:r>
    </w:p>
    <w:p w14:paraId="3357A2A7" w14:textId="5473E932" w:rsidR="00D02EB9" w:rsidRPr="007624F0" w:rsidRDefault="00D02EB9" w:rsidP="00D02EB9">
      <w:pPr>
        <w:keepNext/>
        <w:ind w:left="1701" w:hanging="1134"/>
        <w:rPr>
          <w:lang w:val="es-419"/>
        </w:rPr>
      </w:pPr>
      <w:r w:rsidRPr="007624F0">
        <w:rPr>
          <w:lang w:val="es-419"/>
        </w:rPr>
        <w:t>TWO:</w:t>
      </w:r>
      <w:r w:rsidR="00875CE4" w:rsidRPr="007624F0">
        <w:rPr>
          <w:lang w:val="es-419"/>
        </w:rPr>
        <w:t xml:space="preserve"> </w:t>
      </w:r>
      <w:r w:rsidRPr="007624F0">
        <w:rPr>
          <w:lang w:val="es-419"/>
        </w:rPr>
        <w:tab/>
        <w:t xml:space="preserve">Grupo de Trabajo Técnico sobre Plantas Ornamentales y Árboles Forestales </w:t>
      </w:r>
    </w:p>
    <w:p w14:paraId="4407B7E2" w14:textId="77777777" w:rsidR="00D02EB9" w:rsidRPr="007624F0" w:rsidRDefault="00D02EB9" w:rsidP="00D02EB9">
      <w:pPr>
        <w:keepNext/>
        <w:ind w:left="1701" w:hanging="1134"/>
        <w:rPr>
          <w:color w:val="000000"/>
          <w:lang w:val="es-419"/>
        </w:rPr>
      </w:pPr>
      <w:r w:rsidRPr="007624F0">
        <w:rPr>
          <w:color w:val="000000"/>
          <w:lang w:val="es-419"/>
        </w:rPr>
        <w:t>TWP:</w:t>
      </w:r>
      <w:r w:rsidRPr="007624F0">
        <w:rPr>
          <w:color w:val="000000"/>
          <w:lang w:val="es-419"/>
        </w:rPr>
        <w:tab/>
        <w:t>Grupos de Trabajo Técnico</w:t>
      </w:r>
    </w:p>
    <w:p w14:paraId="7726436C" w14:textId="31792AAA" w:rsidR="00D02EB9" w:rsidRPr="007624F0" w:rsidRDefault="00D02EB9" w:rsidP="00D02EB9">
      <w:pPr>
        <w:keepNext/>
        <w:ind w:left="1701" w:hanging="1134"/>
        <w:rPr>
          <w:lang w:val="es-419"/>
        </w:rPr>
      </w:pPr>
      <w:r w:rsidRPr="007624F0">
        <w:rPr>
          <w:lang w:val="es-419"/>
        </w:rPr>
        <w:t>TWV:</w:t>
      </w:r>
      <w:r w:rsidR="00875CE4" w:rsidRPr="007624F0">
        <w:rPr>
          <w:lang w:val="es-419"/>
        </w:rPr>
        <w:t xml:space="preserve"> </w:t>
      </w:r>
      <w:r w:rsidRPr="007624F0">
        <w:rPr>
          <w:lang w:val="es-419"/>
        </w:rPr>
        <w:tab/>
        <w:t>Grupo de Trabajo Técnico sobre Hortalizas</w:t>
      </w:r>
    </w:p>
    <w:p w14:paraId="11F57CC6" w14:textId="77777777" w:rsidR="00D02EB9" w:rsidRPr="007624F0" w:rsidRDefault="00D02EB9" w:rsidP="00D02EB9">
      <w:pPr>
        <w:keepNext/>
        <w:outlineLvl w:val="0"/>
        <w:rPr>
          <w:caps/>
          <w:lang w:val="es-419"/>
        </w:rPr>
      </w:pPr>
    </w:p>
    <w:p w14:paraId="11C07932" w14:textId="77777777" w:rsidR="00D02EB9" w:rsidRPr="007624F0" w:rsidRDefault="00D02EB9" w:rsidP="00D02EB9">
      <w:pPr>
        <w:keepNext/>
        <w:outlineLvl w:val="0"/>
        <w:rPr>
          <w:caps/>
          <w:lang w:val="es-419"/>
        </w:rPr>
      </w:pPr>
    </w:p>
    <w:p w14:paraId="1FF62EA9" w14:textId="77777777" w:rsidR="00D02EB9" w:rsidRPr="007624F0" w:rsidRDefault="00D02EB9" w:rsidP="00D02EB9">
      <w:pPr>
        <w:keepNext/>
        <w:outlineLvl w:val="0"/>
        <w:rPr>
          <w:caps/>
          <w:lang w:val="es-419"/>
        </w:rPr>
      </w:pPr>
      <w:bookmarkStart w:id="4" w:name="_Toc81551201"/>
      <w:r w:rsidRPr="007624F0">
        <w:rPr>
          <w:caps/>
          <w:lang w:val="es-419"/>
        </w:rPr>
        <w:t>ANTECEDENTES</w:t>
      </w:r>
      <w:bookmarkEnd w:id="4"/>
    </w:p>
    <w:p w14:paraId="4268C56A" w14:textId="77777777" w:rsidR="00D02EB9" w:rsidRPr="007624F0" w:rsidRDefault="00D02EB9" w:rsidP="00D02EB9">
      <w:pPr>
        <w:rPr>
          <w:lang w:val="es-419"/>
        </w:rPr>
      </w:pPr>
    </w:p>
    <w:p w14:paraId="486A39F1" w14:textId="05675169" w:rsidR="00D02EB9" w:rsidRPr="007624F0" w:rsidRDefault="00D02EB9" w:rsidP="00D02EB9">
      <w:pPr>
        <w:autoSpaceDE w:val="0"/>
        <w:autoSpaceDN w:val="0"/>
        <w:adjustRightInd w:val="0"/>
        <w:rPr>
          <w:rFonts w:ascii="ArialMT" w:eastAsia="MS Mincho" w:hAnsi="ArialMT" w:cs="ArialMT" w:hint="eastAsia"/>
          <w:spacing w:val="2"/>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En su cuadragésima octava sesión,</w:t>
      </w:r>
      <w:r w:rsidRPr="007624F0">
        <w:rPr>
          <w:rFonts w:cs="Arial"/>
          <w:vertAlign w:val="superscript"/>
          <w:lang w:val="es-419"/>
        </w:rPr>
        <w:footnoteReference w:id="3"/>
      </w:r>
      <w:r w:rsidRPr="007624F0">
        <w:rPr>
          <w:lang w:val="es-419"/>
        </w:rPr>
        <w:t xml:space="preserve"> el Comité Técnico (TC), examinó el Anexo III: “TGP/8 Parte I: Diseño de ensayos DHE y análisis de datos, nueva sección 6: Tratamiento de datos para la evaluación de la distinción y la elaboración de descripciones de variedades”, junto con el Anexo VIII: “TGP/8 Parte I: Técnicas utilizadas en el examen DHE, nueva sección 13: Métodos de tratamiento de datos para la evaluación de la distinción y la elaboración de descripciones de variedades” del documento TC/48/19 Rev.</w:t>
      </w:r>
      <w:r w:rsidR="00875CE4" w:rsidRPr="007624F0">
        <w:rPr>
          <w:lang w:val="es-419"/>
        </w:rPr>
        <w:t xml:space="preserve"> </w:t>
      </w:r>
      <w:r w:rsidRPr="007624F0">
        <w:rPr>
          <w:lang w:val="es-419"/>
        </w:rPr>
        <w:t>El TC acordó que la información proporcionada en el Anexo VIII de dicho documento y en el Seminario de la UPOV sobre el examen DHE, celebrado en Ginebra en marzo de 2010, junto con el método aportado por el Japón y el método empleado en Francia para elaborar descripciones de variedades para cultivos pratenses, tal como se presentó al TWC en su vigésima sexta sesión,</w:t>
      </w:r>
      <w:r w:rsidRPr="007624F0">
        <w:rPr>
          <w:rFonts w:cs="Arial"/>
          <w:vertAlign w:val="superscript"/>
          <w:lang w:val="es-419"/>
        </w:rPr>
        <w:footnoteReference w:id="4"/>
      </w:r>
      <w:r w:rsidRPr="007624F0">
        <w:rPr>
          <w:lang w:val="es-419"/>
        </w:rPr>
        <w:t xml:space="preserve"> constituyen un primer paso muy importante en la elaboración de una orientación común sobre el tratamiento de datos para la evaluación de la distinción y la elaboración de descripciones de variedades, aunque concluyó que no sería adecuado incluir en el documento TGP/8 esa información, tal como se presenta en el Anexo VIII del documento TC/48/19 Rev. Asimismo, acordó que la Oficina de la Unión resumiera los distintos enfoques expuestos en el Anexo VIII del documento TC/48/19 Rev. con respecto a los aspectos comunes y los aspectos respecto de los cuales hay divergencia.</w:t>
      </w:r>
      <w:r w:rsidR="00875CE4" w:rsidRPr="007624F0">
        <w:rPr>
          <w:lang w:val="es-419"/>
        </w:rPr>
        <w:t xml:space="preserve"> </w:t>
      </w:r>
      <w:r w:rsidRPr="007624F0">
        <w:rPr>
          <w:lang w:val="es-419"/>
        </w:rPr>
        <w:t>A partir de ese resumen, el paso siguiente sería examinar la elaboración de una orientación general.</w:t>
      </w:r>
      <w:r w:rsidR="00875CE4" w:rsidRPr="007624F0">
        <w:rPr>
          <w:lang w:val="es-419"/>
        </w:rPr>
        <w:t xml:space="preserve"> </w:t>
      </w:r>
      <w:r w:rsidRPr="007624F0">
        <w:rPr>
          <w:lang w:val="es-419"/>
        </w:rPr>
        <w:t>El TC convino en que la sección debería incluir ejemplos que abarquen la gama de variación de los caracteres.</w:t>
      </w:r>
      <w:r w:rsidR="00875CE4" w:rsidRPr="007624F0">
        <w:rPr>
          <w:lang w:val="es-419"/>
        </w:rPr>
        <w:t xml:space="preserve"> </w:t>
      </w:r>
      <w:r w:rsidRPr="007624F0">
        <w:rPr>
          <w:lang w:val="es-419"/>
        </w:rPr>
        <w:t>Asimismo, acordó que la información detallada sobre los métodos se pusiera a disposición en el sitio web de la UPOV, con referencias en el documento TGP/8 (véase el párrafo 52 del documento TC/48/22 “Informe sobre las conclusiones”).</w:t>
      </w:r>
    </w:p>
    <w:p w14:paraId="2E3DA280" w14:textId="77777777" w:rsidR="00D02EB9" w:rsidRPr="007624F0" w:rsidRDefault="00D02EB9" w:rsidP="00D02EB9">
      <w:pPr>
        <w:rPr>
          <w:lang w:val="es-419"/>
        </w:rPr>
      </w:pPr>
    </w:p>
    <w:p w14:paraId="0D8FDB13" w14:textId="77777777" w:rsidR="00D02EB9" w:rsidRPr="007624F0" w:rsidRDefault="00D02EB9" w:rsidP="00D02EB9">
      <w:pPr>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En su quincuagésima segunda sesión,</w:t>
      </w:r>
      <w:r w:rsidRPr="007624F0">
        <w:rPr>
          <w:rStyle w:val="FootnoteReference"/>
          <w:lang w:val="es-419"/>
        </w:rPr>
        <w:footnoteReference w:id="5"/>
      </w:r>
      <w:r w:rsidRPr="007624F0">
        <w:rPr>
          <w:lang w:val="es-419"/>
        </w:rPr>
        <w:t xml:space="preserve"> el TC coincidió con el TWC y el TWA en que la orientación sobre las “Diferentes formas que pueden adoptar las descripciones de variedades y la importancia de los niveles de escala”, que se reproduce en </w:t>
      </w:r>
      <w:r w:rsidRPr="00B87EA9">
        <w:rPr>
          <w:lang w:val="es-419"/>
        </w:rPr>
        <w:t>el Anexo del presente</w:t>
      </w:r>
      <w:r w:rsidRPr="007624F0">
        <w:rPr>
          <w:lang w:val="es-419"/>
        </w:rPr>
        <w:t xml:space="preserve"> documento, se debía utilizar como introducción de futuras orientaciones sobre el tratamiento de los datos destinados al examen de la distinción y a la elaboración de descripciones de variedades (véase el párrafo 117 del documento TC/52/29 “Informe revisado”).</w:t>
      </w:r>
    </w:p>
    <w:p w14:paraId="62D421D2" w14:textId="77777777" w:rsidR="00D02EB9" w:rsidRPr="007624F0" w:rsidRDefault="00D02EB9" w:rsidP="00D02EB9">
      <w:pPr>
        <w:rPr>
          <w:highlight w:val="yellow"/>
          <w:lang w:val="es-419"/>
        </w:rPr>
      </w:pPr>
    </w:p>
    <w:p w14:paraId="7F225EC9" w14:textId="77777777" w:rsidR="00D02EB9" w:rsidRPr="007624F0" w:rsidRDefault="00D02EB9" w:rsidP="00D02EB9">
      <w:pPr>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En su quincuagésima sexta sesión,</w:t>
      </w:r>
      <w:r w:rsidRPr="007624F0">
        <w:rPr>
          <w:vertAlign w:val="superscript"/>
          <w:lang w:val="es-419"/>
        </w:rPr>
        <w:footnoteReference w:id="6"/>
      </w:r>
      <w:r w:rsidRPr="007624F0">
        <w:rPr>
          <w:lang w:val="es-419"/>
        </w:rPr>
        <w:t xml:space="preserve"> el TC examinó los diferentes métodos de transformación de observaciones en notas para elaborar descripciones varietales en el caso de caracteres cuantitativos medidos, que se exponen en los Anexos III a VII de documento TC/56/5, junto con la información adicional facilitada por Italia y el Japón, que figura en el párrafo 12 del documento TC/56/5 (véanse los párrafos 21 a 23 del documento TC/56/23 “Informe”).</w:t>
      </w:r>
    </w:p>
    <w:p w14:paraId="649B3BA1" w14:textId="77777777" w:rsidR="00D02EB9" w:rsidRPr="007624F0" w:rsidRDefault="00D02EB9" w:rsidP="00D02EB9">
      <w:pPr>
        <w:rPr>
          <w:lang w:val="es-419"/>
        </w:rPr>
      </w:pPr>
    </w:p>
    <w:p w14:paraId="324B7E02" w14:textId="42894F63" w:rsidR="00D02EB9" w:rsidRPr="007624F0" w:rsidRDefault="00D02EB9" w:rsidP="00D02EB9">
      <w:pPr>
        <w:keepLines/>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El TC convino en que la</w:t>
      </w:r>
      <w:r w:rsidR="00C744B4" w:rsidRPr="007624F0">
        <w:rPr>
          <w:lang w:val="es-419"/>
        </w:rPr>
        <w:t xml:space="preserve"> orientación sobre la</w:t>
      </w:r>
      <w:r w:rsidRPr="007624F0">
        <w:rPr>
          <w:lang w:val="es-419"/>
        </w:rPr>
        <w:t xml:space="preserve"> transformación de las observaciones en notas será beneficiosa para los nuevos miembros de la Unión y para la armonización internacional.</w:t>
      </w:r>
      <w:r w:rsidR="00875CE4" w:rsidRPr="007624F0">
        <w:rPr>
          <w:lang w:val="es-419"/>
        </w:rPr>
        <w:t xml:space="preserve"> </w:t>
      </w:r>
      <w:r w:rsidRPr="007624F0">
        <w:rPr>
          <w:lang w:val="es-419"/>
        </w:rPr>
        <w:t>El TC convino en que se necesitará más información para explicar las circunstancias complejas que determinan la elección del método que se va a emplear para transformar las observaciones en notas.</w:t>
      </w:r>
      <w:r w:rsidR="00875CE4" w:rsidRPr="007624F0">
        <w:rPr>
          <w:lang w:val="es-419"/>
        </w:rPr>
        <w:t xml:space="preserve"> </w:t>
      </w:r>
    </w:p>
    <w:p w14:paraId="152DE97F" w14:textId="77777777" w:rsidR="00D02EB9" w:rsidRPr="007624F0" w:rsidRDefault="00D02EB9" w:rsidP="00D02EB9">
      <w:pPr>
        <w:rPr>
          <w:lang w:val="es-419"/>
        </w:rPr>
      </w:pPr>
    </w:p>
    <w:p w14:paraId="1D636DA7" w14:textId="1F2B00F1" w:rsidR="00D02EB9" w:rsidRPr="007624F0" w:rsidRDefault="00D02EB9" w:rsidP="00D02EB9">
      <w:pPr>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El TC convino en invitar al presidente del TC a que, en colaboración con la Oficina de la Unión, formule propuestas sobre los próximos pasos a seguir respecto de la elaboración de una orientación, que se presentará a los TWP y el TC en sus sesiones de 2021.</w:t>
      </w:r>
      <w:r w:rsidR="00875CE4" w:rsidRPr="007624F0">
        <w:rPr>
          <w:lang w:val="es-419"/>
        </w:rPr>
        <w:t xml:space="preserve"> </w:t>
      </w:r>
    </w:p>
    <w:p w14:paraId="0A726235" w14:textId="77777777" w:rsidR="00D02EB9" w:rsidRPr="007624F0" w:rsidRDefault="00D02EB9" w:rsidP="00D02EB9">
      <w:pPr>
        <w:rPr>
          <w:snapToGrid w:val="0"/>
          <w:lang w:val="es-419"/>
        </w:rPr>
      </w:pPr>
    </w:p>
    <w:p w14:paraId="612E4A1E" w14:textId="77777777" w:rsidR="00D02EB9" w:rsidRPr="007624F0" w:rsidRDefault="00D02EB9" w:rsidP="00D02EB9">
      <w:pPr>
        <w:rPr>
          <w:lang w:val="es-419"/>
        </w:rPr>
      </w:pPr>
      <w:r w:rsidRPr="007624F0">
        <w:rPr>
          <w:snapToGrid w:val="0"/>
          <w:lang w:val="es-419"/>
        </w:rPr>
        <w:fldChar w:fldCharType="begin"/>
      </w:r>
      <w:r w:rsidRPr="007624F0">
        <w:rPr>
          <w:snapToGrid w:val="0"/>
          <w:lang w:val="es-419"/>
        </w:rPr>
        <w:instrText xml:space="preserve"> AUTONUM  </w:instrText>
      </w:r>
      <w:r w:rsidRPr="007624F0">
        <w:rPr>
          <w:snapToGrid w:val="0"/>
          <w:lang w:val="es-419"/>
        </w:rPr>
        <w:fldChar w:fldCharType="end"/>
      </w:r>
      <w:r w:rsidRPr="007624F0">
        <w:rPr>
          <w:snapToGrid w:val="0"/>
          <w:lang w:val="es-419"/>
        </w:rPr>
        <w:tab/>
        <w:t>Otras novedades acontecidas antes de 2020</w:t>
      </w:r>
      <w:r w:rsidRPr="007624F0">
        <w:rPr>
          <w:lang w:val="es-419"/>
        </w:rPr>
        <w:t xml:space="preserve"> se exponen en el documento TC/56/5 “Tratamiento de datos para la elaboración de descripciones de variedades en el caso de caracteres cuantitativos medidos”.</w:t>
      </w:r>
    </w:p>
    <w:p w14:paraId="660F15E7" w14:textId="77777777" w:rsidR="00D02EB9" w:rsidRPr="007624F0" w:rsidRDefault="00D02EB9" w:rsidP="00D02EB9">
      <w:pPr>
        <w:rPr>
          <w:lang w:val="es-419"/>
        </w:rPr>
      </w:pPr>
    </w:p>
    <w:p w14:paraId="6BC82FFB" w14:textId="77777777" w:rsidR="00D02EB9" w:rsidRPr="007624F0" w:rsidRDefault="00D02EB9" w:rsidP="00D02EB9">
      <w:pPr>
        <w:pStyle w:val="Heading1"/>
        <w:rPr>
          <w:lang w:val="es-419"/>
        </w:rPr>
      </w:pPr>
      <w:bookmarkStart w:id="5" w:name="_Toc81551202"/>
      <w:r w:rsidRPr="007624F0">
        <w:rPr>
          <w:lang w:val="es-419"/>
        </w:rPr>
        <w:t>Propuesta elaborada por el presidente del Comité Técnico en colaboración con la Oficina de la Unión</w:t>
      </w:r>
      <w:bookmarkEnd w:id="5"/>
      <w:r w:rsidRPr="007624F0">
        <w:rPr>
          <w:lang w:val="es-419"/>
        </w:rPr>
        <w:t xml:space="preserve"> </w:t>
      </w:r>
    </w:p>
    <w:p w14:paraId="79E5B40E" w14:textId="77777777" w:rsidR="00D02EB9" w:rsidRPr="007624F0" w:rsidRDefault="00D02EB9" w:rsidP="00D02EB9">
      <w:pPr>
        <w:rPr>
          <w:lang w:val="es-419"/>
        </w:rPr>
      </w:pPr>
    </w:p>
    <w:p w14:paraId="7C39714C" w14:textId="72CC48A0" w:rsidR="00D02EB9" w:rsidRPr="007624F0" w:rsidRDefault="00D02EB9" w:rsidP="00D02EB9">
      <w:pPr>
        <w:rPr>
          <w:rFonts w:cs="Arial"/>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Con respecto a la solicitud del TC, en su cuadragésima octava sesión, de que se examine la posibilidad de redactar una orientación común sobre el tratamiento de datos para la evaluación de la distinción y la elaboración de descripciones de variedades, se recuerda que el TC concluyó que no sería adecuado incluir en el documento TGP/8 la información tal como se presenta en el Anexo VIII del documento TC/48/19 Rev. y acordó que la información detallada sobre los métodos se ponga a disposición en el sitio web de la UPOV, con referencias en el documento TGP/8</w:t>
      </w:r>
      <w:r w:rsidR="00875CE4" w:rsidRPr="007624F0">
        <w:rPr>
          <w:lang w:val="es-419"/>
        </w:rPr>
        <w:t xml:space="preserve"> </w:t>
      </w:r>
      <w:r w:rsidRPr="007624F0">
        <w:rPr>
          <w:lang w:val="es-419"/>
        </w:rPr>
        <w:t>(véase el párrafo 52 del documento</w:t>
      </w:r>
      <w:r w:rsidR="00C744B4" w:rsidRPr="007624F0">
        <w:rPr>
          <w:lang w:val="es-419"/>
        </w:rPr>
        <w:t> </w:t>
      </w:r>
      <w:r w:rsidRPr="007624F0">
        <w:rPr>
          <w:lang w:val="es-419"/>
        </w:rPr>
        <w:t>TC/48/22 "Informe sobre las conclusiones”).</w:t>
      </w:r>
    </w:p>
    <w:p w14:paraId="42BC6652" w14:textId="77777777" w:rsidR="00D02EB9" w:rsidRPr="007624F0" w:rsidRDefault="00D02EB9" w:rsidP="00D02EB9">
      <w:pPr>
        <w:rPr>
          <w:lang w:val="es-419"/>
        </w:rPr>
      </w:pPr>
    </w:p>
    <w:p w14:paraId="50AE3F6A" w14:textId="77777777" w:rsidR="00D02EB9" w:rsidRPr="007624F0" w:rsidRDefault="00D02EB9" w:rsidP="00D02EB9">
      <w:pPr>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Conforme a lo acordado por el TC, en su quincuagésima segunda sesión, se propone que la orientación sobre “Diferentes formas que pueden adoptar las descripciones de variedades y la importancia de los niveles de escala” se incluya en el documento TGP/8, parte I “Diseño de ensayos DHE y análisis de datos”, sección 2 “Datos que han de registrarse”, como una nueva sección 2.5 (véase el Anexo del presente documento).</w:t>
      </w:r>
    </w:p>
    <w:p w14:paraId="47C3A75D" w14:textId="77777777" w:rsidR="00D02EB9" w:rsidRPr="007624F0" w:rsidRDefault="00D02EB9" w:rsidP="00D02EB9">
      <w:pPr>
        <w:rPr>
          <w:lang w:val="es-419"/>
        </w:rPr>
      </w:pPr>
    </w:p>
    <w:p w14:paraId="37F87D2B" w14:textId="77777777" w:rsidR="00D02EB9" w:rsidRPr="007624F0" w:rsidRDefault="00D02EB9" w:rsidP="00D02EB9">
      <w:pPr>
        <w:rPr>
          <w:rFonts w:cs="Arial"/>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Con respecto a ofrecer información sobre los métodos de tratamiento de datos empleados para la evaluación de la distinción, se recuerda que la UPOV ha creado los siguientes documentos para poner a disposición métodos en el sitio web de la UPOV:</w:t>
      </w:r>
    </w:p>
    <w:p w14:paraId="52E6A10E" w14:textId="77777777" w:rsidR="00D02EB9" w:rsidRPr="007624F0" w:rsidRDefault="00D02EB9" w:rsidP="00D02EB9">
      <w:pPr>
        <w:rPr>
          <w:rFonts w:cs="Arial"/>
          <w:lang w:val="es-419"/>
        </w:rPr>
      </w:pPr>
    </w:p>
    <w:p w14:paraId="74BD6608" w14:textId="77777777" w:rsidR="00D02EB9" w:rsidRPr="007624F0" w:rsidRDefault="00D02EB9" w:rsidP="00D02EB9">
      <w:pPr>
        <w:numPr>
          <w:ilvl w:val="0"/>
          <w:numId w:val="1"/>
        </w:numPr>
        <w:contextualSpacing/>
        <w:rPr>
          <w:lang w:val="es-419"/>
        </w:rPr>
      </w:pPr>
      <w:r w:rsidRPr="007624F0">
        <w:rPr>
          <w:lang w:val="es-419"/>
        </w:rPr>
        <w:t>el documento UPOV/INF/16 “Programas informáticos para intercambio”</w:t>
      </w:r>
    </w:p>
    <w:p w14:paraId="210039D8" w14:textId="73CE501B" w:rsidR="00D02EB9" w:rsidRPr="007624F0" w:rsidRDefault="00D02EB9" w:rsidP="00D02EB9">
      <w:pPr>
        <w:numPr>
          <w:ilvl w:val="0"/>
          <w:numId w:val="1"/>
        </w:numPr>
        <w:contextualSpacing/>
        <w:rPr>
          <w:lang w:val="es-419"/>
        </w:rPr>
      </w:pPr>
      <w:r w:rsidRPr="007624F0">
        <w:rPr>
          <w:lang w:val="es-419"/>
        </w:rPr>
        <w:t>el documento UPOV/INF/22 “Programas informáticos y equipos utilizados por los miembros de la</w:t>
      </w:r>
      <w:r w:rsidR="00C744B4" w:rsidRPr="007624F0">
        <w:rPr>
          <w:lang w:val="es-419"/>
        </w:rPr>
        <w:t> </w:t>
      </w:r>
      <w:r w:rsidRPr="007624F0">
        <w:rPr>
          <w:lang w:val="es-419"/>
        </w:rPr>
        <w:t>Unión”</w:t>
      </w:r>
    </w:p>
    <w:p w14:paraId="20B7CD8A" w14:textId="77777777" w:rsidR="00D02EB9" w:rsidRPr="007624F0" w:rsidRDefault="00D02EB9" w:rsidP="00D02EB9">
      <w:pPr>
        <w:rPr>
          <w:lang w:val="es-419"/>
        </w:rPr>
      </w:pPr>
    </w:p>
    <w:p w14:paraId="4654F835" w14:textId="77777777" w:rsidR="00D02EB9" w:rsidRPr="007624F0" w:rsidRDefault="00D02EB9" w:rsidP="00D02EB9">
      <w:pPr>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Teniendo en cuenta lo expuesto, se recomienda invitar a los miembros de la Unión a proponer la inclusión de programas informáticos que incorporen sus métodos en el documento UPOV/INF/16 o el documento UPOV/INF/22, según corresponda, con una referencia a la disponibilidad de estos métodos en la nueva sección 2.5 del documento TGP/8, parte I.</w:t>
      </w:r>
    </w:p>
    <w:p w14:paraId="44C2D143" w14:textId="77777777" w:rsidR="00D02EB9" w:rsidRPr="007624F0" w:rsidRDefault="00D02EB9" w:rsidP="00D02EB9">
      <w:pPr>
        <w:rPr>
          <w:lang w:val="es-419"/>
        </w:rPr>
      </w:pPr>
    </w:p>
    <w:p w14:paraId="00E2C02D" w14:textId="77777777" w:rsidR="00D02EB9" w:rsidRPr="007624F0" w:rsidRDefault="00D02EB9" w:rsidP="00D02EB9">
      <w:pPr>
        <w:rPr>
          <w:lang w:val="es-419"/>
        </w:rPr>
      </w:pPr>
    </w:p>
    <w:p w14:paraId="15F320BE" w14:textId="77777777" w:rsidR="00D02EB9" w:rsidRPr="007624F0" w:rsidRDefault="00D02EB9" w:rsidP="00D02EB9">
      <w:pPr>
        <w:pStyle w:val="Heading2"/>
        <w:rPr>
          <w:lang w:val="es-419"/>
        </w:rPr>
      </w:pPr>
      <w:r w:rsidRPr="007624F0">
        <w:rPr>
          <w:lang w:val="es-419"/>
        </w:rPr>
        <w:t>Comentarios formulados por los Grupos de Trabajo Técnico sobre la propuesta</w:t>
      </w:r>
    </w:p>
    <w:p w14:paraId="2B3BDAD0" w14:textId="77777777" w:rsidR="00D02EB9" w:rsidRPr="007624F0" w:rsidRDefault="00D02EB9" w:rsidP="0054361B">
      <w:pPr>
        <w:rPr>
          <w:lang w:val="es-419"/>
        </w:rPr>
      </w:pPr>
    </w:p>
    <w:p w14:paraId="32462EF9" w14:textId="77777777" w:rsidR="00D02EB9" w:rsidRPr="007624F0" w:rsidRDefault="00D02EB9" w:rsidP="00D02EB9">
      <w:pPr>
        <w:jc w:val="left"/>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En sus sesiones de 2021, el TWV,</w:t>
      </w:r>
      <w:r w:rsidRPr="007624F0">
        <w:rPr>
          <w:vertAlign w:val="superscript"/>
          <w:lang w:val="es-419"/>
        </w:rPr>
        <w:footnoteReference w:id="7"/>
      </w:r>
      <w:r w:rsidRPr="007624F0">
        <w:rPr>
          <w:lang w:val="es-419"/>
        </w:rPr>
        <w:t xml:space="preserve"> el TWO,</w:t>
      </w:r>
      <w:r w:rsidRPr="007624F0">
        <w:rPr>
          <w:vertAlign w:val="superscript"/>
          <w:lang w:val="es-419"/>
        </w:rPr>
        <w:footnoteReference w:id="8"/>
      </w:r>
      <w:r w:rsidRPr="007624F0">
        <w:rPr>
          <w:lang w:val="es-419"/>
        </w:rPr>
        <w:t xml:space="preserve"> el TWA</w:t>
      </w:r>
      <w:r w:rsidRPr="007624F0">
        <w:rPr>
          <w:vertAlign w:val="superscript"/>
          <w:lang w:val="es-419"/>
        </w:rPr>
        <w:footnoteReference w:id="9"/>
      </w:r>
      <w:r w:rsidRPr="007624F0">
        <w:rPr>
          <w:lang w:val="es-419"/>
        </w:rPr>
        <w:t xml:space="preserve"> y el TWF</w:t>
      </w:r>
      <w:r w:rsidRPr="007624F0">
        <w:rPr>
          <w:vertAlign w:val="superscript"/>
          <w:lang w:val="es-419"/>
        </w:rPr>
        <w:footnoteReference w:id="10"/>
      </w:r>
      <w:r w:rsidRPr="007624F0">
        <w:rPr>
          <w:lang w:val="es-419"/>
        </w:rPr>
        <w:t xml:space="preserve"> examinaron el documento TWP/5/10 “</w:t>
      </w:r>
      <w:r w:rsidRPr="007624F0">
        <w:rPr>
          <w:i/>
          <w:iCs/>
          <w:lang w:val="es-419"/>
        </w:rPr>
        <w:t>Data processing for the production of variety descriptions for measured quantitative characteristic</w:t>
      </w:r>
      <w:r w:rsidRPr="007624F0">
        <w:rPr>
          <w:lang w:val="es-419"/>
        </w:rPr>
        <w:t>” (Tratamiento de datos para la elaboración de descripciones de variedades en el caso de los caracteres cuantitativos medidos) (véanse los documentos TWV/55/16 “</w:t>
      </w:r>
      <w:r w:rsidRPr="007624F0">
        <w:rPr>
          <w:i/>
          <w:iCs/>
          <w:lang w:val="es-419"/>
        </w:rPr>
        <w:t>Report</w:t>
      </w:r>
      <w:r w:rsidRPr="007624F0">
        <w:rPr>
          <w:lang w:val="es-419"/>
        </w:rPr>
        <w:t>”, párrafos 21 a 24; TWO/53/10 “</w:t>
      </w:r>
      <w:r w:rsidRPr="007624F0">
        <w:rPr>
          <w:i/>
          <w:iCs/>
          <w:lang w:val="es-419"/>
        </w:rPr>
        <w:t>Report</w:t>
      </w:r>
      <w:r w:rsidRPr="007624F0">
        <w:rPr>
          <w:lang w:val="es-419"/>
        </w:rPr>
        <w:t>”, párrafos 25 a 28; TWA/50/9 “</w:t>
      </w:r>
      <w:r w:rsidRPr="007624F0">
        <w:rPr>
          <w:i/>
          <w:iCs/>
          <w:lang w:val="es-419"/>
        </w:rPr>
        <w:t>Report</w:t>
      </w:r>
      <w:r w:rsidRPr="007624F0">
        <w:rPr>
          <w:lang w:val="es-419"/>
        </w:rPr>
        <w:t>”, párrafos 21 a 24; y TWF/52/10 “</w:t>
      </w:r>
      <w:r w:rsidRPr="007624F0">
        <w:rPr>
          <w:i/>
          <w:iCs/>
          <w:lang w:val="es-419"/>
        </w:rPr>
        <w:t>Report</w:t>
      </w:r>
      <w:r w:rsidRPr="007624F0">
        <w:rPr>
          <w:lang w:val="es-419"/>
        </w:rPr>
        <w:t>”, párrafos 33 a 36).</w:t>
      </w:r>
    </w:p>
    <w:p w14:paraId="4984DAA4" w14:textId="77777777" w:rsidR="00D02EB9" w:rsidRPr="007624F0" w:rsidRDefault="00D02EB9" w:rsidP="00D02EB9">
      <w:pPr>
        <w:rPr>
          <w:snapToGrid w:val="0"/>
          <w:lang w:val="es-419"/>
        </w:rPr>
      </w:pPr>
    </w:p>
    <w:p w14:paraId="08C48F0D" w14:textId="77777777" w:rsidR="00D02EB9" w:rsidRPr="007624F0" w:rsidRDefault="00D02EB9" w:rsidP="00D02EB9">
      <w:pPr>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El TWV, TWO, TWA y TWF tomaron nota de que el TC convino en invitar al presidente del TC a que, en colaboración con la Oficina de la Unión, formule propuestas sobre los próximos pasos a seguir respecto de la elaboración de una orientación, que se presentará a los TWP y el TC en sus sesiones de </w:t>
      </w:r>
      <w:r w:rsidRPr="0054361B">
        <w:rPr>
          <w:lang w:val="es-419"/>
        </w:rPr>
        <w:t>2021 (véanse los párrafos 12 a 15 del presente documento).</w:t>
      </w:r>
      <w:r w:rsidRPr="007624F0">
        <w:rPr>
          <w:lang w:val="es-419"/>
        </w:rPr>
        <w:t xml:space="preserve"> </w:t>
      </w:r>
    </w:p>
    <w:p w14:paraId="77B089D6" w14:textId="77777777" w:rsidR="00D02EB9" w:rsidRPr="007624F0" w:rsidRDefault="00D02EB9" w:rsidP="00D02EB9">
      <w:pPr>
        <w:rPr>
          <w:lang w:val="es-419"/>
        </w:rPr>
      </w:pPr>
    </w:p>
    <w:p w14:paraId="4AA4C5B6" w14:textId="77777777" w:rsidR="00D02EB9" w:rsidRPr="007624F0" w:rsidRDefault="00D02EB9" w:rsidP="00D02EB9">
      <w:pPr>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El TWV, el TWO, el TWA y el TWF convinieron en que la orientación sobre “Diferentes formas que pueden adoptar las descripciones de variedades y la importancia de los niveles de escala” se incluya en el documento TGP/8, parte I, sección 2 “Datos que han de registrarse” como una nueva sección 2.5.</w:t>
      </w:r>
    </w:p>
    <w:p w14:paraId="2E41B168" w14:textId="77777777" w:rsidR="00D02EB9" w:rsidRPr="007624F0" w:rsidRDefault="00D02EB9" w:rsidP="00D02EB9">
      <w:pPr>
        <w:rPr>
          <w:lang w:val="es-419"/>
        </w:rPr>
      </w:pPr>
    </w:p>
    <w:p w14:paraId="293FB7E7" w14:textId="77777777" w:rsidR="00D02EB9" w:rsidRPr="007624F0" w:rsidRDefault="00D02EB9" w:rsidP="00D02EB9">
      <w:pPr>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El TWV, el TWO, el TWA y el TWF convinieron en invitar a los miembros de la Unión a proponer la inclusión de programas informáticos que incorporen sus métodos de transformación de observaciones en notas en el documento UPOV/INF/16 o el documento UPOV/INF/22, según corresponda, con una referencia a la disponibilidad de estos métodos en la nueva sección 2.5 del documento TGP/8, parte I.</w:t>
      </w:r>
    </w:p>
    <w:p w14:paraId="0C7ED996" w14:textId="77777777" w:rsidR="00D02EB9" w:rsidRPr="007624F0" w:rsidRDefault="00D02EB9" w:rsidP="00D02EB9">
      <w:pPr>
        <w:rPr>
          <w:lang w:val="es-419"/>
        </w:rPr>
      </w:pPr>
    </w:p>
    <w:p w14:paraId="796DF999" w14:textId="77777777" w:rsidR="00D02EB9" w:rsidRPr="007624F0" w:rsidRDefault="00D02EB9" w:rsidP="00D02EB9">
      <w:pPr>
        <w:rPr>
          <w:lang w:val="es-419"/>
        </w:rPr>
      </w:pPr>
      <w:r w:rsidRPr="007624F0">
        <w:rPr>
          <w:color w:val="000000"/>
          <w:lang w:val="es-419"/>
        </w:rPr>
        <w:fldChar w:fldCharType="begin"/>
      </w:r>
      <w:r w:rsidRPr="007624F0">
        <w:rPr>
          <w:color w:val="000000"/>
          <w:lang w:val="es-419"/>
        </w:rPr>
        <w:instrText xml:space="preserve"> AUTONUM  </w:instrText>
      </w:r>
      <w:r w:rsidRPr="007624F0">
        <w:rPr>
          <w:color w:val="000000"/>
          <w:lang w:val="es-419"/>
        </w:rPr>
        <w:fldChar w:fldCharType="end"/>
      </w:r>
      <w:r w:rsidRPr="007624F0">
        <w:rPr>
          <w:color w:val="000000"/>
          <w:lang w:val="es-419"/>
        </w:rPr>
        <w:tab/>
        <w:t xml:space="preserve">Los comentarios del </w:t>
      </w:r>
      <w:r w:rsidRPr="007624F0">
        <w:rPr>
          <w:snapToGrid w:val="0"/>
          <w:lang w:val="es-419"/>
        </w:rPr>
        <w:t>Grupo de Trabajo Técnico sobre Automatización y Programas Informáticos (TWC) formulados en su sesión,</w:t>
      </w:r>
      <w:r w:rsidRPr="007624F0">
        <w:rPr>
          <w:snapToGrid w:val="0"/>
          <w:vertAlign w:val="superscript"/>
          <w:lang w:val="es-419"/>
        </w:rPr>
        <w:footnoteReference w:id="11"/>
      </w:r>
      <w:r w:rsidRPr="007624F0">
        <w:rPr>
          <w:snapToGrid w:val="0"/>
          <w:lang w:val="es-419"/>
        </w:rPr>
        <w:t xml:space="preserve"> que se celebrará del 20 al 22 de septiembre de 2021, se expondrán en una adición al presente documento.</w:t>
      </w:r>
    </w:p>
    <w:p w14:paraId="0B0D65EF" w14:textId="77777777" w:rsidR="00D02EB9" w:rsidRPr="007624F0" w:rsidRDefault="00D02EB9" w:rsidP="00D02EB9">
      <w:pPr>
        <w:rPr>
          <w:lang w:val="es-419"/>
        </w:rPr>
      </w:pPr>
    </w:p>
    <w:p w14:paraId="1C0C4556" w14:textId="77777777" w:rsidR="00D02EB9" w:rsidRPr="007624F0" w:rsidRDefault="00D02EB9" w:rsidP="00D02EB9">
      <w:pPr>
        <w:pStyle w:val="DecisionParagraphs"/>
        <w:rPr>
          <w:lang w:val="es-419"/>
        </w:rPr>
      </w:pPr>
      <w:r w:rsidRPr="007624F0">
        <w:rPr>
          <w:lang w:val="es-419"/>
        </w:rPr>
        <w:fldChar w:fldCharType="begin"/>
      </w:r>
      <w:r w:rsidRPr="007624F0">
        <w:rPr>
          <w:lang w:val="es-419"/>
        </w:rPr>
        <w:instrText xml:space="preserve"> AUTONUM  </w:instrText>
      </w:r>
      <w:r w:rsidRPr="007624F0">
        <w:rPr>
          <w:lang w:val="es-419"/>
        </w:rPr>
        <w:fldChar w:fldCharType="end"/>
      </w:r>
      <w:r w:rsidRPr="007624F0">
        <w:rPr>
          <w:lang w:val="es-419"/>
        </w:rPr>
        <w:tab/>
        <w:t xml:space="preserve">Se invita al TC a: </w:t>
      </w:r>
    </w:p>
    <w:p w14:paraId="1DCCC0F9" w14:textId="77777777" w:rsidR="00D02EB9" w:rsidRPr="007624F0" w:rsidRDefault="00D02EB9" w:rsidP="00D02EB9">
      <w:pPr>
        <w:pStyle w:val="DecisionParagraphs"/>
        <w:rPr>
          <w:lang w:val="es-419"/>
        </w:rPr>
      </w:pPr>
    </w:p>
    <w:p w14:paraId="5313C3EF" w14:textId="1672046E" w:rsidR="00D02EB9" w:rsidRPr="007624F0" w:rsidRDefault="00D02EB9" w:rsidP="00053E68">
      <w:pPr>
        <w:pStyle w:val="DecisionParagraphs"/>
        <w:numPr>
          <w:ilvl w:val="0"/>
          <w:numId w:val="6"/>
        </w:numPr>
        <w:tabs>
          <w:tab w:val="clear" w:pos="5387"/>
          <w:tab w:val="left" w:pos="5812"/>
          <w:tab w:val="left" w:pos="5954"/>
        </w:tabs>
        <w:ind w:left="4820" w:firstLine="567"/>
        <w:rPr>
          <w:lang w:val="es-419"/>
        </w:rPr>
      </w:pPr>
      <w:r w:rsidRPr="007624F0">
        <w:rPr>
          <w:lang w:val="es-419"/>
        </w:rPr>
        <w:t>tomar nota de los comentarios formulados por los TWP en sus sesiones de 2021, expuestos en los párrafos 16 a 19 del presente documento;</w:t>
      </w:r>
    </w:p>
    <w:p w14:paraId="3850797F" w14:textId="77777777" w:rsidR="00D02EB9" w:rsidRPr="007624F0" w:rsidRDefault="00D02EB9" w:rsidP="00053E68">
      <w:pPr>
        <w:pStyle w:val="DecisionParagraphs"/>
        <w:tabs>
          <w:tab w:val="clear" w:pos="5387"/>
          <w:tab w:val="left" w:pos="5812"/>
        </w:tabs>
        <w:ind w:firstLine="567"/>
        <w:rPr>
          <w:lang w:val="es-419"/>
        </w:rPr>
      </w:pPr>
    </w:p>
    <w:p w14:paraId="0251D688" w14:textId="77777777" w:rsidR="00D02EB9" w:rsidRPr="007624F0" w:rsidRDefault="00D02EB9" w:rsidP="00053E68">
      <w:pPr>
        <w:pStyle w:val="DecisionParagraphs"/>
        <w:tabs>
          <w:tab w:val="clear" w:pos="5387"/>
          <w:tab w:val="left" w:pos="5812"/>
          <w:tab w:val="left" w:pos="5954"/>
        </w:tabs>
        <w:ind w:firstLine="567"/>
        <w:rPr>
          <w:lang w:val="es-419"/>
        </w:rPr>
      </w:pPr>
      <w:r w:rsidRPr="007624F0">
        <w:rPr>
          <w:lang w:val="es-419"/>
        </w:rPr>
        <w:t>b)</w:t>
      </w:r>
      <w:r w:rsidRPr="007624F0">
        <w:rPr>
          <w:lang w:val="es-419"/>
        </w:rPr>
        <w:tab/>
        <w:t xml:space="preserve">tomar nota de que los comentarios que formule el TWC se expondrán en una adición al presente documento; </w:t>
      </w:r>
    </w:p>
    <w:p w14:paraId="189FC745" w14:textId="77777777" w:rsidR="00D02EB9" w:rsidRPr="007624F0" w:rsidRDefault="00D02EB9" w:rsidP="00053E68">
      <w:pPr>
        <w:pStyle w:val="DecisionParagraphs"/>
        <w:tabs>
          <w:tab w:val="clear" w:pos="5387"/>
          <w:tab w:val="left" w:pos="5812"/>
        </w:tabs>
        <w:ind w:firstLine="567"/>
        <w:rPr>
          <w:lang w:val="es-419"/>
        </w:rPr>
      </w:pPr>
    </w:p>
    <w:p w14:paraId="44AC6DD2" w14:textId="77777777" w:rsidR="00D02EB9" w:rsidRPr="007624F0" w:rsidRDefault="00D02EB9" w:rsidP="00053E68">
      <w:pPr>
        <w:pStyle w:val="DecisionParagraphs"/>
        <w:tabs>
          <w:tab w:val="clear" w:pos="5387"/>
          <w:tab w:val="left" w:pos="5812"/>
          <w:tab w:val="left" w:pos="5954"/>
        </w:tabs>
        <w:ind w:firstLine="567"/>
        <w:rPr>
          <w:lang w:val="es-419"/>
        </w:rPr>
      </w:pPr>
      <w:r w:rsidRPr="007624F0">
        <w:rPr>
          <w:lang w:val="es-419"/>
        </w:rPr>
        <w:t>c)</w:t>
      </w:r>
      <w:r w:rsidRPr="007624F0">
        <w:rPr>
          <w:lang w:val="es-419"/>
        </w:rPr>
        <w:tab/>
        <w:t>examinar la inclusión de la orientación sobre “Diferentes formas que pueden adoptar las descripciones de variedades y la importancia de los niveles de escala”, que se expone en el Anexo del presente documento, en el documento TGP/8, parte I, sección 2 “Datos que han de registrarse” como una nueva sección 2.5; y</w:t>
      </w:r>
    </w:p>
    <w:p w14:paraId="25FDF445" w14:textId="77777777" w:rsidR="00D02EB9" w:rsidRPr="007624F0" w:rsidRDefault="00D02EB9" w:rsidP="00053E68">
      <w:pPr>
        <w:pStyle w:val="DecisionParagraphs"/>
        <w:tabs>
          <w:tab w:val="clear" w:pos="5387"/>
          <w:tab w:val="left" w:pos="5812"/>
        </w:tabs>
        <w:ind w:firstLine="567"/>
        <w:rPr>
          <w:lang w:val="es-419"/>
        </w:rPr>
      </w:pPr>
    </w:p>
    <w:p w14:paraId="1A90D2E3" w14:textId="351EB06B" w:rsidR="00D02EB9" w:rsidRPr="007624F0" w:rsidRDefault="00D02EB9" w:rsidP="00053E68">
      <w:pPr>
        <w:pStyle w:val="DecisionParagraphs"/>
        <w:tabs>
          <w:tab w:val="clear" w:pos="5387"/>
          <w:tab w:val="left" w:pos="5812"/>
          <w:tab w:val="left" w:pos="5954"/>
        </w:tabs>
        <w:ind w:firstLine="567"/>
        <w:rPr>
          <w:lang w:val="es-419"/>
        </w:rPr>
      </w:pPr>
      <w:r w:rsidRPr="007624F0">
        <w:rPr>
          <w:lang w:val="es-419"/>
        </w:rPr>
        <w:t>d)</w:t>
      </w:r>
      <w:r w:rsidRPr="007624F0">
        <w:rPr>
          <w:lang w:val="es-419"/>
        </w:rPr>
        <w:tab/>
        <w:t>examinar si procede invitar a</w:t>
      </w:r>
      <w:r w:rsidR="00053E68" w:rsidRPr="007624F0">
        <w:rPr>
          <w:lang w:val="es-419"/>
        </w:rPr>
        <w:t xml:space="preserve"> </w:t>
      </w:r>
      <w:r w:rsidRPr="007624F0">
        <w:rPr>
          <w:lang w:val="es-419"/>
        </w:rPr>
        <w:t>los</w:t>
      </w:r>
      <w:r w:rsidR="00053E68" w:rsidRPr="007624F0">
        <w:rPr>
          <w:lang w:val="es-419"/>
        </w:rPr>
        <w:t xml:space="preserve"> </w:t>
      </w:r>
      <w:r w:rsidRPr="007624F0">
        <w:rPr>
          <w:lang w:val="es-419"/>
        </w:rPr>
        <w:t>miembros de la</w:t>
      </w:r>
      <w:r w:rsidR="00053E68" w:rsidRPr="007624F0">
        <w:rPr>
          <w:lang w:val="es-419"/>
        </w:rPr>
        <w:t xml:space="preserve"> </w:t>
      </w:r>
      <w:r w:rsidRPr="007624F0">
        <w:rPr>
          <w:lang w:val="es-419"/>
        </w:rPr>
        <w:t>Unión a proponer la inclusión</w:t>
      </w:r>
      <w:r w:rsidR="00053E68" w:rsidRPr="007624F0">
        <w:rPr>
          <w:lang w:val="es-419"/>
        </w:rPr>
        <w:t xml:space="preserve"> </w:t>
      </w:r>
      <w:r w:rsidRPr="007624F0">
        <w:rPr>
          <w:lang w:val="es-419"/>
        </w:rPr>
        <w:t>de</w:t>
      </w:r>
      <w:r w:rsidR="00053E68" w:rsidRPr="007624F0">
        <w:rPr>
          <w:lang w:val="es-419"/>
        </w:rPr>
        <w:t> </w:t>
      </w:r>
      <w:r w:rsidRPr="007624F0">
        <w:rPr>
          <w:lang w:val="es-419"/>
        </w:rPr>
        <w:t>programas informáticos que incorporen sus métodos de transformación de observaciones en notas en el documento UPOV/INF/16 o el documento UPOV/INF/22, según corresponda, con una referencia a la disponibilidad de estos métodos en la nueva sección 2.5 del documento TGP/8, parte I.</w:t>
      </w:r>
    </w:p>
    <w:p w14:paraId="40F6FD72" w14:textId="77777777" w:rsidR="00D02EB9" w:rsidRPr="007624F0" w:rsidRDefault="00D02EB9" w:rsidP="00D02EB9">
      <w:pPr>
        <w:rPr>
          <w:snapToGrid w:val="0"/>
          <w:lang w:val="es-419"/>
        </w:rPr>
      </w:pPr>
    </w:p>
    <w:p w14:paraId="5E65D3FB" w14:textId="77777777" w:rsidR="00D02EB9" w:rsidRPr="007624F0" w:rsidRDefault="00D02EB9" w:rsidP="00D02EB9">
      <w:pPr>
        <w:tabs>
          <w:tab w:val="left" w:pos="5387"/>
          <w:tab w:val="left" w:pos="5954"/>
        </w:tabs>
        <w:rPr>
          <w:snapToGrid w:val="0"/>
          <w:lang w:val="es-419"/>
        </w:rPr>
      </w:pPr>
    </w:p>
    <w:p w14:paraId="03822EA9" w14:textId="77777777" w:rsidR="00D02EB9" w:rsidRPr="007624F0" w:rsidRDefault="00D02EB9" w:rsidP="00D02EB9">
      <w:pPr>
        <w:jc w:val="right"/>
        <w:rPr>
          <w:snapToGrid w:val="0"/>
          <w:lang w:val="es-419"/>
        </w:rPr>
      </w:pPr>
    </w:p>
    <w:p w14:paraId="3444C124" w14:textId="77777777" w:rsidR="00D02EB9" w:rsidRPr="007624F0" w:rsidRDefault="00D02EB9" w:rsidP="00D02EB9">
      <w:pPr>
        <w:jc w:val="right"/>
        <w:rPr>
          <w:lang w:val="es-419"/>
        </w:rPr>
      </w:pPr>
      <w:r w:rsidRPr="007624F0">
        <w:rPr>
          <w:snapToGrid w:val="0"/>
          <w:lang w:val="es-419"/>
        </w:rPr>
        <w:t>[</w:t>
      </w:r>
      <w:r w:rsidRPr="007624F0">
        <w:rPr>
          <w:lang w:val="es-419"/>
        </w:rPr>
        <w:t>Sigue el Anexo]</w:t>
      </w:r>
    </w:p>
    <w:p w14:paraId="4CB26150" w14:textId="77777777" w:rsidR="00D02EB9" w:rsidRPr="007624F0" w:rsidRDefault="00D02EB9" w:rsidP="00D02EB9">
      <w:pPr>
        <w:jc w:val="right"/>
        <w:rPr>
          <w:lang w:val="es-419"/>
        </w:rPr>
        <w:sectPr w:rsidR="00D02EB9" w:rsidRPr="007624F0" w:rsidSect="00D627F0">
          <w:headerReference w:type="default" r:id="rId9"/>
          <w:pgSz w:w="11907" w:h="16840" w:code="9"/>
          <w:pgMar w:top="510" w:right="1134" w:bottom="851" w:left="1276" w:header="510" w:footer="680" w:gutter="0"/>
          <w:pgNumType w:start="1"/>
          <w:cols w:space="720"/>
          <w:titlePg/>
        </w:sectPr>
      </w:pPr>
    </w:p>
    <w:p w14:paraId="724C0EBB" w14:textId="77777777" w:rsidR="00D02EB9" w:rsidRPr="007624F0" w:rsidRDefault="00D02EB9" w:rsidP="00D02EB9">
      <w:pPr>
        <w:jc w:val="center"/>
        <w:rPr>
          <w:lang w:val="es-419"/>
        </w:rPr>
      </w:pPr>
      <w:r w:rsidRPr="007624F0">
        <w:rPr>
          <w:lang w:val="es-419"/>
        </w:rPr>
        <w:t xml:space="preserve">DIFERENTES FORMAS QUE PUEDEN ADOPTAR LAS DESCRIPCIONES DE VARIEDADES </w:t>
      </w:r>
    </w:p>
    <w:p w14:paraId="6ADDFF83" w14:textId="77777777" w:rsidR="00D02EB9" w:rsidRPr="007624F0" w:rsidRDefault="00D02EB9" w:rsidP="00D02EB9">
      <w:pPr>
        <w:jc w:val="center"/>
        <w:rPr>
          <w:lang w:val="es-419"/>
        </w:rPr>
      </w:pPr>
      <w:r w:rsidRPr="007624F0">
        <w:rPr>
          <w:lang w:val="es-419"/>
        </w:rPr>
        <w:t>Y LA IMPORTANCIA DE LOS NIVELES DE ESCALA</w:t>
      </w:r>
    </w:p>
    <w:p w14:paraId="61A02DDD" w14:textId="77777777" w:rsidR="00D02EB9" w:rsidRPr="007624F0" w:rsidRDefault="00D02EB9" w:rsidP="00D02EB9">
      <w:pPr>
        <w:rPr>
          <w:lang w:val="es-419"/>
        </w:rPr>
      </w:pPr>
    </w:p>
    <w:p w14:paraId="590C5911" w14:textId="77777777" w:rsidR="00D02EB9" w:rsidRPr="007624F0" w:rsidRDefault="00D02EB9" w:rsidP="00D02EB9">
      <w:pPr>
        <w:rPr>
          <w:lang w:val="es-419"/>
        </w:rPr>
      </w:pPr>
    </w:p>
    <w:p w14:paraId="49C1BC97" w14:textId="0DD7D5D1" w:rsidR="00D02EB9" w:rsidRPr="007624F0" w:rsidRDefault="00D02EB9" w:rsidP="00D02EB9">
      <w:pPr>
        <w:rPr>
          <w:rFonts w:cs="Arial"/>
          <w:lang w:val="es-419"/>
        </w:rPr>
      </w:pPr>
      <w:r w:rsidRPr="007624F0">
        <w:rPr>
          <w:lang w:val="es-419"/>
        </w:rPr>
        <w:t>Las descripciones de variedades se pueden basar en diferentes datos, según la finalidad de la descripción.</w:t>
      </w:r>
      <w:r w:rsidR="00875CE4" w:rsidRPr="007624F0">
        <w:rPr>
          <w:lang w:val="es-419"/>
        </w:rPr>
        <w:t xml:space="preserve"> </w:t>
      </w:r>
      <w:r w:rsidRPr="007624F0">
        <w:rPr>
          <w:lang w:val="es-419"/>
        </w:rPr>
        <w:t>Las descripciones de variedades pueden ser diferentes si se las utiliza para evaluar la distinción o en el documento oficial en que se fundamenta la concesión de la protección.</w:t>
      </w:r>
      <w:r w:rsidR="00875CE4" w:rsidRPr="007624F0">
        <w:rPr>
          <w:lang w:val="es-419"/>
        </w:rPr>
        <w:t xml:space="preserve"> </w:t>
      </w:r>
      <w:r w:rsidRPr="007624F0">
        <w:rPr>
          <w:lang w:val="es-419"/>
        </w:rPr>
        <w:t>Cuando las descripciones de variedades se emplean para evaluar la distinción, es importante tener en cuenta en qué datos se basan las descripciones de las diferentes variedades.</w:t>
      </w:r>
      <w:r w:rsidR="00875CE4" w:rsidRPr="007624F0">
        <w:rPr>
          <w:lang w:val="es-419"/>
        </w:rPr>
        <w:t xml:space="preserve"> </w:t>
      </w:r>
      <w:r w:rsidRPr="007624F0">
        <w:rPr>
          <w:lang w:val="es-419"/>
        </w:rPr>
        <w:t>Se debe prestar una atención especial a la posible influencia de los años y los lugares de cultivo.</w:t>
      </w:r>
    </w:p>
    <w:p w14:paraId="286CB769" w14:textId="77777777" w:rsidR="00D02EB9" w:rsidRPr="007624F0" w:rsidRDefault="00D02EB9" w:rsidP="00D02EB9">
      <w:pPr>
        <w:rPr>
          <w:rFonts w:cs="Arial"/>
          <w:lang w:val="es-419"/>
        </w:rPr>
      </w:pPr>
    </w:p>
    <w:p w14:paraId="6DC506B7" w14:textId="228146C2" w:rsidR="00D02EB9" w:rsidRPr="007624F0" w:rsidRDefault="00D02EB9" w:rsidP="00D02EB9">
      <w:pPr>
        <w:rPr>
          <w:rFonts w:cs="Arial"/>
          <w:lang w:val="es-419"/>
        </w:rPr>
      </w:pPr>
      <w:r w:rsidRPr="007624F0">
        <w:rPr>
          <w:lang w:val="es-419"/>
        </w:rPr>
        <w:t>Las diferentes formas que adoptan las descripciones de variedades y su importancia en la evaluación de la distinción se pueden clasificar según los distintos niveles del proceso de examen de un carácter.</w:t>
      </w:r>
      <w:r w:rsidR="00875CE4" w:rsidRPr="007624F0">
        <w:rPr>
          <w:lang w:val="es-419"/>
        </w:rPr>
        <w:t xml:space="preserve"> </w:t>
      </w:r>
      <w:r w:rsidRPr="007624F0">
        <w:rPr>
          <w:lang w:val="es-419"/>
        </w:rPr>
        <w:t>Los niveles del proceso se definen en el documento TGP/8:</w:t>
      </w:r>
      <w:r w:rsidRPr="007624F0">
        <w:rPr>
          <w:caps/>
          <w:lang w:val="es-419"/>
        </w:rPr>
        <w:t xml:space="preserve"> </w:t>
      </w:r>
      <w:bookmarkStart w:id="6" w:name="_Toc374557600"/>
      <w:bookmarkStart w:id="7" w:name="_Toc374631085"/>
      <w:bookmarkStart w:id="8" w:name="_Toc374632557"/>
      <w:bookmarkStart w:id="9" w:name="_Toc374635755"/>
      <w:bookmarkStart w:id="10" w:name="_Toc377740963"/>
      <w:bookmarkStart w:id="11" w:name="_Toc377741130"/>
      <w:bookmarkStart w:id="12" w:name="_Toc378079306"/>
      <w:bookmarkStart w:id="13" w:name="_Toc378079654"/>
      <w:bookmarkStart w:id="14" w:name="_Toc378251549"/>
      <w:bookmarkStart w:id="15" w:name="_Toc378252009"/>
      <w:bookmarkStart w:id="16" w:name="_Toc378253039"/>
      <w:bookmarkStart w:id="17" w:name="_Toc381277710"/>
      <w:r w:rsidRPr="007624F0">
        <w:rPr>
          <w:lang w:val="es-419"/>
        </w:rPr>
        <w:t>Parte I “Diseño de ensayos DHE y análisis de datos</w:t>
      </w:r>
      <w:bookmarkEnd w:id="6"/>
      <w:bookmarkEnd w:id="7"/>
      <w:bookmarkEnd w:id="8"/>
      <w:bookmarkEnd w:id="9"/>
      <w:bookmarkEnd w:id="10"/>
      <w:bookmarkEnd w:id="11"/>
      <w:bookmarkEnd w:id="12"/>
      <w:bookmarkEnd w:id="13"/>
      <w:bookmarkEnd w:id="14"/>
      <w:bookmarkEnd w:id="15"/>
      <w:bookmarkEnd w:id="16"/>
      <w:bookmarkEnd w:id="17"/>
      <w:r w:rsidRPr="007624F0">
        <w:rPr>
          <w:lang w:val="es-419"/>
        </w:rPr>
        <w:t>”</w:t>
      </w:r>
      <w:bookmarkStart w:id="18" w:name="_Toc374557601"/>
      <w:bookmarkStart w:id="19" w:name="_Toc374631086"/>
      <w:bookmarkStart w:id="20" w:name="_Toc374632558"/>
      <w:bookmarkStart w:id="21" w:name="_Toc374635756"/>
      <w:bookmarkStart w:id="22" w:name="_Toc377740964"/>
      <w:bookmarkStart w:id="23" w:name="_Toc377741131"/>
      <w:bookmarkStart w:id="24" w:name="_Toc378079307"/>
      <w:bookmarkStart w:id="25" w:name="_Toc378079655"/>
      <w:bookmarkStart w:id="26" w:name="_Toc378251550"/>
      <w:bookmarkStart w:id="27" w:name="_Toc378252010"/>
      <w:bookmarkStart w:id="28" w:name="_Toc378253040"/>
      <w:bookmarkStart w:id="29" w:name="_Toc378686700"/>
      <w:bookmarkStart w:id="30" w:name="_Toc381277711"/>
      <w:r w:rsidRPr="007624F0">
        <w:rPr>
          <w:lang w:val="es-419"/>
        </w:rPr>
        <w:t xml:space="preserve"> sección 2 “Datos que han de </w:t>
      </w:r>
      <w:bookmarkEnd w:id="18"/>
      <w:bookmarkEnd w:id="19"/>
      <w:bookmarkEnd w:id="20"/>
      <w:bookmarkEnd w:id="21"/>
      <w:bookmarkEnd w:id="22"/>
      <w:bookmarkEnd w:id="23"/>
      <w:bookmarkEnd w:id="24"/>
      <w:bookmarkEnd w:id="25"/>
      <w:bookmarkEnd w:id="26"/>
      <w:bookmarkEnd w:id="27"/>
      <w:bookmarkEnd w:id="28"/>
      <w:bookmarkEnd w:id="29"/>
      <w:bookmarkEnd w:id="30"/>
      <w:r w:rsidR="00875CE4" w:rsidRPr="007624F0">
        <w:rPr>
          <w:lang w:val="es-419"/>
        </w:rPr>
        <w:t>registrarse” de</w:t>
      </w:r>
      <w:r w:rsidRPr="007624F0">
        <w:rPr>
          <w:lang w:val="es-419"/>
        </w:rPr>
        <w:t xml:space="preserve"> la siguiente manera:</w:t>
      </w:r>
    </w:p>
    <w:p w14:paraId="3A9F96F0" w14:textId="77777777" w:rsidR="00D02EB9" w:rsidRPr="007624F0" w:rsidRDefault="00D02EB9" w:rsidP="00D02EB9">
      <w:pPr>
        <w:rPr>
          <w:rFonts w:cs="Arial"/>
          <w:lang w:val="es-419"/>
        </w:rPr>
      </w:pPr>
    </w:p>
    <w:p w14:paraId="176E43CA" w14:textId="72815E81" w:rsidR="00D02EB9" w:rsidRPr="007624F0" w:rsidRDefault="00D02EB9" w:rsidP="00D02EB9">
      <w:pPr>
        <w:tabs>
          <w:tab w:val="left" w:pos="9072"/>
        </w:tabs>
        <w:autoSpaceDE w:val="0"/>
        <w:autoSpaceDN w:val="0"/>
        <w:adjustRightInd w:val="0"/>
        <w:spacing w:line="271" w:lineRule="exact"/>
        <w:ind w:left="567"/>
        <w:rPr>
          <w:rFonts w:cs="Arial"/>
          <w:lang w:val="es-419"/>
        </w:rPr>
      </w:pPr>
      <w:r w:rsidRPr="007624F0">
        <w:rPr>
          <w:i/>
          <w:lang w:val="es-419"/>
        </w:rPr>
        <w:t>Cuadro 5:</w:t>
      </w:r>
      <w:r w:rsidR="00875CE4" w:rsidRPr="007624F0">
        <w:rPr>
          <w:i/>
          <w:lang w:val="es-419"/>
        </w:rPr>
        <w:t xml:space="preserve"> </w:t>
      </w:r>
      <w:r w:rsidRPr="007624F0">
        <w:rPr>
          <w:i/>
          <w:lang w:val="es-419"/>
        </w:rPr>
        <w:t>Definición de los distintos niveles del proceso de examen de los caracteres</w:t>
      </w:r>
    </w:p>
    <w:p w14:paraId="7C2B649C" w14:textId="77777777" w:rsidR="00D02EB9" w:rsidRPr="007624F0" w:rsidRDefault="00D02EB9" w:rsidP="00D02EB9">
      <w:pPr>
        <w:autoSpaceDE w:val="0"/>
        <w:autoSpaceDN w:val="0"/>
        <w:adjustRightInd w:val="0"/>
        <w:spacing w:before="2" w:line="280" w:lineRule="exact"/>
        <w:rPr>
          <w:rFonts w:cs="Arial"/>
          <w:lang w:val="es-419"/>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D02EB9" w:rsidRPr="007624F0" w14:paraId="4D5352EF" w14:textId="77777777" w:rsidTr="00F97B2B">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14:paraId="27BFB8C6" w14:textId="77777777" w:rsidR="00D02EB9" w:rsidRPr="007624F0" w:rsidRDefault="00D02EB9" w:rsidP="00F97B2B">
            <w:pPr>
              <w:autoSpaceDE w:val="0"/>
              <w:autoSpaceDN w:val="0"/>
              <w:adjustRightInd w:val="0"/>
              <w:spacing w:before="37"/>
              <w:ind w:left="35"/>
              <w:jc w:val="center"/>
              <w:rPr>
                <w:rFonts w:cs="Arial"/>
                <w:lang w:val="es-419"/>
              </w:rPr>
            </w:pPr>
            <w:r w:rsidRPr="007624F0">
              <w:rPr>
                <w:lang w:val="es-419"/>
              </w:rPr>
              <w:t>Nivel del proceso</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14:paraId="01204067" w14:textId="77777777" w:rsidR="00D02EB9" w:rsidRPr="007624F0" w:rsidRDefault="00D02EB9" w:rsidP="00F97B2B">
            <w:pPr>
              <w:autoSpaceDE w:val="0"/>
              <w:autoSpaceDN w:val="0"/>
              <w:adjustRightInd w:val="0"/>
              <w:spacing w:before="37"/>
              <w:ind w:left="231"/>
              <w:rPr>
                <w:rFonts w:cs="Arial"/>
                <w:lang w:val="es-419"/>
              </w:rPr>
            </w:pPr>
            <w:r w:rsidRPr="007624F0">
              <w:rPr>
                <w:lang w:val="es-419"/>
              </w:rPr>
              <w:t>Descripción del nivel del proceso</w:t>
            </w:r>
          </w:p>
        </w:tc>
      </w:tr>
      <w:tr w:rsidR="00D02EB9" w:rsidRPr="007624F0" w14:paraId="0009231A" w14:textId="77777777" w:rsidTr="00F97B2B">
        <w:trPr>
          <w:trHeight w:hRule="exact" w:val="342"/>
        </w:trPr>
        <w:tc>
          <w:tcPr>
            <w:tcW w:w="1680" w:type="dxa"/>
            <w:tcBorders>
              <w:top w:val="single" w:sz="4" w:space="0" w:color="auto"/>
              <w:left w:val="single" w:sz="4" w:space="0" w:color="auto"/>
              <w:bottom w:val="single" w:sz="4" w:space="0" w:color="auto"/>
              <w:right w:val="single" w:sz="4" w:space="0" w:color="auto"/>
            </w:tcBorders>
          </w:tcPr>
          <w:p w14:paraId="10A1786A" w14:textId="77777777" w:rsidR="00D02EB9" w:rsidRPr="007624F0" w:rsidRDefault="00D02EB9" w:rsidP="00F97B2B">
            <w:pPr>
              <w:autoSpaceDE w:val="0"/>
              <w:autoSpaceDN w:val="0"/>
              <w:adjustRightInd w:val="0"/>
              <w:spacing w:before="37"/>
              <w:ind w:left="60"/>
              <w:jc w:val="center"/>
              <w:rPr>
                <w:rFonts w:cs="Arial"/>
                <w:lang w:val="es-419"/>
              </w:rPr>
            </w:pPr>
            <w:r w:rsidRPr="007624F0">
              <w:rPr>
                <w:lang w:val="es-419"/>
              </w:rPr>
              <w:t>1</w:t>
            </w:r>
          </w:p>
        </w:tc>
        <w:tc>
          <w:tcPr>
            <w:tcW w:w="5245" w:type="dxa"/>
            <w:tcBorders>
              <w:top w:val="single" w:sz="4" w:space="0" w:color="auto"/>
              <w:left w:val="single" w:sz="4" w:space="0" w:color="auto"/>
              <w:bottom w:val="single" w:sz="4" w:space="0" w:color="auto"/>
              <w:right w:val="single" w:sz="4" w:space="0" w:color="auto"/>
            </w:tcBorders>
          </w:tcPr>
          <w:p w14:paraId="1D95346E" w14:textId="77777777" w:rsidR="00D02EB9" w:rsidRPr="007624F0" w:rsidRDefault="00D02EB9" w:rsidP="00F97B2B">
            <w:pPr>
              <w:autoSpaceDE w:val="0"/>
              <w:autoSpaceDN w:val="0"/>
              <w:adjustRightInd w:val="0"/>
              <w:spacing w:before="37"/>
              <w:ind w:left="231"/>
              <w:rPr>
                <w:rFonts w:cs="Arial"/>
                <w:lang w:val="es-419"/>
              </w:rPr>
            </w:pPr>
            <w:r w:rsidRPr="007624F0">
              <w:rPr>
                <w:lang w:val="es-419"/>
              </w:rPr>
              <w:t>caracteres expresados en el ensayo</w:t>
            </w:r>
          </w:p>
        </w:tc>
      </w:tr>
      <w:tr w:rsidR="00D02EB9" w:rsidRPr="007624F0" w14:paraId="6427A4F3" w14:textId="77777777" w:rsidTr="00F97B2B">
        <w:trPr>
          <w:trHeight w:hRule="exact" w:val="343"/>
        </w:trPr>
        <w:tc>
          <w:tcPr>
            <w:tcW w:w="1680" w:type="dxa"/>
            <w:tcBorders>
              <w:top w:val="single" w:sz="4" w:space="0" w:color="auto"/>
              <w:left w:val="single" w:sz="4" w:space="0" w:color="auto"/>
              <w:bottom w:val="single" w:sz="4" w:space="0" w:color="auto"/>
              <w:right w:val="single" w:sz="4" w:space="0" w:color="auto"/>
            </w:tcBorders>
          </w:tcPr>
          <w:p w14:paraId="79944654" w14:textId="77777777" w:rsidR="00D02EB9" w:rsidRPr="007624F0" w:rsidRDefault="00D02EB9" w:rsidP="00F97B2B">
            <w:pPr>
              <w:autoSpaceDE w:val="0"/>
              <w:autoSpaceDN w:val="0"/>
              <w:adjustRightInd w:val="0"/>
              <w:spacing w:before="37"/>
              <w:ind w:left="60"/>
              <w:jc w:val="center"/>
              <w:rPr>
                <w:rFonts w:cs="Arial"/>
                <w:lang w:val="es-419"/>
              </w:rPr>
            </w:pPr>
            <w:r w:rsidRPr="007624F0">
              <w:rPr>
                <w:lang w:val="es-419"/>
              </w:rPr>
              <w:t>2</w:t>
            </w:r>
          </w:p>
        </w:tc>
        <w:tc>
          <w:tcPr>
            <w:tcW w:w="5245" w:type="dxa"/>
            <w:tcBorders>
              <w:top w:val="single" w:sz="4" w:space="0" w:color="auto"/>
              <w:left w:val="single" w:sz="4" w:space="0" w:color="auto"/>
              <w:bottom w:val="single" w:sz="4" w:space="0" w:color="auto"/>
              <w:right w:val="single" w:sz="4" w:space="0" w:color="auto"/>
            </w:tcBorders>
          </w:tcPr>
          <w:p w14:paraId="485AF2F6" w14:textId="77777777" w:rsidR="00D02EB9" w:rsidRPr="007624F0" w:rsidRDefault="00D02EB9" w:rsidP="00F97B2B">
            <w:pPr>
              <w:autoSpaceDE w:val="0"/>
              <w:autoSpaceDN w:val="0"/>
              <w:adjustRightInd w:val="0"/>
              <w:spacing w:before="37"/>
              <w:ind w:left="231"/>
              <w:rPr>
                <w:rFonts w:cs="Arial"/>
                <w:lang w:val="es-419"/>
              </w:rPr>
            </w:pPr>
            <w:r w:rsidRPr="007624F0">
              <w:rPr>
                <w:lang w:val="es-419"/>
              </w:rPr>
              <w:t>datos para la evaluación de los caracteres</w:t>
            </w:r>
          </w:p>
        </w:tc>
      </w:tr>
      <w:tr w:rsidR="00D02EB9" w:rsidRPr="007624F0" w14:paraId="407B73C6" w14:textId="77777777" w:rsidTr="00F97B2B">
        <w:trPr>
          <w:trHeight w:hRule="exact" w:val="343"/>
        </w:trPr>
        <w:tc>
          <w:tcPr>
            <w:tcW w:w="1680" w:type="dxa"/>
            <w:tcBorders>
              <w:top w:val="single" w:sz="4" w:space="0" w:color="auto"/>
              <w:left w:val="single" w:sz="4" w:space="0" w:color="auto"/>
              <w:bottom w:val="single" w:sz="4" w:space="0" w:color="auto"/>
              <w:right w:val="single" w:sz="4" w:space="0" w:color="auto"/>
            </w:tcBorders>
          </w:tcPr>
          <w:p w14:paraId="5FEFF975" w14:textId="77777777" w:rsidR="00D02EB9" w:rsidRPr="007624F0" w:rsidRDefault="00D02EB9" w:rsidP="00F97B2B">
            <w:pPr>
              <w:autoSpaceDE w:val="0"/>
              <w:autoSpaceDN w:val="0"/>
              <w:adjustRightInd w:val="0"/>
              <w:spacing w:before="37"/>
              <w:ind w:left="60"/>
              <w:jc w:val="center"/>
              <w:rPr>
                <w:rFonts w:cs="Arial"/>
                <w:lang w:val="es-419"/>
              </w:rPr>
            </w:pPr>
            <w:r w:rsidRPr="007624F0">
              <w:rPr>
                <w:lang w:val="es-419"/>
              </w:rPr>
              <w:t>3</w:t>
            </w:r>
          </w:p>
        </w:tc>
        <w:tc>
          <w:tcPr>
            <w:tcW w:w="5245" w:type="dxa"/>
            <w:tcBorders>
              <w:top w:val="single" w:sz="4" w:space="0" w:color="auto"/>
              <w:left w:val="single" w:sz="4" w:space="0" w:color="auto"/>
              <w:bottom w:val="single" w:sz="4" w:space="0" w:color="auto"/>
              <w:right w:val="single" w:sz="4" w:space="0" w:color="auto"/>
            </w:tcBorders>
          </w:tcPr>
          <w:p w14:paraId="1441EF06" w14:textId="77777777" w:rsidR="00D02EB9" w:rsidRPr="007624F0" w:rsidRDefault="00D02EB9" w:rsidP="00F97B2B">
            <w:pPr>
              <w:autoSpaceDE w:val="0"/>
              <w:autoSpaceDN w:val="0"/>
              <w:adjustRightInd w:val="0"/>
              <w:spacing w:before="37"/>
              <w:ind w:left="231"/>
              <w:rPr>
                <w:rFonts w:cs="Arial"/>
                <w:lang w:val="es-419"/>
              </w:rPr>
            </w:pPr>
            <w:r w:rsidRPr="007624F0">
              <w:rPr>
                <w:lang w:val="es-419"/>
              </w:rPr>
              <w:t>descripción de la variedad</w:t>
            </w:r>
          </w:p>
        </w:tc>
      </w:tr>
    </w:tbl>
    <w:p w14:paraId="5B154E6A" w14:textId="77777777" w:rsidR="00D02EB9" w:rsidRPr="007624F0" w:rsidRDefault="00D02EB9" w:rsidP="00D02EB9">
      <w:pPr>
        <w:autoSpaceDE w:val="0"/>
        <w:autoSpaceDN w:val="0"/>
        <w:adjustRightInd w:val="0"/>
        <w:spacing w:before="18" w:line="220" w:lineRule="exact"/>
        <w:ind w:left="7797"/>
        <w:rPr>
          <w:rFonts w:cs="Arial"/>
          <w:lang w:val="es-419"/>
        </w:rPr>
      </w:pPr>
    </w:p>
    <w:p w14:paraId="5B6E3064" w14:textId="77777777" w:rsidR="00D02EB9" w:rsidRPr="007624F0" w:rsidRDefault="00D02EB9" w:rsidP="00D02EB9">
      <w:pPr>
        <w:autoSpaceDE w:val="0"/>
        <w:autoSpaceDN w:val="0"/>
        <w:adjustRightInd w:val="0"/>
        <w:spacing w:before="18" w:line="220" w:lineRule="exact"/>
        <w:rPr>
          <w:rFonts w:cs="Arial"/>
          <w:lang w:val="es-419"/>
        </w:rPr>
      </w:pPr>
    </w:p>
    <w:p w14:paraId="2D435E25" w14:textId="5531F42D" w:rsidR="00D02EB9" w:rsidRPr="007624F0" w:rsidRDefault="00D02EB9" w:rsidP="00D02EB9">
      <w:pPr>
        <w:rPr>
          <w:rFonts w:cs="Arial"/>
          <w:lang w:val="es-419"/>
        </w:rPr>
      </w:pPr>
      <w:r w:rsidRPr="007624F0">
        <w:rPr>
          <w:lang w:val="es-419"/>
        </w:rPr>
        <w:t>Los niveles del proceso que tienen importancia para la evaluación de la distinción son el nivel 2 y el nivel 3.</w:t>
      </w:r>
      <w:r w:rsidR="00875CE4" w:rsidRPr="007624F0">
        <w:rPr>
          <w:lang w:val="es-419"/>
        </w:rPr>
        <w:t xml:space="preserve"> </w:t>
      </w:r>
      <w:r w:rsidRPr="007624F0">
        <w:rPr>
          <w:lang w:val="es-419"/>
        </w:rPr>
        <w:t>Cualquier comparación entre variedades en un mismo ensayo [mismo(s) año(s), mismo lugar] se lleva a cabo con los datos reales registrados en el ensayo.</w:t>
      </w:r>
      <w:r w:rsidR="00875CE4" w:rsidRPr="007624F0">
        <w:rPr>
          <w:lang w:val="es-419"/>
        </w:rPr>
        <w:t xml:space="preserve"> </w:t>
      </w:r>
      <w:r w:rsidRPr="007624F0">
        <w:rPr>
          <w:lang w:val="es-419"/>
        </w:rPr>
        <w:t>Este planteamiento es el que corresponde al nivel 2 del proceso.</w:t>
      </w:r>
      <w:r w:rsidR="00875CE4" w:rsidRPr="007624F0">
        <w:rPr>
          <w:lang w:val="es-419"/>
        </w:rPr>
        <w:t xml:space="preserve"> </w:t>
      </w:r>
      <w:r w:rsidRPr="007624F0">
        <w:rPr>
          <w:lang w:val="es-419"/>
        </w:rPr>
        <w:t>Si las variedades no se cultivan en el mismo ensayo, se las debe comparar a partir de las descripciones de variedades, planteamiento que se aplica al nivel 3 del proceso.</w:t>
      </w:r>
      <w:r w:rsidR="00875CE4" w:rsidRPr="007624F0">
        <w:rPr>
          <w:lang w:val="es-419"/>
        </w:rPr>
        <w:t xml:space="preserve"> </w:t>
      </w:r>
      <w:r w:rsidRPr="007624F0">
        <w:rPr>
          <w:lang w:val="es-419"/>
        </w:rPr>
        <w:t xml:space="preserve">En general, la identificación de las variedades similares que se han de incluir en el ensayo en cultivo (“Gestión de las colecciones de variedades”) concierne al nivel 3 del </w:t>
      </w:r>
      <w:r w:rsidR="00875CE4" w:rsidRPr="007624F0">
        <w:rPr>
          <w:lang w:val="es-419"/>
        </w:rPr>
        <w:t>proceso; mientras</w:t>
      </w:r>
      <w:r w:rsidRPr="007624F0">
        <w:rPr>
          <w:lang w:val="es-419"/>
        </w:rPr>
        <w:t xml:space="preserve"> que la evaluación de datos en el ensayo en cultivo atañe al nivel 2 del proceso.</w:t>
      </w:r>
    </w:p>
    <w:p w14:paraId="0C7F87EA" w14:textId="77777777" w:rsidR="00D02EB9" w:rsidRPr="007624F0" w:rsidRDefault="00D02EB9" w:rsidP="00D02EB9">
      <w:pPr>
        <w:rPr>
          <w:rFonts w:cs="Arial"/>
          <w:lang w:val="es-419"/>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D02EB9" w:rsidRPr="007624F0" w14:paraId="36A06CC6" w14:textId="77777777" w:rsidTr="00F97B2B">
        <w:tc>
          <w:tcPr>
            <w:tcW w:w="1101" w:type="dxa"/>
            <w:tcBorders>
              <w:top w:val="single" w:sz="4" w:space="0" w:color="auto"/>
            </w:tcBorders>
          </w:tcPr>
          <w:p w14:paraId="138DC0A7" w14:textId="77777777" w:rsidR="00D02EB9" w:rsidRPr="007624F0" w:rsidRDefault="00D02EB9" w:rsidP="00F97B2B">
            <w:pPr>
              <w:jc w:val="center"/>
              <w:rPr>
                <w:rFonts w:cs="Arial"/>
                <w:lang w:val="es-419"/>
              </w:rPr>
            </w:pPr>
            <w:r w:rsidRPr="007624F0">
              <w:rPr>
                <w:lang w:val="es-419"/>
              </w:rPr>
              <w:t>Nivel del proceso</w:t>
            </w:r>
          </w:p>
        </w:tc>
        <w:tc>
          <w:tcPr>
            <w:tcW w:w="2268" w:type="dxa"/>
            <w:tcBorders>
              <w:top w:val="single" w:sz="4" w:space="0" w:color="auto"/>
            </w:tcBorders>
          </w:tcPr>
          <w:p w14:paraId="40247353" w14:textId="77777777" w:rsidR="00D02EB9" w:rsidRPr="007624F0" w:rsidRDefault="00D02EB9" w:rsidP="00F97B2B">
            <w:pPr>
              <w:jc w:val="center"/>
              <w:rPr>
                <w:rFonts w:cs="Arial"/>
                <w:lang w:val="es-419"/>
              </w:rPr>
            </w:pPr>
            <w:r w:rsidRPr="007624F0">
              <w:rPr>
                <w:lang w:val="es-419"/>
              </w:rPr>
              <w:t>Mediciones</w:t>
            </w:r>
          </w:p>
          <w:p w14:paraId="51691AE2" w14:textId="77777777" w:rsidR="00D02EB9" w:rsidRPr="007624F0" w:rsidRDefault="00D02EB9" w:rsidP="00F97B2B">
            <w:pPr>
              <w:jc w:val="center"/>
              <w:rPr>
                <w:rFonts w:cs="Arial"/>
                <w:lang w:val="es-419"/>
              </w:rPr>
            </w:pPr>
            <w:r w:rsidRPr="007624F0">
              <w:rPr>
                <w:lang w:val="es-419"/>
              </w:rPr>
              <w:t>(QN)</w:t>
            </w:r>
          </w:p>
        </w:tc>
        <w:tc>
          <w:tcPr>
            <w:tcW w:w="2976" w:type="dxa"/>
            <w:tcBorders>
              <w:top w:val="single" w:sz="4" w:space="0" w:color="auto"/>
            </w:tcBorders>
          </w:tcPr>
          <w:p w14:paraId="483920E0" w14:textId="77777777" w:rsidR="00D02EB9" w:rsidRPr="007624F0" w:rsidRDefault="00D02EB9" w:rsidP="00F97B2B">
            <w:pPr>
              <w:jc w:val="center"/>
              <w:rPr>
                <w:rFonts w:cs="Arial"/>
                <w:lang w:val="es-419"/>
              </w:rPr>
            </w:pPr>
            <w:r w:rsidRPr="007624F0">
              <w:rPr>
                <w:lang w:val="es-419"/>
              </w:rPr>
              <w:t>Evaluación visual</w:t>
            </w:r>
          </w:p>
          <w:p w14:paraId="52AF03DF" w14:textId="77777777" w:rsidR="00D02EB9" w:rsidRPr="007624F0" w:rsidRDefault="00D02EB9" w:rsidP="00F97B2B">
            <w:pPr>
              <w:jc w:val="center"/>
              <w:rPr>
                <w:rFonts w:cs="Arial"/>
                <w:lang w:val="es-419"/>
              </w:rPr>
            </w:pPr>
            <w:r w:rsidRPr="007624F0">
              <w:rPr>
                <w:lang w:val="es-419"/>
              </w:rPr>
              <w:t>(QN/QL/PQ)</w:t>
            </w:r>
          </w:p>
        </w:tc>
        <w:tc>
          <w:tcPr>
            <w:tcW w:w="2867" w:type="dxa"/>
            <w:tcBorders>
              <w:top w:val="single" w:sz="4" w:space="0" w:color="auto"/>
            </w:tcBorders>
          </w:tcPr>
          <w:p w14:paraId="1F345B54" w14:textId="77777777" w:rsidR="00D02EB9" w:rsidRPr="007624F0" w:rsidRDefault="00D02EB9" w:rsidP="00F97B2B">
            <w:pPr>
              <w:rPr>
                <w:rFonts w:cs="Arial"/>
                <w:lang w:val="es-419"/>
              </w:rPr>
            </w:pPr>
            <w:r w:rsidRPr="007624F0">
              <w:rPr>
                <w:lang w:val="es-419"/>
              </w:rPr>
              <w:t>Observaciones</w:t>
            </w:r>
          </w:p>
        </w:tc>
      </w:tr>
      <w:tr w:rsidR="00D02EB9" w:rsidRPr="007624F0" w14:paraId="5B2641D4" w14:textId="77777777" w:rsidTr="00F97B2B">
        <w:tc>
          <w:tcPr>
            <w:tcW w:w="1101" w:type="dxa"/>
            <w:tcBorders>
              <w:bottom w:val="single" w:sz="4" w:space="0" w:color="auto"/>
            </w:tcBorders>
          </w:tcPr>
          <w:p w14:paraId="4379B7CE" w14:textId="77777777" w:rsidR="00D02EB9" w:rsidRPr="007624F0" w:rsidRDefault="00D02EB9" w:rsidP="00F97B2B">
            <w:pPr>
              <w:spacing w:before="240"/>
              <w:jc w:val="center"/>
              <w:rPr>
                <w:rFonts w:cs="Arial"/>
                <w:lang w:val="es-419"/>
              </w:rPr>
            </w:pPr>
            <w:r w:rsidRPr="007624F0">
              <w:rPr>
                <w:lang w:val="es-419"/>
              </w:rPr>
              <w:t>2</w:t>
            </w:r>
          </w:p>
        </w:tc>
        <w:tc>
          <w:tcPr>
            <w:tcW w:w="2268" w:type="dxa"/>
            <w:tcBorders>
              <w:bottom w:val="single" w:sz="4" w:space="0" w:color="auto"/>
            </w:tcBorders>
          </w:tcPr>
          <w:p w14:paraId="2F8D2571" w14:textId="77777777" w:rsidR="00D02EB9" w:rsidRPr="007624F0" w:rsidRDefault="00D02EB9" w:rsidP="00F97B2B">
            <w:pPr>
              <w:spacing w:before="240"/>
              <w:rPr>
                <w:rFonts w:cs="Arial"/>
                <w:lang w:val="es-419"/>
              </w:rPr>
            </w:pPr>
            <w:r w:rsidRPr="007624F0">
              <w:rPr>
                <w:noProof/>
                <w:lang w:val="en-US"/>
              </w:rPr>
              <mc:AlternateContent>
                <mc:Choice Requires="wps">
                  <w:drawing>
                    <wp:anchor distT="0" distB="0" distL="114300" distR="114300" simplePos="0" relativeHeight="251661312" behindDoc="0" locked="0" layoutInCell="1" allowOverlap="1" wp14:anchorId="493C344E" wp14:editId="25AF7E10">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F75F4F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9/fQIAABEFAAAOAAAAZHJzL2Uyb0RvYy54bWysVN9vGyEMfp+0/wHxvl4uSrI26qXKGmWb&#10;VLWR2mnPDgc5JA6YIbl0f/0Md+mv9WkaD8jG5jP+bHN5dWwNO0gM2tmKl2cjzqQVrtZ2V/EfD+tP&#10;55yFCLYG46ys+KMM/Grx8cNl5+dy7BpnaomMQGyYd77iTYx+XhRBNLKFcOa8tGRUDluIpOKuqBE6&#10;Qm9NMR6NZkXnsPbohAyBTle9kS8yvlJSxDulgozMVJzeFvOOed+mvVhcwnyH4BsthmfAP7yiBW0p&#10;6BPUCiKwPeq/oFot0AWn4plwbeGU0kLmHCibcvQmm/sGvMy5EDnBP9EU/h+suD1skOmaakeVstBS&#10;jTZKakOyaNjeRmnZLNHU+TAn73u/wUELJKacjwpbpoz23wgls0B5sWMm+fGJZHmMTNBhWc7OJ1QK&#10;QaZZeVGOpwm96GESnMcQv0rXsiRUvHadXSK6LiPD4SbE3v/kl+4EZ3S91sZkBXfba4PsAFT0yfq8&#10;/LIaQrxyM5Z1FR9PJ6P0GqDmUwYiia0nOoLdcQZmR10tIubYr26Hd4Lk4A3Usg89HdE6Re7dc6Kv&#10;cFIWKwhNfyWbhivGJjyZm3hIOtWgZz1JW1c/UvHQ9V0dvFhrQruBEDeA1MaUF41mvKNNGUfJukHi&#10;rHH4+73z5E/dRVbOOhoLIuLXHlByZr5b6ruLcpKKF7MymX4ek4IvLduXFrtvrx0VoaRPwIssJv9o&#10;TqJC1/6kCV6mqGQCKyh2T/mgXMd+XOkPEHK5zG40Ox7ijb334tRyiceH409AP/RNpIa7dacRgvmb&#10;zul9E8PWLffRKZ3b6plXKlVSaO5y0YY/Ig32Sz17Pf9kiz8AAAD//wMAUEsDBBQABgAIAAAAIQBF&#10;Fv4C3gAAAAgBAAAPAAAAZHJzL2Rvd25yZXYueG1sTI/NTsMwEITvSLyDtUjcqNO/0IQ4FULiwKm0&#10;9MDRiZckJV5HsdOkfXqWExxnZzT7TbadbCvO2PvGkYL5LAKBVDrTUKXg+PH6sAHhgyajW0eo4IIe&#10;tvntTaZT40ba4/kQKsEl5FOtoA6hS6X0ZY1W+5nrkNj7cr3VgWVfSdPrkcttKxdRFEurG+IPte7w&#10;pcby+zBYBav5+/o4nD79+LbbLX3RnJLL9arU/d30/AQi4BT+wvCLz+iQM1PhBjJetKw3MScVxIsV&#10;CPaXjzyt4Ps6SUDmmfw/IP8BAAD//wMAUEsBAi0AFAAGAAgAAAAhALaDOJL+AAAA4QEAABMAAAAA&#10;AAAAAAAAAAAAAAAAAFtDb250ZW50X1R5cGVzXS54bWxQSwECLQAUAAYACAAAACEAOP0h/9YAAACU&#10;AQAACwAAAAAAAAAAAAAAAAAvAQAAX3JlbHMvLnJlbHNQSwECLQAUAAYACAAAACEA7CS/f30CAAAR&#10;BQAADgAAAAAAAAAAAAAAAAAuAgAAZHJzL2Uyb0RvYy54bWxQSwECLQAUAAYACAAAACEARRb+At4A&#10;AAAIAQAADwAAAAAAAAAAAAAAAADXBAAAZHJzL2Rvd25yZXYueG1sUEsFBgAAAAAEAAQA8wAAAOIF&#10;AAAAAA==&#10;" adj="19562" fillcolor="#4f81bd" strokecolor="#385d8a" strokeweight="2pt"/>
                  </w:pict>
                </mc:Fallback>
              </mc:AlternateContent>
            </w:r>
            <w:r w:rsidRPr="007624F0">
              <w:rPr>
                <w:lang w:val="es-419"/>
              </w:rPr>
              <w:t>Valores</w:t>
            </w:r>
          </w:p>
        </w:tc>
        <w:tc>
          <w:tcPr>
            <w:tcW w:w="2976" w:type="dxa"/>
            <w:tcBorders>
              <w:bottom w:val="single" w:sz="4" w:space="0" w:color="auto"/>
            </w:tcBorders>
          </w:tcPr>
          <w:p w14:paraId="54E21E17" w14:textId="77777777" w:rsidR="00D02EB9" w:rsidRPr="007624F0" w:rsidRDefault="00D02EB9" w:rsidP="00F97B2B">
            <w:pPr>
              <w:spacing w:before="240"/>
              <w:rPr>
                <w:rFonts w:cs="Arial"/>
                <w:lang w:val="es-419"/>
              </w:rPr>
            </w:pPr>
            <w:r w:rsidRPr="007624F0">
              <w:rPr>
                <w:noProof/>
                <w:lang w:val="en-US"/>
              </w:rPr>
              <mc:AlternateContent>
                <mc:Choice Requires="wps">
                  <w:drawing>
                    <wp:anchor distT="0" distB="0" distL="114300" distR="114300" simplePos="0" relativeHeight="251659264" behindDoc="0" locked="0" layoutInCell="1" allowOverlap="1" wp14:anchorId="5883EA9A" wp14:editId="57CBF806">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9A22451" id="Pfeil nach unten 2" o:spid="_x0000_s1026" type="#_x0000_t67" style="position:absolute;margin-left:9.65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ECfQIAABEFAAAOAAAAZHJzL2Uyb0RvYy54bWysVN9vGyEMfp+0/wHxvl4uSro26qXKGmWb&#10;VLWR2qrPhIMcEoeZIbl0f/0Md+mv9WkaD8jG5jP+bHNxeWgt2ysMBlzFy5MRZ8pJqI3bVvzhfvXl&#10;jLMQhauFBacq/qQCv5x//nTR+ZkaQwO2VsgIxIVZ5yvexOhnRRFko1oRTsArR0YN2IpIKm6LGkVH&#10;6K0txqPRadEB1h5BqhDodNkb+Tzja61kvNU6qMhsxeltMe+Y903ai/mFmG1R+MbI4RniH17RCuMo&#10;6DPUUkTBdmj+gmqNRAig44mEtgCtjVQ5B8qmHL3L5q4RXuVciJzgn2kK/w9W3uzXyExNtTvnzImW&#10;arTWyliSZcN2LirHxommzocZed/5NQ5aIDHlfNDYMm2N/0EomQXKix0yyU/PJKtDZJIOy/L0bEKl&#10;kGQ6Lc/L8TShFz1MgvMY4ncFLUtCxWvo3AIRuows9tch9v5Hv3QngDX1ylibFdxuriyyvaCiT1Zn&#10;5bflEOKNm3Wsq/h4Ohml1whqPm1FJLH1REdwW86E3VJXy4g59pvb4YMgOXgjatWHno5oHSP37jnR&#10;Nzgpi6UITX8lm4Yr1iU8lZt4SDrVoGc9SRuon6h4CH1XBy9XhtCuRYhrgdTGlBeNZrylTVugZGGQ&#10;OGsAf390nvypu8jKWUdjQUT82glUnNmfjvruvJyk4sWsTKZfx6Tga8vmtcXt2iugIpT0CXiZxeQf&#10;7VHUCO0jTfAiRSWTcJJi95QPylXsx5X+AKkWi+xGs+NFvHZ3Xh5bLvF4f3gU6Ie+idRwN3AcITF7&#10;1zm9b2LYwWIXQZvcVi+8UqmSQnOXizb8EWmwX+vZ6+Unm/8BAAD//wMAUEsDBBQABgAIAAAAIQCw&#10;FOkn3wAAAAgBAAAPAAAAZHJzL2Rvd25yZXYueG1sTI/NTsMwEITvSLyDtUjcqNOmPyTEqRASB06l&#10;pQeOTrwkKfE6ip0m7dOznOA4O6PZb7LtZFtxxt43jhTMZxEIpNKZhioFx4/Xh0cQPmgyunWECi7o&#10;YZvf3mQ6NW6kPZ4PoRJcQj7VCuoQulRKX9ZotZ+5Dom9L9dbHVj2lTS9HrnctnIRRWtpdUP8odYd&#10;vtRYfh8Gq2A5f18dh9OnH992u9gXzSm5XK9K3d9Nz08gAk7hLwy/+IwOOTMVbiDjRcs6iTmpYL1Y&#10;gmA/3mxAFHxfJQnIPJP/B+Q/AAAA//8DAFBLAQItABQABgAIAAAAIQC2gziS/gAAAOEBAAATAAAA&#10;AAAAAAAAAAAAAAAAAABbQ29udGVudF9UeXBlc10ueG1sUEsBAi0AFAAGAAgAAAAhADj9If/WAAAA&#10;lAEAAAsAAAAAAAAAAAAAAAAALwEAAF9yZWxzLy5yZWxzUEsBAi0AFAAGAAgAAAAhAKZj0QJ9AgAA&#10;EQUAAA4AAAAAAAAAAAAAAAAALgIAAGRycy9lMm9Eb2MueG1sUEsBAi0AFAAGAAgAAAAhALAU6Sff&#10;AAAACAEAAA8AAAAAAAAAAAAAAAAA1wQAAGRycy9kb3ducmV2LnhtbFBLBQYAAAAABAAEAPMAAADj&#10;BQAAAAA=&#10;" adj="19562" fillcolor="#4f81bd" strokecolor="#385d8a" strokeweight="2pt"/>
                  </w:pict>
                </mc:Fallback>
              </mc:AlternateContent>
            </w:r>
            <w:r w:rsidRPr="007624F0">
              <w:rPr>
                <w:lang w:val="es-419"/>
              </w:rPr>
              <w:t>Notas</w:t>
            </w:r>
          </w:p>
        </w:tc>
        <w:tc>
          <w:tcPr>
            <w:tcW w:w="2867" w:type="dxa"/>
            <w:tcBorders>
              <w:bottom w:val="single" w:sz="4" w:space="0" w:color="auto"/>
            </w:tcBorders>
          </w:tcPr>
          <w:p w14:paraId="01A9417C" w14:textId="77777777" w:rsidR="00D02EB9" w:rsidRPr="007624F0" w:rsidRDefault="00D02EB9" w:rsidP="00F97B2B">
            <w:pPr>
              <w:spacing w:before="240"/>
              <w:rPr>
                <w:rFonts w:cs="Arial"/>
                <w:lang w:val="es-419"/>
              </w:rPr>
            </w:pPr>
            <w:r w:rsidRPr="007624F0">
              <w:rPr>
                <w:lang w:val="es-419"/>
              </w:rPr>
              <w:t>Elemento en que se basa la comparación en el mismo ensayo</w:t>
            </w:r>
          </w:p>
          <w:p w14:paraId="5541DF74" w14:textId="77777777" w:rsidR="00D02EB9" w:rsidRPr="007624F0" w:rsidRDefault="00D02EB9" w:rsidP="00F97B2B">
            <w:pPr>
              <w:rPr>
                <w:rFonts w:cs="Arial"/>
                <w:lang w:val="es-419"/>
              </w:rPr>
            </w:pPr>
          </w:p>
        </w:tc>
      </w:tr>
      <w:tr w:rsidR="00D02EB9" w:rsidRPr="007624F0" w14:paraId="4AA79DE8" w14:textId="77777777" w:rsidTr="00F97B2B">
        <w:tc>
          <w:tcPr>
            <w:tcW w:w="1101" w:type="dxa"/>
            <w:tcBorders>
              <w:bottom w:val="nil"/>
              <w:right w:val="single" w:sz="4" w:space="0" w:color="auto"/>
            </w:tcBorders>
          </w:tcPr>
          <w:p w14:paraId="65B83B67" w14:textId="77777777" w:rsidR="00D02EB9" w:rsidRPr="007624F0" w:rsidRDefault="00D02EB9" w:rsidP="00F97B2B">
            <w:pPr>
              <w:spacing w:before="240"/>
              <w:jc w:val="center"/>
              <w:rPr>
                <w:rFonts w:cs="Arial"/>
                <w:lang w:val="es-419"/>
              </w:rPr>
            </w:pPr>
            <w:r w:rsidRPr="007624F0">
              <w:rPr>
                <w:lang w:val="es-419"/>
              </w:rPr>
              <w:t>3</w:t>
            </w:r>
          </w:p>
        </w:tc>
        <w:tc>
          <w:tcPr>
            <w:tcW w:w="2268" w:type="dxa"/>
            <w:tcBorders>
              <w:top w:val="single" w:sz="4" w:space="0" w:color="auto"/>
              <w:left w:val="single" w:sz="4" w:space="0" w:color="auto"/>
              <w:bottom w:val="nil"/>
              <w:right w:val="single" w:sz="4" w:space="0" w:color="auto"/>
            </w:tcBorders>
          </w:tcPr>
          <w:p w14:paraId="67CBD301" w14:textId="77777777" w:rsidR="00D02EB9" w:rsidRPr="007624F0" w:rsidRDefault="00D02EB9" w:rsidP="00F97B2B">
            <w:pPr>
              <w:spacing w:before="120"/>
              <w:ind w:left="600"/>
              <w:rPr>
                <w:rFonts w:cs="Arial"/>
                <w:lang w:val="es-419"/>
              </w:rPr>
            </w:pPr>
            <w:r w:rsidRPr="007624F0">
              <w:rPr>
                <w:lang w:val="es-419"/>
              </w:rPr>
              <w:t xml:space="preserve">Transformación en notas </w:t>
            </w:r>
          </w:p>
          <w:p w14:paraId="116ABF7B" w14:textId="77777777" w:rsidR="00D02EB9" w:rsidRPr="007624F0" w:rsidRDefault="00D02EB9" w:rsidP="00F97B2B">
            <w:pPr>
              <w:spacing w:before="120"/>
              <w:rPr>
                <w:rFonts w:cs="Arial"/>
                <w:lang w:val="es-419"/>
              </w:rPr>
            </w:pPr>
            <w:r w:rsidRPr="007624F0">
              <w:rPr>
                <w:lang w:val="es-419"/>
              </w:rPr>
              <w:t>Notas</w:t>
            </w:r>
          </w:p>
        </w:tc>
        <w:tc>
          <w:tcPr>
            <w:tcW w:w="2976" w:type="dxa"/>
            <w:tcBorders>
              <w:left w:val="single" w:sz="4" w:space="0" w:color="auto"/>
              <w:bottom w:val="nil"/>
            </w:tcBorders>
          </w:tcPr>
          <w:p w14:paraId="47409DA9" w14:textId="77777777" w:rsidR="00D02EB9" w:rsidRPr="007624F0" w:rsidRDefault="00D02EB9" w:rsidP="00F97B2B">
            <w:pPr>
              <w:spacing w:before="120"/>
              <w:ind w:left="459"/>
              <w:rPr>
                <w:rFonts w:cs="Arial"/>
                <w:lang w:val="es-419"/>
              </w:rPr>
            </w:pPr>
            <w:r w:rsidRPr="007624F0">
              <w:rPr>
                <w:lang w:val="es-419"/>
              </w:rPr>
              <w:t>Mismas notas que en el nivel 1 del proceso</w:t>
            </w:r>
          </w:p>
          <w:p w14:paraId="14ED3D48" w14:textId="77777777" w:rsidR="00D02EB9" w:rsidRPr="007624F0" w:rsidRDefault="00D02EB9" w:rsidP="00F97B2B">
            <w:pPr>
              <w:spacing w:before="120"/>
              <w:ind w:left="34"/>
              <w:rPr>
                <w:rFonts w:cs="Arial"/>
                <w:lang w:val="es-419"/>
              </w:rPr>
            </w:pPr>
          </w:p>
          <w:p w14:paraId="6C54A14F" w14:textId="77777777" w:rsidR="00D02EB9" w:rsidRPr="007624F0" w:rsidRDefault="00D02EB9" w:rsidP="00F97B2B">
            <w:pPr>
              <w:ind w:left="34"/>
              <w:rPr>
                <w:rFonts w:cs="Arial"/>
                <w:lang w:val="es-419"/>
              </w:rPr>
            </w:pPr>
            <w:r w:rsidRPr="007624F0">
              <w:rPr>
                <w:lang w:val="es-419"/>
              </w:rPr>
              <w:t>Notas</w:t>
            </w:r>
          </w:p>
        </w:tc>
        <w:tc>
          <w:tcPr>
            <w:tcW w:w="2867" w:type="dxa"/>
            <w:tcBorders>
              <w:bottom w:val="nil"/>
            </w:tcBorders>
          </w:tcPr>
          <w:p w14:paraId="05BD4FB6" w14:textId="77777777" w:rsidR="00D02EB9" w:rsidRPr="007624F0" w:rsidRDefault="00D02EB9" w:rsidP="00F97B2B">
            <w:pPr>
              <w:spacing w:before="240"/>
              <w:rPr>
                <w:rFonts w:cs="Arial"/>
                <w:lang w:val="es-419"/>
              </w:rPr>
            </w:pPr>
            <w:r w:rsidRPr="007624F0">
              <w:rPr>
                <w:lang w:val="es-419"/>
              </w:rPr>
              <w:t>Notas resultantes de un año y un lugar</w:t>
            </w:r>
          </w:p>
        </w:tc>
      </w:tr>
      <w:tr w:rsidR="00D02EB9" w:rsidRPr="007624F0" w14:paraId="63F3D8F2" w14:textId="77777777" w:rsidTr="00F97B2B">
        <w:tc>
          <w:tcPr>
            <w:tcW w:w="1101" w:type="dxa"/>
            <w:tcBorders>
              <w:top w:val="nil"/>
            </w:tcBorders>
          </w:tcPr>
          <w:p w14:paraId="1B61AE3E" w14:textId="77777777" w:rsidR="00D02EB9" w:rsidRPr="007624F0" w:rsidRDefault="00D02EB9" w:rsidP="00F97B2B">
            <w:pPr>
              <w:jc w:val="center"/>
              <w:rPr>
                <w:rFonts w:cs="Arial"/>
                <w:lang w:val="es-419"/>
              </w:rPr>
            </w:pPr>
          </w:p>
        </w:tc>
        <w:tc>
          <w:tcPr>
            <w:tcW w:w="5244" w:type="dxa"/>
            <w:gridSpan w:val="2"/>
            <w:tcBorders>
              <w:top w:val="nil"/>
            </w:tcBorders>
          </w:tcPr>
          <w:p w14:paraId="0D6635A7" w14:textId="77777777" w:rsidR="00D02EB9" w:rsidRPr="007624F0" w:rsidRDefault="00D02EB9" w:rsidP="00F97B2B">
            <w:pPr>
              <w:spacing w:before="240"/>
              <w:jc w:val="center"/>
              <w:rPr>
                <w:rFonts w:cs="Arial"/>
                <w:lang w:val="es-419"/>
              </w:rPr>
            </w:pPr>
            <w:r w:rsidRPr="007624F0">
              <w:rPr>
                <w:noProof/>
                <w:lang w:val="en-US"/>
              </w:rPr>
              <mc:AlternateContent>
                <mc:Choice Requires="wps">
                  <w:drawing>
                    <wp:anchor distT="0" distB="0" distL="114300" distR="114300" simplePos="0" relativeHeight="251660288" behindDoc="0" locked="0" layoutInCell="1" allowOverlap="1" wp14:anchorId="46F6F577" wp14:editId="0B33B6AB">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068250" id="Pfeil nach unten 4" o:spid="_x0000_s1026" type="#_x0000_t67" style="position:absolute;margin-left:105.1pt;margin-top:7.3pt;width:9.2pt;height:2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jHtfQIAABEFAAAOAAAAZHJzL2Uyb0RvYy54bWysVE1v2zAMvQ/YfxB0Xx2nSdcFdYqsQbYB&#10;RRugHXpmZCkWIIuapMTpfv0o2enXehrmg0CZ1KP4+KiLy0Nr2F76oNFWvDwZcSatwFrbbcV/3q8+&#10;nXMWItgaDFpZ8UcZ+OX844eLzs3kGBs0tfSMQGyYda7iTYxuVhRBNLKFcIJOWnIq9C1E2vptUXvo&#10;CL01xXg0Ois69LXzKGQI9HfZO/k84yslRbxVKsjITMXpbjGvPq+btBbzC5htPbhGi+Ea8A+3aEFb&#10;SvoEtYQIbOf1X1CtFh4DqngisC1QKS1kroGqKUdvqrlrwMlcC5ET3BNN4f/Bipv92jNdV3xM9Fho&#10;qUdrJbUhWzRsZ6O0bJJo6lyYUfSdW/thF8hMNR+Ub5ky2n0nBWQWqC52yCQ/PpEsD5EJ+lmWZ+cT&#10;yiXIdVpOTsfThF70MAnO+RC/SWxZMipeY2cX3mOXkWF/HWIff4xLZwIaXa+0MXnjt5sr49keqOmT&#10;1Xn5dTmkeBVmLOuo7OlklG4DJD5lIJLZOqIj2C1nYLakahF9zv3qdHgnSU7eQC371NMRfcfMfXgu&#10;9BVOqmIJoemPZNdwxNiEJ7OIh6JTD3rWk7XB+pGa57FXdXBipQntGkJcgycZU100mvGWFmWQisXB&#10;4qxB//u9/yme1EVezjoaCyLi1w685Mz8sKS7L+UkNS/mzWT6OanGv/RsXnrsrr1CakJJj4AT2Uzx&#10;0RxN5bF9oAlepKzkAisod0/5sLmK/bjSGyDkYpHDaHYcxGt758RRconH+8MDeDfoJpLgbvA4QjB7&#10;o5w+NjFscbGLqHSW1TOv1Kq0obnLTRveiDTYL/c56vklm/8BAAD//wMAUEsDBBQABgAIAAAAIQAg&#10;7fG33gAAAAkBAAAPAAAAZHJzL2Rvd25yZXYueG1sTI/BTsMwDIbvSLxDZCQuiKWNRjWVphMgEIIb&#10;2y7cssZrKxqnStKt7OkxJ7jZ+j/9/lytZzeII4bYe9KQLzIQSI23PbUadtuX2xWImAxZM3hCDd8Y&#10;YV1fXlSmtP5EH3jcpFZwCcXSaOhSGkspY9OhM3HhRyTODj44k3gNrbTBnLjcDVJlWSGd6YkvdGbE&#10;pw6br83kNHyqNzy8bqf2/fy8u7t5bEO056D19dX8cA8i4Zz+YPjVZ3Wo2WnvJ7JRDBpUnilGOVgW&#10;IBhQasXDXkOxzEHWlfz/Qf0DAAD//wMAUEsBAi0AFAAGAAgAAAAhALaDOJL+AAAA4QEAABMAAAAA&#10;AAAAAAAAAAAAAAAAAFtDb250ZW50X1R5cGVzXS54bWxQSwECLQAUAAYACAAAACEAOP0h/9YAAACU&#10;AQAACwAAAAAAAAAAAAAAAAAvAQAAX3JlbHMvLnJlbHNQSwECLQAUAAYACAAAACEAqZ4x7X0CAAAR&#10;BQAADgAAAAAAAAAAAAAAAAAuAgAAZHJzL2Uyb0RvYy54bWxQSwECLQAUAAYACAAAACEAIO3xt94A&#10;AAAJAQAADwAAAAAAAAAAAAAAAADXBAAAZHJzL2Rvd25yZXYueG1sUEsFBgAAAAAEAAQA8wAAAOIF&#10;AAAAAA==&#10;" adj="17585" fillcolor="#4f81bd" strokecolor="#385d8a" strokeweight="2pt"/>
                  </w:pict>
                </mc:Fallback>
              </mc:AlternateContent>
            </w:r>
          </w:p>
          <w:p w14:paraId="2524F2D4" w14:textId="77777777" w:rsidR="00D02EB9" w:rsidRPr="007624F0" w:rsidRDefault="00D02EB9" w:rsidP="00F97B2B">
            <w:pPr>
              <w:spacing w:before="240"/>
              <w:jc w:val="center"/>
              <w:rPr>
                <w:rFonts w:cs="Arial"/>
                <w:lang w:val="es-419"/>
              </w:rPr>
            </w:pPr>
            <w:r w:rsidRPr="007624F0">
              <w:rPr>
                <w:lang w:val="es-419"/>
              </w:rPr>
              <w:t>“</w:t>
            </w:r>
            <w:r w:rsidRPr="007624F0">
              <w:rPr>
                <w:b/>
                <w:lang w:val="es-419"/>
              </w:rPr>
              <w:t>Descripción media de la variedad</w:t>
            </w:r>
            <w:r w:rsidRPr="007624F0">
              <w:rPr>
                <w:lang w:val="es-419"/>
              </w:rPr>
              <w:t xml:space="preserve">” </w:t>
            </w:r>
          </w:p>
          <w:p w14:paraId="15847A79" w14:textId="77777777" w:rsidR="00D02EB9" w:rsidRPr="007624F0" w:rsidRDefault="00D02EB9" w:rsidP="00F97B2B">
            <w:pPr>
              <w:spacing w:before="120"/>
              <w:jc w:val="center"/>
              <w:rPr>
                <w:rFonts w:cs="Arial"/>
                <w:lang w:val="es-419"/>
              </w:rPr>
            </w:pPr>
            <w:r w:rsidRPr="007624F0">
              <w:rPr>
                <w:lang w:val="es-419"/>
              </w:rPr>
              <w:t>Si las variedades se evalúan en varios ensayos/años/lugares, es posible establecer descripciones medias.</w:t>
            </w:r>
          </w:p>
        </w:tc>
        <w:tc>
          <w:tcPr>
            <w:tcW w:w="2867" w:type="dxa"/>
            <w:tcBorders>
              <w:top w:val="nil"/>
            </w:tcBorders>
          </w:tcPr>
          <w:p w14:paraId="165B2410" w14:textId="77777777" w:rsidR="00D02EB9" w:rsidRPr="007624F0" w:rsidRDefault="00D02EB9" w:rsidP="00F97B2B">
            <w:pPr>
              <w:spacing w:before="240"/>
              <w:rPr>
                <w:rFonts w:cs="Arial"/>
                <w:lang w:val="es-419"/>
              </w:rPr>
            </w:pPr>
          </w:p>
          <w:p w14:paraId="418344D1" w14:textId="77777777" w:rsidR="00D02EB9" w:rsidRPr="007624F0" w:rsidRDefault="00D02EB9" w:rsidP="00F97B2B">
            <w:pPr>
              <w:spacing w:before="240"/>
              <w:rPr>
                <w:rFonts w:cs="Arial"/>
                <w:lang w:val="es-419"/>
              </w:rPr>
            </w:pPr>
            <w:r w:rsidRPr="007624F0">
              <w:rPr>
                <w:lang w:val="es-419"/>
              </w:rPr>
              <w:t>Elemento en que se basa la gestión de la colección de variedades</w:t>
            </w:r>
          </w:p>
        </w:tc>
      </w:tr>
    </w:tbl>
    <w:p w14:paraId="1CD69FA5" w14:textId="77777777" w:rsidR="00D02EB9" w:rsidRPr="007624F0" w:rsidRDefault="00D02EB9" w:rsidP="00D02EB9">
      <w:pPr>
        <w:rPr>
          <w:rFonts w:cs="Arial"/>
          <w:lang w:val="es-419"/>
        </w:rPr>
      </w:pPr>
    </w:p>
    <w:p w14:paraId="70B74DB6" w14:textId="51719D6F" w:rsidR="00D02EB9" w:rsidRPr="007624F0" w:rsidRDefault="00D02EB9" w:rsidP="00D02EB9">
      <w:pPr>
        <w:rPr>
          <w:rFonts w:cs="Arial"/>
          <w:lang w:val="es-419"/>
        </w:rPr>
      </w:pPr>
      <w:r w:rsidRPr="007624F0">
        <w:rPr>
          <w:lang w:val="es-419"/>
        </w:rPr>
        <w:t>En general, los caracteres cuantitativos están sujetos a la influencia del medio ambiente.</w:t>
      </w:r>
      <w:r w:rsidR="00875CE4" w:rsidRPr="007624F0">
        <w:rPr>
          <w:lang w:val="es-419"/>
        </w:rPr>
        <w:t xml:space="preserve"> </w:t>
      </w:r>
      <w:r w:rsidRPr="007624F0">
        <w:rPr>
          <w:lang w:val="es-419"/>
        </w:rPr>
        <w:t>Una manera eficiente de reducir la influencia medioambiental es transformar las mediciones reales en notas.</w:t>
      </w:r>
      <w:r w:rsidR="00875CE4" w:rsidRPr="007624F0">
        <w:rPr>
          <w:lang w:val="es-419"/>
        </w:rPr>
        <w:t xml:space="preserve"> </w:t>
      </w:r>
      <w:r w:rsidRPr="007624F0">
        <w:rPr>
          <w:lang w:val="es-419"/>
        </w:rPr>
        <w:t>Las notas representan una descripción normalizada de las variedades en relación con las variedades ejemplo (véase TGP/7).</w:t>
      </w:r>
      <w:r w:rsidR="00875CE4" w:rsidRPr="007624F0">
        <w:rPr>
          <w:lang w:val="es-419"/>
        </w:rPr>
        <w:t xml:space="preserve"> </w:t>
      </w:r>
      <w:r w:rsidRPr="007624F0">
        <w:rPr>
          <w:lang w:val="es-419"/>
        </w:rPr>
        <w:t>Además, si se calcula una descripción media de varios ciclos de cultivo, es posible mejorar la comparabilidad de las descripciones de variedades de aquellas variedades que no se examinen en el mismo ensayo.</w:t>
      </w:r>
      <w:r w:rsidR="00875CE4" w:rsidRPr="007624F0">
        <w:rPr>
          <w:lang w:val="es-419"/>
        </w:rPr>
        <w:t xml:space="preserve"> </w:t>
      </w:r>
      <w:r w:rsidRPr="007624F0">
        <w:rPr>
          <w:lang w:val="es-419"/>
        </w:rPr>
        <w:t>En especial, la descripción media de varios ciclos de cultivo en un mismo lugar puede brindar una descripción representativa asociada al lugar.</w:t>
      </w:r>
      <w:r w:rsidR="00875CE4" w:rsidRPr="007624F0">
        <w:rPr>
          <w:lang w:val="es-419"/>
        </w:rPr>
        <w:t xml:space="preserve"> </w:t>
      </w:r>
      <w:r w:rsidRPr="007624F0">
        <w:rPr>
          <w:lang w:val="es-419"/>
        </w:rPr>
        <w:t>El cálculo de una descripción media en diferentes lugares solo se debe considerar si se conocen muy bien los efectos de estos lugares y es posible excluir las interacciones entre variedad y lugar para ese carácter.</w:t>
      </w:r>
      <w:r w:rsidR="00875CE4" w:rsidRPr="007624F0">
        <w:rPr>
          <w:lang w:val="es-419"/>
        </w:rPr>
        <w:t xml:space="preserve"> </w:t>
      </w:r>
      <w:r w:rsidRPr="007624F0">
        <w:rPr>
          <w:lang w:val="es-419"/>
        </w:rPr>
        <w:t>El cálculo de las descripciones medias de varios lugares debe limitarse a los casos en que se cumplan estas condiciones.</w:t>
      </w:r>
    </w:p>
    <w:p w14:paraId="432D37FA" w14:textId="77777777" w:rsidR="00D02EB9" w:rsidRPr="007624F0" w:rsidRDefault="00D02EB9" w:rsidP="00D02EB9">
      <w:pPr>
        <w:rPr>
          <w:rFonts w:cs="Arial"/>
          <w:lang w:val="es-419"/>
        </w:rPr>
      </w:pPr>
    </w:p>
    <w:p w14:paraId="38C94B36" w14:textId="4D3717F2" w:rsidR="00D02EB9" w:rsidRPr="007624F0" w:rsidRDefault="00D02EB9" w:rsidP="00D02EB9">
      <w:pPr>
        <w:rPr>
          <w:rFonts w:cs="Arial"/>
          <w:lang w:val="es-419"/>
        </w:rPr>
      </w:pPr>
      <w:r w:rsidRPr="007624F0">
        <w:rPr>
          <w:lang w:val="es-419"/>
        </w:rPr>
        <w:t>Si las descripciones de diferentes ensayos en cultivo se utilizan para evaluar la distinción —es decir, para la gestión de las colecciones de variedades— es importante tener en cuenta el origen de las diferentes descripciones de variedades de la variedad candidata y las variedades notoriamente conocidas.</w:t>
      </w:r>
      <w:r w:rsidR="00875CE4" w:rsidRPr="007624F0">
        <w:rPr>
          <w:lang w:val="es-419"/>
        </w:rPr>
        <w:t xml:space="preserve"> </w:t>
      </w:r>
      <w:r w:rsidRPr="007624F0">
        <w:rPr>
          <w:lang w:val="es-419"/>
        </w:rPr>
        <w:t xml:space="preserve">La comparabilidad de las descripciones de variedades depende de muchos factores, </w:t>
      </w:r>
      <w:proofErr w:type="gramStart"/>
      <w:r w:rsidRPr="007624F0">
        <w:rPr>
          <w:lang w:val="es-419"/>
        </w:rPr>
        <w:t>como</w:t>
      </w:r>
      <w:proofErr w:type="gramEnd"/>
      <w:r w:rsidRPr="007624F0">
        <w:rPr>
          <w:lang w:val="es-419"/>
        </w:rPr>
        <w:t xml:space="preserve"> por ejemplo:</w:t>
      </w:r>
    </w:p>
    <w:p w14:paraId="1D5724D8" w14:textId="77777777" w:rsidR="00D02EB9" w:rsidRPr="007624F0" w:rsidRDefault="00D02EB9" w:rsidP="00D02EB9">
      <w:pPr>
        <w:rPr>
          <w:rFonts w:cs="Arial"/>
          <w:lang w:val="es-419"/>
        </w:rPr>
      </w:pPr>
    </w:p>
    <w:p w14:paraId="332D3E39" w14:textId="77777777" w:rsidR="00D02EB9" w:rsidRPr="007624F0" w:rsidRDefault="00D02EB9" w:rsidP="00D02EB9">
      <w:pPr>
        <w:numPr>
          <w:ilvl w:val="0"/>
          <w:numId w:val="2"/>
        </w:numPr>
        <w:rPr>
          <w:rFonts w:cs="Arial"/>
          <w:lang w:val="es-419"/>
        </w:rPr>
      </w:pPr>
      <w:r w:rsidRPr="007624F0">
        <w:rPr>
          <w:lang w:val="es-419"/>
        </w:rPr>
        <w:t>La descripción, ¿se basa en un solo año o es la media de varios años?</w:t>
      </w:r>
    </w:p>
    <w:p w14:paraId="69B8DCAF" w14:textId="77777777" w:rsidR="00D02EB9" w:rsidRPr="007624F0" w:rsidRDefault="00D02EB9" w:rsidP="00D02EB9">
      <w:pPr>
        <w:numPr>
          <w:ilvl w:val="0"/>
          <w:numId w:val="2"/>
        </w:numPr>
        <w:rPr>
          <w:rFonts w:cs="Arial"/>
          <w:lang w:val="es-419"/>
        </w:rPr>
      </w:pPr>
      <w:r w:rsidRPr="007624F0">
        <w:rPr>
          <w:lang w:val="es-419"/>
        </w:rPr>
        <w:t>La descripción, ¿se basa en un mismo lugar o en diferentes lugares?</w:t>
      </w:r>
    </w:p>
    <w:p w14:paraId="73F70674" w14:textId="77777777" w:rsidR="00D02EB9" w:rsidRPr="007624F0" w:rsidRDefault="00D02EB9" w:rsidP="00D02EB9">
      <w:pPr>
        <w:numPr>
          <w:ilvl w:val="0"/>
          <w:numId w:val="2"/>
        </w:numPr>
        <w:rPr>
          <w:rFonts w:cs="Arial"/>
          <w:lang w:val="es-419"/>
        </w:rPr>
      </w:pPr>
      <w:r w:rsidRPr="007624F0">
        <w:rPr>
          <w:lang w:val="es-419"/>
        </w:rPr>
        <w:t>¿Se conocen los efectos de los diferentes lugares?</w:t>
      </w:r>
    </w:p>
    <w:p w14:paraId="66BF8B05" w14:textId="77777777" w:rsidR="00D02EB9" w:rsidRPr="007624F0" w:rsidRDefault="00D02EB9" w:rsidP="00D02EB9">
      <w:pPr>
        <w:numPr>
          <w:ilvl w:val="0"/>
          <w:numId w:val="2"/>
        </w:numPr>
        <w:rPr>
          <w:rFonts w:cs="Arial"/>
          <w:lang w:val="es-419"/>
        </w:rPr>
      </w:pPr>
      <w:r w:rsidRPr="007624F0">
        <w:rPr>
          <w:lang w:val="es-419"/>
        </w:rPr>
        <w:t>Las variedades, ¿se describen en relación con una misma colección de variedades o con una colección de variedades que podría abarcar una gama diferente de variación?</w:t>
      </w:r>
    </w:p>
    <w:p w14:paraId="5D453AD2" w14:textId="77777777" w:rsidR="00D02EB9" w:rsidRPr="007624F0" w:rsidRDefault="00D02EB9" w:rsidP="00D02EB9">
      <w:pPr>
        <w:rPr>
          <w:rFonts w:cs="Arial"/>
          <w:lang w:val="es-419"/>
        </w:rPr>
      </w:pPr>
    </w:p>
    <w:p w14:paraId="43EE7BBB" w14:textId="77777777" w:rsidR="00D02EB9" w:rsidRPr="007624F0" w:rsidRDefault="00D02EB9" w:rsidP="00D02EB9">
      <w:pPr>
        <w:rPr>
          <w:rFonts w:cs="Arial"/>
          <w:lang w:val="es-419"/>
        </w:rPr>
      </w:pPr>
      <w:r w:rsidRPr="007624F0">
        <w:rPr>
          <w:lang w:val="es-419"/>
        </w:rPr>
        <w:t>El posible sesgo en las descripciones de variedades debido a efectos ambientales diferentes entre las variedades candidatas y las v</w:t>
      </w:r>
      <w:bookmarkStart w:id="31" w:name="_GoBack"/>
      <w:bookmarkEnd w:id="31"/>
      <w:r w:rsidRPr="007624F0">
        <w:rPr>
          <w:lang w:val="es-419"/>
        </w:rPr>
        <w:t>ariedades de la colección de variedades se debe tener en cuenta en el proceso del examen de la distinción y, en concreto, para identificar las variedades notoriamente conocidas que se han de incluir en el ensayo en cultivo.</w:t>
      </w:r>
    </w:p>
    <w:p w14:paraId="2F0D8EED" w14:textId="77777777" w:rsidR="00D02EB9" w:rsidRPr="007624F0" w:rsidRDefault="00D02EB9" w:rsidP="00D02EB9">
      <w:pPr>
        <w:rPr>
          <w:lang w:val="es-419"/>
        </w:rPr>
      </w:pPr>
    </w:p>
    <w:p w14:paraId="3630D358" w14:textId="77777777" w:rsidR="00D02EB9" w:rsidRPr="007624F0" w:rsidRDefault="00D02EB9" w:rsidP="00D02EB9">
      <w:pPr>
        <w:rPr>
          <w:lang w:val="es-419"/>
        </w:rPr>
      </w:pPr>
    </w:p>
    <w:p w14:paraId="0A28A81F" w14:textId="77777777" w:rsidR="00D02EB9" w:rsidRPr="007624F0" w:rsidRDefault="00D02EB9" w:rsidP="00D02EB9">
      <w:pPr>
        <w:rPr>
          <w:lang w:val="es-419"/>
        </w:rPr>
      </w:pPr>
    </w:p>
    <w:p w14:paraId="332E59E4" w14:textId="3884DD44" w:rsidR="00050E16" w:rsidRPr="007624F0" w:rsidRDefault="00D02EB9" w:rsidP="00804AE7">
      <w:pPr>
        <w:spacing w:line="360" w:lineRule="auto"/>
        <w:jc w:val="right"/>
        <w:rPr>
          <w:lang w:val="es-419"/>
        </w:rPr>
      </w:pPr>
      <w:r w:rsidRPr="007624F0">
        <w:rPr>
          <w:lang w:val="es-419"/>
        </w:rPr>
        <w:t>[Final del Anexo y del documento]</w:t>
      </w:r>
    </w:p>
    <w:sectPr w:rsidR="00050E16" w:rsidRPr="007624F0" w:rsidSect="00804AE7">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E3AC9" w14:textId="77777777" w:rsidR="001F7518" w:rsidRDefault="001F7518" w:rsidP="006655D3">
      <w:r>
        <w:separator/>
      </w:r>
    </w:p>
    <w:p w14:paraId="7241F534" w14:textId="77777777" w:rsidR="001F7518" w:rsidRDefault="001F7518" w:rsidP="006655D3"/>
    <w:p w14:paraId="6768B0F8" w14:textId="77777777" w:rsidR="001F7518" w:rsidRDefault="001F7518" w:rsidP="006655D3"/>
    <w:p w14:paraId="3659F548" w14:textId="77777777" w:rsidR="001F7518" w:rsidRDefault="001F7518"/>
  </w:endnote>
  <w:endnote w:type="continuationSeparator" w:id="0">
    <w:p w14:paraId="56D0F88F" w14:textId="77777777" w:rsidR="001F7518" w:rsidRDefault="001F7518" w:rsidP="006655D3">
      <w:r>
        <w:separator/>
      </w:r>
    </w:p>
    <w:p w14:paraId="29DC5AEB" w14:textId="77777777" w:rsidR="001F7518" w:rsidRPr="00294751" w:rsidRDefault="001F7518">
      <w:pPr>
        <w:pStyle w:val="Footer"/>
        <w:spacing w:after="60"/>
        <w:rPr>
          <w:sz w:val="18"/>
          <w:lang w:val="fr-FR"/>
        </w:rPr>
      </w:pPr>
      <w:r w:rsidRPr="00294751">
        <w:rPr>
          <w:sz w:val="18"/>
          <w:lang w:val="fr-FR"/>
        </w:rPr>
        <w:t>[Suite de la note de la page précédente]</w:t>
      </w:r>
    </w:p>
    <w:p w14:paraId="0598C277" w14:textId="77777777" w:rsidR="001F7518" w:rsidRPr="00294751" w:rsidRDefault="001F7518" w:rsidP="006655D3">
      <w:pPr>
        <w:rPr>
          <w:lang w:val="fr-FR"/>
        </w:rPr>
      </w:pPr>
    </w:p>
    <w:p w14:paraId="50690195" w14:textId="77777777" w:rsidR="001F7518" w:rsidRPr="00294751" w:rsidRDefault="001F7518" w:rsidP="006655D3">
      <w:pPr>
        <w:rPr>
          <w:lang w:val="fr-FR"/>
        </w:rPr>
      </w:pPr>
    </w:p>
    <w:p w14:paraId="676E8D5D" w14:textId="77777777" w:rsidR="001F7518" w:rsidRPr="000D0407" w:rsidRDefault="001F7518">
      <w:pPr>
        <w:rPr>
          <w:lang w:val="fr-FR"/>
        </w:rPr>
      </w:pPr>
    </w:p>
  </w:endnote>
  <w:endnote w:type="continuationNotice" w:id="1">
    <w:p w14:paraId="780DFE17" w14:textId="77777777" w:rsidR="001F7518" w:rsidRPr="00294751" w:rsidRDefault="001F7518" w:rsidP="006655D3">
      <w:pPr>
        <w:rPr>
          <w:lang w:val="fr-FR"/>
        </w:rPr>
      </w:pPr>
      <w:r w:rsidRPr="00294751">
        <w:rPr>
          <w:lang w:val="fr-FR"/>
        </w:rPr>
        <w:t>[Suite de la note page suivante]</w:t>
      </w:r>
    </w:p>
    <w:p w14:paraId="4BD9B8EF" w14:textId="77777777" w:rsidR="001F7518" w:rsidRPr="00294751" w:rsidRDefault="001F7518" w:rsidP="006655D3">
      <w:pPr>
        <w:rPr>
          <w:lang w:val="fr-FR"/>
        </w:rPr>
      </w:pPr>
    </w:p>
    <w:p w14:paraId="7A9876F9" w14:textId="77777777" w:rsidR="001F7518" w:rsidRPr="00294751" w:rsidRDefault="001F7518" w:rsidP="006655D3">
      <w:pPr>
        <w:rPr>
          <w:lang w:val="fr-FR"/>
        </w:rPr>
      </w:pPr>
    </w:p>
    <w:p w14:paraId="4619199B" w14:textId="77777777" w:rsidR="001F7518" w:rsidRPr="000D0407" w:rsidRDefault="001F7518">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4D06D" w14:textId="77777777" w:rsidR="001F7518" w:rsidRDefault="001F7518" w:rsidP="006655D3">
      <w:r>
        <w:separator/>
      </w:r>
    </w:p>
    <w:p w14:paraId="62BCDCCF" w14:textId="77777777" w:rsidR="001F7518" w:rsidRDefault="001F7518"/>
  </w:footnote>
  <w:footnote w:type="continuationSeparator" w:id="0">
    <w:p w14:paraId="15BEB0F4" w14:textId="77777777" w:rsidR="001F7518" w:rsidRDefault="001F7518" w:rsidP="006655D3">
      <w:r>
        <w:separator/>
      </w:r>
    </w:p>
    <w:p w14:paraId="4F974846" w14:textId="77777777" w:rsidR="001F7518" w:rsidRDefault="001F7518"/>
  </w:footnote>
  <w:footnote w:type="continuationNotice" w:id="1">
    <w:p w14:paraId="50D85B50" w14:textId="77777777" w:rsidR="001F7518" w:rsidRPr="00AB530F" w:rsidRDefault="001F7518" w:rsidP="00AB530F">
      <w:pPr>
        <w:pStyle w:val="Footer"/>
      </w:pPr>
    </w:p>
    <w:p w14:paraId="1733F33E" w14:textId="77777777" w:rsidR="001F7518" w:rsidRDefault="001F7518"/>
  </w:footnote>
  <w:footnote w:id="2">
    <w:p w14:paraId="3EB2D21A" w14:textId="59260E04" w:rsidR="00D02EB9" w:rsidRPr="007624F0" w:rsidRDefault="00D02EB9" w:rsidP="00D02EB9">
      <w:pPr>
        <w:pStyle w:val="FootnoteText"/>
        <w:rPr>
          <w:lang w:val="es-419"/>
        </w:rPr>
      </w:pPr>
      <w:r w:rsidRPr="007624F0">
        <w:rPr>
          <w:rStyle w:val="FootnoteReference"/>
          <w:lang w:val="es-419"/>
        </w:rPr>
        <w:footnoteRef/>
      </w:r>
      <w:r w:rsidRPr="007624F0">
        <w:rPr>
          <w:lang w:val="es-419"/>
        </w:rPr>
        <w:tab/>
      </w:r>
      <w:r w:rsidR="000D0407" w:rsidRPr="007624F0">
        <w:rPr>
          <w:lang w:val="es-419"/>
        </w:rPr>
        <w:t>E</w:t>
      </w:r>
      <w:r w:rsidRPr="007624F0">
        <w:rPr>
          <w:lang w:val="es-419"/>
        </w:rPr>
        <w:t>n su trigésima novena sesión, organizada por los Estados Unidos de América y celebrada por medios electrónicos del 20 al 22 de septiembre de 2021.</w:t>
      </w:r>
    </w:p>
  </w:footnote>
  <w:footnote w:id="3">
    <w:p w14:paraId="6D3316EB" w14:textId="15E6FFC4" w:rsidR="00D02EB9" w:rsidRPr="007624F0" w:rsidRDefault="00D02EB9" w:rsidP="00D02EB9">
      <w:pPr>
        <w:pStyle w:val="FootnoteText"/>
        <w:rPr>
          <w:lang w:val="es-419"/>
        </w:rPr>
      </w:pPr>
      <w:r w:rsidRPr="007624F0">
        <w:rPr>
          <w:rStyle w:val="FootnoteReference"/>
          <w:lang w:val="es-419"/>
        </w:rPr>
        <w:footnoteRef/>
      </w:r>
      <w:r w:rsidRPr="007624F0">
        <w:rPr>
          <w:lang w:val="es-419"/>
        </w:rPr>
        <w:tab/>
      </w:r>
      <w:r w:rsidR="000D0407" w:rsidRPr="007624F0">
        <w:rPr>
          <w:lang w:val="es-419"/>
        </w:rPr>
        <w:t>C</w:t>
      </w:r>
      <w:r w:rsidRPr="007624F0">
        <w:rPr>
          <w:lang w:val="es-419"/>
        </w:rPr>
        <w:t>elebrada en Ginebra del 26 al 28 de marzo de 2012.</w:t>
      </w:r>
    </w:p>
  </w:footnote>
  <w:footnote w:id="4">
    <w:p w14:paraId="5C032FA7" w14:textId="37BF2EBC" w:rsidR="00D02EB9" w:rsidRPr="007624F0" w:rsidRDefault="00D02EB9" w:rsidP="00D02EB9">
      <w:pPr>
        <w:pStyle w:val="FootnoteText"/>
        <w:rPr>
          <w:lang w:val="es-419"/>
        </w:rPr>
      </w:pPr>
      <w:r w:rsidRPr="007624F0">
        <w:rPr>
          <w:rStyle w:val="FootnoteReference"/>
          <w:lang w:val="es-419"/>
        </w:rPr>
        <w:footnoteRef/>
      </w:r>
      <w:r w:rsidRPr="007624F0">
        <w:rPr>
          <w:lang w:val="es-419"/>
        </w:rPr>
        <w:tab/>
      </w:r>
      <w:r w:rsidR="000D0407" w:rsidRPr="007624F0">
        <w:rPr>
          <w:lang w:val="es-419"/>
        </w:rPr>
        <w:t>V</w:t>
      </w:r>
      <w:r w:rsidRPr="007624F0">
        <w:rPr>
          <w:lang w:val="es-419"/>
        </w:rPr>
        <w:t>éanse los documentos TWC/26/15, TWC//26/15. Add. y TWC/26/24</w:t>
      </w:r>
    </w:p>
  </w:footnote>
  <w:footnote w:id="5">
    <w:p w14:paraId="0148044C" w14:textId="4A8CCC4B" w:rsidR="00D02EB9" w:rsidRPr="007624F0" w:rsidRDefault="00D02EB9" w:rsidP="00D02EB9">
      <w:pPr>
        <w:pStyle w:val="FootnoteText"/>
        <w:rPr>
          <w:lang w:val="es-419"/>
        </w:rPr>
      </w:pPr>
      <w:r w:rsidRPr="007624F0">
        <w:rPr>
          <w:rStyle w:val="FootnoteReference"/>
          <w:lang w:val="es-419"/>
        </w:rPr>
        <w:footnoteRef/>
      </w:r>
      <w:r w:rsidRPr="007624F0">
        <w:rPr>
          <w:lang w:val="es-419"/>
        </w:rPr>
        <w:tab/>
      </w:r>
      <w:r w:rsidR="000D0407" w:rsidRPr="007624F0">
        <w:rPr>
          <w:lang w:val="es-419"/>
        </w:rPr>
        <w:t>C</w:t>
      </w:r>
      <w:r w:rsidRPr="007624F0">
        <w:rPr>
          <w:lang w:val="es-419"/>
        </w:rPr>
        <w:t>elebrada en Ginebra del 14 al 16 de marzo de 2016.</w:t>
      </w:r>
    </w:p>
  </w:footnote>
  <w:footnote w:id="6">
    <w:p w14:paraId="42D976EE" w14:textId="368AB758" w:rsidR="00D02EB9" w:rsidRPr="007624F0" w:rsidRDefault="00D02EB9" w:rsidP="00D02EB9">
      <w:pPr>
        <w:pStyle w:val="FootnoteText"/>
        <w:rPr>
          <w:lang w:val="es-419"/>
        </w:rPr>
      </w:pPr>
      <w:r w:rsidRPr="007624F0">
        <w:rPr>
          <w:rStyle w:val="FootnoteReference"/>
          <w:lang w:val="es-419"/>
        </w:rPr>
        <w:footnoteRef/>
      </w:r>
      <w:r w:rsidRPr="007624F0">
        <w:rPr>
          <w:lang w:val="es-419"/>
        </w:rPr>
        <w:tab/>
      </w:r>
      <w:r w:rsidR="000D0407" w:rsidRPr="007624F0">
        <w:rPr>
          <w:lang w:val="es-419"/>
        </w:rPr>
        <w:t>C</w:t>
      </w:r>
      <w:r w:rsidRPr="007624F0">
        <w:rPr>
          <w:lang w:val="es-419"/>
        </w:rPr>
        <w:t>elebrada en Ginebra por medios electrónicos los días 26 y 27 de octubre de 2020.</w:t>
      </w:r>
    </w:p>
  </w:footnote>
  <w:footnote w:id="7">
    <w:p w14:paraId="2BB45F75" w14:textId="158BAFEB" w:rsidR="00D02EB9" w:rsidRPr="007624F0" w:rsidRDefault="00D02EB9" w:rsidP="00D02EB9">
      <w:pPr>
        <w:pStyle w:val="FootnoteText"/>
        <w:rPr>
          <w:lang w:val="es-419"/>
        </w:rPr>
      </w:pPr>
      <w:r w:rsidRPr="007624F0">
        <w:rPr>
          <w:rStyle w:val="FootnoteReference"/>
          <w:lang w:val="es-419"/>
        </w:rPr>
        <w:footnoteRef/>
      </w:r>
      <w:r w:rsidRPr="007624F0">
        <w:rPr>
          <w:lang w:val="es-419"/>
        </w:rPr>
        <w:tab/>
      </w:r>
      <w:r w:rsidR="000D0407" w:rsidRPr="007624F0">
        <w:rPr>
          <w:lang w:val="es-419"/>
        </w:rPr>
        <w:t>E</w:t>
      </w:r>
      <w:r w:rsidRPr="007624F0">
        <w:rPr>
          <w:lang w:val="es-419"/>
        </w:rPr>
        <w:t>n su quincuagésima quinta sesión, organizada por Turquía y celebrada por medios electrónicos del 3 al 7 de mayo de 2021.</w:t>
      </w:r>
    </w:p>
  </w:footnote>
  <w:footnote w:id="8">
    <w:p w14:paraId="41BEC606" w14:textId="35366ABD" w:rsidR="00D02EB9" w:rsidRPr="007624F0" w:rsidRDefault="00D02EB9" w:rsidP="00D02EB9">
      <w:pPr>
        <w:pStyle w:val="FootnoteText"/>
        <w:rPr>
          <w:lang w:val="es-419"/>
        </w:rPr>
      </w:pPr>
      <w:r w:rsidRPr="007624F0">
        <w:rPr>
          <w:rStyle w:val="FootnoteReference"/>
          <w:lang w:val="es-419"/>
        </w:rPr>
        <w:footnoteRef/>
      </w:r>
      <w:r w:rsidRPr="007624F0">
        <w:rPr>
          <w:lang w:val="es-419"/>
        </w:rPr>
        <w:tab/>
      </w:r>
      <w:r w:rsidR="000D0407" w:rsidRPr="007624F0">
        <w:rPr>
          <w:lang w:val="es-419"/>
        </w:rPr>
        <w:t>E</w:t>
      </w:r>
      <w:r w:rsidRPr="007624F0">
        <w:rPr>
          <w:lang w:val="es-419"/>
        </w:rPr>
        <w:t>n su quincuagésima tercera sesión, organizada por los Países Bajos y celebrada por medios electrónicos del 7 al 11 de junio de 2021.</w:t>
      </w:r>
    </w:p>
  </w:footnote>
  <w:footnote w:id="9">
    <w:p w14:paraId="4EBFA8B3" w14:textId="1F75B7BA" w:rsidR="00D02EB9" w:rsidRPr="007624F0" w:rsidRDefault="00D02EB9" w:rsidP="00D02EB9">
      <w:pPr>
        <w:pStyle w:val="FootnoteText"/>
        <w:rPr>
          <w:lang w:val="es-419"/>
        </w:rPr>
      </w:pPr>
      <w:r w:rsidRPr="007624F0">
        <w:rPr>
          <w:rStyle w:val="FootnoteReference"/>
          <w:lang w:val="es-419"/>
        </w:rPr>
        <w:footnoteRef/>
      </w:r>
      <w:r w:rsidRPr="007624F0">
        <w:rPr>
          <w:lang w:val="es-419"/>
        </w:rPr>
        <w:tab/>
      </w:r>
      <w:r w:rsidR="000D0407" w:rsidRPr="007624F0">
        <w:rPr>
          <w:lang w:val="es-419"/>
        </w:rPr>
        <w:t>E</w:t>
      </w:r>
      <w:r w:rsidRPr="007624F0">
        <w:rPr>
          <w:lang w:val="es-419"/>
        </w:rPr>
        <w:t>n su quincuagésima sesión, organizada por la República Unida de Tanzanía y celebrada por medios electrónicos del 21 al 25 de junio de 2021.</w:t>
      </w:r>
    </w:p>
  </w:footnote>
  <w:footnote w:id="10">
    <w:p w14:paraId="29B7B0AC" w14:textId="24BDE1AB" w:rsidR="00D02EB9" w:rsidRPr="007624F0" w:rsidRDefault="00D02EB9" w:rsidP="00D02EB9">
      <w:pPr>
        <w:pStyle w:val="FootnoteText"/>
        <w:rPr>
          <w:lang w:val="es-419"/>
        </w:rPr>
      </w:pPr>
      <w:r w:rsidRPr="007624F0">
        <w:rPr>
          <w:rStyle w:val="FootnoteReference"/>
          <w:lang w:val="es-419"/>
        </w:rPr>
        <w:footnoteRef/>
      </w:r>
      <w:r w:rsidRPr="007624F0">
        <w:rPr>
          <w:lang w:val="es-419"/>
        </w:rPr>
        <w:tab/>
      </w:r>
      <w:r w:rsidR="000D0407" w:rsidRPr="007624F0">
        <w:rPr>
          <w:lang w:val="es-419"/>
        </w:rPr>
        <w:t>E</w:t>
      </w:r>
      <w:r w:rsidRPr="007624F0">
        <w:rPr>
          <w:lang w:val="es-419"/>
        </w:rPr>
        <w:t>n su quincuagésima segunda sesión, organizada por China y celebrada por medios electrónicos del 12 al 16 de julio de 2021.</w:t>
      </w:r>
    </w:p>
  </w:footnote>
  <w:footnote w:id="11">
    <w:p w14:paraId="07018191" w14:textId="13CD75A2" w:rsidR="00D02EB9" w:rsidRPr="007624F0" w:rsidRDefault="00D02EB9" w:rsidP="00D02EB9">
      <w:pPr>
        <w:pStyle w:val="FootnoteText"/>
        <w:rPr>
          <w:lang w:val="es-419"/>
        </w:rPr>
      </w:pPr>
      <w:r w:rsidRPr="007624F0">
        <w:rPr>
          <w:rStyle w:val="FootnoteReference"/>
          <w:lang w:val="es-419"/>
        </w:rPr>
        <w:footnoteRef/>
      </w:r>
      <w:r w:rsidRPr="007624F0">
        <w:rPr>
          <w:lang w:val="es-419"/>
        </w:rPr>
        <w:tab/>
      </w:r>
      <w:r w:rsidR="000D0407" w:rsidRPr="007624F0">
        <w:rPr>
          <w:lang w:val="es-419"/>
        </w:rPr>
        <w:t>E</w:t>
      </w:r>
      <w:r w:rsidRPr="007624F0">
        <w:rPr>
          <w:lang w:val="es-419"/>
        </w:rPr>
        <w:t>n su trigésima novena sesión, organizada por los Estados Unidos de América y celebrada por medios electrónicos del 20 al 22 de septiembre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889B3" w14:textId="77777777" w:rsidR="00D02EB9" w:rsidRPr="00FF1F9D" w:rsidRDefault="00D02EB9" w:rsidP="000923BC">
    <w:pPr>
      <w:pStyle w:val="Header"/>
      <w:rPr>
        <w:bCs/>
      </w:rPr>
    </w:pPr>
    <w:r>
      <w:t>TC/57/6</w:t>
    </w:r>
  </w:p>
  <w:p w14:paraId="5387826D" w14:textId="2966F427" w:rsidR="00D02EB9" w:rsidRPr="00C5280D" w:rsidRDefault="006D603D" w:rsidP="000923BC">
    <w:pPr>
      <w:pStyle w:val="Header"/>
    </w:pPr>
    <w:r>
      <w:t>página</w:t>
    </w:r>
    <w:r w:rsidR="00D02EB9">
      <w:t xml:space="preserve"> </w:t>
    </w:r>
    <w:r w:rsidR="00D02EB9" w:rsidRPr="00C5280D">
      <w:rPr>
        <w:rStyle w:val="PageNumber"/>
      </w:rPr>
      <w:fldChar w:fldCharType="begin"/>
    </w:r>
    <w:r w:rsidR="00D02EB9" w:rsidRPr="00C5280D">
      <w:rPr>
        <w:rStyle w:val="PageNumber"/>
      </w:rPr>
      <w:instrText xml:space="preserve"> PAGE </w:instrText>
    </w:r>
    <w:r w:rsidR="00D02EB9" w:rsidRPr="00C5280D">
      <w:rPr>
        <w:rStyle w:val="PageNumber"/>
      </w:rPr>
      <w:fldChar w:fldCharType="separate"/>
    </w:r>
    <w:r w:rsidR="0054361B">
      <w:rPr>
        <w:rStyle w:val="PageNumber"/>
        <w:noProof/>
      </w:rPr>
      <w:t>4</w:t>
    </w:r>
    <w:r w:rsidR="00D02EB9" w:rsidRPr="00C5280D">
      <w:rPr>
        <w:rStyle w:val="PageNumber"/>
      </w:rPr>
      <w:fldChar w:fldCharType="end"/>
    </w:r>
  </w:p>
  <w:p w14:paraId="10A366BE" w14:textId="77777777" w:rsidR="00D02EB9" w:rsidRPr="00FE789F" w:rsidRDefault="00D02EB9" w:rsidP="000923B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321BF" w14:textId="77777777" w:rsidR="00182B99" w:rsidRPr="000A23DC" w:rsidRDefault="00467B42" w:rsidP="000A23DC">
    <w:pPr>
      <w:pStyle w:val="Header"/>
      <w:rPr>
        <w:rStyle w:val="PageNumber"/>
      </w:rPr>
    </w:pPr>
    <w:r>
      <w:rPr>
        <w:rStyle w:val="PageNumber"/>
      </w:rPr>
      <w:t>TC/57/6</w:t>
    </w:r>
  </w:p>
  <w:p w14:paraId="0452837E" w14:textId="159BCC2F" w:rsidR="00182B99" w:rsidRPr="00202E38" w:rsidRDefault="00804AE7" w:rsidP="008B3D8D">
    <w:pPr>
      <w:pStyle w:val="Header"/>
    </w:pPr>
    <w:r>
      <w:t xml:space="preserve">Anexo, </w:t>
    </w:r>
    <w:r w:rsidR="008B3D8D">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54361B">
      <w:rPr>
        <w:rStyle w:val="PageNumber"/>
        <w:noProof/>
      </w:rPr>
      <w:t>2</w:t>
    </w:r>
    <w:r w:rsidR="00182B99" w:rsidRPr="00202E38">
      <w:rPr>
        <w:rStyle w:val="PageNumber"/>
      </w:rPr>
      <w:fldChar w:fldCharType="end"/>
    </w:r>
  </w:p>
  <w:p w14:paraId="6C8B29D9" w14:textId="77777777"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A0AB" w14:textId="2A1909E2" w:rsidR="00804AE7" w:rsidRDefault="00804AE7">
    <w:pPr>
      <w:pStyle w:val="Header"/>
    </w:pPr>
    <w:r>
      <w:t>TC/57/6</w:t>
    </w:r>
  </w:p>
  <w:p w14:paraId="1D9CE8B6" w14:textId="5C2D9884" w:rsidR="00804AE7" w:rsidRDefault="00804AE7">
    <w:pPr>
      <w:pStyle w:val="Header"/>
    </w:pPr>
  </w:p>
  <w:p w14:paraId="5C40E0E9" w14:textId="5F2C805A" w:rsidR="00804AE7" w:rsidRDefault="00804AE7">
    <w:pPr>
      <w:pStyle w:val="Header"/>
    </w:pPr>
    <w:r>
      <w:t>ANEXO</w:t>
    </w:r>
  </w:p>
  <w:p w14:paraId="4944EE23" w14:textId="77777777" w:rsidR="00804AE7" w:rsidRDefault="00804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5A00"/>
    <w:multiLevelType w:val="hybridMultilevel"/>
    <w:tmpl w:val="A6BE6B32"/>
    <w:lvl w:ilvl="0" w:tplc="52A4CFE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201521"/>
    <w:multiLevelType w:val="hybridMultilevel"/>
    <w:tmpl w:val="C2C6B46C"/>
    <w:lvl w:ilvl="0" w:tplc="6F324C5C">
      <w:start w:val="1"/>
      <w:numFmt w:val="lowerLetter"/>
      <w:lvlText w:val="%1)"/>
      <w:lvlJc w:val="left"/>
      <w:pPr>
        <w:ind w:left="5540" w:hanging="360"/>
      </w:pPr>
      <w:rPr>
        <w:rFonts w:hint="default"/>
      </w:rPr>
    </w:lvl>
    <w:lvl w:ilvl="1" w:tplc="0C0A0019" w:tentative="1">
      <w:start w:val="1"/>
      <w:numFmt w:val="lowerLetter"/>
      <w:lvlText w:val="%2."/>
      <w:lvlJc w:val="left"/>
      <w:pPr>
        <w:ind w:left="6260" w:hanging="360"/>
      </w:pPr>
    </w:lvl>
    <w:lvl w:ilvl="2" w:tplc="0C0A001B" w:tentative="1">
      <w:start w:val="1"/>
      <w:numFmt w:val="lowerRoman"/>
      <w:lvlText w:val="%3."/>
      <w:lvlJc w:val="right"/>
      <w:pPr>
        <w:ind w:left="6980" w:hanging="180"/>
      </w:pPr>
    </w:lvl>
    <w:lvl w:ilvl="3" w:tplc="0C0A000F" w:tentative="1">
      <w:start w:val="1"/>
      <w:numFmt w:val="decimal"/>
      <w:lvlText w:val="%4."/>
      <w:lvlJc w:val="left"/>
      <w:pPr>
        <w:ind w:left="7700" w:hanging="360"/>
      </w:pPr>
    </w:lvl>
    <w:lvl w:ilvl="4" w:tplc="0C0A0019" w:tentative="1">
      <w:start w:val="1"/>
      <w:numFmt w:val="lowerLetter"/>
      <w:lvlText w:val="%5."/>
      <w:lvlJc w:val="left"/>
      <w:pPr>
        <w:ind w:left="8420" w:hanging="360"/>
      </w:pPr>
    </w:lvl>
    <w:lvl w:ilvl="5" w:tplc="0C0A001B" w:tentative="1">
      <w:start w:val="1"/>
      <w:numFmt w:val="lowerRoman"/>
      <w:lvlText w:val="%6."/>
      <w:lvlJc w:val="right"/>
      <w:pPr>
        <w:ind w:left="9140" w:hanging="180"/>
      </w:pPr>
    </w:lvl>
    <w:lvl w:ilvl="6" w:tplc="0C0A000F" w:tentative="1">
      <w:start w:val="1"/>
      <w:numFmt w:val="decimal"/>
      <w:lvlText w:val="%7."/>
      <w:lvlJc w:val="left"/>
      <w:pPr>
        <w:ind w:left="9860" w:hanging="360"/>
      </w:pPr>
    </w:lvl>
    <w:lvl w:ilvl="7" w:tplc="0C0A0019" w:tentative="1">
      <w:start w:val="1"/>
      <w:numFmt w:val="lowerLetter"/>
      <w:lvlText w:val="%8."/>
      <w:lvlJc w:val="left"/>
      <w:pPr>
        <w:ind w:left="10580" w:hanging="360"/>
      </w:pPr>
    </w:lvl>
    <w:lvl w:ilvl="8" w:tplc="0C0A001B" w:tentative="1">
      <w:start w:val="1"/>
      <w:numFmt w:val="lowerRoman"/>
      <w:lvlText w:val="%9."/>
      <w:lvlJc w:val="right"/>
      <w:pPr>
        <w:ind w:left="11300" w:hanging="180"/>
      </w:pPr>
    </w:lvl>
  </w:abstractNum>
  <w:abstractNum w:abstractNumId="3" w15:restartNumberingAfterBreak="0">
    <w:nsid w:val="570B1991"/>
    <w:multiLevelType w:val="hybridMultilevel"/>
    <w:tmpl w:val="30E4EC36"/>
    <w:lvl w:ilvl="0" w:tplc="2676E5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15:restartNumberingAfterBreak="0">
    <w:nsid w:val="598C1E1D"/>
    <w:multiLevelType w:val="hybridMultilevel"/>
    <w:tmpl w:val="781409EA"/>
    <w:lvl w:ilvl="0" w:tplc="2676E5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7DDC3676"/>
    <w:multiLevelType w:val="hybridMultilevel"/>
    <w:tmpl w:val="07E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4F"/>
    <w:rsid w:val="00010CF3"/>
    <w:rsid w:val="00011E27"/>
    <w:rsid w:val="000148BC"/>
    <w:rsid w:val="00024AB8"/>
    <w:rsid w:val="00030854"/>
    <w:rsid w:val="00036028"/>
    <w:rsid w:val="00044642"/>
    <w:rsid w:val="000446B9"/>
    <w:rsid w:val="00047E21"/>
    <w:rsid w:val="00050E16"/>
    <w:rsid w:val="00053E68"/>
    <w:rsid w:val="000638A9"/>
    <w:rsid w:val="00085505"/>
    <w:rsid w:val="000A23DC"/>
    <w:rsid w:val="000B7BB9"/>
    <w:rsid w:val="000C4E25"/>
    <w:rsid w:val="000C7021"/>
    <w:rsid w:val="000D0407"/>
    <w:rsid w:val="000D6BBC"/>
    <w:rsid w:val="000D7780"/>
    <w:rsid w:val="000E636A"/>
    <w:rsid w:val="000F2F11"/>
    <w:rsid w:val="00105929"/>
    <w:rsid w:val="001066E7"/>
    <w:rsid w:val="00110C36"/>
    <w:rsid w:val="001131D5"/>
    <w:rsid w:val="00141DB8"/>
    <w:rsid w:val="00172084"/>
    <w:rsid w:val="0017474A"/>
    <w:rsid w:val="001758C6"/>
    <w:rsid w:val="00182B99"/>
    <w:rsid w:val="001F64BF"/>
    <w:rsid w:val="001F7518"/>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3D98"/>
    <w:rsid w:val="002C524F"/>
    <w:rsid w:val="002E5944"/>
    <w:rsid w:val="00305A7F"/>
    <w:rsid w:val="003152FE"/>
    <w:rsid w:val="00324098"/>
    <w:rsid w:val="00327436"/>
    <w:rsid w:val="00344BD6"/>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D047D"/>
    <w:rsid w:val="004F1E9E"/>
    <w:rsid w:val="004F305A"/>
    <w:rsid w:val="00512164"/>
    <w:rsid w:val="00520297"/>
    <w:rsid w:val="005338F9"/>
    <w:rsid w:val="0054281C"/>
    <w:rsid w:val="0054361B"/>
    <w:rsid w:val="00544581"/>
    <w:rsid w:val="00545E42"/>
    <w:rsid w:val="0055268D"/>
    <w:rsid w:val="00576BE4"/>
    <w:rsid w:val="005A1EC1"/>
    <w:rsid w:val="005A400A"/>
    <w:rsid w:val="005F7B92"/>
    <w:rsid w:val="00604F2C"/>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603D"/>
    <w:rsid w:val="006D780A"/>
    <w:rsid w:val="0071271E"/>
    <w:rsid w:val="00732DEC"/>
    <w:rsid w:val="00735BD5"/>
    <w:rsid w:val="00751613"/>
    <w:rsid w:val="007556F6"/>
    <w:rsid w:val="00760EEF"/>
    <w:rsid w:val="007624F0"/>
    <w:rsid w:val="00772B51"/>
    <w:rsid w:val="00777EE5"/>
    <w:rsid w:val="00783722"/>
    <w:rsid w:val="00784836"/>
    <w:rsid w:val="0079023E"/>
    <w:rsid w:val="007A2854"/>
    <w:rsid w:val="007C1D92"/>
    <w:rsid w:val="007C4CB9"/>
    <w:rsid w:val="007D0B9D"/>
    <w:rsid w:val="007D19B0"/>
    <w:rsid w:val="007F498F"/>
    <w:rsid w:val="00804AE7"/>
    <w:rsid w:val="0080679D"/>
    <w:rsid w:val="008108B0"/>
    <w:rsid w:val="00811B20"/>
    <w:rsid w:val="008211B5"/>
    <w:rsid w:val="0082296E"/>
    <w:rsid w:val="00824099"/>
    <w:rsid w:val="00846D7C"/>
    <w:rsid w:val="00864C55"/>
    <w:rsid w:val="00867AC1"/>
    <w:rsid w:val="00875CE4"/>
    <w:rsid w:val="00890DF8"/>
    <w:rsid w:val="008A743F"/>
    <w:rsid w:val="008B3D8D"/>
    <w:rsid w:val="008B4986"/>
    <w:rsid w:val="008C0970"/>
    <w:rsid w:val="008D0BC5"/>
    <w:rsid w:val="008D2CF7"/>
    <w:rsid w:val="00900C26"/>
    <w:rsid w:val="0090197F"/>
    <w:rsid w:val="00906DDC"/>
    <w:rsid w:val="00934E09"/>
    <w:rsid w:val="00936253"/>
    <w:rsid w:val="00940D46"/>
    <w:rsid w:val="00952DD4"/>
    <w:rsid w:val="0096175D"/>
    <w:rsid w:val="00965AE7"/>
    <w:rsid w:val="00970FED"/>
    <w:rsid w:val="009873EF"/>
    <w:rsid w:val="00992D82"/>
    <w:rsid w:val="00997029"/>
    <w:rsid w:val="009A7339"/>
    <w:rsid w:val="009B440E"/>
    <w:rsid w:val="009B73BF"/>
    <w:rsid w:val="009D0C15"/>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87EA9"/>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744B4"/>
    <w:rsid w:val="00C973F2"/>
    <w:rsid w:val="00CA304C"/>
    <w:rsid w:val="00CA774A"/>
    <w:rsid w:val="00CC11B0"/>
    <w:rsid w:val="00CC2841"/>
    <w:rsid w:val="00CE49AB"/>
    <w:rsid w:val="00CF1330"/>
    <w:rsid w:val="00CF7E36"/>
    <w:rsid w:val="00D02EB9"/>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1237A"/>
    <w:rsid w:val="00F22CBD"/>
    <w:rsid w:val="00F272F1"/>
    <w:rsid w:val="00F45372"/>
    <w:rsid w:val="00F560F7"/>
    <w:rsid w:val="00F6334D"/>
    <w:rsid w:val="00F6355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0A52D48"/>
  <w15:docId w15:val="{A800312E-443E-44A8-A35A-EE7EC996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B4986"/>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D02EB9"/>
    <w:rPr>
      <w:rFonts w:ascii="Arial" w:hAnsi="Arial"/>
      <w:caps/>
    </w:rPr>
  </w:style>
  <w:style w:type="character" w:customStyle="1" w:styleId="Heading2Char">
    <w:name w:val="Heading 2 Char"/>
    <w:basedOn w:val="DefaultParagraphFont"/>
    <w:link w:val="Heading2"/>
    <w:rsid w:val="00D02EB9"/>
    <w:rPr>
      <w:rFonts w:ascii="Arial" w:hAnsi="Arial"/>
      <w:u w:val="single"/>
    </w:rPr>
  </w:style>
  <w:style w:type="character" w:customStyle="1" w:styleId="HeaderChar">
    <w:name w:val="Header Char"/>
    <w:basedOn w:val="DefaultParagraphFont"/>
    <w:link w:val="Header"/>
    <w:rsid w:val="00D02EB9"/>
    <w:rPr>
      <w:rFonts w:ascii="Arial" w:hAnsi="Arial"/>
      <w:lang w:val="es-ES"/>
    </w:rPr>
  </w:style>
  <w:style w:type="character" w:customStyle="1" w:styleId="FootnoteTextChar">
    <w:name w:val="Footnote Text Char"/>
    <w:basedOn w:val="DefaultParagraphFont"/>
    <w:link w:val="FootnoteText"/>
    <w:rsid w:val="00D02EB9"/>
    <w:rPr>
      <w:rFonts w:ascii="Arial" w:hAnsi="Arial"/>
      <w:sz w:val="16"/>
      <w:lang w:val="es-ES"/>
    </w:rPr>
  </w:style>
  <w:style w:type="table" w:styleId="TableGrid">
    <w:name w:val="Table Grid"/>
    <w:basedOn w:val="TableNormal"/>
    <w:uiPriority w:val="59"/>
    <w:rsid w:val="00D02EB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EB9"/>
    <w:pPr>
      <w:ind w:left="720"/>
      <w:contextualSpacing/>
    </w:pPr>
  </w:style>
  <w:style w:type="character" w:styleId="CommentReference">
    <w:name w:val="annotation reference"/>
    <w:basedOn w:val="DefaultParagraphFont"/>
    <w:semiHidden/>
    <w:unhideWhenUsed/>
    <w:rsid w:val="00C744B4"/>
    <w:rPr>
      <w:sz w:val="16"/>
      <w:szCs w:val="16"/>
    </w:rPr>
  </w:style>
  <w:style w:type="paragraph" w:styleId="CommentText">
    <w:name w:val="annotation text"/>
    <w:basedOn w:val="Normal"/>
    <w:link w:val="CommentTextChar"/>
    <w:semiHidden/>
    <w:unhideWhenUsed/>
    <w:rsid w:val="00C744B4"/>
  </w:style>
  <w:style w:type="character" w:customStyle="1" w:styleId="CommentTextChar">
    <w:name w:val="Comment Text Char"/>
    <w:basedOn w:val="DefaultParagraphFont"/>
    <w:link w:val="CommentText"/>
    <w:semiHidden/>
    <w:rsid w:val="00C744B4"/>
    <w:rPr>
      <w:rFonts w:ascii="Arial" w:hAnsi="Arial"/>
    </w:rPr>
  </w:style>
  <w:style w:type="paragraph" w:styleId="CommentSubject">
    <w:name w:val="annotation subject"/>
    <w:basedOn w:val="CommentText"/>
    <w:next w:val="CommentText"/>
    <w:link w:val="CommentSubjectChar"/>
    <w:semiHidden/>
    <w:unhideWhenUsed/>
    <w:rsid w:val="00C744B4"/>
    <w:rPr>
      <w:b/>
      <w:bCs/>
    </w:rPr>
  </w:style>
  <w:style w:type="character" w:customStyle="1" w:styleId="CommentSubjectChar">
    <w:name w:val="Comment Subject Char"/>
    <w:basedOn w:val="CommentTextChar"/>
    <w:link w:val="CommentSubject"/>
    <w:semiHidden/>
    <w:rsid w:val="00C744B4"/>
    <w:rPr>
      <w:rFonts w:ascii="Arial" w:hAnsi="Arial"/>
      <w:b/>
      <w:bCs/>
    </w:rPr>
  </w:style>
  <w:style w:type="paragraph" w:styleId="Revision">
    <w:name w:val="Revision"/>
    <w:hidden/>
    <w:uiPriority w:val="99"/>
    <w:semiHidden/>
    <w:rsid w:val="00C744B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4AF29-C67D-4E8D-9F6C-287D49B6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2638</Words>
  <Characters>14097</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TC/57/6</vt:lpstr>
      <vt:lpstr>TC/57/6</vt:lpstr>
    </vt:vector>
  </TitlesOfParts>
  <Company>UPOV</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TC/57/6</dc:title>
  <dc:creator>CEVALLOS DUQUE Nilo</dc:creator>
  <cp:lastModifiedBy>MAY Jessica</cp:lastModifiedBy>
  <cp:revision>6</cp:revision>
  <cp:lastPrinted>2016-11-22T15:41:00Z</cp:lastPrinted>
  <dcterms:created xsi:type="dcterms:W3CDTF">2021-09-03T09:04:00Z</dcterms:created>
  <dcterms:modified xsi:type="dcterms:W3CDTF">2021-09-21T09:33:00Z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378e3148-82f2-46b7-a560-5a54d4e1246f</vt:lpwstr>
  </property>
</Properties>
</file>