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390A22" w14:paraId="1E28A97E" w14:textId="77777777" w:rsidTr="00EB4E9C">
        <w:tc>
          <w:tcPr>
            <w:tcW w:w="6522" w:type="dxa"/>
          </w:tcPr>
          <w:p w14:paraId="344CB9CB" w14:textId="77777777" w:rsidR="00DC3802" w:rsidRPr="00390A22" w:rsidRDefault="00DC3802" w:rsidP="00AC2883">
            <w:pPr>
              <w:rPr>
                <w:lang w:val="es-419"/>
              </w:rPr>
            </w:pPr>
            <w:r w:rsidRPr="00390A22">
              <w:rPr>
                <w:noProof/>
                <w:lang w:val="en-US"/>
              </w:rPr>
              <w:drawing>
                <wp:inline distT="0" distB="0" distL="0" distR="0" wp14:anchorId="575586D2" wp14:editId="07220C92">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7E80617B" w14:textId="77777777" w:rsidR="00DC3802" w:rsidRPr="00390A22" w:rsidRDefault="002E5944" w:rsidP="00AC2883">
            <w:pPr>
              <w:pStyle w:val="Lettrine"/>
              <w:rPr>
                <w:lang w:val="es-419"/>
              </w:rPr>
            </w:pPr>
            <w:r w:rsidRPr="00390A22">
              <w:rPr>
                <w:lang w:val="es-419"/>
              </w:rPr>
              <w:t>S</w:t>
            </w:r>
          </w:p>
        </w:tc>
      </w:tr>
      <w:tr w:rsidR="00DC3802" w:rsidRPr="00390A22" w14:paraId="08175271" w14:textId="77777777" w:rsidTr="00645CA8">
        <w:trPr>
          <w:trHeight w:val="219"/>
        </w:trPr>
        <w:tc>
          <w:tcPr>
            <w:tcW w:w="6522" w:type="dxa"/>
          </w:tcPr>
          <w:p w14:paraId="18FAF95A" w14:textId="77777777" w:rsidR="00DC3802" w:rsidRPr="00390A22" w:rsidRDefault="002E5944" w:rsidP="00BC0BD4">
            <w:pPr>
              <w:pStyle w:val="upove"/>
              <w:rPr>
                <w:lang w:val="es-419"/>
              </w:rPr>
            </w:pPr>
            <w:r w:rsidRPr="00390A22">
              <w:rPr>
                <w:lang w:val="es-419"/>
              </w:rPr>
              <w:t>Unión Internacional para la Protección de las Obtenciones Vegetales</w:t>
            </w:r>
          </w:p>
        </w:tc>
        <w:tc>
          <w:tcPr>
            <w:tcW w:w="3117" w:type="dxa"/>
          </w:tcPr>
          <w:p w14:paraId="6F3CBC79" w14:textId="77777777" w:rsidR="00DC3802" w:rsidRPr="00390A22" w:rsidRDefault="00DC3802" w:rsidP="00DA4973">
            <w:pPr>
              <w:rPr>
                <w:lang w:val="es-419"/>
              </w:rPr>
            </w:pPr>
          </w:p>
        </w:tc>
      </w:tr>
    </w:tbl>
    <w:p w14:paraId="01C25C7F" w14:textId="77777777" w:rsidR="00DC3802" w:rsidRPr="00390A22" w:rsidRDefault="00DC3802" w:rsidP="00DC3802">
      <w:pPr>
        <w:rPr>
          <w:lang w:val="es-419"/>
        </w:rPr>
      </w:pPr>
    </w:p>
    <w:p w14:paraId="18632465" w14:textId="77777777" w:rsidR="00DA4973" w:rsidRPr="00390A22" w:rsidRDefault="00DA4973" w:rsidP="00DC3802">
      <w:pPr>
        <w:rPr>
          <w:lang w:val="es-419"/>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390A22" w14:paraId="14A87638" w14:textId="77777777" w:rsidTr="00EE3C81">
        <w:tc>
          <w:tcPr>
            <w:tcW w:w="6512" w:type="dxa"/>
            <w:tcBorders>
              <w:bottom w:val="single" w:sz="4" w:space="0" w:color="auto"/>
            </w:tcBorders>
          </w:tcPr>
          <w:p w14:paraId="2E77E946" w14:textId="77777777" w:rsidR="00EB4E9C" w:rsidRPr="00390A22" w:rsidRDefault="002E5944" w:rsidP="00AC2883">
            <w:pPr>
              <w:pStyle w:val="Sessiontc"/>
              <w:spacing w:line="240" w:lineRule="auto"/>
              <w:rPr>
                <w:lang w:val="es-419"/>
              </w:rPr>
            </w:pPr>
            <w:r w:rsidRPr="00390A22">
              <w:rPr>
                <w:lang w:val="es-419"/>
              </w:rPr>
              <w:t>Comité Técnico</w:t>
            </w:r>
          </w:p>
          <w:p w14:paraId="493CDDD9" w14:textId="77777777" w:rsidR="00EB4E9C" w:rsidRPr="00390A22" w:rsidRDefault="002E5944" w:rsidP="00324098">
            <w:pPr>
              <w:pStyle w:val="Sessiontcplacedate"/>
              <w:rPr>
                <w:sz w:val="22"/>
                <w:lang w:val="es-419"/>
              </w:rPr>
            </w:pPr>
            <w:r w:rsidRPr="00390A22">
              <w:rPr>
                <w:lang w:val="es-419"/>
              </w:rPr>
              <w:t>Quincuagésima séptima sesión</w:t>
            </w:r>
            <w:r w:rsidRPr="00390A22">
              <w:rPr>
                <w:lang w:val="es-419"/>
              </w:rPr>
              <w:br/>
              <w:t>Ginebra, 25 y 26 de octubre de 2021</w:t>
            </w:r>
          </w:p>
        </w:tc>
        <w:tc>
          <w:tcPr>
            <w:tcW w:w="3127" w:type="dxa"/>
            <w:tcBorders>
              <w:bottom w:val="single" w:sz="4" w:space="0" w:color="auto"/>
            </w:tcBorders>
          </w:tcPr>
          <w:p w14:paraId="3F17A93F" w14:textId="77777777" w:rsidR="00EB4E9C" w:rsidRPr="00390A22" w:rsidRDefault="00467B42" w:rsidP="003C7FBE">
            <w:pPr>
              <w:pStyle w:val="Doccode"/>
              <w:rPr>
                <w:lang w:val="es-419"/>
              </w:rPr>
            </w:pPr>
            <w:r w:rsidRPr="00390A22">
              <w:rPr>
                <w:lang w:val="es-419"/>
              </w:rPr>
              <w:t>TC/57/3</w:t>
            </w:r>
          </w:p>
          <w:p w14:paraId="09C4A072" w14:textId="77777777" w:rsidR="00EB4E9C" w:rsidRPr="00390A22" w:rsidRDefault="00EB4E9C" w:rsidP="003C7FBE">
            <w:pPr>
              <w:pStyle w:val="Docoriginal"/>
              <w:rPr>
                <w:lang w:val="es-419"/>
              </w:rPr>
            </w:pPr>
            <w:r w:rsidRPr="00390A22">
              <w:rPr>
                <w:lang w:val="es-419"/>
              </w:rPr>
              <w:t xml:space="preserve">Original: </w:t>
            </w:r>
            <w:proofErr w:type="gramStart"/>
            <w:r w:rsidRPr="00390A22">
              <w:rPr>
                <w:b w:val="0"/>
                <w:lang w:val="es-419"/>
              </w:rPr>
              <w:t>Inglés</w:t>
            </w:r>
            <w:proofErr w:type="gramEnd"/>
          </w:p>
          <w:p w14:paraId="574BDEA0" w14:textId="77777777" w:rsidR="00EE3C81" w:rsidRPr="00390A22" w:rsidRDefault="002E5944" w:rsidP="00884BDB">
            <w:pPr>
              <w:pStyle w:val="Docoriginal"/>
              <w:rPr>
                <w:b w:val="0"/>
                <w:spacing w:val="0"/>
                <w:lang w:val="es-419"/>
              </w:rPr>
            </w:pPr>
            <w:r w:rsidRPr="00390A22">
              <w:rPr>
                <w:lang w:val="es-419"/>
              </w:rPr>
              <w:t>Fecha:</w:t>
            </w:r>
            <w:r w:rsidRPr="00390A22">
              <w:rPr>
                <w:b w:val="0"/>
                <w:lang w:val="es-419"/>
              </w:rPr>
              <w:t xml:space="preserve"> 20 de agosto de 2021</w:t>
            </w:r>
          </w:p>
        </w:tc>
      </w:tr>
    </w:tbl>
    <w:p w14:paraId="1DCC10DF" w14:textId="77777777" w:rsidR="000D7780" w:rsidRPr="00390A22" w:rsidRDefault="00884BDB" w:rsidP="006A644A">
      <w:pPr>
        <w:pStyle w:val="Titleofdoc0"/>
        <w:rPr>
          <w:lang w:val="es-419"/>
        </w:rPr>
      </w:pPr>
      <w:bookmarkStart w:id="0" w:name="TitleOfDoc"/>
      <w:bookmarkEnd w:id="0"/>
      <w:r w:rsidRPr="00390A22">
        <w:rPr>
          <w:lang w:val="es-419"/>
        </w:rPr>
        <w:t>Cuestiones planteadas por los Grupos de Trabajo Técnico</w:t>
      </w:r>
    </w:p>
    <w:p w14:paraId="38AFFC46" w14:textId="77777777" w:rsidR="006A644A" w:rsidRPr="00390A22" w:rsidRDefault="000638A9" w:rsidP="006A644A">
      <w:pPr>
        <w:pStyle w:val="preparedby1"/>
        <w:jc w:val="left"/>
        <w:rPr>
          <w:lang w:val="es-419"/>
        </w:rPr>
      </w:pPr>
      <w:bookmarkStart w:id="1" w:name="Prepared"/>
      <w:bookmarkEnd w:id="1"/>
      <w:r w:rsidRPr="00390A22">
        <w:rPr>
          <w:lang w:val="es-419"/>
        </w:rPr>
        <w:t>Documento preparado por la Oficina de la Unión</w:t>
      </w:r>
    </w:p>
    <w:p w14:paraId="526DEB49" w14:textId="77777777" w:rsidR="00050E16" w:rsidRPr="00390A22" w:rsidRDefault="000638A9" w:rsidP="006A644A">
      <w:pPr>
        <w:pStyle w:val="Disclaimer"/>
        <w:rPr>
          <w:lang w:val="es-419"/>
        </w:rPr>
      </w:pPr>
      <w:r w:rsidRPr="00390A22">
        <w:rPr>
          <w:lang w:val="es-419"/>
        </w:rPr>
        <w:t>Descargo de responsabilidad: el presente documento no constituye un documento de política u orientación de la UPOV</w:t>
      </w:r>
    </w:p>
    <w:p w14:paraId="5DE831E6" w14:textId="77777777" w:rsidR="00884BDB" w:rsidRPr="00390A22" w:rsidRDefault="00884BDB" w:rsidP="00884BDB">
      <w:pPr>
        <w:pStyle w:val="Heading1"/>
        <w:rPr>
          <w:lang w:val="es-419"/>
        </w:rPr>
      </w:pPr>
      <w:bookmarkStart w:id="2" w:name="_Toc20505077"/>
      <w:bookmarkStart w:id="3" w:name="_Toc81201669"/>
      <w:bookmarkStart w:id="4" w:name="_Toc81205158"/>
      <w:r w:rsidRPr="00390A22">
        <w:rPr>
          <w:lang w:val="es-419"/>
        </w:rPr>
        <w:t>RESUMEN</w:t>
      </w:r>
      <w:bookmarkEnd w:id="2"/>
      <w:bookmarkEnd w:id="3"/>
      <w:bookmarkEnd w:id="4"/>
    </w:p>
    <w:p w14:paraId="2FCF315A" w14:textId="77777777" w:rsidR="00884BDB" w:rsidRPr="00390A22" w:rsidRDefault="00884BDB" w:rsidP="00884BDB">
      <w:pPr>
        <w:rPr>
          <w:color w:val="000000"/>
          <w:lang w:val="es-419"/>
        </w:rPr>
      </w:pPr>
    </w:p>
    <w:p w14:paraId="3AA519A5" w14:textId="7D55AF3B" w:rsidR="00884BDB" w:rsidRPr="00390A22" w:rsidRDefault="00884BDB" w:rsidP="00884BDB">
      <w:pPr>
        <w:rPr>
          <w:color w:val="000000"/>
          <w:lang w:val="es-419"/>
        </w:rPr>
      </w:pPr>
      <w:r w:rsidRPr="00390A22">
        <w:rPr>
          <w:color w:val="000000"/>
          <w:lang w:val="es-419"/>
        </w:rPr>
        <w:fldChar w:fldCharType="begin"/>
      </w:r>
      <w:r w:rsidRPr="00390A22">
        <w:rPr>
          <w:color w:val="000000"/>
          <w:lang w:val="es-419"/>
        </w:rPr>
        <w:instrText xml:space="preserve"> AUTONUM  </w:instrText>
      </w:r>
      <w:r w:rsidRPr="00390A22">
        <w:rPr>
          <w:color w:val="000000"/>
          <w:lang w:val="es-419"/>
        </w:rPr>
        <w:fldChar w:fldCharType="end"/>
      </w:r>
      <w:r w:rsidRPr="00390A22">
        <w:rPr>
          <w:lang w:val="es-419"/>
        </w:rPr>
        <w:tab/>
        <w:t>En el presente documento se resumen algunas de las cuestiones planteadas en las sesiones de 2021 del Grupo de Trabajo Técnico sobre Hortalizas (TWV),</w:t>
      </w:r>
      <w:r w:rsidRPr="00390A22">
        <w:rPr>
          <w:rFonts w:eastAsia="PMingLiU"/>
          <w:szCs w:val="24"/>
          <w:vertAlign w:val="superscript"/>
          <w:lang w:val="es-419"/>
        </w:rPr>
        <w:footnoteReference w:id="2"/>
      </w:r>
      <w:r w:rsidRPr="00390A22">
        <w:rPr>
          <w:lang w:val="es-419"/>
        </w:rPr>
        <w:t xml:space="preserve"> el Grupo de Trabajo Técnico sobre Plantas Ornamentales y Cultivos Forestales (TWO),</w:t>
      </w:r>
      <w:r w:rsidRPr="00390A22">
        <w:rPr>
          <w:rFonts w:eastAsia="PMingLiU"/>
          <w:szCs w:val="24"/>
          <w:vertAlign w:val="superscript"/>
          <w:lang w:val="es-419"/>
        </w:rPr>
        <w:footnoteReference w:id="3"/>
      </w:r>
      <w:r w:rsidRPr="00390A22">
        <w:rPr>
          <w:lang w:val="es-419"/>
        </w:rPr>
        <w:t xml:space="preserve"> el Grupo de Trabajo Técnico sobre Plantas Agrícolas (TWA),</w:t>
      </w:r>
      <w:r w:rsidRPr="00390A22">
        <w:rPr>
          <w:rFonts w:eastAsia="PMingLiU"/>
          <w:szCs w:val="24"/>
          <w:vertAlign w:val="superscript"/>
          <w:lang w:val="es-419"/>
        </w:rPr>
        <w:footnoteReference w:id="4"/>
      </w:r>
      <w:r w:rsidRPr="00390A22">
        <w:rPr>
          <w:lang w:val="es-419"/>
        </w:rPr>
        <w:t xml:space="preserve"> el Grupo de Trabajo Técnico sobre Plantas Frutales (TWF),</w:t>
      </w:r>
      <w:r w:rsidRPr="00390A22">
        <w:rPr>
          <w:color w:val="000000"/>
          <w:vertAlign w:val="superscript"/>
          <w:lang w:val="es-419"/>
        </w:rPr>
        <w:footnoteReference w:id="5"/>
      </w:r>
      <w:r w:rsidRPr="00390A22">
        <w:rPr>
          <w:lang w:val="es-419"/>
        </w:rPr>
        <w:t xml:space="preserve"> que no se incluyeron de manera explícita en ningún punto del orden del día.</w:t>
      </w:r>
      <w:r w:rsidR="00CE5864" w:rsidRPr="00390A22">
        <w:rPr>
          <w:color w:val="000000"/>
          <w:lang w:val="es-419"/>
        </w:rPr>
        <w:t xml:space="preserve"> </w:t>
      </w:r>
    </w:p>
    <w:p w14:paraId="6AD5A183" w14:textId="77777777" w:rsidR="00884BDB" w:rsidRPr="00390A22" w:rsidRDefault="00884BDB" w:rsidP="00884BDB">
      <w:pPr>
        <w:rPr>
          <w:color w:val="000000"/>
          <w:lang w:val="es-419"/>
        </w:rPr>
      </w:pPr>
    </w:p>
    <w:p w14:paraId="20A1FEE0" w14:textId="77777777" w:rsidR="00884BDB" w:rsidRPr="00390A22" w:rsidRDefault="00884BDB" w:rsidP="00884BDB">
      <w:pPr>
        <w:rPr>
          <w:color w:val="000000"/>
          <w:lang w:val="es-419"/>
        </w:rPr>
      </w:pPr>
      <w:r w:rsidRPr="00390A22">
        <w:rPr>
          <w:color w:val="000000"/>
          <w:lang w:val="es-419"/>
        </w:rPr>
        <w:fldChar w:fldCharType="begin"/>
      </w:r>
      <w:r w:rsidRPr="00390A22">
        <w:rPr>
          <w:color w:val="000000"/>
          <w:lang w:val="es-419"/>
        </w:rPr>
        <w:instrText xml:space="preserve"> AUTONUM  </w:instrText>
      </w:r>
      <w:r w:rsidRPr="00390A22">
        <w:rPr>
          <w:color w:val="000000"/>
          <w:lang w:val="es-419"/>
        </w:rPr>
        <w:fldChar w:fldCharType="end"/>
      </w:r>
      <w:r w:rsidRPr="00390A22">
        <w:rPr>
          <w:lang w:val="es-419"/>
        </w:rPr>
        <w:tab/>
      </w:r>
      <w:r w:rsidRPr="00390A22">
        <w:rPr>
          <w:color w:val="000000"/>
          <w:lang w:val="es-419"/>
        </w:rPr>
        <w:t xml:space="preserve">Las cuestiones planteadas en las sesiones del </w:t>
      </w:r>
      <w:r w:rsidRPr="00390A22">
        <w:rPr>
          <w:snapToGrid w:val="0"/>
          <w:color w:val="000000"/>
          <w:lang w:val="es-419"/>
        </w:rPr>
        <w:t>Grupo de Trabajo Técnico sobre Automatización y Programas Informáticos (TWC)</w:t>
      </w:r>
      <w:r w:rsidRPr="00390A22">
        <w:rPr>
          <w:snapToGrid w:val="0"/>
          <w:vertAlign w:val="superscript"/>
          <w:lang w:val="es-419"/>
        </w:rPr>
        <w:footnoteReference w:id="6"/>
      </w:r>
      <w:r w:rsidRPr="00390A22">
        <w:rPr>
          <w:snapToGrid w:val="0"/>
          <w:color w:val="000000"/>
          <w:lang w:val="es-419"/>
        </w:rPr>
        <w:t xml:space="preserve"> y el Grupo de Trabajo sobre Técnicas Bioquímicas y Moleculares, y Perfiles de ADN en particular (BMT),</w:t>
      </w:r>
      <w:r w:rsidRPr="00390A22">
        <w:rPr>
          <w:snapToGrid w:val="0"/>
          <w:vertAlign w:val="superscript"/>
          <w:lang w:val="es-419"/>
        </w:rPr>
        <w:footnoteReference w:id="7"/>
      </w:r>
      <w:r w:rsidRPr="00390A22">
        <w:rPr>
          <w:snapToGrid w:val="0"/>
          <w:color w:val="000000"/>
          <w:lang w:val="es-419"/>
        </w:rPr>
        <w:t xml:space="preserve"> que se celebrarán en septiembre de 2021, se expondrán en una adición del presente documento</w:t>
      </w:r>
      <w:r w:rsidRPr="00390A22">
        <w:rPr>
          <w:snapToGrid w:val="0"/>
          <w:lang w:val="es-419"/>
        </w:rPr>
        <w:t xml:space="preserve"> </w:t>
      </w:r>
    </w:p>
    <w:p w14:paraId="01BB9A97" w14:textId="77777777" w:rsidR="00884BDB" w:rsidRPr="00390A22" w:rsidRDefault="00884BDB" w:rsidP="00884BDB">
      <w:pPr>
        <w:rPr>
          <w:color w:val="000000"/>
          <w:lang w:val="es-419"/>
        </w:rPr>
      </w:pPr>
    </w:p>
    <w:p w14:paraId="152643B6" w14:textId="724ABA02" w:rsidR="00884BDB" w:rsidRPr="00390A22" w:rsidRDefault="00884BDB" w:rsidP="00884BDB">
      <w:pPr>
        <w:rPr>
          <w:lang w:val="es-419"/>
        </w:rPr>
      </w:pPr>
      <w:r w:rsidRPr="00390A22">
        <w:rPr>
          <w:color w:val="000000"/>
          <w:lang w:val="es-419"/>
        </w:rPr>
        <w:fldChar w:fldCharType="begin"/>
      </w:r>
      <w:r w:rsidRPr="00390A22">
        <w:rPr>
          <w:color w:val="000000"/>
          <w:lang w:val="es-419"/>
        </w:rPr>
        <w:instrText xml:space="preserve"> AUTONUM  </w:instrText>
      </w:r>
      <w:r w:rsidRPr="00390A22">
        <w:rPr>
          <w:color w:val="000000"/>
          <w:lang w:val="es-419"/>
        </w:rPr>
        <w:fldChar w:fldCharType="end"/>
      </w:r>
      <w:r w:rsidRPr="00390A22">
        <w:rPr>
          <w:lang w:val="es-419"/>
        </w:rPr>
        <w:tab/>
        <w:t>Estas cuestiones se presentan en dos secciones.</w:t>
      </w:r>
      <w:r w:rsidR="00CE5864" w:rsidRPr="00390A22">
        <w:rPr>
          <w:lang w:val="es-419"/>
        </w:rPr>
        <w:t xml:space="preserve"> </w:t>
      </w:r>
      <w:r w:rsidRPr="00390A22">
        <w:rPr>
          <w:lang w:val="es-419"/>
        </w:rPr>
        <w:t>En la primera sección “Cuestiones para información y para una eventual decisión del Comité Técnico (TC)</w:t>
      </w:r>
      <w:r w:rsidRPr="00390A22">
        <w:rPr>
          <w:caps/>
          <w:lang w:val="es-419"/>
        </w:rPr>
        <w:t>”</w:t>
      </w:r>
      <w:r w:rsidRPr="00390A22">
        <w:rPr>
          <w:lang w:val="es-419"/>
        </w:rPr>
        <w:t xml:space="preserve"> se exponen las cuestiones planteadas sobre las que el TC debe adoptar una decisión.</w:t>
      </w:r>
      <w:r w:rsidR="00CE5864" w:rsidRPr="00390A22">
        <w:rPr>
          <w:lang w:val="es-419"/>
        </w:rPr>
        <w:t xml:space="preserve"> </w:t>
      </w:r>
      <w:r w:rsidRPr="00390A22">
        <w:rPr>
          <w:lang w:val="es-419"/>
        </w:rPr>
        <w:t>La Oficina de la Unión (“la Oficina”) ha destacado los aspectos sobre los que el TC debe tomar una decisión mediante la inclusión de un párrafo que contiene una propuesta de decisión.</w:t>
      </w:r>
      <w:r w:rsidR="00CE5864" w:rsidRPr="00390A22">
        <w:rPr>
          <w:lang w:val="es-419"/>
        </w:rPr>
        <w:t xml:space="preserve"> </w:t>
      </w:r>
      <w:r w:rsidRPr="00390A22">
        <w:rPr>
          <w:lang w:val="es-419"/>
        </w:rPr>
        <w:t>En la segunda sección “Cuestiones para información” se exponen cuestiones para información del TC, acerca de las cuales no es necesario tomar decisiones en la presente etapa.</w:t>
      </w:r>
    </w:p>
    <w:p w14:paraId="78006114" w14:textId="77777777" w:rsidR="00884BDB" w:rsidRPr="00FD5BDB" w:rsidRDefault="00884BDB" w:rsidP="00884BDB">
      <w:pPr>
        <w:tabs>
          <w:tab w:val="left" w:pos="567"/>
          <w:tab w:val="left" w:pos="1701"/>
        </w:tabs>
        <w:ind w:left="1695" w:hanging="1695"/>
        <w:rPr>
          <w:rFonts w:eastAsia="PMingLiU"/>
          <w:sz w:val="18"/>
          <w:szCs w:val="24"/>
          <w:lang w:val="es-419"/>
        </w:rPr>
      </w:pPr>
    </w:p>
    <w:p w14:paraId="41992371" w14:textId="77777777" w:rsidR="00884BDB" w:rsidRPr="00390A22" w:rsidRDefault="00884BDB" w:rsidP="00884BDB">
      <w:pPr>
        <w:tabs>
          <w:tab w:val="left" w:pos="567"/>
        </w:tabs>
        <w:rPr>
          <w:lang w:val="es-419"/>
        </w:rPr>
      </w:pPr>
      <w:r w:rsidRPr="00390A22">
        <w:rPr>
          <w:lang w:val="es-419"/>
        </w:rPr>
        <w:fldChar w:fldCharType="begin"/>
      </w:r>
      <w:r w:rsidRPr="00390A22">
        <w:rPr>
          <w:lang w:val="es-419"/>
        </w:rPr>
        <w:instrText xml:space="preserve"> AUTONUM  </w:instrText>
      </w:r>
      <w:r w:rsidRPr="00390A22">
        <w:rPr>
          <w:lang w:val="es-419"/>
        </w:rPr>
        <w:fldChar w:fldCharType="end"/>
      </w:r>
      <w:r w:rsidRPr="00390A22">
        <w:rPr>
          <w:lang w:val="es-419"/>
        </w:rPr>
        <w:tab/>
        <w:t>Se invita al TC a tomar nota de las novedades acaecidas en los TWP en relación con las siguientes cuestiones:</w:t>
      </w:r>
    </w:p>
    <w:p w14:paraId="2AF18489" w14:textId="77777777" w:rsidR="00884BDB" w:rsidRPr="00FD5BDB" w:rsidRDefault="00884BDB" w:rsidP="00884BDB">
      <w:pPr>
        <w:tabs>
          <w:tab w:val="left" w:pos="567"/>
        </w:tabs>
        <w:rPr>
          <w:sz w:val="18"/>
          <w:lang w:val="es-419"/>
        </w:rPr>
      </w:pPr>
    </w:p>
    <w:p w14:paraId="0E76577C" w14:textId="77777777" w:rsidR="00884BDB" w:rsidRPr="00FD5BDB" w:rsidRDefault="00884BDB" w:rsidP="00884BDB">
      <w:pPr>
        <w:tabs>
          <w:tab w:val="left" w:pos="1701"/>
        </w:tabs>
        <w:ind w:left="1134" w:hanging="567"/>
        <w:rPr>
          <w:spacing w:val="-4"/>
          <w:lang w:val="es-419"/>
        </w:rPr>
      </w:pPr>
      <w:r w:rsidRPr="00390A22">
        <w:rPr>
          <w:lang w:val="es-419"/>
        </w:rPr>
        <w:t>i)</w:t>
      </w:r>
      <w:r w:rsidRPr="00390A22">
        <w:rPr>
          <w:lang w:val="es-419"/>
        </w:rPr>
        <w:tab/>
      </w:r>
      <w:r w:rsidRPr="00FD5BDB">
        <w:rPr>
          <w:spacing w:val="-4"/>
          <w:lang w:val="es-419"/>
        </w:rPr>
        <w:t>Acceso al material vegetal a efectos de la gestión de colecciones de variedades y el examen DHE;</w:t>
      </w:r>
    </w:p>
    <w:p w14:paraId="6D06F01C" w14:textId="77777777" w:rsidR="00884BDB" w:rsidRPr="00390A22" w:rsidRDefault="00884BDB" w:rsidP="00884BDB">
      <w:pPr>
        <w:tabs>
          <w:tab w:val="left" w:pos="1701"/>
        </w:tabs>
        <w:ind w:left="1134" w:hanging="567"/>
        <w:rPr>
          <w:lang w:val="es-419"/>
        </w:rPr>
      </w:pPr>
      <w:r w:rsidRPr="00390A22">
        <w:rPr>
          <w:lang w:val="es-419"/>
        </w:rPr>
        <w:t>ii)</w:t>
      </w:r>
      <w:r w:rsidRPr="00390A22">
        <w:rPr>
          <w:lang w:val="es-419"/>
        </w:rPr>
        <w:tab/>
        <w:t>Examen DHE de variedades mutantes de manzano;</w:t>
      </w:r>
    </w:p>
    <w:p w14:paraId="3E3647A0" w14:textId="77777777" w:rsidR="00884BDB" w:rsidRPr="00390A22" w:rsidRDefault="00884BDB" w:rsidP="00884BDB">
      <w:pPr>
        <w:tabs>
          <w:tab w:val="left" w:pos="1701"/>
        </w:tabs>
        <w:ind w:left="1134" w:hanging="567"/>
        <w:rPr>
          <w:lang w:val="es-419"/>
        </w:rPr>
      </w:pPr>
      <w:r w:rsidRPr="00390A22">
        <w:rPr>
          <w:lang w:val="es-419"/>
        </w:rPr>
        <w:t>iii)</w:t>
      </w:r>
      <w:r w:rsidRPr="00390A22">
        <w:rPr>
          <w:lang w:val="es-419"/>
        </w:rPr>
        <w:tab/>
        <w:t>Utilización de caracteres de resistencia a las enfermedades;</w:t>
      </w:r>
    </w:p>
    <w:p w14:paraId="43669CDE" w14:textId="77777777" w:rsidR="00884BDB" w:rsidRPr="00390A22" w:rsidRDefault="00884BDB" w:rsidP="00884BDB">
      <w:pPr>
        <w:tabs>
          <w:tab w:val="left" w:pos="1701"/>
        </w:tabs>
        <w:ind w:left="1134" w:hanging="567"/>
        <w:rPr>
          <w:lang w:val="es-419"/>
        </w:rPr>
      </w:pPr>
      <w:r w:rsidRPr="00390A22">
        <w:rPr>
          <w:lang w:val="es-419"/>
        </w:rPr>
        <w:t>iv)</w:t>
      </w:r>
      <w:r w:rsidRPr="00390A22">
        <w:rPr>
          <w:lang w:val="es-419"/>
        </w:rPr>
        <w:tab/>
        <w:t>Experiencias con nuevos tipos y especies;</w:t>
      </w:r>
    </w:p>
    <w:p w14:paraId="529CBF06" w14:textId="77777777" w:rsidR="00884BDB" w:rsidRPr="00390A22" w:rsidRDefault="00884BDB" w:rsidP="00884BDB">
      <w:pPr>
        <w:tabs>
          <w:tab w:val="left" w:pos="1701"/>
        </w:tabs>
        <w:ind w:left="1134" w:hanging="567"/>
        <w:rPr>
          <w:lang w:val="es-419"/>
        </w:rPr>
      </w:pPr>
      <w:r w:rsidRPr="00390A22">
        <w:rPr>
          <w:lang w:val="es-419"/>
        </w:rPr>
        <w:t>v)</w:t>
      </w:r>
      <w:r w:rsidRPr="00390A22">
        <w:rPr>
          <w:lang w:val="es-419"/>
        </w:rPr>
        <w:tab/>
        <w:t>Procedimientos para agrupar variedades mediante los códigos UPOV y fuentes de información pertinente;</w:t>
      </w:r>
    </w:p>
    <w:p w14:paraId="625922DE" w14:textId="77777777" w:rsidR="00884BDB" w:rsidRPr="00390A22" w:rsidRDefault="00884BDB" w:rsidP="00884BDB">
      <w:pPr>
        <w:tabs>
          <w:tab w:val="left" w:pos="1701"/>
        </w:tabs>
        <w:ind w:left="1134" w:hanging="567"/>
        <w:rPr>
          <w:lang w:val="es-419"/>
        </w:rPr>
      </w:pPr>
      <w:r w:rsidRPr="00390A22">
        <w:rPr>
          <w:lang w:val="es-419"/>
        </w:rPr>
        <w:t>vi)</w:t>
      </w:r>
      <w:r w:rsidRPr="00390A22">
        <w:rPr>
          <w:lang w:val="es-419"/>
        </w:rPr>
        <w:tab/>
        <w:t>Aportación de información sobre variedades similares en el formulario de la UPOV para la descripción de variedades;</w:t>
      </w:r>
    </w:p>
    <w:p w14:paraId="109B88C0" w14:textId="77777777" w:rsidR="00884BDB" w:rsidRPr="00390A22" w:rsidRDefault="00884BDB" w:rsidP="00884BDB">
      <w:pPr>
        <w:tabs>
          <w:tab w:val="left" w:pos="1701"/>
        </w:tabs>
        <w:ind w:left="1134" w:hanging="567"/>
        <w:rPr>
          <w:lang w:val="es-419"/>
        </w:rPr>
      </w:pPr>
      <w:r w:rsidRPr="00390A22">
        <w:rPr>
          <w:lang w:val="es-419"/>
        </w:rPr>
        <w:t>vii)</w:t>
      </w:r>
      <w:r w:rsidRPr="00390A22">
        <w:rPr>
          <w:lang w:val="es-419"/>
        </w:rPr>
        <w:tab/>
        <w:t>Evaluación de especies ornamentales mediante observaciones de plantas individuales (MS);</w:t>
      </w:r>
    </w:p>
    <w:p w14:paraId="39D9E905" w14:textId="77777777" w:rsidR="00884BDB" w:rsidRPr="00390A22" w:rsidRDefault="00884BDB" w:rsidP="00884BDB">
      <w:pPr>
        <w:tabs>
          <w:tab w:val="left" w:pos="1701"/>
        </w:tabs>
        <w:ind w:left="1134" w:hanging="567"/>
        <w:rPr>
          <w:lang w:val="es-419"/>
        </w:rPr>
      </w:pPr>
      <w:r w:rsidRPr="00390A22">
        <w:rPr>
          <w:lang w:val="es-419"/>
        </w:rPr>
        <w:t>viii)</w:t>
      </w:r>
      <w:r w:rsidRPr="00390A22">
        <w:rPr>
          <w:lang w:val="es-419"/>
        </w:rPr>
        <w:tab/>
        <w:t>Nuevas tecnologías en el examen DHE;</w:t>
      </w:r>
    </w:p>
    <w:p w14:paraId="77CD324A" w14:textId="77777777" w:rsidR="00884BDB" w:rsidRPr="00390A22" w:rsidRDefault="00884BDB" w:rsidP="00884BDB">
      <w:pPr>
        <w:tabs>
          <w:tab w:val="left" w:pos="1701"/>
        </w:tabs>
        <w:ind w:left="1134" w:hanging="567"/>
        <w:rPr>
          <w:lang w:val="es-419"/>
        </w:rPr>
      </w:pPr>
      <w:r w:rsidRPr="00390A22">
        <w:rPr>
          <w:lang w:val="es-419"/>
        </w:rPr>
        <w:lastRenderedPageBreak/>
        <w:t>ix)</w:t>
      </w:r>
      <w:r w:rsidRPr="00390A22">
        <w:rPr>
          <w:lang w:val="es-419"/>
        </w:rPr>
        <w:tab/>
        <w:t>Cuestiones de interés en relación con el examen DHE en el sector frutícola.</w:t>
      </w:r>
    </w:p>
    <w:p w14:paraId="160F3A0B" w14:textId="77777777" w:rsidR="00884BDB" w:rsidRPr="00390A22" w:rsidRDefault="00884BDB" w:rsidP="00884BDB">
      <w:pPr>
        <w:tabs>
          <w:tab w:val="left" w:pos="1701"/>
        </w:tabs>
        <w:rPr>
          <w:rFonts w:cs="Arial"/>
          <w:lang w:val="es-419"/>
        </w:rPr>
      </w:pPr>
    </w:p>
    <w:p w14:paraId="613286E5" w14:textId="77777777" w:rsidR="00884BDB" w:rsidRPr="00390A22" w:rsidRDefault="00884BDB" w:rsidP="00884BDB">
      <w:pPr>
        <w:keepNext/>
        <w:rPr>
          <w:color w:val="000000"/>
          <w:lang w:val="es-419"/>
        </w:rPr>
      </w:pPr>
      <w:r w:rsidRPr="00390A22">
        <w:rPr>
          <w:color w:val="000000"/>
          <w:lang w:val="es-419"/>
        </w:rPr>
        <w:fldChar w:fldCharType="begin"/>
      </w:r>
      <w:r w:rsidRPr="00390A22">
        <w:rPr>
          <w:color w:val="000000"/>
          <w:lang w:val="es-419"/>
        </w:rPr>
        <w:instrText xml:space="preserve"> AUTONUM  </w:instrText>
      </w:r>
      <w:r w:rsidRPr="00390A22">
        <w:rPr>
          <w:color w:val="000000"/>
          <w:lang w:val="es-419"/>
        </w:rPr>
        <w:fldChar w:fldCharType="end"/>
      </w:r>
      <w:r w:rsidRPr="00390A22">
        <w:rPr>
          <w:lang w:val="es-419"/>
        </w:rPr>
        <w:tab/>
        <w:t>En el presente documento se utilizan las abreviaturas siguientes:</w:t>
      </w:r>
    </w:p>
    <w:p w14:paraId="6A6DE34B" w14:textId="77777777" w:rsidR="00884BDB" w:rsidRPr="00390A22" w:rsidRDefault="00884BDB" w:rsidP="00884BDB">
      <w:pPr>
        <w:keepNext/>
        <w:ind w:left="1692" w:hanging="1125"/>
        <w:jc w:val="left"/>
        <w:rPr>
          <w:color w:val="000000"/>
          <w:lang w:val="es-419"/>
        </w:rPr>
      </w:pPr>
    </w:p>
    <w:p w14:paraId="14B5A7DD" w14:textId="77777777" w:rsidR="00884BDB" w:rsidRPr="00390A22" w:rsidRDefault="00884BDB" w:rsidP="00884BDB">
      <w:pPr>
        <w:keepNext/>
        <w:tabs>
          <w:tab w:val="left" w:pos="567"/>
          <w:tab w:val="left" w:pos="1701"/>
        </w:tabs>
        <w:rPr>
          <w:lang w:val="es-419"/>
        </w:rPr>
      </w:pPr>
      <w:r w:rsidRPr="00390A22">
        <w:rPr>
          <w:lang w:val="es-419"/>
        </w:rPr>
        <w:tab/>
        <w:t>CAJ:</w:t>
      </w:r>
      <w:r w:rsidRPr="00390A22">
        <w:rPr>
          <w:lang w:val="es-419"/>
        </w:rPr>
        <w:tab/>
        <w:t xml:space="preserve">Comité Administrativo y Jurídico </w:t>
      </w:r>
    </w:p>
    <w:p w14:paraId="17F5872E" w14:textId="77777777" w:rsidR="00884BDB" w:rsidRPr="00390A22" w:rsidRDefault="00884BDB" w:rsidP="00884BDB">
      <w:pPr>
        <w:keepNext/>
        <w:tabs>
          <w:tab w:val="left" w:pos="567"/>
          <w:tab w:val="left" w:pos="1701"/>
        </w:tabs>
        <w:rPr>
          <w:lang w:val="es-419"/>
        </w:rPr>
      </w:pPr>
      <w:r w:rsidRPr="00390A22">
        <w:rPr>
          <w:lang w:val="es-419"/>
        </w:rPr>
        <w:tab/>
        <w:t>TC:</w:t>
      </w:r>
      <w:r w:rsidRPr="00390A22">
        <w:rPr>
          <w:lang w:val="es-419"/>
        </w:rPr>
        <w:tab/>
        <w:t>Comité Técnico</w:t>
      </w:r>
    </w:p>
    <w:p w14:paraId="414FA489" w14:textId="77777777" w:rsidR="00884BDB" w:rsidRPr="00390A22" w:rsidRDefault="00884BDB" w:rsidP="00884BDB">
      <w:pPr>
        <w:keepNext/>
        <w:tabs>
          <w:tab w:val="left" w:pos="567"/>
          <w:tab w:val="left" w:pos="1701"/>
        </w:tabs>
        <w:rPr>
          <w:rFonts w:eastAsia="PMingLiU"/>
          <w:szCs w:val="24"/>
          <w:lang w:val="es-419"/>
        </w:rPr>
      </w:pPr>
      <w:r w:rsidRPr="00390A22">
        <w:rPr>
          <w:lang w:val="es-419"/>
        </w:rPr>
        <w:tab/>
        <w:t>TC-EDC:</w:t>
      </w:r>
      <w:r w:rsidRPr="00390A22">
        <w:rPr>
          <w:lang w:val="es-419"/>
        </w:rPr>
        <w:tab/>
        <w:t>Comité de Redacción Ampliado</w:t>
      </w:r>
    </w:p>
    <w:p w14:paraId="2767F7C9" w14:textId="77777777" w:rsidR="00884BDB" w:rsidRPr="00390A22" w:rsidRDefault="00884BDB" w:rsidP="00884BDB">
      <w:pPr>
        <w:keepNext/>
        <w:tabs>
          <w:tab w:val="left" w:pos="567"/>
          <w:tab w:val="left" w:pos="1701"/>
        </w:tabs>
        <w:rPr>
          <w:rFonts w:eastAsia="PMingLiU"/>
          <w:szCs w:val="24"/>
          <w:lang w:val="es-419"/>
        </w:rPr>
      </w:pPr>
      <w:r w:rsidRPr="00390A22">
        <w:rPr>
          <w:lang w:val="es-419"/>
        </w:rPr>
        <w:tab/>
        <w:t>TWA:</w:t>
      </w:r>
      <w:r w:rsidRPr="00390A22">
        <w:rPr>
          <w:lang w:val="es-419"/>
        </w:rPr>
        <w:tab/>
        <w:t>Grupo de Trabajo Técnico sobre Plantas Agrícolas</w:t>
      </w:r>
    </w:p>
    <w:p w14:paraId="5A998F98" w14:textId="77777777" w:rsidR="00884BDB" w:rsidRPr="00390A22" w:rsidRDefault="00884BDB" w:rsidP="00884BDB">
      <w:pPr>
        <w:keepNext/>
        <w:tabs>
          <w:tab w:val="left" w:pos="567"/>
          <w:tab w:val="left" w:pos="1701"/>
        </w:tabs>
        <w:rPr>
          <w:rFonts w:eastAsia="PMingLiU"/>
          <w:szCs w:val="24"/>
          <w:lang w:val="es-419"/>
        </w:rPr>
      </w:pPr>
      <w:r w:rsidRPr="00390A22">
        <w:rPr>
          <w:lang w:val="es-419"/>
        </w:rPr>
        <w:tab/>
        <w:t>TWC:</w:t>
      </w:r>
      <w:r w:rsidRPr="00390A22">
        <w:rPr>
          <w:lang w:val="es-419"/>
        </w:rPr>
        <w:tab/>
        <w:t>Grupo de Trabajo Técnico sobre Automatización y Programas Informáticos</w:t>
      </w:r>
    </w:p>
    <w:p w14:paraId="50268F30" w14:textId="77777777" w:rsidR="00884BDB" w:rsidRPr="00390A22" w:rsidRDefault="00884BDB" w:rsidP="00884BDB">
      <w:pPr>
        <w:keepNext/>
        <w:tabs>
          <w:tab w:val="left" w:pos="567"/>
          <w:tab w:val="left" w:pos="1701"/>
        </w:tabs>
        <w:rPr>
          <w:rFonts w:eastAsia="PMingLiU"/>
          <w:szCs w:val="24"/>
          <w:lang w:val="es-419"/>
        </w:rPr>
      </w:pPr>
      <w:r w:rsidRPr="00390A22">
        <w:rPr>
          <w:lang w:val="es-419"/>
        </w:rPr>
        <w:tab/>
        <w:t xml:space="preserve">TWF: </w:t>
      </w:r>
      <w:r w:rsidRPr="00390A22">
        <w:rPr>
          <w:lang w:val="es-419"/>
        </w:rPr>
        <w:tab/>
        <w:t>Grupo de Trabajo Técnico sobre Plantas Frutales</w:t>
      </w:r>
    </w:p>
    <w:p w14:paraId="724FFD86" w14:textId="77777777" w:rsidR="00884BDB" w:rsidRPr="00390A22" w:rsidRDefault="00884BDB" w:rsidP="00884BDB">
      <w:pPr>
        <w:keepNext/>
        <w:tabs>
          <w:tab w:val="left" w:pos="567"/>
          <w:tab w:val="left" w:pos="1701"/>
        </w:tabs>
        <w:rPr>
          <w:rFonts w:eastAsia="PMingLiU"/>
          <w:szCs w:val="24"/>
          <w:lang w:val="es-419"/>
        </w:rPr>
      </w:pPr>
      <w:r w:rsidRPr="00390A22">
        <w:rPr>
          <w:lang w:val="es-419"/>
        </w:rPr>
        <w:tab/>
        <w:t>TWO:</w:t>
      </w:r>
      <w:r w:rsidRPr="00390A22">
        <w:rPr>
          <w:lang w:val="es-419"/>
        </w:rPr>
        <w:tab/>
        <w:t>Grupo de Trabajo Técnico sobre Plantas Ornamentales y Árboles Forestales</w:t>
      </w:r>
    </w:p>
    <w:p w14:paraId="01BDFCC3" w14:textId="77777777" w:rsidR="00884BDB" w:rsidRPr="00390A22" w:rsidRDefault="00884BDB" w:rsidP="00884BDB">
      <w:pPr>
        <w:keepNext/>
        <w:tabs>
          <w:tab w:val="left" w:pos="567"/>
          <w:tab w:val="left" w:pos="1701"/>
        </w:tabs>
        <w:rPr>
          <w:rFonts w:eastAsia="PMingLiU"/>
          <w:szCs w:val="24"/>
          <w:lang w:val="es-419"/>
        </w:rPr>
      </w:pPr>
      <w:r w:rsidRPr="00390A22">
        <w:rPr>
          <w:lang w:val="es-419"/>
        </w:rPr>
        <w:tab/>
        <w:t>TWP:</w:t>
      </w:r>
      <w:r w:rsidRPr="00390A22">
        <w:rPr>
          <w:lang w:val="es-419"/>
        </w:rPr>
        <w:tab/>
        <w:t>Grupos de Trabajo Técnico</w:t>
      </w:r>
    </w:p>
    <w:p w14:paraId="70967AB6" w14:textId="77777777" w:rsidR="00884BDB" w:rsidRPr="00390A22" w:rsidRDefault="00884BDB" w:rsidP="00884BDB">
      <w:pPr>
        <w:keepNext/>
        <w:tabs>
          <w:tab w:val="left" w:pos="567"/>
          <w:tab w:val="left" w:pos="1701"/>
        </w:tabs>
        <w:rPr>
          <w:rFonts w:eastAsia="PMingLiU"/>
          <w:szCs w:val="24"/>
          <w:lang w:val="es-419"/>
        </w:rPr>
      </w:pPr>
      <w:r w:rsidRPr="00390A22">
        <w:rPr>
          <w:lang w:val="es-419"/>
        </w:rPr>
        <w:tab/>
        <w:t>TWV:</w:t>
      </w:r>
      <w:r w:rsidRPr="00390A22">
        <w:rPr>
          <w:lang w:val="es-419"/>
        </w:rPr>
        <w:tab/>
        <w:t>Grupo de Trabajo Técnico sobre Hortalizas</w:t>
      </w:r>
    </w:p>
    <w:p w14:paraId="57EE88F6" w14:textId="77777777" w:rsidR="00884BDB" w:rsidRPr="00390A22" w:rsidRDefault="00884BDB" w:rsidP="00884BDB">
      <w:pPr>
        <w:rPr>
          <w:highlight w:val="cyan"/>
          <w:lang w:val="es-419"/>
        </w:rPr>
      </w:pPr>
    </w:p>
    <w:p w14:paraId="7509250C" w14:textId="77777777" w:rsidR="00884BDB" w:rsidRPr="00390A22" w:rsidRDefault="00884BDB" w:rsidP="00884BDB">
      <w:pPr>
        <w:rPr>
          <w:lang w:val="es-419"/>
        </w:rPr>
      </w:pPr>
      <w:r w:rsidRPr="00390A22">
        <w:rPr>
          <w:color w:val="000000"/>
          <w:lang w:val="es-419"/>
        </w:rPr>
        <w:fldChar w:fldCharType="begin"/>
      </w:r>
      <w:r w:rsidRPr="00390A22">
        <w:rPr>
          <w:color w:val="000000"/>
          <w:lang w:val="es-419"/>
        </w:rPr>
        <w:instrText xml:space="preserve"> AUTONUM  </w:instrText>
      </w:r>
      <w:r w:rsidRPr="00390A22">
        <w:rPr>
          <w:color w:val="000000"/>
          <w:lang w:val="es-419"/>
        </w:rPr>
        <w:fldChar w:fldCharType="end"/>
      </w:r>
      <w:r w:rsidRPr="00390A22">
        <w:rPr>
          <w:color w:val="000000"/>
          <w:lang w:val="es-419"/>
        </w:rPr>
        <w:tab/>
      </w:r>
      <w:r w:rsidRPr="00390A22">
        <w:rPr>
          <w:lang w:val="es-419"/>
        </w:rPr>
        <w:t>El presente documento se estructura del modo siguiente:</w:t>
      </w:r>
    </w:p>
    <w:p w14:paraId="7ADF3BD6" w14:textId="77777777" w:rsidR="00884BDB" w:rsidRPr="00390A22" w:rsidRDefault="00884BDB" w:rsidP="00884BDB">
      <w:pPr>
        <w:rPr>
          <w:lang w:val="es-419"/>
        </w:rPr>
      </w:pPr>
    </w:p>
    <w:p w14:paraId="7270A769" w14:textId="3C6ED094" w:rsidR="000B5C08" w:rsidRPr="00390A22" w:rsidRDefault="00884BDB">
      <w:pPr>
        <w:pStyle w:val="TOC1"/>
        <w:rPr>
          <w:rFonts w:asciiTheme="minorHAnsi" w:eastAsiaTheme="minorEastAsia" w:hAnsiTheme="minorHAnsi" w:cstheme="minorBidi"/>
          <w:caps w:val="0"/>
          <w:noProof/>
          <w:sz w:val="22"/>
          <w:szCs w:val="22"/>
          <w:lang w:val="es-419" w:eastAsia="es-ES"/>
        </w:rPr>
      </w:pPr>
      <w:r w:rsidRPr="00390A22">
        <w:rPr>
          <w:rFonts w:eastAsia="MS Mincho" w:cs="Arial"/>
          <w:sz w:val="18"/>
          <w:lang w:val="es-419"/>
        </w:rPr>
        <w:fldChar w:fldCharType="begin"/>
      </w:r>
      <w:r w:rsidRPr="00390A22">
        <w:rPr>
          <w:rFonts w:eastAsia="MS Mincho" w:cs="Arial"/>
          <w:lang w:val="es-419"/>
        </w:rPr>
        <w:instrText xml:space="preserve"> TOC \o "1-2" \u </w:instrText>
      </w:r>
      <w:r w:rsidRPr="00390A22">
        <w:rPr>
          <w:rFonts w:eastAsia="MS Mincho" w:cs="Arial"/>
          <w:sz w:val="18"/>
          <w:lang w:val="es-419"/>
        </w:rPr>
        <w:fldChar w:fldCharType="separate"/>
      </w:r>
      <w:r w:rsidR="000B5C08" w:rsidRPr="00390A22">
        <w:rPr>
          <w:noProof/>
          <w:lang w:val="es-419"/>
        </w:rPr>
        <w:t>RESUMEN</w:t>
      </w:r>
      <w:r w:rsidR="000B5C08" w:rsidRPr="00390A22">
        <w:rPr>
          <w:noProof/>
          <w:lang w:val="es-419"/>
        </w:rPr>
        <w:tab/>
      </w:r>
      <w:r w:rsidR="000B5C08" w:rsidRPr="00390A22">
        <w:rPr>
          <w:noProof/>
          <w:lang w:val="es-419"/>
        </w:rPr>
        <w:fldChar w:fldCharType="begin"/>
      </w:r>
      <w:r w:rsidR="000B5C08" w:rsidRPr="00390A22">
        <w:rPr>
          <w:noProof/>
          <w:lang w:val="es-419"/>
        </w:rPr>
        <w:instrText xml:space="preserve"> PAGEREF _Toc81205158 \h </w:instrText>
      </w:r>
      <w:r w:rsidR="000B5C08" w:rsidRPr="00390A22">
        <w:rPr>
          <w:noProof/>
          <w:lang w:val="es-419"/>
        </w:rPr>
      </w:r>
      <w:r w:rsidR="000B5C08" w:rsidRPr="00390A22">
        <w:rPr>
          <w:noProof/>
          <w:lang w:val="es-419"/>
        </w:rPr>
        <w:fldChar w:fldCharType="separate"/>
      </w:r>
      <w:r w:rsidR="000B5C08" w:rsidRPr="00390A22">
        <w:rPr>
          <w:noProof/>
          <w:lang w:val="es-419"/>
        </w:rPr>
        <w:t>1</w:t>
      </w:r>
      <w:r w:rsidR="000B5C08" w:rsidRPr="00390A22">
        <w:rPr>
          <w:noProof/>
          <w:lang w:val="es-419"/>
        </w:rPr>
        <w:fldChar w:fldCharType="end"/>
      </w:r>
    </w:p>
    <w:p w14:paraId="66D36938" w14:textId="37CFEF9C" w:rsidR="000B5C08" w:rsidRPr="00390A22" w:rsidRDefault="000B5C08">
      <w:pPr>
        <w:pStyle w:val="TOC1"/>
        <w:rPr>
          <w:rFonts w:asciiTheme="minorHAnsi" w:eastAsiaTheme="minorEastAsia" w:hAnsiTheme="minorHAnsi" w:cstheme="minorBidi"/>
          <w:caps w:val="0"/>
          <w:noProof/>
          <w:sz w:val="22"/>
          <w:szCs w:val="22"/>
          <w:lang w:val="es-419" w:eastAsia="es-ES"/>
        </w:rPr>
      </w:pPr>
      <w:r w:rsidRPr="00390A22">
        <w:rPr>
          <w:noProof/>
          <w:lang w:val="es-419"/>
        </w:rPr>
        <w:t>Cuestiones para información y para una eventual decisión del Comité Técnico (TC)</w:t>
      </w:r>
      <w:r w:rsidRPr="00390A22">
        <w:rPr>
          <w:noProof/>
          <w:lang w:val="es-419"/>
        </w:rPr>
        <w:tab/>
      </w:r>
      <w:r w:rsidRPr="00390A22">
        <w:rPr>
          <w:noProof/>
          <w:lang w:val="es-419"/>
        </w:rPr>
        <w:fldChar w:fldCharType="begin"/>
      </w:r>
      <w:r w:rsidRPr="00390A22">
        <w:rPr>
          <w:noProof/>
          <w:lang w:val="es-419"/>
        </w:rPr>
        <w:instrText xml:space="preserve"> PAGEREF _Toc81205159 \h </w:instrText>
      </w:r>
      <w:r w:rsidRPr="00390A22">
        <w:rPr>
          <w:noProof/>
          <w:lang w:val="es-419"/>
        </w:rPr>
      </w:r>
      <w:r w:rsidRPr="00390A22">
        <w:rPr>
          <w:noProof/>
          <w:lang w:val="es-419"/>
        </w:rPr>
        <w:fldChar w:fldCharType="separate"/>
      </w:r>
      <w:r w:rsidRPr="00390A22">
        <w:rPr>
          <w:noProof/>
          <w:lang w:val="es-419"/>
        </w:rPr>
        <w:t>2</w:t>
      </w:r>
      <w:r w:rsidRPr="00390A22">
        <w:rPr>
          <w:noProof/>
          <w:lang w:val="es-419"/>
        </w:rPr>
        <w:fldChar w:fldCharType="end"/>
      </w:r>
    </w:p>
    <w:p w14:paraId="57786FC5" w14:textId="2BBE8E44" w:rsidR="000B5C08" w:rsidRPr="00390A22" w:rsidRDefault="000B5C08">
      <w:pPr>
        <w:pStyle w:val="TOC1"/>
        <w:rPr>
          <w:rFonts w:asciiTheme="minorHAnsi" w:eastAsiaTheme="minorEastAsia" w:hAnsiTheme="minorHAnsi" w:cstheme="minorBidi"/>
          <w:caps w:val="0"/>
          <w:noProof/>
          <w:sz w:val="22"/>
          <w:szCs w:val="22"/>
          <w:lang w:val="es-419" w:eastAsia="es-ES"/>
        </w:rPr>
      </w:pPr>
      <w:r w:rsidRPr="00390A22">
        <w:rPr>
          <w:noProof/>
          <w:lang w:val="es-419"/>
        </w:rPr>
        <w:t>Cuestiones para información</w:t>
      </w:r>
      <w:r w:rsidRPr="00390A22">
        <w:rPr>
          <w:noProof/>
          <w:lang w:val="es-419"/>
        </w:rPr>
        <w:tab/>
      </w:r>
      <w:r w:rsidRPr="00390A22">
        <w:rPr>
          <w:noProof/>
          <w:lang w:val="es-419"/>
        </w:rPr>
        <w:fldChar w:fldCharType="begin"/>
      </w:r>
      <w:r w:rsidRPr="00390A22">
        <w:rPr>
          <w:noProof/>
          <w:lang w:val="es-419"/>
        </w:rPr>
        <w:instrText xml:space="preserve"> PAGEREF _Toc81205160 \h </w:instrText>
      </w:r>
      <w:r w:rsidRPr="00390A22">
        <w:rPr>
          <w:noProof/>
          <w:lang w:val="es-419"/>
        </w:rPr>
      </w:r>
      <w:r w:rsidRPr="00390A22">
        <w:rPr>
          <w:noProof/>
          <w:lang w:val="es-419"/>
        </w:rPr>
        <w:fldChar w:fldCharType="separate"/>
      </w:r>
      <w:r w:rsidRPr="00390A22">
        <w:rPr>
          <w:noProof/>
          <w:lang w:val="es-419"/>
        </w:rPr>
        <w:t>2</w:t>
      </w:r>
      <w:r w:rsidRPr="00390A22">
        <w:rPr>
          <w:noProof/>
          <w:lang w:val="es-419"/>
        </w:rPr>
        <w:fldChar w:fldCharType="end"/>
      </w:r>
    </w:p>
    <w:p w14:paraId="4264BE05" w14:textId="43A6267F" w:rsidR="000B5C08" w:rsidRPr="00390A22" w:rsidRDefault="000B5C08">
      <w:pPr>
        <w:pStyle w:val="TOC2"/>
        <w:rPr>
          <w:rFonts w:asciiTheme="minorHAnsi" w:eastAsiaTheme="minorEastAsia" w:hAnsiTheme="minorHAnsi" w:cstheme="minorBidi"/>
          <w:smallCaps w:val="0"/>
          <w:noProof/>
          <w:sz w:val="18"/>
          <w:szCs w:val="18"/>
          <w:lang w:val="es-419" w:eastAsia="es-ES"/>
        </w:rPr>
      </w:pPr>
      <w:r w:rsidRPr="00390A22">
        <w:rPr>
          <w:smallCaps w:val="0"/>
          <w:noProof/>
          <w:sz w:val="18"/>
          <w:szCs w:val="18"/>
          <w:lang w:val="es-419"/>
        </w:rPr>
        <w:t>Acceso al material vegetal a efectos de la gestión de colecciones de variedades y el examen DHE</w:t>
      </w:r>
      <w:r w:rsidRPr="00390A22">
        <w:rPr>
          <w:smallCaps w:val="0"/>
          <w:noProof/>
          <w:sz w:val="18"/>
          <w:szCs w:val="18"/>
          <w:lang w:val="es-419"/>
        </w:rPr>
        <w:tab/>
      </w:r>
      <w:r w:rsidRPr="00390A22">
        <w:rPr>
          <w:smallCaps w:val="0"/>
          <w:noProof/>
          <w:sz w:val="18"/>
          <w:szCs w:val="18"/>
          <w:lang w:val="es-419"/>
        </w:rPr>
        <w:fldChar w:fldCharType="begin"/>
      </w:r>
      <w:r w:rsidRPr="00390A22">
        <w:rPr>
          <w:smallCaps w:val="0"/>
          <w:noProof/>
          <w:sz w:val="18"/>
          <w:szCs w:val="18"/>
          <w:lang w:val="es-419"/>
        </w:rPr>
        <w:instrText xml:space="preserve"> PAGEREF _Toc81205161 \h </w:instrText>
      </w:r>
      <w:r w:rsidRPr="00390A22">
        <w:rPr>
          <w:smallCaps w:val="0"/>
          <w:noProof/>
          <w:sz w:val="18"/>
          <w:szCs w:val="18"/>
          <w:lang w:val="es-419"/>
        </w:rPr>
      </w:r>
      <w:r w:rsidRPr="00390A22">
        <w:rPr>
          <w:smallCaps w:val="0"/>
          <w:noProof/>
          <w:sz w:val="18"/>
          <w:szCs w:val="18"/>
          <w:lang w:val="es-419"/>
        </w:rPr>
        <w:fldChar w:fldCharType="separate"/>
      </w:r>
      <w:r w:rsidRPr="00390A22">
        <w:rPr>
          <w:smallCaps w:val="0"/>
          <w:noProof/>
          <w:sz w:val="18"/>
          <w:szCs w:val="18"/>
          <w:lang w:val="es-419"/>
        </w:rPr>
        <w:t>2</w:t>
      </w:r>
      <w:r w:rsidRPr="00390A22">
        <w:rPr>
          <w:smallCaps w:val="0"/>
          <w:noProof/>
          <w:sz w:val="18"/>
          <w:szCs w:val="18"/>
          <w:lang w:val="es-419"/>
        </w:rPr>
        <w:fldChar w:fldCharType="end"/>
      </w:r>
    </w:p>
    <w:p w14:paraId="2DDA9D69" w14:textId="0BB7F09D" w:rsidR="000B5C08" w:rsidRPr="00390A22" w:rsidRDefault="000B5C08">
      <w:pPr>
        <w:pStyle w:val="TOC2"/>
        <w:rPr>
          <w:rFonts w:asciiTheme="minorHAnsi" w:eastAsiaTheme="minorEastAsia" w:hAnsiTheme="minorHAnsi" w:cstheme="minorBidi"/>
          <w:smallCaps w:val="0"/>
          <w:noProof/>
          <w:sz w:val="18"/>
          <w:szCs w:val="18"/>
          <w:lang w:val="es-419" w:eastAsia="es-ES"/>
        </w:rPr>
      </w:pPr>
      <w:r w:rsidRPr="00390A22">
        <w:rPr>
          <w:smallCaps w:val="0"/>
          <w:noProof/>
          <w:sz w:val="18"/>
          <w:szCs w:val="18"/>
          <w:lang w:val="es-419"/>
        </w:rPr>
        <w:t>Examen DHE de variedades mutantes de manzano</w:t>
      </w:r>
      <w:r w:rsidRPr="00390A22">
        <w:rPr>
          <w:smallCaps w:val="0"/>
          <w:noProof/>
          <w:sz w:val="18"/>
          <w:szCs w:val="18"/>
          <w:lang w:val="es-419"/>
        </w:rPr>
        <w:tab/>
      </w:r>
      <w:r w:rsidRPr="00390A22">
        <w:rPr>
          <w:smallCaps w:val="0"/>
          <w:noProof/>
          <w:sz w:val="18"/>
          <w:szCs w:val="18"/>
          <w:lang w:val="es-419"/>
        </w:rPr>
        <w:fldChar w:fldCharType="begin"/>
      </w:r>
      <w:r w:rsidRPr="00390A22">
        <w:rPr>
          <w:smallCaps w:val="0"/>
          <w:noProof/>
          <w:sz w:val="18"/>
          <w:szCs w:val="18"/>
          <w:lang w:val="es-419"/>
        </w:rPr>
        <w:instrText xml:space="preserve"> PAGEREF _Toc81205162 \h </w:instrText>
      </w:r>
      <w:r w:rsidRPr="00390A22">
        <w:rPr>
          <w:smallCaps w:val="0"/>
          <w:noProof/>
          <w:sz w:val="18"/>
          <w:szCs w:val="18"/>
          <w:lang w:val="es-419"/>
        </w:rPr>
      </w:r>
      <w:r w:rsidRPr="00390A22">
        <w:rPr>
          <w:smallCaps w:val="0"/>
          <w:noProof/>
          <w:sz w:val="18"/>
          <w:szCs w:val="18"/>
          <w:lang w:val="es-419"/>
        </w:rPr>
        <w:fldChar w:fldCharType="separate"/>
      </w:r>
      <w:r w:rsidRPr="00390A22">
        <w:rPr>
          <w:smallCaps w:val="0"/>
          <w:noProof/>
          <w:sz w:val="18"/>
          <w:szCs w:val="18"/>
          <w:lang w:val="es-419"/>
        </w:rPr>
        <w:t>3</w:t>
      </w:r>
      <w:r w:rsidRPr="00390A22">
        <w:rPr>
          <w:smallCaps w:val="0"/>
          <w:noProof/>
          <w:sz w:val="18"/>
          <w:szCs w:val="18"/>
          <w:lang w:val="es-419"/>
        </w:rPr>
        <w:fldChar w:fldCharType="end"/>
      </w:r>
    </w:p>
    <w:p w14:paraId="36D58595" w14:textId="6B2697F1" w:rsidR="000B5C08" w:rsidRPr="00390A22" w:rsidRDefault="000B5C08">
      <w:pPr>
        <w:pStyle w:val="TOC2"/>
        <w:rPr>
          <w:rFonts w:asciiTheme="minorHAnsi" w:eastAsiaTheme="minorEastAsia" w:hAnsiTheme="minorHAnsi" w:cstheme="minorBidi"/>
          <w:smallCaps w:val="0"/>
          <w:noProof/>
          <w:sz w:val="18"/>
          <w:szCs w:val="18"/>
          <w:lang w:val="es-419" w:eastAsia="es-ES"/>
        </w:rPr>
      </w:pPr>
      <w:r w:rsidRPr="00390A22">
        <w:rPr>
          <w:smallCaps w:val="0"/>
          <w:noProof/>
          <w:snapToGrid w:val="0"/>
          <w:sz w:val="18"/>
          <w:szCs w:val="18"/>
          <w:lang w:val="es-419"/>
        </w:rPr>
        <w:t>Utilización de caracteres de resistencia a las enfermedades</w:t>
      </w:r>
      <w:r w:rsidRPr="00390A22">
        <w:rPr>
          <w:smallCaps w:val="0"/>
          <w:noProof/>
          <w:sz w:val="18"/>
          <w:szCs w:val="18"/>
          <w:lang w:val="es-419"/>
        </w:rPr>
        <w:tab/>
      </w:r>
      <w:r w:rsidRPr="00390A22">
        <w:rPr>
          <w:smallCaps w:val="0"/>
          <w:noProof/>
          <w:sz w:val="18"/>
          <w:szCs w:val="18"/>
          <w:lang w:val="es-419"/>
        </w:rPr>
        <w:fldChar w:fldCharType="begin"/>
      </w:r>
      <w:r w:rsidRPr="00390A22">
        <w:rPr>
          <w:smallCaps w:val="0"/>
          <w:noProof/>
          <w:sz w:val="18"/>
          <w:szCs w:val="18"/>
          <w:lang w:val="es-419"/>
        </w:rPr>
        <w:instrText xml:space="preserve"> PAGEREF _Toc81205163 \h </w:instrText>
      </w:r>
      <w:r w:rsidRPr="00390A22">
        <w:rPr>
          <w:smallCaps w:val="0"/>
          <w:noProof/>
          <w:sz w:val="18"/>
          <w:szCs w:val="18"/>
          <w:lang w:val="es-419"/>
        </w:rPr>
      </w:r>
      <w:r w:rsidRPr="00390A22">
        <w:rPr>
          <w:smallCaps w:val="0"/>
          <w:noProof/>
          <w:sz w:val="18"/>
          <w:szCs w:val="18"/>
          <w:lang w:val="es-419"/>
        </w:rPr>
        <w:fldChar w:fldCharType="separate"/>
      </w:r>
      <w:r w:rsidRPr="00390A22">
        <w:rPr>
          <w:smallCaps w:val="0"/>
          <w:noProof/>
          <w:sz w:val="18"/>
          <w:szCs w:val="18"/>
          <w:lang w:val="es-419"/>
        </w:rPr>
        <w:t>3</w:t>
      </w:r>
      <w:r w:rsidRPr="00390A22">
        <w:rPr>
          <w:smallCaps w:val="0"/>
          <w:noProof/>
          <w:sz w:val="18"/>
          <w:szCs w:val="18"/>
          <w:lang w:val="es-419"/>
        </w:rPr>
        <w:fldChar w:fldCharType="end"/>
      </w:r>
    </w:p>
    <w:p w14:paraId="38728710" w14:textId="3E874433" w:rsidR="000B5C08" w:rsidRPr="00390A22" w:rsidRDefault="000B5C08">
      <w:pPr>
        <w:pStyle w:val="TOC2"/>
        <w:rPr>
          <w:rFonts w:asciiTheme="minorHAnsi" w:eastAsiaTheme="minorEastAsia" w:hAnsiTheme="minorHAnsi" w:cstheme="minorBidi"/>
          <w:smallCaps w:val="0"/>
          <w:noProof/>
          <w:sz w:val="18"/>
          <w:szCs w:val="18"/>
          <w:lang w:val="es-419" w:eastAsia="es-ES"/>
        </w:rPr>
      </w:pPr>
      <w:r w:rsidRPr="00390A22">
        <w:rPr>
          <w:smallCaps w:val="0"/>
          <w:noProof/>
          <w:sz w:val="18"/>
          <w:szCs w:val="18"/>
          <w:lang w:val="es-419"/>
        </w:rPr>
        <w:t>Experiencias con nuevos tipos y especies</w:t>
      </w:r>
      <w:r w:rsidRPr="00390A22">
        <w:rPr>
          <w:smallCaps w:val="0"/>
          <w:noProof/>
          <w:sz w:val="18"/>
          <w:szCs w:val="18"/>
          <w:lang w:val="es-419"/>
        </w:rPr>
        <w:tab/>
      </w:r>
      <w:r w:rsidRPr="00390A22">
        <w:rPr>
          <w:smallCaps w:val="0"/>
          <w:noProof/>
          <w:sz w:val="18"/>
          <w:szCs w:val="18"/>
          <w:lang w:val="es-419"/>
        </w:rPr>
        <w:fldChar w:fldCharType="begin"/>
      </w:r>
      <w:r w:rsidRPr="00390A22">
        <w:rPr>
          <w:smallCaps w:val="0"/>
          <w:noProof/>
          <w:sz w:val="18"/>
          <w:szCs w:val="18"/>
          <w:lang w:val="es-419"/>
        </w:rPr>
        <w:instrText xml:space="preserve"> PAGEREF _Toc81205164 \h </w:instrText>
      </w:r>
      <w:r w:rsidRPr="00390A22">
        <w:rPr>
          <w:smallCaps w:val="0"/>
          <w:noProof/>
          <w:sz w:val="18"/>
          <w:szCs w:val="18"/>
          <w:lang w:val="es-419"/>
        </w:rPr>
      </w:r>
      <w:r w:rsidRPr="00390A22">
        <w:rPr>
          <w:smallCaps w:val="0"/>
          <w:noProof/>
          <w:sz w:val="18"/>
          <w:szCs w:val="18"/>
          <w:lang w:val="es-419"/>
        </w:rPr>
        <w:fldChar w:fldCharType="separate"/>
      </w:r>
      <w:r w:rsidRPr="00390A22">
        <w:rPr>
          <w:smallCaps w:val="0"/>
          <w:noProof/>
          <w:sz w:val="18"/>
          <w:szCs w:val="18"/>
          <w:lang w:val="es-419"/>
        </w:rPr>
        <w:t>3</w:t>
      </w:r>
      <w:r w:rsidRPr="00390A22">
        <w:rPr>
          <w:smallCaps w:val="0"/>
          <w:noProof/>
          <w:sz w:val="18"/>
          <w:szCs w:val="18"/>
          <w:lang w:val="es-419"/>
        </w:rPr>
        <w:fldChar w:fldCharType="end"/>
      </w:r>
    </w:p>
    <w:p w14:paraId="1CB433CD" w14:textId="4A5BB8E4" w:rsidR="000B5C08" w:rsidRPr="00390A22" w:rsidRDefault="000B5C08">
      <w:pPr>
        <w:pStyle w:val="TOC2"/>
        <w:rPr>
          <w:rFonts w:asciiTheme="minorHAnsi" w:eastAsiaTheme="minorEastAsia" w:hAnsiTheme="minorHAnsi" w:cstheme="minorBidi"/>
          <w:smallCaps w:val="0"/>
          <w:noProof/>
          <w:sz w:val="18"/>
          <w:szCs w:val="18"/>
          <w:lang w:val="es-419" w:eastAsia="es-ES"/>
        </w:rPr>
      </w:pPr>
      <w:r w:rsidRPr="00390A22">
        <w:rPr>
          <w:smallCaps w:val="0"/>
          <w:noProof/>
          <w:sz w:val="18"/>
          <w:szCs w:val="18"/>
          <w:lang w:val="es-419"/>
        </w:rPr>
        <w:t>Procedimientos para agrupar variedades mediante los códigos UPOV y fuentes de información pertinente</w:t>
      </w:r>
      <w:r w:rsidRPr="00390A22">
        <w:rPr>
          <w:smallCaps w:val="0"/>
          <w:noProof/>
          <w:sz w:val="18"/>
          <w:szCs w:val="18"/>
          <w:lang w:val="es-419"/>
        </w:rPr>
        <w:tab/>
      </w:r>
      <w:r w:rsidRPr="00390A22">
        <w:rPr>
          <w:smallCaps w:val="0"/>
          <w:noProof/>
          <w:sz w:val="18"/>
          <w:szCs w:val="18"/>
          <w:lang w:val="es-419"/>
        </w:rPr>
        <w:fldChar w:fldCharType="begin"/>
      </w:r>
      <w:r w:rsidRPr="00390A22">
        <w:rPr>
          <w:smallCaps w:val="0"/>
          <w:noProof/>
          <w:sz w:val="18"/>
          <w:szCs w:val="18"/>
          <w:lang w:val="es-419"/>
        </w:rPr>
        <w:instrText xml:space="preserve"> PAGEREF _Toc81205165 \h </w:instrText>
      </w:r>
      <w:r w:rsidRPr="00390A22">
        <w:rPr>
          <w:smallCaps w:val="0"/>
          <w:noProof/>
          <w:sz w:val="18"/>
          <w:szCs w:val="18"/>
          <w:lang w:val="es-419"/>
        </w:rPr>
      </w:r>
      <w:r w:rsidRPr="00390A22">
        <w:rPr>
          <w:smallCaps w:val="0"/>
          <w:noProof/>
          <w:sz w:val="18"/>
          <w:szCs w:val="18"/>
          <w:lang w:val="es-419"/>
        </w:rPr>
        <w:fldChar w:fldCharType="separate"/>
      </w:r>
      <w:r w:rsidRPr="00390A22">
        <w:rPr>
          <w:smallCaps w:val="0"/>
          <w:noProof/>
          <w:sz w:val="18"/>
          <w:szCs w:val="18"/>
          <w:lang w:val="es-419"/>
        </w:rPr>
        <w:t>4</w:t>
      </w:r>
      <w:r w:rsidRPr="00390A22">
        <w:rPr>
          <w:smallCaps w:val="0"/>
          <w:noProof/>
          <w:sz w:val="18"/>
          <w:szCs w:val="18"/>
          <w:lang w:val="es-419"/>
        </w:rPr>
        <w:fldChar w:fldCharType="end"/>
      </w:r>
    </w:p>
    <w:p w14:paraId="483401C9" w14:textId="508DA431" w:rsidR="000B5C08" w:rsidRPr="00390A22" w:rsidRDefault="000B5C08">
      <w:pPr>
        <w:pStyle w:val="TOC2"/>
        <w:rPr>
          <w:rFonts w:asciiTheme="minorHAnsi" w:eastAsiaTheme="minorEastAsia" w:hAnsiTheme="minorHAnsi" w:cstheme="minorBidi"/>
          <w:smallCaps w:val="0"/>
          <w:noProof/>
          <w:sz w:val="18"/>
          <w:szCs w:val="18"/>
          <w:lang w:val="es-419" w:eastAsia="es-ES"/>
        </w:rPr>
      </w:pPr>
      <w:r w:rsidRPr="00390A22">
        <w:rPr>
          <w:smallCaps w:val="0"/>
          <w:noProof/>
          <w:sz w:val="18"/>
          <w:szCs w:val="18"/>
          <w:lang w:val="es-419"/>
        </w:rPr>
        <w:t>Aportación de información sobre variedades similares en el formulario de la UPOV para la descripción de variedades</w:t>
      </w:r>
      <w:r w:rsidRPr="00390A22">
        <w:rPr>
          <w:smallCaps w:val="0"/>
          <w:noProof/>
          <w:sz w:val="18"/>
          <w:szCs w:val="18"/>
          <w:lang w:val="es-419"/>
        </w:rPr>
        <w:tab/>
      </w:r>
      <w:r w:rsidRPr="00390A22">
        <w:rPr>
          <w:smallCaps w:val="0"/>
          <w:noProof/>
          <w:sz w:val="18"/>
          <w:szCs w:val="18"/>
          <w:lang w:val="es-419"/>
        </w:rPr>
        <w:fldChar w:fldCharType="begin"/>
      </w:r>
      <w:r w:rsidRPr="00390A22">
        <w:rPr>
          <w:smallCaps w:val="0"/>
          <w:noProof/>
          <w:sz w:val="18"/>
          <w:szCs w:val="18"/>
          <w:lang w:val="es-419"/>
        </w:rPr>
        <w:instrText xml:space="preserve"> PAGEREF _Toc81205166 \h </w:instrText>
      </w:r>
      <w:r w:rsidRPr="00390A22">
        <w:rPr>
          <w:smallCaps w:val="0"/>
          <w:noProof/>
          <w:sz w:val="18"/>
          <w:szCs w:val="18"/>
          <w:lang w:val="es-419"/>
        </w:rPr>
      </w:r>
      <w:r w:rsidRPr="00390A22">
        <w:rPr>
          <w:smallCaps w:val="0"/>
          <w:noProof/>
          <w:sz w:val="18"/>
          <w:szCs w:val="18"/>
          <w:lang w:val="es-419"/>
        </w:rPr>
        <w:fldChar w:fldCharType="separate"/>
      </w:r>
      <w:r w:rsidRPr="00390A22">
        <w:rPr>
          <w:smallCaps w:val="0"/>
          <w:noProof/>
          <w:sz w:val="18"/>
          <w:szCs w:val="18"/>
          <w:lang w:val="es-419"/>
        </w:rPr>
        <w:t>4</w:t>
      </w:r>
      <w:r w:rsidRPr="00390A22">
        <w:rPr>
          <w:smallCaps w:val="0"/>
          <w:noProof/>
          <w:sz w:val="18"/>
          <w:szCs w:val="18"/>
          <w:lang w:val="es-419"/>
        </w:rPr>
        <w:fldChar w:fldCharType="end"/>
      </w:r>
    </w:p>
    <w:p w14:paraId="0E354C59" w14:textId="767B0FD2" w:rsidR="000B5C08" w:rsidRPr="00390A22" w:rsidRDefault="000B5C08">
      <w:pPr>
        <w:pStyle w:val="TOC2"/>
        <w:rPr>
          <w:rFonts w:asciiTheme="minorHAnsi" w:eastAsiaTheme="minorEastAsia" w:hAnsiTheme="minorHAnsi" w:cstheme="minorBidi"/>
          <w:smallCaps w:val="0"/>
          <w:noProof/>
          <w:sz w:val="18"/>
          <w:szCs w:val="18"/>
          <w:lang w:val="es-419" w:eastAsia="es-ES"/>
        </w:rPr>
      </w:pPr>
      <w:r w:rsidRPr="00390A22">
        <w:rPr>
          <w:smallCaps w:val="0"/>
          <w:noProof/>
          <w:sz w:val="18"/>
          <w:szCs w:val="18"/>
          <w:lang w:val="es-419"/>
        </w:rPr>
        <w:t>Evaluación de especies ornamentales mediante observaciones de plantas individuales (MS)</w:t>
      </w:r>
      <w:r w:rsidRPr="00390A22">
        <w:rPr>
          <w:smallCaps w:val="0"/>
          <w:noProof/>
          <w:sz w:val="18"/>
          <w:szCs w:val="18"/>
          <w:lang w:val="es-419"/>
        </w:rPr>
        <w:tab/>
      </w:r>
      <w:r w:rsidRPr="00390A22">
        <w:rPr>
          <w:smallCaps w:val="0"/>
          <w:noProof/>
          <w:sz w:val="18"/>
          <w:szCs w:val="18"/>
          <w:lang w:val="es-419"/>
        </w:rPr>
        <w:fldChar w:fldCharType="begin"/>
      </w:r>
      <w:r w:rsidRPr="00390A22">
        <w:rPr>
          <w:smallCaps w:val="0"/>
          <w:noProof/>
          <w:sz w:val="18"/>
          <w:szCs w:val="18"/>
          <w:lang w:val="es-419"/>
        </w:rPr>
        <w:instrText xml:space="preserve"> PAGEREF _Toc81205167 \h </w:instrText>
      </w:r>
      <w:r w:rsidRPr="00390A22">
        <w:rPr>
          <w:smallCaps w:val="0"/>
          <w:noProof/>
          <w:sz w:val="18"/>
          <w:szCs w:val="18"/>
          <w:lang w:val="es-419"/>
        </w:rPr>
      </w:r>
      <w:r w:rsidRPr="00390A22">
        <w:rPr>
          <w:smallCaps w:val="0"/>
          <w:noProof/>
          <w:sz w:val="18"/>
          <w:szCs w:val="18"/>
          <w:lang w:val="es-419"/>
        </w:rPr>
        <w:fldChar w:fldCharType="separate"/>
      </w:r>
      <w:r w:rsidRPr="00390A22">
        <w:rPr>
          <w:smallCaps w:val="0"/>
          <w:noProof/>
          <w:sz w:val="18"/>
          <w:szCs w:val="18"/>
          <w:lang w:val="es-419"/>
        </w:rPr>
        <w:t>4</w:t>
      </w:r>
      <w:r w:rsidRPr="00390A22">
        <w:rPr>
          <w:smallCaps w:val="0"/>
          <w:noProof/>
          <w:sz w:val="18"/>
          <w:szCs w:val="18"/>
          <w:lang w:val="es-419"/>
        </w:rPr>
        <w:fldChar w:fldCharType="end"/>
      </w:r>
    </w:p>
    <w:p w14:paraId="2DBE9B05" w14:textId="0A8169B2" w:rsidR="000B5C08" w:rsidRPr="00390A22" w:rsidRDefault="000B5C08">
      <w:pPr>
        <w:pStyle w:val="TOC2"/>
        <w:rPr>
          <w:rFonts w:asciiTheme="minorHAnsi" w:eastAsiaTheme="minorEastAsia" w:hAnsiTheme="minorHAnsi" w:cstheme="minorBidi"/>
          <w:smallCaps w:val="0"/>
          <w:noProof/>
          <w:sz w:val="18"/>
          <w:szCs w:val="18"/>
          <w:lang w:val="es-419" w:eastAsia="es-ES"/>
        </w:rPr>
      </w:pPr>
      <w:r w:rsidRPr="00390A22">
        <w:rPr>
          <w:smallCaps w:val="0"/>
          <w:noProof/>
          <w:sz w:val="18"/>
          <w:szCs w:val="18"/>
          <w:lang w:val="es-419"/>
        </w:rPr>
        <w:t>Nuevas tecnologías en el examen DHE</w:t>
      </w:r>
      <w:r w:rsidRPr="00390A22">
        <w:rPr>
          <w:smallCaps w:val="0"/>
          <w:noProof/>
          <w:sz w:val="18"/>
          <w:szCs w:val="18"/>
          <w:lang w:val="es-419"/>
        </w:rPr>
        <w:tab/>
      </w:r>
      <w:r w:rsidRPr="00390A22">
        <w:rPr>
          <w:smallCaps w:val="0"/>
          <w:noProof/>
          <w:sz w:val="18"/>
          <w:szCs w:val="18"/>
          <w:lang w:val="es-419"/>
        </w:rPr>
        <w:fldChar w:fldCharType="begin"/>
      </w:r>
      <w:r w:rsidRPr="00390A22">
        <w:rPr>
          <w:smallCaps w:val="0"/>
          <w:noProof/>
          <w:sz w:val="18"/>
          <w:szCs w:val="18"/>
          <w:lang w:val="es-419"/>
        </w:rPr>
        <w:instrText xml:space="preserve"> PAGEREF _Toc81205168 \h </w:instrText>
      </w:r>
      <w:r w:rsidRPr="00390A22">
        <w:rPr>
          <w:smallCaps w:val="0"/>
          <w:noProof/>
          <w:sz w:val="18"/>
          <w:szCs w:val="18"/>
          <w:lang w:val="es-419"/>
        </w:rPr>
      </w:r>
      <w:r w:rsidRPr="00390A22">
        <w:rPr>
          <w:smallCaps w:val="0"/>
          <w:noProof/>
          <w:sz w:val="18"/>
          <w:szCs w:val="18"/>
          <w:lang w:val="es-419"/>
        </w:rPr>
        <w:fldChar w:fldCharType="separate"/>
      </w:r>
      <w:r w:rsidRPr="00390A22">
        <w:rPr>
          <w:smallCaps w:val="0"/>
          <w:noProof/>
          <w:sz w:val="18"/>
          <w:szCs w:val="18"/>
          <w:lang w:val="es-419"/>
        </w:rPr>
        <w:t>4</w:t>
      </w:r>
      <w:r w:rsidRPr="00390A22">
        <w:rPr>
          <w:smallCaps w:val="0"/>
          <w:noProof/>
          <w:sz w:val="18"/>
          <w:szCs w:val="18"/>
          <w:lang w:val="es-419"/>
        </w:rPr>
        <w:fldChar w:fldCharType="end"/>
      </w:r>
    </w:p>
    <w:p w14:paraId="044DDA7F" w14:textId="19B2098D" w:rsidR="000B5C08" w:rsidRPr="00390A22" w:rsidRDefault="000B5C08">
      <w:pPr>
        <w:pStyle w:val="TOC2"/>
        <w:rPr>
          <w:rFonts w:asciiTheme="minorHAnsi" w:eastAsiaTheme="minorEastAsia" w:hAnsiTheme="minorHAnsi" w:cstheme="minorBidi"/>
          <w:smallCaps w:val="0"/>
          <w:noProof/>
          <w:sz w:val="22"/>
          <w:szCs w:val="22"/>
          <w:lang w:val="es-419" w:eastAsia="es-ES"/>
        </w:rPr>
      </w:pPr>
      <w:r w:rsidRPr="00390A22">
        <w:rPr>
          <w:smallCaps w:val="0"/>
          <w:noProof/>
          <w:sz w:val="18"/>
          <w:szCs w:val="18"/>
          <w:lang w:val="es-419"/>
        </w:rPr>
        <w:t>Cuestiones de interés en relación con el examen DHE en el sector frutícola</w:t>
      </w:r>
      <w:r w:rsidRPr="00390A22">
        <w:rPr>
          <w:noProof/>
          <w:lang w:val="es-419"/>
        </w:rPr>
        <w:tab/>
      </w:r>
      <w:r w:rsidRPr="00390A22">
        <w:rPr>
          <w:noProof/>
          <w:lang w:val="es-419"/>
        </w:rPr>
        <w:fldChar w:fldCharType="begin"/>
      </w:r>
      <w:r w:rsidRPr="00390A22">
        <w:rPr>
          <w:noProof/>
          <w:lang w:val="es-419"/>
        </w:rPr>
        <w:instrText xml:space="preserve"> PAGEREF _Toc81205169 \h </w:instrText>
      </w:r>
      <w:r w:rsidRPr="00390A22">
        <w:rPr>
          <w:noProof/>
          <w:lang w:val="es-419"/>
        </w:rPr>
      </w:r>
      <w:r w:rsidRPr="00390A22">
        <w:rPr>
          <w:noProof/>
          <w:lang w:val="es-419"/>
        </w:rPr>
        <w:fldChar w:fldCharType="separate"/>
      </w:r>
      <w:r w:rsidRPr="00390A22">
        <w:rPr>
          <w:noProof/>
          <w:lang w:val="es-419"/>
        </w:rPr>
        <w:t>5</w:t>
      </w:r>
      <w:r w:rsidRPr="00390A22">
        <w:rPr>
          <w:noProof/>
          <w:lang w:val="es-419"/>
        </w:rPr>
        <w:fldChar w:fldCharType="end"/>
      </w:r>
    </w:p>
    <w:p w14:paraId="33607B8D" w14:textId="0A22C1C7" w:rsidR="00CE5864" w:rsidRPr="00390A22" w:rsidRDefault="00884BDB" w:rsidP="00884BDB">
      <w:pPr>
        <w:rPr>
          <w:noProof/>
          <w:lang w:val="es-419"/>
        </w:rPr>
      </w:pPr>
      <w:r w:rsidRPr="00390A22">
        <w:rPr>
          <w:rFonts w:eastAsia="MS Mincho" w:cs="Arial"/>
          <w:i/>
          <w:lang w:val="es-419"/>
        </w:rPr>
        <w:fldChar w:fldCharType="end"/>
      </w:r>
      <w:r w:rsidRPr="00390A22">
        <w:rPr>
          <w:caps/>
          <w:sz w:val="18"/>
          <w:lang w:val="es-419"/>
        </w:rPr>
        <w:fldChar w:fldCharType="begin"/>
      </w:r>
      <w:r w:rsidRPr="00390A22">
        <w:rPr>
          <w:lang w:val="es-419"/>
        </w:rPr>
        <w:instrText xml:space="preserve"> TOC \o "1-3" \h \z \u </w:instrText>
      </w:r>
      <w:r w:rsidRPr="00390A22">
        <w:rPr>
          <w:caps/>
          <w:sz w:val="18"/>
          <w:lang w:val="es-419"/>
        </w:rPr>
        <w:fldChar w:fldCharType="separate"/>
      </w:r>
    </w:p>
    <w:p w14:paraId="074328AF" w14:textId="77777777" w:rsidR="00884BDB" w:rsidRPr="00390A22" w:rsidRDefault="00884BDB" w:rsidP="00884BDB">
      <w:pPr>
        <w:tabs>
          <w:tab w:val="left" w:pos="567"/>
        </w:tabs>
        <w:rPr>
          <w:rFonts w:cs="Arial"/>
          <w:lang w:val="es-419"/>
        </w:rPr>
      </w:pPr>
      <w:r w:rsidRPr="00390A22">
        <w:rPr>
          <w:lang w:val="es-419"/>
        </w:rPr>
        <w:fldChar w:fldCharType="end"/>
      </w:r>
    </w:p>
    <w:p w14:paraId="367C7D11" w14:textId="77777777" w:rsidR="00884BDB" w:rsidRPr="00390A22" w:rsidRDefault="00884BDB" w:rsidP="00884BDB">
      <w:pPr>
        <w:keepNext/>
        <w:outlineLvl w:val="0"/>
        <w:rPr>
          <w:rFonts w:eastAsia="PMingLiU"/>
          <w:caps/>
          <w:szCs w:val="24"/>
          <w:lang w:val="es-419"/>
        </w:rPr>
      </w:pPr>
      <w:bookmarkStart w:id="5" w:name="_Toc20505078"/>
      <w:bookmarkStart w:id="6" w:name="_Toc527377892"/>
      <w:bookmarkStart w:id="7" w:name="_Toc441497828"/>
      <w:bookmarkStart w:id="8" w:name="_Toc81201670"/>
      <w:bookmarkStart w:id="9" w:name="_Toc81205159"/>
      <w:r w:rsidRPr="00390A22">
        <w:rPr>
          <w:caps/>
          <w:lang w:val="es-419"/>
        </w:rPr>
        <w:t>Cuestiones para información y para una eventual decisión del Comité Técnico (TC)</w:t>
      </w:r>
      <w:bookmarkEnd w:id="5"/>
      <w:bookmarkEnd w:id="6"/>
      <w:bookmarkEnd w:id="7"/>
      <w:bookmarkEnd w:id="8"/>
      <w:bookmarkEnd w:id="9"/>
    </w:p>
    <w:p w14:paraId="60D6D78E" w14:textId="77777777" w:rsidR="00884BDB" w:rsidRPr="00390A22" w:rsidRDefault="00884BDB" w:rsidP="00884BDB">
      <w:pPr>
        <w:rPr>
          <w:lang w:val="es-419"/>
        </w:rPr>
      </w:pPr>
    </w:p>
    <w:p w14:paraId="2D184F62" w14:textId="77777777" w:rsidR="00884BDB" w:rsidRPr="00390A22" w:rsidRDefault="00884BDB" w:rsidP="00884BDB">
      <w:pPr>
        <w:rPr>
          <w:lang w:val="es-419"/>
        </w:rPr>
      </w:pPr>
      <w:r w:rsidRPr="00390A22">
        <w:rPr>
          <w:lang w:val="es-419"/>
        </w:rPr>
        <w:fldChar w:fldCharType="begin"/>
      </w:r>
      <w:r w:rsidRPr="00390A22">
        <w:rPr>
          <w:lang w:val="es-419"/>
        </w:rPr>
        <w:instrText xml:space="preserve"> AUTONUM  </w:instrText>
      </w:r>
      <w:r w:rsidRPr="00390A22">
        <w:rPr>
          <w:lang w:val="es-419"/>
        </w:rPr>
        <w:fldChar w:fldCharType="end"/>
      </w:r>
      <w:r w:rsidRPr="00390A22">
        <w:rPr>
          <w:lang w:val="es-419"/>
        </w:rPr>
        <w:tab/>
        <w:t>No se han planteado cuestiones sobre las que el Comité Técnico tenga que adoptar una decisión en su quincuagésima séptima sesión.</w:t>
      </w:r>
    </w:p>
    <w:p w14:paraId="18AA328E" w14:textId="77777777" w:rsidR="00884BDB" w:rsidRPr="00390A22" w:rsidRDefault="00884BDB" w:rsidP="00884BDB">
      <w:pPr>
        <w:rPr>
          <w:lang w:val="es-419"/>
        </w:rPr>
      </w:pPr>
    </w:p>
    <w:p w14:paraId="54621DCB" w14:textId="77777777" w:rsidR="00884BDB" w:rsidRPr="00390A22" w:rsidRDefault="00884BDB" w:rsidP="00884BDB">
      <w:pPr>
        <w:rPr>
          <w:lang w:val="es-419"/>
        </w:rPr>
      </w:pPr>
    </w:p>
    <w:p w14:paraId="531DD507" w14:textId="77777777" w:rsidR="00884BDB" w:rsidRPr="00390A22" w:rsidRDefault="00884BDB" w:rsidP="00884BDB">
      <w:pPr>
        <w:keepNext/>
        <w:outlineLvl w:val="0"/>
        <w:rPr>
          <w:caps/>
          <w:lang w:val="es-419"/>
        </w:rPr>
      </w:pPr>
      <w:bookmarkStart w:id="10" w:name="_Toc20505079"/>
      <w:bookmarkStart w:id="11" w:name="_Toc527377899"/>
      <w:bookmarkStart w:id="12" w:name="_Toc441497830"/>
      <w:bookmarkStart w:id="13" w:name="_Toc81201671"/>
      <w:bookmarkStart w:id="14" w:name="_Toc81205160"/>
      <w:r w:rsidRPr="00390A22">
        <w:rPr>
          <w:caps/>
          <w:lang w:val="es-419"/>
        </w:rPr>
        <w:t>Cuestiones para información</w:t>
      </w:r>
      <w:bookmarkEnd w:id="10"/>
      <w:bookmarkEnd w:id="11"/>
      <w:bookmarkEnd w:id="12"/>
      <w:bookmarkEnd w:id="13"/>
      <w:bookmarkEnd w:id="14"/>
    </w:p>
    <w:p w14:paraId="3A82570B" w14:textId="77777777" w:rsidR="00884BDB" w:rsidRPr="00390A22" w:rsidRDefault="00884BDB" w:rsidP="00884BDB">
      <w:pPr>
        <w:rPr>
          <w:lang w:val="es-419"/>
        </w:rPr>
      </w:pPr>
    </w:p>
    <w:p w14:paraId="3552113F" w14:textId="77777777" w:rsidR="00884BDB" w:rsidRPr="00390A22" w:rsidRDefault="00884BDB" w:rsidP="00884BDB">
      <w:pPr>
        <w:pStyle w:val="Heading2"/>
        <w:rPr>
          <w:lang w:val="es-419"/>
        </w:rPr>
      </w:pPr>
      <w:bookmarkStart w:id="15" w:name="_Toc81201672"/>
      <w:bookmarkStart w:id="16" w:name="_Toc81205161"/>
      <w:r w:rsidRPr="00390A22">
        <w:rPr>
          <w:lang w:val="es-419"/>
        </w:rPr>
        <w:t>Acceso al material vegetal a efectos de la gestión de colecciones de variedades y el examen DHE</w:t>
      </w:r>
      <w:bookmarkEnd w:id="15"/>
      <w:bookmarkEnd w:id="16"/>
    </w:p>
    <w:p w14:paraId="286C65F8" w14:textId="77777777" w:rsidR="00884BDB" w:rsidRPr="00390A22" w:rsidRDefault="00884BDB" w:rsidP="00884BDB">
      <w:pPr>
        <w:jc w:val="left"/>
        <w:rPr>
          <w:lang w:val="es-419"/>
        </w:rPr>
      </w:pPr>
    </w:p>
    <w:p w14:paraId="6190AAE4" w14:textId="13122741" w:rsidR="00884BDB" w:rsidRPr="00390A22" w:rsidRDefault="00884BDB" w:rsidP="00884BDB">
      <w:pPr>
        <w:rPr>
          <w:lang w:val="es-419"/>
        </w:rPr>
      </w:pPr>
      <w:r w:rsidRPr="00390A22">
        <w:rPr>
          <w:lang w:val="es-419"/>
        </w:rPr>
        <w:fldChar w:fldCharType="begin"/>
      </w:r>
      <w:r w:rsidRPr="00390A22">
        <w:rPr>
          <w:lang w:val="es-419"/>
        </w:rPr>
        <w:instrText xml:space="preserve"> AUTONUM  </w:instrText>
      </w:r>
      <w:r w:rsidRPr="00390A22">
        <w:rPr>
          <w:lang w:val="es-419"/>
        </w:rPr>
        <w:fldChar w:fldCharType="end"/>
      </w:r>
      <w:r w:rsidRPr="00390A22">
        <w:rPr>
          <w:lang w:val="es-419"/>
        </w:rPr>
        <w:tab/>
        <w:t>El TWF</w:t>
      </w:r>
      <w:r w:rsidRPr="00390A22">
        <w:rPr>
          <w:rStyle w:val="FootnoteReference"/>
          <w:lang w:val="es-419"/>
        </w:rPr>
        <w:footnoteReference w:id="8"/>
      </w:r>
      <w:r w:rsidRPr="00390A22">
        <w:rPr>
          <w:lang w:val="es-419"/>
        </w:rPr>
        <w:t xml:space="preserve"> examinó el documento TWF/52/5 y asistió a una ponencia sobre “Acceso al material vegetal a efectos de la gestión de colecciones de variedades y el examen DHE: la política de la OCVV” a cargo de un experto de la Unión Europea.</w:t>
      </w:r>
      <w:r w:rsidR="00CE5864" w:rsidRPr="00390A22">
        <w:rPr>
          <w:lang w:val="es-419"/>
        </w:rPr>
        <w:t xml:space="preserve"> </w:t>
      </w:r>
      <w:r w:rsidRPr="00390A22">
        <w:rPr>
          <w:lang w:val="es-419"/>
        </w:rPr>
        <w:t>Se facilita una copia de la ponencia en el Anexo del documento TWF/52/5 (véanse los párrafos 64 y 65 del documento TWF/52/10 “</w:t>
      </w:r>
      <w:r w:rsidRPr="00390A22">
        <w:rPr>
          <w:i/>
          <w:iCs/>
          <w:lang w:val="es-419"/>
        </w:rPr>
        <w:t>Report</w:t>
      </w:r>
      <w:r w:rsidRPr="00390A22">
        <w:rPr>
          <w:lang w:val="es-419"/>
        </w:rPr>
        <w:t>”).</w:t>
      </w:r>
    </w:p>
    <w:p w14:paraId="05F8D7D4" w14:textId="77777777" w:rsidR="00884BDB" w:rsidRPr="00390A22" w:rsidRDefault="00884BDB" w:rsidP="00884BDB">
      <w:pPr>
        <w:jc w:val="left"/>
        <w:rPr>
          <w:lang w:val="es-419"/>
        </w:rPr>
      </w:pPr>
    </w:p>
    <w:p w14:paraId="367CA22E" w14:textId="77777777" w:rsidR="00884BDB" w:rsidRPr="00390A22" w:rsidRDefault="00884BDB" w:rsidP="00884BDB">
      <w:pPr>
        <w:rPr>
          <w:lang w:val="es-419"/>
        </w:rPr>
      </w:pPr>
      <w:r w:rsidRPr="00390A22">
        <w:rPr>
          <w:lang w:val="es-419"/>
        </w:rPr>
        <w:fldChar w:fldCharType="begin"/>
      </w:r>
      <w:r w:rsidRPr="00390A22">
        <w:rPr>
          <w:lang w:val="es-419"/>
        </w:rPr>
        <w:instrText xml:space="preserve"> AUTONUM  </w:instrText>
      </w:r>
      <w:r w:rsidRPr="00390A22">
        <w:rPr>
          <w:lang w:val="es-419"/>
        </w:rPr>
        <w:fldChar w:fldCharType="end"/>
      </w:r>
      <w:r w:rsidRPr="00390A22">
        <w:rPr>
          <w:lang w:val="es-419"/>
        </w:rPr>
        <w:tab/>
        <w:t>El TWF convino en invitar al experto de la Unión Europea a que, con la ayuda del Brasil, el Canadá, España, Francia, Italia, Nueva Zelandia y los Países Bajos, redacte una propuesta de cartas o contratos tipo que han de emplearse para enviar material vegetal a la autoridad de protección de las obtenciones vegetales o las oficinas de examen DHE. Esta propuesta se presentará en la quincuagésima tercera sesión, como punto de partida de futuras revisiones de la orientación de la UPOV (p. ej. la sección 11 del documento TGP/5 “Ejemplos de políticas y contratos sobre el material presentado por el obtentor”) para ayudar a otros miembros de la UPOV a facilitar el acceso al material vegetal a efectos de la gestión de colecciones de variedades y el examen DHE. El TWF recordó la lista de factores clave respecto del acceso al material vegetal para obtentores y autoridades de protección de obtenciones vegetales que se expone en el párrafo 3 del documento TWF/52/5 y convino en pedir al mencionado grupo de expertos que examine si es necesario revisarla.</w:t>
      </w:r>
    </w:p>
    <w:p w14:paraId="66668118" w14:textId="77777777" w:rsidR="00884BDB" w:rsidRPr="00390A22" w:rsidRDefault="00884BDB" w:rsidP="00884BDB">
      <w:pPr>
        <w:rPr>
          <w:lang w:val="es-419"/>
        </w:rPr>
      </w:pPr>
    </w:p>
    <w:p w14:paraId="05737361" w14:textId="77777777" w:rsidR="00884BDB" w:rsidRPr="00390A22" w:rsidRDefault="00884BDB" w:rsidP="00884BDB">
      <w:pPr>
        <w:rPr>
          <w:lang w:val="es-419"/>
        </w:rPr>
      </w:pPr>
    </w:p>
    <w:p w14:paraId="391DF4CE" w14:textId="77777777" w:rsidR="00884BDB" w:rsidRPr="00390A22" w:rsidRDefault="00884BDB" w:rsidP="00884BDB">
      <w:pPr>
        <w:pStyle w:val="Heading2"/>
        <w:keepLines/>
        <w:rPr>
          <w:lang w:val="es-419"/>
        </w:rPr>
      </w:pPr>
      <w:bookmarkStart w:id="17" w:name="_Toc81201673"/>
      <w:bookmarkStart w:id="18" w:name="_Toc81205162"/>
      <w:r w:rsidRPr="00390A22">
        <w:rPr>
          <w:lang w:val="es-419"/>
        </w:rPr>
        <w:t>Examen DHE de variedades mutantes de manzano</w:t>
      </w:r>
      <w:bookmarkEnd w:id="17"/>
      <w:bookmarkEnd w:id="18"/>
    </w:p>
    <w:p w14:paraId="4D454EE3" w14:textId="77777777" w:rsidR="00884BDB" w:rsidRPr="00390A22" w:rsidRDefault="00884BDB" w:rsidP="00884BDB">
      <w:pPr>
        <w:keepNext/>
        <w:keepLines/>
        <w:jc w:val="left"/>
        <w:rPr>
          <w:rFonts w:cs="Arial"/>
          <w:lang w:val="es-419"/>
        </w:rPr>
      </w:pPr>
    </w:p>
    <w:p w14:paraId="76F04250" w14:textId="3EFD9C0E" w:rsidR="00884BDB" w:rsidRPr="00390A22" w:rsidRDefault="00884BDB" w:rsidP="00884BDB">
      <w:pPr>
        <w:keepNext/>
        <w:keepLines/>
        <w:rPr>
          <w:lang w:val="es-419"/>
        </w:rPr>
      </w:pPr>
      <w:r w:rsidRPr="00390A22">
        <w:rPr>
          <w:lang w:val="es-419"/>
        </w:rPr>
        <w:fldChar w:fldCharType="begin"/>
      </w:r>
      <w:r w:rsidRPr="00390A22">
        <w:rPr>
          <w:lang w:val="es-419"/>
        </w:rPr>
        <w:instrText xml:space="preserve"> AUTONUM  </w:instrText>
      </w:r>
      <w:r w:rsidRPr="00390A22">
        <w:rPr>
          <w:lang w:val="es-419"/>
        </w:rPr>
        <w:fldChar w:fldCharType="end"/>
      </w:r>
      <w:r w:rsidRPr="00390A22">
        <w:rPr>
          <w:lang w:val="es-419"/>
        </w:rPr>
        <w:tab/>
        <w:t>El TWF</w:t>
      </w:r>
      <w:r w:rsidRPr="00390A22">
        <w:rPr>
          <w:rStyle w:val="FootnoteReference"/>
          <w:lang w:val="es-419"/>
        </w:rPr>
        <w:footnoteReference w:id="9"/>
      </w:r>
      <w:r w:rsidRPr="00390A22">
        <w:rPr>
          <w:lang w:val="es-419"/>
        </w:rPr>
        <w:t xml:space="preserve"> examinó el documento TWF/52/6 y asistió a la ponencia de un experto de la Unión Europea sobre “Examen DHE de variedades mutantes de manzano”.</w:t>
      </w:r>
      <w:r w:rsidR="00CE5864" w:rsidRPr="00390A22">
        <w:rPr>
          <w:lang w:val="es-419"/>
        </w:rPr>
        <w:t xml:space="preserve"> </w:t>
      </w:r>
      <w:r w:rsidRPr="00390A22">
        <w:rPr>
          <w:lang w:val="es-419"/>
        </w:rPr>
        <w:t>Se facilita una copia de la ponencia en el Anexo del documento TWF/52/6 (véanse los párrafos 66 a 70 del documento TWF/52/10 “</w:t>
      </w:r>
      <w:r w:rsidRPr="00390A22">
        <w:rPr>
          <w:i/>
          <w:iCs/>
          <w:lang w:val="es-419"/>
        </w:rPr>
        <w:t>Report</w:t>
      </w:r>
      <w:r w:rsidRPr="00390A22">
        <w:rPr>
          <w:lang w:val="es-419"/>
        </w:rPr>
        <w:t>”).</w:t>
      </w:r>
    </w:p>
    <w:p w14:paraId="7A2CEDD2" w14:textId="77777777" w:rsidR="00884BDB" w:rsidRPr="00390A22" w:rsidRDefault="00884BDB" w:rsidP="00884BDB">
      <w:pPr>
        <w:jc w:val="left"/>
        <w:rPr>
          <w:rFonts w:cs="Arial"/>
          <w:lang w:val="es-419"/>
        </w:rPr>
      </w:pPr>
    </w:p>
    <w:p w14:paraId="28AC8DBF" w14:textId="77777777" w:rsidR="00884BDB" w:rsidRPr="00390A22" w:rsidRDefault="00884BDB" w:rsidP="00884BDB">
      <w:pPr>
        <w:rPr>
          <w:lang w:val="es-419"/>
        </w:rPr>
      </w:pPr>
      <w:r w:rsidRPr="00390A22">
        <w:rPr>
          <w:lang w:val="es-419"/>
        </w:rPr>
        <w:fldChar w:fldCharType="begin"/>
      </w:r>
      <w:r w:rsidRPr="00390A22">
        <w:rPr>
          <w:lang w:val="es-419"/>
        </w:rPr>
        <w:instrText xml:space="preserve"> AUTONUM  </w:instrText>
      </w:r>
      <w:r w:rsidRPr="00390A22">
        <w:rPr>
          <w:lang w:val="es-419"/>
        </w:rPr>
        <w:fldChar w:fldCharType="end"/>
      </w:r>
      <w:r w:rsidRPr="00390A22">
        <w:rPr>
          <w:lang w:val="es-419"/>
        </w:rPr>
        <w:tab/>
        <w:t>El TWF convino en que la labor realizada por el experto de la Unión Europea, para recopilar información entre los miembros de la UPOV sobre las solicitudes que se están analizando y las variedades existentes de determinados grupos de mutantes de manzano, es importante y debe continuar.</w:t>
      </w:r>
    </w:p>
    <w:p w14:paraId="7EC6A6FC" w14:textId="77777777" w:rsidR="00884BDB" w:rsidRPr="00390A22" w:rsidRDefault="00884BDB" w:rsidP="00884BDB">
      <w:pPr>
        <w:jc w:val="left"/>
        <w:rPr>
          <w:lang w:val="es-419"/>
        </w:rPr>
      </w:pPr>
    </w:p>
    <w:p w14:paraId="26010025" w14:textId="004A0C7E" w:rsidR="00884BDB" w:rsidRPr="00390A22" w:rsidRDefault="00884BDB" w:rsidP="00884BDB">
      <w:pPr>
        <w:rPr>
          <w:lang w:val="es-419"/>
        </w:rPr>
      </w:pPr>
      <w:r w:rsidRPr="00390A22">
        <w:rPr>
          <w:lang w:val="es-419"/>
        </w:rPr>
        <w:fldChar w:fldCharType="begin"/>
      </w:r>
      <w:r w:rsidRPr="00390A22">
        <w:rPr>
          <w:lang w:val="es-419"/>
        </w:rPr>
        <w:instrText xml:space="preserve"> AUTONUM  </w:instrText>
      </w:r>
      <w:r w:rsidRPr="00390A22">
        <w:rPr>
          <w:lang w:val="es-419"/>
        </w:rPr>
        <w:fldChar w:fldCharType="end"/>
      </w:r>
      <w:r w:rsidRPr="00390A22">
        <w:rPr>
          <w:lang w:val="es-419"/>
        </w:rPr>
        <w:tab/>
        <w:t>El TWF examinó la cuestión de confidencialidad que puede suponer el hecho de divulgar la relación de parentesco de una variedad protegida cuando se intercambian datos entre oficinas de protección de las obtenciones vegetales o se ponen datos a disposición del público.</w:t>
      </w:r>
      <w:r w:rsidR="00CE5864" w:rsidRPr="00390A22">
        <w:rPr>
          <w:lang w:val="es-419"/>
        </w:rPr>
        <w:t xml:space="preserve"> </w:t>
      </w:r>
      <w:r w:rsidRPr="00390A22">
        <w:rPr>
          <w:lang w:val="es-419"/>
        </w:rPr>
        <w:t>El TWF convino en invitar al experto del</w:t>
      </w:r>
      <w:r w:rsidR="00D27545" w:rsidRPr="00390A22">
        <w:rPr>
          <w:lang w:val="es-419"/>
        </w:rPr>
        <w:t> </w:t>
      </w:r>
      <w:r w:rsidRPr="00390A22">
        <w:rPr>
          <w:lang w:val="es-419"/>
        </w:rPr>
        <w:t>Canadá, con el apoyo de Alemania, Australia, el Brasil, Francia, el Japón y la Unión Europea, a que determine posibles limitaciones de confidencialidad y exponer sus conclusiones al TWF en una ponencia, en su quincuagésima tercera sesión.</w:t>
      </w:r>
      <w:r w:rsidR="00CE5864" w:rsidRPr="00390A22">
        <w:rPr>
          <w:lang w:val="es-419"/>
        </w:rPr>
        <w:t xml:space="preserve"> </w:t>
      </w:r>
      <w:r w:rsidRPr="00390A22">
        <w:rPr>
          <w:lang w:val="es-419"/>
        </w:rPr>
        <w:t>El TWF convino en que, hasta que se aclare la información sobre la confidencialidad, el documento en que se recopila información entre los miembros de la UPOV no se pondrá a disposición del público.</w:t>
      </w:r>
    </w:p>
    <w:p w14:paraId="0F6F42D1" w14:textId="77777777" w:rsidR="00884BDB" w:rsidRPr="00390A22" w:rsidRDefault="00884BDB" w:rsidP="00884BDB">
      <w:pPr>
        <w:rPr>
          <w:lang w:val="es-419"/>
        </w:rPr>
      </w:pPr>
    </w:p>
    <w:p w14:paraId="3A630852" w14:textId="00452390" w:rsidR="00884BDB" w:rsidRPr="00390A22" w:rsidRDefault="00884BDB" w:rsidP="00884BDB">
      <w:pPr>
        <w:rPr>
          <w:lang w:val="es-419"/>
        </w:rPr>
      </w:pPr>
      <w:r w:rsidRPr="00390A22">
        <w:rPr>
          <w:lang w:val="es-419"/>
        </w:rPr>
        <w:fldChar w:fldCharType="begin"/>
      </w:r>
      <w:r w:rsidRPr="00390A22">
        <w:rPr>
          <w:lang w:val="es-419"/>
        </w:rPr>
        <w:instrText xml:space="preserve"> AUTONUM  </w:instrText>
      </w:r>
      <w:r w:rsidRPr="00390A22">
        <w:rPr>
          <w:lang w:val="es-419"/>
        </w:rPr>
        <w:fldChar w:fldCharType="end"/>
      </w:r>
      <w:r w:rsidRPr="00390A22">
        <w:rPr>
          <w:lang w:val="es-419"/>
        </w:rPr>
        <w:tab/>
        <w:t>El TWF convino en invitar al mencionado grupo de expertos a estudiar la posibilidad de añadir códigos</w:t>
      </w:r>
      <w:r w:rsidR="00D27545" w:rsidRPr="00390A22">
        <w:rPr>
          <w:lang w:val="es-419"/>
        </w:rPr>
        <w:t> </w:t>
      </w:r>
      <w:r w:rsidRPr="00390A22">
        <w:rPr>
          <w:lang w:val="es-419"/>
        </w:rPr>
        <w:t>UPOV para abordar la identificación de grupos de variedades de manzano.</w:t>
      </w:r>
    </w:p>
    <w:p w14:paraId="0442F4B4" w14:textId="77777777" w:rsidR="00884BDB" w:rsidRPr="00390A22" w:rsidRDefault="00884BDB" w:rsidP="00884BDB">
      <w:pPr>
        <w:rPr>
          <w:lang w:val="es-419"/>
        </w:rPr>
      </w:pPr>
    </w:p>
    <w:p w14:paraId="17B258BD" w14:textId="77777777" w:rsidR="00884BDB" w:rsidRPr="00390A22" w:rsidRDefault="00884BDB" w:rsidP="00884BDB">
      <w:pPr>
        <w:rPr>
          <w:lang w:val="es-419"/>
        </w:rPr>
      </w:pPr>
      <w:r w:rsidRPr="00390A22">
        <w:rPr>
          <w:lang w:val="es-419"/>
        </w:rPr>
        <w:fldChar w:fldCharType="begin"/>
      </w:r>
      <w:r w:rsidRPr="00390A22">
        <w:rPr>
          <w:lang w:val="es-419"/>
        </w:rPr>
        <w:instrText xml:space="preserve"> AUTONUM  </w:instrText>
      </w:r>
      <w:r w:rsidRPr="00390A22">
        <w:rPr>
          <w:lang w:val="es-419"/>
        </w:rPr>
        <w:fldChar w:fldCharType="end"/>
      </w:r>
      <w:r w:rsidRPr="00390A22">
        <w:rPr>
          <w:lang w:val="es-419"/>
        </w:rPr>
        <w:tab/>
        <w:t xml:space="preserve">El TWF convino en invitar al mencionado grupo de expertos a examinar la manera en que se debe poner a disposición la información sobre las solicitudes que se están analizando y las variedades existentes de determinados grupos de mutantes de manzano, por ejemplo, por medio de la creación de una base de datos dedicada a este fin, la base de datos PLUTO o la publicación de información sobre el sitio web de la UPOV. </w:t>
      </w:r>
    </w:p>
    <w:p w14:paraId="3002F8BE" w14:textId="77777777" w:rsidR="00884BDB" w:rsidRPr="00390A22" w:rsidRDefault="00884BDB" w:rsidP="00884BDB">
      <w:pPr>
        <w:rPr>
          <w:lang w:val="es-419"/>
        </w:rPr>
      </w:pPr>
    </w:p>
    <w:p w14:paraId="7D0D5FB2" w14:textId="77777777" w:rsidR="00884BDB" w:rsidRPr="00390A22" w:rsidRDefault="00884BDB" w:rsidP="00884BDB">
      <w:pPr>
        <w:rPr>
          <w:lang w:val="es-419"/>
        </w:rPr>
      </w:pPr>
    </w:p>
    <w:p w14:paraId="051D253B" w14:textId="77777777" w:rsidR="00884BDB" w:rsidRPr="00390A22" w:rsidRDefault="00884BDB" w:rsidP="00884BDB">
      <w:pPr>
        <w:pStyle w:val="Heading2"/>
        <w:rPr>
          <w:snapToGrid w:val="0"/>
          <w:lang w:val="es-419"/>
        </w:rPr>
      </w:pPr>
      <w:bookmarkStart w:id="19" w:name="_Toc81201674"/>
      <w:bookmarkStart w:id="20" w:name="_Toc81205163"/>
      <w:r w:rsidRPr="00390A22">
        <w:rPr>
          <w:snapToGrid w:val="0"/>
          <w:lang w:val="es-419"/>
        </w:rPr>
        <w:t>Utilización de caracteres de resistencia a las enfermedades</w:t>
      </w:r>
      <w:bookmarkEnd w:id="19"/>
      <w:bookmarkEnd w:id="20"/>
    </w:p>
    <w:p w14:paraId="4A29FBC2" w14:textId="77777777" w:rsidR="00884BDB" w:rsidRPr="00390A22" w:rsidRDefault="00884BDB" w:rsidP="00884BDB">
      <w:pPr>
        <w:rPr>
          <w:rFonts w:cs="Arial"/>
          <w:snapToGrid w:val="0"/>
          <w:lang w:val="es-419"/>
        </w:rPr>
      </w:pPr>
    </w:p>
    <w:p w14:paraId="47AC2B93" w14:textId="4A1121E6" w:rsidR="00884BDB" w:rsidRPr="00390A22" w:rsidRDefault="00884BDB" w:rsidP="00884BDB">
      <w:pPr>
        <w:rPr>
          <w:lang w:val="es-419"/>
        </w:rPr>
      </w:pPr>
      <w:r w:rsidRPr="00390A22">
        <w:rPr>
          <w:lang w:val="es-419"/>
        </w:rPr>
        <w:fldChar w:fldCharType="begin"/>
      </w:r>
      <w:r w:rsidRPr="00390A22">
        <w:rPr>
          <w:lang w:val="es-419"/>
        </w:rPr>
        <w:instrText xml:space="preserve"> AUTONUM  </w:instrText>
      </w:r>
      <w:r w:rsidRPr="00390A22">
        <w:rPr>
          <w:lang w:val="es-419"/>
        </w:rPr>
        <w:fldChar w:fldCharType="end"/>
      </w:r>
      <w:r w:rsidRPr="00390A22">
        <w:rPr>
          <w:lang w:val="es-419"/>
        </w:rPr>
        <w:tab/>
        <w:t>El TWV</w:t>
      </w:r>
      <w:r w:rsidRPr="00390A22">
        <w:rPr>
          <w:rStyle w:val="FootnoteReference"/>
          <w:rFonts w:cs="Arial"/>
          <w:snapToGrid w:val="0"/>
          <w:lang w:val="es-419"/>
        </w:rPr>
        <w:footnoteReference w:id="10"/>
      </w:r>
      <w:r w:rsidRPr="00390A22">
        <w:rPr>
          <w:lang w:val="es-419"/>
        </w:rPr>
        <w:t xml:space="preserve"> recordó la invitación cursada a los expertos de Francia y los Países Bajos para que expongan su práctica actual sobre el uso de caracteres cuantitativos de resistencia a enfermedades (con un nivel de expresión intermedio), en su quincuagésima sexta sesión.</w:t>
      </w:r>
      <w:r w:rsidR="00CE5864" w:rsidRPr="00390A22">
        <w:rPr>
          <w:lang w:val="es-419"/>
        </w:rPr>
        <w:t xml:space="preserve"> </w:t>
      </w:r>
      <w:r w:rsidRPr="00390A22">
        <w:rPr>
          <w:lang w:val="es-419"/>
        </w:rPr>
        <w:t>El TW</w:t>
      </w:r>
      <w:r w:rsidR="00FD5BDB">
        <w:rPr>
          <w:lang w:val="es-419"/>
        </w:rPr>
        <w:t>V</w:t>
      </w:r>
      <w:bookmarkStart w:id="21" w:name="_GoBack"/>
      <w:bookmarkEnd w:id="21"/>
      <w:r w:rsidRPr="00390A22">
        <w:rPr>
          <w:lang w:val="es-419"/>
        </w:rPr>
        <w:t xml:space="preserve"> tomó nota de que la ISF se ofreció a presentar los puntos de vista de la industria del fitomejoramiento de semillas hortícolas sobre la terminología utilizada para los caracteres de resistencia a enfermedades, en su quincuagésima sexta sesión (véanse los párrafos 38, 40 y 41 del documento TWV/55/16 “</w:t>
      </w:r>
      <w:r w:rsidRPr="00390A22">
        <w:rPr>
          <w:i/>
          <w:iCs/>
          <w:lang w:val="es-419"/>
        </w:rPr>
        <w:t>Report</w:t>
      </w:r>
      <w:r w:rsidRPr="00390A22">
        <w:rPr>
          <w:lang w:val="es-419"/>
        </w:rPr>
        <w:t>”).</w:t>
      </w:r>
    </w:p>
    <w:p w14:paraId="33108809" w14:textId="77777777" w:rsidR="00884BDB" w:rsidRPr="00390A22" w:rsidRDefault="00884BDB" w:rsidP="00884BDB">
      <w:pPr>
        <w:rPr>
          <w:lang w:val="es-419"/>
        </w:rPr>
      </w:pPr>
    </w:p>
    <w:p w14:paraId="1C3F8EBF" w14:textId="523DDD2B" w:rsidR="00884BDB" w:rsidRPr="00390A22" w:rsidRDefault="00884BDB" w:rsidP="00884BDB">
      <w:pPr>
        <w:rPr>
          <w:lang w:val="es-419"/>
        </w:rPr>
      </w:pPr>
      <w:r w:rsidRPr="00390A22">
        <w:rPr>
          <w:lang w:val="es-419"/>
        </w:rPr>
        <w:fldChar w:fldCharType="begin"/>
      </w:r>
      <w:r w:rsidRPr="00390A22">
        <w:rPr>
          <w:lang w:val="es-419"/>
        </w:rPr>
        <w:instrText xml:space="preserve"> AUTONUM  </w:instrText>
      </w:r>
      <w:r w:rsidRPr="00390A22">
        <w:rPr>
          <w:lang w:val="es-419"/>
        </w:rPr>
        <w:fldChar w:fldCharType="end"/>
      </w:r>
      <w:r w:rsidRPr="00390A22">
        <w:rPr>
          <w:lang w:val="es-419"/>
        </w:rPr>
        <w:tab/>
        <w:t>El TWV escuchó una presentación sobre “Harmorescoll: hacia una colección armonizada de material de referencia para los ensayos DHE de los caracteres de resistencia” a cargo de un experto de Francia.</w:t>
      </w:r>
      <w:r w:rsidR="00CE5864" w:rsidRPr="00390A22">
        <w:rPr>
          <w:lang w:val="es-419"/>
        </w:rPr>
        <w:t xml:space="preserve"> </w:t>
      </w:r>
      <w:r w:rsidRPr="00390A22">
        <w:rPr>
          <w:lang w:val="es-419"/>
        </w:rPr>
        <w:t>Se facilita una copia de la ponencia en el documento TWV/55/6.</w:t>
      </w:r>
      <w:r w:rsidR="00CE5864" w:rsidRPr="00390A22">
        <w:rPr>
          <w:lang w:val="es-419"/>
        </w:rPr>
        <w:t xml:space="preserve"> </w:t>
      </w:r>
      <w:r w:rsidRPr="00390A22">
        <w:rPr>
          <w:lang w:val="es-419"/>
        </w:rPr>
        <w:t>El TWV convino en invitar al experto de Francia a informar sobre los nuevos avances en el proyecto Harmorescoll, en su quincuagésima sexta sesión. El TWV tomó nota del interés de los miembros que no pertenecen a la Unión Europea y convino en que se debe analizar más detenidamente el acceso al material de Harmorescoll.</w:t>
      </w:r>
    </w:p>
    <w:p w14:paraId="4D54082F" w14:textId="77777777" w:rsidR="00884BDB" w:rsidRPr="00390A22" w:rsidRDefault="00884BDB" w:rsidP="00884BDB">
      <w:pPr>
        <w:rPr>
          <w:lang w:val="es-419"/>
        </w:rPr>
      </w:pPr>
    </w:p>
    <w:p w14:paraId="2BCAC1E6" w14:textId="716B541D" w:rsidR="00884BDB" w:rsidRPr="00390A22" w:rsidRDefault="00884BDB" w:rsidP="00884BDB">
      <w:pPr>
        <w:keepNext/>
        <w:keepLines/>
        <w:rPr>
          <w:lang w:val="es-419"/>
        </w:rPr>
      </w:pPr>
      <w:r w:rsidRPr="00390A22">
        <w:rPr>
          <w:lang w:val="es-419"/>
        </w:rPr>
        <w:fldChar w:fldCharType="begin"/>
      </w:r>
      <w:r w:rsidRPr="00390A22">
        <w:rPr>
          <w:lang w:val="es-419"/>
        </w:rPr>
        <w:instrText xml:space="preserve"> AUTONUM  </w:instrText>
      </w:r>
      <w:r w:rsidRPr="00390A22">
        <w:rPr>
          <w:lang w:val="es-419"/>
        </w:rPr>
        <w:fldChar w:fldCharType="end"/>
      </w:r>
      <w:r w:rsidRPr="00390A22">
        <w:rPr>
          <w:lang w:val="es-419"/>
        </w:rPr>
        <w:tab/>
        <w:t>El TWV convino en que el acceso al material de referencia y la disponibilidad de variedades de control son fundamentales cuando se realizan exámenes DHE de caracteres de resistencia a enfermedades.</w:t>
      </w:r>
      <w:r w:rsidR="00CE5864" w:rsidRPr="00390A22">
        <w:rPr>
          <w:lang w:val="es-419"/>
        </w:rPr>
        <w:t xml:space="preserve"> </w:t>
      </w:r>
      <w:r w:rsidRPr="00390A22">
        <w:rPr>
          <w:lang w:val="es-419"/>
        </w:rPr>
        <w:t>Convino además en que, cuando se revisen o se redacten directrices de examen, debe comprobarse y actualizarse la disponibilidad de inóculo, variedades ejemplo y variedades de control para los caracteres de resistencia a enfermedades.</w:t>
      </w:r>
    </w:p>
    <w:p w14:paraId="1C7D71B1" w14:textId="77777777" w:rsidR="00884BDB" w:rsidRPr="00390A22" w:rsidRDefault="00884BDB" w:rsidP="00884BDB">
      <w:pPr>
        <w:keepNext/>
        <w:keepLines/>
        <w:rPr>
          <w:lang w:val="es-419"/>
        </w:rPr>
      </w:pPr>
    </w:p>
    <w:p w14:paraId="137F64AD" w14:textId="77777777" w:rsidR="00884BDB" w:rsidRPr="00390A22" w:rsidRDefault="00884BDB" w:rsidP="00884BDB">
      <w:pPr>
        <w:keepNext/>
        <w:ind w:left="567" w:hanging="567"/>
        <w:rPr>
          <w:snapToGrid w:val="0"/>
          <w:lang w:val="es-419"/>
        </w:rPr>
      </w:pPr>
    </w:p>
    <w:p w14:paraId="1945FE5E" w14:textId="77777777" w:rsidR="00884BDB" w:rsidRPr="00390A22" w:rsidRDefault="00884BDB" w:rsidP="00884BDB">
      <w:pPr>
        <w:pStyle w:val="Heading2"/>
        <w:rPr>
          <w:lang w:val="es-419"/>
        </w:rPr>
      </w:pPr>
      <w:bookmarkStart w:id="22" w:name="_Toc81201675"/>
      <w:bookmarkStart w:id="23" w:name="_Toc81205164"/>
      <w:r w:rsidRPr="00390A22">
        <w:rPr>
          <w:lang w:val="es-419"/>
        </w:rPr>
        <w:t>Experiencias con nuevos tipos y especies</w:t>
      </w:r>
      <w:bookmarkEnd w:id="22"/>
      <w:bookmarkEnd w:id="23"/>
    </w:p>
    <w:p w14:paraId="2D3C147F" w14:textId="77777777" w:rsidR="00884BDB" w:rsidRPr="00390A22" w:rsidRDefault="00884BDB" w:rsidP="00884BDB">
      <w:pPr>
        <w:keepNext/>
        <w:rPr>
          <w:lang w:val="es-419"/>
        </w:rPr>
      </w:pPr>
    </w:p>
    <w:p w14:paraId="74EB1663" w14:textId="77777777" w:rsidR="00884BDB" w:rsidRPr="00390A22" w:rsidRDefault="00884BDB" w:rsidP="00884BDB">
      <w:pPr>
        <w:rPr>
          <w:snapToGrid w:val="0"/>
          <w:lang w:val="es-419"/>
        </w:rPr>
      </w:pPr>
      <w:r w:rsidRPr="00390A22">
        <w:rPr>
          <w:lang w:val="es-419"/>
        </w:rPr>
        <w:fldChar w:fldCharType="begin"/>
      </w:r>
      <w:r w:rsidRPr="00390A22">
        <w:rPr>
          <w:lang w:val="es-419"/>
        </w:rPr>
        <w:instrText xml:space="preserve"> AUTONUM  </w:instrText>
      </w:r>
      <w:r w:rsidRPr="00390A22">
        <w:rPr>
          <w:lang w:val="es-419"/>
        </w:rPr>
        <w:fldChar w:fldCharType="end"/>
      </w:r>
      <w:r w:rsidRPr="00390A22">
        <w:rPr>
          <w:lang w:val="es-419"/>
        </w:rPr>
        <w:tab/>
        <w:t>El TWV</w:t>
      </w:r>
      <w:r w:rsidRPr="00390A22">
        <w:rPr>
          <w:vertAlign w:val="superscript"/>
          <w:lang w:val="es-419"/>
        </w:rPr>
        <w:t>9</w:t>
      </w:r>
      <w:r w:rsidRPr="00390A22">
        <w:rPr>
          <w:lang w:val="es-419"/>
        </w:rPr>
        <w:t xml:space="preserve"> tomó nota del comentario realizado por el experto de Turquía sobre el aumento del número de solicitudes recibidas para </w:t>
      </w:r>
      <w:r w:rsidRPr="00390A22">
        <w:rPr>
          <w:i/>
          <w:lang w:val="es-419"/>
        </w:rPr>
        <w:t>Solanum torvum</w:t>
      </w:r>
      <w:r w:rsidRPr="00390A22">
        <w:rPr>
          <w:lang w:val="es-419"/>
        </w:rPr>
        <w:t xml:space="preserve"> Sw. El TWV recordó la ponencia presentada sobre la misma especie en su quincuagésima segunda sesión (véase el documento TWV/52/14) (véase el párrafo 104 del documento TWV/55/16 “</w:t>
      </w:r>
      <w:r w:rsidRPr="00390A22">
        <w:rPr>
          <w:i/>
          <w:iCs/>
          <w:lang w:val="es-419"/>
        </w:rPr>
        <w:t>Report</w:t>
      </w:r>
      <w:r w:rsidRPr="00390A22">
        <w:rPr>
          <w:lang w:val="es-419"/>
        </w:rPr>
        <w:t xml:space="preserve">”). </w:t>
      </w:r>
    </w:p>
    <w:p w14:paraId="79C6D464" w14:textId="77777777" w:rsidR="00884BDB" w:rsidRPr="00390A22" w:rsidRDefault="00884BDB" w:rsidP="00884BDB">
      <w:pPr>
        <w:rPr>
          <w:lang w:val="es-419"/>
        </w:rPr>
      </w:pPr>
    </w:p>
    <w:p w14:paraId="5BCEE70E" w14:textId="77777777" w:rsidR="00884BDB" w:rsidRPr="00390A22" w:rsidRDefault="00884BDB" w:rsidP="00884BDB">
      <w:pPr>
        <w:rPr>
          <w:lang w:val="es-419"/>
        </w:rPr>
      </w:pPr>
    </w:p>
    <w:p w14:paraId="2B82DF20" w14:textId="77777777" w:rsidR="00884BDB" w:rsidRPr="00390A22" w:rsidRDefault="00884BDB" w:rsidP="00884BDB">
      <w:pPr>
        <w:pStyle w:val="Heading2"/>
        <w:rPr>
          <w:lang w:val="es-419"/>
        </w:rPr>
      </w:pPr>
      <w:bookmarkStart w:id="24" w:name="_Toc81201676"/>
      <w:bookmarkStart w:id="25" w:name="_Toc81205165"/>
      <w:r w:rsidRPr="00390A22">
        <w:rPr>
          <w:lang w:val="es-419"/>
        </w:rPr>
        <w:t>Procedimientos para agrupar variedades mediante los códigos UPOV y fuentes de información pertinente</w:t>
      </w:r>
      <w:bookmarkEnd w:id="24"/>
      <w:bookmarkEnd w:id="25"/>
    </w:p>
    <w:p w14:paraId="56B69CB3" w14:textId="77777777" w:rsidR="00884BDB" w:rsidRPr="00390A22" w:rsidRDefault="00884BDB" w:rsidP="00884BDB">
      <w:pPr>
        <w:pStyle w:val="Heading4"/>
        <w:rPr>
          <w:lang w:val="es-419"/>
        </w:rPr>
      </w:pPr>
    </w:p>
    <w:p w14:paraId="36A66335" w14:textId="777202FB" w:rsidR="00884BDB" w:rsidRPr="00390A22" w:rsidRDefault="00884BDB" w:rsidP="00884BDB">
      <w:pPr>
        <w:rPr>
          <w:lang w:val="es-419"/>
        </w:rPr>
      </w:pPr>
      <w:r w:rsidRPr="00390A22">
        <w:rPr>
          <w:lang w:val="es-419"/>
        </w:rPr>
        <w:fldChar w:fldCharType="begin"/>
      </w:r>
      <w:r w:rsidRPr="00390A22">
        <w:rPr>
          <w:lang w:val="es-419"/>
        </w:rPr>
        <w:instrText xml:space="preserve"> AUTONUM  </w:instrText>
      </w:r>
      <w:r w:rsidRPr="00390A22">
        <w:rPr>
          <w:lang w:val="es-419"/>
        </w:rPr>
        <w:fldChar w:fldCharType="end"/>
      </w:r>
      <w:r w:rsidRPr="00390A22">
        <w:rPr>
          <w:lang w:val="es-419"/>
        </w:rPr>
        <w:tab/>
        <w:t>El TWO</w:t>
      </w:r>
      <w:r w:rsidRPr="00390A22">
        <w:rPr>
          <w:rStyle w:val="FootnoteReference"/>
          <w:lang w:val="es-419"/>
        </w:rPr>
        <w:footnoteReference w:id="11"/>
      </w:r>
      <w:r w:rsidRPr="00390A22">
        <w:rPr>
          <w:lang w:val="es-419"/>
        </w:rPr>
        <w:t xml:space="preserve"> asistió a una ponencia sobre “Uso de grupos de variedades en el sistema de la UPOV” a cargo de un experto de los Países Bajos. Esta ponencia se reproduce en el Anexo del documento TWO/53/7 (véase el párrafo 47 del documento TWO/53/10 “</w:t>
      </w:r>
      <w:r w:rsidRPr="00390A22">
        <w:rPr>
          <w:i/>
          <w:iCs/>
          <w:lang w:val="es-419"/>
        </w:rPr>
        <w:t>Report</w:t>
      </w:r>
      <w:r w:rsidRPr="00390A22">
        <w:rPr>
          <w:lang w:val="es-419"/>
        </w:rPr>
        <w:t>”).</w:t>
      </w:r>
    </w:p>
    <w:p w14:paraId="6BE955D0" w14:textId="77777777" w:rsidR="00D27545" w:rsidRPr="00390A22" w:rsidRDefault="00D27545" w:rsidP="00884BDB">
      <w:pPr>
        <w:rPr>
          <w:lang w:val="es-419"/>
        </w:rPr>
      </w:pPr>
    </w:p>
    <w:p w14:paraId="2838BC7A" w14:textId="77777777" w:rsidR="00884BDB" w:rsidRPr="00390A22" w:rsidRDefault="00884BDB" w:rsidP="00884BDB">
      <w:pPr>
        <w:pStyle w:val="Heading2"/>
        <w:rPr>
          <w:lang w:val="es-419"/>
        </w:rPr>
      </w:pPr>
      <w:bookmarkStart w:id="26" w:name="_Toc81201677"/>
      <w:bookmarkStart w:id="27" w:name="_Toc81205166"/>
      <w:r w:rsidRPr="00390A22">
        <w:rPr>
          <w:lang w:val="es-419"/>
        </w:rPr>
        <w:t>Aportación de información sobre variedades similares en el formulario de la UPOV para la descripción de variedades</w:t>
      </w:r>
      <w:bookmarkEnd w:id="26"/>
      <w:bookmarkEnd w:id="27"/>
    </w:p>
    <w:p w14:paraId="23A34E18" w14:textId="77777777" w:rsidR="00884BDB" w:rsidRPr="00390A22" w:rsidRDefault="00884BDB" w:rsidP="00884BDB">
      <w:pPr>
        <w:keepNext/>
        <w:rPr>
          <w:lang w:val="es-419"/>
        </w:rPr>
      </w:pPr>
    </w:p>
    <w:p w14:paraId="4AF7A3EB" w14:textId="3BA3B6E6" w:rsidR="00884BDB" w:rsidRPr="00390A22" w:rsidRDefault="00884BDB" w:rsidP="00884BDB">
      <w:pPr>
        <w:rPr>
          <w:lang w:val="es-419"/>
        </w:rPr>
      </w:pPr>
      <w:r w:rsidRPr="00390A22">
        <w:rPr>
          <w:lang w:val="es-419"/>
        </w:rPr>
        <w:fldChar w:fldCharType="begin"/>
      </w:r>
      <w:r w:rsidRPr="00390A22">
        <w:rPr>
          <w:lang w:val="es-419"/>
        </w:rPr>
        <w:instrText xml:space="preserve"> AUTONUM  </w:instrText>
      </w:r>
      <w:r w:rsidRPr="00390A22">
        <w:rPr>
          <w:lang w:val="es-419"/>
        </w:rPr>
        <w:fldChar w:fldCharType="end"/>
      </w:r>
      <w:r w:rsidRPr="00390A22">
        <w:rPr>
          <w:lang w:val="es-419"/>
        </w:rPr>
        <w:tab/>
        <w:t>El TWO</w:t>
      </w:r>
      <w:r w:rsidRPr="00390A22">
        <w:rPr>
          <w:rStyle w:val="FootnoteReference"/>
          <w:lang w:val="es-419"/>
        </w:rPr>
        <w:footnoteReference w:id="12"/>
      </w:r>
      <w:r w:rsidRPr="00390A22">
        <w:rPr>
          <w:lang w:val="es-419"/>
        </w:rPr>
        <w:t xml:space="preserve"> asistió a una ponencia sobre “Aportación de información sobre variedades similares en el formulario de la UPOV para la descripción de variedades” a cargo de un experto de la Unión Europea. Se facilita una copia de la ponencia en el documento TWO/53/6 (véanse los párrafos 34 y 35 del documento</w:t>
      </w:r>
      <w:r w:rsidR="00D27545" w:rsidRPr="00390A22">
        <w:rPr>
          <w:lang w:val="es-419"/>
        </w:rPr>
        <w:t> </w:t>
      </w:r>
      <w:r w:rsidRPr="00390A22">
        <w:rPr>
          <w:lang w:val="es-419"/>
        </w:rPr>
        <w:t>TWO/53/10 “</w:t>
      </w:r>
      <w:r w:rsidRPr="00390A22">
        <w:rPr>
          <w:i/>
          <w:iCs/>
          <w:lang w:val="es-419"/>
        </w:rPr>
        <w:t>Report</w:t>
      </w:r>
      <w:r w:rsidRPr="00390A22">
        <w:rPr>
          <w:lang w:val="es-419"/>
        </w:rPr>
        <w:t>” (Informe).</w:t>
      </w:r>
    </w:p>
    <w:p w14:paraId="195846DD" w14:textId="77777777" w:rsidR="00884BDB" w:rsidRPr="00390A22" w:rsidRDefault="00884BDB" w:rsidP="00884BDB">
      <w:pPr>
        <w:rPr>
          <w:lang w:val="es-419"/>
        </w:rPr>
      </w:pPr>
    </w:p>
    <w:p w14:paraId="6AA3539D" w14:textId="760C1BA7" w:rsidR="00884BDB" w:rsidRPr="00390A22" w:rsidRDefault="00884BDB" w:rsidP="00884BDB">
      <w:pPr>
        <w:rPr>
          <w:lang w:val="es-419"/>
        </w:rPr>
      </w:pPr>
      <w:r w:rsidRPr="00390A22">
        <w:rPr>
          <w:lang w:val="es-419"/>
        </w:rPr>
        <w:fldChar w:fldCharType="begin"/>
      </w:r>
      <w:r w:rsidRPr="00390A22">
        <w:rPr>
          <w:lang w:val="es-419"/>
        </w:rPr>
        <w:instrText xml:space="preserve"> AUTONUM  </w:instrText>
      </w:r>
      <w:r w:rsidRPr="00390A22">
        <w:rPr>
          <w:lang w:val="es-419"/>
        </w:rPr>
        <w:fldChar w:fldCharType="end"/>
      </w:r>
      <w:r w:rsidRPr="00390A22">
        <w:rPr>
          <w:lang w:val="es-419"/>
        </w:rPr>
        <w:tab/>
        <w:t>El TWO convino en que los caracteres que permiten distinguir mejor la variedad candidata de la(s) variedad(es) más similar(es) deben indicarse en el informe del examen DHE.</w:t>
      </w:r>
      <w:r w:rsidR="00CE5864" w:rsidRPr="00390A22">
        <w:rPr>
          <w:lang w:val="es-419"/>
        </w:rPr>
        <w:t xml:space="preserve"> </w:t>
      </w:r>
      <w:r w:rsidRPr="00390A22">
        <w:rPr>
          <w:lang w:val="es-419"/>
        </w:rPr>
        <w:t>El TWO convino en que no es necesario aclarar más esta cuestión en la orientación de la UPOV en esta etapa.</w:t>
      </w:r>
    </w:p>
    <w:p w14:paraId="16CBAB3E" w14:textId="77777777" w:rsidR="00884BDB" w:rsidRPr="00390A22" w:rsidRDefault="00884BDB" w:rsidP="00884BDB">
      <w:pPr>
        <w:jc w:val="left"/>
        <w:rPr>
          <w:lang w:val="es-419"/>
        </w:rPr>
      </w:pPr>
    </w:p>
    <w:p w14:paraId="1E753102" w14:textId="77777777" w:rsidR="00884BDB" w:rsidRPr="00390A22" w:rsidRDefault="00884BDB" w:rsidP="00884BDB">
      <w:pPr>
        <w:rPr>
          <w:lang w:val="es-419"/>
        </w:rPr>
      </w:pPr>
    </w:p>
    <w:p w14:paraId="10E5D825" w14:textId="77777777" w:rsidR="00884BDB" w:rsidRPr="00390A22" w:rsidRDefault="00884BDB" w:rsidP="00884BDB">
      <w:pPr>
        <w:pStyle w:val="Heading2"/>
        <w:rPr>
          <w:lang w:val="es-419"/>
        </w:rPr>
      </w:pPr>
      <w:bookmarkStart w:id="28" w:name="_Toc81201678"/>
      <w:bookmarkStart w:id="29" w:name="_Toc81205167"/>
      <w:r w:rsidRPr="00390A22">
        <w:rPr>
          <w:lang w:val="es-419"/>
        </w:rPr>
        <w:t>Evaluación de especies ornamentales mediante observaciones de plantas individuales (MS)</w:t>
      </w:r>
      <w:bookmarkEnd w:id="28"/>
      <w:bookmarkEnd w:id="29"/>
    </w:p>
    <w:p w14:paraId="5CA1C2AE" w14:textId="77777777" w:rsidR="00884BDB" w:rsidRPr="00390A22" w:rsidRDefault="00884BDB" w:rsidP="00884BDB">
      <w:pPr>
        <w:keepNext/>
        <w:rPr>
          <w:lang w:val="es-419"/>
        </w:rPr>
      </w:pPr>
    </w:p>
    <w:p w14:paraId="44B672BD" w14:textId="77777777" w:rsidR="00884BDB" w:rsidRPr="00390A22" w:rsidRDefault="00884BDB" w:rsidP="00884BDB">
      <w:pPr>
        <w:keepNext/>
        <w:rPr>
          <w:lang w:val="es-419"/>
        </w:rPr>
      </w:pPr>
      <w:r w:rsidRPr="00390A22">
        <w:rPr>
          <w:lang w:val="es-419"/>
        </w:rPr>
        <w:fldChar w:fldCharType="begin"/>
      </w:r>
      <w:r w:rsidRPr="00390A22">
        <w:rPr>
          <w:lang w:val="es-419"/>
        </w:rPr>
        <w:instrText xml:space="preserve"> AUTONUM  </w:instrText>
      </w:r>
      <w:r w:rsidRPr="00390A22">
        <w:rPr>
          <w:lang w:val="es-419"/>
        </w:rPr>
        <w:fldChar w:fldCharType="end"/>
      </w:r>
      <w:r w:rsidRPr="00390A22">
        <w:rPr>
          <w:lang w:val="es-419"/>
        </w:rPr>
        <w:tab/>
        <w:t>El TWO</w:t>
      </w:r>
      <w:r w:rsidRPr="00390A22">
        <w:rPr>
          <w:rStyle w:val="FootnoteReference"/>
          <w:lang w:val="es-419"/>
        </w:rPr>
        <w:t>11</w:t>
      </w:r>
      <w:r w:rsidRPr="00390A22">
        <w:rPr>
          <w:lang w:val="es-419"/>
        </w:rPr>
        <w:t xml:space="preserve"> asistió a las siguientes ponencias, de las que se facilitan copias en los anexos del documento TWO/53/4 (véanse los párrafos 83 y 84 del documento TWO/53/10 “</w:t>
      </w:r>
      <w:r w:rsidRPr="00390A22">
        <w:rPr>
          <w:i/>
          <w:iCs/>
          <w:lang w:val="es-419"/>
        </w:rPr>
        <w:t>Report</w:t>
      </w:r>
      <w:r w:rsidRPr="00390A22">
        <w:rPr>
          <w:lang w:val="es-419"/>
        </w:rPr>
        <w:t>"):</w:t>
      </w:r>
    </w:p>
    <w:p w14:paraId="265C9B39" w14:textId="77777777" w:rsidR="00884BDB" w:rsidRPr="00390A22" w:rsidRDefault="00884BDB" w:rsidP="00884BDB">
      <w:pPr>
        <w:keepNext/>
        <w:rPr>
          <w:lang w:val="es-419"/>
        </w:rPr>
      </w:pPr>
    </w:p>
    <w:tbl>
      <w:tblPr>
        <w:tblStyle w:val="TableGrid"/>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933"/>
        <w:gridCol w:w="1701"/>
      </w:tblGrid>
      <w:tr w:rsidR="00884BDB" w:rsidRPr="00390A22" w14:paraId="46D7E8E0" w14:textId="77777777" w:rsidTr="005D195C">
        <w:tc>
          <w:tcPr>
            <w:tcW w:w="7933" w:type="dxa"/>
          </w:tcPr>
          <w:p w14:paraId="49BB9606" w14:textId="77777777" w:rsidR="00884BDB" w:rsidRPr="00390A22" w:rsidRDefault="00884BDB" w:rsidP="005D195C">
            <w:pPr>
              <w:keepNext/>
              <w:spacing w:after="120"/>
              <w:ind w:left="166"/>
              <w:rPr>
                <w:lang w:val="es-419"/>
              </w:rPr>
            </w:pPr>
            <w:r w:rsidRPr="00390A22">
              <w:rPr>
                <w:lang w:val="es-419"/>
              </w:rPr>
              <w:t>“Evaluación de especies ornamentales mediante mediciones de plantas individuales (MS): momento y motivo de hacerla y manera de proceder con los datos”, a cargo de un experto de Alemania.</w:t>
            </w:r>
          </w:p>
        </w:tc>
        <w:tc>
          <w:tcPr>
            <w:tcW w:w="1701" w:type="dxa"/>
          </w:tcPr>
          <w:p w14:paraId="3C77467C" w14:textId="77777777" w:rsidR="00884BDB" w:rsidRPr="00390A22" w:rsidRDefault="00884BDB" w:rsidP="005D195C">
            <w:pPr>
              <w:keepNext/>
              <w:spacing w:after="120"/>
              <w:rPr>
                <w:lang w:val="es-419"/>
              </w:rPr>
            </w:pPr>
            <w:r w:rsidRPr="00390A22">
              <w:rPr>
                <w:lang w:val="es-419"/>
              </w:rPr>
              <w:tab/>
              <w:t>Anexo I</w:t>
            </w:r>
          </w:p>
        </w:tc>
      </w:tr>
      <w:tr w:rsidR="00884BDB" w:rsidRPr="00390A22" w14:paraId="1FC1047B" w14:textId="77777777" w:rsidTr="005D195C">
        <w:tc>
          <w:tcPr>
            <w:tcW w:w="7933" w:type="dxa"/>
          </w:tcPr>
          <w:p w14:paraId="640DAD71" w14:textId="77777777" w:rsidR="00884BDB" w:rsidRPr="00390A22" w:rsidRDefault="00884BDB" w:rsidP="005D195C">
            <w:pPr>
              <w:keepNext/>
              <w:spacing w:after="120"/>
              <w:ind w:left="166"/>
              <w:rPr>
                <w:lang w:val="es-419"/>
              </w:rPr>
            </w:pPr>
            <w:r w:rsidRPr="00390A22">
              <w:rPr>
                <w:lang w:val="es-419"/>
              </w:rPr>
              <w:t>“El uso de MG y MS en las directrices de examen de especies ornamentales”, a cargo de un experto de Nueva Zelandia.</w:t>
            </w:r>
          </w:p>
        </w:tc>
        <w:tc>
          <w:tcPr>
            <w:tcW w:w="1701" w:type="dxa"/>
          </w:tcPr>
          <w:p w14:paraId="7BC3C09B" w14:textId="77777777" w:rsidR="00884BDB" w:rsidRPr="00390A22" w:rsidRDefault="00884BDB" w:rsidP="005D195C">
            <w:pPr>
              <w:keepNext/>
              <w:spacing w:after="120"/>
              <w:rPr>
                <w:lang w:val="es-419"/>
              </w:rPr>
            </w:pPr>
            <w:r w:rsidRPr="00390A22">
              <w:rPr>
                <w:lang w:val="es-419"/>
              </w:rPr>
              <w:tab/>
              <w:t>Anexo II</w:t>
            </w:r>
          </w:p>
        </w:tc>
      </w:tr>
      <w:tr w:rsidR="00884BDB" w:rsidRPr="00390A22" w14:paraId="0D472321" w14:textId="77777777" w:rsidTr="005D195C">
        <w:tc>
          <w:tcPr>
            <w:tcW w:w="7933" w:type="dxa"/>
          </w:tcPr>
          <w:p w14:paraId="4AD59410" w14:textId="77777777" w:rsidR="00884BDB" w:rsidRPr="00390A22" w:rsidRDefault="00884BDB" w:rsidP="005D195C">
            <w:pPr>
              <w:keepNext/>
              <w:spacing w:after="120"/>
              <w:ind w:left="166"/>
              <w:rPr>
                <w:lang w:val="es-419"/>
              </w:rPr>
            </w:pPr>
            <w:r w:rsidRPr="00390A22">
              <w:rPr>
                <w:lang w:val="es-419"/>
              </w:rPr>
              <w:t>“Evaluación de especies ornamentales mediante mediciones de plantas individuales (MS): perspectiva del Reino Unido”, a cargo de un experto del Reino Unido</w:t>
            </w:r>
          </w:p>
        </w:tc>
        <w:tc>
          <w:tcPr>
            <w:tcW w:w="1701" w:type="dxa"/>
          </w:tcPr>
          <w:p w14:paraId="7E9DF82F" w14:textId="77777777" w:rsidR="00884BDB" w:rsidRPr="00390A22" w:rsidRDefault="00884BDB" w:rsidP="005D195C">
            <w:pPr>
              <w:keepNext/>
              <w:spacing w:after="120"/>
              <w:rPr>
                <w:lang w:val="es-419"/>
              </w:rPr>
            </w:pPr>
            <w:r w:rsidRPr="00390A22">
              <w:rPr>
                <w:lang w:val="es-419"/>
              </w:rPr>
              <w:tab/>
              <w:t>Anexo III</w:t>
            </w:r>
          </w:p>
        </w:tc>
      </w:tr>
    </w:tbl>
    <w:p w14:paraId="7D1B6CCC" w14:textId="77777777" w:rsidR="00884BDB" w:rsidRPr="00390A22" w:rsidRDefault="00884BDB" w:rsidP="00884BDB">
      <w:pPr>
        <w:rPr>
          <w:lang w:val="es-419"/>
        </w:rPr>
      </w:pPr>
    </w:p>
    <w:p w14:paraId="2029B6B6" w14:textId="0182621B" w:rsidR="00884BDB" w:rsidRPr="00390A22" w:rsidRDefault="00884BDB" w:rsidP="00884BDB">
      <w:pPr>
        <w:rPr>
          <w:lang w:val="es-419"/>
        </w:rPr>
      </w:pPr>
      <w:r w:rsidRPr="00390A22">
        <w:rPr>
          <w:lang w:val="es-419"/>
        </w:rPr>
        <w:fldChar w:fldCharType="begin"/>
      </w:r>
      <w:r w:rsidRPr="00390A22">
        <w:rPr>
          <w:lang w:val="es-419"/>
        </w:rPr>
        <w:instrText xml:space="preserve"> AUTONUM  </w:instrText>
      </w:r>
      <w:r w:rsidRPr="00390A22">
        <w:rPr>
          <w:lang w:val="es-419"/>
        </w:rPr>
        <w:fldChar w:fldCharType="end"/>
      </w:r>
      <w:r w:rsidRPr="00390A22">
        <w:rPr>
          <w:lang w:val="es-419"/>
        </w:rPr>
        <w:tab/>
        <w:t>El TWO tomó nota de que las mediciones de plantas individuales (MS) se utilizan para las plantas ornamentales según la especie, el tipo de multiplicación o reproducción y el tamaño del ensayo y la práctica de examen de las autoridades.</w:t>
      </w:r>
      <w:r w:rsidR="00CE5864" w:rsidRPr="00390A22">
        <w:rPr>
          <w:lang w:val="es-419"/>
        </w:rPr>
        <w:t xml:space="preserve"> </w:t>
      </w:r>
      <w:r w:rsidRPr="00390A22">
        <w:rPr>
          <w:lang w:val="es-419"/>
        </w:rPr>
        <w:t>El TWO convino en invitar a los expertos principales de proyectos de directrices de examen a promover debates sobre la necesidad de utilizar mediciones individuales para los caracteres propuestos.</w:t>
      </w:r>
      <w:r w:rsidR="00CE5864" w:rsidRPr="00390A22">
        <w:rPr>
          <w:lang w:val="es-419"/>
        </w:rPr>
        <w:t xml:space="preserve"> </w:t>
      </w:r>
    </w:p>
    <w:p w14:paraId="7B532D78" w14:textId="77777777" w:rsidR="00884BDB" w:rsidRPr="00390A22" w:rsidRDefault="00884BDB" w:rsidP="00884BDB">
      <w:pPr>
        <w:rPr>
          <w:lang w:val="es-419"/>
        </w:rPr>
      </w:pPr>
    </w:p>
    <w:p w14:paraId="41044E21" w14:textId="77777777" w:rsidR="00884BDB" w:rsidRPr="00390A22" w:rsidRDefault="00884BDB" w:rsidP="00884BDB">
      <w:pPr>
        <w:jc w:val="left"/>
        <w:rPr>
          <w:lang w:val="es-419"/>
        </w:rPr>
      </w:pPr>
    </w:p>
    <w:p w14:paraId="5D361371" w14:textId="77777777" w:rsidR="00884BDB" w:rsidRPr="00390A22" w:rsidRDefault="00884BDB" w:rsidP="00884BDB">
      <w:pPr>
        <w:pStyle w:val="Heading2"/>
        <w:rPr>
          <w:lang w:val="es-419"/>
        </w:rPr>
      </w:pPr>
      <w:bookmarkStart w:id="30" w:name="_Toc81201679"/>
      <w:bookmarkStart w:id="31" w:name="_Toc81205168"/>
      <w:r w:rsidRPr="00390A22">
        <w:rPr>
          <w:lang w:val="es-419"/>
        </w:rPr>
        <w:t>Nuevas tecnologías en el examen DHE</w:t>
      </w:r>
      <w:bookmarkEnd w:id="30"/>
      <w:bookmarkEnd w:id="31"/>
    </w:p>
    <w:p w14:paraId="7E94AC84" w14:textId="77777777" w:rsidR="00884BDB" w:rsidRPr="00390A22" w:rsidRDefault="00884BDB" w:rsidP="00884BDB">
      <w:pPr>
        <w:jc w:val="left"/>
        <w:rPr>
          <w:lang w:val="es-419"/>
        </w:rPr>
      </w:pPr>
    </w:p>
    <w:p w14:paraId="28AB3552" w14:textId="77777777" w:rsidR="00884BDB" w:rsidRPr="00390A22" w:rsidRDefault="00884BDB" w:rsidP="00884BDB">
      <w:pPr>
        <w:jc w:val="left"/>
        <w:rPr>
          <w:lang w:val="es-419"/>
        </w:rPr>
      </w:pPr>
      <w:r w:rsidRPr="00390A22">
        <w:rPr>
          <w:lang w:val="es-419"/>
        </w:rPr>
        <w:fldChar w:fldCharType="begin"/>
      </w:r>
      <w:r w:rsidRPr="00390A22">
        <w:rPr>
          <w:lang w:val="es-419"/>
        </w:rPr>
        <w:instrText xml:space="preserve"> AUTONUM  </w:instrText>
      </w:r>
      <w:r w:rsidRPr="00390A22">
        <w:rPr>
          <w:lang w:val="es-419"/>
        </w:rPr>
        <w:fldChar w:fldCharType="end"/>
      </w:r>
      <w:r w:rsidRPr="00390A22">
        <w:rPr>
          <w:lang w:val="es-419"/>
        </w:rPr>
        <w:tab/>
        <w:t>El TWA</w:t>
      </w:r>
      <w:r w:rsidRPr="00390A22">
        <w:rPr>
          <w:rStyle w:val="FootnoteReference"/>
          <w:lang w:val="es-419"/>
        </w:rPr>
        <w:footnoteReference w:id="13"/>
      </w:r>
      <w:r w:rsidRPr="00390A22">
        <w:rPr>
          <w:lang w:val="es-419"/>
        </w:rPr>
        <w:t xml:space="preserve"> asistió a las siguientes ponencias, de las que se facilitan copias en el documento TWA/50/5 (véanse los párrafos 94 y 95 del documento TWA/50/9 “</w:t>
      </w:r>
      <w:r w:rsidRPr="00390A22">
        <w:rPr>
          <w:i/>
          <w:iCs/>
          <w:lang w:val="es-419"/>
        </w:rPr>
        <w:t>Report</w:t>
      </w:r>
      <w:r w:rsidRPr="00390A22">
        <w:rPr>
          <w:lang w:val="es-419"/>
        </w:rPr>
        <w:t>"):</w:t>
      </w:r>
    </w:p>
    <w:p w14:paraId="4B295DE2" w14:textId="77777777" w:rsidR="00884BDB" w:rsidRPr="00390A22" w:rsidRDefault="00884BDB" w:rsidP="00884BDB">
      <w:pPr>
        <w:jc w:val="left"/>
        <w:rPr>
          <w:lang w:val="es-419"/>
        </w:rPr>
      </w:pPr>
    </w:p>
    <w:p w14:paraId="0D0391CE" w14:textId="77777777" w:rsidR="00884BDB" w:rsidRPr="00390A22" w:rsidRDefault="00884BDB" w:rsidP="00884BDB">
      <w:pPr>
        <w:ind w:left="567"/>
        <w:rPr>
          <w:lang w:val="es-419"/>
        </w:rPr>
      </w:pPr>
      <w:r w:rsidRPr="00390A22">
        <w:rPr>
          <w:lang w:val="es-419"/>
        </w:rPr>
        <w:t>Anexo I</w:t>
      </w:r>
      <w:r w:rsidRPr="00390A22">
        <w:rPr>
          <w:lang w:val="es-419"/>
        </w:rPr>
        <w:tab/>
        <w:t>“El uso de nueva tecnología en el examen DHE”, a cargo de un experto de Dinamarca</w:t>
      </w:r>
    </w:p>
    <w:p w14:paraId="5CFD321F" w14:textId="77777777" w:rsidR="00884BDB" w:rsidRPr="00390A22" w:rsidRDefault="00884BDB" w:rsidP="00884BDB">
      <w:pPr>
        <w:ind w:left="1701" w:hanging="1134"/>
        <w:rPr>
          <w:lang w:val="es-419"/>
        </w:rPr>
      </w:pPr>
      <w:r w:rsidRPr="00390A22">
        <w:rPr>
          <w:lang w:val="es-419"/>
        </w:rPr>
        <w:t>Anexo II</w:t>
      </w:r>
      <w:r w:rsidRPr="00390A22">
        <w:rPr>
          <w:lang w:val="es-419"/>
        </w:rPr>
        <w:tab/>
        <w:t>“Análisis de imágenes en el examen DHE agrícola en el Reino Unido”, a cargo del experto del Reino Unido</w:t>
      </w:r>
    </w:p>
    <w:p w14:paraId="7878C87E" w14:textId="77777777" w:rsidR="00884BDB" w:rsidRPr="00390A22" w:rsidRDefault="00884BDB" w:rsidP="00884BDB">
      <w:pPr>
        <w:jc w:val="left"/>
        <w:rPr>
          <w:lang w:val="es-419"/>
        </w:rPr>
      </w:pPr>
    </w:p>
    <w:p w14:paraId="4CB085EE" w14:textId="07E5C8B9" w:rsidR="00884BDB" w:rsidRPr="00390A22" w:rsidRDefault="00884BDB" w:rsidP="00884BDB">
      <w:pPr>
        <w:rPr>
          <w:lang w:val="es-419"/>
        </w:rPr>
      </w:pPr>
      <w:r w:rsidRPr="00390A22">
        <w:rPr>
          <w:lang w:val="es-419"/>
        </w:rPr>
        <w:fldChar w:fldCharType="begin"/>
      </w:r>
      <w:r w:rsidRPr="00390A22">
        <w:rPr>
          <w:lang w:val="es-419"/>
        </w:rPr>
        <w:instrText xml:space="preserve"> AUTONUM  </w:instrText>
      </w:r>
      <w:r w:rsidRPr="00390A22">
        <w:rPr>
          <w:lang w:val="es-419"/>
        </w:rPr>
        <w:fldChar w:fldCharType="end"/>
      </w:r>
      <w:r w:rsidRPr="00390A22">
        <w:rPr>
          <w:lang w:val="es-419"/>
        </w:rPr>
        <w:tab/>
        <w:t>El TWA tomó nota de la labor comunicada y convino en invitar a los expertos de Dinamarca y el</w:t>
      </w:r>
      <w:r w:rsidR="00D27545" w:rsidRPr="00390A22">
        <w:rPr>
          <w:lang w:val="es-419"/>
        </w:rPr>
        <w:t> </w:t>
      </w:r>
      <w:r w:rsidRPr="00390A22">
        <w:rPr>
          <w:lang w:val="es-419"/>
        </w:rPr>
        <w:t>Reino</w:t>
      </w:r>
      <w:r w:rsidR="00D27545" w:rsidRPr="00390A22">
        <w:rPr>
          <w:lang w:val="es-419"/>
        </w:rPr>
        <w:t> </w:t>
      </w:r>
      <w:r w:rsidRPr="00390A22">
        <w:rPr>
          <w:lang w:val="es-419"/>
        </w:rPr>
        <w:t>Unido a informar de los nuevos avances en su quincuagésima primera sesión.</w:t>
      </w:r>
    </w:p>
    <w:p w14:paraId="2B0ED48D" w14:textId="77777777" w:rsidR="00884BDB" w:rsidRPr="00390A22" w:rsidRDefault="00884BDB" w:rsidP="00884BDB">
      <w:pPr>
        <w:rPr>
          <w:lang w:val="es-419"/>
        </w:rPr>
      </w:pPr>
    </w:p>
    <w:p w14:paraId="72FCFDEF" w14:textId="77777777" w:rsidR="00884BDB" w:rsidRPr="00390A22" w:rsidRDefault="00884BDB" w:rsidP="00884BDB">
      <w:pPr>
        <w:jc w:val="left"/>
        <w:rPr>
          <w:lang w:val="es-419"/>
        </w:rPr>
      </w:pPr>
    </w:p>
    <w:p w14:paraId="6EA6BC6C" w14:textId="77777777" w:rsidR="00884BDB" w:rsidRPr="00390A22" w:rsidRDefault="00884BDB" w:rsidP="00884BDB">
      <w:pPr>
        <w:pStyle w:val="Heading2"/>
        <w:rPr>
          <w:rFonts w:cs="Arial"/>
          <w:lang w:val="es-419"/>
        </w:rPr>
      </w:pPr>
      <w:bookmarkStart w:id="32" w:name="_Toc81201680"/>
      <w:bookmarkStart w:id="33" w:name="_Toc81205169"/>
      <w:r w:rsidRPr="00390A22">
        <w:rPr>
          <w:lang w:val="es-419"/>
        </w:rPr>
        <w:t>Cuestiones de interés en relación con el examen DHE en el sector frutícola</w:t>
      </w:r>
      <w:bookmarkEnd w:id="32"/>
      <w:bookmarkEnd w:id="33"/>
    </w:p>
    <w:p w14:paraId="0D976C28" w14:textId="77777777" w:rsidR="00884BDB" w:rsidRPr="00390A22" w:rsidRDefault="00884BDB" w:rsidP="00884BDB">
      <w:pPr>
        <w:jc w:val="left"/>
        <w:rPr>
          <w:rFonts w:cs="Arial"/>
          <w:lang w:val="es-419"/>
        </w:rPr>
      </w:pPr>
    </w:p>
    <w:p w14:paraId="051CE3D2" w14:textId="7B5D0168" w:rsidR="00884BDB" w:rsidRPr="00390A22" w:rsidRDefault="00884BDB" w:rsidP="00884BDB">
      <w:pPr>
        <w:rPr>
          <w:lang w:val="es-419"/>
        </w:rPr>
      </w:pPr>
      <w:r w:rsidRPr="00390A22">
        <w:rPr>
          <w:rFonts w:cs="Arial"/>
          <w:lang w:val="es-419"/>
        </w:rPr>
        <w:fldChar w:fldCharType="begin"/>
      </w:r>
      <w:r w:rsidRPr="00390A22">
        <w:rPr>
          <w:rFonts w:cs="Arial"/>
          <w:lang w:val="es-419"/>
        </w:rPr>
        <w:instrText xml:space="preserve"> AUTONUM  </w:instrText>
      </w:r>
      <w:r w:rsidRPr="00390A22">
        <w:rPr>
          <w:rFonts w:cs="Arial"/>
          <w:lang w:val="es-419"/>
        </w:rPr>
        <w:fldChar w:fldCharType="end"/>
      </w:r>
      <w:r w:rsidRPr="00390A22">
        <w:rPr>
          <w:lang w:val="es-419"/>
        </w:rPr>
        <w:tab/>
        <w:t>El TWF</w:t>
      </w:r>
      <w:r w:rsidRPr="00390A22">
        <w:rPr>
          <w:rStyle w:val="FootnoteReference"/>
          <w:rFonts w:cs="Arial"/>
          <w:lang w:val="es-419"/>
        </w:rPr>
        <w:footnoteReference w:id="14"/>
      </w:r>
      <w:r w:rsidRPr="00390A22">
        <w:rPr>
          <w:lang w:val="es-419"/>
        </w:rPr>
        <w:t xml:space="preserve"> asistió a una ponencia sobre el “Número de plantas de la variedad de referencia”, a cargo de un experto de la Unión Europea.</w:t>
      </w:r>
      <w:r w:rsidR="00CE5864" w:rsidRPr="00390A22">
        <w:rPr>
          <w:lang w:val="es-419"/>
        </w:rPr>
        <w:t xml:space="preserve"> </w:t>
      </w:r>
      <w:r w:rsidRPr="00390A22">
        <w:rPr>
          <w:lang w:val="es-419"/>
        </w:rPr>
        <w:t>Se facilita una copia de la ponencia en el Anexo del documento TWF/52/7 (véanse los párrafos 71 y 72 del documento TWF/52/10 “</w:t>
      </w:r>
      <w:r w:rsidRPr="00390A22">
        <w:rPr>
          <w:i/>
          <w:iCs/>
          <w:lang w:val="es-419"/>
        </w:rPr>
        <w:t>Report</w:t>
      </w:r>
      <w:r w:rsidRPr="00390A22">
        <w:rPr>
          <w:lang w:val="es-419"/>
        </w:rPr>
        <w:t>”).</w:t>
      </w:r>
    </w:p>
    <w:p w14:paraId="405CA5FD" w14:textId="77777777" w:rsidR="00884BDB" w:rsidRPr="00390A22" w:rsidRDefault="00884BDB" w:rsidP="00884BDB">
      <w:pPr>
        <w:rPr>
          <w:rFonts w:cs="Arial"/>
          <w:lang w:val="es-419"/>
        </w:rPr>
      </w:pPr>
    </w:p>
    <w:p w14:paraId="3D58A550" w14:textId="77777777" w:rsidR="00884BDB" w:rsidRPr="00390A22" w:rsidRDefault="00884BDB" w:rsidP="00884BDB">
      <w:pPr>
        <w:rPr>
          <w:rFonts w:cs="Arial"/>
          <w:lang w:val="es-419"/>
        </w:rPr>
      </w:pPr>
      <w:r w:rsidRPr="00390A22">
        <w:rPr>
          <w:rFonts w:cs="Arial"/>
          <w:lang w:val="es-419"/>
        </w:rPr>
        <w:fldChar w:fldCharType="begin"/>
      </w:r>
      <w:r w:rsidRPr="00390A22">
        <w:rPr>
          <w:rFonts w:cs="Arial"/>
          <w:lang w:val="es-419"/>
        </w:rPr>
        <w:instrText xml:space="preserve"> AUTONUM  </w:instrText>
      </w:r>
      <w:r w:rsidRPr="00390A22">
        <w:rPr>
          <w:rFonts w:cs="Arial"/>
          <w:lang w:val="es-419"/>
        </w:rPr>
        <w:fldChar w:fldCharType="end"/>
      </w:r>
      <w:r w:rsidRPr="00390A22">
        <w:rPr>
          <w:lang w:val="es-419"/>
        </w:rPr>
        <w:tab/>
        <w:t>El TWF convino en invitar al experto de la Unión Europea a redactar, con el apoyo del Brasil, una propuesta sobre posibles modificaciones del párrafo 5.5.5 del documento TGP/9/2, que se ha de presentar en su quincuagésima tercera sesión.</w:t>
      </w:r>
    </w:p>
    <w:p w14:paraId="0CCAD611" w14:textId="77777777" w:rsidR="00884BDB" w:rsidRPr="00390A22" w:rsidRDefault="00884BDB" w:rsidP="00884BDB">
      <w:pPr>
        <w:jc w:val="left"/>
        <w:rPr>
          <w:rFonts w:cs="Arial"/>
          <w:lang w:val="es-419"/>
        </w:rPr>
      </w:pPr>
    </w:p>
    <w:p w14:paraId="5C830225" w14:textId="77777777" w:rsidR="00884BDB" w:rsidRPr="00390A22" w:rsidRDefault="00884BDB" w:rsidP="00884BDB">
      <w:pPr>
        <w:rPr>
          <w:lang w:val="es-419"/>
        </w:rPr>
      </w:pPr>
    </w:p>
    <w:p w14:paraId="28F63995" w14:textId="77777777" w:rsidR="00884BDB" w:rsidRPr="00390A22" w:rsidRDefault="00884BDB" w:rsidP="00884BDB">
      <w:pPr>
        <w:rPr>
          <w:lang w:val="es-419"/>
        </w:rPr>
      </w:pPr>
    </w:p>
    <w:p w14:paraId="090BD170" w14:textId="77777777" w:rsidR="009B440E" w:rsidRPr="00390A22" w:rsidRDefault="00050E16" w:rsidP="00884BDB">
      <w:pPr>
        <w:jc w:val="right"/>
        <w:rPr>
          <w:lang w:val="es-419"/>
        </w:rPr>
      </w:pPr>
      <w:r w:rsidRPr="00390A22">
        <w:rPr>
          <w:lang w:val="es-419"/>
        </w:rPr>
        <w:t>[Fin del documento]</w:t>
      </w:r>
    </w:p>
    <w:p w14:paraId="256E7408" w14:textId="77777777" w:rsidR="00202E38" w:rsidRPr="00390A22" w:rsidRDefault="00202E38">
      <w:pPr>
        <w:jc w:val="left"/>
        <w:rPr>
          <w:lang w:val="es-419"/>
        </w:rPr>
      </w:pPr>
    </w:p>
    <w:p w14:paraId="19660F2E" w14:textId="77777777" w:rsidR="008B3D8D" w:rsidRPr="00390A22" w:rsidRDefault="008B3D8D">
      <w:pPr>
        <w:jc w:val="left"/>
        <w:rPr>
          <w:lang w:val="es-419"/>
        </w:rPr>
      </w:pPr>
    </w:p>
    <w:p w14:paraId="7B611AFE" w14:textId="77777777" w:rsidR="00050E16" w:rsidRPr="00390A22" w:rsidRDefault="00050E16" w:rsidP="009B440E">
      <w:pPr>
        <w:jc w:val="left"/>
        <w:rPr>
          <w:lang w:val="es-419"/>
        </w:rPr>
      </w:pPr>
    </w:p>
    <w:sectPr w:rsidR="00050E16" w:rsidRPr="00390A22" w:rsidSect="00906DDC">
      <w:headerReference w:type="default" r:id="rId7"/>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23A143" w14:textId="77777777" w:rsidR="00B741C3" w:rsidRDefault="00B741C3" w:rsidP="006655D3">
      <w:r>
        <w:separator/>
      </w:r>
    </w:p>
    <w:p w14:paraId="6DEE5304" w14:textId="77777777" w:rsidR="00B741C3" w:rsidRDefault="00B741C3" w:rsidP="006655D3"/>
    <w:p w14:paraId="6AF3ABD3" w14:textId="77777777" w:rsidR="00B741C3" w:rsidRDefault="00B741C3" w:rsidP="006655D3"/>
  </w:endnote>
  <w:endnote w:type="continuationSeparator" w:id="0">
    <w:p w14:paraId="0956BB20" w14:textId="77777777" w:rsidR="00B741C3" w:rsidRDefault="00B741C3" w:rsidP="006655D3">
      <w:r>
        <w:separator/>
      </w:r>
    </w:p>
    <w:p w14:paraId="5F557046" w14:textId="77777777" w:rsidR="00B741C3" w:rsidRPr="00294751" w:rsidRDefault="00B741C3">
      <w:pPr>
        <w:pStyle w:val="Footer"/>
        <w:spacing w:after="60"/>
        <w:rPr>
          <w:sz w:val="18"/>
          <w:lang w:val="fr-FR"/>
        </w:rPr>
      </w:pPr>
      <w:r w:rsidRPr="00294751">
        <w:rPr>
          <w:sz w:val="18"/>
          <w:lang w:val="fr-FR"/>
        </w:rPr>
        <w:t>[Suite de la note de la page précédente]</w:t>
      </w:r>
    </w:p>
    <w:p w14:paraId="6BC1095D" w14:textId="77777777" w:rsidR="00B741C3" w:rsidRPr="00294751" w:rsidRDefault="00B741C3" w:rsidP="006655D3">
      <w:pPr>
        <w:rPr>
          <w:lang w:val="fr-FR"/>
        </w:rPr>
      </w:pPr>
    </w:p>
    <w:p w14:paraId="6791301D" w14:textId="77777777" w:rsidR="00B741C3" w:rsidRPr="00294751" w:rsidRDefault="00B741C3" w:rsidP="006655D3">
      <w:pPr>
        <w:rPr>
          <w:lang w:val="fr-FR"/>
        </w:rPr>
      </w:pPr>
    </w:p>
  </w:endnote>
  <w:endnote w:type="continuationNotice" w:id="1">
    <w:p w14:paraId="54DDCD5E" w14:textId="77777777" w:rsidR="00B741C3" w:rsidRPr="00294751" w:rsidRDefault="00B741C3" w:rsidP="006655D3">
      <w:pPr>
        <w:rPr>
          <w:lang w:val="fr-FR"/>
        </w:rPr>
      </w:pPr>
      <w:r w:rsidRPr="00294751">
        <w:rPr>
          <w:lang w:val="fr-FR"/>
        </w:rPr>
        <w:t>[Suite de la note page suivante]</w:t>
      </w:r>
    </w:p>
    <w:p w14:paraId="5C1C6324" w14:textId="77777777" w:rsidR="00B741C3" w:rsidRPr="00294751" w:rsidRDefault="00B741C3" w:rsidP="006655D3">
      <w:pPr>
        <w:rPr>
          <w:lang w:val="fr-FR"/>
        </w:rPr>
      </w:pPr>
    </w:p>
    <w:p w14:paraId="48144DAB" w14:textId="77777777" w:rsidR="00B741C3" w:rsidRPr="00294751" w:rsidRDefault="00B741C3"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AA8557" w14:textId="77777777" w:rsidR="00B741C3" w:rsidRDefault="00B741C3" w:rsidP="006655D3">
      <w:r>
        <w:separator/>
      </w:r>
    </w:p>
  </w:footnote>
  <w:footnote w:type="continuationSeparator" w:id="0">
    <w:p w14:paraId="317C56EE" w14:textId="77777777" w:rsidR="00B741C3" w:rsidRDefault="00B741C3" w:rsidP="006655D3">
      <w:r>
        <w:separator/>
      </w:r>
    </w:p>
  </w:footnote>
  <w:footnote w:type="continuationNotice" w:id="1">
    <w:p w14:paraId="7C011D16" w14:textId="77777777" w:rsidR="00B741C3" w:rsidRPr="00AB530F" w:rsidRDefault="00B741C3" w:rsidP="00AB530F">
      <w:pPr>
        <w:pStyle w:val="Footer"/>
      </w:pPr>
    </w:p>
  </w:footnote>
  <w:footnote w:id="2">
    <w:p w14:paraId="19EC8E06" w14:textId="77777777" w:rsidR="00884BDB" w:rsidRDefault="00884BDB" w:rsidP="00884BDB">
      <w:pPr>
        <w:pStyle w:val="FootnoteText"/>
      </w:pPr>
      <w:r>
        <w:rPr>
          <w:rStyle w:val="FootnoteReference"/>
        </w:rPr>
        <w:footnoteRef/>
      </w:r>
      <w:r>
        <w:tab/>
        <w:t>En su quincuagésima quinta sesión, organizada por Turquía y celebrada por medios electrónicos del 3 al 7 de mayo de 2021.</w:t>
      </w:r>
    </w:p>
  </w:footnote>
  <w:footnote w:id="3">
    <w:p w14:paraId="231140BE" w14:textId="77777777" w:rsidR="00884BDB" w:rsidRDefault="00884BDB" w:rsidP="00884BDB">
      <w:pPr>
        <w:pStyle w:val="FootnoteText"/>
      </w:pPr>
      <w:r>
        <w:rPr>
          <w:rStyle w:val="FootnoteReference"/>
        </w:rPr>
        <w:footnoteRef/>
      </w:r>
      <w:r>
        <w:tab/>
        <w:t>En su quincuagésima tercera sesión, organizada por los Países Bajos y celebrada por medios electrónicos del 7 al 11 de junio de 2021.</w:t>
      </w:r>
    </w:p>
  </w:footnote>
  <w:footnote w:id="4">
    <w:p w14:paraId="67ED7437" w14:textId="77777777" w:rsidR="00884BDB" w:rsidRDefault="00884BDB" w:rsidP="00884BDB">
      <w:pPr>
        <w:pStyle w:val="FootnoteText"/>
      </w:pPr>
      <w:r>
        <w:rPr>
          <w:rStyle w:val="FootnoteReference"/>
        </w:rPr>
        <w:footnoteRef/>
      </w:r>
      <w:r>
        <w:tab/>
        <w:t>En su quincuagésima sesión, organizada por la República Unida de Tanzanía y celebrada por medios electrónicos del 21 al 25 de junio de 2021.</w:t>
      </w:r>
    </w:p>
  </w:footnote>
  <w:footnote w:id="5">
    <w:p w14:paraId="1B904EDB" w14:textId="77777777" w:rsidR="00884BDB" w:rsidRDefault="00884BDB" w:rsidP="00884BDB">
      <w:pPr>
        <w:pStyle w:val="FootnoteText"/>
      </w:pPr>
      <w:r>
        <w:rPr>
          <w:rStyle w:val="FootnoteReference"/>
        </w:rPr>
        <w:footnoteRef/>
      </w:r>
      <w:r>
        <w:tab/>
        <w:t>En su quincuagésima segunda sesión, organizada por China y celebrada por medios electrónicos del 12 al 16 de julio de 2021.</w:t>
      </w:r>
    </w:p>
  </w:footnote>
  <w:footnote w:id="6">
    <w:p w14:paraId="0A2DD81E" w14:textId="77777777" w:rsidR="00884BDB" w:rsidRPr="005F1F78" w:rsidRDefault="00884BDB" w:rsidP="00884BDB">
      <w:pPr>
        <w:pStyle w:val="FootnoteText"/>
      </w:pPr>
      <w:r>
        <w:rPr>
          <w:rStyle w:val="FootnoteReference"/>
        </w:rPr>
        <w:footnoteRef/>
      </w:r>
      <w:r>
        <w:tab/>
        <w:t>En su trigésima novena sesión, organizada por los Estados Unidos de América y celebrada por medios electrónicos del 20 al 22 de septiembre de 2021.</w:t>
      </w:r>
    </w:p>
  </w:footnote>
  <w:footnote w:id="7">
    <w:p w14:paraId="1BC89EFD" w14:textId="77777777" w:rsidR="00884BDB" w:rsidRDefault="00884BDB" w:rsidP="00884BDB">
      <w:pPr>
        <w:pStyle w:val="FootnoteText"/>
      </w:pPr>
      <w:r>
        <w:rPr>
          <w:rStyle w:val="FootnoteReference"/>
        </w:rPr>
        <w:footnoteRef/>
      </w:r>
      <w:r>
        <w:tab/>
        <w:t>En su trigésima octava sesión, organizada por los Estados Unidos de América y celebrada por medios electrónicos del 22 al 24 de septiembre de 2021.</w:t>
      </w:r>
    </w:p>
  </w:footnote>
  <w:footnote w:id="8">
    <w:p w14:paraId="7A880A33" w14:textId="77777777" w:rsidR="00884BDB" w:rsidRDefault="00884BDB" w:rsidP="00884BDB">
      <w:pPr>
        <w:pStyle w:val="FootnoteText"/>
      </w:pPr>
      <w:r>
        <w:rPr>
          <w:rStyle w:val="FootnoteReference"/>
        </w:rPr>
        <w:footnoteRef/>
      </w:r>
      <w:r>
        <w:tab/>
        <w:t>En su quincuagésima segunda sesión, organizada por China y celebrada por medios electrónicos del 12 al 16 de julio de 2021.</w:t>
      </w:r>
    </w:p>
  </w:footnote>
  <w:footnote w:id="9">
    <w:p w14:paraId="4FFC52DE" w14:textId="77777777" w:rsidR="00884BDB" w:rsidRDefault="00884BDB" w:rsidP="00884BDB">
      <w:pPr>
        <w:pStyle w:val="FootnoteText"/>
      </w:pPr>
      <w:r>
        <w:rPr>
          <w:rStyle w:val="FootnoteReference"/>
        </w:rPr>
        <w:footnoteRef/>
      </w:r>
      <w:r>
        <w:tab/>
        <w:t>En su quincuagésima segunda sesión, organizada por China y celebrada por medios electrónicos del 12 al 16 de julio de 2021.</w:t>
      </w:r>
    </w:p>
  </w:footnote>
  <w:footnote w:id="10">
    <w:p w14:paraId="1E03F0BB" w14:textId="77777777" w:rsidR="00884BDB" w:rsidRDefault="00884BDB" w:rsidP="00884BDB">
      <w:pPr>
        <w:pStyle w:val="FootnoteText"/>
      </w:pPr>
      <w:r>
        <w:rPr>
          <w:rStyle w:val="FootnoteReference"/>
        </w:rPr>
        <w:footnoteRef/>
      </w:r>
      <w:r>
        <w:tab/>
        <w:t>En su quincuagésima quinta sesión, organizada por Turquía y celebrada por medios electrónicos del 3 al 7 de mayo de 2021.</w:t>
      </w:r>
    </w:p>
  </w:footnote>
  <w:footnote w:id="11">
    <w:p w14:paraId="183706DC" w14:textId="77777777" w:rsidR="00884BDB" w:rsidRDefault="00884BDB" w:rsidP="00884BDB">
      <w:pPr>
        <w:pStyle w:val="FootnoteText"/>
      </w:pPr>
      <w:r>
        <w:rPr>
          <w:rStyle w:val="FootnoteReference"/>
        </w:rPr>
        <w:footnoteRef/>
      </w:r>
      <w:r>
        <w:tab/>
        <w:t>En su quincuagésima tercera sesión, organizada por los Países Bajos y celebrada por medios electrónicos del 7 al 11 de junio de 2021.</w:t>
      </w:r>
    </w:p>
  </w:footnote>
  <w:footnote w:id="12">
    <w:p w14:paraId="120EDFFF" w14:textId="77777777" w:rsidR="00884BDB" w:rsidRDefault="00884BDB" w:rsidP="00884BDB">
      <w:pPr>
        <w:pStyle w:val="FootnoteText"/>
      </w:pPr>
      <w:r>
        <w:rPr>
          <w:rStyle w:val="FootnoteReference"/>
        </w:rPr>
        <w:footnoteRef/>
      </w:r>
      <w:r>
        <w:tab/>
        <w:t>En su quincuagésima tercera sesión, organizada por los Países Bajos y celebrada por medios electrónicos del 7 al 11 de junio de 2021.</w:t>
      </w:r>
    </w:p>
  </w:footnote>
  <w:footnote w:id="13">
    <w:p w14:paraId="5FB3E458" w14:textId="77777777" w:rsidR="00884BDB" w:rsidRPr="00DF5EC7" w:rsidRDefault="00884BDB" w:rsidP="00884BDB">
      <w:pPr>
        <w:pStyle w:val="FootnoteText"/>
      </w:pPr>
      <w:r>
        <w:rPr>
          <w:rStyle w:val="FootnoteReference"/>
        </w:rPr>
        <w:footnoteRef/>
      </w:r>
      <w:r>
        <w:tab/>
        <w:t>En su quincuagésima sesión, organizada por la República Unida de Tanzanía y celebrada por medios electrónicos del 21 al 25 de junio de 2021.</w:t>
      </w:r>
    </w:p>
  </w:footnote>
  <w:footnote w:id="14">
    <w:p w14:paraId="134BF257" w14:textId="77777777" w:rsidR="00884BDB" w:rsidRDefault="00884BDB" w:rsidP="00884BDB">
      <w:pPr>
        <w:pStyle w:val="FootnoteText"/>
      </w:pPr>
      <w:r>
        <w:rPr>
          <w:rStyle w:val="FootnoteReference"/>
        </w:rPr>
        <w:footnoteRef/>
      </w:r>
      <w:r>
        <w:tab/>
        <w:t>En su quincuagésima segunda sesión, organizada por China y celebrada por medios electrónicos del 12 al 16 de julio de 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473A7" w14:textId="77777777" w:rsidR="00182B99" w:rsidRPr="000A23DC" w:rsidRDefault="00467B42" w:rsidP="000A23DC">
    <w:pPr>
      <w:pStyle w:val="Header"/>
      <w:rPr>
        <w:rStyle w:val="PageNumber"/>
      </w:rPr>
    </w:pPr>
    <w:r>
      <w:rPr>
        <w:rStyle w:val="PageNumber"/>
      </w:rPr>
      <w:t>TC/57/3</w:t>
    </w:r>
  </w:p>
  <w:p w14:paraId="23059B25" w14:textId="26F86FDC" w:rsidR="00182B99" w:rsidRPr="00202E38" w:rsidRDefault="008B3D8D" w:rsidP="008B3D8D">
    <w:pPr>
      <w:pStyle w:val="Header"/>
    </w:pPr>
    <w:r>
      <w:t xml:space="preserve">página </w:t>
    </w:r>
    <w:r w:rsidR="00182B99" w:rsidRPr="00202E38">
      <w:rPr>
        <w:rStyle w:val="PageNumber"/>
      </w:rPr>
      <w:fldChar w:fldCharType="begin"/>
    </w:r>
    <w:r w:rsidR="00182B99" w:rsidRPr="00202E38">
      <w:rPr>
        <w:rStyle w:val="PageNumber"/>
      </w:rPr>
      <w:instrText xml:space="preserve"> PAGE </w:instrText>
    </w:r>
    <w:r w:rsidR="00182B99" w:rsidRPr="00202E38">
      <w:rPr>
        <w:rStyle w:val="PageNumber"/>
      </w:rPr>
      <w:fldChar w:fldCharType="separate"/>
    </w:r>
    <w:r w:rsidR="00FD5BDB">
      <w:rPr>
        <w:rStyle w:val="PageNumber"/>
        <w:noProof/>
      </w:rPr>
      <w:t>5</w:t>
    </w:r>
    <w:r w:rsidR="00182B99" w:rsidRPr="00202E38">
      <w:rPr>
        <w:rStyle w:val="PageNumber"/>
      </w:rPr>
      <w:fldChar w:fldCharType="end"/>
    </w:r>
  </w:p>
  <w:p w14:paraId="291DAD3D" w14:textId="77777777" w:rsidR="00182B99" w:rsidRPr="00202E38" w:rsidRDefault="00182B99" w:rsidP="006655D3">
    <w:pPr>
      <w:rPr>
        <w:lang w:val="de-D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DA0"/>
    <w:rsid w:val="00010CF3"/>
    <w:rsid w:val="00011E27"/>
    <w:rsid w:val="000148BC"/>
    <w:rsid w:val="00024AB8"/>
    <w:rsid w:val="00030854"/>
    <w:rsid w:val="00036028"/>
    <w:rsid w:val="00044642"/>
    <w:rsid w:val="000446B9"/>
    <w:rsid w:val="00047E21"/>
    <w:rsid w:val="00050E16"/>
    <w:rsid w:val="000638A9"/>
    <w:rsid w:val="00085505"/>
    <w:rsid w:val="000A23DC"/>
    <w:rsid w:val="000B5C08"/>
    <w:rsid w:val="000B7BB9"/>
    <w:rsid w:val="000C4E25"/>
    <w:rsid w:val="000C7021"/>
    <w:rsid w:val="000D6BBC"/>
    <w:rsid w:val="000D7780"/>
    <w:rsid w:val="000E636A"/>
    <w:rsid w:val="000F2F11"/>
    <w:rsid w:val="00105929"/>
    <w:rsid w:val="001066E7"/>
    <w:rsid w:val="00110C36"/>
    <w:rsid w:val="001131D5"/>
    <w:rsid w:val="00141DB8"/>
    <w:rsid w:val="00172084"/>
    <w:rsid w:val="0017474A"/>
    <w:rsid w:val="001758C6"/>
    <w:rsid w:val="00182B99"/>
    <w:rsid w:val="001A5FCF"/>
    <w:rsid w:val="001F64BF"/>
    <w:rsid w:val="00202E38"/>
    <w:rsid w:val="0021332C"/>
    <w:rsid w:val="00213982"/>
    <w:rsid w:val="0024416D"/>
    <w:rsid w:val="002464A3"/>
    <w:rsid w:val="00271911"/>
    <w:rsid w:val="002800A0"/>
    <w:rsid w:val="002801B3"/>
    <w:rsid w:val="00281060"/>
    <w:rsid w:val="002940E8"/>
    <w:rsid w:val="00294751"/>
    <w:rsid w:val="002A6E50"/>
    <w:rsid w:val="002B4298"/>
    <w:rsid w:val="002C256A"/>
    <w:rsid w:val="002C3D98"/>
    <w:rsid w:val="002E5944"/>
    <w:rsid w:val="00305A7F"/>
    <w:rsid w:val="003152FE"/>
    <w:rsid w:val="00324098"/>
    <w:rsid w:val="00327436"/>
    <w:rsid w:val="00344BD6"/>
    <w:rsid w:val="0035528D"/>
    <w:rsid w:val="00361821"/>
    <w:rsid w:val="00361E9E"/>
    <w:rsid w:val="00390A22"/>
    <w:rsid w:val="003B031A"/>
    <w:rsid w:val="003C7FBE"/>
    <w:rsid w:val="003D227C"/>
    <w:rsid w:val="003D2B4D"/>
    <w:rsid w:val="0040557F"/>
    <w:rsid w:val="00415DA0"/>
    <w:rsid w:val="00444A88"/>
    <w:rsid w:val="00467B42"/>
    <w:rsid w:val="00474DA4"/>
    <w:rsid w:val="00476B4D"/>
    <w:rsid w:val="004805FA"/>
    <w:rsid w:val="004935D2"/>
    <w:rsid w:val="004B1215"/>
    <w:rsid w:val="004B3496"/>
    <w:rsid w:val="004D047D"/>
    <w:rsid w:val="004F1E9E"/>
    <w:rsid w:val="004F305A"/>
    <w:rsid w:val="00512164"/>
    <w:rsid w:val="00520297"/>
    <w:rsid w:val="005338F9"/>
    <w:rsid w:val="0054281C"/>
    <w:rsid w:val="00544581"/>
    <w:rsid w:val="00545E42"/>
    <w:rsid w:val="0055268D"/>
    <w:rsid w:val="00576BE4"/>
    <w:rsid w:val="005A1EC1"/>
    <w:rsid w:val="005A400A"/>
    <w:rsid w:val="005F7B92"/>
    <w:rsid w:val="00612379"/>
    <w:rsid w:val="006153B6"/>
    <w:rsid w:val="0061555F"/>
    <w:rsid w:val="00631E71"/>
    <w:rsid w:val="00636CA6"/>
    <w:rsid w:val="00637EDD"/>
    <w:rsid w:val="00641200"/>
    <w:rsid w:val="00645CA8"/>
    <w:rsid w:val="006655D3"/>
    <w:rsid w:val="00667404"/>
    <w:rsid w:val="00687EB4"/>
    <w:rsid w:val="00695C56"/>
    <w:rsid w:val="006A5CDE"/>
    <w:rsid w:val="006A644A"/>
    <w:rsid w:val="006B17D2"/>
    <w:rsid w:val="006C224E"/>
    <w:rsid w:val="006D780A"/>
    <w:rsid w:val="0071271E"/>
    <w:rsid w:val="00732DEC"/>
    <w:rsid w:val="00735BD5"/>
    <w:rsid w:val="00751613"/>
    <w:rsid w:val="007556F6"/>
    <w:rsid w:val="00760EEF"/>
    <w:rsid w:val="00772B51"/>
    <w:rsid w:val="00777EE5"/>
    <w:rsid w:val="00783722"/>
    <w:rsid w:val="00784836"/>
    <w:rsid w:val="0079023E"/>
    <w:rsid w:val="007A2854"/>
    <w:rsid w:val="007C1D92"/>
    <w:rsid w:val="007C4CB9"/>
    <w:rsid w:val="007D0B9D"/>
    <w:rsid w:val="007D19B0"/>
    <w:rsid w:val="007F498F"/>
    <w:rsid w:val="0080679D"/>
    <w:rsid w:val="008108B0"/>
    <w:rsid w:val="00811B20"/>
    <w:rsid w:val="008211B5"/>
    <w:rsid w:val="0082296E"/>
    <w:rsid w:val="00824099"/>
    <w:rsid w:val="00846D7C"/>
    <w:rsid w:val="00864C55"/>
    <w:rsid w:val="00867AC1"/>
    <w:rsid w:val="00884BDB"/>
    <w:rsid w:val="00890DF8"/>
    <w:rsid w:val="008A743F"/>
    <w:rsid w:val="008B3D8D"/>
    <w:rsid w:val="008C0970"/>
    <w:rsid w:val="008D0BC5"/>
    <w:rsid w:val="008D2CF7"/>
    <w:rsid w:val="008E5DA1"/>
    <w:rsid w:val="00900C26"/>
    <w:rsid w:val="0090197F"/>
    <w:rsid w:val="00906DDC"/>
    <w:rsid w:val="00934E09"/>
    <w:rsid w:val="00936253"/>
    <w:rsid w:val="00940D46"/>
    <w:rsid w:val="00952DD4"/>
    <w:rsid w:val="0096175D"/>
    <w:rsid w:val="00965AE7"/>
    <w:rsid w:val="00970FED"/>
    <w:rsid w:val="00992D82"/>
    <w:rsid w:val="00997029"/>
    <w:rsid w:val="009A7339"/>
    <w:rsid w:val="009B440E"/>
    <w:rsid w:val="009D0C15"/>
    <w:rsid w:val="009D690D"/>
    <w:rsid w:val="009E65B6"/>
    <w:rsid w:val="00A24C10"/>
    <w:rsid w:val="00A42AC3"/>
    <w:rsid w:val="00A430CF"/>
    <w:rsid w:val="00A54309"/>
    <w:rsid w:val="00A706D3"/>
    <w:rsid w:val="00AB2B93"/>
    <w:rsid w:val="00AB530F"/>
    <w:rsid w:val="00AB7E5B"/>
    <w:rsid w:val="00AC2883"/>
    <w:rsid w:val="00AE0EF1"/>
    <w:rsid w:val="00AE2937"/>
    <w:rsid w:val="00B07301"/>
    <w:rsid w:val="00B11F3E"/>
    <w:rsid w:val="00B224DE"/>
    <w:rsid w:val="00B324D4"/>
    <w:rsid w:val="00B46575"/>
    <w:rsid w:val="00B61777"/>
    <w:rsid w:val="00B741C3"/>
    <w:rsid w:val="00B84BBD"/>
    <w:rsid w:val="00BA43FB"/>
    <w:rsid w:val="00BC0BD4"/>
    <w:rsid w:val="00BC127D"/>
    <w:rsid w:val="00BC1FE6"/>
    <w:rsid w:val="00C061B6"/>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E49AB"/>
    <w:rsid w:val="00CE5864"/>
    <w:rsid w:val="00CF1330"/>
    <w:rsid w:val="00CF7E36"/>
    <w:rsid w:val="00D27545"/>
    <w:rsid w:val="00D3708D"/>
    <w:rsid w:val="00D40426"/>
    <w:rsid w:val="00D57C96"/>
    <w:rsid w:val="00D57D18"/>
    <w:rsid w:val="00D91203"/>
    <w:rsid w:val="00D95174"/>
    <w:rsid w:val="00DA4973"/>
    <w:rsid w:val="00DA6F36"/>
    <w:rsid w:val="00DB596E"/>
    <w:rsid w:val="00DB7773"/>
    <w:rsid w:val="00DC00EA"/>
    <w:rsid w:val="00DC3802"/>
    <w:rsid w:val="00E07D87"/>
    <w:rsid w:val="00E32F7E"/>
    <w:rsid w:val="00E5267B"/>
    <w:rsid w:val="00E63C0E"/>
    <w:rsid w:val="00E72D49"/>
    <w:rsid w:val="00E7593C"/>
    <w:rsid w:val="00E7678A"/>
    <w:rsid w:val="00E935F1"/>
    <w:rsid w:val="00E94A81"/>
    <w:rsid w:val="00EA1FFB"/>
    <w:rsid w:val="00EB048E"/>
    <w:rsid w:val="00EB4E9C"/>
    <w:rsid w:val="00EC2265"/>
    <w:rsid w:val="00EE34DF"/>
    <w:rsid w:val="00EE3C81"/>
    <w:rsid w:val="00EF2F89"/>
    <w:rsid w:val="00F03E98"/>
    <w:rsid w:val="00F1237A"/>
    <w:rsid w:val="00F22CBD"/>
    <w:rsid w:val="00F272F1"/>
    <w:rsid w:val="00F45372"/>
    <w:rsid w:val="00F560F7"/>
    <w:rsid w:val="00F6334D"/>
    <w:rsid w:val="00FA49AB"/>
    <w:rsid w:val="00FD3F87"/>
    <w:rsid w:val="00FD5BD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93D2034"/>
  <w15:docId w15:val="{6138A3C5-5435-45A2-8FA9-F74C92519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44"/>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8B3D8D"/>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783722"/>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s-E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CE49AB"/>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CE49AB"/>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es-ES"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es-ES" w:eastAsia="en-US" w:bidi="ar-SA"/>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next w:val="Normal"/>
    <w:autoRedefine/>
    <w:uiPriority w:val="39"/>
    <w:rsid w:val="00CE5864"/>
    <w:pPr>
      <w:tabs>
        <w:tab w:val="right" w:leader="dot" w:pos="9639"/>
      </w:tabs>
      <w:contextualSpacing/>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884BDB"/>
    <w:rPr>
      <w:rFonts w:ascii="Arial" w:hAnsi="Arial"/>
      <w:caps/>
    </w:rPr>
  </w:style>
  <w:style w:type="character" w:customStyle="1" w:styleId="Heading2Char">
    <w:name w:val="Heading 2 Char"/>
    <w:aliases w:val="VARIETY Char,variety Char"/>
    <w:basedOn w:val="DefaultParagraphFont"/>
    <w:link w:val="Heading2"/>
    <w:rsid w:val="00884BDB"/>
    <w:rPr>
      <w:rFonts w:ascii="Arial" w:hAnsi="Arial"/>
      <w:u w:val="single"/>
    </w:rPr>
  </w:style>
  <w:style w:type="character" w:customStyle="1" w:styleId="Heading4Char">
    <w:name w:val="Heading 4 Char"/>
    <w:basedOn w:val="DefaultParagraphFont"/>
    <w:link w:val="Heading4"/>
    <w:rsid w:val="00884BDB"/>
    <w:rPr>
      <w:rFonts w:ascii="Arial" w:hAnsi="Arial"/>
      <w:u w:val="single"/>
      <w:lang w:val="es-ES"/>
    </w:rPr>
  </w:style>
  <w:style w:type="character" w:customStyle="1" w:styleId="FootnoteTextChar">
    <w:name w:val="Footnote Text Char"/>
    <w:basedOn w:val="DefaultParagraphFont"/>
    <w:link w:val="FootnoteText"/>
    <w:rsid w:val="00884BDB"/>
    <w:rPr>
      <w:rFonts w:ascii="Arial" w:hAnsi="Arial"/>
      <w:sz w:val="16"/>
      <w:lang w:val="es-ES"/>
    </w:rPr>
  </w:style>
  <w:style w:type="table" w:styleId="TableGrid">
    <w:name w:val="Table Grid"/>
    <w:basedOn w:val="TableNormal"/>
    <w:rsid w:val="00884BDB"/>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2151</Words>
  <Characters>11813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TC/57</vt:lpstr>
    </vt:vector>
  </TitlesOfParts>
  <Company>UPOV</Company>
  <LinksUpToDate>false</LinksUpToDate>
  <CharactersWithSpaces>13937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TC/57/3</dc:title>
  <dc:creator>CEVALLOS DUQUE Nilo</dc:creator>
  <cp:lastModifiedBy>MAY Jessica</cp:lastModifiedBy>
  <cp:revision>5</cp:revision>
  <cp:lastPrinted>2016-11-22T15:41:00Z</cp:lastPrinted>
  <dcterms:created xsi:type="dcterms:W3CDTF">2021-08-30T06:37:00Z</dcterms:created>
  <dcterms:modified xsi:type="dcterms:W3CDTF">2021-09-21T08:44:00Z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34e3df04-3df8-46ee-9dca-fcc5616d9396</vt:lpwstr>
  </property>
</Properties>
</file>