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E38B1" w:rsidTr="00EB4E9C">
        <w:tc>
          <w:tcPr>
            <w:tcW w:w="6522" w:type="dxa"/>
          </w:tcPr>
          <w:p w:rsidR="00DC3802" w:rsidRPr="008E38B1" w:rsidRDefault="00DC3802" w:rsidP="00AC2883">
            <w:pPr>
              <w:rPr>
                <w:lang w:val="es-419"/>
              </w:rPr>
            </w:pPr>
            <w:r w:rsidRPr="008E38B1">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E38B1" w:rsidRDefault="00FC21DC" w:rsidP="00FC21DC">
            <w:pPr>
              <w:pStyle w:val="Lettrine"/>
              <w:rPr>
                <w:lang w:val="es-419"/>
              </w:rPr>
            </w:pPr>
            <w:r w:rsidRPr="008E38B1">
              <w:rPr>
                <w:lang w:val="es-419"/>
              </w:rPr>
              <w:t>S</w:t>
            </w:r>
          </w:p>
        </w:tc>
      </w:tr>
      <w:tr w:rsidR="00DC3802" w:rsidRPr="003F4FE7" w:rsidTr="00645CA8">
        <w:trPr>
          <w:trHeight w:val="219"/>
        </w:trPr>
        <w:tc>
          <w:tcPr>
            <w:tcW w:w="6522" w:type="dxa"/>
          </w:tcPr>
          <w:p w:rsidR="00DC3802" w:rsidRPr="008E38B1" w:rsidRDefault="00301714" w:rsidP="00301714">
            <w:pPr>
              <w:pStyle w:val="upove"/>
              <w:rPr>
                <w:lang w:val="es-419"/>
              </w:rPr>
            </w:pPr>
            <w:r w:rsidRPr="008E38B1">
              <w:rPr>
                <w:lang w:val="es-419"/>
              </w:rPr>
              <w:t>Unión Internacional para la Protección de las Obtenciones Vegetales</w:t>
            </w:r>
          </w:p>
        </w:tc>
        <w:tc>
          <w:tcPr>
            <w:tcW w:w="3117" w:type="dxa"/>
          </w:tcPr>
          <w:p w:rsidR="00DC3802" w:rsidRPr="008E38B1" w:rsidRDefault="00DC3802" w:rsidP="00DA4973">
            <w:pPr>
              <w:rPr>
                <w:lang w:val="es-419"/>
              </w:rPr>
            </w:pPr>
          </w:p>
        </w:tc>
      </w:tr>
    </w:tbl>
    <w:p w:rsidR="00442786" w:rsidRPr="008E38B1" w:rsidRDefault="00442786" w:rsidP="00DC3802">
      <w:pPr>
        <w:rPr>
          <w:lang w:val="es-419"/>
        </w:rPr>
      </w:pPr>
    </w:p>
    <w:p w:rsidR="00445B73" w:rsidRPr="008E38B1" w:rsidRDefault="00445B73" w:rsidP="00445B73">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3F4FE7" w:rsidTr="00DA5397">
        <w:tc>
          <w:tcPr>
            <w:tcW w:w="6512" w:type="dxa"/>
          </w:tcPr>
          <w:p w:rsidR="00442786" w:rsidRPr="008E38B1" w:rsidRDefault="00301714" w:rsidP="00301714">
            <w:pPr>
              <w:pStyle w:val="Sessiontc"/>
              <w:spacing w:line="240" w:lineRule="auto"/>
              <w:rPr>
                <w:lang w:val="es-419"/>
              </w:rPr>
            </w:pPr>
            <w:r w:rsidRPr="008E38B1">
              <w:rPr>
                <w:lang w:val="es-419"/>
              </w:rPr>
              <w:t>Comité Técnico</w:t>
            </w:r>
          </w:p>
          <w:p w:rsidR="00445B73" w:rsidRPr="008E38B1" w:rsidRDefault="00301714" w:rsidP="00301714">
            <w:pPr>
              <w:pStyle w:val="Sessiontcplacedate"/>
              <w:rPr>
                <w:sz w:val="22"/>
                <w:lang w:val="es-419"/>
              </w:rPr>
            </w:pPr>
            <w:r w:rsidRPr="008E38B1">
              <w:rPr>
                <w:sz w:val="22"/>
                <w:lang w:val="es-419"/>
              </w:rPr>
              <w:t xml:space="preserve">Quincuagésima séptima sesión </w:t>
            </w:r>
            <w:r w:rsidRPr="008E38B1">
              <w:rPr>
                <w:sz w:val="22"/>
                <w:lang w:val="es-419"/>
              </w:rPr>
              <w:br/>
              <w:t>Ginebra, 25 y 26 de octubre de 2021</w:t>
            </w:r>
          </w:p>
        </w:tc>
        <w:tc>
          <w:tcPr>
            <w:tcW w:w="3127" w:type="dxa"/>
          </w:tcPr>
          <w:p w:rsidR="00442786" w:rsidRPr="008E38B1" w:rsidRDefault="005253DA" w:rsidP="00DA5397">
            <w:pPr>
              <w:pStyle w:val="Doccode"/>
              <w:rPr>
                <w:lang w:val="es-419"/>
              </w:rPr>
            </w:pPr>
            <w:r w:rsidRPr="008E38B1">
              <w:rPr>
                <w:lang w:val="es-419"/>
              </w:rPr>
              <w:t>TC/57/10</w:t>
            </w:r>
          </w:p>
          <w:p w:rsidR="00442786" w:rsidRPr="008E38B1" w:rsidRDefault="00301714" w:rsidP="00301714">
            <w:pPr>
              <w:pStyle w:val="Docoriginal"/>
              <w:rPr>
                <w:lang w:val="es-419"/>
              </w:rPr>
            </w:pPr>
            <w:r w:rsidRPr="008E38B1">
              <w:rPr>
                <w:lang w:val="es-419"/>
              </w:rPr>
              <w:t>Original:</w:t>
            </w:r>
            <w:r w:rsidRPr="008E38B1">
              <w:rPr>
                <w:b w:val="0"/>
                <w:lang w:val="es-419"/>
              </w:rPr>
              <w:t xml:space="preserve"> Inglés</w:t>
            </w:r>
          </w:p>
          <w:p w:rsidR="00445B73" w:rsidRPr="008E38B1" w:rsidRDefault="00301714" w:rsidP="00301714">
            <w:pPr>
              <w:pStyle w:val="Docoriginal"/>
              <w:rPr>
                <w:lang w:val="es-419"/>
              </w:rPr>
            </w:pPr>
            <w:r w:rsidRPr="008E38B1">
              <w:rPr>
                <w:lang w:val="es-419"/>
              </w:rPr>
              <w:t>Fecha:</w:t>
            </w:r>
            <w:r w:rsidRPr="008E38B1">
              <w:rPr>
                <w:b w:val="0"/>
                <w:lang w:val="es-419"/>
              </w:rPr>
              <w:t xml:space="preserve"> 7 de octubre de 2021</w:t>
            </w:r>
          </w:p>
        </w:tc>
      </w:tr>
    </w:tbl>
    <w:p w:rsidR="00442786" w:rsidRPr="008E38B1" w:rsidRDefault="00301714" w:rsidP="00301714">
      <w:pPr>
        <w:pStyle w:val="Titleofdoc0"/>
        <w:jc w:val="both"/>
        <w:rPr>
          <w:lang w:val="es-419"/>
        </w:rPr>
      </w:pPr>
      <w:bookmarkStart w:id="0" w:name="TitleOfDoc"/>
      <w:bookmarkEnd w:id="0"/>
      <w:r w:rsidRPr="008E38B1">
        <w:rPr>
          <w:lang w:val="es-419"/>
        </w:rPr>
        <w:t>Aumento de la participación en la labor del Comité Técnico y de los Grupos de Trabajo Técnico</w:t>
      </w:r>
    </w:p>
    <w:p w:rsidR="00442786" w:rsidRPr="008E38B1" w:rsidRDefault="00301714" w:rsidP="00301714">
      <w:pPr>
        <w:pStyle w:val="preparedby1"/>
        <w:jc w:val="left"/>
        <w:rPr>
          <w:lang w:val="es-419"/>
        </w:rPr>
      </w:pPr>
      <w:bookmarkStart w:id="1" w:name="Prepared"/>
      <w:bookmarkEnd w:id="1"/>
      <w:r w:rsidRPr="008E38B1">
        <w:rPr>
          <w:lang w:val="es-419"/>
        </w:rPr>
        <w:t>Documento preparado por la Oficina de la Unión</w:t>
      </w:r>
    </w:p>
    <w:p w:rsidR="00442786" w:rsidRPr="008E38B1" w:rsidRDefault="00301714" w:rsidP="00301714">
      <w:pPr>
        <w:pStyle w:val="Disclaimer"/>
        <w:rPr>
          <w:lang w:val="es-419"/>
        </w:rPr>
      </w:pPr>
      <w:r w:rsidRPr="008E38B1">
        <w:rPr>
          <w:lang w:val="es-419"/>
        </w:rPr>
        <w:t>‏Descargo de responsabilidad: el presente documento no constituye un documento de política u orientación de la UPOV</w:t>
      </w:r>
    </w:p>
    <w:p w:rsidR="00442786" w:rsidRPr="008E38B1" w:rsidRDefault="00301714" w:rsidP="00301714">
      <w:pPr>
        <w:keepNext/>
        <w:outlineLvl w:val="0"/>
        <w:rPr>
          <w:caps/>
          <w:lang w:val="es-419"/>
        </w:rPr>
      </w:pPr>
      <w:bookmarkStart w:id="2" w:name="_Toc85115209"/>
      <w:r w:rsidRPr="008E38B1">
        <w:rPr>
          <w:caps/>
          <w:lang w:val="es-419"/>
        </w:rPr>
        <w:t>RESUMEN</w:t>
      </w:r>
      <w:bookmarkEnd w:id="2"/>
    </w:p>
    <w:p w:rsidR="00442786" w:rsidRPr="008E38B1" w:rsidRDefault="00442786" w:rsidP="00CE4C92">
      <w:pPr>
        <w:rPr>
          <w:lang w:val="es-419"/>
        </w:rPr>
      </w:pPr>
    </w:p>
    <w:p w:rsidR="00442786" w:rsidRDefault="00CE4C92" w:rsidP="00301714">
      <w:pPr>
        <w:rPr>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301714" w:rsidRPr="008E38B1">
        <w:rPr>
          <w:lang w:val="es-419"/>
        </w:rPr>
        <w:t>El objetivo de este documento es informar sobre las novedades relativas a las medidas para aumentar la participación en la labor de los Grupos de Trabajo Técnico (TWP) y del Comité Técnico (TC), incluido el uso de reuniones por medios electrónicos.</w:t>
      </w:r>
      <w:r w:rsidRPr="008E38B1">
        <w:rPr>
          <w:lang w:val="es-419"/>
        </w:rPr>
        <w:t xml:space="preserve"> </w:t>
      </w:r>
    </w:p>
    <w:p w:rsidR="009921A5" w:rsidRPr="008E38B1" w:rsidRDefault="009921A5" w:rsidP="00301714">
      <w:pPr>
        <w:rPr>
          <w:lang w:val="es-419"/>
        </w:rPr>
      </w:pPr>
    </w:p>
    <w:p w:rsidR="00442786" w:rsidRPr="008E38B1" w:rsidRDefault="00CE4C92" w:rsidP="00301714">
      <w:pPr>
        <w:rPr>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301714" w:rsidRPr="008E38B1">
        <w:rPr>
          <w:lang w:val="es-419"/>
        </w:rPr>
        <w:t>Se invita al TC a:</w:t>
      </w:r>
      <w:r w:rsidRPr="008E38B1">
        <w:rPr>
          <w:lang w:val="es-419"/>
        </w:rPr>
        <w:t xml:space="preserve"> </w:t>
      </w:r>
    </w:p>
    <w:p w:rsidR="00442786" w:rsidRPr="008E38B1" w:rsidRDefault="00442786" w:rsidP="00CE4C92">
      <w:pPr>
        <w:rPr>
          <w:lang w:val="es-419"/>
        </w:rPr>
      </w:pPr>
    </w:p>
    <w:p w:rsidR="00442786" w:rsidRPr="008E38B1" w:rsidRDefault="009921A5" w:rsidP="006D2DF5">
      <w:pPr>
        <w:pStyle w:val="DecisionParagraphs"/>
        <w:numPr>
          <w:ilvl w:val="0"/>
          <w:numId w:val="20"/>
        </w:numPr>
        <w:tabs>
          <w:tab w:val="left" w:pos="1134"/>
        </w:tabs>
        <w:spacing w:line="276" w:lineRule="auto"/>
        <w:ind w:left="0" w:firstLine="567"/>
        <w:rPr>
          <w:i w:val="0"/>
          <w:lang w:val="es-419"/>
        </w:rPr>
      </w:pPr>
      <w:r>
        <w:rPr>
          <w:i w:val="0"/>
          <w:lang w:val="es-419"/>
        </w:rPr>
        <w:t>t</w:t>
      </w:r>
      <w:r w:rsidR="006D2DF5" w:rsidRPr="008E38B1">
        <w:rPr>
          <w:i w:val="0"/>
          <w:lang w:val="es-419"/>
        </w:rPr>
        <w:t>omar nota de la participación en las reuniones de los TWP de 2021, que se exponen en el Anexo I del presente documento;</w:t>
      </w:r>
      <w:r w:rsidR="00301714" w:rsidRPr="008E38B1">
        <w:rPr>
          <w:i w:val="0"/>
          <w:lang w:val="es-419"/>
        </w:rPr>
        <w:t xml:space="preserve"> </w:t>
      </w:r>
    </w:p>
    <w:p w:rsidR="00442786" w:rsidRPr="008E38B1" w:rsidRDefault="009921A5" w:rsidP="006D2DF5">
      <w:pPr>
        <w:pStyle w:val="ListParagraph"/>
        <w:numPr>
          <w:ilvl w:val="0"/>
          <w:numId w:val="20"/>
        </w:numPr>
        <w:tabs>
          <w:tab w:val="left" w:pos="1134"/>
          <w:tab w:val="left" w:pos="5387"/>
          <w:tab w:val="left" w:pos="5954"/>
        </w:tabs>
        <w:spacing w:line="276" w:lineRule="auto"/>
        <w:ind w:left="0" w:firstLine="567"/>
        <w:rPr>
          <w:lang w:val="es-419"/>
        </w:rPr>
      </w:pPr>
      <w:r>
        <w:rPr>
          <w:lang w:val="es-419"/>
        </w:rPr>
        <w:t>t</w:t>
      </w:r>
      <w:r w:rsidR="006D2DF5" w:rsidRPr="008E38B1">
        <w:rPr>
          <w:lang w:val="es-419"/>
        </w:rPr>
        <w:t>omar nota de las observaciones formuladas por el TWV, el TWO, el TWA y el TWF, en sus reuniones de 2021, sobre posibles medidas para la participación física y virtual en las reuniones de los TWP, que se presentan en el Anexo II del presente documento; y</w:t>
      </w:r>
    </w:p>
    <w:p w:rsidR="00442786" w:rsidRPr="008E38B1" w:rsidRDefault="009921A5" w:rsidP="006D2DF5">
      <w:pPr>
        <w:pStyle w:val="ListParagraph"/>
        <w:numPr>
          <w:ilvl w:val="0"/>
          <w:numId w:val="20"/>
        </w:numPr>
        <w:tabs>
          <w:tab w:val="left" w:pos="1134"/>
          <w:tab w:val="left" w:pos="5954"/>
        </w:tabs>
        <w:spacing w:line="276" w:lineRule="auto"/>
        <w:ind w:left="0" w:firstLine="567"/>
        <w:rPr>
          <w:lang w:val="es-419"/>
        </w:rPr>
      </w:pPr>
      <w:r>
        <w:rPr>
          <w:lang w:val="es-419"/>
        </w:rPr>
        <w:t>c</w:t>
      </w:r>
      <w:r w:rsidR="006D2DF5" w:rsidRPr="008E38B1">
        <w:rPr>
          <w:lang w:val="es-419"/>
        </w:rPr>
        <w:t xml:space="preserve">onsiderar posibles medidas para la participación física y virtual en las reuniones de los TWP, como se indica en los </w:t>
      </w:r>
      <w:r w:rsidR="00AA7839" w:rsidRPr="008E38B1">
        <w:rPr>
          <w:lang w:val="es-419"/>
        </w:rPr>
        <w:t>párrafos</w:t>
      </w:r>
      <w:r w:rsidR="006D2DF5" w:rsidRPr="008E38B1">
        <w:rPr>
          <w:lang w:val="es-419"/>
        </w:rPr>
        <w:t xml:space="preserve"> 11 a 13 del presente documento.</w:t>
      </w:r>
    </w:p>
    <w:p w:rsidR="00442786" w:rsidRPr="008E38B1" w:rsidRDefault="00442786" w:rsidP="001801BA">
      <w:pPr>
        <w:pStyle w:val="ListParagraph"/>
        <w:tabs>
          <w:tab w:val="left" w:pos="1134"/>
          <w:tab w:val="left" w:pos="5954"/>
        </w:tabs>
        <w:spacing w:line="276" w:lineRule="auto"/>
        <w:ind w:left="567"/>
        <w:rPr>
          <w:lang w:val="es-419"/>
        </w:rPr>
      </w:pPr>
    </w:p>
    <w:p w:rsidR="00442786" w:rsidRPr="008E38B1" w:rsidRDefault="00CE4C92" w:rsidP="006D2DF5">
      <w:pPr>
        <w:rPr>
          <w:lang w:val="es-419"/>
        </w:rPr>
      </w:pPr>
      <w:r w:rsidRPr="008E38B1">
        <w:rPr>
          <w:color w:val="000000"/>
          <w:lang w:val="es-419"/>
        </w:rPr>
        <w:fldChar w:fldCharType="begin"/>
      </w:r>
      <w:r w:rsidRPr="008E38B1">
        <w:rPr>
          <w:color w:val="000000"/>
          <w:lang w:val="es-419"/>
        </w:rPr>
        <w:instrText xml:space="preserve"> AUTONUM  </w:instrText>
      </w:r>
      <w:r w:rsidRPr="008E38B1">
        <w:rPr>
          <w:color w:val="000000"/>
          <w:lang w:val="es-419"/>
        </w:rPr>
        <w:fldChar w:fldCharType="end"/>
      </w:r>
      <w:r w:rsidRPr="008E38B1">
        <w:rPr>
          <w:color w:val="000000"/>
          <w:lang w:val="es-419"/>
        </w:rPr>
        <w:tab/>
      </w:r>
      <w:r w:rsidR="006D2DF5" w:rsidRPr="008E38B1">
        <w:rPr>
          <w:color w:val="000000"/>
          <w:lang w:val="es-419"/>
        </w:rPr>
        <w:t>El presente documento se estructura del modo siguiente:</w:t>
      </w:r>
    </w:p>
    <w:p w:rsidR="00442786" w:rsidRPr="008E38B1" w:rsidRDefault="00442786" w:rsidP="00CE4C92">
      <w:pPr>
        <w:rPr>
          <w:sz w:val="12"/>
          <w:lang w:val="es-419"/>
        </w:rPr>
      </w:pPr>
    </w:p>
    <w:p w:rsidR="00620ADF" w:rsidRPr="008E38B1" w:rsidRDefault="00CE4C92">
      <w:pPr>
        <w:pStyle w:val="TOC1"/>
        <w:rPr>
          <w:rFonts w:asciiTheme="minorHAnsi" w:eastAsiaTheme="minorEastAsia" w:hAnsiTheme="minorHAnsi" w:cstheme="minorBidi"/>
          <w:caps w:val="0"/>
          <w:noProof/>
          <w:sz w:val="22"/>
          <w:szCs w:val="22"/>
          <w:lang w:val="es-419" w:eastAsia="zh-CN"/>
        </w:rPr>
      </w:pPr>
      <w:r w:rsidRPr="008E38B1">
        <w:rPr>
          <w:caps w:val="0"/>
          <w:lang w:val="es-419"/>
        </w:rPr>
        <w:fldChar w:fldCharType="begin"/>
      </w:r>
      <w:r w:rsidRPr="008E38B1">
        <w:rPr>
          <w:caps w:val="0"/>
          <w:lang w:val="es-419"/>
        </w:rPr>
        <w:instrText xml:space="preserve"> TOC \o "1-3" \h \z \u </w:instrText>
      </w:r>
      <w:r w:rsidRPr="008E38B1">
        <w:rPr>
          <w:caps w:val="0"/>
          <w:lang w:val="es-419"/>
        </w:rPr>
        <w:fldChar w:fldCharType="separate"/>
      </w:r>
      <w:hyperlink w:anchor="_Toc85115209" w:history="1">
        <w:r w:rsidR="00620ADF" w:rsidRPr="008E38B1">
          <w:rPr>
            <w:rStyle w:val="Hyperlink"/>
            <w:noProof/>
            <w:lang w:val="es-419"/>
          </w:rPr>
          <w:t>RESUMEN</w:t>
        </w:r>
        <w:r w:rsidR="00620ADF" w:rsidRPr="008E38B1">
          <w:rPr>
            <w:noProof/>
            <w:webHidden/>
            <w:lang w:val="es-419"/>
          </w:rPr>
          <w:tab/>
        </w:r>
        <w:r w:rsidR="00620ADF" w:rsidRPr="008E38B1">
          <w:rPr>
            <w:noProof/>
            <w:webHidden/>
            <w:lang w:val="es-419"/>
          </w:rPr>
          <w:fldChar w:fldCharType="begin"/>
        </w:r>
        <w:r w:rsidR="00620ADF" w:rsidRPr="008E38B1">
          <w:rPr>
            <w:noProof/>
            <w:webHidden/>
            <w:lang w:val="es-419"/>
          </w:rPr>
          <w:instrText xml:space="preserve"> PAGEREF _Toc85115209 \h </w:instrText>
        </w:r>
        <w:r w:rsidR="00620ADF" w:rsidRPr="008E38B1">
          <w:rPr>
            <w:noProof/>
            <w:webHidden/>
            <w:lang w:val="es-419"/>
          </w:rPr>
        </w:r>
        <w:r w:rsidR="00620ADF" w:rsidRPr="008E38B1">
          <w:rPr>
            <w:noProof/>
            <w:webHidden/>
            <w:lang w:val="es-419"/>
          </w:rPr>
          <w:fldChar w:fldCharType="separate"/>
        </w:r>
        <w:r w:rsidR="00620ADF" w:rsidRPr="008E38B1">
          <w:rPr>
            <w:noProof/>
            <w:webHidden/>
            <w:lang w:val="es-419"/>
          </w:rPr>
          <w:t>1</w:t>
        </w:r>
        <w:r w:rsidR="00620ADF" w:rsidRPr="008E38B1">
          <w:rPr>
            <w:noProof/>
            <w:webHidden/>
            <w:lang w:val="es-419"/>
          </w:rPr>
          <w:fldChar w:fldCharType="end"/>
        </w:r>
      </w:hyperlink>
    </w:p>
    <w:p w:rsidR="00620ADF" w:rsidRPr="008E38B1" w:rsidRDefault="009921A5">
      <w:pPr>
        <w:pStyle w:val="TOC1"/>
        <w:rPr>
          <w:rFonts w:asciiTheme="minorHAnsi" w:eastAsiaTheme="minorEastAsia" w:hAnsiTheme="minorHAnsi" w:cstheme="minorBidi"/>
          <w:caps w:val="0"/>
          <w:noProof/>
          <w:sz w:val="22"/>
          <w:szCs w:val="22"/>
          <w:lang w:val="es-419" w:eastAsia="zh-CN"/>
        </w:rPr>
      </w:pPr>
      <w:hyperlink w:anchor="_Toc85115210" w:history="1">
        <w:r w:rsidR="00620ADF" w:rsidRPr="008E38B1">
          <w:rPr>
            <w:rStyle w:val="Hyperlink"/>
            <w:noProof/>
            <w:lang w:val="es-419"/>
          </w:rPr>
          <w:t>Participación en las reuniones del TC y de los TWP por medios electrónicos</w:t>
        </w:r>
        <w:r w:rsidR="00620ADF" w:rsidRPr="008E38B1">
          <w:rPr>
            <w:noProof/>
            <w:webHidden/>
            <w:lang w:val="es-419"/>
          </w:rPr>
          <w:tab/>
        </w:r>
        <w:r w:rsidR="00620ADF" w:rsidRPr="008E38B1">
          <w:rPr>
            <w:noProof/>
            <w:webHidden/>
            <w:lang w:val="es-419"/>
          </w:rPr>
          <w:fldChar w:fldCharType="begin"/>
        </w:r>
        <w:r w:rsidR="00620ADF" w:rsidRPr="008E38B1">
          <w:rPr>
            <w:noProof/>
            <w:webHidden/>
            <w:lang w:val="es-419"/>
          </w:rPr>
          <w:instrText xml:space="preserve"> PAGEREF _Toc85115210 \h </w:instrText>
        </w:r>
        <w:r w:rsidR="00620ADF" w:rsidRPr="008E38B1">
          <w:rPr>
            <w:noProof/>
            <w:webHidden/>
            <w:lang w:val="es-419"/>
          </w:rPr>
        </w:r>
        <w:r w:rsidR="00620ADF" w:rsidRPr="008E38B1">
          <w:rPr>
            <w:noProof/>
            <w:webHidden/>
            <w:lang w:val="es-419"/>
          </w:rPr>
          <w:fldChar w:fldCharType="separate"/>
        </w:r>
        <w:r w:rsidR="00620ADF" w:rsidRPr="008E38B1">
          <w:rPr>
            <w:noProof/>
            <w:webHidden/>
            <w:lang w:val="es-419"/>
          </w:rPr>
          <w:t>2</w:t>
        </w:r>
        <w:r w:rsidR="00620ADF" w:rsidRPr="008E38B1">
          <w:rPr>
            <w:noProof/>
            <w:webHidden/>
            <w:lang w:val="es-419"/>
          </w:rPr>
          <w:fldChar w:fldCharType="end"/>
        </w:r>
      </w:hyperlink>
    </w:p>
    <w:p w:rsidR="00620ADF" w:rsidRPr="008E38B1" w:rsidRDefault="009921A5">
      <w:pPr>
        <w:pStyle w:val="TOC1"/>
        <w:rPr>
          <w:rFonts w:asciiTheme="minorHAnsi" w:eastAsiaTheme="minorEastAsia" w:hAnsiTheme="minorHAnsi" w:cstheme="minorBidi"/>
          <w:caps w:val="0"/>
          <w:noProof/>
          <w:sz w:val="22"/>
          <w:szCs w:val="22"/>
          <w:lang w:val="es-419" w:eastAsia="zh-CN"/>
        </w:rPr>
      </w:pPr>
      <w:hyperlink w:anchor="_Toc85115211" w:history="1">
        <w:r w:rsidR="00620ADF" w:rsidRPr="008E38B1">
          <w:rPr>
            <w:rStyle w:val="Hyperlink"/>
            <w:noProof/>
            <w:lang w:val="es-419"/>
          </w:rPr>
          <w:t>POSIBLES MEDIDAS PARA LA PARTICIPACIÓN FÍSICA Y VIRTUAL EN LAS REUNIONES DE LOS TWP</w:t>
        </w:r>
        <w:r w:rsidR="00620ADF" w:rsidRPr="008E38B1">
          <w:rPr>
            <w:noProof/>
            <w:webHidden/>
            <w:lang w:val="es-419"/>
          </w:rPr>
          <w:tab/>
        </w:r>
        <w:r w:rsidR="00620ADF" w:rsidRPr="008E38B1">
          <w:rPr>
            <w:noProof/>
            <w:webHidden/>
            <w:lang w:val="es-419"/>
          </w:rPr>
          <w:fldChar w:fldCharType="begin"/>
        </w:r>
        <w:r w:rsidR="00620ADF" w:rsidRPr="008E38B1">
          <w:rPr>
            <w:noProof/>
            <w:webHidden/>
            <w:lang w:val="es-419"/>
          </w:rPr>
          <w:instrText xml:space="preserve"> PAGEREF _Toc85115211 \h </w:instrText>
        </w:r>
        <w:r w:rsidR="00620ADF" w:rsidRPr="008E38B1">
          <w:rPr>
            <w:noProof/>
            <w:webHidden/>
            <w:lang w:val="es-419"/>
          </w:rPr>
        </w:r>
        <w:r w:rsidR="00620ADF" w:rsidRPr="008E38B1">
          <w:rPr>
            <w:noProof/>
            <w:webHidden/>
            <w:lang w:val="es-419"/>
          </w:rPr>
          <w:fldChar w:fldCharType="separate"/>
        </w:r>
        <w:r w:rsidR="00620ADF" w:rsidRPr="008E38B1">
          <w:rPr>
            <w:noProof/>
            <w:webHidden/>
            <w:lang w:val="es-419"/>
          </w:rPr>
          <w:t>2</w:t>
        </w:r>
        <w:r w:rsidR="00620ADF" w:rsidRPr="008E38B1">
          <w:rPr>
            <w:noProof/>
            <w:webHidden/>
            <w:lang w:val="es-419"/>
          </w:rPr>
          <w:fldChar w:fldCharType="end"/>
        </w:r>
      </w:hyperlink>
    </w:p>
    <w:p w:rsidR="00620ADF" w:rsidRPr="008E38B1" w:rsidRDefault="009921A5">
      <w:pPr>
        <w:pStyle w:val="TOC2"/>
        <w:rPr>
          <w:rFonts w:asciiTheme="minorHAnsi" w:eastAsiaTheme="minorEastAsia" w:hAnsiTheme="minorHAnsi" w:cstheme="minorBidi"/>
          <w:noProof/>
          <w:sz w:val="22"/>
          <w:szCs w:val="22"/>
          <w:lang w:val="es-419" w:eastAsia="zh-CN"/>
        </w:rPr>
      </w:pPr>
      <w:hyperlink w:anchor="_Toc85115212" w:history="1">
        <w:r w:rsidR="00620ADF" w:rsidRPr="008E38B1">
          <w:rPr>
            <w:rStyle w:val="Hyperlink"/>
            <w:noProof/>
            <w:lang w:val="es-419"/>
          </w:rPr>
          <w:t>Propuestas para aumentar la participación en la labor de los Grupos de Trabajo Técnico</w:t>
        </w:r>
        <w:r w:rsidR="00620ADF" w:rsidRPr="008E38B1">
          <w:rPr>
            <w:noProof/>
            <w:webHidden/>
            <w:lang w:val="es-419"/>
          </w:rPr>
          <w:tab/>
        </w:r>
        <w:r w:rsidR="00620ADF" w:rsidRPr="008E38B1">
          <w:rPr>
            <w:noProof/>
            <w:webHidden/>
            <w:lang w:val="es-419"/>
          </w:rPr>
          <w:fldChar w:fldCharType="begin"/>
        </w:r>
        <w:r w:rsidR="00620ADF" w:rsidRPr="008E38B1">
          <w:rPr>
            <w:noProof/>
            <w:webHidden/>
            <w:lang w:val="es-419"/>
          </w:rPr>
          <w:instrText xml:space="preserve"> PAGEREF _Toc85115212 \h </w:instrText>
        </w:r>
        <w:r w:rsidR="00620ADF" w:rsidRPr="008E38B1">
          <w:rPr>
            <w:noProof/>
            <w:webHidden/>
            <w:lang w:val="es-419"/>
          </w:rPr>
        </w:r>
        <w:r w:rsidR="00620ADF" w:rsidRPr="008E38B1">
          <w:rPr>
            <w:noProof/>
            <w:webHidden/>
            <w:lang w:val="es-419"/>
          </w:rPr>
          <w:fldChar w:fldCharType="separate"/>
        </w:r>
        <w:r w:rsidR="00620ADF" w:rsidRPr="008E38B1">
          <w:rPr>
            <w:noProof/>
            <w:webHidden/>
            <w:lang w:val="es-419"/>
          </w:rPr>
          <w:t>2</w:t>
        </w:r>
        <w:r w:rsidR="00620ADF" w:rsidRPr="008E38B1">
          <w:rPr>
            <w:noProof/>
            <w:webHidden/>
            <w:lang w:val="es-419"/>
          </w:rPr>
          <w:fldChar w:fldCharType="end"/>
        </w:r>
      </w:hyperlink>
    </w:p>
    <w:p w:rsidR="00620ADF" w:rsidRPr="008E38B1" w:rsidRDefault="009921A5">
      <w:pPr>
        <w:pStyle w:val="TOC3"/>
        <w:tabs>
          <w:tab w:val="left" w:pos="1100"/>
        </w:tabs>
        <w:rPr>
          <w:rFonts w:asciiTheme="minorHAnsi" w:eastAsiaTheme="minorEastAsia" w:hAnsiTheme="minorHAnsi" w:cstheme="minorBidi"/>
          <w:i w:val="0"/>
          <w:noProof/>
          <w:sz w:val="22"/>
          <w:szCs w:val="22"/>
          <w:lang w:val="es-419" w:eastAsia="zh-CN"/>
        </w:rPr>
      </w:pPr>
      <w:hyperlink w:anchor="_Toc85115213" w:history="1">
        <w:r w:rsidR="00620ADF" w:rsidRPr="008E38B1">
          <w:rPr>
            <w:rStyle w:val="Hyperlink"/>
            <w:noProof/>
            <w:lang w:val="es-419"/>
          </w:rPr>
          <w:t>a)</w:t>
        </w:r>
        <w:r w:rsidR="00620ADF" w:rsidRPr="008E38B1">
          <w:rPr>
            <w:rFonts w:asciiTheme="minorHAnsi" w:eastAsiaTheme="minorEastAsia" w:hAnsiTheme="minorHAnsi" w:cstheme="minorBidi"/>
            <w:i w:val="0"/>
            <w:noProof/>
            <w:sz w:val="22"/>
            <w:szCs w:val="22"/>
            <w:lang w:val="es-419" w:eastAsia="zh-CN"/>
          </w:rPr>
          <w:tab/>
        </w:r>
        <w:r w:rsidR="00620ADF" w:rsidRPr="008E38B1">
          <w:rPr>
            <w:rStyle w:val="Hyperlink"/>
            <w:noProof/>
            <w:lang w:val="es-419"/>
          </w:rPr>
          <w:t>Talleres preparatorios virtuales previos a las reuniones de los TWP</w:t>
        </w:r>
        <w:r w:rsidR="00620ADF" w:rsidRPr="008E38B1">
          <w:rPr>
            <w:noProof/>
            <w:webHidden/>
            <w:lang w:val="es-419"/>
          </w:rPr>
          <w:tab/>
        </w:r>
        <w:r w:rsidR="00620ADF" w:rsidRPr="008E38B1">
          <w:rPr>
            <w:noProof/>
            <w:webHidden/>
            <w:lang w:val="es-419"/>
          </w:rPr>
          <w:fldChar w:fldCharType="begin"/>
        </w:r>
        <w:r w:rsidR="00620ADF" w:rsidRPr="008E38B1">
          <w:rPr>
            <w:noProof/>
            <w:webHidden/>
            <w:lang w:val="es-419"/>
          </w:rPr>
          <w:instrText xml:space="preserve"> PAGEREF _Toc85115213 \h </w:instrText>
        </w:r>
        <w:r w:rsidR="00620ADF" w:rsidRPr="008E38B1">
          <w:rPr>
            <w:noProof/>
            <w:webHidden/>
            <w:lang w:val="es-419"/>
          </w:rPr>
        </w:r>
        <w:r w:rsidR="00620ADF" w:rsidRPr="008E38B1">
          <w:rPr>
            <w:noProof/>
            <w:webHidden/>
            <w:lang w:val="es-419"/>
          </w:rPr>
          <w:fldChar w:fldCharType="separate"/>
        </w:r>
        <w:r w:rsidR="00620ADF" w:rsidRPr="008E38B1">
          <w:rPr>
            <w:noProof/>
            <w:webHidden/>
            <w:lang w:val="es-419"/>
          </w:rPr>
          <w:t>2</w:t>
        </w:r>
        <w:r w:rsidR="00620ADF" w:rsidRPr="008E38B1">
          <w:rPr>
            <w:noProof/>
            <w:webHidden/>
            <w:lang w:val="es-419"/>
          </w:rPr>
          <w:fldChar w:fldCharType="end"/>
        </w:r>
      </w:hyperlink>
    </w:p>
    <w:p w:rsidR="00620ADF" w:rsidRPr="008E38B1" w:rsidRDefault="009921A5">
      <w:pPr>
        <w:pStyle w:val="TOC3"/>
        <w:tabs>
          <w:tab w:val="left" w:pos="1100"/>
        </w:tabs>
        <w:rPr>
          <w:rFonts w:asciiTheme="minorHAnsi" w:eastAsiaTheme="minorEastAsia" w:hAnsiTheme="minorHAnsi" w:cstheme="minorBidi"/>
          <w:i w:val="0"/>
          <w:noProof/>
          <w:sz w:val="22"/>
          <w:szCs w:val="22"/>
          <w:lang w:val="es-419" w:eastAsia="zh-CN"/>
        </w:rPr>
      </w:pPr>
      <w:hyperlink w:anchor="_Toc85115214" w:history="1">
        <w:r w:rsidR="00620ADF" w:rsidRPr="008E38B1">
          <w:rPr>
            <w:rStyle w:val="Hyperlink"/>
            <w:noProof/>
            <w:snapToGrid w:val="0"/>
            <w:lang w:val="es-419"/>
          </w:rPr>
          <w:t>b)</w:t>
        </w:r>
        <w:r w:rsidR="00620ADF" w:rsidRPr="008E38B1">
          <w:rPr>
            <w:rFonts w:asciiTheme="minorHAnsi" w:eastAsiaTheme="minorEastAsia" w:hAnsiTheme="minorHAnsi" w:cstheme="minorBidi"/>
            <w:i w:val="0"/>
            <w:noProof/>
            <w:sz w:val="22"/>
            <w:szCs w:val="22"/>
            <w:lang w:val="es-419" w:eastAsia="zh-CN"/>
          </w:rPr>
          <w:tab/>
        </w:r>
        <w:r w:rsidR="00620ADF" w:rsidRPr="008E38B1">
          <w:rPr>
            <w:rStyle w:val="Hyperlink"/>
            <w:noProof/>
            <w:snapToGrid w:val="0"/>
            <w:lang w:val="es-419"/>
          </w:rPr>
          <w:t>Formulación de comentarios y preguntas sobre los documentos de los TWP antes de las reuniones</w:t>
        </w:r>
        <w:r w:rsidR="00620ADF" w:rsidRPr="008E38B1">
          <w:rPr>
            <w:noProof/>
            <w:webHidden/>
            <w:lang w:val="es-419"/>
          </w:rPr>
          <w:tab/>
        </w:r>
        <w:r w:rsidR="00620ADF" w:rsidRPr="008E38B1">
          <w:rPr>
            <w:noProof/>
            <w:webHidden/>
            <w:lang w:val="es-419"/>
          </w:rPr>
          <w:fldChar w:fldCharType="begin"/>
        </w:r>
        <w:r w:rsidR="00620ADF" w:rsidRPr="008E38B1">
          <w:rPr>
            <w:noProof/>
            <w:webHidden/>
            <w:lang w:val="es-419"/>
          </w:rPr>
          <w:instrText xml:space="preserve"> PAGEREF _Toc85115214 \h </w:instrText>
        </w:r>
        <w:r w:rsidR="00620ADF" w:rsidRPr="008E38B1">
          <w:rPr>
            <w:noProof/>
            <w:webHidden/>
            <w:lang w:val="es-419"/>
          </w:rPr>
        </w:r>
        <w:r w:rsidR="00620ADF" w:rsidRPr="008E38B1">
          <w:rPr>
            <w:noProof/>
            <w:webHidden/>
            <w:lang w:val="es-419"/>
          </w:rPr>
          <w:fldChar w:fldCharType="separate"/>
        </w:r>
        <w:r w:rsidR="00620ADF" w:rsidRPr="008E38B1">
          <w:rPr>
            <w:noProof/>
            <w:webHidden/>
            <w:lang w:val="es-419"/>
          </w:rPr>
          <w:t>3</w:t>
        </w:r>
        <w:r w:rsidR="00620ADF" w:rsidRPr="008E38B1">
          <w:rPr>
            <w:noProof/>
            <w:webHidden/>
            <w:lang w:val="es-419"/>
          </w:rPr>
          <w:fldChar w:fldCharType="end"/>
        </w:r>
      </w:hyperlink>
    </w:p>
    <w:p w:rsidR="00620ADF" w:rsidRPr="008E38B1" w:rsidRDefault="009921A5">
      <w:pPr>
        <w:pStyle w:val="TOC3"/>
        <w:tabs>
          <w:tab w:val="left" w:pos="1100"/>
        </w:tabs>
        <w:rPr>
          <w:rFonts w:asciiTheme="minorHAnsi" w:eastAsiaTheme="minorEastAsia" w:hAnsiTheme="minorHAnsi" w:cstheme="minorBidi"/>
          <w:i w:val="0"/>
          <w:noProof/>
          <w:sz w:val="22"/>
          <w:szCs w:val="22"/>
          <w:lang w:val="es-419" w:eastAsia="zh-CN"/>
        </w:rPr>
      </w:pPr>
      <w:hyperlink w:anchor="_Toc85115215" w:history="1">
        <w:r w:rsidR="00620ADF" w:rsidRPr="008E38B1">
          <w:rPr>
            <w:rStyle w:val="Hyperlink"/>
            <w:noProof/>
            <w:snapToGrid w:val="0"/>
            <w:lang w:val="es-419"/>
          </w:rPr>
          <w:t>c)</w:t>
        </w:r>
        <w:r w:rsidR="00620ADF" w:rsidRPr="008E38B1">
          <w:rPr>
            <w:rFonts w:asciiTheme="minorHAnsi" w:eastAsiaTheme="minorEastAsia" w:hAnsiTheme="minorHAnsi" w:cstheme="minorBidi"/>
            <w:i w:val="0"/>
            <w:noProof/>
            <w:sz w:val="22"/>
            <w:szCs w:val="22"/>
            <w:lang w:val="es-419" w:eastAsia="zh-CN"/>
          </w:rPr>
          <w:tab/>
        </w:r>
        <w:r w:rsidR="00620ADF" w:rsidRPr="008E38B1">
          <w:rPr>
            <w:rStyle w:val="Hyperlink"/>
            <w:noProof/>
            <w:snapToGrid w:val="0"/>
            <w:lang w:val="es-419"/>
          </w:rPr>
          <w:t>Alternancia de un año de sesión física con un año de sesión virtual</w:t>
        </w:r>
        <w:r w:rsidR="00620ADF" w:rsidRPr="008E38B1">
          <w:rPr>
            <w:noProof/>
            <w:webHidden/>
            <w:lang w:val="es-419"/>
          </w:rPr>
          <w:tab/>
        </w:r>
        <w:r w:rsidR="00620ADF" w:rsidRPr="008E38B1">
          <w:rPr>
            <w:noProof/>
            <w:webHidden/>
            <w:lang w:val="es-419"/>
          </w:rPr>
          <w:fldChar w:fldCharType="begin"/>
        </w:r>
        <w:r w:rsidR="00620ADF" w:rsidRPr="008E38B1">
          <w:rPr>
            <w:noProof/>
            <w:webHidden/>
            <w:lang w:val="es-419"/>
          </w:rPr>
          <w:instrText xml:space="preserve"> PAGEREF _Toc85115215 \h </w:instrText>
        </w:r>
        <w:r w:rsidR="00620ADF" w:rsidRPr="008E38B1">
          <w:rPr>
            <w:noProof/>
            <w:webHidden/>
            <w:lang w:val="es-419"/>
          </w:rPr>
        </w:r>
        <w:r w:rsidR="00620ADF" w:rsidRPr="008E38B1">
          <w:rPr>
            <w:noProof/>
            <w:webHidden/>
            <w:lang w:val="es-419"/>
          </w:rPr>
          <w:fldChar w:fldCharType="separate"/>
        </w:r>
        <w:r w:rsidR="00620ADF" w:rsidRPr="008E38B1">
          <w:rPr>
            <w:noProof/>
            <w:webHidden/>
            <w:lang w:val="es-419"/>
          </w:rPr>
          <w:t>3</w:t>
        </w:r>
        <w:r w:rsidR="00620ADF" w:rsidRPr="008E38B1">
          <w:rPr>
            <w:noProof/>
            <w:webHidden/>
            <w:lang w:val="es-419"/>
          </w:rPr>
          <w:fldChar w:fldCharType="end"/>
        </w:r>
      </w:hyperlink>
    </w:p>
    <w:p w:rsidR="00620ADF" w:rsidRPr="008E38B1" w:rsidRDefault="009921A5">
      <w:pPr>
        <w:pStyle w:val="TOC3"/>
        <w:tabs>
          <w:tab w:val="left" w:pos="1100"/>
        </w:tabs>
        <w:rPr>
          <w:rFonts w:asciiTheme="minorHAnsi" w:eastAsiaTheme="minorEastAsia" w:hAnsiTheme="minorHAnsi" w:cstheme="minorBidi"/>
          <w:i w:val="0"/>
          <w:noProof/>
          <w:sz w:val="22"/>
          <w:szCs w:val="22"/>
          <w:lang w:val="es-419" w:eastAsia="zh-CN"/>
        </w:rPr>
      </w:pPr>
      <w:hyperlink w:anchor="_Toc85115216" w:history="1">
        <w:r w:rsidR="00620ADF" w:rsidRPr="008E38B1">
          <w:rPr>
            <w:rStyle w:val="Hyperlink"/>
            <w:noProof/>
            <w:lang w:val="es-419"/>
          </w:rPr>
          <w:t>d)</w:t>
        </w:r>
        <w:r w:rsidR="00620ADF" w:rsidRPr="008E38B1">
          <w:rPr>
            <w:rFonts w:asciiTheme="minorHAnsi" w:eastAsiaTheme="minorEastAsia" w:hAnsiTheme="minorHAnsi" w:cstheme="minorBidi"/>
            <w:i w:val="0"/>
            <w:noProof/>
            <w:sz w:val="22"/>
            <w:szCs w:val="22"/>
            <w:lang w:val="es-419" w:eastAsia="zh-CN"/>
          </w:rPr>
          <w:tab/>
        </w:r>
        <w:r w:rsidR="00620ADF" w:rsidRPr="008E38B1">
          <w:rPr>
            <w:rStyle w:val="Hyperlink"/>
            <w:noProof/>
            <w:lang w:val="es-419"/>
          </w:rPr>
          <w:t>Participación electrónica en las reuniones físicas de los TWP</w:t>
        </w:r>
        <w:r w:rsidR="00620ADF" w:rsidRPr="008E38B1">
          <w:rPr>
            <w:noProof/>
            <w:webHidden/>
            <w:lang w:val="es-419"/>
          </w:rPr>
          <w:tab/>
        </w:r>
        <w:r w:rsidR="00620ADF" w:rsidRPr="008E38B1">
          <w:rPr>
            <w:noProof/>
            <w:webHidden/>
            <w:lang w:val="es-419"/>
          </w:rPr>
          <w:fldChar w:fldCharType="begin"/>
        </w:r>
        <w:r w:rsidR="00620ADF" w:rsidRPr="008E38B1">
          <w:rPr>
            <w:noProof/>
            <w:webHidden/>
            <w:lang w:val="es-419"/>
          </w:rPr>
          <w:instrText xml:space="preserve"> PAGEREF _Toc85115216 \h </w:instrText>
        </w:r>
        <w:r w:rsidR="00620ADF" w:rsidRPr="008E38B1">
          <w:rPr>
            <w:noProof/>
            <w:webHidden/>
            <w:lang w:val="es-419"/>
          </w:rPr>
        </w:r>
        <w:r w:rsidR="00620ADF" w:rsidRPr="008E38B1">
          <w:rPr>
            <w:noProof/>
            <w:webHidden/>
            <w:lang w:val="es-419"/>
          </w:rPr>
          <w:fldChar w:fldCharType="separate"/>
        </w:r>
        <w:r w:rsidR="00620ADF" w:rsidRPr="008E38B1">
          <w:rPr>
            <w:noProof/>
            <w:webHidden/>
            <w:lang w:val="es-419"/>
          </w:rPr>
          <w:t>3</w:t>
        </w:r>
        <w:r w:rsidR="00620ADF" w:rsidRPr="008E38B1">
          <w:rPr>
            <w:noProof/>
            <w:webHidden/>
            <w:lang w:val="es-419"/>
          </w:rPr>
          <w:fldChar w:fldCharType="end"/>
        </w:r>
      </w:hyperlink>
    </w:p>
    <w:p w:rsidR="00442786" w:rsidRPr="008E38B1" w:rsidRDefault="00CE4C92" w:rsidP="00920930">
      <w:pPr>
        <w:ind w:left="1134" w:hanging="992"/>
        <w:rPr>
          <w:sz w:val="18"/>
          <w:lang w:val="es-419"/>
        </w:rPr>
      </w:pPr>
      <w:r w:rsidRPr="008E38B1">
        <w:rPr>
          <w:lang w:val="es-419"/>
        </w:rPr>
        <w:fldChar w:fldCharType="end"/>
      </w:r>
      <w:r w:rsidRPr="008E38B1">
        <w:rPr>
          <w:sz w:val="18"/>
          <w:lang w:val="es-419"/>
        </w:rPr>
        <w:t>Anex</w:t>
      </w:r>
      <w:r w:rsidR="001A7790" w:rsidRPr="008E38B1">
        <w:rPr>
          <w:sz w:val="18"/>
          <w:lang w:val="es-419"/>
        </w:rPr>
        <w:t>o</w:t>
      </w:r>
      <w:r w:rsidR="002B2DCB" w:rsidRPr="008E38B1">
        <w:rPr>
          <w:sz w:val="18"/>
          <w:lang w:val="es-419"/>
        </w:rPr>
        <w:t xml:space="preserve"> I</w:t>
      </w:r>
      <w:r w:rsidRPr="008E38B1">
        <w:rPr>
          <w:sz w:val="18"/>
          <w:lang w:val="es-419"/>
        </w:rPr>
        <w:tab/>
      </w:r>
      <w:r w:rsidR="001A7790" w:rsidRPr="008E38B1">
        <w:rPr>
          <w:sz w:val="18"/>
          <w:lang w:val="es-419"/>
        </w:rPr>
        <w:t>Participación en las reuniones de los TWP de 2021</w:t>
      </w:r>
    </w:p>
    <w:p w:rsidR="00442786" w:rsidRPr="008E38B1" w:rsidRDefault="002B2DCB" w:rsidP="00920930">
      <w:pPr>
        <w:ind w:left="1134" w:hanging="992"/>
        <w:rPr>
          <w:sz w:val="18"/>
          <w:lang w:val="es-419"/>
        </w:rPr>
      </w:pPr>
      <w:r w:rsidRPr="008E38B1">
        <w:rPr>
          <w:sz w:val="18"/>
          <w:lang w:val="es-419"/>
        </w:rPr>
        <w:t>Anex</w:t>
      </w:r>
      <w:r w:rsidR="001A7790" w:rsidRPr="008E38B1">
        <w:rPr>
          <w:sz w:val="18"/>
          <w:lang w:val="es-419"/>
        </w:rPr>
        <w:t>o</w:t>
      </w:r>
      <w:r w:rsidRPr="008E38B1">
        <w:rPr>
          <w:sz w:val="18"/>
          <w:lang w:val="es-419"/>
        </w:rPr>
        <w:t xml:space="preserve"> II</w:t>
      </w:r>
      <w:r w:rsidRPr="008E38B1">
        <w:rPr>
          <w:sz w:val="18"/>
          <w:lang w:val="es-419"/>
        </w:rPr>
        <w:tab/>
      </w:r>
      <w:r w:rsidR="001A7790" w:rsidRPr="008E38B1">
        <w:rPr>
          <w:sz w:val="18"/>
          <w:lang w:val="es-419"/>
        </w:rPr>
        <w:t>Posibles medidas para la participación física y virtual en las reuniones de los TWP y observaciones formuladas por el TWV, el TWO, el TWA y el TWF en sus reuniones de 2021</w:t>
      </w:r>
    </w:p>
    <w:p w:rsidR="00442786" w:rsidRPr="008E38B1" w:rsidRDefault="00442786" w:rsidP="00CE4C92">
      <w:pPr>
        <w:rPr>
          <w:lang w:val="es-419"/>
        </w:rPr>
      </w:pPr>
    </w:p>
    <w:p w:rsidR="00442786" w:rsidRPr="008E38B1" w:rsidRDefault="00CE4C92" w:rsidP="006D2DF5">
      <w:pPr>
        <w:keepNext/>
        <w:rPr>
          <w:color w:val="000000"/>
          <w:lang w:val="es-419"/>
        </w:rPr>
      </w:pPr>
      <w:r w:rsidRPr="008E38B1">
        <w:rPr>
          <w:color w:val="000000"/>
          <w:lang w:val="es-419"/>
        </w:rPr>
        <w:lastRenderedPageBreak/>
        <w:fldChar w:fldCharType="begin"/>
      </w:r>
      <w:r w:rsidRPr="008E38B1">
        <w:rPr>
          <w:color w:val="000000"/>
          <w:lang w:val="es-419"/>
        </w:rPr>
        <w:instrText xml:space="preserve"> AUTONUM  </w:instrText>
      </w:r>
      <w:r w:rsidRPr="008E38B1">
        <w:rPr>
          <w:color w:val="000000"/>
          <w:lang w:val="es-419"/>
        </w:rPr>
        <w:fldChar w:fldCharType="end"/>
      </w:r>
      <w:r w:rsidRPr="008E38B1">
        <w:rPr>
          <w:color w:val="000000"/>
          <w:lang w:val="es-419"/>
        </w:rPr>
        <w:tab/>
      </w:r>
      <w:r w:rsidR="006D2DF5" w:rsidRPr="008E38B1">
        <w:rPr>
          <w:color w:val="000000"/>
          <w:lang w:val="es-419"/>
        </w:rPr>
        <w:t>En el presente documento se utilizan las abreviaturas siguientes:</w:t>
      </w:r>
    </w:p>
    <w:p w:rsidR="00442786" w:rsidRPr="008E38B1" w:rsidRDefault="00442786" w:rsidP="00796713">
      <w:pPr>
        <w:keepNext/>
        <w:rPr>
          <w:color w:val="000000"/>
          <w:lang w:val="es-419"/>
        </w:rPr>
      </w:pPr>
    </w:p>
    <w:p w:rsidR="00442786" w:rsidRPr="008E38B1" w:rsidRDefault="006D2DF5" w:rsidP="006D2DF5">
      <w:pPr>
        <w:keepNext/>
        <w:ind w:left="1692" w:hanging="1125"/>
        <w:jc w:val="left"/>
        <w:rPr>
          <w:color w:val="000000"/>
          <w:lang w:val="es-419"/>
        </w:rPr>
      </w:pPr>
      <w:r w:rsidRPr="008E38B1">
        <w:rPr>
          <w:color w:val="000000"/>
          <w:lang w:val="es-419"/>
        </w:rPr>
        <w:t>BMT:</w:t>
      </w:r>
      <w:r w:rsidRPr="008E38B1">
        <w:rPr>
          <w:color w:val="000000"/>
          <w:lang w:val="es-419"/>
        </w:rPr>
        <w:tab/>
        <w:t>Grupo de Trabajo sobre Técnicas Bioquímicas y Moleculares y Perfiles de ADN en particular</w:t>
      </w:r>
    </w:p>
    <w:p w:rsidR="00442786" w:rsidRPr="008E38B1" w:rsidRDefault="00CE4C92" w:rsidP="006D2DF5">
      <w:pPr>
        <w:keepNext/>
        <w:tabs>
          <w:tab w:val="left" w:pos="567"/>
          <w:tab w:val="left" w:pos="1701"/>
        </w:tabs>
        <w:rPr>
          <w:lang w:val="es-419"/>
        </w:rPr>
      </w:pPr>
      <w:r w:rsidRPr="008E38B1">
        <w:rPr>
          <w:lang w:val="es-419"/>
        </w:rPr>
        <w:tab/>
      </w:r>
      <w:r w:rsidR="006D2DF5" w:rsidRPr="008E38B1">
        <w:rPr>
          <w:lang w:val="es-419"/>
        </w:rPr>
        <w:t>TC:</w:t>
      </w:r>
      <w:r w:rsidR="006D2DF5" w:rsidRPr="008E38B1">
        <w:rPr>
          <w:lang w:val="es-419"/>
        </w:rPr>
        <w:tab/>
        <w:t>Comité Técnico</w:t>
      </w:r>
    </w:p>
    <w:p w:rsidR="00442786" w:rsidRPr="008E38B1" w:rsidRDefault="00CE4C92" w:rsidP="008B366D">
      <w:pPr>
        <w:keepNext/>
        <w:tabs>
          <w:tab w:val="left" w:pos="567"/>
          <w:tab w:val="left" w:pos="1701"/>
        </w:tabs>
        <w:rPr>
          <w:rFonts w:eastAsia="PMingLiU"/>
          <w:szCs w:val="24"/>
          <w:lang w:val="es-419"/>
        </w:rPr>
      </w:pPr>
      <w:r w:rsidRPr="008E38B1">
        <w:rPr>
          <w:rFonts w:eastAsia="PMingLiU"/>
          <w:szCs w:val="24"/>
          <w:lang w:val="es-419"/>
        </w:rPr>
        <w:tab/>
      </w:r>
      <w:r w:rsidR="008B366D" w:rsidRPr="008E38B1">
        <w:rPr>
          <w:rFonts w:eastAsia="PMingLiU"/>
          <w:szCs w:val="24"/>
          <w:lang w:val="es-419"/>
        </w:rPr>
        <w:t>TWA:</w:t>
      </w:r>
      <w:r w:rsidR="008B366D" w:rsidRPr="008E38B1">
        <w:rPr>
          <w:rFonts w:eastAsia="PMingLiU"/>
          <w:szCs w:val="24"/>
          <w:lang w:val="es-419"/>
        </w:rPr>
        <w:tab/>
        <w:t>Grupo de Trabajo Técnico sobre Plantas Agrícolas</w:t>
      </w:r>
    </w:p>
    <w:p w:rsidR="00442786" w:rsidRPr="008E38B1" w:rsidRDefault="00CE4C92" w:rsidP="008B366D">
      <w:pPr>
        <w:keepNext/>
        <w:tabs>
          <w:tab w:val="left" w:pos="567"/>
          <w:tab w:val="left" w:pos="1701"/>
        </w:tabs>
        <w:rPr>
          <w:rFonts w:eastAsia="PMingLiU"/>
          <w:szCs w:val="24"/>
          <w:lang w:val="es-419"/>
        </w:rPr>
      </w:pPr>
      <w:r w:rsidRPr="008E38B1">
        <w:rPr>
          <w:rFonts w:eastAsia="PMingLiU"/>
          <w:szCs w:val="24"/>
          <w:lang w:val="es-419"/>
        </w:rPr>
        <w:tab/>
      </w:r>
      <w:r w:rsidR="008B366D" w:rsidRPr="008E38B1">
        <w:rPr>
          <w:rFonts w:eastAsia="PMingLiU"/>
          <w:szCs w:val="24"/>
          <w:lang w:val="es-419"/>
        </w:rPr>
        <w:t>TWC:</w:t>
      </w:r>
      <w:r w:rsidR="008B366D" w:rsidRPr="008E38B1">
        <w:rPr>
          <w:rFonts w:eastAsia="PMingLiU"/>
          <w:szCs w:val="24"/>
          <w:lang w:val="es-419"/>
        </w:rPr>
        <w:tab/>
        <w:t>Grupo de Trabajo Técnico sobre Automatización y Programas Informáticos</w:t>
      </w:r>
    </w:p>
    <w:p w:rsidR="00442786" w:rsidRPr="008E38B1" w:rsidRDefault="00CE4C92" w:rsidP="008B366D">
      <w:pPr>
        <w:keepNext/>
        <w:tabs>
          <w:tab w:val="left" w:pos="567"/>
          <w:tab w:val="left" w:pos="1701"/>
          <w:tab w:val="left" w:pos="5805"/>
        </w:tabs>
        <w:rPr>
          <w:rFonts w:eastAsia="PMingLiU"/>
          <w:szCs w:val="24"/>
          <w:lang w:val="es-419"/>
        </w:rPr>
      </w:pPr>
      <w:r w:rsidRPr="008E38B1">
        <w:rPr>
          <w:rFonts w:eastAsia="PMingLiU"/>
          <w:szCs w:val="24"/>
          <w:lang w:val="es-419"/>
        </w:rPr>
        <w:tab/>
      </w:r>
      <w:r w:rsidR="008B366D" w:rsidRPr="008E38B1">
        <w:rPr>
          <w:rFonts w:eastAsia="PMingLiU"/>
          <w:szCs w:val="24"/>
          <w:lang w:val="es-419"/>
        </w:rPr>
        <w:t>TWF:</w:t>
      </w:r>
      <w:r w:rsidR="008B366D" w:rsidRPr="008E38B1">
        <w:rPr>
          <w:rFonts w:eastAsia="PMingLiU"/>
          <w:szCs w:val="24"/>
          <w:lang w:val="es-419"/>
        </w:rPr>
        <w:tab/>
        <w:t>Grupo de Trabajo Técnico sobre Plantas Frutales</w:t>
      </w:r>
      <w:r w:rsidR="001F474A" w:rsidRPr="008E38B1">
        <w:rPr>
          <w:rFonts w:eastAsia="PMingLiU"/>
          <w:szCs w:val="24"/>
          <w:lang w:val="es-419"/>
        </w:rPr>
        <w:tab/>
      </w:r>
    </w:p>
    <w:p w:rsidR="00442786" w:rsidRPr="008E38B1" w:rsidRDefault="001F474A" w:rsidP="008B366D">
      <w:pPr>
        <w:keepNext/>
        <w:tabs>
          <w:tab w:val="left" w:pos="567"/>
          <w:tab w:val="left" w:pos="1701"/>
        </w:tabs>
        <w:rPr>
          <w:rFonts w:eastAsia="PMingLiU"/>
          <w:szCs w:val="24"/>
          <w:lang w:val="es-419"/>
        </w:rPr>
      </w:pPr>
      <w:r w:rsidRPr="008E38B1">
        <w:rPr>
          <w:rFonts w:eastAsia="PMingLiU"/>
          <w:szCs w:val="24"/>
          <w:lang w:val="es-419"/>
        </w:rPr>
        <w:tab/>
      </w:r>
      <w:r w:rsidR="008B366D" w:rsidRPr="008E38B1">
        <w:rPr>
          <w:rFonts w:eastAsia="PMingLiU"/>
          <w:szCs w:val="24"/>
          <w:lang w:val="es-419"/>
        </w:rPr>
        <w:t>TWM:</w:t>
      </w:r>
      <w:r w:rsidR="008B366D" w:rsidRPr="008E38B1">
        <w:rPr>
          <w:rFonts w:eastAsia="PMingLiU"/>
          <w:szCs w:val="24"/>
          <w:lang w:val="es-419"/>
        </w:rPr>
        <w:tab/>
        <w:t>Grupo de Trabajo Técnico sobre Métodos y Técnicas de Examen</w:t>
      </w:r>
    </w:p>
    <w:p w:rsidR="00442786" w:rsidRPr="008E38B1" w:rsidRDefault="00CE4C92" w:rsidP="008B366D">
      <w:pPr>
        <w:keepNext/>
        <w:tabs>
          <w:tab w:val="left" w:pos="567"/>
          <w:tab w:val="left" w:pos="1701"/>
        </w:tabs>
        <w:rPr>
          <w:rFonts w:eastAsia="PMingLiU"/>
          <w:szCs w:val="24"/>
          <w:lang w:val="es-419"/>
        </w:rPr>
      </w:pPr>
      <w:r w:rsidRPr="008E38B1">
        <w:rPr>
          <w:rFonts w:eastAsia="PMingLiU"/>
          <w:szCs w:val="24"/>
          <w:lang w:val="es-419"/>
        </w:rPr>
        <w:tab/>
      </w:r>
      <w:r w:rsidR="008B366D" w:rsidRPr="008E38B1">
        <w:rPr>
          <w:rFonts w:eastAsia="PMingLiU"/>
          <w:szCs w:val="24"/>
          <w:lang w:val="es-419"/>
        </w:rPr>
        <w:t>TWO:</w:t>
      </w:r>
      <w:r w:rsidR="008B366D" w:rsidRPr="008E38B1">
        <w:rPr>
          <w:rFonts w:eastAsia="PMingLiU"/>
          <w:szCs w:val="24"/>
          <w:lang w:val="es-419"/>
        </w:rPr>
        <w:tab/>
        <w:t>Grupo de Trabajo Técnico sobre Plantas Ornamentales y Árboles Forestales</w:t>
      </w:r>
    </w:p>
    <w:p w:rsidR="00442786" w:rsidRPr="008E38B1" w:rsidRDefault="00CE4C92" w:rsidP="008B366D">
      <w:pPr>
        <w:keepNext/>
        <w:tabs>
          <w:tab w:val="left" w:pos="567"/>
          <w:tab w:val="left" w:pos="1701"/>
        </w:tabs>
        <w:rPr>
          <w:rFonts w:eastAsia="PMingLiU"/>
          <w:szCs w:val="24"/>
          <w:lang w:val="es-419"/>
        </w:rPr>
      </w:pPr>
      <w:r w:rsidRPr="008E38B1">
        <w:rPr>
          <w:rFonts w:eastAsia="PMingLiU"/>
          <w:szCs w:val="24"/>
          <w:lang w:val="es-419"/>
        </w:rPr>
        <w:tab/>
      </w:r>
      <w:r w:rsidR="008B366D" w:rsidRPr="008E38B1">
        <w:rPr>
          <w:rFonts w:eastAsia="PMingLiU"/>
          <w:szCs w:val="24"/>
          <w:lang w:val="es-419"/>
        </w:rPr>
        <w:t>TWP:</w:t>
      </w:r>
      <w:r w:rsidR="008B366D" w:rsidRPr="008E38B1">
        <w:rPr>
          <w:rFonts w:eastAsia="PMingLiU"/>
          <w:szCs w:val="24"/>
          <w:lang w:val="es-419"/>
        </w:rPr>
        <w:tab/>
        <w:t>Grupos de Trabajo Técnico</w:t>
      </w:r>
    </w:p>
    <w:p w:rsidR="00442786" w:rsidRPr="008E38B1" w:rsidRDefault="00CE4C92" w:rsidP="00E15B30">
      <w:pPr>
        <w:tabs>
          <w:tab w:val="left" w:pos="567"/>
          <w:tab w:val="left" w:pos="1701"/>
        </w:tabs>
        <w:rPr>
          <w:rFonts w:eastAsia="PMingLiU"/>
          <w:szCs w:val="24"/>
          <w:lang w:val="es-419"/>
        </w:rPr>
      </w:pPr>
      <w:r w:rsidRPr="008E38B1">
        <w:rPr>
          <w:rFonts w:eastAsia="PMingLiU"/>
          <w:szCs w:val="24"/>
          <w:lang w:val="es-419"/>
        </w:rPr>
        <w:tab/>
      </w:r>
      <w:r w:rsidR="008B366D" w:rsidRPr="008E38B1">
        <w:rPr>
          <w:rFonts w:eastAsia="PMingLiU"/>
          <w:szCs w:val="24"/>
          <w:lang w:val="es-419"/>
        </w:rPr>
        <w:t>TWV:</w:t>
      </w:r>
      <w:r w:rsidR="008B366D" w:rsidRPr="008E38B1">
        <w:rPr>
          <w:rFonts w:eastAsia="PMingLiU"/>
          <w:szCs w:val="24"/>
          <w:lang w:val="es-419"/>
        </w:rPr>
        <w:tab/>
        <w:t>Grupo de Trabajo Técnico sobre Hortalizas</w:t>
      </w:r>
    </w:p>
    <w:p w:rsidR="00442786" w:rsidRPr="008E38B1" w:rsidRDefault="00442786" w:rsidP="00CE4C92">
      <w:pPr>
        <w:rPr>
          <w:lang w:val="es-419"/>
        </w:rPr>
      </w:pPr>
    </w:p>
    <w:p w:rsidR="00442786" w:rsidRPr="008E38B1" w:rsidRDefault="00442786" w:rsidP="00CE4C92">
      <w:pPr>
        <w:rPr>
          <w:lang w:val="es-419"/>
        </w:rPr>
      </w:pPr>
    </w:p>
    <w:p w:rsidR="00442786" w:rsidRPr="008E38B1" w:rsidRDefault="008B366D" w:rsidP="008B366D">
      <w:pPr>
        <w:pStyle w:val="Heading1"/>
        <w:rPr>
          <w:lang w:val="es-419"/>
        </w:rPr>
      </w:pPr>
      <w:bookmarkStart w:id="3" w:name="_Toc85115210"/>
      <w:r w:rsidRPr="008E38B1">
        <w:rPr>
          <w:lang w:val="es-419"/>
        </w:rPr>
        <w:t>Participación en las reuniones del TC y de los TWP por medios electrónicos</w:t>
      </w:r>
      <w:bookmarkEnd w:id="3"/>
    </w:p>
    <w:p w:rsidR="00442786" w:rsidRPr="008E38B1" w:rsidRDefault="00442786" w:rsidP="00CE4C92">
      <w:pPr>
        <w:keepNext/>
        <w:rPr>
          <w:rFonts w:eastAsiaTheme="minorEastAsia"/>
          <w:lang w:val="es-419"/>
        </w:rPr>
      </w:pPr>
    </w:p>
    <w:p w:rsidR="00442786" w:rsidRPr="008E38B1" w:rsidRDefault="00CE4C92" w:rsidP="008B366D">
      <w:pPr>
        <w:keepNext/>
        <w:rPr>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8B366D" w:rsidRPr="008E38B1">
        <w:rPr>
          <w:lang w:val="es-419"/>
        </w:rPr>
        <w:t>Entre las medidas tomadas como consecuencia la pandemia de COVID-19, tras consultar a los anfitriones de los TWP y el presidente del TC, los presidentes de los TWP convinieron en celebrar las reuniones de 2021 por medios electrónicos.</w:t>
      </w:r>
      <w:r w:rsidR="00301714" w:rsidRPr="008E38B1">
        <w:rPr>
          <w:lang w:val="es-419"/>
        </w:rPr>
        <w:t xml:space="preserve"> </w:t>
      </w:r>
      <w:r w:rsidR="008B366D" w:rsidRPr="008E38B1">
        <w:rPr>
          <w:lang w:val="es-419"/>
        </w:rPr>
        <w:t>En el Anexo I de este documento se presenta un análisis del nivel de participación en las reuniones de los TWP en 2021.</w:t>
      </w:r>
      <w:r w:rsidR="00301714" w:rsidRPr="008E38B1">
        <w:rPr>
          <w:lang w:val="es-419"/>
        </w:rPr>
        <w:t xml:space="preserve"> </w:t>
      </w:r>
      <w:r w:rsidR="008B366D" w:rsidRPr="008E38B1">
        <w:rPr>
          <w:lang w:val="es-419"/>
        </w:rPr>
        <w:t>La información sobre la participación en las reuniones del TWC y del BMT en 2021 se facilitará en una adición al presente documento.</w:t>
      </w:r>
    </w:p>
    <w:p w:rsidR="00442786" w:rsidRPr="008E38B1" w:rsidRDefault="00442786" w:rsidP="00445B73">
      <w:pPr>
        <w:rPr>
          <w:lang w:val="es-419"/>
        </w:rPr>
      </w:pPr>
    </w:p>
    <w:p w:rsidR="00442786" w:rsidRPr="008E38B1" w:rsidRDefault="000D7942" w:rsidP="008B366D">
      <w:pPr>
        <w:pStyle w:val="DecisionParagraphs"/>
        <w:rPr>
          <w:i w:val="0"/>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8B366D" w:rsidRPr="008E38B1">
        <w:rPr>
          <w:lang w:val="es-419"/>
        </w:rPr>
        <w:t>Se invita al TC a tomar nota de la participación en las reuniones de los TWP en 2021, tal como figura en el Anexo I del presente documento.</w:t>
      </w:r>
    </w:p>
    <w:p w:rsidR="00442786" w:rsidRPr="008E38B1" w:rsidRDefault="00442786" w:rsidP="009A3BC5">
      <w:pPr>
        <w:pStyle w:val="DecisionParagraphs"/>
        <w:ind w:left="0"/>
        <w:rPr>
          <w:i w:val="0"/>
          <w:lang w:val="es-419"/>
        </w:rPr>
      </w:pPr>
    </w:p>
    <w:p w:rsidR="00442786" w:rsidRPr="008E38B1" w:rsidRDefault="00442786" w:rsidP="00445B73">
      <w:pPr>
        <w:rPr>
          <w:i/>
          <w:lang w:val="es-419"/>
        </w:rPr>
      </w:pPr>
    </w:p>
    <w:p w:rsidR="00442786" w:rsidRPr="008E38B1" w:rsidRDefault="00081C6D" w:rsidP="00081C6D">
      <w:pPr>
        <w:pStyle w:val="Heading1"/>
        <w:rPr>
          <w:lang w:val="es-419"/>
        </w:rPr>
      </w:pPr>
      <w:bookmarkStart w:id="4" w:name="_Toc85115211"/>
      <w:r w:rsidRPr="008E38B1">
        <w:rPr>
          <w:lang w:val="es-419"/>
        </w:rPr>
        <w:t>POSIBLES MEDIDAS PARA LA PARTICIPACIÓN FÍSICA Y VIRTUAL EN LAS REUNIONES DE LOS TWP</w:t>
      </w:r>
      <w:bookmarkEnd w:id="4"/>
    </w:p>
    <w:p w:rsidR="00442786" w:rsidRPr="008E38B1" w:rsidRDefault="00442786" w:rsidP="00B751B2">
      <w:pPr>
        <w:keepNext/>
        <w:rPr>
          <w:snapToGrid w:val="0"/>
          <w:lang w:val="es-419"/>
        </w:rPr>
      </w:pPr>
    </w:p>
    <w:p w:rsidR="00442786" w:rsidRPr="008E38B1" w:rsidRDefault="00D70DC7" w:rsidP="00081C6D">
      <w:pPr>
        <w:rPr>
          <w:lang w:val="es-419"/>
        </w:rPr>
      </w:pPr>
      <w:r w:rsidRPr="008E38B1">
        <w:rPr>
          <w:snapToGrid w:val="0"/>
          <w:lang w:val="es-419"/>
        </w:rPr>
        <w:fldChar w:fldCharType="begin"/>
      </w:r>
      <w:r w:rsidRPr="008E38B1">
        <w:rPr>
          <w:snapToGrid w:val="0"/>
          <w:lang w:val="es-419"/>
        </w:rPr>
        <w:instrText xml:space="preserve"> AUTONUM  </w:instrText>
      </w:r>
      <w:r w:rsidRPr="008E38B1">
        <w:rPr>
          <w:snapToGrid w:val="0"/>
          <w:lang w:val="es-419"/>
        </w:rPr>
        <w:fldChar w:fldCharType="end"/>
      </w:r>
      <w:r w:rsidRPr="008E38B1">
        <w:rPr>
          <w:snapToGrid w:val="0"/>
          <w:lang w:val="es-419"/>
        </w:rPr>
        <w:tab/>
      </w:r>
      <w:r w:rsidR="00081C6D" w:rsidRPr="008E38B1">
        <w:rPr>
          <w:snapToGrid w:val="0"/>
          <w:lang w:val="es-419"/>
        </w:rPr>
        <w:t>El TC, en su quincuagésima sexta</w:t>
      </w:r>
      <w:r w:rsidR="00653F64" w:rsidRPr="008E38B1">
        <w:rPr>
          <w:rStyle w:val="FootnoteReference"/>
          <w:lang w:val="es-419"/>
        </w:rPr>
        <w:footnoteReference w:id="2"/>
      </w:r>
      <w:r w:rsidR="00081C6D" w:rsidRPr="008E38B1">
        <w:rPr>
          <w:snapToGrid w:val="0"/>
          <w:lang w:val="es-419"/>
        </w:rPr>
        <w:t xml:space="preserve"> sesión, acordó invitar a los TWP a estudiar posibles medidas para la participación física y virtual en las reuniones de los TWP, como se reproduce en el Anexo II del presente documento (véase el documento TC/56/23, "Informe", párrafo 69).</w:t>
      </w:r>
    </w:p>
    <w:p w:rsidR="00442786" w:rsidRPr="008E38B1" w:rsidRDefault="00442786" w:rsidP="0037415B">
      <w:pPr>
        <w:rPr>
          <w:snapToGrid w:val="0"/>
          <w:lang w:val="es-419"/>
        </w:rPr>
      </w:pPr>
    </w:p>
    <w:p w:rsidR="00442786" w:rsidRPr="008E38B1" w:rsidRDefault="0037415B" w:rsidP="002415E7">
      <w:pPr>
        <w:rPr>
          <w:snapToGrid w:val="0"/>
          <w:lang w:val="es-419"/>
        </w:rPr>
      </w:pPr>
      <w:r w:rsidRPr="008E38B1">
        <w:rPr>
          <w:snapToGrid w:val="0"/>
          <w:lang w:val="es-419"/>
        </w:rPr>
        <w:fldChar w:fldCharType="begin"/>
      </w:r>
      <w:r w:rsidRPr="008E38B1">
        <w:rPr>
          <w:snapToGrid w:val="0"/>
          <w:lang w:val="es-419"/>
        </w:rPr>
        <w:instrText xml:space="preserve"> AUTONUM  </w:instrText>
      </w:r>
      <w:r w:rsidRPr="008E38B1">
        <w:rPr>
          <w:snapToGrid w:val="0"/>
          <w:lang w:val="es-419"/>
        </w:rPr>
        <w:fldChar w:fldCharType="end"/>
      </w:r>
      <w:r w:rsidRPr="008E38B1">
        <w:rPr>
          <w:snapToGrid w:val="0"/>
          <w:lang w:val="es-419"/>
        </w:rPr>
        <w:tab/>
      </w:r>
      <w:r w:rsidR="002415E7" w:rsidRPr="008E38B1">
        <w:rPr>
          <w:snapToGrid w:val="0"/>
          <w:lang w:val="es-419"/>
        </w:rPr>
        <w:t>Los comentarios de los TWP, formulados en sus sesiones de 2021, sobre posibles medidas para la participación física y virtual en las reuniones de los TWP figuran en el Anexo II de este documento.</w:t>
      </w:r>
    </w:p>
    <w:p w:rsidR="00442786" w:rsidRPr="008E38B1" w:rsidRDefault="00442786" w:rsidP="00445B73">
      <w:pPr>
        <w:rPr>
          <w:lang w:val="es-419"/>
        </w:rPr>
      </w:pPr>
    </w:p>
    <w:p w:rsidR="00442786" w:rsidRPr="008E38B1" w:rsidRDefault="00B751B2" w:rsidP="00A411B5">
      <w:pPr>
        <w:keepNext/>
        <w:keepLines/>
        <w:rPr>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6804BA" w:rsidRPr="008E38B1">
        <w:rPr>
          <w:lang w:val="es-419"/>
        </w:rPr>
        <w:t xml:space="preserve">Pueden consultarse </w:t>
      </w:r>
      <w:r w:rsidR="00A411B5" w:rsidRPr="008E38B1">
        <w:rPr>
          <w:lang w:val="es-419"/>
        </w:rPr>
        <w:t>más detalles sobre este asunto</w:t>
      </w:r>
      <w:r w:rsidR="006804BA" w:rsidRPr="008E38B1">
        <w:rPr>
          <w:lang w:val="es-419"/>
        </w:rPr>
        <w:t xml:space="preserve"> en el documento TC/56/12,</w:t>
      </w:r>
      <w:r w:rsidR="00A411B5" w:rsidRPr="008E38B1">
        <w:rPr>
          <w:lang w:val="es-419"/>
        </w:rPr>
        <w:t xml:space="preserve"> “Aumento de la participación en la labor del Comité Técnico y de los Grupos de Trabajo Técnico”.</w:t>
      </w:r>
    </w:p>
    <w:p w:rsidR="00442786" w:rsidRPr="008E38B1" w:rsidRDefault="00442786" w:rsidP="00445B73">
      <w:pPr>
        <w:rPr>
          <w:lang w:val="es-419"/>
        </w:rPr>
      </w:pPr>
    </w:p>
    <w:p w:rsidR="00442786" w:rsidRPr="008E38B1" w:rsidRDefault="007C131A" w:rsidP="006804BA">
      <w:pPr>
        <w:tabs>
          <w:tab w:val="left" w:pos="5387"/>
        </w:tabs>
        <w:ind w:left="4820"/>
        <w:rPr>
          <w:i/>
          <w:lang w:val="es-419"/>
        </w:rPr>
      </w:pPr>
      <w:r w:rsidRPr="008E38B1">
        <w:rPr>
          <w:i/>
          <w:snapToGrid w:val="0"/>
          <w:lang w:val="es-419"/>
        </w:rPr>
        <w:fldChar w:fldCharType="begin"/>
      </w:r>
      <w:r w:rsidRPr="008E38B1">
        <w:rPr>
          <w:i/>
          <w:snapToGrid w:val="0"/>
          <w:lang w:val="es-419"/>
        </w:rPr>
        <w:instrText xml:space="preserve"> AUTONUM  </w:instrText>
      </w:r>
      <w:r w:rsidRPr="008E38B1">
        <w:rPr>
          <w:i/>
          <w:snapToGrid w:val="0"/>
          <w:lang w:val="es-419"/>
        </w:rPr>
        <w:fldChar w:fldCharType="end"/>
      </w:r>
      <w:r w:rsidRPr="008E38B1">
        <w:rPr>
          <w:i/>
          <w:snapToGrid w:val="0"/>
          <w:lang w:val="es-419"/>
        </w:rPr>
        <w:tab/>
      </w:r>
      <w:r w:rsidR="006804BA" w:rsidRPr="008E38B1">
        <w:rPr>
          <w:i/>
          <w:snapToGrid w:val="0"/>
          <w:lang w:val="es-419"/>
        </w:rPr>
        <w:t>Se invita al TC a tomar nota de las observaciones formuladas por los TWP, en sus reuniones de 2021, sobre las posibles medidas de participación física y virtual en las reuniones de los TWP, que figuran en el Anexo II del presente documento.</w:t>
      </w:r>
      <w:r w:rsidR="003C5A7A" w:rsidRPr="008E38B1">
        <w:rPr>
          <w:i/>
          <w:snapToGrid w:val="0"/>
          <w:lang w:val="es-419"/>
        </w:rPr>
        <w:t xml:space="preserve"> </w:t>
      </w:r>
    </w:p>
    <w:p w:rsidR="00442786" w:rsidRPr="008E38B1" w:rsidRDefault="00442786" w:rsidP="00445B73">
      <w:pPr>
        <w:rPr>
          <w:lang w:val="es-419"/>
        </w:rPr>
      </w:pPr>
    </w:p>
    <w:p w:rsidR="00442786" w:rsidRPr="008E38B1" w:rsidRDefault="00442786" w:rsidP="00445B73">
      <w:pPr>
        <w:rPr>
          <w:lang w:val="es-419"/>
        </w:rPr>
      </w:pPr>
    </w:p>
    <w:p w:rsidR="00442786" w:rsidRPr="008E38B1" w:rsidRDefault="006804BA" w:rsidP="006804BA">
      <w:pPr>
        <w:pStyle w:val="Heading2"/>
        <w:rPr>
          <w:lang w:val="es-419"/>
        </w:rPr>
      </w:pPr>
      <w:bookmarkStart w:id="5" w:name="_Toc85115212"/>
      <w:r w:rsidRPr="008E38B1">
        <w:rPr>
          <w:lang w:val="es-419"/>
        </w:rPr>
        <w:t>Propuestas para aumentar la participación en la labor de los Grupos de Trabajo Técnico</w:t>
      </w:r>
      <w:bookmarkEnd w:id="5"/>
    </w:p>
    <w:p w:rsidR="00442786" w:rsidRPr="008E38B1" w:rsidRDefault="00442786" w:rsidP="000D7942">
      <w:pPr>
        <w:rPr>
          <w:lang w:val="es-419"/>
        </w:rPr>
      </w:pPr>
    </w:p>
    <w:p w:rsidR="00442786" w:rsidRPr="008E38B1" w:rsidRDefault="000D7942" w:rsidP="006804BA">
      <w:pPr>
        <w:rPr>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6804BA" w:rsidRPr="008E38B1">
        <w:rPr>
          <w:lang w:val="es-419"/>
        </w:rPr>
        <w:t xml:space="preserve">Partiendo de las observaciones formuladas por los TWP, en sus reuniones de 2021, el TC podría considerar las siguientes medidas </w:t>
      </w:r>
      <w:r w:rsidR="003752B9" w:rsidRPr="008E38B1">
        <w:rPr>
          <w:lang w:val="es-419"/>
        </w:rPr>
        <w:t xml:space="preserve">relativas a </w:t>
      </w:r>
      <w:r w:rsidR="006804BA" w:rsidRPr="008E38B1">
        <w:rPr>
          <w:lang w:val="es-419"/>
        </w:rPr>
        <w:t>la participación física y virtual en las reuniones de los TWP:</w:t>
      </w:r>
    </w:p>
    <w:p w:rsidR="00442786" w:rsidRPr="008E38B1" w:rsidRDefault="00442786" w:rsidP="0074797E">
      <w:pPr>
        <w:tabs>
          <w:tab w:val="left" w:pos="864"/>
        </w:tabs>
        <w:rPr>
          <w:lang w:val="es-419"/>
        </w:rPr>
      </w:pPr>
    </w:p>
    <w:p w:rsidR="00442786" w:rsidRPr="008E38B1" w:rsidRDefault="0074797E" w:rsidP="00E35BEA">
      <w:pPr>
        <w:pStyle w:val="Heading3"/>
        <w:rPr>
          <w:lang w:val="es-419"/>
        </w:rPr>
      </w:pPr>
      <w:bookmarkStart w:id="6" w:name="_Toc85115213"/>
      <w:r w:rsidRPr="008E38B1">
        <w:rPr>
          <w:lang w:val="es-419"/>
        </w:rPr>
        <w:t>a)</w:t>
      </w:r>
      <w:r w:rsidRPr="008E38B1">
        <w:rPr>
          <w:lang w:val="es-419"/>
        </w:rPr>
        <w:tab/>
      </w:r>
      <w:r w:rsidR="00E35BEA" w:rsidRPr="008E38B1">
        <w:rPr>
          <w:lang w:val="es-419"/>
        </w:rPr>
        <w:t>Talleres preparatorios virtuales previos a las reuniones de los TWP</w:t>
      </w:r>
      <w:bookmarkEnd w:id="6"/>
    </w:p>
    <w:p w:rsidR="00442786" w:rsidRPr="008E38B1" w:rsidRDefault="00442786" w:rsidP="0074797E">
      <w:pPr>
        <w:keepNext/>
        <w:tabs>
          <w:tab w:val="left" w:pos="567"/>
        </w:tabs>
        <w:rPr>
          <w:lang w:val="es-419"/>
        </w:rPr>
      </w:pPr>
    </w:p>
    <w:p w:rsidR="00442786" w:rsidRPr="008E38B1" w:rsidRDefault="00E35BEA" w:rsidP="00E35BEA">
      <w:pPr>
        <w:pStyle w:val="ListParagraph"/>
        <w:keepNext/>
        <w:numPr>
          <w:ilvl w:val="0"/>
          <w:numId w:val="28"/>
        </w:numPr>
        <w:rPr>
          <w:rFonts w:cs="Arial"/>
          <w:snapToGrid w:val="0"/>
          <w:lang w:val="es-419"/>
        </w:rPr>
      </w:pPr>
      <w:r w:rsidRPr="008E38B1">
        <w:rPr>
          <w:rFonts w:cs="Arial"/>
          <w:snapToGrid w:val="0"/>
          <w:lang w:val="es-419"/>
        </w:rPr>
        <w:t>Los talleres preparatorios virtuales se organizarían como una serie de seminarios web.</w:t>
      </w:r>
    </w:p>
    <w:p w:rsidR="00442786" w:rsidRPr="008E38B1" w:rsidRDefault="00442786" w:rsidP="0074797E">
      <w:pPr>
        <w:rPr>
          <w:snapToGrid w:val="0"/>
          <w:lang w:val="es-419"/>
        </w:rPr>
      </w:pPr>
    </w:p>
    <w:p w:rsidR="00442786" w:rsidRPr="008E38B1" w:rsidRDefault="00E35BEA" w:rsidP="00E35BEA">
      <w:pPr>
        <w:pStyle w:val="ListParagraph"/>
        <w:numPr>
          <w:ilvl w:val="0"/>
          <w:numId w:val="21"/>
        </w:numPr>
        <w:rPr>
          <w:rFonts w:cs="Arial"/>
          <w:snapToGrid w:val="0"/>
          <w:lang w:val="es-419"/>
        </w:rPr>
      </w:pPr>
      <w:r w:rsidRPr="008E38B1">
        <w:rPr>
          <w:rFonts w:cs="Arial"/>
          <w:snapToGrid w:val="0"/>
          <w:lang w:val="es-419"/>
        </w:rPr>
        <w:t>El contenido de los talleres preparatorios virtuales sería acordado por el TC en el punto del orden del día "Talleres preparatorios".</w:t>
      </w:r>
    </w:p>
    <w:p w:rsidR="00442786" w:rsidRPr="008E38B1" w:rsidRDefault="00442786" w:rsidP="00745F23">
      <w:pPr>
        <w:pStyle w:val="ListParagraph"/>
        <w:rPr>
          <w:rFonts w:cs="Arial"/>
          <w:snapToGrid w:val="0"/>
          <w:lang w:val="es-419"/>
        </w:rPr>
      </w:pPr>
    </w:p>
    <w:p w:rsidR="00442786" w:rsidRPr="008E38B1" w:rsidRDefault="00E35BEA" w:rsidP="00E35BEA">
      <w:pPr>
        <w:pStyle w:val="ListParagraph"/>
        <w:numPr>
          <w:ilvl w:val="0"/>
          <w:numId w:val="21"/>
        </w:numPr>
        <w:rPr>
          <w:rFonts w:cs="Arial"/>
          <w:snapToGrid w:val="0"/>
          <w:lang w:val="es-419"/>
        </w:rPr>
      </w:pPr>
      <w:r w:rsidRPr="008E38B1">
        <w:rPr>
          <w:rFonts w:cs="Arial"/>
          <w:snapToGrid w:val="0"/>
          <w:lang w:val="es-419"/>
        </w:rPr>
        <w:t>El contenido se organizaría en función de los temas (por ejemplo, elaboración de directrices de examen, técnicas moleculares en el examen DHE, métodos de examen DHE, análisis de imágenes).</w:t>
      </w:r>
    </w:p>
    <w:p w:rsidR="00442786" w:rsidRPr="008E38B1" w:rsidRDefault="00442786" w:rsidP="00027494">
      <w:pPr>
        <w:pStyle w:val="ListParagraph"/>
        <w:rPr>
          <w:rFonts w:cs="Arial"/>
          <w:snapToGrid w:val="0"/>
          <w:lang w:val="es-419"/>
        </w:rPr>
      </w:pPr>
    </w:p>
    <w:p w:rsidR="00442786" w:rsidRPr="008E38B1" w:rsidRDefault="00E35BEA" w:rsidP="00E35BEA">
      <w:pPr>
        <w:pStyle w:val="ListParagraph"/>
        <w:numPr>
          <w:ilvl w:val="0"/>
          <w:numId w:val="21"/>
        </w:numPr>
        <w:rPr>
          <w:rFonts w:cs="Arial"/>
          <w:snapToGrid w:val="0"/>
          <w:lang w:val="es-419"/>
        </w:rPr>
      </w:pPr>
      <w:r w:rsidRPr="008E38B1">
        <w:rPr>
          <w:rFonts w:cs="Arial"/>
          <w:snapToGrid w:val="0"/>
          <w:lang w:val="es-419"/>
        </w:rPr>
        <w:t>La Oficina de la Unión, en coordinación con los presidentes del TC y de los TWP, se encargaría de organizar los seminarios web (por ejemplo, fechas, número de seminarios necesarios para tratar el contenido, ponentes y panelistas).</w:t>
      </w:r>
    </w:p>
    <w:p w:rsidR="00442786" w:rsidRPr="008E38B1" w:rsidRDefault="00442786" w:rsidP="00457A54">
      <w:pPr>
        <w:pStyle w:val="ListParagraph"/>
        <w:rPr>
          <w:rFonts w:cs="Arial"/>
          <w:snapToGrid w:val="0"/>
          <w:lang w:val="es-419"/>
        </w:rPr>
      </w:pPr>
    </w:p>
    <w:p w:rsidR="00442786" w:rsidRPr="008E38B1" w:rsidRDefault="00E35BEA" w:rsidP="00E35BEA">
      <w:pPr>
        <w:pStyle w:val="ListParagraph"/>
        <w:numPr>
          <w:ilvl w:val="0"/>
          <w:numId w:val="21"/>
        </w:numPr>
        <w:rPr>
          <w:rFonts w:cs="Arial"/>
          <w:snapToGrid w:val="0"/>
          <w:lang w:val="es-419"/>
        </w:rPr>
      </w:pPr>
      <w:r w:rsidRPr="008E38B1">
        <w:rPr>
          <w:rFonts w:cs="Arial"/>
          <w:snapToGrid w:val="0"/>
          <w:lang w:val="es-419"/>
        </w:rPr>
        <w:t>Los talleres preparatorios virtuales sustituirían a los talleres preparatorios celebrados antes de cada reunión de los TWP. La serie de seminarios virtuales estaría abierta a los expertos de todos los TWP.</w:t>
      </w:r>
    </w:p>
    <w:p w:rsidR="00442786" w:rsidRPr="008E38B1" w:rsidRDefault="00442786" w:rsidP="00457A54">
      <w:pPr>
        <w:pStyle w:val="ListParagraph"/>
        <w:rPr>
          <w:rFonts w:cs="Arial"/>
          <w:snapToGrid w:val="0"/>
          <w:lang w:val="es-419"/>
        </w:rPr>
      </w:pPr>
    </w:p>
    <w:p w:rsidR="00442786" w:rsidRPr="008E38B1" w:rsidRDefault="00E35BEA" w:rsidP="00E35BEA">
      <w:pPr>
        <w:pStyle w:val="ListParagraph"/>
        <w:keepNext/>
        <w:numPr>
          <w:ilvl w:val="0"/>
          <w:numId w:val="21"/>
        </w:numPr>
        <w:rPr>
          <w:rFonts w:cs="Arial"/>
          <w:snapToGrid w:val="0"/>
          <w:lang w:val="es-419"/>
        </w:rPr>
      </w:pPr>
      <w:r w:rsidRPr="008E38B1">
        <w:rPr>
          <w:rFonts w:cs="Arial"/>
          <w:snapToGrid w:val="0"/>
          <w:lang w:val="es-419"/>
        </w:rPr>
        <w:t>Los seminarios web se grabarían y se mantendrían en línea hasta que fueran sustituidos por una versión actualizada.</w:t>
      </w:r>
      <w:r w:rsidR="00301714" w:rsidRPr="008E38B1">
        <w:rPr>
          <w:rFonts w:cs="Arial"/>
          <w:snapToGrid w:val="0"/>
          <w:lang w:val="es-419"/>
        </w:rPr>
        <w:t xml:space="preserve"> </w:t>
      </w:r>
      <w:r w:rsidRPr="008E38B1">
        <w:rPr>
          <w:rFonts w:cs="Arial"/>
          <w:snapToGrid w:val="0"/>
          <w:lang w:val="es-419"/>
        </w:rPr>
        <w:t>La Oficina de la Unión organizaría una página web para albergar los vídeos (por ejemplo,</w:t>
      </w:r>
      <w:r w:rsidR="00457A54" w:rsidRPr="008E38B1">
        <w:rPr>
          <w:rFonts w:cs="Arial"/>
          <w:snapToGrid w:val="0"/>
          <w:lang w:val="es-419"/>
        </w:rPr>
        <w:t xml:space="preserve"> </w:t>
      </w:r>
      <w:r w:rsidRPr="008E38B1">
        <w:rPr>
          <w:rFonts w:cs="Arial"/>
          <w:snapToGrid w:val="0"/>
          <w:lang w:val="es-419"/>
        </w:rPr>
        <w:t>el canal de la UPOV en YouTube).</w:t>
      </w:r>
    </w:p>
    <w:p w:rsidR="00442786" w:rsidRPr="008E38B1" w:rsidRDefault="00442786" w:rsidP="0074797E">
      <w:pPr>
        <w:rPr>
          <w:rFonts w:cs="Arial"/>
          <w:snapToGrid w:val="0"/>
          <w:lang w:val="es-419"/>
        </w:rPr>
      </w:pPr>
    </w:p>
    <w:p w:rsidR="00442786" w:rsidRPr="008E38B1" w:rsidRDefault="0074797E" w:rsidP="00E35BEA">
      <w:pPr>
        <w:rPr>
          <w:rFonts w:cs="Arial"/>
          <w:snapToGrid w:val="0"/>
          <w:lang w:val="es-419"/>
        </w:rPr>
      </w:pPr>
      <w:r w:rsidRPr="008E38B1">
        <w:rPr>
          <w:rFonts w:cs="Arial"/>
          <w:snapToGrid w:val="0"/>
          <w:lang w:val="es-419"/>
        </w:rPr>
        <w:fldChar w:fldCharType="begin"/>
      </w:r>
      <w:r w:rsidRPr="008E38B1">
        <w:rPr>
          <w:rFonts w:cs="Arial"/>
          <w:snapToGrid w:val="0"/>
          <w:lang w:val="es-419"/>
        </w:rPr>
        <w:instrText xml:space="preserve"> AUTONUM  </w:instrText>
      </w:r>
      <w:r w:rsidRPr="008E38B1">
        <w:rPr>
          <w:rFonts w:cs="Arial"/>
          <w:snapToGrid w:val="0"/>
          <w:lang w:val="es-419"/>
        </w:rPr>
        <w:fldChar w:fldCharType="end"/>
      </w:r>
      <w:r w:rsidRPr="008E38B1">
        <w:rPr>
          <w:rFonts w:cs="Arial"/>
          <w:snapToGrid w:val="0"/>
          <w:lang w:val="es-419"/>
        </w:rPr>
        <w:tab/>
      </w:r>
      <w:r w:rsidR="00E35BEA" w:rsidRPr="008E38B1">
        <w:rPr>
          <w:rFonts w:cs="Arial"/>
          <w:snapToGrid w:val="0"/>
          <w:lang w:val="es-419"/>
        </w:rPr>
        <w:t>En el documento TC/57/13, "Talleres preparatorios", se presentan otros asuntos relacionados con los talleres preparatorios.</w:t>
      </w:r>
      <w:r w:rsidRPr="008E38B1">
        <w:rPr>
          <w:rFonts w:cs="Arial"/>
          <w:snapToGrid w:val="0"/>
          <w:lang w:val="es-419"/>
        </w:rPr>
        <w:t xml:space="preserve"> </w:t>
      </w:r>
    </w:p>
    <w:p w:rsidR="00442786" w:rsidRPr="008E38B1" w:rsidRDefault="00442786" w:rsidP="0074797E">
      <w:pPr>
        <w:jc w:val="center"/>
        <w:rPr>
          <w:rFonts w:cs="Arial"/>
          <w:snapToGrid w:val="0"/>
          <w:lang w:val="es-419"/>
        </w:rPr>
      </w:pPr>
    </w:p>
    <w:p w:rsidR="00442786" w:rsidRPr="008E38B1" w:rsidRDefault="00E35BEA" w:rsidP="00E35BEA">
      <w:pPr>
        <w:pStyle w:val="Heading3"/>
        <w:rPr>
          <w:snapToGrid w:val="0"/>
          <w:lang w:val="es-419"/>
        </w:rPr>
      </w:pPr>
      <w:bookmarkStart w:id="7" w:name="_Toc85115214"/>
      <w:r w:rsidRPr="008E38B1">
        <w:rPr>
          <w:snapToGrid w:val="0"/>
          <w:lang w:val="es-419"/>
        </w:rPr>
        <w:t>b)</w:t>
      </w:r>
      <w:r w:rsidRPr="008E38B1">
        <w:rPr>
          <w:snapToGrid w:val="0"/>
          <w:lang w:val="es-419"/>
        </w:rPr>
        <w:tab/>
        <w:t>Formulación de comentarios y preguntas sobre los documentos de los TWP antes de las reuniones</w:t>
      </w:r>
      <w:bookmarkEnd w:id="7"/>
    </w:p>
    <w:p w:rsidR="00442786" w:rsidRPr="008E38B1" w:rsidRDefault="00442786" w:rsidP="00F71E5C">
      <w:pPr>
        <w:rPr>
          <w:rFonts w:cs="Arial"/>
          <w:snapToGrid w:val="0"/>
          <w:lang w:val="es-419"/>
        </w:rPr>
      </w:pPr>
    </w:p>
    <w:p w:rsidR="00442786" w:rsidRPr="008E38B1" w:rsidRDefault="00E35BEA" w:rsidP="00E35BEA">
      <w:pPr>
        <w:pStyle w:val="ListParagraph"/>
        <w:numPr>
          <w:ilvl w:val="0"/>
          <w:numId w:val="29"/>
        </w:numPr>
        <w:rPr>
          <w:rFonts w:cs="Arial"/>
          <w:snapToGrid w:val="0"/>
          <w:lang w:val="es-419"/>
        </w:rPr>
      </w:pPr>
      <w:r w:rsidRPr="008E38B1">
        <w:rPr>
          <w:rFonts w:cs="Arial"/>
          <w:snapToGrid w:val="0"/>
          <w:lang w:val="es-419"/>
        </w:rPr>
        <w:t>Se invitaría a los participantes a presentar comentarios por escrito sobre los documentos antes de las reuniones, del mismo modo que en 2020 y 2021.</w:t>
      </w:r>
    </w:p>
    <w:p w:rsidR="00442786" w:rsidRPr="008E38B1" w:rsidRDefault="00442786" w:rsidP="00F71E5C">
      <w:pPr>
        <w:rPr>
          <w:rFonts w:cs="Arial"/>
          <w:snapToGrid w:val="0"/>
          <w:lang w:val="es-419"/>
        </w:rPr>
      </w:pPr>
    </w:p>
    <w:p w:rsidR="00442786" w:rsidRPr="008E38B1" w:rsidRDefault="00E35BEA" w:rsidP="00E35BEA">
      <w:pPr>
        <w:pStyle w:val="ListParagraph"/>
        <w:numPr>
          <w:ilvl w:val="0"/>
          <w:numId w:val="27"/>
        </w:numPr>
        <w:rPr>
          <w:rFonts w:cs="Arial"/>
          <w:snapToGrid w:val="0"/>
          <w:lang w:val="es-419"/>
        </w:rPr>
      </w:pPr>
      <w:r w:rsidRPr="008E38B1">
        <w:rPr>
          <w:rFonts w:cs="Arial"/>
          <w:snapToGrid w:val="0"/>
          <w:lang w:val="es-419"/>
        </w:rPr>
        <w:t>La recopilación de los comentarios escritos se distribuiría a los participantes inscritos una semana antes de la reunión.</w:t>
      </w:r>
    </w:p>
    <w:p w:rsidR="00442786" w:rsidRPr="008E38B1" w:rsidRDefault="00442786" w:rsidP="00F71E5C">
      <w:pPr>
        <w:rPr>
          <w:rFonts w:cs="Arial"/>
          <w:snapToGrid w:val="0"/>
          <w:lang w:val="es-419"/>
        </w:rPr>
      </w:pPr>
    </w:p>
    <w:p w:rsidR="00442786" w:rsidRPr="008E38B1" w:rsidRDefault="00E35BEA" w:rsidP="00E35BEA">
      <w:pPr>
        <w:pStyle w:val="ListParagraph"/>
        <w:numPr>
          <w:ilvl w:val="0"/>
          <w:numId w:val="27"/>
        </w:numPr>
        <w:rPr>
          <w:rFonts w:cs="Arial"/>
          <w:snapToGrid w:val="0"/>
          <w:lang w:val="es-419"/>
        </w:rPr>
      </w:pPr>
      <w:r w:rsidRPr="008E38B1">
        <w:rPr>
          <w:rFonts w:cs="Arial"/>
          <w:snapToGrid w:val="0"/>
          <w:lang w:val="es-419"/>
        </w:rPr>
        <w:t>Los comentarios recibidos con antelación se incluirían en el debate del correspondiente punto del orden del día durante la reunión.</w:t>
      </w:r>
    </w:p>
    <w:p w:rsidR="00442786" w:rsidRPr="008E38B1" w:rsidRDefault="00442786" w:rsidP="002F43AA">
      <w:pPr>
        <w:rPr>
          <w:snapToGrid w:val="0"/>
          <w:lang w:val="es-419"/>
        </w:rPr>
      </w:pPr>
    </w:p>
    <w:p w:rsidR="00442786" w:rsidRPr="008E38B1" w:rsidRDefault="00E35BEA" w:rsidP="00E35BEA">
      <w:pPr>
        <w:pStyle w:val="Heading3"/>
        <w:rPr>
          <w:snapToGrid w:val="0"/>
          <w:lang w:val="es-419"/>
        </w:rPr>
      </w:pPr>
      <w:bookmarkStart w:id="8" w:name="_Toc85115215"/>
      <w:r w:rsidRPr="008E38B1">
        <w:rPr>
          <w:snapToGrid w:val="0"/>
          <w:lang w:val="es-419"/>
        </w:rPr>
        <w:t>c)</w:t>
      </w:r>
      <w:r w:rsidRPr="008E38B1">
        <w:rPr>
          <w:snapToGrid w:val="0"/>
          <w:lang w:val="es-419"/>
        </w:rPr>
        <w:tab/>
        <w:t>Alternancia de un año de sesión física con un año de sesión virtual</w:t>
      </w:r>
      <w:bookmarkEnd w:id="8"/>
    </w:p>
    <w:p w:rsidR="00442786" w:rsidRPr="008E38B1" w:rsidRDefault="00442786" w:rsidP="002F43AA">
      <w:pPr>
        <w:rPr>
          <w:lang w:val="es-419"/>
        </w:rPr>
      </w:pPr>
    </w:p>
    <w:p w:rsidR="00442786" w:rsidRPr="008E38B1" w:rsidRDefault="00667AF3" w:rsidP="00667AF3">
      <w:pPr>
        <w:pStyle w:val="ListParagraph"/>
        <w:numPr>
          <w:ilvl w:val="0"/>
          <w:numId w:val="30"/>
        </w:numPr>
        <w:rPr>
          <w:lang w:val="es-419"/>
        </w:rPr>
      </w:pPr>
      <w:r w:rsidRPr="008E38B1">
        <w:rPr>
          <w:lang w:val="es-419"/>
        </w:rPr>
        <w:t>Las reuniones de los TWP se programarían un año como reunión virtual y al año siguiente como reunión física (por ejemplo, 2023: virtual; 2024: física).</w:t>
      </w:r>
    </w:p>
    <w:p w:rsidR="00442786" w:rsidRPr="008E38B1" w:rsidRDefault="00442786" w:rsidP="00745F23">
      <w:pPr>
        <w:pStyle w:val="ListParagraph"/>
        <w:rPr>
          <w:lang w:val="es-419"/>
        </w:rPr>
      </w:pPr>
    </w:p>
    <w:p w:rsidR="00442786" w:rsidRPr="008E38B1" w:rsidRDefault="00D85F7F" w:rsidP="00D85F7F">
      <w:pPr>
        <w:pStyle w:val="ListParagraph"/>
        <w:numPr>
          <w:ilvl w:val="0"/>
          <w:numId w:val="30"/>
        </w:numPr>
        <w:rPr>
          <w:lang w:val="es-419"/>
        </w:rPr>
      </w:pPr>
      <w:r w:rsidRPr="008E38B1">
        <w:rPr>
          <w:lang w:val="es-419"/>
        </w:rPr>
        <w:t>Se celebrarían al menos dos reuniones virtuales de los TWP en un año natural para que los especialistas pudieran participar electrónicamente en todos los debates sobre las directrices de examen y los documentos TGP y TWP.</w:t>
      </w:r>
    </w:p>
    <w:p w:rsidR="00442786" w:rsidRPr="008E38B1" w:rsidRDefault="00442786" w:rsidP="00F65B92">
      <w:pPr>
        <w:pStyle w:val="ListParagraph"/>
        <w:rPr>
          <w:lang w:val="es-419"/>
        </w:rPr>
      </w:pPr>
    </w:p>
    <w:p w:rsidR="00442786" w:rsidRPr="008E38B1" w:rsidRDefault="00D85F7F" w:rsidP="00D85F7F">
      <w:pPr>
        <w:pStyle w:val="ListParagraph"/>
        <w:numPr>
          <w:ilvl w:val="0"/>
          <w:numId w:val="26"/>
        </w:numPr>
        <w:rPr>
          <w:lang w:val="es-419"/>
        </w:rPr>
      </w:pPr>
      <w:r w:rsidRPr="008E38B1">
        <w:rPr>
          <w:lang w:val="es-419"/>
        </w:rPr>
        <w:t>Visitas técnicas virtuales: habría una invitación abierta para que cualquier miembro de la UPOV hiciera una presentación sobre aspectos de sus sistemas de examen mediante ponencias, vídeos o presentaciones en línea (por ejemplo,</w:t>
      </w:r>
      <w:r w:rsidR="000B1290" w:rsidRPr="008E38B1">
        <w:rPr>
          <w:lang w:val="es-419"/>
        </w:rPr>
        <w:t xml:space="preserve"> </w:t>
      </w:r>
      <w:r w:rsidRPr="008E38B1">
        <w:rPr>
          <w:lang w:val="es-419"/>
        </w:rPr>
        <w:t>examen DHE para determinados cultivos, procedimientos de examen, análisis de imágenes, disposición de los ensayos).</w:t>
      </w:r>
    </w:p>
    <w:p w:rsidR="00442786" w:rsidRPr="008E38B1" w:rsidRDefault="00442786" w:rsidP="003745A9">
      <w:pPr>
        <w:pStyle w:val="ListParagraph"/>
        <w:rPr>
          <w:lang w:val="es-419"/>
        </w:rPr>
      </w:pPr>
    </w:p>
    <w:p w:rsidR="00442786" w:rsidRPr="008E38B1" w:rsidRDefault="00D944BE" w:rsidP="00D944BE">
      <w:pPr>
        <w:pStyle w:val="ListParagraph"/>
        <w:numPr>
          <w:ilvl w:val="0"/>
          <w:numId w:val="26"/>
        </w:numPr>
        <w:rPr>
          <w:lang w:val="es-419"/>
        </w:rPr>
      </w:pPr>
      <w:r w:rsidRPr="008E38B1">
        <w:rPr>
          <w:lang w:val="es-419"/>
        </w:rPr>
        <w:t>El calendario de las reuniones virtuales de los TWP sería debatido por estos al planificar el orden del día de la siguiente reunión.</w:t>
      </w:r>
    </w:p>
    <w:p w:rsidR="00442786" w:rsidRPr="008E38B1" w:rsidRDefault="00442786" w:rsidP="002F43AA">
      <w:pPr>
        <w:rPr>
          <w:lang w:val="es-419"/>
        </w:rPr>
      </w:pPr>
    </w:p>
    <w:p w:rsidR="00442786" w:rsidRPr="008E38B1" w:rsidRDefault="00D944BE" w:rsidP="00D944BE">
      <w:pPr>
        <w:pStyle w:val="Heading3"/>
        <w:rPr>
          <w:lang w:val="es-419"/>
        </w:rPr>
      </w:pPr>
      <w:bookmarkStart w:id="9" w:name="_Toc85115216"/>
      <w:r w:rsidRPr="008E38B1">
        <w:rPr>
          <w:lang w:val="es-419"/>
        </w:rPr>
        <w:t>d)</w:t>
      </w:r>
      <w:r w:rsidRPr="008E38B1">
        <w:rPr>
          <w:lang w:val="es-419"/>
        </w:rPr>
        <w:tab/>
        <w:t>Participación electrónica en las reuniones físicas de los TWP</w:t>
      </w:r>
      <w:bookmarkEnd w:id="9"/>
    </w:p>
    <w:p w:rsidR="00442786" w:rsidRPr="008E38B1" w:rsidRDefault="00442786" w:rsidP="00B47583">
      <w:pPr>
        <w:pStyle w:val="ListParagraph"/>
        <w:keepNext/>
        <w:rPr>
          <w:snapToGrid w:val="0"/>
          <w:lang w:val="es-419"/>
        </w:rPr>
      </w:pPr>
    </w:p>
    <w:p w:rsidR="00442786" w:rsidRPr="008E38B1" w:rsidRDefault="00D944BE" w:rsidP="00D944BE">
      <w:pPr>
        <w:pStyle w:val="ListParagraph"/>
        <w:keepNext/>
        <w:numPr>
          <w:ilvl w:val="0"/>
          <w:numId w:val="26"/>
        </w:numPr>
        <w:rPr>
          <w:rFonts w:cs="Arial"/>
          <w:snapToGrid w:val="0"/>
          <w:lang w:val="es-419"/>
        </w:rPr>
      </w:pPr>
      <w:r w:rsidRPr="008E38B1">
        <w:rPr>
          <w:snapToGrid w:val="0"/>
          <w:lang w:val="es-419"/>
        </w:rPr>
        <w:t xml:space="preserve">El anfitrión de los TWP o la Oficina de la Unión deberían proporcionar una plataforma para la participación electrónica en las reuniones </w:t>
      </w:r>
      <w:r w:rsidR="005628B5" w:rsidRPr="008E38B1">
        <w:rPr>
          <w:snapToGrid w:val="0"/>
          <w:lang w:val="es-419"/>
        </w:rPr>
        <w:t xml:space="preserve">de los subgrupos </w:t>
      </w:r>
      <w:r w:rsidRPr="008E38B1">
        <w:rPr>
          <w:snapToGrid w:val="0"/>
          <w:lang w:val="es-419"/>
        </w:rPr>
        <w:t>encargado</w:t>
      </w:r>
      <w:r w:rsidR="005628B5" w:rsidRPr="008E38B1">
        <w:rPr>
          <w:snapToGrid w:val="0"/>
          <w:lang w:val="es-419"/>
        </w:rPr>
        <w:t>s</w:t>
      </w:r>
      <w:r w:rsidRPr="008E38B1">
        <w:rPr>
          <w:snapToGrid w:val="0"/>
          <w:lang w:val="es-419"/>
        </w:rPr>
        <w:t xml:space="preserve"> de las directrices de examen en las reuniones </w:t>
      </w:r>
      <w:r w:rsidR="005628B5" w:rsidRPr="008E38B1">
        <w:rPr>
          <w:snapToGrid w:val="0"/>
          <w:lang w:val="es-419"/>
        </w:rPr>
        <w:t>físicas</w:t>
      </w:r>
      <w:r w:rsidRPr="008E38B1">
        <w:rPr>
          <w:snapToGrid w:val="0"/>
          <w:lang w:val="es-419"/>
        </w:rPr>
        <w:t xml:space="preserve"> de los TWP.</w:t>
      </w:r>
      <w:r w:rsidR="00301714" w:rsidRPr="008E38B1">
        <w:rPr>
          <w:snapToGrid w:val="0"/>
          <w:lang w:val="es-419"/>
        </w:rPr>
        <w:t xml:space="preserve"> </w:t>
      </w:r>
      <w:r w:rsidRPr="008E38B1">
        <w:rPr>
          <w:snapToGrid w:val="0"/>
          <w:lang w:val="es-419"/>
        </w:rPr>
        <w:t>Esta medida debería permitir la participación de expertos en cultivos que de otro modo no asistirían a las reuniones de los TWP.</w:t>
      </w:r>
      <w:r w:rsidR="00301714" w:rsidRPr="008E38B1">
        <w:rPr>
          <w:rFonts w:cs="Arial"/>
          <w:snapToGrid w:val="0"/>
          <w:lang w:val="es-419"/>
        </w:rPr>
        <w:t xml:space="preserve"> </w:t>
      </w:r>
    </w:p>
    <w:p w:rsidR="00442786" w:rsidRPr="008E38B1" w:rsidRDefault="00442786" w:rsidP="00B47583">
      <w:pPr>
        <w:pStyle w:val="ListParagraph"/>
        <w:keepNext/>
        <w:rPr>
          <w:rFonts w:cs="Arial"/>
          <w:snapToGrid w:val="0"/>
          <w:lang w:val="es-419"/>
        </w:rPr>
      </w:pPr>
    </w:p>
    <w:p w:rsidR="00442786" w:rsidRPr="008E38B1" w:rsidRDefault="00D944BE" w:rsidP="00D944BE">
      <w:pPr>
        <w:pStyle w:val="ListParagraph"/>
        <w:numPr>
          <w:ilvl w:val="0"/>
          <w:numId w:val="26"/>
        </w:numPr>
        <w:rPr>
          <w:rFonts w:cs="Arial"/>
          <w:snapToGrid w:val="0"/>
          <w:lang w:val="es-419"/>
        </w:rPr>
      </w:pPr>
      <w:r w:rsidRPr="008E38B1">
        <w:rPr>
          <w:rFonts w:cs="Arial"/>
          <w:snapToGrid w:val="0"/>
          <w:lang w:val="es-419"/>
        </w:rPr>
        <w:t xml:space="preserve">Los anfitriones de las reuniones físicas de los TWP deberían participar en la decisión de cómo organizar la participación virtual en los debates </w:t>
      </w:r>
      <w:r w:rsidR="005628B5" w:rsidRPr="008E38B1">
        <w:rPr>
          <w:rFonts w:cs="Arial"/>
          <w:snapToGrid w:val="0"/>
          <w:lang w:val="es-419"/>
        </w:rPr>
        <w:t xml:space="preserve">de los subgrupos </w:t>
      </w:r>
      <w:r w:rsidRPr="008E38B1">
        <w:rPr>
          <w:rFonts w:cs="Arial"/>
          <w:snapToGrid w:val="0"/>
          <w:lang w:val="es-419"/>
        </w:rPr>
        <w:t>encargado</w:t>
      </w:r>
      <w:r w:rsidR="005628B5" w:rsidRPr="008E38B1">
        <w:rPr>
          <w:rFonts w:cs="Arial"/>
          <w:snapToGrid w:val="0"/>
          <w:lang w:val="es-419"/>
        </w:rPr>
        <w:t>s</w:t>
      </w:r>
      <w:r w:rsidRPr="008E38B1">
        <w:rPr>
          <w:rFonts w:cs="Arial"/>
          <w:snapToGrid w:val="0"/>
          <w:lang w:val="es-419"/>
        </w:rPr>
        <w:t xml:space="preserve"> de las directrices de examen.</w:t>
      </w:r>
    </w:p>
    <w:p w:rsidR="00442786" w:rsidRPr="008E38B1" w:rsidRDefault="00442786" w:rsidP="00F62942">
      <w:pPr>
        <w:pStyle w:val="ListParagraph"/>
        <w:ind w:left="709"/>
        <w:rPr>
          <w:lang w:val="es-419"/>
        </w:rPr>
      </w:pPr>
    </w:p>
    <w:p w:rsidR="00442786" w:rsidRPr="008E38B1" w:rsidRDefault="00D944BE" w:rsidP="00D944BE">
      <w:pPr>
        <w:pStyle w:val="ListParagraph"/>
        <w:ind w:left="0"/>
        <w:rPr>
          <w:i/>
          <w:lang w:val="es-419"/>
        </w:rPr>
      </w:pPr>
      <w:r w:rsidRPr="008E38B1">
        <w:rPr>
          <w:i/>
          <w:lang w:val="es-419"/>
        </w:rPr>
        <w:t>e)</w:t>
      </w:r>
      <w:r w:rsidRPr="008E38B1">
        <w:rPr>
          <w:i/>
          <w:lang w:val="es-419"/>
        </w:rPr>
        <w:tab/>
        <w:t>Grupo de Trabajo Técnico sobre Métodos y Técnicas de Examen (TWM)</w:t>
      </w:r>
    </w:p>
    <w:p w:rsidR="00442786" w:rsidRPr="008E38B1" w:rsidRDefault="00442786" w:rsidP="00EC4678">
      <w:pPr>
        <w:pStyle w:val="ListParagraph"/>
        <w:rPr>
          <w:i/>
          <w:lang w:val="es-419"/>
        </w:rPr>
      </w:pPr>
    </w:p>
    <w:p w:rsidR="00442786" w:rsidRPr="008E38B1" w:rsidRDefault="00D944BE" w:rsidP="00D944BE">
      <w:pPr>
        <w:pStyle w:val="ListParagraph"/>
        <w:numPr>
          <w:ilvl w:val="0"/>
          <w:numId w:val="23"/>
        </w:numPr>
        <w:rPr>
          <w:lang w:val="es-419"/>
        </w:rPr>
      </w:pPr>
      <w:r w:rsidRPr="008E38B1">
        <w:rPr>
          <w:lang w:val="es-419"/>
        </w:rPr>
        <w:t>El TWM se reunirá por vía electrónica en 2022 y evaluará la necesidad de reunirse físicamente en el futuro, en función de la variedad de temas que se traten.</w:t>
      </w:r>
    </w:p>
    <w:p w:rsidR="00442786" w:rsidRPr="008E38B1" w:rsidRDefault="00442786" w:rsidP="000D7942">
      <w:pPr>
        <w:rPr>
          <w:lang w:val="es-419"/>
        </w:rPr>
      </w:pPr>
    </w:p>
    <w:p w:rsidR="00442786" w:rsidRPr="008E38B1" w:rsidRDefault="00AA7839" w:rsidP="009921A5">
      <w:pPr>
        <w:keepNext/>
        <w:rPr>
          <w:rFonts w:cs="Arial"/>
          <w:i/>
          <w:lang w:val="es-419"/>
        </w:rPr>
      </w:pPr>
      <w:r w:rsidRPr="008E38B1">
        <w:rPr>
          <w:rFonts w:cs="Arial"/>
          <w:i/>
          <w:lang w:val="es-419"/>
        </w:rPr>
        <w:t>f)</w:t>
      </w:r>
      <w:r w:rsidRPr="008E38B1">
        <w:rPr>
          <w:rFonts w:cs="Arial"/>
          <w:i/>
          <w:lang w:val="es-419"/>
        </w:rPr>
        <w:tab/>
        <w:t>Presentación de informes y examen de las medidas adoptadas</w:t>
      </w:r>
      <w:r w:rsidR="00004AAD" w:rsidRPr="008E38B1">
        <w:rPr>
          <w:rFonts w:cs="Arial"/>
          <w:i/>
          <w:lang w:val="es-419"/>
        </w:rPr>
        <w:t xml:space="preserve"> </w:t>
      </w:r>
    </w:p>
    <w:p w:rsidR="00442786" w:rsidRPr="008E38B1" w:rsidRDefault="00442786" w:rsidP="009921A5">
      <w:pPr>
        <w:keepNext/>
        <w:rPr>
          <w:rFonts w:cs="Arial"/>
          <w:i/>
          <w:lang w:val="es-419"/>
        </w:rPr>
      </w:pPr>
    </w:p>
    <w:p w:rsidR="00442786" w:rsidRPr="008E38B1" w:rsidRDefault="00004AAD" w:rsidP="009921A5">
      <w:pPr>
        <w:keepNext/>
        <w:rPr>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AA7839" w:rsidRPr="008E38B1">
        <w:rPr>
          <w:lang w:val="es-419"/>
        </w:rPr>
        <w:t>La Oficina de la Unión informaría sobre las medidas adoptadas para que el TC las revise y estudie en su quincuagésima octava sesión.</w:t>
      </w:r>
    </w:p>
    <w:p w:rsidR="00442786" w:rsidRPr="008E38B1" w:rsidRDefault="00442786" w:rsidP="000D7942">
      <w:pPr>
        <w:rPr>
          <w:lang w:val="es-419"/>
        </w:rPr>
      </w:pPr>
    </w:p>
    <w:p w:rsidR="00442786" w:rsidRPr="008E38B1" w:rsidRDefault="000D7942" w:rsidP="00AA7839">
      <w:pPr>
        <w:pStyle w:val="DecisionParagraphs"/>
        <w:rPr>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AA7839" w:rsidRPr="008E38B1">
        <w:rPr>
          <w:lang w:val="es-419"/>
        </w:rPr>
        <w:t xml:space="preserve">Se invita al TC a examinar las posibles medidas para la participación física y virtual </w:t>
      </w:r>
      <w:bookmarkStart w:id="10" w:name="_GoBack"/>
      <w:bookmarkEnd w:id="10"/>
      <w:r w:rsidR="00AA7839" w:rsidRPr="008E38B1">
        <w:rPr>
          <w:lang w:val="es-419"/>
        </w:rPr>
        <w:t>en las reuniones de los TWP, como se indica en los párrafos 11 a 13 del presente documento.</w:t>
      </w:r>
    </w:p>
    <w:p w:rsidR="00442786" w:rsidRPr="008E38B1" w:rsidRDefault="00442786" w:rsidP="00445B73">
      <w:pPr>
        <w:rPr>
          <w:lang w:val="es-419"/>
        </w:rPr>
      </w:pPr>
    </w:p>
    <w:p w:rsidR="00442786" w:rsidRPr="008E38B1" w:rsidRDefault="00442786" w:rsidP="00445B73">
      <w:pPr>
        <w:rPr>
          <w:lang w:val="es-419"/>
        </w:rPr>
      </w:pPr>
    </w:p>
    <w:p w:rsidR="00442786" w:rsidRPr="008E38B1" w:rsidRDefault="00442786" w:rsidP="00445B73">
      <w:pPr>
        <w:rPr>
          <w:lang w:val="es-419"/>
        </w:rPr>
      </w:pPr>
    </w:p>
    <w:p w:rsidR="00442786" w:rsidRPr="008E38B1" w:rsidRDefault="00445B73" w:rsidP="00AA7839">
      <w:pPr>
        <w:jc w:val="right"/>
        <w:rPr>
          <w:lang w:val="es-419"/>
        </w:rPr>
      </w:pPr>
      <w:r w:rsidRPr="008E38B1">
        <w:rPr>
          <w:lang w:val="es-419"/>
        </w:rPr>
        <w:t xml:space="preserve"> </w:t>
      </w:r>
      <w:r w:rsidR="00AA7839" w:rsidRPr="008E38B1">
        <w:rPr>
          <w:lang w:val="es-419"/>
        </w:rPr>
        <w:t>[Siguen los Anexos]</w:t>
      </w:r>
    </w:p>
    <w:p w:rsidR="00442786" w:rsidRPr="008E38B1" w:rsidRDefault="00442786" w:rsidP="00445B73">
      <w:pPr>
        <w:jc w:val="left"/>
        <w:rPr>
          <w:lang w:val="es-419"/>
        </w:rPr>
      </w:pPr>
    </w:p>
    <w:p w:rsidR="00051BB2" w:rsidRPr="008E38B1" w:rsidRDefault="00051BB2" w:rsidP="009B440E">
      <w:pPr>
        <w:jc w:val="left"/>
        <w:rPr>
          <w:lang w:val="es-419"/>
        </w:rPr>
        <w:sectPr w:rsidR="00051BB2" w:rsidRPr="008E38B1" w:rsidSect="00E861B6">
          <w:headerReference w:type="even" r:id="rId9"/>
          <w:headerReference w:type="default" r:id="rId10"/>
          <w:pgSz w:w="11907" w:h="16840" w:code="9"/>
          <w:pgMar w:top="510" w:right="1134" w:bottom="1134" w:left="1134" w:header="510" w:footer="680" w:gutter="0"/>
          <w:pgNumType w:start="1"/>
          <w:cols w:space="720"/>
          <w:titlePg/>
          <w:docGrid w:linePitch="272"/>
        </w:sectPr>
      </w:pPr>
    </w:p>
    <w:p w:rsidR="00442786" w:rsidRPr="008E38B1" w:rsidRDefault="00442786" w:rsidP="00051BB2">
      <w:pPr>
        <w:rPr>
          <w:lang w:val="es-419"/>
        </w:rPr>
      </w:pPr>
    </w:p>
    <w:p w:rsidR="00442786" w:rsidRPr="008E38B1" w:rsidRDefault="00442786" w:rsidP="00051BB2">
      <w:pPr>
        <w:rPr>
          <w:rFonts w:cs="Arial"/>
          <w:lang w:val="es-419"/>
        </w:rPr>
      </w:pPr>
    </w:p>
    <w:p w:rsidR="00442786" w:rsidRPr="008E38B1" w:rsidRDefault="00442786" w:rsidP="00051BB2">
      <w:pPr>
        <w:rPr>
          <w:rFonts w:cs="Arial"/>
          <w:lang w:val="es-419"/>
        </w:rPr>
      </w:pPr>
    </w:p>
    <w:p w:rsidR="00442786" w:rsidRPr="008E38B1" w:rsidRDefault="00B91184" w:rsidP="00B91184">
      <w:pPr>
        <w:jc w:val="center"/>
        <w:rPr>
          <w:rFonts w:cs="Arial"/>
          <w:caps/>
          <w:lang w:val="es-419"/>
        </w:rPr>
      </w:pPr>
      <w:r w:rsidRPr="008E38B1">
        <w:rPr>
          <w:rFonts w:cs="Arial"/>
          <w:caps/>
          <w:lang w:val="es-419"/>
        </w:rPr>
        <w:t>Participación en las reuniones de los TWP de 2021</w:t>
      </w:r>
    </w:p>
    <w:p w:rsidR="00442786" w:rsidRPr="008E38B1" w:rsidRDefault="00442786" w:rsidP="00051BB2">
      <w:pPr>
        <w:rPr>
          <w:rFonts w:cs="Arial"/>
          <w:lang w:val="es-419"/>
        </w:rPr>
      </w:pPr>
    </w:p>
    <w:p w:rsidR="00442786" w:rsidRPr="008E38B1" w:rsidRDefault="00442786" w:rsidP="00051BB2">
      <w:pPr>
        <w:rPr>
          <w:rFonts w:cs="Arial"/>
          <w:lang w:val="es-419"/>
        </w:rPr>
      </w:pPr>
    </w:p>
    <w:p w:rsidR="00442786" w:rsidRPr="008E38B1" w:rsidRDefault="00442786" w:rsidP="00051BB2">
      <w:pPr>
        <w:rPr>
          <w:rFonts w:cs="Arial"/>
          <w:lang w:val="es-419"/>
        </w:rPr>
      </w:pPr>
    </w:p>
    <w:p w:rsidR="00442786" w:rsidRPr="008E38B1" w:rsidRDefault="00B91184" w:rsidP="00B91184">
      <w:pPr>
        <w:keepNext/>
        <w:keepLines/>
        <w:rPr>
          <w:rFonts w:cs="Arial"/>
          <w:lang w:val="es-419"/>
        </w:rPr>
      </w:pPr>
      <w:r w:rsidRPr="008E38B1">
        <w:rPr>
          <w:rFonts w:cs="Arial"/>
          <w:lang w:val="es-419"/>
        </w:rPr>
        <w:t>Cuadro 1: Número total de participantes individuales en los TWP de 2015 a 2021*</w:t>
      </w:r>
    </w:p>
    <w:p w:rsidR="00051BB2" w:rsidRPr="008E38B1" w:rsidRDefault="00051BB2" w:rsidP="00051BB2">
      <w:pPr>
        <w:keepNext/>
        <w:keepLines/>
        <w:rPr>
          <w:rFonts w:cs="Arial"/>
          <w:i/>
          <w:lang w:val="es-419"/>
        </w:rPr>
      </w:pPr>
    </w:p>
    <w:tbl>
      <w:tblPr>
        <w:tblW w:w="9629" w:type="dxa"/>
        <w:tblLook w:val="04A0" w:firstRow="1" w:lastRow="0" w:firstColumn="1" w:lastColumn="0" w:noHBand="0" w:noVBand="1"/>
      </w:tblPr>
      <w:tblGrid>
        <w:gridCol w:w="1980"/>
        <w:gridCol w:w="754"/>
        <w:gridCol w:w="1244"/>
        <w:gridCol w:w="980"/>
        <w:gridCol w:w="1101"/>
        <w:gridCol w:w="1785"/>
        <w:gridCol w:w="1785"/>
      </w:tblGrid>
      <w:tr w:rsidR="006E2982" w:rsidRPr="008E38B1" w:rsidTr="00F53FDD">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TWV</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TWO</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TWA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TWF</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TWC</w:t>
            </w:r>
          </w:p>
        </w:tc>
        <w:tc>
          <w:tcPr>
            <w:tcW w:w="1785" w:type="dxa"/>
            <w:tcBorders>
              <w:top w:val="single" w:sz="4" w:space="0" w:color="auto"/>
              <w:left w:val="nil"/>
              <w:bottom w:val="sing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BMT</w:t>
            </w:r>
          </w:p>
        </w:tc>
      </w:tr>
      <w:tr w:rsidR="006E2982" w:rsidRPr="008E38B1"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2015</w:t>
            </w:r>
          </w:p>
        </w:tc>
        <w:tc>
          <w:tcPr>
            <w:tcW w:w="754"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62</w:t>
            </w:r>
          </w:p>
        </w:tc>
        <w:tc>
          <w:tcPr>
            <w:tcW w:w="1244"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63</w:t>
            </w:r>
          </w:p>
        </w:tc>
        <w:tc>
          <w:tcPr>
            <w:tcW w:w="980"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56</w:t>
            </w:r>
          </w:p>
        </w:tc>
        <w:tc>
          <w:tcPr>
            <w:tcW w:w="1101"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44</w:t>
            </w:r>
          </w:p>
        </w:tc>
        <w:tc>
          <w:tcPr>
            <w:tcW w:w="1785" w:type="dxa"/>
            <w:tcBorders>
              <w:top w:val="nil"/>
              <w:left w:val="single" w:sz="4" w:space="0" w:color="auto"/>
              <w:bottom w:val="sing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18</w:t>
            </w:r>
          </w:p>
        </w:tc>
        <w:tc>
          <w:tcPr>
            <w:tcW w:w="1785" w:type="dxa"/>
            <w:tcBorders>
              <w:top w:val="nil"/>
              <w:left w:val="nil"/>
              <w:bottom w:val="single" w:sz="4" w:space="0" w:color="auto"/>
              <w:right w:val="single" w:sz="4" w:space="0" w:color="auto"/>
            </w:tcBorders>
            <w:shd w:val="clear" w:color="auto" w:fill="auto"/>
            <w:vAlign w:val="center"/>
          </w:tcPr>
          <w:p w:rsidR="006E2982" w:rsidRPr="008E38B1" w:rsidRDefault="00B91184" w:rsidP="00B91184">
            <w:pPr>
              <w:jc w:val="center"/>
              <w:rPr>
                <w:rFonts w:cs="Arial"/>
                <w:color w:val="000000"/>
                <w:lang w:val="es-419"/>
              </w:rPr>
            </w:pPr>
            <w:r w:rsidRPr="008E38B1">
              <w:rPr>
                <w:rFonts w:cs="Arial"/>
                <w:color w:val="000000"/>
                <w:lang w:val="es-419"/>
              </w:rPr>
              <w:t>sin reunión</w:t>
            </w:r>
          </w:p>
        </w:tc>
      </w:tr>
      <w:tr w:rsidR="006E2982" w:rsidRPr="008E38B1"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2016</w:t>
            </w:r>
          </w:p>
        </w:tc>
        <w:tc>
          <w:tcPr>
            <w:tcW w:w="754"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45</w:t>
            </w:r>
          </w:p>
        </w:tc>
        <w:tc>
          <w:tcPr>
            <w:tcW w:w="1244"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53</w:t>
            </w:r>
          </w:p>
        </w:tc>
        <w:tc>
          <w:tcPr>
            <w:tcW w:w="980"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68</w:t>
            </w:r>
          </w:p>
        </w:tc>
        <w:tc>
          <w:tcPr>
            <w:tcW w:w="1101"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49</w:t>
            </w:r>
          </w:p>
        </w:tc>
        <w:tc>
          <w:tcPr>
            <w:tcW w:w="1785" w:type="dxa"/>
            <w:tcBorders>
              <w:top w:val="nil"/>
              <w:left w:val="single" w:sz="4" w:space="0" w:color="auto"/>
              <w:bottom w:val="sing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34</w:t>
            </w:r>
          </w:p>
        </w:tc>
        <w:tc>
          <w:tcPr>
            <w:tcW w:w="1785" w:type="dxa"/>
            <w:tcBorders>
              <w:top w:val="nil"/>
              <w:left w:val="nil"/>
              <w:bottom w:val="sing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107</w:t>
            </w:r>
          </w:p>
        </w:tc>
      </w:tr>
      <w:tr w:rsidR="006E2982" w:rsidRPr="008E38B1"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2017</w:t>
            </w:r>
          </w:p>
        </w:tc>
        <w:tc>
          <w:tcPr>
            <w:tcW w:w="754"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58</w:t>
            </w:r>
          </w:p>
        </w:tc>
        <w:tc>
          <w:tcPr>
            <w:tcW w:w="1244"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30</w:t>
            </w:r>
          </w:p>
        </w:tc>
        <w:tc>
          <w:tcPr>
            <w:tcW w:w="980"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54</w:t>
            </w:r>
          </w:p>
        </w:tc>
        <w:tc>
          <w:tcPr>
            <w:tcW w:w="1101"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36</w:t>
            </w:r>
          </w:p>
        </w:tc>
        <w:tc>
          <w:tcPr>
            <w:tcW w:w="1785" w:type="dxa"/>
            <w:tcBorders>
              <w:top w:val="nil"/>
              <w:left w:val="single" w:sz="4" w:space="0" w:color="auto"/>
              <w:bottom w:val="sing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31</w:t>
            </w:r>
          </w:p>
        </w:tc>
        <w:tc>
          <w:tcPr>
            <w:tcW w:w="1785" w:type="dxa"/>
            <w:tcBorders>
              <w:top w:val="nil"/>
              <w:left w:val="nil"/>
              <w:bottom w:val="sing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49</w:t>
            </w:r>
          </w:p>
        </w:tc>
      </w:tr>
      <w:tr w:rsidR="006E2982" w:rsidRPr="008E38B1"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2018</w:t>
            </w:r>
          </w:p>
        </w:tc>
        <w:tc>
          <w:tcPr>
            <w:tcW w:w="754"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46</w:t>
            </w:r>
          </w:p>
        </w:tc>
        <w:tc>
          <w:tcPr>
            <w:tcW w:w="1244" w:type="dxa"/>
            <w:tcBorders>
              <w:top w:val="nil"/>
              <w:left w:val="nil"/>
              <w:bottom w:val="single" w:sz="4" w:space="0" w:color="auto"/>
              <w:right w:val="single" w:sz="4" w:space="0" w:color="auto"/>
            </w:tcBorders>
            <w:shd w:val="clear" w:color="auto" w:fill="auto"/>
            <w:vAlign w:val="center"/>
            <w:hideMark/>
          </w:tcPr>
          <w:p w:rsidR="006E2982" w:rsidRPr="008E38B1" w:rsidRDefault="00B91184" w:rsidP="00B91184">
            <w:pPr>
              <w:keepNext/>
              <w:keepLines/>
              <w:jc w:val="center"/>
              <w:rPr>
                <w:rFonts w:cs="Arial"/>
                <w:color w:val="000000"/>
                <w:lang w:val="es-419"/>
              </w:rPr>
            </w:pPr>
            <w:r w:rsidRPr="008E38B1">
              <w:rPr>
                <w:rFonts w:cs="Arial"/>
                <w:color w:val="000000"/>
                <w:lang w:val="es-419"/>
              </w:rPr>
              <w:t>sin reunión</w:t>
            </w:r>
            <w:r w:rsidR="006E2982" w:rsidRPr="008E38B1">
              <w:rPr>
                <w:rFonts w:cs="Arial"/>
                <w:color w:val="000000"/>
                <w:lang w:val="es-419"/>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64</w:t>
            </w:r>
          </w:p>
        </w:tc>
        <w:tc>
          <w:tcPr>
            <w:tcW w:w="1101" w:type="dxa"/>
            <w:tcBorders>
              <w:top w:val="nil"/>
              <w:left w:val="nil"/>
              <w:bottom w:val="sing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40</w:t>
            </w:r>
          </w:p>
        </w:tc>
        <w:tc>
          <w:tcPr>
            <w:tcW w:w="1785" w:type="dxa"/>
            <w:tcBorders>
              <w:top w:val="nil"/>
              <w:left w:val="single" w:sz="4" w:space="0" w:color="auto"/>
              <w:bottom w:val="sing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28</w:t>
            </w:r>
          </w:p>
        </w:tc>
        <w:tc>
          <w:tcPr>
            <w:tcW w:w="1785" w:type="dxa"/>
            <w:tcBorders>
              <w:top w:val="nil"/>
              <w:left w:val="nil"/>
              <w:bottom w:val="sing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55</w:t>
            </w:r>
          </w:p>
        </w:tc>
      </w:tr>
      <w:tr w:rsidR="006E2982" w:rsidRPr="008E38B1" w:rsidTr="00F53FDD">
        <w:trPr>
          <w:trHeight w:val="340"/>
        </w:trPr>
        <w:tc>
          <w:tcPr>
            <w:tcW w:w="1980" w:type="dxa"/>
            <w:tcBorders>
              <w:top w:val="nil"/>
              <w:left w:val="single" w:sz="4" w:space="0" w:color="auto"/>
              <w:bottom w:val="doub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2019</w:t>
            </w:r>
          </w:p>
        </w:tc>
        <w:tc>
          <w:tcPr>
            <w:tcW w:w="754" w:type="dxa"/>
            <w:tcBorders>
              <w:top w:val="nil"/>
              <w:left w:val="nil"/>
              <w:bottom w:val="doub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58</w:t>
            </w:r>
          </w:p>
        </w:tc>
        <w:tc>
          <w:tcPr>
            <w:tcW w:w="1244" w:type="dxa"/>
            <w:tcBorders>
              <w:top w:val="nil"/>
              <w:left w:val="nil"/>
              <w:bottom w:val="doub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28</w:t>
            </w:r>
          </w:p>
        </w:tc>
        <w:tc>
          <w:tcPr>
            <w:tcW w:w="980" w:type="dxa"/>
            <w:tcBorders>
              <w:top w:val="nil"/>
              <w:left w:val="nil"/>
              <w:bottom w:val="doub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42</w:t>
            </w:r>
          </w:p>
        </w:tc>
        <w:tc>
          <w:tcPr>
            <w:tcW w:w="1101" w:type="dxa"/>
            <w:tcBorders>
              <w:top w:val="nil"/>
              <w:left w:val="nil"/>
              <w:bottom w:val="doub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60</w:t>
            </w:r>
          </w:p>
        </w:tc>
        <w:tc>
          <w:tcPr>
            <w:tcW w:w="1785" w:type="dxa"/>
            <w:tcBorders>
              <w:top w:val="nil"/>
              <w:left w:val="single" w:sz="4" w:space="0" w:color="auto"/>
              <w:bottom w:val="doub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44</w:t>
            </w:r>
          </w:p>
        </w:tc>
        <w:tc>
          <w:tcPr>
            <w:tcW w:w="1785" w:type="dxa"/>
            <w:tcBorders>
              <w:top w:val="nil"/>
              <w:left w:val="nil"/>
              <w:bottom w:val="doub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65</w:t>
            </w:r>
          </w:p>
        </w:tc>
      </w:tr>
      <w:tr w:rsidR="00565DBA" w:rsidRPr="008E38B1" w:rsidTr="006B2D32">
        <w:trPr>
          <w:trHeight w:val="340"/>
        </w:trPr>
        <w:tc>
          <w:tcPr>
            <w:tcW w:w="1980" w:type="dxa"/>
            <w:tcBorders>
              <w:top w:val="nil"/>
              <w:left w:val="single" w:sz="4" w:space="0" w:color="auto"/>
              <w:bottom w:val="double" w:sz="6" w:space="0" w:color="auto"/>
              <w:right w:val="single" w:sz="4" w:space="0" w:color="auto"/>
            </w:tcBorders>
            <w:shd w:val="clear" w:color="auto" w:fill="auto"/>
            <w:vAlign w:val="center"/>
            <w:hideMark/>
          </w:tcPr>
          <w:p w:rsidR="00565DBA" w:rsidRPr="008E38B1" w:rsidRDefault="00B91184" w:rsidP="00B91184">
            <w:pPr>
              <w:keepNext/>
              <w:keepLines/>
              <w:jc w:val="center"/>
              <w:rPr>
                <w:rFonts w:cs="Arial"/>
                <w:color w:val="000000"/>
                <w:lang w:val="es-419"/>
              </w:rPr>
            </w:pPr>
            <w:r w:rsidRPr="008E38B1">
              <w:rPr>
                <w:rFonts w:cs="Arial"/>
                <w:color w:val="000000"/>
                <w:lang w:val="es-419"/>
              </w:rPr>
              <w:t>Media 2015-2019</w:t>
            </w:r>
          </w:p>
        </w:tc>
        <w:tc>
          <w:tcPr>
            <w:tcW w:w="754" w:type="dxa"/>
            <w:tcBorders>
              <w:top w:val="nil"/>
              <w:left w:val="nil"/>
              <w:bottom w:val="double" w:sz="6" w:space="0" w:color="auto"/>
              <w:right w:val="single" w:sz="4" w:space="0" w:color="auto"/>
            </w:tcBorders>
            <w:shd w:val="clear" w:color="auto" w:fill="auto"/>
            <w:vAlign w:val="center"/>
            <w:hideMark/>
          </w:tcPr>
          <w:p w:rsidR="00565DBA" w:rsidRPr="008E38B1" w:rsidRDefault="00565DBA" w:rsidP="006B2D32">
            <w:pPr>
              <w:keepNext/>
              <w:keepLines/>
              <w:jc w:val="center"/>
              <w:rPr>
                <w:rFonts w:cs="Arial"/>
                <w:color w:val="000000"/>
                <w:lang w:val="es-419"/>
              </w:rPr>
            </w:pPr>
            <w:r w:rsidRPr="008E38B1">
              <w:rPr>
                <w:rFonts w:cs="Arial"/>
                <w:color w:val="000000"/>
                <w:lang w:val="es-419"/>
              </w:rPr>
              <w:t>58</w:t>
            </w:r>
          </w:p>
        </w:tc>
        <w:tc>
          <w:tcPr>
            <w:tcW w:w="1244" w:type="dxa"/>
            <w:tcBorders>
              <w:top w:val="nil"/>
              <w:left w:val="nil"/>
              <w:bottom w:val="double" w:sz="6" w:space="0" w:color="auto"/>
              <w:right w:val="single" w:sz="4" w:space="0" w:color="auto"/>
            </w:tcBorders>
            <w:shd w:val="clear" w:color="auto" w:fill="auto"/>
            <w:vAlign w:val="center"/>
            <w:hideMark/>
          </w:tcPr>
          <w:p w:rsidR="00565DBA" w:rsidRPr="008E38B1" w:rsidRDefault="00565DBA" w:rsidP="006B2D32">
            <w:pPr>
              <w:keepNext/>
              <w:keepLines/>
              <w:jc w:val="center"/>
              <w:rPr>
                <w:rFonts w:cs="Arial"/>
                <w:color w:val="000000"/>
                <w:lang w:val="es-419"/>
              </w:rPr>
            </w:pPr>
            <w:r w:rsidRPr="008E38B1">
              <w:rPr>
                <w:rFonts w:cs="Arial"/>
                <w:color w:val="000000"/>
                <w:lang w:val="es-419"/>
              </w:rPr>
              <w:t>39</w:t>
            </w:r>
          </w:p>
        </w:tc>
        <w:tc>
          <w:tcPr>
            <w:tcW w:w="980" w:type="dxa"/>
            <w:tcBorders>
              <w:top w:val="nil"/>
              <w:left w:val="nil"/>
              <w:bottom w:val="double" w:sz="6" w:space="0" w:color="auto"/>
              <w:right w:val="single" w:sz="4" w:space="0" w:color="auto"/>
            </w:tcBorders>
            <w:shd w:val="clear" w:color="auto" w:fill="auto"/>
            <w:vAlign w:val="center"/>
            <w:hideMark/>
          </w:tcPr>
          <w:p w:rsidR="00565DBA" w:rsidRPr="008E38B1" w:rsidRDefault="00565DBA" w:rsidP="006B2D32">
            <w:pPr>
              <w:keepNext/>
              <w:keepLines/>
              <w:jc w:val="center"/>
              <w:rPr>
                <w:rFonts w:cs="Arial"/>
                <w:color w:val="000000"/>
                <w:lang w:val="es-419"/>
              </w:rPr>
            </w:pPr>
            <w:r w:rsidRPr="008E38B1">
              <w:rPr>
                <w:rFonts w:cs="Arial"/>
                <w:color w:val="000000"/>
                <w:lang w:val="es-419"/>
              </w:rPr>
              <w:t>63</w:t>
            </w:r>
          </w:p>
        </w:tc>
        <w:tc>
          <w:tcPr>
            <w:tcW w:w="1101" w:type="dxa"/>
            <w:tcBorders>
              <w:top w:val="nil"/>
              <w:left w:val="nil"/>
              <w:bottom w:val="double" w:sz="4" w:space="0" w:color="auto"/>
              <w:right w:val="single" w:sz="4" w:space="0" w:color="auto"/>
            </w:tcBorders>
            <w:shd w:val="clear" w:color="auto" w:fill="auto"/>
            <w:vAlign w:val="center"/>
            <w:hideMark/>
          </w:tcPr>
          <w:p w:rsidR="00565DBA" w:rsidRPr="008E38B1" w:rsidRDefault="00565DBA" w:rsidP="006B2D32">
            <w:pPr>
              <w:keepNext/>
              <w:keepLines/>
              <w:jc w:val="center"/>
              <w:rPr>
                <w:rFonts w:cs="Arial"/>
                <w:color w:val="000000"/>
                <w:lang w:val="es-419"/>
              </w:rPr>
            </w:pPr>
            <w:r w:rsidRPr="008E38B1">
              <w:rPr>
                <w:rFonts w:cs="Arial"/>
                <w:color w:val="000000"/>
                <w:lang w:val="es-419"/>
              </w:rPr>
              <w:t>55</w:t>
            </w:r>
          </w:p>
        </w:tc>
        <w:tc>
          <w:tcPr>
            <w:tcW w:w="1785" w:type="dxa"/>
            <w:tcBorders>
              <w:top w:val="nil"/>
              <w:left w:val="single" w:sz="4" w:space="0" w:color="auto"/>
              <w:bottom w:val="double" w:sz="4" w:space="0" w:color="auto"/>
              <w:right w:val="single" w:sz="4" w:space="0" w:color="auto"/>
            </w:tcBorders>
            <w:shd w:val="clear" w:color="auto" w:fill="auto"/>
            <w:vAlign w:val="center"/>
          </w:tcPr>
          <w:p w:rsidR="00565DBA" w:rsidRPr="008E38B1" w:rsidRDefault="00565DBA" w:rsidP="006B2D32">
            <w:pPr>
              <w:keepNext/>
              <w:keepLines/>
              <w:jc w:val="center"/>
              <w:rPr>
                <w:rFonts w:cs="Arial"/>
                <w:color w:val="000000"/>
                <w:lang w:val="es-419"/>
              </w:rPr>
            </w:pPr>
            <w:r w:rsidRPr="008E38B1">
              <w:rPr>
                <w:rFonts w:cs="Arial"/>
                <w:color w:val="000000"/>
                <w:lang w:val="es-419"/>
              </w:rPr>
              <w:t>33</w:t>
            </w:r>
          </w:p>
        </w:tc>
        <w:tc>
          <w:tcPr>
            <w:tcW w:w="1785" w:type="dxa"/>
            <w:tcBorders>
              <w:top w:val="nil"/>
              <w:left w:val="nil"/>
              <w:bottom w:val="double" w:sz="4" w:space="0" w:color="auto"/>
              <w:right w:val="single" w:sz="4" w:space="0" w:color="auto"/>
            </w:tcBorders>
            <w:shd w:val="clear" w:color="auto" w:fill="auto"/>
            <w:vAlign w:val="center"/>
          </w:tcPr>
          <w:p w:rsidR="00565DBA" w:rsidRPr="008E38B1" w:rsidRDefault="00565DBA" w:rsidP="006B2D32">
            <w:pPr>
              <w:keepNext/>
              <w:keepLines/>
              <w:jc w:val="center"/>
              <w:rPr>
                <w:rFonts w:cs="Arial"/>
                <w:color w:val="000000"/>
                <w:lang w:val="es-419"/>
              </w:rPr>
            </w:pPr>
            <w:r w:rsidRPr="008E38B1">
              <w:rPr>
                <w:rFonts w:cs="Arial"/>
                <w:color w:val="000000"/>
                <w:lang w:val="es-419"/>
              </w:rPr>
              <w:t>66</w:t>
            </w:r>
          </w:p>
        </w:tc>
      </w:tr>
      <w:tr w:rsidR="006E2982" w:rsidRPr="008E38B1" w:rsidTr="00F53FDD">
        <w:trPr>
          <w:trHeight w:val="340"/>
        </w:trPr>
        <w:tc>
          <w:tcPr>
            <w:tcW w:w="1980" w:type="dxa"/>
            <w:tcBorders>
              <w:top w:val="double" w:sz="4" w:space="0" w:color="auto"/>
              <w:left w:val="single" w:sz="4" w:space="0" w:color="auto"/>
              <w:bottom w:val="double" w:sz="6" w:space="0" w:color="auto"/>
              <w:right w:val="single" w:sz="4" w:space="0" w:color="auto"/>
            </w:tcBorders>
            <w:shd w:val="clear" w:color="auto" w:fill="auto"/>
            <w:vAlign w:val="center"/>
            <w:hideMark/>
          </w:tcPr>
          <w:p w:rsidR="006E2982" w:rsidRPr="008E38B1" w:rsidRDefault="00B91184" w:rsidP="00B91184">
            <w:pPr>
              <w:keepNext/>
              <w:keepLines/>
              <w:jc w:val="center"/>
              <w:rPr>
                <w:rFonts w:cs="Arial"/>
                <w:color w:val="000000"/>
                <w:lang w:val="es-419"/>
              </w:rPr>
            </w:pPr>
            <w:r w:rsidRPr="008E38B1">
              <w:rPr>
                <w:rFonts w:cs="Arial"/>
                <w:color w:val="000000"/>
                <w:lang w:val="es-419"/>
              </w:rPr>
              <w:t>2020 (virtual)</w:t>
            </w:r>
          </w:p>
        </w:tc>
        <w:tc>
          <w:tcPr>
            <w:tcW w:w="754" w:type="dxa"/>
            <w:tcBorders>
              <w:top w:val="double" w:sz="4" w:space="0" w:color="auto"/>
              <w:left w:val="nil"/>
              <w:bottom w:val="double" w:sz="6"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81</w:t>
            </w:r>
          </w:p>
        </w:tc>
        <w:tc>
          <w:tcPr>
            <w:tcW w:w="1244" w:type="dxa"/>
            <w:tcBorders>
              <w:top w:val="double" w:sz="4" w:space="0" w:color="auto"/>
              <w:left w:val="nil"/>
              <w:bottom w:val="double" w:sz="6"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59</w:t>
            </w:r>
          </w:p>
        </w:tc>
        <w:tc>
          <w:tcPr>
            <w:tcW w:w="980" w:type="dxa"/>
            <w:tcBorders>
              <w:top w:val="double" w:sz="4" w:space="0" w:color="auto"/>
              <w:left w:val="nil"/>
              <w:bottom w:val="double" w:sz="6"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96</w:t>
            </w:r>
          </w:p>
        </w:tc>
        <w:tc>
          <w:tcPr>
            <w:tcW w:w="1101" w:type="dxa"/>
            <w:tcBorders>
              <w:top w:val="double" w:sz="4" w:space="0" w:color="auto"/>
              <w:left w:val="nil"/>
              <w:bottom w:val="doub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101</w:t>
            </w:r>
          </w:p>
        </w:tc>
        <w:tc>
          <w:tcPr>
            <w:tcW w:w="1785" w:type="dxa"/>
            <w:tcBorders>
              <w:top w:val="double" w:sz="4" w:space="0" w:color="auto"/>
              <w:left w:val="single" w:sz="4" w:space="0" w:color="auto"/>
              <w:bottom w:val="doub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44</w:t>
            </w:r>
          </w:p>
        </w:tc>
        <w:tc>
          <w:tcPr>
            <w:tcW w:w="1785" w:type="dxa"/>
            <w:tcBorders>
              <w:top w:val="double" w:sz="4" w:space="0" w:color="auto"/>
              <w:left w:val="nil"/>
              <w:bottom w:val="double" w:sz="4" w:space="0" w:color="auto"/>
              <w:right w:val="single" w:sz="4" w:space="0" w:color="auto"/>
            </w:tcBorders>
            <w:shd w:val="clear" w:color="auto" w:fill="auto"/>
            <w:vAlign w:val="center"/>
          </w:tcPr>
          <w:p w:rsidR="006E2982" w:rsidRPr="008E38B1" w:rsidRDefault="006E2982" w:rsidP="006E2982">
            <w:pPr>
              <w:jc w:val="center"/>
              <w:rPr>
                <w:rFonts w:cs="Arial"/>
                <w:color w:val="000000"/>
                <w:lang w:val="es-419"/>
              </w:rPr>
            </w:pPr>
            <w:r w:rsidRPr="008E38B1">
              <w:rPr>
                <w:rFonts w:cs="Arial"/>
                <w:color w:val="000000"/>
                <w:lang w:val="es-419"/>
              </w:rPr>
              <w:t>119</w:t>
            </w:r>
          </w:p>
        </w:tc>
      </w:tr>
      <w:tr w:rsidR="006E2982" w:rsidRPr="008E38B1" w:rsidTr="00F53FDD">
        <w:trPr>
          <w:trHeight w:val="340"/>
        </w:trPr>
        <w:tc>
          <w:tcPr>
            <w:tcW w:w="1980" w:type="dxa"/>
            <w:tcBorders>
              <w:top w:val="nil"/>
              <w:left w:val="single" w:sz="4" w:space="0" w:color="auto"/>
              <w:bottom w:val="double" w:sz="6" w:space="0" w:color="auto"/>
              <w:right w:val="single" w:sz="4" w:space="0" w:color="auto"/>
            </w:tcBorders>
            <w:shd w:val="clear" w:color="auto" w:fill="auto"/>
            <w:vAlign w:val="center"/>
            <w:hideMark/>
          </w:tcPr>
          <w:p w:rsidR="006E2982" w:rsidRPr="008E38B1" w:rsidRDefault="00B91184" w:rsidP="00B91184">
            <w:pPr>
              <w:keepNext/>
              <w:keepLines/>
              <w:jc w:val="center"/>
              <w:rPr>
                <w:rFonts w:cs="Arial"/>
                <w:color w:val="000000"/>
                <w:lang w:val="es-419"/>
              </w:rPr>
            </w:pPr>
            <w:r w:rsidRPr="008E38B1">
              <w:rPr>
                <w:rFonts w:cs="Arial"/>
                <w:color w:val="000000"/>
                <w:lang w:val="es-419"/>
              </w:rPr>
              <w:t>2021 (virtual)</w:t>
            </w:r>
          </w:p>
        </w:tc>
        <w:tc>
          <w:tcPr>
            <w:tcW w:w="754" w:type="dxa"/>
            <w:tcBorders>
              <w:top w:val="nil"/>
              <w:left w:val="nil"/>
              <w:bottom w:val="double" w:sz="6"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100</w:t>
            </w:r>
          </w:p>
        </w:tc>
        <w:tc>
          <w:tcPr>
            <w:tcW w:w="1244" w:type="dxa"/>
            <w:tcBorders>
              <w:top w:val="nil"/>
              <w:left w:val="nil"/>
              <w:bottom w:val="double" w:sz="6"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96</w:t>
            </w:r>
          </w:p>
        </w:tc>
        <w:tc>
          <w:tcPr>
            <w:tcW w:w="980" w:type="dxa"/>
            <w:tcBorders>
              <w:top w:val="nil"/>
              <w:left w:val="nil"/>
              <w:bottom w:val="double" w:sz="6"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142</w:t>
            </w:r>
          </w:p>
        </w:tc>
        <w:tc>
          <w:tcPr>
            <w:tcW w:w="1101" w:type="dxa"/>
            <w:tcBorders>
              <w:top w:val="nil"/>
              <w:left w:val="nil"/>
              <w:bottom w:val="double" w:sz="4" w:space="0" w:color="auto"/>
              <w:right w:val="single" w:sz="4" w:space="0" w:color="auto"/>
            </w:tcBorders>
            <w:shd w:val="clear" w:color="auto" w:fill="auto"/>
            <w:vAlign w:val="center"/>
            <w:hideMark/>
          </w:tcPr>
          <w:p w:rsidR="006E2982" w:rsidRPr="008E38B1" w:rsidRDefault="006E2982" w:rsidP="006E2982">
            <w:pPr>
              <w:keepNext/>
              <w:keepLines/>
              <w:jc w:val="center"/>
              <w:rPr>
                <w:rFonts w:cs="Arial"/>
                <w:color w:val="000000"/>
                <w:lang w:val="es-419"/>
              </w:rPr>
            </w:pPr>
            <w:r w:rsidRPr="008E38B1">
              <w:rPr>
                <w:rFonts w:cs="Arial"/>
                <w:color w:val="000000"/>
                <w:lang w:val="es-419"/>
              </w:rPr>
              <w:t>109</w:t>
            </w:r>
          </w:p>
        </w:tc>
        <w:tc>
          <w:tcPr>
            <w:tcW w:w="1785" w:type="dxa"/>
            <w:tcBorders>
              <w:top w:val="nil"/>
              <w:left w:val="single" w:sz="4" w:space="0" w:color="auto"/>
              <w:bottom w:val="double" w:sz="4" w:space="0" w:color="auto"/>
              <w:right w:val="single" w:sz="4" w:space="0" w:color="auto"/>
            </w:tcBorders>
            <w:shd w:val="clear" w:color="auto" w:fill="auto"/>
            <w:vAlign w:val="center"/>
          </w:tcPr>
          <w:p w:rsidR="006E2982" w:rsidRPr="008E38B1" w:rsidRDefault="00035942" w:rsidP="006E2982">
            <w:pPr>
              <w:keepNext/>
              <w:keepLines/>
              <w:jc w:val="center"/>
              <w:rPr>
                <w:rFonts w:cs="Arial"/>
                <w:color w:val="000000"/>
                <w:lang w:val="es-419"/>
              </w:rPr>
            </w:pPr>
            <w:r w:rsidRPr="008E38B1">
              <w:rPr>
                <w:rFonts w:cs="Arial"/>
                <w:color w:val="000000"/>
                <w:lang w:val="es-419"/>
              </w:rPr>
              <w:t>54</w:t>
            </w:r>
          </w:p>
        </w:tc>
        <w:tc>
          <w:tcPr>
            <w:tcW w:w="1785" w:type="dxa"/>
            <w:tcBorders>
              <w:top w:val="nil"/>
              <w:left w:val="nil"/>
              <w:bottom w:val="double" w:sz="4" w:space="0" w:color="auto"/>
              <w:right w:val="single" w:sz="4" w:space="0" w:color="auto"/>
            </w:tcBorders>
            <w:shd w:val="clear" w:color="auto" w:fill="auto"/>
            <w:vAlign w:val="center"/>
          </w:tcPr>
          <w:p w:rsidR="006E2982" w:rsidRPr="008E38B1" w:rsidRDefault="00035942" w:rsidP="006E2982">
            <w:pPr>
              <w:keepNext/>
              <w:keepLines/>
              <w:jc w:val="center"/>
              <w:rPr>
                <w:rFonts w:cs="Arial"/>
                <w:color w:val="000000"/>
                <w:lang w:val="es-419"/>
              </w:rPr>
            </w:pPr>
            <w:r w:rsidRPr="008E38B1">
              <w:rPr>
                <w:rFonts w:cs="Arial"/>
                <w:color w:val="000000"/>
                <w:lang w:val="es-419"/>
              </w:rPr>
              <w:t>116</w:t>
            </w:r>
          </w:p>
        </w:tc>
      </w:tr>
      <w:tr w:rsidR="00F53FDD" w:rsidRPr="008E38B1"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53FDD" w:rsidRPr="008E38B1" w:rsidRDefault="00B91184" w:rsidP="00B91184">
            <w:pPr>
              <w:keepNext/>
              <w:keepLines/>
              <w:jc w:val="center"/>
              <w:rPr>
                <w:rFonts w:cs="Arial"/>
                <w:color w:val="000000"/>
                <w:lang w:val="es-419"/>
              </w:rPr>
            </w:pPr>
            <w:r w:rsidRPr="008E38B1">
              <w:rPr>
                <w:rFonts w:cs="Arial"/>
                <w:color w:val="000000"/>
                <w:lang w:val="es-419"/>
              </w:rPr>
              <w:t>Variación (%)**</w:t>
            </w:r>
          </w:p>
        </w:tc>
        <w:tc>
          <w:tcPr>
            <w:tcW w:w="754" w:type="dxa"/>
            <w:tcBorders>
              <w:top w:val="nil"/>
              <w:left w:val="nil"/>
              <w:bottom w:val="single" w:sz="4" w:space="0" w:color="auto"/>
              <w:right w:val="single" w:sz="4" w:space="0" w:color="auto"/>
            </w:tcBorders>
            <w:shd w:val="clear" w:color="auto" w:fill="auto"/>
            <w:vAlign w:val="center"/>
            <w:hideMark/>
          </w:tcPr>
          <w:p w:rsidR="00F53FDD" w:rsidRPr="008E38B1" w:rsidRDefault="00F53FDD" w:rsidP="00F53FDD">
            <w:pPr>
              <w:jc w:val="center"/>
              <w:rPr>
                <w:rFonts w:cs="Arial"/>
                <w:color w:val="000000"/>
                <w:lang w:val="es-419"/>
              </w:rPr>
            </w:pPr>
            <w:r w:rsidRPr="008E38B1">
              <w:rPr>
                <w:rFonts w:cs="Arial"/>
                <w:color w:val="000000"/>
                <w:lang w:val="es-419"/>
              </w:rPr>
              <w:t>+86%</w:t>
            </w:r>
          </w:p>
        </w:tc>
        <w:tc>
          <w:tcPr>
            <w:tcW w:w="1244" w:type="dxa"/>
            <w:tcBorders>
              <w:top w:val="nil"/>
              <w:left w:val="nil"/>
              <w:bottom w:val="single" w:sz="4" w:space="0" w:color="auto"/>
              <w:right w:val="single" w:sz="4" w:space="0" w:color="auto"/>
            </w:tcBorders>
            <w:shd w:val="clear" w:color="auto" w:fill="auto"/>
            <w:vAlign w:val="center"/>
            <w:hideMark/>
          </w:tcPr>
          <w:p w:rsidR="00F53FDD" w:rsidRPr="008E38B1" w:rsidRDefault="00F53FDD" w:rsidP="00F53FDD">
            <w:pPr>
              <w:jc w:val="center"/>
              <w:rPr>
                <w:rFonts w:cs="Arial"/>
                <w:color w:val="000000"/>
                <w:lang w:val="es-419"/>
              </w:rPr>
            </w:pPr>
            <w:r w:rsidRPr="008E38B1">
              <w:rPr>
                <w:rFonts w:cs="Arial"/>
                <w:color w:val="000000"/>
                <w:lang w:val="es-419"/>
              </w:rPr>
              <w:t>+176%</w:t>
            </w:r>
          </w:p>
        </w:tc>
        <w:tc>
          <w:tcPr>
            <w:tcW w:w="980" w:type="dxa"/>
            <w:tcBorders>
              <w:top w:val="nil"/>
              <w:left w:val="nil"/>
              <w:bottom w:val="single" w:sz="4" w:space="0" w:color="auto"/>
              <w:right w:val="single" w:sz="4" w:space="0" w:color="auto"/>
            </w:tcBorders>
            <w:shd w:val="clear" w:color="auto" w:fill="auto"/>
            <w:vAlign w:val="center"/>
            <w:hideMark/>
          </w:tcPr>
          <w:p w:rsidR="00F53FDD" w:rsidRPr="008E38B1" w:rsidRDefault="00F53FDD" w:rsidP="00F53FDD">
            <w:pPr>
              <w:jc w:val="center"/>
              <w:rPr>
                <w:rFonts w:cs="Arial"/>
                <w:color w:val="000000"/>
                <w:lang w:val="es-419"/>
              </w:rPr>
            </w:pPr>
            <w:r w:rsidRPr="008E38B1">
              <w:rPr>
                <w:rFonts w:cs="Arial"/>
                <w:color w:val="000000"/>
                <w:lang w:val="es-419"/>
              </w:rPr>
              <w:t>+150%</w:t>
            </w:r>
          </w:p>
        </w:tc>
        <w:tc>
          <w:tcPr>
            <w:tcW w:w="1101" w:type="dxa"/>
            <w:tcBorders>
              <w:top w:val="nil"/>
              <w:left w:val="nil"/>
              <w:bottom w:val="single" w:sz="4" w:space="0" w:color="auto"/>
              <w:right w:val="single" w:sz="4" w:space="0" w:color="auto"/>
            </w:tcBorders>
            <w:shd w:val="clear" w:color="auto" w:fill="auto"/>
            <w:vAlign w:val="center"/>
            <w:hideMark/>
          </w:tcPr>
          <w:p w:rsidR="00F53FDD" w:rsidRPr="008E38B1" w:rsidRDefault="00F53FDD" w:rsidP="00F53FDD">
            <w:pPr>
              <w:jc w:val="center"/>
              <w:rPr>
                <w:rFonts w:cs="Arial"/>
                <w:color w:val="000000"/>
                <w:lang w:val="es-419"/>
              </w:rPr>
            </w:pPr>
            <w:r w:rsidRPr="008E38B1">
              <w:rPr>
                <w:rFonts w:cs="Arial"/>
                <w:color w:val="000000"/>
                <w:lang w:val="es-419"/>
              </w:rPr>
              <w:t>+138%</w:t>
            </w:r>
          </w:p>
        </w:tc>
        <w:tc>
          <w:tcPr>
            <w:tcW w:w="1785" w:type="dxa"/>
            <w:tcBorders>
              <w:top w:val="nil"/>
              <w:left w:val="single" w:sz="4" w:space="0" w:color="auto"/>
              <w:bottom w:val="single" w:sz="4" w:space="0" w:color="auto"/>
              <w:right w:val="single" w:sz="4" w:space="0" w:color="auto"/>
            </w:tcBorders>
            <w:shd w:val="clear" w:color="auto" w:fill="auto"/>
            <w:vAlign w:val="center"/>
          </w:tcPr>
          <w:p w:rsidR="00F53FDD" w:rsidRPr="008E38B1" w:rsidRDefault="00404D98" w:rsidP="00F53FDD">
            <w:pPr>
              <w:jc w:val="center"/>
              <w:rPr>
                <w:rFonts w:cs="Arial"/>
                <w:color w:val="000000"/>
                <w:lang w:val="es-419"/>
              </w:rPr>
            </w:pPr>
            <w:r w:rsidRPr="008E38B1">
              <w:rPr>
                <w:rFonts w:cs="Arial"/>
                <w:color w:val="000000"/>
                <w:lang w:val="es-419"/>
              </w:rPr>
              <w:t>+74%</w:t>
            </w:r>
          </w:p>
        </w:tc>
        <w:tc>
          <w:tcPr>
            <w:tcW w:w="1785" w:type="dxa"/>
            <w:tcBorders>
              <w:top w:val="nil"/>
              <w:left w:val="nil"/>
              <w:bottom w:val="single" w:sz="4" w:space="0" w:color="auto"/>
              <w:right w:val="single" w:sz="4" w:space="0" w:color="auto"/>
            </w:tcBorders>
            <w:shd w:val="clear" w:color="auto" w:fill="auto"/>
            <w:vAlign w:val="center"/>
          </w:tcPr>
          <w:p w:rsidR="00F53FDD" w:rsidRPr="008E38B1" w:rsidRDefault="00404D98" w:rsidP="00F53FDD">
            <w:pPr>
              <w:jc w:val="center"/>
              <w:rPr>
                <w:rFonts w:cs="Arial"/>
                <w:color w:val="000000"/>
                <w:lang w:val="es-419"/>
              </w:rPr>
            </w:pPr>
            <w:r w:rsidRPr="008E38B1">
              <w:rPr>
                <w:rFonts w:cs="Arial"/>
                <w:color w:val="000000"/>
                <w:lang w:val="es-419"/>
              </w:rPr>
              <w:t>+110%</w:t>
            </w:r>
          </w:p>
        </w:tc>
      </w:tr>
    </w:tbl>
    <w:p w:rsidR="00442786" w:rsidRPr="008E38B1" w:rsidRDefault="00B91184" w:rsidP="00B91184">
      <w:pPr>
        <w:keepNext/>
        <w:keepLines/>
        <w:rPr>
          <w:rFonts w:cs="Arial"/>
          <w:i/>
          <w:lang w:val="es-419"/>
        </w:rPr>
      </w:pPr>
      <w:r w:rsidRPr="008E38B1">
        <w:rPr>
          <w:rFonts w:cs="Arial"/>
          <w:i/>
          <w:lang w:val="es-419"/>
        </w:rPr>
        <w:t>* Incluye el número total de participantes de los miembros de la Unión y los observadores.</w:t>
      </w:r>
      <w:r w:rsidR="00301714" w:rsidRPr="008E38B1">
        <w:rPr>
          <w:rFonts w:cs="Arial"/>
          <w:i/>
          <w:lang w:val="es-419"/>
        </w:rPr>
        <w:t xml:space="preserve"> </w:t>
      </w:r>
    </w:p>
    <w:p w:rsidR="00442786" w:rsidRPr="008E38B1" w:rsidRDefault="00B91184" w:rsidP="00B91184">
      <w:pPr>
        <w:rPr>
          <w:rFonts w:cs="Arial"/>
          <w:i/>
          <w:lang w:val="es-419"/>
        </w:rPr>
      </w:pPr>
      <w:r w:rsidRPr="008E38B1">
        <w:rPr>
          <w:rFonts w:cs="Arial"/>
          <w:i/>
          <w:lang w:val="es-419"/>
        </w:rPr>
        <w:t>** Variación (%) entre 2021 y la media de 2015 a 2019.</w:t>
      </w:r>
      <w:r w:rsidR="00565DBA" w:rsidRPr="008E38B1">
        <w:rPr>
          <w:rFonts w:cs="Arial"/>
          <w:i/>
          <w:lang w:val="es-419"/>
        </w:rPr>
        <w:t xml:space="preserve"> </w:t>
      </w:r>
    </w:p>
    <w:p w:rsidR="00442786" w:rsidRPr="008E38B1" w:rsidRDefault="00442786" w:rsidP="00051BB2">
      <w:pPr>
        <w:rPr>
          <w:rFonts w:cs="Arial"/>
          <w:i/>
          <w:lang w:val="es-419"/>
        </w:rPr>
      </w:pPr>
    </w:p>
    <w:p w:rsidR="00442786" w:rsidRPr="008E38B1" w:rsidRDefault="00442786" w:rsidP="00051BB2">
      <w:pPr>
        <w:rPr>
          <w:i/>
          <w:sz w:val="18"/>
          <w:lang w:val="es-419"/>
        </w:rPr>
      </w:pPr>
    </w:p>
    <w:p w:rsidR="00442786" w:rsidRPr="008E38B1" w:rsidRDefault="00442786" w:rsidP="00051BB2">
      <w:pPr>
        <w:rPr>
          <w:i/>
          <w:sz w:val="18"/>
          <w:lang w:val="es-419"/>
        </w:rPr>
      </w:pPr>
    </w:p>
    <w:p w:rsidR="00442786" w:rsidRPr="008E38B1" w:rsidRDefault="00442786" w:rsidP="00051BB2">
      <w:pPr>
        <w:jc w:val="center"/>
        <w:rPr>
          <w:i/>
          <w:sz w:val="18"/>
          <w:lang w:val="es-419"/>
        </w:rPr>
      </w:pPr>
    </w:p>
    <w:p w:rsidR="00442786" w:rsidRPr="008E38B1" w:rsidRDefault="00442786" w:rsidP="00051BB2">
      <w:pPr>
        <w:rPr>
          <w:i/>
          <w:sz w:val="18"/>
          <w:lang w:val="es-419"/>
        </w:rPr>
      </w:pPr>
    </w:p>
    <w:p w:rsidR="00442786" w:rsidRPr="008E38B1" w:rsidRDefault="003D6F3C" w:rsidP="00051BB2">
      <w:pPr>
        <w:rPr>
          <w:i/>
          <w:sz w:val="18"/>
          <w:lang w:val="es-419"/>
        </w:rPr>
      </w:pPr>
      <w:r w:rsidRPr="008E38B1">
        <w:rPr>
          <w:noProof/>
        </w:rPr>
        <w:drawing>
          <wp:inline distT="0" distB="0" distL="0" distR="0" wp14:anchorId="6F60BDEF" wp14:editId="4CFB0BE9">
            <wp:extent cx="6114553" cy="4214495"/>
            <wp:effectExtent l="0" t="0" r="63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2786" w:rsidRPr="008E38B1" w:rsidRDefault="00442786" w:rsidP="00051BB2">
      <w:pPr>
        <w:rPr>
          <w:i/>
          <w:sz w:val="18"/>
          <w:lang w:val="es-419"/>
        </w:rPr>
      </w:pPr>
    </w:p>
    <w:p w:rsidR="00442786" w:rsidRPr="008E38B1" w:rsidRDefault="00442786" w:rsidP="00051BB2">
      <w:pPr>
        <w:rPr>
          <w:i/>
          <w:sz w:val="18"/>
          <w:lang w:val="es-419"/>
        </w:rPr>
      </w:pPr>
    </w:p>
    <w:p w:rsidR="00442786" w:rsidRPr="008E38B1" w:rsidRDefault="00442786" w:rsidP="00051BB2">
      <w:pPr>
        <w:rPr>
          <w:i/>
          <w:sz w:val="18"/>
          <w:lang w:val="es-419"/>
        </w:rPr>
      </w:pPr>
    </w:p>
    <w:p w:rsidR="00442786" w:rsidRPr="008E38B1" w:rsidRDefault="00442786" w:rsidP="00051BB2">
      <w:pPr>
        <w:rPr>
          <w:i/>
          <w:sz w:val="18"/>
          <w:lang w:val="es-419"/>
        </w:rPr>
      </w:pPr>
    </w:p>
    <w:p w:rsidR="00442786" w:rsidRPr="008E38B1" w:rsidRDefault="00B91184" w:rsidP="00B91184">
      <w:pPr>
        <w:keepNext/>
        <w:jc w:val="left"/>
        <w:rPr>
          <w:rFonts w:cs="Arial"/>
          <w:lang w:val="es-419"/>
        </w:rPr>
      </w:pPr>
      <w:r w:rsidRPr="008E38B1">
        <w:rPr>
          <w:rFonts w:cs="Arial"/>
          <w:lang w:val="es-419"/>
        </w:rPr>
        <w:t xml:space="preserve">Cuadro 2: Número total de </w:t>
      </w:r>
      <w:r w:rsidRPr="008E38B1">
        <w:rPr>
          <w:rFonts w:cs="Arial"/>
          <w:u w:val="single"/>
          <w:lang w:val="es-419"/>
        </w:rPr>
        <w:t>miembros</w:t>
      </w:r>
      <w:r w:rsidRPr="008E38B1">
        <w:rPr>
          <w:rFonts w:cs="Arial"/>
          <w:lang w:val="es-419"/>
        </w:rPr>
        <w:t xml:space="preserve"> de la Unión representados en los TWP de 2015 a 2021</w:t>
      </w:r>
      <w:r w:rsidR="00051BB2" w:rsidRPr="008E38B1">
        <w:rPr>
          <w:rFonts w:cs="Arial"/>
          <w:lang w:val="es-419"/>
        </w:rPr>
        <w:t xml:space="preserve"> </w:t>
      </w:r>
    </w:p>
    <w:p w:rsidR="00FC23EB" w:rsidRPr="008E38B1" w:rsidRDefault="00FC23EB" w:rsidP="00866ED1">
      <w:pPr>
        <w:keepNext/>
        <w:rPr>
          <w:rFonts w:cs="Arial"/>
          <w:i/>
          <w:lang w:val="es-419"/>
        </w:rPr>
      </w:pPr>
      <w:r w:rsidRPr="008E38B1">
        <w:rPr>
          <w:rFonts w:cs="Arial"/>
          <w:i/>
          <w:lang w:val="es-419"/>
        </w:rPr>
        <w:t xml:space="preserve"> </w:t>
      </w:r>
    </w:p>
    <w:tbl>
      <w:tblPr>
        <w:tblW w:w="9520" w:type="dxa"/>
        <w:tblLayout w:type="fixed"/>
        <w:tblLook w:val="04A0" w:firstRow="1" w:lastRow="0" w:firstColumn="1" w:lastColumn="0" w:noHBand="0" w:noVBand="1"/>
      </w:tblPr>
      <w:tblGrid>
        <w:gridCol w:w="1980"/>
        <w:gridCol w:w="1256"/>
        <w:gridCol w:w="1257"/>
        <w:gridCol w:w="1257"/>
        <w:gridCol w:w="1256"/>
        <w:gridCol w:w="1257"/>
        <w:gridCol w:w="1257"/>
      </w:tblGrid>
      <w:tr w:rsidR="004F651E" w:rsidRPr="008E38B1" w:rsidTr="00866ED1">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TWV</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TWO</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TWA</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TWF</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TWC</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BMT</w:t>
            </w:r>
          </w:p>
        </w:tc>
      </w:tr>
      <w:tr w:rsidR="004F651E" w:rsidRPr="008E38B1"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2015</w:t>
            </w:r>
          </w:p>
        </w:tc>
        <w:tc>
          <w:tcPr>
            <w:tcW w:w="1256"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16</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17</w:t>
            </w:r>
          </w:p>
        </w:tc>
        <w:tc>
          <w:tcPr>
            <w:tcW w:w="1256"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16</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7</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sz w:val="16"/>
                <w:szCs w:val="16"/>
                <w:lang w:val="es-419"/>
              </w:rPr>
            </w:pPr>
            <w:r w:rsidRPr="008E38B1">
              <w:rPr>
                <w:rFonts w:cs="Arial"/>
                <w:color w:val="000000"/>
                <w:sz w:val="16"/>
                <w:szCs w:val="16"/>
                <w:lang w:val="es-419"/>
              </w:rPr>
              <w:t>0</w:t>
            </w:r>
          </w:p>
        </w:tc>
      </w:tr>
      <w:tr w:rsidR="004F651E" w:rsidRPr="008E38B1"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2016</w:t>
            </w:r>
          </w:p>
        </w:tc>
        <w:tc>
          <w:tcPr>
            <w:tcW w:w="1256"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15</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14</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19</w:t>
            </w:r>
          </w:p>
        </w:tc>
        <w:tc>
          <w:tcPr>
            <w:tcW w:w="1256"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23</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5</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12</w:t>
            </w:r>
          </w:p>
        </w:tc>
      </w:tr>
      <w:tr w:rsidR="004F651E" w:rsidRPr="008E38B1"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2017</w:t>
            </w:r>
          </w:p>
        </w:tc>
        <w:tc>
          <w:tcPr>
            <w:tcW w:w="1256"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18</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14</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28</w:t>
            </w:r>
          </w:p>
        </w:tc>
        <w:tc>
          <w:tcPr>
            <w:tcW w:w="1256"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19</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9</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19</w:t>
            </w:r>
          </w:p>
        </w:tc>
      </w:tr>
      <w:tr w:rsidR="004F651E" w:rsidRPr="008E38B1"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2018</w:t>
            </w:r>
          </w:p>
        </w:tc>
        <w:tc>
          <w:tcPr>
            <w:tcW w:w="1256"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15</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sz w:val="16"/>
                <w:szCs w:val="16"/>
                <w:lang w:val="es-419"/>
              </w:rPr>
            </w:pPr>
            <w:r w:rsidRPr="008E38B1">
              <w:rPr>
                <w:rFonts w:cs="Arial"/>
                <w:color w:val="000000"/>
                <w:sz w:val="16"/>
                <w:szCs w:val="16"/>
                <w:lang w:val="es-419"/>
              </w:rPr>
              <w:t>0</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23</w:t>
            </w:r>
          </w:p>
        </w:tc>
        <w:tc>
          <w:tcPr>
            <w:tcW w:w="1256"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18</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15</w:t>
            </w:r>
          </w:p>
        </w:tc>
        <w:tc>
          <w:tcPr>
            <w:tcW w:w="1257" w:type="dxa"/>
            <w:tcBorders>
              <w:top w:val="nil"/>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18</w:t>
            </w:r>
          </w:p>
        </w:tc>
      </w:tr>
      <w:tr w:rsidR="004F651E" w:rsidRPr="008E38B1" w:rsidTr="00866ED1">
        <w:trPr>
          <w:trHeight w:val="255"/>
        </w:trPr>
        <w:tc>
          <w:tcPr>
            <w:tcW w:w="1980" w:type="dxa"/>
            <w:tcBorders>
              <w:top w:val="nil"/>
              <w:left w:val="single" w:sz="4" w:space="0" w:color="auto"/>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2019</w:t>
            </w:r>
          </w:p>
        </w:tc>
        <w:tc>
          <w:tcPr>
            <w:tcW w:w="1256" w:type="dxa"/>
            <w:tcBorders>
              <w:top w:val="nil"/>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15</w:t>
            </w:r>
          </w:p>
        </w:tc>
        <w:tc>
          <w:tcPr>
            <w:tcW w:w="1257" w:type="dxa"/>
            <w:tcBorders>
              <w:top w:val="nil"/>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12</w:t>
            </w:r>
          </w:p>
        </w:tc>
        <w:tc>
          <w:tcPr>
            <w:tcW w:w="1257" w:type="dxa"/>
            <w:tcBorders>
              <w:top w:val="nil"/>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w:t>
            </w:r>
          </w:p>
        </w:tc>
        <w:tc>
          <w:tcPr>
            <w:tcW w:w="1256" w:type="dxa"/>
            <w:tcBorders>
              <w:top w:val="nil"/>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19</w:t>
            </w:r>
          </w:p>
        </w:tc>
        <w:tc>
          <w:tcPr>
            <w:tcW w:w="1257" w:type="dxa"/>
            <w:tcBorders>
              <w:top w:val="nil"/>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16</w:t>
            </w:r>
          </w:p>
        </w:tc>
        <w:tc>
          <w:tcPr>
            <w:tcW w:w="1257" w:type="dxa"/>
            <w:tcBorders>
              <w:top w:val="nil"/>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18</w:t>
            </w:r>
          </w:p>
        </w:tc>
      </w:tr>
      <w:tr w:rsidR="004F651E" w:rsidRPr="008E38B1" w:rsidTr="00866ED1">
        <w:trPr>
          <w:trHeight w:val="255"/>
        </w:trPr>
        <w:tc>
          <w:tcPr>
            <w:tcW w:w="1980" w:type="dxa"/>
            <w:tcBorders>
              <w:top w:val="double" w:sz="4" w:space="0" w:color="auto"/>
              <w:left w:val="single" w:sz="4" w:space="0" w:color="auto"/>
              <w:bottom w:val="double" w:sz="4" w:space="0" w:color="auto"/>
              <w:right w:val="single" w:sz="4" w:space="0" w:color="auto"/>
            </w:tcBorders>
            <w:shd w:val="clear" w:color="auto" w:fill="auto"/>
            <w:vAlign w:val="center"/>
            <w:hideMark/>
          </w:tcPr>
          <w:p w:rsidR="004F651E" w:rsidRPr="008E38B1" w:rsidRDefault="00B91184" w:rsidP="00B91184">
            <w:pPr>
              <w:keepNext/>
              <w:jc w:val="center"/>
              <w:rPr>
                <w:rFonts w:cs="Arial"/>
                <w:color w:val="000000"/>
                <w:lang w:val="es-419"/>
              </w:rPr>
            </w:pPr>
            <w:r w:rsidRPr="008E38B1">
              <w:rPr>
                <w:rFonts w:cs="Arial"/>
                <w:color w:val="000000"/>
                <w:lang w:val="es-419"/>
              </w:rPr>
              <w:t>Media</w:t>
            </w:r>
            <w:r w:rsidR="004F651E" w:rsidRPr="008E38B1">
              <w:rPr>
                <w:rFonts w:cs="Arial"/>
                <w:color w:val="000000"/>
                <w:lang w:val="es-419"/>
              </w:rPr>
              <w:t xml:space="preserve"> 2015-2019</w:t>
            </w:r>
          </w:p>
        </w:tc>
        <w:tc>
          <w:tcPr>
            <w:tcW w:w="1256" w:type="dxa"/>
            <w:tcBorders>
              <w:top w:val="double" w:sz="4" w:space="0" w:color="auto"/>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17</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11</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21</w:t>
            </w:r>
          </w:p>
        </w:tc>
        <w:tc>
          <w:tcPr>
            <w:tcW w:w="1256" w:type="dxa"/>
            <w:tcBorders>
              <w:top w:val="double" w:sz="4" w:space="0" w:color="auto"/>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19</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10</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13</w:t>
            </w:r>
          </w:p>
        </w:tc>
      </w:tr>
      <w:tr w:rsidR="004F651E" w:rsidRPr="008E38B1" w:rsidTr="00866ED1">
        <w:trPr>
          <w:trHeight w:val="255"/>
        </w:trPr>
        <w:tc>
          <w:tcPr>
            <w:tcW w:w="198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2020</w:t>
            </w:r>
          </w:p>
        </w:tc>
        <w:tc>
          <w:tcPr>
            <w:tcW w:w="1256" w:type="dxa"/>
            <w:tcBorders>
              <w:top w:val="doub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27</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28</w:t>
            </w:r>
          </w:p>
        </w:tc>
        <w:tc>
          <w:tcPr>
            <w:tcW w:w="1256" w:type="dxa"/>
            <w:tcBorders>
              <w:top w:val="doub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26</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19</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26</w:t>
            </w:r>
          </w:p>
        </w:tc>
      </w:tr>
      <w:tr w:rsidR="004F651E" w:rsidRPr="008E38B1" w:rsidTr="00866ED1">
        <w:trPr>
          <w:trHeight w:val="255"/>
        </w:trPr>
        <w:tc>
          <w:tcPr>
            <w:tcW w:w="1980" w:type="dxa"/>
            <w:tcBorders>
              <w:top w:val="nil"/>
              <w:left w:val="single" w:sz="4" w:space="0" w:color="auto"/>
              <w:bottom w:val="double" w:sz="4" w:space="0" w:color="auto"/>
              <w:right w:val="single" w:sz="4" w:space="0" w:color="auto"/>
            </w:tcBorders>
            <w:shd w:val="clear" w:color="auto" w:fill="auto"/>
            <w:vAlign w:val="center"/>
            <w:hideMark/>
          </w:tcPr>
          <w:p w:rsidR="004F651E" w:rsidRPr="008E38B1" w:rsidRDefault="004F651E" w:rsidP="00866ED1">
            <w:pPr>
              <w:keepNext/>
              <w:jc w:val="center"/>
              <w:rPr>
                <w:rFonts w:cs="Arial"/>
                <w:color w:val="000000"/>
                <w:lang w:val="es-419"/>
              </w:rPr>
            </w:pPr>
            <w:r w:rsidRPr="008E38B1">
              <w:rPr>
                <w:rFonts w:cs="Arial"/>
                <w:color w:val="000000"/>
                <w:lang w:val="es-419"/>
              </w:rPr>
              <w:t>2021</w:t>
            </w:r>
          </w:p>
        </w:tc>
        <w:tc>
          <w:tcPr>
            <w:tcW w:w="1256" w:type="dxa"/>
            <w:tcBorders>
              <w:top w:val="nil"/>
              <w:left w:val="nil"/>
              <w:bottom w:val="double" w:sz="4" w:space="0" w:color="auto"/>
              <w:right w:val="single" w:sz="4" w:space="0" w:color="auto"/>
            </w:tcBorders>
            <w:shd w:val="clear" w:color="auto" w:fill="auto"/>
            <w:noWrap/>
            <w:vAlign w:val="bottom"/>
            <w:hideMark/>
          </w:tcPr>
          <w:p w:rsidR="004F651E" w:rsidRPr="008E38B1" w:rsidRDefault="004F651E" w:rsidP="00866ED1">
            <w:pPr>
              <w:keepNext/>
              <w:jc w:val="center"/>
              <w:rPr>
                <w:rFonts w:cs="Arial"/>
                <w:color w:val="000000"/>
                <w:lang w:val="es-419"/>
              </w:rPr>
            </w:pPr>
            <w:r w:rsidRPr="008E38B1">
              <w:rPr>
                <w:rFonts w:cs="Arial"/>
                <w:color w:val="000000"/>
                <w:lang w:val="es-419"/>
              </w:rPr>
              <w:t>28</w:t>
            </w:r>
          </w:p>
        </w:tc>
        <w:tc>
          <w:tcPr>
            <w:tcW w:w="1257" w:type="dxa"/>
            <w:tcBorders>
              <w:top w:val="nil"/>
              <w:left w:val="nil"/>
              <w:bottom w:val="double" w:sz="4" w:space="0" w:color="auto"/>
              <w:right w:val="single" w:sz="4" w:space="0" w:color="auto"/>
            </w:tcBorders>
            <w:shd w:val="clear" w:color="auto" w:fill="auto"/>
            <w:noWrap/>
            <w:vAlign w:val="bottom"/>
            <w:hideMark/>
          </w:tcPr>
          <w:p w:rsidR="004F651E" w:rsidRPr="008E38B1" w:rsidRDefault="004F651E" w:rsidP="00866ED1">
            <w:pPr>
              <w:keepNext/>
              <w:jc w:val="center"/>
              <w:rPr>
                <w:rFonts w:cs="Arial"/>
                <w:color w:val="000000"/>
                <w:lang w:val="es-419"/>
              </w:rPr>
            </w:pPr>
            <w:r w:rsidRPr="008E38B1">
              <w:rPr>
                <w:rFonts w:cs="Arial"/>
                <w:color w:val="000000"/>
                <w:lang w:val="es-419"/>
              </w:rPr>
              <w:t>25</w:t>
            </w:r>
          </w:p>
        </w:tc>
        <w:tc>
          <w:tcPr>
            <w:tcW w:w="1257" w:type="dxa"/>
            <w:tcBorders>
              <w:top w:val="nil"/>
              <w:left w:val="nil"/>
              <w:bottom w:val="double" w:sz="4" w:space="0" w:color="auto"/>
              <w:right w:val="single" w:sz="4" w:space="0" w:color="auto"/>
            </w:tcBorders>
            <w:shd w:val="clear" w:color="auto" w:fill="auto"/>
            <w:noWrap/>
            <w:vAlign w:val="bottom"/>
            <w:hideMark/>
          </w:tcPr>
          <w:p w:rsidR="004F651E" w:rsidRPr="008E38B1" w:rsidRDefault="004F651E" w:rsidP="00866ED1">
            <w:pPr>
              <w:keepNext/>
              <w:jc w:val="center"/>
              <w:rPr>
                <w:rFonts w:cs="Arial"/>
                <w:color w:val="000000"/>
                <w:lang w:val="es-419"/>
              </w:rPr>
            </w:pPr>
            <w:r w:rsidRPr="008E38B1">
              <w:rPr>
                <w:rFonts w:cs="Arial"/>
                <w:color w:val="000000"/>
                <w:lang w:val="es-419"/>
              </w:rPr>
              <w:t>35</w:t>
            </w:r>
          </w:p>
        </w:tc>
        <w:tc>
          <w:tcPr>
            <w:tcW w:w="1256" w:type="dxa"/>
            <w:tcBorders>
              <w:top w:val="nil"/>
              <w:left w:val="nil"/>
              <w:bottom w:val="double" w:sz="4" w:space="0" w:color="auto"/>
              <w:right w:val="single" w:sz="4" w:space="0" w:color="auto"/>
            </w:tcBorders>
            <w:shd w:val="clear" w:color="auto" w:fill="auto"/>
            <w:noWrap/>
            <w:vAlign w:val="bottom"/>
            <w:hideMark/>
          </w:tcPr>
          <w:p w:rsidR="004F651E" w:rsidRPr="008E38B1" w:rsidRDefault="004F651E" w:rsidP="00866ED1">
            <w:pPr>
              <w:keepNext/>
              <w:jc w:val="center"/>
              <w:rPr>
                <w:rFonts w:cs="Arial"/>
                <w:color w:val="000000"/>
                <w:lang w:val="es-419"/>
              </w:rPr>
            </w:pPr>
            <w:r w:rsidRPr="008E38B1">
              <w:rPr>
                <w:rFonts w:cs="Arial"/>
                <w:color w:val="000000"/>
                <w:lang w:val="es-419"/>
              </w:rPr>
              <w:t>29</w:t>
            </w:r>
          </w:p>
        </w:tc>
        <w:tc>
          <w:tcPr>
            <w:tcW w:w="1257" w:type="dxa"/>
            <w:tcBorders>
              <w:top w:val="nil"/>
              <w:left w:val="nil"/>
              <w:bottom w:val="double" w:sz="4" w:space="0" w:color="auto"/>
              <w:right w:val="single" w:sz="4" w:space="0" w:color="auto"/>
            </w:tcBorders>
            <w:shd w:val="clear" w:color="auto" w:fill="auto"/>
            <w:noWrap/>
            <w:vAlign w:val="bottom"/>
            <w:hideMark/>
          </w:tcPr>
          <w:p w:rsidR="004F651E" w:rsidRPr="008E38B1" w:rsidRDefault="00035942" w:rsidP="00866ED1">
            <w:pPr>
              <w:keepNext/>
              <w:jc w:val="center"/>
              <w:rPr>
                <w:rFonts w:cs="Arial"/>
                <w:color w:val="000000"/>
                <w:lang w:val="es-419"/>
              </w:rPr>
            </w:pPr>
            <w:r w:rsidRPr="008E38B1">
              <w:rPr>
                <w:rFonts w:cs="Arial"/>
                <w:color w:val="000000"/>
                <w:lang w:val="es-419"/>
              </w:rPr>
              <w:t>23</w:t>
            </w:r>
          </w:p>
        </w:tc>
        <w:tc>
          <w:tcPr>
            <w:tcW w:w="1257" w:type="dxa"/>
            <w:tcBorders>
              <w:top w:val="nil"/>
              <w:left w:val="nil"/>
              <w:bottom w:val="double" w:sz="4" w:space="0" w:color="auto"/>
              <w:right w:val="single" w:sz="4" w:space="0" w:color="auto"/>
            </w:tcBorders>
            <w:shd w:val="clear" w:color="auto" w:fill="auto"/>
            <w:noWrap/>
            <w:vAlign w:val="bottom"/>
            <w:hideMark/>
          </w:tcPr>
          <w:p w:rsidR="004F651E" w:rsidRPr="008E38B1" w:rsidRDefault="00035942" w:rsidP="00866ED1">
            <w:pPr>
              <w:keepNext/>
              <w:jc w:val="center"/>
              <w:rPr>
                <w:rFonts w:cs="Arial"/>
                <w:color w:val="000000"/>
                <w:lang w:val="es-419"/>
              </w:rPr>
            </w:pPr>
            <w:r w:rsidRPr="008E38B1">
              <w:rPr>
                <w:rFonts w:cs="Arial"/>
                <w:color w:val="000000"/>
                <w:lang w:val="es-419"/>
              </w:rPr>
              <w:t>32</w:t>
            </w:r>
          </w:p>
        </w:tc>
      </w:tr>
      <w:tr w:rsidR="004F651E" w:rsidRPr="008E38B1" w:rsidTr="00866ED1">
        <w:trPr>
          <w:trHeight w:val="255"/>
        </w:trPr>
        <w:tc>
          <w:tcPr>
            <w:tcW w:w="19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4F651E" w:rsidRPr="008E38B1" w:rsidRDefault="00B91184" w:rsidP="00B91184">
            <w:pPr>
              <w:keepNext/>
              <w:jc w:val="center"/>
              <w:rPr>
                <w:rFonts w:cs="Arial"/>
                <w:color w:val="000000"/>
                <w:lang w:val="es-419"/>
              </w:rPr>
            </w:pPr>
            <w:r w:rsidRPr="008E38B1">
              <w:rPr>
                <w:rFonts w:cs="Arial"/>
                <w:color w:val="000000"/>
                <w:lang w:val="es-419"/>
              </w:rPr>
              <w:t>Variación</w:t>
            </w:r>
            <w:r w:rsidR="004F651E" w:rsidRPr="008E38B1">
              <w:rPr>
                <w:rFonts w:cs="Arial"/>
                <w:color w:val="000000"/>
                <w:lang w:val="es-419"/>
              </w:rPr>
              <w:t xml:space="preserve"> (%)</w:t>
            </w:r>
            <w:r w:rsidR="005B2B81" w:rsidRPr="008E38B1">
              <w:rPr>
                <w:rFonts w:cs="Arial"/>
                <w:color w:val="000000"/>
                <w:lang w:val="es-419"/>
              </w:rPr>
              <w:t>*</w:t>
            </w:r>
          </w:p>
        </w:tc>
        <w:tc>
          <w:tcPr>
            <w:tcW w:w="1256" w:type="dxa"/>
            <w:tcBorders>
              <w:top w:val="double" w:sz="4" w:space="0" w:color="auto"/>
              <w:left w:val="nil"/>
              <w:bottom w:val="single" w:sz="4" w:space="0" w:color="auto"/>
              <w:right w:val="single" w:sz="4" w:space="0" w:color="auto"/>
            </w:tcBorders>
            <w:shd w:val="clear" w:color="auto" w:fill="auto"/>
            <w:noWrap/>
            <w:vAlign w:val="bottom"/>
            <w:hideMark/>
          </w:tcPr>
          <w:p w:rsidR="004F651E" w:rsidRPr="008E38B1" w:rsidRDefault="00BB18CD" w:rsidP="00866ED1">
            <w:pPr>
              <w:keepNext/>
              <w:jc w:val="center"/>
              <w:rPr>
                <w:rFonts w:cs="Arial"/>
                <w:color w:val="000000"/>
                <w:lang w:val="es-419"/>
              </w:rPr>
            </w:pPr>
            <w:r w:rsidRPr="008E38B1">
              <w:rPr>
                <w:rFonts w:cs="Arial"/>
                <w:color w:val="000000"/>
                <w:lang w:val="es-419"/>
              </w:rPr>
              <w:t>+</w:t>
            </w:r>
            <w:r w:rsidR="004F651E" w:rsidRPr="008E38B1">
              <w:rPr>
                <w:rFonts w:cs="Arial"/>
                <w:color w:val="000000"/>
                <w:lang w:val="es-419"/>
              </w:rPr>
              <w:t>69</w:t>
            </w:r>
            <w:r w:rsidRPr="008E38B1">
              <w:rPr>
                <w:rFonts w:cs="Arial"/>
                <w:color w:val="000000"/>
                <w:lang w:val="es-419"/>
              </w:rPr>
              <w:t>%</w:t>
            </w:r>
          </w:p>
        </w:tc>
        <w:tc>
          <w:tcPr>
            <w:tcW w:w="1257" w:type="dxa"/>
            <w:tcBorders>
              <w:top w:val="double" w:sz="4" w:space="0" w:color="auto"/>
              <w:left w:val="nil"/>
              <w:bottom w:val="single" w:sz="4" w:space="0" w:color="auto"/>
              <w:right w:val="single" w:sz="4" w:space="0" w:color="auto"/>
            </w:tcBorders>
            <w:shd w:val="clear" w:color="auto" w:fill="auto"/>
            <w:noWrap/>
            <w:vAlign w:val="bottom"/>
            <w:hideMark/>
          </w:tcPr>
          <w:p w:rsidR="004F651E" w:rsidRPr="008E38B1" w:rsidRDefault="00BB18CD" w:rsidP="00866ED1">
            <w:pPr>
              <w:keepNext/>
              <w:jc w:val="center"/>
              <w:rPr>
                <w:rFonts w:cs="Arial"/>
                <w:color w:val="000000"/>
                <w:lang w:val="es-419"/>
              </w:rPr>
            </w:pPr>
            <w:r w:rsidRPr="008E38B1">
              <w:rPr>
                <w:rFonts w:cs="Arial"/>
                <w:color w:val="000000"/>
                <w:lang w:val="es-419"/>
              </w:rPr>
              <w:t>+</w:t>
            </w:r>
            <w:r w:rsidR="004F651E" w:rsidRPr="008E38B1">
              <w:rPr>
                <w:rFonts w:cs="Arial"/>
                <w:color w:val="000000"/>
                <w:lang w:val="es-419"/>
              </w:rPr>
              <w:t>123</w:t>
            </w:r>
            <w:r w:rsidRPr="008E38B1">
              <w:rPr>
                <w:rFonts w:cs="Arial"/>
                <w:color w:val="000000"/>
                <w:lang w:val="es-419"/>
              </w:rPr>
              <w:t>%</w:t>
            </w:r>
          </w:p>
        </w:tc>
        <w:tc>
          <w:tcPr>
            <w:tcW w:w="1257" w:type="dxa"/>
            <w:tcBorders>
              <w:top w:val="double" w:sz="4" w:space="0" w:color="auto"/>
              <w:left w:val="nil"/>
              <w:bottom w:val="single" w:sz="4" w:space="0" w:color="auto"/>
              <w:right w:val="single" w:sz="4" w:space="0" w:color="auto"/>
            </w:tcBorders>
            <w:shd w:val="clear" w:color="auto" w:fill="auto"/>
            <w:noWrap/>
            <w:vAlign w:val="bottom"/>
            <w:hideMark/>
          </w:tcPr>
          <w:p w:rsidR="004F651E" w:rsidRPr="008E38B1" w:rsidRDefault="00BB18CD" w:rsidP="00866ED1">
            <w:pPr>
              <w:keepNext/>
              <w:jc w:val="center"/>
              <w:rPr>
                <w:rFonts w:cs="Arial"/>
                <w:color w:val="000000"/>
                <w:lang w:val="es-419"/>
              </w:rPr>
            </w:pPr>
            <w:r w:rsidRPr="008E38B1">
              <w:rPr>
                <w:rFonts w:cs="Arial"/>
                <w:color w:val="000000"/>
                <w:lang w:val="es-419"/>
              </w:rPr>
              <w:t>+</w:t>
            </w:r>
            <w:r w:rsidR="004F651E" w:rsidRPr="008E38B1">
              <w:rPr>
                <w:rFonts w:cs="Arial"/>
                <w:color w:val="000000"/>
                <w:lang w:val="es-419"/>
              </w:rPr>
              <w:t>64</w:t>
            </w:r>
            <w:r w:rsidRPr="008E38B1">
              <w:rPr>
                <w:rFonts w:cs="Arial"/>
                <w:color w:val="000000"/>
                <w:lang w:val="es-419"/>
              </w:rPr>
              <w:t>%</w:t>
            </w:r>
          </w:p>
        </w:tc>
        <w:tc>
          <w:tcPr>
            <w:tcW w:w="1256" w:type="dxa"/>
            <w:tcBorders>
              <w:top w:val="double" w:sz="4" w:space="0" w:color="auto"/>
              <w:left w:val="nil"/>
              <w:bottom w:val="single" w:sz="4" w:space="0" w:color="auto"/>
              <w:right w:val="single" w:sz="4" w:space="0" w:color="auto"/>
            </w:tcBorders>
            <w:shd w:val="clear" w:color="auto" w:fill="auto"/>
            <w:noWrap/>
            <w:vAlign w:val="bottom"/>
            <w:hideMark/>
          </w:tcPr>
          <w:p w:rsidR="004F651E" w:rsidRPr="008E38B1" w:rsidRDefault="00BB18CD" w:rsidP="00866ED1">
            <w:pPr>
              <w:keepNext/>
              <w:jc w:val="center"/>
              <w:rPr>
                <w:rFonts w:cs="Arial"/>
                <w:color w:val="000000"/>
                <w:lang w:val="es-419"/>
              </w:rPr>
            </w:pPr>
            <w:r w:rsidRPr="008E38B1">
              <w:rPr>
                <w:rFonts w:cs="Arial"/>
                <w:color w:val="000000"/>
                <w:lang w:val="es-419"/>
              </w:rPr>
              <w:t>+</w:t>
            </w:r>
            <w:r w:rsidR="004F651E" w:rsidRPr="008E38B1">
              <w:rPr>
                <w:rFonts w:cs="Arial"/>
                <w:color w:val="000000"/>
                <w:lang w:val="es-419"/>
              </w:rPr>
              <w:t>53</w:t>
            </w:r>
            <w:r w:rsidRPr="008E38B1">
              <w:rPr>
                <w:rFonts w:cs="Arial"/>
                <w:color w:val="000000"/>
                <w:lang w:val="es-419"/>
              </w:rPr>
              <w:t>%</w:t>
            </w:r>
          </w:p>
        </w:tc>
        <w:tc>
          <w:tcPr>
            <w:tcW w:w="1257" w:type="dxa"/>
            <w:tcBorders>
              <w:top w:val="double" w:sz="4" w:space="0" w:color="auto"/>
              <w:left w:val="nil"/>
              <w:bottom w:val="single" w:sz="4" w:space="0" w:color="auto"/>
              <w:right w:val="single" w:sz="4" w:space="0" w:color="auto"/>
            </w:tcBorders>
            <w:shd w:val="clear" w:color="auto" w:fill="auto"/>
            <w:noWrap/>
            <w:vAlign w:val="bottom"/>
          </w:tcPr>
          <w:p w:rsidR="004F651E" w:rsidRPr="008E38B1" w:rsidRDefault="00BB18CD" w:rsidP="00866ED1">
            <w:pPr>
              <w:keepNext/>
              <w:jc w:val="center"/>
              <w:rPr>
                <w:rFonts w:cs="Arial"/>
                <w:color w:val="000000"/>
                <w:lang w:val="es-419"/>
              </w:rPr>
            </w:pPr>
            <w:r w:rsidRPr="008E38B1">
              <w:rPr>
                <w:rFonts w:cs="Arial"/>
                <w:color w:val="000000"/>
                <w:lang w:val="es-419"/>
              </w:rPr>
              <w:t>+</w:t>
            </w:r>
            <w:r w:rsidR="00404D98" w:rsidRPr="008E38B1">
              <w:rPr>
                <w:rFonts w:cs="Arial"/>
                <w:color w:val="000000"/>
                <w:lang w:val="es-419"/>
              </w:rPr>
              <w:t>121</w:t>
            </w:r>
            <w:r w:rsidRPr="008E38B1">
              <w:rPr>
                <w:rFonts w:cs="Arial"/>
                <w:color w:val="000000"/>
                <w:lang w:val="es-419"/>
              </w:rPr>
              <w:t>%</w:t>
            </w:r>
          </w:p>
        </w:tc>
        <w:tc>
          <w:tcPr>
            <w:tcW w:w="1257" w:type="dxa"/>
            <w:tcBorders>
              <w:top w:val="double" w:sz="4" w:space="0" w:color="auto"/>
              <w:left w:val="nil"/>
              <w:bottom w:val="single" w:sz="4" w:space="0" w:color="auto"/>
              <w:right w:val="single" w:sz="4" w:space="0" w:color="auto"/>
            </w:tcBorders>
            <w:shd w:val="clear" w:color="auto" w:fill="auto"/>
            <w:noWrap/>
            <w:vAlign w:val="bottom"/>
          </w:tcPr>
          <w:p w:rsidR="004F651E" w:rsidRPr="008E38B1" w:rsidRDefault="00BB18CD" w:rsidP="00866ED1">
            <w:pPr>
              <w:keepNext/>
              <w:jc w:val="center"/>
              <w:rPr>
                <w:rFonts w:cs="Arial"/>
                <w:color w:val="000000"/>
                <w:lang w:val="es-419"/>
              </w:rPr>
            </w:pPr>
            <w:r w:rsidRPr="008E38B1">
              <w:rPr>
                <w:rFonts w:cs="Arial"/>
                <w:color w:val="000000"/>
                <w:lang w:val="es-419"/>
              </w:rPr>
              <w:t>+</w:t>
            </w:r>
            <w:r w:rsidR="00404D98" w:rsidRPr="008E38B1">
              <w:rPr>
                <w:rFonts w:cs="Arial"/>
                <w:color w:val="000000"/>
                <w:lang w:val="es-419"/>
              </w:rPr>
              <w:t>139</w:t>
            </w:r>
            <w:r w:rsidRPr="008E38B1">
              <w:rPr>
                <w:rFonts w:cs="Arial"/>
                <w:color w:val="000000"/>
                <w:lang w:val="es-419"/>
              </w:rPr>
              <w:t>%</w:t>
            </w:r>
          </w:p>
        </w:tc>
      </w:tr>
    </w:tbl>
    <w:p w:rsidR="00442786" w:rsidRPr="008E38B1" w:rsidRDefault="00B91184" w:rsidP="00B91184">
      <w:pPr>
        <w:keepNext/>
        <w:rPr>
          <w:rFonts w:cs="Arial"/>
          <w:i/>
          <w:lang w:val="es-419"/>
        </w:rPr>
      </w:pPr>
      <w:r w:rsidRPr="008E38B1">
        <w:rPr>
          <w:rFonts w:cs="Arial"/>
          <w:i/>
          <w:lang w:val="es-419"/>
        </w:rPr>
        <w:t>** Variación (%) entre 2021 y la media de 2015 a 2019.</w:t>
      </w:r>
    </w:p>
    <w:p w:rsidR="00442786" w:rsidRPr="008E38B1" w:rsidRDefault="00442786" w:rsidP="00866ED1">
      <w:pPr>
        <w:keepNext/>
        <w:rPr>
          <w:lang w:val="es-419"/>
        </w:rPr>
      </w:pPr>
    </w:p>
    <w:p w:rsidR="00051BB2" w:rsidRPr="008E38B1" w:rsidRDefault="00051BB2" w:rsidP="00051BB2">
      <w:pPr>
        <w:rPr>
          <w:lang w:val="es-419"/>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E4F20" w:rsidRPr="008E38B1" w:rsidTr="00DA5397">
        <w:tc>
          <w:tcPr>
            <w:tcW w:w="4814" w:type="dxa"/>
            <w:vAlign w:val="center"/>
          </w:tcPr>
          <w:p w:rsidR="00051BB2" w:rsidRPr="008E38B1" w:rsidRDefault="00051BB2" w:rsidP="00DA5397">
            <w:pPr>
              <w:jc w:val="center"/>
              <w:rPr>
                <w:lang w:val="es-419"/>
              </w:rPr>
            </w:pPr>
            <w:r w:rsidRPr="008E38B1">
              <w:rPr>
                <w:noProof/>
              </w:rPr>
              <w:drawing>
                <wp:inline distT="0" distB="0" distL="0" distR="0" wp14:anchorId="50860D47" wp14:editId="41B83D13">
                  <wp:extent cx="2757831" cy="2048256"/>
                  <wp:effectExtent l="0" t="0" r="444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815" w:type="dxa"/>
            <w:vAlign w:val="center"/>
          </w:tcPr>
          <w:p w:rsidR="00051BB2" w:rsidRPr="008E38B1" w:rsidRDefault="00051BB2" w:rsidP="00DA5397">
            <w:pPr>
              <w:jc w:val="center"/>
              <w:rPr>
                <w:lang w:val="es-419"/>
              </w:rPr>
            </w:pPr>
            <w:r w:rsidRPr="008E38B1">
              <w:rPr>
                <w:noProof/>
              </w:rPr>
              <w:drawing>
                <wp:inline distT="0" distB="0" distL="0" distR="0" wp14:anchorId="540BEB67" wp14:editId="68529EAA">
                  <wp:extent cx="2786659" cy="2055571"/>
                  <wp:effectExtent l="0" t="0" r="13970" b="19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E4F20" w:rsidRPr="008E38B1" w:rsidTr="00DA5397">
        <w:tc>
          <w:tcPr>
            <w:tcW w:w="4814" w:type="dxa"/>
            <w:vAlign w:val="center"/>
          </w:tcPr>
          <w:p w:rsidR="00051BB2" w:rsidRPr="008E38B1" w:rsidRDefault="00051BB2" w:rsidP="00DA5397">
            <w:pPr>
              <w:jc w:val="center"/>
              <w:rPr>
                <w:lang w:val="es-419"/>
              </w:rPr>
            </w:pPr>
            <w:r w:rsidRPr="008E38B1">
              <w:rPr>
                <w:noProof/>
              </w:rPr>
              <w:drawing>
                <wp:inline distT="0" distB="0" distL="0" distR="0" wp14:anchorId="449DCE34" wp14:editId="74FC70B0">
                  <wp:extent cx="2757831" cy="1989735"/>
                  <wp:effectExtent l="0" t="0" r="4445"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815" w:type="dxa"/>
            <w:vAlign w:val="center"/>
          </w:tcPr>
          <w:p w:rsidR="00051BB2" w:rsidRPr="008E38B1" w:rsidRDefault="00051BB2" w:rsidP="00DA5397">
            <w:pPr>
              <w:jc w:val="center"/>
              <w:rPr>
                <w:lang w:val="es-419"/>
              </w:rPr>
            </w:pPr>
            <w:r w:rsidRPr="008E38B1">
              <w:rPr>
                <w:noProof/>
              </w:rPr>
              <w:drawing>
                <wp:inline distT="0" distB="0" distL="0" distR="0" wp14:anchorId="137BFAF0" wp14:editId="16568B5A">
                  <wp:extent cx="2778633" cy="1974850"/>
                  <wp:effectExtent l="0" t="0" r="317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E4F20" w:rsidRPr="008E38B1" w:rsidTr="0025246C">
        <w:tc>
          <w:tcPr>
            <w:tcW w:w="4814" w:type="dxa"/>
            <w:vAlign w:val="center"/>
          </w:tcPr>
          <w:p w:rsidR="00F413C0" w:rsidRPr="008E38B1" w:rsidRDefault="00035942" w:rsidP="00DA5397">
            <w:pPr>
              <w:jc w:val="center"/>
              <w:rPr>
                <w:lang w:val="es-419"/>
              </w:rPr>
            </w:pPr>
            <w:r w:rsidRPr="008E38B1">
              <w:rPr>
                <w:noProof/>
              </w:rPr>
              <w:drawing>
                <wp:inline distT="0" distB="0" distL="0" distR="0" wp14:anchorId="39CC9456" wp14:editId="6AA45AAA">
                  <wp:extent cx="2675752" cy="1876204"/>
                  <wp:effectExtent l="0" t="0" r="1079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815" w:type="dxa"/>
            <w:vAlign w:val="center"/>
          </w:tcPr>
          <w:p w:rsidR="00F413C0" w:rsidRPr="008E38B1" w:rsidRDefault="0025246C" w:rsidP="00DA5397">
            <w:pPr>
              <w:jc w:val="center"/>
              <w:rPr>
                <w:lang w:val="es-419"/>
              </w:rPr>
            </w:pPr>
            <w:r w:rsidRPr="008E38B1">
              <w:rPr>
                <w:noProof/>
              </w:rPr>
              <w:drawing>
                <wp:inline distT="0" distB="0" distL="0" distR="0" wp14:anchorId="6E219749" wp14:editId="0E70D26A">
                  <wp:extent cx="2780720" cy="1908313"/>
                  <wp:effectExtent l="0" t="0" r="63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442786" w:rsidRPr="008E38B1" w:rsidRDefault="00442786" w:rsidP="00051BB2">
      <w:pPr>
        <w:rPr>
          <w:lang w:val="es-419"/>
        </w:rPr>
      </w:pPr>
    </w:p>
    <w:p w:rsidR="00442786" w:rsidRPr="008E38B1" w:rsidRDefault="00442786" w:rsidP="00051BB2">
      <w:pPr>
        <w:rPr>
          <w:lang w:val="es-419"/>
        </w:rPr>
      </w:pPr>
    </w:p>
    <w:p w:rsidR="00442786" w:rsidRPr="008E38B1" w:rsidRDefault="00B91184" w:rsidP="00B91184">
      <w:pPr>
        <w:jc w:val="right"/>
        <w:rPr>
          <w:lang w:val="es-419"/>
        </w:rPr>
      </w:pPr>
      <w:r w:rsidRPr="008E38B1">
        <w:rPr>
          <w:lang w:val="es-419"/>
        </w:rPr>
        <w:t>[Sigue el Anexo II]</w:t>
      </w:r>
    </w:p>
    <w:p w:rsidR="00442786" w:rsidRPr="008E38B1" w:rsidRDefault="00442786" w:rsidP="00051BB2">
      <w:pPr>
        <w:rPr>
          <w:lang w:val="es-419"/>
        </w:rPr>
      </w:pPr>
    </w:p>
    <w:p w:rsidR="00D05F80" w:rsidRPr="008E38B1" w:rsidRDefault="00D05F80" w:rsidP="00051BB2">
      <w:pPr>
        <w:rPr>
          <w:lang w:val="es-419"/>
        </w:rPr>
        <w:sectPr w:rsidR="00D05F80" w:rsidRPr="008E38B1" w:rsidSect="0004198B">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pgNumType w:start="1"/>
          <w:cols w:space="720"/>
          <w:titlePg/>
        </w:sectPr>
      </w:pPr>
    </w:p>
    <w:p w:rsidR="00442786" w:rsidRPr="008E38B1" w:rsidRDefault="00442786" w:rsidP="00051BB2">
      <w:pPr>
        <w:rPr>
          <w:lang w:val="es-419"/>
        </w:rPr>
      </w:pPr>
    </w:p>
    <w:p w:rsidR="00442786" w:rsidRPr="008E38B1" w:rsidRDefault="00373E9E" w:rsidP="00373E9E">
      <w:pPr>
        <w:jc w:val="left"/>
        <w:rPr>
          <w:caps/>
          <w:snapToGrid w:val="0"/>
          <w:lang w:val="es-419"/>
        </w:rPr>
      </w:pPr>
      <w:r w:rsidRPr="008E38B1">
        <w:rPr>
          <w:caps/>
          <w:snapToGrid w:val="0"/>
          <w:lang w:val="es-419"/>
        </w:rPr>
        <w:t>Posibles medidas para la participación física y virtual en las reuniones de los TWP, propuestas por el TC en su quincuagésima sexta sesión.</w:t>
      </w:r>
    </w:p>
    <w:p w:rsidR="00442786" w:rsidRPr="008E38B1" w:rsidRDefault="00442786" w:rsidP="00C94E4C">
      <w:pPr>
        <w:jc w:val="center"/>
        <w:rPr>
          <w:snapToGrid w:val="0"/>
          <w:lang w:val="es-419"/>
        </w:rPr>
      </w:pPr>
    </w:p>
    <w:p w:rsidR="00442786" w:rsidRPr="008E38B1" w:rsidRDefault="00373E9E" w:rsidP="00373E9E">
      <w:pPr>
        <w:rPr>
          <w:lang w:val="es-419"/>
        </w:rPr>
      </w:pPr>
      <w:r w:rsidRPr="008E38B1">
        <w:rPr>
          <w:lang w:val="es-419"/>
        </w:rPr>
        <w:t>El TC, en su quincuagésima sexta</w:t>
      </w:r>
      <w:r w:rsidRPr="008E38B1">
        <w:rPr>
          <w:rStyle w:val="FootnoteReference"/>
          <w:lang w:val="es-419"/>
        </w:rPr>
        <w:footnoteReference w:id="3"/>
      </w:r>
      <w:r w:rsidRPr="008E38B1">
        <w:rPr>
          <w:lang w:val="es-419"/>
        </w:rPr>
        <w:t xml:space="preserve"> sesión, acordó invitar a los TWP a estudiar las siguientes posibles medidas para la participación física y virtual en las reuniones de los TWP (véase el documento TC/56/23, "Informe", párrafo 69):</w:t>
      </w:r>
    </w:p>
    <w:p w:rsidR="00442786" w:rsidRPr="008E38B1" w:rsidRDefault="00442786" w:rsidP="00057EA4">
      <w:pPr>
        <w:jc w:val="left"/>
        <w:rPr>
          <w:lang w:val="es-419"/>
        </w:rPr>
      </w:pPr>
    </w:p>
    <w:p w:rsidR="00442786" w:rsidRPr="008E38B1" w:rsidRDefault="00BA5DE6" w:rsidP="005628B5">
      <w:pPr>
        <w:pStyle w:val="ListParagraph"/>
        <w:numPr>
          <w:ilvl w:val="1"/>
          <w:numId w:val="10"/>
        </w:numPr>
        <w:tabs>
          <w:tab w:val="left" w:pos="1701"/>
        </w:tabs>
        <w:rPr>
          <w:rFonts w:cs="Arial"/>
          <w:lang w:val="es-419"/>
        </w:rPr>
      </w:pPr>
      <w:r w:rsidRPr="008E38B1">
        <w:rPr>
          <w:rFonts w:cs="Arial"/>
          <w:lang w:val="es-419"/>
        </w:rPr>
        <w:t xml:space="preserve">Organizar los debates con </w:t>
      </w:r>
      <w:r w:rsidR="005628B5" w:rsidRPr="008E38B1">
        <w:rPr>
          <w:rFonts w:cs="Arial"/>
          <w:lang w:val="es-419"/>
        </w:rPr>
        <w:t xml:space="preserve">los subgrupos encargados </w:t>
      </w:r>
      <w:r w:rsidRPr="008E38B1">
        <w:rPr>
          <w:rFonts w:cs="Arial"/>
          <w:lang w:val="es-419"/>
        </w:rPr>
        <w:t>de las directrices de examen por medios electrónicos antes de las reuniones de los TWP en lugar de hacerlo durante las reuniones.</w:t>
      </w:r>
      <w:r w:rsidR="00301714" w:rsidRPr="008E38B1">
        <w:rPr>
          <w:rFonts w:cs="Arial"/>
          <w:lang w:val="es-419"/>
        </w:rPr>
        <w:t xml:space="preserve"> </w:t>
      </w:r>
      <w:r w:rsidR="005628B5" w:rsidRPr="008E38B1">
        <w:rPr>
          <w:rFonts w:cs="Arial"/>
          <w:lang w:val="es-419"/>
        </w:rPr>
        <w:t>Las conclusiones de los subgrupos se notificarán en las reuniones de los TWP con el mismo procedimiento que se sigue actualmente.</w:t>
      </w:r>
      <w:r w:rsidR="00301714" w:rsidRPr="008E38B1">
        <w:rPr>
          <w:rFonts w:cs="Arial"/>
          <w:lang w:val="es-419"/>
        </w:rPr>
        <w:t xml:space="preserve"> </w:t>
      </w:r>
    </w:p>
    <w:p w:rsidR="00442786" w:rsidRPr="008E38B1" w:rsidRDefault="00442786" w:rsidP="00057EA4">
      <w:pPr>
        <w:pStyle w:val="ListParagraph"/>
        <w:tabs>
          <w:tab w:val="left" w:pos="1701"/>
        </w:tabs>
        <w:ind w:left="1134" w:hanging="567"/>
        <w:rPr>
          <w:rFonts w:cs="Arial"/>
          <w:lang w:val="es-419"/>
        </w:rPr>
      </w:pPr>
    </w:p>
    <w:p w:rsidR="00442786" w:rsidRPr="008E38B1" w:rsidRDefault="009E512D" w:rsidP="009E512D">
      <w:pPr>
        <w:pStyle w:val="ListParagraph"/>
        <w:numPr>
          <w:ilvl w:val="1"/>
          <w:numId w:val="16"/>
        </w:numPr>
        <w:tabs>
          <w:tab w:val="num" w:pos="567"/>
          <w:tab w:val="left" w:pos="1134"/>
        </w:tabs>
        <w:rPr>
          <w:rFonts w:cs="Arial"/>
          <w:lang w:val="es-419"/>
        </w:rPr>
      </w:pPr>
      <w:r w:rsidRPr="008E38B1">
        <w:rPr>
          <w:rFonts w:cs="Arial"/>
          <w:lang w:val="es-419"/>
        </w:rPr>
        <w:t>Organizar talleres preparatorios virtuales previos a las reuniones de los TWP.</w:t>
      </w:r>
      <w:r w:rsidR="00301714" w:rsidRPr="008E38B1">
        <w:rPr>
          <w:rFonts w:cs="Arial"/>
          <w:lang w:val="es-419"/>
        </w:rPr>
        <w:t xml:space="preserve"> </w:t>
      </w:r>
      <w:r w:rsidRPr="008E38B1">
        <w:rPr>
          <w:rFonts w:cs="Arial"/>
          <w:lang w:val="es-419"/>
        </w:rPr>
        <w:t>Estos talleres preparatorios se grabarán y se publicarán en el sitio web de la UPOV.</w:t>
      </w:r>
    </w:p>
    <w:p w:rsidR="00442786" w:rsidRPr="008E38B1" w:rsidRDefault="00442786" w:rsidP="00057EA4">
      <w:pPr>
        <w:pStyle w:val="ListParagraph"/>
        <w:tabs>
          <w:tab w:val="left" w:pos="1701"/>
        </w:tabs>
        <w:ind w:left="1134" w:hanging="567"/>
        <w:rPr>
          <w:rFonts w:cs="Arial"/>
          <w:lang w:val="es-419"/>
        </w:rPr>
      </w:pPr>
    </w:p>
    <w:p w:rsidR="00442786" w:rsidRPr="008E38B1" w:rsidRDefault="009E512D" w:rsidP="009E512D">
      <w:pPr>
        <w:pStyle w:val="ListParagraph"/>
        <w:numPr>
          <w:ilvl w:val="1"/>
          <w:numId w:val="16"/>
        </w:numPr>
        <w:tabs>
          <w:tab w:val="left" w:pos="1701"/>
        </w:tabs>
        <w:ind w:left="1134" w:hanging="567"/>
        <w:rPr>
          <w:rFonts w:cs="Arial"/>
          <w:lang w:val="es-419"/>
        </w:rPr>
      </w:pPr>
      <w:r w:rsidRPr="008E38B1">
        <w:rPr>
          <w:rFonts w:cs="Arial"/>
          <w:lang w:val="es-419"/>
        </w:rPr>
        <w:t>Ofrecer la posibilidad de formular observaciones y preguntas sobre los documentos antes de la reunión.</w:t>
      </w:r>
      <w:r w:rsidR="00057EA4" w:rsidRPr="008E38B1">
        <w:rPr>
          <w:rFonts w:cs="Arial"/>
          <w:lang w:val="es-419"/>
        </w:rPr>
        <w:t xml:space="preserve"> </w:t>
      </w:r>
    </w:p>
    <w:p w:rsidR="00442786" w:rsidRPr="008E38B1" w:rsidRDefault="00442786" w:rsidP="00057EA4">
      <w:pPr>
        <w:pStyle w:val="ListParagraph"/>
        <w:tabs>
          <w:tab w:val="left" w:pos="1701"/>
        </w:tabs>
        <w:ind w:left="1134" w:hanging="567"/>
        <w:rPr>
          <w:rFonts w:cs="Arial"/>
          <w:lang w:val="es-419"/>
        </w:rPr>
      </w:pPr>
    </w:p>
    <w:p w:rsidR="00442786" w:rsidRPr="008E38B1" w:rsidRDefault="00777E88" w:rsidP="00777E88">
      <w:pPr>
        <w:pStyle w:val="ListParagraph"/>
        <w:numPr>
          <w:ilvl w:val="1"/>
          <w:numId w:val="16"/>
        </w:numPr>
        <w:tabs>
          <w:tab w:val="left" w:pos="1701"/>
        </w:tabs>
        <w:ind w:left="1134" w:hanging="567"/>
        <w:rPr>
          <w:rFonts w:cs="Arial"/>
          <w:lang w:val="es-419"/>
        </w:rPr>
      </w:pPr>
      <w:r w:rsidRPr="008E38B1">
        <w:rPr>
          <w:rFonts w:cs="Arial"/>
          <w:lang w:val="es-419"/>
        </w:rPr>
        <w:t>Organizar la participación electrónica durante las reuniones de los TWP, optando por una de las siguientes posibilidades, según las instalaciones del organizador:</w:t>
      </w:r>
      <w:r w:rsidR="00057EA4" w:rsidRPr="008E38B1">
        <w:rPr>
          <w:rFonts w:cs="Arial"/>
          <w:lang w:val="es-419"/>
        </w:rPr>
        <w:t xml:space="preserve"> </w:t>
      </w:r>
    </w:p>
    <w:p w:rsidR="00442786" w:rsidRPr="008E38B1" w:rsidRDefault="00442786" w:rsidP="00057EA4">
      <w:pPr>
        <w:pStyle w:val="ListParagraph"/>
        <w:tabs>
          <w:tab w:val="left" w:pos="1701"/>
        </w:tabs>
        <w:ind w:left="1134"/>
        <w:rPr>
          <w:rFonts w:cs="Arial"/>
          <w:lang w:val="es-419"/>
        </w:rPr>
      </w:pPr>
    </w:p>
    <w:p w:rsidR="00442786" w:rsidRPr="008E38B1" w:rsidRDefault="00777E88" w:rsidP="00777E88">
      <w:pPr>
        <w:pStyle w:val="ListParagraph"/>
        <w:numPr>
          <w:ilvl w:val="2"/>
          <w:numId w:val="16"/>
        </w:numPr>
        <w:ind w:left="1701" w:hanging="567"/>
        <w:rPr>
          <w:rFonts w:cs="Arial"/>
          <w:lang w:val="es-419"/>
        </w:rPr>
      </w:pPr>
      <w:r w:rsidRPr="008E38B1">
        <w:rPr>
          <w:rFonts w:cs="Arial"/>
          <w:lang w:val="es-419"/>
        </w:rPr>
        <w:t xml:space="preserve">Que el organizador proporcione la plataforma para los participantes virtuales (con audio y video integrados </w:t>
      </w:r>
      <w:r w:rsidRPr="008E38B1">
        <w:rPr>
          <w:rFonts w:cs="Arial"/>
          <w:i/>
          <w:lang w:val="es-419"/>
        </w:rPr>
        <w:t>in situ</w:t>
      </w:r>
      <w:r w:rsidRPr="008E38B1">
        <w:rPr>
          <w:rFonts w:cs="Arial"/>
          <w:lang w:val="es-419"/>
        </w:rPr>
        <w:t xml:space="preserve">), además de la participación </w:t>
      </w:r>
      <w:r w:rsidRPr="008E38B1">
        <w:rPr>
          <w:rFonts w:cs="Arial"/>
          <w:i/>
          <w:lang w:val="es-419"/>
        </w:rPr>
        <w:t>in situ</w:t>
      </w:r>
      <w:r w:rsidRPr="008E38B1">
        <w:rPr>
          <w:rFonts w:cs="Arial"/>
          <w:lang w:val="es-419"/>
        </w:rPr>
        <w:t xml:space="preserve"> en la reunión.</w:t>
      </w:r>
    </w:p>
    <w:p w:rsidR="00442786" w:rsidRPr="008E38B1" w:rsidRDefault="00442786" w:rsidP="00057EA4">
      <w:pPr>
        <w:pStyle w:val="ListParagraph"/>
        <w:ind w:left="1701"/>
        <w:rPr>
          <w:rFonts w:cs="Arial"/>
          <w:lang w:val="es-419"/>
        </w:rPr>
      </w:pPr>
    </w:p>
    <w:p w:rsidR="00442786" w:rsidRPr="008E38B1" w:rsidRDefault="00777E88" w:rsidP="00777E88">
      <w:pPr>
        <w:pStyle w:val="ListParagraph"/>
        <w:numPr>
          <w:ilvl w:val="2"/>
          <w:numId w:val="16"/>
        </w:numPr>
        <w:ind w:left="1701" w:hanging="567"/>
        <w:rPr>
          <w:rFonts w:cs="Arial"/>
          <w:lang w:val="es-419"/>
        </w:rPr>
      </w:pPr>
      <w:r w:rsidRPr="008E38B1">
        <w:rPr>
          <w:rFonts w:cs="Arial"/>
          <w:lang w:val="es-419"/>
        </w:rPr>
        <w:t>Que la Oficina de la Unión proporcione la plataforma para los participantes virtuales.</w:t>
      </w:r>
      <w:r w:rsidR="00057EA4" w:rsidRPr="008E38B1">
        <w:rPr>
          <w:rFonts w:cs="Arial"/>
          <w:lang w:val="es-419"/>
        </w:rPr>
        <w:t xml:space="preserve"> </w:t>
      </w:r>
      <w:r w:rsidRPr="008E38B1">
        <w:rPr>
          <w:rFonts w:cs="Arial"/>
          <w:lang w:val="es-419"/>
        </w:rPr>
        <w:t>Se invitará a todos los participantes (presenciales y a distancia) a incorporarse a la plataforma utilizando su equipo personal.</w:t>
      </w:r>
    </w:p>
    <w:p w:rsidR="00442786" w:rsidRPr="008E38B1" w:rsidRDefault="00442786" w:rsidP="00057EA4">
      <w:pPr>
        <w:pStyle w:val="ListParagraph"/>
        <w:tabs>
          <w:tab w:val="left" w:pos="1701"/>
        </w:tabs>
        <w:ind w:left="1134"/>
        <w:rPr>
          <w:rFonts w:cs="Arial"/>
          <w:lang w:val="es-419"/>
        </w:rPr>
      </w:pPr>
    </w:p>
    <w:p w:rsidR="00442786" w:rsidRPr="008E38B1" w:rsidRDefault="00777E88" w:rsidP="00777E88">
      <w:pPr>
        <w:pStyle w:val="ListParagraph"/>
        <w:keepNext/>
        <w:numPr>
          <w:ilvl w:val="1"/>
          <w:numId w:val="16"/>
        </w:numPr>
        <w:tabs>
          <w:tab w:val="left" w:pos="1701"/>
        </w:tabs>
        <w:rPr>
          <w:rFonts w:cs="Arial"/>
          <w:lang w:val="es-419"/>
        </w:rPr>
      </w:pPr>
      <w:r w:rsidRPr="008E38B1">
        <w:rPr>
          <w:rFonts w:cs="Arial"/>
          <w:lang w:val="es-419"/>
        </w:rPr>
        <w:t>Llevar a cabo reuniones virtuales durante parte del día (por ejemplo, dos reuniones de dos horas al día) y reuniones para que los participantes presenciales realicen las actividades siguientes:</w:t>
      </w:r>
      <w:r w:rsidR="00301714" w:rsidRPr="008E38B1">
        <w:rPr>
          <w:rFonts w:cs="Arial"/>
          <w:lang w:val="es-419"/>
        </w:rPr>
        <w:t xml:space="preserve"> </w:t>
      </w:r>
    </w:p>
    <w:p w:rsidR="00442786" w:rsidRPr="008E38B1" w:rsidRDefault="00442786" w:rsidP="00057EA4">
      <w:pPr>
        <w:pStyle w:val="ListParagraph"/>
        <w:keepNext/>
        <w:tabs>
          <w:tab w:val="left" w:pos="1701"/>
        </w:tabs>
        <w:ind w:left="567"/>
        <w:rPr>
          <w:rFonts w:cs="Arial"/>
          <w:lang w:val="es-419"/>
        </w:rPr>
      </w:pPr>
    </w:p>
    <w:p w:rsidR="00442786" w:rsidRPr="008E38B1" w:rsidRDefault="00777E88" w:rsidP="00777E88">
      <w:pPr>
        <w:pStyle w:val="ListParagraph"/>
        <w:keepNext/>
        <w:numPr>
          <w:ilvl w:val="2"/>
          <w:numId w:val="16"/>
        </w:numPr>
        <w:tabs>
          <w:tab w:val="num" w:pos="1134"/>
          <w:tab w:val="left" w:pos="1701"/>
        </w:tabs>
        <w:jc w:val="left"/>
        <w:rPr>
          <w:rFonts w:cs="Arial"/>
          <w:lang w:val="es-419"/>
        </w:rPr>
      </w:pPr>
      <w:r w:rsidRPr="008E38B1">
        <w:rPr>
          <w:rFonts w:cs="Arial"/>
          <w:lang w:val="es-419"/>
        </w:rPr>
        <w:t>visitas a los ensayos DHE o a instalaciones relacionadas;</w:t>
      </w:r>
      <w:r w:rsidR="00057EA4" w:rsidRPr="008E38B1">
        <w:rPr>
          <w:rFonts w:cs="Arial"/>
          <w:lang w:val="es-419"/>
        </w:rPr>
        <w:t xml:space="preserve"> </w:t>
      </w:r>
    </w:p>
    <w:p w:rsidR="00442786" w:rsidRPr="008E38B1" w:rsidRDefault="00442786" w:rsidP="00057EA4">
      <w:pPr>
        <w:pStyle w:val="ListParagraph"/>
        <w:keepNext/>
        <w:tabs>
          <w:tab w:val="left" w:pos="1701"/>
        </w:tabs>
        <w:ind w:left="1134"/>
        <w:jc w:val="left"/>
        <w:rPr>
          <w:rFonts w:cs="Arial"/>
          <w:lang w:val="es-419"/>
        </w:rPr>
      </w:pPr>
    </w:p>
    <w:p w:rsidR="00442786" w:rsidRPr="008E38B1" w:rsidRDefault="00777E88" w:rsidP="00777E88">
      <w:pPr>
        <w:pStyle w:val="ListParagraph"/>
        <w:keepNext/>
        <w:numPr>
          <w:ilvl w:val="2"/>
          <w:numId w:val="16"/>
        </w:numPr>
        <w:tabs>
          <w:tab w:val="num" w:pos="1134"/>
          <w:tab w:val="left" w:pos="1701"/>
        </w:tabs>
        <w:jc w:val="left"/>
        <w:rPr>
          <w:rFonts w:cs="Arial"/>
          <w:lang w:val="es-419"/>
        </w:rPr>
      </w:pPr>
      <w:r w:rsidRPr="008E38B1">
        <w:rPr>
          <w:rFonts w:cs="Arial"/>
          <w:lang w:val="es-419"/>
        </w:rPr>
        <w:t>debates o reuniones bilaterales previamente organizados sobre cooperación;</w:t>
      </w:r>
      <w:r w:rsidR="00057EA4" w:rsidRPr="008E38B1">
        <w:rPr>
          <w:rFonts w:cs="Arial"/>
          <w:lang w:val="es-419"/>
        </w:rPr>
        <w:t xml:space="preserve"> </w:t>
      </w:r>
    </w:p>
    <w:p w:rsidR="00442786" w:rsidRPr="008E38B1" w:rsidRDefault="00442786" w:rsidP="00057EA4">
      <w:pPr>
        <w:pStyle w:val="ListParagraph"/>
        <w:keepNext/>
        <w:tabs>
          <w:tab w:val="left" w:pos="1701"/>
        </w:tabs>
        <w:ind w:left="1134"/>
        <w:jc w:val="left"/>
        <w:rPr>
          <w:rFonts w:cs="Arial"/>
          <w:lang w:val="es-419"/>
        </w:rPr>
      </w:pPr>
    </w:p>
    <w:p w:rsidR="00442786" w:rsidRPr="008E38B1" w:rsidRDefault="00777E88" w:rsidP="00777E88">
      <w:pPr>
        <w:pStyle w:val="ListParagraph"/>
        <w:keepNext/>
        <w:numPr>
          <w:ilvl w:val="2"/>
          <w:numId w:val="16"/>
        </w:numPr>
        <w:tabs>
          <w:tab w:val="num" w:pos="1134"/>
          <w:tab w:val="left" w:pos="1701"/>
        </w:tabs>
        <w:jc w:val="left"/>
        <w:rPr>
          <w:rFonts w:cs="Arial"/>
          <w:lang w:val="es-419"/>
        </w:rPr>
      </w:pPr>
      <w:r w:rsidRPr="008E38B1">
        <w:rPr>
          <w:rFonts w:cs="Arial"/>
          <w:lang w:val="es-419"/>
        </w:rPr>
        <w:t>reuniones para facilitar los debates o intercambiar conocimientos sobre el examen DHE.</w:t>
      </w:r>
    </w:p>
    <w:p w:rsidR="00442786" w:rsidRPr="008E38B1" w:rsidRDefault="00442786" w:rsidP="00057EA4">
      <w:pPr>
        <w:rPr>
          <w:lang w:val="es-419"/>
        </w:rPr>
      </w:pPr>
    </w:p>
    <w:p w:rsidR="00442786" w:rsidRPr="008E38B1" w:rsidRDefault="00442786" w:rsidP="00C94E4C">
      <w:pPr>
        <w:jc w:val="center"/>
        <w:rPr>
          <w:snapToGrid w:val="0"/>
          <w:lang w:val="es-419"/>
        </w:rPr>
      </w:pPr>
    </w:p>
    <w:p w:rsidR="00442786" w:rsidRPr="008E38B1" w:rsidRDefault="00777E88" w:rsidP="00777E88">
      <w:pPr>
        <w:rPr>
          <w:caps/>
          <w:lang w:val="es-419"/>
        </w:rPr>
      </w:pPr>
      <w:r w:rsidRPr="008E38B1">
        <w:rPr>
          <w:caps/>
          <w:lang w:val="es-419"/>
        </w:rPr>
        <w:t>Observaciones formuladas por los TWP, en sus reuniones de 2021, sobre las posibles medidas de participación física y virtual en las reuniones de los TWP</w:t>
      </w:r>
    </w:p>
    <w:p w:rsidR="00442786" w:rsidRPr="008E38B1" w:rsidRDefault="00442786" w:rsidP="000302A5">
      <w:pPr>
        <w:rPr>
          <w:snapToGrid w:val="0"/>
          <w:lang w:val="es-419"/>
        </w:rPr>
      </w:pPr>
    </w:p>
    <w:p w:rsidR="00442786" w:rsidRPr="008E38B1" w:rsidRDefault="001B5015" w:rsidP="001B5015">
      <w:pPr>
        <w:rPr>
          <w:snapToGrid w:val="0"/>
          <w:lang w:val="es-419"/>
        </w:rPr>
      </w:pPr>
      <w:r w:rsidRPr="008E38B1">
        <w:rPr>
          <w:snapToGrid w:val="0"/>
          <w:lang w:val="es-419"/>
        </w:rPr>
        <w:t>En sus reuniones de 2021, el TWV</w:t>
      </w:r>
      <w:r w:rsidRPr="008E38B1">
        <w:rPr>
          <w:rStyle w:val="FootnoteReference"/>
          <w:snapToGrid w:val="0"/>
          <w:lang w:val="es-419"/>
        </w:rPr>
        <w:footnoteReference w:id="4"/>
      </w:r>
      <w:r w:rsidRPr="008E38B1">
        <w:rPr>
          <w:snapToGrid w:val="0"/>
          <w:lang w:val="es-419"/>
        </w:rPr>
        <w:t>, el TWO</w:t>
      </w:r>
      <w:r w:rsidRPr="008E38B1">
        <w:rPr>
          <w:rStyle w:val="FootnoteReference"/>
          <w:snapToGrid w:val="0"/>
          <w:lang w:val="es-419"/>
        </w:rPr>
        <w:footnoteReference w:id="5"/>
      </w:r>
      <w:r w:rsidRPr="008E38B1">
        <w:rPr>
          <w:snapToGrid w:val="0"/>
          <w:lang w:val="es-419"/>
        </w:rPr>
        <w:t>, el TWA</w:t>
      </w:r>
      <w:r w:rsidRPr="008E38B1">
        <w:rPr>
          <w:rStyle w:val="FootnoteReference"/>
          <w:snapToGrid w:val="0"/>
          <w:lang w:val="es-419"/>
        </w:rPr>
        <w:footnoteReference w:id="6"/>
      </w:r>
      <w:r w:rsidRPr="008E38B1">
        <w:rPr>
          <w:snapToGrid w:val="0"/>
          <w:lang w:val="es-419"/>
        </w:rPr>
        <w:t>, el TWF</w:t>
      </w:r>
      <w:r w:rsidRPr="008E38B1">
        <w:rPr>
          <w:rStyle w:val="FootnoteReference"/>
          <w:snapToGrid w:val="0"/>
          <w:lang w:val="es-419"/>
        </w:rPr>
        <w:footnoteReference w:id="7"/>
      </w:r>
      <w:r w:rsidRPr="008E38B1">
        <w:rPr>
          <w:snapToGrid w:val="0"/>
          <w:lang w:val="es-419"/>
        </w:rPr>
        <w:t xml:space="preserve"> y el TWC</w:t>
      </w:r>
      <w:r w:rsidRPr="008E38B1">
        <w:rPr>
          <w:rStyle w:val="FootnoteReference"/>
          <w:snapToGrid w:val="0"/>
          <w:lang w:val="es-419"/>
        </w:rPr>
        <w:footnoteReference w:id="8"/>
      </w:r>
      <w:r w:rsidRPr="008E38B1">
        <w:rPr>
          <w:snapToGrid w:val="0"/>
          <w:lang w:val="es-419"/>
        </w:rPr>
        <w:t xml:space="preserve"> examinaron el documento TWP/5/12 (véanse los párrafos 97 a 103 del documento TWV/55/16, “</w:t>
      </w:r>
      <w:r w:rsidRPr="008E38B1">
        <w:rPr>
          <w:i/>
          <w:snapToGrid w:val="0"/>
          <w:lang w:val="es-419"/>
        </w:rPr>
        <w:t>Report</w:t>
      </w:r>
      <w:r w:rsidRPr="008E38B1">
        <w:rPr>
          <w:snapToGrid w:val="0"/>
          <w:lang w:val="es-419"/>
        </w:rPr>
        <w:t>” (Informe); los párrafos 85 a 87 del documento TWO/53/10, “</w:t>
      </w:r>
      <w:r w:rsidRPr="008E38B1">
        <w:rPr>
          <w:i/>
          <w:snapToGrid w:val="0"/>
          <w:lang w:val="es-419"/>
        </w:rPr>
        <w:t>Report</w:t>
      </w:r>
      <w:r w:rsidRPr="008E38B1">
        <w:rPr>
          <w:snapToGrid w:val="0"/>
          <w:lang w:val="es-419"/>
        </w:rPr>
        <w:t>”; los párrafos 96 a 99 del documento TWA/50/9, “</w:t>
      </w:r>
      <w:r w:rsidRPr="008E38B1">
        <w:rPr>
          <w:i/>
          <w:snapToGrid w:val="0"/>
          <w:lang w:val="es-419"/>
        </w:rPr>
        <w:t>Report</w:t>
      </w:r>
      <w:r w:rsidRPr="008E38B1">
        <w:rPr>
          <w:snapToGrid w:val="0"/>
          <w:lang w:val="es-419"/>
        </w:rPr>
        <w:t>”; y los párrafos 81 a 84 del documento TWF/52/10, “</w:t>
      </w:r>
      <w:r w:rsidRPr="008E38B1">
        <w:rPr>
          <w:i/>
          <w:snapToGrid w:val="0"/>
          <w:lang w:val="es-419"/>
        </w:rPr>
        <w:t>Report</w:t>
      </w:r>
      <w:r w:rsidRPr="008E38B1">
        <w:rPr>
          <w:snapToGrid w:val="0"/>
          <w:lang w:val="es-419"/>
        </w:rPr>
        <w:t>”).</w:t>
      </w:r>
    </w:p>
    <w:p w:rsidR="00442786" w:rsidRPr="008E38B1" w:rsidRDefault="00442786" w:rsidP="00FC03E0">
      <w:pPr>
        <w:rPr>
          <w:snapToGrid w:val="0"/>
          <w:lang w:val="es-419"/>
        </w:rPr>
      </w:pPr>
    </w:p>
    <w:p w:rsidR="00442786" w:rsidRPr="008E38B1" w:rsidRDefault="005475A5" w:rsidP="005475A5">
      <w:pPr>
        <w:rPr>
          <w:snapToGrid w:val="0"/>
          <w:lang w:val="es-419"/>
        </w:rPr>
      </w:pPr>
      <w:r w:rsidRPr="008E38B1">
        <w:rPr>
          <w:snapToGrid w:val="0"/>
          <w:lang w:val="es-419"/>
        </w:rPr>
        <w:t>El TWV, el TWO, el TWA y el TWF tomaron nota de la información sobre la participación por medios electrónicos en las reuniones de los TWP y del TC en 2020 y de las medidas para mejorar las reuniones virtuales que se celebren en el futuro, tal como se expone en los párrafos 15 a 21 del documento TWP/5/12.</w:t>
      </w:r>
    </w:p>
    <w:p w:rsidR="00442786" w:rsidRPr="008E38B1" w:rsidRDefault="00442786" w:rsidP="00FC03E0">
      <w:pPr>
        <w:rPr>
          <w:snapToGrid w:val="0"/>
          <w:lang w:val="es-419"/>
        </w:rPr>
      </w:pPr>
    </w:p>
    <w:p w:rsidR="00442786" w:rsidRPr="008E38B1" w:rsidRDefault="005475A5" w:rsidP="005475A5">
      <w:pPr>
        <w:rPr>
          <w:snapToGrid w:val="0"/>
          <w:lang w:val="es-419"/>
        </w:rPr>
      </w:pPr>
      <w:r w:rsidRPr="008E38B1">
        <w:rPr>
          <w:snapToGrid w:val="0"/>
          <w:lang w:val="es-419"/>
        </w:rPr>
        <w:t>El TWV tomó nota de que la participación en los TWP creció en 2020 y convino en la conveniencia de continuar estudiando opciones para que siga creciendo el número de miembros que participan en la labor técnica de la UPOV, como por ejemplo, el aumento del número de oportunidades de interactuar e intercambiar información.</w:t>
      </w:r>
    </w:p>
    <w:p w:rsidR="00442786" w:rsidRPr="008E38B1" w:rsidRDefault="00442786" w:rsidP="000302A5">
      <w:pPr>
        <w:rPr>
          <w:lang w:val="es-419"/>
        </w:rPr>
      </w:pPr>
    </w:p>
    <w:p w:rsidR="00442786" w:rsidRPr="008E38B1" w:rsidRDefault="005475A5" w:rsidP="005475A5">
      <w:pPr>
        <w:rPr>
          <w:lang w:val="es-419"/>
        </w:rPr>
      </w:pPr>
      <w:r w:rsidRPr="008E38B1">
        <w:rPr>
          <w:lang w:val="es-419"/>
        </w:rPr>
        <w:t>En sus reuniones de 2021, el TWV, el TWO, el TWA y el TWF examinaron posibles medidas para la participación física y virtual en las reuniones de los TWP y acordaron lo siguiente:</w:t>
      </w:r>
    </w:p>
    <w:p w:rsidR="00442786" w:rsidRPr="008E38B1" w:rsidRDefault="00442786" w:rsidP="00051BB2">
      <w:pPr>
        <w:rPr>
          <w:lang w:val="es-419"/>
        </w:rPr>
      </w:pPr>
    </w:p>
    <w:p w:rsidR="00442786" w:rsidRPr="008E38B1" w:rsidRDefault="005475A5" w:rsidP="005475A5">
      <w:pPr>
        <w:pStyle w:val="ListParagraph"/>
        <w:keepNext/>
        <w:keepLines/>
        <w:numPr>
          <w:ilvl w:val="1"/>
          <w:numId w:val="17"/>
        </w:numPr>
        <w:tabs>
          <w:tab w:val="left" w:pos="1701"/>
        </w:tabs>
        <w:rPr>
          <w:rFonts w:cs="Arial"/>
          <w:lang w:val="es-419"/>
        </w:rPr>
      </w:pPr>
      <w:r w:rsidRPr="008E38B1">
        <w:rPr>
          <w:rFonts w:cs="Arial"/>
          <w:lang w:val="es-419"/>
        </w:rPr>
        <w:t>Organizar los debates con los subgrupos encargados de las directrices de examen por medios electrónicos antes de las reuniones de los TWP en lugar de hacerlo durante las reuniones.</w:t>
      </w:r>
      <w:r w:rsidR="00301714" w:rsidRPr="008E38B1">
        <w:rPr>
          <w:rFonts w:cs="Arial"/>
          <w:lang w:val="es-419"/>
        </w:rPr>
        <w:t xml:space="preserve"> </w:t>
      </w:r>
      <w:r w:rsidRPr="008E38B1">
        <w:rPr>
          <w:rFonts w:cs="Arial"/>
          <w:lang w:val="es-419"/>
        </w:rPr>
        <w:t>Las conclusiones de los subgrupos se notificarán en las reuniones de los TWP con el mismo procedimiento que se sigue actualmente.</w:t>
      </w:r>
    </w:p>
    <w:p w:rsidR="00D05F80" w:rsidRPr="008E38B1" w:rsidRDefault="00D05F80" w:rsidP="00D05F80">
      <w:pPr>
        <w:keepNext/>
        <w:rPr>
          <w:rFonts w:cs="Arial"/>
          <w:snapToGrid w:val="0"/>
          <w:lang w:val="es-419"/>
        </w:rPr>
      </w:pPr>
    </w:p>
    <w:tbl>
      <w:tblPr>
        <w:tblStyle w:val="TableGrid"/>
        <w:tblW w:w="10065" w:type="dxa"/>
        <w:tblInd w:w="-147" w:type="dxa"/>
        <w:tblLook w:val="04A0" w:firstRow="1" w:lastRow="0" w:firstColumn="1" w:lastColumn="0" w:noHBand="0" w:noVBand="1"/>
      </w:tblPr>
      <w:tblGrid>
        <w:gridCol w:w="1550"/>
        <w:gridCol w:w="2050"/>
        <w:gridCol w:w="1848"/>
        <w:gridCol w:w="1839"/>
        <w:gridCol w:w="2050"/>
        <w:gridCol w:w="728"/>
      </w:tblGrid>
      <w:tr w:rsidR="00451078" w:rsidRPr="008E38B1" w:rsidTr="00451078">
        <w:trPr>
          <w:cantSplit/>
        </w:trPr>
        <w:tc>
          <w:tcPr>
            <w:tcW w:w="1018" w:type="dxa"/>
            <w:vAlign w:val="center"/>
          </w:tcPr>
          <w:p w:rsidR="00451078" w:rsidRPr="008E38B1" w:rsidRDefault="00451078" w:rsidP="00A14953">
            <w:pPr>
              <w:keepNext/>
              <w:jc w:val="center"/>
              <w:rPr>
                <w:lang w:val="es-419"/>
              </w:rPr>
            </w:pPr>
          </w:p>
        </w:tc>
        <w:tc>
          <w:tcPr>
            <w:tcW w:w="2224"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TWV</w:t>
            </w:r>
          </w:p>
        </w:tc>
        <w:tc>
          <w:tcPr>
            <w:tcW w:w="1948"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TWO</w:t>
            </w:r>
          </w:p>
        </w:tc>
        <w:tc>
          <w:tcPr>
            <w:tcW w:w="1953"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TWA</w:t>
            </w:r>
          </w:p>
        </w:tc>
        <w:tc>
          <w:tcPr>
            <w:tcW w:w="2224"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TWF</w:t>
            </w:r>
          </w:p>
        </w:tc>
        <w:tc>
          <w:tcPr>
            <w:tcW w:w="698" w:type="dxa"/>
            <w:vAlign w:val="center"/>
          </w:tcPr>
          <w:p w:rsidR="00451078" w:rsidRPr="008E38B1" w:rsidRDefault="00451078" w:rsidP="00451078">
            <w:pPr>
              <w:keepNext/>
              <w:jc w:val="center"/>
              <w:rPr>
                <w:rFonts w:cs="Arial"/>
                <w:snapToGrid w:val="0"/>
                <w:lang w:val="es-419"/>
              </w:rPr>
            </w:pPr>
            <w:r w:rsidRPr="008E38B1">
              <w:rPr>
                <w:rFonts w:cs="Arial"/>
                <w:snapToGrid w:val="0"/>
                <w:lang w:val="es-419"/>
              </w:rPr>
              <w:t>TWC</w:t>
            </w:r>
          </w:p>
        </w:tc>
      </w:tr>
      <w:tr w:rsidR="00451078" w:rsidRPr="008E38B1" w:rsidTr="0027254B">
        <w:trPr>
          <w:cantSplit/>
          <w:trHeight w:val="461"/>
        </w:trPr>
        <w:tc>
          <w:tcPr>
            <w:tcW w:w="1018" w:type="dxa"/>
            <w:vAlign w:val="center"/>
          </w:tcPr>
          <w:p w:rsidR="00451078" w:rsidRPr="008E38B1" w:rsidRDefault="00755493" w:rsidP="00755493">
            <w:pPr>
              <w:jc w:val="center"/>
              <w:rPr>
                <w:lang w:val="es-419"/>
              </w:rPr>
            </w:pPr>
            <w:r w:rsidRPr="008E38B1">
              <w:rPr>
                <w:lang w:val="es-419"/>
              </w:rPr>
              <w:t>Opinión</w:t>
            </w:r>
          </w:p>
        </w:tc>
        <w:tc>
          <w:tcPr>
            <w:tcW w:w="2224" w:type="dxa"/>
            <w:vAlign w:val="center"/>
          </w:tcPr>
          <w:p w:rsidR="00451078" w:rsidRPr="008E38B1" w:rsidRDefault="00755493" w:rsidP="00755493">
            <w:pPr>
              <w:keepNext/>
              <w:jc w:val="center"/>
              <w:rPr>
                <w:rFonts w:cs="Arial"/>
                <w:snapToGrid w:val="0"/>
                <w:lang w:val="es-419"/>
              </w:rPr>
            </w:pPr>
            <w:r w:rsidRPr="008E38B1">
              <w:rPr>
                <w:rFonts w:cs="Arial"/>
                <w:snapToGrid w:val="0"/>
                <w:lang w:val="es-419"/>
              </w:rPr>
              <w:t>Favorable</w:t>
            </w:r>
          </w:p>
        </w:tc>
        <w:tc>
          <w:tcPr>
            <w:tcW w:w="1948" w:type="dxa"/>
            <w:vAlign w:val="center"/>
          </w:tcPr>
          <w:p w:rsidR="00451078" w:rsidRPr="008E38B1" w:rsidRDefault="00755493" w:rsidP="00755493">
            <w:pPr>
              <w:keepNext/>
              <w:jc w:val="center"/>
              <w:rPr>
                <w:rFonts w:cs="Arial"/>
                <w:snapToGrid w:val="0"/>
                <w:lang w:val="es-419"/>
              </w:rPr>
            </w:pPr>
            <w:r w:rsidRPr="008E38B1">
              <w:rPr>
                <w:rFonts w:cs="Arial"/>
                <w:snapToGrid w:val="0"/>
                <w:lang w:val="es-419"/>
              </w:rPr>
              <w:t>Parcialmente favorable</w:t>
            </w:r>
          </w:p>
        </w:tc>
        <w:tc>
          <w:tcPr>
            <w:tcW w:w="1953" w:type="dxa"/>
            <w:vAlign w:val="center"/>
          </w:tcPr>
          <w:p w:rsidR="00451078" w:rsidRPr="008E38B1" w:rsidRDefault="00755493" w:rsidP="00755493">
            <w:pPr>
              <w:keepNext/>
              <w:jc w:val="center"/>
              <w:rPr>
                <w:rFonts w:cs="Arial"/>
                <w:snapToGrid w:val="0"/>
                <w:lang w:val="es-419"/>
              </w:rPr>
            </w:pPr>
            <w:r w:rsidRPr="008E38B1">
              <w:rPr>
                <w:rFonts w:cs="Arial"/>
                <w:snapToGrid w:val="0"/>
                <w:lang w:val="es-419"/>
              </w:rPr>
              <w:t>Parcialmente favorable</w:t>
            </w:r>
          </w:p>
        </w:tc>
        <w:tc>
          <w:tcPr>
            <w:tcW w:w="2224" w:type="dxa"/>
            <w:vAlign w:val="center"/>
          </w:tcPr>
          <w:p w:rsidR="00451078" w:rsidRPr="008E38B1" w:rsidRDefault="00755493" w:rsidP="00755493">
            <w:pPr>
              <w:keepNext/>
              <w:jc w:val="center"/>
              <w:rPr>
                <w:rFonts w:cs="Arial"/>
                <w:snapToGrid w:val="0"/>
                <w:lang w:val="es-419"/>
              </w:rPr>
            </w:pPr>
            <w:r w:rsidRPr="008E38B1">
              <w:rPr>
                <w:rFonts w:cs="Arial"/>
                <w:snapToGrid w:val="0"/>
                <w:lang w:val="es-419"/>
              </w:rPr>
              <w:t>Favorable</w:t>
            </w:r>
          </w:p>
        </w:tc>
        <w:tc>
          <w:tcPr>
            <w:tcW w:w="698" w:type="dxa"/>
            <w:vAlign w:val="center"/>
          </w:tcPr>
          <w:p w:rsidR="0027254B" w:rsidRPr="008E38B1" w:rsidRDefault="00755493" w:rsidP="00755493">
            <w:pPr>
              <w:keepNext/>
              <w:jc w:val="center"/>
              <w:rPr>
                <w:rFonts w:cs="Arial"/>
                <w:snapToGrid w:val="0"/>
                <w:lang w:val="es-419"/>
              </w:rPr>
            </w:pPr>
            <w:r w:rsidRPr="008E38B1">
              <w:rPr>
                <w:rFonts w:cs="Arial"/>
                <w:snapToGrid w:val="0"/>
                <w:lang w:val="es-419"/>
              </w:rPr>
              <w:t>Toma nota</w:t>
            </w:r>
          </w:p>
        </w:tc>
      </w:tr>
      <w:tr w:rsidR="00451078" w:rsidRPr="003F4FE7" w:rsidTr="00451078">
        <w:tc>
          <w:tcPr>
            <w:tcW w:w="1018" w:type="dxa"/>
          </w:tcPr>
          <w:p w:rsidR="00442786" w:rsidRPr="008E38B1" w:rsidRDefault="00442786" w:rsidP="00A14953">
            <w:pPr>
              <w:keepNext/>
              <w:jc w:val="left"/>
              <w:rPr>
                <w:lang w:val="es-419"/>
              </w:rPr>
            </w:pPr>
          </w:p>
          <w:p w:rsidR="00451078" w:rsidRPr="008E38B1" w:rsidRDefault="00755493" w:rsidP="00755493">
            <w:pPr>
              <w:keepNext/>
              <w:jc w:val="left"/>
              <w:rPr>
                <w:rFonts w:cs="Arial"/>
                <w:snapToGrid w:val="0"/>
                <w:lang w:val="es-419"/>
              </w:rPr>
            </w:pPr>
            <w:r w:rsidRPr="008E38B1">
              <w:rPr>
                <w:rFonts w:cs="Arial"/>
                <w:snapToGrid w:val="0"/>
                <w:lang w:val="es-419"/>
              </w:rPr>
              <w:t>Observaciones</w:t>
            </w:r>
          </w:p>
        </w:tc>
        <w:tc>
          <w:tcPr>
            <w:tcW w:w="2224" w:type="dxa"/>
          </w:tcPr>
          <w:p w:rsidR="00442786" w:rsidRPr="008E38B1" w:rsidRDefault="00755493" w:rsidP="00755493">
            <w:pPr>
              <w:keepNext/>
              <w:jc w:val="left"/>
              <w:rPr>
                <w:rFonts w:cs="Arial"/>
                <w:snapToGrid w:val="0"/>
                <w:sz w:val="18"/>
                <w:lang w:val="es-419"/>
              </w:rPr>
            </w:pPr>
            <w:r w:rsidRPr="008E38B1">
              <w:rPr>
                <w:rFonts w:cs="Arial"/>
                <w:snapToGrid w:val="0"/>
                <w:sz w:val="18"/>
                <w:lang w:val="es-419"/>
              </w:rPr>
              <w:t>- Oportunidad de reunir a los expertos pertinentes</w:t>
            </w:r>
          </w:p>
          <w:p w:rsidR="00442786" w:rsidRPr="008E38B1" w:rsidRDefault="00755493" w:rsidP="00755493">
            <w:pPr>
              <w:keepNext/>
              <w:jc w:val="left"/>
              <w:rPr>
                <w:rFonts w:cs="Arial"/>
                <w:snapToGrid w:val="0"/>
                <w:sz w:val="18"/>
                <w:lang w:val="es-419"/>
              </w:rPr>
            </w:pPr>
            <w:r w:rsidRPr="008E38B1">
              <w:rPr>
                <w:rFonts w:cs="Arial"/>
                <w:snapToGrid w:val="0"/>
                <w:sz w:val="18"/>
                <w:lang w:val="es-419"/>
              </w:rPr>
              <w:t>- Más oportunidades para debatir, intercambiar y contribuir libremente</w:t>
            </w:r>
          </w:p>
          <w:p w:rsidR="00442786" w:rsidRPr="008E38B1" w:rsidRDefault="009D06EA" w:rsidP="009D06EA">
            <w:pPr>
              <w:keepNext/>
              <w:jc w:val="left"/>
              <w:rPr>
                <w:rFonts w:cs="Arial"/>
                <w:snapToGrid w:val="0"/>
                <w:sz w:val="18"/>
                <w:lang w:val="es-419"/>
              </w:rPr>
            </w:pPr>
            <w:r w:rsidRPr="008E38B1">
              <w:rPr>
                <w:rFonts w:cs="Arial"/>
                <w:snapToGrid w:val="0"/>
                <w:sz w:val="18"/>
                <w:lang w:val="es-419"/>
              </w:rPr>
              <w:t>- En la reunión principal solo se podrían tratar las cuestiones pendientes más importantes, si procede.</w:t>
            </w:r>
            <w:r w:rsidR="00451078" w:rsidRPr="008E38B1">
              <w:rPr>
                <w:rFonts w:cs="Arial"/>
                <w:snapToGrid w:val="0"/>
                <w:sz w:val="18"/>
                <w:lang w:val="es-419"/>
              </w:rPr>
              <w:t xml:space="preserve"> </w:t>
            </w:r>
            <w:r w:rsidRPr="008E38B1">
              <w:rPr>
                <w:rFonts w:cs="Arial"/>
                <w:snapToGrid w:val="0"/>
                <w:sz w:val="18"/>
                <w:lang w:val="es-419"/>
              </w:rPr>
              <w:t>La mayoría de las cuestiones técnicas podrían resolverse en el seno del subgrupo</w:t>
            </w:r>
          </w:p>
          <w:p w:rsidR="00442786" w:rsidRPr="008E38B1" w:rsidRDefault="009D06EA" w:rsidP="009D06EA">
            <w:pPr>
              <w:keepNext/>
              <w:jc w:val="left"/>
              <w:rPr>
                <w:rFonts w:cs="Arial"/>
                <w:snapToGrid w:val="0"/>
                <w:sz w:val="18"/>
                <w:lang w:val="es-419"/>
              </w:rPr>
            </w:pPr>
            <w:r w:rsidRPr="008E38B1">
              <w:rPr>
                <w:rFonts w:cs="Arial"/>
                <w:snapToGrid w:val="0"/>
                <w:sz w:val="18"/>
                <w:lang w:val="es-419"/>
              </w:rPr>
              <w:t xml:space="preserve">- La dificultad para encontrar un horario adecuado podría </w:t>
            </w:r>
            <w:r w:rsidR="00D77064" w:rsidRPr="008E38B1">
              <w:rPr>
                <w:rFonts w:cs="Arial"/>
                <w:snapToGrid w:val="0"/>
                <w:sz w:val="18"/>
                <w:lang w:val="es-419"/>
              </w:rPr>
              <w:t xml:space="preserve">incidir en </w:t>
            </w:r>
            <w:r w:rsidRPr="008E38B1">
              <w:rPr>
                <w:rFonts w:cs="Arial"/>
                <w:snapToGrid w:val="0"/>
                <w:sz w:val="18"/>
                <w:lang w:val="es-419"/>
              </w:rPr>
              <w:t>la igualdad de oportunidades para participar (husos horarios)</w:t>
            </w:r>
          </w:p>
          <w:p w:rsidR="00451078" w:rsidRPr="008E38B1" w:rsidRDefault="009D06EA" w:rsidP="009D06EA">
            <w:pPr>
              <w:keepNext/>
              <w:jc w:val="left"/>
              <w:rPr>
                <w:rFonts w:cs="Arial"/>
                <w:snapToGrid w:val="0"/>
                <w:sz w:val="18"/>
                <w:lang w:val="es-419"/>
              </w:rPr>
            </w:pPr>
            <w:r w:rsidRPr="008E38B1">
              <w:rPr>
                <w:rFonts w:cs="Arial"/>
                <w:snapToGrid w:val="0"/>
                <w:sz w:val="18"/>
                <w:lang w:val="es-419"/>
              </w:rPr>
              <w:t>- Los debates por medios electrónicos pueden beneficiarse de la participación de los expertos que no puedan asistir a las reuniones de los TWP</w:t>
            </w:r>
          </w:p>
        </w:tc>
        <w:tc>
          <w:tcPr>
            <w:tcW w:w="1948" w:type="dxa"/>
          </w:tcPr>
          <w:p w:rsidR="00442786" w:rsidRPr="008E38B1" w:rsidRDefault="009D06EA" w:rsidP="009D06EA">
            <w:pPr>
              <w:keepNext/>
              <w:jc w:val="left"/>
              <w:rPr>
                <w:rFonts w:cs="Arial"/>
                <w:snapToGrid w:val="0"/>
                <w:sz w:val="18"/>
                <w:lang w:val="es-419"/>
              </w:rPr>
            </w:pPr>
            <w:r w:rsidRPr="008E38B1">
              <w:rPr>
                <w:rFonts w:cs="Arial"/>
                <w:snapToGrid w:val="0"/>
                <w:sz w:val="18"/>
                <w:lang w:val="es-419"/>
              </w:rPr>
              <w:t>- Los debates de los subgrupos encargados de las directrices de examen podrían organizarse antes de las reuniones de los TWP para agilizar el examen de los documentos</w:t>
            </w:r>
          </w:p>
          <w:p w:rsidR="00442786" w:rsidRPr="008E38B1" w:rsidRDefault="00DE3B28" w:rsidP="00DE3B28">
            <w:pPr>
              <w:keepNext/>
              <w:jc w:val="left"/>
              <w:rPr>
                <w:rFonts w:cs="Arial"/>
                <w:snapToGrid w:val="0"/>
                <w:sz w:val="18"/>
                <w:lang w:val="es-419"/>
              </w:rPr>
            </w:pPr>
            <w:r w:rsidRPr="008E38B1">
              <w:rPr>
                <w:rFonts w:cs="Arial"/>
                <w:snapToGrid w:val="0"/>
                <w:sz w:val="18"/>
                <w:lang w:val="es-419"/>
              </w:rPr>
              <w:t>- La programación de esas reuniones debería debatirse detalladamente entre los participantes en el subgrupo</w:t>
            </w:r>
          </w:p>
          <w:p w:rsidR="00451078" w:rsidRPr="008E38B1" w:rsidRDefault="00DE3B28" w:rsidP="00DE3B28">
            <w:pPr>
              <w:keepNext/>
              <w:jc w:val="left"/>
              <w:rPr>
                <w:rFonts w:cs="Arial"/>
                <w:snapToGrid w:val="0"/>
                <w:sz w:val="18"/>
                <w:lang w:val="es-419"/>
              </w:rPr>
            </w:pPr>
            <w:r w:rsidRPr="008E38B1">
              <w:rPr>
                <w:rFonts w:cs="Arial"/>
                <w:snapToGrid w:val="0"/>
                <w:sz w:val="18"/>
                <w:lang w:val="es-419"/>
              </w:rPr>
              <w:t>- Las reuniones en persona deberían mantenerse en las reuniones de los TWP para debatir las directrices de examen</w:t>
            </w:r>
          </w:p>
        </w:tc>
        <w:tc>
          <w:tcPr>
            <w:tcW w:w="1953" w:type="dxa"/>
          </w:tcPr>
          <w:p w:rsidR="00442786" w:rsidRPr="008E38B1" w:rsidRDefault="00DE3B28" w:rsidP="00DE3B28">
            <w:pPr>
              <w:keepNext/>
              <w:jc w:val="left"/>
              <w:rPr>
                <w:rFonts w:cs="Arial"/>
                <w:snapToGrid w:val="0"/>
                <w:sz w:val="18"/>
                <w:lang w:val="es-419"/>
              </w:rPr>
            </w:pPr>
            <w:r w:rsidRPr="008E38B1">
              <w:rPr>
                <w:rFonts w:cs="Arial"/>
                <w:snapToGrid w:val="0"/>
                <w:sz w:val="18"/>
                <w:lang w:val="es-419"/>
              </w:rPr>
              <w:t>- Los debates de los subgrupos encargados de las directrices de examen deberían seguir celebrándose durante las reuniones de los TWP</w:t>
            </w:r>
          </w:p>
          <w:p w:rsidR="00442786" w:rsidRPr="008E38B1" w:rsidRDefault="00DE3B28" w:rsidP="00DE3B28">
            <w:pPr>
              <w:keepNext/>
              <w:jc w:val="left"/>
              <w:rPr>
                <w:rFonts w:cs="Arial"/>
                <w:snapToGrid w:val="0"/>
                <w:sz w:val="18"/>
                <w:lang w:val="es-419"/>
              </w:rPr>
            </w:pPr>
            <w:r w:rsidRPr="008E38B1">
              <w:rPr>
                <w:rFonts w:cs="Arial"/>
                <w:snapToGrid w:val="0"/>
                <w:sz w:val="18"/>
                <w:lang w:val="es-419"/>
              </w:rPr>
              <w:t>- Se podrían organizar debates por medios electrónicos además de los debates en el seno de los TWP</w:t>
            </w:r>
          </w:p>
          <w:p w:rsidR="00442786" w:rsidRPr="008E38B1" w:rsidRDefault="00DE3B28" w:rsidP="00DE3B28">
            <w:pPr>
              <w:keepNext/>
              <w:jc w:val="left"/>
              <w:rPr>
                <w:rFonts w:cs="Arial"/>
                <w:snapToGrid w:val="0"/>
                <w:sz w:val="18"/>
                <w:lang w:val="es-419"/>
              </w:rPr>
            </w:pPr>
            <w:r w:rsidRPr="008E38B1">
              <w:rPr>
                <w:rFonts w:cs="Arial"/>
                <w:snapToGrid w:val="0"/>
                <w:sz w:val="18"/>
                <w:lang w:val="es-419"/>
              </w:rPr>
              <w:t>- La dificultad para encontrar un horario adecuado podría incidir en la igualdad de oportunidades para participar</w:t>
            </w:r>
          </w:p>
          <w:p w:rsidR="00451078" w:rsidRPr="008E38B1" w:rsidRDefault="00DE3B28" w:rsidP="00DE3B28">
            <w:pPr>
              <w:keepNext/>
              <w:jc w:val="left"/>
              <w:rPr>
                <w:rFonts w:cs="Arial"/>
                <w:snapToGrid w:val="0"/>
                <w:sz w:val="18"/>
                <w:lang w:val="es-419"/>
              </w:rPr>
            </w:pPr>
            <w:r w:rsidRPr="008E38B1">
              <w:rPr>
                <w:rFonts w:cs="Arial"/>
                <w:snapToGrid w:val="0"/>
                <w:sz w:val="18"/>
                <w:lang w:val="es-419"/>
              </w:rPr>
              <w:t>- Los debates por medios electrónicos pueden beneficiarse de la participación de los expertos que no puedan asistir a las reuniones de los TWP</w:t>
            </w:r>
          </w:p>
        </w:tc>
        <w:tc>
          <w:tcPr>
            <w:tcW w:w="2224" w:type="dxa"/>
          </w:tcPr>
          <w:p w:rsidR="00442786" w:rsidRPr="008E38B1" w:rsidRDefault="00DE3B28" w:rsidP="00DE3B28">
            <w:pPr>
              <w:keepNext/>
              <w:jc w:val="left"/>
              <w:rPr>
                <w:rFonts w:cs="Arial"/>
                <w:snapToGrid w:val="0"/>
                <w:sz w:val="18"/>
                <w:lang w:val="es-419"/>
              </w:rPr>
            </w:pPr>
            <w:r w:rsidRPr="008E38B1">
              <w:rPr>
                <w:rFonts w:cs="Arial"/>
                <w:snapToGrid w:val="0"/>
                <w:sz w:val="18"/>
                <w:lang w:val="es-419"/>
              </w:rPr>
              <w:t>- Oportunidad de reunir a los expertos pertinentes</w:t>
            </w:r>
          </w:p>
          <w:p w:rsidR="00442786" w:rsidRPr="008E38B1" w:rsidRDefault="00DE3B28" w:rsidP="00DE3B28">
            <w:pPr>
              <w:keepNext/>
              <w:jc w:val="left"/>
              <w:rPr>
                <w:rFonts w:cs="Arial"/>
                <w:snapToGrid w:val="0"/>
                <w:sz w:val="18"/>
                <w:lang w:val="es-419"/>
              </w:rPr>
            </w:pPr>
            <w:r w:rsidRPr="008E38B1">
              <w:rPr>
                <w:rFonts w:cs="Arial"/>
                <w:snapToGrid w:val="0"/>
                <w:sz w:val="18"/>
                <w:lang w:val="es-419"/>
              </w:rPr>
              <w:t>- Más oportunidades para debatir, intercambiar y contribuir libremente</w:t>
            </w:r>
          </w:p>
          <w:p w:rsidR="00442786" w:rsidRPr="008E38B1" w:rsidRDefault="00DE3B28" w:rsidP="00DE3B28">
            <w:pPr>
              <w:keepNext/>
              <w:jc w:val="left"/>
              <w:rPr>
                <w:rFonts w:cs="Arial"/>
                <w:snapToGrid w:val="0"/>
                <w:sz w:val="18"/>
                <w:lang w:val="es-419"/>
              </w:rPr>
            </w:pPr>
            <w:r w:rsidRPr="008E38B1">
              <w:rPr>
                <w:rFonts w:cs="Arial"/>
                <w:snapToGrid w:val="0"/>
                <w:sz w:val="18"/>
                <w:lang w:val="es-419"/>
              </w:rPr>
              <w:t>- En la reunión principal solo se podrían tratar las cuestiones pendientes más importantes, si procede.</w:t>
            </w:r>
            <w:r w:rsidR="00451078" w:rsidRPr="008E38B1">
              <w:rPr>
                <w:rFonts w:cs="Arial"/>
                <w:snapToGrid w:val="0"/>
                <w:sz w:val="18"/>
                <w:lang w:val="es-419"/>
              </w:rPr>
              <w:t xml:space="preserve"> </w:t>
            </w:r>
            <w:r w:rsidRPr="008E38B1">
              <w:rPr>
                <w:rFonts w:cs="Arial"/>
                <w:snapToGrid w:val="0"/>
                <w:sz w:val="18"/>
                <w:lang w:val="es-419"/>
              </w:rPr>
              <w:t>La mayoría de las cuestiones técnicas podrían resolverse en el seno del subgrupo</w:t>
            </w:r>
          </w:p>
          <w:p w:rsidR="00442786" w:rsidRPr="008E38B1" w:rsidRDefault="007B1636" w:rsidP="007B1636">
            <w:pPr>
              <w:keepNext/>
              <w:jc w:val="left"/>
              <w:rPr>
                <w:rFonts w:cs="Arial"/>
                <w:snapToGrid w:val="0"/>
                <w:sz w:val="18"/>
                <w:lang w:val="es-419"/>
              </w:rPr>
            </w:pPr>
            <w:r w:rsidRPr="008E38B1">
              <w:rPr>
                <w:rFonts w:cs="Arial"/>
                <w:snapToGrid w:val="0"/>
                <w:sz w:val="18"/>
                <w:lang w:val="es-419"/>
              </w:rPr>
              <w:t>- La dificultad para encontrar un horario adecuado podría incidir en la igualdad de oportunidades para participar (husos horarios)</w:t>
            </w:r>
          </w:p>
          <w:p w:rsidR="00451078" w:rsidRPr="008E38B1" w:rsidRDefault="007B1636" w:rsidP="007B1636">
            <w:pPr>
              <w:keepNext/>
              <w:jc w:val="left"/>
              <w:rPr>
                <w:rFonts w:cs="Arial"/>
                <w:snapToGrid w:val="0"/>
                <w:sz w:val="18"/>
                <w:lang w:val="es-419"/>
              </w:rPr>
            </w:pPr>
            <w:r w:rsidRPr="008E38B1">
              <w:rPr>
                <w:rFonts w:cs="Arial"/>
                <w:snapToGrid w:val="0"/>
                <w:sz w:val="18"/>
                <w:lang w:val="es-419"/>
              </w:rPr>
              <w:t>- Los debates por medios electrónicos pueden beneficiarse de la participación de los expertos que no puedan asistir a las reuniones de los TWP</w:t>
            </w:r>
          </w:p>
        </w:tc>
        <w:tc>
          <w:tcPr>
            <w:tcW w:w="698" w:type="dxa"/>
          </w:tcPr>
          <w:p w:rsidR="00451078" w:rsidRPr="008E38B1" w:rsidRDefault="00451078" w:rsidP="00A14953">
            <w:pPr>
              <w:keepNext/>
              <w:jc w:val="left"/>
              <w:rPr>
                <w:rFonts w:cs="Arial"/>
                <w:snapToGrid w:val="0"/>
                <w:sz w:val="18"/>
                <w:lang w:val="es-419"/>
              </w:rPr>
            </w:pPr>
          </w:p>
        </w:tc>
      </w:tr>
    </w:tbl>
    <w:p w:rsidR="00442786" w:rsidRPr="008E38B1" w:rsidRDefault="00442786" w:rsidP="00D05F80">
      <w:pPr>
        <w:rPr>
          <w:highlight w:val="green"/>
          <w:lang w:val="es-419"/>
        </w:rPr>
      </w:pPr>
    </w:p>
    <w:p w:rsidR="00442786" w:rsidRPr="008E38B1" w:rsidRDefault="00D05F80" w:rsidP="007B1636">
      <w:pPr>
        <w:rPr>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7B1636" w:rsidRPr="008E38B1">
        <w:rPr>
          <w:lang w:val="es-419"/>
        </w:rPr>
        <w:t>El TWV observó que la organización de los debates de los subgrupos encargados de las directrices de examen por medios electrónicos antes de las reuniones de los TWP permitiría disponer de más tiempo durante las reuniones presenciales para otras cuestiones pertinentes, como los caracteres de resistencia a las enfermedades.</w:t>
      </w:r>
    </w:p>
    <w:p w:rsidR="00442786" w:rsidRPr="008E38B1" w:rsidRDefault="00442786" w:rsidP="00D05F80">
      <w:pPr>
        <w:rPr>
          <w:snapToGrid w:val="0"/>
          <w:lang w:val="es-419"/>
        </w:rPr>
      </w:pPr>
    </w:p>
    <w:p w:rsidR="00442786" w:rsidRPr="008E38B1" w:rsidRDefault="00D05F80" w:rsidP="00D77064">
      <w:pPr>
        <w:rPr>
          <w:lang w:val="es-419"/>
        </w:rPr>
      </w:pPr>
      <w:r w:rsidRPr="008E38B1">
        <w:rPr>
          <w:lang w:val="es-419"/>
        </w:rPr>
        <w:fldChar w:fldCharType="begin"/>
      </w:r>
      <w:r w:rsidRPr="008E38B1">
        <w:rPr>
          <w:lang w:val="es-419"/>
        </w:rPr>
        <w:instrText xml:space="preserve"> AUTONUM  </w:instrText>
      </w:r>
      <w:r w:rsidRPr="008E38B1">
        <w:rPr>
          <w:lang w:val="es-419"/>
        </w:rPr>
        <w:fldChar w:fldCharType="end"/>
      </w:r>
      <w:r w:rsidRPr="008E38B1">
        <w:rPr>
          <w:lang w:val="es-419"/>
        </w:rPr>
        <w:tab/>
      </w:r>
      <w:r w:rsidR="00D77064" w:rsidRPr="008E38B1">
        <w:rPr>
          <w:lang w:val="es-419"/>
        </w:rPr>
        <w:t>El TWV tomó nota del comentario formulado por un representante del sector del fitomejoramiento sobre la necesidad de que los cambios se apliquen en los siguientes borradores de las directrices de examen, así como de la petición de que se estudie la posibilidad de aplicar esa función en la plantilla web de los documentos TG.</w:t>
      </w:r>
    </w:p>
    <w:p w:rsidR="00442786" w:rsidRPr="008E38B1" w:rsidRDefault="00442786" w:rsidP="00D05F80">
      <w:pPr>
        <w:rPr>
          <w:rFonts w:cs="Arial"/>
          <w:snapToGrid w:val="0"/>
          <w:lang w:val="es-419"/>
        </w:rPr>
      </w:pPr>
    </w:p>
    <w:p w:rsidR="00442786" w:rsidRPr="008E38B1" w:rsidRDefault="005475A5" w:rsidP="008F71E2">
      <w:pPr>
        <w:pStyle w:val="ListParagraph"/>
        <w:keepNext/>
        <w:numPr>
          <w:ilvl w:val="1"/>
          <w:numId w:val="10"/>
        </w:numPr>
        <w:tabs>
          <w:tab w:val="left" w:pos="1701"/>
        </w:tabs>
        <w:rPr>
          <w:rFonts w:cs="Arial"/>
          <w:lang w:val="es-419"/>
        </w:rPr>
      </w:pPr>
      <w:r w:rsidRPr="008E38B1">
        <w:rPr>
          <w:rFonts w:cs="Arial"/>
          <w:lang w:val="es-419"/>
        </w:rPr>
        <w:t>Organizar talleres preparatorios virtuales previos a las reuniones de los TWP. Estos talleres preparatorios se grabarán y se publicarán en el sitio web de la UPOV.</w:t>
      </w:r>
    </w:p>
    <w:p w:rsidR="00D05F80" w:rsidRPr="008E38B1" w:rsidRDefault="00D05F80" w:rsidP="008F71E2">
      <w:pPr>
        <w:pStyle w:val="ListParagraph"/>
        <w:keepNext/>
        <w:tabs>
          <w:tab w:val="left" w:pos="1701"/>
        </w:tabs>
        <w:ind w:left="1134" w:hanging="567"/>
        <w:rPr>
          <w:rFonts w:cs="Arial"/>
          <w:lang w:val="es-419"/>
        </w:rPr>
      </w:pPr>
    </w:p>
    <w:tbl>
      <w:tblPr>
        <w:tblStyle w:val="TableGrid"/>
        <w:tblW w:w="9634" w:type="dxa"/>
        <w:tblInd w:w="-5" w:type="dxa"/>
        <w:tblLook w:val="04A0" w:firstRow="1" w:lastRow="0" w:firstColumn="1" w:lastColumn="0" w:noHBand="0" w:noVBand="1"/>
      </w:tblPr>
      <w:tblGrid>
        <w:gridCol w:w="1550"/>
        <w:gridCol w:w="1729"/>
        <w:gridCol w:w="2238"/>
        <w:gridCol w:w="1743"/>
        <w:gridCol w:w="1241"/>
        <w:gridCol w:w="1133"/>
      </w:tblGrid>
      <w:tr w:rsidR="00451078" w:rsidRPr="008E38B1" w:rsidTr="00451078">
        <w:tc>
          <w:tcPr>
            <w:tcW w:w="1017" w:type="dxa"/>
            <w:vAlign w:val="center"/>
          </w:tcPr>
          <w:p w:rsidR="00451078" w:rsidRPr="008E38B1" w:rsidRDefault="00451078" w:rsidP="008F71E2">
            <w:pPr>
              <w:keepNext/>
              <w:jc w:val="center"/>
              <w:rPr>
                <w:rFonts w:cs="Arial"/>
                <w:snapToGrid w:val="0"/>
                <w:lang w:val="es-419"/>
              </w:rPr>
            </w:pPr>
          </w:p>
        </w:tc>
        <w:tc>
          <w:tcPr>
            <w:tcW w:w="1859"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TWV</w:t>
            </w:r>
          </w:p>
        </w:tc>
        <w:tc>
          <w:tcPr>
            <w:tcW w:w="2487" w:type="dxa"/>
            <w:vAlign w:val="center"/>
          </w:tcPr>
          <w:p w:rsidR="00451078" w:rsidRPr="008E38B1" w:rsidRDefault="00451078" w:rsidP="008F71E2">
            <w:pPr>
              <w:keepNext/>
              <w:jc w:val="center"/>
              <w:rPr>
                <w:rFonts w:cs="Arial"/>
                <w:snapToGrid w:val="0"/>
                <w:lang w:val="es-419"/>
              </w:rPr>
            </w:pPr>
            <w:r w:rsidRPr="008E38B1">
              <w:rPr>
                <w:rFonts w:cs="Arial"/>
                <w:snapToGrid w:val="0"/>
                <w:lang w:val="es-419"/>
              </w:rPr>
              <w:t>TWO</w:t>
            </w:r>
          </w:p>
        </w:tc>
        <w:tc>
          <w:tcPr>
            <w:tcW w:w="1876"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TWA</w:t>
            </w:r>
          </w:p>
        </w:tc>
        <w:tc>
          <w:tcPr>
            <w:tcW w:w="1256"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TWF</w:t>
            </w:r>
          </w:p>
        </w:tc>
        <w:tc>
          <w:tcPr>
            <w:tcW w:w="1139" w:type="dxa"/>
          </w:tcPr>
          <w:p w:rsidR="00451078" w:rsidRPr="008E38B1" w:rsidRDefault="00451078" w:rsidP="00A14953">
            <w:pPr>
              <w:keepNext/>
              <w:jc w:val="center"/>
              <w:rPr>
                <w:rFonts w:cs="Arial"/>
                <w:snapToGrid w:val="0"/>
                <w:lang w:val="es-419"/>
              </w:rPr>
            </w:pPr>
            <w:r w:rsidRPr="008E38B1">
              <w:rPr>
                <w:rFonts w:cs="Arial"/>
                <w:snapToGrid w:val="0"/>
                <w:lang w:val="es-419"/>
              </w:rPr>
              <w:t>TWC</w:t>
            </w:r>
          </w:p>
        </w:tc>
      </w:tr>
      <w:tr w:rsidR="00451078" w:rsidRPr="008E38B1" w:rsidTr="00451078">
        <w:trPr>
          <w:trHeight w:val="462"/>
        </w:trPr>
        <w:tc>
          <w:tcPr>
            <w:tcW w:w="1017" w:type="dxa"/>
            <w:vAlign w:val="center"/>
          </w:tcPr>
          <w:p w:rsidR="00451078" w:rsidRPr="008E38B1" w:rsidRDefault="00D77064" w:rsidP="008F71E2">
            <w:pPr>
              <w:keepNext/>
              <w:jc w:val="center"/>
              <w:rPr>
                <w:rFonts w:cs="Arial"/>
                <w:snapToGrid w:val="0"/>
                <w:lang w:val="es-419"/>
              </w:rPr>
            </w:pPr>
            <w:r w:rsidRPr="008E38B1">
              <w:rPr>
                <w:rFonts w:cs="Arial"/>
                <w:snapToGrid w:val="0"/>
                <w:lang w:val="es-419"/>
              </w:rPr>
              <w:t>Opinión</w:t>
            </w:r>
          </w:p>
        </w:tc>
        <w:tc>
          <w:tcPr>
            <w:tcW w:w="1859" w:type="dxa"/>
            <w:vAlign w:val="center"/>
          </w:tcPr>
          <w:p w:rsidR="00451078" w:rsidRPr="008E38B1" w:rsidRDefault="00D77064" w:rsidP="00D77064">
            <w:pPr>
              <w:jc w:val="center"/>
              <w:rPr>
                <w:rFonts w:cs="Arial"/>
                <w:snapToGrid w:val="0"/>
                <w:lang w:val="es-419"/>
              </w:rPr>
            </w:pPr>
            <w:r w:rsidRPr="008E38B1">
              <w:rPr>
                <w:rFonts w:cs="Arial"/>
                <w:snapToGrid w:val="0"/>
                <w:lang w:val="es-419"/>
              </w:rPr>
              <w:t>Favorable</w:t>
            </w:r>
          </w:p>
        </w:tc>
        <w:tc>
          <w:tcPr>
            <w:tcW w:w="2487" w:type="dxa"/>
            <w:vAlign w:val="center"/>
          </w:tcPr>
          <w:p w:rsidR="00451078" w:rsidRPr="008E38B1" w:rsidRDefault="00D77064" w:rsidP="00D77064">
            <w:pPr>
              <w:jc w:val="center"/>
              <w:rPr>
                <w:rFonts w:cs="Arial"/>
                <w:snapToGrid w:val="0"/>
                <w:lang w:val="es-419"/>
              </w:rPr>
            </w:pPr>
            <w:r w:rsidRPr="008E38B1">
              <w:rPr>
                <w:rFonts w:cs="Arial"/>
                <w:snapToGrid w:val="0"/>
                <w:lang w:val="es-419"/>
              </w:rPr>
              <w:t>Favorable</w:t>
            </w:r>
          </w:p>
        </w:tc>
        <w:tc>
          <w:tcPr>
            <w:tcW w:w="1876" w:type="dxa"/>
            <w:vAlign w:val="center"/>
          </w:tcPr>
          <w:p w:rsidR="00451078" w:rsidRPr="008E38B1" w:rsidRDefault="00D77064" w:rsidP="00D77064">
            <w:pPr>
              <w:jc w:val="center"/>
              <w:rPr>
                <w:rFonts w:cs="Arial"/>
                <w:snapToGrid w:val="0"/>
                <w:lang w:val="es-419"/>
              </w:rPr>
            </w:pPr>
            <w:r w:rsidRPr="008E38B1">
              <w:rPr>
                <w:rFonts w:cs="Arial"/>
                <w:snapToGrid w:val="0"/>
                <w:lang w:val="es-419"/>
              </w:rPr>
              <w:t>Favorable</w:t>
            </w:r>
          </w:p>
        </w:tc>
        <w:tc>
          <w:tcPr>
            <w:tcW w:w="1256" w:type="dxa"/>
            <w:vAlign w:val="center"/>
          </w:tcPr>
          <w:p w:rsidR="00451078" w:rsidRPr="008E38B1" w:rsidRDefault="00D77064" w:rsidP="00D77064">
            <w:pPr>
              <w:jc w:val="center"/>
              <w:rPr>
                <w:rFonts w:cs="Arial"/>
                <w:snapToGrid w:val="0"/>
                <w:lang w:val="es-419"/>
              </w:rPr>
            </w:pPr>
            <w:r w:rsidRPr="008E38B1">
              <w:rPr>
                <w:rFonts w:cs="Arial"/>
                <w:snapToGrid w:val="0"/>
                <w:lang w:val="es-419"/>
              </w:rPr>
              <w:t>Favorable</w:t>
            </w:r>
          </w:p>
        </w:tc>
        <w:tc>
          <w:tcPr>
            <w:tcW w:w="1139" w:type="dxa"/>
            <w:vAlign w:val="center"/>
          </w:tcPr>
          <w:p w:rsidR="00451078" w:rsidRPr="008E38B1" w:rsidRDefault="00D77064" w:rsidP="00D77064">
            <w:pPr>
              <w:jc w:val="center"/>
              <w:rPr>
                <w:rFonts w:cs="Arial"/>
                <w:snapToGrid w:val="0"/>
                <w:lang w:val="es-419"/>
              </w:rPr>
            </w:pPr>
            <w:r w:rsidRPr="008E38B1">
              <w:rPr>
                <w:rFonts w:cs="Arial"/>
                <w:snapToGrid w:val="0"/>
                <w:lang w:val="es-419"/>
              </w:rPr>
              <w:t>Favorable</w:t>
            </w:r>
          </w:p>
        </w:tc>
      </w:tr>
      <w:tr w:rsidR="00451078" w:rsidRPr="003F4FE7" w:rsidTr="00451078">
        <w:tc>
          <w:tcPr>
            <w:tcW w:w="1017" w:type="dxa"/>
          </w:tcPr>
          <w:p w:rsidR="00442786" w:rsidRPr="008E38B1" w:rsidRDefault="00442786" w:rsidP="008F71E2">
            <w:pPr>
              <w:keepNext/>
              <w:jc w:val="center"/>
              <w:rPr>
                <w:rFonts w:cs="Arial"/>
                <w:snapToGrid w:val="0"/>
                <w:lang w:val="es-419"/>
              </w:rPr>
            </w:pPr>
          </w:p>
          <w:p w:rsidR="00451078" w:rsidRPr="008E38B1" w:rsidRDefault="00D77064" w:rsidP="00D77064">
            <w:pPr>
              <w:jc w:val="center"/>
              <w:rPr>
                <w:rFonts w:cs="Arial"/>
                <w:snapToGrid w:val="0"/>
                <w:lang w:val="es-419"/>
              </w:rPr>
            </w:pPr>
            <w:r w:rsidRPr="008E38B1">
              <w:rPr>
                <w:rFonts w:cs="Arial"/>
                <w:snapToGrid w:val="0"/>
                <w:lang w:val="es-419"/>
              </w:rPr>
              <w:t>Observaciones</w:t>
            </w:r>
          </w:p>
        </w:tc>
        <w:tc>
          <w:tcPr>
            <w:tcW w:w="1859" w:type="dxa"/>
          </w:tcPr>
          <w:p w:rsidR="00451078" w:rsidRPr="008E38B1" w:rsidRDefault="00D77064" w:rsidP="00D77064">
            <w:pPr>
              <w:jc w:val="left"/>
              <w:rPr>
                <w:rFonts w:cs="Arial"/>
                <w:snapToGrid w:val="0"/>
                <w:sz w:val="18"/>
                <w:lang w:val="es-419"/>
              </w:rPr>
            </w:pPr>
            <w:r w:rsidRPr="008E38B1">
              <w:rPr>
                <w:rFonts w:cs="Arial"/>
                <w:snapToGrid w:val="0"/>
                <w:sz w:val="18"/>
                <w:lang w:val="es-419"/>
              </w:rPr>
              <w:t>- Estudiar la posibilidad de que los vídeos estén disponibles en el sitio web de la UPOV para crear una recopilación de recursos</w:t>
            </w:r>
          </w:p>
        </w:tc>
        <w:tc>
          <w:tcPr>
            <w:tcW w:w="2487" w:type="dxa"/>
          </w:tcPr>
          <w:p w:rsidR="00442786" w:rsidRPr="008E38B1" w:rsidRDefault="00D77064" w:rsidP="00D77064">
            <w:pPr>
              <w:jc w:val="left"/>
              <w:rPr>
                <w:rFonts w:cs="Arial"/>
                <w:snapToGrid w:val="0"/>
                <w:sz w:val="18"/>
                <w:lang w:val="es-419"/>
              </w:rPr>
            </w:pPr>
            <w:r w:rsidRPr="008E38B1">
              <w:rPr>
                <w:rFonts w:cs="Arial"/>
                <w:snapToGrid w:val="0"/>
                <w:sz w:val="18"/>
                <w:lang w:val="es-419"/>
              </w:rPr>
              <w:t>- La reunión en directo de preguntas y respuestas con los panelistas y la Oficina de la Unión es útil y debería mantenerse</w:t>
            </w:r>
          </w:p>
          <w:p w:rsidR="00451078" w:rsidRPr="008E38B1" w:rsidRDefault="00D77064" w:rsidP="00D77064">
            <w:pPr>
              <w:jc w:val="left"/>
              <w:rPr>
                <w:rFonts w:cs="Arial"/>
                <w:snapToGrid w:val="0"/>
                <w:sz w:val="18"/>
                <w:lang w:val="es-419"/>
              </w:rPr>
            </w:pPr>
            <w:r w:rsidRPr="008E38B1">
              <w:rPr>
                <w:rFonts w:cs="Arial"/>
                <w:snapToGrid w:val="0"/>
                <w:sz w:val="18"/>
                <w:lang w:val="es-419"/>
              </w:rPr>
              <w:t>- Se podría disponer de una recopilación de vídeos en línea</w:t>
            </w:r>
          </w:p>
        </w:tc>
        <w:tc>
          <w:tcPr>
            <w:tcW w:w="1876" w:type="dxa"/>
          </w:tcPr>
          <w:p w:rsidR="00442786" w:rsidRPr="008E38B1" w:rsidRDefault="00D77064" w:rsidP="00D77064">
            <w:pPr>
              <w:jc w:val="left"/>
              <w:rPr>
                <w:rFonts w:cs="Arial"/>
                <w:snapToGrid w:val="0"/>
                <w:sz w:val="18"/>
                <w:lang w:val="es-419"/>
              </w:rPr>
            </w:pPr>
            <w:r w:rsidRPr="008E38B1">
              <w:rPr>
                <w:rFonts w:cs="Arial"/>
                <w:snapToGrid w:val="0"/>
                <w:sz w:val="18"/>
                <w:lang w:val="es-419"/>
              </w:rPr>
              <w:t>- En general se considera eficaz</w:t>
            </w:r>
          </w:p>
          <w:p w:rsidR="00451078" w:rsidRPr="008E38B1" w:rsidRDefault="00D77064" w:rsidP="00D77064">
            <w:pPr>
              <w:jc w:val="left"/>
              <w:rPr>
                <w:rFonts w:cs="Arial"/>
                <w:snapToGrid w:val="0"/>
                <w:sz w:val="18"/>
                <w:lang w:val="es-419"/>
              </w:rPr>
            </w:pPr>
            <w:r w:rsidRPr="008E38B1">
              <w:rPr>
                <w:rFonts w:cs="Arial"/>
                <w:snapToGrid w:val="0"/>
                <w:sz w:val="18"/>
                <w:lang w:val="es-419"/>
              </w:rPr>
              <w:t>- Los paneles de debate son bienvenidos</w:t>
            </w:r>
          </w:p>
        </w:tc>
        <w:tc>
          <w:tcPr>
            <w:tcW w:w="1256" w:type="dxa"/>
          </w:tcPr>
          <w:p w:rsidR="00451078" w:rsidRPr="008E38B1" w:rsidRDefault="00D77064" w:rsidP="00D77064">
            <w:pPr>
              <w:jc w:val="left"/>
              <w:rPr>
                <w:rFonts w:cs="Arial"/>
                <w:snapToGrid w:val="0"/>
                <w:sz w:val="18"/>
                <w:lang w:val="es-419"/>
              </w:rPr>
            </w:pPr>
            <w:r w:rsidRPr="008E38B1">
              <w:rPr>
                <w:rFonts w:cs="Arial"/>
                <w:snapToGrid w:val="0"/>
                <w:sz w:val="18"/>
                <w:lang w:val="es-419"/>
              </w:rPr>
              <w:t>- Estudiar la posibilidad de que los vídeos estén disponibles en el sitio web de la UPOV para crear una recopilación de recursos</w:t>
            </w:r>
            <w:r w:rsidR="00451078" w:rsidRPr="008E38B1">
              <w:rPr>
                <w:rFonts w:cs="Arial"/>
                <w:snapToGrid w:val="0"/>
                <w:sz w:val="18"/>
                <w:lang w:val="es-419"/>
              </w:rPr>
              <w:t xml:space="preserve"> </w:t>
            </w:r>
          </w:p>
        </w:tc>
        <w:tc>
          <w:tcPr>
            <w:tcW w:w="1139" w:type="dxa"/>
          </w:tcPr>
          <w:p w:rsidR="00451078" w:rsidRPr="008E38B1" w:rsidRDefault="00451078" w:rsidP="00A14953">
            <w:pPr>
              <w:jc w:val="left"/>
              <w:rPr>
                <w:rFonts w:cs="Arial"/>
                <w:snapToGrid w:val="0"/>
                <w:sz w:val="18"/>
                <w:lang w:val="es-419"/>
              </w:rPr>
            </w:pPr>
          </w:p>
        </w:tc>
      </w:tr>
    </w:tbl>
    <w:p w:rsidR="00442786" w:rsidRPr="008E38B1" w:rsidRDefault="00442786" w:rsidP="008F71E2">
      <w:pPr>
        <w:pStyle w:val="ListParagraph"/>
        <w:keepNext/>
        <w:tabs>
          <w:tab w:val="left" w:pos="1701"/>
        </w:tabs>
        <w:ind w:left="567"/>
        <w:rPr>
          <w:rFonts w:cs="Arial"/>
          <w:lang w:val="es-419"/>
        </w:rPr>
      </w:pPr>
    </w:p>
    <w:p w:rsidR="00442786" w:rsidRPr="008E38B1" w:rsidRDefault="005475A5" w:rsidP="00D05F80">
      <w:pPr>
        <w:pStyle w:val="ListParagraph"/>
        <w:keepNext/>
        <w:numPr>
          <w:ilvl w:val="1"/>
          <w:numId w:val="10"/>
        </w:numPr>
        <w:tabs>
          <w:tab w:val="left" w:pos="1701"/>
        </w:tabs>
        <w:rPr>
          <w:rFonts w:cs="Arial"/>
          <w:lang w:val="es-419"/>
        </w:rPr>
      </w:pPr>
      <w:r w:rsidRPr="008E38B1">
        <w:rPr>
          <w:rFonts w:cs="Arial"/>
          <w:lang w:val="es-419"/>
        </w:rPr>
        <w:t>Ofrecer la posibilidad de formular observaciones y preguntas sobre los documentos antes de la reunión.</w:t>
      </w:r>
      <w:r w:rsidR="00D05F80" w:rsidRPr="008E38B1">
        <w:rPr>
          <w:rFonts w:cs="Arial"/>
          <w:lang w:val="es-419"/>
        </w:rPr>
        <w:t xml:space="preserve"> </w:t>
      </w:r>
    </w:p>
    <w:p w:rsidR="00D05F80" w:rsidRPr="008E38B1" w:rsidRDefault="00D05F80" w:rsidP="00D05F80">
      <w:pPr>
        <w:keepNext/>
        <w:rPr>
          <w:rFonts w:cs="Arial"/>
          <w:snapToGrid w:val="0"/>
          <w:lang w:val="es-419"/>
        </w:rPr>
      </w:pPr>
    </w:p>
    <w:tbl>
      <w:tblPr>
        <w:tblStyle w:val="TableGrid"/>
        <w:tblW w:w="9639" w:type="dxa"/>
        <w:tblInd w:w="-5" w:type="dxa"/>
        <w:tblLook w:val="04A0" w:firstRow="1" w:lastRow="0" w:firstColumn="1" w:lastColumn="0" w:noHBand="0" w:noVBand="1"/>
      </w:tblPr>
      <w:tblGrid>
        <w:gridCol w:w="1551"/>
        <w:gridCol w:w="1819"/>
        <w:gridCol w:w="1514"/>
        <w:gridCol w:w="1745"/>
        <w:gridCol w:w="1879"/>
        <w:gridCol w:w="1131"/>
      </w:tblGrid>
      <w:tr w:rsidR="00451078" w:rsidRPr="008E38B1" w:rsidTr="00D77064">
        <w:tc>
          <w:tcPr>
            <w:tcW w:w="1094" w:type="dxa"/>
          </w:tcPr>
          <w:p w:rsidR="00451078" w:rsidRPr="008E38B1" w:rsidRDefault="00451078" w:rsidP="00A14953">
            <w:pPr>
              <w:keepNext/>
              <w:jc w:val="left"/>
              <w:rPr>
                <w:rFonts w:cs="Arial"/>
                <w:snapToGrid w:val="0"/>
                <w:lang w:val="es-419"/>
              </w:rPr>
            </w:pPr>
          </w:p>
        </w:tc>
        <w:tc>
          <w:tcPr>
            <w:tcW w:w="1981"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TWV</w:t>
            </w:r>
          </w:p>
        </w:tc>
        <w:tc>
          <w:tcPr>
            <w:tcW w:w="1598"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TWO</w:t>
            </w:r>
          </w:p>
        </w:tc>
        <w:tc>
          <w:tcPr>
            <w:tcW w:w="1768"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TWA</w:t>
            </w:r>
          </w:p>
        </w:tc>
        <w:tc>
          <w:tcPr>
            <w:tcW w:w="2059" w:type="dxa"/>
            <w:vAlign w:val="center"/>
          </w:tcPr>
          <w:p w:rsidR="00451078" w:rsidRPr="008E38B1" w:rsidRDefault="00451078" w:rsidP="00A14953">
            <w:pPr>
              <w:keepNext/>
              <w:jc w:val="center"/>
              <w:rPr>
                <w:rFonts w:cs="Arial"/>
                <w:snapToGrid w:val="0"/>
                <w:lang w:val="es-419"/>
              </w:rPr>
            </w:pPr>
            <w:r w:rsidRPr="008E38B1">
              <w:rPr>
                <w:rFonts w:cs="Arial"/>
                <w:snapToGrid w:val="0"/>
                <w:lang w:val="es-419"/>
              </w:rPr>
              <w:t>TWF</w:t>
            </w:r>
          </w:p>
        </w:tc>
        <w:tc>
          <w:tcPr>
            <w:tcW w:w="1139" w:type="dxa"/>
          </w:tcPr>
          <w:p w:rsidR="00451078" w:rsidRPr="008E38B1" w:rsidRDefault="00451078" w:rsidP="00A14953">
            <w:pPr>
              <w:keepNext/>
              <w:jc w:val="center"/>
              <w:rPr>
                <w:rFonts w:cs="Arial"/>
                <w:snapToGrid w:val="0"/>
                <w:lang w:val="es-419"/>
              </w:rPr>
            </w:pPr>
            <w:r w:rsidRPr="008E38B1">
              <w:rPr>
                <w:rFonts w:cs="Arial"/>
                <w:snapToGrid w:val="0"/>
                <w:lang w:val="es-419"/>
              </w:rPr>
              <w:t>TWC</w:t>
            </w:r>
          </w:p>
        </w:tc>
      </w:tr>
      <w:tr w:rsidR="00D77064" w:rsidRPr="008E38B1" w:rsidTr="00D77064">
        <w:trPr>
          <w:trHeight w:val="402"/>
        </w:trPr>
        <w:tc>
          <w:tcPr>
            <w:tcW w:w="1094" w:type="dxa"/>
            <w:vAlign w:val="center"/>
          </w:tcPr>
          <w:p w:rsidR="00D77064" w:rsidRPr="008E38B1" w:rsidRDefault="00D77064" w:rsidP="00D77064">
            <w:pPr>
              <w:jc w:val="center"/>
              <w:rPr>
                <w:rFonts w:cs="Arial"/>
                <w:snapToGrid w:val="0"/>
                <w:lang w:val="es-419"/>
              </w:rPr>
            </w:pPr>
            <w:r w:rsidRPr="008E38B1">
              <w:rPr>
                <w:rFonts w:cs="Arial"/>
                <w:snapToGrid w:val="0"/>
                <w:lang w:val="es-419"/>
              </w:rPr>
              <w:t>Opinión</w:t>
            </w:r>
          </w:p>
        </w:tc>
        <w:tc>
          <w:tcPr>
            <w:tcW w:w="1981" w:type="dxa"/>
            <w:vAlign w:val="center"/>
          </w:tcPr>
          <w:p w:rsidR="00D77064" w:rsidRPr="008E38B1" w:rsidRDefault="00D77064" w:rsidP="00D77064">
            <w:pPr>
              <w:jc w:val="center"/>
              <w:rPr>
                <w:rFonts w:cs="Arial"/>
                <w:snapToGrid w:val="0"/>
                <w:lang w:val="es-419"/>
              </w:rPr>
            </w:pPr>
            <w:r w:rsidRPr="008E38B1">
              <w:rPr>
                <w:rFonts w:cs="Arial"/>
                <w:snapToGrid w:val="0"/>
                <w:lang w:val="es-419"/>
              </w:rPr>
              <w:t>Favorable</w:t>
            </w:r>
          </w:p>
        </w:tc>
        <w:tc>
          <w:tcPr>
            <w:tcW w:w="1598" w:type="dxa"/>
            <w:vAlign w:val="center"/>
          </w:tcPr>
          <w:p w:rsidR="00D77064" w:rsidRPr="008E38B1" w:rsidRDefault="00D77064" w:rsidP="00D77064">
            <w:pPr>
              <w:jc w:val="center"/>
              <w:rPr>
                <w:rFonts w:cs="Arial"/>
                <w:snapToGrid w:val="0"/>
                <w:lang w:val="es-419"/>
              </w:rPr>
            </w:pPr>
            <w:r w:rsidRPr="008E38B1">
              <w:rPr>
                <w:rFonts w:cs="Arial"/>
                <w:snapToGrid w:val="0"/>
                <w:lang w:val="es-419"/>
              </w:rPr>
              <w:t>Favorable</w:t>
            </w:r>
          </w:p>
        </w:tc>
        <w:tc>
          <w:tcPr>
            <w:tcW w:w="1768" w:type="dxa"/>
            <w:vAlign w:val="center"/>
          </w:tcPr>
          <w:p w:rsidR="00D77064" w:rsidRPr="008E38B1" w:rsidRDefault="00D77064" w:rsidP="00D77064">
            <w:pPr>
              <w:jc w:val="center"/>
              <w:rPr>
                <w:rFonts w:cs="Arial"/>
                <w:snapToGrid w:val="0"/>
                <w:lang w:val="es-419"/>
              </w:rPr>
            </w:pPr>
            <w:r w:rsidRPr="008E38B1">
              <w:rPr>
                <w:rFonts w:cs="Arial"/>
                <w:snapToGrid w:val="0"/>
                <w:lang w:val="es-419"/>
              </w:rPr>
              <w:t>Favorable</w:t>
            </w:r>
          </w:p>
        </w:tc>
        <w:tc>
          <w:tcPr>
            <w:tcW w:w="2059" w:type="dxa"/>
            <w:vAlign w:val="center"/>
          </w:tcPr>
          <w:p w:rsidR="00D77064" w:rsidRPr="008E38B1" w:rsidRDefault="00D77064" w:rsidP="00D77064">
            <w:pPr>
              <w:jc w:val="center"/>
              <w:rPr>
                <w:rFonts w:cs="Arial"/>
                <w:snapToGrid w:val="0"/>
                <w:lang w:val="es-419"/>
              </w:rPr>
            </w:pPr>
            <w:r w:rsidRPr="008E38B1">
              <w:rPr>
                <w:rFonts w:cs="Arial"/>
                <w:snapToGrid w:val="0"/>
                <w:lang w:val="es-419"/>
              </w:rPr>
              <w:t>Favorable</w:t>
            </w:r>
          </w:p>
        </w:tc>
        <w:tc>
          <w:tcPr>
            <w:tcW w:w="1139" w:type="dxa"/>
            <w:vAlign w:val="center"/>
          </w:tcPr>
          <w:p w:rsidR="00D77064" w:rsidRPr="008E38B1" w:rsidRDefault="00D77064" w:rsidP="00D77064">
            <w:pPr>
              <w:jc w:val="center"/>
              <w:rPr>
                <w:rFonts w:cs="Arial"/>
                <w:snapToGrid w:val="0"/>
                <w:lang w:val="es-419"/>
              </w:rPr>
            </w:pPr>
            <w:r w:rsidRPr="008E38B1">
              <w:rPr>
                <w:rFonts w:cs="Arial"/>
                <w:snapToGrid w:val="0"/>
                <w:lang w:val="es-419"/>
              </w:rPr>
              <w:t>Favorable</w:t>
            </w:r>
          </w:p>
        </w:tc>
      </w:tr>
      <w:tr w:rsidR="00D77064" w:rsidRPr="003F4FE7" w:rsidTr="00D77064">
        <w:tc>
          <w:tcPr>
            <w:tcW w:w="1094" w:type="dxa"/>
          </w:tcPr>
          <w:p w:rsidR="00442786" w:rsidRPr="008E38B1" w:rsidRDefault="00442786" w:rsidP="00D77064">
            <w:pPr>
              <w:keepNext/>
              <w:jc w:val="left"/>
              <w:rPr>
                <w:rFonts w:cs="Arial"/>
                <w:snapToGrid w:val="0"/>
                <w:lang w:val="es-419"/>
              </w:rPr>
            </w:pPr>
          </w:p>
          <w:p w:rsidR="00D77064" w:rsidRPr="008E38B1" w:rsidRDefault="00C77050" w:rsidP="00C77050">
            <w:pPr>
              <w:keepNext/>
              <w:jc w:val="left"/>
              <w:rPr>
                <w:rFonts w:cs="Arial"/>
                <w:snapToGrid w:val="0"/>
                <w:lang w:val="es-419"/>
              </w:rPr>
            </w:pPr>
            <w:r w:rsidRPr="008E38B1">
              <w:rPr>
                <w:rFonts w:cs="Arial"/>
                <w:snapToGrid w:val="0"/>
                <w:lang w:val="es-419"/>
              </w:rPr>
              <w:t>Observaciones</w:t>
            </w:r>
          </w:p>
        </w:tc>
        <w:tc>
          <w:tcPr>
            <w:tcW w:w="1981" w:type="dxa"/>
          </w:tcPr>
          <w:p w:rsidR="00442786" w:rsidRPr="008E38B1" w:rsidRDefault="00C6388D" w:rsidP="00C6388D">
            <w:pPr>
              <w:keepNext/>
              <w:jc w:val="left"/>
              <w:rPr>
                <w:rFonts w:cs="Arial"/>
                <w:snapToGrid w:val="0"/>
                <w:sz w:val="18"/>
                <w:lang w:val="es-419"/>
              </w:rPr>
            </w:pPr>
            <w:r w:rsidRPr="008E38B1">
              <w:rPr>
                <w:rFonts w:cs="Arial"/>
                <w:snapToGrid w:val="0"/>
                <w:sz w:val="18"/>
                <w:lang w:val="es-419"/>
              </w:rPr>
              <w:t>- En cuanto a las directrices de examen, los comentarios previos se consideraron útiles para la preparación y mejora del proceso de debate</w:t>
            </w:r>
          </w:p>
          <w:p w:rsidR="00442786" w:rsidRPr="008E38B1" w:rsidRDefault="00C6388D" w:rsidP="00C6388D">
            <w:pPr>
              <w:keepNext/>
              <w:jc w:val="left"/>
              <w:rPr>
                <w:rFonts w:cs="Arial"/>
                <w:snapToGrid w:val="0"/>
                <w:sz w:val="18"/>
                <w:lang w:val="es-419"/>
              </w:rPr>
            </w:pPr>
            <w:r w:rsidRPr="008E38B1">
              <w:rPr>
                <w:rFonts w:cs="Arial"/>
                <w:snapToGrid w:val="0"/>
                <w:sz w:val="18"/>
                <w:lang w:val="es-419"/>
              </w:rPr>
              <w:t>- En todos los casos (reuniones virtuales y presenciales) debería mantenerse la posibilidad de formular comentarios y preguntas sobre los documentos con antelación</w:t>
            </w:r>
          </w:p>
          <w:p w:rsidR="00442786" w:rsidRPr="008E38B1" w:rsidRDefault="00C6388D" w:rsidP="00C6388D">
            <w:pPr>
              <w:keepNext/>
              <w:jc w:val="left"/>
              <w:rPr>
                <w:rFonts w:cs="Arial"/>
                <w:snapToGrid w:val="0"/>
                <w:sz w:val="18"/>
                <w:lang w:val="es-419"/>
              </w:rPr>
            </w:pPr>
            <w:r w:rsidRPr="008E38B1">
              <w:rPr>
                <w:rFonts w:cs="Arial"/>
                <w:snapToGrid w:val="0"/>
                <w:sz w:val="18"/>
                <w:lang w:val="es-419"/>
              </w:rPr>
              <w:t>- No debe</w:t>
            </w:r>
            <w:r w:rsidR="009420D4" w:rsidRPr="008E38B1">
              <w:rPr>
                <w:rFonts w:cs="Arial"/>
                <w:snapToGrid w:val="0"/>
                <w:sz w:val="18"/>
                <w:lang w:val="es-419"/>
              </w:rPr>
              <w:t>ría</w:t>
            </w:r>
            <w:r w:rsidRPr="008E38B1">
              <w:rPr>
                <w:rFonts w:cs="Arial"/>
                <w:snapToGrid w:val="0"/>
                <w:sz w:val="18"/>
                <w:lang w:val="es-419"/>
              </w:rPr>
              <w:t xml:space="preserve"> impedir que se discutan los temas en el seno de los TWP</w:t>
            </w:r>
          </w:p>
          <w:p w:rsidR="00442786" w:rsidRPr="008E38B1" w:rsidRDefault="00C6388D" w:rsidP="00C6388D">
            <w:pPr>
              <w:keepNext/>
              <w:jc w:val="left"/>
              <w:rPr>
                <w:rFonts w:cs="Arial"/>
                <w:snapToGrid w:val="0"/>
                <w:sz w:val="18"/>
                <w:lang w:val="es-419"/>
              </w:rPr>
            </w:pPr>
            <w:r w:rsidRPr="008E38B1">
              <w:rPr>
                <w:rFonts w:cs="Arial"/>
                <w:snapToGrid w:val="0"/>
                <w:sz w:val="18"/>
                <w:lang w:val="es-419"/>
              </w:rPr>
              <w:t>- Debería fomentarse el uso de la plantilla web de los documentos TG para formular comentarios sobre las directrices de examen</w:t>
            </w:r>
          </w:p>
          <w:p w:rsidR="00D77064" w:rsidRPr="008E38B1" w:rsidRDefault="00C6388D" w:rsidP="00C6388D">
            <w:pPr>
              <w:keepNext/>
              <w:jc w:val="left"/>
              <w:rPr>
                <w:rFonts w:cs="Arial"/>
                <w:snapToGrid w:val="0"/>
                <w:sz w:val="18"/>
                <w:lang w:val="es-419"/>
              </w:rPr>
            </w:pPr>
            <w:r w:rsidRPr="008E38B1">
              <w:rPr>
                <w:rFonts w:cs="Arial"/>
                <w:snapToGrid w:val="0"/>
                <w:sz w:val="18"/>
                <w:lang w:val="es-419"/>
              </w:rPr>
              <w:t>- Debería fomentarse el aumento del número de miembros que contribuyen</w:t>
            </w:r>
          </w:p>
        </w:tc>
        <w:tc>
          <w:tcPr>
            <w:tcW w:w="1598" w:type="dxa"/>
          </w:tcPr>
          <w:p w:rsidR="00D77064" w:rsidRPr="008E38B1" w:rsidRDefault="00C6388D" w:rsidP="00C6388D">
            <w:pPr>
              <w:keepNext/>
              <w:jc w:val="left"/>
              <w:rPr>
                <w:rFonts w:cs="Arial"/>
                <w:snapToGrid w:val="0"/>
                <w:sz w:val="18"/>
                <w:lang w:val="es-419"/>
              </w:rPr>
            </w:pPr>
            <w:r w:rsidRPr="008E38B1">
              <w:rPr>
                <w:rFonts w:cs="Arial"/>
                <w:snapToGrid w:val="0"/>
                <w:sz w:val="18"/>
                <w:lang w:val="es-419"/>
              </w:rPr>
              <w:t>- Deberían atenderse todos los comentarios realizados con antelación a la reunión, incluso los de los participantes que no puedan asistir a una reunión física</w:t>
            </w:r>
          </w:p>
        </w:tc>
        <w:tc>
          <w:tcPr>
            <w:tcW w:w="1768" w:type="dxa"/>
          </w:tcPr>
          <w:p w:rsidR="00442786" w:rsidRPr="008E38B1" w:rsidRDefault="009420D4" w:rsidP="009420D4">
            <w:pPr>
              <w:keepNext/>
              <w:jc w:val="left"/>
              <w:rPr>
                <w:rFonts w:cs="Arial"/>
                <w:snapToGrid w:val="0"/>
                <w:sz w:val="18"/>
                <w:lang w:val="es-419"/>
              </w:rPr>
            </w:pPr>
            <w:r w:rsidRPr="008E38B1">
              <w:rPr>
                <w:rFonts w:cs="Arial"/>
                <w:snapToGrid w:val="0"/>
                <w:sz w:val="18"/>
                <w:lang w:val="es-419"/>
              </w:rPr>
              <w:t>- No debería excluir el debate de los mismos temas en el seno de los TWP (a diferencia del "examen de los documentos por correspondencia")</w:t>
            </w:r>
          </w:p>
          <w:p w:rsidR="00442786" w:rsidRPr="008E38B1" w:rsidRDefault="009420D4" w:rsidP="009420D4">
            <w:pPr>
              <w:keepNext/>
              <w:jc w:val="left"/>
              <w:rPr>
                <w:rFonts w:cs="Arial"/>
                <w:snapToGrid w:val="0"/>
                <w:sz w:val="18"/>
                <w:lang w:val="es-419"/>
              </w:rPr>
            </w:pPr>
            <w:r w:rsidRPr="008E38B1">
              <w:rPr>
                <w:rFonts w:cs="Arial"/>
                <w:snapToGrid w:val="0"/>
                <w:sz w:val="18"/>
                <w:lang w:val="es-419"/>
              </w:rPr>
              <w:t>- Los plazos deberían acordarse de antemano</w:t>
            </w:r>
          </w:p>
          <w:p w:rsidR="00442786" w:rsidRPr="008E38B1" w:rsidRDefault="009420D4" w:rsidP="009420D4">
            <w:pPr>
              <w:keepNext/>
              <w:jc w:val="left"/>
              <w:rPr>
                <w:rFonts w:cs="Arial"/>
                <w:snapToGrid w:val="0"/>
                <w:sz w:val="18"/>
                <w:lang w:val="es-419"/>
              </w:rPr>
            </w:pPr>
            <w:r w:rsidRPr="008E38B1">
              <w:rPr>
                <w:rFonts w:cs="Arial"/>
                <w:snapToGrid w:val="0"/>
                <w:sz w:val="18"/>
                <w:lang w:val="es-419"/>
              </w:rPr>
              <w:t>- Los documentos deberían publicarse con suficiente antelación para que se puedan hacer comentarios</w:t>
            </w:r>
          </w:p>
          <w:p w:rsidR="00D77064" w:rsidRPr="008E38B1" w:rsidRDefault="009420D4" w:rsidP="009420D4">
            <w:pPr>
              <w:keepNext/>
              <w:jc w:val="left"/>
              <w:rPr>
                <w:rFonts w:cs="Arial"/>
                <w:snapToGrid w:val="0"/>
                <w:sz w:val="18"/>
                <w:lang w:val="es-419"/>
              </w:rPr>
            </w:pPr>
            <w:r w:rsidRPr="008E38B1">
              <w:rPr>
                <w:rFonts w:cs="Arial"/>
                <w:snapToGrid w:val="0"/>
                <w:sz w:val="18"/>
                <w:lang w:val="es-419"/>
              </w:rPr>
              <w:t>- Debería aumentar el número de miembros que formulan comentarios</w:t>
            </w:r>
          </w:p>
        </w:tc>
        <w:tc>
          <w:tcPr>
            <w:tcW w:w="2059" w:type="dxa"/>
          </w:tcPr>
          <w:p w:rsidR="00442786" w:rsidRPr="008E38B1" w:rsidRDefault="009420D4" w:rsidP="009420D4">
            <w:pPr>
              <w:keepNext/>
              <w:jc w:val="left"/>
              <w:rPr>
                <w:rFonts w:cs="Arial"/>
                <w:snapToGrid w:val="0"/>
                <w:sz w:val="18"/>
                <w:lang w:val="es-419"/>
              </w:rPr>
            </w:pPr>
            <w:r w:rsidRPr="008E38B1">
              <w:rPr>
                <w:rFonts w:cs="Arial"/>
                <w:snapToGrid w:val="0"/>
                <w:sz w:val="18"/>
                <w:lang w:val="es-419"/>
              </w:rPr>
              <w:t>- En cuanto a las directrices de examen, los comentarios previos se consideraron útiles para la preparación y mejora del proceso de debate</w:t>
            </w:r>
          </w:p>
          <w:p w:rsidR="00442786" w:rsidRPr="008E38B1" w:rsidRDefault="009420D4" w:rsidP="009420D4">
            <w:pPr>
              <w:keepNext/>
              <w:jc w:val="left"/>
              <w:rPr>
                <w:rFonts w:cs="Arial"/>
                <w:snapToGrid w:val="0"/>
                <w:sz w:val="18"/>
                <w:lang w:val="es-419"/>
              </w:rPr>
            </w:pPr>
            <w:r w:rsidRPr="008E38B1">
              <w:rPr>
                <w:rFonts w:cs="Arial"/>
                <w:snapToGrid w:val="0"/>
                <w:sz w:val="18"/>
                <w:lang w:val="es-419"/>
              </w:rPr>
              <w:t>- En todos los casos (reuniones virtuales y presenciales) debería mantenerse la posibilidad de formular comentarios y preguntas sobre los documentos con antelación</w:t>
            </w:r>
          </w:p>
          <w:p w:rsidR="00442786" w:rsidRPr="008E38B1" w:rsidRDefault="009420D4" w:rsidP="009420D4">
            <w:pPr>
              <w:keepNext/>
              <w:jc w:val="left"/>
              <w:rPr>
                <w:rFonts w:cs="Arial"/>
                <w:snapToGrid w:val="0"/>
                <w:sz w:val="18"/>
                <w:lang w:val="es-419"/>
              </w:rPr>
            </w:pPr>
            <w:r w:rsidRPr="008E38B1">
              <w:rPr>
                <w:rFonts w:cs="Arial"/>
                <w:snapToGrid w:val="0"/>
                <w:sz w:val="18"/>
                <w:lang w:val="es-419"/>
              </w:rPr>
              <w:t>- No debería impedir que se discutan los temas en el seno de los TWP</w:t>
            </w:r>
          </w:p>
          <w:p w:rsidR="00442786" w:rsidRPr="008E38B1" w:rsidRDefault="009420D4" w:rsidP="009420D4">
            <w:pPr>
              <w:keepNext/>
              <w:jc w:val="left"/>
              <w:rPr>
                <w:rFonts w:cs="Arial"/>
                <w:snapToGrid w:val="0"/>
                <w:sz w:val="18"/>
                <w:lang w:val="es-419"/>
              </w:rPr>
            </w:pPr>
            <w:r w:rsidRPr="008E38B1">
              <w:rPr>
                <w:rFonts w:cs="Arial"/>
                <w:snapToGrid w:val="0"/>
                <w:sz w:val="18"/>
                <w:lang w:val="es-419"/>
              </w:rPr>
              <w:t>- Debería fomentarse el uso de la plantilla web de los documentos TG para formular comentarios sobre las directrices de examen</w:t>
            </w:r>
          </w:p>
          <w:p w:rsidR="00D77064" w:rsidRPr="008E38B1" w:rsidRDefault="009420D4" w:rsidP="009420D4">
            <w:pPr>
              <w:keepNext/>
              <w:jc w:val="left"/>
              <w:rPr>
                <w:rFonts w:cs="Arial"/>
                <w:snapToGrid w:val="0"/>
                <w:sz w:val="18"/>
                <w:lang w:val="es-419"/>
              </w:rPr>
            </w:pPr>
            <w:r w:rsidRPr="008E38B1">
              <w:rPr>
                <w:rFonts w:cs="Arial"/>
                <w:snapToGrid w:val="0"/>
                <w:sz w:val="18"/>
                <w:lang w:val="es-419"/>
              </w:rPr>
              <w:t>- Debería fomentarse el aumento del número de miembros que contribuyen</w:t>
            </w:r>
          </w:p>
        </w:tc>
        <w:tc>
          <w:tcPr>
            <w:tcW w:w="1139" w:type="dxa"/>
          </w:tcPr>
          <w:p w:rsidR="00D77064" w:rsidRPr="008E38B1" w:rsidRDefault="00D77064" w:rsidP="00D77064">
            <w:pPr>
              <w:keepNext/>
              <w:jc w:val="left"/>
              <w:rPr>
                <w:rFonts w:cs="Arial"/>
                <w:snapToGrid w:val="0"/>
                <w:sz w:val="18"/>
                <w:lang w:val="es-419"/>
              </w:rPr>
            </w:pPr>
          </w:p>
        </w:tc>
      </w:tr>
    </w:tbl>
    <w:p w:rsidR="00442786" w:rsidRPr="008E38B1" w:rsidRDefault="00442786" w:rsidP="00D05F80">
      <w:pPr>
        <w:pStyle w:val="ListParagraph"/>
        <w:tabs>
          <w:tab w:val="left" w:pos="1701"/>
        </w:tabs>
        <w:ind w:left="1134" w:hanging="567"/>
        <w:rPr>
          <w:rFonts w:cs="Arial"/>
          <w:lang w:val="es-419"/>
        </w:rPr>
      </w:pPr>
    </w:p>
    <w:p w:rsidR="00442786" w:rsidRPr="008E38B1" w:rsidRDefault="005475A5" w:rsidP="009420D4">
      <w:pPr>
        <w:pStyle w:val="ListParagraph"/>
        <w:keepNext/>
        <w:numPr>
          <w:ilvl w:val="1"/>
          <w:numId w:val="10"/>
        </w:numPr>
        <w:tabs>
          <w:tab w:val="left" w:pos="1701"/>
        </w:tabs>
        <w:rPr>
          <w:rFonts w:cs="Arial"/>
          <w:lang w:val="es-419"/>
        </w:rPr>
      </w:pPr>
      <w:r w:rsidRPr="008E38B1">
        <w:rPr>
          <w:rFonts w:cs="Arial"/>
          <w:lang w:val="es-419"/>
        </w:rPr>
        <w:t xml:space="preserve">Organizar la participación electrónica durante las reuniones de los TWP, optando por una de las siguientes posibilidades, según las instalaciones del organizador: </w:t>
      </w:r>
    </w:p>
    <w:p w:rsidR="00442786" w:rsidRPr="008E38B1" w:rsidRDefault="00442786" w:rsidP="009420D4">
      <w:pPr>
        <w:pStyle w:val="ListParagraph"/>
        <w:keepNext/>
        <w:tabs>
          <w:tab w:val="left" w:pos="1701"/>
        </w:tabs>
        <w:ind w:left="1134"/>
        <w:rPr>
          <w:rFonts w:cs="Arial"/>
          <w:lang w:val="es-419"/>
        </w:rPr>
      </w:pPr>
    </w:p>
    <w:p w:rsidR="00442786" w:rsidRPr="008E38B1" w:rsidRDefault="005475A5" w:rsidP="005475A5">
      <w:pPr>
        <w:pStyle w:val="ListParagraph"/>
        <w:numPr>
          <w:ilvl w:val="2"/>
          <w:numId w:val="10"/>
        </w:numPr>
        <w:ind w:left="1701" w:hanging="567"/>
        <w:rPr>
          <w:rFonts w:cs="Arial"/>
          <w:lang w:val="es-419"/>
        </w:rPr>
      </w:pPr>
      <w:r w:rsidRPr="008E38B1">
        <w:rPr>
          <w:rFonts w:cs="Arial"/>
          <w:lang w:val="es-419"/>
        </w:rPr>
        <w:t xml:space="preserve">Que el organizador proporcione la plataforma para los participantes virtuales (con audio y video integrados </w:t>
      </w:r>
      <w:r w:rsidRPr="008E38B1">
        <w:rPr>
          <w:rFonts w:cs="Arial"/>
          <w:i/>
          <w:lang w:val="es-419"/>
        </w:rPr>
        <w:t>in situ</w:t>
      </w:r>
      <w:r w:rsidRPr="008E38B1">
        <w:rPr>
          <w:rFonts w:cs="Arial"/>
          <w:lang w:val="es-419"/>
        </w:rPr>
        <w:t xml:space="preserve">), además de la participación </w:t>
      </w:r>
      <w:r w:rsidRPr="008E38B1">
        <w:rPr>
          <w:rFonts w:cs="Arial"/>
          <w:i/>
          <w:lang w:val="es-419"/>
        </w:rPr>
        <w:t>in situ</w:t>
      </w:r>
      <w:r w:rsidRPr="008E38B1">
        <w:rPr>
          <w:rFonts w:cs="Arial"/>
          <w:lang w:val="es-419"/>
        </w:rPr>
        <w:t xml:space="preserve"> en la reunión.</w:t>
      </w:r>
    </w:p>
    <w:p w:rsidR="00442786" w:rsidRPr="008E38B1" w:rsidRDefault="00442786" w:rsidP="005475A5">
      <w:pPr>
        <w:pStyle w:val="ListParagraph"/>
        <w:ind w:left="1701"/>
        <w:rPr>
          <w:rFonts w:cs="Arial"/>
          <w:lang w:val="es-419"/>
        </w:rPr>
      </w:pPr>
    </w:p>
    <w:p w:rsidR="00442786" w:rsidRPr="008E38B1" w:rsidRDefault="005475A5" w:rsidP="005475A5">
      <w:pPr>
        <w:pStyle w:val="ListParagraph"/>
        <w:numPr>
          <w:ilvl w:val="2"/>
          <w:numId w:val="10"/>
        </w:numPr>
        <w:ind w:left="1701" w:hanging="567"/>
        <w:rPr>
          <w:rFonts w:cs="Arial"/>
          <w:lang w:val="es-419"/>
        </w:rPr>
      </w:pPr>
      <w:r w:rsidRPr="008E38B1">
        <w:rPr>
          <w:rFonts w:cs="Arial"/>
          <w:lang w:val="es-419"/>
        </w:rPr>
        <w:t>Que la Oficina de la Unión proporcione la plataforma para los participantes virtuales. Se invitará a todos los participantes (presenciales y a distancia) a incorporarse a la plataforma utilizando su equipo personal.</w:t>
      </w:r>
    </w:p>
    <w:p w:rsidR="009420D4" w:rsidRPr="008E38B1" w:rsidRDefault="009420D4" w:rsidP="009420D4">
      <w:pPr>
        <w:pStyle w:val="ListParagraph"/>
        <w:ind w:left="1701"/>
        <w:rPr>
          <w:rFonts w:cs="Arial"/>
          <w:lang w:val="es-419"/>
        </w:rPr>
      </w:pPr>
    </w:p>
    <w:tbl>
      <w:tblPr>
        <w:tblStyle w:val="TableGrid"/>
        <w:tblW w:w="9781" w:type="dxa"/>
        <w:tblInd w:w="-5" w:type="dxa"/>
        <w:tblLook w:val="04A0" w:firstRow="1" w:lastRow="0" w:firstColumn="1" w:lastColumn="0" w:noHBand="0" w:noVBand="1"/>
      </w:tblPr>
      <w:tblGrid>
        <w:gridCol w:w="1550"/>
        <w:gridCol w:w="1763"/>
        <w:gridCol w:w="1704"/>
        <w:gridCol w:w="1738"/>
        <w:gridCol w:w="1682"/>
        <w:gridCol w:w="1344"/>
      </w:tblGrid>
      <w:tr w:rsidR="00F65078" w:rsidRPr="008E38B1" w:rsidTr="00D77064">
        <w:trPr>
          <w:cantSplit/>
        </w:trPr>
        <w:tc>
          <w:tcPr>
            <w:tcW w:w="1017" w:type="dxa"/>
          </w:tcPr>
          <w:p w:rsidR="00F65078" w:rsidRPr="008E38B1" w:rsidRDefault="00F65078" w:rsidP="00F65078">
            <w:pPr>
              <w:keepNext/>
              <w:jc w:val="left"/>
              <w:rPr>
                <w:rFonts w:cs="Arial"/>
                <w:snapToGrid w:val="0"/>
                <w:lang w:val="es-419"/>
              </w:rPr>
            </w:pPr>
          </w:p>
        </w:tc>
        <w:tc>
          <w:tcPr>
            <w:tcW w:w="1818" w:type="dxa"/>
          </w:tcPr>
          <w:p w:rsidR="00F65078" w:rsidRPr="008E38B1" w:rsidRDefault="00F65078" w:rsidP="00F65078">
            <w:pPr>
              <w:keepNext/>
              <w:jc w:val="center"/>
              <w:rPr>
                <w:rFonts w:cs="Arial"/>
                <w:snapToGrid w:val="0"/>
                <w:lang w:val="es-419"/>
              </w:rPr>
            </w:pPr>
            <w:r w:rsidRPr="008E38B1">
              <w:rPr>
                <w:rFonts w:cs="Arial"/>
                <w:snapToGrid w:val="0"/>
                <w:lang w:val="es-419"/>
              </w:rPr>
              <w:t>TWV</w:t>
            </w:r>
          </w:p>
        </w:tc>
        <w:tc>
          <w:tcPr>
            <w:tcW w:w="1843" w:type="dxa"/>
          </w:tcPr>
          <w:p w:rsidR="00F65078" w:rsidRPr="008E38B1" w:rsidRDefault="00F65078" w:rsidP="008F71E2">
            <w:pPr>
              <w:jc w:val="center"/>
              <w:rPr>
                <w:rFonts w:cs="Arial"/>
                <w:snapToGrid w:val="0"/>
                <w:lang w:val="es-419"/>
              </w:rPr>
            </w:pPr>
            <w:r w:rsidRPr="008E38B1">
              <w:rPr>
                <w:rFonts w:cs="Arial"/>
                <w:snapToGrid w:val="0"/>
                <w:lang w:val="es-419"/>
              </w:rPr>
              <w:t>TWO</w:t>
            </w:r>
          </w:p>
        </w:tc>
        <w:tc>
          <w:tcPr>
            <w:tcW w:w="1843" w:type="dxa"/>
          </w:tcPr>
          <w:p w:rsidR="00F65078" w:rsidRPr="008E38B1" w:rsidRDefault="00F65078" w:rsidP="00F65078">
            <w:pPr>
              <w:keepNext/>
              <w:jc w:val="center"/>
              <w:rPr>
                <w:rFonts w:cs="Arial"/>
                <w:snapToGrid w:val="0"/>
                <w:lang w:val="es-419"/>
              </w:rPr>
            </w:pPr>
            <w:r w:rsidRPr="008E38B1">
              <w:rPr>
                <w:rFonts w:cs="Arial"/>
                <w:snapToGrid w:val="0"/>
                <w:lang w:val="es-419"/>
              </w:rPr>
              <w:t>TWA</w:t>
            </w:r>
          </w:p>
        </w:tc>
        <w:tc>
          <w:tcPr>
            <w:tcW w:w="1701" w:type="dxa"/>
          </w:tcPr>
          <w:p w:rsidR="00F65078" w:rsidRPr="008E38B1" w:rsidRDefault="00F65078" w:rsidP="00F65078">
            <w:pPr>
              <w:keepNext/>
              <w:jc w:val="center"/>
              <w:rPr>
                <w:rFonts w:cs="Arial"/>
                <w:snapToGrid w:val="0"/>
                <w:lang w:val="es-419"/>
              </w:rPr>
            </w:pPr>
            <w:r w:rsidRPr="008E38B1">
              <w:rPr>
                <w:rFonts w:cs="Arial"/>
                <w:snapToGrid w:val="0"/>
                <w:lang w:val="es-419"/>
              </w:rPr>
              <w:t>TWF</w:t>
            </w:r>
          </w:p>
        </w:tc>
        <w:tc>
          <w:tcPr>
            <w:tcW w:w="1559" w:type="dxa"/>
          </w:tcPr>
          <w:p w:rsidR="00F65078" w:rsidRPr="008E38B1" w:rsidRDefault="00F65078" w:rsidP="00F65078">
            <w:pPr>
              <w:keepNext/>
              <w:jc w:val="center"/>
              <w:rPr>
                <w:rFonts w:cs="Arial"/>
                <w:snapToGrid w:val="0"/>
                <w:lang w:val="es-419"/>
              </w:rPr>
            </w:pPr>
            <w:r w:rsidRPr="008E38B1">
              <w:rPr>
                <w:rFonts w:cs="Arial"/>
                <w:snapToGrid w:val="0"/>
                <w:lang w:val="es-419"/>
              </w:rPr>
              <w:t>TWC</w:t>
            </w:r>
          </w:p>
        </w:tc>
      </w:tr>
      <w:tr w:rsidR="00D77064" w:rsidRPr="008E38B1" w:rsidTr="00D77064">
        <w:trPr>
          <w:cantSplit/>
        </w:trPr>
        <w:tc>
          <w:tcPr>
            <w:tcW w:w="1017" w:type="dxa"/>
            <w:vAlign w:val="center"/>
          </w:tcPr>
          <w:p w:rsidR="00D77064" w:rsidRPr="008E38B1" w:rsidRDefault="00D77064" w:rsidP="008F71E2">
            <w:pPr>
              <w:keepNext/>
              <w:jc w:val="center"/>
              <w:rPr>
                <w:rFonts w:cs="Arial"/>
                <w:snapToGrid w:val="0"/>
                <w:lang w:val="es-419"/>
              </w:rPr>
            </w:pPr>
            <w:r w:rsidRPr="008E38B1">
              <w:rPr>
                <w:rFonts w:cs="Arial"/>
                <w:snapToGrid w:val="0"/>
                <w:lang w:val="es-419"/>
              </w:rPr>
              <w:t>Opinión</w:t>
            </w:r>
          </w:p>
        </w:tc>
        <w:tc>
          <w:tcPr>
            <w:tcW w:w="1818" w:type="dxa"/>
            <w:vAlign w:val="center"/>
          </w:tcPr>
          <w:p w:rsidR="00D77064" w:rsidRPr="008E38B1" w:rsidRDefault="00D77064" w:rsidP="00D77064">
            <w:pPr>
              <w:jc w:val="center"/>
              <w:rPr>
                <w:rFonts w:cs="Arial"/>
                <w:snapToGrid w:val="0"/>
                <w:lang w:val="es-419"/>
              </w:rPr>
            </w:pPr>
            <w:r w:rsidRPr="008E38B1">
              <w:rPr>
                <w:rFonts w:cs="Arial"/>
                <w:snapToGrid w:val="0"/>
                <w:lang w:val="es-419"/>
              </w:rPr>
              <w:t>Parcialmente favorable</w:t>
            </w:r>
          </w:p>
        </w:tc>
        <w:tc>
          <w:tcPr>
            <w:tcW w:w="1843" w:type="dxa"/>
            <w:vAlign w:val="center"/>
          </w:tcPr>
          <w:p w:rsidR="00D77064" w:rsidRPr="008E38B1" w:rsidRDefault="00D77064" w:rsidP="008F71E2">
            <w:pPr>
              <w:jc w:val="center"/>
              <w:rPr>
                <w:rFonts w:cs="Arial"/>
                <w:snapToGrid w:val="0"/>
                <w:lang w:val="es-419"/>
              </w:rPr>
            </w:pPr>
            <w:r w:rsidRPr="008E38B1">
              <w:rPr>
                <w:rFonts w:cs="Arial"/>
                <w:snapToGrid w:val="0"/>
                <w:lang w:val="es-419"/>
              </w:rPr>
              <w:t>Parcialmente favorable</w:t>
            </w:r>
          </w:p>
        </w:tc>
        <w:tc>
          <w:tcPr>
            <w:tcW w:w="1843" w:type="dxa"/>
            <w:vAlign w:val="center"/>
          </w:tcPr>
          <w:p w:rsidR="00D77064" w:rsidRPr="008E38B1" w:rsidRDefault="00D77064" w:rsidP="00D77064">
            <w:pPr>
              <w:jc w:val="center"/>
              <w:rPr>
                <w:rFonts w:cs="Arial"/>
                <w:snapToGrid w:val="0"/>
                <w:lang w:val="es-419"/>
              </w:rPr>
            </w:pPr>
            <w:r w:rsidRPr="008E38B1">
              <w:rPr>
                <w:rFonts w:cs="Arial"/>
                <w:snapToGrid w:val="0"/>
                <w:lang w:val="es-419"/>
              </w:rPr>
              <w:t>Parcialmente favorable</w:t>
            </w:r>
          </w:p>
        </w:tc>
        <w:tc>
          <w:tcPr>
            <w:tcW w:w="1701" w:type="dxa"/>
            <w:vAlign w:val="center"/>
          </w:tcPr>
          <w:p w:rsidR="00D77064" w:rsidRPr="008E38B1" w:rsidRDefault="00D77064" w:rsidP="00D77064">
            <w:pPr>
              <w:jc w:val="center"/>
              <w:rPr>
                <w:rFonts w:cs="Arial"/>
                <w:snapToGrid w:val="0"/>
                <w:lang w:val="es-419"/>
              </w:rPr>
            </w:pPr>
            <w:r w:rsidRPr="008E38B1">
              <w:rPr>
                <w:rFonts w:cs="Arial"/>
                <w:snapToGrid w:val="0"/>
                <w:lang w:val="es-419"/>
              </w:rPr>
              <w:t>Parcialmente favorable</w:t>
            </w:r>
          </w:p>
        </w:tc>
        <w:tc>
          <w:tcPr>
            <w:tcW w:w="1559" w:type="dxa"/>
            <w:vAlign w:val="center"/>
          </w:tcPr>
          <w:p w:rsidR="00D77064" w:rsidRPr="008E38B1" w:rsidRDefault="00D77064" w:rsidP="00D77064">
            <w:pPr>
              <w:jc w:val="center"/>
              <w:rPr>
                <w:rFonts w:cs="Arial"/>
                <w:snapToGrid w:val="0"/>
                <w:lang w:val="es-419"/>
              </w:rPr>
            </w:pPr>
          </w:p>
        </w:tc>
      </w:tr>
      <w:tr w:rsidR="00D77064" w:rsidRPr="003F4FE7" w:rsidTr="002007FC">
        <w:trPr>
          <w:trHeight w:val="2388"/>
        </w:trPr>
        <w:tc>
          <w:tcPr>
            <w:tcW w:w="1017" w:type="dxa"/>
          </w:tcPr>
          <w:p w:rsidR="00D77064" w:rsidRPr="008E38B1" w:rsidRDefault="00AB7303" w:rsidP="00AB7303">
            <w:pPr>
              <w:keepNext/>
              <w:jc w:val="left"/>
              <w:rPr>
                <w:rFonts w:cs="Arial"/>
                <w:snapToGrid w:val="0"/>
                <w:lang w:val="es-419"/>
              </w:rPr>
            </w:pPr>
            <w:r w:rsidRPr="008E38B1">
              <w:rPr>
                <w:rFonts w:cs="Arial"/>
                <w:snapToGrid w:val="0"/>
                <w:lang w:val="es-419"/>
              </w:rPr>
              <w:t>Observaciones</w:t>
            </w:r>
          </w:p>
        </w:tc>
        <w:tc>
          <w:tcPr>
            <w:tcW w:w="1818" w:type="dxa"/>
          </w:tcPr>
          <w:p w:rsidR="00442786" w:rsidRPr="008E38B1" w:rsidRDefault="00AB7303" w:rsidP="00AB7303">
            <w:pPr>
              <w:keepNext/>
              <w:jc w:val="left"/>
              <w:rPr>
                <w:rFonts w:cs="Arial"/>
                <w:snapToGrid w:val="0"/>
                <w:sz w:val="18"/>
                <w:lang w:val="es-419"/>
              </w:rPr>
            </w:pPr>
            <w:r w:rsidRPr="008E38B1">
              <w:rPr>
                <w:rFonts w:cs="Arial"/>
                <w:snapToGrid w:val="0"/>
                <w:sz w:val="18"/>
                <w:lang w:val="es-419"/>
              </w:rPr>
              <w:t>- La tecnología que se utilice (por ejemplo, la plataforma de videoconferencia) debería ser estándar para permitir una amplia participación de los miembros</w:t>
            </w:r>
          </w:p>
          <w:p w:rsidR="00D77064" w:rsidRPr="008E38B1" w:rsidRDefault="00AB7303" w:rsidP="00AB7303">
            <w:pPr>
              <w:keepNext/>
              <w:jc w:val="left"/>
              <w:rPr>
                <w:rFonts w:cs="Arial"/>
                <w:snapToGrid w:val="0"/>
                <w:sz w:val="18"/>
                <w:lang w:val="es-419"/>
              </w:rPr>
            </w:pPr>
            <w:r w:rsidRPr="008E38B1">
              <w:rPr>
                <w:rFonts w:cs="Arial"/>
                <w:snapToGrid w:val="0"/>
                <w:sz w:val="18"/>
                <w:lang w:val="es-419"/>
              </w:rPr>
              <w:t>- En las invitaciones se debería seguir preguntando si los participantes tienen intención de participar en persona o por vía electrónica, con el fin de evaluar la necesidad de instalar el equipo adecuado para el anfitrión</w:t>
            </w:r>
          </w:p>
        </w:tc>
        <w:tc>
          <w:tcPr>
            <w:tcW w:w="1843" w:type="dxa"/>
          </w:tcPr>
          <w:p w:rsidR="00442786" w:rsidRPr="008E38B1" w:rsidRDefault="00AB7303" w:rsidP="00AB7303">
            <w:pPr>
              <w:keepNext/>
              <w:jc w:val="left"/>
              <w:rPr>
                <w:rFonts w:cs="Arial"/>
                <w:snapToGrid w:val="0"/>
                <w:sz w:val="18"/>
                <w:lang w:val="es-419"/>
              </w:rPr>
            </w:pPr>
            <w:r w:rsidRPr="008E38B1">
              <w:rPr>
                <w:rFonts w:cs="Arial"/>
                <w:snapToGrid w:val="0"/>
                <w:sz w:val="18"/>
                <w:lang w:val="es-419"/>
              </w:rPr>
              <w:t>- Una mayor accesibilidad sería beneficiosa para promover la participación de los expertos en determinados puntos del orden del día</w:t>
            </w:r>
          </w:p>
          <w:p w:rsidR="00442786" w:rsidRPr="008E38B1" w:rsidRDefault="00AB7303" w:rsidP="00AB7303">
            <w:pPr>
              <w:keepNext/>
              <w:jc w:val="left"/>
              <w:rPr>
                <w:rFonts w:cs="Arial"/>
                <w:snapToGrid w:val="0"/>
                <w:sz w:val="18"/>
                <w:lang w:val="es-419"/>
              </w:rPr>
            </w:pPr>
            <w:r w:rsidRPr="008E38B1">
              <w:rPr>
                <w:rFonts w:cs="Arial"/>
                <w:snapToGrid w:val="0"/>
                <w:sz w:val="18"/>
                <w:lang w:val="es-419"/>
              </w:rPr>
              <w:t>- La dificultad para encontrar un horario adecuado podría incidir en la igualdad de oportunidades para participar</w:t>
            </w:r>
          </w:p>
          <w:p w:rsidR="00442786" w:rsidRPr="008E38B1" w:rsidRDefault="00AB7303" w:rsidP="00AB7303">
            <w:pPr>
              <w:keepNext/>
              <w:jc w:val="left"/>
              <w:rPr>
                <w:rFonts w:cs="Arial"/>
                <w:snapToGrid w:val="0"/>
                <w:sz w:val="18"/>
                <w:lang w:val="es-419"/>
              </w:rPr>
            </w:pPr>
            <w:r w:rsidRPr="008E38B1">
              <w:rPr>
                <w:rFonts w:cs="Arial"/>
                <w:snapToGrid w:val="0"/>
                <w:sz w:val="18"/>
                <w:lang w:val="es-419"/>
              </w:rPr>
              <w:t>- Considerar la posibilidad de alternar un año de reunión física con un año de reunión virtual</w:t>
            </w:r>
          </w:p>
          <w:p w:rsidR="00D77064" w:rsidRPr="008E38B1" w:rsidRDefault="00AB7303" w:rsidP="00AB7303">
            <w:pPr>
              <w:keepNext/>
              <w:jc w:val="left"/>
              <w:rPr>
                <w:rFonts w:cs="Arial"/>
                <w:snapToGrid w:val="0"/>
                <w:sz w:val="18"/>
                <w:lang w:val="es-419"/>
              </w:rPr>
            </w:pPr>
            <w:r w:rsidRPr="008E38B1">
              <w:rPr>
                <w:rFonts w:cs="Arial"/>
                <w:snapToGrid w:val="0"/>
                <w:sz w:val="18"/>
                <w:lang w:val="es-419"/>
              </w:rPr>
              <w:t>- Podría implicar una planificación y costes adicionales para el anfitrión</w:t>
            </w:r>
          </w:p>
        </w:tc>
        <w:tc>
          <w:tcPr>
            <w:tcW w:w="1843" w:type="dxa"/>
          </w:tcPr>
          <w:p w:rsidR="00442786" w:rsidRPr="008E38B1" w:rsidRDefault="00AB7303" w:rsidP="00AB7303">
            <w:pPr>
              <w:keepNext/>
              <w:jc w:val="left"/>
              <w:rPr>
                <w:rFonts w:cs="Arial"/>
                <w:snapToGrid w:val="0"/>
                <w:sz w:val="18"/>
                <w:lang w:val="es-419"/>
              </w:rPr>
            </w:pPr>
            <w:r w:rsidRPr="008E38B1">
              <w:rPr>
                <w:rFonts w:cs="Arial"/>
                <w:snapToGrid w:val="0"/>
                <w:sz w:val="18"/>
                <w:lang w:val="es-419"/>
              </w:rPr>
              <w:t>- Considerar la posibilidad de que la participación en línea se limite a la escucha (el derecho a hablar estaría reservado a los participantes presenciales)</w:t>
            </w:r>
            <w:r w:rsidR="00D77064" w:rsidRPr="008E38B1">
              <w:rPr>
                <w:rFonts w:cs="Arial"/>
                <w:snapToGrid w:val="0"/>
                <w:sz w:val="18"/>
                <w:lang w:val="es-419"/>
              </w:rPr>
              <w:t xml:space="preserve"> </w:t>
            </w:r>
          </w:p>
          <w:p w:rsidR="00442786" w:rsidRPr="008E38B1" w:rsidRDefault="00AB7303" w:rsidP="00AB7303">
            <w:pPr>
              <w:keepNext/>
              <w:jc w:val="left"/>
              <w:rPr>
                <w:rFonts w:cs="Arial"/>
                <w:snapToGrid w:val="0"/>
                <w:sz w:val="18"/>
                <w:lang w:val="es-419"/>
              </w:rPr>
            </w:pPr>
            <w:r w:rsidRPr="008E38B1">
              <w:rPr>
                <w:rFonts w:cs="Arial"/>
                <w:snapToGrid w:val="0"/>
                <w:sz w:val="18"/>
                <w:lang w:val="es-419"/>
              </w:rPr>
              <w:t>- La reunión debería organizarse en función de las necesidades de los participantes presenciales</w:t>
            </w:r>
          </w:p>
          <w:p w:rsidR="00442786" w:rsidRPr="008E38B1" w:rsidRDefault="00AB7303" w:rsidP="00AB7303">
            <w:pPr>
              <w:keepNext/>
              <w:jc w:val="left"/>
              <w:rPr>
                <w:rFonts w:cs="Arial"/>
                <w:snapToGrid w:val="0"/>
                <w:sz w:val="18"/>
                <w:lang w:val="es-419"/>
              </w:rPr>
            </w:pPr>
            <w:r w:rsidRPr="008E38B1">
              <w:rPr>
                <w:rFonts w:cs="Arial"/>
                <w:snapToGrid w:val="0"/>
                <w:sz w:val="18"/>
                <w:lang w:val="es-419"/>
              </w:rPr>
              <w:t>- Útil para aumentar la participación en la labor técnica de la UPOV y la formación del personal</w:t>
            </w:r>
          </w:p>
          <w:p w:rsidR="00D77064" w:rsidRPr="008E38B1" w:rsidRDefault="00AB7303" w:rsidP="00AB7303">
            <w:pPr>
              <w:keepNext/>
              <w:jc w:val="left"/>
              <w:rPr>
                <w:rFonts w:cs="Arial"/>
                <w:snapToGrid w:val="0"/>
                <w:sz w:val="18"/>
                <w:lang w:val="es-419"/>
              </w:rPr>
            </w:pPr>
            <w:r w:rsidRPr="008E38B1">
              <w:rPr>
                <w:rFonts w:cs="Arial"/>
                <w:snapToGrid w:val="0"/>
                <w:sz w:val="18"/>
                <w:lang w:val="es-419"/>
              </w:rPr>
              <w:t>- Beneficioso para promover la participación de los expertos en determinados puntos del orden del día (por ejemplo,</w:t>
            </w:r>
            <w:r w:rsidR="00D77064" w:rsidRPr="008E38B1">
              <w:rPr>
                <w:rFonts w:cs="Arial"/>
                <w:snapToGrid w:val="0"/>
                <w:sz w:val="18"/>
                <w:lang w:val="es-419"/>
              </w:rPr>
              <w:t xml:space="preserve"> </w:t>
            </w:r>
            <w:r w:rsidRPr="008E38B1">
              <w:rPr>
                <w:rFonts w:cs="Arial"/>
                <w:snapToGrid w:val="0"/>
                <w:sz w:val="18"/>
                <w:lang w:val="es-419"/>
              </w:rPr>
              <w:t>directrices de examen, presentaciones)</w:t>
            </w:r>
          </w:p>
        </w:tc>
        <w:tc>
          <w:tcPr>
            <w:tcW w:w="1701" w:type="dxa"/>
          </w:tcPr>
          <w:p w:rsidR="00442786" w:rsidRPr="008E38B1" w:rsidRDefault="00AB7303" w:rsidP="00AB7303">
            <w:pPr>
              <w:keepNext/>
              <w:jc w:val="left"/>
              <w:rPr>
                <w:rFonts w:cs="Arial"/>
                <w:snapToGrid w:val="0"/>
                <w:sz w:val="18"/>
                <w:lang w:val="es-419"/>
              </w:rPr>
            </w:pPr>
            <w:r w:rsidRPr="008E38B1">
              <w:rPr>
                <w:rFonts w:cs="Arial"/>
                <w:snapToGrid w:val="0"/>
                <w:sz w:val="18"/>
                <w:lang w:val="es-419"/>
              </w:rPr>
              <w:t>- La tecnología que se utilice (por ejemplo, la plataforma de videoconferencia) debería ser estándar para permitir una amplia participación de los miembros</w:t>
            </w:r>
          </w:p>
          <w:p w:rsidR="00D77064" w:rsidRPr="008E38B1" w:rsidRDefault="00AB7303" w:rsidP="00AB7303">
            <w:pPr>
              <w:keepNext/>
              <w:jc w:val="left"/>
              <w:rPr>
                <w:rFonts w:cs="Arial"/>
                <w:snapToGrid w:val="0"/>
                <w:sz w:val="18"/>
                <w:lang w:val="es-419"/>
              </w:rPr>
            </w:pPr>
            <w:r w:rsidRPr="008E38B1">
              <w:rPr>
                <w:rFonts w:cs="Arial"/>
                <w:snapToGrid w:val="0"/>
                <w:sz w:val="18"/>
                <w:lang w:val="es-419"/>
              </w:rPr>
              <w:t>- En las invitaciones se debería seguir preguntando si los participantes tienen intención de participar en persona o por vía electrónica, con el fin de evaluar la necesidad de instalar el equipo adecuado para el anfitrión</w:t>
            </w:r>
          </w:p>
        </w:tc>
        <w:tc>
          <w:tcPr>
            <w:tcW w:w="1559" w:type="dxa"/>
          </w:tcPr>
          <w:p w:rsidR="00442786" w:rsidRPr="008E38B1" w:rsidRDefault="00AB7303" w:rsidP="00AB7303">
            <w:pPr>
              <w:jc w:val="left"/>
              <w:rPr>
                <w:rFonts w:cs="Arial"/>
                <w:snapToGrid w:val="0"/>
                <w:sz w:val="18"/>
                <w:lang w:val="es-419"/>
              </w:rPr>
            </w:pPr>
            <w:r w:rsidRPr="008E38B1">
              <w:rPr>
                <w:rFonts w:cs="Arial"/>
                <w:snapToGrid w:val="0"/>
                <w:sz w:val="18"/>
                <w:lang w:val="es-419"/>
              </w:rPr>
              <w:t>- Alternar un año de reunión física con otro de reunión virtual</w:t>
            </w:r>
          </w:p>
          <w:p w:rsidR="00D77064" w:rsidRPr="008E38B1" w:rsidRDefault="00D77064" w:rsidP="00D77064">
            <w:pPr>
              <w:jc w:val="left"/>
              <w:rPr>
                <w:rFonts w:cs="Arial"/>
                <w:snapToGrid w:val="0"/>
                <w:sz w:val="18"/>
                <w:lang w:val="es-419"/>
              </w:rPr>
            </w:pPr>
          </w:p>
        </w:tc>
      </w:tr>
    </w:tbl>
    <w:p w:rsidR="00442786" w:rsidRPr="008E38B1" w:rsidRDefault="00442786" w:rsidP="00D05F80">
      <w:pPr>
        <w:rPr>
          <w:snapToGrid w:val="0"/>
          <w:lang w:val="es-419"/>
        </w:rPr>
      </w:pPr>
    </w:p>
    <w:p w:rsidR="00442786" w:rsidRPr="008E38B1" w:rsidRDefault="00442786" w:rsidP="00D05F80">
      <w:pPr>
        <w:rPr>
          <w:snapToGrid w:val="0"/>
          <w:lang w:val="es-419"/>
        </w:rPr>
      </w:pPr>
    </w:p>
    <w:p w:rsidR="00442786" w:rsidRPr="008E38B1" w:rsidRDefault="005475A5" w:rsidP="005475A5">
      <w:pPr>
        <w:pStyle w:val="ListParagraph"/>
        <w:keepNext/>
        <w:numPr>
          <w:ilvl w:val="1"/>
          <w:numId w:val="10"/>
        </w:numPr>
        <w:tabs>
          <w:tab w:val="left" w:pos="1701"/>
        </w:tabs>
        <w:rPr>
          <w:rFonts w:cs="Arial"/>
          <w:lang w:val="es-419"/>
        </w:rPr>
      </w:pPr>
      <w:r w:rsidRPr="008E38B1">
        <w:rPr>
          <w:rFonts w:cs="Arial"/>
          <w:lang w:val="es-419"/>
        </w:rPr>
        <w:t xml:space="preserve">Llevar a cabo reuniones virtuales durante parte del día (por ejemplo, dos reuniones de dos horas al día) y reuniones para que los participantes presenciales realicen las actividades siguientes: </w:t>
      </w:r>
    </w:p>
    <w:p w:rsidR="00442786" w:rsidRPr="008E38B1" w:rsidRDefault="00442786" w:rsidP="005475A5">
      <w:pPr>
        <w:pStyle w:val="ListParagraph"/>
        <w:keepNext/>
        <w:tabs>
          <w:tab w:val="left" w:pos="1701"/>
        </w:tabs>
        <w:ind w:left="567"/>
        <w:rPr>
          <w:rFonts w:cs="Arial"/>
          <w:lang w:val="es-419"/>
        </w:rPr>
      </w:pPr>
    </w:p>
    <w:p w:rsidR="00442786" w:rsidRPr="008E38B1" w:rsidRDefault="005475A5" w:rsidP="005475A5">
      <w:pPr>
        <w:pStyle w:val="ListParagraph"/>
        <w:keepNext/>
        <w:numPr>
          <w:ilvl w:val="2"/>
          <w:numId w:val="2"/>
        </w:numPr>
        <w:tabs>
          <w:tab w:val="left" w:pos="1701"/>
        </w:tabs>
        <w:jc w:val="left"/>
        <w:rPr>
          <w:rFonts w:cs="Arial"/>
          <w:lang w:val="es-419"/>
        </w:rPr>
      </w:pPr>
      <w:r w:rsidRPr="008E38B1">
        <w:rPr>
          <w:rFonts w:cs="Arial"/>
          <w:lang w:val="es-419"/>
        </w:rPr>
        <w:t xml:space="preserve">visitas a los ensayos DHE o a instalaciones relacionadas; </w:t>
      </w:r>
    </w:p>
    <w:p w:rsidR="00442786" w:rsidRPr="008E38B1" w:rsidRDefault="00442786" w:rsidP="005475A5">
      <w:pPr>
        <w:pStyle w:val="ListParagraph"/>
        <w:keepNext/>
        <w:tabs>
          <w:tab w:val="left" w:pos="1701"/>
        </w:tabs>
        <w:ind w:left="1134"/>
        <w:jc w:val="left"/>
        <w:rPr>
          <w:rFonts w:cs="Arial"/>
          <w:lang w:val="es-419"/>
        </w:rPr>
      </w:pPr>
    </w:p>
    <w:p w:rsidR="00442786" w:rsidRPr="008E38B1" w:rsidRDefault="005475A5" w:rsidP="005475A5">
      <w:pPr>
        <w:pStyle w:val="ListParagraph"/>
        <w:keepNext/>
        <w:numPr>
          <w:ilvl w:val="2"/>
          <w:numId w:val="2"/>
        </w:numPr>
        <w:tabs>
          <w:tab w:val="left" w:pos="1701"/>
        </w:tabs>
        <w:jc w:val="left"/>
        <w:rPr>
          <w:rFonts w:cs="Arial"/>
          <w:lang w:val="es-419"/>
        </w:rPr>
      </w:pPr>
      <w:r w:rsidRPr="008E38B1">
        <w:rPr>
          <w:rFonts w:cs="Arial"/>
          <w:lang w:val="es-419"/>
        </w:rPr>
        <w:t xml:space="preserve">debates o reuniones bilaterales previamente organizados sobre cooperación; </w:t>
      </w:r>
    </w:p>
    <w:p w:rsidR="00442786" w:rsidRPr="008E38B1" w:rsidRDefault="00442786" w:rsidP="005475A5">
      <w:pPr>
        <w:pStyle w:val="ListParagraph"/>
        <w:keepNext/>
        <w:tabs>
          <w:tab w:val="left" w:pos="1701"/>
        </w:tabs>
        <w:ind w:left="1134"/>
        <w:jc w:val="left"/>
        <w:rPr>
          <w:rFonts w:cs="Arial"/>
          <w:lang w:val="es-419"/>
        </w:rPr>
      </w:pPr>
    </w:p>
    <w:p w:rsidR="00442786" w:rsidRPr="008E38B1" w:rsidRDefault="005475A5" w:rsidP="005475A5">
      <w:pPr>
        <w:pStyle w:val="ListParagraph"/>
        <w:keepNext/>
        <w:numPr>
          <w:ilvl w:val="2"/>
          <w:numId w:val="2"/>
        </w:numPr>
        <w:tabs>
          <w:tab w:val="left" w:pos="1701"/>
        </w:tabs>
        <w:jc w:val="left"/>
        <w:rPr>
          <w:rFonts w:cs="Arial"/>
          <w:lang w:val="es-419"/>
        </w:rPr>
      </w:pPr>
      <w:r w:rsidRPr="008E38B1">
        <w:rPr>
          <w:rFonts w:cs="Arial"/>
          <w:lang w:val="es-419"/>
        </w:rPr>
        <w:t>reuniones para facilitar los debates o intercambiar conocimientos sobre el examen DHE.</w:t>
      </w:r>
    </w:p>
    <w:p w:rsidR="00D05F80" w:rsidRPr="008E38B1" w:rsidRDefault="00D05F80" w:rsidP="00D05F80">
      <w:pPr>
        <w:rPr>
          <w:lang w:val="es-419"/>
        </w:rPr>
      </w:pPr>
    </w:p>
    <w:tbl>
      <w:tblPr>
        <w:tblStyle w:val="TableGrid"/>
        <w:tblW w:w="9781" w:type="dxa"/>
        <w:tblInd w:w="-5" w:type="dxa"/>
        <w:tblLook w:val="04A0" w:firstRow="1" w:lastRow="0" w:firstColumn="1" w:lastColumn="0" w:noHBand="0" w:noVBand="1"/>
      </w:tblPr>
      <w:tblGrid>
        <w:gridCol w:w="1550"/>
        <w:gridCol w:w="1348"/>
        <w:gridCol w:w="1850"/>
        <w:gridCol w:w="2069"/>
        <w:gridCol w:w="1367"/>
        <w:gridCol w:w="1597"/>
      </w:tblGrid>
      <w:tr w:rsidR="000C45B2" w:rsidRPr="008E38B1" w:rsidTr="00861E04">
        <w:trPr>
          <w:trHeight w:val="484"/>
        </w:trPr>
        <w:tc>
          <w:tcPr>
            <w:tcW w:w="1018" w:type="dxa"/>
            <w:vAlign w:val="center"/>
          </w:tcPr>
          <w:p w:rsidR="000C45B2" w:rsidRPr="008E38B1" w:rsidRDefault="000C45B2" w:rsidP="00AB7303">
            <w:pPr>
              <w:keepNext/>
              <w:jc w:val="center"/>
              <w:rPr>
                <w:rFonts w:cs="Arial"/>
                <w:snapToGrid w:val="0"/>
                <w:lang w:val="es-419"/>
              </w:rPr>
            </w:pPr>
          </w:p>
        </w:tc>
        <w:tc>
          <w:tcPr>
            <w:tcW w:w="1392" w:type="dxa"/>
            <w:vAlign w:val="center"/>
          </w:tcPr>
          <w:p w:rsidR="000C45B2" w:rsidRPr="008E38B1" w:rsidRDefault="000C45B2" w:rsidP="00A14953">
            <w:pPr>
              <w:keepNext/>
              <w:jc w:val="center"/>
              <w:rPr>
                <w:rFonts w:cs="Arial"/>
                <w:snapToGrid w:val="0"/>
                <w:lang w:val="es-419"/>
              </w:rPr>
            </w:pPr>
            <w:r w:rsidRPr="008E38B1">
              <w:rPr>
                <w:rFonts w:cs="Arial"/>
                <w:snapToGrid w:val="0"/>
                <w:lang w:val="es-419"/>
              </w:rPr>
              <w:t>TWV</w:t>
            </w:r>
          </w:p>
        </w:tc>
        <w:tc>
          <w:tcPr>
            <w:tcW w:w="1985" w:type="dxa"/>
            <w:vAlign w:val="center"/>
          </w:tcPr>
          <w:p w:rsidR="000C45B2" w:rsidRPr="008E38B1" w:rsidRDefault="000C45B2" w:rsidP="00A14953">
            <w:pPr>
              <w:jc w:val="center"/>
              <w:rPr>
                <w:rFonts w:cs="Arial"/>
                <w:snapToGrid w:val="0"/>
                <w:lang w:val="es-419"/>
              </w:rPr>
            </w:pPr>
            <w:r w:rsidRPr="008E38B1">
              <w:rPr>
                <w:rFonts w:cs="Arial"/>
                <w:snapToGrid w:val="0"/>
                <w:lang w:val="es-419"/>
              </w:rPr>
              <w:t>TWO</w:t>
            </w:r>
          </w:p>
        </w:tc>
        <w:tc>
          <w:tcPr>
            <w:tcW w:w="2268" w:type="dxa"/>
            <w:vAlign w:val="center"/>
          </w:tcPr>
          <w:p w:rsidR="000C45B2" w:rsidRPr="008E38B1" w:rsidRDefault="000C45B2" w:rsidP="00A14953">
            <w:pPr>
              <w:keepNext/>
              <w:jc w:val="center"/>
              <w:rPr>
                <w:rFonts w:cs="Arial"/>
                <w:snapToGrid w:val="0"/>
                <w:lang w:val="es-419"/>
              </w:rPr>
            </w:pPr>
            <w:r w:rsidRPr="008E38B1">
              <w:rPr>
                <w:rFonts w:cs="Arial"/>
                <w:snapToGrid w:val="0"/>
                <w:lang w:val="es-419"/>
              </w:rPr>
              <w:t>TWA</w:t>
            </w:r>
          </w:p>
        </w:tc>
        <w:tc>
          <w:tcPr>
            <w:tcW w:w="1417" w:type="dxa"/>
            <w:vAlign w:val="center"/>
          </w:tcPr>
          <w:p w:rsidR="000C45B2" w:rsidRPr="008E38B1" w:rsidRDefault="000C45B2" w:rsidP="00AB7303">
            <w:pPr>
              <w:keepNext/>
              <w:keepLines/>
              <w:jc w:val="center"/>
              <w:rPr>
                <w:rFonts w:cs="Arial"/>
                <w:snapToGrid w:val="0"/>
                <w:lang w:val="es-419"/>
              </w:rPr>
            </w:pPr>
            <w:r w:rsidRPr="008E38B1">
              <w:rPr>
                <w:rFonts w:cs="Arial"/>
                <w:snapToGrid w:val="0"/>
                <w:lang w:val="es-419"/>
              </w:rPr>
              <w:t>TWF</w:t>
            </w:r>
          </w:p>
        </w:tc>
        <w:tc>
          <w:tcPr>
            <w:tcW w:w="1701" w:type="dxa"/>
            <w:vAlign w:val="center"/>
          </w:tcPr>
          <w:p w:rsidR="000C45B2" w:rsidRPr="008E38B1" w:rsidRDefault="000C45B2" w:rsidP="00861E04">
            <w:pPr>
              <w:keepNext/>
              <w:keepLines/>
              <w:jc w:val="center"/>
              <w:rPr>
                <w:rFonts w:cs="Arial"/>
                <w:snapToGrid w:val="0"/>
                <w:lang w:val="es-419"/>
              </w:rPr>
            </w:pPr>
            <w:r w:rsidRPr="008E38B1">
              <w:rPr>
                <w:rFonts w:cs="Arial"/>
                <w:snapToGrid w:val="0"/>
                <w:lang w:val="es-419"/>
              </w:rPr>
              <w:t>TWC</w:t>
            </w:r>
          </w:p>
        </w:tc>
      </w:tr>
      <w:tr w:rsidR="009420D4" w:rsidRPr="008E38B1" w:rsidTr="000C45B2">
        <w:trPr>
          <w:trHeight w:val="426"/>
        </w:trPr>
        <w:tc>
          <w:tcPr>
            <w:tcW w:w="1018" w:type="dxa"/>
            <w:vAlign w:val="center"/>
          </w:tcPr>
          <w:p w:rsidR="009420D4" w:rsidRPr="008E38B1" w:rsidRDefault="009420D4" w:rsidP="009420D4">
            <w:pPr>
              <w:keepNext/>
              <w:jc w:val="center"/>
              <w:rPr>
                <w:rFonts w:cs="Arial"/>
                <w:snapToGrid w:val="0"/>
                <w:lang w:val="es-419"/>
              </w:rPr>
            </w:pPr>
            <w:r w:rsidRPr="008E38B1">
              <w:rPr>
                <w:rFonts w:cs="Arial"/>
                <w:snapToGrid w:val="0"/>
                <w:lang w:val="es-419"/>
              </w:rPr>
              <w:t>Opinión</w:t>
            </w:r>
          </w:p>
        </w:tc>
        <w:tc>
          <w:tcPr>
            <w:tcW w:w="1392" w:type="dxa"/>
            <w:vAlign w:val="center"/>
          </w:tcPr>
          <w:p w:rsidR="009420D4" w:rsidRPr="008E38B1" w:rsidRDefault="009420D4" w:rsidP="009420D4">
            <w:pPr>
              <w:jc w:val="center"/>
              <w:rPr>
                <w:rFonts w:cs="Arial"/>
                <w:snapToGrid w:val="0"/>
                <w:lang w:val="es-419"/>
              </w:rPr>
            </w:pPr>
            <w:r w:rsidRPr="008E38B1">
              <w:rPr>
                <w:rFonts w:cs="Arial"/>
                <w:snapToGrid w:val="0"/>
                <w:lang w:val="es-419"/>
              </w:rPr>
              <w:t>Favorable</w:t>
            </w:r>
          </w:p>
        </w:tc>
        <w:tc>
          <w:tcPr>
            <w:tcW w:w="1985" w:type="dxa"/>
            <w:vAlign w:val="center"/>
          </w:tcPr>
          <w:p w:rsidR="009420D4" w:rsidRPr="008E38B1" w:rsidRDefault="009420D4" w:rsidP="009420D4">
            <w:pPr>
              <w:keepNext/>
              <w:jc w:val="center"/>
              <w:rPr>
                <w:rFonts w:cs="Arial"/>
                <w:snapToGrid w:val="0"/>
                <w:lang w:val="es-419"/>
              </w:rPr>
            </w:pPr>
            <w:r w:rsidRPr="008E38B1">
              <w:rPr>
                <w:rFonts w:cs="Arial"/>
                <w:snapToGrid w:val="0"/>
                <w:lang w:val="es-419"/>
              </w:rPr>
              <w:t>Parcialmente favorable</w:t>
            </w:r>
          </w:p>
        </w:tc>
        <w:tc>
          <w:tcPr>
            <w:tcW w:w="2268" w:type="dxa"/>
            <w:vAlign w:val="center"/>
          </w:tcPr>
          <w:p w:rsidR="009420D4" w:rsidRPr="008E38B1" w:rsidRDefault="009420D4" w:rsidP="009420D4">
            <w:pPr>
              <w:jc w:val="center"/>
              <w:rPr>
                <w:rFonts w:cs="Arial"/>
                <w:snapToGrid w:val="0"/>
                <w:lang w:val="es-419"/>
              </w:rPr>
            </w:pPr>
            <w:r w:rsidRPr="008E38B1">
              <w:rPr>
                <w:rFonts w:cs="Arial"/>
                <w:snapToGrid w:val="0"/>
                <w:lang w:val="es-419"/>
              </w:rPr>
              <w:t>Parcialmente favorable</w:t>
            </w:r>
          </w:p>
        </w:tc>
        <w:tc>
          <w:tcPr>
            <w:tcW w:w="1417" w:type="dxa"/>
            <w:vAlign w:val="center"/>
          </w:tcPr>
          <w:p w:rsidR="009420D4" w:rsidRPr="008E38B1" w:rsidRDefault="009420D4" w:rsidP="009420D4">
            <w:pPr>
              <w:jc w:val="center"/>
              <w:rPr>
                <w:rFonts w:cs="Arial"/>
                <w:snapToGrid w:val="0"/>
                <w:lang w:val="es-419"/>
              </w:rPr>
            </w:pPr>
            <w:r w:rsidRPr="008E38B1">
              <w:rPr>
                <w:rFonts w:cs="Arial"/>
                <w:snapToGrid w:val="0"/>
                <w:lang w:val="es-419"/>
              </w:rPr>
              <w:t>Favorable</w:t>
            </w:r>
          </w:p>
        </w:tc>
        <w:tc>
          <w:tcPr>
            <w:tcW w:w="1701" w:type="dxa"/>
          </w:tcPr>
          <w:p w:rsidR="009420D4" w:rsidRPr="008E38B1" w:rsidRDefault="009420D4" w:rsidP="009420D4">
            <w:pPr>
              <w:jc w:val="center"/>
              <w:rPr>
                <w:rFonts w:cs="Arial"/>
                <w:snapToGrid w:val="0"/>
                <w:lang w:val="es-419"/>
              </w:rPr>
            </w:pPr>
          </w:p>
        </w:tc>
      </w:tr>
      <w:tr w:rsidR="009420D4" w:rsidRPr="003F4FE7" w:rsidTr="000C45B2">
        <w:trPr>
          <w:trHeight w:val="2388"/>
        </w:trPr>
        <w:tc>
          <w:tcPr>
            <w:tcW w:w="1018" w:type="dxa"/>
          </w:tcPr>
          <w:p w:rsidR="009420D4" w:rsidRPr="008E38B1" w:rsidRDefault="00442786" w:rsidP="00442786">
            <w:pPr>
              <w:jc w:val="center"/>
              <w:rPr>
                <w:rFonts w:cs="Arial"/>
                <w:snapToGrid w:val="0"/>
                <w:lang w:val="es-419"/>
              </w:rPr>
            </w:pPr>
            <w:r w:rsidRPr="008E38B1">
              <w:rPr>
                <w:rFonts w:cs="Arial"/>
                <w:snapToGrid w:val="0"/>
                <w:lang w:val="es-419"/>
              </w:rPr>
              <w:t>Observaciones</w:t>
            </w:r>
          </w:p>
        </w:tc>
        <w:tc>
          <w:tcPr>
            <w:tcW w:w="1392" w:type="dxa"/>
          </w:tcPr>
          <w:p w:rsidR="009420D4" w:rsidRPr="008E38B1" w:rsidRDefault="00442786" w:rsidP="00442786">
            <w:pPr>
              <w:jc w:val="left"/>
              <w:rPr>
                <w:rFonts w:cs="Arial"/>
                <w:snapToGrid w:val="0"/>
                <w:sz w:val="18"/>
                <w:lang w:val="es-419"/>
              </w:rPr>
            </w:pPr>
            <w:r w:rsidRPr="008E38B1">
              <w:rPr>
                <w:rFonts w:cs="Arial"/>
                <w:snapToGrid w:val="0"/>
                <w:sz w:val="18"/>
                <w:lang w:val="es-419"/>
              </w:rPr>
              <w:t>- Sin comentarios</w:t>
            </w:r>
          </w:p>
        </w:tc>
        <w:tc>
          <w:tcPr>
            <w:tcW w:w="1985" w:type="dxa"/>
          </w:tcPr>
          <w:p w:rsidR="00442786" w:rsidRPr="008E38B1" w:rsidRDefault="00442786" w:rsidP="00442786">
            <w:pPr>
              <w:jc w:val="left"/>
              <w:rPr>
                <w:rFonts w:cs="Arial"/>
                <w:snapToGrid w:val="0"/>
                <w:sz w:val="18"/>
                <w:lang w:val="es-419"/>
              </w:rPr>
            </w:pPr>
            <w:r w:rsidRPr="008E38B1">
              <w:rPr>
                <w:rFonts w:cs="Arial"/>
                <w:snapToGrid w:val="0"/>
                <w:sz w:val="18"/>
                <w:lang w:val="es-419"/>
              </w:rPr>
              <w:t>- Una oportunidad para introducir a los nuevos examinadores en los debates celebrados en el seno de los TWP</w:t>
            </w:r>
          </w:p>
          <w:p w:rsidR="00442786" w:rsidRPr="008E38B1" w:rsidRDefault="00442786" w:rsidP="00442786">
            <w:pPr>
              <w:jc w:val="left"/>
              <w:rPr>
                <w:rFonts w:cs="Arial"/>
                <w:snapToGrid w:val="0"/>
                <w:sz w:val="18"/>
                <w:lang w:val="es-419"/>
              </w:rPr>
            </w:pPr>
            <w:r w:rsidRPr="008E38B1">
              <w:rPr>
                <w:rFonts w:cs="Arial"/>
                <w:snapToGrid w:val="0"/>
                <w:sz w:val="18"/>
                <w:lang w:val="es-419"/>
              </w:rPr>
              <w:t>- El espacio informal que ofrecen las reuniones físicas es necesario para el debate y la interacción de los participantes</w:t>
            </w:r>
          </w:p>
          <w:p w:rsidR="00442786" w:rsidRPr="008E38B1" w:rsidRDefault="00442786" w:rsidP="00442786">
            <w:pPr>
              <w:jc w:val="left"/>
              <w:rPr>
                <w:rFonts w:cs="Arial"/>
                <w:snapToGrid w:val="0"/>
                <w:sz w:val="18"/>
                <w:lang w:val="es-419"/>
              </w:rPr>
            </w:pPr>
            <w:r w:rsidRPr="008E38B1">
              <w:rPr>
                <w:rFonts w:cs="Arial"/>
                <w:snapToGrid w:val="0"/>
                <w:sz w:val="18"/>
                <w:lang w:val="es-419"/>
              </w:rPr>
              <w:t>- Las visitas a los ensayos o a las instalaciones relacionadas son una parte importante de las reuniones físicas</w:t>
            </w:r>
          </w:p>
          <w:p w:rsidR="009420D4" w:rsidRPr="008E38B1" w:rsidRDefault="009420D4" w:rsidP="009420D4">
            <w:pPr>
              <w:jc w:val="left"/>
              <w:rPr>
                <w:rFonts w:cs="Arial"/>
                <w:snapToGrid w:val="0"/>
                <w:sz w:val="18"/>
                <w:lang w:val="es-419"/>
              </w:rPr>
            </w:pPr>
          </w:p>
        </w:tc>
        <w:tc>
          <w:tcPr>
            <w:tcW w:w="2268" w:type="dxa"/>
          </w:tcPr>
          <w:p w:rsidR="00442786" w:rsidRPr="008E38B1" w:rsidRDefault="00442786" w:rsidP="00442786">
            <w:pPr>
              <w:jc w:val="left"/>
              <w:rPr>
                <w:rFonts w:cs="Arial"/>
                <w:snapToGrid w:val="0"/>
                <w:sz w:val="18"/>
                <w:lang w:val="es-419"/>
              </w:rPr>
            </w:pPr>
            <w:r w:rsidRPr="008E38B1">
              <w:rPr>
                <w:rFonts w:cs="Arial"/>
                <w:snapToGrid w:val="0"/>
                <w:sz w:val="18"/>
                <w:lang w:val="es-419"/>
              </w:rPr>
              <w:t>- Considerar la posibilidad de alternar un año de reunión física con un año de reunión virtual</w:t>
            </w:r>
          </w:p>
          <w:p w:rsidR="00442786" w:rsidRPr="008E38B1" w:rsidRDefault="00442786" w:rsidP="00442786">
            <w:pPr>
              <w:jc w:val="left"/>
              <w:rPr>
                <w:rFonts w:cs="Arial"/>
                <w:snapToGrid w:val="0"/>
                <w:sz w:val="18"/>
                <w:lang w:val="es-419"/>
              </w:rPr>
            </w:pPr>
            <w:r w:rsidRPr="008E38B1">
              <w:rPr>
                <w:rFonts w:cs="Arial"/>
                <w:snapToGrid w:val="0"/>
                <w:sz w:val="18"/>
                <w:lang w:val="es-419"/>
              </w:rPr>
              <w:t>- Las visitas a los ensayos o a las instalaciones relacionadas son una parte importante de las reuniones físicas</w:t>
            </w:r>
          </w:p>
          <w:p w:rsidR="00442786" w:rsidRPr="008E38B1" w:rsidRDefault="00442786" w:rsidP="00442786">
            <w:pPr>
              <w:jc w:val="left"/>
              <w:rPr>
                <w:rFonts w:cs="Arial"/>
                <w:snapToGrid w:val="0"/>
                <w:sz w:val="18"/>
                <w:lang w:val="es-419"/>
              </w:rPr>
            </w:pPr>
            <w:r w:rsidRPr="008E38B1">
              <w:rPr>
                <w:rFonts w:cs="Arial"/>
                <w:snapToGrid w:val="0"/>
                <w:sz w:val="18"/>
                <w:lang w:val="es-419"/>
              </w:rPr>
              <w:t>- Es necesario estudiar más a fondo las actividades de los participantes presenciales a fin de justificar el viaje para asistir a una reunión física</w:t>
            </w:r>
          </w:p>
          <w:p w:rsidR="00442786" w:rsidRPr="008E38B1" w:rsidRDefault="00620ADF" w:rsidP="00620ADF">
            <w:pPr>
              <w:jc w:val="left"/>
              <w:rPr>
                <w:rFonts w:cs="Arial"/>
                <w:snapToGrid w:val="0"/>
                <w:sz w:val="18"/>
                <w:lang w:val="es-419"/>
              </w:rPr>
            </w:pPr>
            <w:r w:rsidRPr="008E38B1">
              <w:rPr>
                <w:rFonts w:cs="Arial"/>
                <w:snapToGrid w:val="0"/>
                <w:sz w:val="18"/>
                <w:lang w:val="es-419"/>
              </w:rPr>
              <w:t>- Los anfitriones de los TWP deberían participar en la decisión de si se pueden organizar reuniones virtuales y cómo hacerlo</w:t>
            </w:r>
          </w:p>
          <w:p w:rsidR="009420D4" w:rsidRPr="008E38B1" w:rsidRDefault="009420D4" w:rsidP="009420D4">
            <w:pPr>
              <w:jc w:val="left"/>
              <w:rPr>
                <w:rFonts w:cs="Arial"/>
                <w:snapToGrid w:val="0"/>
                <w:sz w:val="18"/>
                <w:lang w:val="es-419"/>
              </w:rPr>
            </w:pPr>
          </w:p>
        </w:tc>
        <w:tc>
          <w:tcPr>
            <w:tcW w:w="1417" w:type="dxa"/>
          </w:tcPr>
          <w:p w:rsidR="009420D4" w:rsidRPr="008E38B1" w:rsidRDefault="00620ADF" w:rsidP="00620ADF">
            <w:pPr>
              <w:jc w:val="left"/>
              <w:rPr>
                <w:rFonts w:cs="Arial"/>
                <w:snapToGrid w:val="0"/>
                <w:sz w:val="18"/>
                <w:lang w:val="es-419"/>
              </w:rPr>
            </w:pPr>
            <w:r w:rsidRPr="008E38B1">
              <w:rPr>
                <w:rFonts w:cs="Arial"/>
                <w:snapToGrid w:val="0"/>
                <w:sz w:val="18"/>
                <w:lang w:val="es-419"/>
              </w:rPr>
              <w:t>- Sin comentarios</w:t>
            </w:r>
          </w:p>
        </w:tc>
        <w:tc>
          <w:tcPr>
            <w:tcW w:w="1701" w:type="dxa"/>
          </w:tcPr>
          <w:p w:rsidR="009420D4" w:rsidRPr="008E38B1" w:rsidRDefault="00620ADF" w:rsidP="00620ADF">
            <w:pPr>
              <w:jc w:val="left"/>
              <w:rPr>
                <w:rFonts w:cs="Arial"/>
                <w:snapToGrid w:val="0"/>
                <w:sz w:val="18"/>
                <w:lang w:val="es-419"/>
              </w:rPr>
            </w:pPr>
            <w:r w:rsidRPr="008E38B1">
              <w:rPr>
                <w:rFonts w:cs="Arial"/>
                <w:snapToGrid w:val="0"/>
                <w:sz w:val="18"/>
                <w:lang w:val="es-419"/>
              </w:rPr>
              <w:t>- Celebrar mesas redondas para presentar a los participantes y reuniones separadas con el fin de que los nuevos participantes establezcan contactos para la cooperación internacional</w:t>
            </w:r>
          </w:p>
        </w:tc>
      </w:tr>
    </w:tbl>
    <w:p w:rsidR="00442786" w:rsidRPr="008E38B1" w:rsidRDefault="00442786" w:rsidP="00D05F80">
      <w:pPr>
        <w:rPr>
          <w:snapToGrid w:val="0"/>
          <w:lang w:val="es-419"/>
        </w:rPr>
      </w:pPr>
    </w:p>
    <w:p w:rsidR="00442786" w:rsidRPr="008E38B1" w:rsidRDefault="00442786" w:rsidP="00051BB2">
      <w:pPr>
        <w:rPr>
          <w:lang w:val="es-419"/>
        </w:rPr>
      </w:pPr>
    </w:p>
    <w:p w:rsidR="00442786" w:rsidRPr="008E38B1" w:rsidRDefault="00442786" w:rsidP="00051BB2">
      <w:pPr>
        <w:rPr>
          <w:lang w:val="es-419"/>
        </w:rPr>
      </w:pPr>
    </w:p>
    <w:p w:rsidR="00050E16" w:rsidRPr="008E38B1" w:rsidRDefault="00620ADF" w:rsidP="00051BB2">
      <w:pPr>
        <w:jc w:val="right"/>
        <w:rPr>
          <w:lang w:val="es-419"/>
        </w:rPr>
      </w:pPr>
      <w:r w:rsidRPr="008E38B1">
        <w:rPr>
          <w:lang w:val="es-419"/>
        </w:rPr>
        <w:t>[Fin del Anexo II y del documento]</w:t>
      </w:r>
    </w:p>
    <w:sectPr w:rsidR="00050E16" w:rsidRPr="008E38B1" w:rsidSect="00E861B6">
      <w:headerReference w:type="even" r:id="rId24"/>
      <w:headerReference w:type="default" r:id="rId25"/>
      <w:footerReference w:type="even" r:id="rId26"/>
      <w:footerReference w:type="default" r:id="rId27"/>
      <w:headerReference w:type="first" r:id="rId28"/>
      <w:footerReference w:type="first" r:id="rId29"/>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786" w:rsidRDefault="00442786" w:rsidP="006655D3">
      <w:r>
        <w:separator/>
      </w:r>
    </w:p>
    <w:p w:rsidR="00442786" w:rsidRDefault="00442786" w:rsidP="006655D3"/>
    <w:p w:rsidR="00442786" w:rsidRDefault="00442786" w:rsidP="006655D3"/>
  </w:endnote>
  <w:endnote w:type="continuationSeparator" w:id="0">
    <w:p w:rsidR="00442786" w:rsidRDefault="00442786" w:rsidP="006655D3">
      <w:r>
        <w:separator/>
      </w:r>
    </w:p>
    <w:p w:rsidR="00442786" w:rsidRPr="00294751" w:rsidRDefault="00442786">
      <w:pPr>
        <w:pStyle w:val="Footer"/>
        <w:spacing w:after="60"/>
        <w:rPr>
          <w:sz w:val="18"/>
          <w:lang w:val="fr-FR"/>
        </w:rPr>
      </w:pPr>
      <w:r w:rsidRPr="00294751">
        <w:rPr>
          <w:sz w:val="18"/>
          <w:lang w:val="fr-FR"/>
        </w:rPr>
        <w:t>[Suite de la note de la page précédente]</w:t>
      </w:r>
    </w:p>
    <w:p w:rsidR="00442786" w:rsidRPr="00294751" w:rsidRDefault="00442786" w:rsidP="006655D3">
      <w:pPr>
        <w:rPr>
          <w:lang w:val="fr-FR"/>
        </w:rPr>
      </w:pPr>
    </w:p>
    <w:p w:rsidR="00442786" w:rsidRPr="00294751" w:rsidRDefault="00442786" w:rsidP="006655D3">
      <w:pPr>
        <w:rPr>
          <w:lang w:val="fr-FR"/>
        </w:rPr>
      </w:pPr>
    </w:p>
  </w:endnote>
  <w:endnote w:type="continuationNotice" w:id="1">
    <w:p w:rsidR="00442786" w:rsidRPr="00294751" w:rsidRDefault="00442786" w:rsidP="006655D3">
      <w:pPr>
        <w:rPr>
          <w:lang w:val="fr-FR"/>
        </w:rPr>
      </w:pPr>
      <w:r w:rsidRPr="00294751">
        <w:rPr>
          <w:lang w:val="fr-FR"/>
        </w:rPr>
        <w:t>[Suite de la note page suivante]</w:t>
      </w:r>
    </w:p>
    <w:p w:rsidR="00442786" w:rsidRPr="00294751" w:rsidRDefault="00442786" w:rsidP="006655D3">
      <w:pPr>
        <w:rPr>
          <w:lang w:val="fr-FR"/>
        </w:rPr>
      </w:pPr>
    </w:p>
    <w:p w:rsidR="00442786" w:rsidRPr="00294751" w:rsidRDefault="0044278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Default="00442786" w:rsidP="00E86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Default="00442786">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2"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2786" w:rsidRDefault="00442786" w:rsidP="002E547D">
                          <w:pPr>
                            <w:jc w:val="center"/>
                          </w:pPr>
                          <w:r w:rsidRPr="002E54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N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hJYrVqNH6bv24uh+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a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C/wuNqgIAAGUFAAAOAAAAAAAAAAAAAAAA&#10;AC4CAABkcnMvZTJvRG9jLnhtbFBLAQItABQABgAIAAAAIQDN8vMo2gAAAAgBAAAPAAAAAAAAAAAA&#10;AAAAAAQFAABkcnMvZG93bnJldi54bWxQSwUGAAAAAAQABADzAAAACwYAAAAA&#10;" o:allowincell="f" filled="f" stroked="f" strokeweight=".5pt">
              <v:path arrowok="t"/>
              <v:textbox>
                <w:txbxContent>
                  <w:p w:rsidR="00442786" w:rsidRDefault="00442786" w:rsidP="002E547D">
                    <w:pPr>
                      <w:jc w:val="center"/>
                    </w:pPr>
                    <w:r w:rsidRPr="002E547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Default="00442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Default="00442786" w:rsidP="00E861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Default="004427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Default="00442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786" w:rsidRDefault="00442786" w:rsidP="006655D3">
      <w:r>
        <w:separator/>
      </w:r>
    </w:p>
  </w:footnote>
  <w:footnote w:type="continuationSeparator" w:id="0">
    <w:p w:rsidR="00442786" w:rsidRDefault="00442786" w:rsidP="006655D3">
      <w:r>
        <w:separator/>
      </w:r>
    </w:p>
  </w:footnote>
  <w:footnote w:type="continuationNotice" w:id="1">
    <w:p w:rsidR="00442786" w:rsidRPr="00AB530F" w:rsidRDefault="00442786" w:rsidP="00AB530F">
      <w:pPr>
        <w:pStyle w:val="Footer"/>
      </w:pPr>
    </w:p>
  </w:footnote>
  <w:footnote w:id="2">
    <w:p w:rsidR="00653F64" w:rsidRPr="008E38B1" w:rsidRDefault="00653F64" w:rsidP="008E38B1">
      <w:pPr>
        <w:pStyle w:val="FootnoteText"/>
        <w:rPr>
          <w:lang w:val="es-419"/>
        </w:rPr>
      </w:pPr>
      <w:r w:rsidRPr="008E38B1">
        <w:rPr>
          <w:rStyle w:val="FootnoteReference"/>
          <w:lang w:val="es-419"/>
        </w:rPr>
        <w:footnoteRef/>
      </w:r>
      <w:r w:rsidRPr="008E38B1">
        <w:rPr>
          <w:lang w:val="es-419"/>
        </w:rPr>
        <w:t xml:space="preserve"> Celebrada por vía telemática los días 26 y 27 de octubre de 2020.</w:t>
      </w:r>
    </w:p>
  </w:footnote>
  <w:footnote w:id="3">
    <w:p w:rsidR="00442786" w:rsidRPr="008E38B1" w:rsidRDefault="00442786" w:rsidP="008E38B1">
      <w:pPr>
        <w:pStyle w:val="FootnoteText"/>
        <w:rPr>
          <w:lang w:val="es-419"/>
        </w:rPr>
      </w:pPr>
      <w:r w:rsidRPr="008E38B1">
        <w:rPr>
          <w:rStyle w:val="FootnoteReference"/>
          <w:lang w:val="es-419"/>
        </w:rPr>
        <w:footnoteRef/>
      </w:r>
      <w:r w:rsidRPr="008E38B1">
        <w:rPr>
          <w:lang w:val="es-419"/>
        </w:rPr>
        <w:t xml:space="preserve"> Celebrada por vía telemática los días 26 y 27 de octubre de 2020.</w:t>
      </w:r>
    </w:p>
  </w:footnote>
  <w:footnote w:id="4">
    <w:p w:rsidR="00442786" w:rsidRPr="008E38B1" w:rsidRDefault="00442786" w:rsidP="008E38B1">
      <w:pPr>
        <w:pStyle w:val="FootnoteText"/>
        <w:rPr>
          <w:lang w:val="es-419"/>
        </w:rPr>
      </w:pPr>
      <w:r w:rsidRPr="008E38B1">
        <w:rPr>
          <w:rStyle w:val="FootnoteReference"/>
          <w:lang w:val="es-419"/>
        </w:rPr>
        <w:footnoteRef/>
      </w:r>
      <w:r w:rsidRPr="008E38B1">
        <w:rPr>
          <w:lang w:val="es-419"/>
        </w:rPr>
        <w:t xml:space="preserve"> En su quincuagésima quinta reunión, organizada por Turquía y celebrada por vía telemática del 3 al 7 de mayo de 2021.</w:t>
      </w:r>
    </w:p>
  </w:footnote>
  <w:footnote w:id="5">
    <w:p w:rsidR="00442786" w:rsidRPr="008E38B1" w:rsidRDefault="00442786" w:rsidP="008E38B1">
      <w:pPr>
        <w:pStyle w:val="FootnoteText"/>
        <w:rPr>
          <w:lang w:val="es-419"/>
        </w:rPr>
      </w:pPr>
      <w:r w:rsidRPr="008E38B1">
        <w:rPr>
          <w:rStyle w:val="FootnoteReference"/>
          <w:lang w:val="es-419"/>
        </w:rPr>
        <w:footnoteRef/>
      </w:r>
      <w:r w:rsidRPr="008E38B1">
        <w:rPr>
          <w:lang w:val="es-419"/>
        </w:rPr>
        <w:t xml:space="preserve"> En su quincuagésima tercera reunión, organizada por los Países Bajos y celebrada por vía telemática del 7 al 11 de junio de 2021.</w:t>
      </w:r>
    </w:p>
  </w:footnote>
  <w:footnote w:id="6">
    <w:p w:rsidR="00442786" w:rsidRPr="008E38B1" w:rsidRDefault="00442786" w:rsidP="008E38B1">
      <w:pPr>
        <w:pStyle w:val="FootnoteText"/>
        <w:rPr>
          <w:lang w:val="es-419"/>
        </w:rPr>
      </w:pPr>
      <w:r w:rsidRPr="008E38B1">
        <w:rPr>
          <w:rStyle w:val="FootnoteReference"/>
          <w:lang w:val="es-419"/>
        </w:rPr>
        <w:footnoteRef/>
      </w:r>
      <w:r w:rsidRPr="008E38B1">
        <w:rPr>
          <w:lang w:val="es-419"/>
        </w:rPr>
        <w:t xml:space="preserve"> En su quincuagésima reunión, organizada por la República Unida de Tanzanía y celebrada por vía telemática del 21 al 25 de junio de 2021.</w:t>
      </w:r>
    </w:p>
  </w:footnote>
  <w:footnote w:id="7">
    <w:p w:rsidR="00442786" w:rsidRPr="008E38B1" w:rsidRDefault="00442786" w:rsidP="008E38B1">
      <w:pPr>
        <w:pStyle w:val="FootnoteText"/>
        <w:rPr>
          <w:lang w:val="es-419"/>
        </w:rPr>
      </w:pPr>
      <w:r w:rsidRPr="008E38B1">
        <w:rPr>
          <w:rStyle w:val="FootnoteReference"/>
          <w:lang w:val="es-419"/>
        </w:rPr>
        <w:footnoteRef/>
      </w:r>
      <w:r w:rsidRPr="008E38B1">
        <w:rPr>
          <w:lang w:val="es-419"/>
        </w:rPr>
        <w:t xml:space="preserve"> En su quincuagésima segunda reunión, organizada por China y celebrada por vía telemática del 12 al 16 de julio de 2021.</w:t>
      </w:r>
    </w:p>
  </w:footnote>
  <w:footnote w:id="8">
    <w:p w:rsidR="00442786" w:rsidRPr="008E38B1" w:rsidRDefault="00442786" w:rsidP="008E38B1">
      <w:pPr>
        <w:pStyle w:val="FootnoteText"/>
        <w:rPr>
          <w:lang w:val="es-419"/>
        </w:rPr>
      </w:pPr>
      <w:r w:rsidRPr="008E38B1">
        <w:rPr>
          <w:rStyle w:val="FootnoteReference"/>
          <w:lang w:val="es-419"/>
        </w:rPr>
        <w:footnoteRef/>
      </w:r>
      <w:r w:rsidRPr="008E38B1">
        <w:rPr>
          <w:lang w:val="es-419"/>
        </w:rPr>
        <w:t xml:space="preserve"> En su trigésima novena reunión, organizada por los Estados Unidos de América y celebrada por vía telemática del 20 al 22 de septiembre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Pr="00EC0375" w:rsidRDefault="00442786" w:rsidP="00E861B6">
    <w:pPr>
      <w:pStyle w:val="Header"/>
      <w:rPr>
        <w:rStyle w:val="PageNumber"/>
        <w:lang w:val="es-419"/>
      </w:rPr>
    </w:pPr>
    <w:r w:rsidRPr="00EC0375">
      <w:rPr>
        <w:rStyle w:val="PageNumber"/>
        <w:lang w:val="es-419"/>
      </w:rPr>
      <w:t>TC/57/10</w:t>
    </w:r>
  </w:p>
  <w:p w:rsidR="00442786" w:rsidRPr="00EC0375" w:rsidRDefault="00442786" w:rsidP="00E861B6">
    <w:pPr>
      <w:pStyle w:val="Header"/>
      <w:rPr>
        <w:lang w:val="es-419"/>
      </w:rPr>
    </w:pPr>
    <w:r w:rsidRPr="00EC0375">
      <w:rPr>
        <w:lang w:val="es-419"/>
      </w:rPr>
      <w:t xml:space="preserve">página </w:t>
    </w:r>
    <w:r w:rsidRPr="00EC0375">
      <w:rPr>
        <w:rStyle w:val="PageNumber"/>
        <w:lang w:val="es-419"/>
      </w:rPr>
      <w:fldChar w:fldCharType="begin"/>
    </w:r>
    <w:r w:rsidRPr="00EC0375">
      <w:rPr>
        <w:rStyle w:val="PageNumber"/>
        <w:lang w:val="es-419"/>
      </w:rPr>
      <w:instrText xml:space="preserve"> PAGE </w:instrText>
    </w:r>
    <w:r w:rsidRPr="00EC0375">
      <w:rPr>
        <w:rStyle w:val="PageNumber"/>
        <w:lang w:val="es-419"/>
      </w:rPr>
      <w:fldChar w:fldCharType="separate"/>
    </w:r>
    <w:r w:rsidR="009921A5">
      <w:rPr>
        <w:rStyle w:val="PageNumber"/>
        <w:noProof/>
        <w:lang w:val="es-419"/>
      </w:rPr>
      <w:t>4</w:t>
    </w:r>
    <w:r w:rsidRPr="00EC0375">
      <w:rPr>
        <w:rStyle w:val="PageNumber"/>
        <w:lang w:val="es-419"/>
      </w:rPr>
      <w:fldChar w:fldCharType="end"/>
    </w:r>
  </w:p>
  <w:p w:rsidR="00442786" w:rsidRPr="00EC0375" w:rsidRDefault="00442786" w:rsidP="00E861B6">
    <w:pPr>
      <w:rPr>
        <w:lang w:val="es-4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Pr="008E38B1" w:rsidRDefault="00442786" w:rsidP="00EB048E">
    <w:pPr>
      <w:pStyle w:val="Header"/>
      <w:rPr>
        <w:rStyle w:val="PageNumber"/>
        <w:lang w:val="es-419"/>
      </w:rPr>
    </w:pPr>
    <w:r w:rsidRPr="008E38B1">
      <w:rPr>
        <w:rStyle w:val="PageNumber"/>
        <w:lang w:val="es-419"/>
      </w:rPr>
      <w:t>TC/57/10</w:t>
    </w:r>
  </w:p>
  <w:p w:rsidR="00442786" w:rsidRPr="008E38B1" w:rsidRDefault="00442786" w:rsidP="00EB048E">
    <w:pPr>
      <w:pStyle w:val="Header"/>
      <w:rPr>
        <w:lang w:val="es-419"/>
      </w:rPr>
    </w:pPr>
    <w:r w:rsidRPr="008E38B1">
      <w:rPr>
        <w:lang w:val="es-419"/>
      </w:rPr>
      <w:t xml:space="preserve">página </w:t>
    </w:r>
    <w:r w:rsidRPr="008E38B1">
      <w:rPr>
        <w:rStyle w:val="PageNumber"/>
        <w:lang w:val="es-419"/>
      </w:rPr>
      <w:fldChar w:fldCharType="begin"/>
    </w:r>
    <w:r w:rsidRPr="008E38B1">
      <w:rPr>
        <w:rStyle w:val="PageNumber"/>
        <w:lang w:val="es-419"/>
      </w:rPr>
      <w:instrText xml:space="preserve"> PAGE </w:instrText>
    </w:r>
    <w:r w:rsidRPr="008E38B1">
      <w:rPr>
        <w:rStyle w:val="PageNumber"/>
        <w:lang w:val="es-419"/>
      </w:rPr>
      <w:fldChar w:fldCharType="separate"/>
    </w:r>
    <w:r w:rsidR="009921A5">
      <w:rPr>
        <w:rStyle w:val="PageNumber"/>
        <w:noProof/>
        <w:lang w:val="es-419"/>
      </w:rPr>
      <w:t>3</w:t>
    </w:r>
    <w:r w:rsidRPr="008E38B1">
      <w:rPr>
        <w:rStyle w:val="PageNumber"/>
        <w:lang w:val="es-419"/>
      </w:rPr>
      <w:fldChar w:fldCharType="end"/>
    </w:r>
  </w:p>
  <w:p w:rsidR="00442786" w:rsidRPr="008E38B1" w:rsidRDefault="00442786" w:rsidP="006655D3">
    <w:pPr>
      <w:rPr>
        <w:lang w:val="es-4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Pr="00EC0375" w:rsidRDefault="00442786" w:rsidP="00E861B6">
    <w:pPr>
      <w:pStyle w:val="Header"/>
      <w:rPr>
        <w:rStyle w:val="PageNumber"/>
        <w:lang w:val="es-419"/>
      </w:rPr>
    </w:pPr>
    <w:r w:rsidRPr="00EC0375">
      <w:rPr>
        <w:rStyle w:val="PageNumber"/>
        <w:lang w:val="es-419"/>
      </w:rPr>
      <w:t>TC/57/10</w:t>
    </w:r>
  </w:p>
  <w:p w:rsidR="00442786" w:rsidRPr="00EC0375" w:rsidRDefault="00442786" w:rsidP="00E861B6">
    <w:pPr>
      <w:pStyle w:val="Header"/>
      <w:rPr>
        <w:lang w:val="es-419"/>
      </w:rPr>
    </w:pPr>
    <w:r w:rsidRPr="00EC0375">
      <w:rPr>
        <w:lang w:val="es-419"/>
      </w:rPr>
      <w:t xml:space="preserve">Anexo I, página </w:t>
    </w:r>
    <w:r w:rsidRPr="00EC0375">
      <w:rPr>
        <w:rStyle w:val="PageNumber"/>
        <w:lang w:val="es-419"/>
      </w:rPr>
      <w:fldChar w:fldCharType="begin"/>
    </w:r>
    <w:r w:rsidRPr="00EC0375">
      <w:rPr>
        <w:rStyle w:val="PageNumber"/>
        <w:lang w:val="es-419"/>
      </w:rPr>
      <w:instrText xml:space="preserve"> PAGE </w:instrText>
    </w:r>
    <w:r w:rsidRPr="00EC0375">
      <w:rPr>
        <w:rStyle w:val="PageNumber"/>
        <w:lang w:val="es-419"/>
      </w:rPr>
      <w:fldChar w:fldCharType="separate"/>
    </w:r>
    <w:r w:rsidR="009921A5">
      <w:rPr>
        <w:rStyle w:val="PageNumber"/>
        <w:noProof/>
        <w:lang w:val="es-419"/>
      </w:rPr>
      <w:t>2</w:t>
    </w:r>
    <w:r w:rsidRPr="00EC0375">
      <w:rPr>
        <w:rStyle w:val="PageNumber"/>
        <w:lang w:val="es-419"/>
      </w:rPr>
      <w:fldChar w:fldCharType="end"/>
    </w:r>
  </w:p>
  <w:p w:rsidR="00442786" w:rsidRPr="00EC0375" w:rsidRDefault="00442786" w:rsidP="00E861B6">
    <w:pPr>
      <w:rPr>
        <w:lang w:val="es-419"/>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Pr="00C5280D" w:rsidRDefault="00442786" w:rsidP="00EB048E">
    <w:pPr>
      <w:pStyle w:val="Header"/>
      <w:rPr>
        <w:rStyle w:val="PageNumber"/>
        <w:lang w:val="en-US"/>
      </w:rPr>
    </w:pPr>
    <w:r>
      <w:rPr>
        <w:rStyle w:val="PageNumber"/>
        <w:lang w:val="en-US"/>
      </w:rPr>
      <w:t>TC/57/10</w:t>
    </w:r>
  </w:p>
  <w:p w:rsidR="00442786" w:rsidRPr="00C5280D" w:rsidRDefault="00442786" w:rsidP="00EB048E">
    <w:pPr>
      <w:pStyle w:val="Header"/>
      <w:rPr>
        <w:lang w:val="en-US"/>
      </w:rPr>
    </w:pPr>
    <w:r>
      <w:rPr>
        <w:lang w:val="en-US"/>
      </w:rPr>
      <w:t xml:space="preserve">Anexo I, </w:t>
    </w:r>
    <w:r w:rsidRPr="00C5280D">
      <w:rPr>
        <w:lang w:val="en-US"/>
      </w:rPr>
      <w:t>p</w:t>
    </w:r>
    <w:r>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442786" w:rsidRPr="00C5280D" w:rsidRDefault="0044278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Default="00442786" w:rsidP="0004198B">
    <w:pPr>
      <w:pStyle w:val="Header"/>
      <w:rPr>
        <w:lang w:val="en-US"/>
      </w:rPr>
    </w:pPr>
    <w:r>
      <w:rPr>
        <w:lang w:val="en-US"/>
      </w:rPr>
      <w:t>TC/57/10</w:t>
    </w:r>
  </w:p>
  <w:p w:rsidR="00442786" w:rsidRDefault="00442786" w:rsidP="0004198B">
    <w:pPr>
      <w:pStyle w:val="Header"/>
      <w:rPr>
        <w:lang w:val="en-US"/>
      </w:rPr>
    </w:pPr>
  </w:p>
  <w:p w:rsidR="00442786" w:rsidRPr="00051BB2" w:rsidRDefault="00442786" w:rsidP="0004198B">
    <w:pPr>
      <w:pStyle w:val="Header"/>
      <w:rPr>
        <w:lang w:val="en-US"/>
      </w:rPr>
    </w:pPr>
    <w:r>
      <w:rPr>
        <w:lang w:val="en-US"/>
      </w:rPr>
      <w:t>ANEXO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Pr="00EC0375" w:rsidRDefault="00442786" w:rsidP="00E861B6">
    <w:pPr>
      <w:pStyle w:val="Header"/>
      <w:rPr>
        <w:rStyle w:val="PageNumber"/>
        <w:lang w:val="es-419"/>
      </w:rPr>
    </w:pPr>
    <w:r w:rsidRPr="00EC0375">
      <w:rPr>
        <w:rStyle w:val="PageNumber"/>
        <w:lang w:val="es-419"/>
      </w:rPr>
      <w:t>TC/57/10</w:t>
    </w:r>
  </w:p>
  <w:p w:rsidR="00442786" w:rsidRPr="00EC0375" w:rsidRDefault="00442786" w:rsidP="00E861B6">
    <w:pPr>
      <w:pStyle w:val="Header"/>
      <w:rPr>
        <w:lang w:val="es-419"/>
      </w:rPr>
    </w:pPr>
    <w:r w:rsidRPr="00EC0375">
      <w:rPr>
        <w:lang w:val="es-419"/>
      </w:rPr>
      <w:t xml:space="preserve">Anexo II, página </w:t>
    </w:r>
    <w:r w:rsidRPr="00EC0375">
      <w:rPr>
        <w:rStyle w:val="PageNumber"/>
        <w:lang w:val="es-419"/>
      </w:rPr>
      <w:fldChar w:fldCharType="begin"/>
    </w:r>
    <w:r w:rsidRPr="00EC0375">
      <w:rPr>
        <w:rStyle w:val="PageNumber"/>
        <w:lang w:val="es-419"/>
      </w:rPr>
      <w:instrText xml:space="preserve"> PAGE </w:instrText>
    </w:r>
    <w:r w:rsidRPr="00EC0375">
      <w:rPr>
        <w:rStyle w:val="PageNumber"/>
        <w:lang w:val="es-419"/>
      </w:rPr>
      <w:fldChar w:fldCharType="separate"/>
    </w:r>
    <w:r w:rsidR="009921A5">
      <w:rPr>
        <w:rStyle w:val="PageNumber"/>
        <w:noProof/>
        <w:lang w:val="es-419"/>
      </w:rPr>
      <w:t>4</w:t>
    </w:r>
    <w:r w:rsidRPr="00EC0375">
      <w:rPr>
        <w:rStyle w:val="PageNumber"/>
        <w:lang w:val="es-419"/>
      </w:rPr>
      <w:fldChar w:fldCharType="end"/>
    </w:r>
  </w:p>
  <w:p w:rsidR="00442786" w:rsidRPr="00EC0375" w:rsidRDefault="00442786" w:rsidP="00E861B6">
    <w:pPr>
      <w:rPr>
        <w:lang w:val="es-419"/>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Pr="00EC0375" w:rsidRDefault="00442786" w:rsidP="00EB048E">
    <w:pPr>
      <w:pStyle w:val="Header"/>
      <w:rPr>
        <w:rStyle w:val="PageNumber"/>
        <w:lang w:val="es-419"/>
      </w:rPr>
    </w:pPr>
    <w:r w:rsidRPr="00EC0375">
      <w:rPr>
        <w:rStyle w:val="PageNumber"/>
        <w:lang w:val="es-419"/>
      </w:rPr>
      <w:t>TC/57/10</w:t>
    </w:r>
  </w:p>
  <w:p w:rsidR="00442786" w:rsidRPr="00EC0375" w:rsidRDefault="00442786" w:rsidP="00EB048E">
    <w:pPr>
      <w:pStyle w:val="Header"/>
      <w:rPr>
        <w:lang w:val="es-419"/>
      </w:rPr>
    </w:pPr>
    <w:r w:rsidRPr="00EC0375">
      <w:rPr>
        <w:lang w:val="es-419"/>
      </w:rPr>
      <w:t xml:space="preserve">Anexo II, página </w:t>
    </w:r>
    <w:r w:rsidRPr="00EC0375">
      <w:rPr>
        <w:rStyle w:val="PageNumber"/>
        <w:lang w:val="es-419"/>
      </w:rPr>
      <w:fldChar w:fldCharType="begin"/>
    </w:r>
    <w:r w:rsidRPr="00EC0375">
      <w:rPr>
        <w:rStyle w:val="PageNumber"/>
        <w:lang w:val="es-419"/>
      </w:rPr>
      <w:instrText xml:space="preserve"> PAGE </w:instrText>
    </w:r>
    <w:r w:rsidRPr="00EC0375">
      <w:rPr>
        <w:rStyle w:val="PageNumber"/>
        <w:lang w:val="es-419"/>
      </w:rPr>
      <w:fldChar w:fldCharType="separate"/>
    </w:r>
    <w:r w:rsidR="009921A5">
      <w:rPr>
        <w:rStyle w:val="PageNumber"/>
        <w:noProof/>
        <w:lang w:val="es-419"/>
      </w:rPr>
      <w:t>5</w:t>
    </w:r>
    <w:r w:rsidRPr="00EC0375">
      <w:rPr>
        <w:rStyle w:val="PageNumber"/>
        <w:lang w:val="es-419"/>
      </w:rPr>
      <w:fldChar w:fldCharType="end"/>
    </w:r>
  </w:p>
  <w:p w:rsidR="00442786" w:rsidRPr="00EC0375" w:rsidRDefault="00442786" w:rsidP="006655D3">
    <w:pPr>
      <w:rPr>
        <w:lang w:val="es-419"/>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86" w:rsidRDefault="00442786" w:rsidP="0004198B">
    <w:pPr>
      <w:pStyle w:val="Header"/>
      <w:rPr>
        <w:lang w:val="en-US"/>
      </w:rPr>
    </w:pPr>
    <w:r>
      <w:rPr>
        <w:lang w:val="en-US"/>
      </w:rPr>
      <w:t>TC/57/10</w:t>
    </w:r>
  </w:p>
  <w:p w:rsidR="00442786" w:rsidRDefault="00442786" w:rsidP="0004198B">
    <w:pPr>
      <w:pStyle w:val="Header"/>
      <w:rPr>
        <w:lang w:val="en-US"/>
      </w:rPr>
    </w:pPr>
  </w:p>
  <w:p w:rsidR="00442786" w:rsidRPr="00051BB2" w:rsidRDefault="00442786" w:rsidP="0004198B">
    <w:pPr>
      <w:pStyle w:val="Header"/>
      <w:rPr>
        <w:lang w:val="en-US"/>
      </w:rPr>
    </w:pPr>
    <w:r>
      <w:rPr>
        <w:lang w:val="en-US"/>
      </w:rPr>
      <w:t>ANEXO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05C"/>
    <w:multiLevelType w:val="hybridMultilevel"/>
    <w:tmpl w:val="D71C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E5C4D"/>
    <w:multiLevelType w:val="multilevel"/>
    <w:tmpl w:val="E24C0648"/>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15:restartNumberingAfterBreak="0">
    <w:nsid w:val="294A39B0"/>
    <w:multiLevelType w:val="hybridMultilevel"/>
    <w:tmpl w:val="5FF6CC08"/>
    <w:lvl w:ilvl="0" w:tplc="A9C8E1E2">
      <w:start w:val="1"/>
      <w:numFmt w:val="lowerLetter"/>
      <w:lvlText w:val="(%1)"/>
      <w:lvlJc w:val="left"/>
      <w:pPr>
        <w:ind w:left="5180" w:hanging="360"/>
      </w:p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5" w15:restartNumberingAfterBreak="0">
    <w:nsid w:val="2D3E4F2E"/>
    <w:multiLevelType w:val="hybridMultilevel"/>
    <w:tmpl w:val="DD105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C31B6A"/>
    <w:multiLevelType w:val="hybridMultilevel"/>
    <w:tmpl w:val="C458E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4747AB"/>
    <w:multiLevelType w:val="hybridMultilevel"/>
    <w:tmpl w:val="7E0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E00AF"/>
    <w:multiLevelType w:val="hybridMultilevel"/>
    <w:tmpl w:val="C2C8FCF0"/>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15:restartNumberingAfterBreak="0">
    <w:nsid w:val="40E1358B"/>
    <w:multiLevelType w:val="hybridMultilevel"/>
    <w:tmpl w:val="C088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C94F58"/>
    <w:multiLevelType w:val="hybridMultilevel"/>
    <w:tmpl w:val="E2EE5876"/>
    <w:lvl w:ilvl="0" w:tplc="D8EC68E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97AB0"/>
    <w:multiLevelType w:val="hybridMultilevel"/>
    <w:tmpl w:val="5FF6CC08"/>
    <w:lvl w:ilvl="0" w:tplc="A9C8E1E2">
      <w:start w:val="1"/>
      <w:numFmt w:val="lowerLetter"/>
      <w:lvlText w:val="(%1)"/>
      <w:lvlJc w:val="left"/>
      <w:pPr>
        <w:ind w:left="5180" w:hanging="360"/>
      </w:p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15"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E2BE3"/>
    <w:multiLevelType w:val="hybridMultilevel"/>
    <w:tmpl w:val="10EED884"/>
    <w:lvl w:ilvl="0" w:tplc="3404EB8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350AB"/>
    <w:multiLevelType w:val="hybridMultilevel"/>
    <w:tmpl w:val="0206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5"/>
  </w:num>
  <w:num w:numId="9">
    <w:abstractNumId w:val="4"/>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0"/>
  </w:num>
  <w:num w:numId="20">
    <w:abstractNumId w:val="8"/>
  </w:num>
  <w:num w:numId="21">
    <w:abstractNumId w:val="2"/>
  </w:num>
  <w:num w:numId="22">
    <w:abstractNumId w:val="0"/>
  </w:num>
  <w:num w:numId="23">
    <w:abstractNumId w:val="12"/>
  </w:num>
  <w:num w:numId="24">
    <w:abstractNumId w:val="7"/>
  </w:num>
  <w:num w:numId="25">
    <w:abstractNumId w:val="17"/>
  </w:num>
  <w:num w:numId="26">
    <w:abstractNumId w:val="18"/>
  </w:num>
  <w:num w:numId="27">
    <w:abstractNumId w:val="13"/>
  </w:num>
  <w:num w:numId="28">
    <w:abstractNumId w:val="1"/>
  </w:num>
  <w:num w:numId="29">
    <w:abstractNumId w:val="16"/>
  </w:num>
  <w:num w:numId="30">
    <w:abstractNumId w:val="1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96531C"/>
    <w:rsid w:val="00004AAD"/>
    <w:rsid w:val="00010CF3"/>
    <w:rsid w:val="00011E27"/>
    <w:rsid w:val="00012140"/>
    <w:rsid w:val="000148BC"/>
    <w:rsid w:val="00024AB8"/>
    <w:rsid w:val="00027494"/>
    <w:rsid w:val="000302A5"/>
    <w:rsid w:val="00030854"/>
    <w:rsid w:val="00035942"/>
    <w:rsid w:val="00035D98"/>
    <w:rsid w:val="00036028"/>
    <w:rsid w:val="000376F6"/>
    <w:rsid w:val="00037EE0"/>
    <w:rsid w:val="0004198B"/>
    <w:rsid w:val="00044642"/>
    <w:rsid w:val="000446B9"/>
    <w:rsid w:val="00047E21"/>
    <w:rsid w:val="00050E16"/>
    <w:rsid w:val="00051BB2"/>
    <w:rsid w:val="00057CFE"/>
    <w:rsid w:val="00057EA4"/>
    <w:rsid w:val="00081C6D"/>
    <w:rsid w:val="000826FF"/>
    <w:rsid w:val="00085505"/>
    <w:rsid w:val="000A1DAE"/>
    <w:rsid w:val="000B1290"/>
    <w:rsid w:val="000C2004"/>
    <w:rsid w:val="000C45B2"/>
    <w:rsid w:val="000C4E25"/>
    <w:rsid w:val="000C7021"/>
    <w:rsid w:val="000D6BBC"/>
    <w:rsid w:val="000D7780"/>
    <w:rsid w:val="000D7942"/>
    <w:rsid w:val="000E2626"/>
    <w:rsid w:val="000E5511"/>
    <w:rsid w:val="000E636A"/>
    <w:rsid w:val="000F2F11"/>
    <w:rsid w:val="00100A5F"/>
    <w:rsid w:val="00105929"/>
    <w:rsid w:val="00110BED"/>
    <w:rsid w:val="00110C36"/>
    <w:rsid w:val="0011159A"/>
    <w:rsid w:val="001131D5"/>
    <w:rsid w:val="00114547"/>
    <w:rsid w:val="0011617B"/>
    <w:rsid w:val="0012528C"/>
    <w:rsid w:val="00125519"/>
    <w:rsid w:val="001311AA"/>
    <w:rsid w:val="00136687"/>
    <w:rsid w:val="001368C8"/>
    <w:rsid w:val="00141DB8"/>
    <w:rsid w:val="00143A62"/>
    <w:rsid w:val="00146B59"/>
    <w:rsid w:val="00150F51"/>
    <w:rsid w:val="001669BE"/>
    <w:rsid w:val="00172084"/>
    <w:rsid w:val="0017474A"/>
    <w:rsid w:val="001758C6"/>
    <w:rsid w:val="001801BA"/>
    <w:rsid w:val="00182B99"/>
    <w:rsid w:val="00196903"/>
    <w:rsid w:val="001979C3"/>
    <w:rsid w:val="001A387C"/>
    <w:rsid w:val="001A7790"/>
    <w:rsid w:val="001B06FE"/>
    <w:rsid w:val="001B5015"/>
    <w:rsid w:val="001C0413"/>
    <w:rsid w:val="001C1525"/>
    <w:rsid w:val="001C339C"/>
    <w:rsid w:val="001D513C"/>
    <w:rsid w:val="001D7F0B"/>
    <w:rsid w:val="001F0CF0"/>
    <w:rsid w:val="001F474A"/>
    <w:rsid w:val="002007FC"/>
    <w:rsid w:val="002072A1"/>
    <w:rsid w:val="0021332C"/>
    <w:rsid w:val="00213982"/>
    <w:rsid w:val="00215040"/>
    <w:rsid w:val="0021627A"/>
    <w:rsid w:val="002247BB"/>
    <w:rsid w:val="002363F1"/>
    <w:rsid w:val="002415E7"/>
    <w:rsid w:val="00243269"/>
    <w:rsid w:val="00243422"/>
    <w:rsid w:val="0024416D"/>
    <w:rsid w:val="0025246C"/>
    <w:rsid w:val="002525CE"/>
    <w:rsid w:val="00252DCD"/>
    <w:rsid w:val="00253A2C"/>
    <w:rsid w:val="0026284C"/>
    <w:rsid w:val="00271911"/>
    <w:rsid w:val="0027254B"/>
    <w:rsid w:val="00273093"/>
    <w:rsid w:val="00273187"/>
    <w:rsid w:val="002800A0"/>
    <w:rsid w:val="002801B3"/>
    <w:rsid w:val="00281060"/>
    <w:rsid w:val="00284050"/>
    <w:rsid w:val="00285BD0"/>
    <w:rsid w:val="00286C4A"/>
    <w:rsid w:val="002940E8"/>
    <w:rsid w:val="00294751"/>
    <w:rsid w:val="002A227E"/>
    <w:rsid w:val="002A67C3"/>
    <w:rsid w:val="002A6E50"/>
    <w:rsid w:val="002B2DCB"/>
    <w:rsid w:val="002B4298"/>
    <w:rsid w:val="002B4E49"/>
    <w:rsid w:val="002B7A36"/>
    <w:rsid w:val="002C0C41"/>
    <w:rsid w:val="002C256A"/>
    <w:rsid w:val="002D0282"/>
    <w:rsid w:val="002D5226"/>
    <w:rsid w:val="002D547E"/>
    <w:rsid w:val="002E4F20"/>
    <w:rsid w:val="002E547D"/>
    <w:rsid w:val="002E7F66"/>
    <w:rsid w:val="002F43AA"/>
    <w:rsid w:val="002F7592"/>
    <w:rsid w:val="00301714"/>
    <w:rsid w:val="00305A7F"/>
    <w:rsid w:val="00311696"/>
    <w:rsid w:val="00313807"/>
    <w:rsid w:val="003152FE"/>
    <w:rsid w:val="00321F91"/>
    <w:rsid w:val="00323326"/>
    <w:rsid w:val="00327436"/>
    <w:rsid w:val="003322DA"/>
    <w:rsid w:val="00332ED5"/>
    <w:rsid w:val="00344BD6"/>
    <w:rsid w:val="00345ECC"/>
    <w:rsid w:val="00353650"/>
    <w:rsid w:val="0035528D"/>
    <w:rsid w:val="00361821"/>
    <w:rsid w:val="00361E9E"/>
    <w:rsid w:val="00363B08"/>
    <w:rsid w:val="00373E9E"/>
    <w:rsid w:val="0037415B"/>
    <w:rsid w:val="003745A9"/>
    <w:rsid w:val="003752B9"/>
    <w:rsid w:val="003753EE"/>
    <w:rsid w:val="003A0835"/>
    <w:rsid w:val="003A5AAF"/>
    <w:rsid w:val="003B0710"/>
    <w:rsid w:val="003B700A"/>
    <w:rsid w:val="003C5A7A"/>
    <w:rsid w:val="003C6748"/>
    <w:rsid w:val="003C6B08"/>
    <w:rsid w:val="003C7FBE"/>
    <w:rsid w:val="003D227C"/>
    <w:rsid w:val="003D2B4D"/>
    <w:rsid w:val="003D5FD5"/>
    <w:rsid w:val="003D6F3C"/>
    <w:rsid w:val="003F37F5"/>
    <w:rsid w:val="003F4FE7"/>
    <w:rsid w:val="00402DA1"/>
    <w:rsid w:val="00404D98"/>
    <w:rsid w:val="00404FDD"/>
    <w:rsid w:val="004110FA"/>
    <w:rsid w:val="00415A3B"/>
    <w:rsid w:val="00440634"/>
    <w:rsid w:val="00442786"/>
    <w:rsid w:val="00444754"/>
    <w:rsid w:val="00444A88"/>
    <w:rsid w:val="00445B73"/>
    <w:rsid w:val="00451078"/>
    <w:rsid w:val="004539E5"/>
    <w:rsid w:val="00457A54"/>
    <w:rsid w:val="0046240C"/>
    <w:rsid w:val="00473B6D"/>
    <w:rsid w:val="00474DA4"/>
    <w:rsid w:val="00476B4D"/>
    <w:rsid w:val="004805FA"/>
    <w:rsid w:val="00481AA8"/>
    <w:rsid w:val="004858BC"/>
    <w:rsid w:val="004935D2"/>
    <w:rsid w:val="00495DB6"/>
    <w:rsid w:val="004A591B"/>
    <w:rsid w:val="004B1215"/>
    <w:rsid w:val="004C7D35"/>
    <w:rsid w:val="004D047D"/>
    <w:rsid w:val="004D5550"/>
    <w:rsid w:val="004F1E9E"/>
    <w:rsid w:val="004F305A"/>
    <w:rsid w:val="004F651E"/>
    <w:rsid w:val="00503203"/>
    <w:rsid w:val="00504424"/>
    <w:rsid w:val="00512164"/>
    <w:rsid w:val="00520297"/>
    <w:rsid w:val="00520D33"/>
    <w:rsid w:val="00522AAB"/>
    <w:rsid w:val="005253DA"/>
    <w:rsid w:val="005338F9"/>
    <w:rsid w:val="0054281C"/>
    <w:rsid w:val="00544581"/>
    <w:rsid w:val="005475A5"/>
    <w:rsid w:val="0055268D"/>
    <w:rsid w:val="00560B35"/>
    <w:rsid w:val="0056208D"/>
    <w:rsid w:val="005628B5"/>
    <w:rsid w:val="00565DBA"/>
    <w:rsid w:val="00575DE2"/>
    <w:rsid w:val="00576BE4"/>
    <w:rsid w:val="005779DB"/>
    <w:rsid w:val="005A2A67"/>
    <w:rsid w:val="005A400A"/>
    <w:rsid w:val="005B269D"/>
    <w:rsid w:val="005B2B81"/>
    <w:rsid w:val="005B43FE"/>
    <w:rsid w:val="005C5318"/>
    <w:rsid w:val="005E21EB"/>
    <w:rsid w:val="005F7B92"/>
    <w:rsid w:val="00612379"/>
    <w:rsid w:val="006153B6"/>
    <w:rsid w:val="0061555F"/>
    <w:rsid w:val="00620ADF"/>
    <w:rsid w:val="006245ED"/>
    <w:rsid w:val="006265D7"/>
    <w:rsid w:val="00632874"/>
    <w:rsid w:val="00633DAD"/>
    <w:rsid w:val="006364C1"/>
    <w:rsid w:val="00636CA6"/>
    <w:rsid w:val="00641200"/>
    <w:rsid w:val="00641D35"/>
    <w:rsid w:val="00645CA8"/>
    <w:rsid w:val="00652938"/>
    <w:rsid w:val="00653F64"/>
    <w:rsid w:val="006551FC"/>
    <w:rsid w:val="0066078C"/>
    <w:rsid w:val="006655D3"/>
    <w:rsid w:val="00667404"/>
    <w:rsid w:val="00667AF3"/>
    <w:rsid w:val="006712E6"/>
    <w:rsid w:val="006804BA"/>
    <w:rsid w:val="00687EB4"/>
    <w:rsid w:val="0069037A"/>
    <w:rsid w:val="00695C56"/>
    <w:rsid w:val="006973BC"/>
    <w:rsid w:val="006A4F4B"/>
    <w:rsid w:val="006A5CDE"/>
    <w:rsid w:val="006A644A"/>
    <w:rsid w:val="006B17D2"/>
    <w:rsid w:val="006B2D32"/>
    <w:rsid w:val="006C224E"/>
    <w:rsid w:val="006D2DF5"/>
    <w:rsid w:val="006D6E6F"/>
    <w:rsid w:val="006D780A"/>
    <w:rsid w:val="006D7BD0"/>
    <w:rsid w:val="006E2982"/>
    <w:rsid w:val="00702632"/>
    <w:rsid w:val="0070324C"/>
    <w:rsid w:val="00704CF2"/>
    <w:rsid w:val="0071271E"/>
    <w:rsid w:val="00732DEC"/>
    <w:rsid w:val="00735BD5"/>
    <w:rsid w:val="007451EC"/>
    <w:rsid w:val="00745F23"/>
    <w:rsid w:val="0074797E"/>
    <w:rsid w:val="00751613"/>
    <w:rsid w:val="00753EE9"/>
    <w:rsid w:val="00755493"/>
    <w:rsid w:val="007556F6"/>
    <w:rsid w:val="00760EEF"/>
    <w:rsid w:val="00772DA4"/>
    <w:rsid w:val="007730A3"/>
    <w:rsid w:val="00777E88"/>
    <w:rsid w:val="00777EE5"/>
    <w:rsid w:val="00784836"/>
    <w:rsid w:val="0079023E"/>
    <w:rsid w:val="00796713"/>
    <w:rsid w:val="007A1580"/>
    <w:rsid w:val="007A2854"/>
    <w:rsid w:val="007A3795"/>
    <w:rsid w:val="007B1636"/>
    <w:rsid w:val="007C131A"/>
    <w:rsid w:val="007C1D92"/>
    <w:rsid w:val="007C45F4"/>
    <w:rsid w:val="007C4CB9"/>
    <w:rsid w:val="007D0B9D"/>
    <w:rsid w:val="007D19B0"/>
    <w:rsid w:val="007D3E0C"/>
    <w:rsid w:val="007E2AC3"/>
    <w:rsid w:val="007F498F"/>
    <w:rsid w:val="007F58B7"/>
    <w:rsid w:val="0080679D"/>
    <w:rsid w:val="008108B0"/>
    <w:rsid w:val="00811B20"/>
    <w:rsid w:val="008121BD"/>
    <w:rsid w:val="00812609"/>
    <w:rsid w:val="008211B5"/>
    <w:rsid w:val="0082296E"/>
    <w:rsid w:val="00824099"/>
    <w:rsid w:val="008255DB"/>
    <w:rsid w:val="00843E72"/>
    <w:rsid w:val="00846D7C"/>
    <w:rsid w:val="00855290"/>
    <w:rsid w:val="00861E04"/>
    <w:rsid w:val="00866EA7"/>
    <w:rsid w:val="00866ED1"/>
    <w:rsid w:val="008679BB"/>
    <w:rsid w:val="00867AC1"/>
    <w:rsid w:val="008751DE"/>
    <w:rsid w:val="008832B3"/>
    <w:rsid w:val="00890DF8"/>
    <w:rsid w:val="00894814"/>
    <w:rsid w:val="00896149"/>
    <w:rsid w:val="008A0ADE"/>
    <w:rsid w:val="008A4B21"/>
    <w:rsid w:val="008A743F"/>
    <w:rsid w:val="008B366D"/>
    <w:rsid w:val="008C0970"/>
    <w:rsid w:val="008D0BC5"/>
    <w:rsid w:val="008D2CF7"/>
    <w:rsid w:val="008E38B1"/>
    <w:rsid w:val="008F49B6"/>
    <w:rsid w:val="008F71E2"/>
    <w:rsid w:val="00900C26"/>
    <w:rsid w:val="0090197F"/>
    <w:rsid w:val="00903264"/>
    <w:rsid w:val="00906DDC"/>
    <w:rsid w:val="00907881"/>
    <w:rsid w:val="00920930"/>
    <w:rsid w:val="009230E8"/>
    <w:rsid w:val="009300E8"/>
    <w:rsid w:val="00934E09"/>
    <w:rsid w:val="00936253"/>
    <w:rsid w:val="00940D46"/>
    <w:rsid w:val="009413F1"/>
    <w:rsid w:val="009420D4"/>
    <w:rsid w:val="00952DD4"/>
    <w:rsid w:val="009561F4"/>
    <w:rsid w:val="0095755F"/>
    <w:rsid w:val="00957632"/>
    <w:rsid w:val="00963429"/>
    <w:rsid w:val="0096531C"/>
    <w:rsid w:val="00965AE7"/>
    <w:rsid w:val="00970FED"/>
    <w:rsid w:val="00975C72"/>
    <w:rsid w:val="00985E41"/>
    <w:rsid w:val="009921A5"/>
    <w:rsid w:val="0099275C"/>
    <w:rsid w:val="00992D82"/>
    <w:rsid w:val="00997029"/>
    <w:rsid w:val="009A3BC5"/>
    <w:rsid w:val="009A418A"/>
    <w:rsid w:val="009A7339"/>
    <w:rsid w:val="009B2E02"/>
    <w:rsid w:val="009B440E"/>
    <w:rsid w:val="009C55B9"/>
    <w:rsid w:val="009D0189"/>
    <w:rsid w:val="009D06EA"/>
    <w:rsid w:val="009D690D"/>
    <w:rsid w:val="009E512D"/>
    <w:rsid w:val="009E65B6"/>
    <w:rsid w:val="009F0A51"/>
    <w:rsid w:val="009F0B7F"/>
    <w:rsid w:val="009F2BB5"/>
    <w:rsid w:val="009F77CF"/>
    <w:rsid w:val="00A0304A"/>
    <w:rsid w:val="00A0324C"/>
    <w:rsid w:val="00A12795"/>
    <w:rsid w:val="00A138BD"/>
    <w:rsid w:val="00A141AC"/>
    <w:rsid w:val="00A14953"/>
    <w:rsid w:val="00A15709"/>
    <w:rsid w:val="00A24C10"/>
    <w:rsid w:val="00A277A7"/>
    <w:rsid w:val="00A411B5"/>
    <w:rsid w:val="00A4209D"/>
    <w:rsid w:val="00A42AC3"/>
    <w:rsid w:val="00A430CF"/>
    <w:rsid w:val="00A53FED"/>
    <w:rsid w:val="00A54309"/>
    <w:rsid w:val="00A610A9"/>
    <w:rsid w:val="00A63DF9"/>
    <w:rsid w:val="00A6644B"/>
    <w:rsid w:val="00A80F2A"/>
    <w:rsid w:val="00A84AB6"/>
    <w:rsid w:val="00A8525B"/>
    <w:rsid w:val="00A857EC"/>
    <w:rsid w:val="00A96C33"/>
    <w:rsid w:val="00AA7839"/>
    <w:rsid w:val="00AB0F77"/>
    <w:rsid w:val="00AB1EB7"/>
    <w:rsid w:val="00AB2B93"/>
    <w:rsid w:val="00AB530F"/>
    <w:rsid w:val="00AB7303"/>
    <w:rsid w:val="00AB7E5B"/>
    <w:rsid w:val="00AC2883"/>
    <w:rsid w:val="00AC7CF2"/>
    <w:rsid w:val="00AD4BE4"/>
    <w:rsid w:val="00AE0772"/>
    <w:rsid w:val="00AE0EF1"/>
    <w:rsid w:val="00AE2937"/>
    <w:rsid w:val="00AE29D6"/>
    <w:rsid w:val="00B07301"/>
    <w:rsid w:val="00B11F3E"/>
    <w:rsid w:val="00B21A7C"/>
    <w:rsid w:val="00B224DE"/>
    <w:rsid w:val="00B315AF"/>
    <w:rsid w:val="00B324D4"/>
    <w:rsid w:val="00B46575"/>
    <w:rsid w:val="00B47583"/>
    <w:rsid w:val="00B53BA8"/>
    <w:rsid w:val="00B61777"/>
    <w:rsid w:val="00B622E6"/>
    <w:rsid w:val="00B751B2"/>
    <w:rsid w:val="00B8334F"/>
    <w:rsid w:val="00B83E82"/>
    <w:rsid w:val="00B84BBD"/>
    <w:rsid w:val="00B84DF2"/>
    <w:rsid w:val="00B91184"/>
    <w:rsid w:val="00BA43FB"/>
    <w:rsid w:val="00BA5AD2"/>
    <w:rsid w:val="00BA5DE6"/>
    <w:rsid w:val="00BB18CD"/>
    <w:rsid w:val="00BB1EA3"/>
    <w:rsid w:val="00BB7F15"/>
    <w:rsid w:val="00BC127D"/>
    <w:rsid w:val="00BC1FE6"/>
    <w:rsid w:val="00BE2F6F"/>
    <w:rsid w:val="00BF783D"/>
    <w:rsid w:val="00C061B6"/>
    <w:rsid w:val="00C06945"/>
    <w:rsid w:val="00C12DB7"/>
    <w:rsid w:val="00C22FF2"/>
    <w:rsid w:val="00C2446C"/>
    <w:rsid w:val="00C2525F"/>
    <w:rsid w:val="00C25343"/>
    <w:rsid w:val="00C35AC0"/>
    <w:rsid w:val="00C36AE5"/>
    <w:rsid w:val="00C41F17"/>
    <w:rsid w:val="00C42A67"/>
    <w:rsid w:val="00C445BF"/>
    <w:rsid w:val="00C527FA"/>
    <w:rsid w:val="00C5280D"/>
    <w:rsid w:val="00C53EB3"/>
    <w:rsid w:val="00C5791C"/>
    <w:rsid w:val="00C6388D"/>
    <w:rsid w:val="00C6554A"/>
    <w:rsid w:val="00C66290"/>
    <w:rsid w:val="00C72B7A"/>
    <w:rsid w:val="00C76349"/>
    <w:rsid w:val="00C77050"/>
    <w:rsid w:val="00C94E4C"/>
    <w:rsid w:val="00C95778"/>
    <w:rsid w:val="00C973F2"/>
    <w:rsid w:val="00CA09D9"/>
    <w:rsid w:val="00CA2FE4"/>
    <w:rsid w:val="00CA304C"/>
    <w:rsid w:val="00CA774A"/>
    <w:rsid w:val="00CB3E35"/>
    <w:rsid w:val="00CB44F2"/>
    <w:rsid w:val="00CB4921"/>
    <w:rsid w:val="00CB7749"/>
    <w:rsid w:val="00CC11B0"/>
    <w:rsid w:val="00CC2841"/>
    <w:rsid w:val="00CD3642"/>
    <w:rsid w:val="00CE4004"/>
    <w:rsid w:val="00CE4C92"/>
    <w:rsid w:val="00CF0EF5"/>
    <w:rsid w:val="00CF1330"/>
    <w:rsid w:val="00CF7E36"/>
    <w:rsid w:val="00D05F80"/>
    <w:rsid w:val="00D07E84"/>
    <w:rsid w:val="00D1397D"/>
    <w:rsid w:val="00D217AD"/>
    <w:rsid w:val="00D242AC"/>
    <w:rsid w:val="00D26623"/>
    <w:rsid w:val="00D3708D"/>
    <w:rsid w:val="00D40426"/>
    <w:rsid w:val="00D47DEA"/>
    <w:rsid w:val="00D47FD8"/>
    <w:rsid w:val="00D57C96"/>
    <w:rsid w:val="00D57D18"/>
    <w:rsid w:val="00D70DC7"/>
    <w:rsid w:val="00D70E65"/>
    <w:rsid w:val="00D743D6"/>
    <w:rsid w:val="00D77064"/>
    <w:rsid w:val="00D82AC2"/>
    <w:rsid w:val="00D85F7F"/>
    <w:rsid w:val="00D869E1"/>
    <w:rsid w:val="00D91203"/>
    <w:rsid w:val="00D944BE"/>
    <w:rsid w:val="00D95174"/>
    <w:rsid w:val="00D96FE2"/>
    <w:rsid w:val="00DA4973"/>
    <w:rsid w:val="00DA5397"/>
    <w:rsid w:val="00DA6F36"/>
    <w:rsid w:val="00DA7E7E"/>
    <w:rsid w:val="00DB458C"/>
    <w:rsid w:val="00DB596E"/>
    <w:rsid w:val="00DB7773"/>
    <w:rsid w:val="00DC00EA"/>
    <w:rsid w:val="00DC1C45"/>
    <w:rsid w:val="00DC3802"/>
    <w:rsid w:val="00DD6208"/>
    <w:rsid w:val="00DD7B2F"/>
    <w:rsid w:val="00DE3B28"/>
    <w:rsid w:val="00DF5121"/>
    <w:rsid w:val="00DF7991"/>
    <w:rsid w:val="00DF7E99"/>
    <w:rsid w:val="00E04E32"/>
    <w:rsid w:val="00E07D87"/>
    <w:rsid w:val="00E12DCD"/>
    <w:rsid w:val="00E14E7C"/>
    <w:rsid w:val="00E15B30"/>
    <w:rsid w:val="00E20E73"/>
    <w:rsid w:val="00E249C8"/>
    <w:rsid w:val="00E31160"/>
    <w:rsid w:val="00E32F7E"/>
    <w:rsid w:val="00E338DB"/>
    <w:rsid w:val="00E35BEA"/>
    <w:rsid w:val="00E46137"/>
    <w:rsid w:val="00E5267B"/>
    <w:rsid w:val="00E53D21"/>
    <w:rsid w:val="00E54F3B"/>
    <w:rsid w:val="00E559F0"/>
    <w:rsid w:val="00E63C0E"/>
    <w:rsid w:val="00E72D49"/>
    <w:rsid w:val="00E7593C"/>
    <w:rsid w:val="00E7678A"/>
    <w:rsid w:val="00E847E7"/>
    <w:rsid w:val="00E861B6"/>
    <w:rsid w:val="00E935F1"/>
    <w:rsid w:val="00E94A81"/>
    <w:rsid w:val="00EA1FFB"/>
    <w:rsid w:val="00EB048E"/>
    <w:rsid w:val="00EB4E9C"/>
    <w:rsid w:val="00EC0375"/>
    <w:rsid w:val="00EC1F67"/>
    <w:rsid w:val="00EC4678"/>
    <w:rsid w:val="00EC634B"/>
    <w:rsid w:val="00ED4A9A"/>
    <w:rsid w:val="00ED7428"/>
    <w:rsid w:val="00EE34DF"/>
    <w:rsid w:val="00EF2F89"/>
    <w:rsid w:val="00EF30F2"/>
    <w:rsid w:val="00F03E98"/>
    <w:rsid w:val="00F1237A"/>
    <w:rsid w:val="00F203D3"/>
    <w:rsid w:val="00F22CBD"/>
    <w:rsid w:val="00F272F1"/>
    <w:rsid w:val="00F31412"/>
    <w:rsid w:val="00F31C53"/>
    <w:rsid w:val="00F33157"/>
    <w:rsid w:val="00F413C0"/>
    <w:rsid w:val="00F4517C"/>
    <w:rsid w:val="00F45372"/>
    <w:rsid w:val="00F45F7B"/>
    <w:rsid w:val="00F51695"/>
    <w:rsid w:val="00F536EB"/>
    <w:rsid w:val="00F53FDD"/>
    <w:rsid w:val="00F560F7"/>
    <w:rsid w:val="00F61034"/>
    <w:rsid w:val="00F62942"/>
    <w:rsid w:val="00F62FC5"/>
    <w:rsid w:val="00F6334D"/>
    <w:rsid w:val="00F63599"/>
    <w:rsid w:val="00F64D19"/>
    <w:rsid w:val="00F65078"/>
    <w:rsid w:val="00F65B92"/>
    <w:rsid w:val="00F71781"/>
    <w:rsid w:val="00F71E5C"/>
    <w:rsid w:val="00F80533"/>
    <w:rsid w:val="00F82189"/>
    <w:rsid w:val="00F93F2F"/>
    <w:rsid w:val="00FA3758"/>
    <w:rsid w:val="00FA49AB"/>
    <w:rsid w:val="00FB075A"/>
    <w:rsid w:val="00FC03E0"/>
    <w:rsid w:val="00FC21DC"/>
    <w:rsid w:val="00FC23EB"/>
    <w:rsid w:val="00FC5FD0"/>
    <w:rsid w:val="00FE0DCC"/>
    <w:rsid w:val="00FE39C7"/>
    <w:rsid w:val="00FE3B2B"/>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7E23143"/>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E861B6"/>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8E38B1"/>
    <w:pPr>
      <w:spacing w:before="60"/>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CB7749"/>
    <w:pPr>
      <w:tabs>
        <w:tab w:val="right" w:leader="dot" w:pos="9639"/>
      </w:tabs>
      <w:ind w:left="568" w:right="851" w:hanging="284"/>
      <w:contextualSpacing/>
      <w:jc w:val="left"/>
    </w:pPr>
    <w:rPr>
      <w:sz w:val="18"/>
    </w:rPr>
  </w:style>
  <w:style w:type="paragraph" w:styleId="TOC3">
    <w:name w:val="toc 3"/>
    <w:next w:val="Normal"/>
    <w:autoRedefine/>
    <w:uiPriority w:val="39"/>
    <w:qFormat/>
    <w:rsid w:val="00CB7749"/>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CB7749"/>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E4C92"/>
    <w:rPr>
      <w:rFonts w:ascii="Arial" w:hAnsi="Arial"/>
      <w:caps/>
    </w:rPr>
  </w:style>
  <w:style w:type="character" w:customStyle="1" w:styleId="Heading2Char">
    <w:name w:val="Heading 2 Char"/>
    <w:basedOn w:val="DefaultParagraphFont"/>
    <w:link w:val="Heading2"/>
    <w:rsid w:val="00CE4C92"/>
    <w:rPr>
      <w:rFonts w:ascii="Arial" w:hAnsi="Arial"/>
      <w:u w:val="single"/>
    </w:rPr>
  </w:style>
  <w:style w:type="character" w:customStyle="1" w:styleId="Heading3Char">
    <w:name w:val="Heading 3 Char"/>
    <w:basedOn w:val="DefaultParagraphFont"/>
    <w:link w:val="Heading3"/>
    <w:rsid w:val="00E861B6"/>
    <w:rPr>
      <w:rFonts w:ascii="Arial" w:hAnsi="Arial"/>
      <w:i/>
    </w:rPr>
  </w:style>
  <w:style w:type="character" w:customStyle="1" w:styleId="FootnoteTextChar">
    <w:name w:val="Footnote Text Char"/>
    <w:basedOn w:val="DefaultParagraphFont"/>
    <w:link w:val="FootnoteText"/>
    <w:rsid w:val="008E38B1"/>
    <w:rPr>
      <w:rFonts w:ascii="Arial" w:hAnsi="Arial"/>
      <w:sz w:val="16"/>
    </w:rPr>
  </w:style>
  <w:style w:type="paragraph" w:styleId="ListParagraph">
    <w:name w:val="List Paragraph"/>
    <w:basedOn w:val="Normal"/>
    <w:uiPriority w:val="34"/>
    <w:qFormat/>
    <w:rsid w:val="00CE4C92"/>
    <w:pPr>
      <w:ind w:left="720"/>
      <w:contextualSpacing/>
    </w:pPr>
  </w:style>
  <w:style w:type="paragraph" w:customStyle="1" w:styleId="ONUME">
    <w:name w:val="ONUM E"/>
    <w:basedOn w:val="Normal"/>
    <w:rsid w:val="00CE4C92"/>
    <w:pPr>
      <w:numPr>
        <w:numId w:val="2"/>
      </w:numPr>
    </w:pPr>
  </w:style>
  <w:style w:type="table" w:styleId="TableGrid">
    <w:name w:val="Table Grid"/>
    <w:basedOn w:val="TableNormal"/>
    <w:rsid w:val="00CE4C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1022">
      <w:bodyDiv w:val="1"/>
      <w:marLeft w:val="0"/>
      <w:marRight w:val="0"/>
      <w:marTop w:val="0"/>
      <w:marBottom w:val="0"/>
      <w:divBdr>
        <w:top w:val="none" w:sz="0" w:space="0" w:color="auto"/>
        <w:left w:val="none" w:sz="0" w:space="0" w:color="auto"/>
        <w:bottom w:val="none" w:sz="0" w:space="0" w:color="auto"/>
        <w:right w:val="none" w:sz="0" w:space="0" w:color="auto"/>
      </w:divBdr>
    </w:div>
    <w:div w:id="330833560">
      <w:bodyDiv w:val="1"/>
      <w:marLeft w:val="0"/>
      <w:marRight w:val="0"/>
      <w:marTop w:val="0"/>
      <w:marBottom w:val="0"/>
      <w:divBdr>
        <w:top w:val="none" w:sz="0" w:space="0" w:color="auto"/>
        <w:left w:val="none" w:sz="0" w:space="0" w:color="auto"/>
        <w:bottom w:val="none" w:sz="0" w:space="0" w:color="auto"/>
        <w:right w:val="none" w:sz="0" w:space="0" w:color="auto"/>
      </w:divBdr>
    </w:div>
    <w:div w:id="409621773">
      <w:bodyDiv w:val="1"/>
      <w:marLeft w:val="0"/>
      <w:marRight w:val="0"/>
      <w:marTop w:val="0"/>
      <w:marBottom w:val="0"/>
      <w:divBdr>
        <w:top w:val="none" w:sz="0" w:space="0" w:color="auto"/>
        <w:left w:val="none" w:sz="0" w:space="0" w:color="auto"/>
        <w:bottom w:val="none" w:sz="0" w:space="0" w:color="auto"/>
        <w:right w:val="none" w:sz="0" w:space="0" w:color="auto"/>
      </w:divBdr>
    </w:div>
    <w:div w:id="1010793153">
      <w:bodyDiv w:val="1"/>
      <w:marLeft w:val="0"/>
      <w:marRight w:val="0"/>
      <w:marTop w:val="0"/>
      <w:marBottom w:val="0"/>
      <w:divBdr>
        <w:top w:val="none" w:sz="0" w:space="0" w:color="auto"/>
        <w:left w:val="none" w:sz="0" w:space="0" w:color="auto"/>
        <w:bottom w:val="none" w:sz="0" w:space="0" w:color="auto"/>
        <w:right w:val="none" w:sz="0" w:space="0" w:color="auto"/>
      </w:divBdr>
    </w:div>
    <w:div w:id="1043017331">
      <w:bodyDiv w:val="1"/>
      <w:marLeft w:val="0"/>
      <w:marRight w:val="0"/>
      <w:marTop w:val="0"/>
      <w:marBottom w:val="0"/>
      <w:divBdr>
        <w:top w:val="none" w:sz="0" w:space="0" w:color="auto"/>
        <w:left w:val="none" w:sz="0" w:space="0" w:color="auto"/>
        <w:bottom w:val="none" w:sz="0" w:space="0" w:color="auto"/>
        <w:right w:val="none" w:sz="0" w:space="0" w:color="auto"/>
      </w:divBdr>
    </w:div>
    <w:div w:id="1161504976">
      <w:bodyDiv w:val="1"/>
      <w:marLeft w:val="0"/>
      <w:marRight w:val="0"/>
      <w:marTop w:val="0"/>
      <w:marBottom w:val="0"/>
      <w:divBdr>
        <w:top w:val="none" w:sz="0" w:space="0" w:color="auto"/>
        <w:left w:val="none" w:sz="0" w:space="0" w:color="auto"/>
        <w:bottom w:val="none" w:sz="0" w:space="0" w:color="auto"/>
        <w:right w:val="none" w:sz="0" w:space="0" w:color="auto"/>
      </w:divBdr>
    </w:div>
    <w:div w:id="1184397215">
      <w:bodyDiv w:val="1"/>
      <w:marLeft w:val="0"/>
      <w:marRight w:val="0"/>
      <w:marTop w:val="0"/>
      <w:marBottom w:val="0"/>
      <w:divBdr>
        <w:top w:val="none" w:sz="0" w:space="0" w:color="auto"/>
        <w:left w:val="none" w:sz="0" w:space="0" w:color="auto"/>
        <w:bottom w:val="none" w:sz="0" w:space="0" w:color="auto"/>
        <w:right w:val="none" w:sz="0" w:space="0" w:color="auto"/>
      </w:divBdr>
    </w:div>
    <w:div w:id="1331299974">
      <w:bodyDiv w:val="1"/>
      <w:marLeft w:val="0"/>
      <w:marRight w:val="0"/>
      <w:marTop w:val="0"/>
      <w:marBottom w:val="0"/>
      <w:divBdr>
        <w:top w:val="none" w:sz="0" w:space="0" w:color="auto"/>
        <w:left w:val="none" w:sz="0" w:space="0" w:color="auto"/>
        <w:bottom w:val="none" w:sz="0" w:space="0" w:color="auto"/>
        <w:right w:val="none" w:sz="0" w:space="0" w:color="auto"/>
      </w:divBdr>
    </w:div>
    <w:div w:id="1882784779">
      <w:bodyDiv w:val="1"/>
      <w:marLeft w:val="0"/>
      <w:marRight w:val="0"/>
      <w:marTop w:val="0"/>
      <w:marBottom w:val="0"/>
      <w:divBdr>
        <w:top w:val="none" w:sz="0" w:space="0" w:color="auto"/>
        <w:left w:val="none" w:sz="0" w:space="0" w:color="auto"/>
        <w:bottom w:val="none" w:sz="0" w:space="0" w:color="auto"/>
        <w:right w:val="none" w:sz="0" w:space="0" w:color="auto"/>
      </w:divBdr>
    </w:div>
    <w:div w:id="1926569346">
      <w:bodyDiv w:val="1"/>
      <w:marLeft w:val="0"/>
      <w:marRight w:val="0"/>
      <w:marTop w:val="0"/>
      <w:marBottom w:val="0"/>
      <w:divBdr>
        <w:top w:val="none" w:sz="0" w:space="0" w:color="auto"/>
        <w:left w:val="none" w:sz="0" w:space="0" w:color="auto"/>
        <w:bottom w:val="none" w:sz="0" w:space="0" w:color="auto"/>
        <w:right w:val="none" w:sz="0" w:space="0" w:color="auto"/>
      </w:divBdr>
    </w:div>
    <w:div w:id="2072583166">
      <w:bodyDiv w:val="1"/>
      <w:marLeft w:val="0"/>
      <w:marRight w:val="0"/>
      <w:marTop w:val="0"/>
      <w:marBottom w:val="0"/>
      <w:divBdr>
        <w:top w:val="none" w:sz="0" w:space="0" w:color="auto"/>
        <w:left w:val="none" w:sz="0" w:space="0" w:color="auto"/>
        <w:bottom w:val="none" w:sz="0" w:space="0" w:color="auto"/>
        <w:right w:val="none" w:sz="0" w:space="0" w:color="auto"/>
      </w:divBdr>
    </w:div>
    <w:div w:id="2137335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Document\TC\TC57\draft_documents\tc_57_10\TWP%20analysis_update%202021_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DAT1\OrgUPOV\Shared\Document\C\C55%20(2021)\draft_documents\c_55_02_performance_report_2020\data_collection_and_contributions_recd\TWP%20analysis_update%202021_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ipogvafs01\DAT1\OrgUPOV\Shared\Document\C\C55%20(2021)\draft_documents\c_55_02_performance_report_2020\data_collection_and_contributions_recd\TWP%20analysis_update%202021_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oleObject" Target="file:///\\Wipogvafs01\DAT1\OrgUPOV\Shared\Document\C\C55%20(2021)\draft_documents\c_55_02_performance_report_2020\data_collection_and_contributions_recd\TWP%20analysis_update%202021_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Wipogvafs01\DAT1\OrgUPOV\Shared\Document\TC\TC57\draft_documents\tc_57_10\TWP%20analysis_update%202021_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Wipogvafs01\DAT1\OrgUPOV\Shared\Document\TC\TC57\draft_documents\tc_57_10\TWP%20analysis_update%202021_V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Número de participantes individuales en las reuniones de los TWP</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c:f>
              <c:strCache>
                <c:ptCount val="1"/>
                <c:pt idx="0">
                  <c:v>TWA</c:v>
                </c:pt>
              </c:strCache>
            </c:strRef>
          </c:tx>
          <c:spPr>
            <a:solidFill>
              <a:srgbClr val="FF99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Sheet1!$C$4:$C$10</c:f>
              <c:numCache>
                <c:formatCode>General</c:formatCode>
                <c:ptCount val="7"/>
                <c:pt idx="0">
                  <c:v>56</c:v>
                </c:pt>
                <c:pt idx="1">
                  <c:v>68</c:v>
                </c:pt>
                <c:pt idx="2">
                  <c:v>54</c:v>
                </c:pt>
                <c:pt idx="3">
                  <c:v>64</c:v>
                </c:pt>
                <c:pt idx="4">
                  <c:v>42</c:v>
                </c:pt>
                <c:pt idx="5">
                  <c:v>96</c:v>
                </c:pt>
                <c:pt idx="6">
                  <c:v>142</c:v>
                </c:pt>
              </c:numCache>
            </c:numRef>
          </c:val>
          <c:extLst>
            <c:ext xmlns:c16="http://schemas.microsoft.com/office/drawing/2014/chart" uri="{C3380CC4-5D6E-409C-BE32-E72D297353CC}">
              <c16:uniqueId val="{00000000-97BA-45A9-BEB3-E7209787264A}"/>
            </c:ext>
          </c:extLst>
        </c:ser>
        <c:ser>
          <c:idx val="1"/>
          <c:order val="1"/>
          <c:tx>
            <c:strRef>
              <c:f>Sheet1!$D$3</c:f>
              <c:strCache>
                <c:ptCount val="1"/>
                <c:pt idx="0">
                  <c:v>TWV</c:v>
                </c:pt>
              </c:strCache>
            </c:strRef>
          </c:tx>
          <c:spPr>
            <a:solidFill>
              <a:srgbClr val="6699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Sheet1!$D$4:$D$10</c:f>
              <c:numCache>
                <c:formatCode>General</c:formatCode>
                <c:ptCount val="7"/>
                <c:pt idx="0">
                  <c:v>62</c:v>
                </c:pt>
                <c:pt idx="1">
                  <c:v>45</c:v>
                </c:pt>
                <c:pt idx="2">
                  <c:v>58</c:v>
                </c:pt>
                <c:pt idx="3">
                  <c:v>46</c:v>
                </c:pt>
                <c:pt idx="4">
                  <c:v>58</c:v>
                </c:pt>
                <c:pt idx="5">
                  <c:v>81</c:v>
                </c:pt>
                <c:pt idx="6">
                  <c:v>100</c:v>
                </c:pt>
              </c:numCache>
            </c:numRef>
          </c:val>
          <c:extLst>
            <c:ext xmlns:c16="http://schemas.microsoft.com/office/drawing/2014/chart" uri="{C3380CC4-5D6E-409C-BE32-E72D297353CC}">
              <c16:uniqueId val="{00000001-97BA-45A9-BEB3-E7209787264A}"/>
            </c:ext>
          </c:extLst>
        </c:ser>
        <c:ser>
          <c:idx val="2"/>
          <c:order val="2"/>
          <c:tx>
            <c:strRef>
              <c:f>Sheet1!$E$3</c:f>
              <c:strCache>
                <c:ptCount val="1"/>
                <c:pt idx="0">
                  <c:v>TWF</c:v>
                </c:pt>
              </c:strCache>
            </c:strRef>
          </c:tx>
          <c:spPr>
            <a:solidFill>
              <a:srgbClr val="C000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Sheet1!$E$4:$E$10</c:f>
              <c:numCache>
                <c:formatCode>General</c:formatCode>
                <c:ptCount val="7"/>
                <c:pt idx="0">
                  <c:v>44</c:v>
                </c:pt>
                <c:pt idx="1">
                  <c:v>49</c:v>
                </c:pt>
                <c:pt idx="2">
                  <c:v>36</c:v>
                </c:pt>
                <c:pt idx="3">
                  <c:v>40</c:v>
                </c:pt>
                <c:pt idx="4">
                  <c:v>60</c:v>
                </c:pt>
                <c:pt idx="5">
                  <c:v>101</c:v>
                </c:pt>
                <c:pt idx="6">
                  <c:v>109</c:v>
                </c:pt>
              </c:numCache>
            </c:numRef>
          </c:val>
          <c:extLst>
            <c:ext xmlns:c16="http://schemas.microsoft.com/office/drawing/2014/chart" uri="{C3380CC4-5D6E-409C-BE32-E72D297353CC}">
              <c16:uniqueId val="{00000002-97BA-45A9-BEB3-E7209787264A}"/>
            </c:ext>
          </c:extLst>
        </c:ser>
        <c:ser>
          <c:idx val="3"/>
          <c:order val="3"/>
          <c:tx>
            <c:strRef>
              <c:f>Sheet1!$F$3</c:f>
              <c:strCache>
                <c:ptCount val="1"/>
                <c:pt idx="0">
                  <c:v>TWO</c:v>
                </c:pt>
              </c:strCache>
            </c:strRef>
          </c:tx>
          <c:spPr>
            <a:solidFill>
              <a:srgbClr val="6699FF"/>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Sheet1!$F$4:$F$10</c:f>
              <c:numCache>
                <c:formatCode>General</c:formatCode>
                <c:ptCount val="7"/>
                <c:pt idx="0">
                  <c:v>63</c:v>
                </c:pt>
                <c:pt idx="1">
                  <c:v>53</c:v>
                </c:pt>
                <c:pt idx="2">
                  <c:v>30</c:v>
                </c:pt>
                <c:pt idx="3">
                  <c:v>0</c:v>
                </c:pt>
                <c:pt idx="4">
                  <c:v>28</c:v>
                </c:pt>
                <c:pt idx="5">
                  <c:v>59</c:v>
                </c:pt>
                <c:pt idx="6">
                  <c:v>96</c:v>
                </c:pt>
              </c:numCache>
            </c:numRef>
          </c:val>
          <c:extLst>
            <c:ext xmlns:c16="http://schemas.microsoft.com/office/drawing/2014/chart" uri="{C3380CC4-5D6E-409C-BE32-E72D297353CC}">
              <c16:uniqueId val="{00000003-97BA-45A9-BEB3-E7209787264A}"/>
            </c:ext>
          </c:extLst>
        </c:ser>
        <c:ser>
          <c:idx val="4"/>
          <c:order val="4"/>
          <c:tx>
            <c:strRef>
              <c:f>Sheet1!$G$3</c:f>
              <c:strCache>
                <c:ptCount val="1"/>
                <c:pt idx="0">
                  <c:v>TWC</c:v>
                </c:pt>
              </c:strCache>
            </c:strRef>
          </c:tx>
          <c:spPr>
            <a:solidFill>
              <a:schemeClr val="bg1">
                <a:lumMod val="85000"/>
              </a:schemeClr>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Sheet1!$G$4:$G$10</c:f>
              <c:numCache>
                <c:formatCode>General</c:formatCode>
                <c:ptCount val="7"/>
                <c:pt idx="0">
                  <c:v>18</c:v>
                </c:pt>
                <c:pt idx="1">
                  <c:v>34</c:v>
                </c:pt>
                <c:pt idx="2">
                  <c:v>31</c:v>
                </c:pt>
                <c:pt idx="3">
                  <c:v>28</c:v>
                </c:pt>
                <c:pt idx="4">
                  <c:v>44</c:v>
                </c:pt>
                <c:pt idx="5">
                  <c:v>44</c:v>
                </c:pt>
                <c:pt idx="6">
                  <c:v>54</c:v>
                </c:pt>
              </c:numCache>
            </c:numRef>
          </c:val>
          <c:extLst>
            <c:ext xmlns:c16="http://schemas.microsoft.com/office/drawing/2014/chart" uri="{C3380CC4-5D6E-409C-BE32-E72D297353CC}">
              <c16:uniqueId val="{00000004-97BA-45A9-BEB3-E7209787264A}"/>
            </c:ext>
          </c:extLst>
        </c:ser>
        <c:ser>
          <c:idx val="5"/>
          <c:order val="5"/>
          <c:tx>
            <c:strRef>
              <c:f>Sheet1!$H$3</c:f>
              <c:strCache>
                <c:ptCount val="1"/>
                <c:pt idx="0">
                  <c:v>BMT</c:v>
                </c:pt>
              </c:strCache>
            </c:strRef>
          </c:tx>
          <c:spPr>
            <a:solidFill>
              <a:srgbClr val="7030A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Sheet1!$H$4:$H$10</c:f>
              <c:numCache>
                <c:formatCode>General</c:formatCode>
                <c:ptCount val="7"/>
                <c:pt idx="0">
                  <c:v>0</c:v>
                </c:pt>
                <c:pt idx="1">
                  <c:v>107</c:v>
                </c:pt>
                <c:pt idx="2">
                  <c:v>49</c:v>
                </c:pt>
                <c:pt idx="3">
                  <c:v>55</c:v>
                </c:pt>
                <c:pt idx="4">
                  <c:v>65</c:v>
                </c:pt>
                <c:pt idx="5">
                  <c:v>119</c:v>
                </c:pt>
                <c:pt idx="6">
                  <c:v>116</c:v>
                </c:pt>
              </c:numCache>
            </c:numRef>
          </c:val>
          <c:extLst>
            <c:ext xmlns:c16="http://schemas.microsoft.com/office/drawing/2014/chart" uri="{C3380CC4-5D6E-409C-BE32-E72D297353CC}">
              <c16:uniqueId val="{00000005-97BA-45A9-BEB3-E7209787264A}"/>
            </c:ext>
          </c:extLst>
        </c:ser>
        <c:dLbls>
          <c:showLegendKey val="0"/>
          <c:showVal val="0"/>
          <c:showCatName val="0"/>
          <c:showSerName val="0"/>
          <c:showPercent val="0"/>
          <c:showBubbleSize val="0"/>
        </c:dLbls>
        <c:gapWidth val="150"/>
        <c:overlap val="100"/>
        <c:axId val="830574416"/>
        <c:axId val="830581904"/>
      </c:barChart>
      <c:catAx>
        <c:axId val="83057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30581904"/>
        <c:crosses val="autoZero"/>
        <c:auto val="1"/>
        <c:lblAlgn val="ctr"/>
        <c:lblOffset val="100"/>
        <c:noMultiLvlLbl val="0"/>
      </c:catAx>
      <c:valAx>
        <c:axId val="83058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3057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Número de miembros participantes TWV</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Sheet1!$D$14</c:f>
              <c:strCache>
                <c:ptCount val="1"/>
                <c:pt idx="0">
                  <c:v>TWV</c:v>
                </c:pt>
              </c:strCache>
            </c:strRef>
          </c:tx>
          <c:spPr>
            <a:solidFill>
              <a:srgbClr val="66990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Sheet1!$D$15:$D$21</c:f>
              <c:numCache>
                <c:formatCode>General</c:formatCode>
                <c:ptCount val="7"/>
                <c:pt idx="0">
                  <c:v>20</c:v>
                </c:pt>
                <c:pt idx="1">
                  <c:v>15</c:v>
                </c:pt>
                <c:pt idx="2">
                  <c:v>18</c:v>
                </c:pt>
                <c:pt idx="3">
                  <c:v>15</c:v>
                </c:pt>
                <c:pt idx="4">
                  <c:v>15</c:v>
                </c:pt>
                <c:pt idx="5">
                  <c:v>27</c:v>
                </c:pt>
                <c:pt idx="6">
                  <c:v>28</c:v>
                </c:pt>
              </c:numCache>
            </c:numRef>
          </c:val>
          <c:extLst>
            <c:ext xmlns:c16="http://schemas.microsoft.com/office/drawing/2014/chart" uri="{C3380CC4-5D6E-409C-BE32-E72D297353CC}">
              <c16:uniqueId val="{00000000-A471-4669-9B1C-3D398215A37B}"/>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Número de miembros participantes TWO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Sheet1!$F$14</c:f>
              <c:strCache>
                <c:ptCount val="1"/>
                <c:pt idx="0">
                  <c:v>TWO</c:v>
                </c:pt>
              </c:strCache>
            </c:strRef>
          </c:tx>
          <c:spPr>
            <a:solidFill>
              <a:schemeClr val="accent1"/>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Sheet1!$F$15:$F$21</c:f>
              <c:numCache>
                <c:formatCode>General</c:formatCode>
                <c:ptCount val="7"/>
                <c:pt idx="0">
                  <c:v>16</c:v>
                </c:pt>
                <c:pt idx="1">
                  <c:v>14</c:v>
                </c:pt>
                <c:pt idx="2">
                  <c:v>14</c:v>
                </c:pt>
                <c:pt idx="3">
                  <c:v>0</c:v>
                </c:pt>
                <c:pt idx="4">
                  <c:v>12</c:v>
                </c:pt>
                <c:pt idx="5">
                  <c:v>20</c:v>
                </c:pt>
                <c:pt idx="6">
                  <c:v>25</c:v>
                </c:pt>
              </c:numCache>
            </c:numRef>
          </c:val>
          <c:extLst>
            <c:ext xmlns:c16="http://schemas.microsoft.com/office/drawing/2014/chart" uri="{C3380CC4-5D6E-409C-BE32-E72D297353CC}">
              <c16:uniqueId val="{00000000-FCFE-4B0C-8915-0F4B55721960}"/>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Número de miembros participantes TWA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Sheet1!$C$14</c:f>
              <c:strCache>
                <c:ptCount val="1"/>
                <c:pt idx="0">
                  <c:v>TWA</c:v>
                </c:pt>
              </c:strCache>
            </c:strRef>
          </c:tx>
          <c:spPr>
            <a:solidFill>
              <a:schemeClr val="accent4">
                <a:lumMod val="60000"/>
                <a:lumOff val="40000"/>
              </a:schemeClr>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Sheet1!$C$15:$C$21</c:f>
              <c:numCache>
                <c:formatCode>General</c:formatCode>
                <c:ptCount val="7"/>
                <c:pt idx="0">
                  <c:v>17</c:v>
                </c:pt>
                <c:pt idx="1">
                  <c:v>19</c:v>
                </c:pt>
                <c:pt idx="2">
                  <c:v>28</c:v>
                </c:pt>
                <c:pt idx="3">
                  <c:v>23</c:v>
                </c:pt>
                <c:pt idx="4">
                  <c:v>20</c:v>
                </c:pt>
                <c:pt idx="5">
                  <c:v>28</c:v>
                </c:pt>
                <c:pt idx="6">
                  <c:v>35</c:v>
                </c:pt>
              </c:numCache>
            </c:numRef>
          </c:val>
          <c:extLst>
            <c:ext xmlns:c16="http://schemas.microsoft.com/office/drawing/2014/chart" uri="{C3380CC4-5D6E-409C-BE32-E72D297353CC}">
              <c16:uniqueId val="{00000000-CCB4-4C60-A737-2F1264A9CEA6}"/>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Número de miembros participantes TWF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Sheet1!$E$14</c:f>
              <c:strCache>
                <c:ptCount val="1"/>
                <c:pt idx="0">
                  <c:v>TWF</c:v>
                </c:pt>
              </c:strCache>
            </c:strRef>
          </c:tx>
          <c:spPr>
            <a:solidFill>
              <a:srgbClr val="C0000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Sheet1!$E$15:$E$21</c:f>
              <c:numCache>
                <c:formatCode>General</c:formatCode>
                <c:ptCount val="7"/>
                <c:pt idx="0">
                  <c:v>16</c:v>
                </c:pt>
                <c:pt idx="1">
                  <c:v>23</c:v>
                </c:pt>
                <c:pt idx="2">
                  <c:v>19</c:v>
                </c:pt>
                <c:pt idx="3">
                  <c:v>18</c:v>
                </c:pt>
                <c:pt idx="4">
                  <c:v>19</c:v>
                </c:pt>
                <c:pt idx="5">
                  <c:v>26</c:v>
                </c:pt>
                <c:pt idx="6">
                  <c:v>29</c:v>
                </c:pt>
              </c:numCache>
            </c:numRef>
          </c:val>
          <c:extLst>
            <c:ext xmlns:c16="http://schemas.microsoft.com/office/drawing/2014/chart" uri="{C3380CC4-5D6E-409C-BE32-E72D297353CC}">
              <c16:uniqueId val="{00000000-4F7E-4F3F-AAA2-A825077D2F4B}"/>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Número de miembros participantes</a:t>
            </a:r>
          </a:p>
          <a:p>
            <a:pPr>
              <a:defRPr/>
            </a:pPr>
            <a:r>
              <a:rPr lang="en-US" sz="1100"/>
              <a:t>TWC</a:t>
            </a:r>
          </a:p>
        </c:rich>
      </c:tx>
      <c:layout>
        <c:manualLayout>
          <c:xMode val="edge"/>
          <c:yMode val="edge"/>
          <c:x val="0.12835935265983991"/>
          <c:y val="3.93087712377184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0140192243356246E-2"/>
          <c:y val="0.24641404421603696"/>
          <c:w val="0.86849212847326585"/>
          <c:h val="0.60556357538641004"/>
        </c:manualLayout>
      </c:layout>
      <c:barChart>
        <c:barDir val="col"/>
        <c:grouping val="clustered"/>
        <c:varyColors val="0"/>
        <c:ser>
          <c:idx val="0"/>
          <c:order val="0"/>
          <c:spPr>
            <a:solidFill>
              <a:schemeClr val="bg1">
                <a:lumMod val="75000"/>
              </a:schemeClr>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Sheet1!$G$15:$G$21</c:f>
              <c:numCache>
                <c:formatCode>General</c:formatCode>
                <c:ptCount val="7"/>
                <c:pt idx="0">
                  <c:v>10</c:v>
                </c:pt>
                <c:pt idx="1">
                  <c:v>10</c:v>
                </c:pt>
                <c:pt idx="2">
                  <c:v>9</c:v>
                </c:pt>
                <c:pt idx="3">
                  <c:v>15</c:v>
                </c:pt>
                <c:pt idx="4">
                  <c:v>16</c:v>
                </c:pt>
                <c:pt idx="5">
                  <c:v>19</c:v>
                </c:pt>
                <c:pt idx="6">
                  <c:v>23</c:v>
                </c:pt>
              </c:numCache>
            </c:numRef>
          </c:val>
          <c:extLst>
            <c:ext xmlns:c16="http://schemas.microsoft.com/office/drawing/2014/chart" uri="{C3380CC4-5D6E-409C-BE32-E72D297353CC}">
              <c16:uniqueId val="{00000000-FED7-4E24-9EDD-37006F8936DE}"/>
            </c:ext>
          </c:extLst>
        </c:ser>
        <c:dLbls>
          <c:showLegendKey val="0"/>
          <c:showVal val="0"/>
          <c:showCatName val="0"/>
          <c:showSerName val="0"/>
          <c:showPercent val="0"/>
          <c:showBubbleSize val="0"/>
        </c:dLbls>
        <c:gapWidth val="219"/>
        <c:overlap val="-27"/>
        <c:axId val="1557138304"/>
        <c:axId val="1557131648"/>
      </c:barChart>
      <c:catAx>
        <c:axId val="155713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131648"/>
        <c:crosses val="autoZero"/>
        <c:auto val="1"/>
        <c:lblAlgn val="ctr"/>
        <c:lblOffset val="100"/>
        <c:noMultiLvlLbl val="0"/>
      </c:catAx>
      <c:valAx>
        <c:axId val="155713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13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Número de miembros participantes</a:t>
            </a:r>
            <a:endParaRPr lang="en-US" sz="1100" baseline="0"/>
          </a:p>
          <a:p>
            <a:pPr>
              <a:defRPr/>
            </a:pPr>
            <a:r>
              <a:rPr lang="en-US" sz="1100" baseline="0"/>
              <a:t>BMT</a:t>
            </a:r>
            <a:endParaRPr lang="en-US" sz="11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206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Sheet1!$H$15:$H$21</c:f>
              <c:numCache>
                <c:formatCode>General</c:formatCode>
                <c:ptCount val="7"/>
                <c:pt idx="0">
                  <c:v>0</c:v>
                </c:pt>
                <c:pt idx="1">
                  <c:v>15</c:v>
                </c:pt>
                <c:pt idx="2">
                  <c:v>19</c:v>
                </c:pt>
                <c:pt idx="3">
                  <c:v>18</c:v>
                </c:pt>
                <c:pt idx="4">
                  <c:v>18</c:v>
                </c:pt>
                <c:pt idx="5">
                  <c:v>26</c:v>
                </c:pt>
                <c:pt idx="6">
                  <c:v>32</c:v>
                </c:pt>
              </c:numCache>
            </c:numRef>
          </c:val>
          <c:extLst>
            <c:ext xmlns:c16="http://schemas.microsoft.com/office/drawing/2014/chart" uri="{C3380CC4-5D6E-409C-BE32-E72D297353CC}">
              <c16:uniqueId val="{00000000-E334-4503-8267-5EACEE5F3385}"/>
            </c:ext>
          </c:extLst>
        </c:ser>
        <c:dLbls>
          <c:showLegendKey val="0"/>
          <c:showVal val="0"/>
          <c:showCatName val="0"/>
          <c:showSerName val="0"/>
          <c:showPercent val="0"/>
          <c:showBubbleSize val="0"/>
        </c:dLbls>
        <c:gapWidth val="219"/>
        <c:overlap val="-27"/>
        <c:axId val="1366901520"/>
        <c:axId val="1366901936"/>
      </c:barChart>
      <c:catAx>
        <c:axId val="136690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01936"/>
        <c:crosses val="autoZero"/>
        <c:auto val="1"/>
        <c:lblAlgn val="ctr"/>
        <c:lblOffset val="100"/>
        <c:noMultiLvlLbl val="0"/>
      </c:catAx>
      <c:valAx>
        <c:axId val="136690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0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9D31-B8A4-4E78-B1DD-9318B09E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3752</Words>
  <Characters>19823</Characters>
  <Application>Microsoft Office Word</Application>
  <DocSecurity>0</DocSecurity>
  <Lines>450</Lines>
  <Paragraphs>198</Paragraphs>
  <ScaleCrop>false</ScaleCrop>
  <HeadingPairs>
    <vt:vector size="2" baseType="variant">
      <vt:variant>
        <vt:lpstr>Title</vt:lpstr>
      </vt:variant>
      <vt:variant>
        <vt:i4>1</vt:i4>
      </vt:variant>
    </vt:vector>
  </HeadingPairs>
  <TitlesOfParts>
    <vt:vector size="1" baseType="lpstr">
      <vt:lpstr>TC/57/10</vt:lpstr>
    </vt:vector>
  </TitlesOfParts>
  <Company>UPOV</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TC/57/10</dc:title>
  <dc:creator>SANCHEZ VIZCAINO GOMEZ Rosa Maria</dc:creator>
  <cp:keywords>FOR OFFICIAL USE ONLY</cp:keywords>
  <cp:lastModifiedBy>MAY Jessica</cp:lastModifiedBy>
  <cp:revision>5</cp:revision>
  <cp:lastPrinted>2021-10-08T12:06:00Z</cp:lastPrinted>
  <dcterms:created xsi:type="dcterms:W3CDTF">2021-10-14T13:33:00Z</dcterms:created>
  <dcterms:modified xsi:type="dcterms:W3CDTF">2021-10-14T14:20:00Z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3b3fae0b-9c9c-410e-b9f7-165c78210a92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