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E643C" w14:paraId="21E217F6" w14:textId="77777777" w:rsidTr="00EB4E9C">
        <w:tc>
          <w:tcPr>
            <w:tcW w:w="6522" w:type="dxa"/>
          </w:tcPr>
          <w:p w14:paraId="745B63E2" w14:textId="77777777" w:rsidR="00DC3802" w:rsidRPr="009E643C" w:rsidRDefault="00DC3802" w:rsidP="00AC2883">
            <w:r w:rsidRPr="009E643C">
              <w:rPr>
                <w:noProof/>
                <w:lang w:val="en-US"/>
              </w:rPr>
              <w:drawing>
                <wp:inline distT="0" distB="0" distL="0" distR="0" wp14:anchorId="5A028510" wp14:editId="2DB78EC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113DBBF" w14:textId="77777777" w:rsidR="00DC3802" w:rsidRPr="009E643C" w:rsidRDefault="002E5944" w:rsidP="00AC2883">
            <w:pPr>
              <w:pStyle w:val="Lettrine"/>
            </w:pPr>
            <w:r w:rsidRPr="009E643C">
              <w:t>S</w:t>
            </w:r>
          </w:p>
        </w:tc>
      </w:tr>
      <w:tr w:rsidR="00DC3802" w:rsidRPr="009E643C" w14:paraId="38B2E935" w14:textId="77777777" w:rsidTr="00645CA8">
        <w:trPr>
          <w:trHeight w:val="219"/>
        </w:trPr>
        <w:tc>
          <w:tcPr>
            <w:tcW w:w="6522" w:type="dxa"/>
          </w:tcPr>
          <w:p w14:paraId="79BE0FA8" w14:textId="77777777" w:rsidR="00DC3802" w:rsidRPr="009E643C" w:rsidRDefault="002E5944" w:rsidP="00BC0BD4">
            <w:pPr>
              <w:pStyle w:val="upove"/>
            </w:pPr>
            <w:r w:rsidRPr="009E643C">
              <w:t>Unión Internacional para la Protección de las Obtenciones Vegetales</w:t>
            </w:r>
          </w:p>
        </w:tc>
        <w:tc>
          <w:tcPr>
            <w:tcW w:w="3117" w:type="dxa"/>
          </w:tcPr>
          <w:p w14:paraId="0B6B9154" w14:textId="77777777" w:rsidR="00DC3802" w:rsidRPr="009E643C" w:rsidRDefault="00DC3802" w:rsidP="00DA4973"/>
        </w:tc>
      </w:tr>
    </w:tbl>
    <w:p w14:paraId="42A957BE" w14:textId="77777777" w:rsidR="00DC3802" w:rsidRPr="009E643C" w:rsidRDefault="00DC3802" w:rsidP="00DC3802"/>
    <w:p w14:paraId="7597E46B" w14:textId="77777777" w:rsidR="00DA4973" w:rsidRPr="009E643C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E643C" w14:paraId="34873F5E" w14:textId="77777777" w:rsidTr="00EB4E9C">
        <w:tc>
          <w:tcPr>
            <w:tcW w:w="6512" w:type="dxa"/>
          </w:tcPr>
          <w:p w14:paraId="5F22D940" w14:textId="77777777" w:rsidR="00EB4E9C" w:rsidRPr="009E643C" w:rsidRDefault="002E5944" w:rsidP="00AC2883">
            <w:pPr>
              <w:pStyle w:val="Sessiontc"/>
              <w:spacing w:line="240" w:lineRule="auto"/>
            </w:pPr>
            <w:r w:rsidRPr="009E643C">
              <w:t>Comité Técnico</w:t>
            </w:r>
          </w:p>
          <w:p w14:paraId="62E7D3A7" w14:textId="77777777" w:rsidR="006964B9" w:rsidRPr="009E643C" w:rsidRDefault="002E5944" w:rsidP="00467B42">
            <w:pPr>
              <w:pStyle w:val="Sessiontcplacedate"/>
            </w:pPr>
            <w:r w:rsidRPr="009E643C">
              <w:t xml:space="preserve">Quincuagésima </w:t>
            </w:r>
            <w:r w:rsidR="00467B42" w:rsidRPr="009E643C">
              <w:t>sex</w:t>
            </w:r>
            <w:r w:rsidR="005A1EC1" w:rsidRPr="009E643C">
              <w:t>ta</w:t>
            </w:r>
            <w:r w:rsidRPr="009E643C">
              <w:t xml:space="preserve"> sesión</w:t>
            </w:r>
          </w:p>
          <w:p w14:paraId="56F55A2B" w14:textId="72AF8734" w:rsidR="00EB4E9C" w:rsidRPr="009E643C" w:rsidRDefault="002E5944" w:rsidP="00467B42">
            <w:pPr>
              <w:pStyle w:val="Sessiontcplacedate"/>
              <w:rPr>
                <w:sz w:val="22"/>
              </w:rPr>
            </w:pPr>
            <w:r w:rsidRPr="009E643C">
              <w:t>Ginebra</w:t>
            </w:r>
            <w:r w:rsidR="00EB4E9C" w:rsidRPr="009E643C">
              <w:t xml:space="preserve">, </w:t>
            </w:r>
            <w:r w:rsidR="005A1EC1" w:rsidRPr="009E643C">
              <w:t>2</w:t>
            </w:r>
            <w:r w:rsidR="00467B42" w:rsidRPr="009E643C">
              <w:t>6</w:t>
            </w:r>
            <w:r w:rsidR="005A1EC1" w:rsidRPr="009E643C">
              <w:t xml:space="preserve"> y </w:t>
            </w:r>
            <w:r w:rsidR="000B7BB9" w:rsidRPr="009E643C">
              <w:t>2</w:t>
            </w:r>
            <w:r w:rsidR="00467B42" w:rsidRPr="009E643C">
              <w:t>7</w:t>
            </w:r>
            <w:r w:rsidR="005A1EC1" w:rsidRPr="009E643C">
              <w:t xml:space="preserve"> de octubre </w:t>
            </w:r>
            <w:r w:rsidRPr="009E643C">
              <w:t>de</w:t>
            </w:r>
            <w:r w:rsidR="00A706D3" w:rsidRPr="009E643C">
              <w:t xml:space="preserve"> </w:t>
            </w:r>
            <w:r w:rsidR="00467B42" w:rsidRPr="009E643C">
              <w:t>2020</w:t>
            </w:r>
          </w:p>
        </w:tc>
        <w:tc>
          <w:tcPr>
            <w:tcW w:w="3127" w:type="dxa"/>
          </w:tcPr>
          <w:p w14:paraId="1D910F5F" w14:textId="77777777" w:rsidR="00EB4E9C" w:rsidRPr="009E643C" w:rsidRDefault="00467B42" w:rsidP="003C7FBE">
            <w:pPr>
              <w:pStyle w:val="Doccode"/>
              <w:rPr>
                <w:lang w:val="es-ES_tradnl"/>
              </w:rPr>
            </w:pPr>
            <w:r w:rsidRPr="009E643C">
              <w:rPr>
                <w:lang w:val="es-ES_tradnl"/>
              </w:rPr>
              <w:t>TC/56</w:t>
            </w:r>
            <w:r w:rsidR="00EB4E9C" w:rsidRPr="009E643C">
              <w:rPr>
                <w:lang w:val="es-ES_tradnl"/>
              </w:rPr>
              <w:t>/</w:t>
            </w:r>
            <w:r w:rsidR="00DF4483" w:rsidRPr="009E643C">
              <w:rPr>
                <w:lang w:val="es-ES_tradnl"/>
              </w:rPr>
              <w:t>INF/6</w:t>
            </w:r>
          </w:p>
          <w:p w14:paraId="61076AA1" w14:textId="7A180FA9" w:rsidR="00EB4E9C" w:rsidRPr="009E643C" w:rsidRDefault="00EB4E9C" w:rsidP="003C7FBE">
            <w:pPr>
              <w:pStyle w:val="Docoriginal"/>
            </w:pPr>
            <w:r w:rsidRPr="009E643C">
              <w:t>Original:</w:t>
            </w:r>
            <w:r w:rsidR="000548DC" w:rsidRPr="009E643C">
              <w:rPr>
                <w:b w:val="0"/>
                <w:spacing w:val="0"/>
              </w:rPr>
              <w:t xml:space="preserve"> </w:t>
            </w:r>
            <w:r w:rsidR="002E5944" w:rsidRPr="009E643C">
              <w:rPr>
                <w:b w:val="0"/>
                <w:spacing w:val="0"/>
              </w:rPr>
              <w:t>Inglés</w:t>
            </w:r>
          </w:p>
          <w:p w14:paraId="74928863" w14:textId="7B2A5860" w:rsidR="00EB4E9C" w:rsidRPr="009E643C" w:rsidRDefault="002E5944" w:rsidP="00DF4483">
            <w:pPr>
              <w:pStyle w:val="Docoriginal"/>
            </w:pPr>
            <w:r w:rsidRPr="009E643C">
              <w:t>Fecha</w:t>
            </w:r>
            <w:r w:rsidR="00EB4E9C" w:rsidRPr="009E643C">
              <w:t>:</w:t>
            </w:r>
            <w:r w:rsidR="000548DC" w:rsidRPr="009E643C">
              <w:rPr>
                <w:b w:val="0"/>
                <w:spacing w:val="0"/>
              </w:rPr>
              <w:t xml:space="preserve"> </w:t>
            </w:r>
            <w:r w:rsidR="00DF4483" w:rsidRPr="009E643C">
              <w:rPr>
                <w:b w:val="0"/>
                <w:spacing w:val="0"/>
              </w:rPr>
              <w:t>15 de octubre</w:t>
            </w:r>
            <w:r w:rsidR="00EB4E9C" w:rsidRPr="009E643C">
              <w:rPr>
                <w:b w:val="0"/>
                <w:spacing w:val="0"/>
              </w:rPr>
              <w:t xml:space="preserve"> </w:t>
            </w:r>
            <w:r w:rsidRPr="009E643C">
              <w:rPr>
                <w:b w:val="0"/>
                <w:spacing w:val="0"/>
              </w:rPr>
              <w:t xml:space="preserve">de </w:t>
            </w:r>
            <w:r w:rsidR="00467B42" w:rsidRPr="009E643C">
              <w:rPr>
                <w:b w:val="0"/>
                <w:spacing w:val="0"/>
              </w:rPr>
              <w:t>2020</w:t>
            </w:r>
          </w:p>
        </w:tc>
      </w:tr>
    </w:tbl>
    <w:p w14:paraId="4396C74C" w14:textId="77777777" w:rsidR="000D7780" w:rsidRPr="009E643C" w:rsidRDefault="00DF4483" w:rsidP="006A644A">
      <w:pPr>
        <w:pStyle w:val="Titleofdoc0"/>
      </w:pPr>
      <w:bookmarkStart w:id="0" w:name="TitleOfDoc"/>
      <w:bookmarkEnd w:id="0"/>
      <w:r w:rsidRPr="009E643C">
        <w:t>TÉCNICAS MOLECULARES: CUESTIONES PARA INFORMACIÓN</w:t>
      </w:r>
    </w:p>
    <w:p w14:paraId="0A6899C3" w14:textId="77777777" w:rsidR="006A644A" w:rsidRPr="009E643C" w:rsidRDefault="000638A9" w:rsidP="006A644A">
      <w:pPr>
        <w:pStyle w:val="preparedby1"/>
        <w:jc w:val="left"/>
      </w:pPr>
      <w:bookmarkStart w:id="1" w:name="Prepared"/>
      <w:bookmarkEnd w:id="1"/>
      <w:r w:rsidRPr="009E643C">
        <w:t>Documento preparado por la Oficina de la Unión</w:t>
      </w:r>
    </w:p>
    <w:p w14:paraId="69DF7793" w14:textId="77777777" w:rsidR="00050E16" w:rsidRPr="009E643C" w:rsidRDefault="000638A9" w:rsidP="006A644A">
      <w:pPr>
        <w:pStyle w:val="Disclaimer"/>
      </w:pPr>
      <w:r w:rsidRPr="009E643C">
        <w:t>Descargo de responsabilidad: el presente documento no constituye un documento de política u orientación de la UPOV</w:t>
      </w:r>
    </w:p>
    <w:p w14:paraId="3CFB22E9" w14:textId="77777777" w:rsidR="00DF4483" w:rsidRPr="009E643C" w:rsidRDefault="00DF4483" w:rsidP="00DF4483">
      <w:pPr>
        <w:pStyle w:val="Heading1"/>
        <w:rPr>
          <w:lang w:val="es-ES_tradnl"/>
        </w:rPr>
      </w:pPr>
      <w:bookmarkStart w:id="2" w:name="_Toc54096057"/>
      <w:r w:rsidRPr="009E643C">
        <w:rPr>
          <w:lang w:val="es-ES_tradnl"/>
        </w:rPr>
        <w:t>RESUMEN</w:t>
      </w:r>
      <w:bookmarkEnd w:id="2"/>
    </w:p>
    <w:p w14:paraId="09771CB0" w14:textId="77777777" w:rsidR="00DF4483" w:rsidRPr="009E643C" w:rsidRDefault="00DF4483" w:rsidP="00DF4483">
      <w:pPr>
        <w:rPr>
          <w:sz w:val="18"/>
          <w:lang w:eastAsia="ja-JP"/>
        </w:rPr>
      </w:pPr>
    </w:p>
    <w:p w14:paraId="39944FD3" w14:textId="5276D098" w:rsidR="00DF4483" w:rsidRPr="009E643C" w:rsidRDefault="00DF4483" w:rsidP="00DF4483"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A32084" w:rsidRPr="009E643C">
        <w:t xml:space="preserve">Este documento tiene por objeto exponer, a título informativo, las novedades acaecidas en los Grupos de Trabajo Técnico, en sus </w:t>
      </w:r>
      <w:r w:rsidR="003370AA">
        <w:t>reuniones</w:t>
      </w:r>
      <w:r w:rsidR="00A32084" w:rsidRPr="009E643C">
        <w:t xml:space="preserve"> de 2020, y en la decimonovena </w:t>
      </w:r>
      <w:r w:rsidR="003370AA">
        <w:t>reunión</w:t>
      </w:r>
      <w:r w:rsidR="00A32084" w:rsidRPr="009E643C">
        <w:t xml:space="preserve"> del Grupo de Trabajo sobre Técnicas Bioquímicas y Moleculares, y Perfiles de ADN en particular (BMT)</w:t>
      </w:r>
      <w:r w:rsidRPr="009E643C">
        <w:t>.</w:t>
      </w:r>
    </w:p>
    <w:p w14:paraId="09C71ADC" w14:textId="77777777" w:rsidR="00DF4483" w:rsidRPr="009E643C" w:rsidRDefault="00DF4483" w:rsidP="00DF4483">
      <w:pPr>
        <w:rPr>
          <w:lang w:eastAsia="ja-JP"/>
        </w:rPr>
      </w:pPr>
    </w:p>
    <w:p w14:paraId="365E2F28" w14:textId="77777777" w:rsidR="00DF4483" w:rsidRPr="009E643C" w:rsidRDefault="00DF4483" w:rsidP="00DF4483"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A32084" w:rsidRPr="009E643C">
        <w:t>Las cuestiones sujetas al examen del Comité Técnico (TC) referidas al uso de técnicas bioquímicas y moleculares en el examen DHE y a las técnicas moleculares en relación con los Grupos de Trabajo Técnico (TWP) y el Grupo de Trabajo sobre Técnicas Bioquímicas y Moleculares, y Perfiles de ADN en particular (BMT) se presentan en el documento TC/56/7, “</w:t>
      </w:r>
      <w:r w:rsidR="00A32084" w:rsidRPr="009E643C">
        <w:rPr>
          <w:i/>
        </w:rPr>
        <w:t>Molecular techniques</w:t>
      </w:r>
      <w:r w:rsidR="00A32084" w:rsidRPr="009E643C">
        <w:t>” (Técnicas moleculares)</w:t>
      </w:r>
      <w:r w:rsidRPr="009E643C">
        <w:t>.</w:t>
      </w:r>
    </w:p>
    <w:p w14:paraId="5643E513" w14:textId="77777777" w:rsidR="00DF4483" w:rsidRPr="009E643C" w:rsidRDefault="00DF4483" w:rsidP="00DF4483">
      <w:pPr>
        <w:jc w:val="left"/>
        <w:rPr>
          <w:rFonts w:cs="Arial"/>
          <w:snapToGrid w:val="0"/>
          <w:szCs w:val="24"/>
          <w:lang w:eastAsia="ja-JP"/>
        </w:rPr>
      </w:pPr>
    </w:p>
    <w:p w14:paraId="05B7F80D" w14:textId="77777777" w:rsidR="00DF4483" w:rsidRPr="009E643C" w:rsidRDefault="00DF4483" w:rsidP="00DF4483">
      <w:pPr>
        <w:keepNext/>
        <w:keepLines/>
      </w:pPr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A32084" w:rsidRPr="009E643C">
        <w:t>El presente documento se estructura del modo siguiente</w:t>
      </w:r>
      <w:r w:rsidRPr="009E643C">
        <w:t>:</w:t>
      </w:r>
    </w:p>
    <w:sdt>
      <w:sdtPr>
        <w:rPr>
          <w:smallCaps/>
          <w:sz w:val="18"/>
          <w:lang w:val="en-US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  <w:szCs w:val="18"/>
          <w:lang w:val="es-ES_tradnl"/>
        </w:rPr>
      </w:sdtEndPr>
      <w:sdtContent>
        <w:p w14:paraId="7DB3BEA5" w14:textId="77777777" w:rsidR="00DF4483" w:rsidRPr="009E643C" w:rsidRDefault="00DF4483" w:rsidP="00DF4483">
          <w:pPr>
            <w:keepNext/>
            <w:keepLines/>
            <w:rPr>
              <w:rFonts w:cs="Arial"/>
              <w:b/>
              <w:sz w:val="18"/>
            </w:rPr>
          </w:pPr>
        </w:p>
        <w:p w14:paraId="23AFD976" w14:textId="13E503E1" w:rsidR="009E643C" w:rsidRPr="009E643C" w:rsidRDefault="00DF4483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 w:rsidRPr="009E643C">
            <w:rPr>
              <w:rFonts w:cs="Arial"/>
              <w:szCs w:val="18"/>
              <w:lang w:eastAsia="ja-JP"/>
            </w:rPr>
            <w:fldChar w:fldCharType="begin"/>
          </w:r>
          <w:r w:rsidRPr="009E643C">
            <w:rPr>
              <w:rFonts w:cs="Arial"/>
              <w:bCs/>
              <w:szCs w:val="18"/>
              <w:lang w:eastAsia="ja-JP"/>
            </w:rPr>
            <w:instrText xml:space="preserve"> TOC \o "1-3" \h \z \u </w:instrText>
          </w:r>
          <w:r w:rsidRPr="009E643C">
            <w:rPr>
              <w:rFonts w:cs="Arial"/>
              <w:szCs w:val="18"/>
              <w:lang w:eastAsia="ja-JP"/>
            </w:rPr>
            <w:fldChar w:fldCharType="separate"/>
          </w:r>
          <w:hyperlink w:anchor="_Toc54096057" w:history="1">
            <w:r w:rsidR="009E643C" w:rsidRPr="009E643C">
              <w:rPr>
                <w:rStyle w:val="Hyperlink"/>
                <w:noProof/>
              </w:rPr>
              <w:t>RESUMEN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_Toc54096057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1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2C3644E8" w14:textId="0548F0B0" w:rsidR="009E643C" w:rsidRPr="009E643C" w:rsidRDefault="002C103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4096058" w:history="1">
            <w:r w:rsidR="009E643C" w:rsidRPr="009E643C">
              <w:rPr>
                <w:rStyle w:val="Hyperlink"/>
                <w:noProof/>
              </w:rPr>
              <w:t xml:space="preserve">NOVEDADES ACAECIDAS en los grupos de trabajo técnico, en sus </w:t>
            </w:r>
            <w:r w:rsidR="008F69E4">
              <w:rPr>
                <w:rStyle w:val="Hyperlink"/>
                <w:noProof/>
              </w:rPr>
              <w:t>REUNIONES</w:t>
            </w:r>
            <w:r w:rsidR="009E643C" w:rsidRPr="009E643C">
              <w:rPr>
                <w:rStyle w:val="Hyperlink"/>
                <w:noProof/>
              </w:rPr>
              <w:t xml:space="preserve"> de 2020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_Toc54096058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2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38FE453C" w14:textId="573B5A2E" w:rsidR="009E643C" w:rsidRPr="009E643C" w:rsidRDefault="002C1037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</w:rPr>
          </w:pPr>
          <w:hyperlink w:anchor="_Toc54096059" w:history="1">
            <w:r w:rsidR="009E643C" w:rsidRPr="009E643C">
              <w:rPr>
                <w:rStyle w:val="Hyperlink"/>
                <w:noProof/>
              </w:rPr>
              <w:t>Ponencia sobre el uso de técnicas moleculares en el examen DHE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_Toc54096059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2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0DB2D72E" w14:textId="7FEFF8EC" w:rsidR="009E643C" w:rsidRPr="009E643C" w:rsidRDefault="002C1037" w:rsidP="002C103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096060" w:history="1">
            <w:r w:rsidR="009E643C" w:rsidRPr="009E643C">
              <w:rPr>
                <w:rStyle w:val="Hyperlink"/>
                <w:noProof/>
                <w:lang w:val="es-ES_tradnl"/>
              </w:rPr>
              <w:t>Información relativa a los marcadores moleculares en las explicaciones de las directrices de examen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_Toc54096060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2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20F5C506" w14:textId="0B50BEBC" w:rsidR="009E643C" w:rsidRPr="009E643C" w:rsidRDefault="002C1037" w:rsidP="002C1037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4096061" w:history="1">
            <w:r w:rsidR="009E643C" w:rsidRPr="009E643C">
              <w:rPr>
                <w:rStyle w:val="Hyperlink"/>
                <w:noProof/>
                <w:lang w:val="es-ES_tradnl"/>
              </w:rPr>
              <w:t>Desarrollo de una estrategia para aplicar marcadores moleculares SNP en el marco del examen DHE de la colza de invierno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_Toc54096061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2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0F942B55" w14:textId="5A5509AF" w:rsidR="009E643C" w:rsidRPr="009E643C" w:rsidRDefault="002C103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54096062" w:history="1">
            <w:r w:rsidR="009E643C" w:rsidRPr="009E643C">
              <w:rPr>
                <w:rStyle w:val="Hyperlink"/>
                <w:noProof/>
              </w:rPr>
              <w:t xml:space="preserve">novedades acaecidas en la decimoNOVENa </w:t>
            </w:r>
            <w:r w:rsidR="003370AA">
              <w:rPr>
                <w:rStyle w:val="Hyperlink"/>
                <w:noProof/>
              </w:rPr>
              <w:t>REUNIÓN</w:t>
            </w:r>
            <w:r w:rsidR="009E643C" w:rsidRPr="009E643C">
              <w:rPr>
                <w:rStyle w:val="Hyperlink"/>
                <w:noProof/>
              </w:rPr>
              <w:t xml:space="preserve"> del Grupo de Trabajo sobre Técnicas Bioquímicas y Moleculares, y Perfiles de ADN en particular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_Toc54096062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2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424F1F8A" w14:textId="4F76D4C9" w:rsidR="009E643C" w:rsidRPr="009E643C" w:rsidRDefault="002C1037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</w:rPr>
          </w:pPr>
          <w:hyperlink w:anchor="_Toc54096063" w:history="1">
            <w:r w:rsidR="009E643C" w:rsidRPr="009E643C">
              <w:rPr>
                <w:rStyle w:val="Hyperlink"/>
                <w:noProof/>
              </w:rPr>
              <w:t>Documentos presentados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_Toc54096063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2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7079CBCB" w14:textId="3E7B11EB" w:rsidR="009E643C" w:rsidRPr="009E643C" w:rsidRDefault="002C1037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</w:rPr>
          </w:pPr>
          <w:hyperlink w:anchor="_Toc54096064" w:history="1">
            <w:r w:rsidR="009E643C" w:rsidRPr="009E643C">
              <w:rPr>
                <w:rStyle w:val="Hyperlink"/>
                <w:noProof/>
              </w:rPr>
              <w:t>Fecha y lugar de la próxima</w:t>
            </w:r>
            <w:r w:rsidR="003370AA">
              <w:rPr>
                <w:rStyle w:val="Hyperlink"/>
                <w:noProof/>
              </w:rPr>
              <w:t xml:space="preserve"> reunión</w:t>
            </w:r>
            <w:r w:rsidR="009E643C" w:rsidRPr="009E643C">
              <w:rPr>
                <w:rStyle w:val="Hyperlink"/>
                <w:noProof/>
              </w:rPr>
              <w:t xml:space="preserve"> 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_Toc54096064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3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0B8C22B6" w14:textId="08ECBFCA" w:rsidR="009E643C" w:rsidRPr="009E643C" w:rsidRDefault="002C1037">
          <w:pPr>
            <w:pStyle w:val="TOC2"/>
            <w:rPr>
              <w:rFonts w:asciiTheme="minorHAnsi" w:eastAsiaTheme="minorEastAsia" w:hAnsiTheme="minorHAnsi" w:cstheme="minorBidi"/>
              <w:smallCaps/>
              <w:noProof/>
              <w:sz w:val="22"/>
              <w:szCs w:val="22"/>
            </w:rPr>
          </w:pPr>
          <w:hyperlink w:anchor="_Toc54096065" w:history="1">
            <w:r w:rsidR="009E643C" w:rsidRPr="009E643C">
              <w:rPr>
                <w:rStyle w:val="Hyperlink"/>
                <w:noProof/>
              </w:rPr>
              <w:t>Programa previsto</w:t>
            </w:r>
            <w:r w:rsidR="009E643C" w:rsidRPr="009E643C">
              <w:rPr>
                <w:noProof/>
                <w:webHidden/>
              </w:rPr>
              <w:tab/>
            </w:r>
            <w:r w:rsidR="009E643C" w:rsidRPr="009E643C">
              <w:rPr>
                <w:noProof/>
                <w:webHidden/>
              </w:rPr>
              <w:fldChar w:fldCharType="begin"/>
            </w:r>
            <w:r w:rsidR="009E643C" w:rsidRPr="009E643C">
              <w:rPr>
                <w:noProof/>
                <w:webHidden/>
              </w:rPr>
              <w:instrText xml:space="preserve"> PAGEREF _Toc54096065 \h </w:instrText>
            </w:r>
            <w:r w:rsidR="009E643C" w:rsidRPr="009E643C">
              <w:rPr>
                <w:noProof/>
                <w:webHidden/>
              </w:rPr>
            </w:r>
            <w:r w:rsidR="009E643C" w:rsidRPr="009E643C">
              <w:rPr>
                <w:noProof/>
                <w:webHidden/>
              </w:rPr>
              <w:fldChar w:fldCharType="separate"/>
            </w:r>
            <w:r w:rsidR="00E511E0">
              <w:rPr>
                <w:noProof/>
                <w:webHidden/>
              </w:rPr>
              <w:t>4</w:t>
            </w:r>
            <w:r w:rsidR="009E643C" w:rsidRPr="009E643C">
              <w:rPr>
                <w:noProof/>
                <w:webHidden/>
              </w:rPr>
              <w:fldChar w:fldCharType="end"/>
            </w:r>
          </w:hyperlink>
        </w:p>
        <w:p w14:paraId="12DDB7BC" w14:textId="340AF6EE" w:rsidR="00DF4483" w:rsidRPr="009E643C" w:rsidRDefault="00DF4483" w:rsidP="00DF4483">
          <w:pPr>
            <w:pStyle w:val="TOC2"/>
            <w:rPr>
              <w:b/>
              <w:bCs/>
              <w:smallCaps/>
              <w:szCs w:val="18"/>
            </w:rPr>
          </w:pPr>
          <w:r w:rsidRPr="009E643C">
            <w:rPr>
              <w:b/>
              <w:bCs/>
              <w:smallCaps/>
              <w:szCs w:val="18"/>
            </w:rPr>
            <w:fldChar w:fldCharType="end"/>
          </w:r>
        </w:p>
      </w:sdtContent>
    </w:sdt>
    <w:p w14:paraId="5EDE6B08" w14:textId="77777777" w:rsidR="00DF4483" w:rsidRPr="009E643C" w:rsidRDefault="00DF4483" w:rsidP="00DF4483"/>
    <w:p w14:paraId="15BCF38A" w14:textId="77777777" w:rsidR="00DF4483" w:rsidRPr="009E643C" w:rsidRDefault="00DF4483" w:rsidP="00DF4483"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A32084" w:rsidRPr="009E643C">
        <w:t>En el presente documento se utilizan las abreviaturas siguientes</w:t>
      </w:r>
      <w:r w:rsidRPr="009E643C">
        <w:t>:</w:t>
      </w:r>
    </w:p>
    <w:p w14:paraId="0CD7C29D" w14:textId="77777777" w:rsidR="00DF4483" w:rsidRPr="009E643C" w:rsidRDefault="00DF4483" w:rsidP="00DF4483"/>
    <w:p w14:paraId="4C51AD78" w14:textId="77777777" w:rsidR="00DF4483" w:rsidRPr="009E643C" w:rsidRDefault="00712B4A" w:rsidP="00DF4483">
      <w:pPr>
        <w:keepNext/>
        <w:tabs>
          <w:tab w:val="left" w:pos="567"/>
        </w:tabs>
        <w:ind w:left="1701" w:hanging="1134"/>
        <w:rPr>
          <w:sz w:val="18"/>
        </w:rPr>
      </w:pPr>
      <w:r w:rsidRPr="009E643C">
        <w:rPr>
          <w:sz w:val="18"/>
        </w:rPr>
        <w:t>BMT:</w:t>
      </w:r>
      <w:r w:rsidRPr="009E643C">
        <w:rPr>
          <w:sz w:val="18"/>
        </w:rPr>
        <w:tab/>
        <w:t>Grupo de Trabajo sobre Técnicas Bioquímicas y Moleculares, y Perfiles de ADN en particular</w:t>
      </w:r>
      <w:r w:rsidR="00DF4483" w:rsidRPr="009E643C">
        <w:rPr>
          <w:sz w:val="18"/>
        </w:rPr>
        <w:t xml:space="preserve"> </w:t>
      </w:r>
    </w:p>
    <w:p w14:paraId="7478A36A" w14:textId="77777777" w:rsidR="00DF4483" w:rsidRPr="009E643C" w:rsidRDefault="00712B4A" w:rsidP="00DF4483">
      <w:pPr>
        <w:ind w:left="1701" w:hanging="1134"/>
        <w:rPr>
          <w:rFonts w:cs="Arial"/>
          <w:snapToGrid w:val="0"/>
          <w:sz w:val="18"/>
          <w:szCs w:val="24"/>
          <w:lang w:eastAsia="ja-JP"/>
        </w:rPr>
      </w:pPr>
      <w:r w:rsidRPr="009E643C">
        <w:rPr>
          <w:rFonts w:eastAsia="PMingLiU" w:cs="Arial"/>
          <w:snapToGrid w:val="0"/>
          <w:sz w:val="18"/>
          <w:szCs w:val="24"/>
          <w:lang w:eastAsia="fr-FR"/>
        </w:rPr>
        <w:t xml:space="preserve">ISTA: </w:t>
      </w:r>
      <w:r w:rsidRPr="009E643C">
        <w:rPr>
          <w:rFonts w:eastAsia="PMingLiU" w:cs="Arial"/>
          <w:snapToGrid w:val="0"/>
          <w:sz w:val="18"/>
          <w:szCs w:val="24"/>
          <w:lang w:eastAsia="fr-FR"/>
        </w:rPr>
        <w:tab/>
        <w:t>Asociación Internacional para el Ensayo de Semillas</w:t>
      </w:r>
    </w:p>
    <w:p w14:paraId="53221D02" w14:textId="77777777" w:rsidR="00DF4483" w:rsidRPr="009E643C" w:rsidRDefault="00712B4A" w:rsidP="00DF4483">
      <w:pPr>
        <w:ind w:left="1701" w:hanging="1134"/>
        <w:rPr>
          <w:rFonts w:eastAsia="PMingLiU" w:cs="Arial"/>
          <w:snapToGrid w:val="0"/>
          <w:sz w:val="18"/>
          <w:szCs w:val="24"/>
        </w:rPr>
      </w:pPr>
      <w:r w:rsidRPr="009E643C">
        <w:rPr>
          <w:sz w:val="18"/>
        </w:rPr>
        <w:t>OCDE:</w:t>
      </w:r>
      <w:r w:rsidRPr="009E643C">
        <w:rPr>
          <w:sz w:val="18"/>
        </w:rPr>
        <w:tab/>
        <w:t>Organización de Cooperación y Desarrollo Económicos</w:t>
      </w:r>
    </w:p>
    <w:p w14:paraId="5EBFA72C" w14:textId="77777777" w:rsidR="00712B4A" w:rsidRPr="009E643C" w:rsidRDefault="00712B4A" w:rsidP="00712B4A">
      <w:pPr>
        <w:ind w:left="1701" w:hanging="1134"/>
        <w:rPr>
          <w:sz w:val="18"/>
        </w:rPr>
      </w:pPr>
      <w:r w:rsidRPr="009E643C">
        <w:rPr>
          <w:sz w:val="18"/>
        </w:rPr>
        <w:t>TC:</w:t>
      </w:r>
      <w:r w:rsidRPr="009E643C">
        <w:rPr>
          <w:sz w:val="18"/>
        </w:rPr>
        <w:tab/>
        <w:t>Comité Técnico</w:t>
      </w:r>
    </w:p>
    <w:p w14:paraId="797D2DD4" w14:textId="77777777" w:rsidR="00712B4A" w:rsidRPr="009E643C" w:rsidRDefault="00712B4A" w:rsidP="00712B4A">
      <w:pPr>
        <w:ind w:left="1701" w:hanging="1134"/>
        <w:rPr>
          <w:sz w:val="18"/>
        </w:rPr>
      </w:pPr>
      <w:r w:rsidRPr="009E643C">
        <w:rPr>
          <w:sz w:val="18"/>
        </w:rPr>
        <w:t>TWA:</w:t>
      </w:r>
      <w:r w:rsidRPr="009E643C">
        <w:rPr>
          <w:sz w:val="18"/>
        </w:rPr>
        <w:tab/>
        <w:t>Grupo de Trabajo Técnico sobre Plantas Agrícolas</w:t>
      </w:r>
    </w:p>
    <w:p w14:paraId="52541EF7" w14:textId="77777777" w:rsidR="00712B4A" w:rsidRPr="009E643C" w:rsidRDefault="00712B4A" w:rsidP="00712B4A">
      <w:pPr>
        <w:ind w:left="1701" w:hanging="1134"/>
        <w:rPr>
          <w:sz w:val="18"/>
        </w:rPr>
      </w:pPr>
      <w:r w:rsidRPr="009E643C">
        <w:rPr>
          <w:sz w:val="18"/>
        </w:rPr>
        <w:t>TWC:</w:t>
      </w:r>
      <w:r w:rsidRPr="009E643C">
        <w:rPr>
          <w:sz w:val="18"/>
        </w:rPr>
        <w:tab/>
        <w:t>Grupo de Trabajo Técnico sobre Automatización y Programas Informáticos</w:t>
      </w:r>
    </w:p>
    <w:p w14:paraId="0034DACD" w14:textId="77777777" w:rsidR="00712B4A" w:rsidRPr="009E643C" w:rsidRDefault="00712B4A" w:rsidP="00712B4A">
      <w:pPr>
        <w:ind w:left="1701" w:hanging="1134"/>
        <w:rPr>
          <w:sz w:val="18"/>
        </w:rPr>
      </w:pPr>
      <w:r w:rsidRPr="009E643C">
        <w:rPr>
          <w:sz w:val="18"/>
        </w:rPr>
        <w:t>TWF:</w:t>
      </w:r>
      <w:r w:rsidRPr="009E643C">
        <w:rPr>
          <w:sz w:val="18"/>
        </w:rPr>
        <w:tab/>
        <w:t>Grupo de Trabajo Técnico sobre Plantas Frutales</w:t>
      </w:r>
    </w:p>
    <w:p w14:paraId="06BAA1A0" w14:textId="77777777" w:rsidR="00712B4A" w:rsidRPr="009E643C" w:rsidRDefault="00712B4A" w:rsidP="00712B4A">
      <w:pPr>
        <w:ind w:left="1701" w:hanging="1134"/>
        <w:rPr>
          <w:sz w:val="18"/>
        </w:rPr>
      </w:pPr>
      <w:r w:rsidRPr="009E643C">
        <w:rPr>
          <w:sz w:val="18"/>
        </w:rPr>
        <w:t>TWO:</w:t>
      </w:r>
      <w:r w:rsidRPr="009E643C">
        <w:rPr>
          <w:sz w:val="18"/>
        </w:rPr>
        <w:tab/>
        <w:t>Grupo de Trabajo Técnico sobre Plantas Ornamentales y Árboles Forestales</w:t>
      </w:r>
    </w:p>
    <w:p w14:paraId="40D71E9D" w14:textId="77777777" w:rsidR="00712B4A" w:rsidRPr="009E643C" w:rsidRDefault="00712B4A" w:rsidP="00712B4A">
      <w:pPr>
        <w:ind w:left="1701" w:hanging="1134"/>
        <w:rPr>
          <w:sz w:val="18"/>
        </w:rPr>
      </w:pPr>
      <w:r w:rsidRPr="009E643C">
        <w:rPr>
          <w:sz w:val="18"/>
        </w:rPr>
        <w:t>TWP:</w:t>
      </w:r>
      <w:r w:rsidRPr="009E643C">
        <w:rPr>
          <w:sz w:val="18"/>
        </w:rPr>
        <w:tab/>
        <w:t>Grupos de Trabajo Técnico</w:t>
      </w:r>
    </w:p>
    <w:p w14:paraId="17BE4AB0" w14:textId="77777777" w:rsidR="00DF4483" w:rsidRPr="009E643C" w:rsidRDefault="00712B4A" w:rsidP="00712B4A">
      <w:pPr>
        <w:ind w:left="1701" w:hanging="1134"/>
        <w:rPr>
          <w:rFonts w:eastAsia="PMingLiU" w:cs="Arial"/>
          <w:sz w:val="18"/>
          <w:szCs w:val="24"/>
        </w:rPr>
      </w:pPr>
      <w:r w:rsidRPr="009E643C">
        <w:rPr>
          <w:sz w:val="18"/>
        </w:rPr>
        <w:t>TWV:</w:t>
      </w:r>
      <w:r w:rsidRPr="009E643C">
        <w:rPr>
          <w:sz w:val="18"/>
        </w:rPr>
        <w:tab/>
        <w:t>Grupo de Trabajo Técnico sobre Hortalizas</w:t>
      </w:r>
    </w:p>
    <w:p w14:paraId="7A440E70" w14:textId="77777777" w:rsidR="00DF4483" w:rsidRPr="009E643C" w:rsidRDefault="00DF4483" w:rsidP="00DF4483">
      <w:pPr>
        <w:rPr>
          <w:lang w:eastAsia="ja-JP"/>
        </w:rPr>
      </w:pPr>
    </w:p>
    <w:p w14:paraId="1FEAC9FD" w14:textId="7B0DB5A8" w:rsidR="00DF4483" w:rsidRPr="002C1037" w:rsidRDefault="00712B4A" w:rsidP="00DF4483">
      <w:pPr>
        <w:pStyle w:val="Heading1"/>
        <w:rPr>
          <w:spacing w:val="-2"/>
          <w:lang w:val="es-ES_tradnl"/>
        </w:rPr>
      </w:pPr>
      <w:bookmarkStart w:id="3" w:name="_Toc52799199"/>
      <w:bookmarkStart w:id="4" w:name="_Toc52877567"/>
      <w:bookmarkStart w:id="5" w:name="_Toc54096058"/>
      <w:r w:rsidRPr="002C1037">
        <w:rPr>
          <w:spacing w:val="-2"/>
          <w:lang w:val="es-ES_tradnl"/>
        </w:rPr>
        <w:t>NOVEDADES ACAECIDAS</w:t>
      </w:r>
      <w:r w:rsidR="00DF4483" w:rsidRPr="002C1037">
        <w:rPr>
          <w:spacing w:val="-2"/>
          <w:lang w:val="es-ES_tradnl"/>
        </w:rPr>
        <w:t xml:space="preserve"> </w:t>
      </w:r>
      <w:r w:rsidRPr="002C1037">
        <w:rPr>
          <w:spacing w:val="-2"/>
          <w:lang w:val="es-ES_tradnl"/>
        </w:rPr>
        <w:t xml:space="preserve">en los grupos de trabajo técnico, en sus </w:t>
      </w:r>
      <w:r w:rsidR="003370AA" w:rsidRPr="002C1037">
        <w:rPr>
          <w:spacing w:val="-2"/>
          <w:lang w:val="es-ES_tradnl"/>
        </w:rPr>
        <w:t>REUNIONES</w:t>
      </w:r>
      <w:r w:rsidRPr="002C1037">
        <w:rPr>
          <w:spacing w:val="-2"/>
          <w:lang w:val="es-ES_tradnl"/>
        </w:rPr>
        <w:t xml:space="preserve"> de</w:t>
      </w:r>
      <w:r w:rsidR="00DF4483" w:rsidRPr="002C1037">
        <w:rPr>
          <w:spacing w:val="-2"/>
          <w:lang w:val="es-ES_tradnl"/>
        </w:rPr>
        <w:t xml:space="preserve"> 2020</w:t>
      </w:r>
      <w:bookmarkEnd w:id="3"/>
      <w:bookmarkEnd w:id="4"/>
      <w:bookmarkEnd w:id="5"/>
    </w:p>
    <w:p w14:paraId="0D53A696" w14:textId="77777777" w:rsidR="00DF4483" w:rsidRPr="009E643C" w:rsidRDefault="00DF4483" w:rsidP="00DF4483">
      <w:pPr>
        <w:keepNext/>
        <w:rPr>
          <w:lang w:eastAsia="ja-JP"/>
        </w:rPr>
      </w:pPr>
    </w:p>
    <w:p w14:paraId="5D2A7A65" w14:textId="5F2BCA03" w:rsidR="00DF4483" w:rsidRPr="009E643C" w:rsidRDefault="00DF4483" w:rsidP="00DF4483">
      <w:pPr>
        <w:keepNext/>
        <w:rPr>
          <w:lang w:eastAsia="ja-JP"/>
        </w:rPr>
      </w:pPr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4A5DA0" w:rsidRPr="009E643C">
        <w:t xml:space="preserve">En sus </w:t>
      </w:r>
      <w:r w:rsidR="003370AA">
        <w:t xml:space="preserve">reuniones </w:t>
      </w:r>
      <w:r w:rsidR="004A5DA0" w:rsidRPr="009E643C">
        <w:t>de 2020</w:t>
      </w:r>
      <w:r w:rsidRPr="009E643C">
        <w:t xml:space="preserve">, </w:t>
      </w:r>
      <w:r w:rsidR="004A5DA0" w:rsidRPr="009E643C">
        <w:t>el</w:t>
      </w:r>
      <w:r w:rsidRPr="009E643C">
        <w:t xml:space="preserve"> TWV</w:t>
      </w:r>
      <w:r w:rsidR="000548DC" w:rsidRPr="009E643C">
        <w:t>,</w:t>
      </w:r>
      <w:r w:rsidRPr="009E643C">
        <w:rPr>
          <w:rStyle w:val="FootnoteReference"/>
        </w:rPr>
        <w:footnoteReference w:id="2"/>
      </w:r>
      <w:r w:rsidRPr="009E643C">
        <w:t xml:space="preserve"> </w:t>
      </w:r>
      <w:r w:rsidR="004A5DA0" w:rsidRPr="009E643C">
        <w:t xml:space="preserve">el </w:t>
      </w:r>
      <w:r w:rsidRPr="009E643C">
        <w:t>TWO</w:t>
      </w:r>
      <w:r w:rsidR="000548DC" w:rsidRPr="009E643C">
        <w:t>,</w:t>
      </w:r>
      <w:r w:rsidRPr="009E643C">
        <w:rPr>
          <w:rStyle w:val="FootnoteReference"/>
        </w:rPr>
        <w:footnoteReference w:id="3"/>
      </w:r>
      <w:r w:rsidRPr="009E643C">
        <w:t xml:space="preserve"> </w:t>
      </w:r>
      <w:r w:rsidR="004A5DA0" w:rsidRPr="009E643C">
        <w:t xml:space="preserve">el </w:t>
      </w:r>
      <w:r w:rsidRPr="009E643C">
        <w:t>TWA</w:t>
      </w:r>
      <w:r w:rsidR="000548DC" w:rsidRPr="009E643C">
        <w:t>,</w:t>
      </w:r>
      <w:r w:rsidRPr="009E643C">
        <w:rPr>
          <w:rStyle w:val="FootnoteReference"/>
        </w:rPr>
        <w:footnoteReference w:id="4"/>
      </w:r>
      <w:r w:rsidRPr="009E643C">
        <w:t xml:space="preserve"> </w:t>
      </w:r>
      <w:r w:rsidR="004A5DA0" w:rsidRPr="009E643C">
        <w:t xml:space="preserve">el </w:t>
      </w:r>
      <w:r w:rsidRPr="009E643C">
        <w:t>TWF</w:t>
      </w:r>
      <w:r w:rsidRPr="009E643C">
        <w:rPr>
          <w:rStyle w:val="FootnoteReference"/>
        </w:rPr>
        <w:footnoteReference w:id="5"/>
      </w:r>
      <w:r w:rsidRPr="009E643C">
        <w:t xml:space="preserve"> </w:t>
      </w:r>
      <w:r w:rsidR="004A5DA0" w:rsidRPr="009E643C">
        <w:t>y el</w:t>
      </w:r>
      <w:r w:rsidRPr="009E643C">
        <w:t xml:space="preserve"> TWC</w:t>
      </w:r>
      <w:r w:rsidRPr="009E643C">
        <w:rPr>
          <w:rStyle w:val="FootnoteReference"/>
        </w:rPr>
        <w:footnoteReference w:id="6"/>
      </w:r>
      <w:r w:rsidRPr="009E643C">
        <w:t xml:space="preserve"> </w:t>
      </w:r>
      <w:r w:rsidR="004A5DA0" w:rsidRPr="009E643C">
        <w:t>examinaron el documento TWP/4/7, “</w:t>
      </w:r>
      <w:r w:rsidR="004A5DA0" w:rsidRPr="009E643C">
        <w:rPr>
          <w:i/>
        </w:rPr>
        <w:t>Molecular techniques</w:t>
      </w:r>
      <w:r w:rsidR="004A5DA0" w:rsidRPr="009E643C">
        <w:t xml:space="preserve">” (Técnicas moleculares) (véanse los párrafos 8 a 22 del documento </w:t>
      </w:r>
      <w:r w:rsidRPr="009E643C">
        <w:t>TWV/54/9</w:t>
      </w:r>
      <w:r w:rsidR="004A5DA0" w:rsidRPr="009E643C">
        <w:t>,</w:t>
      </w:r>
      <w:r w:rsidRPr="009E643C">
        <w:t xml:space="preserve"> “</w:t>
      </w:r>
      <w:r w:rsidRPr="009E643C">
        <w:rPr>
          <w:i/>
        </w:rPr>
        <w:t>Report</w:t>
      </w:r>
      <w:r w:rsidRPr="009E643C">
        <w:t>”</w:t>
      </w:r>
      <w:r w:rsidR="004A5DA0" w:rsidRPr="009E643C">
        <w:t xml:space="preserve"> (Informe)</w:t>
      </w:r>
      <w:r w:rsidRPr="009E643C">
        <w:t xml:space="preserve">; </w:t>
      </w:r>
      <w:r w:rsidR="004A5DA0" w:rsidRPr="009E643C">
        <w:t>los párrafos 79 a 91 del documento TWO/52/11, “</w:t>
      </w:r>
      <w:r w:rsidR="004A5DA0" w:rsidRPr="009E643C">
        <w:rPr>
          <w:i/>
        </w:rPr>
        <w:t>Report</w:t>
      </w:r>
      <w:r w:rsidR="004A5DA0" w:rsidRPr="009E643C">
        <w:t>”</w:t>
      </w:r>
      <w:r w:rsidRPr="009E643C">
        <w:t xml:space="preserve">; </w:t>
      </w:r>
      <w:r w:rsidR="00E729B4" w:rsidRPr="009E643C">
        <w:t>los párrafos 52 a 66 del documento TWA/49/7, “</w:t>
      </w:r>
      <w:r w:rsidR="00E729B4" w:rsidRPr="009E643C">
        <w:rPr>
          <w:i/>
        </w:rPr>
        <w:t>Report</w:t>
      </w:r>
      <w:r w:rsidR="00E729B4" w:rsidRPr="009E643C">
        <w:t>”</w:t>
      </w:r>
      <w:r w:rsidRPr="009E643C">
        <w:t xml:space="preserve">; </w:t>
      </w:r>
      <w:r w:rsidR="00E729B4" w:rsidRPr="009E643C">
        <w:t>los párrafos 8 a 20 del documento TWF/51/10, “</w:t>
      </w:r>
      <w:r w:rsidR="00E729B4" w:rsidRPr="009E643C">
        <w:rPr>
          <w:i/>
        </w:rPr>
        <w:t>Report</w:t>
      </w:r>
      <w:r w:rsidR="00E729B4" w:rsidRPr="009E643C">
        <w:t>”; y</w:t>
      </w:r>
      <w:r w:rsidRPr="009E643C">
        <w:t xml:space="preserve"> </w:t>
      </w:r>
      <w:r w:rsidR="00E729B4" w:rsidRPr="009E643C">
        <w:t>los párrafos 61 a 73 del documento TWC/38/11, “</w:t>
      </w:r>
      <w:r w:rsidR="00E729B4" w:rsidRPr="009E643C">
        <w:rPr>
          <w:i/>
        </w:rPr>
        <w:t>Report</w:t>
      </w:r>
      <w:r w:rsidR="00E729B4" w:rsidRPr="009E643C">
        <w:t>”</w:t>
      </w:r>
      <w:r w:rsidRPr="009E643C">
        <w:t>)</w:t>
      </w:r>
      <w:r w:rsidRPr="009E643C">
        <w:rPr>
          <w:lang w:eastAsia="ja-JP"/>
        </w:rPr>
        <w:t>.</w:t>
      </w:r>
    </w:p>
    <w:p w14:paraId="41A64D7B" w14:textId="77777777" w:rsidR="00DF4483" w:rsidRPr="009E643C" w:rsidRDefault="00DF4483" w:rsidP="00DF4483">
      <w:pPr>
        <w:keepNext/>
        <w:rPr>
          <w:lang w:eastAsia="ja-JP"/>
        </w:rPr>
      </w:pPr>
    </w:p>
    <w:p w14:paraId="23F74AE4" w14:textId="55D3947D" w:rsidR="00DF4483" w:rsidRPr="009E643C" w:rsidRDefault="00DF4483" w:rsidP="00DF4483">
      <w:pPr>
        <w:rPr>
          <w:lang w:eastAsia="ja-JP"/>
        </w:rPr>
      </w:pPr>
      <w:r w:rsidRPr="009E643C">
        <w:rPr>
          <w:lang w:eastAsia="ja-JP"/>
        </w:rPr>
        <w:fldChar w:fldCharType="begin"/>
      </w:r>
      <w:r w:rsidRPr="009E643C">
        <w:rPr>
          <w:lang w:eastAsia="ja-JP"/>
        </w:rPr>
        <w:instrText xml:space="preserve"> AUTONUM  </w:instrText>
      </w:r>
      <w:r w:rsidRPr="009E643C">
        <w:rPr>
          <w:lang w:eastAsia="ja-JP"/>
        </w:rPr>
        <w:fldChar w:fldCharType="end"/>
      </w:r>
      <w:r w:rsidRPr="009E643C">
        <w:rPr>
          <w:lang w:eastAsia="ja-JP"/>
        </w:rPr>
        <w:tab/>
      </w:r>
      <w:r w:rsidR="00D02538" w:rsidRPr="009E643C">
        <w:rPr>
          <w:lang w:eastAsia="ja-JP"/>
        </w:rPr>
        <w:t xml:space="preserve">En su cuadragésima novena </w:t>
      </w:r>
      <w:r w:rsidR="003370AA">
        <w:rPr>
          <w:lang w:eastAsia="ja-JP"/>
        </w:rPr>
        <w:t>reunión</w:t>
      </w:r>
      <w:r w:rsidR="00D02538" w:rsidRPr="009E643C">
        <w:rPr>
          <w:lang w:eastAsia="ja-JP"/>
        </w:rPr>
        <w:t xml:space="preserve">, el TWA tomó nota de la observación formulada por CropLife International, Euroseeds, la </w:t>
      </w:r>
      <w:r w:rsidR="00D02538" w:rsidRPr="009E643C">
        <w:rPr>
          <w:i/>
          <w:lang w:eastAsia="ja-JP"/>
        </w:rPr>
        <w:t>International Seed Federation</w:t>
      </w:r>
      <w:r w:rsidR="00D02538" w:rsidRPr="009E643C">
        <w:rPr>
          <w:lang w:eastAsia="ja-JP"/>
        </w:rPr>
        <w:t xml:space="preserve"> y </w:t>
      </w:r>
      <w:r w:rsidR="00BB6CC1" w:rsidRPr="009E643C">
        <w:rPr>
          <w:lang w:eastAsia="ja-JP"/>
        </w:rPr>
        <w:t xml:space="preserve">la </w:t>
      </w:r>
      <w:r w:rsidR="00D02538" w:rsidRPr="009E643C">
        <w:rPr>
          <w:lang w:eastAsia="ja-JP"/>
        </w:rPr>
        <w:t xml:space="preserve">Asociación de Semillas de las Américas de que </w:t>
      </w:r>
      <w:r w:rsidR="00BB6CC1" w:rsidRPr="009E643C">
        <w:rPr>
          <w:lang w:eastAsia="ja-JP"/>
        </w:rPr>
        <w:t xml:space="preserve">el uso de técnicas moleculares debe fomentarse </w:t>
      </w:r>
      <w:r w:rsidR="00D02538" w:rsidRPr="009E643C">
        <w:rPr>
          <w:lang w:eastAsia="ja-JP"/>
        </w:rPr>
        <w:t>en la medida en que las autoridades puedan seguir reconociendo mutuamente los resultados de los exámenes y aceptando los informes de examen DHE (véase el párrafo 53 del documento TWA/49/7, "</w:t>
      </w:r>
      <w:r w:rsidR="00D02538" w:rsidRPr="009E643C">
        <w:rPr>
          <w:i/>
          <w:lang w:eastAsia="ja-JP"/>
        </w:rPr>
        <w:t>Report</w:t>
      </w:r>
      <w:r w:rsidR="00D02538" w:rsidRPr="009E643C">
        <w:rPr>
          <w:lang w:eastAsia="ja-JP"/>
        </w:rPr>
        <w:t>")</w:t>
      </w:r>
      <w:r w:rsidRPr="009E643C">
        <w:rPr>
          <w:rFonts w:cs="Arial"/>
        </w:rPr>
        <w:t>.</w:t>
      </w:r>
    </w:p>
    <w:p w14:paraId="6100D32F" w14:textId="77777777" w:rsidR="00DF4483" w:rsidRPr="009E643C" w:rsidRDefault="00DF4483" w:rsidP="00DF4483">
      <w:pPr>
        <w:rPr>
          <w:lang w:eastAsia="ja-JP"/>
        </w:rPr>
      </w:pPr>
    </w:p>
    <w:p w14:paraId="77B2A16A" w14:textId="77777777" w:rsidR="00DF4483" w:rsidRPr="009E643C" w:rsidRDefault="00DF4483" w:rsidP="00DF4483"/>
    <w:p w14:paraId="1AE75C91" w14:textId="77777777" w:rsidR="00DF4483" w:rsidRPr="009E643C" w:rsidRDefault="00DF4483" w:rsidP="00DF4483">
      <w:pPr>
        <w:pStyle w:val="Heading2"/>
        <w:rPr>
          <w:lang w:val="es-ES_tradnl"/>
        </w:rPr>
      </w:pPr>
      <w:bookmarkStart w:id="6" w:name="_Toc54096059"/>
      <w:r w:rsidRPr="009E643C">
        <w:rPr>
          <w:lang w:val="es-ES_tradnl"/>
        </w:rPr>
        <w:t>P</w:t>
      </w:r>
      <w:r w:rsidR="00BB6CC1" w:rsidRPr="009E643C">
        <w:rPr>
          <w:lang w:val="es-ES_tradnl"/>
        </w:rPr>
        <w:t>onencia sobre el uso de técnicas moleculares en el examen DHE</w:t>
      </w:r>
      <w:bookmarkEnd w:id="6"/>
    </w:p>
    <w:p w14:paraId="38D6E04C" w14:textId="77777777" w:rsidR="00DF4483" w:rsidRPr="009E643C" w:rsidRDefault="00DF4483" w:rsidP="00DF4483">
      <w:pPr>
        <w:pStyle w:val="Heading2"/>
        <w:rPr>
          <w:lang w:val="es-ES_tradnl"/>
        </w:rPr>
      </w:pPr>
    </w:p>
    <w:p w14:paraId="2667913D" w14:textId="77777777" w:rsidR="00DF4483" w:rsidRPr="009E643C" w:rsidRDefault="00DF4483" w:rsidP="00DF4483">
      <w:pPr>
        <w:pStyle w:val="Heading3"/>
        <w:rPr>
          <w:lang w:val="es-ES_tradnl"/>
        </w:rPr>
      </w:pPr>
      <w:bookmarkStart w:id="7" w:name="_Toc54096060"/>
      <w:r w:rsidRPr="009E643C">
        <w:rPr>
          <w:lang w:val="es-ES_tradnl"/>
        </w:rPr>
        <w:t>Informa</w:t>
      </w:r>
      <w:r w:rsidR="00BB6CC1" w:rsidRPr="009E643C">
        <w:rPr>
          <w:lang w:val="es-ES_tradnl"/>
        </w:rPr>
        <w:t>ción relativa a los marcadores moleculares en las explicaciones de las directrices de examen</w:t>
      </w:r>
      <w:bookmarkEnd w:id="7"/>
    </w:p>
    <w:p w14:paraId="6E3B8B87" w14:textId="77777777" w:rsidR="00DF4483" w:rsidRPr="009E643C" w:rsidRDefault="00DF4483" w:rsidP="00DF4483"/>
    <w:p w14:paraId="7D64A6FC" w14:textId="48DCB68A" w:rsidR="00DF4483" w:rsidRPr="009E643C" w:rsidRDefault="00DF4483" w:rsidP="00DF4483"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D86312" w:rsidRPr="009E643C">
        <w:t xml:space="preserve">En su quincuagésima cuarta </w:t>
      </w:r>
      <w:r w:rsidR="003370AA">
        <w:t>reunión</w:t>
      </w:r>
      <w:r w:rsidR="00D86312" w:rsidRPr="009E643C">
        <w:t xml:space="preserve">, el TWV </w:t>
      </w:r>
      <w:r w:rsidR="00856A55" w:rsidRPr="009E643C">
        <w:t>asistió a</w:t>
      </w:r>
      <w:r w:rsidR="00D86312" w:rsidRPr="009E643C">
        <w:t xml:space="preserve"> una ponencia </w:t>
      </w:r>
      <w:r w:rsidR="00640E62" w:rsidRPr="009E643C">
        <w:t>a cargo de un experto de los Países Bajos titulada</w:t>
      </w:r>
      <w:r w:rsidR="00D86312" w:rsidRPr="009E643C">
        <w:t xml:space="preserve"> "</w:t>
      </w:r>
      <w:r w:rsidR="00D86312" w:rsidRPr="009E643C">
        <w:rPr>
          <w:i/>
        </w:rPr>
        <w:t>Information on molecular markers in Test Guidelines explanations</w:t>
      </w:r>
      <w:r w:rsidR="00D86312" w:rsidRPr="009E643C">
        <w:t xml:space="preserve">" (Información </w:t>
      </w:r>
      <w:r w:rsidR="00BB3986" w:rsidRPr="009E643C">
        <w:t>relativa a</w:t>
      </w:r>
      <w:r w:rsidR="00D86312" w:rsidRPr="009E643C">
        <w:t xml:space="preserve"> los marcadores moleculares en las explicacione</w:t>
      </w:r>
      <w:r w:rsidR="00640E62" w:rsidRPr="009E643C">
        <w:t>s de las directrices de examen)</w:t>
      </w:r>
      <w:r w:rsidR="000548DC" w:rsidRPr="009E643C">
        <w:t xml:space="preserve">. </w:t>
      </w:r>
      <w:r w:rsidR="00D86312" w:rsidRPr="009E643C">
        <w:t>Se puede encontrar una copia de la ponencia en los documentos TWV/54/7 y TWV/54/7 Add (véase el párrafo 21 del documento TWV/54/9, "</w:t>
      </w:r>
      <w:r w:rsidR="00D86312" w:rsidRPr="009E643C">
        <w:rPr>
          <w:i/>
        </w:rPr>
        <w:t>Report</w:t>
      </w:r>
      <w:r w:rsidR="00D86312" w:rsidRPr="009E643C">
        <w:t>").</w:t>
      </w:r>
    </w:p>
    <w:p w14:paraId="196715F3" w14:textId="77777777" w:rsidR="00DF4483" w:rsidRPr="009E643C" w:rsidRDefault="00DF4483" w:rsidP="00DF4483"/>
    <w:p w14:paraId="22C1BD42" w14:textId="11D3FDEC" w:rsidR="00DF4483" w:rsidRPr="009E643C" w:rsidRDefault="00DF4483" w:rsidP="00DF4483"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856A55" w:rsidRPr="009E643C">
        <w:t xml:space="preserve">El TWV examinó la propuesta de determinar los criterios esenciales para describir los ensayos con marcadores moleculares en las directrices de examen, tal como se expone en los documentos TWV/54/7 y TWV/54/7 Add. El TWV convino en invitar a expertos de la Unión Europea y de Francia para que colaboren con los Países Bajos en la preparación de un nuevo proyecto de propuesta que se someterá al examen del TWV en su quincuagésima quinta </w:t>
      </w:r>
      <w:r w:rsidR="003370AA">
        <w:t>reunión</w:t>
      </w:r>
      <w:r w:rsidR="00856A55" w:rsidRPr="009E643C">
        <w:t xml:space="preserve"> (véase el párrafo 22 del documento TWV/54/9, "</w:t>
      </w:r>
      <w:r w:rsidR="00856A55" w:rsidRPr="009E643C">
        <w:rPr>
          <w:i/>
        </w:rPr>
        <w:t>Report</w:t>
      </w:r>
      <w:r w:rsidR="00856A55" w:rsidRPr="009E643C">
        <w:t>")</w:t>
      </w:r>
      <w:r w:rsidRPr="009E643C">
        <w:t>.</w:t>
      </w:r>
    </w:p>
    <w:p w14:paraId="7D86465E" w14:textId="77777777" w:rsidR="00DF4483" w:rsidRPr="009E643C" w:rsidRDefault="00DF4483" w:rsidP="00DF4483"/>
    <w:p w14:paraId="23468999" w14:textId="77777777" w:rsidR="00DF4483" w:rsidRPr="009E643C" w:rsidRDefault="00856A55" w:rsidP="00DF4483">
      <w:pPr>
        <w:pStyle w:val="Heading3"/>
        <w:rPr>
          <w:lang w:val="es-ES_tradnl"/>
        </w:rPr>
      </w:pPr>
      <w:bookmarkStart w:id="8" w:name="_Toc54096061"/>
      <w:r w:rsidRPr="009E643C">
        <w:rPr>
          <w:lang w:val="es-ES_tradnl"/>
        </w:rPr>
        <w:t>Desarrollo de una estrategia para aplicar marcadores moleculares SNP en el marco del examen DHE de la colza de invierno</w:t>
      </w:r>
      <w:bookmarkEnd w:id="8"/>
    </w:p>
    <w:p w14:paraId="64197963" w14:textId="77777777" w:rsidR="00DF4483" w:rsidRPr="009E643C" w:rsidRDefault="00DF4483" w:rsidP="00DF4483"/>
    <w:p w14:paraId="4052BDC1" w14:textId="544747EA" w:rsidR="00DF4483" w:rsidRPr="009E643C" w:rsidRDefault="00DF4483" w:rsidP="00DF4483"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3D5746" w:rsidRPr="009E643C">
        <w:t xml:space="preserve">El TWA asistió a una ponencia </w:t>
      </w:r>
      <w:r w:rsidR="00640E62" w:rsidRPr="009E643C">
        <w:t>a cargo de un experto de Francia titulada</w:t>
      </w:r>
      <w:r w:rsidR="003D5746" w:rsidRPr="009E643C">
        <w:t xml:space="preserve"> "</w:t>
      </w:r>
      <w:r w:rsidR="003D5746" w:rsidRPr="009E643C">
        <w:rPr>
          <w:i/>
        </w:rPr>
        <w:t>Developing a strategy to apply SNP molecular markers in the framework of winter Oilseed rape DUS testing</w:t>
      </w:r>
      <w:r w:rsidR="003D5746" w:rsidRPr="009E643C">
        <w:t>” (Desarrollo de una estrategia para aplicar marcadores moleculares SNP en el marco del examen DHE de la colza de invierno)</w:t>
      </w:r>
      <w:r w:rsidR="00640E62" w:rsidRPr="009E643C">
        <w:t xml:space="preserve">. </w:t>
      </w:r>
      <w:r w:rsidR="003D5746" w:rsidRPr="009E643C">
        <w:t>Se puede encontrar una copia de la ponencia en el documento TWA/49/5.</w:t>
      </w:r>
      <w:r w:rsidR="000548DC" w:rsidRPr="009E643C">
        <w:t xml:space="preserve"> </w:t>
      </w:r>
      <w:r w:rsidR="003D5746" w:rsidRPr="009E643C">
        <w:t>El TWA convino en invitar a Francia, en su quincuagésima sesión, para que informe sobre la evolución del proyecto (véase el párrafo 66 del documento TWA/49/7, "</w:t>
      </w:r>
      <w:r w:rsidR="003D5746" w:rsidRPr="009E643C">
        <w:rPr>
          <w:i/>
        </w:rPr>
        <w:t>Report</w:t>
      </w:r>
      <w:r w:rsidR="003D5746" w:rsidRPr="009E643C">
        <w:t>")</w:t>
      </w:r>
      <w:r w:rsidRPr="009E643C">
        <w:t>.</w:t>
      </w:r>
    </w:p>
    <w:p w14:paraId="41467971" w14:textId="77777777" w:rsidR="00DF4483" w:rsidRPr="009E643C" w:rsidRDefault="00DF4483" w:rsidP="00DF4483"/>
    <w:p w14:paraId="47ADC635" w14:textId="77777777" w:rsidR="00DF4483" w:rsidRPr="009E643C" w:rsidRDefault="00DF4483" w:rsidP="00DF4483">
      <w:pPr>
        <w:ind w:left="567" w:hanging="567"/>
        <w:rPr>
          <w:lang w:eastAsia="ja-JP"/>
        </w:rPr>
      </w:pPr>
    </w:p>
    <w:p w14:paraId="7099B724" w14:textId="09714A9E" w:rsidR="00DF4483" w:rsidRPr="009E643C" w:rsidRDefault="0035649C" w:rsidP="00DF4483">
      <w:pPr>
        <w:pStyle w:val="Heading1"/>
        <w:rPr>
          <w:lang w:val="es-ES_tradnl"/>
        </w:rPr>
      </w:pPr>
      <w:bookmarkStart w:id="9" w:name="_Toc525647178"/>
      <w:bookmarkStart w:id="10" w:name="_Toc526175650"/>
      <w:bookmarkStart w:id="11" w:name="_Toc22569701"/>
      <w:bookmarkStart w:id="12" w:name="_Toc24095748"/>
      <w:bookmarkStart w:id="13" w:name="_Toc54096062"/>
      <w:r w:rsidRPr="009E643C">
        <w:rPr>
          <w:lang w:val="es-ES_tradnl"/>
        </w:rPr>
        <w:t xml:space="preserve">novedades acaecidas en la decimoNOVENa </w:t>
      </w:r>
      <w:r w:rsidR="00364FB4">
        <w:rPr>
          <w:lang w:val="es-ES_tradnl"/>
        </w:rPr>
        <w:t>REUNI</w:t>
      </w:r>
      <w:r w:rsidRPr="009E643C">
        <w:rPr>
          <w:lang w:val="es-ES_tradnl"/>
        </w:rPr>
        <w:t>ón del Grupo de Trabajo sobre Técnicas Bioquímicas y Moleculares, y Perfiles de ADN en particular</w:t>
      </w:r>
      <w:bookmarkEnd w:id="9"/>
      <w:bookmarkEnd w:id="10"/>
      <w:bookmarkEnd w:id="11"/>
      <w:bookmarkEnd w:id="12"/>
      <w:bookmarkEnd w:id="13"/>
    </w:p>
    <w:p w14:paraId="5413E2C1" w14:textId="77777777" w:rsidR="00DF4483" w:rsidRPr="009E643C" w:rsidRDefault="00DF4483" w:rsidP="00DF4483">
      <w:pPr>
        <w:rPr>
          <w:lang w:eastAsia="ja-JP"/>
        </w:rPr>
      </w:pPr>
    </w:p>
    <w:p w14:paraId="19EED790" w14:textId="3E50FCC8" w:rsidR="00DF4483" w:rsidRPr="009E643C" w:rsidRDefault="00DF4483" w:rsidP="00DF4483">
      <w:pPr>
        <w:rPr>
          <w:lang w:eastAsia="ja-JP"/>
        </w:rPr>
      </w:pPr>
      <w:r w:rsidRPr="009E643C">
        <w:rPr>
          <w:color w:val="000000"/>
        </w:rPr>
        <w:fldChar w:fldCharType="begin"/>
      </w:r>
      <w:r w:rsidRPr="009E643C">
        <w:rPr>
          <w:color w:val="000000"/>
        </w:rPr>
        <w:instrText xml:space="preserve"> AUTONUM  </w:instrText>
      </w:r>
      <w:r w:rsidRPr="009E643C">
        <w:rPr>
          <w:color w:val="000000"/>
        </w:rPr>
        <w:fldChar w:fldCharType="end"/>
      </w:r>
      <w:r w:rsidRPr="009E643C">
        <w:rPr>
          <w:color w:val="000000"/>
        </w:rPr>
        <w:tab/>
      </w:r>
      <w:r w:rsidR="0035649C" w:rsidRPr="009E643C">
        <w:rPr>
          <w:color w:val="000000"/>
        </w:rPr>
        <w:t>El</w:t>
      </w:r>
      <w:r w:rsidRPr="009E643C">
        <w:rPr>
          <w:color w:val="000000"/>
        </w:rPr>
        <w:t xml:space="preserve"> BMT </w:t>
      </w:r>
      <w:r w:rsidR="0035649C" w:rsidRPr="009E643C">
        <w:rPr>
          <w:color w:val="000000"/>
        </w:rPr>
        <w:t xml:space="preserve">celebró su decimonovena </w:t>
      </w:r>
      <w:r w:rsidR="00364FB4">
        <w:rPr>
          <w:color w:val="000000"/>
        </w:rPr>
        <w:t>reunión</w:t>
      </w:r>
      <w:r w:rsidR="0035649C" w:rsidRPr="009E643C">
        <w:rPr>
          <w:color w:val="000000"/>
        </w:rPr>
        <w:t>,</w:t>
      </w:r>
      <w:r w:rsidR="00996477" w:rsidRPr="009E643C">
        <w:rPr>
          <w:color w:val="000000"/>
        </w:rPr>
        <w:t xml:space="preserve"> organizada por los Estados Unidos de América y celebrada por medios electrónicos, del </w:t>
      </w:r>
      <w:r w:rsidRPr="009E643C">
        <w:rPr>
          <w:rFonts w:cs="Arial"/>
        </w:rPr>
        <w:t xml:space="preserve">23 </w:t>
      </w:r>
      <w:r w:rsidR="00996477" w:rsidRPr="009E643C">
        <w:rPr>
          <w:rFonts w:cs="Arial"/>
        </w:rPr>
        <w:t>al</w:t>
      </w:r>
      <w:r w:rsidRPr="009E643C">
        <w:rPr>
          <w:rFonts w:cs="Arial"/>
        </w:rPr>
        <w:t xml:space="preserve"> 25</w:t>
      </w:r>
      <w:r w:rsidR="00996477" w:rsidRPr="009E643C">
        <w:rPr>
          <w:rFonts w:cs="Arial"/>
        </w:rPr>
        <w:t xml:space="preserve"> de septiembre de</w:t>
      </w:r>
      <w:r w:rsidRPr="009E643C">
        <w:rPr>
          <w:rFonts w:cs="Arial"/>
        </w:rPr>
        <w:t xml:space="preserve"> 2020</w:t>
      </w:r>
      <w:r w:rsidRPr="009E643C">
        <w:rPr>
          <w:lang w:eastAsia="ja-JP"/>
        </w:rPr>
        <w:t xml:space="preserve"> (</w:t>
      </w:r>
      <w:r w:rsidR="00996477" w:rsidRPr="009E643C">
        <w:rPr>
          <w:lang w:eastAsia="ja-JP"/>
        </w:rPr>
        <w:t>véase el</w:t>
      </w:r>
      <w:r w:rsidRPr="009E643C">
        <w:rPr>
          <w:lang w:eastAsia="ja-JP"/>
        </w:rPr>
        <w:t xml:space="preserve"> </w:t>
      </w:r>
      <w:r w:rsidR="00996477" w:rsidRPr="009E643C">
        <w:rPr>
          <w:lang w:eastAsia="ja-JP"/>
        </w:rPr>
        <w:t xml:space="preserve">párrafo 1 del </w:t>
      </w:r>
      <w:r w:rsidRPr="009E643C">
        <w:rPr>
          <w:lang w:eastAsia="ja-JP"/>
        </w:rPr>
        <w:t>document</w:t>
      </w:r>
      <w:r w:rsidR="00996477" w:rsidRPr="009E643C">
        <w:rPr>
          <w:lang w:eastAsia="ja-JP"/>
        </w:rPr>
        <w:t>o</w:t>
      </w:r>
      <w:r w:rsidRPr="009E643C">
        <w:rPr>
          <w:lang w:eastAsia="ja-JP"/>
        </w:rPr>
        <w:t> BMT/19/15</w:t>
      </w:r>
      <w:r w:rsidR="00996477" w:rsidRPr="009E643C">
        <w:rPr>
          <w:lang w:eastAsia="ja-JP"/>
        </w:rPr>
        <w:t>,</w:t>
      </w:r>
      <w:r w:rsidRPr="009E643C">
        <w:rPr>
          <w:lang w:eastAsia="ja-JP"/>
        </w:rPr>
        <w:t xml:space="preserve"> “</w:t>
      </w:r>
      <w:r w:rsidRPr="009E643C">
        <w:rPr>
          <w:i/>
          <w:lang w:eastAsia="ja-JP"/>
        </w:rPr>
        <w:t>Report</w:t>
      </w:r>
      <w:r w:rsidR="00996477" w:rsidRPr="009E643C">
        <w:rPr>
          <w:lang w:eastAsia="ja-JP"/>
        </w:rPr>
        <w:t>”</w:t>
      </w:r>
      <w:r w:rsidRPr="009E643C">
        <w:rPr>
          <w:lang w:eastAsia="ja-JP"/>
        </w:rPr>
        <w:t>)</w:t>
      </w:r>
      <w:r w:rsidRPr="009E643C">
        <w:t xml:space="preserve">. </w:t>
      </w:r>
    </w:p>
    <w:p w14:paraId="29F733B3" w14:textId="77777777" w:rsidR="00DF4483" w:rsidRPr="009E643C" w:rsidRDefault="00DF4483" w:rsidP="00DF4483">
      <w:pPr>
        <w:rPr>
          <w:lang w:eastAsia="ja-JP"/>
        </w:rPr>
      </w:pPr>
    </w:p>
    <w:p w14:paraId="0B8724BC" w14:textId="77777777" w:rsidR="00DF4483" w:rsidRPr="009E643C" w:rsidRDefault="00996477" w:rsidP="00DF4483">
      <w:pPr>
        <w:pStyle w:val="Heading2"/>
        <w:rPr>
          <w:lang w:val="es-ES_tradnl" w:eastAsia="ja-JP"/>
        </w:rPr>
      </w:pPr>
      <w:bookmarkStart w:id="14" w:name="_Toc525647179"/>
      <w:bookmarkStart w:id="15" w:name="_Toc526175651"/>
      <w:bookmarkStart w:id="16" w:name="_Toc22569702"/>
      <w:bookmarkStart w:id="17" w:name="_Toc24095749"/>
      <w:bookmarkStart w:id="18" w:name="_Toc54096063"/>
      <w:r w:rsidRPr="009E643C">
        <w:rPr>
          <w:lang w:val="es-ES_tradnl"/>
        </w:rPr>
        <w:t>Documentos presentados</w:t>
      </w:r>
      <w:bookmarkEnd w:id="14"/>
      <w:bookmarkEnd w:id="15"/>
      <w:bookmarkEnd w:id="16"/>
      <w:bookmarkEnd w:id="17"/>
      <w:bookmarkEnd w:id="18"/>
    </w:p>
    <w:p w14:paraId="5A98F771" w14:textId="77777777" w:rsidR="00DF4483" w:rsidRPr="009E643C" w:rsidRDefault="00DF4483" w:rsidP="00DF4483">
      <w:pPr>
        <w:keepNext/>
      </w:pPr>
    </w:p>
    <w:p w14:paraId="39599E44" w14:textId="02806146" w:rsidR="00DF4483" w:rsidRPr="009E643C" w:rsidRDefault="00DF4483" w:rsidP="00DF4483">
      <w:pPr>
        <w:keepNext/>
      </w:pPr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996477" w:rsidRPr="009E643C">
        <w:t xml:space="preserve">A continuación se indican los documentos presentados en cada punto del orden del día de la decimoctava </w:t>
      </w:r>
      <w:r w:rsidR="00364FB4">
        <w:t>reunión</w:t>
      </w:r>
      <w:r w:rsidR="00996477" w:rsidRPr="009E643C">
        <w:t xml:space="preserve"> del BMT</w:t>
      </w:r>
      <w:r w:rsidRPr="009E643C">
        <w:t>:</w:t>
      </w:r>
    </w:p>
    <w:p w14:paraId="3E1965FA" w14:textId="77777777" w:rsidR="00DF4483" w:rsidRPr="009E643C" w:rsidRDefault="00DF4483" w:rsidP="00DF4483">
      <w:pPr>
        <w:rPr>
          <w:snapToGrid w:val="0"/>
          <w:sz w:val="18"/>
        </w:rPr>
      </w:pPr>
    </w:p>
    <w:p w14:paraId="6F6A0866" w14:textId="3AE510AF" w:rsidR="00DF4483" w:rsidRPr="009E643C" w:rsidRDefault="00D1552C" w:rsidP="00DF4483">
      <w:pPr>
        <w:ind w:left="567"/>
        <w:rPr>
          <w:i/>
          <w:snapToGrid w:val="0"/>
        </w:rPr>
      </w:pPr>
      <w:r w:rsidRPr="009E643C">
        <w:rPr>
          <w:i/>
          <w:snapToGrid w:val="0"/>
        </w:rPr>
        <w:t>Informes sobre las novedades acaecidas en la UPOV en relación con las técnicas bioquímicas y moleculares</w:t>
      </w:r>
      <w:r w:rsidRPr="009E643C">
        <w:rPr>
          <w:iCs/>
          <w:snapToGrid w:val="0"/>
        </w:rPr>
        <w:t xml:space="preserve"> </w:t>
      </w:r>
      <w:r w:rsidRPr="009E643C">
        <w:rPr>
          <w:i/>
          <w:iCs/>
          <w:snapToGrid w:val="0"/>
        </w:rPr>
        <w:t>(documento BMT/19/2</w:t>
      </w:r>
      <w:r w:rsidR="00640E62" w:rsidRPr="009E643C">
        <w:rPr>
          <w:i/>
          <w:iCs/>
          <w:snapToGrid w:val="0"/>
        </w:rPr>
        <w:t>,</w:t>
      </w:r>
      <w:r w:rsidRPr="009E643C">
        <w:rPr>
          <w:iCs/>
          <w:snapToGrid w:val="0"/>
        </w:rPr>
        <w:t xml:space="preserve"> </w:t>
      </w:r>
      <w:r w:rsidRPr="009E643C">
        <w:rPr>
          <w:rFonts w:cs="Arial"/>
          <w:iCs/>
          <w:snapToGrid w:val="0"/>
        </w:rPr>
        <w:t>“</w:t>
      </w:r>
      <w:r w:rsidRPr="009E643C">
        <w:rPr>
          <w:iCs/>
        </w:rPr>
        <w:t>Reports on developments in UPOV concerning biochemical and molecular techniques</w:t>
      </w:r>
      <w:r w:rsidRPr="009E643C">
        <w:rPr>
          <w:rFonts w:cs="Arial"/>
          <w:iCs/>
          <w:snapToGrid w:val="0"/>
        </w:rPr>
        <w:t>”</w:t>
      </w:r>
      <w:r w:rsidRPr="009E643C">
        <w:rPr>
          <w:i/>
          <w:iCs/>
          <w:snapToGrid w:val="0"/>
        </w:rPr>
        <w:t>)</w:t>
      </w:r>
    </w:p>
    <w:p w14:paraId="51D1366D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6221D9B9" w14:textId="77777777" w:rsidR="00DF4483" w:rsidRPr="009E643C" w:rsidRDefault="00D1552C" w:rsidP="00DF4483">
      <w:pPr>
        <w:ind w:left="567"/>
        <w:rPr>
          <w:i/>
          <w:snapToGrid w:val="0"/>
        </w:rPr>
      </w:pPr>
      <w:r w:rsidRPr="009E643C">
        <w:rPr>
          <w:i/>
          <w:snapToGrid w:val="0"/>
        </w:rPr>
        <w:t>Breves ponencias sobre los avances en técnicas bioquímicas y moleculares a cargo de expertos en el examen DHE, especialistas en técnicas bioquímicas y moleculares, y obtentores y organizaciones internacionales pertinentes (informes verbales de los participantes)</w:t>
      </w:r>
    </w:p>
    <w:p w14:paraId="47AA7E26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72B65FE1" w14:textId="77777777" w:rsidR="00DF4483" w:rsidRPr="009E643C" w:rsidRDefault="00D1552C" w:rsidP="00DF4483">
      <w:pPr>
        <w:ind w:left="567"/>
        <w:rPr>
          <w:i/>
          <w:snapToGrid w:val="0"/>
        </w:rPr>
      </w:pPr>
      <w:r w:rsidRPr="009E643C">
        <w:rPr>
          <w:i/>
          <w:snapToGrid w:val="0"/>
        </w:rPr>
        <w:t>Informe sobre la labor en materia de técnicas moleculares en relación con el examen DHE</w:t>
      </w:r>
    </w:p>
    <w:p w14:paraId="5989200A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7C9F0FA6" w14:textId="77777777" w:rsidR="00DF4483" w:rsidRPr="009E643C" w:rsidRDefault="002D17AB" w:rsidP="00DF4483">
      <w:pPr>
        <w:ind w:left="1134"/>
        <w:rPr>
          <w:i/>
        </w:rPr>
      </w:pPr>
      <w:r w:rsidRPr="009E643C">
        <w:rPr>
          <w:i/>
        </w:rPr>
        <w:t>vmDUS: Determinación de la distinción vinculada al valor molecular</w:t>
      </w:r>
      <w:r w:rsidR="00DF4483" w:rsidRPr="009E643C">
        <w:rPr>
          <w:i/>
        </w:rPr>
        <w:t xml:space="preserve"> (document</w:t>
      </w:r>
      <w:r w:rsidR="00C325CF" w:rsidRPr="009E643C">
        <w:rPr>
          <w:i/>
        </w:rPr>
        <w:t>o</w:t>
      </w:r>
      <w:r w:rsidR="00DF4483" w:rsidRPr="009E643C">
        <w:rPr>
          <w:i/>
        </w:rPr>
        <w:t xml:space="preserve"> BMT/19/6</w:t>
      </w:r>
      <w:r w:rsidRPr="009E643C">
        <w:rPr>
          <w:i/>
        </w:rPr>
        <w:t xml:space="preserve">, </w:t>
      </w:r>
      <w:r w:rsidRPr="009E643C">
        <w:t>“vmDUS: Value-molecular linked distinctness determination”</w:t>
      </w:r>
      <w:r w:rsidR="00DF4483" w:rsidRPr="009E643C">
        <w:rPr>
          <w:i/>
        </w:rPr>
        <w:t>)</w:t>
      </w:r>
    </w:p>
    <w:p w14:paraId="7D284258" w14:textId="77777777" w:rsidR="00DF4483" w:rsidRPr="009E643C" w:rsidRDefault="00DF4483" w:rsidP="00DF4483">
      <w:pPr>
        <w:ind w:left="1134"/>
        <w:rPr>
          <w:i/>
        </w:rPr>
      </w:pPr>
    </w:p>
    <w:p w14:paraId="0C8631AB" w14:textId="77777777" w:rsidR="00DF4483" w:rsidRPr="009E643C" w:rsidRDefault="002D17AB" w:rsidP="00DF4483">
      <w:pPr>
        <w:ind w:left="1134"/>
        <w:rPr>
          <w:i/>
        </w:rPr>
      </w:pPr>
      <w:r w:rsidRPr="009E643C">
        <w:rPr>
          <w:i/>
        </w:rPr>
        <w:t xml:space="preserve">Informe de la OCVV sobre el IMODDUS: información actualizada sobre los proyectos de I+D </w:t>
      </w:r>
      <w:r w:rsidR="00DF4483" w:rsidRPr="009E643C">
        <w:rPr>
          <w:i/>
        </w:rPr>
        <w:t>(</w:t>
      </w:r>
      <w:r w:rsidR="00C325CF" w:rsidRPr="009E643C">
        <w:rPr>
          <w:i/>
        </w:rPr>
        <w:t xml:space="preserve">documento </w:t>
      </w:r>
      <w:r w:rsidR="00DF4483" w:rsidRPr="009E643C">
        <w:rPr>
          <w:i/>
        </w:rPr>
        <w:t>BMT/19/4</w:t>
      </w:r>
      <w:r w:rsidR="00687F84" w:rsidRPr="009E643C">
        <w:rPr>
          <w:i/>
        </w:rPr>
        <w:t xml:space="preserve">, </w:t>
      </w:r>
      <w:r w:rsidR="00687F84" w:rsidRPr="009E643C">
        <w:t>“CPVO report on IMODDUS: Update on R&amp;D projects”</w:t>
      </w:r>
      <w:r w:rsidR="00DF4483" w:rsidRPr="009E643C">
        <w:rPr>
          <w:i/>
        </w:rPr>
        <w:t>)</w:t>
      </w:r>
    </w:p>
    <w:p w14:paraId="132C1ECD" w14:textId="77777777" w:rsidR="00DF4483" w:rsidRPr="009E643C" w:rsidRDefault="00DF4483" w:rsidP="00DF4483">
      <w:pPr>
        <w:ind w:left="567"/>
        <w:rPr>
          <w:i/>
        </w:rPr>
      </w:pPr>
    </w:p>
    <w:p w14:paraId="1EA6625C" w14:textId="77777777" w:rsidR="00DF4483" w:rsidRPr="009E643C" w:rsidRDefault="00DF4483" w:rsidP="00DF4483">
      <w:pPr>
        <w:tabs>
          <w:tab w:val="left" w:pos="567"/>
          <w:tab w:val="left" w:pos="1134"/>
        </w:tabs>
        <w:ind w:left="1134"/>
        <w:rPr>
          <w:i/>
        </w:rPr>
      </w:pPr>
      <w:r w:rsidRPr="009E643C">
        <w:rPr>
          <w:i/>
        </w:rPr>
        <w:tab/>
      </w:r>
      <w:r w:rsidR="00687F84" w:rsidRPr="009E643C">
        <w:rPr>
          <w:i/>
        </w:rPr>
        <w:t xml:space="preserve">Desarrollo de una estrategia para aplicar marcadores moleculares SNP en el marco del examen DHE de la colza de invierno </w:t>
      </w:r>
      <w:r w:rsidRPr="009E643C">
        <w:rPr>
          <w:i/>
        </w:rPr>
        <w:t>(</w:t>
      </w:r>
      <w:r w:rsidR="00C325CF" w:rsidRPr="009E643C">
        <w:rPr>
          <w:i/>
        </w:rPr>
        <w:t xml:space="preserve">documento </w:t>
      </w:r>
      <w:r w:rsidRPr="009E643C">
        <w:rPr>
          <w:i/>
        </w:rPr>
        <w:t>BMT/19/11</w:t>
      </w:r>
      <w:r w:rsidR="00687F84" w:rsidRPr="009E643C">
        <w:rPr>
          <w:i/>
        </w:rPr>
        <w:t>, “</w:t>
      </w:r>
      <w:r w:rsidR="00687F84" w:rsidRPr="009E643C">
        <w:t>Developing a strategy to apply SNP molecular markers in the framework of winter oilseed rape DUS testing”</w:t>
      </w:r>
      <w:r w:rsidRPr="009E643C">
        <w:rPr>
          <w:i/>
        </w:rPr>
        <w:t>)</w:t>
      </w:r>
    </w:p>
    <w:p w14:paraId="70182CA0" w14:textId="77777777" w:rsidR="00DF4483" w:rsidRPr="009E643C" w:rsidRDefault="00DF4483" w:rsidP="00DF4483">
      <w:pPr>
        <w:tabs>
          <w:tab w:val="left" w:pos="567"/>
          <w:tab w:val="left" w:pos="1134"/>
        </w:tabs>
        <w:ind w:left="1134"/>
        <w:rPr>
          <w:i/>
        </w:rPr>
      </w:pPr>
    </w:p>
    <w:p w14:paraId="6A74E1B8" w14:textId="14BFFEF0" w:rsidR="00DF4483" w:rsidRPr="009E643C" w:rsidRDefault="00DF4483" w:rsidP="00DF4483">
      <w:pPr>
        <w:tabs>
          <w:tab w:val="left" w:pos="567"/>
          <w:tab w:val="left" w:pos="1134"/>
        </w:tabs>
        <w:ind w:left="1134"/>
        <w:rPr>
          <w:i/>
        </w:rPr>
      </w:pPr>
      <w:r w:rsidRPr="009E643C">
        <w:rPr>
          <w:i/>
        </w:rPr>
        <w:tab/>
      </w:r>
      <w:r w:rsidR="00687F84" w:rsidRPr="009E643C">
        <w:rPr>
          <w:i/>
        </w:rPr>
        <w:t>Estrategia francesa de acceso a los datos moleculares y prueba de concepto para la combinación de fenotipo y genotipo</w:t>
      </w:r>
      <w:r w:rsidRPr="009E643C">
        <w:rPr>
          <w:i/>
        </w:rPr>
        <w:t xml:space="preserve"> (</w:t>
      </w:r>
      <w:r w:rsidR="00C325CF" w:rsidRPr="009E643C">
        <w:rPr>
          <w:i/>
        </w:rPr>
        <w:t xml:space="preserve">documento </w:t>
      </w:r>
      <w:r w:rsidR="00B46E18">
        <w:rPr>
          <w:i/>
        </w:rPr>
        <w:t>BMT/19/12</w:t>
      </w:r>
      <w:r w:rsidR="00687F84" w:rsidRPr="009E643C">
        <w:rPr>
          <w:i/>
        </w:rPr>
        <w:t xml:space="preserve"> “</w:t>
      </w:r>
      <w:r w:rsidR="00687F84" w:rsidRPr="009E643C">
        <w:t>French strategy for access to molecular data and proof of concept for combining phenotype and genotype</w:t>
      </w:r>
      <w:r w:rsidR="00687F84" w:rsidRPr="009E643C">
        <w:rPr>
          <w:i/>
        </w:rPr>
        <w:t>”</w:t>
      </w:r>
      <w:r w:rsidRPr="009E643C">
        <w:rPr>
          <w:i/>
        </w:rPr>
        <w:t>)</w:t>
      </w:r>
    </w:p>
    <w:p w14:paraId="210449C1" w14:textId="77777777" w:rsidR="00DF4483" w:rsidRPr="009E643C" w:rsidRDefault="00DF4483" w:rsidP="00DF4483">
      <w:pPr>
        <w:tabs>
          <w:tab w:val="left" w:pos="567"/>
          <w:tab w:val="left" w:pos="1134"/>
        </w:tabs>
        <w:ind w:left="1134"/>
        <w:rPr>
          <w:i/>
        </w:rPr>
      </w:pPr>
    </w:p>
    <w:p w14:paraId="3C8E38E5" w14:textId="5F6D0265" w:rsidR="00DF4483" w:rsidRPr="009E643C" w:rsidRDefault="00D1552C" w:rsidP="00DF4483">
      <w:pPr>
        <w:ind w:left="567"/>
        <w:rPr>
          <w:i/>
          <w:snapToGrid w:val="0"/>
        </w:rPr>
      </w:pPr>
      <w:r w:rsidRPr="009E643C">
        <w:rPr>
          <w:i/>
          <w:snapToGrid w:val="0"/>
        </w:rPr>
        <w:t>Revisión del documento UPOV/INF/17</w:t>
      </w:r>
      <w:r w:rsidR="0054362B" w:rsidRPr="009E643C">
        <w:rPr>
          <w:i/>
          <w:snapToGrid w:val="0"/>
        </w:rPr>
        <w:t>,</w:t>
      </w:r>
      <w:r w:rsidRPr="009E643C">
        <w:rPr>
          <w:i/>
          <w:snapToGrid w:val="0"/>
        </w:rPr>
        <w:t xml:space="preserve"> “Directrices para los perfiles de ADN: selección de marcadores moleculares y creación de una base de datos</w:t>
      </w:r>
      <w:r w:rsidR="0054362B" w:rsidRPr="009E643C">
        <w:rPr>
          <w:i/>
          <w:snapToGrid w:val="0"/>
        </w:rPr>
        <w:t>”</w:t>
      </w:r>
      <w:r w:rsidRPr="009E643C">
        <w:rPr>
          <w:i/>
          <w:snapToGrid w:val="0"/>
        </w:rPr>
        <w:t xml:space="preserve"> </w:t>
      </w:r>
      <w:r w:rsidRPr="009E643C">
        <w:t xml:space="preserve">(documentos </w:t>
      </w:r>
      <w:r w:rsidR="00DF4483" w:rsidRPr="009E643C">
        <w:rPr>
          <w:i/>
          <w:snapToGrid w:val="0"/>
        </w:rPr>
        <w:t xml:space="preserve">BMT/19/3 Rev. </w:t>
      </w:r>
      <w:r w:rsidRPr="009E643C">
        <w:rPr>
          <w:i/>
          <w:snapToGrid w:val="0"/>
        </w:rPr>
        <w:t>y</w:t>
      </w:r>
      <w:r w:rsidR="00DF4483" w:rsidRPr="009E643C">
        <w:rPr>
          <w:i/>
          <w:snapToGrid w:val="0"/>
        </w:rPr>
        <w:t xml:space="preserve"> UPOV/INF/17/2 Draft 3)</w:t>
      </w:r>
    </w:p>
    <w:p w14:paraId="3729837B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4EA5DACD" w14:textId="3DA28573" w:rsidR="00DF4483" w:rsidRPr="009E643C" w:rsidRDefault="009D58B0" w:rsidP="00DF4483">
      <w:pPr>
        <w:ind w:left="567"/>
        <w:rPr>
          <w:i/>
          <w:snapToGrid w:val="0"/>
        </w:rPr>
      </w:pPr>
      <w:r w:rsidRPr="009E643C">
        <w:rPr>
          <w:i/>
        </w:rPr>
        <w:t>Confidencialidad, titularidad y acceso a datos moleculares</w:t>
      </w:r>
      <w:r w:rsidRPr="009E643C">
        <w:rPr>
          <w:i/>
          <w:snapToGrid w:val="0"/>
        </w:rPr>
        <w:t xml:space="preserve"> </w:t>
      </w:r>
      <w:r w:rsidR="00687F84" w:rsidRPr="009E643C">
        <w:rPr>
          <w:i/>
          <w:snapToGrid w:val="0"/>
        </w:rPr>
        <w:t>(</w:t>
      </w:r>
      <w:r w:rsidR="00DF4483" w:rsidRPr="009E643C">
        <w:rPr>
          <w:snapToGrid w:val="0"/>
        </w:rPr>
        <w:t>Confidentiality, ownership and access to molecular data</w:t>
      </w:r>
      <w:r w:rsidR="00687F84" w:rsidRPr="009E643C">
        <w:rPr>
          <w:i/>
          <w:snapToGrid w:val="0"/>
        </w:rPr>
        <w:t>)</w:t>
      </w:r>
      <w:r w:rsidR="00DF4483" w:rsidRPr="009E643C">
        <w:rPr>
          <w:i/>
          <w:snapToGrid w:val="0"/>
        </w:rPr>
        <w:fldChar w:fldCharType="begin"/>
      </w:r>
      <w:r w:rsidR="00DF4483" w:rsidRPr="009E643C">
        <w:rPr>
          <w:i/>
          <w:snapToGrid w:val="0"/>
        </w:rPr>
        <w:instrText xml:space="preserve"> NOTEREF _Ref50454705 \f \h  \* MERGEFORMAT </w:instrText>
      </w:r>
      <w:r w:rsidR="00DF4483" w:rsidRPr="009E643C">
        <w:rPr>
          <w:i/>
          <w:snapToGrid w:val="0"/>
        </w:rPr>
      </w:r>
      <w:r w:rsidR="00DF4483" w:rsidRPr="009E643C">
        <w:rPr>
          <w:i/>
          <w:snapToGrid w:val="0"/>
        </w:rPr>
        <w:fldChar w:fldCharType="separate"/>
      </w:r>
      <w:r w:rsidR="00DF4483" w:rsidRPr="009E643C">
        <w:rPr>
          <w:rStyle w:val="FootnoteReference"/>
          <w:i/>
        </w:rPr>
        <w:t>1</w:t>
      </w:r>
      <w:r w:rsidR="00DF4483" w:rsidRPr="009E643C">
        <w:rPr>
          <w:i/>
          <w:snapToGrid w:val="0"/>
        </w:rPr>
        <w:fldChar w:fldCharType="end"/>
      </w:r>
    </w:p>
    <w:p w14:paraId="4BC7D180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4BBCEBF9" w14:textId="77777777" w:rsidR="00DF4483" w:rsidRPr="009E643C" w:rsidRDefault="00DF4483" w:rsidP="00DF4483">
      <w:pPr>
        <w:tabs>
          <w:tab w:val="left" w:pos="1134"/>
        </w:tabs>
        <w:ind w:left="1130"/>
        <w:rPr>
          <w:i/>
          <w:snapToGrid w:val="0"/>
        </w:rPr>
      </w:pPr>
      <w:r w:rsidRPr="009E643C">
        <w:rPr>
          <w:i/>
          <w:snapToGrid w:val="0"/>
        </w:rPr>
        <w:tab/>
      </w:r>
      <w:r w:rsidR="00E10622" w:rsidRPr="009E643C">
        <w:rPr>
          <w:i/>
          <w:snapToGrid w:val="0"/>
        </w:rPr>
        <w:t xml:space="preserve">Acceso al material de referencia y a los datos moleculares de las oficinas de examen de la OCVV </w:t>
      </w:r>
      <w:r w:rsidRPr="009E643C">
        <w:rPr>
          <w:i/>
          <w:snapToGrid w:val="0"/>
        </w:rPr>
        <w:t>(</w:t>
      </w:r>
      <w:r w:rsidR="00C325CF" w:rsidRPr="009E643C">
        <w:rPr>
          <w:i/>
        </w:rPr>
        <w:t xml:space="preserve">documento </w:t>
      </w:r>
      <w:r w:rsidRPr="009E643C">
        <w:rPr>
          <w:i/>
          <w:snapToGrid w:val="0"/>
        </w:rPr>
        <w:t>BMT/19/5</w:t>
      </w:r>
      <w:r w:rsidR="00E10622" w:rsidRPr="009E643C">
        <w:rPr>
          <w:i/>
          <w:snapToGrid w:val="0"/>
        </w:rPr>
        <w:t>, “</w:t>
      </w:r>
      <w:r w:rsidR="00E10622" w:rsidRPr="009E643C">
        <w:rPr>
          <w:snapToGrid w:val="0"/>
        </w:rPr>
        <w:t>Access to reference material and molecular data from CPVO Examination Offices”</w:t>
      </w:r>
      <w:r w:rsidRPr="009E643C">
        <w:rPr>
          <w:i/>
          <w:snapToGrid w:val="0"/>
        </w:rPr>
        <w:t>)</w:t>
      </w:r>
    </w:p>
    <w:p w14:paraId="29B58C72" w14:textId="77777777" w:rsidR="00DF4483" w:rsidRPr="009E643C" w:rsidRDefault="00DF4483" w:rsidP="00DF4483">
      <w:pPr>
        <w:tabs>
          <w:tab w:val="left" w:pos="1134"/>
        </w:tabs>
        <w:ind w:left="1130"/>
        <w:rPr>
          <w:i/>
          <w:snapToGrid w:val="0"/>
        </w:rPr>
      </w:pPr>
    </w:p>
    <w:p w14:paraId="34D9B4DA" w14:textId="6F4A8ECA" w:rsidR="00DF4483" w:rsidRPr="009E643C" w:rsidRDefault="00E10622" w:rsidP="00DF4483">
      <w:pPr>
        <w:ind w:left="1134"/>
        <w:rPr>
          <w:i/>
          <w:snapToGrid w:val="0"/>
        </w:rPr>
      </w:pPr>
      <w:r w:rsidRPr="009E643C">
        <w:rPr>
          <w:i/>
          <w:snapToGrid w:val="0"/>
        </w:rPr>
        <w:t xml:space="preserve">Encuesta sobre la confidencialidad y la </w:t>
      </w:r>
      <w:r w:rsidR="0054362B" w:rsidRPr="009E643C">
        <w:rPr>
          <w:i/>
          <w:snapToGrid w:val="0"/>
        </w:rPr>
        <w:t>titularidad</w:t>
      </w:r>
      <w:r w:rsidRPr="009E643C">
        <w:rPr>
          <w:i/>
          <w:snapToGrid w:val="0"/>
        </w:rPr>
        <w:t xml:space="preserve"> de la información molecular </w:t>
      </w:r>
      <w:r w:rsidR="00DF4483" w:rsidRPr="009E643C">
        <w:rPr>
          <w:i/>
          <w:snapToGrid w:val="0"/>
        </w:rPr>
        <w:t>(</w:t>
      </w:r>
      <w:r w:rsidR="00C325CF" w:rsidRPr="009E643C">
        <w:rPr>
          <w:i/>
        </w:rPr>
        <w:t xml:space="preserve">documento </w:t>
      </w:r>
      <w:r w:rsidR="00DF4483" w:rsidRPr="009E643C">
        <w:rPr>
          <w:i/>
          <w:snapToGrid w:val="0"/>
        </w:rPr>
        <w:t>BMT/19/8</w:t>
      </w:r>
      <w:r w:rsidRPr="009E643C">
        <w:rPr>
          <w:i/>
          <w:snapToGrid w:val="0"/>
        </w:rPr>
        <w:t>, “</w:t>
      </w:r>
      <w:r w:rsidRPr="009E643C">
        <w:rPr>
          <w:snapToGrid w:val="0"/>
        </w:rPr>
        <w:t>Survey on confidentiality and ownership of molecular information”</w:t>
      </w:r>
      <w:r w:rsidR="00DF4483" w:rsidRPr="009E643C">
        <w:rPr>
          <w:i/>
          <w:snapToGrid w:val="0"/>
        </w:rPr>
        <w:t>)</w:t>
      </w:r>
    </w:p>
    <w:p w14:paraId="1EFBD4F5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3E25729A" w14:textId="77777777" w:rsidR="00DF4483" w:rsidRPr="009E643C" w:rsidRDefault="00C325CF" w:rsidP="00DF4483">
      <w:pPr>
        <w:ind w:left="567"/>
        <w:rPr>
          <w:i/>
          <w:snapToGrid w:val="0"/>
        </w:rPr>
      </w:pPr>
      <w:r w:rsidRPr="009E643C">
        <w:rPr>
          <w:i/>
          <w:snapToGrid w:val="0"/>
        </w:rPr>
        <w:t>Sesión destinada a facilitar la cooperación (</w:t>
      </w:r>
      <w:r w:rsidRPr="009E643C">
        <w:rPr>
          <w:i/>
        </w:rPr>
        <w:t>documento</w:t>
      </w:r>
      <w:r w:rsidRPr="009E643C">
        <w:rPr>
          <w:i/>
          <w:snapToGrid w:val="0"/>
        </w:rPr>
        <w:t xml:space="preserve"> </w:t>
      </w:r>
      <w:r w:rsidR="00DF4483" w:rsidRPr="009E643C">
        <w:rPr>
          <w:i/>
          <w:snapToGrid w:val="0"/>
        </w:rPr>
        <w:t>BMT/19/10</w:t>
      </w:r>
      <w:r w:rsidR="00E10622" w:rsidRPr="009E643C">
        <w:rPr>
          <w:i/>
          <w:snapToGrid w:val="0"/>
        </w:rPr>
        <w:t>, “</w:t>
      </w:r>
      <w:r w:rsidR="00E10622" w:rsidRPr="009E643C">
        <w:rPr>
          <w:snapToGrid w:val="0"/>
        </w:rPr>
        <w:t>Session to facilitate cooperation</w:t>
      </w:r>
      <w:r w:rsidR="00E10622" w:rsidRPr="009E643C">
        <w:rPr>
          <w:i/>
          <w:snapToGrid w:val="0"/>
        </w:rPr>
        <w:t>”</w:t>
      </w:r>
      <w:r w:rsidR="00DF4483" w:rsidRPr="009E643C">
        <w:rPr>
          <w:i/>
          <w:snapToGrid w:val="0"/>
        </w:rPr>
        <w:t xml:space="preserve">) </w:t>
      </w:r>
    </w:p>
    <w:p w14:paraId="3DAA4F3E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49AEDA6F" w14:textId="77777777" w:rsidR="00DF4483" w:rsidRPr="009E643C" w:rsidRDefault="00E10622" w:rsidP="00DF4483">
      <w:pPr>
        <w:ind w:left="567"/>
        <w:rPr>
          <w:i/>
          <w:snapToGrid w:val="0"/>
        </w:rPr>
      </w:pPr>
      <w:r w:rsidRPr="009E643C">
        <w:rPr>
          <w:i/>
          <w:snapToGrid w:val="0"/>
        </w:rPr>
        <w:t>Cooperación entre las organizaciones internacionales</w:t>
      </w:r>
      <w:r w:rsidR="00DF4483" w:rsidRPr="009E643C">
        <w:rPr>
          <w:i/>
          <w:snapToGrid w:val="0"/>
        </w:rPr>
        <w:t xml:space="preserve"> (</w:t>
      </w:r>
      <w:r w:rsidR="00C325CF" w:rsidRPr="009E643C">
        <w:rPr>
          <w:i/>
        </w:rPr>
        <w:t xml:space="preserve">documento </w:t>
      </w:r>
      <w:r w:rsidR="00DF4483" w:rsidRPr="009E643C">
        <w:rPr>
          <w:i/>
          <w:snapToGrid w:val="0"/>
        </w:rPr>
        <w:t>BMT/19/9</w:t>
      </w:r>
      <w:r w:rsidR="002D17AB" w:rsidRPr="009E643C">
        <w:rPr>
          <w:i/>
          <w:snapToGrid w:val="0"/>
        </w:rPr>
        <w:t xml:space="preserve">, </w:t>
      </w:r>
      <w:r w:rsidR="002D17AB" w:rsidRPr="009E643C">
        <w:rPr>
          <w:iCs/>
        </w:rPr>
        <w:t>“</w:t>
      </w:r>
      <w:r w:rsidRPr="009E643C">
        <w:rPr>
          <w:snapToGrid w:val="0"/>
        </w:rPr>
        <w:t>Cooperation between international organizations</w:t>
      </w:r>
      <w:r w:rsidR="002D17AB" w:rsidRPr="009E643C">
        <w:rPr>
          <w:iCs/>
        </w:rPr>
        <w:t>”</w:t>
      </w:r>
      <w:r w:rsidR="00DF4483" w:rsidRPr="009E643C">
        <w:rPr>
          <w:i/>
          <w:snapToGrid w:val="0"/>
        </w:rPr>
        <w:t xml:space="preserve">) </w:t>
      </w:r>
    </w:p>
    <w:p w14:paraId="53FEB727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6DC54368" w14:textId="77777777" w:rsidR="00DF4483" w:rsidRPr="009E643C" w:rsidRDefault="00DF4483" w:rsidP="00DF4483">
      <w:pPr>
        <w:ind w:left="1134"/>
        <w:rPr>
          <w:i/>
          <w:snapToGrid w:val="0"/>
        </w:rPr>
      </w:pPr>
      <w:r w:rsidRPr="009E643C">
        <w:rPr>
          <w:i/>
          <w:snapToGrid w:val="0"/>
        </w:rPr>
        <w:tab/>
      </w:r>
      <w:r w:rsidR="00E10622" w:rsidRPr="009E643C">
        <w:rPr>
          <w:i/>
          <w:snapToGrid w:val="0"/>
        </w:rPr>
        <w:t xml:space="preserve">Asociación Internacional para el Ensayo de Semillas </w:t>
      </w:r>
      <w:r w:rsidRPr="009E643C">
        <w:rPr>
          <w:i/>
          <w:snapToGrid w:val="0"/>
        </w:rPr>
        <w:t>(BMT/19/12</w:t>
      </w:r>
      <w:r w:rsidR="00E10622" w:rsidRPr="009E643C">
        <w:rPr>
          <w:i/>
          <w:snapToGrid w:val="0"/>
        </w:rPr>
        <w:t>, “</w:t>
      </w:r>
      <w:r w:rsidR="00E10622" w:rsidRPr="009E643C">
        <w:rPr>
          <w:snapToGrid w:val="0"/>
        </w:rPr>
        <w:t>International Seed Testing Association</w:t>
      </w:r>
      <w:r w:rsidR="00E10622" w:rsidRPr="009E643C">
        <w:rPr>
          <w:i/>
          <w:snapToGrid w:val="0"/>
        </w:rPr>
        <w:t>”</w:t>
      </w:r>
      <w:r w:rsidRPr="009E643C">
        <w:rPr>
          <w:i/>
          <w:snapToGrid w:val="0"/>
        </w:rPr>
        <w:t>)</w:t>
      </w:r>
    </w:p>
    <w:p w14:paraId="43B7F0BB" w14:textId="77777777" w:rsidR="00DF4483" w:rsidRPr="009E643C" w:rsidRDefault="00DF4483" w:rsidP="00DF4483">
      <w:pPr>
        <w:ind w:left="1134"/>
        <w:rPr>
          <w:i/>
          <w:snapToGrid w:val="0"/>
        </w:rPr>
      </w:pPr>
    </w:p>
    <w:p w14:paraId="029B0AD5" w14:textId="77777777" w:rsidR="00DF4483" w:rsidRPr="009E643C" w:rsidRDefault="00DF4483" w:rsidP="00DF4483">
      <w:pPr>
        <w:ind w:left="1134"/>
        <w:rPr>
          <w:i/>
          <w:snapToGrid w:val="0"/>
        </w:rPr>
      </w:pPr>
      <w:r w:rsidRPr="009E643C">
        <w:rPr>
          <w:i/>
          <w:snapToGrid w:val="0"/>
        </w:rPr>
        <w:tab/>
      </w:r>
      <w:r w:rsidR="00E10622" w:rsidRPr="009E643C">
        <w:rPr>
          <w:i/>
          <w:snapToGrid w:val="0"/>
        </w:rPr>
        <w:t xml:space="preserve">Organización Internacional de Normalización </w:t>
      </w:r>
      <w:r w:rsidRPr="009E643C">
        <w:rPr>
          <w:i/>
          <w:snapToGrid w:val="0"/>
        </w:rPr>
        <w:t>(BMT/19/14</w:t>
      </w:r>
      <w:r w:rsidR="00E10622" w:rsidRPr="009E643C">
        <w:rPr>
          <w:i/>
          <w:snapToGrid w:val="0"/>
        </w:rPr>
        <w:t>, “</w:t>
      </w:r>
      <w:r w:rsidR="00E10622" w:rsidRPr="009E643C">
        <w:rPr>
          <w:snapToGrid w:val="0"/>
        </w:rPr>
        <w:t>International Organization for Standardization”</w:t>
      </w:r>
      <w:r w:rsidRPr="009E643C">
        <w:rPr>
          <w:i/>
          <w:snapToGrid w:val="0"/>
        </w:rPr>
        <w:t>)</w:t>
      </w:r>
    </w:p>
    <w:p w14:paraId="10FB3924" w14:textId="77777777" w:rsidR="00DF4483" w:rsidRPr="009E643C" w:rsidRDefault="00DF4483" w:rsidP="00DF4483">
      <w:pPr>
        <w:ind w:left="567"/>
        <w:rPr>
          <w:i/>
          <w:snapToGrid w:val="0"/>
        </w:rPr>
      </w:pPr>
    </w:p>
    <w:p w14:paraId="10CBD08E" w14:textId="0B3B62F2" w:rsidR="00DF4483" w:rsidRPr="009E643C" w:rsidRDefault="00E10622" w:rsidP="00DF4483">
      <w:pPr>
        <w:ind w:left="567"/>
        <w:rPr>
          <w:i/>
          <w:snapToGrid w:val="0"/>
        </w:rPr>
      </w:pPr>
      <w:r w:rsidRPr="009E643C">
        <w:rPr>
          <w:i/>
          <w:snapToGrid w:val="0"/>
        </w:rPr>
        <w:t>Organización de la labor del TWC y del</w:t>
      </w:r>
      <w:r w:rsidR="000548DC" w:rsidRPr="009E643C">
        <w:rPr>
          <w:i/>
          <w:snapToGrid w:val="0"/>
        </w:rPr>
        <w:t xml:space="preserve"> </w:t>
      </w:r>
      <w:r w:rsidRPr="009E643C">
        <w:rPr>
          <w:i/>
          <w:snapToGrid w:val="0"/>
        </w:rPr>
        <w:t xml:space="preserve">BMT </w:t>
      </w:r>
      <w:r w:rsidR="00DF4483" w:rsidRPr="009E643C">
        <w:rPr>
          <w:i/>
          <w:snapToGrid w:val="0"/>
        </w:rPr>
        <w:t>(</w:t>
      </w:r>
      <w:r w:rsidR="00C325CF" w:rsidRPr="009E643C">
        <w:rPr>
          <w:i/>
        </w:rPr>
        <w:t xml:space="preserve">documento </w:t>
      </w:r>
      <w:r w:rsidR="00DF4483" w:rsidRPr="009E643C">
        <w:rPr>
          <w:i/>
          <w:snapToGrid w:val="0"/>
        </w:rPr>
        <w:t>BMT/19/7</w:t>
      </w:r>
      <w:r w:rsidRPr="009E643C">
        <w:rPr>
          <w:i/>
          <w:snapToGrid w:val="0"/>
        </w:rPr>
        <w:t>, “</w:t>
      </w:r>
      <w:r w:rsidRPr="009E643C">
        <w:rPr>
          <w:snapToGrid w:val="0"/>
        </w:rPr>
        <w:t>Organization of work of the TWC and the BMT</w:t>
      </w:r>
      <w:r w:rsidRPr="009E643C">
        <w:rPr>
          <w:i/>
          <w:snapToGrid w:val="0"/>
        </w:rPr>
        <w:t>”</w:t>
      </w:r>
      <w:r w:rsidR="00DF4483" w:rsidRPr="009E643C">
        <w:rPr>
          <w:i/>
          <w:snapToGrid w:val="0"/>
        </w:rPr>
        <w:t>)</w:t>
      </w:r>
    </w:p>
    <w:p w14:paraId="760CA416" w14:textId="77777777" w:rsidR="00DF4483" w:rsidRPr="009E643C" w:rsidRDefault="00DF4483" w:rsidP="00DF4483"/>
    <w:p w14:paraId="5DFFCB4A" w14:textId="77777777" w:rsidR="00DF4483" w:rsidRPr="009E643C" w:rsidRDefault="00DF4483" w:rsidP="00DF4483"/>
    <w:p w14:paraId="3926B3EB" w14:textId="72113F05" w:rsidR="00DF4483" w:rsidRPr="009E643C" w:rsidRDefault="00B54A92" w:rsidP="00DF4483">
      <w:pPr>
        <w:keepNext/>
        <w:spacing w:after="240"/>
        <w:outlineLvl w:val="1"/>
        <w:rPr>
          <w:u w:val="single"/>
        </w:rPr>
      </w:pPr>
      <w:bookmarkStart w:id="19" w:name="_Toc22569704"/>
      <w:bookmarkStart w:id="20" w:name="_Toc24095751"/>
      <w:bookmarkStart w:id="21" w:name="_Toc54096064"/>
      <w:r w:rsidRPr="009E643C">
        <w:rPr>
          <w:u w:val="single"/>
        </w:rPr>
        <w:t xml:space="preserve">Fecha y lugar de la próxima </w:t>
      </w:r>
      <w:r w:rsidR="00364FB4" w:rsidRPr="00364FB4">
        <w:rPr>
          <w:u w:val="single"/>
          <w:lang w:val="es-ES"/>
        </w:rPr>
        <w:t>reunión</w:t>
      </w:r>
      <w:r w:rsidR="00364FB4" w:rsidRPr="009E643C">
        <w:rPr>
          <w:u w:val="single"/>
        </w:rPr>
        <w:t xml:space="preserve"> </w:t>
      </w:r>
      <w:bookmarkEnd w:id="19"/>
      <w:bookmarkEnd w:id="20"/>
      <w:bookmarkEnd w:id="21"/>
    </w:p>
    <w:p w14:paraId="1CD116A4" w14:textId="6F052EFB" w:rsidR="00DF4483" w:rsidRPr="009E643C" w:rsidRDefault="00DF4483" w:rsidP="00DF4483">
      <w:r w:rsidRPr="009E643C">
        <w:fldChar w:fldCharType="begin"/>
      </w:r>
      <w:r w:rsidRPr="009E643C">
        <w:instrText xml:space="preserve"> AUTONUM  </w:instrText>
      </w:r>
      <w:r w:rsidRPr="009E643C">
        <w:fldChar w:fldCharType="end"/>
      </w:r>
      <w:r w:rsidRPr="009E643C">
        <w:tab/>
      </w:r>
      <w:r w:rsidR="00902284" w:rsidRPr="009E643C">
        <w:t xml:space="preserve">Por invitación de los Estados Unidos de América, el BMT convino en celebrar su vigésima </w:t>
      </w:r>
      <w:r w:rsidR="008F6586">
        <w:rPr>
          <w:lang w:val="es-ES"/>
        </w:rPr>
        <w:t>reunión</w:t>
      </w:r>
      <w:r w:rsidR="008F6586" w:rsidRPr="009E643C">
        <w:t xml:space="preserve"> </w:t>
      </w:r>
      <w:r w:rsidR="00902284" w:rsidRPr="009E643C">
        <w:t>en Alexandria, Virginia (Estados Unidos de América), conjuntamente con el TWC, durante la semana del 20 de septiembre de 2021 (véase el párrafo 36 del documento BMT/19/15, “</w:t>
      </w:r>
      <w:r w:rsidR="00902284" w:rsidRPr="009E643C">
        <w:rPr>
          <w:i/>
        </w:rPr>
        <w:t>Report</w:t>
      </w:r>
      <w:r w:rsidR="00902284" w:rsidRPr="009E643C">
        <w:t>”)</w:t>
      </w:r>
      <w:r w:rsidRPr="009E643C">
        <w:t>.</w:t>
      </w:r>
    </w:p>
    <w:p w14:paraId="1C5E4402" w14:textId="77777777" w:rsidR="00DF4483" w:rsidRPr="009E643C" w:rsidRDefault="00DF4483" w:rsidP="00DF4483"/>
    <w:p w14:paraId="6763BD91" w14:textId="77777777" w:rsidR="00DF4483" w:rsidRPr="009E643C" w:rsidRDefault="00DF4483" w:rsidP="009E643C">
      <w:pPr>
        <w:keepNext/>
        <w:keepLines/>
      </w:pPr>
    </w:p>
    <w:p w14:paraId="786C5065" w14:textId="5A1FE60E" w:rsidR="00DF4483" w:rsidRPr="009E643C" w:rsidRDefault="008650A8" w:rsidP="009E643C">
      <w:pPr>
        <w:keepNext/>
        <w:keepLines/>
        <w:spacing w:after="240"/>
        <w:outlineLvl w:val="1"/>
        <w:rPr>
          <w:u w:val="single"/>
        </w:rPr>
      </w:pPr>
      <w:bookmarkStart w:id="22" w:name="_Toc22569705"/>
      <w:bookmarkStart w:id="23" w:name="_Toc24095752"/>
      <w:bookmarkStart w:id="24" w:name="_Toc54096065"/>
      <w:r w:rsidRPr="009E643C">
        <w:rPr>
          <w:u w:val="single"/>
        </w:rPr>
        <w:t>Programa</w:t>
      </w:r>
      <w:bookmarkEnd w:id="22"/>
      <w:bookmarkEnd w:id="23"/>
      <w:r w:rsidRPr="009E643C">
        <w:rPr>
          <w:u w:val="single"/>
        </w:rPr>
        <w:t xml:space="preserve"> previsto</w:t>
      </w:r>
      <w:bookmarkEnd w:id="24"/>
    </w:p>
    <w:p w14:paraId="6E552208" w14:textId="373F5AB9" w:rsidR="00DF4483" w:rsidRPr="009E643C" w:rsidRDefault="00DF4483" w:rsidP="009E643C">
      <w:pPr>
        <w:keepNext/>
        <w:keepLines/>
        <w:rPr>
          <w:rFonts w:cs="Arial"/>
        </w:rPr>
      </w:pPr>
      <w:r w:rsidRPr="009E643C">
        <w:rPr>
          <w:rFonts w:cs="Arial"/>
          <w:iCs/>
          <w:snapToGrid w:val="0"/>
        </w:rPr>
        <w:fldChar w:fldCharType="begin"/>
      </w:r>
      <w:r w:rsidRPr="009E643C">
        <w:rPr>
          <w:rFonts w:cs="Arial"/>
          <w:iCs/>
          <w:snapToGrid w:val="0"/>
        </w:rPr>
        <w:instrText xml:space="preserve"> AUTONUM  </w:instrText>
      </w:r>
      <w:r w:rsidRPr="009E643C">
        <w:rPr>
          <w:rFonts w:cs="Arial"/>
          <w:iCs/>
          <w:snapToGrid w:val="0"/>
        </w:rPr>
        <w:fldChar w:fldCharType="end"/>
      </w:r>
      <w:r w:rsidRPr="009E643C">
        <w:rPr>
          <w:rFonts w:cs="Arial"/>
          <w:iCs/>
          <w:snapToGrid w:val="0"/>
        </w:rPr>
        <w:tab/>
      </w:r>
      <w:r w:rsidR="009D58B0" w:rsidRPr="009E643C">
        <w:t xml:space="preserve">En su vigésima </w:t>
      </w:r>
      <w:r w:rsidR="008F6586">
        <w:rPr>
          <w:lang w:val="es-ES"/>
        </w:rPr>
        <w:t>reunión</w:t>
      </w:r>
      <w:r w:rsidR="009D58B0" w:rsidRPr="009E643C">
        <w:t>, en 2021, el BMT tiene previsto debatir las cuestiones siguientes (véase el párrafo 37 del documento BMT/19/15, “</w:t>
      </w:r>
      <w:r w:rsidR="009D58B0" w:rsidRPr="009E643C">
        <w:rPr>
          <w:i/>
        </w:rPr>
        <w:t>Report</w:t>
      </w:r>
      <w:r w:rsidR="009D58B0" w:rsidRPr="009E643C">
        <w:t>”)</w:t>
      </w:r>
      <w:r w:rsidRPr="009E643C">
        <w:rPr>
          <w:rFonts w:cs="Arial"/>
        </w:rPr>
        <w:t>:</w:t>
      </w:r>
    </w:p>
    <w:p w14:paraId="53078A1C" w14:textId="77777777" w:rsidR="00DF4483" w:rsidRPr="009E643C" w:rsidRDefault="00DF4483" w:rsidP="009E643C">
      <w:pPr>
        <w:keepNext/>
        <w:keepLines/>
        <w:rPr>
          <w:rFonts w:cs="Arial"/>
          <w:sz w:val="18"/>
        </w:rPr>
      </w:pPr>
    </w:p>
    <w:p w14:paraId="634A4217" w14:textId="55756340" w:rsidR="00DF4483" w:rsidRPr="009E643C" w:rsidRDefault="00DF4483" w:rsidP="009E643C">
      <w:pPr>
        <w:keepNext/>
        <w:keepLines/>
        <w:spacing w:after="120"/>
        <w:ind w:left="567"/>
        <w:rPr>
          <w:rFonts w:cs="Arial"/>
        </w:rPr>
      </w:pPr>
      <w:r w:rsidRPr="009E643C">
        <w:rPr>
          <w:rFonts w:cs="Arial"/>
        </w:rPr>
        <w:t>1.</w:t>
      </w:r>
      <w:r w:rsidRPr="009E643C">
        <w:rPr>
          <w:rFonts w:cs="Arial"/>
        </w:rPr>
        <w:tab/>
      </w:r>
      <w:r w:rsidR="009D58B0" w:rsidRPr="009E643C">
        <w:t>Apertura de la sesión</w:t>
      </w:r>
    </w:p>
    <w:p w14:paraId="32D6581A" w14:textId="5E4A5BDA" w:rsidR="00DF4483" w:rsidRPr="009E643C" w:rsidRDefault="00DF4483" w:rsidP="00DF4483">
      <w:pPr>
        <w:spacing w:after="120"/>
        <w:ind w:left="567"/>
        <w:rPr>
          <w:rFonts w:cs="Arial"/>
        </w:rPr>
      </w:pPr>
      <w:r w:rsidRPr="009E643C">
        <w:rPr>
          <w:rFonts w:cs="Arial"/>
        </w:rPr>
        <w:t>2.</w:t>
      </w:r>
      <w:r w:rsidRPr="009E643C">
        <w:rPr>
          <w:rFonts w:cs="Arial"/>
        </w:rPr>
        <w:tab/>
      </w:r>
      <w:r w:rsidR="009D58B0" w:rsidRPr="009E643C">
        <w:t>Aprobación del orden del día</w:t>
      </w:r>
    </w:p>
    <w:p w14:paraId="63FEBEED" w14:textId="2E4BCE44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3.</w:t>
      </w:r>
      <w:r w:rsidRPr="009E643C">
        <w:rPr>
          <w:rFonts w:cs="Arial"/>
        </w:rPr>
        <w:tab/>
      </w:r>
      <w:r w:rsidR="009D58B0" w:rsidRPr="009E643C">
        <w:t>Informes sobre las novedades acaecidas en la UPOV en relación con las técnicas bioquímicas y moleculares (la Oficina de la Unión elaborará un documento)</w:t>
      </w:r>
    </w:p>
    <w:p w14:paraId="3EEF7000" w14:textId="23D3ABBA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4.</w:t>
      </w:r>
      <w:r w:rsidRPr="009E643C">
        <w:rPr>
          <w:rFonts w:cs="Arial"/>
        </w:rPr>
        <w:tab/>
      </w:r>
      <w:r w:rsidR="009D58B0" w:rsidRPr="009E643C">
        <w:t>Breves ponencias sobre los avances en las técnicas bioquímicas y moleculares a cargo de expertos en el examen DHE, especialistas en técnicas bioquímicas y moleculares, y obtentores y organizaciones internacionales pertinentes (informes de los participantes)</w:t>
      </w:r>
    </w:p>
    <w:p w14:paraId="02A88B0B" w14:textId="5FE6E855" w:rsidR="00DF4483" w:rsidRPr="009E643C" w:rsidRDefault="00DF4483" w:rsidP="008F6586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5.</w:t>
      </w:r>
      <w:r w:rsidRPr="009E643C">
        <w:rPr>
          <w:rFonts w:cs="Arial"/>
        </w:rPr>
        <w:tab/>
      </w:r>
      <w:r w:rsidR="009D58B0" w:rsidRPr="009E643C">
        <w:t>Informe sobre la labor en materia de técnicas moleculares en relación con el examen DHE (se solicitan ponencias)</w:t>
      </w:r>
    </w:p>
    <w:p w14:paraId="16EACCB6" w14:textId="598EE84E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6.</w:t>
      </w:r>
      <w:r w:rsidRPr="009E643C">
        <w:rPr>
          <w:rFonts w:cs="Arial"/>
        </w:rPr>
        <w:tab/>
      </w:r>
      <w:r w:rsidR="009D58B0" w:rsidRPr="009E643C">
        <w:t>Bases de datos de descripciones de variedades, en particular las que contienen datos moleculares (se solicitan ponencias)</w:t>
      </w:r>
      <w:r w:rsidRPr="009E643C">
        <w:rPr>
          <w:rFonts w:cs="Arial"/>
        </w:rPr>
        <w:t xml:space="preserve"> </w:t>
      </w:r>
    </w:p>
    <w:p w14:paraId="48BC1FEF" w14:textId="03A0590E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7.</w:t>
      </w:r>
      <w:r w:rsidRPr="009E643C">
        <w:rPr>
          <w:rFonts w:cs="Arial"/>
        </w:rPr>
        <w:tab/>
      </w:r>
      <w:r w:rsidR="009D58B0" w:rsidRPr="009E643C">
        <w:t>Métodos de análisis de datos moleculares, gestión de bases de datos e intercambio de datos y material (se solicitan ponencias)</w:t>
      </w:r>
    </w:p>
    <w:p w14:paraId="7421FF0B" w14:textId="062BAA06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8.</w:t>
      </w:r>
      <w:r w:rsidRPr="009E643C">
        <w:rPr>
          <w:rFonts w:cs="Arial"/>
        </w:rPr>
        <w:tab/>
      </w:r>
      <w:bookmarkStart w:id="25" w:name="_Ref498061157"/>
      <w:r w:rsidR="009D58B0" w:rsidRPr="009E643C">
        <w:t>La utilización de técnicas moleculares en el examen de las variedades esencialmente derivadas</w:t>
      </w:r>
      <w:r w:rsidRPr="009E643C">
        <w:rPr>
          <w:rFonts w:cs="Arial"/>
          <w:vertAlign w:val="superscript"/>
        </w:rPr>
        <w:t>1</w:t>
      </w:r>
      <w:r w:rsidRPr="009E643C">
        <w:rPr>
          <w:rFonts w:cs="Arial"/>
          <w:color w:val="FFFFFF" w:themeColor="background1"/>
          <w:sz w:val="2"/>
          <w:vertAlign w:val="superscript"/>
        </w:rPr>
        <w:footnoteReference w:id="7"/>
      </w:r>
      <w:bookmarkEnd w:id="25"/>
      <w:r w:rsidRPr="009E643C">
        <w:rPr>
          <w:rFonts w:cs="Arial"/>
        </w:rPr>
        <w:t xml:space="preserve"> </w:t>
      </w:r>
      <w:r w:rsidR="009D58B0" w:rsidRPr="009E643C">
        <w:t>(se solicitan ponencias)</w:t>
      </w:r>
    </w:p>
    <w:p w14:paraId="5742466D" w14:textId="5AA46AD2" w:rsidR="00DF4483" w:rsidRPr="009E643C" w:rsidRDefault="00DF4483" w:rsidP="00DF4483">
      <w:pPr>
        <w:spacing w:after="120"/>
        <w:ind w:left="567"/>
        <w:rPr>
          <w:rFonts w:cs="Arial"/>
        </w:rPr>
      </w:pPr>
      <w:r w:rsidRPr="009E643C">
        <w:rPr>
          <w:rFonts w:cs="Arial"/>
        </w:rPr>
        <w:t>9.</w:t>
      </w:r>
      <w:r w:rsidRPr="009E643C">
        <w:rPr>
          <w:rFonts w:cs="Arial"/>
        </w:rPr>
        <w:tab/>
      </w:r>
      <w:r w:rsidR="009D58B0" w:rsidRPr="009E643C">
        <w:t>La utilización de técnicas moleculares en la identificación de variedades</w:t>
      </w:r>
      <w:r w:rsidR="009D58B0" w:rsidRPr="009E643C">
        <w:rPr>
          <w:rFonts w:cs="Arial"/>
          <w:vertAlign w:val="superscript"/>
        </w:rPr>
        <w:t xml:space="preserve"> </w:t>
      </w:r>
      <w:r w:rsidRPr="009E643C">
        <w:rPr>
          <w:rFonts w:cs="Arial"/>
          <w:vertAlign w:val="superscript"/>
        </w:rPr>
        <w:t>1</w:t>
      </w:r>
      <w:r w:rsidRPr="009E643C">
        <w:rPr>
          <w:rFonts w:cs="Arial"/>
        </w:rPr>
        <w:t xml:space="preserve"> </w:t>
      </w:r>
      <w:r w:rsidR="009D58B0" w:rsidRPr="009E643C">
        <w:t>(se solicitan ponencias)</w:t>
      </w:r>
    </w:p>
    <w:p w14:paraId="2494A023" w14:textId="7A8B6040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10.</w:t>
      </w:r>
      <w:r w:rsidRPr="009E643C">
        <w:rPr>
          <w:rFonts w:cs="Arial"/>
        </w:rPr>
        <w:tab/>
      </w:r>
      <w:r w:rsidR="009D58B0" w:rsidRPr="009E643C">
        <w:rPr>
          <w:rFonts w:cs="Arial"/>
        </w:rPr>
        <w:t xml:space="preserve">Cooperación entre las organizaciones internacionales </w:t>
      </w:r>
      <w:r w:rsidRPr="009E643C">
        <w:rPr>
          <w:rFonts w:cs="Arial"/>
        </w:rPr>
        <w:t>(</w:t>
      </w:r>
      <w:r w:rsidR="009D58B0" w:rsidRPr="009E643C">
        <w:t>la Oficina de la Unión elaborará un documento</w:t>
      </w:r>
      <w:r w:rsidRPr="009E643C">
        <w:rPr>
          <w:rFonts w:cs="Arial"/>
        </w:rPr>
        <w:t>)</w:t>
      </w:r>
    </w:p>
    <w:p w14:paraId="74D01EB3" w14:textId="2E668D12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11.</w:t>
      </w:r>
      <w:r w:rsidRPr="009E643C">
        <w:rPr>
          <w:rFonts w:cs="Arial"/>
        </w:rPr>
        <w:tab/>
      </w:r>
      <w:r w:rsidR="009D58B0" w:rsidRPr="009E643C">
        <w:t>Confidencialidad, titularidad y acceso a datos moleculares</w:t>
      </w:r>
      <w:r w:rsidRPr="009E643C">
        <w:rPr>
          <w:rFonts w:cs="Arial"/>
        </w:rPr>
        <w:t xml:space="preserve">, </w:t>
      </w:r>
      <w:r w:rsidR="009D58B0" w:rsidRPr="009E643C">
        <w:rPr>
          <w:rFonts w:cs="Arial"/>
        </w:rPr>
        <w:t>incluido un modelo de acuerdo tipo</w:t>
      </w:r>
      <w:r w:rsidRPr="009E643C">
        <w:rPr>
          <w:rFonts w:cs="Arial"/>
          <w:vertAlign w:val="superscript"/>
        </w:rPr>
        <w:t>1</w:t>
      </w:r>
      <w:r w:rsidRPr="009E643C">
        <w:rPr>
          <w:rFonts w:cs="Arial"/>
        </w:rPr>
        <w:t xml:space="preserve"> (</w:t>
      </w:r>
      <w:r w:rsidR="009D58B0" w:rsidRPr="009E643C">
        <w:t>se solicitan ponencias</w:t>
      </w:r>
      <w:r w:rsidRPr="009E643C">
        <w:rPr>
          <w:rFonts w:cs="Arial"/>
        </w:rPr>
        <w:t>)</w:t>
      </w:r>
    </w:p>
    <w:p w14:paraId="6F36BDDF" w14:textId="2465280B" w:rsidR="00DF4483" w:rsidRPr="009E643C" w:rsidRDefault="00DF4483" w:rsidP="00DF4483">
      <w:pPr>
        <w:spacing w:after="120"/>
        <w:ind w:left="1134" w:hanging="567"/>
        <w:rPr>
          <w:rFonts w:cs="Arial"/>
        </w:rPr>
      </w:pPr>
      <w:r w:rsidRPr="009E643C">
        <w:rPr>
          <w:rFonts w:cs="Arial"/>
        </w:rPr>
        <w:t>12.</w:t>
      </w:r>
      <w:r w:rsidRPr="009E643C">
        <w:rPr>
          <w:rFonts w:cs="Arial"/>
        </w:rPr>
        <w:tab/>
      </w:r>
      <w:r w:rsidR="009D58B0" w:rsidRPr="009E643C">
        <w:t>Sesión destinada a facilitar la cooperación</w:t>
      </w:r>
      <w:r w:rsidRPr="009E643C">
        <w:rPr>
          <w:rFonts w:cs="Arial"/>
        </w:rPr>
        <w:t xml:space="preserve"> </w:t>
      </w:r>
    </w:p>
    <w:p w14:paraId="221F162A" w14:textId="4043012B" w:rsidR="00DF4483" w:rsidRPr="009E643C" w:rsidRDefault="00DF4483" w:rsidP="00DF4483">
      <w:pPr>
        <w:spacing w:after="120"/>
        <w:ind w:left="567"/>
        <w:rPr>
          <w:rFonts w:cs="Arial"/>
        </w:rPr>
      </w:pPr>
      <w:r w:rsidRPr="009E643C">
        <w:rPr>
          <w:rFonts w:cs="Arial"/>
        </w:rPr>
        <w:t>13.</w:t>
      </w:r>
      <w:r w:rsidRPr="009E643C">
        <w:rPr>
          <w:rFonts w:cs="Arial"/>
        </w:rPr>
        <w:tab/>
      </w:r>
      <w:r w:rsidR="009D58B0" w:rsidRPr="009E643C">
        <w:t>Fecha y lugar de la próxima sesión</w:t>
      </w:r>
    </w:p>
    <w:p w14:paraId="1DA2105E" w14:textId="68382ACE" w:rsidR="00DF4483" w:rsidRPr="009E643C" w:rsidRDefault="00DF4483" w:rsidP="00DF4483">
      <w:pPr>
        <w:spacing w:after="120"/>
        <w:ind w:left="567"/>
        <w:rPr>
          <w:rFonts w:cs="Arial"/>
        </w:rPr>
      </w:pPr>
      <w:r w:rsidRPr="009E643C">
        <w:rPr>
          <w:rFonts w:cs="Arial"/>
        </w:rPr>
        <w:t>14.</w:t>
      </w:r>
      <w:r w:rsidRPr="009E643C">
        <w:rPr>
          <w:rFonts w:cs="Arial"/>
        </w:rPr>
        <w:tab/>
      </w:r>
      <w:r w:rsidR="009D58B0" w:rsidRPr="009E643C">
        <w:t>Próximo programa</w:t>
      </w:r>
    </w:p>
    <w:p w14:paraId="6D5AA815" w14:textId="595E4775" w:rsidR="00DF4483" w:rsidRPr="009E643C" w:rsidRDefault="00DF4483" w:rsidP="00DF4483">
      <w:pPr>
        <w:spacing w:after="120"/>
        <w:ind w:left="567"/>
        <w:rPr>
          <w:rFonts w:cs="Arial"/>
        </w:rPr>
      </w:pPr>
      <w:r w:rsidRPr="009E643C">
        <w:rPr>
          <w:rFonts w:cs="Arial"/>
        </w:rPr>
        <w:t>15.</w:t>
      </w:r>
      <w:r w:rsidRPr="009E643C">
        <w:rPr>
          <w:rFonts w:cs="Arial"/>
        </w:rPr>
        <w:tab/>
      </w:r>
      <w:r w:rsidR="009D58B0" w:rsidRPr="009E643C">
        <w:t>Informe de la sesión (si se dispone de tiempo)</w:t>
      </w:r>
    </w:p>
    <w:p w14:paraId="49EF27D6" w14:textId="37815271" w:rsidR="00050E16" w:rsidRPr="009E643C" w:rsidRDefault="00DF4483" w:rsidP="009D58B0">
      <w:pPr>
        <w:spacing w:after="120"/>
        <w:ind w:left="567"/>
        <w:rPr>
          <w:snapToGrid w:val="0"/>
        </w:rPr>
      </w:pPr>
      <w:r w:rsidRPr="009E643C">
        <w:rPr>
          <w:rFonts w:cs="Arial"/>
        </w:rPr>
        <w:t>16.</w:t>
      </w:r>
      <w:r w:rsidRPr="009E643C">
        <w:rPr>
          <w:rFonts w:cs="Arial"/>
        </w:rPr>
        <w:tab/>
      </w:r>
      <w:r w:rsidR="009D58B0" w:rsidRPr="009E643C">
        <w:t xml:space="preserve">Clausura de la </w:t>
      </w:r>
      <w:r w:rsidR="00C77237">
        <w:rPr>
          <w:lang w:val="es-ES"/>
        </w:rPr>
        <w:t>reunión</w:t>
      </w:r>
    </w:p>
    <w:p w14:paraId="76D82078" w14:textId="77777777" w:rsidR="00050E16" w:rsidRPr="009E643C" w:rsidRDefault="00050E16" w:rsidP="004B1215"/>
    <w:p w14:paraId="5C6292BA" w14:textId="77777777" w:rsidR="00050E16" w:rsidRPr="009E643C" w:rsidRDefault="00050E16" w:rsidP="00050E16"/>
    <w:p w14:paraId="4CA3E294" w14:textId="77777777" w:rsidR="00544581" w:rsidRPr="009E643C" w:rsidRDefault="00544581">
      <w:pPr>
        <w:jc w:val="left"/>
      </w:pPr>
    </w:p>
    <w:p w14:paraId="46382F04" w14:textId="77777777" w:rsidR="00050E16" w:rsidRPr="009E643C" w:rsidRDefault="00050E16" w:rsidP="00050E16"/>
    <w:p w14:paraId="3503B24B" w14:textId="78ED5E28" w:rsidR="00050E16" w:rsidRPr="009E643C" w:rsidRDefault="00050E16" w:rsidP="009E643C">
      <w:pPr>
        <w:jc w:val="right"/>
      </w:pPr>
      <w:r w:rsidRPr="009E643C">
        <w:t>[</w:t>
      </w:r>
      <w:r w:rsidR="000638A9" w:rsidRPr="009E643C">
        <w:t>Fin del documento</w:t>
      </w:r>
      <w:r w:rsidRPr="009E643C">
        <w:t>]</w:t>
      </w:r>
    </w:p>
    <w:sectPr w:rsidR="00050E16" w:rsidRPr="009E643C" w:rsidSect="00DF4483">
      <w:headerReference w:type="even" r:id="rId8"/>
      <w:headerReference w:type="default" r:id="rId9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9D04B3" w14:textId="77777777" w:rsidR="00C517CC" w:rsidRDefault="00C517CC" w:rsidP="006655D3">
      <w:r>
        <w:separator/>
      </w:r>
    </w:p>
    <w:p w14:paraId="08CA0872" w14:textId="77777777" w:rsidR="00C517CC" w:rsidRDefault="00C517CC" w:rsidP="006655D3"/>
    <w:p w14:paraId="49B2A07B" w14:textId="77777777" w:rsidR="00C517CC" w:rsidRDefault="00C517CC" w:rsidP="006655D3"/>
  </w:endnote>
  <w:endnote w:type="continuationSeparator" w:id="0">
    <w:p w14:paraId="37992DD6" w14:textId="77777777" w:rsidR="00C517CC" w:rsidRDefault="00C517CC" w:rsidP="006655D3">
      <w:r>
        <w:separator/>
      </w:r>
    </w:p>
    <w:p w14:paraId="0A8033A7" w14:textId="77777777" w:rsidR="00C517CC" w:rsidRPr="00294751" w:rsidRDefault="00C517C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34A3707" w14:textId="77777777" w:rsidR="00C517CC" w:rsidRPr="00294751" w:rsidRDefault="00C517CC" w:rsidP="006655D3">
      <w:pPr>
        <w:rPr>
          <w:lang w:val="fr-FR"/>
        </w:rPr>
      </w:pPr>
    </w:p>
    <w:p w14:paraId="012DEB94" w14:textId="77777777" w:rsidR="00C517CC" w:rsidRPr="00294751" w:rsidRDefault="00C517CC" w:rsidP="006655D3">
      <w:pPr>
        <w:rPr>
          <w:lang w:val="fr-FR"/>
        </w:rPr>
      </w:pPr>
    </w:p>
  </w:endnote>
  <w:endnote w:type="continuationNotice" w:id="1">
    <w:p w14:paraId="49C8FDD2" w14:textId="77777777" w:rsidR="00C517CC" w:rsidRPr="00294751" w:rsidRDefault="00C517C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EBE4372" w14:textId="77777777" w:rsidR="00C517CC" w:rsidRPr="00294751" w:rsidRDefault="00C517CC" w:rsidP="006655D3">
      <w:pPr>
        <w:rPr>
          <w:lang w:val="fr-FR"/>
        </w:rPr>
      </w:pPr>
    </w:p>
    <w:p w14:paraId="242E444F" w14:textId="77777777" w:rsidR="00C517CC" w:rsidRPr="00294751" w:rsidRDefault="00C517C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2E2C88" w14:textId="77777777" w:rsidR="00C517CC" w:rsidRDefault="00C517CC" w:rsidP="006655D3">
      <w:r>
        <w:separator/>
      </w:r>
    </w:p>
  </w:footnote>
  <w:footnote w:type="continuationSeparator" w:id="0">
    <w:p w14:paraId="5BF25137" w14:textId="77777777" w:rsidR="00C517CC" w:rsidRDefault="00C517CC" w:rsidP="006655D3">
      <w:r>
        <w:separator/>
      </w:r>
    </w:p>
  </w:footnote>
  <w:footnote w:type="continuationNotice" w:id="1">
    <w:p w14:paraId="1B25A8C1" w14:textId="77777777" w:rsidR="00C517CC" w:rsidRPr="00AB530F" w:rsidRDefault="00C517CC" w:rsidP="00AB530F">
      <w:pPr>
        <w:pStyle w:val="Footer"/>
      </w:pPr>
    </w:p>
  </w:footnote>
  <w:footnote w:id="2">
    <w:p w14:paraId="423A98C1" w14:textId="44280C77" w:rsidR="00DF4483" w:rsidRPr="00D1552C" w:rsidRDefault="00DF4483" w:rsidP="009E643C">
      <w:pPr>
        <w:pStyle w:val="FootnoteText"/>
        <w:spacing w:before="0"/>
        <w:rPr>
          <w:lang w:val="es-ES"/>
        </w:rPr>
      </w:pPr>
      <w:r w:rsidRPr="00D1552C">
        <w:rPr>
          <w:rStyle w:val="FootnoteReference"/>
          <w:lang w:val="es-ES"/>
        </w:rPr>
        <w:footnoteRef/>
      </w:r>
      <w:r w:rsidR="009E643C">
        <w:rPr>
          <w:lang w:val="es-ES"/>
        </w:rPr>
        <w:t xml:space="preserve"> </w:t>
      </w:r>
      <w:r w:rsidR="00E770C7" w:rsidRPr="00D1552C">
        <w:rPr>
          <w:lang w:val="es-ES"/>
        </w:rPr>
        <w:t xml:space="preserve">En su quincuagésima cuarta </w:t>
      </w:r>
      <w:r w:rsidR="00364FB4">
        <w:rPr>
          <w:lang w:val="es-ES"/>
        </w:rPr>
        <w:t>reunión</w:t>
      </w:r>
      <w:r w:rsidR="00E770C7" w:rsidRPr="00D1552C">
        <w:rPr>
          <w:lang w:val="es-ES"/>
        </w:rPr>
        <w:t>, celebrada del 11 al 15 de mayo de 2020</w:t>
      </w:r>
      <w:r w:rsidRPr="00D1552C">
        <w:rPr>
          <w:lang w:val="es-ES"/>
        </w:rPr>
        <w:t>.</w:t>
      </w:r>
    </w:p>
  </w:footnote>
  <w:footnote w:id="3">
    <w:p w14:paraId="5D02FE8D" w14:textId="55FB9297" w:rsidR="00DF4483" w:rsidRPr="00D1552C" w:rsidRDefault="00DF4483" w:rsidP="009E643C">
      <w:pPr>
        <w:pStyle w:val="FootnoteText"/>
        <w:spacing w:before="0"/>
        <w:rPr>
          <w:lang w:val="es-ES"/>
        </w:rPr>
      </w:pPr>
      <w:r w:rsidRPr="00D1552C">
        <w:rPr>
          <w:rStyle w:val="FootnoteReference"/>
          <w:lang w:val="es-ES"/>
        </w:rPr>
        <w:footnoteRef/>
      </w:r>
      <w:r w:rsidR="009E643C">
        <w:rPr>
          <w:lang w:val="es-ES"/>
        </w:rPr>
        <w:t xml:space="preserve"> </w:t>
      </w:r>
      <w:r w:rsidR="00E770C7" w:rsidRPr="00D1552C">
        <w:rPr>
          <w:lang w:val="es-ES"/>
        </w:rPr>
        <w:t xml:space="preserve">En su quincuagésima segunda </w:t>
      </w:r>
      <w:r w:rsidR="00364FB4">
        <w:rPr>
          <w:lang w:val="es-ES"/>
        </w:rPr>
        <w:t>reunión</w:t>
      </w:r>
      <w:r w:rsidR="00E770C7" w:rsidRPr="00D1552C">
        <w:rPr>
          <w:lang w:val="es-ES"/>
        </w:rPr>
        <w:t>, celebrada del 8 al 12 de junio de 2020</w:t>
      </w:r>
      <w:r w:rsidRPr="00D1552C">
        <w:rPr>
          <w:lang w:val="es-ES"/>
        </w:rPr>
        <w:t>.</w:t>
      </w:r>
    </w:p>
  </w:footnote>
  <w:footnote w:id="4">
    <w:p w14:paraId="56EC4A47" w14:textId="715F9C5F" w:rsidR="00DF4483" w:rsidRPr="00D1552C" w:rsidRDefault="00DF4483" w:rsidP="009E643C">
      <w:pPr>
        <w:pStyle w:val="FootnoteText"/>
        <w:spacing w:before="0"/>
        <w:rPr>
          <w:lang w:val="es-ES"/>
        </w:rPr>
      </w:pPr>
      <w:r w:rsidRPr="00D1552C">
        <w:rPr>
          <w:rStyle w:val="FootnoteReference"/>
          <w:lang w:val="es-ES"/>
        </w:rPr>
        <w:footnoteRef/>
      </w:r>
      <w:r w:rsidR="009E643C">
        <w:rPr>
          <w:lang w:val="es-ES"/>
        </w:rPr>
        <w:t xml:space="preserve"> </w:t>
      </w:r>
      <w:r w:rsidR="00E770C7" w:rsidRPr="00D1552C">
        <w:rPr>
          <w:lang w:val="es-ES"/>
        </w:rPr>
        <w:t xml:space="preserve">En su cuadragésima novena </w:t>
      </w:r>
      <w:r w:rsidR="00364FB4">
        <w:rPr>
          <w:lang w:val="es-ES"/>
        </w:rPr>
        <w:t>reunión</w:t>
      </w:r>
      <w:r w:rsidR="00E770C7" w:rsidRPr="00D1552C">
        <w:rPr>
          <w:lang w:val="es-ES"/>
        </w:rPr>
        <w:t>, celebrada del 22 al 26 de junio de 2020</w:t>
      </w:r>
      <w:r w:rsidRPr="00D1552C">
        <w:rPr>
          <w:lang w:val="es-ES"/>
        </w:rPr>
        <w:t>.</w:t>
      </w:r>
    </w:p>
  </w:footnote>
  <w:footnote w:id="5">
    <w:p w14:paraId="41EA6494" w14:textId="6B7452EB" w:rsidR="00DF4483" w:rsidRPr="00D1552C" w:rsidRDefault="00DF4483" w:rsidP="009E643C">
      <w:pPr>
        <w:pStyle w:val="FootnoteText"/>
        <w:spacing w:before="0"/>
        <w:rPr>
          <w:lang w:val="es-ES"/>
        </w:rPr>
      </w:pPr>
      <w:r w:rsidRPr="00D1552C">
        <w:rPr>
          <w:rStyle w:val="FootnoteReference"/>
          <w:lang w:val="es-ES"/>
        </w:rPr>
        <w:footnoteRef/>
      </w:r>
      <w:r w:rsidR="009E643C">
        <w:rPr>
          <w:lang w:val="es-ES"/>
        </w:rPr>
        <w:t xml:space="preserve"> </w:t>
      </w:r>
      <w:r w:rsidR="00E770C7" w:rsidRPr="00D1552C">
        <w:rPr>
          <w:lang w:val="es-ES"/>
        </w:rPr>
        <w:t xml:space="preserve">En su quincuagésima primera </w:t>
      </w:r>
      <w:r w:rsidR="00364FB4">
        <w:rPr>
          <w:lang w:val="es-ES"/>
        </w:rPr>
        <w:t>reunión</w:t>
      </w:r>
      <w:r w:rsidR="00E770C7" w:rsidRPr="00D1552C">
        <w:rPr>
          <w:lang w:val="es-ES"/>
        </w:rPr>
        <w:t>, celebrada del 6 al 10 de julio de 2020.</w:t>
      </w:r>
    </w:p>
  </w:footnote>
  <w:footnote w:id="6">
    <w:p w14:paraId="582152FD" w14:textId="42772FF3" w:rsidR="00DF4483" w:rsidRPr="00D1552C" w:rsidRDefault="00DF4483" w:rsidP="009E643C">
      <w:pPr>
        <w:pStyle w:val="FootnoteText"/>
        <w:spacing w:before="0"/>
        <w:rPr>
          <w:lang w:val="es-ES"/>
        </w:rPr>
      </w:pPr>
      <w:r w:rsidRPr="00D1552C">
        <w:rPr>
          <w:rStyle w:val="FootnoteReference"/>
          <w:lang w:val="es-ES"/>
        </w:rPr>
        <w:footnoteRef/>
      </w:r>
      <w:r w:rsidR="009E643C">
        <w:rPr>
          <w:lang w:val="es-ES"/>
        </w:rPr>
        <w:t xml:space="preserve"> </w:t>
      </w:r>
      <w:r w:rsidR="00E770C7" w:rsidRPr="00D1552C">
        <w:rPr>
          <w:lang w:val="es-ES"/>
        </w:rPr>
        <w:t xml:space="preserve">En su trigésima octava </w:t>
      </w:r>
      <w:r w:rsidR="00364FB4">
        <w:rPr>
          <w:lang w:val="es-ES"/>
        </w:rPr>
        <w:t>reunión</w:t>
      </w:r>
      <w:r w:rsidR="00E770C7" w:rsidRPr="00D1552C">
        <w:rPr>
          <w:lang w:val="es-ES"/>
        </w:rPr>
        <w:t>, celebrada del 21 al 23 de septiembre de 2020</w:t>
      </w:r>
      <w:r w:rsidRPr="00D1552C">
        <w:rPr>
          <w:lang w:val="es-ES"/>
        </w:rPr>
        <w:t>.</w:t>
      </w:r>
    </w:p>
  </w:footnote>
  <w:footnote w:id="7">
    <w:p w14:paraId="06CE6B56" w14:textId="77777777" w:rsidR="00DF4483" w:rsidRPr="00D1552C" w:rsidRDefault="00DF4483" w:rsidP="00DF4483">
      <w:pPr>
        <w:pStyle w:val="FootnoteText"/>
        <w:rPr>
          <w:lang w:val="es-ES"/>
        </w:rPr>
      </w:pPr>
      <w:r w:rsidRPr="00D1552C">
        <w:rPr>
          <w:vertAlign w:val="superscript"/>
          <w:lang w:val="es-ES"/>
        </w:rPr>
        <w:t>1</w:t>
      </w:r>
      <w:r w:rsidRPr="00D1552C">
        <w:rPr>
          <w:rStyle w:val="FootnoteReference"/>
          <w:color w:val="FFFFFF" w:themeColor="background1"/>
          <w:sz w:val="2"/>
          <w:lang w:val="es-ES"/>
        </w:rPr>
        <w:footnoteRef/>
      </w:r>
      <w:r w:rsidRPr="00D1552C">
        <w:rPr>
          <w:color w:val="FFFFFF" w:themeColor="background1"/>
          <w:lang w:val="es-ES"/>
        </w:rPr>
        <w:t xml:space="preserve"> </w:t>
      </w:r>
      <w:r w:rsidRPr="00D1552C">
        <w:rPr>
          <w:lang w:val="es-ES"/>
        </w:rPr>
        <w:t>Breeders’ Day</w:t>
      </w:r>
      <w:bookmarkStart w:id="26" w:name="_GoBack"/>
      <w:bookmarkEnd w:id="26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B2F236" w14:textId="3F4014BF" w:rsidR="00DF4483" w:rsidRPr="009E643C" w:rsidRDefault="00DF4483" w:rsidP="009E643C">
    <w:pPr>
      <w:pStyle w:val="Header"/>
      <w:rPr>
        <w:rStyle w:val="PageNumber"/>
      </w:rPr>
    </w:pPr>
    <w:r w:rsidRPr="009E643C">
      <w:rPr>
        <w:rStyle w:val="PageNumber"/>
      </w:rPr>
      <w:t>TC/56/</w:t>
    </w:r>
    <w:r w:rsidR="009E643C" w:rsidRPr="009E643C">
      <w:rPr>
        <w:rStyle w:val="PageNumber"/>
      </w:rPr>
      <w:t>INF/6</w:t>
    </w:r>
  </w:p>
  <w:p w14:paraId="4F02D8AF" w14:textId="7BF59D17" w:rsidR="00DF4483" w:rsidRPr="009E643C" w:rsidRDefault="00DF4483" w:rsidP="009E643C">
    <w:pPr>
      <w:pStyle w:val="Header"/>
    </w:pPr>
    <w:r w:rsidRPr="009E643C">
      <w:t xml:space="preserve">página </w:t>
    </w:r>
    <w:r w:rsidRPr="009E643C">
      <w:rPr>
        <w:rStyle w:val="PageNumber"/>
      </w:rPr>
      <w:fldChar w:fldCharType="begin"/>
    </w:r>
    <w:r w:rsidRPr="009E643C">
      <w:rPr>
        <w:rStyle w:val="PageNumber"/>
      </w:rPr>
      <w:instrText xml:space="preserve"> PAGE </w:instrText>
    </w:r>
    <w:r w:rsidRPr="009E643C">
      <w:rPr>
        <w:rStyle w:val="PageNumber"/>
      </w:rPr>
      <w:fldChar w:fldCharType="separate"/>
    </w:r>
    <w:r w:rsidR="002C1037">
      <w:rPr>
        <w:rStyle w:val="PageNumber"/>
        <w:noProof/>
      </w:rPr>
      <w:t>4</w:t>
    </w:r>
    <w:r w:rsidRPr="009E643C">
      <w:rPr>
        <w:rStyle w:val="PageNumber"/>
      </w:rPr>
      <w:fldChar w:fldCharType="end"/>
    </w:r>
  </w:p>
  <w:p w14:paraId="3B3F8DF6" w14:textId="77777777" w:rsidR="00DF4483" w:rsidRPr="009E643C" w:rsidRDefault="00DF4483" w:rsidP="009E643C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65563" w14:textId="77777777" w:rsidR="00182B99" w:rsidRPr="000A23DC" w:rsidRDefault="00467B42" w:rsidP="000A23DC">
    <w:pPr>
      <w:pStyle w:val="Header"/>
      <w:rPr>
        <w:rStyle w:val="PageNumber"/>
      </w:rPr>
    </w:pPr>
    <w:r>
      <w:rPr>
        <w:rStyle w:val="PageNumber"/>
      </w:rPr>
      <w:t>TC/56</w:t>
    </w:r>
    <w:r w:rsidR="00667404" w:rsidRPr="000A23DC">
      <w:rPr>
        <w:rStyle w:val="PageNumber"/>
      </w:rPr>
      <w:t>/</w:t>
    </w:r>
  </w:p>
  <w:p w14:paraId="73D66B90" w14:textId="63B18C3B"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2C1037">
      <w:rPr>
        <w:rStyle w:val="PageNumber"/>
        <w:noProof/>
        <w:lang w:val="de-DE"/>
      </w:rPr>
      <w:t>3</w:t>
    </w:r>
    <w:r w:rsidR="00182B99" w:rsidRPr="00202E38">
      <w:rPr>
        <w:rStyle w:val="PageNumber"/>
        <w:lang w:val="de-DE"/>
      </w:rPr>
      <w:fldChar w:fldCharType="end"/>
    </w:r>
  </w:p>
  <w:p w14:paraId="03E960CA" w14:textId="77777777"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83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548DC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1037"/>
    <w:rsid w:val="002C256A"/>
    <w:rsid w:val="002D17AB"/>
    <w:rsid w:val="002E5944"/>
    <w:rsid w:val="00305A7F"/>
    <w:rsid w:val="003152FE"/>
    <w:rsid w:val="00327436"/>
    <w:rsid w:val="003370AA"/>
    <w:rsid w:val="00344BD6"/>
    <w:rsid w:val="0035528D"/>
    <w:rsid w:val="0035649C"/>
    <w:rsid w:val="00361821"/>
    <w:rsid w:val="00361E9E"/>
    <w:rsid w:val="00364FB4"/>
    <w:rsid w:val="003B031A"/>
    <w:rsid w:val="003C7FBE"/>
    <w:rsid w:val="003D227C"/>
    <w:rsid w:val="003D2B4D"/>
    <w:rsid w:val="003D5746"/>
    <w:rsid w:val="0040557F"/>
    <w:rsid w:val="00444A88"/>
    <w:rsid w:val="00467B42"/>
    <w:rsid w:val="00474DA4"/>
    <w:rsid w:val="00476B4D"/>
    <w:rsid w:val="004805FA"/>
    <w:rsid w:val="004935D2"/>
    <w:rsid w:val="004A5DA0"/>
    <w:rsid w:val="004B1215"/>
    <w:rsid w:val="004D047D"/>
    <w:rsid w:val="004F1E9E"/>
    <w:rsid w:val="004F305A"/>
    <w:rsid w:val="00512164"/>
    <w:rsid w:val="00520297"/>
    <w:rsid w:val="005338F9"/>
    <w:rsid w:val="0054281C"/>
    <w:rsid w:val="0054362B"/>
    <w:rsid w:val="00544581"/>
    <w:rsid w:val="00545E42"/>
    <w:rsid w:val="0055268D"/>
    <w:rsid w:val="00576BE4"/>
    <w:rsid w:val="005A1EC1"/>
    <w:rsid w:val="005A400A"/>
    <w:rsid w:val="005F7B92"/>
    <w:rsid w:val="00612379"/>
    <w:rsid w:val="006153B6"/>
    <w:rsid w:val="0061555F"/>
    <w:rsid w:val="00631E71"/>
    <w:rsid w:val="00636CA6"/>
    <w:rsid w:val="00637EDD"/>
    <w:rsid w:val="00640E62"/>
    <w:rsid w:val="00641200"/>
    <w:rsid w:val="00645CA8"/>
    <w:rsid w:val="006655D3"/>
    <w:rsid w:val="00667404"/>
    <w:rsid w:val="00687EB4"/>
    <w:rsid w:val="00687F84"/>
    <w:rsid w:val="00695C56"/>
    <w:rsid w:val="006964B9"/>
    <w:rsid w:val="006A5CDE"/>
    <w:rsid w:val="006A644A"/>
    <w:rsid w:val="006B17D2"/>
    <w:rsid w:val="006C224E"/>
    <w:rsid w:val="006D780A"/>
    <w:rsid w:val="0071168D"/>
    <w:rsid w:val="0071271E"/>
    <w:rsid w:val="00712B4A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B34D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56A55"/>
    <w:rsid w:val="00864C55"/>
    <w:rsid w:val="008650A8"/>
    <w:rsid w:val="00867AC1"/>
    <w:rsid w:val="00890DF8"/>
    <w:rsid w:val="008A743F"/>
    <w:rsid w:val="008B3D8D"/>
    <w:rsid w:val="008C0970"/>
    <w:rsid w:val="008D0BC5"/>
    <w:rsid w:val="008D2CF7"/>
    <w:rsid w:val="008F6586"/>
    <w:rsid w:val="008F69E4"/>
    <w:rsid w:val="00900C26"/>
    <w:rsid w:val="0090197F"/>
    <w:rsid w:val="00902284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6477"/>
    <w:rsid w:val="00997029"/>
    <w:rsid w:val="009A7339"/>
    <w:rsid w:val="009B440E"/>
    <w:rsid w:val="009D58B0"/>
    <w:rsid w:val="009D690D"/>
    <w:rsid w:val="009E643C"/>
    <w:rsid w:val="009E65B6"/>
    <w:rsid w:val="00A11F41"/>
    <w:rsid w:val="00A24C10"/>
    <w:rsid w:val="00A32084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46E18"/>
    <w:rsid w:val="00B54A92"/>
    <w:rsid w:val="00B61777"/>
    <w:rsid w:val="00B65C1D"/>
    <w:rsid w:val="00B84BBD"/>
    <w:rsid w:val="00BA43FB"/>
    <w:rsid w:val="00BB3986"/>
    <w:rsid w:val="00BB6CC1"/>
    <w:rsid w:val="00BC0BD4"/>
    <w:rsid w:val="00BC127D"/>
    <w:rsid w:val="00BC1FE6"/>
    <w:rsid w:val="00C061B6"/>
    <w:rsid w:val="00C2446C"/>
    <w:rsid w:val="00C325CF"/>
    <w:rsid w:val="00C36AE5"/>
    <w:rsid w:val="00C41F17"/>
    <w:rsid w:val="00C517CC"/>
    <w:rsid w:val="00C527FA"/>
    <w:rsid w:val="00C5280D"/>
    <w:rsid w:val="00C53EB3"/>
    <w:rsid w:val="00C5791C"/>
    <w:rsid w:val="00C66290"/>
    <w:rsid w:val="00C72B7A"/>
    <w:rsid w:val="00C77237"/>
    <w:rsid w:val="00C973F2"/>
    <w:rsid w:val="00CA304C"/>
    <w:rsid w:val="00CA774A"/>
    <w:rsid w:val="00CB0D89"/>
    <w:rsid w:val="00CC11B0"/>
    <w:rsid w:val="00CC2841"/>
    <w:rsid w:val="00CE49AB"/>
    <w:rsid w:val="00CF1330"/>
    <w:rsid w:val="00CF7E36"/>
    <w:rsid w:val="00D02538"/>
    <w:rsid w:val="00D101FC"/>
    <w:rsid w:val="00D1552C"/>
    <w:rsid w:val="00D3708D"/>
    <w:rsid w:val="00D40426"/>
    <w:rsid w:val="00D57C96"/>
    <w:rsid w:val="00D57D18"/>
    <w:rsid w:val="00D86312"/>
    <w:rsid w:val="00D91203"/>
    <w:rsid w:val="00D95174"/>
    <w:rsid w:val="00DA4973"/>
    <w:rsid w:val="00DA6F36"/>
    <w:rsid w:val="00DB596E"/>
    <w:rsid w:val="00DB7773"/>
    <w:rsid w:val="00DC00EA"/>
    <w:rsid w:val="00DC3802"/>
    <w:rsid w:val="00DF4483"/>
    <w:rsid w:val="00E07D87"/>
    <w:rsid w:val="00E10622"/>
    <w:rsid w:val="00E2249A"/>
    <w:rsid w:val="00E32F7E"/>
    <w:rsid w:val="00E511E0"/>
    <w:rsid w:val="00E5267B"/>
    <w:rsid w:val="00E63C0E"/>
    <w:rsid w:val="00E729B4"/>
    <w:rsid w:val="00E72D49"/>
    <w:rsid w:val="00E7593C"/>
    <w:rsid w:val="00E7678A"/>
    <w:rsid w:val="00E770C7"/>
    <w:rsid w:val="00E935F1"/>
    <w:rsid w:val="00E94A81"/>
    <w:rsid w:val="00EA1FFB"/>
    <w:rsid w:val="00EB048E"/>
    <w:rsid w:val="00EB4E9C"/>
    <w:rsid w:val="00EC2265"/>
    <w:rsid w:val="00EE34DF"/>
    <w:rsid w:val="00EE5202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3521DD31"/>
  <w15:docId w15:val="{C39575CB-58BE-41F0-8079-840C4ADA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2C1037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uiPriority w:val="39"/>
    <w:rsid w:val="002C1037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2C1037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DF4483"/>
    <w:rPr>
      <w:rFonts w:ascii="Arial" w:hAnsi="Arial"/>
      <w:caps/>
    </w:rPr>
  </w:style>
  <w:style w:type="character" w:customStyle="1" w:styleId="FootnoteTextChar">
    <w:name w:val="Footnote Text Char"/>
    <w:basedOn w:val="DefaultParagraphFont"/>
    <w:link w:val="FootnoteText"/>
    <w:rsid w:val="00DF4483"/>
    <w:rPr>
      <w:rFonts w:ascii="Arial" w:hAnsi="Arial"/>
      <w:sz w:val="16"/>
      <w:lang w:val="es-ES_tradnl"/>
    </w:rPr>
  </w:style>
  <w:style w:type="character" w:styleId="CommentReference">
    <w:name w:val="annotation reference"/>
    <w:basedOn w:val="DefaultParagraphFont"/>
    <w:semiHidden/>
    <w:unhideWhenUsed/>
    <w:rsid w:val="00687F8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7F84"/>
  </w:style>
  <w:style w:type="character" w:customStyle="1" w:styleId="CommentTextChar">
    <w:name w:val="Comment Text Char"/>
    <w:basedOn w:val="DefaultParagraphFont"/>
    <w:link w:val="CommentText"/>
    <w:semiHidden/>
    <w:rsid w:val="00687F84"/>
    <w:rPr>
      <w:rFonts w:ascii="Arial" w:hAnsi="Arial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7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7F84"/>
    <w:rPr>
      <w:rFonts w:ascii="Arial" w:hAnsi="Arial"/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2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87CA-B936-420C-ADFB-E382299A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1552</Words>
  <Characters>9520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TC/56</vt:lpstr>
    </vt:vector>
  </TitlesOfParts>
  <Company>UPOV</Company>
  <LinksUpToDate>false</LinksUpToDate>
  <CharactersWithSpaces>11050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TC/56</dc:title>
  <dc:creator>VILA VERNIS Ramón</dc:creator>
  <cp:keywords>FOR OFFICIAL USE ONLY</cp:keywords>
  <cp:lastModifiedBy>MAY Jessica</cp:lastModifiedBy>
  <cp:revision>3</cp:revision>
  <cp:lastPrinted>2016-11-22T15:41:00Z</cp:lastPrinted>
  <dcterms:created xsi:type="dcterms:W3CDTF">2020-10-20T14:31:00Z</dcterms:created>
  <dcterms:modified xsi:type="dcterms:W3CDTF">2020-10-21T12:12:00Z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a3ee611e-e686-47f5-8dc9-125ca51b808d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