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54466D" w:rsidTr="00EB4E9C">
        <w:tc>
          <w:tcPr>
            <w:tcW w:w="6522" w:type="dxa"/>
          </w:tcPr>
          <w:p w:rsidR="00DC3802" w:rsidRPr="0054466D" w:rsidRDefault="00DC3802" w:rsidP="005D28D1">
            <w:pPr>
              <w:rPr>
                <w:dstrike/>
                <w:lang w:val="es-419"/>
              </w:rPr>
            </w:pPr>
            <w:r w:rsidRPr="0054466D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54466D" w:rsidRDefault="002E5944" w:rsidP="00AC2883">
            <w:pPr>
              <w:pStyle w:val="Lettrine"/>
              <w:rPr>
                <w:dstrike/>
                <w:lang w:val="es-419"/>
              </w:rPr>
            </w:pPr>
            <w:r w:rsidRPr="0054466D">
              <w:rPr>
                <w:lang w:val="es-419"/>
              </w:rPr>
              <w:t>S</w:t>
            </w:r>
          </w:p>
        </w:tc>
      </w:tr>
      <w:tr w:rsidR="00DC3802" w:rsidRPr="0054466D" w:rsidTr="00645CA8">
        <w:trPr>
          <w:trHeight w:val="219"/>
        </w:trPr>
        <w:tc>
          <w:tcPr>
            <w:tcW w:w="6522" w:type="dxa"/>
          </w:tcPr>
          <w:p w:rsidR="00DC3802" w:rsidRPr="0054466D" w:rsidRDefault="002E5944" w:rsidP="00BC0BD4">
            <w:pPr>
              <w:pStyle w:val="upove"/>
              <w:rPr>
                <w:dstrike/>
                <w:lang w:val="es-419"/>
              </w:rPr>
            </w:pPr>
            <w:r w:rsidRPr="0054466D">
              <w:rPr>
                <w:lang w:val="es-419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54466D" w:rsidRDefault="00DC3802" w:rsidP="00DA4973">
            <w:pPr>
              <w:rPr>
                <w:lang w:val="es-419"/>
              </w:rPr>
            </w:pPr>
          </w:p>
        </w:tc>
      </w:tr>
    </w:tbl>
    <w:p w:rsidR="00DC3802" w:rsidRPr="0054466D" w:rsidRDefault="00DC3802" w:rsidP="00DC3802">
      <w:pPr>
        <w:rPr>
          <w:lang w:val="es-419"/>
        </w:rPr>
      </w:pPr>
    </w:p>
    <w:p w:rsidR="00DA4973" w:rsidRPr="0054466D" w:rsidRDefault="00DA4973" w:rsidP="00DC3802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54466D" w:rsidTr="000D48E9">
        <w:tc>
          <w:tcPr>
            <w:tcW w:w="6512" w:type="dxa"/>
            <w:tcBorders>
              <w:bottom w:val="single" w:sz="4" w:space="0" w:color="auto"/>
            </w:tcBorders>
          </w:tcPr>
          <w:p w:rsidR="00EB4E9C" w:rsidRPr="0054466D" w:rsidRDefault="002E5944" w:rsidP="00AC2883">
            <w:pPr>
              <w:pStyle w:val="Sessiontc"/>
              <w:spacing w:line="240" w:lineRule="auto"/>
              <w:rPr>
                <w:lang w:val="es-419"/>
              </w:rPr>
            </w:pPr>
            <w:r w:rsidRPr="0054466D">
              <w:rPr>
                <w:lang w:val="es-419"/>
              </w:rPr>
              <w:t>Comité Técnico</w:t>
            </w:r>
          </w:p>
          <w:p w:rsidR="00EB4E9C" w:rsidRPr="0054466D" w:rsidRDefault="002E5944" w:rsidP="00467B42">
            <w:pPr>
              <w:pStyle w:val="Sessiontcplacedate"/>
              <w:rPr>
                <w:dstrike/>
                <w:sz w:val="22"/>
                <w:lang w:val="es-419"/>
              </w:rPr>
            </w:pPr>
            <w:r w:rsidRPr="0054466D">
              <w:rPr>
                <w:lang w:val="es-419"/>
              </w:rPr>
              <w:t xml:space="preserve">Quincuagésima </w:t>
            </w:r>
            <w:r w:rsidR="00467B42" w:rsidRPr="0054466D">
              <w:rPr>
                <w:lang w:val="es-419"/>
              </w:rPr>
              <w:t>sex</w:t>
            </w:r>
            <w:r w:rsidR="005A1EC1" w:rsidRPr="0054466D">
              <w:rPr>
                <w:lang w:val="es-419"/>
              </w:rPr>
              <w:t>ta</w:t>
            </w:r>
            <w:r w:rsidRPr="0054466D">
              <w:rPr>
                <w:lang w:val="es-419"/>
              </w:rPr>
              <w:t xml:space="preserve"> sesión</w:t>
            </w:r>
            <w:r w:rsidR="00EB4E9C" w:rsidRPr="0054466D">
              <w:rPr>
                <w:lang w:val="es-419"/>
              </w:rPr>
              <w:br/>
            </w:r>
            <w:r w:rsidRPr="0054466D">
              <w:rPr>
                <w:lang w:val="es-419"/>
              </w:rPr>
              <w:t>Ginebra</w:t>
            </w:r>
            <w:r w:rsidR="003A7CAF" w:rsidRPr="0054466D">
              <w:rPr>
                <w:lang w:val="es-419"/>
              </w:rPr>
              <w:t>, 2</w:t>
            </w:r>
            <w:r w:rsidR="00467B42" w:rsidRPr="0054466D">
              <w:rPr>
                <w:lang w:val="es-419"/>
              </w:rPr>
              <w:t>6</w:t>
            </w:r>
            <w:r w:rsidR="005A1EC1" w:rsidRPr="0054466D">
              <w:rPr>
                <w:lang w:val="es-419"/>
              </w:rPr>
              <w:t xml:space="preserve"> y</w:t>
            </w:r>
            <w:r w:rsidR="003A7CAF" w:rsidRPr="0054466D">
              <w:rPr>
                <w:lang w:val="es-419"/>
              </w:rPr>
              <w:t> 2</w:t>
            </w:r>
            <w:r w:rsidR="00467B42" w:rsidRPr="0054466D">
              <w:rPr>
                <w:lang w:val="es-419"/>
              </w:rPr>
              <w:t>7</w:t>
            </w:r>
            <w:r w:rsidR="005A1EC1" w:rsidRPr="0054466D">
              <w:rPr>
                <w:lang w:val="es-419"/>
              </w:rPr>
              <w:t xml:space="preserve"> de octubre </w:t>
            </w:r>
            <w:r w:rsidRPr="0054466D">
              <w:rPr>
                <w:lang w:val="es-419"/>
              </w:rPr>
              <w:t>de</w:t>
            </w:r>
            <w:r w:rsidR="003A7CAF" w:rsidRPr="0054466D">
              <w:rPr>
                <w:lang w:val="es-419"/>
              </w:rPr>
              <w:t> 2</w:t>
            </w:r>
            <w:r w:rsidR="00467B42" w:rsidRPr="0054466D">
              <w:rPr>
                <w:lang w:val="es-419"/>
              </w:rPr>
              <w:t>020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EB4E9C" w:rsidRPr="0054466D" w:rsidRDefault="00467B42" w:rsidP="003C7FBE">
            <w:pPr>
              <w:pStyle w:val="Doccode"/>
              <w:rPr>
                <w:lang w:val="es-419"/>
              </w:rPr>
            </w:pPr>
            <w:r w:rsidRPr="0054466D">
              <w:rPr>
                <w:lang w:val="es-419"/>
              </w:rPr>
              <w:t>TC/56</w:t>
            </w:r>
            <w:r w:rsidR="00EB4E9C" w:rsidRPr="0054466D">
              <w:rPr>
                <w:lang w:val="es-419"/>
              </w:rPr>
              <w:t>/</w:t>
            </w:r>
            <w:r w:rsidR="001813AB" w:rsidRPr="0054466D">
              <w:rPr>
                <w:lang w:val="es-419"/>
              </w:rPr>
              <w:t>10</w:t>
            </w:r>
            <w:r w:rsidR="00780406">
              <w:rPr>
                <w:lang w:val="es-419"/>
              </w:rPr>
              <w:t xml:space="preserve"> </w:t>
            </w:r>
            <w:r w:rsidR="00780406" w:rsidRPr="00780406">
              <w:rPr>
                <w:highlight w:val="yellow"/>
                <w:u w:val="single"/>
                <w:lang w:val="es-419"/>
              </w:rPr>
              <w:t>Rev.</w:t>
            </w:r>
          </w:p>
          <w:p w:rsidR="00EB4E9C" w:rsidRPr="0054466D" w:rsidRDefault="00EB4E9C" w:rsidP="003C7FBE">
            <w:pPr>
              <w:pStyle w:val="Docoriginal"/>
              <w:rPr>
                <w:lang w:val="es-419"/>
              </w:rPr>
            </w:pPr>
            <w:r w:rsidRPr="0054466D">
              <w:rPr>
                <w:lang w:val="es-419"/>
              </w:rPr>
              <w:t>Original:</w:t>
            </w:r>
            <w:r w:rsidR="0049790B" w:rsidRPr="0054466D">
              <w:rPr>
                <w:b w:val="0"/>
                <w:spacing w:val="0"/>
                <w:lang w:val="es-419"/>
              </w:rPr>
              <w:t xml:space="preserve"> </w:t>
            </w:r>
            <w:proofErr w:type="gramStart"/>
            <w:r w:rsidR="002E5944" w:rsidRPr="0054466D">
              <w:rPr>
                <w:b w:val="0"/>
                <w:spacing w:val="0"/>
                <w:lang w:val="es-419"/>
              </w:rPr>
              <w:t>Inglés</w:t>
            </w:r>
            <w:proofErr w:type="gramEnd"/>
          </w:p>
          <w:p w:rsidR="00EB4E9C" w:rsidRPr="0054466D" w:rsidRDefault="002E5944" w:rsidP="000D48E9">
            <w:pPr>
              <w:pStyle w:val="Docoriginal"/>
              <w:ind w:left="720" w:hanging="709"/>
              <w:rPr>
                <w:lang w:val="es-419"/>
              </w:rPr>
            </w:pPr>
            <w:r w:rsidRPr="0054466D">
              <w:rPr>
                <w:lang w:val="es-419"/>
              </w:rPr>
              <w:t>Fecha</w:t>
            </w:r>
            <w:r w:rsidR="00EB4E9C" w:rsidRPr="0054466D">
              <w:rPr>
                <w:lang w:val="es-419"/>
              </w:rPr>
              <w:t>:</w:t>
            </w:r>
            <w:r w:rsidR="003A7CAF" w:rsidRPr="0054466D">
              <w:rPr>
                <w:b w:val="0"/>
                <w:spacing w:val="0"/>
                <w:lang w:val="es-419"/>
              </w:rPr>
              <w:t> </w:t>
            </w:r>
            <w:r w:rsidR="00780406">
              <w:rPr>
                <w:b w:val="0"/>
                <w:spacing w:val="0"/>
                <w:lang w:val="es-419"/>
              </w:rPr>
              <w:t xml:space="preserve"> </w:t>
            </w:r>
            <w:r w:rsidR="000D48E9">
              <w:rPr>
                <w:b w:val="0"/>
                <w:strike/>
                <w:spacing w:val="0"/>
                <w:highlight w:val="yellow"/>
                <w:lang w:val="es-419"/>
              </w:rPr>
              <w:t>18</w:t>
            </w:r>
            <w:r w:rsidR="000D48E9" w:rsidRPr="00F21EC1">
              <w:rPr>
                <w:b w:val="0"/>
                <w:strike/>
                <w:spacing w:val="0"/>
                <w:highlight w:val="yellow"/>
                <w:lang w:val="es-419"/>
              </w:rPr>
              <w:t xml:space="preserve"> de agosto</w:t>
            </w:r>
            <w:r w:rsidR="000D48E9" w:rsidRPr="0065784C">
              <w:rPr>
                <w:b w:val="0"/>
                <w:spacing w:val="0"/>
                <w:lang w:val="es-419"/>
              </w:rPr>
              <w:t xml:space="preserve"> </w:t>
            </w:r>
            <w:r w:rsidR="000D48E9">
              <w:rPr>
                <w:b w:val="0"/>
                <w:spacing w:val="0"/>
                <w:lang w:val="es-419"/>
              </w:rPr>
              <w:br/>
              <w:t xml:space="preserve"> </w:t>
            </w:r>
            <w:r w:rsidR="000D48E9" w:rsidRPr="00F21EC1">
              <w:rPr>
                <w:b w:val="0"/>
                <w:spacing w:val="0"/>
                <w:highlight w:val="yellow"/>
                <w:u w:val="single"/>
                <w:lang w:val="es-419"/>
              </w:rPr>
              <w:t>2</w:t>
            </w:r>
            <w:r w:rsidR="000D48E9">
              <w:rPr>
                <w:b w:val="0"/>
                <w:spacing w:val="0"/>
                <w:highlight w:val="yellow"/>
                <w:u w:val="single"/>
                <w:lang w:val="es-419"/>
              </w:rPr>
              <w:t>5</w:t>
            </w:r>
            <w:r w:rsidR="000D48E9" w:rsidRPr="00F21EC1">
              <w:rPr>
                <w:b w:val="0"/>
                <w:spacing w:val="0"/>
                <w:highlight w:val="yellow"/>
                <w:u w:val="single"/>
                <w:lang w:val="es-419"/>
              </w:rPr>
              <w:t xml:space="preserve"> de septiembre</w:t>
            </w:r>
            <w:r w:rsidR="000D48E9">
              <w:rPr>
                <w:b w:val="0"/>
                <w:spacing w:val="0"/>
                <w:lang w:val="es-419"/>
              </w:rPr>
              <w:t xml:space="preserve"> </w:t>
            </w:r>
            <w:r w:rsidR="000D48E9" w:rsidRPr="0065784C">
              <w:rPr>
                <w:b w:val="0"/>
                <w:spacing w:val="0"/>
                <w:lang w:val="es-419"/>
              </w:rPr>
              <w:t>de 2020</w:t>
            </w:r>
          </w:p>
        </w:tc>
      </w:tr>
      <w:tr w:rsidR="00EC72A6" w:rsidRPr="0054466D" w:rsidTr="000D48E9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EC72A6" w:rsidRPr="0054466D" w:rsidRDefault="00EC72A6" w:rsidP="00AC2883">
            <w:pPr>
              <w:pStyle w:val="Sessiontc"/>
              <w:spacing w:line="240" w:lineRule="auto"/>
              <w:rPr>
                <w:lang w:val="es-419"/>
              </w:rPr>
            </w:pPr>
            <w:r>
              <w:rPr>
                <w:i/>
              </w:rPr>
              <w:t>para el examen por correspondencia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EC72A6" w:rsidRPr="0054466D" w:rsidRDefault="00EC72A6" w:rsidP="003C7FBE">
            <w:pPr>
              <w:pStyle w:val="Doccode"/>
              <w:rPr>
                <w:lang w:val="es-419"/>
              </w:rPr>
            </w:pPr>
          </w:p>
        </w:tc>
      </w:tr>
    </w:tbl>
    <w:p w:rsidR="00025C71" w:rsidRPr="0054466D" w:rsidRDefault="0063540A" w:rsidP="0063540A">
      <w:pPr>
        <w:pStyle w:val="Titleofdoc0"/>
        <w:rPr>
          <w:lang w:val="es-419"/>
        </w:rPr>
      </w:pPr>
      <w:bookmarkStart w:id="0" w:name="TitleOfDoc"/>
      <w:bookmarkStart w:id="1" w:name="Prepared"/>
      <w:bookmarkEnd w:id="0"/>
      <w:bookmarkEnd w:id="1"/>
      <w:r w:rsidRPr="0054466D">
        <w:rPr>
          <w:lang w:val="es-419"/>
        </w:rPr>
        <w:t>POSIBLE FUSIÓN DEL </w:t>
      </w:r>
      <w:r w:rsidR="00A6273C" w:rsidRPr="0054466D">
        <w:rPr>
          <w:lang w:val="es-419"/>
        </w:rPr>
        <w:t xml:space="preserve">BMT Y </w:t>
      </w:r>
      <w:r w:rsidRPr="0054466D">
        <w:rPr>
          <w:lang w:val="es-419"/>
        </w:rPr>
        <w:t>EL </w:t>
      </w:r>
      <w:r w:rsidR="00A6273C" w:rsidRPr="0054466D">
        <w:rPr>
          <w:lang w:val="es-419"/>
        </w:rPr>
        <w:t>TWC</w:t>
      </w:r>
    </w:p>
    <w:p w:rsidR="006A644A" w:rsidRPr="0054466D" w:rsidRDefault="000638A9" w:rsidP="006A644A">
      <w:pPr>
        <w:pStyle w:val="preparedby1"/>
        <w:jc w:val="left"/>
        <w:rPr>
          <w:lang w:val="es-419"/>
        </w:rPr>
      </w:pPr>
      <w:r w:rsidRPr="0054466D">
        <w:rPr>
          <w:lang w:val="es-419"/>
        </w:rPr>
        <w:t>Documento preparado por la Oficina de la Unión</w:t>
      </w:r>
    </w:p>
    <w:p w:rsidR="00050E16" w:rsidRPr="0054466D" w:rsidRDefault="000638A9" w:rsidP="006A644A">
      <w:pPr>
        <w:pStyle w:val="Disclaimer"/>
        <w:rPr>
          <w:lang w:val="es-419"/>
        </w:rPr>
      </w:pPr>
      <w:r w:rsidRPr="0054466D">
        <w:rPr>
          <w:lang w:val="es-419"/>
        </w:rPr>
        <w:t>Descargo de responsabilidad: el presente documento no constituye un documento de política u orientación de la UPOV</w:t>
      </w:r>
    </w:p>
    <w:p w:rsidR="00025C71" w:rsidRPr="0054466D" w:rsidRDefault="00A6273C" w:rsidP="00025C71">
      <w:pPr>
        <w:pStyle w:val="Heading1"/>
        <w:rPr>
          <w:snapToGrid w:val="0"/>
          <w:lang w:val="es-419"/>
        </w:rPr>
      </w:pPr>
      <w:bookmarkStart w:id="2" w:name="_Toc47773611"/>
      <w:r w:rsidRPr="0054466D">
        <w:rPr>
          <w:snapToGrid w:val="0"/>
          <w:lang w:val="es-419"/>
        </w:rPr>
        <w:t>RESUMEN</w:t>
      </w:r>
      <w:bookmarkEnd w:id="2"/>
    </w:p>
    <w:p w:rsidR="00025C71" w:rsidRPr="0054466D" w:rsidRDefault="00025C71" w:rsidP="00025C71">
      <w:pPr>
        <w:rPr>
          <w:snapToGrid w:val="0"/>
          <w:lang w:val="es-419"/>
        </w:rPr>
      </w:pPr>
    </w:p>
    <w:p w:rsidR="00025C71" w:rsidRPr="0054466D" w:rsidRDefault="00661F8F" w:rsidP="00025C71">
      <w:pPr>
        <w:rPr>
          <w:rFonts w:cs="Arial"/>
          <w:lang w:val="es-419"/>
        </w:rPr>
      </w:pPr>
      <w:r w:rsidRPr="0054466D">
        <w:rPr>
          <w:snapToGrid w:val="0"/>
          <w:lang w:val="es-419"/>
        </w:rPr>
        <w:fldChar w:fldCharType="begin"/>
      </w:r>
      <w:r w:rsidR="00025C71" w:rsidRPr="0054466D">
        <w:rPr>
          <w:snapToGrid w:val="0"/>
          <w:lang w:val="es-419"/>
        </w:rPr>
        <w:instrText xml:space="preserve"> AUTONUM  </w:instrText>
      </w:r>
      <w:r w:rsidRPr="0054466D">
        <w:rPr>
          <w:snapToGrid w:val="0"/>
          <w:lang w:val="es-419"/>
        </w:rPr>
        <w:fldChar w:fldCharType="end"/>
      </w:r>
      <w:r w:rsidR="00025C71" w:rsidRPr="0054466D">
        <w:rPr>
          <w:snapToGrid w:val="0"/>
          <w:lang w:val="es-419"/>
        </w:rPr>
        <w:tab/>
      </w:r>
      <w:r w:rsidR="00A6273C" w:rsidRPr="0054466D">
        <w:rPr>
          <w:snapToGrid w:val="0"/>
          <w:lang w:val="es-419"/>
        </w:rPr>
        <w:t xml:space="preserve">El presente documento tiene por </w:t>
      </w:r>
      <w:r w:rsidR="0063540A" w:rsidRPr="0054466D">
        <w:rPr>
          <w:snapToGrid w:val="0"/>
          <w:lang w:val="es-419"/>
        </w:rPr>
        <w:t>finalidad</w:t>
      </w:r>
      <w:r w:rsidR="00A6273C" w:rsidRPr="0054466D">
        <w:rPr>
          <w:snapToGrid w:val="0"/>
          <w:lang w:val="es-419"/>
        </w:rPr>
        <w:t xml:space="preserve"> exponer el proyecto de mandato </w:t>
      </w:r>
      <w:r w:rsidR="00A6273C" w:rsidRPr="0054466D">
        <w:rPr>
          <w:rFonts w:cs="Arial"/>
          <w:lang w:val="es-419"/>
        </w:rPr>
        <w:t xml:space="preserve">de un </w:t>
      </w:r>
      <w:r w:rsidR="009A44FB" w:rsidRPr="0054466D">
        <w:rPr>
          <w:rFonts w:cs="Arial"/>
          <w:lang w:val="es-419"/>
        </w:rPr>
        <w:t>eventual órgano único</w:t>
      </w:r>
      <w:r w:rsidR="00A6273C" w:rsidRPr="0054466D">
        <w:rPr>
          <w:rFonts w:cs="Arial"/>
          <w:lang w:val="es-419"/>
        </w:rPr>
        <w:t xml:space="preserve"> que abarque la labor del </w:t>
      </w:r>
      <w:r w:rsidR="00A6273C" w:rsidRPr="0054466D">
        <w:rPr>
          <w:lang w:val="es-419"/>
        </w:rPr>
        <w:t>Grupo de Trabajo Técnico sobre Automatización y Programas Informáticos</w:t>
      </w:r>
      <w:r w:rsidR="00A6273C" w:rsidRPr="0054466D">
        <w:rPr>
          <w:rFonts w:cs="Arial"/>
          <w:lang w:val="es-419"/>
        </w:rPr>
        <w:t xml:space="preserve"> (TWC) y </w:t>
      </w:r>
      <w:r w:rsidR="00C503CE" w:rsidRPr="0054466D">
        <w:rPr>
          <w:rFonts w:cs="Arial"/>
          <w:lang w:val="es-419"/>
        </w:rPr>
        <w:t xml:space="preserve">la </w:t>
      </w:r>
      <w:r w:rsidR="00A6273C" w:rsidRPr="0054466D">
        <w:rPr>
          <w:rFonts w:cs="Arial"/>
          <w:lang w:val="es-419"/>
        </w:rPr>
        <w:t xml:space="preserve">del </w:t>
      </w:r>
      <w:r w:rsidR="00A6273C" w:rsidRPr="0054466D">
        <w:rPr>
          <w:snapToGrid w:val="0"/>
          <w:lang w:val="es-419"/>
        </w:rPr>
        <w:t>Grupo de Trabajo sobre Técnicas Bioquímicas y Moleculares</w:t>
      </w:r>
      <w:r w:rsidR="003A7CAF" w:rsidRPr="0054466D">
        <w:rPr>
          <w:snapToGrid w:val="0"/>
          <w:lang w:val="es-419"/>
        </w:rPr>
        <w:t xml:space="preserve">, </w:t>
      </w:r>
      <w:r w:rsidR="00A6273C" w:rsidRPr="0054466D">
        <w:rPr>
          <w:snapToGrid w:val="0"/>
          <w:lang w:val="es-419"/>
        </w:rPr>
        <w:t>y Perfiles de ADN en particular (BMT).</w:t>
      </w:r>
      <w:r w:rsidR="0049790B" w:rsidRPr="0054466D">
        <w:rPr>
          <w:rFonts w:cs="Arial"/>
          <w:lang w:val="es-419"/>
        </w:rPr>
        <w:t xml:space="preserve"> </w:t>
      </w:r>
    </w:p>
    <w:p w:rsidR="00025C71" w:rsidRPr="0054466D" w:rsidRDefault="00025C71" w:rsidP="00025C71">
      <w:pPr>
        <w:rPr>
          <w:rFonts w:cs="Arial"/>
          <w:lang w:val="es-419"/>
        </w:rPr>
      </w:pPr>
    </w:p>
    <w:p w:rsidR="004D3A2B" w:rsidRPr="004D3A2B" w:rsidRDefault="004D3A2B" w:rsidP="004D3A2B">
      <w:pPr>
        <w:tabs>
          <w:tab w:val="left" w:pos="567"/>
          <w:tab w:val="left" w:pos="5387"/>
        </w:tabs>
        <w:rPr>
          <w:rFonts w:cs="Arial"/>
          <w:lang w:val="es-ES"/>
        </w:rPr>
      </w:pPr>
      <w:r w:rsidRPr="005928C8">
        <w:rPr>
          <w:rFonts w:cs="Arial"/>
        </w:rPr>
        <w:fldChar w:fldCharType="begin"/>
      </w:r>
      <w:r w:rsidRPr="004D3A2B">
        <w:rPr>
          <w:rFonts w:cs="Arial"/>
          <w:lang w:val="es-ES"/>
        </w:rPr>
        <w:instrText xml:space="preserve"> AUTONUM  </w:instrText>
      </w:r>
      <w:r w:rsidRPr="005928C8">
        <w:rPr>
          <w:rFonts w:cs="Arial"/>
        </w:rPr>
        <w:fldChar w:fldCharType="end"/>
      </w:r>
      <w:r w:rsidRPr="004D3A2B">
        <w:rPr>
          <w:rFonts w:cs="Arial"/>
          <w:lang w:val="es-ES"/>
        </w:rPr>
        <w:tab/>
        <w:t xml:space="preserve">Se invita al </w:t>
      </w:r>
      <w:r w:rsidRPr="004D3A2B">
        <w:rPr>
          <w:lang w:val="es-ES"/>
        </w:rPr>
        <w:t xml:space="preserve">TC a: </w:t>
      </w:r>
    </w:p>
    <w:p w:rsidR="004D3A2B" w:rsidRPr="004D3A2B" w:rsidRDefault="004D3A2B" w:rsidP="004D3A2B">
      <w:pPr>
        <w:rPr>
          <w:lang w:val="es-ES"/>
        </w:rPr>
      </w:pPr>
    </w:p>
    <w:p w:rsidR="004D3A2B" w:rsidRPr="00F430C3" w:rsidRDefault="004D3A2B" w:rsidP="004D3A2B">
      <w:pPr>
        <w:pStyle w:val="ListParagraph"/>
        <w:numPr>
          <w:ilvl w:val="0"/>
          <w:numId w:val="2"/>
        </w:numPr>
        <w:ind w:left="0" w:firstLine="567"/>
        <w:jc w:val="both"/>
        <w:rPr>
          <w:lang w:val="es-ES"/>
        </w:rPr>
      </w:pPr>
      <w:r w:rsidRPr="00F430C3">
        <w:rPr>
          <w:lang w:val="es-ES"/>
        </w:rPr>
        <w:t xml:space="preserve">aprobar el establecimiento y el mandato </w:t>
      </w:r>
      <w:r w:rsidR="00F430C3" w:rsidRPr="00F430C3">
        <w:rPr>
          <w:lang w:val="es-ES"/>
        </w:rPr>
        <w:t xml:space="preserve">del TWM a fin de que abarque la labor del </w:t>
      </w:r>
      <w:r w:rsidRPr="00F430C3">
        <w:rPr>
          <w:lang w:val="es-ES"/>
        </w:rPr>
        <w:t xml:space="preserve">TWC </w:t>
      </w:r>
      <w:r w:rsidR="00F430C3">
        <w:rPr>
          <w:lang w:val="es-ES"/>
        </w:rPr>
        <w:t xml:space="preserve">y </w:t>
      </w:r>
      <w:r w:rsidR="001A3709">
        <w:rPr>
          <w:lang w:val="es-ES"/>
        </w:rPr>
        <w:t>la d</w:t>
      </w:r>
      <w:r w:rsidR="00F430C3">
        <w:rPr>
          <w:lang w:val="es-ES"/>
        </w:rPr>
        <w:t xml:space="preserve">el </w:t>
      </w:r>
      <w:r w:rsidRPr="00F430C3">
        <w:rPr>
          <w:lang w:val="es-ES"/>
        </w:rPr>
        <w:t xml:space="preserve">BMT, </w:t>
      </w:r>
      <w:r w:rsidR="00F430C3">
        <w:rPr>
          <w:lang w:val="es-ES"/>
        </w:rPr>
        <w:t>en la forma en que consta en el párrafo 8 del presente documento</w:t>
      </w:r>
      <w:r w:rsidRPr="00F430C3">
        <w:rPr>
          <w:lang w:val="es-ES"/>
        </w:rPr>
        <w:t>;</w:t>
      </w:r>
    </w:p>
    <w:p w:rsidR="004D3A2B" w:rsidRPr="00F430C3" w:rsidRDefault="004D3A2B" w:rsidP="004D3A2B">
      <w:pPr>
        <w:rPr>
          <w:lang w:val="es-ES"/>
        </w:rPr>
      </w:pPr>
    </w:p>
    <w:p w:rsidR="004D3A2B" w:rsidRPr="00F430C3" w:rsidRDefault="00F430C3" w:rsidP="004D3A2B">
      <w:pPr>
        <w:ind w:firstLine="567"/>
        <w:rPr>
          <w:lang w:val="es-ES"/>
        </w:rPr>
      </w:pPr>
      <w:r w:rsidRPr="00F430C3">
        <w:rPr>
          <w:lang w:val="es-ES"/>
        </w:rPr>
        <w:t>b)</w:t>
      </w:r>
      <w:r w:rsidRPr="00F430C3">
        <w:rPr>
          <w:lang w:val="es-ES"/>
        </w:rPr>
        <w:tab/>
        <w:t>con sujeción a lo anterior, recomendar al Consejo:</w:t>
      </w:r>
    </w:p>
    <w:p w:rsidR="004D3A2B" w:rsidRPr="00F430C3" w:rsidRDefault="004D3A2B" w:rsidP="004D3A2B">
      <w:pPr>
        <w:ind w:firstLine="567"/>
        <w:rPr>
          <w:lang w:val="es-ES"/>
        </w:rPr>
      </w:pPr>
    </w:p>
    <w:p w:rsidR="004D3A2B" w:rsidRPr="001A5354" w:rsidRDefault="009864AB" w:rsidP="001A5354">
      <w:pPr>
        <w:pStyle w:val="ListParagraph"/>
        <w:numPr>
          <w:ilvl w:val="0"/>
          <w:numId w:val="5"/>
        </w:numPr>
        <w:tabs>
          <w:tab w:val="left" w:pos="1701"/>
        </w:tabs>
        <w:rPr>
          <w:lang w:val="es-ES"/>
        </w:rPr>
      </w:pPr>
      <w:r w:rsidRPr="001A5354">
        <w:rPr>
          <w:lang w:val="es-ES"/>
        </w:rPr>
        <w:t xml:space="preserve">que establezca el TWM con el mandato antes mencionado, para que entre en vigor </w:t>
      </w:r>
      <w:r w:rsidR="004427A0" w:rsidRPr="001A5354">
        <w:rPr>
          <w:lang w:val="es-ES"/>
        </w:rPr>
        <w:t>en</w:t>
      </w:r>
      <w:r w:rsidR="001A0BDD" w:rsidRPr="001A5354">
        <w:rPr>
          <w:lang w:val="es-ES"/>
        </w:rPr>
        <w:t> </w:t>
      </w:r>
      <w:r w:rsidRPr="001A5354">
        <w:rPr>
          <w:lang w:val="es-ES"/>
        </w:rPr>
        <w:t>2022; y</w:t>
      </w:r>
    </w:p>
    <w:p w:rsidR="001A5354" w:rsidRPr="001A5354" w:rsidRDefault="001A5354" w:rsidP="001A5354">
      <w:pPr>
        <w:pStyle w:val="ListParagraph"/>
        <w:tabs>
          <w:tab w:val="left" w:pos="1701"/>
        </w:tabs>
        <w:ind w:left="1854"/>
        <w:rPr>
          <w:lang w:val="es-ES"/>
        </w:rPr>
      </w:pPr>
    </w:p>
    <w:p w:rsidR="004D3A2B" w:rsidRDefault="004D3A2B" w:rsidP="004D3A2B">
      <w:pPr>
        <w:tabs>
          <w:tab w:val="left" w:pos="1701"/>
        </w:tabs>
        <w:ind w:left="1701" w:hanging="567"/>
        <w:rPr>
          <w:lang w:val="es-ES"/>
        </w:rPr>
      </w:pPr>
      <w:r w:rsidRPr="009864AB">
        <w:rPr>
          <w:lang w:val="es-ES"/>
        </w:rPr>
        <w:t>ii)</w:t>
      </w:r>
      <w:r w:rsidRPr="009864AB">
        <w:rPr>
          <w:lang w:val="es-ES"/>
        </w:rPr>
        <w:tab/>
      </w:r>
      <w:r w:rsidR="004427A0">
        <w:rPr>
          <w:lang w:val="es-ES"/>
        </w:rPr>
        <w:t xml:space="preserve">que elija </w:t>
      </w:r>
      <w:r w:rsidR="009864AB" w:rsidRPr="009864AB">
        <w:rPr>
          <w:lang w:val="es-ES"/>
        </w:rPr>
        <w:t>al presidente del BMT para que ejerza la presidencia del TWM, hasta la celebración de la quincuagésima séptima sesión ordinaria del Consejo, en 2023</w:t>
      </w:r>
      <w:r w:rsidRPr="009864AB">
        <w:rPr>
          <w:lang w:val="es-ES"/>
        </w:rPr>
        <w:t>.</w:t>
      </w:r>
    </w:p>
    <w:p w:rsidR="009864AB" w:rsidRPr="009864AB" w:rsidRDefault="009864AB" w:rsidP="004D3A2B">
      <w:pPr>
        <w:tabs>
          <w:tab w:val="left" w:pos="1701"/>
        </w:tabs>
        <w:ind w:left="1701" w:hanging="567"/>
        <w:rPr>
          <w:snapToGrid w:val="0"/>
          <w:sz w:val="18"/>
          <w:szCs w:val="18"/>
          <w:lang w:val="es-ES" w:eastAsia="ja-JP"/>
        </w:rPr>
      </w:pPr>
    </w:p>
    <w:p w:rsidR="00025C71" w:rsidRPr="0054466D" w:rsidRDefault="00661F8F" w:rsidP="00025C71">
      <w:pPr>
        <w:rPr>
          <w:lang w:val="es-419"/>
        </w:rPr>
      </w:pPr>
      <w:r w:rsidRPr="0054466D">
        <w:rPr>
          <w:lang w:val="es-419"/>
        </w:rPr>
        <w:fldChar w:fldCharType="begin"/>
      </w:r>
      <w:r w:rsidR="00025C71" w:rsidRPr="0054466D">
        <w:rPr>
          <w:lang w:val="es-419"/>
        </w:rPr>
        <w:instrText xml:space="preserve"> AUTONUM  </w:instrText>
      </w:r>
      <w:r w:rsidRPr="0054466D">
        <w:rPr>
          <w:lang w:val="es-419"/>
        </w:rPr>
        <w:fldChar w:fldCharType="end"/>
      </w:r>
      <w:r w:rsidR="00025C71" w:rsidRPr="0054466D">
        <w:rPr>
          <w:lang w:val="es-419"/>
        </w:rPr>
        <w:tab/>
      </w:r>
      <w:r w:rsidR="0095713A" w:rsidRPr="0054466D">
        <w:rPr>
          <w:lang w:val="es-419"/>
        </w:rPr>
        <w:t>El presente documento se estructura del modo siguiente:</w:t>
      </w:r>
    </w:p>
    <w:p w:rsidR="00025C71" w:rsidRPr="0054466D" w:rsidRDefault="00025C71" w:rsidP="00025C71">
      <w:pPr>
        <w:rPr>
          <w:lang w:val="es-419"/>
        </w:rPr>
      </w:pPr>
    </w:p>
    <w:p w:rsidR="002B7349" w:rsidRPr="00EC72A6" w:rsidRDefault="00661F8F" w:rsidP="00182AD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_tradnl"/>
        </w:rPr>
      </w:pPr>
      <w:r w:rsidRPr="0054466D">
        <w:rPr>
          <w:lang w:val="en-US"/>
        </w:rPr>
        <w:fldChar w:fldCharType="begin"/>
      </w:r>
      <w:r w:rsidR="00025C71" w:rsidRPr="00EC72A6">
        <w:rPr>
          <w:lang w:val="es-ES"/>
        </w:rPr>
        <w:instrText xml:space="preserve"> TOC \o "1-3" \u </w:instrText>
      </w:r>
      <w:r w:rsidRPr="0054466D">
        <w:rPr>
          <w:lang w:val="en-US"/>
        </w:rPr>
        <w:fldChar w:fldCharType="separate"/>
      </w:r>
      <w:r w:rsidR="002B7349" w:rsidRPr="00EC72A6">
        <w:rPr>
          <w:noProof/>
          <w:snapToGrid w:val="0"/>
          <w:lang w:val="es-ES"/>
        </w:rPr>
        <w:t>RESUMEN</w:t>
      </w:r>
      <w:r w:rsidR="002B7349" w:rsidRPr="00EC72A6">
        <w:rPr>
          <w:noProof/>
          <w:lang w:val="es-ES"/>
        </w:rPr>
        <w:tab/>
      </w:r>
      <w:r w:rsidR="002B7349" w:rsidRPr="0054466D">
        <w:rPr>
          <w:noProof/>
        </w:rPr>
        <w:fldChar w:fldCharType="begin"/>
      </w:r>
      <w:r w:rsidR="002B7349" w:rsidRPr="00EC72A6">
        <w:rPr>
          <w:noProof/>
          <w:lang w:val="es-ES"/>
        </w:rPr>
        <w:instrText xml:space="preserve"> PAGEREF _Toc47773611 \h </w:instrText>
      </w:r>
      <w:r w:rsidR="002B7349" w:rsidRPr="0054466D">
        <w:rPr>
          <w:noProof/>
        </w:rPr>
      </w:r>
      <w:r w:rsidR="002B7349" w:rsidRPr="0054466D">
        <w:rPr>
          <w:noProof/>
        </w:rPr>
        <w:fldChar w:fldCharType="separate"/>
      </w:r>
      <w:r w:rsidR="00164B29" w:rsidRPr="00EC72A6">
        <w:rPr>
          <w:noProof/>
          <w:lang w:val="es-ES"/>
        </w:rPr>
        <w:t>1</w:t>
      </w:r>
      <w:r w:rsidR="002B7349" w:rsidRPr="0054466D">
        <w:rPr>
          <w:noProof/>
        </w:rPr>
        <w:fldChar w:fldCharType="end"/>
      </w:r>
    </w:p>
    <w:p w:rsidR="002B7349" w:rsidRPr="00EC72A6" w:rsidRDefault="002B7349" w:rsidP="00182AD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_tradnl"/>
        </w:rPr>
      </w:pPr>
      <w:r w:rsidRPr="00EC72A6">
        <w:rPr>
          <w:noProof/>
          <w:snapToGrid w:val="0"/>
          <w:lang w:val="es-ES"/>
        </w:rPr>
        <w:t>ANTECEDENTES</w:t>
      </w:r>
      <w:r w:rsidRPr="00EC72A6">
        <w:rPr>
          <w:noProof/>
          <w:lang w:val="es-ES"/>
        </w:rPr>
        <w:tab/>
      </w:r>
      <w:r w:rsidRPr="0054466D">
        <w:rPr>
          <w:noProof/>
        </w:rPr>
        <w:fldChar w:fldCharType="begin"/>
      </w:r>
      <w:r w:rsidRPr="00EC72A6">
        <w:rPr>
          <w:noProof/>
          <w:lang w:val="es-ES"/>
        </w:rPr>
        <w:instrText xml:space="preserve"> PAGEREF _Toc47773612 \h </w:instrText>
      </w:r>
      <w:r w:rsidRPr="0054466D">
        <w:rPr>
          <w:noProof/>
        </w:rPr>
      </w:r>
      <w:r w:rsidRPr="0054466D">
        <w:rPr>
          <w:noProof/>
        </w:rPr>
        <w:fldChar w:fldCharType="separate"/>
      </w:r>
      <w:r w:rsidR="00164B29" w:rsidRPr="00EC72A6">
        <w:rPr>
          <w:noProof/>
          <w:lang w:val="es-ES"/>
        </w:rPr>
        <w:t>2</w:t>
      </w:r>
      <w:r w:rsidRPr="0054466D">
        <w:rPr>
          <w:noProof/>
        </w:rPr>
        <w:fldChar w:fldCharType="end"/>
      </w:r>
    </w:p>
    <w:p w:rsidR="002B7349" w:rsidRPr="00EC72A6" w:rsidRDefault="002B7349" w:rsidP="00182AD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_tradnl"/>
        </w:rPr>
      </w:pPr>
      <w:r w:rsidRPr="00EC72A6">
        <w:rPr>
          <w:noProof/>
          <w:lang w:val="es-ES"/>
        </w:rPr>
        <w:t>PROYECTO DE MANDATO DE UN EVENTUAL ÓRGANO ÚNICO QUE ABARQUE LA LABOR DEL TWC Y LA DEL BMT</w:t>
      </w:r>
      <w:r w:rsidRPr="00EC72A6">
        <w:rPr>
          <w:noProof/>
          <w:lang w:val="es-ES"/>
        </w:rPr>
        <w:tab/>
      </w:r>
      <w:r w:rsidRPr="0054466D">
        <w:rPr>
          <w:noProof/>
        </w:rPr>
        <w:fldChar w:fldCharType="begin"/>
      </w:r>
      <w:r w:rsidRPr="00EC72A6">
        <w:rPr>
          <w:noProof/>
          <w:lang w:val="es-ES"/>
        </w:rPr>
        <w:instrText xml:space="preserve"> PAGEREF _Toc47773613 \h </w:instrText>
      </w:r>
      <w:r w:rsidRPr="0054466D">
        <w:rPr>
          <w:noProof/>
        </w:rPr>
      </w:r>
      <w:r w:rsidRPr="0054466D">
        <w:rPr>
          <w:noProof/>
        </w:rPr>
        <w:fldChar w:fldCharType="separate"/>
      </w:r>
      <w:r w:rsidR="00164B29" w:rsidRPr="00EC72A6">
        <w:rPr>
          <w:noProof/>
          <w:lang w:val="es-ES"/>
        </w:rPr>
        <w:t>2</w:t>
      </w:r>
      <w:r w:rsidRPr="0054466D">
        <w:rPr>
          <w:noProof/>
        </w:rPr>
        <w:fldChar w:fldCharType="end"/>
      </w:r>
    </w:p>
    <w:p w:rsidR="002B7349" w:rsidRPr="0054466D" w:rsidRDefault="002B7349" w:rsidP="00CB226A">
      <w:pPr>
        <w:pStyle w:val="TOC2"/>
        <w:spacing w:after="120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es-419" w:eastAsia="es-ES_tradnl"/>
        </w:rPr>
      </w:pPr>
      <w:r w:rsidRPr="0054466D">
        <w:rPr>
          <w:noProof/>
          <w:lang w:val="es-419"/>
        </w:rPr>
        <w:t>Examen por los Grupos de Trabajo Técnico</w:t>
      </w:r>
      <w:r w:rsidRPr="0054466D">
        <w:rPr>
          <w:noProof/>
          <w:lang w:val="es-419"/>
        </w:rPr>
        <w:tab/>
      </w:r>
      <w:r w:rsidRPr="0054466D">
        <w:rPr>
          <w:noProof/>
          <w:lang w:val="es-419"/>
        </w:rPr>
        <w:fldChar w:fldCharType="begin"/>
      </w:r>
      <w:r w:rsidRPr="0054466D">
        <w:rPr>
          <w:noProof/>
          <w:lang w:val="es-419"/>
        </w:rPr>
        <w:instrText xml:space="preserve"> PAGEREF _Toc47773614 \h </w:instrText>
      </w:r>
      <w:r w:rsidRPr="0054466D">
        <w:rPr>
          <w:noProof/>
          <w:lang w:val="es-419"/>
        </w:rPr>
      </w:r>
      <w:r w:rsidRPr="0054466D">
        <w:rPr>
          <w:noProof/>
          <w:lang w:val="es-419"/>
        </w:rPr>
        <w:fldChar w:fldCharType="separate"/>
      </w:r>
      <w:r w:rsidR="00164B29">
        <w:rPr>
          <w:noProof/>
          <w:lang w:val="es-419"/>
        </w:rPr>
        <w:t>2</w:t>
      </w:r>
      <w:r w:rsidRPr="0054466D">
        <w:rPr>
          <w:noProof/>
          <w:lang w:val="es-419"/>
        </w:rPr>
        <w:fldChar w:fldCharType="end"/>
      </w:r>
    </w:p>
    <w:p w:rsidR="00025C71" w:rsidRPr="00182AD2" w:rsidRDefault="00661F8F" w:rsidP="00CB226A">
      <w:pPr>
        <w:spacing w:after="120"/>
        <w:ind w:left="993" w:right="567" w:hanging="993"/>
        <w:jc w:val="left"/>
        <w:rPr>
          <w:sz w:val="18"/>
          <w:lang w:val="es-419"/>
        </w:rPr>
      </w:pPr>
      <w:r w:rsidRPr="0054466D">
        <w:rPr>
          <w:lang w:val="es-419"/>
        </w:rPr>
        <w:fldChar w:fldCharType="end"/>
      </w:r>
      <w:r w:rsidR="0095713A" w:rsidRPr="00182AD2">
        <w:rPr>
          <w:sz w:val="18"/>
          <w:lang w:val="es-419"/>
        </w:rPr>
        <w:t>ANEXO</w:t>
      </w:r>
      <w:r w:rsidR="00025C71" w:rsidRPr="00182AD2">
        <w:rPr>
          <w:sz w:val="18"/>
          <w:lang w:val="es-419"/>
        </w:rPr>
        <w:tab/>
      </w:r>
      <w:r w:rsidR="0095713A" w:rsidRPr="00182AD2">
        <w:rPr>
          <w:sz w:val="18"/>
          <w:lang w:val="es-419"/>
        </w:rPr>
        <w:t>Mandato del Grupo de Trabajo Técnico sobre Automatización y Programas Informáticos (TWC) y del Grupo de Trabajo sobre Técnicas Bioquímicas y Moleculares</w:t>
      </w:r>
      <w:r w:rsidR="003A7CAF" w:rsidRPr="00182AD2">
        <w:rPr>
          <w:sz w:val="18"/>
          <w:lang w:val="es-419"/>
        </w:rPr>
        <w:t xml:space="preserve">, </w:t>
      </w:r>
      <w:r w:rsidR="0095713A" w:rsidRPr="00182AD2">
        <w:rPr>
          <w:sz w:val="18"/>
          <w:lang w:val="es-419"/>
        </w:rPr>
        <w:t>y Perfiles de ADN en particular (BMT)</w:t>
      </w:r>
    </w:p>
    <w:p w:rsidR="00025C71" w:rsidRPr="0054466D" w:rsidRDefault="00025C71" w:rsidP="00025C71">
      <w:pPr>
        <w:rPr>
          <w:lang w:val="es-419"/>
        </w:rPr>
      </w:pPr>
    </w:p>
    <w:p w:rsidR="00025C71" w:rsidRPr="0054466D" w:rsidRDefault="00661F8F" w:rsidP="00025C71">
      <w:pPr>
        <w:keepNext/>
        <w:rPr>
          <w:lang w:val="es-419"/>
        </w:rPr>
      </w:pPr>
      <w:r w:rsidRPr="0054466D">
        <w:rPr>
          <w:lang w:val="es-419"/>
        </w:rPr>
        <w:fldChar w:fldCharType="begin"/>
      </w:r>
      <w:r w:rsidR="00025C71" w:rsidRPr="0054466D">
        <w:rPr>
          <w:lang w:val="es-419"/>
        </w:rPr>
        <w:instrText xml:space="preserve"> AUTONUM  </w:instrText>
      </w:r>
      <w:r w:rsidRPr="0054466D">
        <w:rPr>
          <w:lang w:val="es-419"/>
        </w:rPr>
        <w:fldChar w:fldCharType="end"/>
      </w:r>
      <w:r w:rsidR="00025C71" w:rsidRPr="0054466D">
        <w:rPr>
          <w:lang w:val="es-419"/>
        </w:rPr>
        <w:tab/>
      </w:r>
      <w:r w:rsidR="0095713A" w:rsidRPr="0054466D">
        <w:rPr>
          <w:lang w:val="es-419"/>
        </w:rPr>
        <w:t>En el presente documento se utilizan las abreviaturas siguientes:</w:t>
      </w:r>
    </w:p>
    <w:p w:rsidR="00025C71" w:rsidRPr="0054466D" w:rsidRDefault="00025C71" w:rsidP="00025C71">
      <w:pPr>
        <w:keepNext/>
        <w:rPr>
          <w:lang w:val="es-419"/>
        </w:rPr>
      </w:pPr>
    </w:p>
    <w:p w:rsidR="00025C71" w:rsidRPr="0054466D" w:rsidRDefault="0095713A" w:rsidP="00025C71">
      <w:pPr>
        <w:keepNext/>
        <w:tabs>
          <w:tab w:val="left" w:pos="567"/>
        </w:tabs>
        <w:ind w:left="1418" w:hanging="851"/>
        <w:rPr>
          <w:lang w:val="es-419"/>
        </w:rPr>
      </w:pPr>
      <w:r w:rsidRPr="0054466D">
        <w:rPr>
          <w:lang w:val="es-419"/>
        </w:rPr>
        <w:t>BMT:</w:t>
      </w:r>
      <w:r w:rsidR="00025C71" w:rsidRPr="0054466D">
        <w:rPr>
          <w:lang w:val="es-419"/>
        </w:rPr>
        <w:tab/>
      </w:r>
      <w:r w:rsidRPr="0054466D">
        <w:rPr>
          <w:lang w:val="es-419"/>
        </w:rPr>
        <w:t>Grupo de Trabajo sobre Técnicas Bioquímicas y Moleculares</w:t>
      </w:r>
      <w:r w:rsidR="003A7CAF" w:rsidRPr="0054466D">
        <w:rPr>
          <w:lang w:val="es-419"/>
        </w:rPr>
        <w:t xml:space="preserve">, </w:t>
      </w:r>
      <w:r w:rsidRPr="0054466D">
        <w:rPr>
          <w:lang w:val="es-419"/>
        </w:rPr>
        <w:t>y Perfiles de ADN en particular</w:t>
      </w:r>
      <w:r w:rsidR="00025C71" w:rsidRPr="0054466D">
        <w:rPr>
          <w:lang w:val="es-419"/>
        </w:rPr>
        <w:t xml:space="preserve"> </w:t>
      </w:r>
    </w:p>
    <w:p w:rsidR="00025C71" w:rsidRPr="0054466D" w:rsidRDefault="0095713A" w:rsidP="00025C71">
      <w:pPr>
        <w:keepNext/>
        <w:tabs>
          <w:tab w:val="left" w:pos="567"/>
        </w:tabs>
        <w:ind w:left="1418" w:hanging="851"/>
        <w:rPr>
          <w:lang w:val="es-419"/>
        </w:rPr>
      </w:pPr>
      <w:r w:rsidRPr="0054466D">
        <w:rPr>
          <w:lang w:val="es-419"/>
        </w:rPr>
        <w:t>TC:</w:t>
      </w:r>
      <w:r w:rsidR="00025C71" w:rsidRPr="0054466D">
        <w:rPr>
          <w:lang w:val="es-419"/>
        </w:rPr>
        <w:tab/>
      </w:r>
      <w:r w:rsidRPr="0054466D">
        <w:rPr>
          <w:lang w:val="es-419"/>
        </w:rPr>
        <w:t>Comité Técnico</w:t>
      </w:r>
    </w:p>
    <w:p w:rsidR="00025C71" w:rsidRPr="0054466D" w:rsidRDefault="0095713A" w:rsidP="00025C71">
      <w:pPr>
        <w:ind w:left="1418" w:hanging="851"/>
        <w:rPr>
          <w:rFonts w:eastAsia="PMingLiU" w:cs="Arial"/>
          <w:szCs w:val="24"/>
          <w:lang w:val="es-419"/>
        </w:rPr>
      </w:pPr>
      <w:r w:rsidRPr="0054466D">
        <w:rPr>
          <w:rFonts w:eastAsia="PMingLiU" w:cs="Arial"/>
          <w:szCs w:val="24"/>
          <w:lang w:val="es-419"/>
        </w:rPr>
        <w:t>TWA:</w:t>
      </w:r>
      <w:r w:rsidR="00025C71" w:rsidRPr="0054466D">
        <w:rPr>
          <w:rFonts w:eastAsia="PMingLiU" w:cs="Arial"/>
          <w:szCs w:val="24"/>
          <w:lang w:val="es-419"/>
        </w:rPr>
        <w:tab/>
      </w:r>
      <w:r w:rsidRPr="0054466D">
        <w:rPr>
          <w:rFonts w:eastAsia="PMingLiU" w:cs="Arial"/>
          <w:szCs w:val="24"/>
          <w:lang w:val="es-419"/>
        </w:rPr>
        <w:t>Grupo de Trabajo Técnico sobre Plantas Agrícolas</w:t>
      </w:r>
    </w:p>
    <w:p w:rsidR="00025C71" w:rsidRPr="0054466D" w:rsidRDefault="0095713A" w:rsidP="00025C71">
      <w:pPr>
        <w:ind w:left="1418" w:hanging="851"/>
        <w:rPr>
          <w:rFonts w:eastAsia="PMingLiU" w:cs="Arial"/>
          <w:szCs w:val="24"/>
          <w:lang w:val="es-419"/>
        </w:rPr>
      </w:pPr>
      <w:r w:rsidRPr="0054466D">
        <w:rPr>
          <w:rFonts w:eastAsia="PMingLiU" w:cs="Arial"/>
          <w:szCs w:val="24"/>
          <w:lang w:val="es-419"/>
        </w:rPr>
        <w:t>TWC:</w:t>
      </w:r>
      <w:r w:rsidR="00025C71" w:rsidRPr="0054466D">
        <w:rPr>
          <w:rFonts w:eastAsia="PMingLiU" w:cs="Arial"/>
          <w:szCs w:val="24"/>
          <w:lang w:val="es-419"/>
        </w:rPr>
        <w:tab/>
      </w:r>
      <w:r w:rsidRPr="0054466D">
        <w:rPr>
          <w:rFonts w:eastAsia="PMingLiU" w:cs="Arial"/>
          <w:szCs w:val="24"/>
          <w:lang w:val="es-419"/>
        </w:rPr>
        <w:t>Grupo de Trabajo Técnico sobre Automatización y Programas Informáticos</w:t>
      </w:r>
    </w:p>
    <w:p w:rsidR="00025C71" w:rsidRPr="0054466D" w:rsidRDefault="0095713A" w:rsidP="00025C71">
      <w:pPr>
        <w:ind w:left="1418" w:hanging="851"/>
        <w:rPr>
          <w:rFonts w:eastAsia="PMingLiU" w:cs="Arial"/>
          <w:szCs w:val="24"/>
          <w:lang w:val="es-419"/>
        </w:rPr>
      </w:pPr>
      <w:r w:rsidRPr="0054466D">
        <w:rPr>
          <w:rFonts w:eastAsia="PMingLiU" w:cs="Arial"/>
          <w:szCs w:val="24"/>
          <w:lang w:val="es-419"/>
        </w:rPr>
        <w:t>TWF:</w:t>
      </w:r>
      <w:r w:rsidR="00025C71" w:rsidRPr="0054466D">
        <w:rPr>
          <w:rFonts w:eastAsia="PMingLiU" w:cs="Arial"/>
          <w:szCs w:val="24"/>
          <w:lang w:val="es-419"/>
        </w:rPr>
        <w:tab/>
      </w:r>
      <w:r w:rsidRPr="0054466D">
        <w:rPr>
          <w:rFonts w:eastAsia="PMingLiU" w:cs="Arial"/>
          <w:szCs w:val="24"/>
          <w:lang w:val="es-419"/>
        </w:rPr>
        <w:t>Grupo de Trabajo Técnico sobre Plantas Frutales</w:t>
      </w:r>
    </w:p>
    <w:p w:rsidR="00025C71" w:rsidRPr="0054466D" w:rsidRDefault="0095713A" w:rsidP="00025C71">
      <w:pPr>
        <w:ind w:left="1418" w:hanging="851"/>
        <w:rPr>
          <w:rFonts w:eastAsia="PMingLiU" w:cs="Arial"/>
          <w:szCs w:val="24"/>
          <w:lang w:val="es-419"/>
        </w:rPr>
      </w:pPr>
      <w:r w:rsidRPr="0054466D">
        <w:rPr>
          <w:rFonts w:eastAsia="PMingLiU" w:cs="Arial"/>
          <w:szCs w:val="24"/>
          <w:lang w:val="es-419"/>
        </w:rPr>
        <w:t>TWO:</w:t>
      </w:r>
      <w:r w:rsidR="00025C71" w:rsidRPr="0054466D">
        <w:rPr>
          <w:rFonts w:eastAsia="PMingLiU" w:cs="Arial"/>
          <w:szCs w:val="24"/>
          <w:lang w:val="es-419"/>
        </w:rPr>
        <w:tab/>
      </w:r>
      <w:r w:rsidRPr="0054466D">
        <w:rPr>
          <w:rFonts w:eastAsia="PMingLiU" w:cs="Arial"/>
          <w:szCs w:val="24"/>
          <w:lang w:val="es-419"/>
        </w:rPr>
        <w:t>Grupo de Trabajo Técnico sobre Plantas Ornamentales y Árboles Forestales</w:t>
      </w:r>
    </w:p>
    <w:p w:rsidR="00025C71" w:rsidRPr="0054466D" w:rsidRDefault="0095713A" w:rsidP="00025C71">
      <w:pPr>
        <w:ind w:left="1418" w:hanging="851"/>
        <w:rPr>
          <w:rFonts w:eastAsia="PMingLiU" w:cs="Arial"/>
          <w:szCs w:val="24"/>
          <w:lang w:val="es-419"/>
        </w:rPr>
      </w:pPr>
      <w:r w:rsidRPr="0054466D">
        <w:rPr>
          <w:rFonts w:eastAsia="PMingLiU" w:cs="Arial"/>
          <w:szCs w:val="24"/>
          <w:lang w:val="es-419"/>
        </w:rPr>
        <w:t>TWP:</w:t>
      </w:r>
      <w:r w:rsidR="00025C71" w:rsidRPr="0054466D">
        <w:rPr>
          <w:rFonts w:eastAsia="PMingLiU" w:cs="Arial"/>
          <w:szCs w:val="24"/>
          <w:lang w:val="es-419"/>
        </w:rPr>
        <w:tab/>
      </w:r>
      <w:r w:rsidRPr="0054466D">
        <w:rPr>
          <w:rFonts w:eastAsia="PMingLiU" w:cs="Arial"/>
          <w:szCs w:val="24"/>
          <w:lang w:val="es-419"/>
        </w:rPr>
        <w:t>Grupos de Trabajo Técnico</w:t>
      </w:r>
    </w:p>
    <w:p w:rsidR="00025C71" w:rsidRPr="0054466D" w:rsidRDefault="0095713A" w:rsidP="00025C71">
      <w:pPr>
        <w:ind w:left="1418" w:hanging="851"/>
        <w:rPr>
          <w:rFonts w:eastAsia="PMingLiU" w:cs="Arial"/>
          <w:szCs w:val="24"/>
          <w:lang w:val="es-419"/>
        </w:rPr>
      </w:pPr>
      <w:r w:rsidRPr="0054466D">
        <w:rPr>
          <w:rFonts w:eastAsia="PMingLiU" w:cs="Arial"/>
          <w:szCs w:val="24"/>
          <w:lang w:val="es-419"/>
        </w:rPr>
        <w:t>TWV:</w:t>
      </w:r>
      <w:r w:rsidR="00025C71" w:rsidRPr="0054466D">
        <w:rPr>
          <w:rFonts w:eastAsia="PMingLiU" w:cs="Arial"/>
          <w:szCs w:val="24"/>
          <w:lang w:val="es-419"/>
        </w:rPr>
        <w:tab/>
      </w:r>
      <w:r w:rsidRPr="0054466D">
        <w:rPr>
          <w:rFonts w:eastAsia="PMingLiU" w:cs="Arial"/>
          <w:szCs w:val="24"/>
          <w:lang w:val="es-419"/>
        </w:rPr>
        <w:t>Grupo de Trabajo Técnico sobre Hortalizas</w:t>
      </w:r>
    </w:p>
    <w:p w:rsidR="00025C71" w:rsidRPr="0054466D" w:rsidRDefault="00025C71" w:rsidP="00025C71">
      <w:pPr>
        <w:rPr>
          <w:snapToGrid w:val="0"/>
          <w:lang w:val="es-419"/>
        </w:rPr>
      </w:pPr>
    </w:p>
    <w:p w:rsidR="00025C71" w:rsidRPr="0054466D" w:rsidRDefault="00025C71" w:rsidP="00025C71">
      <w:pPr>
        <w:rPr>
          <w:snapToGrid w:val="0"/>
          <w:lang w:val="es-419"/>
        </w:rPr>
      </w:pPr>
    </w:p>
    <w:p w:rsidR="00025C71" w:rsidRPr="0054466D" w:rsidRDefault="0095713A" w:rsidP="00025C71">
      <w:pPr>
        <w:pStyle w:val="Heading1"/>
        <w:rPr>
          <w:snapToGrid w:val="0"/>
          <w:lang w:val="es-419"/>
        </w:rPr>
      </w:pPr>
      <w:bookmarkStart w:id="3" w:name="_Toc47773612"/>
      <w:r w:rsidRPr="0054466D">
        <w:rPr>
          <w:snapToGrid w:val="0"/>
          <w:lang w:val="es-419"/>
        </w:rPr>
        <w:lastRenderedPageBreak/>
        <w:t>ANTECEDENTES</w:t>
      </w:r>
      <w:bookmarkEnd w:id="3"/>
    </w:p>
    <w:p w:rsidR="00025C71" w:rsidRPr="0054466D" w:rsidRDefault="00025C71" w:rsidP="00025C71">
      <w:pPr>
        <w:keepNext/>
        <w:rPr>
          <w:lang w:val="es-419"/>
        </w:rPr>
      </w:pPr>
    </w:p>
    <w:p w:rsidR="00025C71" w:rsidRPr="0054466D" w:rsidRDefault="00661F8F" w:rsidP="00025C71">
      <w:pPr>
        <w:keepNext/>
        <w:rPr>
          <w:lang w:val="es-419"/>
        </w:rPr>
      </w:pPr>
      <w:r w:rsidRPr="0054466D">
        <w:rPr>
          <w:lang w:val="es-419"/>
        </w:rPr>
        <w:fldChar w:fldCharType="begin"/>
      </w:r>
      <w:r w:rsidR="00025C71" w:rsidRPr="0054466D">
        <w:rPr>
          <w:lang w:val="es-419"/>
        </w:rPr>
        <w:instrText xml:space="preserve"> AUTONUM  </w:instrText>
      </w:r>
      <w:r w:rsidRPr="0054466D">
        <w:rPr>
          <w:lang w:val="es-419"/>
        </w:rPr>
        <w:fldChar w:fldCharType="end"/>
      </w:r>
      <w:r w:rsidR="00025C71" w:rsidRPr="0054466D">
        <w:rPr>
          <w:lang w:val="es-419"/>
        </w:rPr>
        <w:tab/>
      </w:r>
      <w:r w:rsidR="0095713A" w:rsidRPr="0054466D">
        <w:rPr>
          <w:lang w:val="es-419"/>
        </w:rPr>
        <w:t>En su quincuagésima quinta sesión</w:t>
      </w:r>
      <w:r w:rsidR="003A7CAF" w:rsidRPr="0054466D">
        <w:rPr>
          <w:lang w:val="es-419"/>
        </w:rPr>
        <w:t xml:space="preserve">, </w:t>
      </w:r>
      <w:r w:rsidR="0095713A" w:rsidRPr="0054466D">
        <w:rPr>
          <w:lang w:val="es-419"/>
        </w:rPr>
        <w:t>celebrada en Ginebra el 28 y el 29 de octubre de 2019</w:t>
      </w:r>
      <w:r w:rsidR="003A7CAF" w:rsidRPr="0054466D">
        <w:rPr>
          <w:lang w:val="es-419"/>
        </w:rPr>
        <w:t xml:space="preserve">, </w:t>
      </w:r>
      <w:r w:rsidR="0095713A" w:rsidRPr="0054466D">
        <w:rPr>
          <w:lang w:val="es-419"/>
        </w:rPr>
        <w:t xml:space="preserve">el TC examinó las consecuencias de organizar las </w:t>
      </w:r>
      <w:r w:rsidR="001A3709">
        <w:rPr>
          <w:lang w:val="es-419"/>
        </w:rPr>
        <w:t>reuniones</w:t>
      </w:r>
      <w:r w:rsidR="0095713A" w:rsidRPr="0054466D">
        <w:rPr>
          <w:lang w:val="es-419"/>
        </w:rPr>
        <w:t xml:space="preserve"> del</w:t>
      </w:r>
      <w:r w:rsidR="009D1F66" w:rsidRPr="0054466D">
        <w:rPr>
          <w:lang w:val="es-419"/>
        </w:rPr>
        <w:t> </w:t>
      </w:r>
      <w:r w:rsidR="0095713A" w:rsidRPr="0054466D">
        <w:rPr>
          <w:lang w:val="es-419"/>
        </w:rPr>
        <w:t>TWC y el</w:t>
      </w:r>
      <w:r w:rsidR="009D1F66" w:rsidRPr="0054466D">
        <w:rPr>
          <w:lang w:val="es-419"/>
        </w:rPr>
        <w:t> </w:t>
      </w:r>
      <w:r w:rsidR="0095713A" w:rsidRPr="0054466D">
        <w:rPr>
          <w:lang w:val="es-419"/>
        </w:rPr>
        <w:t>BMT en la misma semana (véanse los párrafos 136 a 138 del documento TC/55/25 “Informe”).</w:t>
      </w:r>
      <w:r w:rsidR="0049790B" w:rsidRPr="0054466D">
        <w:rPr>
          <w:lang w:val="es-419"/>
        </w:rPr>
        <w:t xml:space="preserve"> </w:t>
      </w:r>
    </w:p>
    <w:p w:rsidR="00025C71" w:rsidRPr="0054466D" w:rsidRDefault="00025C71" w:rsidP="00025C71">
      <w:pPr>
        <w:rPr>
          <w:rFonts w:cs="Arial"/>
          <w:lang w:val="es-419"/>
        </w:rPr>
      </w:pPr>
    </w:p>
    <w:p w:rsidR="00025C71" w:rsidRPr="0054466D" w:rsidRDefault="00661F8F" w:rsidP="00025C71">
      <w:pPr>
        <w:rPr>
          <w:lang w:val="es-419"/>
        </w:rPr>
      </w:pPr>
      <w:r w:rsidRPr="0054466D">
        <w:rPr>
          <w:lang w:val="es-419"/>
        </w:rPr>
        <w:fldChar w:fldCharType="begin"/>
      </w:r>
      <w:r w:rsidR="00025C71" w:rsidRPr="0054466D">
        <w:rPr>
          <w:lang w:val="es-419"/>
        </w:rPr>
        <w:instrText xml:space="preserve"> AUTONUM  </w:instrText>
      </w:r>
      <w:r w:rsidRPr="0054466D">
        <w:rPr>
          <w:lang w:val="es-419"/>
        </w:rPr>
        <w:fldChar w:fldCharType="end"/>
      </w:r>
      <w:r w:rsidR="00025C71" w:rsidRPr="0054466D">
        <w:rPr>
          <w:lang w:val="es-419"/>
        </w:rPr>
        <w:tab/>
      </w:r>
      <w:r w:rsidR="0049790B" w:rsidRPr="0054466D">
        <w:rPr>
          <w:rFonts w:cs="Arial"/>
          <w:lang w:val="es-419"/>
        </w:rPr>
        <w:t xml:space="preserve">El TC tomó nota de los informes del TWC y el BMT sobre la duplicación del contenido presentado en las </w:t>
      </w:r>
      <w:r w:rsidR="001A3709">
        <w:rPr>
          <w:rFonts w:cs="Arial"/>
          <w:lang w:val="es-419"/>
        </w:rPr>
        <w:t>reuniones</w:t>
      </w:r>
      <w:r w:rsidR="0049790B" w:rsidRPr="0054466D">
        <w:rPr>
          <w:rFonts w:cs="Arial"/>
          <w:lang w:val="es-419"/>
        </w:rPr>
        <w:t xml:space="preserve"> de estos Grupos de Trabajo y de que ambos han convenido en que las partes de apertura e introducción han ser una sola para ambas </w:t>
      </w:r>
      <w:r w:rsidR="001A3709">
        <w:rPr>
          <w:rFonts w:cs="Arial"/>
          <w:lang w:val="es-419"/>
        </w:rPr>
        <w:t>reuniones</w:t>
      </w:r>
      <w:r w:rsidR="0049790B" w:rsidRPr="0054466D">
        <w:rPr>
          <w:rFonts w:cs="Arial"/>
          <w:lang w:val="es-419"/>
        </w:rPr>
        <w:t xml:space="preserve"> al mismo tiempo. Asimismo</w:t>
      </w:r>
      <w:r w:rsidR="003A7CAF" w:rsidRPr="0054466D">
        <w:rPr>
          <w:rFonts w:cs="Arial"/>
          <w:lang w:val="es-419"/>
        </w:rPr>
        <w:t xml:space="preserve">, </w:t>
      </w:r>
      <w:r w:rsidR="0049790B" w:rsidRPr="0054466D">
        <w:rPr>
          <w:rFonts w:cs="Arial"/>
          <w:lang w:val="es-419"/>
        </w:rPr>
        <w:t xml:space="preserve">tomó nota de la dificultad que representa para el organizador de las </w:t>
      </w:r>
      <w:r w:rsidR="001A3709">
        <w:rPr>
          <w:rFonts w:cs="Arial"/>
          <w:lang w:val="es-419"/>
        </w:rPr>
        <w:t>reuniones</w:t>
      </w:r>
      <w:r w:rsidR="0049790B" w:rsidRPr="0054466D">
        <w:rPr>
          <w:rFonts w:cs="Arial"/>
          <w:lang w:val="es-419"/>
        </w:rPr>
        <w:t xml:space="preserve"> conjuntas celebrar dos ceremonias de apertura y dos recepciones.</w:t>
      </w:r>
    </w:p>
    <w:p w:rsidR="00025C71" w:rsidRPr="0054466D" w:rsidRDefault="00025C71" w:rsidP="00025C71">
      <w:pPr>
        <w:rPr>
          <w:rFonts w:cs="Arial"/>
          <w:lang w:val="es-419"/>
        </w:rPr>
      </w:pPr>
    </w:p>
    <w:p w:rsidR="00025C71" w:rsidRPr="0054466D" w:rsidRDefault="00661F8F" w:rsidP="00025C71">
      <w:pPr>
        <w:keepNext/>
        <w:keepLines/>
        <w:rPr>
          <w:rFonts w:cs="Arial"/>
          <w:lang w:val="es-419"/>
        </w:rPr>
      </w:pPr>
      <w:r w:rsidRPr="0054466D">
        <w:rPr>
          <w:rFonts w:cs="Arial"/>
          <w:lang w:val="es-419"/>
        </w:rPr>
        <w:fldChar w:fldCharType="begin"/>
      </w:r>
      <w:r w:rsidR="00025C71" w:rsidRPr="0054466D">
        <w:rPr>
          <w:rFonts w:cs="Arial"/>
          <w:lang w:val="es-419"/>
        </w:rPr>
        <w:instrText xml:space="preserve"> AUTONUM  </w:instrText>
      </w:r>
      <w:r w:rsidRPr="0054466D">
        <w:rPr>
          <w:rFonts w:cs="Arial"/>
          <w:lang w:val="es-419"/>
        </w:rPr>
        <w:fldChar w:fldCharType="end"/>
      </w:r>
      <w:r w:rsidR="00025C71" w:rsidRPr="0054466D">
        <w:rPr>
          <w:rFonts w:cs="Arial"/>
          <w:lang w:val="es-419"/>
        </w:rPr>
        <w:tab/>
      </w:r>
      <w:r w:rsidR="00EF0454" w:rsidRPr="0054466D">
        <w:rPr>
          <w:rFonts w:cs="Arial"/>
          <w:lang w:val="es-419"/>
        </w:rPr>
        <w:t xml:space="preserve">El TC tomó nota de las observaciones y las propuestas del TWC y el BMT relativas a la organización de sus </w:t>
      </w:r>
      <w:r w:rsidR="001A3709">
        <w:rPr>
          <w:rFonts w:cs="Arial"/>
          <w:lang w:val="es-419"/>
        </w:rPr>
        <w:t>reuniones</w:t>
      </w:r>
      <w:r w:rsidR="00EF0454" w:rsidRPr="0054466D">
        <w:rPr>
          <w:rFonts w:cs="Arial"/>
          <w:lang w:val="es-419"/>
        </w:rPr>
        <w:t xml:space="preserve"> en la misma semana y convino en invitar a la Oficina de la UPOV a que elabore el proyecto de mandato y atribuciones de un eventual órgano único</w:t>
      </w:r>
      <w:r w:rsidR="003A7CAF" w:rsidRPr="0054466D">
        <w:rPr>
          <w:rFonts w:cs="Arial"/>
          <w:lang w:val="es-419"/>
        </w:rPr>
        <w:t xml:space="preserve">, </w:t>
      </w:r>
      <w:r w:rsidR="00EF0454" w:rsidRPr="0054466D">
        <w:rPr>
          <w:rFonts w:cs="Arial"/>
          <w:lang w:val="es-419"/>
        </w:rPr>
        <w:t>que abarque la labor de ambos Grupos de Trabajo</w:t>
      </w:r>
      <w:r w:rsidR="003A7CAF" w:rsidRPr="0054466D">
        <w:rPr>
          <w:rFonts w:cs="Arial"/>
          <w:lang w:val="es-419"/>
        </w:rPr>
        <w:t xml:space="preserve">, </w:t>
      </w:r>
      <w:r w:rsidR="00EF0454" w:rsidRPr="0054466D">
        <w:rPr>
          <w:rFonts w:cs="Arial"/>
          <w:lang w:val="es-419"/>
        </w:rPr>
        <w:t>para que se examine en su seno y se comunique al resto de los TWP</w:t>
      </w:r>
      <w:r w:rsidR="003A7CAF" w:rsidRPr="0054466D">
        <w:rPr>
          <w:rFonts w:cs="Arial"/>
          <w:lang w:val="es-419"/>
        </w:rPr>
        <w:t xml:space="preserve">, </w:t>
      </w:r>
      <w:r w:rsidR="00EF0454" w:rsidRPr="0054466D">
        <w:rPr>
          <w:rFonts w:cs="Arial"/>
          <w:lang w:val="es-419"/>
        </w:rPr>
        <w:t xml:space="preserve">en sus </w:t>
      </w:r>
      <w:r w:rsidR="001A3709">
        <w:rPr>
          <w:rFonts w:cs="Arial"/>
          <w:lang w:val="es-419"/>
        </w:rPr>
        <w:t>reuniones</w:t>
      </w:r>
      <w:r w:rsidR="00EF0454" w:rsidRPr="0054466D">
        <w:rPr>
          <w:rFonts w:cs="Arial"/>
          <w:lang w:val="es-419"/>
        </w:rPr>
        <w:t xml:space="preserve"> de 2020.</w:t>
      </w:r>
      <w:r w:rsidR="0049790B" w:rsidRPr="0054466D">
        <w:rPr>
          <w:rFonts w:cs="Arial"/>
          <w:lang w:val="es-419"/>
        </w:rPr>
        <w:t xml:space="preserve"> </w:t>
      </w:r>
      <w:r w:rsidR="00EF0454" w:rsidRPr="0054466D">
        <w:rPr>
          <w:rFonts w:cs="Arial"/>
          <w:lang w:val="es-419"/>
        </w:rPr>
        <w:t>El eventual mandato y atribuciones se someterá luego al examen del TC</w:t>
      </w:r>
      <w:r w:rsidR="003A7CAF" w:rsidRPr="0054466D">
        <w:rPr>
          <w:rFonts w:cs="Arial"/>
          <w:lang w:val="es-419"/>
        </w:rPr>
        <w:t xml:space="preserve">, </w:t>
      </w:r>
      <w:r w:rsidR="00EF0454" w:rsidRPr="00780406">
        <w:rPr>
          <w:rFonts w:cs="Arial"/>
          <w:strike/>
          <w:highlight w:val="yellow"/>
          <w:lang w:val="es-419"/>
        </w:rPr>
        <w:t xml:space="preserve">en su quincuagésima </w:t>
      </w:r>
      <w:r w:rsidR="00EF0454" w:rsidRPr="0099051A">
        <w:rPr>
          <w:rFonts w:cs="Arial"/>
          <w:strike/>
          <w:highlight w:val="yellow"/>
          <w:lang w:val="es-419"/>
        </w:rPr>
        <w:t>sexta sesión</w:t>
      </w:r>
      <w:r w:rsidR="003A7CAF" w:rsidRPr="0099051A">
        <w:rPr>
          <w:rFonts w:cs="Arial"/>
          <w:strike/>
          <w:highlight w:val="yellow"/>
          <w:lang w:val="es-419"/>
        </w:rPr>
        <w:t xml:space="preserve">, </w:t>
      </w:r>
      <w:r w:rsidR="00EF0454" w:rsidRPr="0099051A">
        <w:rPr>
          <w:rFonts w:cs="Arial"/>
          <w:strike/>
          <w:highlight w:val="yellow"/>
          <w:lang w:val="es-419"/>
        </w:rPr>
        <w:t>que se celebrará</w:t>
      </w:r>
      <w:r w:rsidR="0099051A" w:rsidRPr="00780406">
        <w:rPr>
          <w:rStyle w:val="EndnoteReference"/>
          <w:rFonts w:cs="Arial"/>
          <w:b/>
          <w:highlight w:val="yellow"/>
          <w:u w:val="single"/>
          <w:lang w:val="es-419"/>
        </w:rPr>
        <w:endnoteReference w:id="2"/>
      </w:r>
      <w:r w:rsidR="0099051A" w:rsidRPr="0054466D">
        <w:rPr>
          <w:rFonts w:cs="Arial"/>
          <w:lang w:val="es-419"/>
        </w:rPr>
        <w:t xml:space="preserve"> </w:t>
      </w:r>
      <w:r w:rsidR="00EF0454" w:rsidRPr="0054466D">
        <w:rPr>
          <w:rFonts w:cs="Arial"/>
          <w:lang w:val="es-419"/>
        </w:rPr>
        <w:t>en</w:t>
      </w:r>
      <w:r w:rsidR="003A7CAF" w:rsidRPr="0054466D">
        <w:rPr>
          <w:rFonts w:cs="Arial"/>
          <w:lang w:val="es-419"/>
        </w:rPr>
        <w:t> 2</w:t>
      </w:r>
      <w:r w:rsidR="00EF0454" w:rsidRPr="0054466D">
        <w:rPr>
          <w:rFonts w:cs="Arial"/>
          <w:lang w:val="es-419"/>
        </w:rPr>
        <w:t>020</w:t>
      </w:r>
      <w:r w:rsidR="003A7CAF" w:rsidRPr="0054466D">
        <w:rPr>
          <w:rFonts w:cs="Arial"/>
          <w:lang w:val="es-419"/>
        </w:rPr>
        <w:t xml:space="preserve">, </w:t>
      </w:r>
      <w:r w:rsidR="00EF0454" w:rsidRPr="0054466D">
        <w:rPr>
          <w:rFonts w:cs="Arial"/>
          <w:lang w:val="es-419"/>
        </w:rPr>
        <w:t>junto con las observaciones formuladas por el TWC y el BMT.</w:t>
      </w:r>
    </w:p>
    <w:p w:rsidR="00025C71" w:rsidRPr="0054466D" w:rsidRDefault="00025C71" w:rsidP="00025C71">
      <w:pPr>
        <w:rPr>
          <w:lang w:val="es-419"/>
        </w:rPr>
      </w:pPr>
    </w:p>
    <w:p w:rsidR="00025C71" w:rsidRPr="0054466D" w:rsidRDefault="00025C71" w:rsidP="00025C71">
      <w:pPr>
        <w:rPr>
          <w:lang w:val="es-419"/>
        </w:rPr>
      </w:pPr>
    </w:p>
    <w:p w:rsidR="00025C71" w:rsidRPr="0054466D" w:rsidRDefault="009A44FB" w:rsidP="00025C71">
      <w:pPr>
        <w:pStyle w:val="Heading1"/>
        <w:rPr>
          <w:lang w:val="es-419"/>
        </w:rPr>
      </w:pPr>
      <w:bookmarkStart w:id="4" w:name="_Toc47773613"/>
      <w:r w:rsidRPr="0054466D">
        <w:rPr>
          <w:lang w:val="es-419"/>
        </w:rPr>
        <w:t>PROYECTO DE MANDATO DE UN EVENTUAL ÓRGANO ÚNICO QUE ABARQUE LA LABOR DEL</w:t>
      </w:r>
      <w:r w:rsidR="009D1F66" w:rsidRPr="0054466D">
        <w:rPr>
          <w:lang w:val="es-419"/>
        </w:rPr>
        <w:t> </w:t>
      </w:r>
      <w:r w:rsidRPr="0054466D">
        <w:rPr>
          <w:lang w:val="es-419"/>
        </w:rPr>
        <w:t xml:space="preserve">TWC Y </w:t>
      </w:r>
      <w:r w:rsidR="00C503CE" w:rsidRPr="0054466D">
        <w:rPr>
          <w:lang w:val="es-419"/>
        </w:rPr>
        <w:t xml:space="preserve">LA </w:t>
      </w:r>
      <w:r w:rsidR="009D1F66" w:rsidRPr="0054466D">
        <w:rPr>
          <w:lang w:val="es-419"/>
        </w:rPr>
        <w:t>DEL </w:t>
      </w:r>
      <w:r w:rsidRPr="0054466D">
        <w:rPr>
          <w:lang w:val="es-419"/>
        </w:rPr>
        <w:t>BMT</w:t>
      </w:r>
      <w:bookmarkEnd w:id="4"/>
    </w:p>
    <w:p w:rsidR="00025C71" w:rsidRPr="0054466D" w:rsidRDefault="00025C71" w:rsidP="00025C71">
      <w:pPr>
        <w:rPr>
          <w:lang w:val="es-419"/>
        </w:rPr>
      </w:pPr>
    </w:p>
    <w:p w:rsidR="00025C71" w:rsidRPr="0054466D" w:rsidRDefault="00661F8F" w:rsidP="00025C71">
      <w:pPr>
        <w:rPr>
          <w:lang w:val="es-419"/>
        </w:rPr>
      </w:pPr>
      <w:r w:rsidRPr="0054466D">
        <w:rPr>
          <w:lang w:val="es-419"/>
        </w:rPr>
        <w:fldChar w:fldCharType="begin"/>
      </w:r>
      <w:r w:rsidR="00025C71" w:rsidRPr="0054466D">
        <w:rPr>
          <w:lang w:val="es-419"/>
        </w:rPr>
        <w:instrText xml:space="preserve"> AUTONUM  </w:instrText>
      </w:r>
      <w:r w:rsidRPr="0054466D">
        <w:rPr>
          <w:lang w:val="es-419"/>
        </w:rPr>
        <w:fldChar w:fldCharType="end"/>
      </w:r>
      <w:r w:rsidR="00025C71" w:rsidRPr="0054466D">
        <w:rPr>
          <w:lang w:val="es-419"/>
        </w:rPr>
        <w:tab/>
      </w:r>
      <w:r w:rsidR="009A44FB" w:rsidRPr="0054466D">
        <w:rPr>
          <w:lang w:val="es-419"/>
        </w:rPr>
        <w:t>Se propone el siguiente proyecto de mandato para un eventual órgano</w:t>
      </w:r>
      <w:r w:rsidR="009D1F66" w:rsidRPr="0054466D">
        <w:rPr>
          <w:lang w:val="es-419"/>
        </w:rPr>
        <w:t xml:space="preserve"> único que abarque la labor del </w:t>
      </w:r>
      <w:r w:rsidR="009A44FB" w:rsidRPr="0054466D">
        <w:rPr>
          <w:lang w:val="es-419"/>
        </w:rPr>
        <w:t xml:space="preserve">TWC y </w:t>
      </w:r>
      <w:r w:rsidR="00C503CE" w:rsidRPr="0054466D">
        <w:rPr>
          <w:lang w:val="es-419"/>
        </w:rPr>
        <w:t xml:space="preserve">la </w:t>
      </w:r>
      <w:r w:rsidR="009D1F66" w:rsidRPr="0054466D">
        <w:rPr>
          <w:lang w:val="es-419"/>
        </w:rPr>
        <w:t>del </w:t>
      </w:r>
      <w:r w:rsidR="009A44FB" w:rsidRPr="0054466D">
        <w:rPr>
          <w:lang w:val="es-419"/>
        </w:rPr>
        <w:t>BMT:</w:t>
      </w:r>
    </w:p>
    <w:p w:rsidR="00025C71" w:rsidRPr="0054466D" w:rsidRDefault="00025C71" w:rsidP="00025C71">
      <w:pPr>
        <w:rPr>
          <w:lang w:val="es-419"/>
        </w:rPr>
      </w:pPr>
    </w:p>
    <w:p w:rsidR="00025C71" w:rsidRPr="0054466D" w:rsidRDefault="009A44FB" w:rsidP="00025C71">
      <w:pPr>
        <w:ind w:left="567"/>
        <w:rPr>
          <w:u w:val="single"/>
          <w:lang w:val="es-419"/>
        </w:rPr>
      </w:pPr>
      <w:r w:rsidRPr="0054466D">
        <w:rPr>
          <w:u w:val="single"/>
          <w:lang w:val="es-419"/>
        </w:rPr>
        <w:t>Título:</w:t>
      </w:r>
      <w:r w:rsidR="00025C71" w:rsidRPr="0054466D">
        <w:rPr>
          <w:u w:val="single"/>
          <w:lang w:val="es-419"/>
        </w:rPr>
        <w:t xml:space="preserve"> </w:t>
      </w:r>
    </w:p>
    <w:p w:rsidR="00025C71" w:rsidRPr="0054466D" w:rsidRDefault="00025C71" w:rsidP="00025C71">
      <w:pPr>
        <w:ind w:left="567"/>
        <w:rPr>
          <w:u w:val="single"/>
          <w:lang w:val="es-419"/>
        </w:rPr>
      </w:pPr>
    </w:p>
    <w:p w:rsidR="00025C71" w:rsidRPr="0054466D" w:rsidRDefault="009A44FB" w:rsidP="00025C71">
      <w:pPr>
        <w:ind w:left="567"/>
        <w:rPr>
          <w:lang w:val="es-419"/>
        </w:rPr>
      </w:pPr>
      <w:r w:rsidRPr="0054466D">
        <w:rPr>
          <w:lang w:val="es-419"/>
        </w:rPr>
        <w:t>Grupo de Trabajo Técnico sobre Métodos y Técnicas de Examen (TWM)</w:t>
      </w:r>
    </w:p>
    <w:p w:rsidR="00025C71" w:rsidRPr="0054466D" w:rsidRDefault="00025C71" w:rsidP="00025C71">
      <w:pPr>
        <w:ind w:left="567"/>
        <w:rPr>
          <w:lang w:val="es-419"/>
        </w:rPr>
      </w:pPr>
    </w:p>
    <w:p w:rsidR="00025C71" w:rsidRPr="0054466D" w:rsidRDefault="009A44FB" w:rsidP="009D1F66">
      <w:pPr>
        <w:shd w:val="clear" w:color="auto" w:fill="FFFFFF"/>
        <w:spacing w:after="220"/>
        <w:ind w:left="567"/>
        <w:rPr>
          <w:rFonts w:cs="Arial"/>
          <w:color w:val="333333"/>
          <w:u w:val="single"/>
          <w:lang w:val="es-419"/>
        </w:rPr>
      </w:pPr>
      <w:r w:rsidRPr="0054466D">
        <w:rPr>
          <w:rFonts w:cs="Arial"/>
          <w:color w:val="333333"/>
          <w:u w:val="single"/>
          <w:lang w:val="es-419"/>
        </w:rPr>
        <w:t>Tareas:</w:t>
      </w:r>
    </w:p>
    <w:p w:rsidR="00025C71" w:rsidRPr="0054466D" w:rsidRDefault="002E5378" w:rsidP="009D1F66">
      <w:pPr>
        <w:shd w:val="clear" w:color="auto" w:fill="FFFFFF"/>
        <w:spacing w:after="220"/>
        <w:ind w:left="567"/>
        <w:rPr>
          <w:rFonts w:cs="Arial"/>
          <w:color w:val="333333"/>
          <w:lang w:val="es-419"/>
        </w:rPr>
      </w:pPr>
      <w:r w:rsidRPr="0054466D">
        <w:rPr>
          <w:rFonts w:cs="Arial"/>
          <w:color w:val="333333"/>
          <w:lang w:val="es-419"/>
        </w:rPr>
        <w:t>Conforme a las indicaciones</w:t>
      </w:r>
      <w:r w:rsidR="00491B46" w:rsidRPr="0054466D">
        <w:rPr>
          <w:rFonts w:cs="Arial"/>
          <w:color w:val="333333"/>
          <w:lang w:val="es-419"/>
        </w:rPr>
        <w:t xml:space="preserve"> del Comité Técnico:</w:t>
      </w:r>
    </w:p>
    <w:p w:rsidR="00025C71" w:rsidRPr="0054466D" w:rsidRDefault="00E5425C" w:rsidP="009D1F66">
      <w:pPr>
        <w:numPr>
          <w:ilvl w:val="0"/>
          <w:numId w:val="1"/>
        </w:numPr>
        <w:shd w:val="clear" w:color="auto" w:fill="FFFFFF"/>
        <w:spacing w:after="120"/>
        <w:ind w:left="1701" w:hanging="567"/>
        <w:rPr>
          <w:rFonts w:cs="Arial"/>
          <w:color w:val="333333"/>
          <w:lang w:val="es-419"/>
        </w:rPr>
      </w:pPr>
      <w:r w:rsidRPr="0054466D">
        <w:rPr>
          <w:rFonts w:cs="Arial"/>
          <w:color w:val="333333"/>
          <w:lang w:val="es-419"/>
        </w:rPr>
        <w:t xml:space="preserve">evaluar </w:t>
      </w:r>
      <w:r w:rsidR="002E5378" w:rsidRPr="0054466D">
        <w:rPr>
          <w:rFonts w:cs="Arial"/>
          <w:color w:val="333333"/>
          <w:lang w:val="es-419"/>
        </w:rPr>
        <w:t>los métodos de interés para el examen de la distinción</w:t>
      </w:r>
      <w:r w:rsidR="003A7CAF" w:rsidRPr="0054466D">
        <w:rPr>
          <w:rFonts w:cs="Arial"/>
          <w:color w:val="333333"/>
          <w:lang w:val="es-419"/>
        </w:rPr>
        <w:t xml:space="preserve">, </w:t>
      </w:r>
      <w:r w:rsidR="002E5378" w:rsidRPr="0054466D">
        <w:rPr>
          <w:rFonts w:cs="Arial"/>
          <w:color w:val="333333"/>
          <w:lang w:val="es-419"/>
        </w:rPr>
        <w:t>la homogeneidad y la estabilidad (DHE);</w:t>
      </w:r>
    </w:p>
    <w:p w:rsidR="00025C71" w:rsidRPr="0054466D" w:rsidRDefault="00E5425C" w:rsidP="009D1F66">
      <w:pPr>
        <w:numPr>
          <w:ilvl w:val="0"/>
          <w:numId w:val="1"/>
        </w:numPr>
        <w:shd w:val="clear" w:color="auto" w:fill="FFFFFF"/>
        <w:spacing w:after="120"/>
        <w:ind w:left="1701" w:hanging="567"/>
        <w:jc w:val="left"/>
        <w:rPr>
          <w:rFonts w:cs="Arial"/>
          <w:color w:val="333333"/>
          <w:lang w:val="es-419"/>
        </w:rPr>
      </w:pPr>
      <w:r w:rsidRPr="0054466D">
        <w:rPr>
          <w:rFonts w:cs="Arial"/>
          <w:color w:val="333333"/>
          <w:lang w:val="es-419"/>
        </w:rPr>
        <w:t xml:space="preserve">examinar </w:t>
      </w:r>
      <w:r w:rsidR="00CA194A" w:rsidRPr="0054466D">
        <w:rPr>
          <w:rFonts w:cs="Arial"/>
          <w:color w:val="333333"/>
          <w:lang w:val="es-419"/>
        </w:rPr>
        <w:t xml:space="preserve">y brindar orientaciones sobre los programas informáticos y el equipo </w:t>
      </w:r>
      <w:r w:rsidR="009D1F66" w:rsidRPr="0054466D">
        <w:rPr>
          <w:rFonts w:cs="Arial"/>
          <w:color w:val="333333"/>
          <w:lang w:val="es-419"/>
        </w:rPr>
        <w:t xml:space="preserve">que resulten </w:t>
      </w:r>
      <w:r w:rsidR="00CA194A" w:rsidRPr="0054466D">
        <w:rPr>
          <w:rFonts w:cs="Arial"/>
          <w:color w:val="333333"/>
          <w:lang w:val="es-419"/>
        </w:rPr>
        <w:t>de interés para:</w:t>
      </w:r>
    </w:p>
    <w:p w:rsidR="00025C71" w:rsidRPr="0054466D" w:rsidRDefault="00CA194A" w:rsidP="009D1F66">
      <w:pPr>
        <w:numPr>
          <w:ilvl w:val="1"/>
          <w:numId w:val="1"/>
        </w:numPr>
        <w:shd w:val="clear" w:color="auto" w:fill="FFFFFF"/>
        <w:spacing w:before="100" w:beforeAutospacing="1" w:after="120" w:afterAutospacing="1"/>
        <w:ind w:left="2268" w:hanging="567"/>
        <w:jc w:val="left"/>
        <w:rPr>
          <w:rFonts w:cs="Arial"/>
          <w:color w:val="333333"/>
          <w:lang w:val="es-419"/>
        </w:rPr>
      </w:pPr>
      <w:r w:rsidRPr="0054466D">
        <w:rPr>
          <w:rFonts w:cs="Arial"/>
          <w:color w:val="333333"/>
          <w:lang w:val="es-419"/>
        </w:rPr>
        <w:t>el diseño de los ensayos</w:t>
      </w:r>
      <w:r w:rsidR="009D1F66" w:rsidRPr="0054466D">
        <w:rPr>
          <w:rFonts w:cs="Arial"/>
          <w:color w:val="333333"/>
          <w:lang w:val="es-419"/>
        </w:rPr>
        <w:t> </w:t>
      </w:r>
      <w:r w:rsidRPr="0054466D">
        <w:rPr>
          <w:rFonts w:cs="Arial"/>
          <w:color w:val="333333"/>
          <w:lang w:val="es-419"/>
        </w:rPr>
        <w:t>DHE y el análisis de datos;</w:t>
      </w:r>
    </w:p>
    <w:p w:rsidR="00025C71" w:rsidRPr="0054466D" w:rsidRDefault="00CA194A" w:rsidP="009D1F66">
      <w:pPr>
        <w:numPr>
          <w:ilvl w:val="1"/>
          <w:numId w:val="1"/>
        </w:numPr>
        <w:shd w:val="clear" w:color="auto" w:fill="FFFFFF"/>
        <w:spacing w:before="100" w:beforeAutospacing="1" w:after="120" w:afterAutospacing="1"/>
        <w:ind w:left="2268" w:hanging="567"/>
        <w:jc w:val="left"/>
        <w:rPr>
          <w:rFonts w:cs="Arial"/>
          <w:color w:val="333333"/>
          <w:lang w:val="es-419"/>
        </w:rPr>
      </w:pPr>
      <w:r w:rsidRPr="0054466D">
        <w:rPr>
          <w:rFonts w:cs="Arial"/>
          <w:color w:val="333333"/>
          <w:lang w:val="es-419"/>
        </w:rPr>
        <w:t>la inscripción y la transferencia de datos;</w:t>
      </w:r>
    </w:p>
    <w:p w:rsidR="00025C71" w:rsidRPr="0054466D" w:rsidRDefault="00CA194A" w:rsidP="009D1F66">
      <w:pPr>
        <w:numPr>
          <w:ilvl w:val="1"/>
          <w:numId w:val="1"/>
        </w:numPr>
        <w:shd w:val="clear" w:color="auto" w:fill="FFFFFF"/>
        <w:spacing w:before="100" w:beforeAutospacing="1" w:after="120" w:afterAutospacing="1"/>
        <w:ind w:left="2268" w:hanging="567"/>
        <w:jc w:val="left"/>
        <w:rPr>
          <w:rFonts w:cs="Arial"/>
          <w:color w:val="333333"/>
          <w:lang w:val="es-419"/>
        </w:rPr>
      </w:pPr>
      <w:r w:rsidRPr="0054466D">
        <w:rPr>
          <w:rFonts w:cs="Arial"/>
          <w:color w:val="333333"/>
          <w:lang w:val="es-419"/>
        </w:rPr>
        <w:t>el análisis de imágenes;</w:t>
      </w:r>
    </w:p>
    <w:p w:rsidR="00025C71" w:rsidRPr="0054466D" w:rsidRDefault="00CA194A" w:rsidP="009D1F66">
      <w:pPr>
        <w:numPr>
          <w:ilvl w:val="1"/>
          <w:numId w:val="1"/>
        </w:numPr>
        <w:shd w:val="clear" w:color="auto" w:fill="FFFFFF"/>
        <w:spacing w:after="120"/>
        <w:ind w:left="2268" w:hanging="567"/>
        <w:jc w:val="left"/>
        <w:rPr>
          <w:rFonts w:cs="Arial"/>
          <w:color w:val="333333"/>
          <w:lang w:val="es-419"/>
        </w:rPr>
      </w:pPr>
      <w:r w:rsidRPr="0054466D">
        <w:rPr>
          <w:rFonts w:cs="Arial"/>
          <w:color w:val="333333"/>
          <w:lang w:val="es-419"/>
        </w:rPr>
        <w:t>los datos bioquímicos y moleculares;</w:t>
      </w:r>
    </w:p>
    <w:p w:rsidR="00025C71" w:rsidRPr="0054466D" w:rsidRDefault="00E5425C" w:rsidP="009D1F66">
      <w:pPr>
        <w:numPr>
          <w:ilvl w:val="0"/>
          <w:numId w:val="1"/>
        </w:numPr>
        <w:shd w:val="clear" w:color="auto" w:fill="FFFFFF"/>
        <w:spacing w:after="120"/>
        <w:ind w:left="1701" w:hanging="567"/>
        <w:jc w:val="left"/>
        <w:rPr>
          <w:rFonts w:cs="Arial"/>
          <w:color w:val="333333"/>
          <w:lang w:val="es-419"/>
        </w:rPr>
      </w:pPr>
      <w:r w:rsidRPr="0054466D">
        <w:rPr>
          <w:rFonts w:cs="Arial"/>
          <w:color w:val="333333"/>
          <w:lang w:val="es-419"/>
        </w:rPr>
        <w:t xml:space="preserve">examinar </w:t>
      </w:r>
      <w:r w:rsidR="00CA194A" w:rsidRPr="0054466D">
        <w:rPr>
          <w:rFonts w:cs="Arial"/>
          <w:color w:val="333333"/>
          <w:lang w:val="es-419"/>
        </w:rPr>
        <w:t>las cuestiones relativas al diseño de ensayos y el análisis de datos;</w:t>
      </w:r>
    </w:p>
    <w:p w:rsidR="00025C71" w:rsidRPr="0054466D" w:rsidRDefault="00E5425C" w:rsidP="009D1F66">
      <w:pPr>
        <w:numPr>
          <w:ilvl w:val="0"/>
          <w:numId w:val="1"/>
        </w:numPr>
        <w:shd w:val="clear" w:color="auto" w:fill="FFFFFF"/>
        <w:spacing w:after="120"/>
        <w:ind w:left="1701" w:hanging="567"/>
        <w:rPr>
          <w:rFonts w:cs="Arial"/>
          <w:color w:val="333333"/>
          <w:lang w:val="es-419"/>
        </w:rPr>
      </w:pPr>
      <w:r w:rsidRPr="0054466D">
        <w:rPr>
          <w:rFonts w:cs="Arial"/>
          <w:color w:val="333333"/>
          <w:lang w:val="es-419"/>
        </w:rPr>
        <w:t xml:space="preserve">estudiar </w:t>
      </w:r>
      <w:r w:rsidR="00F36F39" w:rsidRPr="0054466D">
        <w:rPr>
          <w:rFonts w:cs="Arial"/>
          <w:color w:val="333333"/>
          <w:lang w:val="es-419"/>
        </w:rPr>
        <w:t>la posible aplicación de técnicas bioquímicas y moleculares al examen DHE;</w:t>
      </w:r>
    </w:p>
    <w:p w:rsidR="00025C71" w:rsidRPr="0054466D" w:rsidRDefault="00E5425C" w:rsidP="009D4DEF">
      <w:pPr>
        <w:numPr>
          <w:ilvl w:val="0"/>
          <w:numId w:val="1"/>
        </w:numPr>
        <w:shd w:val="clear" w:color="auto" w:fill="FFFFFF"/>
        <w:spacing w:after="120"/>
        <w:ind w:left="1701" w:hanging="567"/>
        <w:rPr>
          <w:rFonts w:cs="Arial"/>
          <w:color w:val="333333"/>
          <w:lang w:val="es-419"/>
        </w:rPr>
      </w:pPr>
      <w:r w:rsidRPr="0054466D">
        <w:rPr>
          <w:rFonts w:cs="Arial"/>
          <w:color w:val="333333"/>
          <w:lang w:val="es-419"/>
        </w:rPr>
        <w:t xml:space="preserve">elaborar </w:t>
      </w:r>
      <w:r w:rsidR="00F36F39" w:rsidRPr="0054466D">
        <w:rPr>
          <w:rFonts w:cs="Arial"/>
          <w:color w:val="333333"/>
          <w:lang w:val="es-419"/>
        </w:rPr>
        <w:t>directrices en relación con la gestión y la armonización de bases de datos;</w:t>
      </w:r>
    </w:p>
    <w:p w:rsidR="00025C71" w:rsidRPr="0054466D" w:rsidRDefault="00E5425C" w:rsidP="009D4DEF">
      <w:pPr>
        <w:numPr>
          <w:ilvl w:val="0"/>
          <w:numId w:val="1"/>
        </w:numPr>
        <w:shd w:val="clear" w:color="auto" w:fill="FFFFFF"/>
        <w:spacing w:after="120"/>
        <w:ind w:left="1701" w:hanging="567"/>
        <w:rPr>
          <w:rFonts w:cs="Arial"/>
          <w:color w:val="333333"/>
          <w:lang w:val="es-419"/>
        </w:rPr>
      </w:pPr>
      <w:r w:rsidRPr="0054466D">
        <w:rPr>
          <w:rFonts w:cs="Arial"/>
          <w:color w:val="333333"/>
          <w:lang w:val="es-419"/>
        </w:rPr>
        <w:t xml:space="preserve">si </w:t>
      </w:r>
      <w:r w:rsidR="00F36F39" w:rsidRPr="0054466D">
        <w:rPr>
          <w:rFonts w:cs="Arial"/>
          <w:color w:val="333333"/>
          <w:lang w:val="es-419"/>
        </w:rPr>
        <w:t>procede</w:t>
      </w:r>
      <w:r w:rsidR="003A7CAF" w:rsidRPr="0054466D">
        <w:rPr>
          <w:rFonts w:cs="Arial"/>
          <w:color w:val="333333"/>
          <w:lang w:val="es-419"/>
        </w:rPr>
        <w:t xml:space="preserve">, </w:t>
      </w:r>
      <w:r w:rsidR="00F36F39" w:rsidRPr="0054466D">
        <w:rPr>
          <w:rFonts w:cs="Arial"/>
          <w:color w:val="333333"/>
          <w:lang w:val="es-419"/>
        </w:rPr>
        <w:t>elaborar directrices para metodologías bioquímicas y moleculares y su armonización;</w:t>
      </w:r>
    </w:p>
    <w:p w:rsidR="00025C71" w:rsidRPr="0054466D" w:rsidRDefault="00E5425C" w:rsidP="009D4DEF">
      <w:pPr>
        <w:numPr>
          <w:ilvl w:val="0"/>
          <w:numId w:val="1"/>
        </w:numPr>
        <w:shd w:val="clear" w:color="auto" w:fill="FFFFFF"/>
        <w:spacing w:after="120"/>
        <w:ind w:left="1701" w:hanging="567"/>
        <w:rPr>
          <w:rFonts w:cs="Arial"/>
          <w:color w:val="333333"/>
          <w:lang w:val="es-419"/>
        </w:rPr>
      </w:pPr>
      <w:r w:rsidRPr="0054466D">
        <w:rPr>
          <w:rFonts w:cs="Arial"/>
          <w:color w:val="333333"/>
          <w:lang w:val="es-419"/>
        </w:rPr>
        <w:t xml:space="preserve">examinar </w:t>
      </w:r>
      <w:r w:rsidR="00F36F39" w:rsidRPr="0054466D">
        <w:rPr>
          <w:rFonts w:cs="Arial"/>
          <w:color w:val="333333"/>
          <w:lang w:val="es-419"/>
        </w:rPr>
        <w:t>la evolución general de las técnicas bioquímicas y moleculares;</w:t>
      </w:r>
    </w:p>
    <w:p w:rsidR="00025C71" w:rsidRPr="0054466D" w:rsidRDefault="00E5425C" w:rsidP="009D4DEF">
      <w:pPr>
        <w:numPr>
          <w:ilvl w:val="0"/>
          <w:numId w:val="1"/>
        </w:numPr>
        <w:shd w:val="clear" w:color="auto" w:fill="FFFFFF"/>
        <w:spacing w:after="120"/>
        <w:ind w:left="1701" w:hanging="567"/>
        <w:rPr>
          <w:rFonts w:cs="Arial"/>
          <w:color w:val="333333"/>
          <w:lang w:val="es-419"/>
        </w:rPr>
      </w:pPr>
      <w:r w:rsidRPr="0054466D">
        <w:rPr>
          <w:rFonts w:cs="Arial"/>
          <w:color w:val="333333"/>
          <w:lang w:val="es-419"/>
        </w:rPr>
        <w:t xml:space="preserve">informar </w:t>
      </w:r>
      <w:r w:rsidR="00F36F39" w:rsidRPr="0054466D">
        <w:rPr>
          <w:rFonts w:cs="Arial"/>
          <w:color w:val="333333"/>
          <w:lang w:val="es-419"/>
        </w:rPr>
        <w:t>acerca de las aplicaciones pertinentes de las técnicas bioquímicas y moleculares al fitomejoramiento;</w:t>
      </w:r>
    </w:p>
    <w:p w:rsidR="00025C71" w:rsidRPr="0054466D" w:rsidRDefault="00F36F39" w:rsidP="009D4DEF">
      <w:pPr>
        <w:numPr>
          <w:ilvl w:val="0"/>
          <w:numId w:val="1"/>
        </w:numPr>
        <w:shd w:val="clear" w:color="auto" w:fill="FFFFFF"/>
        <w:spacing w:after="120"/>
        <w:ind w:left="1701" w:hanging="567"/>
        <w:rPr>
          <w:rFonts w:cs="Arial"/>
          <w:color w:val="333333"/>
          <w:lang w:val="es-419"/>
        </w:rPr>
      </w:pPr>
      <w:r w:rsidRPr="0054466D">
        <w:rPr>
          <w:rFonts w:cs="Arial"/>
          <w:color w:val="333333"/>
          <w:lang w:val="es-419"/>
        </w:rPr>
        <w:t>constituir un foro para debatir la utilización de técnicas bioquímicas y moleculares en el examen de las variedades esencialmente derivadas y la identificación de variedades.</w:t>
      </w:r>
    </w:p>
    <w:p w:rsidR="00025C71" w:rsidRPr="0054466D" w:rsidRDefault="00025C71" w:rsidP="00025C71">
      <w:pPr>
        <w:rPr>
          <w:rFonts w:cs="Arial"/>
          <w:lang w:val="es-419"/>
        </w:rPr>
      </w:pPr>
    </w:p>
    <w:p w:rsidR="00025C71" w:rsidRPr="0054466D" w:rsidRDefault="00E5425C" w:rsidP="00182AD2">
      <w:pPr>
        <w:pStyle w:val="Heading2"/>
        <w:rPr>
          <w:lang w:val="es-419"/>
        </w:rPr>
      </w:pPr>
      <w:bookmarkStart w:id="5" w:name="_Toc47773614"/>
      <w:r w:rsidRPr="0054466D">
        <w:rPr>
          <w:lang w:val="es-419"/>
        </w:rPr>
        <w:lastRenderedPageBreak/>
        <w:t>Examen por los Grupos de Trabajo Técnico</w:t>
      </w:r>
      <w:bookmarkEnd w:id="5"/>
      <w:r w:rsidR="00025C71" w:rsidRPr="0054466D">
        <w:rPr>
          <w:lang w:val="es-419"/>
        </w:rPr>
        <w:t xml:space="preserve"> </w:t>
      </w:r>
      <w:r w:rsidR="00780406" w:rsidRPr="00780406">
        <w:rPr>
          <w:rStyle w:val="EndnoteReference"/>
          <w:b/>
          <w:highlight w:val="yellow"/>
          <w:lang w:val="es-419"/>
        </w:rPr>
        <w:endnoteReference w:id="3"/>
      </w:r>
      <w:r w:rsidR="00780406">
        <w:rPr>
          <w:lang w:val="es-419"/>
        </w:rPr>
        <w:t xml:space="preserve"> </w:t>
      </w:r>
    </w:p>
    <w:p w:rsidR="00025C71" w:rsidRPr="0054466D" w:rsidRDefault="00025C71" w:rsidP="00182AD2">
      <w:pPr>
        <w:keepNext/>
        <w:rPr>
          <w:rFonts w:cs="Arial"/>
          <w:lang w:val="es-419"/>
        </w:rPr>
      </w:pPr>
    </w:p>
    <w:p w:rsidR="00025C71" w:rsidRPr="00572507" w:rsidRDefault="00661F8F" w:rsidP="00AA2BC3">
      <w:pPr>
        <w:keepNext/>
        <w:rPr>
          <w:spacing w:val="-2"/>
          <w:lang w:val="es-419"/>
        </w:rPr>
      </w:pPr>
      <w:r w:rsidRPr="00572507">
        <w:rPr>
          <w:spacing w:val="-2"/>
          <w:lang w:val="es-419"/>
        </w:rPr>
        <w:fldChar w:fldCharType="begin"/>
      </w:r>
      <w:r w:rsidR="00025C71" w:rsidRPr="00572507">
        <w:rPr>
          <w:spacing w:val="-2"/>
          <w:lang w:val="es-419"/>
        </w:rPr>
        <w:instrText xml:space="preserve"> AUTONUM  </w:instrText>
      </w:r>
      <w:r w:rsidRPr="00572507">
        <w:rPr>
          <w:spacing w:val="-2"/>
          <w:lang w:val="es-419"/>
        </w:rPr>
        <w:fldChar w:fldCharType="end"/>
      </w:r>
      <w:r w:rsidR="00025C71" w:rsidRPr="00572507">
        <w:rPr>
          <w:spacing w:val="-2"/>
          <w:lang w:val="es-419"/>
        </w:rPr>
        <w:tab/>
      </w:r>
      <w:r w:rsidR="00E5425C" w:rsidRPr="00572507">
        <w:rPr>
          <w:spacing w:val="-2"/>
          <w:lang w:val="es-419"/>
        </w:rPr>
        <w:t xml:space="preserve">En sus </w:t>
      </w:r>
      <w:r w:rsidR="001A3709" w:rsidRPr="00572507">
        <w:rPr>
          <w:spacing w:val="-2"/>
          <w:lang w:val="es-419"/>
        </w:rPr>
        <w:t>reuniones</w:t>
      </w:r>
      <w:r w:rsidR="00E5425C" w:rsidRPr="00572507">
        <w:rPr>
          <w:spacing w:val="-2"/>
          <w:lang w:val="es-419"/>
        </w:rPr>
        <w:t xml:space="preserve"> de 2020</w:t>
      </w:r>
      <w:r w:rsidR="003A7CAF" w:rsidRPr="00572507">
        <w:rPr>
          <w:spacing w:val="-2"/>
          <w:lang w:val="es-419"/>
        </w:rPr>
        <w:t xml:space="preserve">, </w:t>
      </w:r>
      <w:r w:rsidR="00E5425C" w:rsidRPr="00572507">
        <w:rPr>
          <w:spacing w:val="-2"/>
          <w:lang w:val="es-419"/>
        </w:rPr>
        <w:t>el TWV,</w:t>
      </w:r>
      <w:r w:rsidR="00E5425C" w:rsidRPr="00572507">
        <w:rPr>
          <w:rStyle w:val="FootnoteReference"/>
          <w:spacing w:val="-2"/>
          <w:lang w:val="es-419"/>
        </w:rPr>
        <w:footnoteReference w:id="2"/>
      </w:r>
      <w:r w:rsidR="00E5425C" w:rsidRPr="00572507">
        <w:rPr>
          <w:spacing w:val="-2"/>
          <w:lang w:val="es-419"/>
        </w:rPr>
        <w:t xml:space="preserve"> el TWO,</w:t>
      </w:r>
      <w:r w:rsidR="00E5425C" w:rsidRPr="00572507">
        <w:rPr>
          <w:rStyle w:val="FootnoteReference"/>
          <w:spacing w:val="-2"/>
          <w:lang w:val="es-419"/>
        </w:rPr>
        <w:footnoteReference w:id="3"/>
      </w:r>
      <w:r w:rsidR="00E5425C" w:rsidRPr="00572507">
        <w:rPr>
          <w:spacing w:val="-2"/>
          <w:lang w:val="es-419"/>
        </w:rPr>
        <w:t xml:space="preserve"> el TWA</w:t>
      </w:r>
      <w:r w:rsidR="00E5425C" w:rsidRPr="00572507">
        <w:rPr>
          <w:rStyle w:val="FootnoteReference"/>
          <w:spacing w:val="-2"/>
          <w:lang w:val="es-419"/>
        </w:rPr>
        <w:footnoteReference w:id="4"/>
      </w:r>
      <w:r w:rsidR="00780406" w:rsidRPr="00572507">
        <w:rPr>
          <w:spacing w:val="-2"/>
          <w:highlight w:val="yellow"/>
          <w:u w:val="single"/>
          <w:lang w:val="es-419"/>
        </w:rPr>
        <w:t>,</w:t>
      </w:r>
      <w:r w:rsidR="00E5425C" w:rsidRPr="00572507">
        <w:rPr>
          <w:spacing w:val="-2"/>
          <w:lang w:val="es-419"/>
        </w:rPr>
        <w:t xml:space="preserve"> </w:t>
      </w:r>
      <w:r w:rsidR="00E5425C" w:rsidRPr="00572507">
        <w:rPr>
          <w:strike/>
          <w:spacing w:val="-2"/>
          <w:highlight w:val="yellow"/>
          <w:lang w:val="es-419"/>
        </w:rPr>
        <w:t>y</w:t>
      </w:r>
      <w:r w:rsidR="00E5425C" w:rsidRPr="00572507">
        <w:rPr>
          <w:spacing w:val="-2"/>
          <w:lang w:val="es-419"/>
        </w:rPr>
        <w:t xml:space="preserve"> el TWF</w:t>
      </w:r>
      <w:r w:rsidR="00E5425C" w:rsidRPr="00572507">
        <w:rPr>
          <w:rStyle w:val="FootnoteReference"/>
          <w:spacing w:val="-2"/>
          <w:lang w:val="es-419"/>
        </w:rPr>
        <w:footnoteReference w:id="5"/>
      </w:r>
      <w:r w:rsidR="00780406" w:rsidRPr="00572507">
        <w:rPr>
          <w:spacing w:val="-2"/>
          <w:highlight w:val="yellow"/>
          <w:u w:val="single"/>
          <w:lang w:val="es-419"/>
        </w:rPr>
        <w:t>,</w:t>
      </w:r>
      <w:r w:rsidR="00E5425C" w:rsidRPr="00572507">
        <w:rPr>
          <w:spacing w:val="-2"/>
          <w:highlight w:val="yellow"/>
          <w:u w:val="single"/>
          <w:lang w:val="es-419"/>
        </w:rPr>
        <w:t xml:space="preserve"> </w:t>
      </w:r>
      <w:r w:rsidR="00780406" w:rsidRPr="00572507">
        <w:rPr>
          <w:spacing w:val="-2"/>
          <w:highlight w:val="yellow"/>
          <w:u w:val="single"/>
          <w:lang w:val="es-419"/>
        </w:rPr>
        <w:t>el TWC</w:t>
      </w:r>
      <w:r w:rsidR="00780406" w:rsidRPr="00572507">
        <w:rPr>
          <w:rStyle w:val="FootnoteReference"/>
          <w:spacing w:val="-2"/>
          <w:highlight w:val="yellow"/>
          <w:u w:val="single"/>
          <w:lang w:val="es-419"/>
        </w:rPr>
        <w:footnoteReference w:id="6"/>
      </w:r>
      <w:r w:rsidR="00780406" w:rsidRPr="00572507">
        <w:rPr>
          <w:spacing w:val="-2"/>
          <w:highlight w:val="yellow"/>
          <w:u w:val="single"/>
          <w:lang w:val="es-419"/>
        </w:rPr>
        <w:t xml:space="preserve"> y el BMT</w:t>
      </w:r>
      <w:r w:rsidR="00780406" w:rsidRPr="00572507">
        <w:rPr>
          <w:rStyle w:val="FootnoteReference"/>
          <w:spacing w:val="-2"/>
          <w:highlight w:val="yellow"/>
          <w:u w:val="single"/>
          <w:lang w:val="es-419"/>
        </w:rPr>
        <w:footnoteReference w:id="7"/>
      </w:r>
      <w:r w:rsidR="00780406" w:rsidRPr="00572507">
        <w:rPr>
          <w:spacing w:val="-2"/>
          <w:u w:val="single"/>
          <w:lang w:val="es-419"/>
        </w:rPr>
        <w:t xml:space="preserve"> </w:t>
      </w:r>
      <w:r w:rsidR="00AA2BC3" w:rsidRPr="00572507">
        <w:rPr>
          <w:spacing w:val="-2"/>
          <w:lang w:val="es-419"/>
        </w:rPr>
        <w:t xml:space="preserve">examinaron </w:t>
      </w:r>
      <w:r w:rsidR="00AA2BC3" w:rsidRPr="00572507">
        <w:rPr>
          <w:strike/>
          <w:spacing w:val="-2"/>
          <w:lang w:val="es-419"/>
        </w:rPr>
        <w:t>el</w:t>
      </w:r>
      <w:r w:rsidR="00AA2BC3" w:rsidRPr="00572507">
        <w:rPr>
          <w:spacing w:val="-2"/>
          <w:highlight w:val="yellow"/>
          <w:lang w:val="es-419"/>
        </w:rPr>
        <w:t>l</w:t>
      </w:r>
      <w:r w:rsidR="00AA2BC3" w:rsidRPr="00572507">
        <w:rPr>
          <w:spacing w:val="-2"/>
          <w:highlight w:val="yellow"/>
          <w:u w:val="single"/>
          <w:lang w:val="es-419"/>
        </w:rPr>
        <w:t>os</w:t>
      </w:r>
      <w:r w:rsidR="00AA2BC3" w:rsidRPr="00572507">
        <w:rPr>
          <w:spacing w:val="-2"/>
          <w:lang w:val="es-419"/>
        </w:rPr>
        <w:t xml:space="preserve"> documento</w:t>
      </w:r>
      <w:r w:rsidR="00AA2BC3" w:rsidRPr="00572507">
        <w:rPr>
          <w:spacing w:val="-2"/>
          <w:highlight w:val="yellow"/>
          <w:u w:val="single"/>
          <w:lang w:val="es-419"/>
        </w:rPr>
        <w:t>s</w:t>
      </w:r>
      <w:r w:rsidR="00AA2BC3" w:rsidRPr="00572507">
        <w:rPr>
          <w:spacing w:val="-2"/>
          <w:lang w:val="es-419"/>
        </w:rPr>
        <w:t xml:space="preserve"> TWP/4/12 </w:t>
      </w:r>
      <w:r w:rsidR="00AA2BC3" w:rsidRPr="00572507">
        <w:rPr>
          <w:spacing w:val="-2"/>
          <w:highlight w:val="yellow"/>
          <w:u w:val="single"/>
          <w:lang w:val="es-419"/>
        </w:rPr>
        <w:t>y BMT/19/7, respectivamente,</w:t>
      </w:r>
      <w:r w:rsidR="00E5425C" w:rsidRPr="00572507">
        <w:rPr>
          <w:spacing w:val="-2"/>
          <w:lang w:val="es-419"/>
        </w:rPr>
        <w:t xml:space="preserve"> “</w:t>
      </w:r>
      <w:proofErr w:type="spellStart"/>
      <w:r w:rsidR="00C503CE" w:rsidRPr="00572507">
        <w:rPr>
          <w:i/>
          <w:spacing w:val="-2"/>
          <w:lang w:val="es-419"/>
        </w:rPr>
        <w:t>Organization</w:t>
      </w:r>
      <w:proofErr w:type="spellEnd"/>
      <w:r w:rsidR="00C503CE" w:rsidRPr="00572507">
        <w:rPr>
          <w:i/>
          <w:spacing w:val="-2"/>
          <w:lang w:val="es-419"/>
        </w:rPr>
        <w:t xml:space="preserve"> of </w:t>
      </w:r>
      <w:proofErr w:type="spellStart"/>
      <w:r w:rsidR="00C503CE" w:rsidRPr="00572507">
        <w:rPr>
          <w:i/>
          <w:spacing w:val="-2"/>
          <w:lang w:val="es-419"/>
        </w:rPr>
        <w:t>work</w:t>
      </w:r>
      <w:proofErr w:type="spellEnd"/>
      <w:r w:rsidR="00C503CE" w:rsidRPr="00572507">
        <w:rPr>
          <w:i/>
          <w:spacing w:val="-2"/>
          <w:lang w:val="es-419"/>
        </w:rPr>
        <w:t xml:space="preserve"> of the BMT and TWC</w:t>
      </w:r>
      <w:r w:rsidR="00E5425C" w:rsidRPr="00572507">
        <w:rPr>
          <w:spacing w:val="-2"/>
          <w:lang w:val="es-419"/>
        </w:rPr>
        <w:t>”</w:t>
      </w:r>
      <w:r w:rsidR="00C503CE" w:rsidRPr="00572507">
        <w:rPr>
          <w:spacing w:val="-2"/>
          <w:lang w:val="es-419"/>
        </w:rPr>
        <w:t xml:space="preserve"> (Organización de la labor del</w:t>
      </w:r>
      <w:r w:rsidR="009D4DEF" w:rsidRPr="00572507">
        <w:rPr>
          <w:spacing w:val="-2"/>
          <w:lang w:val="es-419"/>
        </w:rPr>
        <w:t> </w:t>
      </w:r>
      <w:r w:rsidR="00C503CE" w:rsidRPr="00572507">
        <w:rPr>
          <w:spacing w:val="-2"/>
          <w:lang w:val="es-419"/>
        </w:rPr>
        <w:t>BMT y del</w:t>
      </w:r>
      <w:r w:rsidR="009D4DEF" w:rsidRPr="00572507">
        <w:rPr>
          <w:spacing w:val="-2"/>
          <w:lang w:val="es-419"/>
        </w:rPr>
        <w:t> </w:t>
      </w:r>
      <w:r w:rsidR="00C503CE" w:rsidRPr="00572507">
        <w:rPr>
          <w:spacing w:val="-2"/>
          <w:lang w:val="es-419"/>
        </w:rPr>
        <w:t>TWC)</w:t>
      </w:r>
      <w:r w:rsidR="003A7CAF" w:rsidRPr="00572507">
        <w:rPr>
          <w:spacing w:val="-2"/>
          <w:lang w:val="es-419"/>
        </w:rPr>
        <w:t xml:space="preserve">, </w:t>
      </w:r>
      <w:r w:rsidR="004B55F8" w:rsidRPr="00572507">
        <w:rPr>
          <w:spacing w:val="-2"/>
          <w:lang w:val="es-419"/>
        </w:rPr>
        <w:t xml:space="preserve">en el que figura </w:t>
      </w:r>
      <w:r w:rsidR="00E5425C" w:rsidRPr="00572507">
        <w:rPr>
          <w:spacing w:val="-2"/>
          <w:lang w:val="es-419"/>
        </w:rPr>
        <w:t>e</w:t>
      </w:r>
      <w:r w:rsidR="004B55F8" w:rsidRPr="00572507">
        <w:rPr>
          <w:spacing w:val="-2"/>
          <w:lang w:val="es-419"/>
        </w:rPr>
        <w:t>l</w:t>
      </w:r>
      <w:r w:rsidR="00E5425C" w:rsidRPr="00572507">
        <w:rPr>
          <w:spacing w:val="-2"/>
          <w:lang w:val="es-419"/>
        </w:rPr>
        <w:t xml:space="preserve"> proyecto de mandato </w:t>
      </w:r>
      <w:r w:rsidR="00694F2C" w:rsidRPr="00572507">
        <w:rPr>
          <w:spacing w:val="-2"/>
          <w:lang w:val="es-419"/>
        </w:rPr>
        <w:t xml:space="preserve">de un eventual órgano único que abarque la labor </w:t>
      </w:r>
      <w:r w:rsidR="00E5425C" w:rsidRPr="00572507">
        <w:rPr>
          <w:spacing w:val="-2"/>
          <w:lang w:val="es-419"/>
        </w:rPr>
        <w:t xml:space="preserve">del TWC </w:t>
      </w:r>
      <w:r w:rsidR="00694F2C" w:rsidRPr="00572507">
        <w:rPr>
          <w:spacing w:val="-2"/>
          <w:lang w:val="es-419"/>
        </w:rPr>
        <w:t>y la del </w:t>
      </w:r>
      <w:r w:rsidR="00E5425C" w:rsidRPr="00572507">
        <w:rPr>
          <w:spacing w:val="-2"/>
          <w:lang w:val="es-419"/>
        </w:rPr>
        <w:t>BMT (véa</w:t>
      </w:r>
      <w:r w:rsidR="0065007B" w:rsidRPr="00572507">
        <w:rPr>
          <w:spacing w:val="-2"/>
          <w:lang w:val="es-419"/>
        </w:rPr>
        <w:t>n</w:t>
      </w:r>
      <w:r w:rsidR="00E5425C" w:rsidRPr="00572507">
        <w:rPr>
          <w:spacing w:val="-2"/>
          <w:lang w:val="es-419"/>
        </w:rPr>
        <w:t xml:space="preserve">se </w:t>
      </w:r>
      <w:r w:rsidR="0065007B" w:rsidRPr="00572507">
        <w:rPr>
          <w:spacing w:val="-2"/>
          <w:lang w:val="es-419"/>
        </w:rPr>
        <w:t>los párrafos</w:t>
      </w:r>
      <w:r w:rsidR="003A7CAF" w:rsidRPr="00572507">
        <w:rPr>
          <w:spacing w:val="-2"/>
          <w:lang w:val="es-419"/>
        </w:rPr>
        <w:t> 1</w:t>
      </w:r>
      <w:r w:rsidR="0065007B" w:rsidRPr="00572507">
        <w:rPr>
          <w:spacing w:val="-2"/>
          <w:lang w:val="es-419"/>
        </w:rPr>
        <w:t>00 y</w:t>
      </w:r>
      <w:r w:rsidR="003A7CAF" w:rsidRPr="00572507">
        <w:rPr>
          <w:spacing w:val="-2"/>
          <w:lang w:val="es-419"/>
        </w:rPr>
        <w:t> 1</w:t>
      </w:r>
      <w:r w:rsidR="0065007B" w:rsidRPr="00572507">
        <w:rPr>
          <w:spacing w:val="-2"/>
          <w:lang w:val="es-419"/>
        </w:rPr>
        <w:t>01 del documento</w:t>
      </w:r>
      <w:r w:rsidR="00E5425C" w:rsidRPr="00572507">
        <w:rPr>
          <w:spacing w:val="-2"/>
          <w:lang w:val="es-419"/>
        </w:rPr>
        <w:t xml:space="preserve"> TWV/54/9 </w:t>
      </w:r>
      <w:r w:rsidR="0065007B" w:rsidRPr="00572507">
        <w:rPr>
          <w:spacing w:val="-2"/>
          <w:lang w:val="es-419"/>
        </w:rPr>
        <w:t>“</w:t>
      </w:r>
      <w:proofErr w:type="spellStart"/>
      <w:r w:rsidR="0065007B" w:rsidRPr="00572507">
        <w:rPr>
          <w:i/>
          <w:spacing w:val="-2"/>
          <w:lang w:val="es-419"/>
        </w:rPr>
        <w:t>Report</w:t>
      </w:r>
      <w:proofErr w:type="spellEnd"/>
      <w:r w:rsidR="0065007B" w:rsidRPr="00572507">
        <w:rPr>
          <w:spacing w:val="-2"/>
          <w:lang w:val="es-419"/>
        </w:rPr>
        <w:t>” (Informe); los párrafos</w:t>
      </w:r>
      <w:r w:rsidR="003A7CAF" w:rsidRPr="00572507">
        <w:rPr>
          <w:spacing w:val="-2"/>
          <w:lang w:val="es-419"/>
        </w:rPr>
        <w:t> 7</w:t>
      </w:r>
      <w:r w:rsidR="0065007B" w:rsidRPr="00572507">
        <w:rPr>
          <w:spacing w:val="-2"/>
          <w:lang w:val="es-419"/>
        </w:rPr>
        <w:t>5 a</w:t>
      </w:r>
      <w:r w:rsidR="003A7CAF" w:rsidRPr="00572507">
        <w:rPr>
          <w:spacing w:val="-2"/>
          <w:lang w:val="es-419"/>
        </w:rPr>
        <w:t> 7</w:t>
      </w:r>
      <w:r w:rsidR="0065007B" w:rsidRPr="00572507">
        <w:rPr>
          <w:spacing w:val="-2"/>
          <w:lang w:val="es-419"/>
        </w:rPr>
        <w:t xml:space="preserve">7 del documento </w:t>
      </w:r>
      <w:r w:rsidR="00E5425C" w:rsidRPr="00572507">
        <w:rPr>
          <w:spacing w:val="-2"/>
          <w:lang w:val="es-419"/>
        </w:rPr>
        <w:t>TWO/52/11 “</w:t>
      </w:r>
      <w:proofErr w:type="spellStart"/>
      <w:r w:rsidR="00E5425C" w:rsidRPr="00572507">
        <w:rPr>
          <w:i/>
          <w:spacing w:val="-2"/>
          <w:lang w:val="es-419"/>
        </w:rPr>
        <w:t>Report</w:t>
      </w:r>
      <w:proofErr w:type="spellEnd"/>
      <w:r w:rsidR="00E5425C" w:rsidRPr="00572507">
        <w:rPr>
          <w:spacing w:val="-2"/>
          <w:lang w:val="es-419"/>
        </w:rPr>
        <w:t>”</w:t>
      </w:r>
      <w:r w:rsidR="003A7CAF" w:rsidRPr="00572507">
        <w:rPr>
          <w:spacing w:val="-2"/>
          <w:lang w:val="es-419"/>
        </w:rPr>
        <w:t xml:space="preserve">, </w:t>
      </w:r>
      <w:r w:rsidR="0065007B" w:rsidRPr="00572507">
        <w:rPr>
          <w:spacing w:val="-2"/>
          <w:lang w:val="es-419"/>
        </w:rPr>
        <w:t xml:space="preserve">los </w:t>
      </w:r>
      <w:r w:rsidR="00E5425C" w:rsidRPr="00572507">
        <w:rPr>
          <w:spacing w:val="-2"/>
          <w:lang w:val="es-419"/>
        </w:rPr>
        <w:t>párrafos</w:t>
      </w:r>
      <w:r w:rsidR="003A7CAF" w:rsidRPr="00572507">
        <w:rPr>
          <w:spacing w:val="-2"/>
          <w:lang w:val="es-419"/>
        </w:rPr>
        <w:t> 8</w:t>
      </w:r>
      <w:r w:rsidR="0065007B" w:rsidRPr="00572507">
        <w:rPr>
          <w:spacing w:val="-2"/>
          <w:lang w:val="es-419"/>
        </w:rPr>
        <w:t>5 a</w:t>
      </w:r>
      <w:r w:rsidR="003A7CAF" w:rsidRPr="00572507">
        <w:rPr>
          <w:spacing w:val="-2"/>
          <w:lang w:val="es-419"/>
        </w:rPr>
        <w:t> 8</w:t>
      </w:r>
      <w:r w:rsidR="0065007B" w:rsidRPr="00572507">
        <w:rPr>
          <w:spacing w:val="-2"/>
          <w:lang w:val="es-419"/>
        </w:rPr>
        <w:t xml:space="preserve">7 del documento </w:t>
      </w:r>
      <w:r w:rsidR="00E5425C" w:rsidRPr="00572507">
        <w:rPr>
          <w:spacing w:val="-2"/>
          <w:lang w:val="es-419"/>
        </w:rPr>
        <w:t>TWA/49/7 “</w:t>
      </w:r>
      <w:proofErr w:type="spellStart"/>
      <w:r w:rsidR="00E5425C" w:rsidRPr="00572507">
        <w:rPr>
          <w:i/>
          <w:spacing w:val="-2"/>
          <w:lang w:val="es-419"/>
        </w:rPr>
        <w:t>Report</w:t>
      </w:r>
      <w:proofErr w:type="spellEnd"/>
      <w:r w:rsidR="00E5425C" w:rsidRPr="00572507">
        <w:rPr>
          <w:spacing w:val="-2"/>
          <w:lang w:val="es-419"/>
        </w:rPr>
        <w:t xml:space="preserve">”; </w:t>
      </w:r>
      <w:r w:rsidR="00AA2BC3" w:rsidRPr="00572507">
        <w:rPr>
          <w:strike/>
          <w:spacing w:val="-2"/>
          <w:highlight w:val="yellow"/>
          <w:lang w:val="es-419"/>
        </w:rPr>
        <w:t>y</w:t>
      </w:r>
      <w:r w:rsidR="00AA2BC3" w:rsidRPr="00572507">
        <w:rPr>
          <w:spacing w:val="-2"/>
          <w:lang w:val="es-419"/>
        </w:rPr>
        <w:t xml:space="preserve"> los párrafos 92 y 93 del documento TWF/51/10 “</w:t>
      </w:r>
      <w:proofErr w:type="spellStart"/>
      <w:r w:rsidR="00AA2BC3" w:rsidRPr="00572507">
        <w:rPr>
          <w:i/>
          <w:spacing w:val="-2"/>
          <w:lang w:val="es-419"/>
        </w:rPr>
        <w:t>Report</w:t>
      </w:r>
      <w:proofErr w:type="spellEnd"/>
      <w:r w:rsidR="00AA2BC3" w:rsidRPr="00572507">
        <w:rPr>
          <w:spacing w:val="-2"/>
          <w:lang w:val="es-419"/>
        </w:rPr>
        <w:t xml:space="preserve">”, </w:t>
      </w:r>
      <w:r w:rsidR="00572507">
        <w:rPr>
          <w:spacing w:val="-2"/>
          <w:highlight w:val="yellow"/>
          <w:u w:val="single"/>
          <w:lang w:val="es-419"/>
        </w:rPr>
        <w:t>los párrafos 81 a 86 del </w:t>
      </w:r>
      <w:r w:rsidR="00AA2BC3" w:rsidRPr="00572507">
        <w:rPr>
          <w:spacing w:val="-2"/>
          <w:highlight w:val="yellow"/>
          <w:u w:val="single"/>
          <w:lang w:val="es-419"/>
        </w:rPr>
        <w:t xml:space="preserve">documento TWC/38/11 </w:t>
      </w:r>
      <w:r w:rsidR="00AA2BC3" w:rsidRPr="00572507">
        <w:rPr>
          <w:i/>
          <w:iCs/>
          <w:spacing w:val="-2"/>
          <w:highlight w:val="yellow"/>
          <w:u w:val="single"/>
          <w:lang w:val="es-419"/>
        </w:rPr>
        <w:t>“</w:t>
      </w:r>
      <w:proofErr w:type="spellStart"/>
      <w:r w:rsidR="00AA2BC3" w:rsidRPr="00572507">
        <w:rPr>
          <w:i/>
          <w:iCs/>
          <w:spacing w:val="-2"/>
          <w:highlight w:val="yellow"/>
          <w:u w:val="single"/>
          <w:lang w:val="es-419"/>
        </w:rPr>
        <w:t>Report</w:t>
      </w:r>
      <w:proofErr w:type="spellEnd"/>
      <w:r w:rsidR="00AA2BC3" w:rsidRPr="00572507">
        <w:rPr>
          <w:i/>
          <w:iCs/>
          <w:spacing w:val="-2"/>
          <w:highlight w:val="yellow"/>
          <w:u w:val="single"/>
          <w:lang w:val="es-419"/>
        </w:rPr>
        <w:t>”</w:t>
      </w:r>
      <w:r w:rsidR="00AA2BC3" w:rsidRPr="00572507">
        <w:rPr>
          <w:spacing w:val="-2"/>
          <w:highlight w:val="yellow"/>
          <w:u w:val="single"/>
          <w:lang w:val="es-419"/>
        </w:rPr>
        <w:t xml:space="preserve"> y los párrafos 29 a 35 del documento BMT/19/15 </w:t>
      </w:r>
      <w:r w:rsidR="00AA2BC3" w:rsidRPr="00572507">
        <w:rPr>
          <w:i/>
          <w:iCs/>
          <w:spacing w:val="-2"/>
          <w:highlight w:val="yellow"/>
          <w:u w:val="single"/>
          <w:lang w:val="es-419"/>
        </w:rPr>
        <w:t>“</w:t>
      </w:r>
      <w:proofErr w:type="spellStart"/>
      <w:r w:rsidR="00AA2BC3" w:rsidRPr="00572507">
        <w:rPr>
          <w:i/>
          <w:iCs/>
          <w:spacing w:val="-2"/>
          <w:highlight w:val="yellow"/>
          <w:u w:val="single"/>
          <w:lang w:val="es-419"/>
        </w:rPr>
        <w:t>Report</w:t>
      </w:r>
      <w:proofErr w:type="spellEnd"/>
      <w:r w:rsidR="00AA2BC3" w:rsidRPr="00572507">
        <w:rPr>
          <w:i/>
          <w:iCs/>
          <w:spacing w:val="-2"/>
          <w:highlight w:val="yellow"/>
          <w:u w:val="single"/>
          <w:lang w:val="es-419"/>
        </w:rPr>
        <w:t>”</w:t>
      </w:r>
      <w:r w:rsidR="00AA2BC3" w:rsidRPr="00572507">
        <w:rPr>
          <w:spacing w:val="-2"/>
          <w:lang w:val="es-419"/>
        </w:rPr>
        <w:t>).</w:t>
      </w:r>
    </w:p>
    <w:p w:rsidR="00AA2BC3" w:rsidRPr="0054466D" w:rsidRDefault="00AA2BC3" w:rsidP="00AA2BC3">
      <w:pPr>
        <w:keepNext/>
        <w:rPr>
          <w:lang w:val="es-419"/>
        </w:rPr>
      </w:pPr>
    </w:p>
    <w:p w:rsidR="00025C71" w:rsidRPr="0054466D" w:rsidRDefault="00661F8F" w:rsidP="00025C71">
      <w:pPr>
        <w:rPr>
          <w:lang w:val="es-419"/>
        </w:rPr>
      </w:pPr>
      <w:r w:rsidRPr="0054466D">
        <w:rPr>
          <w:lang w:val="es-419"/>
        </w:rPr>
        <w:fldChar w:fldCharType="begin"/>
      </w:r>
      <w:r w:rsidR="00025C71" w:rsidRPr="0054466D">
        <w:rPr>
          <w:lang w:val="es-419"/>
        </w:rPr>
        <w:instrText xml:space="preserve"> AUTONUM  </w:instrText>
      </w:r>
      <w:r w:rsidRPr="0054466D">
        <w:rPr>
          <w:lang w:val="es-419"/>
        </w:rPr>
        <w:fldChar w:fldCharType="end"/>
      </w:r>
      <w:r w:rsidR="00025C71" w:rsidRPr="0054466D">
        <w:rPr>
          <w:lang w:val="es-419"/>
        </w:rPr>
        <w:tab/>
      </w:r>
      <w:r w:rsidR="00CD565F" w:rsidRPr="0054466D">
        <w:rPr>
          <w:lang w:val="es-419"/>
        </w:rPr>
        <w:t>El TWV</w:t>
      </w:r>
      <w:r w:rsidR="003A7CAF" w:rsidRPr="0054466D">
        <w:rPr>
          <w:lang w:val="es-419"/>
        </w:rPr>
        <w:t xml:space="preserve">, </w:t>
      </w:r>
      <w:r w:rsidR="00CD565F" w:rsidRPr="0054466D">
        <w:rPr>
          <w:lang w:val="es-419"/>
        </w:rPr>
        <w:t>el</w:t>
      </w:r>
      <w:r w:rsidR="009D4DEF" w:rsidRPr="0054466D">
        <w:rPr>
          <w:lang w:val="es-419"/>
        </w:rPr>
        <w:t> </w:t>
      </w:r>
      <w:r w:rsidR="00CD565F" w:rsidRPr="0054466D">
        <w:rPr>
          <w:lang w:val="es-419"/>
        </w:rPr>
        <w:t>TWO</w:t>
      </w:r>
      <w:r w:rsidR="003A7CAF" w:rsidRPr="0054466D">
        <w:rPr>
          <w:lang w:val="es-419"/>
        </w:rPr>
        <w:t xml:space="preserve">, </w:t>
      </w:r>
      <w:r w:rsidR="00CD565F" w:rsidRPr="0054466D">
        <w:rPr>
          <w:lang w:val="es-419"/>
        </w:rPr>
        <w:t>el</w:t>
      </w:r>
      <w:r w:rsidR="009D4DEF" w:rsidRPr="0054466D">
        <w:rPr>
          <w:lang w:val="es-419"/>
        </w:rPr>
        <w:t> </w:t>
      </w:r>
      <w:r w:rsidR="00CD565F" w:rsidRPr="0054466D">
        <w:rPr>
          <w:lang w:val="es-419"/>
        </w:rPr>
        <w:t>TWA y el</w:t>
      </w:r>
      <w:r w:rsidR="009D4DEF" w:rsidRPr="0054466D">
        <w:rPr>
          <w:lang w:val="es-419"/>
        </w:rPr>
        <w:t> </w:t>
      </w:r>
      <w:r w:rsidR="00CD565F" w:rsidRPr="0054466D">
        <w:rPr>
          <w:lang w:val="es-419"/>
        </w:rPr>
        <w:t>TWF tomaron nota del proyecto de mandato de un eventual órgano único que abarque la labor del TWC y la del BMT.</w:t>
      </w:r>
    </w:p>
    <w:p w:rsidR="00025C71" w:rsidRPr="0054466D" w:rsidRDefault="00025C71" w:rsidP="00025C71">
      <w:pPr>
        <w:rPr>
          <w:rFonts w:cs="Arial"/>
          <w:lang w:val="es-419"/>
        </w:rPr>
      </w:pPr>
    </w:p>
    <w:p w:rsidR="00025C71" w:rsidRPr="0054466D" w:rsidRDefault="00661F8F" w:rsidP="00025C71">
      <w:pPr>
        <w:rPr>
          <w:rFonts w:cs="Arial"/>
          <w:lang w:val="es-419"/>
        </w:rPr>
      </w:pPr>
      <w:r w:rsidRPr="0054466D">
        <w:rPr>
          <w:rFonts w:cs="Arial"/>
          <w:lang w:val="es-419"/>
        </w:rPr>
        <w:fldChar w:fldCharType="begin"/>
      </w:r>
      <w:r w:rsidR="00025C71" w:rsidRPr="0054466D">
        <w:rPr>
          <w:rFonts w:cs="Arial"/>
          <w:lang w:val="es-419"/>
        </w:rPr>
        <w:instrText xml:space="preserve"> AUTONUM  </w:instrText>
      </w:r>
      <w:r w:rsidRPr="0054466D">
        <w:rPr>
          <w:rFonts w:cs="Arial"/>
          <w:lang w:val="es-419"/>
        </w:rPr>
        <w:fldChar w:fldCharType="end"/>
      </w:r>
      <w:r w:rsidR="00025C71" w:rsidRPr="0054466D">
        <w:rPr>
          <w:rFonts w:cs="Arial"/>
          <w:lang w:val="es-419"/>
        </w:rPr>
        <w:tab/>
      </w:r>
      <w:r w:rsidR="00CD19BE" w:rsidRPr="0054466D">
        <w:rPr>
          <w:lang w:val="es-419"/>
        </w:rPr>
        <w:t xml:space="preserve">El TWO convino en que el órgano único que abarque la labor del TWC y la del BMT </w:t>
      </w:r>
      <w:r w:rsidR="00493B2B" w:rsidRPr="0054466D">
        <w:rPr>
          <w:lang w:val="es-419"/>
        </w:rPr>
        <w:t xml:space="preserve">debe mantener la posibilidad de contar con la </w:t>
      </w:r>
      <w:r w:rsidR="00CD19BE" w:rsidRPr="0054466D">
        <w:rPr>
          <w:lang w:val="es-419"/>
        </w:rPr>
        <w:t>participación de obtentores</w:t>
      </w:r>
      <w:r w:rsidR="003A7CAF" w:rsidRPr="0054466D">
        <w:rPr>
          <w:lang w:val="es-419"/>
        </w:rPr>
        <w:t xml:space="preserve">, </w:t>
      </w:r>
      <w:r w:rsidR="00CD19BE" w:rsidRPr="0054466D">
        <w:rPr>
          <w:lang w:val="es-419"/>
        </w:rPr>
        <w:t>investigadores y otro</w:t>
      </w:r>
      <w:r w:rsidR="00493B2B" w:rsidRPr="0054466D">
        <w:rPr>
          <w:lang w:val="es-419"/>
        </w:rPr>
        <w:t>s</w:t>
      </w:r>
      <w:r w:rsidR="00CD19BE" w:rsidRPr="0054466D">
        <w:rPr>
          <w:lang w:val="es-419"/>
        </w:rPr>
        <w:t xml:space="preserve"> </w:t>
      </w:r>
      <w:r w:rsidR="00493B2B" w:rsidRPr="0054466D">
        <w:rPr>
          <w:lang w:val="es-419"/>
        </w:rPr>
        <w:t xml:space="preserve">expertos </w:t>
      </w:r>
      <w:r w:rsidR="00CD19BE" w:rsidRPr="0054466D">
        <w:rPr>
          <w:lang w:val="es-419"/>
        </w:rPr>
        <w:t>pertinente</w:t>
      </w:r>
      <w:r w:rsidR="00493B2B" w:rsidRPr="0054466D">
        <w:rPr>
          <w:lang w:val="es-419"/>
        </w:rPr>
        <w:t>s</w:t>
      </w:r>
      <w:r w:rsidR="00CD19BE" w:rsidRPr="0054466D">
        <w:rPr>
          <w:lang w:val="es-419"/>
        </w:rPr>
        <w:t>.</w:t>
      </w:r>
    </w:p>
    <w:p w:rsidR="00025C71" w:rsidRPr="0054466D" w:rsidRDefault="00025C71" w:rsidP="00025C71">
      <w:pPr>
        <w:rPr>
          <w:rFonts w:cs="Arial"/>
          <w:lang w:val="es-419"/>
        </w:rPr>
      </w:pPr>
    </w:p>
    <w:p w:rsidR="00025C71" w:rsidRPr="0054466D" w:rsidRDefault="00661F8F" w:rsidP="00025C71">
      <w:pPr>
        <w:rPr>
          <w:lang w:val="es-419"/>
        </w:rPr>
      </w:pPr>
      <w:r w:rsidRPr="0054466D">
        <w:rPr>
          <w:lang w:val="es-419"/>
        </w:rPr>
        <w:fldChar w:fldCharType="begin"/>
      </w:r>
      <w:r w:rsidR="00025C71" w:rsidRPr="0054466D">
        <w:rPr>
          <w:lang w:val="es-419"/>
        </w:rPr>
        <w:instrText xml:space="preserve"> AUTONUM  </w:instrText>
      </w:r>
      <w:r w:rsidRPr="0054466D">
        <w:rPr>
          <w:lang w:val="es-419"/>
        </w:rPr>
        <w:fldChar w:fldCharType="end"/>
      </w:r>
      <w:r w:rsidR="00025C71" w:rsidRPr="0054466D">
        <w:rPr>
          <w:lang w:val="es-419"/>
        </w:rPr>
        <w:tab/>
      </w:r>
      <w:r w:rsidR="00CE2AED" w:rsidRPr="0054466D">
        <w:rPr>
          <w:lang w:val="es-419"/>
        </w:rPr>
        <w:t xml:space="preserve">El TWA manifestó su reconocimiento por la labor </w:t>
      </w:r>
      <w:r w:rsidR="00FD5358" w:rsidRPr="0054466D">
        <w:rPr>
          <w:lang w:val="es-419"/>
        </w:rPr>
        <w:t>d</w:t>
      </w:r>
      <w:r w:rsidR="0079537D" w:rsidRPr="0054466D">
        <w:rPr>
          <w:lang w:val="es-419"/>
        </w:rPr>
        <w:t>el TWC en relación con los</w:t>
      </w:r>
      <w:r w:rsidR="00CE2AED" w:rsidRPr="0054466D">
        <w:rPr>
          <w:lang w:val="es-419"/>
        </w:rPr>
        <w:t xml:space="preserve"> métodos biométricos y por la del BMT </w:t>
      </w:r>
      <w:r w:rsidR="00FD5358" w:rsidRPr="0054466D">
        <w:rPr>
          <w:lang w:val="es-419"/>
        </w:rPr>
        <w:t>en relación con el</w:t>
      </w:r>
      <w:r w:rsidR="00CE2AED" w:rsidRPr="0054466D">
        <w:rPr>
          <w:lang w:val="es-419"/>
        </w:rPr>
        <w:t xml:space="preserve"> desarroll</w:t>
      </w:r>
      <w:r w:rsidR="00FD5358" w:rsidRPr="0054466D">
        <w:rPr>
          <w:lang w:val="es-419"/>
        </w:rPr>
        <w:t>o de</w:t>
      </w:r>
      <w:r w:rsidR="00CE2AED" w:rsidRPr="0054466D">
        <w:rPr>
          <w:lang w:val="es-419"/>
        </w:rPr>
        <w:t xml:space="preserve"> posibles aplicaciones de las técnicas moleculares al examen DHE.</w:t>
      </w:r>
      <w:r w:rsidR="0049790B" w:rsidRPr="0054466D">
        <w:rPr>
          <w:lang w:val="es-419"/>
        </w:rPr>
        <w:t xml:space="preserve"> </w:t>
      </w:r>
      <w:r w:rsidR="00F7757E" w:rsidRPr="0054466D">
        <w:rPr>
          <w:lang w:val="es-419"/>
        </w:rPr>
        <w:t xml:space="preserve">El TWA convino en que </w:t>
      </w:r>
      <w:r w:rsidR="00BD2947" w:rsidRPr="0054466D">
        <w:rPr>
          <w:lang w:val="es-419"/>
        </w:rPr>
        <w:t>es</w:t>
      </w:r>
      <w:r w:rsidR="00F7757E" w:rsidRPr="0054466D">
        <w:rPr>
          <w:lang w:val="es-419"/>
        </w:rPr>
        <w:t>as actividades deben mantenerse y promoverse.</w:t>
      </w:r>
      <w:r w:rsidR="0049790B" w:rsidRPr="0054466D">
        <w:rPr>
          <w:lang w:val="es-419"/>
        </w:rPr>
        <w:t xml:space="preserve"> </w:t>
      </w:r>
    </w:p>
    <w:p w:rsidR="00025C71" w:rsidRPr="0054466D" w:rsidRDefault="00025C71" w:rsidP="00025C71">
      <w:pPr>
        <w:rPr>
          <w:lang w:val="es-419"/>
        </w:rPr>
      </w:pPr>
    </w:p>
    <w:p w:rsidR="00AA2BC3" w:rsidRPr="00780406" w:rsidRDefault="00661F8F" w:rsidP="00AA2BC3">
      <w:pPr>
        <w:rPr>
          <w:rFonts w:cs="Arial"/>
          <w:strike/>
          <w:lang w:val="es-419"/>
        </w:rPr>
      </w:pPr>
      <w:r w:rsidRPr="003D192A">
        <w:rPr>
          <w:rFonts w:cs="Arial"/>
          <w:lang w:val="es-419"/>
        </w:rPr>
        <w:fldChar w:fldCharType="begin"/>
      </w:r>
      <w:r w:rsidR="00025C71" w:rsidRPr="003D192A">
        <w:rPr>
          <w:rFonts w:cs="Arial"/>
          <w:lang w:val="es-419"/>
        </w:rPr>
        <w:instrText xml:space="preserve"> AUTONUM  </w:instrText>
      </w:r>
      <w:r w:rsidRPr="003D192A">
        <w:rPr>
          <w:rFonts w:cs="Arial"/>
          <w:lang w:val="es-419"/>
        </w:rPr>
        <w:fldChar w:fldCharType="end"/>
      </w:r>
      <w:r w:rsidR="00025C71" w:rsidRPr="003D192A">
        <w:rPr>
          <w:rFonts w:cs="Arial"/>
          <w:lang w:val="es-419"/>
        </w:rPr>
        <w:tab/>
      </w:r>
      <w:r w:rsidR="00720AFA" w:rsidRPr="00780406">
        <w:rPr>
          <w:rFonts w:cs="Arial"/>
          <w:strike/>
          <w:highlight w:val="yellow"/>
          <w:lang w:val="es-419"/>
        </w:rPr>
        <w:t>Las observaciones que formule el TWC en su trigésima octava sesión</w:t>
      </w:r>
      <w:r w:rsidR="003A7CAF" w:rsidRPr="00780406">
        <w:rPr>
          <w:rFonts w:cs="Arial"/>
          <w:strike/>
          <w:highlight w:val="yellow"/>
          <w:lang w:val="es-419"/>
        </w:rPr>
        <w:t xml:space="preserve">, </w:t>
      </w:r>
      <w:r w:rsidR="00720AFA" w:rsidRPr="00780406">
        <w:rPr>
          <w:rFonts w:cs="Arial"/>
          <w:strike/>
          <w:highlight w:val="yellow"/>
          <w:lang w:val="es-419"/>
        </w:rPr>
        <w:t>prevista del</w:t>
      </w:r>
      <w:r w:rsidR="003A7CAF" w:rsidRPr="00780406">
        <w:rPr>
          <w:rFonts w:cs="Arial"/>
          <w:strike/>
          <w:highlight w:val="yellow"/>
          <w:lang w:val="es-419"/>
        </w:rPr>
        <w:t> 2</w:t>
      </w:r>
      <w:r w:rsidR="00720AFA" w:rsidRPr="00780406">
        <w:rPr>
          <w:rFonts w:cs="Arial"/>
          <w:strike/>
          <w:highlight w:val="yellow"/>
          <w:lang w:val="es-419"/>
        </w:rPr>
        <w:t>1 al</w:t>
      </w:r>
      <w:r w:rsidR="003A7CAF" w:rsidRPr="00780406">
        <w:rPr>
          <w:rFonts w:cs="Arial"/>
          <w:strike/>
          <w:highlight w:val="yellow"/>
          <w:lang w:val="es-419"/>
        </w:rPr>
        <w:t> 2</w:t>
      </w:r>
      <w:r w:rsidR="00720AFA" w:rsidRPr="00780406">
        <w:rPr>
          <w:rFonts w:cs="Arial"/>
          <w:strike/>
          <w:highlight w:val="yellow"/>
          <w:lang w:val="es-419"/>
        </w:rPr>
        <w:t>3 de septiembre de</w:t>
      </w:r>
      <w:r w:rsidR="003A7CAF" w:rsidRPr="00780406">
        <w:rPr>
          <w:rFonts w:cs="Arial"/>
          <w:strike/>
          <w:highlight w:val="yellow"/>
          <w:lang w:val="es-419"/>
        </w:rPr>
        <w:t> 2</w:t>
      </w:r>
      <w:r w:rsidR="00720AFA" w:rsidRPr="00780406">
        <w:rPr>
          <w:rFonts w:cs="Arial"/>
          <w:strike/>
          <w:highlight w:val="yellow"/>
          <w:lang w:val="es-419"/>
        </w:rPr>
        <w:t>020</w:t>
      </w:r>
      <w:r w:rsidR="003A7CAF" w:rsidRPr="00780406">
        <w:rPr>
          <w:rFonts w:cs="Arial"/>
          <w:strike/>
          <w:highlight w:val="yellow"/>
          <w:lang w:val="es-419"/>
        </w:rPr>
        <w:t xml:space="preserve">, </w:t>
      </w:r>
      <w:r w:rsidR="00720AFA" w:rsidRPr="00780406">
        <w:rPr>
          <w:rFonts w:cs="Arial"/>
          <w:strike/>
          <w:highlight w:val="yellow"/>
          <w:lang w:val="es-419"/>
        </w:rPr>
        <w:t>y el BMT en su decimonovena sesión</w:t>
      </w:r>
      <w:r w:rsidR="003A7CAF" w:rsidRPr="00780406">
        <w:rPr>
          <w:rFonts w:cs="Arial"/>
          <w:strike/>
          <w:highlight w:val="yellow"/>
          <w:lang w:val="es-419"/>
        </w:rPr>
        <w:t xml:space="preserve">, </w:t>
      </w:r>
      <w:r w:rsidR="00720AFA" w:rsidRPr="00780406">
        <w:rPr>
          <w:rFonts w:cs="Arial"/>
          <w:strike/>
          <w:highlight w:val="yellow"/>
          <w:lang w:val="es-419"/>
        </w:rPr>
        <w:t>prevista del</w:t>
      </w:r>
      <w:r w:rsidR="003A7CAF" w:rsidRPr="00780406">
        <w:rPr>
          <w:rFonts w:cs="Arial"/>
          <w:strike/>
          <w:highlight w:val="yellow"/>
          <w:lang w:val="es-419"/>
        </w:rPr>
        <w:t> 2</w:t>
      </w:r>
      <w:r w:rsidR="00720AFA" w:rsidRPr="00780406">
        <w:rPr>
          <w:rFonts w:cs="Arial"/>
          <w:strike/>
          <w:highlight w:val="yellow"/>
          <w:lang w:val="es-419"/>
        </w:rPr>
        <w:t>3 al</w:t>
      </w:r>
      <w:r w:rsidR="003A7CAF" w:rsidRPr="00780406">
        <w:rPr>
          <w:rFonts w:cs="Arial"/>
          <w:strike/>
          <w:highlight w:val="yellow"/>
          <w:lang w:val="es-419"/>
        </w:rPr>
        <w:t> 2</w:t>
      </w:r>
      <w:r w:rsidR="00720AFA" w:rsidRPr="00780406">
        <w:rPr>
          <w:rFonts w:cs="Arial"/>
          <w:strike/>
          <w:highlight w:val="yellow"/>
          <w:lang w:val="es-419"/>
        </w:rPr>
        <w:t>5 de septiembre de</w:t>
      </w:r>
      <w:r w:rsidR="003A7CAF" w:rsidRPr="00780406">
        <w:rPr>
          <w:rFonts w:cs="Arial"/>
          <w:strike/>
          <w:highlight w:val="yellow"/>
          <w:lang w:val="es-419"/>
        </w:rPr>
        <w:t> 2</w:t>
      </w:r>
      <w:r w:rsidR="00720AFA" w:rsidRPr="00780406">
        <w:rPr>
          <w:rFonts w:cs="Arial"/>
          <w:strike/>
          <w:highlight w:val="yellow"/>
          <w:lang w:val="es-419"/>
        </w:rPr>
        <w:t>020</w:t>
      </w:r>
      <w:r w:rsidR="003A7CAF" w:rsidRPr="00780406">
        <w:rPr>
          <w:rFonts w:cs="Arial"/>
          <w:strike/>
          <w:highlight w:val="yellow"/>
          <w:lang w:val="es-419"/>
        </w:rPr>
        <w:t xml:space="preserve">, </w:t>
      </w:r>
      <w:r w:rsidR="00720AFA" w:rsidRPr="00780406">
        <w:rPr>
          <w:rFonts w:cs="Arial"/>
          <w:strike/>
          <w:highlight w:val="yellow"/>
          <w:lang w:val="es-419"/>
        </w:rPr>
        <w:t>se comunicarán en una adición al presente documento.</w:t>
      </w:r>
      <w:r w:rsidR="00AA2BC3" w:rsidRPr="00AA2BC3">
        <w:rPr>
          <w:rFonts w:cs="Arial"/>
          <w:lang w:val="es-419"/>
        </w:rPr>
        <w:t xml:space="preserve">  </w:t>
      </w:r>
      <w:r w:rsidR="00AA2BC3" w:rsidRPr="004855E3">
        <w:rPr>
          <w:rFonts w:cs="Arial"/>
          <w:highlight w:val="yellow"/>
          <w:u w:val="single"/>
          <w:lang w:val="es-419"/>
        </w:rPr>
        <w:t xml:space="preserve">EL TWC y el BMT </w:t>
      </w:r>
      <w:r w:rsidR="00AA2BC3">
        <w:rPr>
          <w:rFonts w:cs="Arial"/>
          <w:highlight w:val="yellow"/>
          <w:u w:val="single"/>
          <w:lang w:val="es-419"/>
        </w:rPr>
        <w:t>convinieron en</w:t>
      </w:r>
      <w:r w:rsidR="00AA2BC3" w:rsidRPr="004855E3">
        <w:rPr>
          <w:rFonts w:cs="Arial"/>
          <w:highlight w:val="yellow"/>
          <w:u w:val="single"/>
          <w:lang w:val="es-419"/>
        </w:rPr>
        <w:t xml:space="preserve"> que la fusión del TWC y del BMT</w:t>
      </w:r>
      <w:r w:rsidR="00AA2BC3">
        <w:rPr>
          <w:rFonts w:cs="Arial"/>
          <w:highlight w:val="yellow"/>
          <w:u w:val="single"/>
          <w:lang w:val="es-419"/>
        </w:rPr>
        <w:t xml:space="preserve"> ofrecería la oportunidad de examinar los temas de interés común para ambos grupos. El TWC y el BMT señalaron la gama de elementos abarcados en el proyecto de mandato y convinieron en formular una advertencia en el sentido de que los debates técnicos serían menos exhaustivos. El TWC y el BMT convinieron en que el nuevo órgano debería mantener el nivel de pertinencia en los debates de modo que los especialistas siguieran teniendo interés en participar.</w:t>
      </w:r>
      <w:r w:rsidR="006F0105">
        <w:rPr>
          <w:rFonts w:cs="Arial"/>
          <w:highlight w:val="yellow"/>
          <w:u w:val="single"/>
          <w:lang w:val="es-419"/>
        </w:rPr>
        <w:t xml:space="preserve">  </w:t>
      </w:r>
    </w:p>
    <w:p w:rsidR="00AA2BC3" w:rsidRPr="00780406" w:rsidRDefault="00AA2BC3" w:rsidP="00AA2BC3">
      <w:pPr>
        <w:rPr>
          <w:rFonts w:cs="Arial"/>
          <w:u w:val="single"/>
          <w:lang w:val="es-419"/>
        </w:rPr>
      </w:pPr>
    </w:p>
    <w:p w:rsidR="00AA2BC3" w:rsidRPr="00780406" w:rsidRDefault="00AA2BC3" w:rsidP="00AA2BC3">
      <w:pPr>
        <w:rPr>
          <w:rFonts w:cs="Arial"/>
          <w:highlight w:val="yellow"/>
          <w:u w:val="single"/>
          <w:lang w:val="es-419"/>
        </w:rPr>
      </w:pPr>
      <w:r w:rsidRPr="00780406">
        <w:rPr>
          <w:rFonts w:cs="Arial"/>
          <w:highlight w:val="yellow"/>
          <w:u w:val="single"/>
          <w:lang w:val="es-419"/>
        </w:rPr>
        <w:fldChar w:fldCharType="begin"/>
      </w:r>
      <w:r w:rsidRPr="00780406">
        <w:rPr>
          <w:rFonts w:cs="Arial"/>
          <w:highlight w:val="yellow"/>
          <w:u w:val="single"/>
          <w:lang w:val="es-419"/>
        </w:rPr>
        <w:instrText xml:space="preserve"> AUTONUM  </w:instrText>
      </w:r>
      <w:r w:rsidRPr="00780406">
        <w:rPr>
          <w:rFonts w:cs="Arial"/>
          <w:highlight w:val="yellow"/>
          <w:u w:val="single"/>
          <w:lang w:val="es-419"/>
        </w:rPr>
        <w:fldChar w:fldCharType="end"/>
      </w:r>
      <w:r w:rsidRPr="00780406">
        <w:rPr>
          <w:rFonts w:cs="Arial"/>
          <w:highlight w:val="yellow"/>
          <w:u w:val="single"/>
          <w:lang w:val="es-419"/>
        </w:rPr>
        <w:tab/>
      </w:r>
      <w:r>
        <w:rPr>
          <w:rFonts w:cs="Arial"/>
          <w:highlight w:val="yellow"/>
          <w:u w:val="single"/>
          <w:lang w:val="es-419"/>
        </w:rPr>
        <w:t>El TWC y el BMT convinieron en que se podía estudiar la posibilidad de adoptar nuevas modalidades para llevar a cabo las reuniones a fin de facilitar la asistencia de especialistas procedentes de distintas disciplinas. Esto podría conllevar la posibilidad de participar a distancia y de crear grupos de trabajo para temas específicos. El TWC y el BMT convinieron en proponer un examen regular de la creación de un único órgano que abarque la labor del TWC y del BMT para examinar toda cuestión que surja de la fusión.</w:t>
      </w:r>
    </w:p>
    <w:p w:rsidR="00AA2BC3" w:rsidRPr="00780406" w:rsidRDefault="00AA2BC3" w:rsidP="00AA2BC3">
      <w:pPr>
        <w:rPr>
          <w:rFonts w:cs="Arial"/>
          <w:highlight w:val="yellow"/>
          <w:u w:val="single"/>
          <w:lang w:val="es-419"/>
        </w:rPr>
      </w:pPr>
    </w:p>
    <w:p w:rsidR="00AA2BC3" w:rsidRPr="00780406" w:rsidRDefault="00AA2BC3" w:rsidP="00AA2BC3">
      <w:pPr>
        <w:rPr>
          <w:rFonts w:cs="Arial"/>
          <w:u w:val="single"/>
          <w:lang w:val="es-419"/>
        </w:rPr>
      </w:pPr>
      <w:r w:rsidRPr="0010798D">
        <w:rPr>
          <w:rFonts w:cs="Arial"/>
          <w:highlight w:val="yellow"/>
          <w:u w:val="single"/>
          <w:lang w:val="es-419"/>
        </w:rPr>
        <w:fldChar w:fldCharType="begin"/>
      </w:r>
      <w:r w:rsidRPr="0010798D">
        <w:rPr>
          <w:rFonts w:cs="Arial"/>
          <w:highlight w:val="yellow"/>
          <w:u w:val="single"/>
          <w:lang w:val="es-419"/>
        </w:rPr>
        <w:instrText xml:space="preserve"> AUTONUM  </w:instrText>
      </w:r>
      <w:r w:rsidRPr="0010798D">
        <w:rPr>
          <w:rFonts w:cs="Arial"/>
          <w:highlight w:val="yellow"/>
          <w:u w:val="single"/>
          <w:lang w:val="es-419"/>
        </w:rPr>
        <w:fldChar w:fldCharType="end"/>
      </w:r>
      <w:r w:rsidRPr="0010798D">
        <w:rPr>
          <w:rFonts w:cs="Arial"/>
          <w:highlight w:val="yellow"/>
          <w:u w:val="single"/>
          <w:lang w:val="es-419"/>
        </w:rPr>
        <w:tab/>
        <w:t>El BMT convino en la necesidad de organizar el orden del día durante la semana par</w:t>
      </w:r>
      <w:r>
        <w:rPr>
          <w:rFonts w:cs="Arial"/>
          <w:highlight w:val="yellow"/>
          <w:u w:val="single"/>
          <w:lang w:val="es-419"/>
        </w:rPr>
        <w:t>a</w:t>
      </w:r>
      <w:r w:rsidRPr="0010798D">
        <w:rPr>
          <w:rFonts w:cs="Arial"/>
          <w:highlight w:val="yellow"/>
          <w:u w:val="single"/>
          <w:lang w:val="es-419"/>
        </w:rPr>
        <w:t xml:space="preserve"> debatir temas específicos. El BMT convino en que debería considerarse la frecuencia de las reuniones.</w:t>
      </w:r>
      <w:r>
        <w:rPr>
          <w:rFonts w:cs="Arial"/>
          <w:u w:val="single"/>
          <w:lang w:val="es-419"/>
        </w:rPr>
        <w:t xml:space="preserve"> </w:t>
      </w:r>
    </w:p>
    <w:p w:rsidR="00780406" w:rsidRPr="0054466D" w:rsidRDefault="00780406" w:rsidP="00025C71">
      <w:pPr>
        <w:rPr>
          <w:rFonts w:cs="Arial"/>
          <w:lang w:val="es-419"/>
        </w:rPr>
      </w:pPr>
    </w:p>
    <w:p w:rsidR="00FA6C6B" w:rsidRPr="00FA6C6B" w:rsidRDefault="00505E3D" w:rsidP="00FA6C6B">
      <w:pPr>
        <w:tabs>
          <w:tab w:val="left" w:pos="567"/>
          <w:tab w:val="left" w:pos="5387"/>
          <w:tab w:val="left" w:pos="5954"/>
          <w:tab w:val="left" w:pos="6521"/>
        </w:tabs>
        <w:ind w:left="4820"/>
        <w:rPr>
          <w:rFonts w:cs="Arial"/>
          <w:i/>
          <w:lang w:val="es-ES"/>
        </w:rPr>
      </w:pPr>
      <w:r w:rsidRPr="00FE04A4">
        <w:rPr>
          <w:rFonts w:cs="Arial"/>
          <w:strike/>
          <w:highlight w:val="yellow"/>
        </w:rPr>
        <w:t>14.</w:t>
      </w:r>
      <w:r w:rsidRPr="00FE04A4">
        <w:rPr>
          <w:rFonts w:cs="Arial"/>
          <w:highlight w:val="yellow"/>
          <w:u w:val="single"/>
        </w:rPr>
        <w:fldChar w:fldCharType="begin"/>
      </w:r>
      <w:r w:rsidRPr="00FE04A4">
        <w:rPr>
          <w:rFonts w:cs="Arial"/>
          <w:highlight w:val="yellow"/>
          <w:u w:val="single"/>
        </w:rPr>
        <w:instrText xml:space="preserve"> AUTONUM  </w:instrText>
      </w:r>
      <w:r w:rsidRPr="00FE04A4">
        <w:rPr>
          <w:rFonts w:cs="Arial"/>
          <w:highlight w:val="yellow"/>
          <w:u w:val="single"/>
        </w:rPr>
        <w:fldChar w:fldCharType="end"/>
      </w:r>
      <w:r w:rsidRPr="00FE04A4">
        <w:rPr>
          <w:u w:val="single"/>
        </w:rPr>
        <w:tab/>
      </w:r>
      <w:bookmarkStart w:id="6" w:name="_GoBack"/>
      <w:bookmarkEnd w:id="6"/>
      <w:r w:rsidR="00FA6C6B" w:rsidRPr="00FA6C6B">
        <w:rPr>
          <w:i/>
          <w:lang w:val="es-ES"/>
        </w:rPr>
        <w:tab/>
        <w:t xml:space="preserve">Se invita al TC a: </w:t>
      </w:r>
    </w:p>
    <w:p w:rsidR="00FA6C6B" w:rsidRPr="00FA6C6B" w:rsidRDefault="00FA6C6B" w:rsidP="00FA6C6B">
      <w:pPr>
        <w:tabs>
          <w:tab w:val="left" w:pos="5387"/>
          <w:tab w:val="left" w:pos="5954"/>
          <w:tab w:val="left" w:pos="6521"/>
        </w:tabs>
        <w:ind w:left="4820"/>
        <w:rPr>
          <w:i/>
          <w:lang w:val="es-ES"/>
        </w:rPr>
      </w:pPr>
    </w:p>
    <w:p w:rsidR="00FA6C6B" w:rsidRPr="00981A72" w:rsidRDefault="00FA6C6B" w:rsidP="00FA6C6B">
      <w:pPr>
        <w:pStyle w:val="ListParagraph"/>
        <w:numPr>
          <w:ilvl w:val="0"/>
          <w:numId w:val="4"/>
        </w:numPr>
        <w:tabs>
          <w:tab w:val="left" w:pos="5387"/>
          <w:tab w:val="left" w:pos="5954"/>
          <w:tab w:val="left" w:pos="6521"/>
        </w:tabs>
        <w:ind w:left="4820" w:firstLine="567"/>
        <w:jc w:val="both"/>
        <w:rPr>
          <w:i/>
          <w:spacing w:val="-2"/>
          <w:lang w:val="es-ES"/>
        </w:rPr>
      </w:pPr>
      <w:r w:rsidRPr="00981A72">
        <w:rPr>
          <w:i/>
          <w:spacing w:val="-2"/>
          <w:lang w:val="es-ES"/>
        </w:rPr>
        <w:t>aprobar el establecimiento y mandato del TWM a fin de que abarque la labor TWC y el BMT, como se expone en el párrafo 8 del presente documento;</w:t>
      </w:r>
    </w:p>
    <w:p w:rsidR="00FA6C6B" w:rsidRPr="00FA6C6B" w:rsidRDefault="00FA6C6B" w:rsidP="00FA6C6B">
      <w:pPr>
        <w:tabs>
          <w:tab w:val="left" w:pos="5387"/>
          <w:tab w:val="left" w:pos="5954"/>
          <w:tab w:val="left" w:pos="6521"/>
        </w:tabs>
        <w:ind w:left="4820"/>
        <w:rPr>
          <w:i/>
          <w:lang w:val="es-ES"/>
        </w:rPr>
      </w:pPr>
    </w:p>
    <w:p w:rsidR="00FA6C6B" w:rsidRPr="00FA6C6B" w:rsidRDefault="00FA6C6B" w:rsidP="00FA6C6B">
      <w:pPr>
        <w:tabs>
          <w:tab w:val="left" w:pos="5387"/>
          <w:tab w:val="left" w:pos="5954"/>
          <w:tab w:val="left" w:pos="6521"/>
        </w:tabs>
        <w:ind w:left="4820" w:firstLine="567"/>
        <w:rPr>
          <w:i/>
          <w:lang w:val="es-ES"/>
        </w:rPr>
      </w:pPr>
      <w:r w:rsidRPr="00FA6C6B">
        <w:rPr>
          <w:i/>
          <w:lang w:val="es-ES"/>
        </w:rPr>
        <w:t>b)</w:t>
      </w:r>
      <w:r w:rsidRPr="00FA6C6B">
        <w:rPr>
          <w:i/>
          <w:lang w:val="es-ES"/>
        </w:rPr>
        <w:tab/>
        <w:t>con sujeción a lo anterior</w:t>
      </w:r>
      <w:r>
        <w:rPr>
          <w:i/>
          <w:lang w:val="es-ES"/>
        </w:rPr>
        <w:t>,</w:t>
      </w:r>
      <w:r w:rsidRPr="00FA6C6B">
        <w:rPr>
          <w:i/>
          <w:lang w:val="es-ES"/>
        </w:rPr>
        <w:t xml:space="preserve"> recomendar al Consejo:</w:t>
      </w:r>
    </w:p>
    <w:p w:rsidR="00FA6C6B" w:rsidRPr="00FA6C6B" w:rsidRDefault="00FA6C6B" w:rsidP="00FA6C6B">
      <w:pPr>
        <w:tabs>
          <w:tab w:val="left" w:pos="5387"/>
          <w:tab w:val="left" w:pos="5954"/>
          <w:tab w:val="left" w:pos="6521"/>
        </w:tabs>
        <w:ind w:left="4820" w:firstLine="567"/>
        <w:rPr>
          <w:i/>
          <w:lang w:val="es-ES"/>
        </w:rPr>
      </w:pPr>
    </w:p>
    <w:p w:rsidR="00FA6C6B" w:rsidRPr="00FA6C6B" w:rsidRDefault="00FA6C6B" w:rsidP="003B4545">
      <w:pPr>
        <w:tabs>
          <w:tab w:val="left" w:pos="1701"/>
          <w:tab w:val="left" w:pos="6521"/>
        </w:tabs>
        <w:ind w:left="5387" w:firstLine="567"/>
        <w:rPr>
          <w:i/>
          <w:lang w:val="es-ES"/>
        </w:rPr>
      </w:pPr>
      <w:r w:rsidRPr="00FA6C6B">
        <w:rPr>
          <w:i/>
          <w:lang w:val="es-ES"/>
        </w:rPr>
        <w:t>i)</w:t>
      </w:r>
      <w:r w:rsidRPr="00FA6C6B">
        <w:rPr>
          <w:i/>
          <w:lang w:val="es-ES"/>
        </w:rPr>
        <w:tab/>
        <w:t xml:space="preserve">que establezca el TWM con el mandato anteriormente indicado, para que entre en vigor </w:t>
      </w:r>
      <w:r w:rsidR="00555BFE">
        <w:rPr>
          <w:i/>
          <w:lang w:val="es-ES"/>
        </w:rPr>
        <w:t>en </w:t>
      </w:r>
      <w:r w:rsidRPr="00FA6C6B">
        <w:rPr>
          <w:i/>
          <w:lang w:val="es-ES"/>
        </w:rPr>
        <w:t xml:space="preserve">2022; </w:t>
      </w:r>
      <w:r>
        <w:rPr>
          <w:i/>
          <w:lang w:val="es-ES"/>
        </w:rPr>
        <w:t>y</w:t>
      </w:r>
    </w:p>
    <w:p w:rsidR="00FA6C6B" w:rsidRPr="00FA6C6B" w:rsidRDefault="00FA6C6B" w:rsidP="003B4545">
      <w:pPr>
        <w:tabs>
          <w:tab w:val="left" w:pos="1701"/>
          <w:tab w:val="left" w:pos="6521"/>
        </w:tabs>
        <w:ind w:left="5387" w:firstLine="567"/>
        <w:rPr>
          <w:i/>
          <w:lang w:val="es-ES"/>
        </w:rPr>
      </w:pPr>
    </w:p>
    <w:p w:rsidR="00025C71" w:rsidRPr="001A3709" w:rsidRDefault="00FA6C6B" w:rsidP="003B4545">
      <w:pPr>
        <w:tabs>
          <w:tab w:val="left" w:pos="6521"/>
        </w:tabs>
        <w:ind w:left="5387" w:firstLine="567"/>
        <w:rPr>
          <w:i/>
          <w:lang w:val="es-ES"/>
        </w:rPr>
      </w:pPr>
      <w:r w:rsidRPr="001A3709">
        <w:rPr>
          <w:i/>
          <w:lang w:val="es-ES"/>
        </w:rPr>
        <w:t>ii)</w:t>
      </w:r>
      <w:r w:rsidRPr="001A3709">
        <w:rPr>
          <w:i/>
          <w:lang w:val="es-ES"/>
        </w:rPr>
        <w:tab/>
        <w:t>elija al presidente del BMT para que presida el TWM</w:t>
      </w:r>
      <w:r w:rsidR="001A3709" w:rsidRPr="001A3709">
        <w:rPr>
          <w:i/>
          <w:lang w:val="es-ES"/>
        </w:rPr>
        <w:t xml:space="preserve"> hasta la quincuagésima s</w:t>
      </w:r>
      <w:r w:rsidR="001A3709">
        <w:rPr>
          <w:i/>
          <w:lang w:val="es-ES"/>
        </w:rPr>
        <w:t>éptima sesión ordinaria del Consejo</w:t>
      </w:r>
      <w:r w:rsidRPr="001A3709">
        <w:rPr>
          <w:i/>
          <w:lang w:val="es-ES"/>
        </w:rPr>
        <w:t xml:space="preserve"> in 2023.</w:t>
      </w:r>
      <w:r w:rsidR="00025C71" w:rsidRPr="001A3709">
        <w:rPr>
          <w:i/>
          <w:lang w:val="es-ES"/>
        </w:rPr>
        <w:t xml:space="preserve"> </w:t>
      </w:r>
    </w:p>
    <w:p w:rsidR="00025C71" w:rsidRPr="00981A72" w:rsidRDefault="00025C71" w:rsidP="00025C71">
      <w:pPr>
        <w:rPr>
          <w:lang w:val="es-ES"/>
        </w:rPr>
      </w:pPr>
    </w:p>
    <w:p w:rsidR="00981A72" w:rsidRPr="00981A72" w:rsidRDefault="00981A72" w:rsidP="00025C71">
      <w:pPr>
        <w:rPr>
          <w:sz w:val="6"/>
          <w:lang w:val="es-ES"/>
        </w:rPr>
      </w:pPr>
    </w:p>
    <w:p w:rsidR="00025C71" w:rsidRPr="0054466D" w:rsidRDefault="00720AFA" w:rsidP="000A3B4F">
      <w:pPr>
        <w:jc w:val="right"/>
        <w:rPr>
          <w:lang w:val="es-419"/>
        </w:rPr>
      </w:pPr>
      <w:r w:rsidRPr="0054466D">
        <w:rPr>
          <w:lang w:val="es-419"/>
        </w:rPr>
        <w:t>[Sigue el Anexo]</w:t>
      </w:r>
    </w:p>
    <w:p w:rsidR="00025C71" w:rsidRPr="0054466D" w:rsidRDefault="00025C71" w:rsidP="00025C71">
      <w:pPr>
        <w:jc w:val="left"/>
        <w:rPr>
          <w:lang w:val="es-419"/>
        </w:rPr>
        <w:sectPr w:rsidR="00025C71" w:rsidRPr="0054466D" w:rsidSect="008D1701">
          <w:headerReference w:type="default" r:id="rId9"/>
          <w:endnotePr>
            <w:numFmt w:val="lowerLetter"/>
          </w:endnotePr>
          <w:pgSz w:w="11907" w:h="16840" w:code="9"/>
          <w:pgMar w:top="510" w:right="1134" w:bottom="993" w:left="1134" w:header="510" w:footer="680" w:gutter="0"/>
          <w:cols w:space="720"/>
          <w:titlePg/>
        </w:sectPr>
      </w:pPr>
    </w:p>
    <w:p w:rsidR="00025C71" w:rsidRPr="0054466D" w:rsidRDefault="00720AFA" w:rsidP="00025C71">
      <w:pPr>
        <w:jc w:val="center"/>
        <w:rPr>
          <w:i/>
          <w:color w:val="333333"/>
          <w:szCs w:val="18"/>
          <w:lang w:val="es-419"/>
        </w:rPr>
      </w:pPr>
      <w:r w:rsidRPr="0054466D">
        <w:rPr>
          <w:lang w:val="es-419"/>
        </w:rPr>
        <w:lastRenderedPageBreak/>
        <w:t>ANEXO</w:t>
      </w:r>
      <w:r w:rsidR="00025C71" w:rsidRPr="0054466D">
        <w:rPr>
          <w:lang w:val="es-419"/>
        </w:rPr>
        <w:br/>
      </w:r>
      <w:r w:rsidR="00025C71" w:rsidRPr="000A3B4F">
        <w:rPr>
          <w:sz w:val="16"/>
          <w:lang w:val="es-419"/>
        </w:rPr>
        <w:br/>
      </w:r>
      <w:r w:rsidR="00E722A8" w:rsidRPr="0054466D">
        <w:rPr>
          <w:lang w:val="es-419"/>
        </w:rPr>
        <w:t>MANDATO</w:t>
      </w:r>
      <w:r w:rsidRPr="0054466D">
        <w:rPr>
          <w:lang w:val="es-419"/>
        </w:rPr>
        <w:t xml:space="preserve"> DEL GRUPO DE TRABAJO TÉCNICO SOBRE AUTOMATIZACIÓN Y PROGRAMAS INFORMÁTICOS (TWC) Y DEL GRUPO DE TRABAJO SOBRE TÉCNICAS BIOQUÍMICAS Y MOLECULARES</w:t>
      </w:r>
      <w:r w:rsidR="003A7CAF" w:rsidRPr="0054466D">
        <w:rPr>
          <w:lang w:val="es-419"/>
        </w:rPr>
        <w:t xml:space="preserve">, </w:t>
      </w:r>
      <w:r w:rsidRPr="0054466D">
        <w:rPr>
          <w:lang w:val="es-419"/>
        </w:rPr>
        <w:t>Y PERFILES DE ADN EN PARTICULAR (BMT)</w:t>
      </w:r>
    </w:p>
    <w:p w:rsidR="00025C71" w:rsidRPr="000A3B4F" w:rsidRDefault="00025C71" w:rsidP="00025C71">
      <w:pPr>
        <w:jc w:val="center"/>
        <w:rPr>
          <w:caps/>
          <w:sz w:val="16"/>
          <w:lang w:val="es-419"/>
        </w:rPr>
      </w:pPr>
    </w:p>
    <w:p w:rsidR="00025C71" w:rsidRPr="000A3B4F" w:rsidRDefault="00025C71" w:rsidP="00025C71">
      <w:pPr>
        <w:jc w:val="center"/>
        <w:rPr>
          <w:caps/>
          <w:sz w:val="16"/>
          <w:lang w:val="es-419"/>
        </w:rPr>
      </w:pPr>
    </w:p>
    <w:p w:rsidR="00025C71" w:rsidRPr="0054466D" w:rsidRDefault="00720AFA" w:rsidP="00025C71">
      <w:pPr>
        <w:shd w:val="clear" w:color="auto" w:fill="FFFFFF"/>
        <w:rPr>
          <w:color w:val="333333"/>
          <w:u w:val="single"/>
          <w:lang w:val="es-419"/>
        </w:rPr>
      </w:pPr>
      <w:r w:rsidRPr="0054466D">
        <w:rPr>
          <w:color w:val="333333"/>
          <w:szCs w:val="18"/>
          <w:u w:val="single"/>
          <w:lang w:val="es-419"/>
        </w:rPr>
        <w:t>Grupo de Trabajo Técnico sobre Automatización y Programas Informáticos (TWC)</w:t>
      </w:r>
    </w:p>
    <w:p w:rsidR="00025C71" w:rsidRPr="000A3B4F" w:rsidRDefault="00025C71" w:rsidP="00025C71">
      <w:pPr>
        <w:shd w:val="clear" w:color="auto" w:fill="FFFFFF"/>
        <w:rPr>
          <w:color w:val="333333"/>
          <w:sz w:val="16"/>
          <w:lang w:val="es-419"/>
        </w:rPr>
      </w:pPr>
    </w:p>
    <w:p w:rsidR="00025C71" w:rsidRPr="0054466D" w:rsidRDefault="00720AFA" w:rsidP="00BA77C2">
      <w:pPr>
        <w:shd w:val="clear" w:color="auto" w:fill="FFFFFF"/>
        <w:spacing w:after="120"/>
        <w:rPr>
          <w:color w:val="333333"/>
          <w:szCs w:val="18"/>
          <w:lang w:val="es-419"/>
        </w:rPr>
      </w:pPr>
      <w:r w:rsidRPr="0054466D">
        <w:rPr>
          <w:color w:val="333333"/>
          <w:szCs w:val="18"/>
          <w:lang w:val="es-419"/>
        </w:rPr>
        <w:t>El TC</w:t>
      </w:r>
      <w:r w:rsidR="003A7CAF" w:rsidRPr="0054466D">
        <w:rPr>
          <w:color w:val="333333"/>
          <w:szCs w:val="18"/>
          <w:lang w:val="es-419"/>
        </w:rPr>
        <w:t xml:space="preserve">, </w:t>
      </w:r>
      <w:r w:rsidRPr="0054466D">
        <w:rPr>
          <w:color w:val="333333"/>
          <w:szCs w:val="18"/>
          <w:lang w:val="es-419"/>
        </w:rPr>
        <w:t>en su decimoctava sesión</w:t>
      </w:r>
      <w:r w:rsidR="003A7CAF" w:rsidRPr="0054466D">
        <w:rPr>
          <w:color w:val="333333"/>
          <w:szCs w:val="18"/>
          <w:lang w:val="es-419"/>
        </w:rPr>
        <w:t xml:space="preserve">, </w:t>
      </w:r>
      <w:r w:rsidRPr="0054466D">
        <w:rPr>
          <w:color w:val="333333"/>
          <w:szCs w:val="18"/>
          <w:lang w:val="es-419"/>
        </w:rPr>
        <w:t>celebrada del 17 al</w:t>
      </w:r>
      <w:r w:rsidR="003A7CAF" w:rsidRPr="0054466D">
        <w:rPr>
          <w:color w:val="333333"/>
          <w:szCs w:val="18"/>
          <w:lang w:val="es-419"/>
        </w:rPr>
        <w:t> 1</w:t>
      </w:r>
      <w:r w:rsidRPr="0054466D">
        <w:rPr>
          <w:color w:val="333333"/>
          <w:szCs w:val="18"/>
          <w:lang w:val="es-419"/>
        </w:rPr>
        <w:t>9 de noviembre de 1982</w:t>
      </w:r>
      <w:r w:rsidR="003A7CAF" w:rsidRPr="0054466D">
        <w:rPr>
          <w:color w:val="333333"/>
          <w:szCs w:val="18"/>
          <w:lang w:val="es-419"/>
        </w:rPr>
        <w:t xml:space="preserve">, </w:t>
      </w:r>
      <w:r w:rsidRPr="0054466D">
        <w:rPr>
          <w:color w:val="333333"/>
          <w:szCs w:val="18"/>
          <w:lang w:val="es-419"/>
        </w:rPr>
        <w:t xml:space="preserve">estableció el Grupo de Trabajo Técnico sobre Automatización y Programas Informáticos (TWC) (véase el </w:t>
      </w:r>
      <w:r w:rsidRPr="0054466D">
        <w:rPr>
          <w:iCs/>
          <w:color w:val="333333"/>
          <w:szCs w:val="18"/>
          <w:lang w:val="es-419"/>
        </w:rPr>
        <w:t>párrafo</w:t>
      </w:r>
      <w:r w:rsidR="003A7CAF" w:rsidRPr="0054466D">
        <w:rPr>
          <w:iCs/>
          <w:color w:val="333333"/>
          <w:szCs w:val="18"/>
          <w:lang w:val="es-419"/>
        </w:rPr>
        <w:t> 3</w:t>
      </w:r>
      <w:r w:rsidRPr="0054466D">
        <w:rPr>
          <w:iCs/>
          <w:color w:val="333333"/>
          <w:szCs w:val="18"/>
          <w:lang w:val="es-419"/>
        </w:rPr>
        <w:t>2 del documento TC/XVIII/13 “Informe de la decimoctava sesión del TC”</w:t>
      </w:r>
      <w:r w:rsidR="003A7CAF" w:rsidRPr="0054466D">
        <w:rPr>
          <w:iCs/>
          <w:color w:val="333333"/>
          <w:szCs w:val="18"/>
          <w:lang w:val="es-419"/>
        </w:rPr>
        <w:t xml:space="preserve">, </w:t>
      </w:r>
      <w:r w:rsidRPr="0054466D">
        <w:rPr>
          <w:iCs/>
          <w:color w:val="333333"/>
          <w:szCs w:val="18"/>
          <w:lang w:val="es-419"/>
        </w:rPr>
        <w:t>Ginebra</w:t>
      </w:r>
      <w:r w:rsidR="003A7CAF" w:rsidRPr="0054466D">
        <w:rPr>
          <w:iCs/>
          <w:color w:val="333333"/>
          <w:szCs w:val="18"/>
          <w:lang w:val="es-419"/>
        </w:rPr>
        <w:t>, 1</w:t>
      </w:r>
      <w:r w:rsidRPr="0054466D">
        <w:rPr>
          <w:iCs/>
          <w:color w:val="333333"/>
          <w:szCs w:val="18"/>
          <w:lang w:val="es-419"/>
        </w:rPr>
        <w:t>7 a</w:t>
      </w:r>
      <w:r w:rsidR="003A7CAF" w:rsidRPr="0054466D">
        <w:rPr>
          <w:iCs/>
          <w:color w:val="333333"/>
          <w:szCs w:val="18"/>
          <w:lang w:val="es-419"/>
        </w:rPr>
        <w:t> 1</w:t>
      </w:r>
      <w:r w:rsidRPr="0054466D">
        <w:rPr>
          <w:iCs/>
          <w:color w:val="333333"/>
          <w:szCs w:val="18"/>
          <w:lang w:val="es-419"/>
        </w:rPr>
        <w:t>9 de noviembre de 1982):</w:t>
      </w:r>
    </w:p>
    <w:p w:rsidR="00025C71" w:rsidRPr="0054466D" w:rsidRDefault="00720AFA" w:rsidP="00BA77C2">
      <w:pPr>
        <w:shd w:val="clear" w:color="auto" w:fill="FFFFFF"/>
        <w:spacing w:after="120"/>
        <w:ind w:left="601" w:right="567"/>
        <w:rPr>
          <w:color w:val="333333"/>
          <w:szCs w:val="18"/>
          <w:lang w:val="es-419"/>
        </w:rPr>
      </w:pPr>
      <w:r w:rsidRPr="0054466D">
        <w:rPr>
          <w:color w:val="333333"/>
          <w:szCs w:val="18"/>
          <w:lang w:val="es-419"/>
        </w:rPr>
        <w:t>“La primera tarea del Grupo de Trabajo consistirá en preparar un inventario de los programas y métodos de tratamiento de datos existentes.</w:t>
      </w:r>
      <w:r w:rsidR="00025C71" w:rsidRPr="0054466D">
        <w:rPr>
          <w:color w:val="333333"/>
          <w:szCs w:val="18"/>
          <w:lang w:val="es-419"/>
        </w:rPr>
        <w:t xml:space="preserve"> </w:t>
      </w:r>
      <w:r w:rsidRPr="0054466D">
        <w:rPr>
          <w:color w:val="333333"/>
          <w:szCs w:val="18"/>
          <w:lang w:val="es-419"/>
        </w:rPr>
        <w:t>Posteriormente</w:t>
      </w:r>
      <w:r w:rsidR="003A7CAF" w:rsidRPr="0054466D">
        <w:rPr>
          <w:color w:val="333333"/>
          <w:szCs w:val="18"/>
          <w:lang w:val="es-419"/>
        </w:rPr>
        <w:t xml:space="preserve">, </w:t>
      </w:r>
      <w:r w:rsidRPr="0054466D">
        <w:rPr>
          <w:color w:val="333333"/>
          <w:szCs w:val="18"/>
          <w:lang w:val="es-419"/>
        </w:rPr>
        <w:t>se centrará en los dos temas siguientes:</w:t>
      </w:r>
    </w:p>
    <w:p w:rsidR="00025C71" w:rsidRPr="0054466D" w:rsidRDefault="00025C71" w:rsidP="00BA77C2">
      <w:pPr>
        <w:shd w:val="clear" w:color="auto" w:fill="FFFFFF"/>
        <w:spacing w:after="120"/>
        <w:ind w:left="601" w:right="567"/>
        <w:rPr>
          <w:color w:val="333333"/>
          <w:szCs w:val="18"/>
          <w:lang w:val="es-419"/>
        </w:rPr>
      </w:pPr>
      <w:r w:rsidRPr="0054466D">
        <w:rPr>
          <w:color w:val="333333"/>
          <w:szCs w:val="18"/>
          <w:lang w:val="es-419"/>
        </w:rPr>
        <w:t xml:space="preserve">i) </w:t>
      </w:r>
      <w:r w:rsidR="00720AFA" w:rsidRPr="0054466D">
        <w:rPr>
          <w:color w:val="333333"/>
          <w:szCs w:val="18"/>
          <w:lang w:val="es-419"/>
        </w:rPr>
        <w:t>el estudio de la codificación y normalización de las entradas</w:t>
      </w:r>
      <w:r w:rsidR="003A7CAF" w:rsidRPr="0054466D">
        <w:rPr>
          <w:color w:val="333333"/>
          <w:szCs w:val="18"/>
          <w:lang w:val="es-419"/>
        </w:rPr>
        <w:t xml:space="preserve">, </w:t>
      </w:r>
      <w:r w:rsidR="00720AFA" w:rsidRPr="0054466D">
        <w:rPr>
          <w:color w:val="333333"/>
          <w:szCs w:val="18"/>
          <w:lang w:val="es-419"/>
        </w:rPr>
        <w:t>a fin de hacer compatible el intercambio de información;</w:t>
      </w:r>
    </w:p>
    <w:p w:rsidR="00025C71" w:rsidRPr="0054466D" w:rsidRDefault="00025C71" w:rsidP="00BA77C2">
      <w:pPr>
        <w:shd w:val="clear" w:color="auto" w:fill="FFFFFF"/>
        <w:spacing w:after="120"/>
        <w:ind w:left="601" w:right="567"/>
        <w:rPr>
          <w:color w:val="333333"/>
          <w:szCs w:val="18"/>
          <w:lang w:val="es-419"/>
        </w:rPr>
      </w:pPr>
      <w:r w:rsidRPr="0054466D">
        <w:rPr>
          <w:color w:val="333333"/>
          <w:szCs w:val="18"/>
          <w:lang w:val="es-419"/>
        </w:rPr>
        <w:t xml:space="preserve">ii) </w:t>
      </w:r>
      <w:r w:rsidR="00720AFA" w:rsidRPr="0054466D">
        <w:rPr>
          <w:color w:val="333333"/>
          <w:szCs w:val="18"/>
          <w:lang w:val="es-419"/>
        </w:rPr>
        <w:t>la preparación de un análisis comparativo de los métodos utilizados en la ejecución del examen de la distinción</w:t>
      </w:r>
      <w:r w:rsidR="003A7CAF" w:rsidRPr="0054466D">
        <w:rPr>
          <w:color w:val="333333"/>
          <w:szCs w:val="18"/>
          <w:lang w:val="es-419"/>
        </w:rPr>
        <w:t xml:space="preserve">, </w:t>
      </w:r>
      <w:r w:rsidR="00720AFA" w:rsidRPr="0054466D">
        <w:rPr>
          <w:color w:val="333333"/>
          <w:szCs w:val="18"/>
          <w:lang w:val="es-419"/>
        </w:rPr>
        <w:t xml:space="preserve">la homogeneidad y la estabilidad en las plantas </w:t>
      </w:r>
      <w:proofErr w:type="spellStart"/>
      <w:r w:rsidR="00720AFA" w:rsidRPr="0054466D">
        <w:rPr>
          <w:color w:val="333333"/>
          <w:szCs w:val="18"/>
          <w:lang w:val="es-419"/>
        </w:rPr>
        <w:t>alógamas</w:t>
      </w:r>
      <w:proofErr w:type="spellEnd"/>
      <w:r w:rsidR="00720AFA" w:rsidRPr="0054466D">
        <w:rPr>
          <w:color w:val="333333"/>
          <w:szCs w:val="18"/>
          <w:lang w:val="es-419"/>
        </w:rPr>
        <w:t xml:space="preserve"> y en la interpretación estadística de los datos obtenidos y de una propuesta de solución común más adecuada.”</w:t>
      </w:r>
    </w:p>
    <w:p w:rsidR="00025C71" w:rsidRPr="0054466D" w:rsidRDefault="00522F17" w:rsidP="000A3B4F">
      <w:pPr>
        <w:shd w:val="clear" w:color="auto" w:fill="FFFFFF"/>
        <w:spacing w:after="180"/>
        <w:rPr>
          <w:color w:val="333333"/>
          <w:szCs w:val="18"/>
          <w:lang w:val="es-419"/>
        </w:rPr>
      </w:pPr>
      <w:r w:rsidRPr="0054466D">
        <w:rPr>
          <w:color w:val="333333"/>
          <w:szCs w:val="18"/>
          <w:lang w:val="es-419"/>
        </w:rPr>
        <w:t>El Consejo</w:t>
      </w:r>
      <w:r w:rsidR="003A7CAF" w:rsidRPr="0054466D">
        <w:rPr>
          <w:color w:val="333333"/>
          <w:szCs w:val="18"/>
          <w:lang w:val="es-419"/>
        </w:rPr>
        <w:t xml:space="preserve">, </w:t>
      </w:r>
      <w:r w:rsidRPr="0054466D">
        <w:rPr>
          <w:color w:val="333333"/>
          <w:szCs w:val="18"/>
          <w:lang w:val="es-419"/>
        </w:rPr>
        <w:t>en su decimoséptima sesión ordinaria</w:t>
      </w:r>
      <w:r w:rsidR="003A7CAF" w:rsidRPr="0054466D">
        <w:rPr>
          <w:color w:val="333333"/>
          <w:szCs w:val="18"/>
          <w:lang w:val="es-419"/>
        </w:rPr>
        <w:t xml:space="preserve">, </w:t>
      </w:r>
      <w:r w:rsidRPr="0054466D">
        <w:rPr>
          <w:color w:val="333333"/>
          <w:szCs w:val="18"/>
          <w:lang w:val="es-419"/>
        </w:rPr>
        <w:t>celebrada el 14 de octubre de 1983</w:t>
      </w:r>
      <w:r w:rsidR="003A7CAF" w:rsidRPr="0054466D">
        <w:rPr>
          <w:color w:val="333333"/>
          <w:szCs w:val="18"/>
          <w:lang w:val="es-419"/>
        </w:rPr>
        <w:t xml:space="preserve">, </w:t>
      </w:r>
      <w:r w:rsidRPr="0054466D">
        <w:rPr>
          <w:color w:val="333333"/>
          <w:szCs w:val="18"/>
          <w:lang w:val="es-419"/>
        </w:rPr>
        <w:t>ap</w:t>
      </w:r>
      <w:r w:rsidR="008673D6" w:rsidRPr="0054466D">
        <w:rPr>
          <w:color w:val="333333"/>
          <w:szCs w:val="18"/>
          <w:lang w:val="es-419"/>
        </w:rPr>
        <w:t>robó la creación del TWC por el </w:t>
      </w:r>
      <w:r w:rsidRPr="0054466D">
        <w:rPr>
          <w:color w:val="333333"/>
          <w:szCs w:val="18"/>
          <w:lang w:val="es-419"/>
        </w:rPr>
        <w:t xml:space="preserve">TC </w:t>
      </w:r>
      <w:r w:rsidR="00720AFA" w:rsidRPr="0054466D">
        <w:rPr>
          <w:color w:val="333333"/>
          <w:szCs w:val="18"/>
          <w:lang w:val="es-419"/>
        </w:rPr>
        <w:t xml:space="preserve">(véase </w:t>
      </w:r>
      <w:r w:rsidRPr="0054466D">
        <w:rPr>
          <w:color w:val="333333"/>
          <w:szCs w:val="18"/>
          <w:lang w:val="es-419"/>
        </w:rPr>
        <w:t xml:space="preserve">el </w:t>
      </w:r>
      <w:r w:rsidRPr="0054466D">
        <w:rPr>
          <w:iCs/>
          <w:color w:val="333333"/>
          <w:szCs w:val="18"/>
          <w:lang w:val="es-419"/>
        </w:rPr>
        <w:t>párrafo</w:t>
      </w:r>
      <w:r w:rsidR="003A7CAF" w:rsidRPr="0054466D">
        <w:rPr>
          <w:iCs/>
          <w:color w:val="333333"/>
          <w:szCs w:val="18"/>
          <w:lang w:val="es-419"/>
        </w:rPr>
        <w:t> 1</w:t>
      </w:r>
      <w:r w:rsidRPr="0054466D">
        <w:rPr>
          <w:iCs/>
          <w:color w:val="333333"/>
          <w:szCs w:val="18"/>
          <w:lang w:val="es-419"/>
        </w:rPr>
        <w:t xml:space="preserve">16 del </w:t>
      </w:r>
      <w:r w:rsidR="00720AFA" w:rsidRPr="0054466D">
        <w:rPr>
          <w:color w:val="333333"/>
          <w:szCs w:val="18"/>
          <w:lang w:val="es-419"/>
        </w:rPr>
        <w:t>documento</w:t>
      </w:r>
      <w:r w:rsidR="00720AFA" w:rsidRPr="0054466D">
        <w:rPr>
          <w:iCs/>
          <w:color w:val="333333"/>
          <w:szCs w:val="18"/>
          <w:lang w:val="es-419"/>
        </w:rPr>
        <w:t xml:space="preserve"> C/XVII/15 “</w:t>
      </w:r>
      <w:r w:rsidRPr="0054466D">
        <w:rPr>
          <w:iCs/>
          <w:color w:val="333333"/>
          <w:szCs w:val="18"/>
          <w:lang w:val="es-419"/>
        </w:rPr>
        <w:t>Informe de la decimoséptima sesión ordinaria del Consejo</w:t>
      </w:r>
      <w:r w:rsidR="004815F7" w:rsidRPr="0054466D">
        <w:rPr>
          <w:iCs/>
          <w:color w:val="333333"/>
          <w:szCs w:val="18"/>
          <w:lang w:val="es-419"/>
        </w:rPr>
        <w:t>”</w:t>
      </w:r>
      <w:r w:rsidR="003A7CAF" w:rsidRPr="0054466D">
        <w:rPr>
          <w:iCs/>
          <w:color w:val="333333"/>
          <w:szCs w:val="18"/>
          <w:lang w:val="es-419"/>
        </w:rPr>
        <w:t xml:space="preserve">, </w:t>
      </w:r>
      <w:r w:rsidRPr="0054466D">
        <w:rPr>
          <w:iCs/>
          <w:color w:val="333333"/>
          <w:szCs w:val="18"/>
          <w:lang w:val="es-419"/>
        </w:rPr>
        <w:t>Ginebra</w:t>
      </w:r>
      <w:r w:rsidR="003A7CAF" w:rsidRPr="0054466D">
        <w:rPr>
          <w:iCs/>
          <w:color w:val="333333"/>
          <w:szCs w:val="18"/>
          <w:lang w:val="es-419"/>
        </w:rPr>
        <w:t>, 1</w:t>
      </w:r>
      <w:r w:rsidRPr="0054466D">
        <w:rPr>
          <w:iCs/>
          <w:color w:val="333333"/>
          <w:szCs w:val="18"/>
          <w:lang w:val="es-419"/>
        </w:rPr>
        <w:t>2 a</w:t>
      </w:r>
      <w:r w:rsidR="003A7CAF" w:rsidRPr="0054466D">
        <w:rPr>
          <w:iCs/>
          <w:color w:val="333333"/>
          <w:szCs w:val="18"/>
          <w:lang w:val="es-419"/>
        </w:rPr>
        <w:t> 1</w:t>
      </w:r>
      <w:r w:rsidRPr="0054466D">
        <w:rPr>
          <w:iCs/>
          <w:color w:val="333333"/>
          <w:szCs w:val="18"/>
          <w:lang w:val="es-419"/>
        </w:rPr>
        <w:t>4 de octubre de 1983</w:t>
      </w:r>
      <w:r w:rsidR="00720AFA" w:rsidRPr="0054466D">
        <w:rPr>
          <w:iCs/>
          <w:color w:val="333333"/>
          <w:szCs w:val="18"/>
          <w:lang w:val="es-419"/>
        </w:rPr>
        <w:t>).</w:t>
      </w:r>
    </w:p>
    <w:p w:rsidR="00025C71" w:rsidRPr="0054466D" w:rsidRDefault="004815F7" w:rsidP="00025C71">
      <w:pPr>
        <w:rPr>
          <w:u w:val="single"/>
          <w:lang w:val="es-419"/>
        </w:rPr>
      </w:pPr>
      <w:bookmarkStart w:id="7" w:name="BMT"/>
      <w:bookmarkEnd w:id="7"/>
      <w:r w:rsidRPr="0054466D">
        <w:rPr>
          <w:u w:val="single"/>
          <w:lang w:val="es-419"/>
        </w:rPr>
        <w:t>Grupo de Trabajo sobre Técnicas Bioquímicas y Moleculares</w:t>
      </w:r>
      <w:r w:rsidR="003A7CAF" w:rsidRPr="0054466D">
        <w:rPr>
          <w:u w:val="single"/>
          <w:lang w:val="es-419"/>
        </w:rPr>
        <w:t xml:space="preserve">, </w:t>
      </w:r>
      <w:r w:rsidRPr="0054466D">
        <w:rPr>
          <w:u w:val="single"/>
          <w:lang w:val="es-419"/>
        </w:rPr>
        <w:t>y Perfiles de ADN en particular (BMT)</w:t>
      </w:r>
    </w:p>
    <w:p w:rsidR="00025C71" w:rsidRPr="000A3B4F" w:rsidRDefault="00025C71" w:rsidP="00025C71">
      <w:pPr>
        <w:rPr>
          <w:sz w:val="16"/>
          <w:lang w:val="es-419"/>
        </w:rPr>
      </w:pPr>
    </w:p>
    <w:p w:rsidR="00025C71" w:rsidRPr="0054466D" w:rsidRDefault="006C3B0D" w:rsidP="000A3B4F">
      <w:pPr>
        <w:shd w:val="clear" w:color="auto" w:fill="FFFFFF"/>
        <w:spacing w:after="180"/>
        <w:rPr>
          <w:color w:val="333333"/>
          <w:szCs w:val="18"/>
          <w:lang w:val="es-419"/>
        </w:rPr>
      </w:pPr>
      <w:r w:rsidRPr="0054466D">
        <w:rPr>
          <w:color w:val="333333"/>
          <w:szCs w:val="18"/>
          <w:lang w:val="es-419"/>
        </w:rPr>
        <w:t>El Consejo</w:t>
      </w:r>
      <w:r w:rsidR="003A7CAF" w:rsidRPr="0054466D">
        <w:rPr>
          <w:color w:val="333333"/>
          <w:szCs w:val="18"/>
          <w:lang w:val="es-419"/>
        </w:rPr>
        <w:t xml:space="preserve">, </w:t>
      </w:r>
      <w:r w:rsidRPr="0054466D">
        <w:rPr>
          <w:color w:val="333333"/>
          <w:szCs w:val="18"/>
          <w:lang w:val="es-419"/>
        </w:rPr>
        <w:t>en su vigésima sexta sesión ordinaria</w:t>
      </w:r>
      <w:r w:rsidR="003A7CAF" w:rsidRPr="0054466D">
        <w:rPr>
          <w:color w:val="333333"/>
          <w:szCs w:val="18"/>
          <w:lang w:val="es-419"/>
        </w:rPr>
        <w:t xml:space="preserve">, </w:t>
      </w:r>
      <w:r w:rsidRPr="0054466D">
        <w:rPr>
          <w:color w:val="333333"/>
          <w:szCs w:val="18"/>
          <w:lang w:val="es-419"/>
        </w:rPr>
        <w:t>celebrada el</w:t>
      </w:r>
      <w:r w:rsidR="003A7CAF" w:rsidRPr="0054466D">
        <w:rPr>
          <w:color w:val="333333"/>
          <w:szCs w:val="18"/>
          <w:lang w:val="es-419"/>
        </w:rPr>
        <w:t> 2</w:t>
      </w:r>
      <w:r w:rsidRPr="0054466D">
        <w:rPr>
          <w:color w:val="333333"/>
          <w:szCs w:val="18"/>
          <w:lang w:val="es-419"/>
        </w:rPr>
        <w:t>9 de octubre de</w:t>
      </w:r>
      <w:r w:rsidR="003A7CAF" w:rsidRPr="0054466D">
        <w:rPr>
          <w:color w:val="333333"/>
          <w:szCs w:val="18"/>
          <w:lang w:val="es-419"/>
        </w:rPr>
        <w:t> 1</w:t>
      </w:r>
      <w:r w:rsidRPr="0054466D">
        <w:rPr>
          <w:color w:val="333333"/>
          <w:szCs w:val="18"/>
          <w:lang w:val="es-419"/>
        </w:rPr>
        <w:t>992 acordó establecer el Grupo de Trabajo sobre Técnicas Bioquímicas y Moleculares</w:t>
      </w:r>
      <w:r w:rsidR="003A7CAF" w:rsidRPr="0054466D">
        <w:rPr>
          <w:color w:val="333333"/>
          <w:szCs w:val="18"/>
          <w:lang w:val="es-419"/>
        </w:rPr>
        <w:t xml:space="preserve">, </w:t>
      </w:r>
      <w:r w:rsidRPr="0054466D">
        <w:rPr>
          <w:color w:val="333333"/>
          <w:szCs w:val="18"/>
          <w:lang w:val="es-419"/>
        </w:rPr>
        <w:t xml:space="preserve">y Perfiles de ADN en particular (BMT) (véase el </w:t>
      </w:r>
      <w:r w:rsidRPr="0054466D">
        <w:rPr>
          <w:iCs/>
          <w:color w:val="333333"/>
          <w:szCs w:val="18"/>
          <w:lang w:val="es-419"/>
        </w:rPr>
        <w:t>párrafo</w:t>
      </w:r>
      <w:r w:rsidR="003A7CAF" w:rsidRPr="0054466D">
        <w:rPr>
          <w:iCs/>
          <w:color w:val="333333"/>
          <w:szCs w:val="18"/>
          <w:lang w:val="es-419"/>
        </w:rPr>
        <w:t> 2</w:t>
      </w:r>
      <w:r w:rsidRPr="0054466D">
        <w:rPr>
          <w:iCs/>
          <w:color w:val="333333"/>
          <w:szCs w:val="18"/>
          <w:lang w:val="es-419"/>
        </w:rPr>
        <w:t xml:space="preserve">7 del </w:t>
      </w:r>
      <w:r w:rsidRPr="0054466D">
        <w:rPr>
          <w:color w:val="333333"/>
          <w:szCs w:val="18"/>
          <w:lang w:val="es-419"/>
        </w:rPr>
        <w:t>documento</w:t>
      </w:r>
      <w:r w:rsidRPr="0054466D">
        <w:rPr>
          <w:iCs/>
          <w:color w:val="333333"/>
          <w:szCs w:val="18"/>
          <w:lang w:val="es-419"/>
        </w:rPr>
        <w:t xml:space="preserve"> C/26/15 “Informe de la vigésima sexta sesión ordinaria del Consejo”</w:t>
      </w:r>
      <w:r w:rsidR="003A7CAF" w:rsidRPr="0054466D">
        <w:rPr>
          <w:iCs/>
          <w:color w:val="333333"/>
          <w:szCs w:val="18"/>
          <w:lang w:val="es-419"/>
        </w:rPr>
        <w:t xml:space="preserve">, </w:t>
      </w:r>
      <w:r w:rsidRPr="0054466D">
        <w:rPr>
          <w:iCs/>
          <w:color w:val="333333"/>
          <w:szCs w:val="18"/>
          <w:lang w:val="es-419"/>
        </w:rPr>
        <w:t>Ginebra</w:t>
      </w:r>
      <w:r w:rsidR="003A7CAF" w:rsidRPr="0054466D">
        <w:rPr>
          <w:iCs/>
          <w:color w:val="333333"/>
          <w:szCs w:val="18"/>
          <w:lang w:val="es-419"/>
        </w:rPr>
        <w:t>, 2</w:t>
      </w:r>
      <w:r w:rsidRPr="0054466D">
        <w:rPr>
          <w:iCs/>
          <w:color w:val="333333"/>
          <w:szCs w:val="18"/>
          <w:lang w:val="es-419"/>
        </w:rPr>
        <w:t>9 de octubre de 1992).</w:t>
      </w:r>
    </w:p>
    <w:p w:rsidR="00025C71" w:rsidRPr="0054466D" w:rsidRDefault="00D304DB" w:rsidP="000A3B4F">
      <w:pPr>
        <w:shd w:val="clear" w:color="auto" w:fill="FFFFFF"/>
        <w:spacing w:after="180"/>
        <w:rPr>
          <w:color w:val="333333"/>
          <w:szCs w:val="18"/>
          <w:lang w:val="es-419"/>
        </w:rPr>
      </w:pPr>
      <w:r w:rsidRPr="0054466D">
        <w:rPr>
          <w:color w:val="333333"/>
          <w:szCs w:val="18"/>
          <w:lang w:val="es-419"/>
        </w:rPr>
        <w:t>El TC</w:t>
      </w:r>
      <w:r w:rsidR="003A7CAF" w:rsidRPr="0054466D">
        <w:rPr>
          <w:color w:val="333333"/>
          <w:szCs w:val="18"/>
          <w:lang w:val="es-419"/>
        </w:rPr>
        <w:t xml:space="preserve">, </w:t>
      </w:r>
      <w:r w:rsidRPr="0054466D">
        <w:rPr>
          <w:color w:val="333333"/>
          <w:szCs w:val="18"/>
          <w:lang w:val="es-419"/>
        </w:rPr>
        <w:t>en su trigésima octava sesión</w:t>
      </w:r>
      <w:r w:rsidR="003A7CAF" w:rsidRPr="0054466D">
        <w:rPr>
          <w:color w:val="333333"/>
          <w:szCs w:val="18"/>
          <w:lang w:val="es-419"/>
        </w:rPr>
        <w:t xml:space="preserve">, </w:t>
      </w:r>
      <w:r w:rsidRPr="0054466D">
        <w:rPr>
          <w:color w:val="333333"/>
          <w:szCs w:val="18"/>
          <w:lang w:val="es-419"/>
        </w:rPr>
        <w:t>celebrada del 15 al 17 de abril de 2002</w:t>
      </w:r>
      <w:r w:rsidR="003A7CAF" w:rsidRPr="0054466D">
        <w:rPr>
          <w:color w:val="333333"/>
          <w:szCs w:val="18"/>
          <w:lang w:val="es-419"/>
        </w:rPr>
        <w:t xml:space="preserve">, </w:t>
      </w:r>
      <w:r w:rsidRPr="0054466D">
        <w:rPr>
          <w:color w:val="333333"/>
          <w:szCs w:val="18"/>
          <w:lang w:val="es-419"/>
        </w:rPr>
        <w:t xml:space="preserve">acordó la función futura del BMT de la manera siguiente </w:t>
      </w:r>
      <w:r w:rsidRPr="0054466D">
        <w:rPr>
          <w:iCs/>
          <w:color w:val="333333"/>
          <w:szCs w:val="18"/>
          <w:lang w:val="es-419"/>
        </w:rPr>
        <w:t>(véase el párrafo 204 del documento TC/38/16 “Informe de la trigésima octava sesión del TC”</w:t>
      </w:r>
      <w:r w:rsidR="003A7CAF" w:rsidRPr="0054466D">
        <w:rPr>
          <w:iCs/>
          <w:color w:val="333333"/>
          <w:szCs w:val="18"/>
          <w:lang w:val="es-419"/>
        </w:rPr>
        <w:t xml:space="preserve">, </w:t>
      </w:r>
      <w:r w:rsidRPr="0054466D">
        <w:rPr>
          <w:iCs/>
          <w:color w:val="333333"/>
          <w:szCs w:val="18"/>
          <w:lang w:val="es-419"/>
        </w:rPr>
        <w:t>Ginebra</w:t>
      </w:r>
      <w:r w:rsidR="003A7CAF" w:rsidRPr="0054466D">
        <w:rPr>
          <w:iCs/>
          <w:color w:val="333333"/>
          <w:szCs w:val="18"/>
          <w:lang w:val="es-419"/>
        </w:rPr>
        <w:t>, 1</w:t>
      </w:r>
      <w:r w:rsidRPr="0054466D">
        <w:rPr>
          <w:iCs/>
          <w:color w:val="333333"/>
          <w:szCs w:val="18"/>
          <w:lang w:val="es-419"/>
        </w:rPr>
        <w:t>5 a</w:t>
      </w:r>
      <w:r w:rsidR="003A7CAF" w:rsidRPr="0054466D">
        <w:rPr>
          <w:iCs/>
          <w:color w:val="333333"/>
          <w:szCs w:val="18"/>
          <w:lang w:val="es-419"/>
        </w:rPr>
        <w:t> 1</w:t>
      </w:r>
      <w:r w:rsidRPr="0054466D">
        <w:rPr>
          <w:iCs/>
          <w:color w:val="333333"/>
          <w:szCs w:val="18"/>
          <w:lang w:val="es-419"/>
        </w:rPr>
        <w:t>7 de abril de</w:t>
      </w:r>
      <w:r w:rsidR="003A7CAF" w:rsidRPr="0054466D">
        <w:rPr>
          <w:iCs/>
          <w:color w:val="333333"/>
          <w:szCs w:val="18"/>
          <w:lang w:val="es-419"/>
        </w:rPr>
        <w:t> 2</w:t>
      </w:r>
      <w:r w:rsidRPr="0054466D">
        <w:rPr>
          <w:iCs/>
          <w:color w:val="333333"/>
          <w:szCs w:val="18"/>
          <w:lang w:val="es-419"/>
        </w:rPr>
        <w:t>002)</w:t>
      </w:r>
      <w:r w:rsidRPr="0054466D">
        <w:rPr>
          <w:color w:val="333333"/>
          <w:szCs w:val="18"/>
          <w:lang w:val="es-419"/>
        </w:rPr>
        <w:t>:</w:t>
      </w:r>
    </w:p>
    <w:p w:rsidR="00025C71" w:rsidRPr="0054466D" w:rsidRDefault="00D304DB" w:rsidP="00BA77C2">
      <w:pPr>
        <w:shd w:val="clear" w:color="auto" w:fill="FFFFFF"/>
        <w:spacing w:after="120"/>
        <w:rPr>
          <w:color w:val="333333"/>
          <w:szCs w:val="18"/>
          <w:lang w:val="es-419"/>
        </w:rPr>
      </w:pPr>
      <w:r w:rsidRPr="0054466D">
        <w:rPr>
          <w:color w:val="333333"/>
          <w:szCs w:val="18"/>
          <w:lang w:val="es-419"/>
        </w:rPr>
        <w:t>El BMT es un grupo comp</w:t>
      </w:r>
      <w:r w:rsidR="008673D6" w:rsidRPr="0054466D">
        <w:rPr>
          <w:color w:val="333333"/>
          <w:szCs w:val="18"/>
          <w:lang w:val="es-419"/>
        </w:rPr>
        <w:t>uesto por expertos en el examen </w:t>
      </w:r>
      <w:r w:rsidRPr="0054466D">
        <w:rPr>
          <w:color w:val="333333"/>
          <w:szCs w:val="18"/>
          <w:lang w:val="es-419"/>
        </w:rPr>
        <w:t>DHE</w:t>
      </w:r>
      <w:r w:rsidR="003A7CAF" w:rsidRPr="0054466D">
        <w:rPr>
          <w:color w:val="333333"/>
          <w:szCs w:val="18"/>
          <w:lang w:val="es-419"/>
        </w:rPr>
        <w:t xml:space="preserve">, </w:t>
      </w:r>
      <w:r w:rsidRPr="0054466D">
        <w:rPr>
          <w:color w:val="333333"/>
          <w:szCs w:val="18"/>
          <w:lang w:val="es-419"/>
        </w:rPr>
        <w:t>especialistas en técnicas bioquímicas y moleculares y obtentores cuya función consiste en:</w:t>
      </w:r>
    </w:p>
    <w:p w:rsidR="00025C71" w:rsidRPr="0054466D" w:rsidRDefault="00025C71" w:rsidP="0076360F">
      <w:pPr>
        <w:shd w:val="clear" w:color="auto" w:fill="FFFFFF"/>
        <w:spacing w:after="120"/>
        <w:ind w:left="601" w:right="567"/>
        <w:rPr>
          <w:color w:val="333333"/>
          <w:sz w:val="18"/>
          <w:szCs w:val="18"/>
          <w:lang w:val="es-419"/>
        </w:rPr>
      </w:pPr>
      <w:r w:rsidRPr="0054466D">
        <w:rPr>
          <w:color w:val="333333"/>
          <w:sz w:val="18"/>
          <w:szCs w:val="18"/>
          <w:lang w:val="es-419"/>
        </w:rPr>
        <w:t xml:space="preserve">i) </w:t>
      </w:r>
      <w:r w:rsidR="008D51FF" w:rsidRPr="0054466D">
        <w:rPr>
          <w:color w:val="333333"/>
          <w:sz w:val="18"/>
          <w:szCs w:val="18"/>
          <w:lang w:val="es-419"/>
        </w:rPr>
        <w:t>examinar la evolución general de las técnicas bioquímicas y moleculares;</w:t>
      </w:r>
    </w:p>
    <w:p w:rsidR="00025C71" w:rsidRPr="0054466D" w:rsidRDefault="00025C71" w:rsidP="0076360F">
      <w:pPr>
        <w:shd w:val="clear" w:color="auto" w:fill="FFFFFF"/>
        <w:spacing w:after="120"/>
        <w:ind w:left="601" w:right="567"/>
        <w:rPr>
          <w:color w:val="333333"/>
          <w:sz w:val="18"/>
          <w:szCs w:val="18"/>
          <w:lang w:val="es-419"/>
        </w:rPr>
      </w:pPr>
      <w:r w:rsidRPr="0054466D">
        <w:rPr>
          <w:color w:val="333333"/>
          <w:sz w:val="18"/>
          <w:szCs w:val="18"/>
          <w:lang w:val="es-419"/>
        </w:rPr>
        <w:t xml:space="preserve">ii) </w:t>
      </w:r>
      <w:r w:rsidR="008D51FF" w:rsidRPr="0054466D">
        <w:rPr>
          <w:color w:val="333333"/>
          <w:sz w:val="18"/>
          <w:szCs w:val="18"/>
          <w:lang w:val="es-419"/>
        </w:rPr>
        <w:t>informar acerca de las aplicaciones pertinentes de las técnicas bioquímicas y moleculares al fitomejoramiento;</w:t>
      </w:r>
    </w:p>
    <w:p w:rsidR="00025C71" w:rsidRPr="0054466D" w:rsidRDefault="00025C71" w:rsidP="0076360F">
      <w:pPr>
        <w:shd w:val="clear" w:color="auto" w:fill="FFFFFF"/>
        <w:spacing w:after="120"/>
        <w:ind w:left="601" w:right="567"/>
        <w:rPr>
          <w:color w:val="333333"/>
          <w:sz w:val="18"/>
          <w:szCs w:val="18"/>
          <w:lang w:val="es-419"/>
        </w:rPr>
      </w:pPr>
      <w:r w:rsidRPr="0054466D">
        <w:rPr>
          <w:color w:val="333333"/>
          <w:sz w:val="18"/>
          <w:szCs w:val="18"/>
          <w:lang w:val="es-419"/>
        </w:rPr>
        <w:t xml:space="preserve">iii) </w:t>
      </w:r>
      <w:r w:rsidR="008D51FF" w:rsidRPr="0054466D">
        <w:rPr>
          <w:color w:val="333333"/>
          <w:sz w:val="18"/>
          <w:szCs w:val="18"/>
          <w:lang w:val="es-419"/>
        </w:rPr>
        <w:t>estudiar la posible aplicación de técnicas bioquímicas y moleculares al examen DHE e informar sobre sus conclusiones al Comité Técnico;</w:t>
      </w:r>
    </w:p>
    <w:p w:rsidR="00025C71" w:rsidRPr="0054466D" w:rsidRDefault="00025C71" w:rsidP="0076360F">
      <w:pPr>
        <w:shd w:val="clear" w:color="auto" w:fill="FFFFFF"/>
        <w:spacing w:after="120"/>
        <w:ind w:left="601" w:right="567"/>
        <w:rPr>
          <w:color w:val="333333"/>
          <w:sz w:val="18"/>
          <w:szCs w:val="18"/>
          <w:lang w:val="es-419"/>
        </w:rPr>
      </w:pPr>
      <w:r w:rsidRPr="0054466D">
        <w:rPr>
          <w:color w:val="333333"/>
          <w:sz w:val="18"/>
          <w:szCs w:val="18"/>
          <w:lang w:val="es-419"/>
        </w:rPr>
        <w:t xml:space="preserve">iv) </w:t>
      </w:r>
      <w:r w:rsidR="008D51FF" w:rsidRPr="0054466D">
        <w:rPr>
          <w:color w:val="333333"/>
          <w:sz w:val="18"/>
          <w:szCs w:val="18"/>
          <w:lang w:val="es-419"/>
        </w:rPr>
        <w:t>si procede</w:t>
      </w:r>
      <w:r w:rsidR="003A7CAF" w:rsidRPr="0054466D">
        <w:rPr>
          <w:color w:val="333333"/>
          <w:sz w:val="18"/>
          <w:szCs w:val="18"/>
          <w:lang w:val="es-419"/>
        </w:rPr>
        <w:t xml:space="preserve">, </w:t>
      </w:r>
      <w:r w:rsidR="008D51FF" w:rsidRPr="0054466D">
        <w:rPr>
          <w:color w:val="333333"/>
          <w:sz w:val="18"/>
          <w:szCs w:val="18"/>
          <w:lang w:val="es-419"/>
        </w:rPr>
        <w:t>elaborar directrices para metodologías bioquímicas y moleculares y su armonización y</w:t>
      </w:r>
      <w:r w:rsidR="003A7CAF" w:rsidRPr="0054466D">
        <w:rPr>
          <w:color w:val="333333"/>
          <w:sz w:val="18"/>
          <w:szCs w:val="18"/>
          <w:lang w:val="es-419"/>
        </w:rPr>
        <w:t xml:space="preserve">, </w:t>
      </w:r>
      <w:r w:rsidR="008D51FF" w:rsidRPr="0054466D">
        <w:rPr>
          <w:color w:val="333333"/>
          <w:sz w:val="18"/>
          <w:szCs w:val="18"/>
          <w:lang w:val="es-419"/>
        </w:rPr>
        <w:t>en particular</w:t>
      </w:r>
      <w:r w:rsidR="003A7CAF" w:rsidRPr="0054466D">
        <w:rPr>
          <w:color w:val="333333"/>
          <w:sz w:val="18"/>
          <w:szCs w:val="18"/>
          <w:lang w:val="es-419"/>
        </w:rPr>
        <w:t xml:space="preserve">, </w:t>
      </w:r>
      <w:r w:rsidR="008D51FF" w:rsidRPr="0054466D">
        <w:rPr>
          <w:color w:val="333333"/>
          <w:sz w:val="18"/>
          <w:szCs w:val="18"/>
          <w:lang w:val="es-419"/>
        </w:rPr>
        <w:t>contribuir a la elaboración del documento TGP/15</w:t>
      </w:r>
      <w:r w:rsidR="003A7CAF" w:rsidRPr="0054466D">
        <w:rPr>
          <w:color w:val="333333"/>
          <w:sz w:val="18"/>
          <w:szCs w:val="18"/>
          <w:lang w:val="es-419"/>
        </w:rPr>
        <w:t xml:space="preserve">, </w:t>
      </w:r>
      <w:r w:rsidR="008D51FF" w:rsidRPr="0054466D">
        <w:rPr>
          <w:color w:val="333333"/>
          <w:sz w:val="18"/>
          <w:szCs w:val="18"/>
          <w:lang w:val="es-419"/>
        </w:rPr>
        <w:t>“Nuevos tipos de caracteres.”</w:t>
      </w:r>
      <w:r w:rsidRPr="0054466D">
        <w:rPr>
          <w:color w:val="333333"/>
          <w:sz w:val="18"/>
          <w:szCs w:val="18"/>
          <w:lang w:val="es-419"/>
        </w:rPr>
        <w:t xml:space="preserve"> </w:t>
      </w:r>
      <w:r w:rsidR="008D51FF" w:rsidRPr="0054466D">
        <w:rPr>
          <w:color w:val="333333"/>
          <w:sz w:val="18"/>
          <w:szCs w:val="18"/>
          <w:lang w:val="es-419"/>
        </w:rPr>
        <w:t>Estas directrices se elaborarán en colaboración con los Grupos de Trabajo Técnico;</w:t>
      </w:r>
    </w:p>
    <w:p w:rsidR="00025C71" w:rsidRPr="0054466D" w:rsidRDefault="00025C71" w:rsidP="0076360F">
      <w:pPr>
        <w:shd w:val="clear" w:color="auto" w:fill="FFFFFF"/>
        <w:spacing w:after="120"/>
        <w:ind w:left="601" w:right="567"/>
        <w:rPr>
          <w:color w:val="333333"/>
          <w:sz w:val="18"/>
          <w:szCs w:val="18"/>
          <w:lang w:val="es-419"/>
        </w:rPr>
      </w:pPr>
      <w:r w:rsidRPr="0054466D">
        <w:rPr>
          <w:color w:val="333333"/>
          <w:sz w:val="18"/>
          <w:szCs w:val="18"/>
          <w:lang w:val="es-419"/>
        </w:rPr>
        <w:t xml:space="preserve">v) </w:t>
      </w:r>
      <w:r w:rsidR="008D51FF" w:rsidRPr="0054466D">
        <w:rPr>
          <w:color w:val="333333"/>
          <w:sz w:val="18"/>
          <w:szCs w:val="18"/>
          <w:lang w:val="es-419"/>
        </w:rPr>
        <w:t>examinar las iniciativas de los TWP sobre el establecimiento de subgrupos sobre cultivos específicos</w:t>
      </w:r>
      <w:r w:rsidR="003A7CAF" w:rsidRPr="0054466D">
        <w:rPr>
          <w:color w:val="333333"/>
          <w:sz w:val="18"/>
          <w:szCs w:val="18"/>
          <w:lang w:val="es-419"/>
        </w:rPr>
        <w:t xml:space="preserve">, </w:t>
      </w:r>
      <w:r w:rsidR="008D51FF" w:rsidRPr="0054466D">
        <w:rPr>
          <w:color w:val="333333"/>
          <w:sz w:val="18"/>
          <w:szCs w:val="18"/>
          <w:lang w:val="es-419"/>
        </w:rPr>
        <w:t>tomando en consideración la información disponible y la necesidad de métodos bioquímicos y moleculares;</w:t>
      </w:r>
    </w:p>
    <w:p w:rsidR="00025C71" w:rsidRPr="0054466D" w:rsidRDefault="00025C71" w:rsidP="0076360F">
      <w:pPr>
        <w:shd w:val="clear" w:color="auto" w:fill="FFFFFF"/>
        <w:spacing w:after="120"/>
        <w:ind w:left="601" w:right="567"/>
        <w:rPr>
          <w:color w:val="333333"/>
          <w:sz w:val="18"/>
          <w:szCs w:val="18"/>
          <w:lang w:val="es-419"/>
        </w:rPr>
      </w:pPr>
      <w:r w:rsidRPr="0054466D">
        <w:rPr>
          <w:color w:val="333333"/>
          <w:sz w:val="18"/>
          <w:szCs w:val="18"/>
          <w:lang w:val="es-419"/>
        </w:rPr>
        <w:t xml:space="preserve">vi) </w:t>
      </w:r>
      <w:r w:rsidR="008D51FF" w:rsidRPr="0054466D">
        <w:rPr>
          <w:color w:val="333333"/>
          <w:sz w:val="18"/>
          <w:szCs w:val="18"/>
          <w:lang w:val="es-419"/>
        </w:rPr>
        <w:t>elaborar directrices en relación con la gestión y la armonización de bases de datos sobre información bioquímica y molecular</w:t>
      </w:r>
      <w:r w:rsidR="003A7CAF" w:rsidRPr="0054466D">
        <w:rPr>
          <w:color w:val="333333"/>
          <w:sz w:val="18"/>
          <w:szCs w:val="18"/>
          <w:lang w:val="es-419"/>
        </w:rPr>
        <w:t xml:space="preserve">, </w:t>
      </w:r>
      <w:r w:rsidR="008D51FF" w:rsidRPr="0054466D">
        <w:rPr>
          <w:color w:val="333333"/>
          <w:sz w:val="18"/>
          <w:szCs w:val="18"/>
          <w:lang w:val="es-419"/>
        </w:rPr>
        <w:t>en colaboración con el TWC;</w:t>
      </w:r>
    </w:p>
    <w:p w:rsidR="00025C71" w:rsidRPr="0054466D" w:rsidRDefault="00025C71" w:rsidP="0076360F">
      <w:pPr>
        <w:shd w:val="clear" w:color="auto" w:fill="FFFFFF"/>
        <w:spacing w:after="120"/>
        <w:ind w:left="601" w:right="567"/>
        <w:rPr>
          <w:color w:val="333333"/>
          <w:sz w:val="18"/>
          <w:szCs w:val="18"/>
          <w:lang w:val="es-419"/>
        </w:rPr>
      </w:pPr>
      <w:r w:rsidRPr="0054466D">
        <w:rPr>
          <w:color w:val="333333"/>
          <w:sz w:val="18"/>
          <w:szCs w:val="18"/>
          <w:lang w:val="es-419"/>
        </w:rPr>
        <w:t xml:space="preserve">vii) </w:t>
      </w:r>
      <w:r w:rsidR="008D51FF" w:rsidRPr="0054466D">
        <w:rPr>
          <w:color w:val="333333"/>
          <w:sz w:val="18"/>
          <w:szCs w:val="18"/>
          <w:lang w:val="es-419"/>
        </w:rPr>
        <w:t>recibir informes de los Subgrupos sobre Cultivos y del Grupo de Consulta del BMT;</w:t>
      </w:r>
    </w:p>
    <w:p w:rsidR="00025C71" w:rsidRPr="0054466D" w:rsidRDefault="00025C71" w:rsidP="0076360F">
      <w:pPr>
        <w:shd w:val="clear" w:color="auto" w:fill="FFFFFF"/>
        <w:spacing w:after="120"/>
        <w:ind w:left="601" w:right="567"/>
        <w:rPr>
          <w:lang w:val="es-419"/>
        </w:rPr>
      </w:pPr>
      <w:r w:rsidRPr="0054466D">
        <w:rPr>
          <w:color w:val="333333"/>
          <w:sz w:val="18"/>
          <w:szCs w:val="18"/>
          <w:lang w:val="es-419"/>
        </w:rPr>
        <w:t xml:space="preserve">viii) </w:t>
      </w:r>
      <w:r w:rsidR="008D51FF" w:rsidRPr="0054466D">
        <w:rPr>
          <w:color w:val="333333"/>
          <w:sz w:val="18"/>
          <w:szCs w:val="18"/>
          <w:lang w:val="es-419"/>
        </w:rPr>
        <w:t>constituir un foro para debatir la utilización de técnicas bioquímicas y moleculares en el examen de las variedades esencialmente derivadas y la identificación de variedades.</w:t>
      </w:r>
    </w:p>
    <w:p w:rsidR="00182AD2" w:rsidRPr="00BA77C2" w:rsidRDefault="00182AD2" w:rsidP="00182AD2">
      <w:pPr>
        <w:jc w:val="right"/>
        <w:rPr>
          <w:sz w:val="16"/>
          <w:lang w:val="es-419"/>
        </w:rPr>
      </w:pPr>
    </w:p>
    <w:p w:rsidR="00050E16" w:rsidRPr="0054466D" w:rsidRDefault="008D51FF" w:rsidP="005A6352">
      <w:pPr>
        <w:keepNext/>
        <w:jc w:val="right"/>
        <w:rPr>
          <w:lang w:val="es-419"/>
        </w:rPr>
      </w:pPr>
      <w:r w:rsidRPr="0054466D">
        <w:rPr>
          <w:lang w:val="es-419"/>
        </w:rPr>
        <w:t>[Fin del Anexo y del documento]</w:t>
      </w:r>
    </w:p>
    <w:sectPr w:rsidR="00050E16" w:rsidRPr="0054466D" w:rsidSect="0054466D">
      <w:headerReference w:type="default" r:id="rId10"/>
      <w:headerReference w:type="first" r:id="rId11"/>
      <w:endnotePr>
        <w:numFmt w:val="lowerLetter"/>
      </w:endnotePr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54" w:rsidRDefault="000A0B54" w:rsidP="006655D3">
      <w:r>
        <w:separator/>
      </w:r>
    </w:p>
    <w:p w:rsidR="000A0B54" w:rsidRPr="00BA77C2" w:rsidRDefault="000A0B54" w:rsidP="006655D3">
      <w:pPr>
        <w:rPr>
          <w:sz w:val="16"/>
        </w:rPr>
      </w:pPr>
    </w:p>
  </w:endnote>
  <w:endnote w:type="continuationSeparator" w:id="0">
    <w:p w:rsidR="000A0B54" w:rsidRDefault="000A0B54" w:rsidP="006655D3">
      <w:r>
        <w:separator/>
      </w:r>
    </w:p>
    <w:p w:rsidR="000A0B54" w:rsidRPr="00294751" w:rsidRDefault="000A0B5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A0B54" w:rsidRPr="00294751" w:rsidRDefault="000A0B54" w:rsidP="006655D3">
      <w:pPr>
        <w:rPr>
          <w:lang w:val="fr-FR"/>
        </w:rPr>
      </w:pPr>
    </w:p>
    <w:p w:rsidR="000A0B54" w:rsidRPr="00294751" w:rsidRDefault="000A0B54" w:rsidP="006655D3">
      <w:pPr>
        <w:rPr>
          <w:lang w:val="fr-FR"/>
        </w:rPr>
      </w:pPr>
    </w:p>
  </w:endnote>
  <w:endnote w:type="continuationNotice" w:id="1">
    <w:p w:rsidR="000A0B54" w:rsidRPr="00294751" w:rsidRDefault="000A0B5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A0B54" w:rsidRPr="00294751" w:rsidRDefault="000A0B54" w:rsidP="006655D3">
      <w:pPr>
        <w:rPr>
          <w:lang w:val="fr-FR"/>
        </w:rPr>
      </w:pPr>
    </w:p>
    <w:p w:rsidR="000A0B54" w:rsidRPr="00294751" w:rsidRDefault="000A0B54" w:rsidP="006655D3">
      <w:pPr>
        <w:rPr>
          <w:lang w:val="fr-FR"/>
        </w:rPr>
      </w:pPr>
    </w:p>
  </w:endnote>
  <w:endnote w:id="2">
    <w:p w:rsidR="0099051A" w:rsidRPr="00B23121" w:rsidRDefault="0099051A" w:rsidP="00B23121">
      <w:pPr>
        <w:pStyle w:val="EndnoteText"/>
        <w:tabs>
          <w:tab w:val="left" w:pos="284"/>
        </w:tabs>
        <w:spacing w:before="60"/>
        <w:rPr>
          <w:sz w:val="16"/>
          <w:szCs w:val="16"/>
          <w:highlight w:val="yellow"/>
          <w:u w:val="single"/>
          <w:lang w:val="es-ES"/>
        </w:rPr>
      </w:pPr>
      <w:r w:rsidRPr="00B23121">
        <w:rPr>
          <w:rStyle w:val="EndnoteReference"/>
          <w:sz w:val="16"/>
          <w:szCs w:val="16"/>
          <w:highlight w:val="yellow"/>
          <w:u w:val="single"/>
        </w:rPr>
        <w:endnoteRef/>
      </w:r>
      <w:r w:rsidRPr="00B23121">
        <w:rPr>
          <w:sz w:val="16"/>
          <w:szCs w:val="16"/>
          <w:highlight w:val="yellow"/>
          <w:u w:val="single"/>
        </w:rPr>
        <w:t xml:space="preserve"> </w:t>
      </w:r>
      <w:r w:rsidR="00B23121" w:rsidRPr="00B23121">
        <w:rPr>
          <w:sz w:val="16"/>
          <w:szCs w:val="16"/>
          <w:highlight w:val="yellow"/>
          <w:u w:val="single"/>
        </w:rPr>
        <w:tab/>
      </w:r>
      <w:r w:rsidR="001363D4" w:rsidRPr="00B23121">
        <w:rPr>
          <w:sz w:val="16"/>
          <w:szCs w:val="16"/>
          <w:highlight w:val="yellow"/>
          <w:u w:val="single"/>
        </w:rPr>
        <w:t>Cambio que refleja los ajustes resultantes del procedimiento de examen de documentos por corre</w:t>
      </w:r>
      <w:r w:rsidR="00BA77C2" w:rsidRPr="00B23121">
        <w:rPr>
          <w:sz w:val="16"/>
          <w:szCs w:val="16"/>
          <w:highlight w:val="yellow"/>
          <w:u w:val="single"/>
        </w:rPr>
        <w:t>spondencia (véase la Circular E</w:t>
      </w:r>
      <w:r w:rsidR="00BA77C2" w:rsidRPr="00B23121">
        <w:rPr>
          <w:sz w:val="16"/>
          <w:szCs w:val="16"/>
          <w:highlight w:val="yellow"/>
          <w:u w:val="single"/>
        </w:rPr>
        <w:noBreakHyphen/>
      </w:r>
      <w:r w:rsidR="001363D4" w:rsidRPr="00B23121">
        <w:rPr>
          <w:sz w:val="16"/>
          <w:szCs w:val="16"/>
          <w:highlight w:val="yellow"/>
          <w:u w:val="single"/>
        </w:rPr>
        <w:t>20/094 de 23 de julio de 2020)</w:t>
      </w:r>
    </w:p>
  </w:endnote>
  <w:endnote w:id="3">
    <w:p w:rsidR="00780406" w:rsidRPr="001363D4" w:rsidRDefault="00780406" w:rsidP="00B23121">
      <w:pPr>
        <w:pStyle w:val="EndnoteText"/>
        <w:tabs>
          <w:tab w:val="left" w:pos="284"/>
        </w:tabs>
        <w:spacing w:before="60"/>
        <w:rPr>
          <w:u w:val="single"/>
          <w:lang w:val="es-ES"/>
        </w:rPr>
      </w:pPr>
      <w:r w:rsidRPr="00B23121">
        <w:rPr>
          <w:rStyle w:val="EndnoteReference"/>
          <w:sz w:val="16"/>
          <w:szCs w:val="16"/>
          <w:highlight w:val="yellow"/>
          <w:u w:val="single"/>
        </w:rPr>
        <w:endnoteRef/>
      </w:r>
      <w:r w:rsidRPr="00B23121">
        <w:rPr>
          <w:highlight w:val="yellow"/>
          <w:u w:val="single"/>
        </w:rPr>
        <w:t xml:space="preserve"> </w:t>
      </w:r>
      <w:r w:rsidR="00B23121" w:rsidRPr="00B23121">
        <w:rPr>
          <w:highlight w:val="yellow"/>
          <w:u w:val="single"/>
        </w:rPr>
        <w:tab/>
      </w:r>
      <w:r w:rsidR="001363D4" w:rsidRPr="00B23121">
        <w:rPr>
          <w:sz w:val="16"/>
          <w:szCs w:val="16"/>
          <w:highlight w:val="yellow"/>
          <w:u w:val="single"/>
        </w:rPr>
        <w:t xml:space="preserve">Nuevo texto en esta sección que da cuenta de las novedades al 25 de septiembre de 2020, de conformidad con la petición del TC en el sentido </w:t>
      </w:r>
      <w:r w:rsidR="001363D4" w:rsidRPr="004D4FC9">
        <w:rPr>
          <w:sz w:val="16"/>
          <w:szCs w:val="16"/>
          <w:highlight w:val="yellow"/>
          <w:u w:val="single"/>
        </w:rPr>
        <w:t>de incluir los comentarios del TWC y del BMT sobre este tema (véase el párrafo 7 del presente documento).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54" w:rsidRDefault="000A0B54" w:rsidP="006655D3">
      <w:r>
        <w:separator/>
      </w:r>
    </w:p>
  </w:footnote>
  <w:footnote w:type="continuationSeparator" w:id="0">
    <w:p w:rsidR="000A0B54" w:rsidRDefault="000A0B54" w:rsidP="006655D3">
      <w:r>
        <w:separator/>
      </w:r>
    </w:p>
  </w:footnote>
  <w:footnote w:type="continuationNotice" w:id="1">
    <w:p w:rsidR="000A0B54" w:rsidRPr="00AB530F" w:rsidRDefault="000A0B54" w:rsidP="00AB530F">
      <w:pPr>
        <w:pStyle w:val="Footer"/>
      </w:pPr>
    </w:p>
  </w:footnote>
  <w:footnote w:id="2">
    <w:p w:rsidR="00E5425C" w:rsidRDefault="00E5425C" w:rsidP="00025C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84E61" w:rsidRPr="00684E61">
        <w:t>En su quincuagésima cuarta sesión</w:t>
      </w:r>
      <w:r w:rsidR="001C43AB">
        <w:t xml:space="preserve">, </w:t>
      </w:r>
      <w:r w:rsidR="00684E61" w:rsidRPr="00684E61">
        <w:t>celebrada del</w:t>
      </w:r>
      <w:r w:rsidR="001C43AB">
        <w:t> </w:t>
      </w:r>
      <w:r w:rsidR="001C43AB" w:rsidRPr="00684E61">
        <w:t>1</w:t>
      </w:r>
      <w:r w:rsidR="00684E61" w:rsidRPr="00684E61">
        <w:t>1 al</w:t>
      </w:r>
      <w:r w:rsidR="001C43AB">
        <w:t> </w:t>
      </w:r>
      <w:r w:rsidR="001C43AB" w:rsidRPr="00684E61">
        <w:t>1</w:t>
      </w:r>
      <w:r w:rsidR="00684E61" w:rsidRPr="00684E61">
        <w:t>5 de mayo de</w:t>
      </w:r>
      <w:r w:rsidR="001C43AB">
        <w:t> </w:t>
      </w:r>
      <w:r w:rsidR="001C43AB" w:rsidRPr="00684E61">
        <w:t>2</w:t>
      </w:r>
      <w:r w:rsidR="00684E61" w:rsidRPr="00684E61">
        <w:t>020.</w:t>
      </w:r>
    </w:p>
  </w:footnote>
  <w:footnote w:id="3">
    <w:p w:rsidR="00E5425C" w:rsidRDefault="00E5425C" w:rsidP="00025C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84E61" w:rsidRPr="00684E61">
        <w:t>En su quincuagésima segunda sesión</w:t>
      </w:r>
      <w:r w:rsidR="001C43AB">
        <w:t xml:space="preserve">, </w:t>
      </w:r>
      <w:r w:rsidR="00684E61" w:rsidRPr="00684E61">
        <w:t>celebrada del 8 al 12 de junio de 2020.</w:t>
      </w:r>
    </w:p>
  </w:footnote>
  <w:footnote w:id="4">
    <w:p w:rsidR="00E5425C" w:rsidRDefault="00E5425C" w:rsidP="00025C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84E61" w:rsidRPr="00ED5737">
        <w:t xml:space="preserve">En su </w:t>
      </w:r>
      <w:r w:rsidR="00ED5737" w:rsidRPr="00ED5737">
        <w:t xml:space="preserve">cuadragésima novena </w:t>
      </w:r>
      <w:r w:rsidR="00684E61" w:rsidRPr="00ED5737">
        <w:t>sesión</w:t>
      </w:r>
      <w:r w:rsidR="001C43AB">
        <w:t xml:space="preserve">, </w:t>
      </w:r>
      <w:r w:rsidR="00684E61" w:rsidRPr="00ED5737">
        <w:t>celebrada del 22 al 26 de junio de 2020.</w:t>
      </w:r>
    </w:p>
  </w:footnote>
  <w:footnote w:id="5">
    <w:p w:rsidR="00E5425C" w:rsidRDefault="00E5425C" w:rsidP="00025C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D5737" w:rsidRPr="00ED5737">
        <w:t>En su quincuagésima primera sesión</w:t>
      </w:r>
      <w:r w:rsidR="001C43AB">
        <w:t xml:space="preserve">, </w:t>
      </w:r>
      <w:r w:rsidR="00ED5737" w:rsidRPr="00ED5737">
        <w:t>celebrada del</w:t>
      </w:r>
      <w:r w:rsidR="001C43AB">
        <w:t> </w:t>
      </w:r>
      <w:r w:rsidR="001C43AB" w:rsidRPr="00ED5737">
        <w:t>6</w:t>
      </w:r>
      <w:r w:rsidR="00ED5737" w:rsidRPr="00ED5737">
        <w:t xml:space="preserve"> al</w:t>
      </w:r>
      <w:r w:rsidR="001C43AB">
        <w:t> </w:t>
      </w:r>
      <w:r w:rsidR="001C43AB" w:rsidRPr="00ED5737">
        <w:t>1</w:t>
      </w:r>
      <w:r w:rsidR="00ED5737" w:rsidRPr="00ED5737">
        <w:t>0 de julio de</w:t>
      </w:r>
      <w:r w:rsidR="001C43AB">
        <w:t> </w:t>
      </w:r>
      <w:r w:rsidR="001C43AB" w:rsidRPr="00ED5737">
        <w:t>2</w:t>
      </w:r>
      <w:r w:rsidR="00ED5737" w:rsidRPr="00ED5737">
        <w:t>020.</w:t>
      </w:r>
    </w:p>
  </w:footnote>
  <w:footnote w:id="6">
    <w:p w:rsidR="00780406" w:rsidRPr="006F0105" w:rsidRDefault="00780406">
      <w:pPr>
        <w:pStyle w:val="FootnoteText"/>
        <w:rPr>
          <w:highlight w:val="yellow"/>
          <w:u w:val="single"/>
          <w:lang w:val="es-ES"/>
        </w:rPr>
      </w:pPr>
      <w:r w:rsidRPr="006F0105">
        <w:rPr>
          <w:rStyle w:val="FootnoteReference"/>
          <w:highlight w:val="yellow"/>
          <w:u w:val="single"/>
        </w:rPr>
        <w:footnoteRef/>
      </w:r>
      <w:r w:rsidRPr="006F0105">
        <w:rPr>
          <w:highlight w:val="yellow"/>
          <w:u w:val="single"/>
        </w:rPr>
        <w:t xml:space="preserve"> </w:t>
      </w:r>
      <w:r w:rsidR="006F0105" w:rsidRPr="006F0105">
        <w:rPr>
          <w:highlight w:val="yellow"/>
          <w:u w:val="single"/>
        </w:rPr>
        <w:t>En su trigésima octava reunión, celebrada del 21 al 23 de septiembre de 2020.</w:t>
      </w:r>
    </w:p>
  </w:footnote>
  <w:footnote w:id="7">
    <w:p w:rsidR="00780406" w:rsidRPr="006F0105" w:rsidRDefault="00780406">
      <w:pPr>
        <w:pStyle w:val="FootnoteText"/>
        <w:rPr>
          <w:lang w:val="es-ES"/>
        </w:rPr>
      </w:pPr>
      <w:r w:rsidRPr="006F0105">
        <w:rPr>
          <w:rStyle w:val="FootnoteReference"/>
          <w:highlight w:val="yellow"/>
          <w:u w:val="single"/>
        </w:rPr>
        <w:footnoteRef/>
      </w:r>
      <w:r w:rsidRPr="006F0105">
        <w:rPr>
          <w:highlight w:val="yellow"/>
          <w:u w:val="single"/>
        </w:rPr>
        <w:t xml:space="preserve"> </w:t>
      </w:r>
      <w:r w:rsidR="006F0105" w:rsidRPr="006F0105">
        <w:rPr>
          <w:highlight w:val="yellow"/>
          <w:u w:val="single"/>
        </w:rPr>
        <w:t xml:space="preserve">En </w:t>
      </w:r>
      <w:r w:rsidR="006F0105" w:rsidRPr="00481716">
        <w:rPr>
          <w:highlight w:val="yellow"/>
          <w:u w:val="single"/>
        </w:rPr>
        <w:t>su decimonovena reunión, celebrada del 23 al 25 de septiembre de 2020</w:t>
      </w:r>
      <w:r w:rsidR="006F0105">
        <w:rPr>
          <w:highlight w:val="yellow"/>
          <w:u w:val="singl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C71" w:rsidRPr="00C5280D" w:rsidRDefault="00025C7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TC/56/10</w:t>
    </w:r>
    <w:r w:rsidR="00780406">
      <w:rPr>
        <w:rStyle w:val="PageNumber"/>
        <w:lang w:val="en-US"/>
      </w:rPr>
      <w:t xml:space="preserve"> </w:t>
    </w:r>
    <w:r w:rsidR="00780406" w:rsidRPr="00780406">
      <w:rPr>
        <w:rStyle w:val="PageNumber"/>
        <w:highlight w:val="yellow"/>
        <w:u w:val="single"/>
      </w:rPr>
      <w:t>Rev.</w:t>
    </w:r>
  </w:p>
  <w:p w:rsidR="00025C71" w:rsidRPr="00C5280D" w:rsidRDefault="00025C71" w:rsidP="00EB048E">
    <w:pPr>
      <w:pStyle w:val="Header"/>
      <w:rPr>
        <w:lang w:val="en-US"/>
      </w:rPr>
    </w:pPr>
    <w:proofErr w:type="spellStart"/>
    <w:proofErr w:type="gramStart"/>
    <w:r>
      <w:rPr>
        <w:lang w:val="en-US"/>
      </w:rPr>
      <w:t>página</w:t>
    </w:r>
    <w:proofErr w:type="spellEnd"/>
    <w:proofErr w:type="gramEnd"/>
    <w:r w:rsidRPr="00C5280D">
      <w:rPr>
        <w:lang w:val="en-US"/>
      </w:rPr>
      <w:t xml:space="preserve"> </w:t>
    </w:r>
    <w:r w:rsidR="00661F8F"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="00661F8F" w:rsidRPr="00C5280D">
      <w:rPr>
        <w:rStyle w:val="PageNumber"/>
        <w:lang w:val="en-US"/>
      </w:rPr>
      <w:fldChar w:fldCharType="separate"/>
    </w:r>
    <w:r w:rsidR="00505E3D">
      <w:rPr>
        <w:rStyle w:val="PageNumber"/>
        <w:noProof/>
        <w:lang w:val="en-US"/>
      </w:rPr>
      <w:t>3</w:t>
    </w:r>
    <w:r w:rsidR="00661F8F" w:rsidRPr="00C5280D">
      <w:rPr>
        <w:rStyle w:val="PageNumber"/>
        <w:lang w:val="en-US"/>
      </w:rPr>
      <w:fldChar w:fldCharType="end"/>
    </w:r>
  </w:p>
  <w:p w:rsidR="00025C71" w:rsidRPr="00C5280D" w:rsidRDefault="00025C71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Default="00467B42" w:rsidP="000A23DC">
    <w:pPr>
      <w:pStyle w:val="Header"/>
      <w:rPr>
        <w:rStyle w:val="PageNumber"/>
      </w:rPr>
    </w:pPr>
    <w:r>
      <w:rPr>
        <w:rStyle w:val="PageNumber"/>
      </w:rPr>
      <w:t>TC/56</w:t>
    </w:r>
    <w:r w:rsidR="00667404" w:rsidRPr="000A23DC">
      <w:rPr>
        <w:rStyle w:val="PageNumber"/>
      </w:rPr>
      <w:t>/</w:t>
    </w:r>
    <w:r w:rsidR="0054466D">
      <w:rPr>
        <w:rStyle w:val="PageNumber"/>
      </w:rPr>
      <w:t>10</w:t>
    </w:r>
    <w:r w:rsidR="00780406">
      <w:rPr>
        <w:rStyle w:val="PageNumber"/>
      </w:rPr>
      <w:t xml:space="preserve"> </w:t>
    </w:r>
    <w:r w:rsidR="00780406" w:rsidRPr="00780406">
      <w:rPr>
        <w:rStyle w:val="PageNumber"/>
        <w:highlight w:val="yellow"/>
        <w:u w:val="single"/>
      </w:rPr>
      <w:t>Rev.</w:t>
    </w:r>
  </w:p>
  <w:p w:rsidR="00182B99" w:rsidRPr="00C60F05" w:rsidRDefault="0054466D" w:rsidP="008B3D8D">
    <w:pPr>
      <w:pStyle w:val="Header"/>
    </w:pPr>
    <w:r>
      <w:t xml:space="preserve">Anexo, </w:t>
    </w:r>
    <w:r w:rsidR="008B3D8D" w:rsidRPr="00C60F05">
      <w:t>página</w:t>
    </w:r>
    <w:r w:rsidR="00182B99" w:rsidRPr="00C60F05">
      <w:t xml:space="preserve"> </w:t>
    </w:r>
    <w:r w:rsidR="00661F8F" w:rsidRPr="00C60F05">
      <w:rPr>
        <w:rStyle w:val="PageNumber"/>
      </w:rPr>
      <w:fldChar w:fldCharType="begin"/>
    </w:r>
    <w:r w:rsidR="00182B99" w:rsidRPr="00C60F05">
      <w:rPr>
        <w:rStyle w:val="PageNumber"/>
      </w:rPr>
      <w:instrText xml:space="preserve"> PAGE </w:instrText>
    </w:r>
    <w:r w:rsidR="00661F8F" w:rsidRPr="00C60F05">
      <w:rPr>
        <w:rStyle w:val="PageNumber"/>
      </w:rPr>
      <w:fldChar w:fldCharType="separate"/>
    </w:r>
    <w:r w:rsidR="00BA77C2">
      <w:rPr>
        <w:rStyle w:val="PageNumber"/>
        <w:noProof/>
      </w:rPr>
      <w:t>2</w:t>
    </w:r>
    <w:r w:rsidR="00661F8F" w:rsidRPr="00C60F05">
      <w:rPr>
        <w:rStyle w:val="PageNumber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C71" w:rsidRDefault="00025C71">
    <w:pPr>
      <w:pStyle w:val="Header"/>
      <w:rPr>
        <w:lang w:val="es-ES"/>
      </w:rPr>
    </w:pPr>
    <w:r>
      <w:rPr>
        <w:lang w:val="es-ES"/>
      </w:rPr>
      <w:t>TC/56/10</w:t>
    </w:r>
    <w:r w:rsidR="00780406">
      <w:rPr>
        <w:lang w:val="es-ES"/>
      </w:rPr>
      <w:t xml:space="preserve"> </w:t>
    </w:r>
    <w:r w:rsidR="00780406" w:rsidRPr="00780406">
      <w:rPr>
        <w:rStyle w:val="PageNumber"/>
        <w:highlight w:val="yellow"/>
        <w:u w:val="single"/>
      </w:rPr>
      <w:t>Rev.</w:t>
    </w:r>
  </w:p>
  <w:p w:rsidR="00025C71" w:rsidRPr="000A3B4F" w:rsidRDefault="00025C71">
    <w:pPr>
      <w:pStyle w:val="Header"/>
      <w:rPr>
        <w:sz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7AD9"/>
    <w:multiLevelType w:val="hybridMultilevel"/>
    <w:tmpl w:val="96CCACAA"/>
    <w:lvl w:ilvl="0" w:tplc="177431A2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6423F99"/>
    <w:multiLevelType w:val="hybridMultilevel"/>
    <w:tmpl w:val="B2CCCB26"/>
    <w:lvl w:ilvl="0" w:tplc="04090017">
      <w:start w:val="1"/>
      <w:numFmt w:val="lowerLetter"/>
      <w:lvlText w:val="%1)"/>
      <w:lvlJc w:val="left"/>
      <w:pPr>
        <w:ind w:left="1494" w:hanging="360"/>
      </w:pPr>
      <w:rPr>
        <w:lang w:val="es-ES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7474BF0"/>
    <w:multiLevelType w:val="hybridMultilevel"/>
    <w:tmpl w:val="87483F22"/>
    <w:lvl w:ilvl="0" w:tplc="1B9A53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9EA9D2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54"/>
    <w:rsid w:val="00010CF3"/>
    <w:rsid w:val="00011E27"/>
    <w:rsid w:val="000148BC"/>
    <w:rsid w:val="00024AB8"/>
    <w:rsid w:val="00025C71"/>
    <w:rsid w:val="00030854"/>
    <w:rsid w:val="00036028"/>
    <w:rsid w:val="00044642"/>
    <w:rsid w:val="000446B9"/>
    <w:rsid w:val="00047E21"/>
    <w:rsid w:val="00050E16"/>
    <w:rsid w:val="000638A9"/>
    <w:rsid w:val="0006394F"/>
    <w:rsid w:val="00077852"/>
    <w:rsid w:val="00085505"/>
    <w:rsid w:val="000A0B54"/>
    <w:rsid w:val="000A23DC"/>
    <w:rsid w:val="000A272D"/>
    <w:rsid w:val="000A3B4F"/>
    <w:rsid w:val="000B7BB9"/>
    <w:rsid w:val="000C4E25"/>
    <w:rsid w:val="000C7021"/>
    <w:rsid w:val="000D48E9"/>
    <w:rsid w:val="000D6BBC"/>
    <w:rsid w:val="000D7780"/>
    <w:rsid w:val="000E636A"/>
    <w:rsid w:val="000F2F11"/>
    <w:rsid w:val="00105929"/>
    <w:rsid w:val="00110C36"/>
    <w:rsid w:val="001131D5"/>
    <w:rsid w:val="001363D4"/>
    <w:rsid w:val="00141DB8"/>
    <w:rsid w:val="00164B29"/>
    <w:rsid w:val="00172084"/>
    <w:rsid w:val="0017474A"/>
    <w:rsid w:val="001758C6"/>
    <w:rsid w:val="001813AB"/>
    <w:rsid w:val="00182AD2"/>
    <w:rsid w:val="00182B99"/>
    <w:rsid w:val="001921DA"/>
    <w:rsid w:val="0019571C"/>
    <w:rsid w:val="001A0BDD"/>
    <w:rsid w:val="001A3709"/>
    <w:rsid w:val="001A5354"/>
    <w:rsid w:val="001C43AB"/>
    <w:rsid w:val="001D66BE"/>
    <w:rsid w:val="001F11AB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145F"/>
    <w:rsid w:val="002940E8"/>
    <w:rsid w:val="00294751"/>
    <w:rsid w:val="002A6E50"/>
    <w:rsid w:val="002B0866"/>
    <w:rsid w:val="002B4298"/>
    <w:rsid w:val="002B7349"/>
    <w:rsid w:val="002C256A"/>
    <w:rsid w:val="002E5378"/>
    <w:rsid w:val="002E5944"/>
    <w:rsid w:val="00305A7F"/>
    <w:rsid w:val="003152FE"/>
    <w:rsid w:val="00327436"/>
    <w:rsid w:val="00344BD6"/>
    <w:rsid w:val="0035528D"/>
    <w:rsid w:val="00361821"/>
    <w:rsid w:val="00361E9E"/>
    <w:rsid w:val="00365FF2"/>
    <w:rsid w:val="00376DEE"/>
    <w:rsid w:val="003A7CAF"/>
    <w:rsid w:val="003B031A"/>
    <w:rsid w:val="003B09A2"/>
    <w:rsid w:val="003B4545"/>
    <w:rsid w:val="003C5FDB"/>
    <w:rsid w:val="003C7FBE"/>
    <w:rsid w:val="003D192A"/>
    <w:rsid w:val="003D227C"/>
    <w:rsid w:val="003D2B4D"/>
    <w:rsid w:val="0040557F"/>
    <w:rsid w:val="004427A0"/>
    <w:rsid w:val="00444A88"/>
    <w:rsid w:val="00467B42"/>
    <w:rsid w:val="00474DA4"/>
    <w:rsid w:val="00474EC2"/>
    <w:rsid w:val="00476B4D"/>
    <w:rsid w:val="004805FA"/>
    <w:rsid w:val="004815F7"/>
    <w:rsid w:val="00491B46"/>
    <w:rsid w:val="004935D2"/>
    <w:rsid w:val="00493B2B"/>
    <w:rsid w:val="0049790B"/>
    <w:rsid w:val="004B1215"/>
    <w:rsid w:val="004B55F8"/>
    <w:rsid w:val="004D047D"/>
    <w:rsid w:val="004D3A2B"/>
    <w:rsid w:val="004F1E9E"/>
    <w:rsid w:val="004F305A"/>
    <w:rsid w:val="00502AA9"/>
    <w:rsid w:val="00503EE7"/>
    <w:rsid w:val="00505E3D"/>
    <w:rsid w:val="00512164"/>
    <w:rsid w:val="00520297"/>
    <w:rsid w:val="00522F17"/>
    <w:rsid w:val="005338F9"/>
    <w:rsid w:val="0054281C"/>
    <w:rsid w:val="00544017"/>
    <w:rsid w:val="00544581"/>
    <w:rsid w:val="0054466D"/>
    <w:rsid w:val="00545E42"/>
    <w:rsid w:val="0055268D"/>
    <w:rsid w:val="00555BFE"/>
    <w:rsid w:val="00572507"/>
    <w:rsid w:val="00576BE4"/>
    <w:rsid w:val="005A1EC1"/>
    <w:rsid w:val="005A400A"/>
    <w:rsid w:val="005A6352"/>
    <w:rsid w:val="005D28D1"/>
    <w:rsid w:val="005F7B92"/>
    <w:rsid w:val="00612379"/>
    <w:rsid w:val="006153B6"/>
    <w:rsid w:val="0061555F"/>
    <w:rsid w:val="00617F7A"/>
    <w:rsid w:val="006313F4"/>
    <w:rsid w:val="00631E71"/>
    <w:rsid w:val="0063540A"/>
    <w:rsid w:val="00636CA6"/>
    <w:rsid w:val="00637EDD"/>
    <w:rsid w:val="00641200"/>
    <w:rsid w:val="00645CA8"/>
    <w:rsid w:val="0065007B"/>
    <w:rsid w:val="00661F8F"/>
    <w:rsid w:val="006655D3"/>
    <w:rsid w:val="00667404"/>
    <w:rsid w:val="00684E61"/>
    <w:rsid w:val="00687EB4"/>
    <w:rsid w:val="00694F2C"/>
    <w:rsid w:val="00695C56"/>
    <w:rsid w:val="006A5CDE"/>
    <w:rsid w:val="006A644A"/>
    <w:rsid w:val="006B17D2"/>
    <w:rsid w:val="006C224E"/>
    <w:rsid w:val="006C3B0D"/>
    <w:rsid w:val="006D780A"/>
    <w:rsid w:val="006F0105"/>
    <w:rsid w:val="0071271E"/>
    <w:rsid w:val="00720AFA"/>
    <w:rsid w:val="00732DEC"/>
    <w:rsid w:val="00735BD5"/>
    <w:rsid w:val="00751613"/>
    <w:rsid w:val="00751857"/>
    <w:rsid w:val="007556F6"/>
    <w:rsid w:val="00760EEF"/>
    <w:rsid w:val="0076360F"/>
    <w:rsid w:val="00777EE5"/>
    <w:rsid w:val="00780406"/>
    <w:rsid w:val="00783722"/>
    <w:rsid w:val="00784836"/>
    <w:rsid w:val="0079023E"/>
    <w:rsid w:val="0079537D"/>
    <w:rsid w:val="007A2854"/>
    <w:rsid w:val="007C1D92"/>
    <w:rsid w:val="007C4CB9"/>
    <w:rsid w:val="007D0B9D"/>
    <w:rsid w:val="007D19B0"/>
    <w:rsid w:val="007E0CF3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3D6"/>
    <w:rsid w:val="00867AC1"/>
    <w:rsid w:val="00887E55"/>
    <w:rsid w:val="00890DF8"/>
    <w:rsid w:val="008966CE"/>
    <w:rsid w:val="008A743F"/>
    <w:rsid w:val="008B3D8D"/>
    <w:rsid w:val="008C0970"/>
    <w:rsid w:val="008D0BC5"/>
    <w:rsid w:val="008D2CF7"/>
    <w:rsid w:val="008D51FF"/>
    <w:rsid w:val="00900C26"/>
    <w:rsid w:val="0090197F"/>
    <w:rsid w:val="00906DDC"/>
    <w:rsid w:val="00934E09"/>
    <w:rsid w:val="00936253"/>
    <w:rsid w:val="00940D46"/>
    <w:rsid w:val="00950182"/>
    <w:rsid w:val="00952DD4"/>
    <w:rsid w:val="00952E25"/>
    <w:rsid w:val="0095713A"/>
    <w:rsid w:val="0096175D"/>
    <w:rsid w:val="00965AE7"/>
    <w:rsid w:val="00970FED"/>
    <w:rsid w:val="00981A72"/>
    <w:rsid w:val="009864AB"/>
    <w:rsid w:val="0099051A"/>
    <w:rsid w:val="00992D82"/>
    <w:rsid w:val="00997029"/>
    <w:rsid w:val="009A44FB"/>
    <w:rsid w:val="009A7339"/>
    <w:rsid w:val="009B440E"/>
    <w:rsid w:val="009D1F66"/>
    <w:rsid w:val="009D4DEF"/>
    <w:rsid w:val="009D690D"/>
    <w:rsid w:val="009E65B6"/>
    <w:rsid w:val="00A24C10"/>
    <w:rsid w:val="00A42AC3"/>
    <w:rsid w:val="00A430CF"/>
    <w:rsid w:val="00A54309"/>
    <w:rsid w:val="00A6273C"/>
    <w:rsid w:val="00A706D3"/>
    <w:rsid w:val="00AA2BC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3121"/>
    <w:rsid w:val="00B324D4"/>
    <w:rsid w:val="00B46575"/>
    <w:rsid w:val="00B61777"/>
    <w:rsid w:val="00B84BBD"/>
    <w:rsid w:val="00BA43FB"/>
    <w:rsid w:val="00BA77C2"/>
    <w:rsid w:val="00BC0BD4"/>
    <w:rsid w:val="00BC127D"/>
    <w:rsid w:val="00BC1FE6"/>
    <w:rsid w:val="00BD2947"/>
    <w:rsid w:val="00C05360"/>
    <w:rsid w:val="00C061B6"/>
    <w:rsid w:val="00C2446C"/>
    <w:rsid w:val="00C36AE5"/>
    <w:rsid w:val="00C41F17"/>
    <w:rsid w:val="00C503CE"/>
    <w:rsid w:val="00C527FA"/>
    <w:rsid w:val="00C5280D"/>
    <w:rsid w:val="00C53EB3"/>
    <w:rsid w:val="00C5791C"/>
    <w:rsid w:val="00C60F05"/>
    <w:rsid w:val="00C66290"/>
    <w:rsid w:val="00C67C2F"/>
    <w:rsid w:val="00C72B7A"/>
    <w:rsid w:val="00C973F2"/>
    <w:rsid w:val="00CA194A"/>
    <w:rsid w:val="00CA304C"/>
    <w:rsid w:val="00CA774A"/>
    <w:rsid w:val="00CB226A"/>
    <w:rsid w:val="00CC11B0"/>
    <w:rsid w:val="00CC2841"/>
    <w:rsid w:val="00CD19BE"/>
    <w:rsid w:val="00CD565F"/>
    <w:rsid w:val="00CE2AED"/>
    <w:rsid w:val="00CE49AB"/>
    <w:rsid w:val="00CF1330"/>
    <w:rsid w:val="00CF7E36"/>
    <w:rsid w:val="00D304DB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5425C"/>
    <w:rsid w:val="00E63C0E"/>
    <w:rsid w:val="00E722A8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C72A6"/>
    <w:rsid w:val="00ED5737"/>
    <w:rsid w:val="00EE34DF"/>
    <w:rsid w:val="00EF0454"/>
    <w:rsid w:val="00EF2F89"/>
    <w:rsid w:val="00F03E98"/>
    <w:rsid w:val="00F1237A"/>
    <w:rsid w:val="00F22CBD"/>
    <w:rsid w:val="00F272F1"/>
    <w:rsid w:val="00F36F39"/>
    <w:rsid w:val="00F430C3"/>
    <w:rsid w:val="00F45372"/>
    <w:rsid w:val="00F560F7"/>
    <w:rsid w:val="00F6334D"/>
    <w:rsid w:val="00F633C5"/>
    <w:rsid w:val="00F7757E"/>
    <w:rsid w:val="00FA49AB"/>
    <w:rsid w:val="00FA5687"/>
    <w:rsid w:val="00FA6C6B"/>
    <w:rsid w:val="00FD3F87"/>
    <w:rsid w:val="00FD5358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,"/>
  <w15:docId w15:val="{D06A4C2F-FCB4-438B-858B-D68A8139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rsid w:val="00182AD2"/>
    <w:pPr>
      <w:tabs>
        <w:tab w:val="right" w:leader="dot" w:pos="9639"/>
      </w:tabs>
      <w:ind w:left="568" w:right="851" w:hanging="284"/>
      <w:contextualSpacing/>
    </w:pPr>
    <w:rPr>
      <w:sz w:val="18"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182AD2"/>
    <w:pPr>
      <w:tabs>
        <w:tab w:val="right" w:leader="dot" w:pos="9639"/>
      </w:tabs>
      <w:spacing w:before="60"/>
      <w:ind w:right="1418"/>
      <w:jc w:val="left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025C71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025C71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025C71"/>
    <w:rPr>
      <w:rFonts w:ascii="Arial" w:hAnsi="Arial"/>
      <w:lang w:val="es-ES_tradnl"/>
    </w:rPr>
  </w:style>
  <w:style w:type="character" w:customStyle="1" w:styleId="FootnoteTextChar">
    <w:name w:val="Footnote Text Char"/>
    <w:basedOn w:val="DefaultParagraphFont"/>
    <w:link w:val="FootnoteText"/>
    <w:rsid w:val="00025C71"/>
    <w:rPr>
      <w:rFonts w:ascii="Arial" w:hAnsi="Arial"/>
      <w:sz w:val="16"/>
      <w:lang w:val="es-ES_tradnl"/>
    </w:rPr>
  </w:style>
  <w:style w:type="paragraph" w:styleId="ListParagraph">
    <w:name w:val="List Paragraph"/>
    <w:basedOn w:val="Normal"/>
    <w:uiPriority w:val="34"/>
    <w:qFormat/>
    <w:rsid w:val="004D3A2B"/>
    <w:pPr>
      <w:ind w:left="720"/>
      <w:jc w:val="left"/>
    </w:pPr>
    <w:rPr>
      <w:rFonts w:eastAsiaTheme="minorHAns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DD0DB-28B4-4975-B6B9-71B440E2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1986</Words>
  <Characters>10186</Characters>
  <Application>Microsoft Office Word</Application>
  <DocSecurity>0</DocSecurity>
  <Lines>84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TC/56/10</vt:lpstr>
    </vt:vector>
  </TitlesOfParts>
  <Company>UPOV</Company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TC/56/10</dc:title>
  <dc:creator>CEVALLOS DUQUE Nilo</dc:creator>
  <cp:lastModifiedBy>SANTOS Carla Marina</cp:lastModifiedBy>
  <cp:revision>17</cp:revision>
  <cp:lastPrinted>2016-11-22T15:41:00Z</cp:lastPrinted>
  <dcterms:created xsi:type="dcterms:W3CDTF">2020-08-20T07:23:00Z</dcterms:created>
  <dcterms:modified xsi:type="dcterms:W3CDTF">2020-10-06T09:12:00Z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889c57c6-12cc-4777-b95c-9c3552725dbd</vt:lpwstr>
  </property>
</Properties>
</file>