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76A3" w:rsidTr="00EB4E9C">
        <w:tc>
          <w:tcPr>
            <w:tcW w:w="6522" w:type="dxa"/>
          </w:tcPr>
          <w:p w:rsidR="00DC3802" w:rsidRPr="00B176A3" w:rsidRDefault="00DC3802" w:rsidP="001B67EE">
            <w:pPr>
              <w:rPr>
                <w:dstrike/>
              </w:rPr>
            </w:pPr>
            <w:r w:rsidRPr="001B67EE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B67EE" w:rsidRDefault="002E5944" w:rsidP="00AC2883">
            <w:pPr>
              <w:pStyle w:val="Lettrine"/>
            </w:pPr>
            <w:r w:rsidRPr="001B67EE">
              <w:t>S</w:t>
            </w:r>
          </w:p>
        </w:tc>
      </w:tr>
      <w:tr w:rsidR="00DC3802" w:rsidRPr="00B176A3" w:rsidTr="00645CA8">
        <w:trPr>
          <w:trHeight w:val="219"/>
        </w:trPr>
        <w:tc>
          <w:tcPr>
            <w:tcW w:w="6522" w:type="dxa"/>
          </w:tcPr>
          <w:p w:rsidR="00DC3802" w:rsidRPr="00B176A3" w:rsidRDefault="002E5944" w:rsidP="00BC0BD4">
            <w:pPr>
              <w:pStyle w:val="upove"/>
              <w:rPr>
                <w:dstrike/>
              </w:rPr>
            </w:pPr>
            <w:r w:rsidRPr="001B67EE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1B67EE" w:rsidRDefault="00DC3802" w:rsidP="00DA4973"/>
        </w:tc>
      </w:tr>
    </w:tbl>
    <w:p w:rsidR="00DC3802" w:rsidRPr="001B67EE" w:rsidRDefault="00DC3802" w:rsidP="00DC3802"/>
    <w:p w:rsidR="00DA4973" w:rsidRPr="001B67EE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176A3" w:rsidTr="00EB4E9C">
        <w:tc>
          <w:tcPr>
            <w:tcW w:w="6512" w:type="dxa"/>
          </w:tcPr>
          <w:p w:rsidR="00EB4E9C" w:rsidRPr="001B67EE" w:rsidRDefault="002E5944" w:rsidP="00AC2883">
            <w:pPr>
              <w:pStyle w:val="Sessiontc"/>
              <w:spacing w:line="240" w:lineRule="auto"/>
            </w:pPr>
            <w:r w:rsidRPr="001B67EE">
              <w:t>Comité Técnico</w:t>
            </w:r>
          </w:p>
          <w:p w:rsidR="00EB4E9C" w:rsidRPr="00B176A3" w:rsidRDefault="002E5944" w:rsidP="000B7BB9">
            <w:pPr>
              <w:pStyle w:val="Sessiontcplacedate"/>
              <w:rPr>
                <w:dstrike/>
                <w:sz w:val="22"/>
              </w:rPr>
            </w:pPr>
            <w:r w:rsidRPr="001B67EE">
              <w:t xml:space="preserve">Quincuagésima </w:t>
            </w:r>
            <w:r w:rsidR="000B7BB9" w:rsidRPr="001B67EE">
              <w:t>quin</w:t>
            </w:r>
            <w:r w:rsidR="005A1EC1" w:rsidRPr="001B67EE">
              <w:t>ta</w:t>
            </w:r>
            <w:r w:rsidRPr="001B67EE">
              <w:t xml:space="preserve"> sesión</w:t>
            </w:r>
            <w:r w:rsidR="00EB4E9C" w:rsidRPr="001B67EE">
              <w:br/>
            </w:r>
            <w:r w:rsidRPr="001B67EE">
              <w:t>Ginebra</w:t>
            </w:r>
            <w:r w:rsidR="00A72C03" w:rsidRPr="001B67EE">
              <w:t>, 2</w:t>
            </w:r>
            <w:r w:rsidR="000B7BB9" w:rsidRPr="001B67EE">
              <w:t>8</w:t>
            </w:r>
            <w:r w:rsidR="005A1EC1" w:rsidRPr="001B67EE">
              <w:t xml:space="preserve"> y</w:t>
            </w:r>
            <w:r w:rsidR="00A72C03" w:rsidRPr="001B67EE">
              <w:t> 2</w:t>
            </w:r>
            <w:r w:rsidR="000B7BB9" w:rsidRPr="001B67EE">
              <w:t>9</w:t>
            </w:r>
            <w:r w:rsidR="005A1EC1" w:rsidRPr="001B67EE">
              <w:t xml:space="preserve"> de octubre </w:t>
            </w:r>
            <w:r w:rsidRPr="001B67EE">
              <w:t>de</w:t>
            </w:r>
            <w:r w:rsidR="00A72C03" w:rsidRPr="001B67EE">
              <w:t> 2</w:t>
            </w:r>
            <w:r w:rsidR="000B7BB9" w:rsidRPr="001B67EE">
              <w:t>019</w:t>
            </w:r>
          </w:p>
        </w:tc>
        <w:tc>
          <w:tcPr>
            <w:tcW w:w="3127" w:type="dxa"/>
          </w:tcPr>
          <w:p w:rsidR="00EB4E9C" w:rsidRPr="001B67EE" w:rsidRDefault="000B7BB9" w:rsidP="003C7FBE">
            <w:pPr>
              <w:pStyle w:val="Doccode"/>
              <w:rPr>
                <w:lang w:val="es-ES"/>
              </w:rPr>
            </w:pPr>
            <w:r w:rsidRPr="001B67EE">
              <w:rPr>
                <w:lang w:val="es-ES"/>
              </w:rPr>
              <w:t>TC/55</w:t>
            </w:r>
            <w:r w:rsidR="00EB4E9C" w:rsidRPr="001B67EE">
              <w:rPr>
                <w:lang w:val="es-ES"/>
              </w:rPr>
              <w:t>/</w:t>
            </w:r>
            <w:r w:rsidR="00D92E44" w:rsidRPr="001B67EE">
              <w:rPr>
                <w:lang w:val="es-ES"/>
              </w:rPr>
              <w:t>INF/3</w:t>
            </w:r>
          </w:p>
          <w:p w:rsidR="00EB4E9C" w:rsidRPr="001B67EE" w:rsidRDefault="00EB4E9C" w:rsidP="003C7FBE">
            <w:pPr>
              <w:pStyle w:val="Docoriginal"/>
            </w:pPr>
            <w:r w:rsidRPr="001B67EE">
              <w:t>Original:</w:t>
            </w:r>
            <w:r w:rsidR="004211E8" w:rsidRPr="001B67EE">
              <w:rPr>
                <w:b w:val="0"/>
                <w:spacing w:val="0"/>
              </w:rPr>
              <w:t xml:space="preserve"> </w:t>
            </w:r>
            <w:r w:rsidR="002E5944" w:rsidRPr="001B67EE">
              <w:rPr>
                <w:b w:val="0"/>
                <w:spacing w:val="0"/>
              </w:rPr>
              <w:t>Inglés</w:t>
            </w:r>
          </w:p>
          <w:p w:rsidR="00EB4E9C" w:rsidRPr="001B67EE" w:rsidRDefault="002E5944" w:rsidP="004211E8">
            <w:pPr>
              <w:pStyle w:val="Docoriginal"/>
            </w:pPr>
            <w:r w:rsidRPr="001B67EE">
              <w:t>Fecha</w:t>
            </w:r>
            <w:r w:rsidR="00EB4E9C" w:rsidRPr="0040589C">
              <w:t>:</w:t>
            </w:r>
            <w:r w:rsidR="00A72C03" w:rsidRPr="0040589C">
              <w:rPr>
                <w:b w:val="0"/>
                <w:spacing w:val="0"/>
              </w:rPr>
              <w:t> 1</w:t>
            </w:r>
            <w:r w:rsidR="004211E8" w:rsidRPr="0040589C">
              <w:rPr>
                <w:b w:val="0"/>
                <w:spacing w:val="0"/>
              </w:rPr>
              <w:t>1 de octubre</w:t>
            </w:r>
            <w:r w:rsidR="00EB4E9C" w:rsidRPr="0040589C">
              <w:rPr>
                <w:b w:val="0"/>
                <w:spacing w:val="0"/>
              </w:rPr>
              <w:t xml:space="preserve"> </w:t>
            </w:r>
            <w:r w:rsidRPr="0040589C">
              <w:rPr>
                <w:b w:val="0"/>
                <w:spacing w:val="0"/>
              </w:rPr>
              <w:t>de</w:t>
            </w:r>
            <w:r w:rsidR="00A72C03" w:rsidRPr="0040589C">
              <w:rPr>
                <w:b w:val="0"/>
                <w:spacing w:val="0"/>
              </w:rPr>
              <w:t> 2</w:t>
            </w:r>
            <w:r w:rsidR="005A1EC1" w:rsidRPr="0040589C">
              <w:rPr>
                <w:b w:val="0"/>
                <w:spacing w:val="0"/>
              </w:rPr>
              <w:t>01</w:t>
            </w:r>
            <w:r w:rsidR="000B7BB9" w:rsidRPr="0040589C">
              <w:rPr>
                <w:b w:val="0"/>
                <w:spacing w:val="0"/>
              </w:rPr>
              <w:t>9</w:t>
            </w:r>
          </w:p>
        </w:tc>
      </w:tr>
    </w:tbl>
    <w:p w:rsidR="005227FB" w:rsidRPr="006A644A" w:rsidRDefault="00786880" w:rsidP="001B40A2">
      <w:pPr>
        <w:pStyle w:val="Titleofdoc0"/>
      </w:pPr>
      <w:bookmarkStart w:id="0" w:name="TitleOfDoc"/>
      <w:bookmarkStart w:id="1" w:name="Prepared"/>
      <w:bookmarkEnd w:id="0"/>
      <w:bookmarkEnd w:id="1"/>
      <w:r w:rsidRPr="001B40A2">
        <w:t>BASES DE DATOS DE DESCRIPCIONES DE VARIEDADES</w:t>
      </w:r>
    </w:p>
    <w:p w:rsidR="006A644A" w:rsidRPr="001B67EE" w:rsidRDefault="000638A9" w:rsidP="006A644A">
      <w:pPr>
        <w:pStyle w:val="preparedby1"/>
        <w:jc w:val="left"/>
      </w:pPr>
      <w:r w:rsidRPr="001B67EE">
        <w:t>Documento preparado por la Oficina de la Unión</w:t>
      </w:r>
    </w:p>
    <w:p w:rsidR="00050E16" w:rsidRPr="001B67EE" w:rsidRDefault="000638A9" w:rsidP="006A644A">
      <w:pPr>
        <w:pStyle w:val="Disclaimer"/>
      </w:pPr>
      <w:r w:rsidRPr="001B67EE">
        <w:t>Descargo de responsabilidad: el presente documento no constituye un documento de política u orientación de la UPOV</w:t>
      </w:r>
    </w:p>
    <w:p w:rsidR="005227FB" w:rsidRPr="00F42A76" w:rsidRDefault="00786880" w:rsidP="005227FB">
      <w:pPr>
        <w:rPr>
          <w:snapToGrid w:val="0"/>
          <w:lang w:val="es-ES"/>
        </w:rPr>
      </w:pPr>
      <w:r w:rsidRPr="001B40A2">
        <w:rPr>
          <w:snapToGrid w:val="0"/>
        </w:rPr>
        <w:t>RESUMEN</w:t>
      </w:r>
    </w:p>
    <w:p w:rsidR="005227FB" w:rsidRPr="00F42A76" w:rsidRDefault="005227FB" w:rsidP="005227FB">
      <w:pPr>
        <w:rPr>
          <w:snapToGrid w:val="0"/>
          <w:lang w:val="es-ES"/>
        </w:rPr>
      </w:pPr>
    </w:p>
    <w:p w:rsidR="005227FB" w:rsidRPr="00F42A76" w:rsidRDefault="00C93ECB" w:rsidP="00383199">
      <w:pPr>
        <w:rPr>
          <w:snapToGrid w:val="0"/>
          <w:lang w:val="es-ES"/>
        </w:rPr>
      </w:pPr>
      <w:r w:rsidRPr="00107368">
        <w:rPr>
          <w:snapToGrid w:val="0"/>
        </w:rPr>
        <w:fldChar w:fldCharType="begin"/>
      </w:r>
      <w:r w:rsidR="005227FB" w:rsidRPr="00F42A76">
        <w:rPr>
          <w:snapToGrid w:val="0"/>
          <w:lang w:val="es-ES"/>
        </w:rPr>
        <w:instrText xml:space="preserve"> AUTONUM  </w:instrText>
      </w:r>
      <w:r w:rsidRPr="00107368">
        <w:rPr>
          <w:snapToGrid w:val="0"/>
        </w:rPr>
        <w:fldChar w:fldCharType="end"/>
      </w:r>
      <w:r w:rsidR="005227FB" w:rsidRPr="00F42A76">
        <w:rPr>
          <w:snapToGrid w:val="0"/>
          <w:lang w:val="es-ES"/>
        </w:rPr>
        <w:tab/>
      </w:r>
      <w:r w:rsidR="00786880" w:rsidRPr="001B40A2">
        <w:rPr>
          <w:snapToGrid w:val="0"/>
        </w:rPr>
        <w:t>El presente documento tiene por objeto informar de las novedades acaecidas desde la sesión de 2018 del Comité Técnico (TC) en relación con las bases de datos de descripciones de variedades.</w:t>
      </w:r>
      <w:r w:rsidR="005227FB" w:rsidRPr="00F42A76">
        <w:rPr>
          <w:snapToGrid w:val="0"/>
          <w:lang w:val="es-ES"/>
        </w:rPr>
        <w:t xml:space="preserve"> 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 w:rsidRPr="00107368">
        <w:fldChar w:fldCharType="begin"/>
      </w:r>
      <w:r w:rsidR="005227FB" w:rsidRPr="00F42A76">
        <w:rPr>
          <w:lang w:val="es-ES"/>
        </w:rPr>
        <w:instrText xml:space="preserve"> AUTONUM  </w:instrText>
      </w:r>
      <w:r w:rsidRPr="00107368">
        <w:fldChar w:fldCharType="end"/>
      </w:r>
      <w:r w:rsidR="005227FB" w:rsidRPr="00F42A76">
        <w:rPr>
          <w:lang w:val="es-ES"/>
        </w:rPr>
        <w:tab/>
      </w:r>
      <w:r w:rsidR="00786880" w:rsidRPr="001B40A2">
        <w:t>En el presente documento se utilizan las abreviaturas siguientes: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786880" w:rsidP="005227FB">
      <w:pPr>
        <w:rPr>
          <w:lang w:val="es-ES"/>
        </w:rPr>
      </w:pPr>
      <w:r w:rsidRPr="001B40A2">
        <w:t>TC:</w:t>
      </w:r>
      <w:r w:rsidR="00E338AD" w:rsidRPr="00F42A76">
        <w:rPr>
          <w:lang w:val="es-ES"/>
        </w:rPr>
        <w:t xml:space="preserve"> </w:t>
      </w:r>
      <w:r w:rsidR="005227FB" w:rsidRPr="00F42A76">
        <w:rPr>
          <w:lang w:val="es-ES"/>
        </w:rPr>
        <w:tab/>
      </w:r>
      <w:r w:rsidR="005227FB" w:rsidRPr="00F42A76">
        <w:rPr>
          <w:lang w:val="es-ES"/>
        </w:rPr>
        <w:tab/>
      </w:r>
      <w:r w:rsidRPr="001B40A2">
        <w:t>Comité Técnico</w:t>
      </w:r>
    </w:p>
    <w:p w:rsidR="005227FB" w:rsidRPr="00F42A76" w:rsidRDefault="00786880" w:rsidP="005227FB">
      <w:pPr>
        <w:rPr>
          <w:lang w:val="es-ES"/>
        </w:rPr>
      </w:pPr>
      <w:r w:rsidRPr="001B40A2">
        <w:t>TC-EDC:</w:t>
      </w:r>
      <w:r w:rsidR="00E338AD" w:rsidRPr="00F42A76">
        <w:rPr>
          <w:lang w:val="es-ES"/>
        </w:rPr>
        <w:t xml:space="preserve"> </w:t>
      </w:r>
      <w:r w:rsidR="005227FB" w:rsidRPr="00F42A76">
        <w:rPr>
          <w:lang w:val="es-ES"/>
        </w:rPr>
        <w:tab/>
      </w:r>
      <w:r w:rsidRPr="001B40A2">
        <w:t>Comité de Redacción Ampliado</w:t>
      </w:r>
    </w:p>
    <w:p w:rsidR="005227FB" w:rsidRPr="00F42A76" w:rsidRDefault="00786880" w:rsidP="005227FB">
      <w:pPr>
        <w:rPr>
          <w:lang w:val="es-ES"/>
        </w:rPr>
      </w:pPr>
      <w:r w:rsidRPr="001B40A2">
        <w:t>TWA:</w:t>
      </w:r>
      <w:r w:rsidR="00E338AD" w:rsidRPr="00F42A76">
        <w:rPr>
          <w:lang w:val="es-ES"/>
        </w:rPr>
        <w:t xml:space="preserve"> </w:t>
      </w:r>
      <w:r w:rsidR="005227FB" w:rsidRPr="00F42A76">
        <w:rPr>
          <w:lang w:val="es-ES"/>
        </w:rPr>
        <w:tab/>
      </w:r>
      <w:r w:rsidR="00383199" w:rsidRPr="00F42A76">
        <w:rPr>
          <w:lang w:val="es-ES"/>
        </w:rPr>
        <w:tab/>
      </w:r>
      <w:r w:rsidRPr="001B40A2">
        <w:t>Grupo de Trabajo Técnico sobre Plantas Agrícolas</w:t>
      </w:r>
    </w:p>
    <w:p w:rsidR="005227FB" w:rsidRPr="00F42A76" w:rsidRDefault="00786880" w:rsidP="005227FB">
      <w:pPr>
        <w:rPr>
          <w:lang w:val="es-ES"/>
        </w:rPr>
      </w:pPr>
      <w:r w:rsidRPr="001B40A2">
        <w:t>TWC:</w:t>
      </w:r>
      <w:r w:rsidR="00E338AD" w:rsidRPr="00F42A76">
        <w:rPr>
          <w:lang w:val="es-ES"/>
        </w:rPr>
        <w:t xml:space="preserve"> </w:t>
      </w:r>
      <w:r w:rsidR="005227FB" w:rsidRPr="00F42A76">
        <w:rPr>
          <w:lang w:val="es-ES"/>
        </w:rPr>
        <w:tab/>
      </w:r>
      <w:r w:rsidR="00383199" w:rsidRPr="00F42A76">
        <w:rPr>
          <w:lang w:val="es-ES"/>
        </w:rPr>
        <w:tab/>
      </w:r>
      <w:r w:rsidRPr="001B40A2">
        <w:t>Grupo de Trabajo Técnico sobre Automatización y Programas Informáticos</w:t>
      </w:r>
    </w:p>
    <w:p w:rsidR="005227FB" w:rsidRPr="00F42A76" w:rsidRDefault="00786880" w:rsidP="005227FB">
      <w:pPr>
        <w:rPr>
          <w:lang w:val="es-ES"/>
        </w:rPr>
      </w:pPr>
      <w:r w:rsidRPr="001B40A2">
        <w:t>TWF:</w:t>
      </w:r>
      <w:r w:rsidR="00E338AD" w:rsidRPr="00F42A76">
        <w:rPr>
          <w:lang w:val="es-ES"/>
        </w:rPr>
        <w:t xml:space="preserve"> </w:t>
      </w:r>
      <w:r w:rsidR="005227FB" w:rsidRPr="00F42A76">
        <w:rPr>
          <w:lang w:val="es-ES"/>
        </w:rPr>
        <w:tab/>
      </w:r>
      <w:r w:rsidR="00383199" w:rsidRPr="00F42A76">
        <w:rPr>
          <w:lang w:val="es-ES"/>
        </w:rPr>
        <w:tab/>
      </w:r>
      <w:r w:rsidRPr="001B40A2">
        <w:t>Grupo de Trabajo Técnico sobre Plantas Frutales</w:t>
      </w:r>
      <w:r w:rsidR="005227FB" w:rsidRPr="00F42A76">
        <w:rPr>
          <w:lang w:val="es-ES"/>
        </w:rPr>
        <w:t xml:space="preserve"> </w:t>
      </w:r>
    </w:p>
    <w:p w:rsidR="005227FB" w:rsidRPr="00F42A76" w:rsidRDefault="00786880" w:rsidP="005227FB">
      <w:pPr>
        <w:rPr>
          <w:lang w:val="es-ES"/>
        </w:rPr>
      </w:pPr>
      <w:r w:rsidRPr="001B40A2">
        <w:t>TWO:</w:t>
      </w:r>
      <w:r w:rsidR="00E338AD" w:rsidRPr="00F42A76">
        <w:rPr>
          <w:lang w:val="es-ES"/>
        </w:rPr>
        <w:t xml:space="preserve"> </w:t>
      </w:r>
      <w:r w:rsidR="005227FB" w:rsidRPr="00F42A76">
        <w:rPr>
          <w:lang w:val="es-ES"/>
        </w:rPr>
        <w:tab/>
      </w:r>
      <w:r w:rsidRPr="001B40A2">
        <w:t>Grupo de Trabajo Técnico sobre Plantas Ornamentales y Árboles Forestales</w:t>
      </w:r>
      <w:r w:rsidR="005227FB" w:rsidRPr="00F42A76">
        <w:rPr>
          <w:lang w:val="es-ES"/>
        </w:rPr>
        <w:t xml:space="preserve"> </w:t>
      </w:r>
    </w:p>
    <w:p w:rsidR="005227FB" w:rsidRPr="00F42A76" w:rsidRDefault="00786880" w:rsidP="005227FB">
      <w:pPr>
        <w:rPr>
          <w:lang w:val="es-ES"/>
        </w:rPr>
      </w:pPr>
      <w:r w:rsidRPr="001B40A2">
        <w:t>TWV:</w:t>
      </w:r>
      <w:r w:rsidR="00E338AD" w:rsidRPr="00F42A76">
        <w:rPr>
          <w:lang w:val="es-ES"/>
        </w:rPr>
        <w:t xml:space="preserve"> </w:t>
      </w:r>
      <w:r w:rsidR="005227FB" w:rsidRPr="00F42A76">
        <w:rPr>
          <w:lang w:val="es-ES"/>
        </w:rPr>
        <w:tab/>
      </w:r>
      <w:r w:rsidR="00383199" w:rsidRPr="00F42A76">
        <w:rPr>
          <w:lang w:val="es-ES"/>
        </w:rPr>
        <w:tab/>
      </w:r>
      <w:r w:rsidRPr="001B40A2">
        <w:t>Grupo de Trabajo Técnico sobre Hortalizas</w:t>
      </w:r>
    </w:p>
    <w:p w:rsidR="005227FB" w:rsidRPr="00F42A76" w:rsidRDefault="00786880" w:rsidP="005227FB">
      <w:pPr>
        <w:rPr>
          <w:lang w:val="es-ES"/>
        </w:rPr>
      </w:pPr>
      <w:r w:rsidRPr="001B40A2">
        <w:t>TWP:</w:t>
      </w:r>
      <w:r w:rsidR="005227FB" w:rsidRPr="00F42A76">
        <w:rPr>
          <w:lang w:val="es-ES"/>
        </w:rPr>
        <w:tab/>
      </w:r>
      <w:r w:rsidR="00383199" w:rsidRPr="00F42A76">
        <w:rPr>
          <w:lang w:val="es-ES"/>
        </w:rPr>
        <w:tab/>
      </w:r>
      <w:r w:rsidRPr="001B40A2">
        <w:t>Grupos de Trabajo Técnico</w:t>
      </w:r>
    </w:p>
    <w:p w:rsidR="005227FB" w:rsidRPr="00F42A76" w:rsidRDefault="005227FB" w:rsidP="005227FB">
      <w:pPr>
        <w:rPr>
          <w:snapToGrid w:val="0"/>
          <w:lang w:val="es-ES"/>
        </w:rPr>
      </w:pPr>
    </w:p>
    <w:p w:rsidR="005227FB" w:rsidRPr="00F42A76" w:rsidRDefault="00C93ECB" w:rsidP="005227FB">
      <w:pPr>
        <w:rPr>
          <w:snapToGrid w:val="0"/>
          <w:lang w:val="es-ES"/>
        </w:rPr>
      </w:pPr>
      <w:r w:rsidRPr="00107368">
        <w:rPr>
          <w:snapToGrid w:val="0"/>
        </w:rPr>
        <w:fldChar w:fldCharType="begin"/>
      </w:r>
      <w:r w:rsidR="005227FB" w:rsidRPr="00F42A76">
        <w:rPr>
          <w:snapToGrid w:val="0"/>
          <w:lang w:val="es-ES"/>
        </w:rPr>
        <w:instrText xml:space="preserve"> AUTONUM  </w:instrText>
      </w:r>
      <w:r w:rsidRPr="00107368">
        <w:rPr>
          <w:snapToGrid w:val="0"/>
        </w:rPr>
        <w:fldChar w:fldCharType="end"/>
      </w:r>
      <w:r w:rsidR="005227FB" w:rsidRPr="00F42A76">
        <w:rPr>
          <w:snapToGrid w:val="0"/>
          <w:lang w:val="es-ES"/>
        </w:rPr>
        <w:tab/>
      </w:r>
      <w:r w:rsidR="00786880" w:rsidRPr="001B40A2">
        <w:rPr>
          <w:snapToGrid w:val="0"/>
        </w:rPr>
        <w:t>El presente documento se estructura del modo siguiente:</w:t>
      </w:r>
    </w:p>
    <w:p w:rsidR="005227FB" w:rsidRPr="00F42A76" w:rsidRDefault="005227FB" w:rsidP="005227FB">
      <w:pPr>
        <w:rPr>
          <w:snapToGrid w:val="0"/>
          <w:lang w:val="es-ES"/>
        </w:rPr>
      </w:pPr>
    </w:p>
    <w:p w:rsidR="00734D9E" w:rsidRDefault="00C93ECB" w:rsidP="000A4D0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r w:rsidRPr="00107368">
        <w:rPr>
          <w:bCs/>
          <w:noProof/>
          <w:highlight w:val="yellow"/>
          <w:lang w:val="en-US"/>
        </w:rPr>
        <w:fldChar w:fldCharType="begin"/>
      </w:r>
      <w:r w:rsidR="005227FB" w:rsidRPr="00107368">
        <w:rPr>
          <w:highlight w:val="yellow"/>
        </w:rPr>
        <w:instrText xml:space="preserve"> TOC \o "1-3" \h \z \u </w:instrText>
      </w:r>
      <w:r w:rsidRPr="00107368">
        <w:rPr>
          <w:bCs/>
          <w:noProof/>
          <w:highlight w:val="yellow"/>
          <w:lang w:val="en-US"/>
        </w:rPr>
        <w:fldChar w:fldCharType="separate"/>
      </w:r>
      <w:hyperlink w:anchor="_Toc22550432" w:history="1">
        <w:r w:rsidR="00734D9E" w:rsidRPr="00867975">
          <w:rPr>
            <w:rStyle w:val="Hyperlink"/>
            <w:noProof/>
          </w:rPr>
          <w:t>ANTECEDENTES</w:t>
        </w:r>
        <w:r w:rsidR="00734D9E">
          <w:rPr>
            <w:noProof/>
            <w:webHidden/>
          </w:rPr>
          <w:tab/>
        </w:r>
        <w:r w:rsidR="00734D9E">
          <w:rPr>
            <w:noProof/>
            <w:webHidden/>
          </w:rPr>
          <w:fldChar w:fldCharType="begin"/>
        </w:r>
        <w:r w:rsidR="00734D9E">
          <w:rPr>
            <w:noProof/>
            <w:webHidden/>
          </w:rPr>
          <w:instrText xml:space="preserve"> PAGEREF _Toc22550432 \h </w:instrText>
        </w:r>
        <w:r w:rsidR="00734D9E">
          <w:rPr>
            <w:noProof/>
            <w:webHidden/>
          </w:rPr>
        </w:r>
        <w:r w:rsidR="00734D9E">
          <w:rPr>
            <w:noProof/>
            <w:webHidden/>
          </w:rPr>
          <w:fldChar w:fldCharType="separate"/>
        </w:r>
        <w:r w:rsidR="00734D9E">
          <w:rPr>
            <w:noProof/>
            <w:webHidden/>
          </w:rPr>
          <w:t>1</w:t>
        </w:r>
        <w:r w:rsidR="00734D9E">
          <w:rPr>
            <w:noProof/>
            <w:webHidden/>
          </w:rPr>
          <w:fldChar w:fldCharType="end"/>
        </w:r>
      </w:hyperlink>
    </w:p>
    <w:p w:rsidR="00734D9E" w:rsidRDefault="000A4D03" w:rsidP="000A4D0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22550433" w:history="1">
        <w:r w:rsidR="00734D9E" w:rsidRPr="00867975">
          <w:rPr>
            <w:rStyle w:val="Hyperlink"/>
            <w:noProof/>
          </w:rPr>
          <w:t>NOVEDADES ACAECIDAS EN EL COMITÉ TÉCNICO en 2018</w:t>
        </w:r>
        <w:r w:rsidR="00734D9E">
          <w:rPr>
            <w:noProof/>
            <w:webHidden/>
          </w:rPr>
          <w:tab/>
        </w:r>
        <w:r w:rsidR="00734D9E">
          <w:rPr>
            <w:noProof/>
            <w:webHidden/>
          </w:rPr>
          <w:fldChar w:fldCharType="begin"/>
        </w:r>
        <w:r w:rsidR="00734D9E">
          <w:rPr>
            <w:noProof/>
            <w:webHidden/>
          </w:rPr>
          <w:instrText xml:space="preserve"> PAGEREF _Toc22550433 \h </w:instrText>
        </w:r>
        <w:r w:rsidR="00734D9E">
          <w:rPr>
            <w:noProof/>
            <w:webHidden/>
          </w:rPr>
        </w:r>
        <w:r w:rsidR="00734D9E">
          <w:rPr>
            <w:noProof/>
            <w:webHidden/>
          </w:rPr>
          <w:fldChar w:fldCharType="separate"/>
        </w:r>
        <w:r w:rsidR="00734D9E">
          <w:rPr>
            <w:noProof/>
            <w:webHidden/>
          </w:rPr>
          <w:t>2</w:t>
        </w:r>
        <w:r w:rsidR="00734D9E">
          <w:rPr>
            <w:noProof/>
            <w:webHidden/>
          </w:rPr>
          <w:fldChar w:fldCharType="end"/>
        </w:r>
      </w:hyperlink>
    </w:p>
    <w:p w:rsidR="00734D9E" w:rsidRDefault="000A4D03" w:rsidP="000A4D0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22550434" w:history="1">
        <w:r w:rsidR="00734D9E" w:rsidRPr="00867975">
          <w:rPr>
            <w:rStyle w:val="Hyperlink"/>
            <w:noProof/>
          </w:rPr>
          <w:t>NOVEDADES ACAECIDAS desde la sesión de 201</w:t>
        </w:r>
        <w:bookmarkStart w:id="2" w:name="_GoBack"/>
        <w:bookmarkEnd w:id="2"/>
        <w:r w:rsidR="00734D9E" w:rsidRPr="00867975">
          <w:rPr>
            <w:rStyle w:val="Hyperlink"/>
            <w:noProof/>
          </w:rPr>
          <w:t>8 del Comité Técnico</w:t>
        </w:r>
        <w:r w:rsidR="00734D9E">
          <w:rPr>
            <w:noProof/>
            <w:webHidden/>
          </w:rPr>
          <w:tab/>
        </w:r>
        <w:r w:rsidR="00734D9E">
          <w:rPr>
            <w:noProof/>
            <w:webHidden/>
          </w:rPr>
          <w:fldChar w:fldCharType="begin"/>
        </w:r>
        <w:r w:rsidR="00734D9E">
          <w:rPr>
            <w:noProof/>
            <w:webHidden/>
          </w:rPr>
          <w:instrText xml:space="preserve"> PAGEREF _Toc22550434 \h </w:instrText>
        </w:r>
        <w:r w:rsidR="00734D9E">
          <w:rPr>
            <w:noProof/>
            <w:webHidden/>
          </w:rPr>
        </w:r>
        <w:r w:rsidR="00734D9E">
          <w:rPr>
            <w:noProof/>
            <w:webHidden/>
          </w:rPr>
          <w:fldChar w:fldCharType="separate"/>
        </w:r>
        <w:r w:rsidR="00734D9E">
          <w:rPr>
            <w:noProof/>
            <w:webHidden/>
          </w:rPr>
          <w:t>2</w:t>
        </w:r>
        <w:r w:rsidR="00734D9E">
          <w:rPr>
            <w:noProof/>
            <w:webHidden/>
          </w:rPr>
          <w:fldChar w:fldCharType="end"/>
        </w:r>
      </w:hyperlink>
    </w:p>
    <w:p w:rsidR="00734D9E" w:rsidRDefault="000A4D03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22550435" w:history="1">
        <w:r w:rsidR="00734D9E" w:rsidRPr="00867975">
          <w:rPr>
            <w:rStyle w:val="Hyperlink"/>
            <w:noProof/>
          </w:rPr>
          <w:t>Grupos de Trabajo Técnico</w:t>
        </w:r>
        <w:r w:rsidR="00734D9E">
          <w:rPr>
            <w:noProof/>
            <w:webHidden/>
          </w:rPr>
          <w:tab/>
        </w:r>
        <w:r w:rsidR="00734D9E">
          <w:rPr>
            <w:noProof/>
            <w:webHidden/>
          </w:rPr>
          <w:fldChar w:fldCharType="begin"/>
        </w:r>
        <w:r w:rsidR="00734D9E">
          <w:rPr>
            <w:noProof/>
            <w:webHidden/>
          </w:rPr>
          <w:instrText xml:space="preserve"> PAGEREF _Toc22550435 \h </w:instrText>
        </w:r>
        <w:r w:rsidR="00734D9E">
          <w:rPr>
            <w:noProof/>
            <w:webHidden/>
          </w:rPr>
        </w:r>
        <w:r w:rsidR="00734D9E">
          <w:rPr>
            <w:noProof/>
            <w:webHidden/>
          </w:rPr>
          <w:fldChar w:fldCharType="separate"/>
        </w:r>
        <w:r w:rsidR="00734D9E">
          <w:rPr>
            <w:noProof/>
            <w:webHidden/>
          </w:rPr>
          <w:t>2</w:t>
        </w:r>
        <w:r w:rsidR="00734D9E">
          <w:rPr>
            <w:noProof/>
            <w:webHidden/>
          </w:rPr>
          <w:fldChar w:fldCharType="end"/>
        </w:r>
      </w:hyperlink>
    </w:p>
    <w:p w:rsidR="005227FB" w:rsidRDefault="00C93ECB" w:rsidP="005227FB">
      <w:pPr>
        <w:rPr>
          <w:rFonts w:cs="Arial"/>
        </w:rPr>
      </w:pPr>
      <w:r w:rsidRPr="00107368">
        <w:rPr>
          <w:rFonts w:cs="Arial"/>
          <w:highlight w:val="yellow"/>
        </w:rPr>
        <w:fldChar w:fldCharType="end"/>
      </w:r>
    </w:p>
    <w:p w:rsidR="005227FB" w:rsidRPr="00107368" w:rsidRDefault="005227FB" w:rsidP="005227FB"/>
    <w:p w:rsidR="005227FB" w:rsidRPr="00F42A76" w:rsidRDefault="00786880" w:rsidP="005227FB">
      <w:pPr>
        <w:pStyle w:val="Heading1"/>
        <w:rPr>
          <w:lang w:val="es-ES"/>
        </w:rPr>
      </w:pPr>
      <w:bookmarkStart w:id="3" w:name="_Toc22550432"/>
      <w:r w:rsidRPr="001B40A2">
        <w:rPr>
          <w:lang w:val="es-ES_tradnl"/>
        </w:rPr>
        <w:t>ANTECEDENTES</w:t>
      </w:r>
      <w:bookmarkEnd w:id="3"/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 w:rsidRPr="006D54BA">
        <w:fldChar w:fldCharType="begin"/>
      </w:r>
      <w:r w:rsidR="005227FB" w:rsidRPr="00F42A76">
        <w:rPr>
          <w:lang w:val="es-ES"/>
        </w:rPr>
        <w:instrText xml:space="preserve"> AUTONUM  </w:instrText>
      </w:r>
      <w:r w:rsidRPr="006D54BA">
        <w:fldChar w:fldCharType="end"/>
      </w:r>
      <w:r w:rsidR="005227FB" w:rsidRPr="00F42A76">
        <w:rPr>
          <w:lang w:val="es-ES"/>
        </w:rPr>
        <w:tab/>
      </w:r>
      <w:r w:rsidR="00786880" w:rsidRPr="00274872">
        <w:t>En su cuadragésima quinta sesión</w:t>
      </w:r>
      <w:r w:rsidR="00A72C03" w:rsidRPr="00274872">
        <w:t xml:space="preserve">, </w:t>
      </w:r>
      <w:r w:rsidR="00786880" w:rsidRPr="00274872">
        <w:t>celebrada en Ginebra del</w:t>
      </w:r>
      <w:r w:rsidR="00A72C03" w:rsidRPr="00274872">
        <w:t> 3</w:t>
      </w:r>
      <w:r w:rsidR="00786880" w:rsidRPr="00274872">
        <w:t>0 de marzo al</w:t>
      </w:r>
      <w:r w:rsidR="00A72C03" w:rsidRPr="00274872">
        <w:t> 1</w:t>
      </w:r>
      <w:r w:rsidR="00786880" w:rsidRPr="00274872">
        <w:t xml:space="preserve"> de abril de</w:t>
      </w:r>
      <w:r w:rsidR="00A72C03" w:rsidRPr="00274872">
        <w:t> 2</w:t>
      </w:r>
      <w:r w:rsidR="00786880" w:rsidRPr="00274872">
        <w:t>009</w:t>
      </w:r>
      <w:r w:rsidR="00A72C03" w:rsidRPr="00274872">
        <w:t xml:space="preserve">, </w:t>
      </w:r>
      <w:r w:rsidR="00786880" w:rsidRPr="00274872">
        <w:t>el TC observó</w:t>
      </w:r>
      <w:r w:rsidR="00A72C03" w:rsidRPr="00274872">
        <w:t xml:space="preserve">, </w:t>
      </w:r>
      <w:r w:rsidR="00786880" w:rsidRPr="00274872">
        <w:t>a partir de las novedades que se mencionan en el documento TC/45/9 “Publicación de descripciones de variedades”</w:t>
      </w:r>
      <w:r w:rsidR="00A72C03" w:rsidRPr="00274872">
        <w:t xml:space="preserve">, </w:t>
      </w:r>
      <w:r w:rsidR="00786880" w:rsidRPr="00274872">
        <w:t>que los miembros de la</w:t>
      </w:r>
      <w:r w:rsidR="00E612EA" w:rsidRPr="00274872">
        <w:t> </w:t>
      </w:r>
      <w:r w:rsidR="00786880" w:rsidRPr="00274872">
        <w:t>Unión están elaborando bases de datos que contienen datos morfológicos y moleculares y</w:t>
      </w:r>
      <w:r w:rsidR="00A72C03" w:rsidRPr="00274872">
        <w:t xml:space="preserve">, </w:t>
      </w:r>
      <w:r w:rsidR="00786880" w:rsidRPr="00274872">
        <w:t>cuando lo consideran pertinente</w:t>
      </w:r>
      <w:r w:rsidR="00A72C03" w:rsidRPr="00274872">
        <w:t xml:space="preserve">, </w:t>
      </w:r>
      <w:r w:rsidR="00786880" w:rsidRPr="00274872">
        <w:t>colaboran en la elaboración de bases de datos destinadas a la gestión de colecciones de variedades</w:t>
      </w:r>
      <w:r w:rsidR="00A72C03" w:rsidRPr="00274872">
        <w:t xml:space="preserve">, </w:t>
      </w:r>
      <w:r w:rsidR="00786880" w:rsidRPr="00274872">
        <w:t>especialmente en el plano regional.</w:t>
      </w:r>
      <w:r w:rsidR="00E338AD" w:rsidRPr="00F42A76">
        <w:rPr>
          <w:snapToGrid w:val="0"/>
          <w:szCs w:val="24"/>
          <w:lang w:val="es-ES"/>
        </w:rPr>
        <w:t xml:space="preserve"> </w:t>
      </w:r>
      <w:r w:rsidR="00786880" w:rsidRPr="00274872">
        <w:rPr>
          <w:snapToGrid w:val="0"/>
          <w:szCs w:val="24"/>
        </w:rPr>
        <w:t>El TC convino en que puede resultar ventajo</w:t>
      </w:r>
      <w:r w:rsidR="00274872" w:rsidRPr="00274872">
        <w:rPr>
          <w:snapToGrid w:val="0"/>
          <w:szCs w:val="24"/>
        </w:rPr>
        <w:t>so ofrecer a los miembros de la </w:t>
      </w:r>
      <w:r w:rsidR="00786880" w:rsidRPr="00274872">
        <w:rPr>
          <w:snapToGrid w:val="0"/>
          <w:szCs w:val="24"/>
        </w:rPr>
        <w:t>Unión la posibilidad de informar sobre dicha labor de un modo coherente al TC</w:t>
      </w:r>
      <w:r w:rsidR="00A72C03" w:rsidRPr="00274872">
        <w:rPr>
          <w:snapToGrid w:val="0"/>
          <w:szCs w:val="24"/>
        </w:rPr>
        <w:t xml:space="preserve">, </w:t>
      </w:r>
      <w:r w:rsidR="00786880" w:rsidRPr="00274872">
        <w:rPr>
          <w:snapToGrid w:val="0"/>
          <w:szCs w:val="24"/>
        </w:rPr>
        <w:t>a los TWP y al BMT.</w:t>
      </w:r>
      <w:r w:rsidR="00E338AD" w:rsidRPr="00F42A76">
        <w:rPr>
          <w:snapToGrid w:val="0"/>
          <w:szCs w:val="24"/>
          <w:lang w:val="es-ES"/>
        </w:rPr>
        <w:t xml:space="preserve"> </w:t>
      </w:r>
      <w:r w:rsidR="00786880" w:rsidRPr="00274872">
        <w:rPr>
          <w:snapToGrid w:val="0"/>
          <w:szCs w:val="24"/>
        </w:rPr>
        <w:t>Así</w:t>
      </w:r>
      <w:r w:rsidR="00A72C03" w:rsidRPr="00274872">
        <w:rPr>
          <w:snapToGrid w:val="0"/>
          <w:szCs w:val="24"/>
        </w:rPr>
        <w:t xml:space="preserve">, </w:t>
      </w:r>
      <w:r w:rsidR="00786880" w:rsidRPr="00274872">
        <w:rPr>
          <w:snapToGrid w:val="0"/>
          <w:szCs w:val="24"/>
        </w:rPr>
        <w:t>el TC acordó sustituir el punto del orden del día “Publicación de descripciones de variedades” por un punto relativo a “Bases de datos de descripciones de variedades” en los programas de las próximas sesiones del TC</w:t>
      </w:r>
      <w:r w:rsidR="00A72C03" w:rsidRPr="00274872">
        <w:rPr>
          <w:snapToGrid w:val="0"/>
          <w:szCs w:val="24"/>
        </w:rPr>
        <w:t xml:space="preserve">, </w:t>
      </w:r>
      <w:r w:rsidR="00786880" w:rsidRPr="00274872">
        <w:rPr>
          <w:snapToGrid w:val="0"/>
          <w:szCs w:val="24"/>
        </w:rPr>
        <w:t>los TWP y el BMT.</w:t>
      </w:r>
      <w:r w:rsidR="00E338AD" w:rsidRPr="00F42A76">
        <w:rPr>
          <w:snapToGrid w:val="0"/>
          <w:szCs w:val="24"/>
          <w:lang w:val="es-ES"/>
        </w:rPr>
        <w:t xml:space="preserve"> </w:t>
      </w:r>
      <w:r w:rsidR="00E612EA" w:rsidRPr="00274872">
        <w:rPr>
          <w:snapToGrid w:val="0"/>
          <w:szCs w:val="24"/>
        </w:rPr>
        <w:t>A ese respecto</w:t>
      </w:r>
      <w:r w:rsidR="00A72C03" w:rsidRPr="00274872">
        <w:rPr>
          <w:snapToGrid w:val="0"/>
          <w:szCs w:val="24"/>
        </w:rPr>
        <w:t xml:space="preserve">, </w:t>
      </w:r>
      <w:r w:rsidR="00E612EA" w:rsidRPr="00274872">
        <w:rPr>
          <w:snapToGrid w:val="0"/>
          <w:szCs w:val="24"/>
        </w:rPr>
        <w:t>recordó la importancia que reviste la lista de criterios por examinar aplicables al uso de descripciones procedentes de distintas localidades y fuentes que figura en el párrafo</w:t>
      </w:r>
      <w:r w:rsidR="00A72C03" w:rsidRPr="00274872">
        <w:rPr>
          <w:snapToGrid w:val="0"/>
          <w:szCs w:val="24"/>
        </w:rPr>
        <w:t> 3</w:t>
      </w:r>
      <w:r w:rsidR="00E612EA" w:rsidRPr="00274872">
        <w:rPr>
          <w:snapToGrid w:val="0"/>
          <w:szCs w:val="24"/>
        </w:rPr>
        <w:t xml:space="preserve"> del documento TC/45/9.</w:t>
      </w:r>
      <w:r w:rsidR="005227FB" w:rsidRPr="00F42A76">
        <w:rPr>
          <w:lang w:val="es-ES"/>
        </w:rPr>
        <w:t xml:space="preserve"> </w:t>
      </w:r>
      <w:r w:rsidR="004308D7" w:rsidRPr="00274872">
        <w:t>El TC acordó además que la información presentada no tiene por qué estar relacionada con la publicación de descripciones (véase el párrafo</w:t>
      </w:r>
      <w:r w:rsidR="00A72C03" w:rsidRPr="00274872">
        <w:t> 1</w:t>
      </w:r>
      <w:r w:rsidR="004308D7" w:rsidRPr="00274872">
        <w:t>73 del documento TC/45/16 “Informe”).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rFonts w:cs="Arial"/>
          <w:lang w:val="es-ES"/>
        </w:rPr>
      </w:pPr>
      <w:r w:rsidRPr="00107368">
        <w:rPr>
          <w:rFonts w:cs="Arial"/>
          <w:color w:val="000000"/>
        </w:rPr>
        <w:fldChar w:fldCharType="begin"/>
      </w:r>
      <w:r w:rsidR="005227FB" w:rsidRPr="00F42A76">
        <w:rPr>
          <w:rFonts w:cs="Arial"/>
          <w:color w:val="000000"/>
          <w:lang w:val="es-ES"/>
        </w:rPr>
        <w:instrText xml:space="preserve"> AUTONUM  </w:instrText>
      </w:r>
      <w:r w:rsidRPr="00107368">
        <w:rPr>
          <w:rFonts w:cs="Arial"/>
          <w:color w:val="000000"/>
        </w:rPr>
        <w:fldChar w:fldCharType="end"/>
      </w:r>
      <w:r w:rsidR="005227FB" w:rsidRPr="00F42A76">
        <w:rPr>
          <w:rFonts w:cs="Arial"/>
          <w:color w:val="000000"/>
          <w:lang w:val="es-ES"/>
        </w:rPr>
        <w:tab/>
      </w:r>
      <w:r w:rsidR="00274872" w:rsidRPr="00274872">
        <w:rPr>
          <w:rFonts w:cs="Arial"/>
          <w:color w:val="000000"/>
        </w:rPr>
        <w:t xml:space="preserve">Las novedades anteriores a 2018 figuran en </w:t>
      </w:r>
      <w:r w:rsidR="004308D7" w:rsidRPr="00274872">
        <w:rPr>
          <w:rFonts w:cs="Arial"/>
          <w:color w:val="000000"/>
        </w:rPr>
        <w:t>el documento TC/54/9 “Bases de datos de descripciones de variedades”.</w:t>
      </w:r>
    </w:p>
    <w:p w:rsidR="005227FB" w:rsidRPr="00F42A76" w:rsidRDefault="005227FB" w:rsidP="005227FB">
      <w:pPr>
        <w:jc w:val="left"/>
        <w:rPr>
          <w:rFonts w:cs="Arial"/>
          <w:lang w:val="es-ES"/>
        </w:rPr>
      </w:pPr>
      <w:r w:rsidRPr="00F42A76">
        <w:rPr>
          <w:rFonts w:cs="Arial"/>
          <w:lang w:val="es-ES"/>
        </w:rPr>
        <w:br w:type="page"/>
      </w:r>
    </w:p>
    <w:p w:rsidR="005227FB" w:rsidRPr="00F42A76" w:rsidRDefault="004308D7" w:rsidP="005227FB">
      <w:pPr>
        <w:pStyle w:val="Heading1"/>
        <w:keepLines/>
        <w:rPr>
          <w:lang w:val="es-ES"/>
        </w:rPr>
      </w:pPr>
      <w:bookmarkStart w:id="4" w:name="_Toc22550433"/>
      <w:bookmarkStart w:id="5" w:name="_Toc512935370"/>
      <w:r w:rsidRPr="00274872">
        <w:rPr>
          <w:lang w:val="es-ES_tradnl"/>
        </w:rPr>
        <w:lastRenderedPageBreak/>
        <w:t>NOVEDADES ACAECIDAS EN EL COMITÉ TÉCNICO en</w:t>
      </w:r>
      <w:r w:rsidR="00A72C03" w:rsidRPr="00274872">
        <w:rPr>
          <w:lang w:val="es-ES_tradnl"/>
        </w:rPr>
        <w:t> 2</w:t>
      </w:r>
      <w:r w:rsidRPr="00274872">
        <w:rPr>
          <w:lang w:val="es-ES_tradnl"/>
        </w:rPr>
        <w:t>018</w:t>
      </w:r>
      <w:bookmarkEnd w:id="4"/>
    </w:p>
    <w:p w:rsidR="005227FB" w:rsidRPr="00F42A76" w:rsidRDefault="005227FB" w:rsidP="005227FB">
      <w:pPr>
        <w:keepNext/>
        <w:keepLines/>
        <w:rPr>
          <w:lang w:val="es-ES"/>
        </w:rPr>
      </w:pPr>
    </w:p>
    <w:p w:rsidR="005227FB" w:rsidRPr="00F42A76" w:rsidRDefault="00C93ECB" w:rsidP="005227FB">
      <w:pPr>
        <w:keepNext/>
        <w:keepLines/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577008" w:rsidRPr="00274872">
        <w:t xml:space="preserve">El TC </w:t>
      </w:r>
      <w:r w:rsidR="004308D7" w:rsidRPr="00274872">
        <w:t xml:space="preserve">examinó el documento TC/54/9 </w:t>
      </w:r>
      <w:r w:rsidR="00577008" w:rsidRPr="00274872">
        <w:t xml:space="preserve">“Bases de datos de descripciones de variedades” </w:t>
      </w:r>
      <w:r w:rsidR="004308D7" w:rsidRPr="00274872">
        <w:t>(véanse los párrafos</w:t>
      </w:r>
      <w:r w:rsidR="00A72C03" w:rsidRPr="00274872">
        <w:t> 3</w:t>
      </w:r>
      <w:r w:rsidR="00577008" w:rsidRPr="00274872">
        <w:t>17 a</w:t>
      </w:r>
      <w:r w:rsidR="00A72C03" w:rsidRPr="00274872">
        <w:t> 3</w:t>
      </w:r>
      <w:r w:rsidR="00577008" w:rsidRPr="00274872">
        <w:t>22 del documento TC/54/31</w:t>
      </w:r>
      <w:r w:rsidR="004308D7" w:rsidRPr="00274872">
        <w:t xml:space="preserve"> “</w:t>
      </w:r>
      <w:r w:rsidR="00577008" w:rsidRPr="00274872">
        <w:t>Informe”).</w:t>
      </w:r>
    </w:p>
    <w:p w:rsidR="005227FB" w:rsidRPr="00F42A76" w:rsidRDefault="005227FB" w:rsidP="005227FB">
      <w:pPr>
        <w:keepNext/>
        <w:keepLines/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C97756" w:rsidRPr="00274872">
        <w:t>El TC tomó nota de los informes de Austria (trigo duro)</w:t>
      </w:r>
      <w:r w:rsidR="00A72C03" w:rsidRPr="00274872">
        <w:t xml:space="preserve">, </w:t>
      </w:r>
      <w:r w:rsidR="00C97756" w:rsidRPr="00274872">
        <w:t>Francia (duraznero/melocotonero)</w:t>
      </w:r>
      <w:r w:rsidR="00A72C03" w:rsidRPr="00274872">
        <w:t xml:space="preserve">, </w:t>
      </w:r>
      <w:r w:rsidR="00C97756" w:rsidRPr="00274872">
        <w:t>los Países Bajos (rosal) y la Unión Europea (papa/patata) sobre bases de datos existentes que contienen datos morfológicos y/o moleculares.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B71196" w:rsidRPr="00274872">
        <w:t>El TC consideró el tipo de información que se ha de obtener de las bases de datos existentes que contienen datos morfológicos y/o moleculares para incorporarla a la base de datos GENIE conforme a los recursos disponibles para la modificación de dicha base de datos.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B71196" w:rsidRPr="00274872">
        <w:t>El TC coincidió con el TWF en que</w:t>
      </w:r>
      <w:r w:rsidR="00A72C03" w:rsidRPr="00274872">
        <w:t xml:space="preserve">, </w:t>
      </w:r>
      <w:r w:rsidR="00B71196" w:rsidRPr="00274872">
        <w:t>antes de crear una base de datos</w:t>
      </w:r>
      <w:r w:rsidR="00A72C03" w:rsidRPr="00274872">
        <w:t xml:space="preserve">, </w:t>
      </w:r>
      <w:r w:rsidR="00B71196" w:rsidRPr="00274872">
        <w:t>la primera medida debe ser decidir la información que se ha de facilitar y el formato de intercambio y almacenamiento de la información.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B71196" w:rsidRPr="00274872">
        <w:t>El TC suscribió la propuesta del BMT de que en los debates sobre las bases de datos</w:t>
      </w:r>
      <w:r w:rsidR="00A72C03" w:rsidRPr="00274872">
        <w:t xml:space="preserve">, </w:t>
      </w:r>
      <w:r w:rsidR="00B71196" w:rsidRPr="00274872">
        <w:t>como punto de partida</w:t>
      </w:r>
      <w:r w:rsidR="00A72C03" w:rsidRPr="00274872">
        <w:t xml:space="preserve">, </w:t>
      </w:r>
      <w:r w:rsidR="00B71196" w:rsidRPr="00274872">
        <w:t>se aborde el modo de superar las cuestiones de titularidad</w:t>
      </w:r>
      <w:r w:rsidR="00A72C03" w:rsidRPr="00274872">
        <w:t xml:space="preserve">, </w:t>
      </w:r>
      <w:r w:rsidR="00B71196" w:rsidRPr="00274872">
        <w:t>así como la confidencialidad</w:t>
      </w:r>
      <w:r w:rsidR="00A72C03" w:rsidRPr="00274872">
        <w:t xml:space="preserve">, </w:t>
      </w:r>
      <w:r w:rsidR="00B71196" w:rsidRPr="00274872">
        <w:t>el acceso a los datos y el material</w:t>
      </w:r>
      <w:r w:rsidR="00A72C03" w:rsidRPr="00274872">
        <w:t xml:space="preserve">, </w:t>
      </w:r>
      <w:r w:rsidR="00B71196" w:rsidRPr="00274872">
        <w:t>la autorización para que se realicen trabajos y la disponibilidad de resultados e información para los asociados</w:t>
      </w:r>
      <w:r w:rsidR="00A72C03" w:rsidRPr="00274872">
        <w:t xml:space="preserve">, </w:t>
      </w:r>
      <w:r w:rsidR="00B71196" w:rsidRPr="00274872">
        <w:t>según se expone en el párrafo</w:t>
      </w:r>
      <w:r w:rsidR="00A72C03" w:rsidRPr="00274872">
        <w:t> 1</w:t>
      </w:r>
      <w:r w:rsidR="00B71196" w:rsidRPr="00274872">
        <w:t>9 del documento TC/54/9.</w:t>
      </w:r>
      <w:r w:rsidR="005227FB" w:rsidRPr="00F42A76">
        <w:rPr>
          <w:lang w:val="es-ES"/>
        </w:rPr>
        <w:t xml:space="preserve"> 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B71196" w:rsidRPr="00274872">
        <w:t>El TC recordó que se habí</w:t>
      </w:r>
      <w:r w:rsidR="00274872" w:rsidRPr="00274872">
        <w:t>a solicitado a la Oficina de la </w:t>
      </w:r>
      <w:r w:rsidR="00B71196" w:rsidRPr="00274872">
        <w:t>Unión que recabe información sobre el tipo de información que se ha de obtener de las bases de datos existentes que contienen datos morfológicos y/o moleculares para incorporarla a la base de datos GENIE conforme a los recursos disponibles para la modificación de dicha base de datos.</w:t>
      </w:r>
      <w:r w:rsidR="00E338AD" w:rsidRPr="00F42A76">
        <w:rPr>
          <w:lang w:val="es-ES"/>
        </w:rPr>
        <w:t xml:space="preserve"> </w:t>
      </w:r>
      <w:r w:rsidR="00B71196" w:rsidRPr="00274872">
        <w:t>El TC convino en que esta cuestión no será prioritaria hasta que se reciban aclaraciones adicionales respecto de la confidencialidad y la accesibilidad de la información que contienen esas bases de datos.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B71196" w:rsidP="005227FB">
      <w:pPr>
        <w:pStyle w:val="Heading1"/>
        <w:rPr>
          <w:lang w:val="es-ES"/>
        </w:rPr>
      </w:pPr>
      <w:bookmarkStart w:id="6" w:name="_Toc22550434"/>
      <w:bookmarkEnd w:id="5"/>
      <w:r w:rsidRPr="00274872">
        <w:rPr>
          <w:lang w:val="es-ES_tradnl"/>
        </w:rPr>
        <w:t>NOVEDADES ACAECIDAS desde la sesión de 2018 del Comité Técnico</w:t>
      </w:r>
      <w:bookmarkEnd w:id="6"/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B71196" w:rsidP="005227FB">
      <w:pPr>
        <w:pStyle w:val="Heading2"/>
        <w:rPr>
          <w:lang w:val="es-ES"/>
        </w:rPr>
      </w:pPr>
      <w:bookmarkStart w:id="7" w:name="_Toc22550435"/>
      <w:r w:rsidRPr="00274872">
        <w:rPr>
          <w:lang w:val="es-ES_tradnl"/>
        </w:rPr>
        <w:t>Grupos de Trabajo Técnico</w:t>
      </w:r>
      <w:bookmarkEnd w:id="7"/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CB6CC2" w:rsidRPr="00274872">
        <w:t>La sesión de 2018 del TWF se celebró después de la sesión del Comité Técnico.</w:t>
      </w:r>
      <w:r w:rsidR="00E338AD" w:rsidRPr="00F42A76">
        <w:rPr>
          <w:lang w:val="es-ES"/>
        </w:rPr>
        <w:t xml:space="preserve"> </w:t>
      </w:r>
      <w:r w:rsidR="00CB6CC2" w:rsidRPr="00274872">
        <w:t xml:space="preserve">El TWF examinó el documento TWP/2/2 </w:t>
      </w:r>
      <w:r w:rsidR="00CB6CC2" w:rsidRPr="00274872">
        <w:rPr>
          <w:rStyle w:val="Hyperlink"/>
          <w:color w:val="auto"/>
          <w:u w:val="none"/>
        </w:rPr>
        <w:t>“</w:t>
      </w:r>
      <w:r w:rsidR="00CB6CC2" w:rsidRPr="00F42A76">
        <w:rPr>
          <w:i/>
          <w:lang w:val="es-ES"/>
        </w:rPr>
        <w:t>Variety Description Databases</w:t>
      </w:r>
      <w:r w:rsidR="00CB6CC2" w:rsidRPr="00274872">
        <w:rPr>
          <w:rStyle w:val="Hyperlink"/>
          <w:color w:val="auto"/>
          <w:u w:val="none"/>
        </w:rPr>
        <w:t xml:space="preserve">” (Bases de datos de descripciones de variedades) y </w:t>
      </w:r>
      <w:r w:rsidR="00CA3A79" w:rsidRPr="00274872">
        <w:rPr>
          <w:rStyle w:val="Hyperlink"/>
          <w:color w:val="auto"/>
          <w:u w:val="none"/>
        </w:rPr>
        <w:t>tomó nota de las</w:t>
      </w:r>
      <w:r w:rsidR="00CB6CC2" w:rsidRPr="00274872">
        <w:rPr>
          <w:rStyle w:val="Hyperlink"/>
          <w:color w:val="auto"/>
          <w:u w:val="none"/>
        </w:rPr>
        <w:t xml:space="preserve"> novedades</w:t>
      </w:r>
      <w:r w:rsidR="00CA3A79" w:rsidRPr="00274872">
        <w:rPr>
          <w:rStyle w:val="Hyperlink"/>
          <w:color w:val="auto"/>
          <w:u w:val="none"/>
        </w:rPr>
        <w:t xml:space="preserve"> </w:t>
      </w:r>
      <w:r w:rsidR="00CA3A79" w:rsidRPr="00274872">
        <w:t xml:space="preserve">presentadas </w:t>
      </w:r>
      <w:r w:rsidR="00CB6CC2" w:rsidRPr="00274872">
        <w:rPr>
          <w:rStyle w:val="Hyperlink"/>
          <w:color w:val="auto"/>
          <w:u w:val="none"/>
        </w:rPr>
        <w:t xml:space="preserve">en </w:t>
      </w:r>
      <w:r w:rsidR="00CA3A79" w:rsidRPr="00274872">
        <w:rPr>
          <w:rStyle w:val="Hyperlink"/>
          <w:color w:val="auto"/>
          <w:u w:val="none"/>
        </w:rPr>
        <w:t xml:space="preserve">el </w:t>
      </w:r>
      <w:r w:rsidR="00CB6CC2" w:rsidRPr="00274872">
        <w:rPr>
          <w:rStyle w:val="Hyperlink"/>
          <w:color w:val="auto"/>
          <w:u w:val="none"/>
        </w:rPr>
        <w:t xml:space="preserve">documento </w:t>
      </w:r>
      <w:r w:rsidR="00CB6CC2" w:rsidRPr="00274872">
        <w:t>(</w:t>
      </w:r>
      <w:r w:rsidR="00CA3A79" w:rsidRPr="00274872">
        <w:t>véase el párrafo</w:t>
      </w:r>
      <w:r w:rsidR="00A72C03" w:rsidRPr="00274872">
        <w:t> 9</w:t>
      </w:r>
      <w:r w:rsidR="00CA3A79" w:rsidRPr="00274872">
        <w:t>4 del documento TWF/49/12 “</w:t>
      </w:r>
      <w:r w:rsidR="00CA3A79" w:rsidRPr="00F42A76">
        <w:rPr>
          <w:rFonts w:eastAsia="MS Mincho" w:cs="Arial"/>
          <w:i/>
          <w:lang w:val="es-ES" w:eastAsia="ja-JP"/>
        </w:rPr>
        <w:t>Report</w:t>
      </w:r>
      <w:r w:rsidR="00CA3A79" w:rsidRPr="00274872">
        <w:rPr>
          <w:rFonts w:eastAsia="MS Mincho" w:cs="Arial"/>
          <w:lang w:eastAsia="ja-JP"/>
        </w:rPr>
        <w:t>” (Informe)</w:t>
      </w:r>
      <w:r w:rsidR="00CA3A79" w:rsidRPr="00274872">
        <w:t>)</w:t>
      </w:r>
      <w:r w:rsidR="00CB6CC2" w:rsidRPr="00274872">
        <w:t>.</w:t>
      </w:r>
    </w:p>
    <w:p w:rsidR="005227FB" w:rsidRPr="00F42A76" w:rsidRDefault="005227FB" w:rsidP="005227FB">
      <w:pPr>
        <w:rPr>
          <w:lang w:val="es-ES"/>
        </w:rPr>
      </w:pPr>
    </w:p>
    <w:p w:rsidR="005227FB" w:rsidRPr="0040589C" w:rsidRDefault="00C93ECB" w:rsidP="005227FB">
      <w:pPr>
        <w:keepNext/>
        <w:rPr>
          <w:lang w:val="es-ES"/>
        </w:rPr>
      </w:pPr>
      <w:r w:rsidRPr="00107368">
        <w:fldChar w:fldCharType="begin"/>
      </w:r>
      <w:r w:rsidR="005227FB" w:rsidRPr="00F42A76">
        <w:rPr>
          <w:lang w:val="es-ES"/>
        </w:rPr>
        <w:instrText xml:space="preserve"> AUTONUM  </w:instrText>
      </w:r>
      <w:r w:rsidRPr="00107368">
        <w:fldChar w:fldCharType="end"/>
      </w:r>
      <w:r w:rsidR="005227FB" w:rsidRPr="00F42A76">
        <w:rPr>
          <w:lang w:val="es-ES"/>
        </w:rPr>
        <w:tab/>
      </w:r>
      <w:r w:rsidR="00DD5F14" w:rsidRPr="00C40B10">
        <w:t>En sus sesiones de 2019</w:t>
      </w:r>
      <w:r w:rsidR="00A72C03" w:rsidRPr="00C40B10">
        <w:t xml:space="preserve">, </w:t>
      </w:r>
      <w:r w:rsidR="00DD5F14" w:rsidRPr="00C40B10">
        <w:t>el TWO</w:t>
      </w:r>
      <w:r w:rsidR="00A72C03" w:rsidRPr="00C40B10">
        <w:t xml:space="preserve">, </w:t>
      </w:r>
      <w:r w:rsidR="00DD5F14" w:rsidRPr="00C40B10">
        <w:t>el TWV</w:t>
      </w:r>
      <w:r w:rsidR="00A72C03" w:rsidRPr="00C40B10">
        <w:t xml:space="preserve">, </w:t>
      </w:r>
      <w:r w:rsidR="00DD5F14" w:rsidRPr="00C40B10">
        <w:t>el TWF y el TWA</w:t>
      </w:r>
      <w:r w:rsidR="00A72C03" w:rsidRPr="00C40B10">
        <w:t xml:space="preserve"> </w:t>
      </w:r>
      <w:r w:rsidR="00DD5F14" w:rsidRPr="00C40B10">
        <w:t xml:space="preserve">examinaron el documento </w:t>
      </w:r>
      <w:hyperlink r:id="rId7" w:history="1">
        <w:r w:rsidR="00DD5F14" w:rsidRPr="00C40B10">
          <w:rPr>
            <w:rStyle w:val="Hyperlink"/>
            <w:color w:val="auto"/>
            <w:u w:val="none"/>
          </w:rPr>
          <w:t>TWP/3/2</w:t>
        </w:r>
      </w:hyperlink>
      <w:r w:rsidR="00DD5F14" w:rsidRPr="00C40B10">
        <w:rPr>
          <w:rStyle w:val="Hyperlink"/>
          <w:color w:val="auto"/>
          <w:u w:val="none"/>
        </w:rPr>
        <w:t xml:space="preserve"> “</w:t>
      </w:r>
      <w:r w:rsidR="00DD5F14" w:rsidRPr="00F42A76">
        <w:rPr>
          <w:i/>
          <w:lang w:val="es-ES"/>
        </w:rPr>
        <w:t>Variety Description Databases</w:t>
      </w:r>
      <w:r w:rsidR="00DD5F14" w:rsidRPr="00C40B10">
        <w:rPr>
          <w:rStyle w:val="Hyperlink"/>
          <w:color w:val="auto"/>
          <w:u w:val="none"/>
        </w:rPr>
        <w:t xml:space="preserve">” </w:t>
      </w:r>
      <w:r w:rsidR="00DD5F14" w:rsidRPr="00C40B10">
        <w:t>(véanse los párrafos 90 a 92 del documento TWO/51/12 “</w:t>
      </w:r>
      <w:r w:rsidR="00DD5F14" w:rsidRPr="00F42A76">
        <w:rPr>
          <w:i/>
          <w:lang w:val="es-ES"/>
        </w:rPr>
        <w:t>Report</w:t>
      </w:r>
      <w:r w:rsidR="00DD5F14" w:rsidRPr="00C40B10">
        <w:t>”</w:t>
      </w:r>
      <w:r w:rsidR="00A72C03" w:rsidRPr="00C40B10">
        <w:t xml:space="preserve">, </w:t>
      </w:r>
      <w:r w:rsidR="00DD5F14" w:rsidRPr="00C40B10">
        <w:t>los párrafos 110 a 112 del documento TWV/53/14 Rev. “</w:t>
      </w:r>
      <w:r w:rsidR="00DD5F14" w:rsidRPr="0040589C">
        <w:rPr>
          <w:i/>
          <w:lang w:val="es-ES"/>
        </w:rPr>
        <w:t>Revised Report</w:t>
      </w:r>
      <w:r w:rsidR="00DD5F14" w:rsidRPr="00C40B10">
        <w:t>” (Informe revisado)</w:t>
      </w:r>
      <w:r w:rsidR="00A72C03" w:rsidRPr="00C40B10">
        <w:t xml:space="preserve">, </w:t>
      </w:r>
      <w:r w:rsidR="00DD5F14" w:rsidRPr="00C40B10">
        <w:t>los párrafos</w:t>
      </w:r>
      <w:r w:rsidR="00A72C03" w:rsidRPr="00C40B10">
        <w:t> 1</w:t>
      </w:r>
      <w:r w:rsidR="00DD5F14" w:rsidRPr="00C40B10">
        <w:t>16 a</w:t>
      </w:r>
      <w:r w:rsidR="00A72C03" w:rsidRPr="00C40B10">
        <w:t> 1</w:t>
      </w:r>
      <w:r w:rsidR="00DD5F14" w:rsidRPr="00C40B10">
        <w:t>18 del documento TWF/50/13 “</w:t>
      </w:r>
      <w:r w:rsidR="00DD5F14" w:rsidRPr="0040589C">
        <w:rPr>
          <w:i/>
          <w:lang w:val="es-ES"/>
        </w:rPr>
        <w:t>Report</w:t>
      </w:r>
      <w:r w:rsidR="00DD5F14" w:rsidRPr="00C40B10">
        <w:t>” y los párrafos 116 a 118 del documento TWA/48/9 “</w:t>
      </w:r>
      <w:r w:rsidR="00DD5F14" w:rsidRPr="0040589C">
        <w:rPr>
          <w:i/>
          <w:lang w:val="es-ES"/>
        </w:rPr>
        <w:t>Report</w:t>
      </w:r>
      <w:r w:rsidR="00DD5F14" w:rsidRPr="00C40B10">
        <w:t>”).</w:t>
      </w:r>
    </w:p>
    <w:p w:rsidR="005227FB" w:rsidRPr="0040589C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A13A89" w:rsidRPr="00B2746E">
        <w:t>El TWO</w:t>
      </w:r>
      <w:r w:rsidR="00A72C03" w:rsidRPr="00B2746E">
        <w:t xml:space="preserve">, </w:t>
      </w:r>
      <w:r w:rsidR="001017D0" w:rsidRPr="00B2746E">
        <w:t xml:space="preserve">el </w:t>
      </w:r>
      <w:r w:rsidR="00A13A89" w:rsidRPr="00B2746E">
        <w:t>TWV</w:t>
      </w:r>
      <w:r w:rsidR="00A72C03" w:rsidRPr="00B2746E">
        <w:t xml:space="preserve">, </w:t>
      </w:r>
      <w:r w:rsidR="001017D0" w:rsidRPr="00B2746E">
        <w:t xml:space="preserve">el </w:t>
      </w:r>
      <w:r w:rsidR="00A13A89" w:rsidRPr="00B2746E">
        <w:t xml:space="preserve">TWF y </w:t>
      </w:r>
      <w:r w:rsidR="001017D0" w:rsidRPr="00B2746E">
        <w:t xml:space="preserve">el </w:t>
      </w:r>
      <w:r w:rsidR="00A13A89" w:rsidRPr="00B2746E">
        <w:t xml:space="preserve">TWA </w:t>
      </w:r>
      <w:r w:rsidR="001017D0" w:rsidRPr="00B2746E">
        <w:t xml:space="preserve">tomaron nota de que </w:t>
      </w:r>
      <w:r w:rsidR="00A13A89" w:rsidRPr="00B2746E">
        <w:t>el TC</w:t>
      </w:r>
      <w:r w:rsidR="00A72C03" w:rsidRPr="00B2746E">
        <w:t xml:space="preserve">, </w:t>
      </w:r>
      <w:r w:rsidR="00A13A89" w:rsidRPr="00B2746E">
        <w:t>en su quincuagésima</w:t>
      </w:r>
      <w:r w:rsidR="001017D0" w:rsidRPr="00B2746E">
        <w:t xml:space="preserve"> </w:t>
      </w:r>
      <w:r w:rsidR="00A13A89" w:rsidRPr="00B2746E">
        <w:t>cuarta sesión</w:t>
      </w:r>
      <w:r w:rsidR="00A72C03" w:rsidRPr="00B2746E">
        <w:t xml:space="preserve">, </w:t>
      </w:r>
      <w:r w:rsidR="00A13A89" w:rsidRPr="00B2746E">
        <w:t>ha</w:t>
      </w:r>
      <w:r w:rsidR="001017D0" w:rsidRPr="00B2746E">
        <w:t>bía</w:t>
      </w:r>
      <w:r w:rsidR="00A13A89" w:rsidRPr="00B2746E">
        <w:t xml:space="preserve"> coincidi</w:t>
      </w:r>
      <w:r w:rsidR="001017D0" w:rsidRPr="00B2746E">
        <w:t>do</w:t>
      </w:r>
      <w:r w:rsidR="00A13A89" w:rsidRPr="00B2746E">
        <w:t xml:space="preserve"> con el TWF en que</w:t>
      </w:r>
      <w:r w:rsidR="00A72C03" w:rsidRPr="00B2746E">
        <w:t xml:space="preserve">, </w:t>
      </w:r>
      <w:r w:rsidR="00A13A89" w:rsidRPr="00B2746E">
        <w:t>antes de crear una base de datos</w:t>
      </w:r>
      <w:r w:rsidR="00A72C03" w:rsidRPr="00B2746E">
        <w:t xml:space="preserve">, </w:t>
      </w:r>
      <w:r w:rsidR="00A13A89" w:rsidRPr="00B2746E">
        <w:t>la primera medida debe ser decidir la información que se ha de facilitar y el formato de intercambio y almacenamiento de la información.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C93ECB" w:rsidP="005227FB">
      <w:pPr>
        <w:rPr>
          <w:lang w:val="es-ES"/>
        </w:rPr>
      </w:pPr>
      <w:r>
        <w:fldChar w:fldCharType="begin"/>
      </w:r>
      <w:r w:rsidR="005227FB" w:rsidRPr="00F42A76">
        <w:rPr>
          <w:lang w:val="es-ES"/>
        </w:rPr>
        <w:instrText xml:space="preserve"> AUTONUM  </w:instrText>
      </w:r>
      <w:r>
        <w:fldChar w:fldCharType="end"/>
      </w:r>
      <w:r w:rsidR="005227FB" w:rsidRPr="00F42A76">
        <w:rPr>
          <w:lang w:val="es-ES"/>
        </w:rPr>
        <w:tab/>
      </w:r>
      <w:r w:rsidR="001017D0" w:rsidRPr="00B2746E">
        <w:t>El TWO</w:t>
      </w:r>
      <w:r w:rsidR="00A72C03" w:rsidRPr="00B2746E">
        <w:t xml:space="preserve">, </w:t>
      </w:r>
      <w:r w:rsidR="001017D0" w:rsidRPr="00B2746E">
        <w:t>el TWV</w:t>
      </w:r>
      <w:r w:rsidR="00A72C03" w:rsidRPr="00B2746E">
        <w:t xml:space="preserve">, </w:t>
      </w:r>
      <w:r w:rsidR="001017D0" w:rsidRPr="00B2746E">
        <w:t>el TWF y el TWA tomaron nota de que el TC</w:t>
      </w:r>
      <w:r w:rsidR="00A72C03" w:rsidRPr="00B2746E">
        <w:t xml:space="preserve">, </w:t>
      </w:r>
      <w:r w:rsidR="001017D0" w:rsidRPr="00B2746E">
        <w:t>en su quincuagésima cuarta sesión</w:t>
      </w:r>
      <w:r w:rsidR="00A72C03" w:rsidRPr="00B2746E">
        <w:t xml:space="preserve">, </w:t>
      </w:r>
      <w:r w:rsidR="001017D0" w:rsidRPr="00B2746E">
        <w:t>había suscrito la propuesta del BMT de que en los debates sobre las bases de datos</w:t>
      </w:r>
      <w:r w:rsidR="00A72C03" w:rsidRPr="00B2746E">
        <w:t xml:space="preserve">, </w:t>
      </w:r>
      <w:r w:rsidR="001017D0" w:rsidRPr="00B2746E">
        <w:t>como punto de partida</w:t>
      </w:r>
      <w:r w:rsidR="00A72C03" w:rsidRPr="00B2746E">
        <w:t xml:space="preserve">, </w:t>
      </w:r>
      <w:r w:rsidR="001017D0" w:rsidRPr="00B2746E">
        <w:t>se aborde el modo de superar las cuestiones de titularidad</w:t>
      </w:r>
      <w:r w:rsidR="00A72C03" w:rsidRPr="00B2746E">
        <w:t xml:space="preserve">, </w:t>
      </w:r>
      <w:r w:rsidR="001017D0" w:rsidRPr="00B2746E">
        <w:t>así como la confidencialidad</w:t>
      </w:r>
      <w:r w:rsidR="00A72C03" w:rsidRPr="00B2746E">
        <w:t xml:space="preserve">, </w:t>
      </w:r>
      <w:r w:rsidR="001017D0" w:rsidRPr="00B2746E">
        <w:t>el acceso a los datos y el material</w:t>
      </w:r>
      <w:r w:rsidR="00A72C03" w:rsidRPr="00B2746E">
        <w:t xml:space="preserve">, </w:t>
      </w:r>
      <w:r w:rsidR="001017D0" w:rsidRPr="00B2746E">
        <w:t>la autorización para que se realicen trabajos y la disponibilidad de resultados e información para los asociados.</w:t>
      </w:r>
    </w:p>
    <w:p w:rsidR="005227FB" w:rsidRPr="00F42A76" w:rsidRDefault="005227FB" w:rsidP="005227FB">
      <w:pPr>
        <w:rPr>
          <w:spacing w:val="2"/>
          <w:lang w:val="es-ES"/>
        </w:rPr>
      </w:pPr>
    </w:p>
    <w:p w:rsidR="005227FB" w:rsidRPr="00F42A76" w:rsidRDefault="00C93ECB" w:rsidP="005227FB">
      <w:pPr>
        <w:rPr>
          <w:spacing w:val="2"/>
          <w:lang w:val="es-ES"/>
        </w:rPr>
      </w:pPr>
      <w:r w:rsidRPr="00EB3A9F">
        <w:rPr>
          <w:spacing w:val="2"/>
        </w:rPr>
        <w:fldChar w:fldCharType="begin"/>
      </w:r>
      <w:r w:rsidR="005227FB" w:rsidRPr="00F42A76">
        <w:rPr>
          <w:spacing w:val="2"/>
          <w:lang w:val="es-ES"/>
        </w:rPr>
        <w:instrText xml:space="preserve"> AUTONUM  </w:instrText>
      </w:r>
      <w:r w:rsidRPr="00EB3A9F">
        <w:rPr>
          <w:spacing w:val="2"/>
        </w:rPr>
        <w:fldChar w:fldCharType="end"/>
      </w:r>
      <w:r w:rsidR="005227FB" w:rsidRPr="00F42A76">
        <w:rPr>
          <w:spacing w:val="2"/>
          <w:lang w:val="es-ES"/>
        </w:rPr>
        <w:tab/>
      </w:r>
      <w:r w:rsidR="00385BB7" w:rsidRPr="00B2746E">
        <w:rPr>
          <w:spacing w:val="2"/>
        </w:rPr>
        <w:t>Las novedades que se produzcan en la trigésima séptima sesión del TWC</w:t>
      </w:r>
      <w:r w:rsidR="00A72C03" w:rsidRPr="00B2746E">
        <w:rPr>
          <w:spacing w:val="2"/>
        </w:rPr>
        <w:t xml:space="preserve">, </w:t>
      </w:r>
      <w:r w:rsidR="00385BB7" w:rsidRPr="00B2746E">
        <w:rPr>
          <w:spacing w:val="2"/>
        </w:rPr>
        <w:t>que se celebrará en Hangzhou (China) del 14 al 16 de octubre de 2019</w:t>
      </w:r>
      <w:r w:rsidR="00A72C03" w:rsidRPr="00B2746E">
        <w:rPr>
          <w:spacing w:val="2"/>
        </w:rPr>
        <w:t xml:space="preserve">, </w:t>
      </w:r>
      <w:r w:rsidR="00385BB7" w:rsidRPr="00B2746E">
        <w:rPr>
          <w:spacing w:val="2"/>
        </w:rPr>
        <w:t xml:space="preserve">y en la decimoctava sesión </w:t>
      </w:r>
      <w:r w:rsidR="005E7497" w:rsidRPr="00B2746E">
        <w:rPr>
          <w:spacing w:val="2"/>
        </w:rPr>
        <w:t>d</w:t>
      </w:r>
      <w:r w:rsidR="00385BB7" w:rsidRPr="00B2746E">
        <w:rPr>
          <w:spacing w:val="2"/>
        </w:rPr>
        <w:t>el BMT</w:t>
      </w:r>
      <w:r w:rsidR="00A72C03" w:rsidRPr="00B2746E">
        <w:rPr>
          <w:spacing w:val="2"/>
        </w:rPr>
        <w:t xml:space="preserve">, </w:t>
      </w:r>
      <w:r w:rsidR="00385BB7" w:rsidRPr="00B2746E">
        <w:rPr>
          <w:spacing w:val="2"/>
        </w:rPr>
        <w:t xml:space="preserve">que se celebrará </w:t>
      </w:r>
      <w:r w:rsidR="005E7497" w:rsidRPr="00B2746E">
        <w:rPr>
          <w:spacing w:val="2"/>
        </w:rPr>
        <w:t xml:space="preserve">igualmente </w:t>
      </w:r>
      <w:r w:rsidR="00385BB7" w:rsidRPr="00B2746E">
        <w:rPr>
          <w:spacing w:val="2"/>
        </w:rPr>
        <w:t>en Hangzhou (China)</w:t>
      </w:r>
      <w:r w:rsidR="00A72C03" w:rsidRPr="00B2746E">
        <w:rPr>
          <w:spacing w:val="2"/>
        </w:rPr>
        <w:t xml:space="preserve">, </w:t>
      </w:r>
      <w:r w:rsidR="00385BB7" w:rsidRPr="00B2746E">
        <w:rPr>
          <w:spacing w:val="2"/>
        </w:rPr>
        <w:t>del 16 al 18 de octubre de 2019</w:t>
      </w:r>
      <w:r w:rsidR="00A72C03" w:rsidRPr="00B2746E">
        <w:rPr>
          <w:spacing w:val="2"/>
        </w:rPr>
        <w:t xml:space="preserve">, </w:t>
      </w:r>
      <w:r w:rsidR="00385BB7" w:rsidRPr="00B2746E">
        <w:rPr>
          <w:spacing w:val="2"/>
        </w:rPr>
        <w:t>se comunicarán en una adición al presente documento.</w:t>
      </w: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5227FB" w:rsidP="005227FB">
      <w:pPr>
        <w:rPr>
          <w:lang w:val="es-ES"/>
        </w:rPr>
      </w:pPr>
    </w:p>
    <w:p w:rsidR="005227FB" w:rsidRPr="00F42A76" w:rsidRDefault="005227FB" w:rsidP="005227FB">
      <w:pPr>
        <w:rPr>
          <w:lang w:val="es-ES"/>
        </w:rPr>
      </w:pPr>
    </w:p>
    <w:p w:rsidR="005227FB" w:rsidRPr="00C5280D" w:rsidRDefault="005227FB" w:rsidP="004C527A">
      <w:pPr>
        <w:jc w:val="right"/>
      </w:pPr>
      <w:r w:rsidRPr="001B67EE">
        <w:t>[Fin del documento]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65" w:rsidRDefault="00A13B65" w:rsidP="006655D3">
      <w:r>
        <w:separator/>
      </w:r>
    </w:p>
    <w:p w:rsidR="00A13B65" w:rsidRDefault="00A13B65" w:rsidP="006655D3"/>
    <w:p w:rsidR="00A13B65" w:rsidRDefault="00A13B65" w:rsidP="006655D3"/>
  </w:endnote>
  <w:endnote w:type="continuationSeparator" w:id="0">
    <w:p w:rsidR="00A13B65" w:rsidRDefault="00A13B65" w:rsidP="006655D3">
      <w:r>
        <w:separator/>
      </w:r>
    </w:p>
    <w:p w:rsidR="00A13B65" w:rsidRPr="00294751" w:rsidRDefault="00A13B6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13B65" w:rsidRPr="00294751" w:rsidRDefault="00A13B65" w:rsidP="006655D3">
      <w:pPr>
        <w:rPr>
          <w:lang w:val="fr-FR"/>
        </w:rPr>
      </w:pPr>
    </w:p>
    <w:p w:rsidR="00A13B65" w:rsidRPr="00294751" w:rsidRDefault="00A13B65" w:rsidP="006655D3">
      <w:pPr>
        <w:rPr>
          <w:lang w:val="fr-FR"/>
        </w:rPr>
      </w:pPr>
    </w:p>
  </w:endnote>
  <w:endnote w:type="continuationNotice" w:id="1">
    <w:p w:rsidR="00A13B65" w:rsidRPr="00294751" w:rsidRDefault="00A13B6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13B65" w:rsidRPr="00294751" w:rsidRDefault="00A13B65" w:rsidP="006655D3">
      <w:pPr>
        <w:rPr>
          <w:lang w:val="fr-FR"/>
        </w:rPr>
      </w:pPr>
    </w:p>
    <w:p w:rsidR="00A13B65" w:rsidRPr="00294751" w:rsidRDefault="00A13B6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65" w:rsidRDefault="00A13B65" w:rsidP="006655D3">
      <w:r>
        <w:separator/>
      </w:r>
    </w:p>
  </w:footnote>
  <w:footnote w:type="continuationSeparator" w:id="0">
    <w:p w:rsidR="00A13B65" w:rsidRDefault="00A13B65" w:rsidP="006655D3">
      <w:r>
        <w:separator/>
      </w:r>
    </w:p>
  </w:footnote>
  <w:footnote w:type="continuationNotice" w:id="1">
    <w:p w:rsidR="00A13B65" w:rsidRPr="00AB530F" w:rsidRDefault="00A13B6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0B7BB9" w:rsidP="000A23DC">
    <w:pPr>
      <w:pStyle w:val="Header"/>
      <w:rPr>
        <w:rStyle w:val="PageNumber"/>
      </w:rPr>
    </w:pPr>
    <w:r>
      <w:rPr>
        <w:rStyle w:val="PageNumber"/>
      </w:rPr>
      <w:t>TC/55</w:t>
    </w:r>
    <w:r w:rsidR="00667404" w:rsidRPr="000A23DC">
      <w:rPr>
        <w:rStyle w:val="PageNumber"/>
      </w:rPr>
      <w:t>/</w:t>
    </w:r>
    <w:r w:rsidR="005227FB">
      <w:rPr>
        <w:rStyle w:val="PageNumber"/>
      </w:rPr>
      <w:t>INF/3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C93ECB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C93ECB" w:rsidRPr="00202E38">
      <w:rPr>
        <w:rStyle w:val="PageNumber"/>
        <w:lang w:val="de-DE"/>
      </w:rPr>
      <w:fldChar w:fldCharType="separate"/>
    </w:r>
    <w:r w:rsidR="000A4D03">
      <w:rPr>
        <w:rStyle w:val="PageNumber"/>
        <w:noProof/>
        <w:lang w:val="de-DE"/>
      </w:rPr>
      <w:t>2</w:t>
    </w:r>
    <w:r w:rsidR="00C93ECB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6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62A7"/>
    <w:rsid w:val="000638A9"/>
    <w:rsid w:val="00085505"/>
    <w:rsid w:val="000A23DC"/>
    <w:rsid w:val="000A4D03"/>
    <w:rsid w:val="000B5D81"/>
    <w:rsid w:val="000B7BB9"/>
    <w:rsid w:val="000C4E25"/>
    <w:rsid w:val="000C7021"/>
    <w:rsid w:val="000D1046"/>
    <w:rsid w:val="000D2CEF"/>
    <w:rsid w:val="000D6BBC"/>
    <w:rsid w:val="000D7780"/>
    <w:rsid w:val="000E3C77"/>
    <w:rsid w:val="000E636A"/>
    <w:rsid w:val="000F2F11"/>
    <w:rsid w:val="001017D0"/>
    <w:rsid w:val="00105929"/>
    <w:rsid w:val="00110C36"/>
    <w:rsid w:val="001131D5"/>
    <w:rsid w:val="00135674"/>
    <w:rsid w:val="00141DB8"/>
    <w:rsid w:val="00172084"/>
    <w:rsid w:val="0017474A"/>
    <w:rsid w:val="001758C6"/>
    <w:rsid w:val="00182825"/>
    <w:rsid w:val="00182B99"/>
    <w:rsid w:val="001B40A2"/>
    <w:rsid w:val="001B67EE"/>
    <w:rsid w:val="001F64BF"/>
    <w:rsid w:val="00202E38"/>
    <w:rsid w:val="0021332C"/>
    <w:rsid w:val="00213982"/>
    <w:rsid w:val="0024416D"/>
    <w:rsid w:val="002464A3"/>
    <w:rsid w:val="00271911"/>
    <w:rsid w:val="00274872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83199"/>
    <w:rsid w:val="00385BB7"/>
    <w:rsid w:val="003B031A"/>
    <w:rsid w:val="003C7FBE"/>
    <w:rsid w:val="003D227C"/>
    <w:rsid w:val="003D2B4D"/>
    <w:rsid w:val="0040557F"/>
    <w:rsid w:val="0040589C"/>
    <w:rsid w:val="004211E8"/>
    <w:rsid w:val="004308D7"/>
    <w:rsid w:val="00444A88"/>
    <w:rsid w:val="00474DA4"/>
    <w:rsid w:val="00476B4D"/>
    <w:rsid w:val="004805FA"/>
    <w:rsid w:val="004935D2"/>
    <w:rsid w:val="004B1215"/>
    <w:rsid w:val="004C527A"/>
    <w:rsid w:val="004D047D"/>
    <w:rsid w:val="004F1E9E"/>
    <w:rsid w:val="004F305A"/>
    <w:rsid w:val="00512164"/>
    <w:rsid w:val="00520297"/>
    <w:rsid w:val="005227FB"/>
    <w:rsid w:val="005338F9"/>
    <w:rsid w:val="0054281C"/>
    <w:rsid w:val="00544581"/>
    <w:rsid w:val="00545E42"/>
    <w:rsid w:val="0055268D"/>
    <w:rsid w:val="00576BE4"/>
    <w:rsid w:val="00577008"/>
    <w:rsid w:val="005A1EC1"/>
    <w:rsid w:val="005A400A"/>
    <w:rsid w:val="005E7497"/>
    <w:rsid w:val="005F7B92"/>
    <w:rsid w:val="00612379"/>
    <w:rsid w:val="006153B6"/>
    <w:rsid w:val="0061555F"/>
    <w:rsid w:val="00636CA6"/>
    <w:rsid w:val="00637EDD"/>
    <w:rsid w:val="00641200"/>
    <w:rsid w:val="00645CA8"/>
    <w:rsid w:val="00646268"/>
    <w:rsid w:val="006655D3"/>
    <w:rsid w:val="00667404"/>
    <w:rsid w:val="00687EB4"/>
    <w:rsid w:val="00695C56"/>
    <w:rsid w:val="006A5CDE"/>
    <w:rsid w:val="006A644A"/>
    <w:rsid w:val="006B17D2"/>
    <w:rsid w:val="006B3BD7"/>
    <w:rsid w:val="006C224E"/>
    <w:rsid w:val="006D780A"/>
    <w:rsid w:val="00707720"/>
    <w:rsid w:val="0071271E"/>
    <w:rsid w:val="00732DEC"/>
    <w:rsid w:val="00734D9E"/>
    <w:rsid w:val="00735BD5"/>
    <w:rsid w:val="00751613"/>
    <w:rsid w:val="007556F6"/>
    <w:rsid w:val="00760EEF"/>
    <w:rsid w:val="00777EE5"/>
    <w:rsid w:val="00783722"/>
    <w:rsid w:val="00784836"/>
    <w:rsid w:val="00786880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5BA5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22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B6FA3"/>
    <w:rsid w:val="009C2864"/>
    <w:rsid w:val="009D690D"/>
    <w:rsid w:val="009E65B6"/>
    <w:rsid w:val="00A13A89"/>
    <w:rsid w:val="00A13B65"/>
    <w:rsid w:val="00A24C10"/>
    <w:rsid w:val="00A42AC3"/>
    <w:rsid w:val="00A430CF"/>
    <w:rsid w:val="00A54309"/>
    <w:rsid w:val="00A706D3"/>
    <w:rsid w:val="00A72C03"/>
    <w:rsid w:val="00A74056"/>
    <w:rsid w:val="00AB2B93"/>
    <w:rsid w:val="00AB530F"/>
    <w:rsid w:val="00AB7E5B"/>
    <w:rsid w:val="00AC2883"/>
    <w:rsid w:val="00AE0EF1"/>
    <w:rsid w:val="00AE2937"/>
    <w:rsid w:val="00AE29E2"/>
    <w:rsid w:val="00AF599B"/>
    <w:rsid w:val="00B07301"/>
    <w:rsid w:val="00B11F3E"/>
    <w:rsid w:val="00B176A3"/>
    <w:rsid w:val="00B224DE"/>
    <w:rsid w:val="00B2746E"/>
    <w:rsid w:val="00B324D4"/>
    <w:rsid w:val="00B46575"/>
    <w:rsid w:val="00B61777"/>
    <w:rsid w:val="00B6787C"/>
    <w:rsid w:val="00B71196"/>
    <w:rsid w:val="00B77786"/>
    <w:rsid w:val="00B84BBD"/>
    <w:rsid w:val="00BA43FB"/>
    <w:rsid w:val="00BC0BD4"/>
    <w:rsid w:val="00BC127D"/>
    <w:rsid w:val="00BC1FE6"/>
    <w:rsid w:val="00C061B6"/>
    <w:rsid w:val="00C2446C"/>
    <w:rsid w:val="00C36AE5"/>
    <w:rsid w:val="00C40B10"/>
    <w:rsid w:val="00C41F17"/>
    <w:rsid w:val="00C527FA"/>
    <w:rsid w:val="00C5280D"/>
    <w:rsid w:val="00C53EB3"/>
    <w:rsid w:val="00C5791C"/>
    <w:rsid w:val="00C66290"/>
    <w:rsid w:val="00C72B7A"/>
    <w:rsid w:val="00C93ECB"/>
    <w:rsid w:val="00C973F2"/>
    <w:rsid w:val="00C97756"/>
    <w:rsid w:val="00CA304C"/>
    <w:rsid w:val="00CA3A79"/>
    <w:rsid w:val="00CA774A"/>
    <w:rsid w:val="00CB6CC2"/>
    <w:rsid w:val="00CC11B0"/>
    <w:rsid w:val="00CC2841"/>
    <w:rsid w:val="00CE49AB"/>
    <w:rsid w:val="00CF1330"/>
    <w:rsid w:val="00CF7E36"/>
    <w:rsid w:val="00D300F0"/>
    <w:rsid w:val="00D3708D"/>
    <w:rsid w:val="00D40426"/>
    <w:rsid w:val="00D57C96"/>
    <w:rsid w:val="00D57D18"/>
    <w:rsid w:val="00D80DF8"/>
    <w:rsid w:val="00D91203"/>
    <w:rsid w:val="00D92E44"/>
    <w:rsid w:val="00D95174"/>
    <w:rsid w:val="00DA4973"/>
    <w:rsid w:val="00DA6F36"/>
    <w:rsid w:val="00DB596E"/>
    <w:rsid w:val="00DB7773"/>
    <w:rsid w:val="00DC00EA"/>
    <w:rsid w:val="00DC3802"/>
    <w:rsid w:val="00DD5F14"/>
    <w:rsid w:val="00E07D87"/>
    <w:rsid w:val="00E107FB"/>
    <w:rsid w:val="00E32F7E"/>
    <w:rsid w:val="00E338AD"/>
    <w:rsid w:val="00E5267B"/>
    <w:rsid w:val="00E612EA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45B4"/>
    <w:rsid w:val="00EF2F89"/>
    <w:rsid w:val="00F03E98"/>
    <w:rsid w:val="00F1237A"/>
    <w:rsid w:val="00F22045"/>
    <w:rsid w:val="00F22CBD"/>
    <w:rsid w:val="00F272F1"/>
    <w:rsid w:val="00F42A76"/>
    <w:rsid w:val="00F45372"/>
    <w:rsid w:val="00F560F7"/>
    <w:rsid w:val="00F6334D"/>
    <w:rsid w:val="00FA49AB"/>
    <w:rsid w:val="00FC2013"/>
    <w:rsid w:val="00FC419C"/>
    <w:rsid w:val="00FD3F87"/>
    <w:rsid w:val="00FE39C7"/>
    <w:rsid w:val="00FE665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71A35B2-CEA5-471A-B3C8-84B0CD5B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0A4D03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0A4D03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F22045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F2204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F22045"/>
    <w:rPr>
      <w:rFonts w:ascii="Arial" w:hAnsi="Arial"/>
      <w:i/>
    </w:rPr>
  </w:style>
  <w:style w:type="table" w:styleId="TableGrid">
    <w:name w:val="Table Grid"/>
    <w:basedOn w:val="TableNormal"/>
    <w:uiPriority w:val="39"/>
    <w:rsid w:val="00F22045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cisionParagraphsChar">
    <w:name w:val="DecisionParagraphs Char"/>
    <w:basedOn w:val="DefaultParagraphFont"/>
    <w:link w:val="DecisionParagraphs"/>
    <w:rsid w:val="00F22045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ov.int/meetings/en/doc_details.jsp?meeting_id=47210&amp;doc_id=40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TC/55/5 Add.</vt:lpstr>
    </vt:vector>
  </TitlesOfParts>
  <Company>UPOV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TC/55/5 Add.</dc:title>
  <dc:creator>CEVALLOS DUQUE Nilo</dc:creator>
  <cp:lastModifiedBy>MAY Jessica</cp:lastModifiedBy>
  <cp:revision>3</cp:revision>
  <cp:lastPrinted>2016-11-22T15:41:00Z</cp:lastPrinted>
  <dcterms:created xsi:type="dcterms:W3CDTF">2019-10-22T13:18:00Z</dcterms:created>
  <dcterms:modified xsi:type="dcterms:W3CDTF">2019-10-22T13:41:00Z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82ff9698-7f6e-478b-90be-a1ad77527671</vt:lpwstr>
  </property>
</Properties>
</file>