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2E5944" w:rsidP="00AC2883">
            <w:pPr>
              <w:pStyle w:val="Sessiontc"/>
              <w:spacing w:line="240" w:lineRule="auto"/>
            </w:pPr>
            <w:r>
              <w:t>Comité Técnico</w:t>
            </w:r>
          </w:p>
          <w:p w:rsidR="00EB4E9C" w:rsidRPr="00DC3802" w:rsidRDefault="002E5944" w:rsidP="000B7BB9">
            <w:pPr>
              <w:pStyle w:val="Sessiontcplacedate"/>
              <w:rPr>
                <w:sz w:val="22"/>
              </w:rPr>
            </w:pPr>
            <w:r>
              <w:t>Quincuagésima quinta sesión</w:t>
            </w:r>
            <w:r>
              <w:br/>
              <w:t>Ginebra, 28 y 29 de octubre de 2019</w:t>
            </w:r>
          </w:p>
        </w:tc>
        <w:tc>
          <w:tcPr>
            <w:tcW w:w="3127" w:type="dxa"/>
          </w:tcPr>
          <w:p w:rsidR="00EB4E9C" w:rsidRPr="00A13B65" w:rsidRDefault="000B7BB9" w:rsidP="003C7FBE">
            <w:pPr>
              <w:pStyle w:val="Doccode"/>
            </w:pPr>
            <w:r>
              <w:t>TC/55/9</w:t>
            </w:r>
          </w:p>
          <w:p w:rsidR="00EB4E9C" w:rsidRPr="003C7FBE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</w:t>
            </w:r>
            <w:proofErr w:type="gramStart"/>
            <w:r>
              <w:rPr>
                <w:b w:val="0"/>
                <w:spacing w:val="0"/>
              </w:rPr>
              <w:t>Inglés</w:t>
            </w:r>
            <w:proofErr w:type="gramEnd"/>
          </w:p>
          <w:p w:rsidR="00EB4E9C" w:rsidRPr="007C1D92" w:rsidRDefault="002E5944" w:rsidP="0087133C">
            <w:pPr>
              <w:pStyle w:val="Docoriginal"/>
            </w:pPr>
            <w:r>
              <w:t>Fecha:</w:t>
            </w:r>
            <w:r>
              <w:rPr>
                <w:b w:val="0"/>
                <w:spacing w:val="0"/>
              </w:rPr>
              <w:t xml:space="preserve"> </w:t>
            </w:r>
            <w:r w:rsidRPr="0087133C">
              <w:rPr>
                <w:b w:val="0"/>
                <w:spacing w:val="0"/>
              </w:rPr>
              <w:t>1</w:t>
            </w:r>
            <w:r w:rsidR="0087133C" w:rsidRPr="0087133C">
              <w:rPr>
                <w:b w:val="0"/>
                <w:spacing w:val="0"/>
              </w:rPr>
              <w:t>2</w:t>
            </w:r>
            <w:r w:rsidRPr="0087133C">
              <w:rPr>
                <w:b w:val="0"/>
                <w:spacing w:val="0"/>
              </w:rPr>
              <w:t xml:space="preserve"> de octubre de 2019</w:t>
            </w:r>
          </w:p>
        </w:tc>
      </w:tr>
    </w:tbl>
    <w:p w:rsidR="00F730A8" w:rsidRPr="006A644A" w:rsidRDefault="00F730A8" w:rsidP="00F730A8">
      <w:pPr>
        <w:pStyle w:val="Titleofdoc0"/>
      </w:pPr>
      <w:bookmarkStart w:id="0" w:name="TitleOfDoc"/>
      <w:bookmarkStart w:id="1" w:name="Prepared"/>
      <w:bookmarkEnd w:id="0"/>
      <w:bookmarkEnd w:id="1"/>
      <w:r>
        <w:t>Talleres preparatorios</w:t>
      </w:r>
    </w:p>
    <w:p w:rsidR="006A644A" w:rsidRPr="006A644A" w:rsidRDefault="000638A9" w:rsidP="006A644A">
      <w:pPr>
        <w:pStyle w:val="preparedby1"/>
        <w:jc w:val="left"/>
      </w:pPr>
      <w:r>
        <w:t>Documento preparado por la Oficina de la Unión</w:t>
      </w:r>
    </w:p>
    <w:p w:rsidR="00050E16" w:rsidRPr="006A644A" w:rsidRDefault="000638A9" w:rsidP="006A644A">
      <w:pPr>
        <w:pStyle w:val="Disclaimer"/>
      </w:pPr>
      <w:r>
        <w:t>Descargo de responsabilidad: el presente documento no constituye un documento de política u orientación de la UPOV</w:t>
      </w:r>
    </w:p>
    <w:p w:rsidR="00F730A8" w:rsidRPr="006532B1" w:rsidRDefault="00F730A8" w:rsidP="00F730A8">
      <w:pPr>
        <w:pStyle w:val="Heading1"/>
      </w:pPr>
      <w:bookmarkStart w:id="2" w:name="_Toc475955714"/>
      <w:bookmarkStart w:id="3" w:name="_Toc21677254"/>
      <w:bookmarkStart w:id="4" w:name="_Toc22550818"/>
      <w:r>
        <w:t>RESUMEN</w:t>
      </w:r>
      <w:bookmarkEnd w:id="2"/>
      <w:bookmarkEnd w:id="3"/>
      <w:bookmarkEnd w:id="4"/>
    </w:p>
    <w:p w:rsidR="00F730A8" w:rsidRPr="00F730A8" w:rsidRDefault="00F730A8" w:rsidP="00F730A8">
      <w:pPr>
        <w:autoSpaceDE w:val="0"/>
        <w:autoSpaceDN w:val="0"/>
        <w:adjustRightInd w:val="0"/>
        <w:rPr>
          <w:rFonts w:cs="Arial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rFonts w:cs="Arial"/>
        </w:rPr>
      </w:pPr>
      <w:r>
        <w:t>El presente documento tiene por objeto proporcionar un informe sobre los talleres preparatorios realizados en 2019 y presentar propuestas para 2020.</w:t>
      </w:r>
    </w:p>
    <w:p w:rsidR="00F730A8" w:rsidRPr="00F730A8" w:rsidRDefault="00F730A8" w:rsidP="00F730A8">
      <w:pPr>
        <w:autoSpaceDE w:val="0"/>
        <w:autoSpaceDN w:val="0"/>
        <w:adjustRightInd w:val="0"/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8"/>
        </w:numPr>
        <w:tabs>
          <w:tab w:val="left" w:pos="567"/>
          <w:tab w:val="left" w:pos="1134"/>
        </w:tabs>
        <w:rPr>
          <w:rFonts w:cs="Arial"/>
          <w:i w:val="0"/>
        </w:rPr>
      </w:pPr>
      <w:r>
        <w:rPr>
          <w:i w:val="0"/>
        </w:rPr>
        <w:t>Se invita al TC a:</w:t>
      </w:r>
    </w:p>
    <w:p w:rsidR="00F730A8" w:rsidRPr="00F730A8" w:rsidRDefault="00F730A8" w:rsidP="00F730A8">
      <w:pPr>
        <w:pStyle w:val="DecisionParagraphs"/>
        <w:tabs>
          <w:tab w:val="left" w:pos="567"/>
          <w:tab w:val="left" w:pos="1134"/>
        </w:tabs>
        <w:ind w:left="0"/>
        <w:rPr>
          <w:rFonts w:cs="Arial"/>
          <w:i w:val="0"/>
        </w:rPr>
      </w:pPr>
    </w:p>
    <w:p w:rsidR="00F730A8" w:rsidRPr="00143712" w:rsidRDefault="00F730A8" w:rsidP="00143712">
      <w:pPr>
        <w:pStyle w:val="ListParagraph"/>
        <w:numPr>
          <w:ilvl w:val="0"/>
          <w:numId w:val="16"/>
        </w:numPr>
        <w:tabs>
          <w:tab w:val="left" w:pos="567"/>
        </w:tabs>
        <w:ind w:left="0" w:firstLine="567"/>
        <w:rPr>
          <w:rFonts w:cs="Arial"/>
        </w:rPr>
      </w:pPr>
      <w:r>
        <w:t xml:space="preserve">tomar nota del informe sobre los talleres preparatorios realizados por el TWO en 2019; </w:t>
      </w:r>
    </w:p>
    <w:p w:rsidR="00F730A8" w:rsidRPr="00F730A8" w:rsidRDefault="00F730A8" w:rsidP="00143712">
      <w:pPr>
        <w:tabs>
          <w:tab w:val="left" w:pos="567"/>
        </w:tabs>
        <w:ind w:firstLine="567"/>
        <w:rPr>
          <w:rFonts w:cs="Arial"/>
        </w:rPr>
      </w:pPr>
    </w:p>
    <w:p w:rsidR="00F730A8" w:rsidRPr="00143712" w:rsidRDefault="00F730A8" w:rsidP="00143712">
      <w:pPr>
        <w:pStyle w:val="ListParagraph"/>
        <w:numPr>
          <w:ilvl w:val="0"/>
          <w:numId w:val="16"/>
        </w:numPr>
        <w:tabs>
          <w:tab w:val="left" w:pos="567"/>
        </w:tabs>
        <w:ind w:left="0" w:firstLine="567"/>
        <w:rPr>
          <w:rFonts w:cs="Arial"/>
        </w:rPr>
      </w:pPr>
      <w:r>
        <w:t xml:space="preserve">tomar nota de que los temas a tratar en los talleres preparatorios del TWA, el TWC, el TWF, el TWV y el BMT se presentaron como introducción a los respectivos puntos del orden del día durante el programa ordinario de las sesiones; </w:t>
      </w:r>
    </w:p>
    <w:p w:rsidR="00F730A8" w:rsidRPr="00F730A8" w:rsidRDefault="00F730A8" w:rsidP="00143712">
      <w:pPr>
        <w:tabs>
          <w:tab w:val="left" w:pos="567"/>
        </w:tabs>
        <w:ind w:firstLine="567"/>
        <w:rPr>
          <w:rFonts w:cs="Arial"/>
        </w:rPr>
      </w:pPr>
    </w:p>
    <w:p w:rsidR="00F730A8" w:rsidRPr="00143712" w:rsidRDefault="00F730A8" w:rsidP="00143712">
      <w:pPr>
        <w:pStyle w:val="ListParagraph"/>
        <w:numPr>
          <w:ilvl w:val="0"/>
          <w:numId w:val="16"/>
        </w:numPr>
        <w:tabs>
          <w:tab w:val="left" w:pos="567"/>
        </w:tabs>
        <w:ind w:left="0" w:firstLine="567"/>
        <w:rPr>
          <w:rFonts w:cs="Arial"/>
        </w:rPr>
      </w:pPr>
      <w:r>
        <w:t>examinar la propuesta de programa de la labor preparatoria de 2020, que se expone en los</w:t>
      </w:r>
      <w:r w:rsidRPr="00143712">
        <w:rPr>
          <w:highlight w:val="cyan"/>
        </w:rPr>
        <w:t xml:space="preserve"> </w:t>
      </w:r>
      <w:r w:rsidRPr="00F82816">
        <w:t>párrafos 11 y 12</w:t>
      </w:r>
      <w:r>
        <w:t xml:space="preserve"> del presente documento; y</w:t>
      </w:r>
    </w:p>
    <w:p w:rsidR="00F730A8" w:rsidRPr="00F730A8" w:rsidRDefault="00F730A8" w:rsidP="00143712">
      <w:pPr>
        <w:tabs>
          <w:tab w:val="left" w:pos="567"/>
        </w:tabs>
        <w:ind w:firstLine="567"/>
        <w:rPr>
          <w:rFonts w:cs="Arial"/>
        </w:rPr>
      </w:pPr>
    </w:p>
    <w:p w:rsidR="00F730A8" w:rsidRPr="00143712" w:rsidRDefault="00F730A8" w:rsidP="00143712">
      <w:pPr>
        <w:pStyle w:val="ListParagraph"/>
        <w:numPr>
          <w:ilvl w:val="0"/>
          <w:numId w:val="16"/>
        </w:numPr>
        <w:tabs>
          <w:tab w:val="left" w:pos="567"/>
        </w:tabs>
        <w:ind w:left="0" w:firstLine="567"/>
        <w:rPr>
          <w:rFonts w:cs="Arial"/>
        </w:rPr>
      </w:pPr>
      <w:r>
        <w:t xml:space="preserve">solicitar a la Oficina de la Unión que presente propuestas sobre la manera de planificar y comunicar la labor preparatoria en los TWP para el futuro, en la quincuagésima sexta sesión del TC. </w:t>
      </w:r>
    </w:p>
    <w:p w:rsidR="00F730A8" w:rsidRPr="00F730A8" w:rsidRDefault="00F730A8" w:rsidP="00F730A8">
      <w:pPr>
        <w:tabs>
          <w:tab w:val="left" w:pos="567"/>
          <w:tab w:val="left" w:pos="1134"/>
        </w:tabs>
        <w:rPr>
          <w:rFonts w:cs="Arial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rFonts w:cs="Arial"/>
          <w:color w:val="000000"/>
        </w:rPr>
      </w:pPr>
      <w:r>
        <w:t>En el presente documento se utilizan las abreviaturas siguientes:</w:t>
      </w:r>
    </w:p>
    <w:p w:rsidR="00F730A8" w:rsidRPr="00F730A8" w:rsidRDefault="00F730A8" w:rsidP="00F730A8">
      <w:pPr>
        <w:rPr>
          <w:rFonts w:cs="Arial"/>
          <w:color w:val="000000"/>
        </w:rPr>
      </w:pPr>
    </w:p>
    <w:p w:rsidR="00F730A8" w:rsidRPr="00F730A8" w:rsidRDefault="00F730A8" w:rsidP="00F730A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TC:</w:t>
      </w:r>
      <w:r>
        <w:tab/>
      </w:r>
      <w:r>
        <w:rPr>
          <w:color w:val="000000"/>
        </w:rPr>
        <w:t>Comité Técnico</w:t>
      </w:r>
    </w:p>
    <w:p w:rsidR="00F730A8" w:rsidRPr="00F730A8" w:rsidRDefault="00F730A8" w:rsidP="00F730A8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TWA:</w:t>
      </w:r>
      <w:r>
        <w:tab/>
      </w:r>
      <w:r>
        <w:rPr>
          <w:color w:val="000000"/>
        </w:rPr>
        <w:t>Grupo de Trabajo Técnico sobre Plantas Agrícolas</w:t>
      </w:r>
    </w:p>
    <w:p w:rsidR="00F730A8" w:rsidRPr="00F730A8" w:rsidRDefault="00F730A8" w:rsidP="00F730A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TWC:</w:t>
      </w:r>
      <w:r>
        <w:tab/>
      </w:r>
      <w:r>
        <w:rPr>
          <w:color w:val="000000"/>
        </w:rPr>
        <w:t>Grupo de Trabajo Técnico sobre Automatización y Programas Informáticos</w:t>
      </w:r>
    </w:p>
    <w:p w:rsidR="00F730A8" w:rsidRPr="00F730A8" w:rsidRDefault="00F730A8" w:rsidP="00F730A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 xml:space="preserve">TWF: </w:t>
      </w:r>
      <w:r>
        <w:tab/>
      </w:r>
      <w:r>
        <w:rPr>
          <w:color w:val="000000"/>
        </w:rPr>
        <w:t>Grupo de Trabajo Técnico sobre Plantas Frutales</w:t>
      </w:r>
    </w:p>
    <w:p w:rsidR="00F730A8" w:rsidRPr="00F730A8" w:rsidRDefault="00F730A8" w:rsidP="00F730A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TWO:</w:t>
      </w:r>
      <w:r>
        <w:tab/>
      </w:r>
      <w:r>
        <w:rPr>
          <w:color w:val="000000"/>
        </w:rPr>
        <w:t>Grupo de Trabajo Técnico sobre Plantas Ornamentales y Árboles Forestales</w:t>
      </w:r>
    </w:p>
    <w:p w:rsidR="00F730A8" w:rsidRPr="00F730A8" w:rsidRDefault="00F730A8" w:rsidP="00F730A8">
      <w:pPr>
        <w:spacing w:after="60"/>
        <w:ind w:left="1418" w:hanging="851"/>
        <w:rPr>
          <w:rFonts w:cs="Arial"/>
          <w:color w:val="000000"/>
        </w:rPr>
      </w:pPr>
      <w:r>
        <w:rPr>
          <w:color w:val="000000"/>
        </w:rPr>
        <w:t>TWV:</w:t>
      </w:r>
      <w:r>
        <w:tab/>
      </w:r>
      <w:r>
        <w:rPr>
          <w:color w:val="000000"/>
        </w:rPr>
        <w:t>Grupo de Trabajo Técnico sobre Hortalizas</w:t>
      </w:r>
    </w:p>
    <w:p w:rsidR="00F730A8" w:rsidRPr="004A69D5" w:rsidRDefault="00F730A8" w:rsidP="00F730A8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BMT:</w:t>
      </w:r>
      <w:r>
        <w:tab/>
      </w:r>
      <w:r>
        <w:rPr>
          <w:rFonts w:ascii="Arial" w:hAnsi="Arial"/>
          <w:sz w:val="20"/>
        </w:rPr>
        <w:t>Grupo de Trabajo sobre Técnicas Bioquímicas y Moleculares, y Perfiles de ADN en particular</w:t>
      </w:r>
    </w:p>
    <w:p w:rsidR="00F730A8" w:rsidRPr="004A69D5" w:rsidRDefault="00F730A8" w:rsidP="00F730A8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TWP:</w:t>
      </w:r>
      <w:r>
        <w:tab/>
      </w:r>
      <w:r>
        <w:rPr>
          <w:rFonts w:ascii="Arial" w:hAnsi="Arial"/>
          <w:sz w:val="20"/>
        </w:rPr>
        <w:t>Grupos de Trabajo Técnico</w:t>
      </w:r>
    </w:p>
    <w:p w:rsidR="00F730A8" w:rsidRPr="00F730A8" w:rsidRDefault="00F730A8" w:rsidP="00F730A8">
      <w:pPr>
        <w:autoSpaceDE w:val="0"/>
        <w:autoSpaceDN w:val="0"/>
        <w:adjustRightInd w:val="0"/>
        <w:rPr>
          <w:rFonts w:cs="Arial"/>
          <w:snapToGrid w:val="0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napToGrid w:val="0"/>
        </w:rPr>
      </w:pPr>
      <w:r>
        <w:t>El presente documento se estructura del modo siguiente:</w:t>
      </w:r>
    </w:p>
    <w:p w:rsidR="00F730A8" w:rsidRPr="00F730A8" w:rsidRDefault="00F730A8" w:rsidP="00F730A8">
      <w:pPr>
        <w:autoSpaceDE w:val="0"/>
        <w:autoSpaceDN w:val="0"/>
        <w:adjustRightInd w:val="0"/>
        <w:rPr>
          <w:rFonts w:cs="Arial"/>
          <w:snapToGrid w:val="0"/>
        </w:rPr>
      </w:pPr>
    </w:p>
    <w:p w:rsidR="00A231BC" w:rsidRDefault="00F730A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bidi="ar-SA"/>
        </w:rPr>
      </w:pPr>
      <w:r>
        <w:rPr>
          <w:rFonts w:eastAsiaTheme="minorEastAsia"/>
          <w:bCs/>
          <w:noProof/>
          <w:snapToGrid w:val="0"/>
          <w:sz w:val="18"/>
        </w:rPr>
        <w:fldChar w:fldCharType="begin"/>
      </w:r>
      <w:r>
        <w:rPr>
          <w:snapToGrid w:val="0"/>
        </w:rPr>
        <w:instrText xml:space="preserve"> TOC \o "1-3" \h \z \u </w:instrText>
      </w:r>
      <w:r>
        <w:rPr>
          <w:rFonts w:eastAsiaTheme="minorEastAsia"/>
          <w:bCs/>
          <w:noProof/>
          <w:snapToGrid w:val="0"/>
          <w:sz w:val="18"/>
        </w:rPr>
        <w:fldChar w:fldCharType="separate"/>
      </w:r>
      <w:hyperlink w:anchor="_Toc22550818" w:history="1">
        <w:r w:rsidR="00A231BC" w:rsidRPr="003D2F8B">
          <w:rPr>
            <w:rStyle w:val="Hyperlink"/>
            <w:noProof/>
          </w:rPr>
          <w:t>RESUMEN</w:t>
        </w:r>
        <w:r w:rsidR="00A231BC">
          <w:rPr>
            <w:noProof/>
            <w:webHidden/>
          </w:rPr>
          <w:tab/>
        </w:r>
        <w:r w:rsidR="00A231BC">
          <w:rPr>
            <w:noProof/>
            <w:webHidden/>
          </w:rPr>
          <w:fldChar w:fldCharType="begin"/>
        </w:r>
        <w:r w:rsidR="00A231BC">
          <w:rPr>
            <w:noProof/>
            <w:webHidden/>
          </w:rPr>
          <w:instrText xml:space="preserve"> PAGEREF _Toc22550818 \h </w:instrText>
        </w:r>
        <w:r w:rsidR="00A231BC">
          <w:rPr>
            <w:noProof/>
            <w:webHidden/>
          </w:rPr>
        </w:r>
        <w:r w:rsidR="00A231BC">
          <w:rPr>
            <w:noProof/>
            <w:webHidden/>
          </w:rPr>
          <w:fldChar w:fldCharType="separate"/>
        </w:r>
        <w:r w:rsidR="00A231BC">
          <w:rPr>
            <w:noProof/>
            <w:webHidden/>
          </w:rPr>
          <w:t>1</w:t>
        </w:r>
        <w:r w:rsidR="00A231BC">
          <w:rPr>
            <w:noProof/>
            <w:webHidden/>
          </w:rPr>
          <w:fldChar w:fldCharType="end"/>
        </w:r>
      </w:hyperlink>
    </w:p>
    <w:p w:rsidR="00A231BC" w:rsidRDefault="005F694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bidi="ar-SA"/>
        </w:rPr>
      </w:pPr>
      <w:hyperlink w:anchor="_Toc22550819" w:history="1">
        <w:r w:rsidR="00A231BC" w:rsidRPr="003D2F8B">
          <w:rPr>
            <w:rStyle w:val="Hyperlink"/>
            <w:noProof/>
          </w:rPr>
          <w:t>ANTECEDENTES</w:t>
        </w:r>
        <w:r w:rsidR="00A231BC">
          <w:rPr>
            <w:noProof/>
            <w:webHidden/>
          </w:rPr>
          <w:tab/>
        </w:r>
        <w:r w:rsidR="00A231BC">
          <w:rPr>
            <w:noProof/>
            <w:webHidden/>
          </w:rPr>
          <w:fldChar w:fldCharType="begin"/>
        </w:r>
        <w:r w:rsidR="00A231BC">
          <w:rPr>
            <w:noProof/>
            <w:webHidden/>
          </w:rPr>
          <w:instrText xml:space="preserve"> PAGEREF _Toc22550819 \h </w:instrText>
        </w:r>
        <w:r w:rsidR="00A231BC">
          <w:rPr>
            <w:noProof/>
            <w:webHidden/>
          </w:rPr>
        </w:r>
        <w:r w:rsidR="00A231BC">
          <w:rPr>
            <w:noProof/>
            <w:webHidden/>
          </w:rPr>
          <w:fldChar w:fldCharType="separate"/>
        </w:r>
        <w:r w:rsidR="00A231BC">
          <w:rPr>
            <w:noProof/>
            <w:webHidden/>
          </w:rPr>
          <w:t>2</w:t>
        </w:r>
        <w:r w:rsidR="00A231BC">
          <w:rPr>
            <w:noProof/>
            <w:webHidden/>
          </w:rPr>
          <w:fldChar w:fldCharType="end"/>
        </w:r>
      </w:hyperlink>
    </w:p>
    <w:p w:rsidR="00A231BC" w:rsidRDefault="005F694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bidi="ar-SA"/>
        </w:rPr>
      </w:pPr>
      <w:hyperlink w:anchor="_Toc22550820" w:history="1">
        <w:r w:rsidR="00A231BC" w:rsidRPr="003D2F8B">
          <w:rPr>
            <w:rStyle w:val="Hyperlink"/>
            <w:noProof/>
          </w:rPr>
          <w:t>Informe sobre los talleres preparatorios realizados en 2019</w:t>
        </w:r>
        <w:r w:rsidR="00A231BC">
          <w:rPr>
            <w:noProof/>
            <w:webHidden/>
          </w:rPr>
          <w:tab/>
        </w:r>
        <w:r w:rsidR="00A231BC">
          <w:rPr>
            <w:noProof/>
            <w:webHidden/>
          </w:rPr>
          <w:fldChar w:fldCharType="begin"/>
        </w:r>
        <w:r w:rsidR="00A231BC">
          <w:rPr>
            <w:noProof/>
            <w:webHidden/>
          </w:rPr>
          <w:instrText xml:space="preserve"> PAGEREF _Toc22550820 \h </w:instrText>
        </w:r>
        <w:r w:rsidR="00A231BC">
          <w:rPr>
            <w:noProof/>
            <w:webHidden/>
          </w:rPr>
        </w:r>
        <w:r w:rsidR="00A231BC">
          <w:rPr>
            <w:noProof/>
            <w:webHidden/>
          </w:rPr>
          <w:fldChar w:fldCharType="separate"/>
        </w:r>
        <w:r w:rsidR="00A231BC">
          <w:rPr>
            <w:noProof/>
            <w:webHidden/>
          </w:rPr>
          <w:t>2</w:t>
        </w:r>
        <w:r w:rsidR="00A231BC">
          <w:rPr>
            <w:noProof/>
            <w:webHidden/>
          </w:rPr>
          <w:fldChar w:fldCharType="end"/>
        </w:r>
      </w:hyperlink>
    </w:p>
    <w:p w:rsidR="00A231BC" w:rsidRDefault="005F694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bidi="ar-SA"/>
        </w:rPr>
      </w:pPr>
      <w:hyperlink w:anchor="_Toc22550821" w:history="1">
        <w:r w:rsidR="00A231BC" w:rsidRPr="003D2F8B">
          <w:rPr>
            <w:rStyle w:val="Hyperlink"/>
            <w:noProof/>
          </w:rPr>
          <w:t>Programa de la labor preparatoria de 2020</w:t>
        </w:r>
        <w:r w:rsidR="00A231BC">
          <w:rPr>
            <w:noProof/>
            <w:webHidden/>
          </w:rPr>
          <w:tab/>
        </w:r>
        <w:r w:rsidR="00A231BC">
          <w:rPr>
            <w:noProof/>
            <w:webHidden/>
          </w:rPr>
          <w:fldChar w:fldCharType="begin"/>
        </w:r>
        <w:r w:rsidR="00A231BC">
          <w:rPr>
            <w:noProof/>
            <w:webHidden/>
          </w:rPr>
          <w:instrText xml:space="preserve"> PAGEREF _Toc22550821 \h </w:instrText>
        </w:r>
        <w:r w:rsidR="00A231BC">
          <w:rPr>
            <w:noProof/>
            <w:webHidden/>
          </w:rPr>
        </w:r>
        <w:r w:rsidR="00A231BC">
          <w:rPr>
            <w:noProof/>
            <w:webHidden/>
          </w:rPr>
          <w:fldChar w:fldCharType="separate"/>
        </w:r>
        <w:r w:rsidR="00A231BC">
          <w:rPr>
            <w:noProof/>
            <w:webHidden/>
          </w:rPr>
          <w:t>2</w:t>
        </w:r>
        <w:r w:rsidR="00A231BC">
          <w:rPr>
            <w:noProof/>
            <w:webHidden/>
          </w:rPr>
          <w:fldChar w:fldCharType="end"/>
        </w:r>
      </w:hyperlink>
    </w:p>
    <w:p w:rsidR="00F730A8" w:rsidRDefault="00F730A8" w:rsidP="00A231BC">
      <w:pPr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Fonts w:cs="Arial"/>
          <w:snapToGrid w:val="0"/>
        </w:rPr>
        <w:fldChar w:fldCharType="end"/>
      </w:r>
      <w:r>
        <w:rPr>
          <w:snapToGrid w:val="0"/>
          <w:sz w:val="18"/>
        </w:rPr>
        <w:t>ANEXO</w:t>
      </w:r>
      <w:r>
        <w:tab/>
      </w:r>
      <w:r>
        <w:rPr>
          <w:snapToGrid w:val="0"/>
          <w:sz w:val="18"/>
        </w:rPr>
        <w:t>Programa de los talleres preparatorios de 2019</w:t>
      </w:r>
    </w:p>
    <w:p w:rsidR="00F730A8" w:rsidRPr="00F730A8" w:rsidRDefault="00F730A8" w:rsidP="00F730A8">
      <w:pPr>
        <w:rPr>
          <w:rFonts w:cs="Arial"/>
          <w:snapToGrid w:val="0"/>
        </w:rPr>
      </w:pPr>
    </w:p>
    <w:p w:rsidR="00F730A8" w:rsidRPr="00F730A8" w:rsidRDefault="00F730A8" w:rsidP="00F730A8"/>
    <w:p w:rsidR="00F730A8" w:rsidRPr="00F730A8" w:rsidRDefault="00F730A8" w:rsidP="00F730A8"/>
    <w:p w:rsidR="00F730A8" w:rsidRPr="00F730A8" w:rsidRDefault="00F730A8" w:rsidP="00F730A8"/>
    <w:p w:rsidR="00F730A8" w:rsidRDefault="00F730A8" w:rsidP="00F730A8">
      <w:pPr>
        <w:pStyle w:val="Heading1"/>
      </w:pPr>
      <w:bookmarkStart w:id="5" w:name="_Toc21677255"/>
      <w:bookmarkStart w:id="6" w:name="_Toc22550819"/>
      <w:r>
        <w:lastRenderedPageBreak/>
        <w:t>ANTECEDENTES</w:t>
      </w:r>
      <w:bookmarkEnd w:id="5"/>
      <w:bookmarkEnd w:id="6"/>
    </w:p>
    <w:p w:rsidR="00F730A8" w:rsidRPr="00F730A8" w:rsidRDefault="00F730A8" w:rsidP="00F730A8"/>
    <w:p w:rsidR="00F730A8" w:rsidRPr="003D1407" w:rsidRDefault="00F730A8" w:rsidP="003D1407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cs="Arial"/>
          <w:snapToGrid w:val="0"/>
        </w:rPr>
      </w:pPr>
      <w:r>
        <w:t xml:space="preserve">En su trigésima octava sesión, celebrada en Ginebra del 15 al 17 de abril de 2002, y sobre la base del documento TC/38/12, el Comité Técnico (TC) decidió que se organicen talleres preparatorios antes de cada sesión de los Grupos de Trabajo Técnico a fin </w:t>
      </w:r>
      <w:r w:rsidR="00A231BC">
        <w:t>de facilitar</w:t>
      </w:r>
      <w:r>
        <w:t xml:space="preserve"> a algunos de los delegados </w:t>
      </w:r>
      <w:r w:rsidR="00A231BC">
        <w:t xml:space="preserve">una participación más </w:t>
      </w:r>
      <w:r>
        <w:t>más activa en las sesiones (véanse los párrafos 215 a 218 del documento TC/38/16 “Informe”).</w:t>
      </w:r>
    </w:p>
    <w:p w:rsidR="00F730A8" w:rsidRPr="00F730A8" w:rsidRDefault="00F730A8" w:rsidP="00F730A8">
      <w:pPr>
        <w:ind w:left="567" w:hanging="567"/>
        <w:rPr>
          <w:rFonts w:cs="Arial"/>
          <w:snapToGrid w:val="0"/>
        </w:rPr>
      </w:pPr>
    </w:p>
    <w:p w:rsidR="00F730A8" w:rsidRPr="003D1407" w:rsidRDefault="00F730A8" w:rsidP="003D1407">
      <w:pPr>
        <w:pStyle w:val="ListParagraph"/>
        <w:keepNext/>
        <w:keepLines/>
        <w:numPr>
          <w:ilvl w:val="0"/>
          <w:numId w:val="18"/>
        </w:numPr>
        <w:rPr>
          <w:rFonts w:cs="Arial"/>
        </w:rPr>
      </w:pPr>
      <w:r>
        <w:t xml:space="preserve">En su quincuagésima cuarta sesión, celebrada en Ginebra los días 29 y 30 de octubre de 2018, el TC aprobó el programa de los talleres preparatorios de 2019, expuesto en </w:t>
      </w:r>
      <w:r w:rsidRPr="00F82816">
        <w:t>el Anexo</w:t>
      </w:r>
      <w:r>
        <w:t xml:space="preserve"> del presente documento.</w:t>
      </w:r>
      <w:r w:rsidR="006B0E16">
        <w:t xml:space="preserve"> </w:t>
      </w:r>
      <w:r>
        <w:t>El</w:t>
      </w:r>
      <w:r w:rsidR="00A231BC">
        <w:t> </w:t>
      </w:r>
      <w:r>
        <w:t>TC convino en que deben añadirse los siguientes contenidos a los talleres preparatorios (véanse los párrafos 323 a 327 del documento TC/54/31 “Informe”):</w:t>
      </w:r>
    </w:p>
    <w:p w:rsidR="00F730A8" w:rsidRPr="00F730A8" w:rsidRDefault="00F730A8" w:rsidP="00F730A8">
      <w:pPr>
        <w:keepNext/>
        <w:keepLines/>
        <w:rPr>
          <w:rFonts w:cs="Arial"/>
        </w:rPr>
      </w:pPr>
    </w:p>
    <w:p w:rsidR="00F730A8" w:rsidRDefault="00F730A8" w:rsidP="00F730A8">
      <w:pPr>
        <w:pStyle w:val="ListParagraph"/>
        <w:keepNext/>
        <w:keepLines/>
        <w:numPr>
          <w:ilvl w:val="0"/>
          <w:numId w:val="1"/>
        </w:numPr>
        <w:rPr>
          <w:rFonts w:cs="Arial"/>
        </w:rPr>
      </w:pPr>
      <w:r>
        <w:t>Procedimiento para aprobar directrices de examen por correspondencia;</w:t>
      </w:r>
    </w:p>
    <w:p w:rsidR="00F730A8" w:rsidRDefault="00F730A8" w:rsidP="00F730A8">
      <w:pPr>
        <w:pStyle w:val="ListParagraph"/>
        <w:keepNext/>
        <w:keepLines/>
        <w:numPr>
          <w:ilvl w:val="0"/>
          <w:numId w:val="1"/>
        </w:numPr>
        <w:rPr>
          <w:rFonts w:cs="Arial"/>
        </w:rPr>
      </w:pPr>
      <w:r>
        <w:t>Función del experto principal en la elaboración de las directrices de examen y modo de participar como experto interesado;</w:t>
      </w:r>
    </w:p>
    <w:p w:rsidR="00F730A8" w:rsidRDefault="00F730A8" w:rsidP="00F730A8">
      <w:pPr>
        <w:pStyle w:val="ListParagraph"/>
        <w:keepNext/>
        <w:keepLines/>
        <w:numPr>
          <w:ilvl w:val="0"/>
          <w:numId w:val="1"/>
        </w:numPr>
        <w:rPr>
          <w:rFonts w:cs="Arial"/>
        </w:rPr>
      </w:pPr>
      <w:r>
        <w:t>Posibilidades de cooperación internacional en materia de examen DHE.</w:t>
      </w:r>
    </w:p>
    <w:p w:rsidR="00F730A8" w:rsidRPr="00F730A8" w:rsidRDefault="00F730A8" w:rsidP="00F730A8">
      <w:pPr>
        <w:rPr>
          <w:rFonts w:cs="Arial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snapToGrid w:val="0"/>
        </w:rPr>
      </w:pPr>
      <w:r>
        <w:t>El TC convino en que los temas que se vayan a tratar en el taller preparatorio pueden presentarse como introducción a los respectivos puntos del orden del día durante el programa ordinario de sesiones de los</w:t>
      </w:r>
      <w:r w:rsidR="00A231BC">
        <w:t> </w:t>
      </w:r>
      <w:r>
        <w:t>TWP y el BMT.</w:t>
      </w:r>
      <w:r w:rsidR="006B0E16">
        <w:t xml:space="preserve"> </w:t>
      </w:r>
      <w:r>
        <w:t>Convino asimismo en que deben seguir realizándose los ejercicios en grupo y en que, el día antes de la sesión del TWP, podría celebrarse un taller nacional para expertos locales.</w:t>
      </w:r>
    </w:p>
    <w:p w:rsidR="00F730A8" w:rsidRPr="00F730A8" w:rsidRDefault="00F730A8" w:rsidP="00F730A8">
      <w:pPr>
        <w:rPr>
          <w:snapToGrid w:val="0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snapToGrid w:val="0"/>
        </w:rPr>
      </w:pPr>
      <w:r>
        <w:t>El TC convino en que el procedimiento para casos particulares deben establecerlo los presidentes de los TWP conjuntamente con los organizadores, el presidente del TC y la Oficina de la UPOV.</w:t>
      </w:r>
    </w:p>
    <w:p w:rsidR="00F730A8" w:rsidRDefault="00F730A8" w:rsidP="00F730A8"/>
    <w:p w:rsidR="00F82816" w:rsidRPr="00F730A8" w:rsidRDefault="00F82816" w:rsidP="00F730A8"/>
    <w:p w:rsidR="00F730A8" w:rsidRDefault="00F730A8" w:rsidP="00F730A8">
      <w:pPr>
        <w:pStyle w:val="Heading1"/>
        <w:rPr>
          <w:i/>
        </w:rPr>
      </w:pPr>
      <w:bookmarkStart w:id="7" w:name="_Toc524688361"/>
      <w:bookmarkStart w:id="8" w:name="_Toc21677256"/>
      <w:bookmarkStart w:id="9" w:name="_Toc22550820"/>
      <w:r>
        <w:t>Informe sobre los talleres preparatorios realizados en 201</w:t>
      </w:r>
      <w:bookmarkEnd w:id="7"/>
      <w:r>
        <w:t>9</w:t>
      </w:r>
      <w:bookmarkEnd w:id="8"/>
      <w:bookmarkEnd w:id="9"/>
    </w:p>
    <w:p w:rsidR="00F730A8" w:rsidRPr="00F730A8" w:rsidRDefault="00F730A8" w:rsidP="00F730A8">
      <w:pPr>
        <w:rPr>
          <w:rFonts w:cs="Arial"/>
          <w:i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rFonts w:cs="Arial"/>
        </w:rPr>
      </w:pPr>
      <w:r>
        <w:t>El TWO celebró su quincuagésima primera sesión en Christchurch (Nueva Zelandia), del 18 al 22 de febrero de 2019.</w:t>
      </w:r>
      <w:r w:rsidR="006B0E16">
        <w:t xml:space="preserve"> </w:t>
      </w:r>
      <w:r>
        <w:t>El TWO celebró un taller preparatorio de media jornada el día anterior al comienzo de la sesión.</w:t>
      </w:r>
      <w:r w:rsidR="006B0E16">
        <w:t xml:space="preserve"> </w:t>
      </w:r>
      <w:r>
        <w:t>Asistieron al taller preparatorio 18 participantes de 10 miembros de la Unión y 1 organización en calidad de observadora.</w:t>
      </w:r>
      <w:r w:rsidR="006B0E16">
        <w:t xml:space="preserve"> </w:t>
      </w:r>
      <w:r w:rsidR="00F77AE0">
        <w:t>Los puntos abarcados</w:t>
      </w:r>
      <w:r>
        <w:t xml:space="preserve"> se recogen en </w:t>
      </w:r>
      <w:r w:rsidRPr="005F694C">
        <w:t>el Anexo del</w:t>
      </w:r>
      <w:r>
        <w:t xml:space="preserve"> presente documento. </w:t>
      </w:r>
    </w:p>
    <w:p w:rsidR="00F730A8" w:rsidRPr="00F730A8" w:rsidRDefault="00F730A8" w:rsidP="00F730A8">
      <w:pPr>
        <w:rPr>
          <w:snapToGrid w:val="0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snapToGrid w:val="0"/>
        </w:rPr>
      </w:pPr>
      <w:r>
        <w:t>El TWA, el TWC, el TWF, el TWV y el BMT no</w:t>
      </w:r>
      <w:r w:rsidR="006B0E16">
        <w:t xml:space="preserve"> </w:t>
      </w:r>
      <w:r>
        <w:t>realizaron talleres preparatorios de sus sesiones de 2019.</w:t>
      </w:r>
      <w:r w:rsidR="006B0E16">
        <w:t xml:space="preserve"> </w:t>
      </w:r>
      <w:r>
        <w:t>Los temas a tratar en los talleres preparatorios del TWA, el TWC, el TWF, el TWV y el BMT se presentaron como introducción a los respectivos puntos del orden del día durante el programa ordinario de las sesiones.</w:t>
      </w:r>
    </w:p>
    <w:p w:rsidR="00F730A8" w:rsidRDefault="00F730A8" w:rsidP="00F730A8"/>
    <w:p w:rsidR="005F694C" w:rsidRPr="00F730A8" w:rsidRDefault="005F694C" w:rsidP="00F730A8"/>
    <w:p w:rsidR="00F730A8" w:rsidRPr="00362D68" w:rsidRDefault="00F730A8" w:rsidP="00F730A8">
      <w:pPr>
        <w:pStyle w:val="Heading1"/>
        <w:rPr>
          <w:i/>
        </w:rPr>
      </w:pPr>
      <w:bookmarkStart w:id="10" w:name="_Toc524688363"/>
      <w:bookmarkStart w:id="11" w:name="_Toc21677257"/>
      <w:bookmarkStart w:id="12" w:name="_Toc22550821"/>
      <w:r>
        <w:t>Programa de la labor preparatoria de</w:t>
      </w:r>
      <w:bookmarkEnd w:id="10"/>
      <w:r>
        <w:t> 2020</w:t>
      </w:r>
      <w:bookmarkEnd w:id="11"/>
      <w:bookmarkEnd w:id="12"/>
    </w:p>
    <w:p w:rsidR="00F730A8" w:rsidRPr="00F730A8" w:rsidRDefault="00F730A8" w:rsidP="00F730A8">
      <w:pPr>
        <w:rPr>
          <w:rFonts w:cs="Arial"/>
        </w:rPr>
      </w:pPr>
    </w:p>
    <w:p w:rsidR="00F730A8" w:rsidRPr="003D1407" w:rsidRDefault="00F730A8" w:rsidP="003D1407">
      <w:pPr>
        <w:pStyle w:val="ListParagraph"/>
        <w:numPr>
          <w:ilvl w:val="0"/>
          <w:numId w:val="18"/>
        </w:numPr>
        <w:rPr>
          <w:rFonts w:cs="Arial"/>
        </w:rPr>
      </w:pPr>
      <w:r>
        <w:t xml:space="preserve">Se propone que se presente el contenido siguiente como introducción a los respectivos los puntos del orden del día durante el programa ordinario de sesiones del TWA, el TWF, el TWO y el TWV de 2020: </w:t>
      </w: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Introducción a la UPOV y función de los Grupos de Trabajo Técnico de la UPOV</w:t>
      </w: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Resumen de la Introducción general (documento TG/1/3 y documentos TGP)</w:t>
      </w:r>
    </w:p>
    <w:p w:rsidR="00F730A8" w:rsidRPr="00F730A8" w:rsidRDefault="00F730A8" w:rsidP="00F730A8">
      <w:pPr>
        <w:numPr>
          <w:ilvl w:val="0"/>
          <w:numId w:val="2"/>
        </w:numPr>
        <w:spacing w:line="276" w:lineRule="auto"/>
        <w:rPr>
          <w:rFonts w:cs="Arial"/>
        </w:rPr>
      </w:pPr>
      <w:r>
        <w:t>Caracteres: base del examen DHE y selección de caracteres</w:t>
      </w: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 xml:space="preserve">Orientaciones para la redacción de directrices de examen (documento TGP/7) 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t>Objeto de las directrices de examen, material necesario y método de examen;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t>Método de observación (MS, MG, VS, VG)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t>Tipos de expresión (QL, QN y PQ), notas y distinción;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t>Caracteres relativos a la forma y el color;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>
        <w:t>Variedades ejemplo;</w:t>
      </w:r>
    </w:p>
    <w:p w:rsidR="00F730A8" w:rsidRPr="00143712" w:rsidRDefault="00F730A8" w:rsidP="00143712">
      <w:pPr>
        <w:pStyle w:val="ListParagraph"/>
        <w:numPr>
          <w:ilvl w:val="0"/>
          <w:numId w:val="14"/>
        </w:numPr>
        <w:spacing w:line="276" w:lineRule="auto"/>
        <w:rPr>
          <w:rFonts w:cs="Arial"/>
        </w:rPr>
      </w:pPr>
      <w:r w:rsidRPr="00143712">
        <w:rPr>
          <w:snapToGrid w:val="0"/>
          <w:color w:val="000000"/>
        </w:rPr>
        <w:t xml:space="preserve">Proceso de elaboración de directrices de examen de la UPOV, a saber: </w:t>
      </w:r>
      <w:r w:rsidR="007B6147">
        <w:t>p</w:t>
      </w:r>
      <w:r>
        <w:t>lantilla en</w:t>
      </w:r>
      <w:r w:rsidRPr="00143712">
        <w:rPr>
          <w:snapToGrid w:val="0"/>
          <w:color w:val="000000"/>
        </w:rPr>
        <w:t xml:space="preserve"> Internet</w:t>
      </w:r>
      <w:r>
        <w:t xml:space="preserve"> de los documentos TG, texto estándar adicional y notas orientativas</w:t>
      </w:r>
      <w:r w:rsidR="007B6147">
        <w:t>.</w:t>
      </w: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Procedimiento para aprobar directrices de examen por correspondencia;</w:t>
      </w: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Función del experto principal en la elaboración de las directrices de examen y modo de participar como experto interesado</w:t>
      </w:r>
    </w:p>
    <w:p w:rsidR="00F730A8" w:rsidRPr="00F730A8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Posibilidades de cooperación internacional en materia de examen DHE</w:t>
      </w:r>
    </w:p>
    <w:p w:rsidR="00F730A8" w:rsidRPr="00F03BC7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Orden del día de la sesión del TWP correspondiente</w:t>
      </w:r>
    </w:p>
    <w:p w:rsidR="00F730A8" w:rsidRPr="00F03BC7" w:rsidRDefault="00F730A8" w:rsidP="00F730A8">
      <w:pPr>
        <w:numPr>
          <w:ilvl w:val="0"/>
          <w:numId w:val="6"/>
        </w:numPr>
        <w:spacing w:line="276" w:lineRule="auto"/>
        <w:rPr>
          <w:rFonts w:cs="Arial"/>
        </w:rPr>
      </w:pPr>
      <w:r>
        <w:t>Información recibida de los participantes</w:t>
      </w:r>
    </w:p>
    <w:p w:rsidR="00F730A8" w:rsidRDefault="00F730A8" w:rsidP="00F730A8">
      <w:pPr>
        <w:rPr>
          <w:rFonts w:cs="Arial"/>
        </w:rPr>
      </w:pPr>
    </w:p>
    <w:p w:rsidR="00F730A8" w:rsidRPr="003D1407" w:rsidRDefault="00F730A8" w:rsidP="003D1407">
      <w:pPr>
        <w:pStyle w:val="ListParagraph"/>
        <w:keepNext/>
        <w:keepLines/>
        <w:numPr>
          <w:ilvl w:val="0"/>
          <w:numId w:val="18"/>
        </w:numPr>
        <w:rPr>
          <w:rFonts w:cs="Arial"/>
        </w:rPr>
      </w:pPr>
      <w:r>
        <w:t>Se propone que se presente el contenido siguiente como introducción a los respectivos los puntos del orden del día durante el programa ordinario de sesiones de 2020 del TWC y el BMT:</w:t>
      </w:r>
    </w:p>
    <w:p w:rsidR="00F730A8" w:rsidRPr="00F730A8" w:rsidRDefault="00F730A8" w:rsidP="00F730A8">
      <w:pPr>
        <w:keepNext/>
        <w:keepLines/>
        <w:rPr>
          <w:rFonts w:cs="Arial"/>
        </w:rPr>
      </w:pPr>
    </w:p>
    <w:p w:rsidR="00F730A8" w:rsidRPr="00F730A8" w:rsidRDefault="00F730A8" w:rsidP="00F730A8">
      <w:pPr>
        <w:keepNext/>
        <w:keepLines/>
        <w:numPr>
          <w:ilvl w:val="0"/>
          <w:numId w:val="4"/>
        </w:numPr>
        <w:spacing w:line="276" w:lineRule="auto"/>
        <w:rPr>
          <w:rFonts w:cs="Arial"/>
        </w:rPr>
      </w:pPr>
      <w:r>
        <w:t>Introducción a la UPOV y función de los TWP y el BMT</w:t>
      </w:r>
    </w:p>
    <w:p w:rsidR="00F730A8" w:rsidRPr="00F730A8" w:rsidRDefault="00F730A8" w:rsidP="00F730A8">
      <w:pPr>
        <w:keepNext/>
        <w:keepLines/>
        <w:numPr>
          <w:ilvl w:val="0"/>
          <w:numId w:val="4"/>
        </w:numPr>
        <w:spacing w:line="276" w:lineRule="auto"/>
        <w:ind w:left="1134" w:hanging="567"/>
        <w:rPr>
          <w:rFonts w:cs="Arial"/>
        </w:rPr>
      </w:pPr>
      <w:r>
        <w:t>Resumen de la Introducción general (documento TG/1/3 y documentos TGP)</w:t>
      </w:r>
    </w:p>
    <w:p w:rsidR="00F730A8" w:rsidRPr="00F730A8" w:rsidRDefault="00F730A8" w:rsidP="00F730A8">
      <w:pPr>
        <w:keepNext/>
        <w:keepLines/>
        <w:numPr>
          <w:ilvl w:val="0"/>
          <w:numId w:val="4"/>
        </w:numPr>
        <w:spacing w:line="276" w:lineRule="auto"/>
        <w:ind w:left="1134" w:hanging="567"/>
        <w:rPr>
          <w:rFonts w:cs="Arial"/>
        </w:rPr>
      </w:pPr>
      <w:r>
        <w:t>Aspectos generales de los ensayos DHE y las directrices de examen</w:t>
      </w:r>
    </w:p>
    <w:p w:rsidR="00F730A8" w:rsidRPr="00595F05" w:rsidRDefault="00F730A8" w:rsidP="00F730A8">
      <w:pPr>
        <w:keepNext/>
        <w:keepLines/>
        <w:numPr>
          <w:ilvl w:val="0"/>
          <w:numId w:val="4"/>
        </w:numPr>
        <w:spacing w:line="276" w:lineRule="auto"/>
        <w:ind w:left="1134" w:hanging="567"/>
        <w:rPr>
          <w:rFonts w:cs="Arial"/>
        </w:rPr>
      </w:pPr>
      <w:r>
        <w:t>Recursos de la UPOV en Internet</w:t>
      </w:r>
    </w:p>
    <w:p w:rsidR="00F730A8" w:rsidRPr="007B6147" w:rsidRDefault="00F730A8" w:rsidP="00143712">
      <w:pPr>
        <w:pStyle w:val="ListParagraph"/>
        <w:numPr>
          <w:ilvl w:val="0"/>
          <w:numId w:val="13"/>
        </w:numPr>
        <w:spacing w:line="276" w:lineRule="auto"/>
      </w:pPr>
      <w:r>
        <w:t>Legislación de los miembros de la UPOV:</w:t>
      </w:r>
      <w:r w:rsidR="006B0E16">
        <w:t xml:space="preserve"> </w:t>
      </w:r>
      <w:r>
        <w:t>UPOV Lex, base de datos GENIE</w:t>
      </w:r>
    </w:p>
    <w:p w:rsidR="00F730A8" w:rsidRPr="007B6147" w:rsidRDefault="00F730A8" w:rsidP="00143712">
      <w:pPr>
        <w:pStyle w:val="ListParagraph"/>
        <w:numPr>
          <w:ilvl w:val="0"/>
          <w:numId w:val="13"/>
        </w:numPr>
        <w:spacing w:line="276" w:lineRule="auto"/>
      </w:pPr>
      <w:r>
        <w:t>Solicitudes de derechos de obtentor:</w:t>
      </w:r>
      <w:r w:rsidR="006B0E16">
        <w:t xml:space="preserve"> </w:t>
      </w:r>
      <w:r>
        <w:t>herramienta de solicitudes de derechos de obtentor</w:t>
      </w:r>
      <w:r w:rsidR="00515733">
        <w:t> </w:t>
      </w:r>
      <w:r>
        <w:t>UPOV PRISMA</w:t>
      </w:r>
    </w:p>
    <w:p w:rsidR="00F730A8" w:rsidRPr="007B6147" w:rsidRDefault="00F730A8" w:rsidP="00143712">
      <w:pPr>
        <w:pStyle w:val="ListParagraph"/>
        <w:numPr>
          <w:ilvl w:val="0"/>
          <w:numId w:val="13"/>
        </w:numPr>
        <w:spacing w:line="276" w:lineRule="auto"/>
      </w:pPr>
      <w:r>
        <w:t>Examen DHE:</w:t>
      </w:r>
      <w:r w:rsidR="006B0E16">
        <w:t xml:space="preserve"> </w:t>
      </w:r>
      <w:r>
        <w:t>base de datos GENIE, plantilla en Internet de las directrices de examen y código de la UPOV</w:t>
      </w:r>
    </w:p>
    <w:p w:rsidR="00F730A8" w:rsidRPr="007B6147" w:rsidRDefault="00F730A8" w:rsidP="00143712">
      <w:pPr>
        <w:pStyle w:val="ListParagraph"/>
        <w:numPr>
          <w:ilvl w:val="0"/>
          <w:numId w:val="13"/>
        </w:numPr>
        <w:spacing w:line="276" w:lineRule="auto"/>
      </w:pPr>
      <w:r>
        <w:t>Denominaciones de variedades y novedad:</w:t>
      </w:r>
      <w:r w:rsidR="006B0E16">
        <w:t xml:space="preserve"> </w:t>
      </w:r>
      <w:r>
        <w:t>base de datos PLUTO</w:t>
      </w:r>
    </w:p>
    <w:p w:rsidR="00F730A8" w:rsidRPr="00F730A8" w:rsidRDefault="00F730A8" w:rsidP="00F730A8">
      <w:pPr>
        <w:keepNext/>
        <w:numPr>
          <w:ilvl w:val="0"/>
          <w:numId w:val="4"/>
        </w:numPr>
        <w:spacing w:line="276" w:lineRule="auto"/>
        <w:rPr>
          <w:rFonts w:cs="Arial"/>
        </w:rPr>
      </w:pPr>
      <w:r>
        <w:t>Situación en la UPOV en relación con el posible uso de técnicas moleculares en el examen DHE</w:t>
      </w:r>
    </w:p>
    <w:p w:rsidR="00F730A8" w:rsidRPr="00F730A8" w:rsidRDefault="00F730A8" w:rsidP="00F730A8">
      <w:pPr>
        <w:keepNext/>
        <w:numPr>
          <w:ilvl w:val="0"/>
          <w:numId w:val="4"/>
        </w:numPr>
        <w:spacing w:line="276" w:lineRule="auto"/>
        <w:rPr>
          <w:rFonts w:cs="Arial"/>
        </w:rPr>
      </w:pPr>
      <w:r>
        <w:t>El concepto de variedad esencialmente derivada</w:t>
      </w:r>
    </w:p>
    <w:p w:rsidR="00F730A8" w:rsidRPr="00F730A8" w:rsidRDefault="00F730A8" w:rsidP="00F730A8">
      <w:pPr>
        <w:keepNext/>
        <w:numPr>
          <w:ilvl w:val="0"/>
          <w:numId w:val="4"/>
        </w:numPr>
        <w:spacing w:line="276" w:lineRule="auto"/>
        <w:rPr>
          <w:rFonts w:cs="Arial"/>
        </w:rPr>
      </w:pPr>
      <w:r>
        <w:t>Función de la UPOV en la identificación de variedades</w:t>
      </w:r>
    </w:p>
    <w:p w:rsidR="00F730A8" w:rsidRPr="00F730A8" w:rsidRDefault="00F730A8" w:rsidP="00F730A8">
      <w:pPr>
        <w:numPr>
          <w:ilvl w:val="0"/>
          <w:numId w:val="4"/>
        </w:numPr>
        <w:spacing w:line="276" w:lineRule="auto"/>
        <w:rPr>
          <w:rFonts w:cs="Arial"/>
        </w:rPr>
      </w:pPr>
      <w:r>
        <w:t>Orden del día del TWC y el BTM</w:t>
      </w: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8"/>
        </w:numPr>
        <w:ind w:left="4820"/>
        <w:rPr>
          <w:rFonts w:cs="Arial"/>
        </w:rPr>
      </w:pPr>
      <w:r>
        <w:t>Se invita al TC a:</w:t>
      </w:r>
    </w:p>
    <w:p w:rsidR="00F730A8" w:rsidRPr="00F730A8" w:rsidRDefault="00F730A8" w:rsidP="00F730A8">
      <w:pPr>
        <w:pStyle w:val="DecisionParagraphs"/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rFonts w:cs="Arial"/>
        </w:rPr>
      </w:pPr>
      <w:r>
        <w:t xml:space="preserve">tomar nota del informe sobre los talleres preparatorios realizados por el TWO en 2019; </w:t>
      </w:r>
    </w:p>
    <w:p w:rsidR="00F730A8" w:rsidRPr="00F730A8" w:rsidRDefault="00F730A8" w:rsidP="003D1407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rFonts w:cs="Arial"/>
        </w:rPr>
      </w:pPr>
      <w:r>
        <w:t xml:space="preserve">tomar nota de que los temas a tratar en los talleres preparatorios del TWA, el TWC, el TWF, el TWV y el BMT se presentaron como introducción a los respectivos puntos del orden del día durante el programa ordinario de las sesiones; </w:t>
      </w:r>
    </w:p>
    <w:p w:rsidR="00F730A8" w:rsidRPr="00F730A8" w:rsidRDefault="00F730A8" w:rsidP="003D1407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rFonts w:cs="Arial"/>
        </w:rPr>
      </w:pPr>
      <w:r>
        <w:t xml:space="preserve">examinar la propuesta de programa de la labor preparatoria de 2020 que se expone en los </w:t>
      </w:r>
      <w:r w:rsidRPr="005F694C">
        <w:t>párrafos 11 y 12 del presente</w:t>
      </w:r>
      <w:r>
        <w:t xml:space="preserve"> documento; y</w:t>
      </w:r>
    </w:p>
    <w:p w:rsidR="00F730A8" w:rsidRPr="00F730A8" w:rsidRDefault="00F730A8" w:rsidP="003D1407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</w:rPr>
      </w:pPr>
    </w:p>
    <w:p w:rsidR="00F730A8" w:rsidRPr="00F730A8" w:rsidRDefault="00F730A8" w:rsidP="003D1407">
      <w:pPr>
        <w:pStyle w:val="DecisionParagraphs"/>
        <w:numPr>
          <w:ilvl w:val="0"/>
          <w:numId w:val="12"/>
        </w:numPr>
        <w:tabs>
          <w:tab w:val="clear" w:pos="5387"/>
          <w:tab w:val="left" w:pos="5954"/>
        </w:tabs>
        <w:ind w:left="4820" w:firstLine="567"/>
        <w:rPr>
          <w:rFonts w:cs="Arial"/>
        </w:rPr>
      </w:pPr>
      <w:r>
        <w:t>solicitar a la Oficina de la Unión que presente propuestas sobre la manera de planificar y comunicar la labor prepara</w:t>
      </w:r>
      <w:bookmarkStart w:id="13" w:name="_GoBack"/>
      <w:bookmarkEnd w:id="13"/>
      <w:r>
        <w:t xml:space="preserve">toria en los TWP para el futuro, en la quincuagésima sexta sesión del TC. </w:t>
      </w:r>
    </w:p>
    <w:p w:rsidR="00F730A8" w:rsidRPr="00F730A8" w:rsidRDefault="00F730A8" w:rsidP="00F730A8">
      <w:pPr>
        <w:pStyle w:val="DecisionParagraphs"/>
        <w:tabs>
          <w:tab w:val="clear" w:pos="5387"/>
          <w:tab w:val="num" w:pos="5960"/>
        </w:tabs>
        <w:rPr>
          <w:rFonts w:cs="Arial"/>
        </w:rPr>
      </w:pPr>
    </w:p>
    <w:p w:rsidR="00F730A8" w:rsidRPr="00F730A8" w:rsidRDefault="00F730A8" w:rsidP="00F730A8">
      <w:pPr>
        <w:rPr>
          <w:snapToGrid w:val="0"/>
        </w:rPr>
      </w:pPr>
    </w:p>
    <w:p w:rsidR="00F730A8" w:rsidRPr="00F730A8" w:rsidRDefault="00F730A8" w:rsidP="00F730A8">
      <w:pPr>
        <w:rPr>
          <w:snapToGrid w:val="0"/>
        </w:rPr>
      </w:pPr>
    </w:p>
    <w:p w:rsidR="00F730A8" w:rsidRPr="00F730A8" w:rsidRDefault="00F730A8" w:rsidP="00F730A8">
      <w:pPr>
        <w:rPr>
          <w:snapToGrid w:val="0"/>
        </w:rPr>
      </w:pPr>
    </w:p>
    <w:p w:rsidR="00F730A8" w:rsidRPr="00F730A8" w:rsidRDefault="00F730A8" w:rsidP="00F730A8"/>
    <w:p w:rsidR="00F730A8" w:rsidRPr="00F730A8" w:rsidRDefault="00F730A8" w:rsidP="00F730A8">
      <w:pPr>
        <w:jc w:val="left"/>
      </w:pPr>
    </w:p>
    <w:p w:rsidR="00F730A8" w:rsidRPr="00F730A8" w:rsidRDefault="00F730A8" w:rsidP="00F730A8">
      <w:pPr>
        <w:sectPr w:rsidR="00F730A8" w:rsidRPr="00F730A8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F730A8" w:rsidRPr="00F730A8" w:rsidRDefault="00F730A8" w:rsidP="00F730A8"/>
    <w:p w:rsidR="00F730A8" w:rsidRPr="00F730A8" w:rsidRDefault="00F730A8" w:rsidP="00F730A8"/>
    <w:p w:rsidR="00F730A8" w:rsidRPr="00F730A8" w:rsidRDefault="00F730A8" w:rsidP="00F730A8">
      <w:pPr>
        <w:jc w:val="center"/>
        <w:rPr>
          <w:rFonts w:eastAsia="MS Mincho"/>
          <w:i/>
          <w:caps/>
        </w:rPr>
      </w:pPr>
      <w:r>
        <w:rPr>
          <w:caps/>
        </w:rPr>
        <w:t>Programa de los talleres preparatorios de 2019</w:t>
      </w: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F730A8">
      <w:pPr>
        <w:rPr>
          <w:rFonts w:cs="Arial"/>
        </w:rPr>
      </w:pPr>
      <w:r>
        <w:t>Contenido facilitado al TWA, el TWF, el TWO y el TWV:</w:t>
      </w: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Introducción a la UPOV y función de los Grupos de Trabajo Técnico de la UPOV</w:t>
      </w: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Resumen de la Introducción general (documento TG/1/3 y documentos TGP)</w:t>
      </w:r>
    </w:p>
    <w:p w:rsidR="00F730A8" w:rsidRPr="00F730A8" w:rsidRDefault="00F730A8" w:rsidP="00F730A8">
      <w:pPr>
        <w:numPr>
          <w:ilvl w:val="0"/>
          <w:numId w:val="2"/>
        </w:numPr>
        <w:spacing w:after="120"/>
        <w:rPr>
          <w:rFonts w:cs="Arial"/>
        </w:rPr>
      </w:pPr>
      <w:r>
        <w:t>Caracteres: base del examen DHE y selección de caracteres</w:t>
      </w: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 xml:space="preserve">Orientaciones para la redacción de directrices de examen (documento TGP/7) 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>
        <w:t>Objeto de las directrices de examen, material necesario y método de examen;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>
        <w:t>Método de observación (MS, MG, VS, VG)</w:t>
      </w:r>
      <w:r w:rsidR="00515733">
        <w:t>;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>
        <w:t>Tipos de expresión (QL, QN y PQ), notas y distinción;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>
        <w:t>Caracteres relativos a la forma y el color;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>
        <w:t>Variedades ejemplo;</w:t>
      </w:r>
    </w:p>
    <w:p w:rsidR="00F730A8" w:rsidRPr="00515733" w:rsidRDefault="00F730A8" w:rsidP="00E25A94">
      <w:pPr>
        <w:pStyle w:val="ListParagraph"/>
        <w:numPr>
          <w:ilvl w:val="1"/>
          <w:numId w:val="18"/>
        </w:numPr>
        <w:spacing w:line="276" w:lineRule="auto"/>
      </w:pPr>
      <w:r w:rsidRPr="00515733">
        <w:t xml:space="preserve">Proceso de elaboración de directrices de examen de la UPOV, a saber: </w:t>
      </w:r>
      <w:r>
        <w:t>Plantilla en</w:t>
      </w:r>
      <w:r w:rsidRPr="00515733">
        <w:t xml:space="preserve"> Internet</w:t>
      </w:r>
      <w:r>
        <w:t xml:space="preserve"> de los documentos TG, texto estándar adicional y notas orientativas</w:t>
      </w:r>
      <w:r w:rsidR="00515733">
        <w:t>.</w:t>
      </w: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Procedimiento para aprobar directrices de examen por correspondencia</w:t>
      </w: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Función del experto principal en la elaboración de las directrices de examen y modo de participar como experto interesado</w:t>
      </w:r>
    </w:p>
    <w:p w:rsidR="00F730A8" w:rsidRPr="00F730A8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Posibilidades de cooperación internacional en materia de examen DHE</w:t>
      </w:r>
    </w:p>
    <w:p w:rsidR="00F730A8" w:rsidRPr="00F03BC7" w:rsidRDefault="00F730A8" w:rsidP="00F730A8">
      <w:pPr>
        <w:numPr>
          <w:ilvl w:val="0"/>
          <w:numId w:val="9"/>
        </w:numPr>
        <w:spacing w:after="120"/>
        <w:rPr>
          <w:rFonts w:cs="Arial"/>
        </w:rPr>
      </w:pPr>
      <w:r>
        <w:t>Orden del día de la sesión del TWP correspondiente</w:t>
      </w:r>
    </w:p>
    <w:p w:rsidR="00F730A8" w:rsidRPr="00F03BC7" w:rsidRDefault="00F730A8" w:rsidP="00F730A8">
      <w:pPr>
        <w:numPr>
          <w:ilvl w:val="0"/>
          <w:numId w:val="9"/>
        </w:numPr>
        <w:rPr>
          <w:rFonts w:cs="Arial"/>
        </w:rPr>
      </w:pPr>
      <w:r>
        <w:t>Información recibida de los participantes</w:t>
      </w:r>
    </w:p>
    <w:p w:rsidR="00F730A8" w:rsidRPr="00F03BC7" w:rsidRDefault="00F730A8" w:rsidP="00F730A8">
      <w:pPr>
        <w:rPr>
          <w:rFonts w:cs="Arial"/>
        </w:rPr>
      </w:pPr>
    </w:p>
    <w:p w:rsidR="00F730A8" w:rsidRPr="00F730A8" w:rsidRDefault="00F730A8" w:rsidP="00F730A8">
      <w:pPr>
        <w:keepNext/>
        <w:rPr>
          <w:rFonts w:cs="Arial"/>
        </w:rPr>
      </w:pPr>
      <w:r>
        <w:t>Contenido facilitado al TWC/BMT:</w:t>
      </w:r>
    </w:p>
    <w:p w:rsidR="00F730A8" w:rsidRPr="00F730A8" w:rsidRDefault="00F730A8" w:rsidP="00F730A8">
      <w:pPr>
        <w:keepNext/>
        <w:rPr>
          <w:rFonts w:cs="Arial"/>
        </w:rPr>
      </w:pPr>
    </w:p>
    <w:p w:rsidR="00F730A8" w:rsidRPr="00F730A8" w:rsidRDefault="00F730A8" w:rsidP="00E25A94">
      <w:pPr>
        <w:keepNext/>
        <w:numPr>
          <w:ilvl w:val="0"/>
          <w:numId w:val="21"/>
        </w:numPr>
        <w:spacing w:after="120"/>
        <w:rPr>
          <w:rFonts w:cs="Arial"/>
        </w:rPr>
      </w:pPr>
      <w:r>
        <w:t>Introducción a la UPOV y función de los TWP y el BMT;</w:t>
      </w:r>
    </w:p>
    <w:p w:rsidR="00F730A8" w:rsidRPr="00F730A8" w:rsidRDefault="00F730A8" w:rsidP="00E25A94">
      <w:pPr>
        <w:keepNext/>
        <w:numPr>
          <w:ilvl w:val="0"/>
          <w:numId w:val="21"/>
        </w:numPr>
        <w:spacing w:after="120"/>
        <w:ind w:left="1134" w:hanging="567"/>
        <w:rPr>
          <w:rFonts w:cs="Arial"/>
        </w:rPr>
      </w:pPr>
      <w:r>
        <w:t>Resumen de la Introducción general (documento TG/1/3 y documentos TGP)</w:t>
      </w:r>
    </w:p>
    <w:p w:rsidR="00F730A8" w:rsidRPr="00F730A8" w:rsidRDefault="00F730A8" w:rsidP="00E25A94">
      <w:pPr>
        <w:numPr>
          <w:ilvl w:val="0"/>
          <w:numId w:val="21"/>
        </w:numPr>
        <w:spacing w:after="120"/>
        <w:ind w:left="1134" w:hanging="567"/>
        <w:rPr>
          <w:rFonts w:cs="Arial"/>
        </w:rPr>
      </w:pPr>
      <w:r>
        <w:t>Aspectos generales de los ensayos DHE y las directrices de examen;</w:t>
      </w:r>
    </w:p>
    <w:p w:rsidR="00F730A8" w:rsidRPr="00F03BC7" w:rsidRDefault="00F730A8" w:rsidP="00E25A94">
      <w:pPr>
        <w:numPr>
          <w:ilvl w:val="0"/>
          <w:numId w:val="21"/>
        </w:numPr>
        <w:spacing w:after="120"/>
        <w:ind w:left="1134" w:hanging="567"/>
        <w:rPr>
          <w:rFonts w:cs="Arial"/>
        </w:rPr>
      </w:pPr>
      <w:r>
        <w:t>Recursos de la UPOV en Internet;</w:t>
      </w:r>
    </w:p>
    <w:p w:rsidR="00F730A8" w:rsidRPr="00E25A94" w:rsidRDefault="00F730A8" w:rsidP="00E25A94">
      <w:pPr>
        <w:pStyle w:val="ListParagraph"/>
        <w:numPr>
          <w:ilvl w:val="1"/>
          <w:numId w:val="16"/>
        </w:numPr>
        <w:spacing w:after="120"/>
        <w:rPr>
          <w:rFonts w:cs="Arial"/>
        </w:rPr>
      </w:pPr>
      <w:r>
        <w:t>Legislación de los miembros de la UPOV:</w:t>
      </w:r>
      <w:r w:rsidR="006B0E16">
        <w:t xml:space="preserve"> </w:t>
      </w:r>
      <w:r>
        <w:t>UPOV Lex, base de datos GENIE</w:t>
      </w:r>
    </w:p>
    <w:p w:rsidR="00F730A8" w:rsidRPr="00E25A94" w:rsidRDefault="00F730A8" w:rsidP="00E25A94">
      <w:pPr>
        <w:pStyle w:val="ListParagraph"/>
        <w:numPr>
          <w:ilvl w:val="1"/>
          <w:numId w:val="16"/>
        </w:numPr>
        <w:spacing w:after="120"/>
        <w:rPr>
          <w:rFonts w:cs="Arial"/>
          <w:spacing w:val="-2"/>
        </w:rPr>
      </w:pPr>
      <w:r>
        <w:t>Solicitudes de derechos de obtentor:</w:t>
      </w:r>
      <w:r w:rsidR="006B0E16">
        <w:t xml:space="preserve"> </w:t>
      </w:r>
      <w:r>
        <w:t>herramienta de solicitudes de derechos de obtentor</w:t>
      </w:r>
      <w:r w:rsidR="00515733">
        <w:t> </w:t>
      </w:r>
      <w:r>
        <w:t>UPOV PRISMA</w:t>
      </w:r>
    </w:p>
    <w:p w:rsidR="00E25A94" w:rsidRPr="00E25A94" w:rsidRDefault="00F730A8" w:rsidP="00E25A94">
      <w:pPr>
        <w:pStyle w:val="ListParagraph"/>
        <w:numPr>
          <w:ilvl w:val="1"/>
          <w:numId w:val="16"/>
        </w:numPr>
        <w:spacing w:after="120"/>
        <w:rPr>
          <w:rFonts w:cs="Arial"/>
          <w:spacing w:val="-2"/>
        </w:rPr>
      </w:pPr>
      <w:r>
        <w:t>Examen DHE:</w:t>
      </w:r>
      <w:r w:rsidR="006B0E16">
        <w:t xml:space="preserve"> </w:t>
      </w:r>
      <w:r>
        <w:t>base de datos GENIE, plantilla en Internet de las directrices de examen y código de la UPOV</w:t>
      </w:r>
    </w:p>
    <w:p w:rsidR="00F730A8" w:rsidRPr="00E25A94" w:rsidRDefault="00F730A8" w:rsidP="00E25A94">
      <w:pPr>
        <w:pStyle w:val="ListParagraph"/>
        <w:numPr>
          <w:ilvl w:val="1"/>
          <w:numId w:val="16"/>
        </w:numPr>
        <w:spacing w:after="120"/>
        <w:rPr>
          <w:rFonts w:cs="Arial"/>
          <w:spacing w:val="-2"/>
        </w:rPr>
      </w:pPr>
      <w:r>
        <w:t>Denominaciones de variedades y novedad:</w:t>
      </w:r>
      <w:r w:rsidR="006B0E16">
        <w:t xml:space="preserve"> </w:t>
      </w:r>
      <w:r>
        <w:t>base de datos PLUTO</w:t>
      </w:r>
    </w:p>
    <w:p w:rsidR="00F730A8" w:rsidRPr="00F730A8" w:rsidRDefault="00F730A8" w:rsidP="00E25A94">
      <w:pPr>
        <w:keepNext/>
        <w:numPr>
          <w:ilvl w:val="0"/>
          <w:numId w:val="21"/>
        </w:numPr>
        <w:spacing w:after="120"/>
        <w:rPr>
          <w:rFonts w:cs="Arial"/>
        </w:rPr>
      </w:pPr>
      <w:r>
        <w:t>Situación en la UPOV en relación con el posible uso de técnicas moleculares en el examen DHE</w:t>
      </w:r>
    </w:p>
    <w:p w:rsidR="00F730A8" w:rsidRPr="00F730A8" w:rsidRDefault="00F730A8" w:rsidP="00E25A94">
      <w:pPr>
        <w:keepNext/>
        <w:numPr>
          <w:ilvl w:val="0"/>
          <w:numId w:val="21"/>
        </w:numPr>
        <w:spacing w:after="120"/>
        <w:rPr>
          <w:rFonts w:cs="Arial"/>
        </w:rPr>
      </w:pPr>
      <w:r>
        <w:t>El concepto de variedad esencialmente derivada</w:t>
      </w:r>
    </w:p>
    <w:p w:rsidR="00F730A8" w:rsidRPr="00F730A8" w:rsidRDefault="00F730A8" w:rsidP="00E25A94">
      <w:pPr>
        <w:keepNext/>
        <w:numPr>
          <w:ilvl w:val="0"/>
          <w:numId w:val="21"/>
        </w:numPr>
        <w:spacing w:after="120"/>
        <w:rPr>
          <w:rFonts w:cs="Arial"/>
        </w:rPr>
      </w:pPr>
      <w:r>
        <w:t>Función de la UPOV en la identificación de variedades</w:t>
      </w:r>
    </w:p>
    <w:p w:rsidR="00F730A8" w:rsidRPr="00F730A8" w:rsidRDefault="00F730A8" w:rsidP="00E25A94">
      <w:pPr>
        <w:numPr>
          <w:ilvl w:val="0"/>
          <w:numId w:val="21"/>
        </w:numPr>
        <w:spacing w:after="120"/>
        <w:rPr>
          <w:rFonts w:cs="Arial"/>
        </w:rPr>
      </w:pPr>
      <w:r>
        <w:t>Orden del día del TWC y el BTM</w:t>
      </w: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F730A8">
      <w:pPr>
        <w:rPr>
          <w:rFonts w:cs="Arial"/>
        </w:rPr>
      </w:pPr>
    </w:p>
    <w:p w:rsidR="00F730A8" w:rsidRPr="00F730A8" w:rsidRDefault="00F730A8" w:rsidP="00F730A8"/>
    <w:p w:rsidR="00F730A8" w:rsidRDefault="00F730A8" w:rsidP="00F730A8">
      <w:pPr>
        <w:jc w:val="right"/>
      </w:pPr>
      <w:r>
        <w:t>[Fin del documento]</w:t>
      </w:r>
    </w:p>
    <w:p w:rsidR="00F730A8" w:rsidRPr="00C5280D" w:rsidRDefault="00F730A8" w:rsidP="00F730A8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A0B" w:rsidRDefault="005E4A0B" w:rsidP="006655D3">
      <w:r>
        <w:separator/>
      </w:r>
    </w:p>
    <w:p w:rsidR="005E4A0B" w:rsidRDefault="005E4A0B" w:rsidP="006655D3"/>
    <w:p w:rsidR="005E4A0B" w:rsidRDefault="005E4A0B" w:rsidP="006655D3"/>
  </w:endnote>
  <w:endnote w:type="continuationSeparator" w:id="0">
    <w:p w:rsidR="005E4A0B" w:rsidRDefault="005E4A0B" w:rsidP="006655D3">
      <w:r>
        <w:separator/>
      </w:r>
    </w:p>
    <w:p w:rsidR="005E4A0B" w:rsidRPr="00294751" w:rsidRDefault="005E4A0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E4A0B" w:rsidRPr="00294751" w:rsidRDefault="005E4A0B" w:rsidP="006655D3">
      <w:pPr>
        <w:rPr>
          <w:lang w:val="fr-FR"/>
        </w:rPr>
      </w:pPr>
    </w:p>
    <w:p w:rsidR="005E4A0B" w:rsidRPr="00294751" w:rsidRDefault="005E4A0B" w:rsidP="006655D3">
      <w:pPr>
        <w:rPr>
          <w:lang w:val="fr-FR"/>
        </w:rPr>
      </w:pPr>
    </w:p>
  </w:endnote>
  <w:endnote w:type="continuationNotice" w:id="1">
    <w:p w:rsidR="005E4A0B" w:rsidRPr="00294751" w:rsidRDefault="005E4A0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E4A0B" w:rsidRPr="00294751" w:rsidRDefault="005E4A0B" w:rsidP="006655D3">
      <w:pPr>
        <w:rPr>
          <w:lang w:val="fr-FR"/>
        </w:rPr>
      </w:pPr>
    </w:p>
    <w:p w:rsidR="005E4A0B" w:rsidRPr="00294751" w:rsidRDefault="005E4A0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A0B" w:rsidRDefault="005E4A0B" w:rsidP="006655D3">
      <w:r>
        <w:separator/>
      </w:r>
    </w:p>
  </w:footnote>
  <w:footnote w:type="continuationSeparator" w:id="0">
    <w:p w:rsidR="005E4A0B" w:rsidRDefault="005E4A0B" w:rsidP="006655D3">
      <w:r>
        <w:separator/>
      </w:r>
    </w:p>
  </w:footnote>
  <w:footnote w:type="continuationNotice" w:id="1">
    <w:p w:rsidR="005E4A0B" w:rsidRPr="00AB530F" w:rsidRDefault="005E4A0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8" w:rsidRPr="00C5280D" w:rsidRDefault="00F730A8" w:rsidP="00EB048E">
    <w:pPr>
      <w:pStyle w:val="Header"/>
      <w:rPr>
        <w:rStyle w:val="PageNumber"/>
      </w:rPr>
    </w:pPr>
    <w:r>
      <w:rPr>
        <w:rStyle w:val="PageNumber"/>
      </w:rPr>
      <w:t>TC/55/9</w:t>
    </w:r>
  </w:p>
  <w:p w:rsidR="00F730A8" w:rsidRPr="00C5280D" w:rsidRDefault="00F730A8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5F694C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F730A8" w:rsidRPr="00C5280D" w:rsidRDefault="00F730A8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0B7BB9" w:rsidP="000A23DC">
    <w:pPr>
      <w:pStyle w:val="Header"/>
      <w:rPr>
        <w:rStyle w:val="PageNumber"/>
      </w:rPr>
    </w:pPr>
    <w:r>
      <w:rPr>
        <w:rStyle w:val="PageNumber"/>
      </w:rPr>
      <w:t>TC/55/9</w:t>
    </w:r>
  </w:p>
  <w:p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D80DF8">
      <w:rPr>
        <w:rStyle w:val="PageNumber"/>
        <w:noProof/>
      </w:rPr>
      <w:t>2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0A8" w:rsidRDefault="00F730A8">
    <w:pPr>
      <w:pStyle w:val="Header"/>
    </w:pPr>
    <w:r>
      <w:t>TC/55/9</w:t>
    </w:r>
  </w:p>
  <w:p w:rsidR="00F730A8" w:rsidRDefault="00F730A8">
    <w:pPr>
      <w:pStyle w:val="Header"/>
    </w:pPr>
  </w:p>
  <w:p w:rsidR="00F730A8" w:rsidRPr="00F730A8" w:rsidRDefault="00F730A8">
    <w:pPr>
      <w:pStyle w:val="Header"/>
    </w:pPr>
    <w:r>
      <w:t>ANEXO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4204"/>
    <w:multiLevelType w:val="hybridMultilevel"/>
    <w:tmpl w:val="0680C790"/>
    <w:lvl w:ilvl="0" w:tplc="143A3FC6">
      <w:start w:val="1"/>
      <w:numFmt w:val="lowerLetter"/>
      <w:lvlText w:val="%1)"/>
      <w:lvlJc w:val="left"/>
      <w:pPr>
        <w:ind w:left="1689" w:hanging="555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85B4DE7"/>
    <w:multiLevelType w:val="hybridMultilevel"/>
    <w:tmpl w:val="E22432A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EC63A5"/>
    <w:multiLevelType w:val="hybridMultilevel"/>
    <w:tmpl w:val="66A89402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0FB12BDE"/>
    <w:multiLevelType w:val="hybridMultilevel"/>
    <w:tmpl w:val="4D32E308"/>
    <w:lvl w:ilvl="0" w:tplc="451A8C78">
      <w:start w:val="1"/>
      <w:numFmt w:val="lowerLetter"/>
      <w:lvlText w:val="%1)"/>
      <w:lvlJc w:val="left"/>
      <w:pPr>
        <w:ind w:left="2256" w:hanging="555"/>
      </w:pPr>
      <w:rPr>
        <w:rFonts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2007" w:hanging="360"/>
      </w:pPr>
    </w:lvl>
    <w:lvl w:ilvl="2" w:tplc="580A001B" w:tentative="1">
      <w:start w:val="1"/>
      <w:numFmt w:val="lowerRoman"/>
      <w:lvlText w:val="%3."/>
      <w:lvlJc w:val="right"/>
      <w:pPr>
        <w:ind w:left="2727" w:hanging="180"/>
      </w:pPr>
    </w:lvl>
    <w:lvl w:ilvl="3" w:tplc="580A000F" w:tentative="1">
      <w:start w:val="1"/>
      <w:numFmt w:val="decimal"/>
      <w:lvlText w:val="%4."/>
      <w:lvlJc w:val="left"/>
      <w:pPr>
        <w:ind w:left="3447" w:hanging="360"/>
      </w:pPr>
    </w:lvl>
    <w:lvl w:ilvl="4" w:tplc="580A0019" w:tentative="1">
      <w:start w:val="1"/>
      <w:numFmt w:val="lowerLetter"/>
      <w:lvlText w:val="%5."/>
      <w:lvlJc w:val="left"/>
      <w:pPr>
        <w:ind w:left="4167" w:hanging="360"/>
      </w:pPr>
    </w:lvl>
    <w:lvl w:ilvl="5" w:tplc="580A001B" w:tentative="1">
      <w:start w:val="1"/>
      <w:numFmt w:val="lowerRoman"/>
      <w:lvlText w:val="%6."/>
      <w:lvlJc w:val="right"/>
      <w:pPr>
        <w:ind w:left="4887" w:hanging="180"/>
      </w:pPr>
    </w:lvl>
    <w:lvl w:ilvl="6" w:tplc="580A000F" w:tentative="1">
      <w:start w:val="1"/>
      <w:numFmt w:val="decimal"/>
      <w:lvlText w:val="%7."/>
      <w:lvlJc w:val="left"/>
      <w:pPr>
        <w:ind w:left="5607" w:hanging="360"/>
      </w:pPr>
    </w:lvl>
    <w:lvl w:ilvl="7" w:tplc="580A0019" w:tentative="1">
      <w:start w:val="1"/>
      <w:numFmt w:val="lowerLetter"/>
      <w:lvlText w:val="%8."/>
      <w:lvlJc w:val="left"/>
      <w:pPr>
        <w:ind w:left="6327" w:hanging="360"/>
      </w:pPr>
    </w:lvl>
    <w:lvl w:ilvl="8" w:tplc="5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223439"/>
    <w:multiLevelType w:val="hybridMultilevel"/>
    <w:tmpl w:val="49D83B12"/>
    <w:lvl w:ilvl="0" w:tplc="580A000F">
      <w:start w:val="1"/>
      <w:numFmt w:val="decimal"/>
      <w:lvlText w:val="%1."/>
      <w:lvlJc w:val="left"/>
      <w:pPr>
        <w:ind w:left="6107" w:hanging="360"/>
      </w:pPr>
    </w:lvl>
    <w:lvl w:ilvl="1" w:tplc="580A0019" w:tentative="1">
      <w:start w:val="1"/>
      <w:numFmt w:val="lowerLetter"/>
      <w:lvlText w:val="%2."/>
      <w:lvlJc w:val="left"/>
      <w:pPr>
        <w:ind w:left="6827" w:hanging="360"/>
      </w:pPr>
    </w:lvl>
    <w:lvl w:ilvl="2" w:tplc="580A001B" w:tentative="1">
      <w:start w:val="1"/>
      <w:numFmt w:val="lowerRoman"/>
      <w:lvlText w:val="%3."/>
      <w:lvlJc w:val="right"/>
      <w:pPr>
        <w:ind w:left="7547" w:hanging="180"/>
      </w:pPr>
    </w:lvl>
    <w:lvl w:ilvl="3" w:tplc="580A000F" w:tentative="1">
      <w:start w:val="1"/>
      <w:numFmt w:val="decimal"/>
      <w:lvlText w:val="%4."/>
      <w:lvlJc w:val="left"/>
      <w:pPr>
        <w:ind w:left="8267" w:hanging="360"/>
      </w:pPr>
    </w:lvl>
    <w:lvl w:ilvl="4" w:tplc="580A0019" w:tentative="1">
      <w:start w:val="1"/>
      <w:numFmt w:val="lowerLetter"/>
      <w:lvlText w:val="%5."/>
      <w:lvlJc w:val="left"/>
      <w:pPr>
        <w:ind w:left="8987" w:hanging="360"/>
      </w:pPr>
    </w:lvl>
    <w:lvl w:ilvl="5" w:tplc="580A001B" w:tentative="1">
      <w:start w:val="1"/>
      <w:numFmt w:val="lowerRoman"/>
      <w:lvlText w:val="%6."/>
      <w:lvlJc w:val="right"/>
      <w:pPr>
        <w:ind w:left="9707" w:hanging="180"/>
      </w:pPr>
    </w:lvl>
    <w:lvl w:ilvl="6" w:tplc="580A000F" w:tentative="1">
      <w:start w:val="1"/>
      <w:numFmt w:val="decimal"/>
      <w:lvlText w:val="%7."/>
      <w:lvlJc w:val="left"/>
      <w:pPr>
        <w:ind w:left="10427" w:hanging="360"/>
      </w:pPr>
    </w:lvl>
    <w:lvl w:ilvl="7" w:tplc="580A0019" w:tentative="1">
      <w:start w:val="1"/>
      <w:numFmt w:val="lowerLetter"/>
      <w:lvlText w:val="%8."/>
      <w:lvlJc w:val="left"/>
      <w:pPr>
        <w:ind w:left="11147" w:hanging="360"/>
      </w:pPr>
    </w:lvl>
    <w:lvl w:ilvl="8" w:tplc="580A001B" w:tentative="1">
      <w:start w:val="1"/>
      <w:numFmt w:val="lowerRoman"/>
      <w:lvlText w:val="%9."/>
      <w:lvlJc w:val="right"/>
      <w:pPr>
        <w:ind w:left="11867" w:hanging="180"/>
      </w:pPr>
    </w:lvl>
  </w:abstractNum>
  <w:abstractNum w:abstractNumId="5" w15:restartNumberingAfterBreak="0">
    <w:nsid w:val="176124EA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 w15:restartNumberingAfterBreak="0">
    <w:nsid w:val="231E7C0D"/>
    <w:multiLevelType w:val="hybridMultilevel"/>
    <w:tmpl w:val="B2247F4E"/>
    <w:lvl w:ilvl="0" w:tplc="4C466A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151A4"/>
    <w:multiLevelType w:val="hybridMultilevel"/>
    <w:tmpl w:val="7308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20FF7"/>
    <w:multiLevelType w:val="hybridMultilevel"/>
    <w:tmpl w:val="1F149EFA"/>
    <w:lvl w:ilvl="0" w:tplc="E7FAF318">
      <w:start w:val="1"/>
      <w:numFmt w:val="lowerLetter"/>
      <w:lvlText w:val="%1)"/>
      <w:lvlJc w:val="left"/>
      <w:pPr>
        <w:ind w:left="1137" w:hanging="570"/>
      </w:pPr>
      <w:rPr>
        <w:rFonts w:cs="Times New Roman" w:hint="default"/>
      </w:rPr>
    </w:lvl>
    <w:lvl w:ilvl="1" w:tplc="79BECEC6">
      <w:start w:val="1"/>
      <w:numFmt w:val="lowerLetter"/>
      <w:lvlText w:val="%2)"/>
      <w:lvlJc w:val="left"/>
      <w:pPr>
        <w:ind w:left="1842" w:hanging="555"/>
      </w:pPr>
      <w:rPr>
        <w:rFonts w:cs="Times New Roman" w:hint="default"/>
      </w:rPr>
    </w:lvl>
    <w:lvl w:ilvl="2" w:tplc="580A001B" w:tentative="1">
      <w:start w:val="1"/>
      <w:numFmt w:val="lowerRoman"/>
      <w:lvlText w:val="%3."/>
      <w:lvlJc w:val="right"/>
      <w:pPr>
        <w:ind w:left="2367" w:hanging="180"/>
      </w:pPr>
    </w:lvl>
    <w:lvl w:ilvl="3" w:tplc="580A000F" w:tentative="1">
      <w:start w:val="1"/>
      <w:numFmt w:val="decimal"/>
      <w:lvlText w:val="%4."/>
      <w:lvlJc w:val="left"/>
      <w:pPr>
        <w:ind w:left="3087" w:hanging="360"/>
      </w:pPr>
    </w:lvl>
    <w:lvl w:ilvl="4" w:tplc="580A0019" w:tentative="1">
      <w:start w:val="1"/>
      <w:numFmt w:val="lowerLetter"/>
      <w:lvlText w:val="%5."/>
      <w:lvlJc w:val="left"/>
      <w:pPr>
        <w:ind w:left="3807" w:hanging="360"/>
      </w:pPr>
    </w:lvl>
    <w:lvl w:ilvl="5" w:tplc="580A001B" w:tentative="1">
      <w:start w:val="1"/>
      <w:numFmt w:val="lowerRoman"/>
      <w:lvlText w:val="%6."/>
      <w:lvlJc w:val="right"/>
      <w:pPr>
        <w:ind w:left="4527" w:hanging="180"/>
      </w:pPr>
    </w:lvl>
    <w:lvl w:ilvl="6" w:tplc="580A000F" w:tentative="1">
      <w:start w:val="1"/>
      <w:numFmt w:val="decimal"/>
      <w:lvlText w:val="%7."/>
      <w:lvlJc w:val="left"/>
      <w:pPr>
        <w:ind w:left="5247" w:hanging="360"/>
      </w:pPr>
    </w:lvl>
    <w:lvl w:ilvl="7" w:tplc="580A0019" w:tentative="1">
      <w:start w:val="1"/>
      <w:numFmt w:val="lowerLetter"/>
      <w:lvlText w:val="%8."/>
      <w:lvlJc w:val="left"/>
      <w:pPr>
        <w:ind w:left="5967" w:hanging="360"/>
      </w:pPr>
    </w:lvl>
    <w:lvl w:ilvl="8" w:tplc="5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65804DE"/>
    <w:multiLevelType w:val="hybridMultilevel"/>
    <w:tmpl w:val="CEDC88B2"/>
    <w:lvl w:ilvl="0" w:tplc="4C466A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C4ACB"/>
    <w:multiLevelType w:val="hybridMultilevel"/>
    <w:tmpl w:val="9BAA34B4"/>
    <w:lvl w:ilvl="0" w:tplc="823CC79E">
      <w:start w:val="1"/>
      <w:numFmt w:val="lowerLetter"/>
      <w:lvlText w:val="%1)"/>
      <w:lvlJc w:val="left"/>
      <w:pPr>
        <w:ind w:left="5957" w:hanging="570"/>
      </w:pPr>
      <w:rPr>
        <w:rFonts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6467" w:hanging="360"/>
      </w:pPr>
    </w:lvl>
    <w:lvl w:ilvl="2" w:tplc="580A001B" w:tentative="1">
      <w:start w:val="1"/>
      <w:numFmt w:val="lowerRoman"/>
      <w:lvlText w:val="%3."/>
      <w:lvlJc w:val="right"/>
      <w:pPr>
        <w:ind w:left="7187" w:hanging="180"/>
      </w:pPr>
    </w:lvl>
    <w:lvl w:ilvl="3" w:tplc="580A000F" w:tentative="1">
      <w:start w:val="1"/>
      <w:numFmt w:val="decimal"/>
      <w:lvlText w:val="%4."/>
      <w:lvlJc w:val="left"/>
      <w:pPr>
        <w:ind w:left="7907" w:hanging="360"/>
      </w:pPr>
    </w:lvl>
    <w:lvl w:ilvl="4" w:tplc="580A0019" w:tentative="1">
      <w:start w:val="1"/>
      <w:numFmt w:val="lowerLetter"/>
      <w:lvlText w:val="%5."/>
      <w:lvlJc w:val="left"/>
      <w:pPr>
        <w:ind w:left="8627" w:hanging="360"/>
      </w:pPr>
    </w:lvl>
    <w:lvl w:ilvl="5" w:tplc="580A001B" w:tentative="1">
      <w:start w:val="1"/>
      <w:numFmt w:val="lowerRoman"/>
      <w:lvlText w:val="%6."/>
      <w:lvlJc w:val="right"/>
      <w:pPr>
        <w:ind w:left="9347" w:hanging="180"/>
      </w:pPr>
    </w:lvl>
    <w:lvl w:ilvl="6" w:tplc="580A000F" w:tentative="1">
      <w:start w:val="1"/>
      <w:numFmt w:val="decimal"/>
      <w:lvlText w:val="%7."/>
      <w:lvlJc w:val="left"/>
      <w:pPr>
        <w:ind w:left="10067" w:hanging="360"/>
      </w:pPr>
    </w:lvl>
    <w:lvl w:ilvl="7" w:tplc="580A0019" w:tentative="1">
      <w:start w:val="1"/>
      <w:numFmt w:val="lowerLetter"/>
      <w:lvlText w:val="%8."/>
      <w:lvlJc w:val="left"/>
      <w:pPr>
        <w:ind w:left="10787" w:hanging="360"/>
      </w:pPr>
    </w:lvl>
    <w:lvl w:ilvl="8" w:tplc="580A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1" w15:restartNumberingAfterBreak="0">
    <w:nsid w:val="4FBC2624"/>
    <w:multiLevelType w:val="hybridMultilevel"/>
    <w:tmpl w:val="AEB2904C"/>
    <w:lvl w:ilvl="0" w:tplc="4C466A7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3B801A26">
      <w:start w:val="1"/>
      <w:numFmt w:val="lowerLetter"/>
      <w:lvlText w:val="%2)"/>
      <w:lvlJc w:val="left"/>
      <w:pPr>
        <w:ind w:left="1635" w:hanging="555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B339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13" w15:restartNumberingAfterBreak="0">
    <w:nsid w:val="612C0DA3"/>
    <w:multiLevelType w:val="hybridMultilevel"/>
    <w:tmpl w:val="64520546"/>
    <w:lvl w:ilvl="0" w:tplc="451A8C78">
      <w:start w:val="1"/>
      <w:numFmt w:val="lowerLetter"/>
      <w:lvlText w:val="%1)"/>
      <w:lvlJc w:val="left"/>
      <w:pPr>
        <w:ind w:left="1689" w:hanging="555"/>
      </w:pPr>
      <w:rPr>
        <w:rFonts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2214" w:hanging="360"/>
      </w:pPr>
    </w:lvl>
    <w:lvl w:ilvl="2" w:tplc="580A001B" w:tentative="1">
      <w:start w:val="1"/>
      <w:numFmt w:val="lowerRoman"/>
      <w:lvlText w:val="%3."/>
      <w:lvlJc w:val="right"/>
      <w:pPr>
        <w:ind w:left="2934" w:hanging="180"/>
      </w:pPr>
    </w:lvl>
    <w:lvl w:ilvl="3" w:tplc="580A000F" w:tentative="1">
      <w:start w:val="1"/>
      <w:numFmt w:val="decimal"/>
      <w:lvlText w:val="%4."/>
      <w:lvlJc w:val="left"/>
      <w:pPr>
        <w:ind w:left="3654" w:hanging="360"/>
      </w:pPr>
    </w:lvl>
    <w:lvl w:ilvl="4" w:tplc="580A0019" w:tentative="1">
      <w:start w:val="1"/>
      <w:numFmt w:val="lowerLetter"/>
      <w:lvlText w:val="%5."/>
      <w:lvlJc w:val="left"/>
      <w:pPr>
        <w:ind w:left="4374" w:hanging="360"/>
      </w:pPr>
    </w:lvl>
    <w:lvl w:ilvl="5" w:tplc="580A001B" w:tentative="1">
      <w:start w:val="1"/>
      <w:numFmt w:val="lowerRoman"/>
      <w:lvlText w:val="%6."/>
      <w:lvlJc w:val="right"/>
      <w:pPr>
        <w:ind w:left="5094" w:hanging="180"/>
      </w:pPr>
    </w:lvl>
    <w:lvl w:ilvl="6" w:tplc="580A000F" w:tentative="1">
      <w:start w:val="1"/>
      <w:numFmt w:val="decimal"/>
      <w:lvlText w:val="%7."/>
      <w:lvlJc w:val="left"/>
      <w:pPr>
        <w:ind w:left="5814" w:hanging="360"/>
      </w:pPr>
    </w:lvl>
    <w:lvl w:ilvl="7" w:tplc="580A0019" w:tentative="1">
      <w:start w:val="1"/>
      <w:numFmt w:val="lowerLetter"/>
      <w:lvlText w:val="%8."/>
      <w:lvlJc w:val="left"/>
      <w:pPr>
        <w:ind w:left="6534" w:hanging="360"/>
      </w:pPr>
    </w:lvl>
    <w:lvl w:ilvl="8" w:tplc="5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5972CEA"/>
    <w:multiLevelType w:val="hybridMultilevel"/>
    <w:tmpl w:val="2B04BA76"/>
    <w:lvl w:ilvl="0" w:tplc="66FC4678">
      <w:start w:val="1"/>
      <w:numFmt w:val="decimal"/>
      <w:lvlText w:val="%1."/>
      <w:lvlJc w:val="left"/>
      <w:pPr>
        <w:tabs>
          <w:tab w:val="num" w:pos="1138"/>
        </w:tabs>
        <w:ind w:left="1138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99D0B31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835A80"/>
    <w:multiLevelType w:val="hybridMultilevel"/>
    <w:tmpl w:val="53C2A5D6"/>
    <w:lvl w:ilvl="0" w:tplc="E7FAF318">
      <w:start w:val="1"/>
      <w:numFmt w:val="lowerLetter"/>
      <w:lvlText w:val="%1)"/>
      <w:lvlJc w:val="left"/>
      <w:pPr>
        <w:ind w:left="1137" w:hanging="570"/>
      </w:pPr>
      <w:rPr>
        <w:rFonts w:cs="Times New Roman"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18" w15:restartNumberingAfterBreak="0">
    <w:nsid w:val="7F8031FA"/>
    <w:multiLevelType w:val="hybridMultilevel"/>
    <w:tmpl w:val="E22432A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</w:lvl>
    <w:lvl w:ilvl="1" w:tplc="0409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2535"/>
        </w:tabs>
        <w:ind w:left="2535" w:hanging="555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CB6BCF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7"/>
  </w:num>
  <w:num w:numId="3">
    <w:abstractNumId w:val="1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12"/>
  </w:num>
  <w:num w:numId="9">
    <w:abstractNumId w:val="2"/>
  </w:num>
  <w:num w:numId="10">
    <w:abstractNumId w:val="19"/>
  </w:num>
  <w:num w:numId="11">
    <w:abstractNumId w:val="4"/>
  </w:num>
  <w:num w:numId="12">
    <w:abstractNumId w:val="10"/>
  </w:num>
  <w:num w:numId="13">
    <w:abstractNumId w:val="0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  <w:num w:numId="18">
    <w:abstractNumId w:val="11"/>
  </w:num>
  <w:num w:numId="19">
    <w:abstractNumId w:val="9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65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712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5679B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2ABD"/>
    <w:rsid w:val="002E5944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1407"/>
    <w:rsid w:val="003D227C"/>
    <w:rsid w:val="003D2B4D"/>
    <w:rsid w:val="0040557F"/>
    <w:rsid w:val="004211E8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5733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C1ACD"/>
    <w:rsid w:val="005E4A0B"/>
    <w:rsid w:val="005F694C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5CDE"/>
    <w:rsid w:val="006A644A"/>
    <w:rsid w:val="006B0E16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B6147"/>
    <w:rsid w:val="007C1D92"/>
    <w:rsid w:val="007C4CB9"/>
    <w:rsid w:val="007D0B9D"/>
    <w:rsid w:val="007D19B0"/>
    <w:rsid w:val="007F498F"/>
    <w:rsid w:val="0080679D"/>
    <w:rsid w:val="008108B0"/>
    <w:rsid w:val="00811B20"/>
    <w:rsid w:val="00815BA5"/>
    <w:rsid w:val="008211B5"/>
    <w:rsid w:val="0082296E"/>
    <w:rsid w:val="00824099"/>
    <w:rsid w:val="00846D7C"/>
    <w:rsid w:val="00864C55"/>
    <w:rsid w:val="00867AC1"/>
    <w:rsid w:val="0087133C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13B65"/>
    <w:rsid w:val="00A231BC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7271A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49AB"/>
    <w:rsid w:val="00CF1330"/>
    <w:rsid w:val="00CF7E36"/>
    <w:rsid w:val="00D3708D"/>
    <w:rsid w:val="00D40426"/>
    <w:rsid w:val="00D57C96"/>
    <w:rsid w:val="00D57D18"/>
    <w:rsid w:val="00D80DF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5A94"/>
    <w:rsid w:val="00E32F7E"/>
    <w:rsid w:val="00E5267B"/>
    <w:rsid w:val="00E63C0E"/>
    <w:rsid w:val="00E72D49"/>
    <w:rsid w:val="00E7593C"/>
    <w:rsid w:val="00E7678A"/>
    <w:rsid w:val="00E80567"/>
    <w:rsid w:val="00E935F1"/>
    <w:rsid w:val="00E94A81"/>
    <w:rsid w:val="00EA1FFB"/>
    <w:rsid w:val="00EB048E"/>
    <w:rsid w:val="00EB4E9C"/>
    <w:rsid w:val="00EC2265"/>
    <w:rsid w:val="00EE34DF"/>
    <w:rsid w:val="00EF048A"/>
    <w:rsid w:val="00EF2F89"/>
    <w:rsid w:val="00F03E98"/>
    <w:rsid w:val="00F1237A"/>
    <w:rsid w:val="00F22045"/>
    <w:rsid w:val="00F22CBD"/>
    <w:rsid w:val="00F272F1"/>
    <w:rsid w:val="00F45372"/>
    <w:rsid w:val="00F560F7"/>
    <w:rsid w:val="00F6334D"/>
    <w:rsid w:val="00F730A8"/>
    <w:rsid w:val="00F77AE0"/>
    <w:rsid w:val="00F82816"/>
    <w:rsid w:val="00FA49AB"/>
    <w:rsid w:val="00FC419C"/>
    <w:rsid w:val="00FD05DF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D9F9733"/>
  <w15:docId w15:val="{9BC23478-5931-4782-BAD8-D3631D29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F22045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F2204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22045"/>
    <w:rPr>
      <w:rFonts w:ascii="Arial" w:hAnsi="Arial"/>
      <w:i/>
    </w:rPr>
  </w:style>
  <w:style w:type="table" w:styleId="TableGrid">
    <w:name w:val="Table Grid"/>
    <w:basedOn w:val="TableNormal"/>
    <w:uiPriority w:val="39"/>
    <w:rsid w:val="00F2204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cisionParagraphsChar">
    <w:name w:val="DecisionParagraphs Char"/>
    <w:basedOn w:val="DefaultParagraphFont"/>
    <w:link w:val="DecisionParagraphs"/>
    <w:rsid w:val="00F22045"/>
    <w:rPr>
      <w:rFonts w:ascii="Arial" w:hAnsi="Arial"/>
      <w:i/>
      <w:lang w:val="es-ES"/>
    </w:rPr>
  </w:style>
  <w:style w:type="character" w:customStyle="1" w:styleId="HeaderChar">
    <w:name w:val="Header Char"/>
    <w:basedOn w:val="DefaultParagraphFont"/>
    <w:link w:val="Header"/>
    <w:rsid w:val="00F730A8"/>
    <w:rPr>
      <w:rFonts w:ascii="Arial" w:hAnsi="Arial"/>
      <w:lang w:val="es-ES"/>
    </w:rPr>
  </w:style>
  <w:style w:type="paragraph" w:styleId="ListParagraph">
    <w:name w:val="List Paragraph"/>
    <w:basedOn w:val="Normal"/>
    <w:uiPriority w:val="34"/>
    <w:qFormat/>
    <w:rsid w:val="00F730A8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rsid w:val="00F730A8"/>
    <w:pPr>
      <w:ind w:left="1701" w:hanging="1701"/>
    </w:pPr>
    <w:rPr>
      <w:rFonts w:ascii="Times New Roman" w:hAnsi="Times New Roman" w:cs="Angsana New"/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730A8"/>
    <w:rPr>
      <w:rFonts w:cs="Angsana New"/>
      <w:color w:val="000000"/>
      <w:sz w:val="24"/>
      <w:szCs w:val="24"/>
      <w:lang w:eastAsia="es-ES" w:bidi="es-ES"/>
    </w:rPr>
  </w:style>
  <w:style w:type="paragraph" w:styleId="CommentText">
    <w:name w:val="annotation text"/>
    <w:basedOn w:val="Normal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1588</Words>
  <Characters>7985</Characters>
  <Application>Microsoft Office Word</Application>
  <DocSecurity>0</DocSecurity>
  <Lines>66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TC/55/5 Add.</vt:lpstr>
      <vt:lpstr>TC/55/5 Add.</vt:lpstr>
    </vt:vector>
  </TitlesOfParts>
  <Company>UPOV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TC/55/5 Add.</dc:title>
  <dc:creator>CEVALLOS DUQUE Nilo</dc:creator>
  <cp:lastModifiedBy>MAY Jessica</cp:lastModifiedBy>
  <cp:revision>5</cp:revision>
  <cp:lastPrinted>2016-11-22T15:41:00Z</cp:lastPrinted>
  <dcterms:created xsi:type="dcterms:W3CDTF">2019-10-24T12:15:00Z</dcterms:created>
  <dcterms:modified xsi:type="dcterms:W3CDTF">2019-10-24T12:19:00Z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82ff9698-7f6e-478b-90be-a1ad77527671</vt:lpwstr>
  </property>
</Properties>
</file>