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>
              <w:t>Quincuagésima quinta sesión</w:t>
            </w:r>
            <w:r>
              <w:br/>
              <w:t>Ginebra, 28 y 29 de octubre de 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TC/55/8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 w:rsidR="00857908">
              <w:rPr>
                <w:b w:val="0"/>
                <w:spacing w:val="0"/>
              </w:rPr>
              <w:t xml:space="preserve"> </w:t>
            </w:r>
            <w:proofErr w:type="gramStart"/>
            <w:r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EB4E9C" w:rsidP="00426B82">
            <w:pPr>
              <w:pStyle w:val="Docoriginal"/>
            </w:pPr>
            <w:r>
              <w:t>Fecha:</w:t>
            </w:r>
            <w:r w:rsidR="00857908">
              <w:rPr>
                <w:b w:val="0"/>
                <w:spacing w:val="0"/>
              </w:rPr>
              <w:t xml:space="preserve"> </w:t>
            </w:r>
            <w:r w:rsidRPr="00217918">
              <w:rPr>
                <w:b w:val="0"/>
                <w:spacing w:val="0"/>
              </w:rPr>
              <w:t>12 de agosto de 2019</w:t>
            </w:r>
          </w:p>
        </w:tc>
      </w:tr>
    </w:tbl>
    <w:p w:rsidR="000D7780" w:rsidRPr="006A644A" w:rsidRDefault="003E646B" w:rsidP="006A644A">
      <w:pPr>
        <w:pStyle w:val="Titleofdoc0"/>
      </w:pPr>
      <w:bookmarkStart w:id="0" w:name="TitleOfDoc"/>
      <w:bookmarkEnd w:id="0"/>
      <w:r>
        <w:t>Denominaciones de variedades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>
        <w:t>Documento preparado por la Oficina de la Unión</w:t>
      </w:r>
    </w:p>
    <w:p w:rsidR="00050E16" w:rsidRPr="006A644A" w:rsidRDefault="00050E16" w:rsidP="006A644A">
      <w:pPr>
        <w:pStyle w:val="Disclaimer"/>
      </w:pPr>
      <w:r>
        <w:t>Descargo de responsabilidad:</w:t>
      </w:r>
      <w:r w:rsidR="00857908">
        <w:t xml:space="preserve"> </w:t>
      </w:r>
      <w:r>
        <w:t>el presente documento no constituye un documento de política u orientación de la UPOV</w:t>
      </w:r>
    </w:p>
    <w:p w:rsidR="00E233AE" w:rsidRPr="007678AB" w:rsidRDefault="00E233AE" w:rsidP="00E233AE">
      <w:pPr>
        <w:pStyle w:val="Heading1"/>
        <w:rPr>
          <w:rFonts w:eastAsia="MS Mincho"/>
        </w:rPr>
      </w:pPr>
      <w:bookmarkStart w:id="2" w:name="_Toc438649862"/>
      <w:bookmarkStart w:id="3" w:name="_Ref438649598"/>
      <w:bookmarkStart w:id="4" w:name="_Toc477358702"/>
      <w:bookmarkStart w:id="5" w:name="_Toc535497879"/>
      <w:bookmarkStart w:id="6" w:name="_Toc15481357"/>
      <w:bookmarkStart w:id="7" w:name="_Toc17354882"/>
      <w:r>
        <w:t>RESUMEN</w:t>
      </w:r>
      <w:bookmarkEnd w:id="2"/>
      <w:bookmarkEnd w:id="3"/>
      <w:bookmarkEnd w:id="4"/>
      <w:bookmarkEnd w:id="5"/>
      <w:bookmarkEnd w:id="6"/>
      <w:bookmarkEnd w:id="7"/>
    </w:p>
    <w:p w:rsidR="00E233AE" w:rsidRPr="006A1461" w:rsidRDefault="00E233AE" w:rsidP="00E233AE">
      <w:pPr>
        <w:rPr>
          <w:rFonts w:eastAsia="MS Mincho"/>
        </w:rPr>
      </w:pPr>
    </w:p>
    <w:p w:rsidR="00E233AE" w:rsidRPr="007645E0" w:rsidRDefault="00E233AE" w:rsidP="007645E0">
      <w:pPr>
        <w:pStyle w:val="ListParagraph"/>
        <w:numPr>
          <w:ilvl w:val="0"/>
          <w:numId w:val="4"/>
        </w:numPr>
        <w:rPr>
          <w:rFonts w:eastAsiaTheme="minorEastAsia" w:cs="Arial"/>
          <w:snapToGrid w:val="0"/>
        </w:rPr>
      </w:pPr>
      <w:r>
        <w:t>Este documento tiene por objeto presentar las cuestiones sujetas al examen del Comité Técnico (TC) relativas a las propuestas de revis</w:t>
      </w:r>
      <w:r w:rsidR="00EF0140">
        <w:t>ión de</w:t>
      </w:r>
      <w:r>
        <w:t xml:space="preserve"> la lista de clases que figura en el documento UPOV/INF/12 “Notas explicativas sobre las denominaciones de variedades con arreglo al Convenio de la UPOV”.</w:t>
      </w:r>
    </w:p>
    <w:p w:rsidR="0037708B" w:rsidRPr="0037708B" w:rsidRDefault="0037708B" w:rsidP="0037708B">
      <w:pPr>
        <w:rPr>
          <w:rFonts w:eastAsiaTheme="minorEastAsia"/>
        </w:rPr>
      </w:pPr>
    </w:p>
    <w:p w:rsidR="0037708B" w:rsidRPr="0037708B" w:rsidRDefault="0037708B" w:rsidP="007645E0">
      <w:pPr>
        <w:pStyle w:val="ListParagraph"/>
        <w:numPr>
          <w:ilvl w:val="0"/>
          <w:numId w:val="4"/>
        </w:numPr>
      </w:pPr>
      <w:r>
        <w:t>Las cuestiones para información al TC re</w:t>
      </w:r>
      <w:r w:rsidR="008806C3">
        <w:t>lativ</w:t>
      </w:r>
      <w:r>
        <w:t>as a las denominaciones de variedades se exponen en el documento TC/55/INF/7 “Denominaciones de variedades: cuestiones para información”.</w:t>
      </w:r>
    </w:p>
    <w:p w:rsidR="00E233AE" w:rsidRPr="001D0F2A" w:rsidRDefault="00E233AE" w:rsidP="006A1461">
      <w:pPr>
        <w:rPr>
          <w:rFonts w:eastAsiaTheme="minorEastAsia"/>
          <w:snapToGrid w:val="0"/>
        </w:rPr>
      </w:pPr>
    </w:p>
    <w:p w:rsidR="00E233AE" w:rsidRPr="007645E0" w:rsidRDefault="00E233AE" w:rsidP="007645E0">
      <w:pPr>
        <w:pStyle w:val="ListParagraph"/>
        <w:numPr>
          <w:ilvl w:val="0"/>
          <w:numId w:val="4"/>
        </w:numPr>
        <w:rPr>
          <w:rFonts w:eastAsiaTheme="minorEastAsia" w:cs="Arial"/>
          <w:snapToGrid w:val="0"/>
        </w:rPr>
      </w:pPr>
      <w:r>
        <w:t xml:space="preserve">Se invita al TC a examinar las propuestas de revisión de la lista de clases que figuran en el documento UPOV/INF/12/5, expuestas en el </w:t>
      </w:r>
      <w:r w:rsidRPr="009034E2">
        <w:t>párrafo </w:t>
      </w:r>
      <w:r w:rsidRPr="009034E2">
        <w:rPr>
          <w:rFonts w:eastAsiaTheme="minorEastAsia"/>
          <w:snapToGrid w:val="0"/>
        </w:rPr>
        <w:t>10</w:t>
      </w:r>
      <w:r w:rsidRPr="009034E2">
        <w:t xml:space="preserve"> de</w:t>
      </w:r>
      <w:r>
        <w:t xml:space="preserve"> este documento, junto con las observaciones formuladas por el TWV en su quincuagésima tercera sesión y el TWA en su cuadragésima octava sesión.</w:t>
      </w:r>
    </w:p>
    <w:p w:rsidR="00E233AE" w:rsidRPr="00E233AE" w:rsidRDefault="00E233AE" w:rsidP="00E233AE">
      <w:pPr>
        <w:ind w:firstLine="567"/>
        <w:rPr>
          <w:rFonts w:eastAsia="MS Mincho" w:cs="Arial"/>
          <w:highlight w:val="yellow"/>
        </w:rPr>
      </w:pPr>
    </w:p>
    <w:p w:rsidR="00E233AE" w:rsidRPr="007645E0" w:rsidRDefault="00E233AE" w:rsidP="007645E0">
      <w:pPr>
        <w:pStyle w:val="ListParagraph"/>
        <w:keepNext/>
        <w:numPr>
          <w:ilvl w:val="0"/>
          <w:numId w:val="4"/>
        </w:numPr>
        <w:rPr>
          <w:rFonts w:eastAsiaTheme="minorEastAsia" w:cs="Arial"/>
          <w:color w:val="000000"/>
        </w:rPr>
      </w:pPr>
      <w:r>
        <w:t xml:space="preserve">En </w:t>
      </w:r>
      <w:r w:rsidR="00EF0140">
        <w:t>este</w:t>
      </w:r>
      <w:r>
        <w:t xml:space="preserve"> documento se utilizan las abreviaturas siguientes:</w:t>
      </w:r>
    </w:p>
    <w:p w:rsidR="00E233AE" w:rsidRPr="00E233AE" w:rsidRDefault="00E233AE" w:rsidP="00E233AE">
      <w:pPr>
        <w:keepNext/>
        <w:ind w:left="1692" w:hanging="1125"/>
        <w:jc w:val="left"/>
        <w:rPr>
          <w:rFonts w:eastAsiaTheme="minorEastAsia" w:cs="Arial"/>
          <w:color w:val="000000"/>
        </w:rPr>
      </w:pPr>
    </w:p>
    <w:p w:rsidR="00BD6602" w:rsidRPr="00962F67" w:rsidRDefault="00BD6602" w:rsidP="00BD6602">
      <w:pPr>
        <w:keepNext/>
        <w:tabs>
          <w:tab w:val="left" w:pos="567"/>
          <w:tab w:val="left" w:pos="1843"/>
        </w:tabs>
        <w:ind w:firstLine="567"/>
      </w:pPr>
      <w:r>
        <w:t>CAJ:</w:t>
      </w:r>
      <w:r>
        <w:tab/>
        <w:t>Comité Administrativo y Jurídico</w:t>
      </w:r>
    </w:p>
    <w:p w:rsidR="00BD6602" w:rsidRPr="00962F67" w:rsidRDefault="00BD6602" w:rsidP="00BD6602">
      <w:pPr>
        <w:keepNext/>
        <w:tabs>
          <w:tab w:val="left" w:pos="567"/>
          <w:tab w:val="left" w:pos="1843"/>
        </w:tabs>
        <w:ind w:firstLine="567"/>
      </w:pPr>
      <w:r>
        <w:t>TC:</w:t>
      </w:r>
      <w:r>
        <w:tab/>
        <w:t>Comité Técnico</w:t>
      </w:r>
    </w:p>
    <w:p w:rsidR="00E233AE" w:rsidRPr="00E233AE" w:rsidRDefault="00E233AE" w:rsidP="00BD6602">
      <w:pPr>
        <w:tabs>
          <w:tab w:val="left" w:pos="567"/>
          <w:tab w:val="left" w:pos="1843"/>
        </w:tabs>
        <w:ind w:firstLine="567"/>
        <w:rPr>
          <w:rFonts w:eastAsia="PMingLiU" w:cs="Arial"/>
        </w:rPr>
      </w:pPr>
      <w:r>
        <w:t>TWA</w:t>
      </w:r>
      <w:r>
        <w:tab/>
        <w:t>Grupo de Trabajo Técnico sobre Plantas Agrícolas</w:t>
      </w:r>
    </w:p>
    <w:p w:rsidR="00E233AE" w:rsidRPr="00E233AE" w:rsidRDefault="00E233AE" w:rsidP="006975D8">
      <w:pPr>
        <w:tabs>
          <w:tab w:val="left" w:pos="567"/>
          <w:tab w:val="left" w:pos="1843"/>
        </w:tabs>
        <w:ind w:left="567"/>
        <w:rPr>
          <w:rFonts w:eastAsiaTheme="minorEastAsia" w:cs="Arial"/>
        </w:rPr>
      </w:pPr>
      <w:r>
        <w:t>TWV:</w:t>
      </w:r>
      <w:r>
        <w:tab/>
        <w:t>Grupo de Trabajo Técnico sobre Hortalizas</w:t>
      </w:r>
    </w:p>
    <w:p w:rsidR="00E233AE" w:rsidRPr="00E233AE" w:rsidRDefault="00E233AE" w:rsidP="006975D8">
      <w:pPr>
        <w:tabs>
          <w:tab w:val="left" w:pos="567"/>
          <w:tab w:val="left" w:pos="1843"/>
        </w:tabs>
        <w:ind w:left="567"/>
        <w:rPr>
          <w:rFonts w:eastAsiaTheme="minorEastAsia" w:cs="Arial"/>
        </w:rPr>
      </w:pPr>
      <w:r>
        <w:t>WG-DEN:</w:t>
      </w:r>
      <w:r>
        <w:tab/>
        <w:t>Grupo de Trabajo sobre Denominaciones de Variedades</w:t>
      </w:r>
    </w:p>
    <w:p w:rsidR="00E233AE" w:rsidRDefault="00E233AE" w:rsidP="00050E16">
      <w:pPr>
        <w:rPr>
          <w:snapToGrid w:val="0"/>
        </w:rPr>
      </w:pPr>
    </w:p>
    <w:p w:rsidR="00E233AE" w:rsidRPr="00E233AE" w:rsidRDefault="00E233AE" w:rsidP="00E233AE">
      <w:pPr>
        <w:jc w:val="left"/>
        <w:rPr>
          <w:rFonts w:eastAsia="MS Mincho" w:cs="Arial"/>
          <w:snapToGrid w:val="0"/>
        </w:rPr>
      </w:pPr>
    </w:p>
    <w:p w:rsidR="00E233AE" w:rsidRPr="007645E0" w:rsidRDefault="00E233AE" w:rsidP="007645E0">
      <w:pPr>
        <w:pStyle w:val="ListParagraph"/>
        <w:keepNext/>
        <w:keepLines/>
        <w:numPr>
          <w:ilvl w:val="0"/>
          <w:numId w:val="4"/>
        </w:numPr>
        <w:rPr>
          <w:rFonts w:eastAsia="MS Mincho"/>
        </w:rPr>
      </w:pPr>
      <w:r>
        <w:t>El presente documento se estructura del modo siguiente:</w:t>
      </w:r>
    </w:p>
    <w:p w:rsidR="00E233AE" w:rsidRPr="00E233AE" w:rsidRDefault="00E233AE" w:rsidP="00E233AE">
      <w:pPr>
        <w:keepNext/>
        <w:keepLines/>
        <w:rPr>
          <w:rFonts w:eastAsia="MS Mincho"/>
        </w:rPr>
      </w:pPr>
    </w:p>
    <w:p w:rsidR="00857908" w:rsidRDefault="00E233AE" w:rsidP="007645E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 w:rsidRPr="00E233AE">
        <w:rPr>
          <w:rFonts w:cs="Arial"/>
          <w:noProof/>
        </w:rPr>
        <w:fldChar w:fldCharType="begin"/>
      </w:r>
      <w:r w:rsidRPr="00E233AE">
        <w:rPr>
          <w:rFonts w:cs="Arial"/>
          <w:noProof/>
        </w:rPr>
        <w:instrText xml:space="preserve"> TOC \o "1-2" \u </w:instrText>
      </w:r>
      <w:r w:rsidRPr="00E233AE">
        <w:rPr>
          <w:rFonts w:cs="Arial"/>
          <w:noProof/>
        </w:rPr>
        <w:fldChar w:fldCharType="separate"/>
      </w:r>
      <w:r w:rsidR="00857908">
        <w:rPr>
          <w:noProof/>
        </w:rPr>
        <w:t>RESUMEN</w:t>
      </w:r>
      <w:r w:rsidR="00857908">
        <w:rPr>
          <w:noProof/>
        </w:rPr>
        <w:tab/>
      </w:r>
      <w:r w:rsidR="00857908">
        <w:rPr>
          <w:noProof/>
        </w:rPr>
        <w:fldChar w:fldCharType="begin"/>
      </w:r>
      <w:r w:rsidR="00857908">
        <w:rPr>
          <w:noProof/>
        </w:rPr>
        <w:instrText xml:space="preserve"> PAGEREF _Toc17354882 \h </w:instrText>
      </w:r>
      <w:r w:rsidR="00857908">
        <w:rPr>
          <w:noProof/>
        </w:rPr>
      </w:r>
      <w:r w:rsidR="00857908">
        <w:rPr>
          <w:noProof/>
        </w:rPr>
        <w:fldChar w:fldCharType="separate"/>
      </w:r>
      <w:r w:rsidR="00857908">
        <w:rPr>
          <w:noProof/>
        </w:rPr>
        <w:t>1</w:t>
      </w:r>
      <w:r w:rsidR="00857908">
        <w:rPr>
          <w:noProof/>
        </w:rPr>
        <w:fldChar w:fldCharType="end"/>
      </w:r>
    </w:p>
    <w:p w:rsidR="00857908" w:rsidRDefault="00857908" w:rsidP="007645E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noProof/>
        </w:rPr>
        <w:t>ANTECEDENTES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_Toc17354883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57908" w:rsidRDefault="00857908" w:rsidP="007645E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noProof/>
        </w:rPr>
        <w:t>Novedades acaecidas en 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_Toc17354884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57908" w:rsidRDefault="0085790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noProof/>
        </w:rPr>
        <w:t>Grupo de Trabajo sobre Denominaciones de Variedades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_Toc17354885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57908" w:rsidRDefault="0085790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noProof/>
        </w:rPr>
        <w:t>Comité Administrativo y Jurídico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_Toc17354886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57908" w:rsidRDefault="00857908" w:rsidP="007645E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noProof/>
        </w:rPr>
        <w:t>Novedades acaecidas en 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_Toc17354887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57908" w:rsidRDefault="0085790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noProof/>
        </w:rPr>
        <w:t>Grupo de Trabajo Técnico sobre Hortalizas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_Toc17354888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57908" w:rsidRDefault="0085790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pPr>
      <w:r>
        <w:rPr>
          <w:noProof/>
        </w:rPr>
        <w:t>Grupo de Trabajo Técnico sobre Plantas Agrícolas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_Toc17354889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61009" w:rsidRPr="007645E0" w:rsidRDefault="00E233AE" w:rsidP="007645E0">
      <w:pPr>
        <w:pStyle w:val="TOC1"/>
        <w:rPr>
          <w:rFonts w:eastAsiaTheme="minorEastAsia" w:cs="Arial"/>
          <w:noProof/>
          <w:sz w:val="20"/>
        </w:rPr>
      </w:pPr>
      <w:r w:rsidRPr="00E233AE">
        <w:rPr>
          <w:rFonts w:eastAsiaTheme="minorEastAsia"/>
        </w:rPr>
        <w:fldChar w:fldCharType="end"/>
      </w:r>
    </w:p>
    <w:p w:rsidR="00D11A84" w:rsidRPr="007645E0" w:rsidRDefault="00D11A84" w:rsidP="00D11A84">
      <w:pPr>
        <w:keepNext/>
        <w:rPr>
          <w:rFonts w:eastAsiaTheme="minorEastAsia" w:cs="Arial"/>
          <w:snapToGrid w:val="0"/>
        </w:rPr>
      </w:pPr>
    </w:p>
    <w:p w:rsidR="002A5F4A" w:rsidRPr="003E6A0B" w:rsidRDefault="002A5F4A" w:rsidP="006B4B6B">
      <w:pPr>
        <w:pStyle w:val="Heading1"/>
      </w:pPr>
      <w:bookmarkStart w:id="8" w:name="_Toc494448021"/>
      <w:bookmarkStart w:id="9" w:name="_Toc524684961"/>
      <w:bookmarkStart w:id="10" w:name="_Toc15481358"/>
      <w:bookmarkStart w:id="11" w:name="_Toc17354883"/>
      <w:r>
        <w:t>ANTECEDENTES</w:t>
      </w:r>
      <w:bookmarkEnd w:id="8"/>
      <w:bookmarkEnd w:id="9"/>
      <w:bookmarkEnd w:id="10"/>
      <w:bookmarkEnd w:id="11"/>
    </w:p>
    <w:p w:rsidR="002A5F4A" w:rsidRDefault="002A5F4A" w:rsidP="00D11A84">
      <w:pPr>
        <w:keepNext/>
        <w:rPr>
          <w:rFonts w:eastAsiaTheme="minorEastAsia"/>
          <w:snapToGrid w:val="0"/>
        </w:rPr>
      </w:pPr>
    </w:p>
    <w:p w:rsidR="00D11A84" w:rsidRPr="007645E0" w:rsidRDefault="00D11A84" w:rsidP="007645E0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Los antecedentes de esta cuestión figuran en los párrafos 6 a 10 del documento TC/54/12 “Denominaciones de variedades”.</w:t>
      </w:r>
    </w:p>
    <w:p w:rsidR="002A5F4A" w:rsidRDefault="002A5F4A" w:rsidP="00417F52"/>
    <w:p w:rsidR="00417F52" w:rsidRDefault="00417F52" w:rsidP="00417F52"/>
    <w:p w:rsidR="002A5F4A" w:rsidRPr="003E6A0B" w:rsidRDefault="002A5F4A" w:rsidP="006B4B6B">
      <w:pPr>
        <w:pStyle w:val="Heading1"/>
      </w:pPr>
      <w:bookmarkStart w:id="12" w:name="_Toc524684962"/>
      <w:bookmarkStart w:id="13" w:name="_Toc15481359"/>
      <w:bookmarkStart w:id="14" w:name="_Toc17354884"/>
      <w:r>
        <w:lastRenderedPageBreak/>
        <w:t>Novedades acaecidas en 2018</w:t>
      </w:r>
      <w:bookmarkEnd w:id="12"/>
      <w:bookmarkEnd w:id="13"/>
      <w:bookmarkEnd w:id="14"/>
    </w:p>
    <w:p w:rsidR="00D11A84" w:rsidRDefault="00D11A84" w:rsidP="00D11A84">
      <w:pPr>
        <w:keepNext/>
      </w:pPr>
    </w:p>
    <w:p w:rsidR="0041268C" w:rsidRPr="003E6A0B" w:rsidRDefault="00E61009" w:rsidP="0041268C">
      <w:pPr>
        <w:pStyle w:val="Heading2"/>
      </w:pPr>
      <w:bookmarkStart w:id="15" w:name="_Toc15481360"/>
      <w:bookmarkStart w:id="16" w:name="_Toc17354885"/>
      <w:r>
        <w:t>Grupo de Trabajo sobre Denominaciones de Variedades</w:t>
      </w:r>
      <w:bookmarkEnd w:id="15"/>
      <w:bookmarkEnd w:id="16"/>
    </w:p>
    <w:p w:rsidR="0041268C" w:rsidRDefault="0041268C" w:rsidP="00D11A84">
      <w:pPr>
        <w:keepNext/>
      </w:pPr>
    </w:p>
    <w:p w:rsidR="00D11A84" w:rsidRPr="007645E0" w:rsidRDefault="00D11A84" w:rsidP="007645E0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7645E0">
        <w:t>En su quinta reunión, celebrada en Ginebra, el 30 de octubre de 2018, el Grupo de Trabajo sobre Denominaciones de Variedades (WG-DEN) examinó los documentos UPOV/WG-DEN/5/2 “</w:t>
      </w:r>
      <w:r w:rsidRPr="007645E0">
        <w:rPr>
          <w:i/>
        </w:rPr>
        <w:t>Revision of Document UPOV/INF/12/5 ‘Explanatory Notes on Variety Denominations under the UPOV Convention</w:t>
      </w:r>
      <w:r w:rsidRPr="007645E0">
        <w:t>’” (Revisión del documento UPOV/INF/12/5 “Notas explicativas sobre las denominaciones de variedades con arreglo al Convenio de la UPOV”) y UPOV/EXN/DEN/1 Draft 1 “</w:t>
      </w:r>
      <w:r w:rsidRPr="007645E0">
        <w:rPr>
          <w:i/>
        </w:rPr>
        <w:t xml:space="preserve">Explanatory Notes </w:t>
      </w:r>
      <w:proofErr w:type="spellStart"/>
      <w:r w:rsidRPr="007645E0">
        <w:rPr>
          <w:i/>
        </w:rPr>
        <w:t>on</w:t>
      </w:r>
      <w:proofErr w:type="spellEnd"/>
      <w:r w:rsidRPr="007645E0">
        <w:rPr>
          <w:i/>
        </w:rPr>
        <w:t xml:space="preserve"> </w:t>
      </w:r>
      <w:proofErr w:type="spellStart"/>
      <w:r w:rsidRPr="007645E0">
        <w:rPr>
          <w:i/>
        </w:rPr>
        <w:t>Variety</w:t>
      </w:r>
      <w:proofErr w:type="spellEnd"/>
      <w:r w:rsidRPr="007645E0">
        <w:rPr>
          <w:i/>
        </w:rPr>
        <w:t xml:space="preserve"> </w:t>
      </w:r>
      <w:proofErr w:type="spellStart"/>
      <w:r w:rsidRPr="007645E0">
        <w:rPr>
          <w:i/>
        </w:rPr>
        <w:t>Denominations</w:t>
      </w:r>
      <w:proofErr w:type="spellEnd"/>
      <w:r w:rsidRPr="007645E0">
        <w:rPr>
          <w:i/>
        </w:rPr>
        <w:t xml:space="preserve"> </w:t>
      </w:r>
      <w:proofErr w:type="spellStart"/>
      <w:r w:rsidRPr="007645E0">
        <w:rPr>
          <w:i/>
        </w:rPr>
        <w:t>under</w:t>
      </w:r>
      <w:proofErr w:type="spellEnd"/>
      <w:r w:rsidRPr="007645E0">
        <w:rPr>
          <w:i/>
        </w:rPr>
        <w:t xml:space="preserve"> </w:t>
      </w:r>
      <w:proofErr w:type="spellStart"/>
      <w:r w:rsidRPr="007645E0">
        <w:rPr>
          <w:i/>
        </w:rPr>
        <w:t>the</w:t>
      </w:r>
      <w:proofErr w:type="spellEnd"/>
      <w:r w:rsidRPr="007645E0">
        <w:rPr>
          <w:i/>
        </w:rPr>
        <w:t xml:space="preserve"> UPOV </w:t>
      </w:r>
      <w:proofErr w:type="spellStart"/>
      <w:r w:rsidRPr="007645E0">
        <w:rPr>
          <w:i/>
        </w:rPr>
        <w:t>Convention</w:t>
      </w:r>
      <w:proofErr w:type="spellEnd"/>
      <w:r w:rsidRPr="007645E0">
        <w:t xml:space="preserve">”, </w:t>
      </w:r>
      <w:r w:rsidR="00B9642B" w:rsidRPr="007645E0">
        <w:t xml:space="preserve">que incorpora las propuestas que el WG-DEN ha convenido anteriormente </w:t>
      </w:r>
      <w:r w:rsidRPr="007645E0">
        <w:t>o que se acordó examinar más a fondo. En el documento UPOV/WG-DEN/5/3 “</w:t>
      </w:r>
      <w:r w:rsidRPr="007645E0">
        <w:rPr>
          <w:i/>
        </w:rPr>
        <w:t>Report</w:t>
      </w:r>
      <w:r w:rsidRPr="007645E0">
        <w:t>” (Informe) figura un informe de la reunión.</w:t>
      </w:r>
    </w:p>
    <w:p w:rsidR="00D11A84" w:rsidRPr="001E00AA" w:rsidRDefault="00D11A84" w:rsidP="00D11A84"/>
    <w:p w:rsidR="00D11A84" w:rsidRPr="007645E0" w:rsidRDefault="00D11A84" w:rsidP="007645E0">
      <w:pPr>
        <w:pStyle w:val="ListParagraph"/>
        <w:numPr>
          <w:ilvl w:val="0"/>
          <w:numId w:val="4"/>
        </w:numPr>
        <w:rPr>
          <w:rFonts w:cs="Arial"/>
          <w:snapToGrid w:val="0"/>
        </w:rPr>
      </w:pPr>
      <w:r>
        <w:t>El WG-DEN convino en que se distribuyera una nueva versión de las secciones pertinentes del documento UPOV/EXN/DEN para que se formularan observaciones por correspondencia a este grupo de trabajo a principios de 2019.</w:t>
      </w:r>
      <w:r w:rsidR="00857908">
        <w:t xml:space="preserve"> </w:t>
      </w:r>
      <w:r>
        <w:t xml:space="preserve">El 18 de abril de 2019, la Oficina de la Unión envió la Circular E-19/041 a las personas designadas de los miembros de la Unión para asistir al WG-DEN, en la que se las invitaba a examinar las propuestas relativas a las secciones pertinentes del documento UPOV/EXN/DEN/1 Draft 2 “Notas explicativas sobre las denominaciones de variedades con arreglo al Convenio de la UPOV” y remitir sus </w:t>
      </w:r>
      <w:r w:rsidR="001652AB">
        <w:t>observaciones</w:t>
      </w:r>
      <w:r>
        <w:t xml:space="preserve"> a dichas propuestas.</w:t>
      </w:r>
      <w:r w:rsidR="00857908">
        <w:t xml:space="preserve"> </w:t>
      </w:r>
    </w:p>
    <w:p w:rsidR="00D11A84" w:rsidRPr="001E00AA" w:rsidRDefault="00D11A84" w:rsidP="00D11A84">
      <w:pPr>
        <w:autoSpaceDE w:val="0"/>
        <w:autoSpaceDN w:val="0"/>
        <w:adjustRightInd w:val="0"/>
        <w:jc w:val="left"/>
        <w:rPr>
          <w:rFonts w:eastAsiaTheme="minorEastAsia"/>
          <w:szCs w:val="24"/>
        </w:rPr>
      </w:pPr>
    </w:p>
    <w:p w:rsidR="00D11A84" w:rsidRPr="001E00AA" w:rsidRDefault="00D11A84" w:rsidP="007645E0">
      <w:pPr>
        <w:pStyle w:val="ListParagraph"/>
        <w:numPr>
          <w:ilvl w:val="0"/>
          <w:numId w:val="4"/>
        </w:numPr>
      </w:pPr>
      <w:r>
        <w:t>El WG-DEN convino en que el documento UPOV/EXN/DEN/1 Draft 2 ha de elaborarse teniendo en cuenta las observaciones recibidas por correspondencia y ha de presentarse en la sexta reunión del</w:t>
      </w:r>
      <w:r w:rsidR="00853A72">
        <w:t> </w:t>
      </w:r>
      <w:r>
        <w:t>WG</w:t>
      </w:r>
      <w:r w:rsidR="00853A72">
        <w:noBreakHyphen/>
      </w:r>
      <w:r>
        <w:t>DEN, y en la septuagésima sexta sesión del Comité Administrativo y Jurídico (CAJ), prevista el 30 de octubre de 2019.</w:t>
      </w:r>
      <w:r w:rsidR="00857908">
        <w:t xml:space="preserve"> </w:t>
      </w:r>
      <w:r>
        <w:t xml:space="preserve">Las observaciones formuladas por el WG-DEN en su sexta reunión se presentarán al CAJ en su septuagésima sexta sesión. </w:t>
      </w:r>
    </w:p>
    <w:p w:rsidR="00B5693A" w:rsidRPr="00B5693A" w:rsidRDefault="00B5693A" w:rsidP="00B5693A"/>
    <w:p w:rsidR="0041268C" w:rsidRPr="003E6A0B" w:rsidRDefault="00E61009" w:rsidP="0041268C">
      <w:pPr>
        <w:pStyle w:val="Heading2"/>
      </w:pPr>
      <w:bookmarkStart w:id="17" w:name="_Toc15481361"/>
      <w:bookmarkStart w:id="18" w:name="_Toc17354886"/>
      <w:r>
        <w:t>Comité Administrativo y Jurídico</w:t>
      </w:r>
      <w:bookmarkEnd w:id="17"/>
      <w:bookmarkEnd w:id="18"/>
    </w:p>
    <w:p w:rsidR="00D11A84" w:rsidRPr="005D76BF" w:rsidRDefault="00D11A84" w:rsidP="00D11A84">
      <w:pPr>
        <w:rPr>
          <w:rFonts w:eastAsiaTheme="minorEastAsia"/>
          <w:strike/>
          <w:snapToGrid w:val="0"/>
          <w:highlight w:val="yellow"/>
        </w:rPr>
      </w:pPr>
    </w:p>
    <w:p w:rsidR="00D11A84" w:rsidRPr="007645E0" w:rsidRDefault="00D11A84" w:rsidP="007645E0">
      <w:pPr>
        <w:pStyle w:val="ListParagraph"/>
        <w:numPr>
          <w:ilvl w:val="0"/>
          <w:numId w:val="4"/>
        </w:numPr>
        <w:rPr>
          <w:rFonts w:eastAsiaTheme="minorEastAsia"/>
          <w:snapToGrid w:val="0"/>
        </w:rPr>
      </w:pPr>
      <w:r>
        <w:t>En su septuagésima quinta sesión, celebrada en Ginebra el 31 de octubre de 2018, el CAJ convino en solicitar al Comité Técnico (TC) que examine las propuestas</w:t>
      </w:r>
      <w:r w:rsidR="00853A72" w:rsidRPr="00853A72">
        <w:t xml:space="preserve"> </w:t>
      </w:r>
      <w:r w:rsidR="00853A72">
        <w:t>siguientes</w:t>
      </w:r>
      <w:r>
        <w:t>, recibidas por el WG-DEN, de revisión de la lista de clases que figura en el documento UPOV/INF/12/5 (véase el párrafo 43 del documento CAJ/75/14 “Informe”):</w:t>
      </w:r>
    </w:p>
    <w:p w:rsidR="00D11A84" w:rsidRPr="005D76BF" w:rsidRDefault="00D11A84" w:rsidP="00D11A84"/>
    <w:p w:rsidR="00D11A84" w:rsidRPr="005D76BF" w:rsidRDefault="00D11A84" w:rsidP="007645E0">
      <w:pPr>
        <w:pStyle w:val="ListParagraph"/>
        <w:numPr>
          <w:ilvl w:val="0"/>
          <w:numId w:val="7"/>
        </w:numPr>
        <w:tabs>
          <w:tab w:val="left" w:pos="851"/>
        </w:tabs>
        <w:ind w:hanging="643"/>
      </w:pPr>
      <w:r>
        <w:t>Propuesta de división de la actual clase 205 (</w:t>
      </w:r>
      <w:r w:rsidRPr="007645E0">
        <w:rPr>
          <w:i/>
        </w:rPr>
        <w:t>Cichorium</w:t>
      </w:r>
      <w:r>
        <w:t xml:space="preserve"> y </w:t>
      </w:r>
      <w:r w:rsidRPr="007645E0">
        <w:rPr>
          <w:i/>
        </w:rPr>
        <w:t>Lactuca</w:t>
      </w:r>
      <w:r>
        <w:t>) en dos clases nuevas:</w:t>
      </w:r>
    </w:p>
    <w:p w:rsidR="00D11A84" w:rsidRPr="005D76BF" w:rsidRDefault="00D11A84" w:rsidP="00D11A84"/>
    <w:p w:rsidR="00D11A84" w:rsidRPr="00112F1D" w:rsidRDefault="00D11A84" w:rsidP="007645E0">
      <w:pPr>
        <w:pStyle w:val="ListParagraph"/>
        <w:numPr>
          <w:ilvl w:val="0"/>
          <w:numId w:val="6"/>
        </w:numPr>
      </w:pPr>
      <w:r>
        <w:t xml:space="preserve">Clase: </w:t>
      </w:r>
      <w:proofErr w:type="spellStart"/>
      <w:r w:rsidR="00853A72" w:rsidRPr="007645E0">
        <w:rPr>
          <w:i/>
          <w:iCs/>
        </w:rPr>
        <w:t>Lactuca</w:t>
      </w:r>
      <w:proofErr w:type="spellEnd"/>
      <w:r w:rsidR="00853A72" w:rsidRPr="00853A72">
        <w:t xml:space="preserve">, </w:t>
      </w:r>
      <w:proofErr w:type="spellStart"/>
      <w:r w:rsidRPr="007645E0">
        <w:rPr>
          <w:i/>
        </w:rPr>
        <w:t>Cichorium</w:t>
      </w:r>
      <w:proofErr w:type="spellEnd"/>
      <w:r w:rsidRPr="007645E0">
        <w:rPr>
          <w:i/>
        </w:rPr>
        <w:t xml:space="preserve"> endivia</w:t>
      </w:r>
      <w:r>
        <w:t xml:space="preserve"> (endivia), </w:t>
      </w:r>
      <w:r w:rsidRPr="007645E0">
        <w:rPr>
          <w:i/>
        </w:rPr>
        <w:t>Cichorium intybus</w:t>
      </w:r>
      <w:r>
        <w:t xml:space="preserve"> var. </w:t>
      </w:r>
      <w:r w:rsidRPr="007645E0">
        <w:rPr>
          <w:i/>
        </w:rPr>
        <w:t>foliosum</w:t>
      </w:r>
      <w:r>
        <w:t xml:space="preserve"> (achicoria de hoja</w:t>
      </w:r>
      <w:r w:rsidR="00E66FD2">
        <w:t>/achicoria de ensalada</w:t>
      </w:r>
      <w:r>
        <w:t>)</w:t>
      </w:r>
    </w:p>
    <w:p w:rsidR="00D11A84" w:rsidRPr="00112F1D" w:rsidRDefault="00D11A84" w:rsidP="007645E0">
      <w:pPr>
        <w:pStyle w:val="ListParagraph"/>
        <w:numPr>
          <w:ilvl w:val="0"/>
          <w:numId w:val="6"/>
        </w:numPr>
      </w:pPr>
      <w:r>
        <w:t xml:space="preserve">Clase: </w:t>
      </w:r>
      <w:proofErr w:type="spellStart"/>
      <w:r w:rsidRPr="007645E0">
        <w:rPr>
          <w:i/>
        </w:rPr>
        <w:t>Cichorium</w:t>
      </w:r>
      <w:proofErr w:type="spellEnd"/>
      <w:r w:rsidRPr="007645E0">
        <w:rPr>
          <w:i/>
        </w:rPr>
        <w:t xml:space="preserve"> </w:t>
      </w:r>
      <w:proofErr w:type="spellStart"/>
      <w:r w:rsidRPr="007645E0">
        <w:rPr>
          <w:i/>
        </w:rPr>
        <w:t>intybus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r w:rsidRPr="007645E0">
        <w:rPr>
          <w:i/>
        </w:rPr>
        <w:t>sativum</w:t>
      </w:r>
      <w:r>
        <w:t xml:space="preserve"> (achicoria industrial)</w:t>
      </w:r>
    </w:p>
    <w:p w:rsidR="00D11A84" w:rsidRPr="00112F1D" w:rsidRDefault="00D11A84" w:rsidP="00D11A84"/>
    <w:p w:rsidR="00D11A84" w:rsidRPr="005D76BF" w:rsidRDefault="00D11A84" w:rsidP="007645E0">
      <w:pPr>
        <w:pStyle w:val="ListParagraph"/>
        <w:numPr>
          <w:ilvl w:val="0"/>
          <w:numId w:val="7"/>
        </w:numPr>
        <w:tabs>
          <w:tab w:val="left" w:pos="851"/>
        </w:tabs>
        <w:ind w:hanging="643"/>
      </w:pPr>
      <w:r>
        <w:t xml:space="preserve">Propuesta de añadido del género </w:t>
      </w:r>
      <w:r w:rsidRPr="007645E0">
        <w:rPr>
          <w:i/>
        </w:rPr>
        <w:t>Epichloe</w:t>
      </w:r>
      <w:r>
        <w:t xml:space="preserve"> (antes </w:t>
      </w:r>
      <w:r w:rsidRPr="007645E0">
        <w:rPr>
          <w:i/>
        </w:rPr>
        <w:t>Neotyphodium</w:t>
      </w:r>
      <w:r>
        <w:t>) a la clase 203 (</w:t>
      </w:r>
      <w:r w:rsidRPr="007645E0">
        <w:rPr>
          <w:i/>
        </w:rPr>
        <w:t xml:space="preserve">Agrostis, Dactylis, </w:t>
      </w:r>
      <w:proofErr w:type="spellStart"/>
      <w:r w:rsidRPr="007645E0">
        <w:rPr>
          <w:i/>
        </w:rPr>
        <w:t>Festuca</w:t>
      </w:r>
      <w:proofErr w:type="spellEnd"/>
      <w:r w:rsidRPr="007645E0">
        <w:rPr>
          <w:i/>
        </w:rPr>
        <w:t xml:space="preserve">, </w:t>
      </w:r>
      <w:proofErr w:type="spellStart"/>
      <w:r w:rsidRPr="007645E0">
        <w:rPr>
          <w:i/>
        </w:rPr>
        <w:t>Festulolium</w:t>
      </w:r>
      <w:proofErr w:type="spellEnd"/>
      <w:r w:rsidRPr="007645E0">
        <w:rPr>
          <w:i/>
        </w:rPr>
        <w:t xml:space="preserve">, </w:t>
      </w:r>
      <w:proofErr w:type="spellStart"/>
      <w:r w:rsidRPr="007645E0">
        <w:rPr>
          <w:i/>
        </w:rPr>
        <w:t>Lolium</w:t>
      </w:r>
      <w:proofErr w:type="spellEnd"/>
      <w:r w:rsidRPr="007645E0">
        <w:rPr>
          <w:i/>
        </w:rPr>
        <w:t xml:space="preserve">, </w:t>
      </w:r>
      <w:proofErr w:type="spellStart"/>
      <w:r w:rsidRPr="007645E0">
        <w:rPr>
          <w:i/>
        </w:rPr>
        <w:t>Phalaris</w:t>
      </w:r>
      <w:proofErr w:type="spellEnd"/>
      <w:r w:rsidRPr="007645E0">
        <w:rPr>
          <w:i/>
        </w:rPr>
        <w:t xml:space="preserve">, </w:t>
      </w:r>
      <w:proofErr w:type="spellStart"/>
      <w:r w:rsidRPr="007645E0">
        <w:rPr>
          <w:i/>
        </w:rPr>
        <w:t>Phleum</w:t>
      </w:r>
      <w:proofErr w:type="spellEnd"/>
      <w:r>
        <w:t xml:space="preserve"> y </w:t>
      </w:r>
      <w:r w:rsidRPr="007645E0">
        <w:rPr>
          <w:i/>
        </w:rPr>
        <w:t>Poa</w:t>
      </w:r>
      <w:r>
        <w:t>).</w:t>
      </w:r>
    </w:p>
    <w:p w:rsidR="00D11A84" w:rsidRDefault="00D11A84" w:rsidP="00D11A84">
      <w:pPr>
        <w:keepNext/>
        <w:outlineLvl w:val="0"/>
        <w:rPr>
          <w:caps/>
        </w:rPr>
      </w:pPr>
    </w:p>
    <w:p w:rsidR="006B4B6B" w:rsidRDefault="006B4B6B" w:rsidP="006B4B6B">
      <w:pPr>
        <w:pStyle w:val="Heading2"/>
        <w:rPr>
          <w:snapToGrid w:val="0"/>
        </w:rPr>
      </w:pPr>
    </w:p>
    <w:p w:rsidR="006B4B6B" w:rsidRPr="003E6A0B" w:rsidRDefault="006B4B6B" w:rsidP="006B4B6B">
      <w:pPr>
        <w:pStyle w:val="Heading1"/>
      </w:pPr>
      <w:bookmarkStart w:id="19" w:name="_Toc15481362"/>
      <w:bookmarkStart w:id="20" w:name="_Toc17354887"/>
      <w:r>
        <w:t>Novedades acaecidas en 2019</w:t>
      </w:r>
      <w:bookmarkEnd w:id="19"/>
      <w:bookmarkEnd w:id="20"/>
    </w:p>
    <w:p w:rsidR="0041268C" w:rsidRDefault="0041268C" w:rsidP="0041268C">
      <w:pPr>
        <w:pStyle w:val="Heading2"/>
        <w:rPr>
          <w:snapToGrid w:val="0"/>
        </w:rPr>
      </w:pPr>
    </w:p>
    <w:p w:rsidR="0041268C" w:rsidRPr="003E6A0B" w:rsidRDefault="00E61009" w:rsidP="0041268C">
      <w:pPr>
        <w:pStyle w:val="Heading2"/>
      </w:pPr>
      <w:bookmarkStart w:id="21" w:name="_Toc15481363"/>
      <w:bookmarkStart w:id="22" w:name="_Toc17354888"/>
      <w:r>
        <w:t>Grupo de Trabajo Técnico sobre Hortalizas</w:t>
      </w:r>
      <w:bookmarkEnd w:id="21"/>
      <w:bookmarkEnd w:id="22"/>
    </w:p>
    <w:p w:rsidR="006B4B6B" w:rsidRDefault="006B4B6B" w:rsidP="006B4B6B"/>
    <w:p w:rsidR="006B4B6B" w:rsidRPr="007645E0" w:rsidRDefault="006B4B6B" w:rsidP="007645E0">
      <w:pPr>
        <w:pStyle w:val="ListParagraph"/>
        <w:numPr>
          <w:ilvl w:val="0"/>
          <w:numId w:val="4"/>
        </w:numPr>
        <w:rPr>
          <w:rFonts w:eastAsiaTheme="minorEastAsia"/>
          <w:snapToGrid w:val="0"/>
        </w:rPr>
      </w:pPr>
      <w:r>
        <w:t>En su quincuagésima tercera sesión, celebrada en Seúl (República de Corea) del 20 al 24 de mayo de</w:t>
      </w:r>
      <w:r w:rsidR="00022C4E">
        <w:t> </w:t>
      </w:r>
      <w:r>
        <w:t>2019, el Grupo de Trabajo Técnico sobre Hortalizas (TWV), tomó nota de las propuestas de revis</w:t>
      </w:r>
      <w:r w:rsidR="00E66CC2">
        <w:t>ión de</w:t>
      </w:r>
      <w:r>
        <w:t xml:space="preserve"> las clases 203 y 205 de la lista de clases del documento UPOV/INF/12/5, según se expone en el párrafo 9 del documento TWP/3/6 “</w:t>
      </w:r>
      <w:r w:rsidRPr="007645E0">
        <w:rPr>
          <w:i/>
        </w:rPr>
        <w:t>Variety denominations</w:t>
      </w:r>
      <w:r>
        <w:t>” (Denominaciones de variedades), a la espera de que el TC examine esta cuestión (véanse los párrafos 124 y 125 del documento TWV/53/14 “</w:t>
      </w:r>
      <w:r w:rsidRPr="007645E0">
        <w:rPr>
          <w:i/>
        </w:rPr>
        <w:t>Report</w:t>
      </w:r>
      <w:r>
        <w:t>".</w:t>
      </w:r>
    </w:p>
    <w:p w:rsidR="00E61009" w:rsidRDefault="00E61009" w:rsidP="00E61009"/>
    <w:p w:rsidR="00E61009" w:rsidRPr="007645E0" w:rsidRDefault="00E61009" w:rsidP="007645E0">
      <w:pPr>
        <w:pStyle w:val="ListParagraph"/>
        <w:numPr>
          <w:ilvl w:val="0"/>
          <w:numId w:val="4"/>
        </w:numPr>
        <w:rPr>
          <w:rFonts w:eastAsiaTheme="minorEastAsia"/>
          <w:snapToGrid w:val="0"/>
        </w:rPr>
      </w:pPr>
      <w:r>
        <w:t>El TWV suscribió la propuesta de revis</w:t>
      </w:r>
      <w:r w:rsidR="00E66CC2">
        <w:t>ión de</w:t>
      </w:r>
      <w:r>
        <w:t xml:space="preserve"> la clase 205, presentada en el documento TWP/3/6 “</w:t>
      </w:r>
      <w:r w:rsidRPr="007645E0">
        <w:rPr>
          <w:i/>
        </w:rPr>
        <w:t>Variety Denominations”</w:t>
      </w:r>
      <w:r>
        <w:t xml:space="preserve">, expuesta en el </w:t>
      </w:r>
      <w:r w:rsidRPr="009034E2">
        <w:t>párrafo 10,</w:t>
      </w:r>
      <w:r>
        <w:t xml:space="preserve"> supra.</w:t>
      </w:r>
    </w:p>
    <w:p w:rsidR="00E61009" w:rsidRPr="009B7FDA" w:rsidRDefault="00E61009" w:rsidP="009B7FDA"/>
    <w:p w:rsidR="0041268C" w:rsidRPr="003E6A0B" w:rsidRDefault="00E61009" w:rsidP="00E61009">
      <w:pPr>
        <w:pStyle w:val="Heading2"/>
      </w:pPr>
      <w:bookmarkStart w:id="23" w:name="_Toc15481364"/>
      <w:bookmarkStart w:id="24" w:name="_Toc17354889"/>
      <w:r>
        <w:t>Grupo de Trabajo Técnico sobre Plantas Agrícolas</w:t>
      </w:r>
      <w:bookmarkEnd w:id="23"/>
      <w:bookmarkEnd w:id="24"/>
    </w:p>
    <w:p w:rsidR="00D11A84" w:rsidRPr="00EA6097" w:rsidRDefault="00D11A84" w:rsidP="00E61009">
      <w:pPr>
        <w:keepNext/>
        <w:rPr>
          <w:rFonts w:eastAsiaTheme="minorEastAsia"/>
          <w:strike/>
          <w:snapToGrid w:val="0"/>
        </w:rPr>
      </w:pPr>
    </w:p>
    <w:p w:rsidR="00D11A84" w:rsidRPr="007645E0" w:rsidRDefault="00D11A84" w:rsidP="007645E0">
      <w:pPr>
        <w:pStyle w:val="ListParagraph"/>
        <w:keepNext/>
        <w:numPr>
          <w:ilvl w:val="0"/>
          <w:numId w:val="4"/>
        </w:numPr>
        <w:rPr>
          <w:rFonts w:eastAsiaTheme="minorEastAsia"/>
          <w:snapToGrid w:val="0"/>
        </w:rPr>
      </w:pPr>
      <w:r>
        <w:t xml:space="preserve">En su cuadragésima octava sesión, que se celebrará en Montevideo (Uruguay), del 16 al 20 de septiembre de 2019, el Grupo de Trabajo Técnico sobre Plantas Agrícolas (TWA), examinará las propuestas </w:t>
      </w:r>
      <w:r>
        <w:lastRenderedPageBreak/>
        <w:t>de revis</w:t>
      </w:r>
      <w:r w:rsidR="00E66CC2">
        <w:t>ión de</w:t>
      </w:r>
      <w:r>
        <w:t xml:space="preserve"> la clase 203 de la lista de clases para incluir el género </w:t>
      </w:r>
      <w:r w:rsidRPr="007645E0">
        <w:rPr>
          <w:rFonts w:eastAsiaTheme="minorEastAsia"/>
          <w:i/>
          <w:snapToGrid w:val="0"/>
        </w:rPr>
        <w:t>Epichloe</w:t>
      </w:r>
      <w:r>
        <w:t xml:space="preserve"> en el documento UPOV/INF/12/5. </w:t>
      </w:r>
    </w:p>
    <w:p w:rsidR="00D11A84" w:rsidRPr="002A5F4A" w:rsidRDefault="00D11A84" w:rsidP="00D11A84">
      <w:pPr>
        <w:rPr>
          <w:rFonts w:eastAsiaTheme="minorEastAsia"/>
          <w:snapToGrid w:val="0"/>
          <w:highlight w:val="yellow"/>
        </w:rPr>
      </w:pPr>
    </w:p>
    <w:p w:rsidR="00D11A84" w:rsidRPr="007645E0" w:rsidRDefault="00D11A84" w:rsidP="007645E0">
      <w:pPr>
        <w:pStyle w:val="ListParagraph"/>
        <w:numPr>
          <w:ilvl w:val="0"/>
          <w:numId w:val="4"/>
        </w:numPr>
        <w:rPr>
          <w:snapToGrid w:val="0"/>
        </w:rPr>
      </w:pPr>
      <w:r>
        <w:t xml:space="preserve">Las observaciones formuladas por el TWA, en su cuadragésima octava sesión, se presentarán al TC en su quincuagésima quinta sesión, en una adición al presente documento. </w:t>
      </w:r>
    </w:p>
    <w:p w:rsidR="00D11A84" w:rsidRPr="00F20E9B" w:rsidRDefault="00D11A84" w:rsidP="00D11A84">
      <w:pPr>
        <w:rPr>
          <w:rFonts w:eastAsiaTheme="minorEastAsia"/>
        </w:rPr>
      </w:pPr>
    </w:p>
    <w:p w:rsidR="00D11A84" w:rsidRPr="00F20E9B" w:rsidRDefault="007645E0" w:rsidP="00BE666F">
      <w:pPr>
        <w:pStyle w:val="DecisionParagraphs"/>
        <w:keepNext/>
        <w:keepLines/>
        <w:rPr>
          <w:rFonts w:eastAsiaTheme="minorEastAsia" w:cs="Arial"/>
        </w:rPr>
      </w:pPr>
      <w:r>
        <w:rPr>
          <w:rFonts w:eastAsiaTheme="minorEastAsia"/>
        </w:rPr>
        <w:t>15.</w:t>
      </w:r>
      <w:r>
        <w:rPr>
          <w:rFonts w:eastAsiaTheme="minorEastAsia"/>
        </w:rPr>
        <w:tab/>
      </w:r>
      <w:r w:rsidR="00D11A84">
        <w:t xml:space="preserve">Se invita al TC a examinar las propuestas de revisión de la lista de clases que figuran en el documento UPOV/INF/12/5, expuestas en el </w:t>
      </w:r>
      <w:r w:rsidR="00D11A84" w:rsidRPr="009034E2">
        <w:t>párrafo </w:t>
      </w:r>
      <w:r w:rsidR="00D11A84" w:rsidRPr="009034E2">
        <w:rPr>
          <w:rFonts w:eastAsiaTheme="minorEastAsia"/>
        </w:rPr>
        <w:t>10</w:t>
      </w:r>
      <w:r w:rsidR="00D11A84" w:rsidRPr="009034E2">
        <w:t xml:space="preserve"> de</w:t>
      </w:r>
      <w:bookmarkStart w:id="25" w:name="_GoBack"/>
      <w:bookmarkEnd w:id="25"/>
      <w:r w:rsidR="00D11A84">
        <w:t xml:space="preserve"> este documento, junto con las observaciones formuladas por el TWV en su quincuagésima tercera sesión y el TWA en su cuadragésima octava sesión.</w:t>
      </w:r>
    </w:p>
    <w:p w:rsidR="00D11A84" w:rsidRDefault="00D11A84" w:rsidP="00D11A84">
      <w:pPr>
        <w:pStyle w:val="DecisionParagraphs"/>
        <w:keepNext/>
        <w:rPr>
          <w:rFonts w:eastAsiaTheme="minorEastAsia"/>
          <w:snapToGrid w:val="0"/>
        </w:rPr>
      </w:pPr>
    </w:p>
    <w:p w:rsidR="00544581" w:rsidRDefault="00544581" w:rsidP="007645E0">
      <w:pPr>
        <w:ind w:left="4820"/>
        <w:jc w:val="left"/>
      </w:pPr>
    </w:p>
    <w:p w:rsidR="00050E16" w:rsidRPr="00C651CE" w:rsidRDefault="00050E16" w:rsidP="007645E0">
      <w:pPr>
        <w:ind w:left="4820"/>
      </w:pPr>
    </w:p>
    <w:p w:rsidR="009B440E" w:rsidRDefault="00050E16" w:rsidP="00050E16">
      <w:pPr>
        <w:jc w:val="right"/>
      </w:pPr>
      <w:r>
        <w:t>[Fin del documento]</w:t>
      </w:r>
    </w:p>
    <w:sectPr w:rsidR="009B440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89" w:rsidRDefault="007A3689" w:rsidP="006655D3">
      <w:r>
        <w:separator/>
      </w:r>
    </w:p>
    <w:p w:rsidR="007A3689" w:rsidRDefault="007A3689" w:rsidP="006655D3"/>
    <w:p w:rsidR="007A3689" w:rsidRDefault="007A3689" w:rsidP="006655D3"/>
  </w:endnote>
  <w:endnote w:type="continuationSeparator" w:id="0">
    <w:p w:rsidR="007A3689" w:rsidRDefault="007A3689" w:rsidP="006655D3">
      <w:r>
        <w:separator/>
      </w:r>
    </w:p>
    <w:p w:rsidR="007A3689" w:rsidRPr="00294751" w:rsidRDefault="007A368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A3689" w:rsidRPr="00294751" w:rsidRDefault="007A3689" w:rsidP="006655D3">
      <w:pPr>
        <w:rPr>
          <w:lang w:val="fr-FR"/>
        </w:rPr>
      </w:pPr>
    </w:p>
    <w:p w:rsidR="007A3689" w:rsidRPr="00294751" w:rsidRDefault="007A3689" w:rsidP="006655D3">
      <w:pPr>
        <w:rPr>
          <w:lang w:val="fr-FR"/>
        </w:rPr>
      </w:pPr>
    </w:p>
  </w:endnote>
  <w:endnote w:type="continuationNotice" w:id="1">
    <w:p w:rsidR="007A3689" w:rsidRPr="00294751" w:rsidRDefault="007A368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A3689" w:rsidRPr="00294751" w:rsidRDefault="007A3689" w:rsidP="006655D3">
      <w:pPr>
        <w:rPr>
          <w:lang w:val="fr-FR"/>
        </w:rPr>
      </w:pPr>
    </w:p>
    <w:p w:rsidR="007A3689" w:rsidRPr="00294751" w:rsidRDefault="007A368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89" w:rsidRDefault="007A3689" w:rsidP="006655D3">
      <w:r>
        <w:separator/>
      </w:r>
    </w:p>
  </w:footnote>
  <w:footnote w:type="continuationSeparator" w:id="0">
    <w:p w:rsidR="007A3689" w:rsidRDefault="007A3689" w:rsidP="006655D3">
      <w:r>
        <w:separator/>
      </w:r>
    </w:p>
  </w:footnote>
  <w:footnote w:type="continuationNotice" w:id="1">
    <w:p w:rsidR="007A3689" w:rsidRPr="00AB530F" w:rsidRDefault="007A368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</w:rPr>
    </w:pPr>
    <w:r>
      <w:rPr>
        <w:rStyle w:val="PageNumber"/>
      </w:rPr>
      <w:t>TC/55/8</w:t>
    </w:r>
  </w:p>
  <w:p w:rsidR="00182B99" w:rsidRPr="00C5280D" w:rsidRDefault="00182B99" w:rsidP="00EB048E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9034E2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7645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04C0"/>
    <w:multiLevelType w:val="hybridMultilevel"/>
    <w:tmpl w:val="DD1041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6638"/>
    <w:multiLevelType w:val="hybridMultilevel"/>
    <w:tmpl w:val="22207142"/>
    <w:lvl w:ilvl="0" w:tplc="54EE93D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5310"/>
    <w:multiLevelType w:val="hybridMultilevel"/>
    <w:tmpl w:val="E1424CFE"/>
    <w:lvl w:ilvl="0" w:tplc="568C97F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381005E4">
      <w:start w:val="4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830CCDA4">
      <w:start w:val="1"/>
      <w:numFmt w:val="lowerLetter"/>
      <w:lvlText w:val="%3)"/>
      <w:lvlJc w:val="left"/>
      <w:pPr>
        <w:ind w:left="2475" w:hanging="49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1293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F66A0"/>
    <w:multiLevelType w:val="hybridMultilevel"/>
    <w:tmpl w:val="C4882E5E"/>
    <w:lvl w:ilvl="0" w:tplc="568C97F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51BE0"/>
    <w:multiLevelType w:val="hybridMultilevel"/>
    <w:tmpl w:val="FA10C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F2B41"/>
    <w:multiLevelType w:val="hybridMultilevel"/>
    <w:tmpl w:val="11401BF0"/>
    <w:lvl w:ilvl="0" w:tplc="0C0A0017">
      <w:start w:val="1"/>
      <w:numFmt w:val="lowerLetter"/>
      <w:lvlText w:val="%1)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10CF3"/>
    <w:rsid w:val="00011E27"/>
    <w:rsid w:val="000148BC"/>
    <w:rsid w:val="00022C4E"/>
    <w:rsid w:val="00024AB8"/>
    <w:rsid w:val="00030854"/>
    <w:rsid w:val="00036028"/>
    <w:rsid w:val="00044642"/>
    <w:rsid w:val="000446B9"/>
    <w:rsid w:val="00047E21"/>
    <w:rsid w:val="00050E16"/>
    <w:rsid w:val="00062CAF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2F1D"/>
    <w:rsid w:val="001131D5"/>
    <w:rsid w:val="00141DB8"/>
    <w:rsid w:val="001616DD"/>
    <w:rsid w:val="001652AB"/>
    <w:rsid w:val="00172084"/>
    <w:rsid w:val="0017474A"/>
    <w:rsid w:val="001758C6"/>
    <w:rsid w:val="00182B99"/>
    <w:rsid w:val="001A473A"/>
    <w:rsid w:val="001C4BA9"/>
    <w:rsid w:val="001D36AC"/>
    <w:rsid w:val="001F04B4"/>
    <w:rsid w:val="0021332C"/>
    <w:rsid w:val="00213982"/>
    <w:rsid w:val="00217918"/>
    <w:rsid w:val="0024416D"/>
    <w:rsid w:val="00271911"/>
    <w:rsid w:val="002800A0"/>
    <w:rsid w:val="002801B3"/>
    <w:rsid w:val="00281060"/>
    <w:rsid w:val="002940E8"/>
    <w:rsid w:val="00294751"/>
    <w:rsid w:val="002A5F4A"/>
    <w:rsid w:val="002A6E50"/>
    <w:rsid w:val="002B4298"/>
    <w:rsid w:val="002C256A"/>
    <w:rsid w:val="002C64EA"/>
    <w:rsid w:val="00304827"/>
    <w:rsid w:val="00305A7F"/>
    <w:rsid w:val="003152FE"/>
    <w:rsid w:val="00327436"/>
    <w:rsid w:val="00344BD6"/>
    <w:rsid w:val="0035528D"/>
    <w:rsid w:val="00355657"/>
    <w:rsid w:val="00361821"/>
    <w:rsid w:val="00361E9E"/>
    <w:rsid w:val="0037708B"/>
    <w:rsid w:val="00382007"/>
    <w:rsid w:val="003A1864"/>
    <w:rsid w:val="003A6821"/>
    <w:rsid w:val="003C7FBE"/>
    <w:rsid w:val="003D227C"/>
    <w:rsid w:val="003D2B4D"/>
    <w:rsid w:val="003E646B"/>
    <w:rsid w:val="0041268C"/>
    <w:rsid w:val="00417F52"/>
    <w:rsid w:val="00420CD4"/>
    <w:rsid w:val="00426B82"/>
    <w:rsid w:val="00444A88"/>
    <w:rsid w:val="00474DA4"/>
    <w:rsid w:val="00476B4D"/>
    <w:rsid w:val="004805FA"/>
    <w:rsid w:val="004935D2"/>
    <w:rsid w:val="004B1215"/>
    <w:rsid w:val="004B308A"/>
    <w:rsid w:val="004D047D"/>
    <w:rsid w:val="004F1E9E"/>
    <w:rsid w:val="004F305A"/>
    <w:rsid w:val="00512164"/>
    <w:rsid w:val="00520297"/>
    <w:rsid w:val="005338F9"/>
    <w:rsid w:val="00536FFD"/>
    <w:rsid w:val="0054281C"/>
    <w:rsid w:val="00544581"/>
    <w:rsid w:val="0055268D"/>
    <w:rsid w:val="00576BE4"/>
    <w:rsid w:val="005A400A"/>
    <w:rsid w:val="005B46E9"/>
    <w:rsid w:val="005E12E4"/>
    <w:rsid w:val="005F7B92"/>
    <w:rsid w:val="00605856"/>
    <w:rsid w:val="00612379"/>
    <w:rsid w:val="006153B6"/>
    <w:rsid w:val="0061555F"/>
    <w:rsid w:val="00624E86"/>
    <w:rsid w:val="00636CA6"/>
    <w:rsid w:val="00641200"/>
    <w:rsid w:val="00645CA8"/>
    <w:rsid w:val="006655D3"/>
    <w:rsid w:val="00667404"/>
    <w:rsid w:val="00687EB4"/>
    <w:rsid w:val="00694926"/>
    <w:rsid w:val="00695C56"/>
    <w:rsid w:val="006975D8"/>
    <w:rsid w:val="006A1461"/>
    <w:rsid w:val="006A5CDE"/>
    <w:rsid w:val="006A644A"/>
    <w:rsid w:val="006B17D2"/>
    <w:rsid w:val="006B1BAF"/>
    <w:rsid w:val="006B4B6B"/>
    <w:rsid w:val="006C224E"/>
    <w:rsid w:val="006D7435"/>
    <w:rsid w:val="006D780A"/>
    <w:rsid w:val="0071271E"/>
    <w:rsid w:val="00715522"/>
    <w:rsid w:val="00732DEC"/>
    <w:rsid w:val="00733355"/>
    <w:rsid w:val="00735BD5"/>
    <w:rsid w:val="00751613"/>
    <w:rsid w:val="007556F6"/>
    <w:rsid w:val="00760EEF"/>
    <w:rsid w:val="007645E0"/>
    <w:rsid w:val="00777EE5"/>
    <w:rsid w:val="00784836"/>
    <w:rsid w:val="00787F1C"/>
    <w:rsid w:val="0079023E"/>
    <w:rsid w:val="007A2854"/>
    <w:rsid w:val="007A3689"/>
    <w:rsid w:val="007C1D92"/>
    <w:rsid w:val="007C4CB9"/>
    <w:rsid w:val="007D0B9D"/>
    <w:rsid w:val="007D19B0"/>
    <w:rsid w:val="007F498F"/>
    <w:rsid w:val="0080679D"/>
    <w:rsid w:val="008108B0"/>
    <w:rsid w:val="00811B20"/>
    <w:rsid w:val="0082059D"/>
    <w:rsid w:val="008211B5"/>
    <w:rsid w:val="0082296E"/>
    <w:rsid w:val="00824099"/>
    <w:rsid w:val="00846D7C"/>
    <w:rsid w:val="00853A72"/>
    <w:rsid w:val="00857908"/>
    <w:rsid w:val="00867AC1"/>
    <w:rsid w:val="008806C3"/>
    <w:rsid w:val="00890DF8"/>
    <w:rsid w:val="008A31C9"/>
    <w:rsid w:val="008A743F"/>
    <w:rsid w:val="008B6E60"/>
    <w:rsid w:val="008C0970"/>
    <w:rsid w:val="008D0BC5"/>
    <w:rsid w:val="008D2CF7"/>
    <w:rsid w:val="008D59C2"/>
    <w:rsid w:val="008D7E86"/>
    <w:rsid w:val="00900C26"/>
    <w:rsid w:val="00900C6F"/>
    <w:rsid w:val="0090197F"/>
    <w:rsid w:val="009034E2"/>
    <w:rsid w:val="00906DDC"/>
    <w:rsid w:val="00934E09"/>
    <w:rsid w:val="00936253"/>
    <w:rsid w:val="00940D46"/>
    <w:rsid w:val="00952DD4"/>
    <w:rsid w:val="00965AE7"/>
    <w:rsid w:val="00967A89"/>
    <w:rsid w:val="00970FED"/>
    <w:rsid w:val="00983ED6"/>
    <w:rsid w:val="00992D82"/>
    <w:rsid w:val="00997029"/>
    <w:rsid w:val="009A7339"/>
    <w:rsid w:val="009B440E"/>
    <w:rsid w:val="009B7FDA"/>
    <w:rsid w:val="009C1A3E"/>
    <w:rsid w:val="009D3ACE"/>
    <w:rsid w:val="009D690D"/>
    <w:rsid w:val="009E65B6"/>
    <w:rsid w:val="00A04A26"/>
    <w:rsid w:val="00A140AB"/>
    <w:rsid w:val="00A24C10"/>
    <w:rsid w:val="00A37C2B"/>
    <w:rsid w:val="00A42AC3"/>
    <w:rsid w:val="00A430CF"/>
    <w:rsid w:val="00A54309"/>
    <w:rsid w:val="00A628B9"/>
    <w:rsid w:val="00AB2B93"/>
    <w:rsid w:val="00AB530F"/>
    <w:rsid w:val="00AB7E5B"/>
    <w:rsid w:val="00AC2883"/>
    <w:rsid w:val="00AE0EF1"/>
    <w:rsid w:val="00AE2937"/>
    <w:rsid w:val="00AF4F63"/>
    <w:rsid w:val="00B07301"/>
    <w:rsid w:val="00B11F3E"/>
    <w:rsid w:val="00B146D1"/>
    <w:rsid w:val="00B224DE"/>
    <w:rsid w:val="00B324D4"/>
    <w:rsid w:val="00B46575"/>
    <w:rsid w:val="00B5693A"/>
    <w:rsid w:val="00B61777"/>
    <w:rsid w:val="00B84523"/>
    <w:rsid w:val="00B84BBD"/>
    <w:rsid w:val="00B9642B"/>
    <w:rsid w:val="00BA43FB"/>
    <w:rsid w:val="00BC127D"/>
    <w:rsid w:val="00BC1FE6"/>
    <w:rsid w:val="00BD6602"/>
    <w:rsid w:val="00BE666F"/>
    <w:rsid w:val="00C061B6"/>
    <w:rsid w:val="00C0735B"/>
    <w:rsid w:val="00C203F2"/>
    <w:rsid w:val="00C2446C"/>
    <w:rsid w:val="00C36AE5"/>
    <w:rsid w:val="00C41F17"/>
    <w:rsid w:val="00C527FA"/>
    <w:rsid w:val="00C5280D"/>
    <w:rsid w:val="00C53EB3"/>
    <w:rsid w:val="00C5791C"/>
    <w:rsid w:val="00C66290"/>
    <w:rsid w:val="00C66949"/>
    <w:rsid w:val="00C72B7A"/>
    <w:rsid w:val="00C973F2"/>
    <w:rsid w:val="00CA304C"/>
    <w:rsid w:val="00CA4843"/>
    <w:rsid w:val="00CA5703"/>
    <w:rsid w:val="00CA774A"/>
    <w:rsid w:val="00CB5341"/>
    <w:rsid w:val="00CC11B0"/>
    <w:rsid w:val="00CC2841"/>
    <w:rsid w:val="00CE4BCB"/>
    <w:rsid w:val="00CE72A0"/>
    <w:rsid w:val="00CF1330"/>
    <w:rsid w:val="00CF7E36"/>
    <w:rsid w:val="00D11A84"/>
    <w:rsid w:val="00D26719"/>
    <w:rsid w:val="00D326F9"/>
    <w:rsid w:val="00D3708D"/>
    <w:rsid w:val="00D40426"/>
    <w:rsid w:val="00D57C96"/>
    <w:rsid w:val="00D57D18"/>
    <w:rsid w:val="00D8559C"/>
    <w:rsid w:val="00D91203"/>
    <w:rsid w:val="00D93D85"/>
    <w:rsid w:val="00D95174"/>
    <w:rsid w:val="00DA4973"/>
    <w:rsid w:val="00DA63A6"/>
    <w:rsid w:val="00DA6F36"/>
    <w:rsid w:val="00DB596E"/>
    <w:rsid w:val="00DB7773"/>
    <w:rsid w:val="00DC00EA"/>
    <w:rsid w:val="00DC3802"/>
    <w:rsid w:val="00E06E03"/>
    <w:rsid w:val="00E07D87"/>
    <w:rsid w:val="00E2109F"/>
    <w:rsid w:val="00E233AE"/>
    <w:rsid w:val="00E32F7E"/>
    <w:rsid w:val="00E5267B"/>
    <w:rsid w:val="00E61009"/>
    <w:rsid w:val="00E63C0E"/>
    <w:rsid w:val="00E66CC2"/>
    <w:rsid w:val="00E66FD2"/>
    <w:rsid w:val="00E72D49"/>
    <w:rsid w:val="00E7593C"/>
    <w:rsid w:val="00E7678A"/>
    <w:rsid w:val="00E935F1"/>
    <w:rsid w:val="00E94A81"/>
    <w:rsid w:val="00EA1FFB"/>
    <w:rsid w:val="00EA6097"/>
    <w:rsid w:val="00EB048E"/>
    <w:rsid w:val="00EB4E9C"/>
    <w:rsid w:val="00EE0BDA"/>
    <w:rsid w:val="00EE34DF"/>
    <w:rsid w:val="00EF0140"/>
    <w:rsid w:val="00EF2F89"/>
    <w:rsid w:val="00F03E98"/>
    <w:rsid w:val="00F1237A"/>
    <w:rsid w:val="00F22CBD"/>
    <w:rsid w:val="00F272F1"/>
    <w:rsid w:val="00F32C5E"/>
    <w:rsid w:val="00F45372"/>
    <w:rsid w:val="00F560F7"/>
    <w:rsid w:val="00F6334D"/>
    <w:rsid w:val="00FA49AB"/>
    <w:rsid w:val="00FB6BDA"/>
    <w:rsid w:val="00FC5C3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s-ES" w:bidi="es-ES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s-ES" w:bidi="es-ES"/>
    </w:rPr>
  </w:style>
  <w:style w:type="paragraph" w:styleId="TOC2">
    <w:name w:val="toc 2"/>
    <w:basedOn w:val="Normal"/>
    <w:next w:val="Normal"/>
    <w:autoRedefine/>
    <w:uiPriority w:val="39"/>
    <w:rsid w:val="00605856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rsid w:val="007645E0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rsid w:val="006B4B6B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C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TC/55/8</vt:lpstr>
      <vt:lpstr>TC/55/8</vt:lpstr>
    </vt:vector>
  </TitlesOfParts>
  <Company>UPOV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TC/55/8</dc:title>
  <dc:creator>SANCHEZ VIZCAINO GOMEZ Rosa Maria</dc:creator>
  <cp:lastModifiedBy>MAY Jessica</cp:lastModifiedBy>
  <cp:revision>4</cp:revision>
  <cp:lastPrinted>2019-07-23T10:20:00Z</cp:lastPrinted>
  <dcterms:created xsi:type="dcterms:W3CDTF">2019-09-03T09:26:00Z</dcterms:created>
  <dcterms:modified xsi:type="dcterms:W3CDTF">2019-09-03T09:34:00Z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bb988da6-2bc7-4735-8bd6-9a9995046225</vt:lpwstr>
  </property>
</Properties>
</file>