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6A9945AF" w14:textId="77777777" w:rsidTr="00EB4E9C">
        <w:tc>
          <w:tcPr>
            <w:tcW w:w="6522" w:type="dxa"/>
          </w:tcPr>
          <w:p w14:paraId="42FBE0C4" w14:textId="77777777" w:rsidR="00DC3802" w:rsidRPr="00AC2883" w:rsidRDefault="00DC3802" w:rsidP="00AC2883">
            <w:r>
              <w:rPr>
                <w:noProof/>
                <w:lang w:val="en-US" w:eastAsia="en-US" w:bidi="ar-SA"/>
              </w:rPr>
              <w:drawing>
                <wp:inline distT="0" distB="0" distL="0" distR="0" wp14:anchorId="5153828A" wp14:editId="0BC3D502">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53EA9D16" w14:textId="77777777" w:rsidR="00DC3802" w:rsidRPr="007C1D92" w:rsidRDefault="00DC3802" w:rsidP="00AC2883">
            <w:pPr>
              <w:pStyle w:val="Lettrine"/>
            </w:pPr>
            <w:r>
              <w:t>S</w:t>
            </w:r>
          </w:p>
        </w:tc>
      </w:tr>
      <w:tr w:rsidR="00DC3802" w:rsidRPr="00DA4973" w14:paraId="1B3C1B9B" w14:textId="77777777" w:rsidTr="00645CA8">
        <w:trPr>
          <w:trHeight w:val="219"/>
        </w:trPr>
        <w:tc>
          <w:tcPr>
            <w:tcW w:w="6522" w:type="dxa"/>
          </w:tcPr>
          <w:p w14:paraId="15132B9C" w14:textId="77777777" w:rsidR="00DC3802" w:rsidRPr="00AC2883" w:rsidRDefault="00DC3802" w:rsidP="00AC2883">
            <w:pPr>
              <w:pStyle w:val="upove"/>
            </w:pPr>
            <w:r>
              <w:t>Unión Internacional para la Protección de las Obtenciones Vegetales</w:t>
            </w:r>
          </w:p>
        </w:tc>
        <w:tc>
          <w:tcPr>
            <w:tcW w:w="3117" w:type="dxa"/>
          </w:tcPr>
          <w:p w14:paraId="1B7CBBC4" w14:textId="77777777" w:rsidR="00DC3802" w:rsidRPr="00DA4973" w:rsidRDefault="00DC3802" w:rsidP="00DA4973"/>
        </w:tc>
      </w:tr>
    </w:tbl>
    <w:p w14:paraId="6BFBD522" w14:textId="77777777" w:rsidR="00DC3802" w:rsidRDefault="00DC3802" w:rsidP="00DC3802"/>
    <w:p w14:paraId="372C72A9" w14:textId="77777777"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14:paraId="0DA57BE3" w14:textId="77777777" w:rsidTr="00EB4E9C">
        <w:tc>
          <w:tcPr>
            <w:tcW w:w="6512" w:type="dxa"/>
          </w:tcPr>
          <w:p w14:paraId="3F379A3B" w14:textId="77777777" w:rsidR="00EB4E9C" w:rsidRPr="00AC2883" w:rsidRDefault="00EB4E9C" w:rsidP="00AC2883">
            <w:pPr>
              <w:pStyle w:val="Sessiontc"/>
              <w:spacing w:line="240" w:lineRule="auto"/>
            </w:pPr>
            <w:r>
              <w:t>Comité Técnico</w:t>
            </w:r>
          </w:p>
          <w:p w14:paraId="5324A54B" w14:textId="77777777" w:rsidR="00EB4E9C" w:rsidRPr="00DC3802" w:rsidRDefault="00EB4E9C" w:rsidP="006D7435">
            <w:pPr>
              <w:pStyle w:val="Sessiontcplacedate"/>
              <w:rPr>
                <w:sz w:val="22"/>
              </w:rPr>
            </w:pPr>
            <w:r>
              <w:t>Quincuagésima quinta sesión</w:t>
            </w:r>
            <w:r>
              <w:br/>
              <w:t>Ginebra, 28 y 29 de octubre de 2019</w:t>
            </w:r>
          </w:p>
        </w:tc>
        <w:tc>
          <w:tcPr>
            <w:tcW w:w="3127" w:type="dxa"/>
          </w:tcPr>
          <w:p w14:paraId="3FE6229C" w14:textId="77777777" w:rsidR="00EB4E9C" w:rsidRPr="00ED644C" w:rsidRDefault="006D7435" w:rsidP="003C7FBE">
            <w:pPr>
              <w:pStyle w:val="Doccode"/>
            </w:pPr>
            <w:r>
              <w:t>TC/55/7</w:t>
            </w:r>
          </w:p>
          <w:p w14:paraId="7ACA97E1" w14:textId="04B2364A" w:rsidR="00EB4E9C" w:rsidRPr="00ED644C" w:rsidRDefault="00EB4E9C" w:rsidP="003C7FBE">
            <w:pPr>
              <w:pStyle w:val="Docoriginal"/>
            </w:pPr>
            <w:r>
              <w:t>Original:</w:t>
            </w:r>
            <w:r w:rsidR="00365911">
              <w:rPr>
                <w:b w:val="0"/>
                <w:spacing w:val="0"/>
              </w:rPr>
              <w:t xml:space="preserve"> </w:t>
            </w:r>
            <w:r>
              <w:rPr>
                <w:b w:val="0"/>
                <w:spacing w:val="0"/>
              </w:rPr>
              <w:t>Inglés</w:t>
            </w:r>
          </w:p>
          <w:p w14:paraId="49319171" w14:textId="48248C9C" w:rsidR="00EB4E9C" w:rsidRPr="00ED644C" w:rsidRDefault="00EB4E9C" w:rsidP="003A3A32">
            <w:pPr>
              <w:pStyle w:val="Docoriginal"/>
            </w:pPr>
            <w:r>
              <w:t>Fecha:</w:t>
            </w:r>
            <w:r w:rsidR="00365911">
              <w:rPr>
                <w:b w:val="0"/>
                <w:spacing w:val="0"/>
              </w:rPr>
              <w:t xml:space="preserve"> </w:t>
            </w:r>
            <w:r w:rsidR="003A3A32">
              <w:rPr>
                <w:b w:val="0"/>
                <w:spacing w:val="0"/>
              </w:rPr>
              <w:t xml:space="preserve">21 de agosto </w:t>
            </w:r>
            <w:r>
              <w:rPr>
                <w:b w:val="0"/>
                <w:spacing w:val="0"/>
              </w:rPr>
              <w:t>de 2019</w:t>
            </w:r>
          </w:p>
        </w:tc>
      </w:tr>
    </w:tbl>
    <w:p w14:paraId="208E7328" w14:textId="77777777" w:rsidR="000D7780" w:rsidRPr="006A644A" w:rsidRDefault="001A473A" w:rsidP="006A644A">
      <w:pPr>
        <w:pStyle w:val="Titleofdoc0"/>
      </w:pPr>
      <w:bookmarkStart w:id="0" w:name="TitleOfDoc"/>
      <w:bookmarkEnd w:id="0"/>
      <w:r>
        <w:t>Técnicas moleculares</w:t>
      </w:r>
    </w:p>
    <w:p w14:paraId="13E48825" w14:textId="77777777" w:rsidR="006A644A" w:rsidRPr="006A644A" w:rsidRDefault="00AE0EF1" w:rsidP="006A644A">
      <w:pPr>
        <w:pStyle w:val="preparedby1"/>
        <w:jc w:val="left"/>
      </w:pPr>
      <w:bookmarkStart w:id="1" w:name="Prepared"/>
      <w:bookmarkEnd w:id="1"/>
      <w:r>
        <w:t>Documento preparado por la Oficina de la Unión</w:t>
      </w:r>
    </w:p>
    <w:p w14:paraId="4147B946" w14:textId="21FCCC4B" w:rsidR="00050E16" w:rsidRPr="00AB213E" w:rsidRDefault="00050E16" w:rsidP="006A644A">
      <w:pPr>
        <w:pStyle w:val="Disclaimer"/>
      </w:pPr>
      <w:r>
        <w:t>Descargo de responsabilidad:</w:t>
      </w:r>
      <w:r w:rsidR="00365911">
        <w:t xml:space="preserve"> </w:t>
      </w:r>
      <w:r>
        <w:t>el presente documento no constituye</w:t>
      </w:r>
      <w:r w:rsidR="000A7832">
        <w:t xml:space="preserve"> </w:t>
      </w:r>
      <w:r>
        <w:t xml:space="preserve">un documento de política u orientación </w:t>
      </w:r>
      <w:r w:rsidRPr="00AB213E">
        <w:t>de la UPOV</w:t>
      </w:r>
    </w:p>
    <w:p w14:paraId="779B975B" w14:textId="77777777" w:rsidR="00440683" w:rsidRPr="00AB213E" w:rsidRDefault="00440683" w:rsidP="00B96116">
      <w:pPr>
        <w:pStyle w:val="Heading1"/>
      </w:pPr>
      <w:bookmarkStart w:id="2" w:name="_Toc15059494"/>
      <w:bookmarkStart w:id="3" w:name="_Toc16181355"/>
      <w:bookmarkStart w:id="4" w:name="_Toc15295339"/>
      <w:bookmarkStart w:id="5" w:name="_Toc17813509"/>
      <w:r w:rsidRPr="00AB213E">
        <w:t>RESUMEN</w:t>
      </w:r>
      <w:bookmarkEnd w:id="2"/>
      <w:bookmarkEnd w:id="3"/>
      <w:bookmarkEnd w:id="4"/>
      <w:bookmarkEnd w:id="5"/>
    </w:p>
    <w:p w14:paraId="270A719A" w14:textId="77777777" w:rsidR="00440683" w:rsidRPr="00AB213E" w:rsidRDefault="00440683" w:rsidP="00440683">
      <w:pPr>
        <w:rPr>
          <w:sz w:val="18"/>
        </w:rPr>
      </w:pPr>
    </w:p>
    <w:p w14:paraId="56B4D804" w14:textId="71A12F76" w:rsidR="00440683" w:rsidRPr="00AB213E" w:rsidRDefault="00440683" w:rsidP="00440683">
      <w:r w:rsidRPr="00AB213E">
        <w:fldChar w:fldCharType="begin"/>
      </w:r>
      <w:r w:rsidRPr="00AB213E">
        <w:instrText xml:space="preserve"> AUTONUM  </w:instrText>
      </w:r>
      <w:r w:rsidRPr="00AB213E">
        <w:fldChar w:fldCharType="end"/>
      </w:r>
      <w:r w:rsidRPr="00AB213E">
        <w:tab/>
        <w:t xml:space="preserve">Este documento tiene por objeto presentar las cuestiones sujetas al examen del Comité Técnico (TC) </w:t>
      </w:r>
      <w:r w:rsidR="00E73F0D" w:rsidRPr="00AB213E">
        <w:t>referidas</w:t>
      </w:r>
      <w:r w:rsidRPr="00AB213E">
        <w:t xml:space="preserve"> al uso de técnicas bioquímicas y moleculares en el examen DHE y a las técnicas moleculares en relación con los Grupos de Trabajo Técnico (TWP) y el Grupo de Trabajo sobre Técnicas Bioquímicas y Moleculares, y Perfiles de ADN en particular (BMT).</w:t>
      </w:r>
    </w:p>
    <w:p w14:paraId="72CFFEB2" w14:textId="77777777" w:rsidR="00C55669" w:rsidRPr="00AB213E" w:rsidRDefault="00C55669" w:rsidP="00C55669">
      <w:pPr>
        <w:rPr>
          <w:rFonts w:eastAsiaTheme="minorEastAsia"/>
        </w:rPr>
      </w:pPr>
    </w:p>
    <w:p w14:paraId="306AEC6C" w14:textId="77777777" w:rsidR="00C55669" w:rsidRPr="00AB213E" w:rsidRDefault="00C55669" w:rsidP="00C55669">
      <w:r w:rsidRPr="00AB213E">
        <w:fldChar w:fldCharType="begin"/>
      </w:r>
      <w:r w:rsidRPr="00AB213E">
        <w:instrText xml:space="preserve"> AUTONUM  </w:instrText>
      </w:r>
      <w:r w:rsidRPr="00AB213E">
        <w:fldChar w:fldCharType="end"/>
      </w:r>
      <w:r w:rsidRPr="00AB213E">
        <w:tab/>
        <w:t>Las cuestiones que sean exclusivamente para información referidas al uso de técnicas bioquímicas y moleculares en el examen DHE y a las técnicas moleculares en relación con los TWP y el BMT se exponen en el documento TC/55/INF/6 “Técnicas moleculares: cuestiones para información”.</w:t>
      </w:r>
    </w:p>
    <w:p w14:paraId="10FCCB85" w14:textId="77777777" w:rsidR="00440683" w:rsidRPr="00AB213E" w:rsidRDefault="00440683" w:rsidP="00440683">
      <w:pPr>
        <w:tabs>
          <w:tab w:val="left" w:pos="567"/>
          <w:tab w:val="left" w:pos="1134"/>
        </w:tabs>
        <w:rPr>
          <w:sz w:val="18"/>
        </w:rPr>
      </w:pPr>
    </w:p>
    <w:p w14:paraId="4D187074" w14:textId="77777777" w:rsidR="00440683" w:rsidRPr="00AB213E" w:rsidRDefault="00440683" w:rsidP="00440683">
      <w:pPr>
        <w:tabs>
          <w:tab w:val="left" w:pos="567"/>
          <w:tab w:val="left" w:pos="1134"/>
          <w:tab w:val="left" w:pos="5387"/>
        </w:tabs>
      </w:pPr>
      <w:r w:rsidRPr="00AB213E">
        <w:fldChar w:fldCharType="begin"/>
      </w:r>
      <w:r w:rsidRPr="00AB213E">
        <w:instrText xml:space="preserve"> AUTONUM  </w:instrText>
      </w:r>
      <w:r w:rsidRPr="00AB213E">
        <w:fldChar w:fldCharType="end"/>
      </w:r>
      <w:r w:rsidRPr="00AB213E">
        <w:tab/>
        <w:t>Se invita al TC a:</w:t>
      </w:r>
    </w:p>
    <w:p w14:paraId="3D9EE264" w14:textId="77777777" w:rsidR="001708AA" w:rsidRPr="00AB213E" w:rsidRDefault="001708AA" w:rsidP="009A50E6">
      <w:pPr>
        <w:ind w:firstLine="567"/>
      </w:pPr>
    </w:p>
    <w:p w14:paraId="135FDE6A" w14:textId="127FB3D6" w:rsidR="001708AA" w:rsidRPr="00AB213E" w:rsidRDefault="001708AA" w:rsidP="001708AA">
      <w:pPr>
        <w:ind w:firstLine="567"/>
      </w:pPr>
      <w:r w:rsidRPr="00AB213E">
        <w:t>a)</w:t>
      </w:r>
      <w:r w:rsidRPr="00AB213E">
        <w:tab/>
        <w:t>tomar nota de que se invitará al BMT, en su decimoctava sesión, a examinar el documento UPOV/INF/17</w:t>
      </w:r>
      <w:r w:rsidR="00246AA4" w:rsidRPr="00AB213E">
        <w:t> </w:t>
      </w:r>
      <w:r w:rsidRPr="00AB213E">
        <w:t>Draft 2 “Directrices para los perfiles de ADN: selección de marcadores moleculares y creación de una base de datos (‘Directrices BMT’)”, según se expone en el párrafo 7 de este documento;</w:t>
      </w:r>
      <w:r w:rsidR="00365911" w:rsidRPr="00AB213E">
        <w:t xml:space="preserve"> </w:t>
      </w:r>
    </w:p>
    <w:p w14:paraId="5FE431F1" w14:textId="77777777" w:rsidR="00955A55" w:rsidRPr="00AB213E" w:rsidRDefault="00955A55" w:rsidP="009A50E6">
      <w:pPr>
        <w:ind w:firstLine="567"/>
      </w:pPr>
    </w:p>
    <w:p w14:paraId="505CD58C" w14:textId="2329A5E2" w:rsidR="00955A55" w:rsidRPr="00AB213E" w:rsidRDefault="00955A55" w:rsidP="00955A55">
      <w:pPr>
        <w:ind w:firstLine="567"/>
      </w:pPr>
      <w:r w:rsidRPr="00AB213E">
        <w:t>b)</w:t>
      </w:r>
      <w:r w:rsidRPr="00AB213E">
        <w:tab/>
        <w:t>tomar nota de que la propuesta formulada por el TWV de que se elabore una orientación sobre los elementos que ha de comprender un protocolo de análisis del marcador de ADN de un carácter concreto que figure en el documento UPOV/INF/17, se comunicará al BMT en su decimoctava sesión, según se expone en el párrafo 9 de este documento;</w:t>
      </w:r>
      <w:r w:rsidR="00365911" w:rsidRPr="00AB213E">
        <w:t xml:space="preserve"> </w:t>
      </w:r>
    </w:p>
    <w:p w14:paraId="14794463" w14:textId="77777777" w:rsidR="000E0939" w:rsidRPr="00AB213E" w:rsidRDefault="000E0939" w:rsidP="000E0939">
      <w:pPr>
        <w:tabs>
          <w:tab w:val="left" w:pos="567"/>
          <w:tab w:val="left" w:pos="1134"/>
          <w:tab w:val="left" w:pos="5387"/>
          <w:tab w:val="left" w:pos="5954"/>
        </w:tabs>
        <w:rPr>
          <w:sz w:val="18"/>
        </w:rPr>
      </w:pPr>
    </w:p>
    <w:p w14:paraId="0B414C5B" w14:textId="5F1EFF7F" w:rsidR="000E0939" w:rsidRPr="00AB213E" w:rsidRDefault="000E0939" w:rsidP="000E0939">
      <w:pPr>
        <w:ind w:firstLine="567"/>
      </w:pPr>
      <w:r w:rsidRPr="00AB213E">
        <w:t>c)</w:t>
      </w:r>
      <w:r w:rsidRPr="00AB213E">
        <w:tab/>
        <w:t>considerar si procede solicitar que se elabore un proyecto de documento UPOV/INF/17 para que el TC lo examine en su quincuagésima sexta sesión;</w:t>
      </w:r>
      <w:r w:rsidR="00365911" w:rsidRPr="00AB213E">
        <w:t xml:space="preserve"> </w:t>
      </w:r>
    </w:p>
    <w:p w14:paraId="631AEFFC" w14:textId="77777777" w:rsidR="003D348C" w:rsidRPr="00AB213E" w:rsidRDefault="003D348C" w:rsidP="003D348C">
      <w:pPr>
        <w:tabs>
          <w:tab w:val="left" w:pos="567"/>
          <w:tab w:val="left" w:pos="1134"/>
          <w:tab w:val="left" w:pos="5387"/>
          <w:tab w:val="left" w:pos="5954"/>
        </w:tabs>
        <w:rPr>
          <w:i/>
          <w:sz w:val="18"/>
        </w:rPr>
      </w:pPr>
    </w:p>
    <w:p w14:paraId="1B7587D7" w14:textId="77777777" w:rsidR="003D348C" w:rsidRPr="00AB213E" w:rsidRDefault="003D348C" w:rsidP="003D348C">
      <w:pPr>
        <w:tabs>
          <w:tab w:val="left" w:pos="567"/>
          <w:tab w:val="left" w:pos="1134"/>
          <w:tab w:val="left" w:pos="5387"/>
          <w:tab w:val="left" w:pos="5954"/>
        </w:tabs>
      </w:pPr>
      <w:r w:rsidRPr="00AB213E">
        <w:tab/>
        <w:t>d)</w:t>
      </w:r>
      <w:r w:rsidRPr="00AB213E">
        <w:tab/>
        <w:t xml:space="preserve">tomar nota de que se invitará al BMT, en su decimoctava sesión, a elaborar un documento conjunto en que se expliquen las características principales de los sistemas de la OCDE, la UPOV y la ISTA, según se expone en el párrafo 15 de este documento. </w:t>
      </w:r>
    </w:p>
    <w:p w14:paraId="06E90F29" w14:textId="77777777" w:rsidR="003D348C" w:rsidRPr="00AB213E" w:rsidRDefault="003D348C" w:rsidP="003D348C">
      <w:pPr>
        <w:tabs>
          <w:tab w:val="left" w:pos="567"/>
          <w:tab w:val="left" w:pos="1134"/>
          <w:tab w:val="left" w:pos="5387"/>
          <w:tab w:val="left" w:pos="5954"/>
        </w:tabs>
      </w:pPr>
    </w:p>
    <w:p w14:paraId="35F75962" w14:textId="77777777" w:rsidR="003D348C" w:rsidRPr="00AB213E" w:rsidRDefault="003D348C" w:rsidP="003D348C">
      <w:pPr>
        <w:tabs>
          <w:tab w:val="left" w:pos="567"/>
          <w:tab w:val="left" w:pos="1134"/>
          <w:tab w:val="left" w:pos="5387"/>
          <w:tab w:val="left" w:pos="5954"/>
        </w:tabs>
      </w:pPr>
      <w:r w:rsidRPr="00AB213E">
        <w:tab/>
        <w:t>e)</w:t>
      </w:r>
      <w:r w:rsidRPr="00AB213E">
        <w:tab/>
        <w:t xml:space="preserve">tomar nota de que las propuestas formuladas por el BMT, en su decimoctava sesión, respecto de un documento conjunto en el que se expliquen las características principales de los sistemas de la OCDE, la UPOV y la ISTA, se comunicarán en una adición al presente documento, según se expone en el párrafo 15 de este documento; </w:t>
      </w:r>
    </w:p>
    <w:p w14:paraId="6D2CD4FF" w14:textId="77777777" w:rsidR="00440683" w:rsidRPr="00AB213E" w:rsidRDefault="00440683" w:rsidP="00440683">
      <w:pPr>
        <w:tabs>
          <w:tab w:val="left" w:pos="567"/>
          <w:tab w:val="left" w:pos="1134"/>
          <w:tab w:val="left" w:pos="5387"/>
          <w:tab w:val="left" w:pos="5954"/>
        </w:tabs>
        <w:rPr>
          <w:sz w:val="18"/>
        </w:rPr>
      </w:pPr>
    </w:p>
    <w:p w14:paraId="6BF43704" w14:textId="08BCC355" w:rsidR="00440683" w:rsidRPr="00AB213E" w:rsidRDefault="00440683" w:rsidP="00440683">
      <w:pPr>
        <w:ind w:firstLine="567"/>
      </w:pPr>
      <w:r w:rsidRPr="00AB213E">
        <w:t>f)</w:t>
      </w:r>
      <w:r w:rsidRPr="00AB213E">
        <w:tab/>
        <w:t>examinar los elementos para un inventario sobre la utilización de técnicas basadas en marcadores moleculares, por cultivos, expuestos en el párrafo 23 de este documento, junto con las observaciones formuladas por los TWP y el BMT en sus sesiones de 2019;</w:t>
      </w:r>
      <w:r w:rsidR="00365911" w:rsidRPr="00AB213E">
        <w:t xml:space="preserve"> </w:t>
      </w:r>
    </w:p>
    <w:p w14:paraId="12EF8260" w14:textId="77777777" w:rsidR="00F935A6" w:rsidRPr="00AB213E" w:rsidRDefault="00F935A6" w:rsidP="00F935A6">
      <w:pPr>
        <w:rPr>
          <w:sz w:val="18"/>
        </w:rPr>
      </w:pPr>
    </w:p>
    <w:p w14:paraId="09696256" w14:textId="720F9E1A" w:rsidR="00F935A6" w:rsidRPr="00AB213E" w:rsidRDefault="00F935A6" w:rsidP="00F935A6">
      <w:pPr>
        <w:ind w:firstLine="567"/>
      </w:pPr>
      <w:r w:rsidRPr="00AB213E">
        <w:t>g)</w:t>
      </w:r>
      <w:r w:rsidRPr="00AB213E">
        <w:tab/>
        <w:t>tomar nota de que, previo acuerdo del TC en su quincuagésima quinta sesión y en coordinación con la OCDE, se enviará una circular para solicitar a los miembros de la Unión que respondan una encuesta como punto de partida de la elaboración de un inventario sobre la utilización de técnicas basadas en marcadores moleculares, por cultivos, según se expone en el párrafo 25 de este documento;</w:t>
      </w:r>
      <w:r w:rsidR="00365911" w:rsidRPr="00AB213E">
        <w:t xml:space="preserve"> </w:t>
      </w:r>
    </w:p>
    <w:p w14:paraId="2AEE3F55" w14:textId="279D2517" w:rsidR="00C7456E" w:rsidRPr="00AB213E" w:rsidRDefault="00C7456E" w:rsidP="00C7456E"/>
    <w:p w14:paraId="11005B4D" w14:textId="77777777" w:rsidR="00C7456E" w:rsidRPr="00AB213E" w:rsidRDefault="00C7456E" w:rsidP="00C7456E">
      <w:pPr>
        <w:ind w:firstLine="567"/>
      </w:pPr>
      <w:r w:rsidRPr="00AB213E">
        <w:lastRenderedPageBreak/>
        <w:t>h)</w:t>
      </w:r>
      <w:r w:rsidRPr="00AB213E">
        <w:tab/>
        <w:t xml:space="preserve">tomar nota de que, en su decimoctava sesión, se invitará al BMT a elaborar listas de posibles iniciativas conjuntas con la OCDE y la ISTA relacionadas con las técnicas moleculares, según se expone en el párrafo 27 de este documento; </w:t>
      </w:r>
    </w:p>
    <w:p w14:paraId="55BB4E05" w14:textId="77777777" w:rsidR="00C7456E" w:rsidRPr="00AB213E" w:rsidRDefault="00C7456E" w:rsidP="00C7456E"/>
    <w:p w14:paraId="0DAD06BD" w14:textId="77777777" w:rsidR="00C7456E" w:rsidRPr="00AB213E" w:rsidRDefault="00C7456E" w:rsidP="00C7456E">
      <w:r w:rsidRPr="00AB213E">
        <w:tab/>
        <w:t>i)</w:t>
      </w:r>
      <w:r w:rsidRPr="00AB213E">
        <w:tab/>
        <w:t>tomar nota de que las propuestas formuladas por el BMT, en su decimoctava sesión, respecto de listas de posibles iniciativas conjuntas con la OCDE y la ISTA relacionadas con las técnicas moleculares, se comunicarán en una adición al presente documento, según se expone en el párrafo 27 de este documento;</w:t>
      </w:r>
    </w:p>
    <w:p w14:paraId="41E829DF" w14:textId="77777777" w:rsidR="00707D40" w:rsidRPr="00AB213E" w:rsidRDefault="00707D40" w:rsidP="00707D40">
      <w:pPr>
        <w:rPr>
          <w:sz w:val="18"/>
        </w:rPr>
      </w:pPr>
    </w:p>
    <w:p w14:paraId="029B261C" w14:textId="77777777" w:rsidR="00707D40" w:rsidRPr="00AB213E" w:rsidRDefault="00707D40" w:rsidP="00707D40">
      <w:pPr>
        <w:ind w:firstLine="567"/>
      </w:pPr>
      <w:r w:rsidRPr="00AB213E">
        <w:t>j)</w:t>
      </w:r>
      <w:r w:rsidRPr="00AB213E">
        <w:tab/>
        <w:t xml:space="preserve">tomar nota de los resultados de los debates mantenidos en los TWP, en sus sesiones de 2019, sobre cooperación en materia de uso de técnicas moleculares, expuestos en los párrafos 32 a 35 de este documento; </w:t>
      </w:r>
    </w:p>
    <w:p w14:paraId="1511A856" w14:textId="77777777" w:rsidR="009C1868" w:rsidRPr="00AB213E" w:rsidRDefault="009C1868" w:rsidP="009C1868">
      <w:pPr>
        <w:rPr>
          <w:sz w:val="18"/>
        </w:rPr>
      </w:pPr>
    </w:p>
    <w:p w14:paraId="6173AC81" w14:textId="77777777" w:rsidR="009C1868" w:rsidRPr="00AB213E" w:rsidRDefault="009C1868" w:rsidP="009C1868">
      <w:pPr>
        <w:ind w:firstLine="567"/>
      </w:pPr>
      <w:r w:rsidRPr="00AB213E">
        <w:t>k)</w:t>
      </w:r>
      <w:r w:rsidRPr="00AB213E">
        <w:tab/>
        <w:t>tomar nota de que, en su decimoctava sesión, se invitará al BMT a elaborar propuestas sobre los próximos pasos encaminados a definir ámbitos de cooperación en el uso de técnicas moleculares, según se expone en el párrafo 38 de este documento; y</w:t>
      </w:r>
    </w:p>
    <w:p w14:paraId="2DADC9B9" w14:textId="77777777" w:rsidR="009C1868" w:rsidRPr="00AB213E" w:rsidRDefault="009C1868" w:rsidP="009C1868">
      <w:pPr>
        <w:rPr>
          <w:sz w:val="18"/>
        </w:rPr>
      </w:pPr>
    </w:p>
    <w:p w14:paraId="7F209785" w14:textId="77777777" w:rsidR="009C1868" w:rsidRPr="00AB213E" w:rsidRDefault="009C1868" w:rsidP="009C1868">
      <w:pPr>
        <w:ind w:firstLine="567"/>
      </w:pPr>
      <w:r w:rsidRPr="00AB213E">
        <w:t>l)</w:t>
      </w:r>
      <w:r w:rsidRPr="00AB213E">
        <w:tab/>
        <w:t xml:space="preserve">tomar nota de que las propuestas formuladas por el BMT, en su decimoctava sesión, respecto de los ámbitos de cooperación en el uso de técnicas moleculares, se comunicarán en una adición al presente documento, según se expone en el párrafo 39 de este documento. </w:t>
      </w:r>
    </w:p>
    <w:p w14:paraId="2061B6F0" w14:textId="77777777" w:rsidR="002A5737" w:rsidRPr="00AB213E" w:rsidRDefault="002A5737" w:rsidP="009A50E6">
      <w:pPr>
        <w:jc w:val="left"/>
        <w:rPr>
          <w:sz w:val="18"/>
        </w:rPr>
      </w:pPr>
    </w:p>
    <w:p w14:paraId="5FB3E522" w14:textId="77777777" w:rsidR="00440683" w:rsidRPr="00AB213E" w:rsidRDefault="00440683" w:rsidP="00DF1E9C">
      <w:r w:rsidRPr="00AB213E">
        <w:fldChar w:fldCharType="begin"/>
      </w:r>
      <w:r w:rsidRPr="00AB213E">
        <w:instrText xml:space="preserve"> AUTONUM  </w:instrText>
      </w:r>
      <w:r w:rsidRPr="00AB213E">
        <w:fldChar w:fldCharType="end"/>
      </w:r>
      <w:r w:rsidRPr="00AB213E">
        <w:tab/>
        <w:t>En el presente documento se utilizan las abreviaturas siguientes:</w:t>
      </w:r>
    </w:p>
    <w:p w14:paraId="136A424A" w14:textId="77777777" w:rsidR="00440683" w:rsidRPr="00AB213E" w:rsidRDefault="00440683" w:rsidP="00DF1E9C"/>
    <w:p w14:paraId="6E7DCACD" w14:textId="77777777" w:rsidR="00440683" w:rsidRPr="00AB213E" w:rsidRDefault="00440683" w:rsidP="003A3A32">
      <w:pPr>
        <w:tabs>
          <w:tab w:val="left" w:pos="567"/>
        </w:tabs>
        <w:ind w:left="1418" w:hanging="851"/>
      </w:pPr>
      <w:r w:rsidRPr="00AB213E">
        <w:t>BMT:</w:t>
      </w:r>
      <w:r w:rsidRPr="00AB213E">
        <w:tab/>
        <w:t xml:space="preserve">Grupo de Trabajo sobre Técnicas Bioquímicas y Moleculares, y Perfiles de ADN en particular </w:t>
      </w:r>
    </w:p>
    <w:p w14:paraId="6ADA03F8" w14:textId="77777777" w:rsidR="00440683" w:rsidRPr="00AB213E" w:rsidRDefault="00440683" w:rsidP="003A3A32">
      <w:pPr>
        <w:tabs>
          <w:tab w:val="left" w:pos="567"/>
        </w:tabs>
        <w:ind w:left="1418" w:hanging="851"/>
      </w:pPr>
      <w:r w:rsidRPr="00AB213E">
        <w:t>TC:</w:t>
      </w:r>
      <w:r w:rsidRPr="00AB213E">
        <w:tab/>
        <w:t>Comité Técnico</w:t>
      </w:r>
    </w:p>
    <w:p w14:paraId="48D737B4" w14:textId="77777777" w:rsidR="002767CA" w:rsidRPr="00AB213E" w:rsidRDefault="002767CA" w:rsidP="003A3A32">
      <w:pPr>
        <w:ind w:left="1418" w:hanging="851"/>
        <w:rPr>
          <w:rFonts w:eastAsia="PMingLiU" w:cs="Arial"/>
        </w:rPr>
      </w:pPr>
      <w:r w:rsidRPr="00AB213E">
        <w:t>TWA:</w:t>
      </w:r>
      <w:r w:rsidRPr="00AB213E">
        <w:tab/>
        <w:t>Grupo de Trabajo Técnico sobre Plantas Agrícolas</w:t>
      </w:r>
    </w:p>
    <w:p w14:paraId="0380E2EA" w14:textId="77777777" w:rsidR="002767CA" w:rsidRPr="00AB213E" w:rsidRDefault="002767CA" w:rsidP="003A3A32">
      <w:pPr>
        <w:ind w:left="1418" w:hanging="851"/>
        <w:rPr>
          <w:rFonts w:eastAsia="PMingLiU" w:cs="Arial"/>
        </w:rPr>
      </w:pPr>
      <w:r w:rsidRPr="00AB213E">
        <w:t>TWC:</w:t>
      </w:r>
      <w:r w:rsidRPr="00AB213E">
        <w:tab/>
        <w:t>Grupo de Trabajo Técnico sobre Automatización y Programas Informáticos</w:t>
      </w:r>
    </w:p>
    <w:p w14:paraId="028DDB6A" w14:textId="77777777" w:rsidR="005078AE" w:rsidRPr="00AB213E" w:rsidRDefault="005078AE" w:rsidP="003A3A32">
      <w:pPr>
        <w:ind w:left="1418" w:hanging="851"/>
        <w:rPr>
          <w:rFonts w:eastAsia="PMingLiU" w:cs="Arial"/>
        </w:rPr>
      </w:pPr>
      <w:r w:rsidRPr="00AB213E">
        <w:t>TWF:</w:t>
      </w:r>
      <w:r w:rsidRPr="00AB213E">
        <w:tab/>
        <w:t>Grupo de Trabajo Técnico sobre Plantas Frutales</w:t>
      </w:r>
    </w:p>
    <w:p w14:paraId="17273206" w14:textId="77777777" w:rsidR="00440683" w:rsidRPr="00AB213E" w:rsidRDefault="00440683" w:rsidP="003A3A32">
      <w:pPr>
        <w:ind w:left="1418" w:hanging="851"/>
        <w:rPr>
          <w:rFonts w:eastAsia="PMingLiU" w:cs="Arial"/>
        </w:rPr>
      </w:pPr>
      <w:r w:rsidRPr="00AB213E">
        <w:t>TWO:</w:t>
      </w:r>
      <w:r w:rsidRPr="00AB213E">
        <w:tab/>
        <w:t>Grupo de Trabajo Técnico sobre Plantas Ornamentales y Árboles Forestales</w:t>
      </w:r>
    </w:p>
    <w:p w14:paraId="55B6D2B8" w14:textId="77777777" w:rsidR="00440683" w:rsidRPr="00AB213E" w:rsidRDefault="00440683" w:rsidP="003A3A32">
      <w:pPr>
        <w:ind w:left="1418" w:hanging="851"/>
        <w:rPr>
          <w:rFonts w:eastAsia="PMingLiU" w:cs="Arial"/>
        </w:rPr>
      </w:pPr>
      <w:r w:rsidRPr="00AB213E">
        <w:t>TWP:</w:t>
      </w:r>
      <w:r w:rsidRPr="00AB213E">
        <w:tab/>
        <w:t>Grupos de Trabajo Técnico</w:t>
      </w:r>
    </w:p>
    <w:p w14:paraId="61BEB2B6" w14:textId="77777777" w:rsidR="00440683" w:rsidRPr="00AB213E" w:rsidRDefault="00440683" w:rsidP="003A3A32">
      <w:pPr>
        <w:ind w:left="1418" w:hanging="851"/>
        <w:rPr>
          <w:rFonts w:eastAsia="PMingLiU" w:cs="Arial"/>
        </w:rPr>
      </w:pPr>
      <w:r w:rsidRPr="00AB213E">
        <w:t>TWV:</w:t>
      </w:r>
      <w:r w:rsidRPr="00AB213E">
        <w:tab/>
        <w:t>Grupo de Trabajo Técnico sobre Hortalizas</w:t>
      </w:r>
    </w:p>
    <w:p w14:paraId="6BDAD019" w14:textId="77777777" w:rsidR="00440683" w:rsidRPr="00AB213E" w:rsidRDefault="00440683" w:rsidP="003A3A32">
      <w:pPr>
        <w:ind w:left="1418" w:hanging="851"/>
        <w:rPr>
          <w:rFonts w:eastAsia="PMingLiU" w:cs="Arial"/>
          <w:snapToGrid w:val="0"/>
        </w:rPr>
      </w:pPr>
      <w:r w:rsidRPr="00AB213E">
        <w:t>OCDE:</w:t>
      </w:r>
      <w:r w:rsidRPr="00AB213E">
        <w:tab/>
        <w:t>Organización de Cooperación y Desarrollo Económicos</w:t>
      </w:r>
    </w:p>
    <w:p w14:paraId="446E4312" w14:textId="77777777" w:rsidR="003A44CC" w:rsidRPr="00AB213E" w:rsidRDefault="003A44CC" w:rsidP="003A3A32">
      <w:pPr>
        <w:ind w:left="1418" w:hanging="851"/>
        <w:rPr>
          <w:rFonts w:cs="Arial"/>
          <w:snapToGrid w:val="0"/>
        </w:rPr>
      </w:pPr>
      <w:r w:rsidRPr="00AB213E">
        <w:t xml:space="preserve">ISTA: </w:t>
      </w:r>
      <w:r w:rsidRPr="00AB213E">
        <w:tab/>
        <w:t>Asociación Internacional para el Ensayo de Semillas</w:t>
      </w:r>
    </w:p>
    <w:p w14:paraId="550FEA45" w14:textId="77777777" w:rsidR="00803B6D" w:rsidRPr="00AB213E" w:rsidRDefault="00803B6D">
      <w:pPr>
        <w:jc w:val="left"/>
        <w:rPr>
          <w:rFonts w:cs="Arial"/>
          <w:snapToGrid w:val="0"/>
          <w:szCs w:val="24"/>
        </w:rPr>
      </w:pPr>
      <w:bookmarkStart w:id="6" w:name="_Toc13511381"/>
    </w:p>
    <w:p w14:paraId="5E9B4603" w14:textId="77777777" w:rsidR="00803B6D" w:rsidRPr="00AB213E" w:rsidRDefault="00803B6D" w:rsidP="00803B6D">
      <w:pPr>
        <w:keepNext/>
        <w:keepLines/>
      </w:pPr>
      <w:r w:rsidRPr="00AB213E">
        <w:fldChar w:fldCharType="begin"/>
      </w:r>
      <w:r w:rsidRPr="00AB213E">
        <w:instrText xml:space="preserve"> AUTONUM  </w:instrText>
      </w:r>
      <w:r w:rsidRPr="00AB213E">
        <w:fldChar w:fldCharType="end"/>
      </w:r>
      <w:r w:rsidRPr="00AB213E">
        <w:tab/>
        <w:t>El presente documento se estructura del modo siguiente:</w:t>
      </w:r>
    </w:p>
    <w:p w14:paraId="05D9BEFB" w14:textId="77777777" w:rsidR="00ED644C" w:rsidRPr="00AB213E" w:rsidRDefault="00ED644C" w:rsidP="00803B6D">
      <w:pPr>
        <w:keepNext/>
        <w:keepLines/>
      </w:pPr>
    </w:p>
    <w:p w14:paraId="7D41FBD5" w14:textId="2AD8A462" w:rsidR="005A43D3" w:rsidRPr="00AB213E" w:rsidRDefault="00ED644C">
      <w:pPr>
        <w:pStyle w:val="TOC1"/>
        <w:rPr>
          <w:rFonts w:asciiTheme="minorHAnsi" w:eastAsiaTheme="minorEastAsia" w:hAnsiTheme="minorHAnsi" w:cstheme="minorBidi"/>
          <w:caps w:val="0"/>
          <w:noProof/>
          <w:sz w:val="22"/>
          <w:szCs w:val="22"/>
          <w:lang w:bidi="ar-SA"/>
        </w:rPr>
      </w:pPr>
      <w:r w:rsidRPr="00AB213E">
        <w:rPr>
          <w:rFonts w:cs="Arial"/>
          <w:bCs/>
          <w:sz w:val="16"/>
        </w:rPr>
        <w:fldChar w:fldCharType="begin"/>
      </w:r>
      <w:r w:rsidRPr="00AB213E">
        <w:rPr>
          <w:sz w:val="16"/>
        </w:rPr>
        <w:instrText xml:space="preserve"> TOC \o "1-3" \h \z </w:instrText>
      </w:r>
      <w:r w:rsidRPr="00AB213E">
        <w:rPr>
          <w:rFonts w:cs="Arial"/>
          <w:bCs/>
          <w:sz w:val="16"/>
        </w:rPr>
        <w:fldChar w:fldCharType="separate"/>
      </w:r>
      <w:hyperlink w:anchor="_Toc17813509" w:history="1">
        <w:r w:rsidR="005A43D3" w:rsidRPr="00AB213E">
          <w:rPr>
            <w:rStyle w:val="Hyperlink"/>
            <w:noProof/>
          </w:rPr>
          <w:t>RESUMEN</w:t>
        </w:r>
        <w:r w:rsidR="005A43D3" w:rsidRPr="00AB213E">
          <w:rPr>
            <w:noProof/>
            <w:webHidden/>
          </w:rPr>
          <w:tab/>
        </w:r>
        <w:r w:rsidR="005A43D3" w:rsidRPr="00AB213E">
          <w:rPr>
            <w:noProof/>
            <w:webHidden/>
          </w:rPr>
          <w:fldChar w:fldCharType="begin"/>
        </w:r>
        <w:r w:rsidR="005A43D3" w:rsidRPr="00AB213E">
          <w:rPr>
            <w:noProof/>
            <w:webHidden/>
          </w:rPr>
          <w:instrText xml:space="preserve"> PAGEREF _Toc17813509 \h </w:instrText>
        </w:r>
        <w:r w:rsidR="005A43D3" w:rsidRPr="00AB213E">
          <w:rPr>
            <w:noProof/>
            <w:webHidden/>
          </w:rPr>
        </w:r>
        <w:r w:rsidR="005A43D3" w:rsidRPr="00AB213E">
          <w:rPr>
            <w:noProof/>
            <w:webHidden/>
          </w:rPr>
          <w:fldChar w:fldCharType="separate"/>
        </w:r>
        <w:r w:rsidR="00FD22B2">
          <w:rPr>
            <w:noProof/>
            <w:webHidden/>
          </w:rPr>
          <w:t>1</w:t>
        </w:r>
        <w:r w:rsidR="005A43D3" w:rsidRPr="00AB213E">
          <w:rPr>
            <w:noProof/>
            <w:webHidden/>
          </w:rPr>
          <w:fldChar w:fldCharType="end"/>
        </w:r>
      </w:hyperlink>
    </w:p>
    <w:p w14:paraId="6767206C" w14:textId="0381E595" w:rsidR="005A43D3" w:rsidRPr="00AB213E" w:rsidRDefault="00FD22B2">
      <w:pPr>
        <w:pStyle w:val="TOC1"/>
        <w:rPr>
          <w:rFonts w:asciiTheme="minorHAnsi" w:eastAsiaTheme="minorEastAsia" w:hAnsiTheme="minorHAnsi" w:cstheme="minorBidi"/>
          <w:caps w:val="0"/>
          <w:noProof/>
          <w:sz w:val="22"/>
          <w:szCs w:val="22"/>
          <w:lang w:bidi="ar-SA"/>
        </w:rPr>
      </w:pPr>
      <w:hyperlink w:anchor="_Toc17813510" w:history="1">
        <w:r w:rsidR="005A43D3" w:rsidRPr="00AB213E">
          <w:rPr>
            <w:rStyle w:val="Hyperlink"/>
            <w:noProof/>
          </w:rPr>
          <w:t>Revisión del documento UPOV/INF/17 “Directrices para los perfiles de ADN: selección de marcadores moleculares y creación de una base de datos ("Directrices BMT")</w:t>
        </w:r>
        <w:r w:rsidR="005A43D3" w:rsidRPr="00AB213E">
          <w:rPr>
            <w:noProof/>
            <w:webHidden/>
          </w:rPr>
          <w:tab/>
        </w:r>
        <w:r w:rsidR="005A43D3" w:rsidRPr="00AB213E">
          <w:rPr>
            <w:noProof/>
            <w:webHidden/>
          </w:rPr>
          <w:fldChar w:fldCharType="begin"/>
        </w:r>
        <w:r w:rsidR="005A43D3" w:rsidRPr="00AB213E">
          <w:rPr>
            <w:noProof/>
            <w:webHidden/>
          </w:rPr>
          <w:instrText xml:space="preserve"> PAGEREF _Toc17813510 \h </w:instrText>
        </w:r>
        <w:r w:rsidR="005A43D3" w:rsidRPr="00AB213E">
          <w:rPr>
            <w:noProof/>
            <w:webHidden/>
          </w:rPr>
        </w:r>
        <w:r w:rsidR="005A43D3" w:rsidRPr="00AB213E">
          <w:rPr>
            <w:noProof/>
            <w:webHidden/>
          </w:rPr>
          <w:fldChar w:fldCharType="separate"/>
        </w:r>
        <w:r>
          <w:rPr>
            <w:noProof/>
            <w:webHidden/>
          </w:rPr>
          <w:t>2</w:t>
        </w:r>
        <w:r w:rsidR="005A43D3" w:rsidRPr="00AB213E">
          <w:rPr>
            <w:noProof/>
            <w:webHidden/>
          </w:rPr>
          <w:fldChar w:fldCharType="end"/>
        </w:r>
      </w:hyperlink>
    </w:p>
    <w:p w14:paraId="7A53CDC9" w14:textId="0DD61E73" w:rsidR="005A43D3" w:rsidRPr="00AB213E" w:rsidRDefault="00FD22B2">
      <w:pPr>
        <w:pStyle w:val="TOC2"/>
        <w:rPr>
          <w:rFonts w:asciiTheme="minorHAnsi" w:eastAsiaTheme="minorEastAsia" w:hAnsiTheme="minorHAnsi" w:cstheme="minorBidi"/>
          <w:sz w:val="22"/>
          <w:szCs w:val="22"/>
          <w:lang w:bidi="ar-SA"/>
        </w:rPr>
      </w:pPr>
      <w:hyperlink w:anchor="_Toc17813511" w:history="1">
        <w:r w:rsidR="005A43D3" w:rsidRPr="00AB213E">
          <w:rPr>
            <w:rStyle w:val="Hyperlink"/>
          </w:rPr>
          <w:t>Orientación sobre un protocolo de análisis del marcador de ADN de un carácter concreto</w:t>
        </w:r>
        <w:r w:rsidR="005A43D3" w:rsidRPr="00AB213E">
          <w:rPr>
            <w:webHidden/>
          </w:rPr>
          <w:tab/>
        </w:r>
        <w:r w:rsidR="005A43D3" w:rsidRPr="00AB213E">
          <w:rPr>
            <w:webHidden/>
          </w:rPr>
          <w:fldChar w:fldCharType="begin"/>
        </w:r>
        <w:r w:rsidR="005A43D3" w:rsidRPr="00AB213E">
          <w:rPr>
            <w:webHidden/>
          </w:rPr>
          <w:instrText xml:space="preserve"> PAGEREF _Toc17813511 \h </w:instrText>
        </w:r>
        <w:r w:rsidR="005A43D3" w:rsidRPr="00AB213E">
          <w:rPr>
            <w:webHidden/>
          </w:rPr>
        </w:r>
        <w:r w:rsidR="005A43D3" w:rsidRPr="00AB213E">
          <w:rPr>
            <w:webHidden/>
          </w:rPr>
          <w:fldChar w:fldCharType="separate"/>
        </w:r>
        <w:r>
          <w:rPr>
            <w:webHidden/>
          </w:rPr>
          <w:t>3</w:t>
        </w:r>
        <w:r w:rsidR="005A43D3" w:rsidRPr="00AB213E">
          <w:rPr>
            <w:webHidden/>
          </w:rPr>
          <w:fldChar w:fldCharType="end"/>
        </w:r>
      </w:hyperlink>
    </w:p>
    <w:p w14:paraId="7C0A9033" w14:textId="54471940" w:rsidR="005A43D3" w:rsidRPr="00AB213E" w:rsidRDefault="00FD22B2">
      <w:pPr>
        <w:pStyle w:val="TOC1"/>
        <w:rPr>
          <w:rFonts w:asciiTheme="minorHAnsi" w:eastAsiaTheme="minorEastAsia" w:hAnsiTheme="minorHAnsi" w:cstheme="minorBidi"/>
          <w:caps w:val="0"/>
          <w:noProof/>
          <w:sz w:val="22"/>
          <w:szCs w:val="22"/>
          <w:lang w:bidi="ar-SA"/>
        </w:rPr>
      </w:pPr>
      <w:hyperlink w:anchor="_Toc17813512" w:history="1">
        <w:r w:rsidR="005A43D3" w:rsidRPr="00AB213E">
          <w:rPr>
            <w:rStyle w:val="Hyperlink"/>
            <w:noProof/>
          </w:rPr>
          <w:t>Cooperación entre las organizaciones internacionales</w:t>
        </w:r>
        <w:r w:rsidR="005A43D3" w:rsidRPr="00AB213E">
          <w:rPr>
            <w:noProof/>
            <w:webHidden/>
          </w:rPr>
          <w:tab/>
        </w:r>
        <w:r w:rsidR="005A43D3" w:rsidRPr="00AB213E">
          <w:rPr>
            <w:noProof/>
            <w:webHidden/>
          </w:rPr>
          <w:fldChar w:fldCharType="begin"/>
        </w:r>
        <w:r w:rsidR="005A43D3" w:rsidRPr="00AB213E">
          <w:rPr>
            <w:noProof/>
            <w:webHidden/>
          </w:rPr>
          <w:instrText xml:space="preserve"> PAGEREF _Toc17813512 \h </w:instrText>
        </w:r>
        <w:r w:rsidR="005A43D3" w:rsidRPr="00AB213E">
          <w:rPr>
            <w:noProof/>
            <w:webHidden/>
          </w:rPr>
        </w:r>
        <w:r w:rsidR="005A43D3" w:rsidRPr="00AB213E">
          <w:rPr>
            <w:noProof/>
            <w:webHidden/>
          </w:rPr>
          <w:fldChar w:fldCharType="separate"/>
        </w:r>
        <w:r>
          <w:rPr>
            <w:noProof/>
            <w:webHidden/>
          </w:rPr>
          <w:t>3</w:t>
        </w:r>
        <w:r w:rsidR="005A43D3" w:rsidRPr="00AB213E">
          <w:rPr>
            <w:noProof/>
            <w:webHidden/>
          </w:rPr>
          <w:fldChar w:fldCharType="end"/>
        </w:r>
      </w:hyperlink>
    </w:p>
    <w:p w14:paraId="3C4B0238" w14:textId="21DDF786" w:rsidR="005A43D3" w:rsidRPr="00AB213E" w:rsidRDefault="00FD22B2">
      <w:pPr>
        <w:pStyle w:val="TOC2"/>
        <w:rPr>
          <w:rFonts w:asciiTheme="minorHAnsi" w:eastAsiaTheme="minorEastAsia" w:hAnsiTheme="minorHAnsi" w:cstheme="minorBidi"/>
          <w:sz w:val="22"/>
          <w:szCs w:val="22"/>
          <w:lang w:bidi="ar-SA"/>
        </w:rPr>
      </w:pPr>
      <w:hyperlink w:anchor="_Toc17813513" w:history="1">
        <w:r w:rsidR="005A43D3" w:rsidRPr="00AB213E">
          <w:rPr>
            <w:rStyle w:val="Hyperlink"/>
          </w:rPr>
          <w:t>Documento conjunto en el que se expliquen las características principales de los sistemas de la OCDE, la UPOV y la ISTA</w:t>
        </w:r>
        <w:r w:rsidR="005A43D3" w:rsidRPr="00AB213E">
          <w:rPr>
            <w:webHidden/>
          </w:rPr>
          <w:tab/>
        </w:r>
        <w:r w:rsidR="005A43D3" w:rsidRPr="00AB213E">
          <w:rPr>
            <w:webHidden/>
          </w:rPr>
          <w:fldChar w:fldCharType="begin"/>
        </w:r>
        <w:r w:rsidR="005A43D3" w:rsidRPr="00AB213E">
          <w:rPr>
            <w:webHidden/>
          </w:rPr>
          <w:instrText xml:space="preserve"> PAGEREF _Toc17813513 \h </w:instrText>
        </w:r>
        <w:r w:rsidR="005A43D3" w:rsidRPr="00AB213E">
          <w:rPr>
            <w:webHidden/>
          </w:rPr>
        </w:r>
        <w:r w:rsidR="005A43D3" w:rsidRPr="00AB213E">
          <w:rPr>
            <w:webHidden/>
          </w:rPr>
          <w:fldChar w:fldCharType="separate"/>
        </w:r>
        <w:r>
          <w:rPr>
            <w:webHidden/>
          </w:rPr>
          <w:t>4</w:t>
        </w:r>
        <w:r w:rsidR="005A43D3" w:rsidRPr="00AB213E">
          <w:rPr>
            <w:webHidden/>
          </w:rPr>
          <w:fldChar w:fldCharType="end"/>
        </w:r>
      </w:hyperlink>
    </w:p>
    <w:p w14:paraId="24A0E467" w14:textId="22BB4838" w:rsidR="005A43D3" w:rsidRPr="00AB213E" w:rsidRDefault="00FD22B2">
      <w:pPr>
        <w:pStyle w:val="TOC2"/>
        <w:rPr>
          <w:rFonts w:asciiTheme="minorHAnsi" w:eastAsiaTheme="minorEastAsia" w:hAnsiTheme="minorHAnsi" w:cstheme="minorBidi"/>
          <w:sz w:val="22"/>
          <w:szCs w:val="22"/>
          <w:lang w:bidi="ar-SA"/>
        </w:rPr>
      </w:pPr>
      <w:hyperlink w:anchor="_Toc17813514" w:history="1">
        <w:r w:rsidR="005A43D3" w:rsidRPr="00AB213E">
          <w:rPr>
            <w:rStyle w:val="Hyperlink"/>
          </w:rPr>
          <w:t>Inventario sobre la utilización de técnicas basadas en marcadores moleculares, por cultivos</w:t>
        </w:r>
        <w:r w:rsidR="005A43D3" w:rsidRPr="00AB213E">
          <w:rPr>
            <w:webHidden/>
          </w:rPr>
          <w:tab/>
        </w:r>
        <w:r w:rsidR="005A43D3" w:rsidRPr="00AB213E">
          <w:rPr>
            <w:webHidden/>
          </w:rPr>
          <w:fldChar w:fldCharType="begin"/>
        </w:r>
        <w:r w:rsidR="005A43D3" w:rsidRPr="00AB213E">
          <w:rPr>
            <w:webHidden/>
          </w:rPr>
          <w:instrText xml:space="preserve"> PAGEREF _Toc17813514 \h </w:instrText>
        </w:r>
        <w:r w:rsidR="005A43D3" w:rsidRPr="00AB213E">
          <w:rPr>
            <w:webHidden/>
          </w:rPr>
        </w:r>
        <w:r w:rsidR="005A43D3" w:rsidRPr="00AB213E">
          <w:rPr>
            <w:webHidden/>
          </w:rPr>
          <w:fldChar w:fldCharType="separate"/>
        </w:r>
        <w:r>
          <w:rPr>
            <w:webHidden/>
          </w:rPr>
          <w:t>4</w:t>
        </w:r>
        <w:r w:rsidR="005A43D3" w:rsidRPr="00AB213E">
          <w:rPr>
            <w:webHidden/>
          </w:rPr>
          <w:fldChar w:fldCharType="end"/>
        </w:r>
      </w:hyperlink>
    </w:p>
    <w:p w14:paraId="4B6716E3" w14:textId="1AAA5A52" w:rsidR="005A43D3" w:rsidRPr="00AB213E" w:rsidRDefault="00FD22B2">
      <w:pPr>
        <w:pStyle w:val="TOC3"/>
        <w:rPr>
          <w:rFonts w:asciiTheme="minorHAnsi" w:eastAsiaTheme="minorEastAsia" w:hAnsiTheme="minorHAnsi" w:cstheme="minorBidi"/>
          <w:sz w:val="22"/>
          <w:szCs w:val="22"/>
          <w:lang w:bidi="ar-SA"/>
        </w:rPr>
      </w:pPr>
      <w:hyperlink w:anchor="_Toc17813515" w:history="1">
        <w:r w:rsidR="005A43D3" w:rsidRPr="00AB213E">
          <w:rPr>
            <w:rStyle w:val="Hyperlink"/>
          </w:rPr>
          <w:t>Propuesta</w:t>
        </w:r>
        <w:r w:rsidR="005A43D3" w:rsidRPr="00AB213E">
          <w:rPr>
            <w:webHidden/>
          </w:rPr>
          <w:tab/>
        </w:r>
        <w:r w:rsidR="005A43D3" w:rsidRPr="00AB213E">
          <w:rPr>
            <w:webHidden/>
          </w:rPr>
          <w:fldChar w:fldCharType="begin"/>
        </w:r>
        <w:r w:rsidR="005A43D3" w:rsidRPr="00AB213E">
          <w:rPr>
            <w:webHidden/>
          </w:rPr>
          <w:instrText xml:space="preserve"> PAGEREF _Toc17813515 \h </w:instrText>
        </w:r>
        <w:r w:rsidR="005A43D3" w:rsidRPr="00AB213E">
          <w:rPr>
            <w:webHidden/>
          </w:rPr>
        </w:r>
        <w:r w:rsidR="005A43D3" w:rsidRPr="00AB213E">
          <w:rPr>
            <w:webHidden/>
          </w:rPr>
          <w:fldChar w:fldCharType="separate"/>
        </w:r>
        <w:r>
          <w:rPr>
            <w:webHidden/>
          </w:rPr>
          <w:t>5</w:t>
        </w:r>
        <w:r w:rsidR="005A43D3" w:rsidRPr="00AB213E">
          <w:rPr>
            <w:webHidden/>
          </w:rPr>
          <w:fldChar w:fldCharType="end"/>
        </w:r>
      </w:hyperlink>
    </w:p>
    <w:p w14:paraId="4CE5E9A4" w14:textId="08804E0C" w:rsidR="005A43D3" w:rsidRPr="00AB213E" w:rsidRDefault="00FD22B2">
      <w:pPr>
        <w:pStyle w:val="TOC2"/>
        <w:rPr>
          <w:rFonts w:asciiTheme="minorHAnsi" w:eastAsiaTheme="minorEastAsia" w:hAnsiTheme="minorHAnsi" w:cstheme="minorBidi"/>
          <w:sz w:val="22"/>
          <w:szCs w:val="22"/>
          <w:lang w:bidi="ar-SA"/>
        </w:rPr>
      </w:pPr>
      <w:hyperlink w:anchor="_Toc17813516" w:history="1">
        <w:r w:rsidR="005A43D3" w:rsidRPr="00AB213E">
          <w:rPr>
            <w:rStyle w:val="Hyperlink"/>
          </w:rPr>
          <w:t>Listas de posibles iniciativas conjuntas con la OCDE y la ISTA relacionadas con las técnicas moleculares</w:t>
        </w:r>
        <w:r w:rsidR="005A43D3" w:rsidRPr="00AB213E">
          <w:rPr>
            <w:webHidden/>
          </w:rPr>
          <w:tab/>
        </w:r>
        <w:r w:rsidR="005A43D3" w:rsidRPr="00AB213E">
          <w:rPr>
            <w:webHidden/>
          </w:rPr>
          <w:fldChar w:fldCharType="begin"/>
        </w:r>
        <w:r w:rsidR="005A43D3" w:rsidRPr="00AB213E">
          <w:rPr>
            <w:webHidden/>
          </w:rPr>
          <w:instrText xml:space="preserve"> PAGEREF _Toc17813516 \h </w:instrText>
        </w:r>
        <w:r w:rsidR="005A43D3" w:rsidRPr="00AB213E">
          <w:rPr>
            <w:webHidden/>
          </w:rPr>
        </w:r>
        <w:r w:rsidR="005A43D3" w:rsidRPr="00AB213E">
          <w:rPr>
            <w:webHidden/>
          </w:rPr>
          <w:fldChar w:fldCharType="separate"/>
        </w:r>
        <w:r>
          <w:rPr>
            <w:webHidden/>
          </w:rPr>
          <w:t>6</w:t>
        </w:r>
        <w:r w:rsidR="005A43D3" w:rsidRPr="00AB213E">
          <w:rPr>
            <w:webHidden/>
          </w:rPr>
          <w:fldChar w:fldCharType="end"/>
        </w:r>
      </w:hyperlink>
    </w:p>
    <w:p w14:paraId="2B4116FD" w14:textId="1A0FAEB0" w:rsidR="005A43D3" w:rsidRPr="00AB213E" w:rsidRDefault="00FD22B2">
      <w:pPr>
        <w:pStyle w:val="TOC1"/>
        <w:rPr>
          <w:rFonts w:asciiTheme="minorHAnsi" w:eastAsiaTheme="minorEastAsia" w:hAnsiTheme="minorHAnsi" w:cstheme="minorBidi"/>
          <w:caps w:val="0"/>
          <w:noProof/>
          <w:sz w:val="22"/>
          <w:szCs w:val="22"/>
          <w:lang w:bidi="ar-SA"/>
        </w:rPr>
      </w:pPr>
      <w:hyperlink w:anchor="_Toc17813517" w:history="1">
        <w:r w:rsidR="005A43D3" w:rsidRPr="00AB213E">
          <w:rPr>
            <w:rStyle w:val="Hyperlink"/>
            <w:noProof/>
          </w:rPr>
          <w:t>SESIÓN PARA FACILITAR LA COOPERACIÓN EN EL USO DE TÉCNICAS MOLECULARES</w:t>
        </w:r>
        <w:r w:rsidR="005A43D3" w:rsidRPr="00AB213E">
          <w:rPr>
            <w:noProof/>
            <w:webHidden/>
          </w:rPr>
          <w:tab/>
        </w:r>
        <w:r w:rsidR="005A43D3" w:rsidRPr="00AB213E">
          <w:rPr>
            <w:noProof/>
            <w:webHidden/>
          </w:rPr>
          <w:fldChar w:fldCharType="begin"/>
        </w:r>
        <w:r w:rsidR="005A43D3" w:rsidRPr="00AB213E">
          <w:rPr>
            <w:noProof/>
            <w:webHidden/>
          </w:rPr>
          <w:instrText xml:space="preserve"> PAGEREF _Toc17813517 \h </w:instrText>
        </w:r>
        <w:r w:rsidR="005A43D3" w:rsidRPr="00AB213E">
          <w:rPr>
            <w:noProof/>
            <w:webHidden/>
          </w:rPr>
        </w:r>
        <w:r w:rsidR="005A43D3" w:rsidRPr="00AB213E">
          <w:rPr>
            <w:noProof/>
            <w:webHidden/>
          </w:rPr>
          <w:fldChar w:fldCharType="separate"/>
        </w:r>
        <w:r>
          <w:rPr>
            <w:noProof/>
            <w:webHidden/>
          </w:rPr>
          <w:t>6</w:t>
        </w:r>
        <w:r w:rsidR="005A43D3" w:rsidRPr="00AB213E">
          <w:rPr>
            <w:noProof/>
            <w:webHidden/>
          </w:rPr>
          <w:fldChar w:fldCharType="end"/>
        </w:r>
      </w:hyperlink>
    </w:p>
    <w:p w14:paraId="7B1BBCA7" w14:textId="4083C7F9" w:rsidR="005A43D3" w:rsidRPr="00AB213E" w:rsidRDefault="00FD22B2">
      <w:pPr>
        <w:pStyle w:val="TOC2"/>
        <w:rPr>
          <w:rFonts w:asciiTheme="minorHAnsi" w:eastAsiaTheme="minorEastAsia" w:hAnsiTheme="minorHAnsi" w:cstheme="minorBidi"/>
          <w:sz w:val="22"/>
          <w:szCs w:val="22"/>
          <w:lang w:bidi="ar-SA"/>
        </w:rPr>
      </w:pPr>
      <w:hyperlink w:anchor="_Toc17813518" w:history="1">
        <w:r w:rsidR="005A43D3" w:rsidRPr="00AB213E">
          <w:rPr>
            <w:rStyle w:val="Hyperlink"/>
          </w:rPr>
          <w:t>Novedades acaecidas en la quincuagésima cuarta sesión del Comité Técnico</w:t>
        </w:r>
        <w:r w:rsidR="005A43D3" w:rsidRPr="00AB213E">
          <w:rPr>
            <w:webHidden/>
          </w:rPr>
          <w:tab/>
        </w:r>
        <w:r w:rsidR="005A43D3" w:rsidRPr="00AB213E">
          <w:rPr>
            <w:webHidden/>
          </w:rPr>
          <w:fldChar w:fldCharType="begin"/>
        </w:r>
        <w:r w:rsidR="005A43D3" w:rsidRPr="00AB213E">
          <w:rPr>
            <w:webHidden/>
          </w:rPr>
          <w:instrText xml:space="preserve"> PAGEREF _Toc17813518 \h </w:instrText>
        </w:r>
        <w:r w:rsidR="005A43D3" w:rsidRPr="00AB213E">
          <w:rPr>
            <w:webHidden/>
          </w:rPr>
        </w:r>
        <w:r w:rsidR="005A43D3" w:rsidRPr="00AB213E">
          <w:rPr>
            <w:webHidden/>
          </w:rPr>
          <w:fldChar w:fldCharType="separate"/>
        </w:r>
        <w:r>
          <w:rPr>
            <w:webHidden/>
          </w:rPr>
          <w:t>6</w:t>
        </w:r>
        <w:r w:rsidR="005A43D3" w:rsidRPr="00AB213E">
          <w:rPr>
            <w:webHidden/>
          </w:rPr>
          <w:fldChar w:fldCharType="end"/>
        </w:r>
      </w:hyperlink>
    </w:p>
    <w:p w14:paraId="72213D37" w14:textId="2EC7F4CA" w:rsidR="005A43D3" w:rsidRPr="00AB213E" w:rsidRDefault="00FD22B2">
      <w:pPr>
        <w:pStyle w:val="TOC2"/>
        <w:rPr>
          <w:rFonts w:asciiTheme="minorHAnsi" w:eastAsiaTheme="minorEastAsia" w:hAnsiTheme="minorHAnsi" w:cstheme="minorBidi"/>
          <w:sz w:val="22"/>
          <w:szCs w:val="22"/>
          <w:lang w:bidi="ar-SA"/>
        </w:rPr>
      </w:pPr>
      <w:hyperlink w:anchor="_Toc17813519" w:history="1">
        <w:r w:rsidR="005A43D3" w:rsidRPr="00AB213E">
          <w:rPr>
            <w:rStyle w:val="Hyperlink"/>
          </w:rPr>
          <w:t>Novedades acaecidas en los Grupos de Trabajo Técnico y el Grupo de Trabajo sobre Técnicas Bioquímicas y Moleculares, y Perfiles de ADN en Particular en 2019</w:t>
        </w:r>
        <w:r w:rsidR="005A43D3" w:rsidRPr="00AB213E">
          <w:rPr>
            <w:webHidden/>
          </w:rPr>
          <w:tab/>
        </w:r>
        <w:r w:rsidR="005A43D3" w:rsidRPr="00AB213E">
          <w:rPr>
            <w:webHidden/>
          </w:rPr>
          <w:fldChar w:fldCharType="begin"/>
        </w:r>
        <w:r w:rsidR="005A43D3" w:rsidRPr="00AB213E">
          <w:rPr>
            <w:webHidden/>
          </w:rPr>
          <w:instrText xml:space="preserve"> PAGEREF _Toc17813519 \h </w:instrText>
        </w:r>
        <w:r w:rsidR="005A43D3" w:rsidRPr="00AB213E">
          <w:rPr>
            <w:webHidden/>
          </w:rPr>
        </w:r>
        <w:r w:rsidR="005A43D3" w:rsidRPr="00AB213E">
          <w:rPr>
            <w:webHidden/>
          </w:rPr>
          <w:fldChar w:fldCharType="separate"/>
        </w:r>
        <w:r>
          <w:rPr>
            <w:webHidden/>
          </w:rPr>
          <w:t>7</w:t>
        </w:r>
        <w:r w:rsidR="005A43D3" w:rsidRPr="00AB213E">
          <w:rPr>
            <w:webHidden/>
          </w:rPr>
          <w:fldChar w:fldCharType="end"/>
        </w:r>
      </w:hyperlink>
    </w:p>
    <w:p w14:paraId="0D804727" w14:textId="75CAB9AC" w:rsidR="00781CC3" w:rsidRPr="00AB213E" w:rsidRDefault="00ED644C" w:rsidP="003A3A32">
      <w:pPr>
        <w:pStyle w:val="TOC1"/>
        <w:spacing w:before="0"/>
        <w:rPr>
          <w:rFonts w:asciiTheme="minorHAnsi" w:eastAsiaTheme="minorEastAsia" w:hAnsiTheme="minorHAnsi" w:cstheme="minorBidi"/>
          <w:caps w:val="0"/>
          <w:noProof/>
          <w:sz w:val="22"/>
          <w:szCs w:val="22"/>
        </w:rPr>
      </w:pPr>
      <w:r w:rsidRPr="00AB213E">
        <w:rPr>
          <w:caps w:val="0"/>
          <w:noProof/>
        </w:rPr>
        <w:fldChar w:fldCharType="end"/>
      </w:r>
    </w:p>
    <w:p w14:paraId="0D365DD7" w14:textId="77777777" w:rsidR="00ED644C" w:rsidRPr="00AB213E" w:rsidRDefault="00ED644C" w:rsidP="00ED644C">
      <w:pPr>
        <w:rPr>
          <w:noProof/>
        </w:rPr>
      </w:pPr>
    </w:p>
    <w:p w14:paraId="79BABD32" w14:textId="77777777" w:rsidR="00ED644C" w:rsidRPr="00AB213E" w:rsidRDefault="00ED644C" w:rsidP="00ED644C"/>
    <w:p w14:paraId="0BF91AEF" w14:textId="46408261" w:rsidR="001F329D" w:rsidRPr="00AB213E" w:rsidRDefault="001F329D" w:rsidP="001F329D">
      <w:pPr>
        <w:pStyle w:val="Heading1"/>
      </w:pPr>
      <w:bookmarkStart w:id="7" w:name="_Toc15059495"/>
      <w:bookmarkStart w:id="8" w:name="_Toc16181356"/>
      <w:bookmarkStart w:id="9" w:name="_Toc15295340"/>
      <w:bookmarkStart w:id="10" w:name="_Toc17813510"/>
      <w:r w:rsidRPr="00AB213E">
        <w:t>Revisión del documento UPOV/INF/17 “Directrices para los perfiles de ADN: selección de marcadores moleculares y creación de una base de datos (</w:t>
      </w:r>
      <w:r w:rsidR="00394D38" w:rsidRPr="00AB213E">
        <w:t>‘</w:t>
      </w:r>
      <w:r w:rsidRPr="00AB213E">
        <w:t>Directrices BMT</w:t>
      </w:r>
      <w:bookmarkEnd w:id="6"/>
      <w:bookmarkEnd w:id="7"/>
      <w:bookmarkEnd w:id="8"/>
      <w:bookmarkEnd w:id="9"/>
      <w:bookmarkEnd w:id="10"/>
      <w:r w:rsidR="00394D38" w:rsidRPr="00AB213E">
        <w:t>’)</w:t>
      </w:r>
      <w:r w:rsidR="00394D38" w:rsidRPr="00AB213E">
        <w:rPr>
          <w:lang w:eastAsia="ja-JP"/>
        </w:rPr>
        <w:t>”</w:t>
      </w:r>
    </w:p>
    <w:p w14:paraId="6E8AE85C" w14:textId="77777777" w:rsidR="001F329D" w:rsidRPr="00AB213E" w:rsidRDefault="001F329D" w:rsidP="001F329D">
      <w:pPr>
        <w:ind w:left="567" w:hanging="567"/>
      </w:pPr>
    </w:p>
    <w:p w14:paraId="620111B3" w14:textId="6A862D2B" w:rsidR="001F329D" w:rsidRPr="00AB213E" w:rsidRDefault="001F329D" w:rsidP="001F329D">
      <w:pPr>
        <w:keepNext/>
        <w:rPr>
          <w:rFonts w:eastAsiaTheme="minorEastAsia"/>
        </w:rPr>
      </w:pPr>
      <w:r w:rsidRPr="00AB213E">
        <w:fldChar w:fldCharType="begin"/>
      </w:r>
      <w:r w:rsidRPr="00AB213E">
        <w:instrText xml:space="preserve"> AUTONUM  </w:instrText>
      </w:r>
      <w:r w:rsidRPr="00AB213E">
        <w:fldChar w:fldCharType="end"/>
      </w:r>
      <w:r w:rsidRPr="00AB213E">
        <w:tab/>
        <w:t>Los antecedentes de esta cuestión figuran en los párrafos 10 a 45 del documento TC/54/11 Add.</w:t>
      </w:r>
      <w:r w:rsidR="00365911" w:rsidRPr="00AB213E">
        <w:t xml:space="preserve"> </w:t>
      </w:r>
      <w:r w:rsidRPr="00AB213E">
        <w:t>“Técnicas moleculares”.</w:t>
      </w:r>
    </w:p>
    <w:p w14:paraId="5E10D8AA" w14:textId="77777777" w:rsidR="001F329D" w:rsidRPr="00AB213E" w:rsidRDefault="001F329D" w:rsidP="009A50E6"/>
    <w:p w14:paraId="4754ED64" w14:textId="194735D2" w:rsidR="001F329D" w:rsidRPr="00AB213E" w:rsidRDefault="001F329D" w:rsidP="00ED644C">
      <w:r w:rsidRPr="00AB213E">
        <w:fldChar w:fldCharType="begin"/>
      </w:r>
      <w:r w:rsidRPr="00AB213E">
        <w:instrText xml:space="preserve"> AUTONUM  </w:instrText>
      </w:r>
      <w:r w:rsidRPr="00AB213E">
        <w:fldChar w:fldCharType="end"/>
      </w:r>
      <w:r w:rsidRPr="00AB213E">
        <w:tab/>
        <w:t xml:space="preserve">En su quincuagésima cuarta sesión celebrada en Ginebra los días 29 y 30 de octubre de 2018, el TC suscribió la propuesta formulada por el Grupo de Trabajo sobre Técnicas Bioquímicas y Moleculares, y Perfiles de ADN en </w:t>
      </w:r>
      <w:r w:rsidR="00394D38" w:rsidRPr="00AB213E">
        <w:t>P</w:t>
      </w:r>
      <w:r w:rsidRPr="00AB213E">
        <w:t xml:space="preserve">articular (BMT), en su decimoséptima sesión celebrada en Montevideo (Uruguay), </w:t>
      </w:r>
      <w:r w:rsidRPr="00AB213E">
        <w:lastRenderedPageBreak/>
        <w:t>del</w:t>
      </w:r>
      <w:r w:rsidR="00513793" w:rsidRPr="00AB213E">
        <w:t> </w:t>
      </w:r>
      <w:r w:rsidRPr="00AB213E">
        <w:t>10</w:t>
      </w:r>
      <w:r w:rsidR="00513793" w:rsidRPr="00AB213E">
        <w:t> </w:t>
      </w:r>
      <w:r w:rsidRPr="00AB213E">
        <w:t>al 13 de septiembre de 2018, de que Francia, los Países Bajos y la Unión Europea elaboren un nuevo proyecto del documento UPOV/INF/17 “Directrices para los perfiles de ADN:</w:t>
      </w:r>
      <w:r w:rsidR="00365911" w:rsidRPr="00AB213E">
        <w:t xml:space="preserve"> </w:t>
      </w:r>
      <w:r w:rsidRPr="00AB213E">
        <w:t>selección de marcadores moleculares y creación de una base de datos (‘Directrices BMT’)” (documento UPOV/INF/17/2 Draft 2) para que sea examinado en la decimoctava sesión del BMT, que se celebrará en Hangzhou (China), del 16</w:t>
      </w:r>
      <w:r w:rsidR="00513793" w:rsidRPr="00AB213E">
        <w:t> </w:t>
      </w:r>
      <w:r w:rsidRPr="00AB213E">
        <w:t>al</w:t>
      </w:r>
      <w:r w:rsidR="00513793" w:rsidRPr="00AB213E">
        <w:t> </w:t>
      </w:r>
      <w:r w:rsidRPr="00AB213E">
        <w:t>18</w:t>
      </w:r>
      <w:r w:rsidR="00513793" w:rsidRPr="00AB213E">
        <w:t> </w:t>
      </w:r>
      <w:r w:rsidRPr="00AB213E">
        <w:t>de octubre de 2019 (véase el párrafo 264 del documento TC/54/31 “Informe”).</w:t>
      </w:r>
    </w:p>
    <w:p w14:paraId="2023E3EE" w14:textId="77777777" w:rsidR="00282B27" w:rsidRPr="00AB213E" w:rsidRDefault="00282B27" w:rsidP="005A0E75"/>
    <w:p w14:paraId="1BEBE9B2" w14:textId="77777777" w:rsidR="002A26F5" w:rsidRPr="00AB213E" w:rsidRDefault="002A26F5" w:rsidP="005A0E75"/>
    <w:p w14:paraId="44710909" w14:textId="77777777" w:rsidR="00282B27" w:rsidRPr="00AB213E" w:rsidRDefault="00781CC3" w:rsidP="00282B27">
      <w:pPr>
        <w:pStyle w:val="Heading2"/>
      </w:pPr>
      <w:bookmarkStart w:id="11" w:name="_Toc16181357"/>
      <w:bookmarkStart w:id="12" w:name="_Toc17813511"/>
      <w:r w:rsidRPr="00AB213E">
        <w:t>Orientación sobre un protocolo de análisis del marcador de ADN de un carácter concreto</w:t>
      </w:r>
      <w:bookmarkEnd w:id="11"/>
      <w:bookmarkEnd w:id="12"/>
    </w:p>
    <w:p w14:paraId="3F748106" w14:textId="77777777" w:rsidR="00282B27" w:rsidRPr="00AB213E" w:rsidRDefault="00282B27" w:rsidP="009A50E6">
      <w:pPr>
        <w:keepNext/>
      </w:pPr>
    </w:p>
    <w:p w14:paraId="7386AC73" w14:textId="77777777" w:rsidR="005A0E75" w:rsidRPr="00AB213E" w:rsidRDefault="005A0E75" w:rsidP="005A0E75">
      <w:r w:rsidRPr="00AB213E">
        <w:fldChar w:fldCharType="begin"/>
      </w:r>
      <w:r w:rsidRPr="00AB213E">
        <w:instrText xml:space="preserve"> AUTONUM  </w:instrText>
      </w:r>
      <w:r w:rsidRPr="00AB213E">
        <w:fldChar w:fldCharType="end"/>
      </w:r>
      <w:r w:rsidRPr="00AB213E">
        <w:tab/>
        <w:t>En su quincuagésima tercera sesión, celebrada en Seúl (República de Corea), del 20 al 24 de mayo de 2019, el Grupo de Trabajo Técnico sobre Hortalizas (TWV) propuso que se invite al BMT a elaborar una orientación sobre los elementos que ha de comprender un protocolo de análisis del marcador de ADN de un carácter concreto, que figure en el documento UPOV/INF/17 (véase el párrafo 44 del documento TWV/53/14 “</w:t>
      </w:r>
      <w:r w:rsidRPr="00AB213E">
        <w:rPr>
          <w:i/>
        </w:rPr>
        <w:t>Report</w:t>
      </w:r>
      <w:r w:rsidRPr="00AB213E">
        <w:t>” (Informe)).</w:t>
      </w:r>
    </w:p>
    <w:p w14:paraId="1092BFDA" w14:textId="77777777" w:rsidR="00480568" w:rsidRPr="00AB213E" w:rsidRDefault="00480568" w:rsidP="00480568"/>
    <w:p w14:paraId="68D6BC46" w14:textId="77777777" w:rsidR="00480568" w:rsidRPr="00AB213E" w:rsidRDefault="00480568" w:rsidP="00480568">
      <w:r w:rsidRPr="00AB213E">
        <w:fldChar w:fldCharType="begin"/>
      </w:r>
      <w:r w:rsidRPr="00AB213E">
        <w:instrText xml:space="preserve"> AUTONUM  </w:instrText>
      </w:r>
      <w:r w:rsidRPr="00AB213E">
        <w:fldChar w:fldCharType="end"/>
      </w:r>
      <w:r w:rsidRPr="00AB213E">
        <w:tab/>
        <w:t>La propuesta formulada por el TWV, en su quincuagésima tercera sesión, de que se elabore una orientación sobre los elementos que ha de comprender un protocolo de análisis del marcador de ADN de un carácter concreto que figure en el documento UPOV/INF/17 se comunicará al BMT en su decimoctava sesión.</w:t>
      </w:r>
    </w:p>
    <w:p w14:paraId="1101BE79" w14:textId="77777777" w:rsidR="00781CC3" w:rsidRPr="00AB213E" w:rsidRDefault="00781CC3" w:rsidP="009A50E6"/>
    <w:p w14:paraId="0AF4D0CC" w14:textId="77777777" w:rsidR="00781CC3" w:rsidRPr="00AB213E" w:rsidRDefault="00781CC3" w:rsidP="009A50E6">
      <w:pPr>
        <w:pStyle w:val="DecisionParagraphs"/>
        <w:keepLines/>
      </w:pPr>
      <w:r w:rsidRPr="00AB213E">
        <w:fldChar w:fldCharType="begin"/>
      </w:r>
      <w:r w:rsidRPr="00AB213E">
        <w:instrText xml:space="preserve"> AUTONUM  </w:instrText>
      </w:r>
      <w:r w:rsidRPr="00AB213E">
        <w:fldChar w:fldCharType="end"/>
      </w:r>
      <w:r w:rsidRPr="00AB213E">
        <w:tab/>
        <w:t>Se invita al TC a:</w:t>
      </w:r>
    </w:p>
    <w:p w14:paraId="6CFAD55C" w14:textId="77777777" w:rsidR="00326FCD" w:rsidRPr="00AB213E" w:rsidRDefault="00326FCD" w:rsidP="009A50E6">
      <w:pPr>
        <w:pStyle w:val="DecisionParagraphs"/>
        <w:keepNext/>
        <w:tabs>
          <w:tab w:val="left" w:pos="5812"/>
          <w:tab w:val="left" w:pos="5954"/>
        </w:tabs>
      </w:pPr>
    </w:p>
    <w:p w14:paraId="6DD80D8D" w14:textId="09E4E79A" w:rsidR="00326FCD" w:rsidRPr="00AB213E" w:rsidRDefault="00326FCD" w:rsidP="009A50E6">
      <w:pPr>
        <w:pStyle w:val="DecisionParagraphs"/>
        <w:tabs>
          <w:tab w:val="left" w:pos="5812"/>
        </w:tabs>
        <w:rPr>
          <w:spacing w:val="-2"/>
        </w:rPr>
      </w:pPr>
      <w:r w:rsidRPr="00AB213E">
        <w:rPr>
          <w:spacing w:val="-2"/>
        </w:rPr>
        <w:tab/>
        <w:t>a)</w:t>
      </w:r>
      <w:r w:rsidRPr="00AB213E">
        <w:rPr>
          <w:spacing w:val="-2"/>
        </w:rPr>
        <w:tab/>
        <w:t>tomar nota de que se invitará al BMT, en</w:t>
      </w:r>
      <w:r w:rsidR="00FD22B2">
        <w:rPr>
          <w:spacing w:val="-2"/>
        </w:rPr>
        <w:t xml:space="preserve"> </w:t>
      </w:r>
      <w:r w:rsidRPr="00AB213E">
        <w:rPr>
          <w:spacing w:val="-2"/>
        </w:rPr>
        <w:t>su</w:t>
      </w:r>
      <w:r w:rsidR="00FD22B2">
        <w:rPr>
          <w:spacing w:val="-2"/>
        </w:rPr>
        <w:t xml:space="preserve"> </w:t>
      </w:r>
      <w:r w:rsidRPr="00AB213E">
        <w:rPr>
          <w:spacing w:val="-2"/>
        </w:rPr>
        <w:t>decimoctava sesión, a examinar el documento UPOV/INF/17/2 Draft 2 “Directrices para los perfiles de ADN: selección de marcadores moleculares y creación de una base de datos (‘Directrices BMT’)”, según se expone en el párrafo 7 de este documento;</w:t>
      </w:r>
    </w:p>
    <w:p w14:paraId="148CC00E" w14:textId="77777777" w:rsidR="00781CC3" w:rsidRPr="00AB213E" w:rsidRDefault="00781CC3" w:rsidP="009A50E6">
      <w:pPr>
        <w:pStyle w:val="DecisionParagraphs"/>
        <w:keepNext/>
        <w:tabs>
          <w:tab w:val="left" w:pos="5812"/>
          <w:tab w:val="left" w:pos="5954"/>
        </w:tabs>
        <w:rPr>
          <w:sz w:val="18"/>
        </w:rPr>
      </w:pPr>
    </w:p>
    <w:p w14:paraId="76B086DD" w14:textId="77777777" w:rsidR="00781CC3" w:rsidRPr="00AB213E" w:rsidRDefault="00781CC3" w:rsidP="00781CC3">
      <w:pPr>
        <w:pStyle w:val="DecisionParagraphs"/>
        <w:tabs>
          <w:tab w:val="left" w:pos="5812"/>
        </w:tabs>
        <w:rPr>
          <w:snapToGrid w:val="0"/>
        </w:rPr>
      </w:pPr>
      <w:r w:rsidRPr="00AB213E">
        <w:tab/>
        <w:t>b)</w:t>
      </w:r>
      <w:r w:rsidRPr="00AB213E">
        <w:tab/>
        <w:t>tomar nota de que la propuesta formulada por el TWV de que se elabore una orientación sobre los elementos que ha de comprender un protocolo de análisis del marcador de ADN de un carácter concreto que figure en el documento UPOV/INF/17, se comunicará al BMT en su decimoctava sesión, según se expone en el párrafo 9 de este documento; y</w:t>
      </w:r>
    </w:p>
    <w:p w14:paraId="6D32CBD0" w14:textId="77777777" w:rsidR="00781CC3" w:rsidRPr="00AB213E" w:rsidRDefault="00781CC3" w:rsidP="00781CC3">
      <w:pPr>
        <w:pStyle w:val="DecisionParagraphs"/>
        <w:keepNext/>
        <w:tabs>
          <w:tab w:val="left" w:pos="5812"/>
          <w:tab w:val="left" w:pos="5954"/>
        </w:tabs>
        <w:rPr>
          <w:sz w:val="18"/>
        </w:rPr>
      </w:pPr>
    </w:p>
    <w:p w14:paraId="50C1CA65" w14:textId="7AC74CCF" w:rsidR="00781CC3" w:rsidRPr="00AB213E" w:rsidRDefault="00781CC3" w:rsidP="009A50E6">
      <w:pPr>
        <w:pStyle w:val="DecisionParagraphs"/>
        <w:tabs>
          <w:tab w:val="left" w:pos="5812"/>
          <w:tab w:val="left" w:pos="5954"/>
        </w:tabs>
      </w:pPr>
      <w:r w:rsidRPr="00AB213E">
        <w:tab/>
        <w:t>c)</w:t>
      </w:r>
      <w:r w:rsidRPr="00AB213E">
        <w:tab/>
        <w:t>considerar si procede solicitar que se elabore un proyecto de documento UPOV/INF/17 para que el TC lo examine en su quincuagésima sexta sesión</w:t>
      </w:r>
      <w:r w:rsidR="00513793" w:rsidRPr="00AB213E">
        <w:t>.</w:t>
      </w:r>
    </w:p>
    <w:p w14:paraId="357E6AD2" w14:textId="77777777" w:rsidR="00891741" w:rsidRPr="00AB213E" w:rsidRDefault="00891741" w:rsidP="009A50E6">
      <w:pPr>
        <w:autoSpaceDE w:val="0"/>
        <w:autoSpaceDN w:val="0"/>
        <w:adjustRightInd w:val="0"/>
        <w:rPr>
          <w:rFonts w:cs="Arial"/>
        </w:rPr>
      </w:pPr>
    </w:p>
    <w:p w14:paraId="4DD4C3DE" w14:textId="77777777" w:rsidR="00781CC3" w:rsidRPr="00AB213E" w:rsidRDefault="00781CC3" w:rsidP="00891741">
      <w:pPr>
        <w:autoSpaceDE w:val="0"/>
        <w:autoSpaceDN w:val="0"/>
        <w:adjustRightInd w:val="0"/>
        <w:rPr>
          <w:rFonts w:cs="Arial"/>
        </w:rPr>
      </w:pPr>
    </w:p>
    <w:p w14:paraId="766B03B9" w14:textId="77777777" w:rsidR="00ED644C" w:rsidRPr="00AB213E" w:rsidRDefault="00ED644C" w:rsidP="00891741">
      <w:pPr>
        <w:autoSpaceDE w:val="0"/>
        <w:autoSpaceDN w:val="0"/>
        <w:adjustRightInd w:val="0"/>
        <w:rPr>
          <w:rFonts w:cs="Arial"/>
        </w:rPr>
      </w:pPr>
    </w:p>
    <w:p w14:paraId="027AB584" w14:textId="77777777" w:rsidR="00891741" w:rsidRPr="00AB213E" w:rsidRDefault="00891741" w:rsidP="00B96116">
      <w:pPr>
        <w:pStyle w:val="Heading1"/>
      </w:pPr>
      <w:bookmarkStart w:id="13" w:name="_Toc525647214"/>
      <w:bookmarkStart w:id="14" w:name="_Toc526175654"/>
      <w:bookmarkStart w:id="15" w:name="_Toc15059496"/>
      <w:bookmarkStart w:id="16" w:name="_Toc16181358"/>
      <w:bookmarkStart w:id="17" w:name="_Toc15295341"/>
      <w:bookmarkStart w:id="18" w:name="_Toc17813512"/>
      <w:r w:rsidRPr="00AB213E">
        <w:t>Cooperación entre las organizaciones internacionales</w:t>
      </w:r>
      <w:bookmarkEnd w:id="13"/>
      <w:bookmarkEnd w:id="14"/>
      <w:bookmarkEnd w:id="15"/>
      <w:bookmarkEnd w:id="16"/>
      <w:bookmarkEnd w:id="17"/>
      <w:bookmarkEnd w:id="18"/>
    </w:p>
    <w:p w14:paraId="38922C3F" w14:textId="77777777" w:rsidR="008D3D46" w:rsidRPr="00AB213E" w:rsidRDefault="008D3D46" w:rsidP="00ED644C">
      <w:pPr>
        <w:keepNext/>
        <w:ind w:left="567" w:hanging="567"/>
      </w:pPr>
    </w:p>
    <w:p w14:paraId="5AB83591" w14:textId="77777777" w:rsidR="00891741" w:rsidRPr="00AB213E" w:rsidRDefault="00891741" w:rsidP="00891741">
      <w:pPr>
        <w:keepNext/>
        <w:rPr>
          <w:rFonts w:eastAsiaTheme="minorEastAsia"/>
        </w:rPr>
      </w:pPr>
      <w:r w:rsidRPr="00AB213E">
        <w:fldChar w:fldCharType="begin"/>
      </w:r>
      <w:r w:rsidRPr="00AB213E">
        <w:instrText xml:space="preserve"> AUTONUM  </w:instrText>
      </w:r>
      <w:r w:rsidRPr="00AB213E">
        <w:fldChar w:fldCharType="end"/>
      </w:r>
      <w:r w:rsidRPr="00AB213E">
        <w:tab/>
        <w:t>Los antecedentes de esta cuestión figuran en los párrafos 19 a 23 del documento TC/54/11 “Técnicas moleculares” y los párrafos 48 a 50 del documento TC/54/11 Add.</w:t>
      </w:r>
    </w:p>
    <w:p w14:paraId="67EBF3DC" w14:textId="77777777" w:rsidR="006040BF" w:rsidRPr="00AB213E" w:rsidRDefault="006040BF" w:rsidP="00ED644C">
      <w:pPr>
        <w:keepNext/>
        <w:rPr>
          <w:rFonts w:cs="Arial"/>
        </w:rPr>
      </w:pPr>
    </w:p>
    <w:p w14:paraId="61F7263F" w14:textId="77777777" w:rsidR="006040BF" w:rsidRPr="00AB213E" w:rsidRDefault="006040BF" w:rsidP="006040BF">
      <w:pPr>
        <w:rPr>
          <w:rFonts w:cs="Arial"/>
          <w:iCs/>
        </w:rPr>
      </w:pPr>
      <w:r w:rsidRPr="00AB213E">
        <w:fldChar w:fldCharType="begin"/>
      </w:r>
      <w:r w:rsidRPr="00AB213E">
        <w:instrText xml:space="preserve"> AUTONUM  </w:instrText>
      </w:r>
      <w:r w:rsidRPr="00AB213E">
        <w:fldChar w:fldCharType="end"/>
      </w:r>
      <w:r w:rsidRPr="00AB213E">
        <w:tab/>
        <w:t>En su quincuagésima cuarta sesión celebrada en Ginebra los días 29 y 30 de octubre de 2018, el TC convino en que la UPOV y la OCDE avancen en los asuntos convenidos con anterioridad por el TC (véanse los párrafos 267 a 271 del documento TC/54/31 “Informe”), concretamente:</w:t>
      </w:r>
    </w:p>
    <w:p w14:paraId="61832B3B" w14:textId="77777777" w:rsidR="006040BF" w:rsidRPr="00AB213E" w:rsidRDefault="006040BF" w:rsidP="006040BF">
      <w:pPr>
        <w:rPr>
          <w:rFonts w:cs="Arial"/>
          <w:iCs/>
        </w:rPr>
      </w:pPr>
    </w:p>
    <w:p w14:paraId="001E694E" w14:textId="77777777" w:rsidR="006040BF" w:rsidRPr="00AB213E" w:rsidRDefault="006040BF" w:rsidP="006040BF">
      <w:pPr>
        <w:ind w:firstLine="567"/>
      </w:pPr>
      <w:r w:rsidRPr="00AB213E">
        <w:t>a)</w:t>
      </w:r>
      <w:r w:rsidRPr="00AB213E">
        <w:tab/>
        <w:t xml:space="preserve">elaborar un documento conjunto en el que se expliquen las características principales de los sistemas de la OCDE, la UPOV y la ISTA; </w:t>
      </w:r>
    </w:p>
    <w:p w14:paraId="29BA73E9" w14:textId="77777777" w:rsidR="006040BF" w:rsidRPr="00AB213E" w:rsidRDefault="006040BF" w:rsidP="006040BF">
      <w:pPr>
        <w:ind w:firstLine="567"/>
      </w:pPr>
    </w:p>
    <w:p w14:paraId="70FD6951" w14:textId="77777777" w:rsidR="006040BF" w:rsidRPr="00AB213E" w:rsidRDefault="006040BF" w:rsidP="006040BF">
      <w:pPr>
        <w:keepLines/>
        <w:ind w:firstLine="567"/>
      </w:pPr>
      <w:r w:rsidRPr="00AB213E">
        <w:t>b)</w:t>
      </w:r>
      <w:r w:rsidRPr="00AB213E">
        <w:tab/>
        <w:t xml:space="preserve">realizar un inventario sobre la utilización de técnicas basadas en marcadores moleculares, por cultivos, con objeto de elaborar un documento conjunto de la UPOV, la OCDE y la ISTA en el que figure dicha información en un formato similar al del documento UPOV/INF/16 “Programas informáticos para intercambio”, con sujeción a la aprobación por el Consejo y en coordinación con la OCDE y la ISTA; y </w:t>
      </w:r>
    </w:p>
    <w:p w14:paraId="44BE2F14" w14:textId="77777777" w:rsidR="006040BF" w:rsidRPr="00AB213E" w:rsidRDefault="006040BF" w:rsidP="006040BF">
      <w:pPr>
        <w:ind w:firstLine="567"/>
      </w:pPr>
    </w:p>
    <w:p w14:paraId="4F20E669" w14:textId="77777777" w:rsidR="006040BF" w:rsidRPr="00AB213E" w:rsidRDefault="006040BF" w:rsidP="003A3A32">
      <w:pPr>
        <w:spacing w:after="240"/>
        <w:ind w:firstLine="567"/>
        <w:rPr>
          <w:rFonts w:cs="Arial"/>
        </w:rPr>
      </w:pPr>
      <w:r w:rsidRPr="00AB213E">
        <w:t>c)</w:t>
      </w:r>
      <w:r w:rsidRPr="00AB213E">
        <w:tab/>
        <w:t>que el BMT elabore listas de posibles iniciativas conjuntas con la OCDE y la ISTA relacionadas con las técnicas moleculares a fin de que las examine el TC.</w:t>
      </w:r>
    </w:p>
    <w:p w14:paraId="373B6D62" w14:textId="77777777" w:rsidR="006040BF" w:rsidRPr="00AB213E" w:rsidRDefault="006040BF" w:rsidP="006040BF">
      <w:pPr>
        <w:rPr>
          <w:rFonts w:cs="Arial"/>
        </w:rPr>
      </w:pPr>
      <w:r w:rsidRPr="00AB213E">
        <w:rPr>
          <w:rFonts w:cs="Arial"/>
        </w:rPr>
        <w:lastRenderedPageBreak/>
        <w:fldChar w:fldCharType="begin"/>
      </w:r>
      <w:r w:rsidRPr="00AB213E">
        <w:rPr>
          <w:rFonts w:cs="Arial"/>
        </w:rPr>
        <w:instrText xml:space="preserve"> AUTONUM  </w:instrText>
      </w:r>
      <w:r w:rsidRPr="00AB213E">
        <w:rPr>
          <w:rFonts w:cs="Arial"/>
        </w:rPr>
        <w:fldChar w:fldCharType="end"/>
      </w:r>
      <w:r w:rsidRPr="00AB213E">
        <w:tab/>
        <w:t>En su quincuagésima cuarta sesión, el TC convino en invitar a la ISTA a sumarse a las iniciativas en el momento en que lo disponga.</w:t>
      </w:r>
    </w:p>
    <w:p w14:paraId="7DE020B7" w14:textId="77777777" w:rsidR="00422D07" w:rsidRPr="00AB213E" w:rsidRDefault="00422D07" w:rsidP="00422D07">
      <w:pPr>
        <w:rPr>
          <w:rFonts w:cs="Arial"/>
        </w:rPr>
      </w:pPr>
    </w:p>
    <w:p w14:paraId="1A53FDB3" w14:textId="77777777" w:rsidR="00422D07" w:rsidRPr="00AB213E" w:rsidRDefault="00422D07" w:rsidP="00422D07">
      <w:pPr>
        <w:rPr>
          <w:rFonts w:cs="Arial"/>
        </w:rPr>
      </w:pPr>
      <w:r w:rsidRPr="00AB213E">
        <w:rPr>
          <w:rFonts w:cs="Arial"/>
        </w:rPr>
        <w:fldChar w:fldCharType="begin"/>
      </w:r>
      <w:r w:rsidRPr="00AB213E">
        <w:rPr>
          <w:rFonts w:cs="Arial"/>
        </w:rPr>
        <w:instrText xml:space="preserve"> AUTONUM  </w:instrText>
      </w:r>
      <w:r w:rsidRPr="00AB213E">
        <w:rPr>
          <w:rFonts w:cs="Arial"/>
        </w:rPr>
        <w:fldChar w:fldCharType="end"/>
      </w:r>
      <w:r w:rsidRPr="00AB213E">
        <w:tab/>
        <w:t>Las novedades relativas a las cuestiones mencionadas supra son las siguientes:</w:t>
      </w:r>
    </w:p>
    <w:p w14:paraId="23388130" w14:textId="77777777" w:rsidR="00A45A4F" w:rsidRPr="00AB213E" w:rsidRDefault="00A45A4F" w:rsidP="00ED644C"/>
    <w:p w14:paraId="49C0DB04" w14:textId="77777777" w:rsidR="00ED644C" w:rsidRPr="00AB213E" w:rsidRDefault="00ED644C" w:rsidP="00ED644C"/>
    <w:p w14:paraId="069EF45C" w14:textId="77777777" w:rsidR="00A45A4F" w:rsidRPr="00AB213E" w:rsidRDefault="00A45A4F" w:rsidP="00A45A4F">
      <w:pPr>
        <w:pStyle w:val="Heading2"/>
      </w:pPr>
      <w:bookmarkStart w:id="19" w:name="_Toc14980927"/>
      <w:bookmarkStart w:id="20" w:name="_Toc15059497"/>
      <w:bookmarkStart w:id="21" w:name="_Toc16181359"/>
      <w:bookmarkStart w:id="22" w:name="_Toc15295342"/>
      <w:bookmarkStart w:id="23" w:name="_Toc17813513"/>
      <w:r w:rsidRPr="00AB213E">
        <w:t>Documento conjunto en el que se expliquen las características principales de los sistemas de la OCDE, la UPOV y la ISTA</w:t>
      </w:r>
      <w:bookmarkEnd w:id="19"/>
      <w:bookmarkEnd w:id="20"/>
      <w:bookmarkEnd w:id="21"/>
      <w:bookmarkEnd w:id="22"/>
      <w:bookmarkEnd w:id="23"/>
    </w:p>
    <w:p w14:paraId="1B1120FA" w14:textId="77777777" w:rsidR="006040BF" w:rsidRPr="00AB213E" w:rsidRDefault="006040BF" w:rsidP="00ED644C">
      <w:pPr>
        <w:keepNext/>
        <w:ind w:left="567" w:hanging="567"/>
      </w:pPr>
    </w:p>
    <w:p w14:paraId="7B2AC918" w14:textId="480D47D5" w:rsidR="006040BF" w:rsidRPr="00AB213E" w:rsidRDefault="006040BF" w:rsidP="009A50E6">
      <w:pPr>
        <w:spacing w:after="240"/>
      </w:pPr>
      <w:r w:rsidRPr="00AB213E">
        <w:fldChar w:fldCharType="begin"/>
      </w:r>
      <w:r w:rsidRPr="00AB213E">
        <w:instrText xml:space="preserve"> AUTONUM  </w:instrText>
      </w:r>
      <w:r w:rsidRPr="00AB213E">
        <w:fldChar w:fldCharType="end"/>
      </w:r>
      <w:r w:rsidRPr="00AB213E">
        <w:tab/>
        <w:t>Con respecto a la posibilidad de elaborar un documento conjunto en el que se expliquen las características principales de los sistemas de la OCDE, la UPOV y la ISTA, expuesta en el párrafo 12.a), el</w:t>
      </w:r>
      <w:r w:rsidR="006441DF" w:rsidRPr="00AB213E">
        <w:t> </w:t>
      </w:r>
      <w:r w:rsidRPr="00AB213E">
        <w:t xml:space="preserve">TC ha convenido </w:t>
      </w:r>
      <w:r w:rsidR="00743208" w:rsidRPr="00AB213E">
        <w:t xml:space="preserve">en </w:t>
      </w:r>
      <w:r w:rsidRPr="00AB213E">
        <w:t>solicitar al BMT que elabore un documento conjunto en el que se expliquen las características principales de los sistemas de la OCDE, la UPOV y la ISTA. La Oficina de la Unión elaborará un proyecto para someterlo al examen del BMT en su decimoctava sesión, que se celebrará en Hangzhou (China) del 16</w:t>
      </w:r>
      <w:r w:rsidR="006441DF" w:rsidRPr="00AB213E">
        <w:t> </w:t>
      </w:r>
      <w:r w:rsidRPr="00AB213E">
        <w:t>al 18 de octubre de 2019, a partir de los elementos pertinentes de la Alianza Mundial por las Semillas y las preguntas frecuentes sobre la utilización de técnicas moleculares en el examen DHE. Las novedades que se produzcan en la decimoctava sesión del BMT se comunicarán en una adición al presente documento.</w:t>
      </w:r>
    </w:p>
    <w:p w14:paraId="3371995A" w14:textId="77777777" w:rsidR="003D348C" w:rsidRPr="00AB213E" w:rsidRDefault="003D348C" w:rsidP="003D348C">
      <w:pPr>
        <w:pStyle w:val="DecisionParagraphs"/>
        <w:keepNext/>
      </w:pPr>
      <w:r w:rsidRPr="00AB213E">
        <w:fldChar w:fldCharType="begin"/>
      </w:r>
      <w:r w:rsidRPr="00AB213E">
        <w:instrText xml:space="preserve"> AUTONUM  </w:instrText>
      </w:r>
      <w:r w:rsidRPr="00AB213E">
        <w:fldChar w:fldCharType="end"/>
      </w:r>
      <w:r w:rsidRPr="00AB213E">
        <w:tab/>
        <w:t>Se invita al TC a:</w:t>
      </w:r>
    </w:p>
    <w:p w14:paraId="2814E072" w14:textId="77777777" w:rsidR="003D348C" w:rsidRPr="00AB213E" w:rsidRDefault="003D348C" w:rsidP="003D348C">
      <w:pPr>
        <w:pStyle w:val="DecisionParagraphs"/>
        <w:keepNext/>
        <w:tabs>
          <w:tab w:val="left" w:pos="5812"/>
          <w:tab w:val="left" w:pos="5954"/>
        </w:tabs>
        <w:rPr>
          <w:sz w:val="18"/>
        </w:rPr>
      </w:pPr>
    </w:p>
    <w:p w14:paraId="43F34B95" w14:textId="0D123071" w:rsidR="003D348C" w:rsidRPr="00AB213E" w:rsidRDefault="003D348C" w:rsidP="003D348C">
      <w:pPr>
        <w:pStyle w:val="DecisionParagraphs"/>
        <w:tabs>
          <w:tab w:val="left" w:pos="5812"/>
        </w:tabs>
        <w:rPr>
          <w:snapToGrid w:val="0"/>
          <w:spacing w:val="-2"/>
        </w:rPr>
      </w:pPr>
      <w:r w:rsidRPr="00AB213E">
        <w:rPr>
          <w:spacing w:val="-2"/>
        </w:rPr>
        <w:tab/>
        <w:t>a)</w:t>
      </w:r>
      <w:r w:rsidRPr="00AB213E">
        <w:rPr>
          <w:spacing w:val="-2"/>
        </w:rPr>
        <w:tab/>
        <w:t>tomar nota de que se invitará al BMT, en su decimoctava sesión, a elaborar un documento conjunto en que se expliquen las características principales de los sistemas de la OCDE, la UPOV y la</w:t>
      </w:r>
      <w:r w:rsidR="006441DF" w:rsidRPr="00AB213E">
        <w:rPr>
          <w:spacing w:val="-2"/>
        </w:rPr>
        <w:t> </w:t>
      </w:r>
      <w:r w:rsidRPr="00AB213E">
        <w:rPr>
          <w:spacing w:val="-2"/>
        </w:rPr>
        <w:t>ISTA, según se expone en el párrafo 15 de este documento.</w:t>
      </w:r>
    </w:p>
    <w:p w14:paraId="67A7689F" w14:textId="77777777" w:rsidR="003D348C" w:rsidRPr="00AB213E" w:rsidRDefault="003D348C" w:rsidP="003D348C">
      <w:pPr>
        <w:pStyle w:val="DecisionParagraphs"/>
        <w:keepNext/>
        <w:tabs>
          <w:tab w:val="left" w:pos="5812"/>
          <w:tab w:val="left" w:pos="5954"/>
        </w:tabs>
        <w:rPr>
          <w:sz w:val="18"/>
        </w:rPr>
      </w:pPr>
    </w:p>
    <w:p w14:paraId="1C657F45" w14:textId="77777777" w:rsidR="003D348C" w:rsidRPr="00AB213E" w:rsidRDefault="003D348C" w:rsidP="00831627">
      <w:pPr>
        <w:pStyle w:val="DecisionParagraphs"/>
        <w:tabs>
          <w:tab w:val="left" w:pos="5812"/>
          <w:tab w:val="left" w:pos="5954"/>
        </w:tabs>
      </w:pPr>
      <w:r w:rsidRPr="00AB213E">
        <w:tab/>
        <w:t>b)</w:t>
      </w:r>
      <w:r w:rsidRPr="00AB213E">
        <w:tab/>
        <w:t>tomar nota de que las propuestas formuladas por el BMT, en su decimoctava sesión, respecto de un documento conjunto en el que se expliquen las características principales de los sistemas de la OCDE, la UPOV y la ISTA, se comunicarán en una adición al presente documento, según se expone en el párrafo 15 de este documento.</w:t>
      </w:r>
    </w:p>
    <w:p w14:paraId="7CD035EE" w14:textId="77777777" w:rsidR="006040BF" w:rsidRPr="00AB213E" w:rsidRDefault="006040BF" w:rsidP="006040BF">
      <w:pPr>
        <w:ind w:left="567" w:hanging="567"/>
      </w:pPr>
    </w:p>
    <w:p w14:paraId="5AB1F0AF" w14:textId="77777777" w:rsidR="00ED644C" w:rsidRPr="00AB213E" w:rsidRDefault="00ED644C" w:rsidP="006040BF">
      <w:pPr>
        <w:ind w:left="567" w:hanging="567"/>
      </w:pPr>
    </w:p>
    <w:p w14:paraId="776B41E9" w14:textId="77777777" w:rsidR="00A45A4F" w:rsidRPr="00AB213E" w:rsidRDefault="007F2D8A" w:rsidP="00A45A4F">
      <w:pPr>
        <w:pStyle w:val="Heading2"/>
      </w:pPr>
      <w:bookmarkStart w:id="24" w:name="_Toc14980928"/>
      <w:bookmarkStart w:id="25" w:name="_Toc15059498"/>
      <w:bookmarkStart w:id="26" w:name="_Toc16181360"/>
      <w:bookmarkStart w:id="27" w:name="_Toc15295343"/>
      <w:bookmarkStart w:id="28" w:name="_Toc17813514"/>
      <w:r w:rsidRPr="00AB213E">
        <w:t>Inventario sobre la utilización de técnicas basadas en marcadores moleculares, por cultivos</w:t>
      </w:r>
      <w:bookmarkEnd w:id="24"/>
      <w:bookmarkEnd w:id="25"/>
      <w:bookmarkEnd w:id="26"/>
      <w:bookmarkEnd w:id="27"/>
      <w:bookmarkEnd w:id="28"/>
    </w:p>
    <w:p w14:paraId="68CC8DC4" w14:textId="77777777" w:rsidR="00A45A4F" w:rsidRPr="00AB213E" w:rsidRDefault="00A45A4F" w:rsidP="00ED644C">
      <w:pPr>
        <w:keepNext/>
        <w:ind w:left="567" w:hanging="567"/>
      </w:pPr>
    </w:p>
    <w:p w14:paraId="0A677771" w14:textId="7DFD943E" w:rsidR="006040BF" w:rsidRPr="00AB213E" w:rsidRDefault="006040BF" w:rsidP="006040BF">
      <w:r w:rsidRPr="00AB213E">
        <w:fldChar w:fldCharType="begin"/>
      </w:r>
      <w:r w:rsidRPr="00AB213E">
        <w:instrText xml:space="preserve"> AUTONUM  </w:instrText>
      </w:r>
      <w:r w:rsidRPr="00AB213E">
        <w:fldChar w:fldCharType="end"/>
      </w:r>
      <w:r w:rsidRPr="00AB213E">
        <w:tab/>
        <w:t>Con respecto a la posible elaboración de un inventario sobre la utilización de técnicas basadas en marcadores moleculares, por cultivos, expuesta en el párrafo 12.b), el TC convino en invitar al BMT y a los TWP a elaborar un inventario sobre la utilización de técnicas basadas en marcadores moleculares, por cultivos, con objeto de preparar un documento conjunto de la UPOV, la OCDE y la ISTA en el que figure dicha información en un formato similar al del documento UPOV/INF/16 “Programas informáticos para intercambio”.</w:t>
      </w:r>
      <w:r w:rsidR="00365911" w:rsidRPr="00AB213E">
        <w:t xml:space="preserve"> </w:t>
      </w:r>
    </w:p>
    <w:p w14:paraId="3E5DD85B" w14:textId="77777777" w:rsidR="00D544F7" w:rsidRPr="00AB213E" w:rsidRDefault="00D544F7" w:rsidP="00D544F7"/>
    <w:p w14:paraId="3141FEA4" w14:textId="1A74E766" w:rsidR="007F2D8A" w:rsidRPr="00AB213E" w:rsidRDefault="007F2D8A" w:rsidP="00ED644C">
      <w:r w:rsidRPr="00AB213E">
        <w:fldChar w:fldCharType="begin"/>
      </w:r>
      <w:r w:rsidRPr="00AB213E">
        <w:instrText xml:space="preserve"> AUTONUM  </w:instrText>
      </w:r>
      <w:r w:rsidRPr="00AB213E">
        <w:fldChar w:fldCharType="end"/>
      </w:r>
      <w:r w:rsidRPr="00AB213E">
        <w:tab/>
        <w:t xml:space="preserve">El Grupo de Trabajo Técnico sobre Plantas Ornamentales y Árboles Forestales (TWO), en su quincuagésima primera sesión, celebrada en Christchurch (Nueva Zelandia) del 18 al 22 de febrero de 2019, el Grupo de Trabajo Técnico sobre Hortalizas (TWV), en su quincuagésima tercera sesión, celebrada en Seúl (República de Corea) del 20 al 24 de mayo de 2019, y el Grupo de Trabajo Técnico sobre </w:t>
      </w:r>
      <w:r w:rsidR="00C412FA" w:rsidRPr="00AB213E">
        <w:t>P</w:t>
      </w:r>
      <w:r w:rsidRPr="00AB213E">
        <w:t xml:space="preserve">lantas </w:t>
      </w:r>
      <w:r w:rsidR="00C412FA" w:rsidRPr="00AB213E">
        <w:t>F</w:t>
      </w:r>
      <w:r w:rsidRPr="00AB213E">
        <w:t>rutales (TWF), en su quincuagésima sesión, celebrada en Budapest (Hungría) del 24 al 28 de junio de 2019, examinaron los siguientes elementos para el inventario sobre la utilización de técnicas basadas en marcadores moleculares, por cultivos, que se han formulado tras consultarlo con la OCDE, expuestos en el párrafo 81 del documento TWP/3/7 “</w:t>
      </w:r>
      <w:r w:rsidRPr="00AB213E">
        <w:rPr>
          <w:i/>
        </w:rPr>
        <w:t>Molecular techniques</w:t>
      </w:r>
      <w:r w:rsidRPr="00AB213E">
        <w:t>” (Técnicas moleculares):</w:t>
      </w:r>
    </w:p>
    <w:p w14:paraId="4BD29C6A" w14:textId="0965880D" w:rsidR="00FF3D73" w:rsidRPr="00AB213E" w:rsidRDefault="00FF3D73">
      <w:pPr>
        <w:jc w:val="left"/>
      </w:pPr>
    </w:p>
    <w:tbl>
      <w:tblPr>
        <w:tblStyle w:val="TableGrid5"/>
        <w:tblW w:w="9039" w:type="dxa"/>
        <w:tblInd w:w="454" w:type="dxa"/>
        <w:tblCellMar>
          <w:top w:w="28" w:type="dxa"/>
          <w:left w:w="85" w:type="dxa"/>
          <w:right w:w="85" w:type="dxa"/>
        </w:tblCellMar>
        <w:tblLook w:val="04A0" w:firstRow="1" w:lastRow="0" w:firstColumn="1" w:lastColumn="0" w:noHBand="0" w:noVBand="1"/>
      </w:tblPr>
      <w:tblGrid>
        <w:gridCol w:w="9039"/>
      </w:tblGrid>
      <w:tr w:rsidR="00F80657" w:rsidRPr="00AB213E" w14:paraId="221D6E74" w14:textId="77777777" w:rsidTr="009A50E6">
        <w:tc>
          <w:tcPr>
            <w:tcW w:w="9039" w:type="dxa"/>
          </w:tcPr>
          <w:p w14:paraId="69C7693E" w14:textId="77777777" w:rsidR="00F80657" w:rsidRPr="00AB213E" w:rsidRDefault="00F80657" w:rsidP="00F80657">
            <w:pPr>
              <w:rPr>
                <w:sz w:val="18"/>
              </w:rPr>
            </w:pPr>
            <w:r w:rsidRPr="00AB213E">
              <w:rPr>
                <w:sz w:val="18"/>
              </w:rPr>
              <w:t>País u organización intergubernamental que utiliza la técnica basada en marcadores moleculares</w:t>
            </w:r>
          </w:p>
        </w:tc>
      </w:tr>
      <w:tr w:rsidR="00F80657" w:rsidRPr="00AB213E" w14:paraId="05868FC7" w14:textId="77777777" w:rsidTr="009A50E6">
        <w:tc>
          <w:tcPr>
            <w:tcW w:w="9039" w:type="dxa"/>
          </w:tcPr>
          <w:p w14:paraId="5E232670" w14:textId="77777777" w:rsidR="00F80657" w:rsidRPr="00AB213E" w:rsidRDefault="00F80657" w:rsidP="00F80657">
            <w:pPr>
              <w:rPr>
                <w:sz w:val="18"/>
              </w:rPr>
            </w:pPr>
            <w:r w:rsidRPr="00AB213E">
              <w:rPr>
                <w:sz w:val="18"/>
              </w:rPr>
              <w:t>Fuente [nombre de la autoridad] y datos de contacto [dirección de correo electrónico]</w:t>
            </w:r>
          </w:p>
        </w:tc>
      </w:tr>
      <w:tr w:rsidR="00F80657" w:rsidRPr="00AB213E" w14:paraId="25E20E47" w14:textId="77777777" w:rsidTr="009A50E6">
        <w:tc>
          <w:tcPr>
            <w:tcW w:w="9039" w:type="dxa"/>
          </w:tcPr>
          <w:p w14:paraId="164666CA" w14:textId="77777777" w:rsidR="00F80657" w:rsidRPr="00AB213E" w:rsidRDefault="00F80657" w:rsidP="00F80657">
            <w:pPr>
              <w:rPr>
                <w:sz w:val="18"/>
              </w:rPr>
            </w:pPr>
            <w:r w:rsidRPr="00AB213E">
              <w:rPr>
                <w:sz w:val="18"/>
              </w:rPr>
              <w:t>Tipo de técnica basada en marcadores moleculares</w:t>
            </w:r>
          </w:p>
        </w:tc>
      </w:tr>
      <w:tr w:rsidR="00F80657" w:rsidRPr="00AB213E" w14:paraId="66CA41F8" w14:textId="77777777" w:rsidTr="009A50E6">
        <w:tc>
          <w:tcPr>
            <w:tcW w:w="9039" w:type="dxa"/>
          </w:tcPr>
          <w:p w14:paraId="6C4A8ACA" w14:textId="77777777" w:rsidR="00F80657" w:rsidRPr="00AB213E" w:rsidRDefault="00F80657" w:rsidP="00F80657">
            <w:pPr>
              <w:rPr>
                <w:sz w:val="18"/>
              </w:rPr>
            </w:pPr>
            <w:r w:rsidRPr="00AB213E">
              <w:rPr>
                <w:sz w:val="18"/>
              </w:rPr>
              <w:t>Cultivo(s) para el(los) que se utiliza la técnica molecular</w:t>
            </w:r>
          </w:p>
          <w:p w14:paraId="02BB4ECA" w14:textId="77777777" w:rsidR="00F80657" w:rsidRPr="00AB213E" w:rsidRDefault="00F80657" w:rsidP="00F80657">
            <w:pPr>
              <w:rPr>
                <w:sz w:val="18"/>
              </w:rPr>
            </w:pPr>
            <w:r w:rsidRPr="00AB213E">
              <w:rPr>
                <w:sz w:val="18"/>
              </w:rPr>
              <w:t>[se han de facilitar el(los) nombre(s) botánico(s) y código(s) UPOV]</w:t>
            </w:r>
          </w:p>
        </w:tc>
      </w:tr>
      <w:tr w:rsidR="00F80657" w:rsidRPr="00AB213E" w14:paraId="013D3B53" w14:textId="77777777" w:rsidTr="009A50E6">
        <w:tc>
          <w:tcPr>
            <w:tcW w:w="9039" w:type="dxa"/>
          </w:tcPr>
          <w:p w14:paraId="71B9D56A" w14:textId="11DDE68F" w:rsidR="00F80657" w:rsidRPr="00AB213E" w:rsidRDefault="00F80657" w:rsidP="00F80657">
            <w:pPr>
              <w:rPr>
                <w:sz w:val="18"/>
              </w:rPr>
            </w:pPr>
            <w:r w:rsidRPr="00AB213E">
              <w:rPr>
                <w:sz w:val="18"/>
              </w:rPr>
              <w:t>Finalidad de la utilización de la técnica molecular [modelo de la UPOV “Marcadores moleculares ligados a caracteres”, modelo de la UPOV “Combinación de distancias fenotípicas y moleculares en la gestión de las colecciones de variedades”, pureza, identidad, verificación de hibridez]</w:t>
            </w:r>
          </w:p>
        </w:tc>
      </w:tr>
      <w:tr w:rsidR="00F80657" w:rsidRPr="00AB213E" w14:paraId="5DEAA0E3" w14:textId="77777777" w:rsidTr="009A50E6">
        <w:tc>
          <w:tcPr>
            <w:tcW w:w="9039" w:type="dxa"/>
          </w:tcPr>
          <w:p w14:paraId="25197D5A" w14:textId="77777777" w:rsidR="00F80657" w:rsidRPr="00AB213E" w:rsidRDefault="00F80657" w:rsidP="00F80657">
            <w:pPr>
              <w:rPr>
                <w:sz w:val="18"/>
              </w:rPr>
            </w:pPr>
            <w:r w:rsidRPr="00AB213E">
              <w:rPr>
                <w:sz w:val="18"/>
              </w:rPr>
              <w:t>¿Se ha utilizado la técnica basada en marcadores moleculares como parte de una certificación de semillas en los últimos dos años? [certificación nacional, certificación de la OCDE] [relevante para los sistemas de semillas de la OCDE]</w:t>
            </w:r>
          </w:p>
        </w:tc>
      </w:tr>
      <w:tr w:rsidR="00F80657" w:rsidRPr="00AB213E" w14:paraId="49FE2358" w14:textId="77777777" w:rsidTr="009A50E6">
        <w:tc>
          <w:tcPr>
            <w:tcW w:w="9039" w:type="dxa"/>
          </w:tcPr>
          <w:p w14:paraId="0D2B1CD7" w14:textId="77777777" w:rsidR="00F80657" w:rsidRPr="00AB213E" w:rsidRDefault="00F80657" w:rsidP="00F80657">
            <w:pPr>
              <w:rPr>
                <w:sz w:val="18"/>
              </w:rPr>
            </w:pPr>
            <w:r w:rsidRPr="00AB213E">
              <w:rPr>
                <w:sz w:val="18"/>
              </w:rPr>
              <w:lastRenderedPageBreak/>
              <w:t>En los últimos dos años, ¿cuántas veces utilizó la autoridad las técnicas basadas en marcadores moleculares?</w:t>
            </w:r>
          </w:p>
        </w:tc>
      </w:tr>
      <w:tr w:rsidR="00F80657" w:rsidRPr="00AB213E" w14:paraId="281802B3" w14:textId="77777777" w:rsidTr="009A50E6">
        <w:tc>
          <w:tcPr>
            <w:tcW w:w="9039" w:type="dxa"/>
          </w:tcPr>
          <w:p w14:paraId="359ECC7F" w14:textId="77777777" w:rsidR="00F80657" w:rsidRPr="00AB213E" w:rsidRDefault="00F80657" w:rsidP="00F80657">
            <w:pPr>
              <w:rPr>
                <w:sz w:val="18"/>
              </w:rPr>
            </w:pPr>
            <w:r w:rsidRPr="00AB213E">
              <w:rPr>
                <w:sz w:val="18"/>
              </w:rPr>
              <w:t>La técnica basada en marcadores moleculares está contemplada en [directriz(ces) de examen de la UPOV, documento(s) TGP de la UPOV, otro(s) documento(s) (especifique)]</w:t>
            </w:r>
          </w:p>
        </w:tc>
      </w:tr>
      <w:tr w:rsidR="00F80657" w:rsidRPr="00AB213E" w14:paraId="39E63E42" w14:textId="77777777" w:rsidTr="009A50E6">
        <w:tc>
          <w:tcPr>
            <w:tcW w:w="9039" w:type="dxa"/>
          </w:tcPr>
          <w:p w14:paraId="3C2C4958" w14:textId="77777777" w:rsidR="00F80657" w:rsidRPr="00AB213E" w:rsidRDefault="00F80657" w:rsidP="00F80657">
            <w:pPr>
              <w:rPr>
                <w:sz w:val="18"/>
              </w:rPr>
            </w:pPr>
            <w:r w:rsidRPr="00AB213E">
              <w:rPr>
                <w:sz w:val="18"/>
              </w:rPr>
              <w:t xml:space="preserve">¿Está la técnica molecular validada? [Si lo está, indique la organización o autoridad concreta] </w:t>
            </w:r>
          </w:p>
          <w:p w14:paraId="0A069747" w14:textId="77777777" w:rsidR="00F80657" w:rsidRPr="00AB213E" w:rsidRDefault="00F80657" w:rsidP="00F80657">
            <w:pPr>
              <w:rPr>
                <w:sz w:val="18"/>
              </w:rPr>
            </w:pPr>
            <w:r w:rsidRPr="00AB213E">
              <w:rPr>
                <w:sz w:val="18"/>
              </w:rPr>
              <w:t>[relevante para los sistemas de semillas de la OCDE]</w:t>
            </w:r>
          </w:p>
        </w:tc>
      </w:tr>
    </w:tbl>
    <w:p w14:paraId="50EF3E0C" w14:textId="77777777" w:rsidR="00F80657" w:rsidRPr="00AB213E" w:rsidRDefault="00F80657" w:rsidP="00ED644C"/>
    <w:p w14:paraId="052C248F" w14:textId="77777777" w:rsidR="007F2D8A" w:rsidRPr="00AB213E" w:rsidRDefault="007F2D8A" w:rsidP="00ED644C">
      <w:r w:rsidRPr="00AB213E">
        <w:fldChar w:fldCharType="begin"/>
      </w:r>
      <w:r w:rsidRPr="00AB213E">
        <w:instrText xml:space="preserve"> AUTONUM  </w:instrText>
      </w:r>
      <w:r w:rsidRPr="00AB213E">
        <w:fldChar w:fldCharType="end"/>
      </w:r>
      <w:r w:rsidRPr="00AB213E">
        <w:tab/>
        <w:t>En su quincuagésima primera sesión, el TWO expresó su conformidad con los elementos para el inventario sobre la utilización de técnicas basadas en marcadores moleculares, por cultivos, propuestos por la Oficina de la Unión (véanse los párrafos 42 y 43 del documento TWO/51/12 “</w:t>
      </w:r>
      <w:r w:rsidRPr="00AB213E">
        <w:rPr>
          <w:i/>
        </w:rPr>
        <w:t>Report</w:t>
      </w:r>
      <w:r w:rsidRPr="00AB213E">
        <w:t>”).</w:t>
      </w:r>
    </w:p>
    <w:p w14:paraId="09833F65" w14:textId="77777777" w:rsidR="007F2D8A" w:rsidRPr="00AB213E" w:rsidRDefault="007F2D8A" w:rsidP="007F2D8A">
      <w:pPr>
        <w:rPr>
          <w:sz w:val="18"/>
        </w:rPr>
      </w:pPr>
    </w:p>
    <w:p w14:paraId="0B23B713" w14:textId="503E9FDF" w:rsidR="007F2D8A" w:rsidRPr="00AB213E" w:rsidRDefault="007F2D8A" w:rsidP="007F2D8A">
      <w:r w:rsidRPr="00AB213E">
        <w:fldChar w:fldCharType="begin"/>
      </w:r>
      <w:r w:rsidRPr="00AB213E">
        <w:instrText xml:space="preserve"> AUTONUM  </w:instrText>
      </w:r>
      <w:r w:rsidRPr="00AB213E">
        <w:fldChar w:fldCharType="end"/>
      </w:r>
      <w:r w:rsidRPr="00AB213E">
        <w:tab/>
        <w:t>El TWO convino en que se debe aclarar el término “identidad” para incluir la comprobación de la correspondencia entre el material vegetal y una variedad protegida a efectos del ejercicio de los derechos de obtentor.</w:t>
      </w:r>
      <w:r w:rsidR="00365911" w:rsidRPr="00AB213E">
        <w:t xml:space="preserve"> </w:t>
      </w:r>
      <w:r w:rsidRPr="00AB213E">
        <w:t>El TWO también convino en proponer que la información sobre los marcadores moleculares incluya datos sobre la fuente y la disponibilidad del marcador, por ejemplo, si se trata de un marcador a disposición del público o protegido.</w:t>
      </w:r>
    </w:p>
    <w:p w14:paraId="7432FBE9" w14:textId="77777777" w:rsidR="007F2D8A" w:rsidRPr="00AB213E" w:rsidRDefault="007F2D8A" w:rsidP="007F2D8A">
      <w:pPr>
        <w:rPr>
          <w:sz w:val="18"/>
        </w:rPr>
      </w:pPr>
    </w:p>
    <w:p w14:paraId="62F719B2" w14:textId="77777777" w:rsidR="007F2D8A" w:rsidRPr="00AB213E" w:rsidRDefault="007F2D8A" w:rsidP="00ED644C">
      <w:r w:rsidRPr="00AB213E">
        <w:fldChar w:fldCharType="begin"/>
      </w:r>
      <w:r w:rsidRPr="00AB213E">
        <w:instrText xml:space="preserve"> AUTONUM  </w:instrText>
      </w:r>
      <w:r w:rsidRPr="00AB213E">
        <w:fldChar w:fldCharType="end"/>
      </w:r>
      <w:r w:rsidRPr="00AB213E">
        <w:tab/>
        <w:t>En su quincuagésima tercera sesión, el TWV manifestó su acuerdo con los elementos expuestos en el documento TWP/3/7 para el inventario sobre la utilización de técnicas basadas en marcadores moleculares, por cultivos, propuestos por la Oficina de la Unión y recomendó los añadidos siguientes para reflejar la situación actual de las técnicas basadas en marcadores moleculares (esto es, ya en uso o en desarrollo) (sombreadas en gris) (véase el párrafo 48 del documento TWV/53/14 “</w:t>
      </w:r>
      <w:r w:rsidRPr="00AB213E">
        <w:rPr>
          <w:i/>
        </w:rPr>
        <w:t>Report</w:t>
      </w:r>
      <w:r w:rsidRPr="00AB213E">
        <w:t>”):</w:t>
      </w:r>
    </w:p>
    <w:p w14:paraId="3CA1ABD7" w14:textId="62DD45E2" w:rsidR="007F2D8A" w:rsidRPr="00AB213E" w:rsidRDefault="007F2D8A" w:rsidP="00ED644C">
      <w:pPr>
        <w:rPr>
          <w:sz w:val="18"/>
        </w:rPr>
      </w:pPr>
    </w:p>
    <w:tbl>
      <w:tblPr>
        <w:tblStyle w:val="TableGrid3"/>
        <w:tblW w:w="9032" w:type="dxa"/>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85" w:type="dxa"/>
          <w:right w:w="85" w:type="dxa"/>
        </w:tblCellMar>
        <w:tblLook w:val="04A0" w:firstRow="1" w:lastRow="0" w:firstColumn="1" w:lastColumn="0" w:noHBand="0" w:noVBand="1"/>
      </w:tblPr>
      <w:tblGrid>
        <w:gridCol w:w="9032"/>
      </w:tblGrid>
      <w:tr w:rsidR="00FF3D73" w:rsidRPr="00AB213E" w14:paraId="3274898A" w14:textId="77777777" w:rsidTr="00793B64">
        <w:trPr>
          <w:cantSplit/>
        </w:trPr>
        <w:tc>
          <w:tcPr>
            <w:tcW w:w="9032" w:type="dxa"/>
          </w:tcPr>
          <w:p w14:paraId="6264072F" w14:textId="77777777" w:rsidR="00FF3D73" w:rsidRPr="00AB213E" w:rsidRDefault="00FF3D73" w:rsidP="00793B64">
            <w:pPr>
              <w:keepNext/>
              <w:rPr>
                <w:sz w:val="18"/>
              </w:rPr>
            </w:pPr>
            <w:r w:rsidRPr="00AB213E">
              <w:rPr>
                <w:sz w:val="18"/>
              </w:rPr>
              <w:t>Situación (es decir, en uso actualmente o en desarrollo)</w:t>
            </w:r>
          </w:p>
        </w:tc>
      </w:tr>
      <w:tr w:rsidR="00FF3D73" w:rsidRPr="00AB213E" w14:paraId="67B36084" w14:textId="77777777" w:rsidTr="00793B64">
        <w:trPr>
          <w:cantSplit/>
        </w:trPr>
        <w:tc>
          <w:tcPr>
            <w:tcW w:w="9032" w:type="dxa"/>
          </w:tcPr>
          <w:p w14:paraId="3BCD4973" w14:textId="77777777" w:rsidR="00FF3D73" w:rsidRPr="00AB213E" w:rsidRDefault="00FF3D73" w:rsidP="00793B64">
            <w:pPr>
              <w:spacing w:before="20" w:after="20"/>
              <w:rPr>
                <w:sz w:val="18"/>
              </w:rPr>
            </w:pPr>
            <w:r w:rsidRPr="00AB213E">
              <w:rPr>
                <w:sz w:val="18"/>
              </w:rPr>
              <w:t>Cultivo(s) para el(los) que se utiliza la técnica basada en marcadores moleculares y (en caso de estar en uso) carácter al que está ligado</w:t>
            </w:r>
          </w:p>
          <w:p w14:paraId="4D87A435" w14:textId="77777777" w:rsidR="00FF3D73" w:rsidRPr="00AB213E" w:rsidRDefault="00FF3D73" w:rsidP="00793B64">
            <w:pPr>
              <w:spacing w:before="20" w:after="20"/>
              <w:rPr>
                <w:sz w:val="18"/>
              </w:rPr>
            </w:pPr>
            <w:r w:rsidRPr="00AB213E">
              <w:rPr>
                <w:sz w:val="18"/>
              </w:rPr>
              <w:t>[se han de facilitar el(los) nombre(s) botánico(s) y código(s) UPOV]</w:t>
            </w:r>
          </w:p>
        </w:tc>
      </w:tr>
    </w:tbl>
    <w:p w14:paraId="2F942F09" w14:textId="77777777" w:rsidR="00FF3D73" w:rsidRPr="00AB213E" w:rsidRDefault="00FF3D73" w:rsidP="00ED644C">
      <w:pPr>
        <w:rPr>
          <w:sz w:val="18"/>
        </w:rPr>
      </w:pPr>
    </w:p>
    <w:p w14:paraId="4BA4A984" w14:textId="77777777" w:rsidR="007F2D8A" w:rsidRPr="00AB213E" w:rsidRDefault="007F2D8A" w:rsidP="00ED644C">
      <w:r w:rsidRPr="00AB213E">
        <w:fldChar w:fldCharType="begin"/>
      </w:r>
      <w:r w:rsidRPr="00AB213E">
        <w:instrText xml:space="preserve"> AUTONUM  </w:instrText>
      </w:r>
      <w:r w:rsidRPr="00AB213E">
        <w:fldChar w:fldCharType="end"/>
      </w:r>
      <w:r w:rsidRPr="00AB213E">
        <w:tab/>
        <w:t>En su quincuagésima sesión, el TWF expresó su conformidad con los elementos para el inventario sobre la utilización de técnicas basadas en marcadores moleculares, por cultivos, propuestos en el documento TWP/3/7 y con los añadidos recomendados por el TWV en su quincuagésima tercera sesión para reflejar la situación actual de las técnicas basadas en marcadores moleculares (esto es, ya en uso o en desarrollo) (véase el párrafo 63 del documento TWF/50/13 “</w:t>
      </w:r>
      <w:r w:rsidRPr="00AB213E">
        <w:rPr>
          <w:i/>
        </w:rPr>
        <w:t>Report</w:t>
      </w:r>
      <w:r w:rsidRPr="00AB213E">
        <w:t xml:space="preserve">”). </w:t>
      </w:r>
    </w:p>
    <w:p w14:paraId="0707FF3A" w14:textId="77777777" w:rsidR="002A5737" w:rsidRPr="00AB213E" w:rsidRDefault="002A5737" w:rsidP="009A50E6">
      <w:pPr>
        <w:spacing w:line="360" w:lineRule="auto"/>
        <w:jc w:val="left"/>
      </w:pPr>
    </w:p>
    <w:p w14:paraId="58D7187B" w14:textId="77777777" w:rsidR="00BD7E4E" w:rsidRPr="00AB213E" w:rsidRDefault="00BD7E4E" w:rsidP="00324FB0">
      <w:pPr>
        <w:pStyle w:val="Heading3"/>
      </w:pPr>
      <w:bookmarkStart w:id="29" w:name="_Toc15059499"/>
      <w:bookmarkStart w:id="30" w:name="_Toc16181361"/>
      <w:bookmarkStart w:id="31" w:name="_Toc15295344"/>
      <w:bookmarkStart w:id="32" w:name="_Toc17813515"/>
      <w:r w:rsidRPr="00AB213E">
        <w:t>Propuesta</w:t>
      </w:r>
      <w:bookmarkEnd w:id="29"/>
      <w:bookmarkEnd w:id="30"/>
      <w:bookmarkEnd w:id="31"/>
      <w:bookmarkEnd w:id="32"/>
    </w:p>
    <w:p w14:paraId="4ED2FA4E" w14:textId="77777777" w:rsidR="007F2D8A" w:rsidRPr="00AB213E" w:rsidRDefault="007F2D8A" w:rsidP="00ED644C">
      <w:pPr>
        <w:keepNext/>
      </w:pPr>
    </w:p>
    <w:p w14:paraId="0ED95117" w14:textId="77777777" w:rsidR="007F2D8A" w:rsidRPr="00AB213E" w:rsidRDefault="007F2D8A" w:rsidP="007F2D8A">
      <w:r w:rsidRPr="00AB213E">
        <w:fldChar w:fldCharType="begin"/>
      </w:r>
      <w:r w:rsidRPr="00AB213E">
        <w:instrText xml:space="preserve"> AUTONUM  </w:instrText>
      </w:r>
      <w:r w:rsidRPr="00AB213E">
        <w:fldChar w:fldCharType="end"/>
      </w:r>
      <w:r w:rsidRPr="00AB213E">
        <w:tab/>
        <w:t>Teniendo en cuenta las observaciones de los TWP y el BMT, en sus sesiones de 2019, se propone que se examinen los elementos siguientes como punto de partida de un inventario sobre la utilización de técnicas basadas en marcadores moleculares, por cultivos:</w:t>
      </w:r>
    </w:p>
    <w:p w14:paraId="3E42B4EE" w14:textId="77777777" w:rsidR="007F2D8A" w:rsidRPr="00AB213E" w:rsidRDefault="007F2D8A" w:rsidP="007F2D8A"/>
    <w:tbl>
      <w:tblPr>
        <w:tblStyle w:val="TableGrid3"/>
        <w:tblW w:w="9039" w:type="dxa"/>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85" w:type="dxa"/>
          <w:right w:w="85" w:type="dxa"/>
        </w:tblCellMar>
        <w:tblLook w:val="04A0" w:firstRow="1" w:lastRow="0" w:firstColumn="1" w:lastColumn="0" w:noHBand="0" w:noVBand="1"/>
      </w:tblPr>
      <w:tblGrid>
        <w:gridCol w:w="9039"/>
      </w:tblGrid>
      <w:tr w:rsidR="007F2D8A" w:rsidRPr="00AB213E" w14:paraId="1D67D279" w14:textId="77777777" w:rsidTr="009A50E6">
        <w:trPr>
          <w:cantSplit/>
        </w:trPr>
        <w:tc>
          <w:tcPr>
            <w:tcW w:w="9039" w:type="dxa"/>
          </w:tcPr>
          <w:p w14:paraId="5D68ED63" w14:textId="77777777" w:rsidR="007F2D8A" w:rsidRPr="00AB213E" w:rsidRDefault="007F2D8A" w:rsidP="009A50E6">
            <w:pPr>
              <w:keepNext/>
              <w:rPr>
                <w:sz w:val="18"/>
                <w:szCs w:val="18"/>
              </w:rPr>
            </w:pPr>
            <w:r w:rsidRPr="00AB213E">
              <w:rPr>
                <w:sz w:val="18"/>
              </w:rPr>
              <w:t>País u organización intergubernamental que utiliza la técnica basada en marcadores moleculares</w:t>
            </w:r>
          </w:p>
        </w:tc>
      </w:tr>
      <w:tr w:rsidR="007F2D8A" w:rsidRPr="00AB213E" w14:paraId="74BEA882" w14:textId="77777777" w:rsidTr="009A50E6">
        <w:trPr>
          <w:cantSplit/>
        </w:trPr>
        <w:tc>
          <w:tcPr>
            <w:tcW w:w="9039" w:type="dxa"/>
          </w:tcPr>
          <w:p w14:paraId="330227D3" w14:textId="77777777" w:rsidR="007F2D8A" w:rsidRPr="00AB213E" w:rsidRDefault="007F2D8A" w:rsidP="009A50E6">
            <w:pPr>
              <w:keepNext/>
              <w:rPr>
                <w:sz w:val="18"/>
                <w:szCs w:val="18"/>
              </w:rPr>
            </w:pPr>
            <w:r w:rsidRPr="00AB213E">
              <w:rPr>
                <w:sz w:val="18"/>
              </w:rPr>
              <w:t>Fuente [nombre de la autoridad] y datos de contacto [dirección de correo electrónico]</w:t>
            </w:r>
          </w:p>
        </w:tc>
      </w:tr>
      <w:tr w:rsidR="007F2D8A" w:rsidRPr="00AB213E" w14:paraId="0BA6A78E" w14:textId="77777777" w:rsidTr="009A50E6">
        <w:trPr>
          <w:cantSplit/>
        </w:trPr>
        <w:tc>
          <w:tcPr>
            <w:tcW w:w="9039" w:type="dxa"/>
          </w:tcPr>
          <w:p w14:paraId="515381C8" w14:textId="77777777" w:rsidR="007F2D8A" w:rsidRPr="00AB213E" w:rsidRDefault="007F2D8A" w:rsidP="009A50E6">
            <w:pPr>
              <w:keepNext/>
              <w:rPr>
                <w:sz w:val="18"/>
                <w:szCs w:val="18"/>
              </w:rPr>
            </w:pPr>
            <w:r w:rsidRPr="00AB213E">
              <w:rPr>
                <w:sz w:val="18"/>
              </w:rPr>
              <w:t>Tipo de técnica basada en marcadores moleculares</w:t>
            </w:r>
          </w:p>
        </w:tc>
      </w:tr>
      <w:tr w:rsidR="007F2D8A" w:rsidRPr="00AB213E" w14:paraId="4CDE422E" w14:textId="77777777" w:rsidTr="009A50E6">
        <w:trPr>
          <w:cantSplit/>
        </w:trPr>
        <w:tc>
          <w:tcPr>
            <w:tcW w:w="9039" w:type="dxa"/>
          </w:tcPr>
          <w:p w14:paraId="1376BA85" w14:textId="77777777" w:rsidR="007F2D8A" w:rsidRPr="00AB213E" w:rsidRDefault="00E7081F" w:rsidP="009A50E6">
            <w:pPr>
              <w:keepNext/>
              <w:rPr>
                <w:sz w:val="18"/>
                <w:szCs w:val="18"/>
              </w:rPr>
            </w:pPr>
            <w:r w:rsidRPr="00AB213E">
              <w:rPr>
                <w:sz w:val="18"/>
              </w:rPr>
              <w:t xml:space="preserve">Fuente del marcador molecular y datos de contacto [dirección de correo electrónico] </w:t>
            </w:r>
          </w:p>
        </w:tc>
      </w:tr>
      <w:tr w:rsidR="007F2D8A" w:rsidRPr="00AB213E" w14:paraId="0CCC8145" w14:textId="77777777" w:rsidTr="009A50E6">
        <w:trPr>
          <w:cantSplit/>
        </w:trPr>
        <w:tc>
          <w:tcPr>
            <w:tcW w:w="9039" w:type="dxa"/>
          </w:tcPr>
          <w:p w14:paraId="059DAB97" w14:textId="77777777" w:rsidR="007F2D8A" w:rsidRPr="00AB213E" w:rsidRDefault="007F2D8A" w:rsidP="009A50E6">
            <w:pPr>
              <w:keepNext/>
              <w:rPr>
                <w:sz w:val="18"/>
                <w:szCs w:val="18"/>
              </w:rPr>
            </w:pPr>
            <w:r w:rsidRPr="00AB213E">
              <w:rPr>
                <w:sz w:val="18"/>
              </w:rPr>
              <w:t>Disponibilidad del marcador [a disposición del público o protegido]</w:t>
            </w:r>
          </w:p>
        </w:tc>
      </w:tr>
      <w:tr w:rsidR="007F2D8A" w:rsidRPr="00AB213E" w14:paraId="2814CB47" w14:textId="77777777" w:rsidTr="009A50E6">
        <w:trPr>
          <w:cantSplit/>
        </w:trPr>
        <w:tc>
          <w:tcPr>
            <w:tcW w:w="9039" w:type="dxa"/>
            <w:shd w:val="clear" w:color="auto" w:fill="auto"/>
          </w:tcPr>
          <w:p w14:paraId="1C87FD80" w14:textId="77777777" w:rsidR="007F2D8A" w:rsidRPr="00AB213E" w:rsidRDefault="007F2D8A" w:rsidP="0087315F">
            <w:pPr>
              <w:rPr>
                <w:sz w:val="18"/>
                <w:szCs w:val="18"/>
              </w:rPr>
            </w:pPr>
            <w:r w:rsidRPr="00AB213E">
              <w:rPr>
                <w:sz w:val="18"/>
              </w:rPr>
              <w:t>Situación (es decir, en uso actualmente o en desarrollo)</w:t>
            </w:r>
          </w:p>
        </w:tc>
      </w:tr>
      <w:tr w:rsidR="007F2D8A" w:rsidRPr="00AB213E" w14:paraId="33A224BA" w14:textId="77777777" w:rsidTr="009A50E6">
        <w:trPr>
          <w:cantSplit/>
        </w:trPr>
        <w:tc>
          <w:tcPr>
            <w:tcW w:w="9039" w:type="dxa"/>
            <w:shd w:val="clear" w:color="auto" w:fill="auto"/>
          </w:tcPr>
          <w:p w14:paraId="40C729FA" w14:textId="77777777" w:rsidR="007F2D8A" w:rsidRPr="00AB213E" w:rsidRDefault="007F2D8A" w:rsidP="009A50E6">
            <w:pPr>
              <w:keepNext/>
              <w:rPr>
                <w:sz w:val="18"/>
                <w:szCs w:val="18"/>
              </w:rPr>
            </w:pPr>
            <w:r w:rsidRPr="00AB213E">
              <w:rPr>
                <w:sz w:val="18"/>
              </w:rPr>
              <w:t>Cultivo(s) para el(los) que se utiliza la técnica basada en marcadores moleculares y carácter al que está ligado [se han de facilitar el(los) nombre(s) botánico(s) y código(s) UPOV]</w:t>
            </w:r>
          </w:p>
        </w:tc>
      </w:tr>
      <w:tr w:rsidR="007F2D8A" w:rsidRPr="00AB213E" w14:paraId="1DBBF847" w14:textId="77777777" w:rsidTr="009A50E6">
        <w:trPr>
          <w:cantSplit/>
        </w:trPr>
        <w:tc>
          <w:tcPr>
            <w:tcW w:w="9039" w:type="dxa"/>
          </w:tcPr>
          <w:p w14:paraId="6E67C34B" w14:textId="77777777" w:rsidR="007F2D8A" w:rsidRPr="00AB213E" w:rsidRDefault="007F2D8A" w:rsidP="009A50E6">
            <w:pPr>
              <w:rPr>
                <w:sz w:val="18"/>
                <w:szCs w:val="18"/>
              </w:rPr>
            </w:pPr>
            <w:r w:rsidRPr="00AB213E">
              <w:rPr>
                <w:sz w:val="18"/>
              </w:rPr>
              <w:t>Finalidad de la utilización de la técnica molecular [modelo de la UPOV “Marcadores moleculares ligados a caracteres”, modelo de la UPOV “Combinación de distancias fenotípicas y moleculares en la gestión de las colecciones de variedades”, pureza, identidad, comprobación de la correspondencia entre el material vegetal y una variedad protegida a efectos del ejercicio de los derechos de obtentor, verificación de la hibridez]</w:t>
            </w:r>
          </w:p>
        </w:tc>
      </w:tr>
      <w:tr w:rsidR="007F2D8A" w:rsidRPr="00AB213E" w14:paraId="12FDDB27" w14:textId="77777777" w:rsidTr="009A50E6">
        <w:trPr>
          <w:cantSplit/>
        </w:trPr>
        <w:tc>
          <w:tcPr>
            <w:tcW w:w="9039" w:type="dxa"/>
          </w:tcPr>
          <w:p w14:paraId="4F308226" w14:textId="77777777" w:rsidR="007F2D8A" w:rsidRPr="00AB213E" w:rsidRDefault="00E7081F" w:rsidP="009A50E6">
            <w:pPr>
              <w:rPr>
                <w:sz w:val="18"/>
                <w:szCs w:val="18"/>
              </w:rPr>
            </w:pPr>
            <w:r w:rsidRPr="00AB213E">
              <w:rPr>
                <w:sz w:val="18"/>
              </w:rPr>
              <w:t>Si se ha utilizado la técnica basada en marcadores moleculares como parte de una certificación de semillas en los últimos dos años [certificación nacional, certificación de la OCDE] [relevante para los sistemas de semillas de la OCDE]</w:t>
            </w:r>
          </w:p>
        </w:tc>
      </w:tr>
      <w:tr w:rsidR="007F2D8A" w:rsidRPr="00AB213E" w14:paraId="6A0B430B" w14:textId="77777777" w:rsidTr="009A50E6">
        <w:trPr>
          <w:cantSplit/>
        </w:trPr>
        <w:tc>
          <w:tcPr>
            <w:tcW w:w="9039" w:type="dxa"/>
          </w:tcPr>
          <w:p w14:paraId="2FCD177F" w14:textId="77777777" w:rsidR="007F2D8A" w:rsidRPr="00AB213E" w:rsidRDefault="00E7081F" w:rsidP="009A50E6">
            <w:pPr>
              <w:rPr>
                <w:sz w:val="18"/>
                <w:szCs w:val="18"/>
              </w:rPr>
            </w:pPr>
            <w:r w:rsidRPr="00AB213E">
              <w:rPr>
                <w:sz w:val="18"/>
              </w:rPr>
              <w:t>Número de veces que la autoridad utilizó la técnica basada en marcadores moleculares en los últimos dos años</w:t>
            </w:r>
          </w:p>
        </w:tc>
      </w:tr>
      <w:tr w:rsidR="007F2D8A" w:rsidRPr="00AB213E" w14:paraId="2979804F" w14:textId="77777777" w:rsidTr="009A50E6">
        <w:trPr>
          <w:cantSplit/>
        </w:trPr>
        <w:tc>
          <w:tcPr>
            <w:tcW w:w="9039" w:type="dxa"/>
          </w:tcPr>
          <w:p w14:paraId="4D17EA04" w14:textId="77777777" w:rsidR="007F2D8A" w:rsidRPr="00AB213E" w:rsidRDefault="00E7081F" w:rsidP="009A50E6">
            <w:pPr>
              <w:rPr>
                <w:sz w:val="18"/>
                <w:szCs w:val="18"/>
              </w:rPr>
            </w:pPr>
            <w:r w:rsidRPr="00AB213E">
              <w:rPr>
                <w:sz w:val="18"/>
              </w:rPr>
              <w:t>Si la técnica basada en marcadores moleculares está contemplada en [directriz(ces) de examen de la UPOV, documento(s) TGP de la UPOV, otro(s) documento(s) de la UPOV (especifique)</w:t>
            </w:r>
          </w:p>
        </w:tc>
      </w:tr>
      <w:tr w:rsidR="007F2D8A" w:rsidRPr="00AB213E" w14:paraId="1ED22BE0" w14:textId="77777777" w:rsidTr="009A50E6">
        <w:trPr>
          <w:cantSplit/>
        </w:trPr>
        <w:tc>
          <w:tcPr>
            <w:tcW w:w="9039" w:type="dxa"/>
          </w:tcPr>
          <w:p w14:paraId="353C1CE8" w14:textId="77777777" w:rsidR="007F2D8A" w:rsidRPr="00AB213E" w:rsidRDefault="00E7081F" w:rsidP="009A50E6">
            <w:pPr>
              <w:rPr>
                <w:sz w:val="18"/>
                <w:szCs w:val="18"/>
              </w:rPr>
            </w:pPr>
            <w:r w:rsidRPr="00AB213E">
              <w:rPr>
                <w:sz w:val="18"/>
              </w:rPr>
              <w:t xml:space="preserve">Si la técnica molecular está validada [si lo está, indique la organización o autoridad concreta] </w:t>
            </w:r>
          </w:p>
          <w:p w14:paraId="5E2DD1B0" w14:textId="77777777" w:rsidR="007F2D8A" w:rsidRPr="00AB213E" w:rsidRDefault="007F2D8A" w:rsidP="009A50E6">
            <w:pPr>
              <w:rPr>
                <w:sz w:val="18"/>
                <w:szCs w:val="18"/>
              </w:rPr>
            </w:pPr>
            <w:r w:rsidRPr="00AB213E">
              <w:rPr>
                <w:sz w:val="18"/>
              </w:rPr>
              <w:t>[relevante para los sistemas de semillas de la OCDE]</w:t>
            </w:r>
          </w:p>
        </w:tc>
      </w:tr>
    </w:tbl>
    <w:p w14:paraId="7FE9E92B" w14:textId="77777777" w:rsidR="007F2D8A" w:rsidRPr="00AB213E" w:rsidRDefault="007F2D8A" w:rsidP="007F2D8A">
      <w:pPr>
        <w:rPr>
          <w:rFonts w:eastAsia="MS Mincho"/>
          <w:snapToGrid w:val="0"/>
        </w:rPr>
      </w:pPr>
    </w:p>
    <w:p w14:paraId="4BA30AAF" w14:textId="77777777" w:rsidR="00422D07" w:rsidRPr="00AB213E" w:rsidRDefault="00422D07" w:rsidP="00422D07">
      <w:pPr>
        <w:rPr>
          <w:rFonts w:eastAsia="MS Mincho"/>
          <w:snapToGrid w:val="0"/>
        </w:rPr>
      </w:pPr>
      <w:r w:rsidRPr="00AB213E">
        <w:rPr>
          <w:rFonts w:eastAsia="MS Mincho"/>
          <w:snapToGrid w:val="0"/>
        </w:rPr>
        <w:lastRenderedPageBreak/>
        <w:fldChar w:fldCharType="begin"/>
      </w:r>
      <w:r w:rsidRPr="00AB213E">
        <w:rPr>
          <w:rFonts w:eastAsia="MS Mincho"/>
          <w:snapToGrid w:val="0"/>
        </w:rPr>
        <w:instrText xml:space="preserve"> AUTONUM  </w:instrText>
      </w:r>
      <w:r w:rsidRPr="00AB213E">
        <w:rPr>
          <w:rFonts w:eastAsia="MS Mincho"/>
          <w:snapToGrid w:val="0"/>
        </w:rPr>
        <w:fldChar w:fldCharType="end"/>
      </w:r>
      <w:r w:rsidRPr="00AB213E">
        <w:tab/>
        <w:t>Las novedades que se han producido sobre esta cuestión en el Grupo de Trabajo Técnico sobre Plantas Agrícolas (TWA), el Grupo de Trabajo Técnico sobre Automatización y Programas Informáticos (TWC) y el BMT, en sus sesiones de 2019, se comunicarán en una adición al presente documento.</w:t>
      </w:r>
    </w:p>
    <w:p w14:paraId="48DDC35A" w14:textId="77777777" w:rsidR="00422D07" w:rsidRPr="00AB213E" w:rsidRDefault="00422D07" w:rsidP="009A50E6">
      <w:pPr>
        <w:rPr>
          <w:rFonts w:eastAsia="MS Mincho"/>
          <w:snapToGrid w:val="0"/>
        </w:rPr>
      </w:pPr>
    </w:p>
    <w:p w14:paraId="7E9C1D1F" w14:textId="7C4FE66A" w:rsidR="007F2D8A" w:rsidRPr="00AB213E" w:rsidRDefault="007F2D8A" w:rsidP="00E7081F">
      <w:r w:rsidRPr="00AB213E">
        <w:rPr>
          <w:rFonts w:eastAsia="MS Mincho"/>
          <w:snapToGrid w:val="0"/>
        </w:rPr>
        <w:fldChar w:fldCharType="begin"/>
      </w:r>
      <w:r w:rsidRPr="00AB213E">
        <w:rPr>
          <w:rFonts w:eastAsia="MS Mincho"/>
          <w:snapToGrid w:val="0"/>
        </w:rPr>
        <w:instrText xml:space="preserve"> AUTONUM  </w:instrText>
      </w:r>
      <w:r w:rsidRPr="00AB213E">
        <w:rPr>
          <w:rFonts w:eastAsia="MS Mincho"/>
          <w:snapToGrid w:val="0"/>
        </w:rPr>
        <w:fldChar w:fldCharType="end"/>
      </w:r>
      <w:r w:rsidRPr="00AB213E">
        <w:tab/>
        <w:t>Previo acuerdo del TC en su quincuagésima quinta sesión y en coordinación con la OCDE, se enviará una circular para solicitar a los miembros de la Unión que respondan la encuesta como punto de partida de la elaboración de un inventario sobre la utilización de técnicas basadas en marcadores moleculares, por cultivos.</w:t>
      </w:r>
      <w:r w:rsidR="00365911" w:rsidRPr="00AB213E">
        <w:t xml:space="preserve"> </w:t>
      </w:r>
    </w:p>
    <w:p w14:paraId="46162EC4" w14:textId="77777777" w:rsidR="003D348C" w:rsidRPr="00AB213E" w:rsidRDefault="003D348C" w:rsidP="003D348C">
      <w:pPr>
        <w:rPr>
          <w:snapToGrid w:val="0"/>
        </w:rPr>
      </w:pPr>
    </w:p>
    <w:p w14:paraId="5C0CDC75" w14:textId="77777777" w:rsidR="003D348C" w:rsidRPr="00AB213E" w:rsidRDefault="003D348C" w:rsidP="003D348C">
      <w:pPr>
        <w:pStyle w:val="DecisionParagraphs"/>
        <w:keepNext/>
      </w:pPr>
      <w:r w:rsidRPr="00AB213E">
        <w:fldChar w:fldCharType="begin"/>
      </w:r>
      <w:r w:rsidRPr="00AB213E">
        <w:instrText xml:space="preserve"> AUTONUM  </w:instrText>
      </w:r>
      <w:r w:rsidRPr="00AB213E">
        <w:fldChar w:fldCharType="end"/>
      </w:r>
      <w:r w:rsidRPr="00AB213E">
        <w:tab/>
        <w:t>Se invita al TC a:</w:t>
      </w:r>
    </w:p>
    <w:p w14:paraId="74726ABD" w14:textId="77777777" w:rsidR="003D348C" w:rsidRPr="00AB213E" w:rsidRDefault="003D348C" w:rsidP="003D348C">
      <w:pPr>
        <w:pStyle w:val="DecisionParagraphs"/>
        <w:keepNext/>
      </w:pPr>
    </w:p>
    <w:p w14:paraId="6475C6A0" w14:textId="77777777" w:rsidR="003D348C" w:rsidRPr="00AB213E" w:rsidRDefault="003D348C" w:rsidP="003D348C">
      <w:pPr>
        <w:pStyle w:val="DecisionParagraphs"/>
        <w:keepNext/>
        <w:tabs>
          <w:tab w:val="left" w:pos="5954"/>
        </w:tabs>
      </w:pPr>
      <w:r w:rsidRPr="00AB213E">
        <w:tab/>
        <w:t>a)</w:t>
      </w:r>
      <w:r w:rsidRPr="00AB213E">
        <w:tab/>
        <w:t>examinar los elementos para un inventario sobre la utilización de técnicas basadas en marcadores moleculares, por cultivos, expuestos en el párrafo 23 de este documento, junto con las observaciones formuladas por los TWP y el BMT en sus sesiones de 2019; y</w:t>
      </w:r>
    </w:p>
    <w:p w14:paraId="1551CC9B" w14:textId="77777777" w:rsidR="003D348C" w:rsidRPr="00AB213E" w:rsidRDefault="003D348C" w:rsidP="003D348C">
      <w:pPr>
        <w:pStyle w:val="DecisionParagraphs"/>
      </w:pPr>
    </w:p>
    <w:p w14:paraId="7E232009" w14:textId="77777777" w:rsidR="003D348C" w:rsidRPr="00AB213E" w:rsidRDefault="003D348C" w:rsidP="003D348C">
      <w:pPr>
        <w:pStyle w:val="DecisionParagraphs"/>
        <w:tabs>
          <w:tab w:val="left" w:pos="5954"/>
        </w:tabs>
        <w:rPr>
          <w:spacing w:val="-2"/>
        </w:rPr>
      </w:pPr>
      <w:r w:rsidRPr="00AB213E">
        <w:tab/>
        <w:t>b)</w:t>
      </w:r>
      <w:r w:rsidRPr="00AB213E">
        <w:tab/>
        <w:t>tomar nota de que, previo acuerdo del TC en su quincuagésima quinta sesión y en coordinación con la OCDE, se enviará una circular para solicitar a los miembros de la Unión que respondan una encuesta como punto de partida de la elaboración de un inventario sobre la utilización de técnicas basadas en marcadores moleculares, por cultivos, según se expone en el párrafo </w:t>
      </w:r>
      <w:r w:rsidRPr="00AB213E">
        <w:rPr>
          <w:spacing w:val="-2"/>
        </w:rPr>
        <w:t>25</w:t>
      </w:r>
      <w:r w:rsidRPr="00AB213E">
        <w:t xml:space="preserve"> de este documento.</w:t>
      </w:r>
    </w:p>
    <w:p w14:paraId="2490EF49" w14:textId="77777777" w:rsidR="007F2D8A" w:rsidRPr="00AB213E" w:rsidRDefault="007F2D8A" w:rsidP="00D544F7"/>
    <w:p w14:paraId="67387A4A" w14:textId="77777777" w:rsidR="00E7081F" w:rsidRPr="00AB213E" w:rsidRDefault="00E7081F" w:rsidP="00D544F7"/>
    <w:p w14:paraId="7CB8609D" w14:textId="77777777" w:rsidR="00A45A4F" w:rsidRPr="00AB213E" w:rsidRDefault="007F2D8A" w:rsidP="00A45A4F">
      <w:pPr>
        <w:pStyle w:val="Heading2"/>
      </w:pPr>
      <w:bookmarkStart w:id="33" w:name="_Toc14980929"/>
      <w:bookmarkStart w:id="34" w:name="_Toc15059500"/>
      <w:bookmarkStart w:id="35" w:name="_Toc16181362"/>
      <w:bookmarkStart w:id="36" w:name="_Toc15295345"/>
      <w:bookmarkStart w:id="37" w:name="_Toc17813516"/>
      <w:r w:rsidRPr="00AB213E">
        <w:t>Listas de posibles iniciativas conjuntas con la OCDE y la ISTA relacionadas con las técnicas moleculares</w:t>
      </w:r>
      <w:bookmarkEnd w:id="33"/>
      <w:bookmarkEnd w:id="34"/>
      <w:bookmarkEnd w:id="35"/>
      <w:bookmarkEnd w:id="36"/>
      <w:bookmarkEnd w:id="37"/>
    </w:p>
    <w:p w14:paraId="485F7147" w14:textId="77777777" w:rsidR="00A45A4F" w:rsidRPr="00AB213E" w:rsidRDefault="00A45A4F" w:rsidP="00E7081F">
      <w:pPr>
        <w:keepNext/>
      </w:pPr>
    </w:p>
    <w:p w14:paraId="10898F95" w14:textId="4C07DE34" w:rsidR="00D544F7" w:rsidRPr="00AB213E" w:rsidRDefault="00D544F7" w:rsidP="00D544F7">
      <w:r w:rsidRPr="00AB213E">
        <w:fldChar w:fldCharType="begin"/>
      </w:r>
      <w:r w:rsidRPr="00AB213E">
        <w:instrText xml:space="preserve"> AUTONUM  </w:instrText>
      </w:r>
      <w:r w:rsidRPr="00AB213E">
        <w:fldChar w:fldCharType="end"/>
      </w:r>
      <w:r w:rsidRPr="00AB213E">
        <w:tab/>
        <w:t>En su decimoctava sesión, se invitará al BMT a elaborar listas de posibles iniciativas conjuntas con la</w:t>
      </w:r>
      <w:r w:rsidR="00271DA6" w:rsidRPr="00AB213E">
        <w:t> </w:t>
      </w:r>
      <w:r w:rsidRPr="00AB213E">
        <w:t>OCDE y la ISTA relacionadas con las técnicas moleculares a fin de que las examine el TC en su quincuagésima quinta sesión. Las novedades que se produzcan en la decimoctava sesión del</w:t>
      </w:r>
      <w:r w:rsidRPr="00AB213E">
        <w:rPr>
          <w:rFonts w:hint="eastAsia"/>
          <w:color w:val="000000"/>
        </w:rPr>
        <w:t> </w:t>
      </w:r>
      <w:r w:rsidRPr="00AB213E">
        <w:rPr>
          <w:color w:val="000000"/>
        </w:rPr>
        <w:t>BMT se comunicarán en una adición al presente documento.</w:t>
      </w:r>
    </w:p>
    <w:p w14:paraId="0855F1FE" w14:textId="77777777" w:rsidR="00803B6D" w:rsidRPr="00AB213E" w:rsidRDefault="00803B6D" w:rsidP="00E7081F">
      <w:pPr>
        <w:rPr>
          <w:snapToGrid w:val="0"/>
        </w:rPr>
      </w:pPr>
    </w:p>
    <w:p w14:paraId="64314CDA" w14:textId="77777777" w:rsidR="006040BF" w:rsidRPr="00AB213E" w:rsidRDefault="006040BF" w:rsidP="007172AD">
      <w:pPr>
        <w:pStyle w:val="DecisionParagraphs"/>
        <w:keepNext/>
      </w:pPr>
      <w:r w:rsidRPr="00AB213E">
        <w:fldChar w:fldCharType="begin"/>
      </w:r>
      <w:r w:rsidRPr="00AB213E">
        <w:instrText xml:space="preserve"> AUTONUM  </w:instrText>
      </w:r>
      <w:r w:rsidRPr="00AB213E">
        <w:fldChar w:fldCharType="end"/>
      </w:r>
      <w:r w:rsidRPr="00AB213E">
        <w:tab/>
        <w:t>Se invita al TC a:</w:t>
      </w:r>
    </w:p>
    <w:p w14:paraId="525E2E25" w14:textId="77777777" w:rsidR="003D348C" w:rsidRPr="00AB213E" w:rsidRDefault="003D348C" w:rsidP="009A50E6">
      <w:pPr>
        <w:pStyle w:val="DecisionParagraphs"/>
        <w:keepNext/>
        <w:tabs>
          <w:tab w:val="left" w:pos="5812"/>
          <w:tab w:val="left" w:pos="5954"/>
        </w:tabs>
      </w:pPr>
    </w:p>
    <w:p w14:paraId="021D3150" w14:textId="77777777" w:rsidR="003D348C" w:rsidRPr="00AB213E" w:rsidRDefault="003D348C" w:rsidP="003D348C">
      <w:pPr>
        <w:pStyle w:val="DecisionParagraphs"/>
        <w:tabs>
          <w:tab w:val="left" w:pos="5812"/>
        </w:tabs>
        <w:rPr>
          <w:snapToGrid w:val="0"/>
          <w:spacing w:val="-2"/>
        </w:rPr>
      </w:pPr>
      <w:r w:rsidRPr="00AB213E">
        <w:tab/>
        <w:t>a)</w:t>
      </w:r>
      <w:r w:rsidRPr="00AB213E">
        <w:tab/>
        <w:t xml:space="preserve">tomar nota de que, en su decimoctava sesión, se invitará al BMT a elaborar listas de posibles iniciativas conjuntas con la OCDE y la ISTA relacionadas con las técnicas moleculares, según se expone en el párrafo </w:t>
      </w:r>
      <w:r w:rsidRPr="00AB213E">
        <w:rPr>
          <w:spacing w:val="-2"/>
        </w:rPr>
        <w:t>27</w:t>
      </w:r>
      <w:r w:rsidRPr="00AB213E">
        <w:t xml:space="preserve"> de este documento; y</w:t>
      </w:r>
    </w:p>
    <w:p w14:paraId="34F984CF" w14:textId="77777777" w:rsidR="003D348C" w:rsidRPr="00AB213E" w:rsidRDefault="003D348C" w:rsidP="003D348C">
      <w:pPr>
        <w:pStyle w:val="DecisionParagraphs"/>
        <w:keepNext/>
        <w:tabs>
          <w:tab w:val="left" w:pos="5812"/>
          <w:tab w:val="left" w:pos="5954"/>
        </w:tabs>
      </w:pPr>
    </w:p>
    <w:p w14:paraId="6368BC43" w14:textId="77777777" w:rsidR="003D348C" w:rsidRPr="00AB213E" w:rsidRDefault="003D348C" w:rsidP="003D348C">
      <w:pPr>
        <w:pStyle w:val="DecisionParagraphs"/>
        <w:keepNext/>
        <w:tabs>
          <w:tab w:val="left" w:pos="5812"/>
          <w:tab w:val="left" w:pos="5954"/>
        </w:tabs>
      </w:pPr>
      <w:r w:rsidRPr="00AB213E">
        <w:tab/>
        <w:t>b)</w:t>
      </w:r>
      <w:r w:rsidRPr="00AB213E">
        <w:tab/>
        <w:t>tomar nota de que las propuestas formuladas por el BMT, en su decimoctava sesión, respecto de listas de posibles iniciativas conjuntas con la OCDE y la ISTA relacionadas con las técnicas moleculares, se comunicarán en una adición al presente documento, según se expone en el párrafo 27 de este documento.</w:t>
      </w:r>
    </w:p>
    <w:p w14:paraId="440B369F" w14:textId="77777777" w:rsidR="000524F2" w:rsidRPr="00AB213E" w:rsidRDefault="000524F2" w:rsidP="000524F2">
      <w:pPr>
        <w:rPr>
          <w:snapToGrid w:val="0"/>
        </w:rPr>
      </w:pPr>
    </w:p>
    <w:p w14:paraId="7D3B5B42" w14:textId="77777777" w:rsidR="000524F2" w:rsidRPr="00AB213E" w:rsidRDefault="000524F2" w:rsidP="000524F2">
      <w:pPr>
        <w:rPr>
          <w:snapToGrid w:val="0"/>
        </w:rPr>
      </w:pPr>
    </w:p>
    <w:p w14:paraId="6928E996" w14:textId="77777777" w:rsidR="000524F2" w:rsidRPr="00AB213E" w:rsidRDefault="000524F2" w:rsidP="000524F2">
      <w:pPr>
        <w:rPr>
          <w:snapToGrid w:val="0"/>
        </w:rPr>
      </w:pPr>
    </w:p>
    <w:p w14:paraId="61960E02" w14:textId="77777777" w:rsidR="000524F2" w:rsidRPr="00AB213E" w:rsidRDefault="000524F2" w:rsidP="00707D27">
      <w:pPr>
        <w:pStyle w:val="Heading1"/>
        <w:rPr>
          <w:snapToGrid w:val="0"/>
        </w:rPr>
      </w:pPr>
      <w:bookmarkStart w:id="38" w:name="_Toc536782789"/>
      <w:bookmarkStart w:id="39" w:name="_Toc13511378"/>
      <w:bookmarkStart w:id="40" w:name="_Toc14980930"/>
      <w:bookmarkStart w:id="41" w:name="_Toc15568815"/>
      <w:bookmarkStart w:id="42" w:name="_Toc16181363"/>
      <w:bookmarkStart w:id="43" w:name="_Toc17813517"/>
      <w:r w:rsidRPr="00AB213E">
        <w:rPr>
          <w:rStyle w:val="Heading1Char"/>
        </w:rPr>
        <w:t>SESIÓN PARA FACILITAR LA COOPERACIÓN EN EL</w:t>
      </w:r>
      <w:r w:rsidRPr="00AB213E">
        <w:t xml:space="preserve"> USO DE TÉCNICAS MOLECULARES</w:t>
      </w:r>
      <w:bookmarkEnd w:id="38"/>
      <w:bookmarkEnd w:id="39"/>
      <w:bookmarkEnd w:id="40"/>
      <w:bookmarkEnd w:id="41"/>
      <w:bookmarkEnd w:id="42"/>
      <w:bookmarkEnd w:id="43"/>
    </w:p>
    <w:p w14:paraId="54A45FDB" w14:textId="77777777" w:rsidR="000524F2" w:rsidRPr="00AB213E" w:rsidRDefault="000524F2" w:rsidP="000524F2">
      <w:pPr>
        <w:keepNext/>
        <w:rPr>
          <w:u w:val="single"/>
        </w:rPr>
      </w:pPr>
    </w:p>
    <w:p w14:paraId="40FE3B6F" w14:textId="77777777" w:rsidR="000524F2" w:rsidRPr="00AB213E" w:rsidRDefault="000524F2" w:rsidP="002767CA">
      <w:pPr>
        <w:pStyle w:val="Heading2"/>
      </w:pPr>
      <w:bookmarkStart w:id="44" w:name="_Toc15568816"/>
      <w:bookmarkStart w:id="45" w:name="_Toc16181364"/>
      <w:bookmarkStart w:id="46" w:name="_Toc17813518"/>
      <w:r w:rsidRPr="00AB213E">
        <w:t>Novedades acaecidas en la quincuagésima cuarta sesión del Comité Técnico</w:t>
      </w:r>
      <w:bookmarkEnd w:id="44"/>
      <w:bookmarkEnd w:id="45"/>
      <w:bookmarkEnd w:id="46"/>
    </w:p>
    <w:p w14:paraId="743AFA39" w14:textId="77777777" w:rsidR="000524F2" w:rsidRPr="00AB213E" w:rsidRDefault="000524F2" w:rsidP="000524F2">
      <w:pPr>
        <w:keepNext/>
        <w:ind w:left="567" w:hanging="567"/>
      </w:pPr>
    </w:p>
    <w:p w14:paraId="159E41F0" w14:textId="77777777" w:rsidR="000524F2" w:rsidRPr="00AB213E" w:rsidRDefault="000524F2" w:rsidP="000524F2">
      <w:pPr>
        <w:keepNext/>
        <w:rPr>
          <w:rFonts w:eastAsiaTheme="minorEastAsia"/>
        </w:rPr>
      </w:pPr>
      <w:r w:rsidRPr="00AB213E">
        <w:fldChar w:fldCharType="begin"/>
      </w:r>
      <w:r w:rsidRPr="00AB213E">
        <w:instrText xml:space="preserve"> AUTONUM  </w:instrText>
      </w:r>
      <w:r w:rsidRPr="00AB213E">
        <w:fldChar w:fldCharType="end"/>
      </w:r>
      <w:r w:rsidRPr="00AB213E">
        <w:tab/>
        <w:t>Los antecedentes de esta cuestión se facilitan en el documento TC/54/11 Add. “Técnicas moleculares”, párrafos 56 a 66.</w:t>
      </w:r>
    </w:p>
    <w:p w14:paraId="735456F2" w14:textId="77777777" w:rsidR="000524F2" w:rsidRPr="00AB213E" w:rsidRDefault="000524F2" w:rsidP="000524F2">
      <w:pPr>
        <w:keepNext/>
        <w:keepLines/>
      </w:pPr>
    </w:p>
    <w:p w14:paraId="05987C0D" w14:textId="49F6C17F" w:rsidR="000524F2" w:rsidRPr="00AB213E" w:rsidRDefault="000524F2" w:rsidP="000524F2">
      <w:r w:rsidRPr="00AB213E">
        <w:fldChar w:fldCharType="begin"/>
      </w:r>
      <w:r w:rsidRPr="00AB213E">
        <w:instrText xml:space="preserve"> AUTONUM  </w:instrText>
      </w:r>
      <w:r w:rsidRPr="00AB213E">
        <w:fldChar w:fldCharType="end"/>
      </w:r>
      <w:r w:rsidRPr="00AB213E">
        <w:tab/>
        <w:t>En su quincuagésima cuarta sesión, el TC convino en que se comuniquen a los demás Grupos de Trabajo Técnico (TWP) los resultados de la sesión de coordinación del BMT, en su decimoséptima sesión, expuestos en los párrafos 57 a 66 del documento TC/54/11 Add.</w:t>
      </w:r>
      <w:r w:rsidR="00365911" w:rsidRPr="00AB213E">
        <w:t xml:space="preserve"> </w:t>
      </w:r>
      <w:r w:rsidR="003A3A32" w:rsidRPr="00AB213E">
        <w:t xml:space="preserve"> </w:t>
      </w:r>
      <w:r w:rsidRPr="00AB213E">
        <w:t>El TC acordó invitar a los TWP a llevar a cabo una sesión similar para reflexionar sobre dichos resultados y contribuir a la labor futura del BMT.</w:t>
      </w:r>
      <w:r w:rsidR="00365911" w:rsidRPr="00AB213E">
        <w:t xml:space="preserve"> </w:t>
      </w:r>
      <w:r w:rsidRPr="00AB213E">
        <w:t xml:space="preserve">El TC </w:t>
      </w:r>
      <w:r w:rsidRPr="00AB213E">
        <w:lastRenderedPageBreak/>
        <w:t>convino en que se creen grupos de debate en todos los TWP respecto de los principales cultivos con objeto de que los asistentes intercambien información sobre su labor en materia de técnicas bioquímicas y moleculares y definan ámbitos de cooperación (véase el párrafo 281 del documento TC/54/31 “Informe”).</w:t>
      </w:r>
      <w:r w:rsidR="00365911" w:rsidRPr="00AB213E">
        <w:t xml:space="preserve"> </w:t>
      </w:r>
    </w:p>
    <w:p w14:paraId="45DBB532" w14:textId="77777777" w:rsidR="000524F2" w:rsidRPr="00AB213E" w:rsidRDefault="000524F2" w:rsidP="000524F2">
      <w:pPr>
        <w:rPr>
          <w:snapToGrid w:val="0"/>
        </w:rPr>
      </w:pPr>
    </w:p>
    <w:p w14:paraId="18C31B07" w14:textId="77777777" w:rsidR="000524F2" w:rsidRPr="00AB213E" w:rsidRDefault="000524F2" w:rsidP="000524F2">
      <w:pPr>
        <w:rPr>
          <w:snapToGrid w:val="0"/>
        </w:rPr>
      </w:pPr>
    </w:p>
    <w:p w14:paraId="0FF0A98C" w14:textId="22165DB3" w:rsidR="000524F2" w:rsidRPr="00AB213E" w:rsidRDefault="003A3A32" w:rsidP="003A3A32">
      <w:pPr>
        <w:pStyle w:val="Heading2"/>
        <w:rPr>
          <w:snapToGrid w:val="0"/>
        </w:rPr>
      </w:pPr>
      <w:bookmarkStart w:id="47" w:name="_Toc13511380"/>
      <w:bookmarkStart w:id="48" w:name="_Toc15568817"/>
      <w:bookmarkStart w:id="49" w:name="_Toc16181365"/>
      <w:bookmarkStart w:id="50" w:name="_Toc17813519"/>
      <w:r w:rsidRPr="00AB213E">
        <w:t xml:space="preserve">Novedades acaecidas en los Grupos de Trabajo Técnico y el </w:t>
      </w:r>
      <w:r w:rsidR="000524F2" w:rsidRPr="00AB213E">
        <w:t>GRUPO DE TRABAJO SOBRE TÉCNICAS BIOQUÍMICAS Y MOLECULARES, Y PERFILES DE ADN EN PARTICULAR EN 2019</w:t>
      </w:r>
      <w:bookmarkEnd w:id="47"/>
      <w:bookmarkEnd w:id="48"/>
      <w:bookmarkEnd w:id="49"/>
      <w:bookmarkEnd w:id="50"/>
    </w:p>
    <w:p w14:paraId="1EA516B6" w14:textId="77777777" w:rsidR="000524F2" w:rsidRPr="00AB213E" w:rsidRDefault="000524F2" w:rsidP="000524F2">
      <w:pPr>
        <w:rPr>
          <w:rFonts w:eastAsia="MS Mincho"/>
          <w:snapToGrid w:val="0"/>
        </w:rPr>
      </w:pPr>
    </w:p>
    <w:p w14:paraId="3E64F618" w14:textId="77777777" w:rsidR="000524F2" w:rsidRPr="00AB213E" w:rsidRDefault="000524F2" w:rsidP="009A50E6">
      <w:pPr>
        <w:rPr>
          <w:color w:val="000000"/>
        </w:rPr>
      </w:pPr>
      <w:r w:rsidRPr="00AB213E">
        <w:rPr>
          <w:rFonts w:cs="Arial"/>
        </w:rPr>
        <w:fldChar w:fldCharType="begin"/>
      </w:r>
      <w:r w:rsidRPr="00AB213E">
        <w:rPr>
          <w:rFonts w:cs="Arial"/>
        </w:rPr>
        <w:instrText xml:space="preserve"> AUTONUM  </w:instrText>
      </w:r>
      <w:r w:rsidRPr="00AB213E">
        <w:rPr>
          <w:rFonts w:cs="Arial"/>
        </w:rPr>
        <w:fldChar w:fldCharType="end"/>
      </w:r>
      <w:r w:rsidRPr="00AB213E">
        <w:tab/>
      </w:r>
      <w:r w:rsidRPr="00AB213E">
        <w:rPr>
          <w:rFonts w:hint="eastAsia"/>
          <w:color w:val="000000"/>
        </w:rPr>
        <w:t xml:space="preserve">En </w:t>
      </w:r>
      <w:r w:rsidRPr="00AB213E">
        <w:t xml:space="preserve">sus sesiones de 2019, el TWO, el TWV y el TWF examinaron </w:t>
      </w:r>
      <w:r w:rsidRPr="00AB213E">
        <w:rPr>
          <w:color w:val="000000"/>
        </w:rPr>
        <w:t xml:space="preserve">el documento TWP/3/7 </w:t>
      </w:r>
      <w:r w:rsidRPr="00AB213E">
        <w:rPr>
          <w:i/>
          <w:color w:val="000000"/>
        </w:rPr>
        <w:t>“Molecular Techniques</w:t>
      </w:r>
      <w:r w:rsidRPr="00AB213E">
        <w:rPr>
          <w:color w:val="000000"/>
        </w:rPr>
        <w:t>” (Técnicas moleculares)</w:t>
      </w:r>
      <w:r w:rsidRPr="00AB213E">
        <w:t xml:space="preserve"> (véanse los documentos TWO/51/12 “</w:t>
      </w:r>
      <w:r w:rsidRPr="00AB213E">
        <w:rPr>
          <w:i/>
        </w:rPr>
        <w:t>Report</w:t>
      </w:r>
      <w:r w:rsidRPr="00AB213E">
        <w:t>”, párrafos 36 y 51, TWV/53/14 “</w:t>
      </w:r>
      <w:r w:rsidRPr="00AB213E">
        <w:rPr>
          <w:i/>
        </w:rPr>
        <w:t>Report</w:t>
      </w:r>
      <w:r w:rsidRPr="00AB213E">
        <w:t>”, párrafos 40 y 56, y TWF/50/13 “</w:t>
      </w:r>
      <w:r w:rsidRPr="00AB213E">
        <w:rPr>
          <w:i/>
        </w:rPr>
        <w:t>Report</w:t>
      </w:r>
      <w:r w:rsidRPr="00AB213E">
        <w:t>”, párrafos 56 y 74)</w:t>
      </w:r>
      <w:r w:rsidRPr="00AB213E">
        <w:rPr>
          <w:snapToGrid w:val="0"/>
          <w:color w:val="000000"/>
        </w:rPr>
        <w:t xml:space="preserve">. </w:t>
      </w:r>
    </w:p>
    <w:p w14:paraId="4241D67A" w14:textId="77777777" w:rsidR="000524F2" w:rsidRPr="00AB213E" w:rsidRDefault="000524F2" w:rsidP="009A50E6">
      <w:pPr>
        <w:spacing w:line="360" w:lineRule="auto"/>
        <w:rPr>
          <w:snapToGrid w:val="0"/>
        </w:rPr>
      </w:pPr>
    </w:p>
    <w:p w14:paraId="72CDE567" w14:textId="77777777" w:rsidR="000524F2" w:rsidRPr="00AB213E" w:rsidRDefault="000524F2" w:rsidP="000524F2">
      <w:pPr>
        <w:keepNext/>
        <w:outlineLvl w:val="2"/>
        <w:rPr>
          <w:i/>
          <w:snapToGrid w:val="0"/>
        </w:rPr>
      </w:pPr>
      <w:bookmarkStart w:id="51" w:name="_Toc14980931"/>
      <w:r w:rsidRPr="00AB213E">
        <w:rPr>
          <w:i/>
          <w:snapToGrid w:val="0"/>
        </w:rPr>
        <w:t>Grupo de Trabajo Técnico sobre Plantas Ornamentales y Árboles Forestales</w:t>
      </w:r>
      <w:bookmarkEnd w:id="51"/>
    </w:p>
    <w:p w14:paraId="5FE68D83" w14:textId="77777777" w:rsidR="000524F2" w:rsidRPr="00AB213E" w:rsidRDefault="000524F2" w:rsidP="000524F2"/>
    <w:p w14:paraId="2ACFC66A" w14:textId="251E733F" w:rsidR="000524F2" w:rsidRPr="00AB213E" w:rsidRDefault="000524F2" w:rsidP="000524F2">
      <w:r w:rsidRPr="00AB213E">
        <w:fldChar w:fldCharType="begin"/>
      </w:r>
      <w:r w:rsidRPr="00AB213E">
        <w:instrText xml:space="preserve"> AUTONUM  </w:instrText>
      </w:r>
      <w:r w:rsidRPr="00AB213E">
        <w:fldChar w:fldCharType="end"/>
      </w:r>
      <w:r w:rsidRPr="00AB213E">
        <w:tab/>
        <w:t>Los participantes en el TWO facilitaron la información siguiente (véanse los párrafos 52 y 53 del documento TWO/51/12 “</w:t>
      </w:r>
      <w:r w:rsidRPr="00AB213E">
        <w:rPr>
          <w:i/>
        </w:rPr>
        <w:t>Report</w:t>
      </w:r>
      <w:r w:rsidRPr="00AB213E">
        <w:t>”):</w:t>
      </w:r>
      <w:r w:rsidR="00365911" w:rsidRPr="00AB213E">
        <w:t xml:space="preserve"> </w:t>
      </w:r>
    </w:p>
    <w:p w14:paraId="7FFB9297" w14:textId="77777777" w:rsidR="000524F2" w:rsidRPr="00AB213E" w:rsidRDefault="000524F2" w:rsidP="000524F2"/>
    <w:tbl>
      <w:tblPr>
        <w:tblStyle w:val="TableGrid411"/>
        <w:tblW w:w="8897" w:type="dxa"/>
        <w:tblInd w:w="47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85" w:type="dxa"/>
          <w:right w:w="85" w:type="dxa"/>
        </w:tblCellMar>
        <w:tblLook w:val="04A0" w:firstRow="1" w:lastRow="0" w:firstColumn="1" w:lastColumn="0" w:noHBand="0" w:noVBand="1"/>
      </w:tblPr>
      <w:tblGrid>
        <w:gridCol w:w="1384"/>
        <w:gridCol w:w="7513"/>
      </w:tblGrid>
      <w:tr w:rsidR="000524F2" w:rsidRPr="00AB213E" w14:paraId="6712CA25" w14:textId="77777777" w:rsidTr="0087315F">
        <w:tc>
          <w:tcPr>
            <w:tcW w:w="1384" w:type="dxa"/>
          </w:tcPr>
          <w:p w14:paraId="7133B2FF" w14:textId="77777777" w:rsidR="000524F2" w:rsidRPr="00AB213E" w:rsidRDefault="000524F2" w:rsidP="00E20AE5">
            <w:pPr>
              <w:jc w:val="left"/>
              <w:rPr>
                <w:rFonts w:cs="Arial"/>
                <w:sz w:val="18"/>
              </w:rPr>
            </w:pPr>
            <w:r w:rsidRPr="00AB213E">
              <w:rPr>
                <w:sz w:val="18"/>
              </w:rPr>
              <w:t>Australia</w:t>
            </w:r>
          </w:p>
        </w:tc>
        <w:tc>
          <w:tcPr>
            <w:tcW w:w="7513" w:type="dxa"/>
          </w:tcPr>
          <w:p w14:paraId="6766E27C" w14:textId="5D78733B" w:rsidR="000524F2" w:rsidRPr="00AB213E" w:rsidRDefault="009262C4" w:rsidP="0087315F">
            <w:pPr>
              <w:numPr>
                <w:ilvl w:val="0"/>
                <w:numId w:val="2"/>
              </w:numPr>
              <w:ind w:left="197" w:hanging="251"/>
              <w:jc w:val="left"/>
              <w:rPr>
                <w:rFonts w:cs="Arial"/>
                <w:sz w:val="18"/>
              </w:rPr>
            </w:pPr>
            <w:r w:rsidRPr="00AB213E">
              <w:rPr>
                <w:sz w:val="18"/>
              </w:rPr>
              <w:t>l</w:t>
            </w:r>
            <w:r w:rsidR="000524F2" w:rsidRPr="00AB213E">
              <w:rPr>
                <w:sz w:val="18"/>
              </w:rPr>
              <w:t xml:space="preserve">a información del ADN puede ser útil en </w:t>
            </w:r>
            <w:r w:rsidRPr="00AB213E">
              <w:rPr>
                <w:sz w:val="18"/>
              </w:rPr>
              <w:t>ciertos</w:t>
            </w:r>
            <w:r w:rsidR="000524F2" w:rsidRPr="00AB213E">
              <w:rPr>
                <w:sz w:val="18"/>
              </w:rPr>
              <w:t xml:space="preserve"> </w:t>
            </w:r>
            <w:r w:rsidR="00E00001" w:rsidRPr="00AB213E">
              <w:rPr>
                <w:sz w:val="18"/>
              </w:rPr>
              <w:t xml:space="preserve">casos </w:t>
            </w:r>
            <w:r w:rsidR="000524F2" w:rsidRPr="00AB213E">
              <w:rPr>
                <w:sz w:val="18"/>
              </w:rPr>
              <w:t>en que se interpon</w:t>
            </w:r>
            <w:r w:rsidRPr="00AB213E">
              <w:rPr>
                <w:sz w:val="18"/>
              </w:rPr>
              <w:t>ga</w:t>
            </w:r>
            <w:r w:rsidR="000524F2" w:rsidRPr="00AB213E">
              <w:rPr>
                <w:sz w:val="18"/>
              </w:rPr>
              <w:t xml:space="preserve"> una demanda por infracción; </w:t>
            </w:r>
          </w:p>
          <w:p w14:paraId="710BA701" w14:textId="69B8DBEC" w:rsidR="000524F2" w:rsidRPr="00AB213E" w:rsidRDefault="000524F2" w:rsidP="0087315F">
            <w:pPr>
              <w:numPr>
                <w:ilvl w:val="0"/>
                <w:numId w:val="2"/>
              </w:numPr>
              <w:ind w:left="197" w:hanging="251"/>
              <w:jc w:val="left"/>
              <w:rPr>
                <w:rFonts w:cs="Arial"/>
                <w:spacing w:val="-2"/>
                <w:sz w:val="18"/>
              </w:rPr>
            </w:pPr>
            <w:r w:rsidRPr="00AB213E">
              <w:rPr>
                <w:spacing w:val="-2"/>
                <w:sz w:val="18"/>
              </w:rPr>
              <w:t xml:space="preserve">actualmente </w:t>
            </w:r>
            <w:r w:rsidR="00F871C6" w:rsidRPr="00AB213E">
              <w:rPr>
                <w:spacing w:val="-2"/>
                <w:sz w:val="18"/>
              </w:rPr>
              <w:t xml:space="preserve">se </w:t>
            </w:r>
            <w:r w:rsidRPr="00AB213E">
              <w:rPr>
                <w:spacing w:val="-2"/>
                <w:sz w:val="18"/>
              </w:rPr>
              <w:t>está considerando constituir una colección de ADN para especies nativas</w:t>
            </w:r>
            <w:r w:rsidR="00F871C6" w:rsidRPr="00AB213E">
              <w:rPr>
                <w:spacing w:val="-2"/>
                <w:sz w:val="18"/>
              </w:rPr>
              <w:t>.</w:t>
            </w:r>
            <w:r w:rsidRPr="00AB213E">
              <w:rPr>
                <w:spacing w:val="-2"/>
                <w:sz w:val="18"/>
              </w:rPr>
              <w:t xml:space="preserve"> </w:t>
            </w:r>
          </w:p>
        </w:tc>
      </w:tr>
      <w:tr w:rsidR="000524F2" w:rsidRPr="00AB213E" w14:paraId="5B6F738B" w14:textId="77777777" w:rsidTr="0087315F">
        <w:tc>
          <w:tcPr>
            <w:tcW w:w="1384" w:type="dxa"/>
          </w:tcPr>
          <w:p w14:paraId="56E1E626" w14:textId="77777777" w:rsidR="000524F2" w:rsidRPr="00AB213E" w:rsidRDefault="000524F2" w:rsidP="00E20AE5">
            <w:pPr>
              <w:jc w:val="left"/>
              <w:rPr>
                <w:rFonts w:cs="Arial"/>
                <w:sz w:val="18"/>
              </w:rPr>
            </w:pPr>
            <w:r w:rsidRPr="00AB213E">
              <w:rPr>
                <w:sz w:val="18"/>
              </w:rPr>
              <w:t>China</w:t>
            </w:r>
          </w:p>
        </w:tc>
        <w:tc>
          <w:tcPr>
            <w:tcW w:w="7513" w:type="dxa"/>
          </w:tcPr>
          <w:p w14:paraId="3347318C" w14:textId="77777777" w:rsidR="000524F2" w:rsidRPr="00AB213E" w:rsidRDefault="000524F2" w:rsidP="0087315F">
            <w:pPr>
              <w:numPr>
                <w:ilvl w:val="0"/>
                <w:numId w:val="2"/>
              </w:numPr>
              <w:ind w:left="197" w:hanging="251"/>
              <w:jc w:val="left"/>
              <w:rPr>
                <w:rFonts w:cs="Arial"/>
                <w:sz w:val="18"/>
              </w:rPr>
            </w:pPr>
            <w:r w:rsidRPr="00AB213E">
              <w:rPr>
                <w:sz w:val="18"/>
              </w:rPr>
              <w:t xml:space="preserve">interés en cultivos: sector forestal y ornamentales leñosas, en especial </w:t>
            </w:r>
            <w:r w:rsidRPr="00AB213E">
              <w:rPr>
                <w:i/>
                <w:sz w:val="18"/>
              </w:rPr>
              <w:t>Fraxinus</w:t>
            </w:r>
            <w:r w:rsidRPr="00AB213E">
              <w:rPr>
                <w:sz w:val="18"/>
              </w:rPr>
              <w:t>;</w:t>
            </w:r>
          </w:p>
          <w:p w14:paraId="4D44975C" w14:textId="16FC5796" w:rsidR="000524F2" w:rsidRPr="00AB213E" w:rsidRDefault="000524F2" w:rsidP="0087315F">
            <w:pPr>
              <w:numPr>
                <w:ilvl w:val="0"/>
                <w:numId w:val="2"/>
              </w:numPr>
              <w:ind w:left="197" w:hanging="251"/>
              <w:jc w:val="left"/>
              <w:rPr>
                <w:rFonts w:cs="Arial"/>
                <w:sz w:val="18"/>
              </w:rPr>
            </w:pPr>
            <w:r w:rsidRPr="00AB213E">
              <w:rPr>
                <w:sz w:val="18"/>
              </w:rPr>
              <w:t xml:space="preserve">actualmente </w:t>
            </w:r>
            <w:r w:rsidR="00F871C6" w:rsidRPr="00AB213E">
              <w:rPr>
                <w:sz w:val="18"/>
              </w:rPr>
              <w:t xml:space="preserve">se </w:t>
            </w:r>
            <w:r w:rsidRPr="00AB213E">
              <w:rPr>
                <w:sz w:val="18"/>
              </w:rPr>
              <w:t>está</w:t>
            </w:r>
            <w:r w:rsidR="00F871C6" w:rsidRPr="00AB213E">
              <w:rPr>
                <w:sz w:val="18"/>
              </w:rPr>
              <w:t>n</w:t>
            </w:r>
            <w:r w:rsidRPr="00AB213E">
              <w:rPr>
                <w:sz w:val="18"/>
              </w:rPr>
              <w:t xml:space="preserve"> desarrollando bases de datos con información del ADN del rosal, el álamo y la peonia</w:t>
            </w:r>
            <w:r w:rsidR="00F871C6" w:rsidRPr="00AB213E">
              <w:rPr>
                <w:sz w:val="18"/>
              </w:rPr>
              <w:t>.</w:t>
            </w:r>
          </w:p>
        </w:tc>
      </w:tr>
      <w:tr w:rsidR="000524F2" w:rsidRPr="00AB213E" w14:paraId="17973DEA" w14:textId="77777777" w:rsidTr="0087315F">
        <w:tc>
          <w:tcPr>
            <w:tcW w:w="1384" w:type="dxa"/>
          </w:tcPr>
          <w:p w14:paraId="5DB09481" w14:textId="579EA535" w:rsidR="000524F2" w:rsidRPr="00AB213E" w:rsidRDefault="000524F2" w:rsidP="00E20AE5">
            <w:pPr>
              <w:jc w:val="left"/>
              <w:rPr>
                <w:rFonts w:cs="Arial"/>
                <w:sz w:val="18"/>
              </w:rPr>
            </w:pPr>
            <w:r w:rsidRPr="00AB213E">
              <w:rPr>
                <w:sz w:val="18"/>
              </w:rPr>
              <w:t>Unión Europea</w:t>
            </w:r>
          </w:p>
        </w:tc>
        <w:tc>
          <w:tcPr>
            <w:tcW w:w="7513" w:type="dxa"/>
          </w:tcPr>
          <w:p w14:paraId="5A3E001D" w14:textId="77777777" w:rsidR="000524F2" w:rsidRPr="00AB213E" w:rsidRDefault="000524F2" w:rsidP="0087315F">
            <w:pPr>
              <w:numPr>
                <w:ilvl w:val="0"/>
                <w:numId w:val="2"/>
              </w:numPr>
              <w:ind w:left="197" w:hanging="251"/>
              <w:jc w:val="left"/>
              <w:rPr>
                <w:rFonts w:cs="Arial"/>
                <w:sz w:val="18"/>
              </w:rPr>
            </w:pPr>
            <w:r w:rsidRPr="00AB213E">
              <w:rPr>
                <w:sz w:val="18"/>
              </w:rPr>
              <w:t>los solicitantes de registro de nuevas variedades de rosal pueden pedir una tasa por extraer y almacenar ADN; se está considerando el mismo procedimiento para los cultivos frutales.</w:t>
            </w:r>
          </w:p>
        </w:tc>
      </w:tr>
      <w:tr w:rsidR="000524F2" w:rsidRPr="00AB213E" w14:paraId="30CA9DE6" w14:textId="77777777" w:rsidTr="0087315F">
        <w:tc>
          <w:tcPr>
            <w:tcW w:w="1384" w:type="dxa"/>
          </w:tcPr>
          <w:p w14:paraId="202F0AA2" w14:textId="77777777" w:rsidR="000524F2" w:rsidRPr="00AB213E" w:rsidRDefault="000524F2" w:rsidP="00E20AE5">
            <w:pPr>
              <w:jc w:val="left"/>
              <w:rPr>
                <w:rFonts w:cs="Arial"/>
                <w:sz w:val="18"/>
              </w:rPr>
            </w:pPr>
            <w:r w:rsidRPr="00AB213E">
              <w:rPr>
                <w:sz w:val="18"/>
              </w:rPr>
              <w:t>Francia</w:t>
            </w:r>
          </w:p>
        </w:tc>
        <w:tc>
          <w:tcPr>
            <w:tcW w:w="7513" w:type="dxa"/>
          </w:tcPr>
          <w:p w14:paraId="47B7AD69" w14:textId="08E815EF" w:rsidR="000524F2" w:rsidRPr="00AB213E" w:rsidRDefault="000524F2" w:rsidP="0087315F">
            <w:pPr>
              <w:numPr>
                <w:ilvl w:val="0"/>
                <w:numId w:val="2"/>
              </w:numPr>
              <w:ind w:left="197" w:hanging="251"/>
              <w:jc w:val="left"/>
              <w:rPr>
                <w:rFonts w:cs="Arial"/>
                <w:sz w:val="18"/>
              </w:rPr>
            </w:pPr>
            <w:r w:rsidRPr="00AB213E">
              <w:rPr>
                <w:sz w:val="18"/>
              </w:rPr>
              <w:t xml:space="preserve">interés en cultivos: </w:t>
            </w:r>
            <w:r w:rsidR="00F871C6" w:rsidRPr="00AB213E">
              <w:rPr>
                <w:sz w:val="18"/>
              </w:rPr>
              <w:t>h</w:t>
            </w:r>
            <w:r w:rsidRPr="00AB213E">
              <w:rPr>
                <w:sz w:val="18"/>
              </w:rPr>
              <w:t>ortensia;</w:t>
            </w:r>
          </w:p>
          <w:p w14:paraId="6C8476B3" w14:textId="77777777" w:rsidR="000524F2" w:rsidRPr="00AB213E" w:rsidRDefault="000524F2" w:rsidP="0087315F">
            <w:pPr>
              <w:numPr>
                <w:ilvl w:val="0"/>
                <w:numId w:val="2"/>
              </w:numPr>
              <w:ind w:left="197" w:hanging="251"/>
              <w:jc w:val="left"/>
              <w:rPr>
                <w:rFonts w:cs="Arial"/>
                <w:sz w:val="18"/>
              </w:rPr>
            </w:pPr>
            <w:r w:rsidRPr="00AB213E">
              <w:rPr>
                <w:sz w:val="18"/>
              </w:rPr>
              <w:t>actualmente se está evaluando un conjunto de marcadores moleculares para variedades de hortensia.</w:t>
            </w:r>
          </w:p>
        </w:tc>
      </w:tr>
      <w:tr w:rsidR="000524F2" w:rsidRPr="00AB213E" w14:paraId="74C1E210" w14:textId="77777777" w:rsidTr="0087315F">
        <w:tc>
          <w:tcPr>
            <w:tcW w:w="1384" w:type="dxa"/>
          </w:tcPr>
          <w:p w14:paraId="6818578B" w14:textId="77777777" w:rsidR="000524F2" w:rsidRPr="00AB213E" w:rsidRDefault="000524F2" w:rsidP="00E20AE5">
            <w:pPr>
              <w:jc w:val="left"/>
              <w:rPr>
                <w:rFonts w:cs="Arial"/>
                <w:sz w:val="18"/>
              </w:rPr>
            </w:pPr>
            <w:r w:rsidRPr="00AB213E">
              <w:rPr>
                <w:sz w:val="18"/>
              </w:rPr>
              <w:t>Países Bajos</w:t>
            </w:r>
          </w:p>
        </w:tc>
        <w:tc>
          <w:tcPr>
            <w:tcW w:w="7513" w:type="dxa"/>
          </w:tcPr>
          <w:p w14:paraId="08E36B48" w14:textId="77777777" w:rsidR="000524F2" w:rsidRPr="00AB213E" w:rsidRDefault="000524F2" w:rsidP="0087315F">
            <w:pPr>
              <w:numPr>
                <w:ilvl w:val="0"/>
                <w:numId w:val="2"/>
              </w:numPr>
              <w:ind w:left="197" w:hanging="251"/>
              <w:jc w:val="left"/>
              <w:rPr>
                <w:rFonts w:cs="Arial"/>
                <w:spacing w:val="-2"/>
                <w:sz w:val="18"/>
              </w:rPr>
            </w:pPr>
            <w:r w:rsidRPr="00AB213E">
              <w:rPr>
                <w:spacing w:val="-2"/>
                <w:sz w:val="18"/>
              </w:rPr>
              <w:t xml:space="preserve">interés en cultivos: </w:t>
            </w:r>
            <w:r w:rsidRPr="00AB213E">
              <w:rPr>
                <w:i/>
                <w:spacing w:val="-2"/>
                <w:sz w:val="18"/>
              </w:rPr>
              <w:t>Chrysanthemum</w:t>
            </w:r>
            <w:r w:rsidRPr="00AB213E">
              <w:rPr>
                <w:spacing w:val="-2"/>
                <w:sz w:val="18"/>
              </w:rPr>
              <w:t xml:space="preserve">, </w:t>
            </w:r>
            <w:r w:rsidRPr="00AB213E">
              <w:rPr>
                <w:i/>
                <w:spacing w:val="-2"/>
                <w:sz w:val="18"/>
              </w:rPr>
              <w:t>Gypsophila, Helleborus</w:t>
            </w:r>
            <w:r w:rsidRPr="00AB213E">
              <w:rPr>
                <w:spacing w:val="-2"/>
                <w:sz w:val="18"/>
              </w:rPr>
              <w:t xml:space="preserve">, </w:t>
            </w:r>
            <w:r w:rsidRPr="00AB213E">
              <w:rPr>
                <w:i/>
                <w:spacing w:val="-2"/>
                <w:sz w:val="18"/>
              </w:rPr>
              <w:t>Lilium, Phalaenopsis</w:t>
            </w:r>
            <w:r w:rsidRPr="00AB213E">
              <w:rPr>
                <w:spacing w:val="-2"/>
                <w:sz w:val="18"/>
              </w:rPr>
              <w:t xml:space="preserve"> y rosal;</w:t>
            </w:r>
          </w:p>
          <w:p w14:paraId="17975F55" w14:textId="6BAA1083" w:rsidR="000524F2" w:rsidRPr="00AB213E" w:rsidRDefault="000524F2" w:rsidP="0087315F">
            <w:pPr>
              <w:numPr>
                <w:ilvl w:val="0"/>
                <w:numId w:val="2"/>
              </w:numPr>
              <w:ind w:left="197" w:hanging="251"/>
              <w:jc w:val="left"/>
              <w:rPr>
                <w:rFonts w:cs="Arial"/>
                <w:sz w:val="18"/>
              </w:rPr>
            </w:pPr>
            <w:r w:rsidRPr="00AB213E">
              <w:rPr>
                <w:sz w:val="18"/>
              </w:rPr>
              <w:t xml:space="preserve">actualmente se está creando una base de datos de ADN de </w:t>
            </w:r>
            <w:r w:rsidRPr="00AB213E">
              <w:rPr>
                <w:i/>
                <w:sz w:val="18"/>
              </w:rPr>
              <w:t>Fraxinus</w:t>
            </w:r>
            <w:r w:rsidRPr="00AB213E">
              <w:rPr>
                <w:sz w:val="18"/>
              </w:rPr>
              <w:t xml:space="preserve"> y </w:t>
            </w:r>
            <w:r w:rsidRPr="00AB213E">
              <w:rPr>
                <w:i/>
                <w:sz w:val="18"/>
              </w:rPr>
              <w:t>Ulmus</w:t>
            </w:r>
            <w:r w:rsidRPr="00AB213E">
              <w:rPr>
                <w:sz w:val="18"/>
              </w:rPr>
              <w:t>;</w:t>
            </w:r>
            <w:r w:rsidR="00365911" w:rsidRPr="00AB213E">
              <w:rPr>
                <w:sz w:val="18"/>
              </w:rPr>
              <w:t xml:space="preserve"> </w:t>
            </w:r>
          </w:p>
          <w:p w14:paraId="2530FFDF" w14:textId="5135DD91" w:rsidR="000524F2" w:rsidRPr="00AB213E" w:rsidRDefault="000524F2" w:rsidP="0087315F">
            <w:pPr>
              <w:numPr>
                <w:ilvl w:val="0"/>
                <w:numId w:val="2"/>
              </w:numPr>
              <w:ind w:left="197" w:hanging="251"/>
              <w:jc w:val="left"/>
              <w:rPr>
                <w:rFonts w:cs="Arial"/>
                <w:sz w:val="18"/>
              </w:rPr>
            </w:pPr>
            <w:r w:rsidRPr="00AB213E">
              <w:rPr>
                <w:sz w:val="18"/>
              </w:rPr>
              <w:t>la información del ADN se utiliza para la identificación varietal;</w:t>
            </w:r>
            <w:r w:rsidR="00365911" w:rsidRPr="00AB213E">
              <w:rPr>
                <w:sz w:val="18"/>
              </w:rPr>
              <w:t xml:space="preserve"> </w:t>
            </w:r>
          </w:p>
          <w:p w14:paraId="63D4C622" w14:textId="4A9E2BE5" w:rsidR="000524F2" w:rsidRPr="00AB213E" w:rsidRDefault="000524F2" w:rsidP="0087315F">
            <w:pPr>
              <w:numPr>
                <w:ilvl w:val="0"/>
                <w:numId w:val="2"/>
              </w:numPr>
              <w:ind w:left="197" w:hanging="251"/>
              <w:jc w:val="left"/>
              <w:rPr>
                <w:rFonts w:cs="Arial"/>
                <w:sz w:val="18"/>
              </w:rPr>
            </w:pPr>
            <w:r w:rsidRPr="00AB213E">
              <w:rPr>
                <w:sz w:val="18"/>
              </w:rPr>
              <w:t>posible elaboración en el futuro de bases de datos con información de ADN de plantas ornamentales</w:t>
            </w:r>
            <w:r w:rsidR="00F871C6" w:rsidRPr="00AB213E">
              <w:rPr>
                <w:sz w:val="18"/>
              </w:rPr>
              <w:t>.</w:t>
            </w:r>
          </w:p>
        </w:tc>
      </w:tr>
    </w:tbl>
    <w:p w14:paraId="4D0A663D" w14:textId="77777777" w:rsidR="000524F2" w:rsidRPr="00AB213E" w:rsidRDefault="000524F2" w:rsidP="000524F2"/>
    <w:p w14:paraId="230117B1" w14:textId="77777777" w:rsidR="000524F2" w:rsidRPr="00AB213E" w:rsidRDefault="000524F2" w:rsidP="000524F2">
      <w:r w:rsidRPr="00AB213E">
        <w:fldChar w:fldCharType="begin"/>
      </w:r>
      <w:r w:rsidRPr="00AB213E">
        <w:instrText xml:space="preserve"> AUTONUM  </w:instrText>
      </w:r>
      <w:r w:rsidRPr="00AB213E">
        <w:fldChar w:fldCharType="end"/>
      </w:r>
      <w:r w:rsidRPr="00AB213E">
        <w:tab/>
        <w:t>El TWO convino en que las posibles iniciativas de la UPOV pueden incluir la elaboración de una orientación sobre la obtención de muestras de ADN, la titularidad del material obtenido y la manera de facilitar el uso de material o información.</w:t>
      </w:r>
    </w:p>
    <w:p w14:paraId="7BF6997E" w14:textId="77777777" w:rsidR="000524F2" w:rsidRPr="00AB213E" w:rsidRDefault="000524F2" w:rsidP="0087315F">
      <w:pPr>
        <w:spacing w:line="360" w:lineRule="auto"/>
        <w:rPr>
          <w:snapToGrid w:val="0"/>
        </w:rPr>
      </w:pPr>
    </w:p>
    <w:p w14:paraId="3E6B7FD1" w14:textId="77777777" w:rsidR="000524F2" w:rsidRPr="00AB213E" w:rsidRDefault="000524F2" w:rsidP="000524F2">
      <w:pPr>
        <w:keepNext/>
        <w:outlineLvl w:val="2"/>
        <w:rPr>
          <w:i/>
          <w:snapToGrid w:val="0"/>
        </w:rPr>
      </w:pPr>
      <w:bookmarkStart w:id="52" w:name="_Toc14980932"/>
      <w:r w:rsidRPr="00AB213E">
        <w:rPr>
          <w:i/>
          <w:snapToGrid w:val="0"/>
        </w:rPr>
        <w:t>Grupo de Trabajo Técnico sobre Hortalizas</w:t>
      </w:r>
      <w:bookmarkEnd w:id="52"/>
    </w:p>
    <w:p w14:paraId="3D13574F" w14:textId="77777777" w:rsidR="000524F2" w:rsidRPr="00AB213E" w:rsidRDefault="000524F2" w:rsidP="000524F2">
      <w:pPr>
        <w:keepNext/>
      </w:pPr>
    </w:p>
    <w:p w14:paraId="2A093822" w14:textId="04861255" w:rsidR="000524F2" w:rsidRPr="00AB213E" w:rsidRDefault="000524F2" w:rsidP="000524F2">
      <w:r w:rsidRPr="00AB213E">
        <w:fldChar w:fldCharType="begin"/>
      </w:r>
      <w:r w:rsidRPr="00AB213E">
        <w:instrText xml:space="preserve"> AUTONUM  </w:instrText>
      </w:r>
      <w:r w:rsidRPr="00AB213E">
        <w:fldChar w:fldCharType="end"/>
      </w:r>
      <w:r w:rsidRPr="00AB213E">
        <w:tab/>
        <w:t>Tras los debates de los subgrupos, los participantes en el TWV facilitaron la información siguiente (véase el párrafo 57 del documento TWV/53/14 “</w:t>
      </w:r>
      <w:r w:rsidRPr="00AB213E">
        <w:rPr>
          <w:i/>
        </w:rPr>
        <w:t>Report</w:t>
      </w:r>
      <w:r w:rsidRPr="00AB213E">
        <w:t>”):</w:t>
      </w:r>
      <w:r w:rsidR="00365911" w:rsidRPr="00AB213E">
        <w:t xml:space="preserve"> </w:t>
      </w:r>
    </w:p>
    <w:p w14:paraId="3EBB404D" w14:textId="77777777" w:rsidR="000524F2" w:rsidRPr="00AB213E" w:rsidRDefault="000524F2" w:rsidP="000524F2"/>
    <w:p w14:paraId="309E9C8B" w14:textId="77777777" w:rsidR="000524F2" w:rsidRPr="00AB213E" w:rsidRDefault="000524F2" w:rsidP="000524F2">
      <w:pPr>
        <w:keepNext/>
        <w:ind w:left="567"/>
        <w:outlineLvl w:val="3"/>
        <w:rPr>
          <w:rFonts w:eastAsiaTheme="minorEastAsia"/>
          <w:u w:val="single"/>
        </w:rPr>
      </w:pPr>
      <w:r w:rsidRPr="00AB213E">
        <w:rPr>
          <w:rFonts w:eastAsiaTheme="minorEastAsia"/>
          <w:u w:val="single"/>
        </w:rPr>
        <w:t>Resumen de cultivos y autoridades que actualmente utilizan (o están desarrollando) técnicas bioquímicas y moleculares en el sector de las hortalizas</w:t>
      </w:r>
    </w:p>
    <w:p w14:paraId="4FE860C7" w14:textId="77777777" w:rsidR="000524F2" w:rsidRPr="00AB213E" w:rsidRDefault="000524F2" w:rsidP="000524F2">
      <w:pPr>
        <w:keepNext/>
        <w:rPr>
          <w:rFonts w:eastAsiaTheme="minorEastAsia"/>
        </w:rPr>
      </w:pPr>
    </w:p>
    <w:tbl>
      <w:tblPr>
        <w:tblStyle w:val="TableGrid21"/>
        <w:tblW w:w="9039" w:type="dxa"/>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85" w:type="dxa"/>
          <w:right w:w="85" w:type="dxa"/>
        </w:tblCellMar>
        <w:tblLook w:val="04A0" w:firstRow="1" w:lastRow="0" w:firstColumn="1" w:lastColumn="0" w:noHBand="0" w:noVBand="1"/>
      </w:tblPr>
      <w:tblGrid>
        <w:gridCol w:w="1560"/>
        <w:gridCol w:w="7479"/>
      </w:tblGrid>
      <w:tr w:rsidR="000524F2" w:rsidRPr="00AB213E" w14:paraId="04CF20B9" w14:textId="77777777" w:rsidTr="0087315F">
        <w:tc>
          <w:tcPr>
            <w:tcW w:w="1560" w:type="dxa"/>
          </w:tcPr>
          <w:p w14:paraId="20D59BCB" w14:textId="77777777" w:rsidR="000524F2" w:rsidRPr="00AB213E" w:rsidRDefault="000524F2" w:rsidP="000524F2">
            <w:pPr>
              <w:keepNext/>
              <w:jc w:val="left"/>
              <w:rPr>
                <w:rFonts w:cs="Arial"/>
                <w:sz w:val="18"/>
                <w:szCs w:val="18"/>
              </w:rPr>
            </w:pPr>
            <w:r w:rsidRPr="00AB213E">
              <w:rPr>
                <w:sz w:val="18"/>
              </w:rPr>
              <w:t>Tomate</w:t>
            </w:r>
          </w:p>
        </w:tc>
        <w:tc>
          <w:tcPr>
            <w:tcW w:w="7479" w:type="dxa"/>
          </w:tcPr>
          <w:p w14:paraId="3DC68AFF" w14:textId="77777777" w:rsidR="000524F2" w:rsidRPr="00AB213E" w:rsidRDefault="000524F2" w:rsidP="000524F2">
            <w:pPr>
              <w:keepNext/>
              <w:jc w:val="left"/>
              <w:rPr>
                <w:rFonts w:cs="Arial"/>
                <w:sz w:val="18"/>
                <w:szCs w:val="18"/>
              </w:rPr>
            </w:pPr>
            <w:r w:rsidRPr="00AB213E">
              <w:rPr>
                <w:sz w:val="18"/>
              </w:rPr>
              <w:t>China, (Francia), (Italia), Países Bajos, República de Corea y Unión Europea</w:t>
            </w:r>
          </w:p>
        </w:tc>
      </w:tr>
      <w:tr w:rsidR="000524F2" w:rsidRPr="00AB213E" w14:paraId="129047EE" w14:textId="77777777" w:rsidTr="0087315F">
        <w:tc>
          <w:tcPr>
            <w:tcW w:w="1560" w:type="dxa"/>
          </w:tcPr>
          <w:p w14:paraId="192702A5" w14:textId="77777777" w:rsidR="000524F2" w:rsidRPr="00AB213E" w:rsidRDefault="000524F2" w:rsidP="000524F2">
            <w:pPr>
              <w:jc w:val="left"/>
              <w:rPr>
                <w:rFonts w:cs="Arial"/>
                <w:sz w:val="18"/>
                <w:szCs w:val="18"/>
              </w:rPr>
            </w:pPr>
            <w:r w:rsidRPr="00AB213E">
              <w:rPr>
                <w:sz w:val="18"/>
              </w:rPr>
              <w:t>Pimiento</w:t>
            </w:r>
          </w:p>
        </w:tc>
        <w:tc>
          <w:tcPr>
            <w:tcW w:w="7479" w:type="dxa"/>
          </w:tcPr>
          <w:p w14:paraId="089D3894" w14:textId="77777777" w:rsidR="000524F2" w:rsidRPr="00AB213E" w:rsidRDefault="000524F2" w:rsidP="000524F2">
            <w:pPr>
              <w:jc w:val="left"/>
              <w:rPr>
                <w:rFonts w:cs="Arial"/>
                <w:sz w:val="18"/>
                <w:szCs w:val="18"/>
              </w:rPr>
            </w:pPr>
            <w:r w:rsidRPr="00AB213E">
              <w:rPr>
                <w:sz w:val="18"/>
              </w:rPr>
              <w:t>China, (Francia) y República de Corea</w:t>
            </w:r>
          </w:p>
        </w:tc>
      </w:tr>
      <w:tr w:rsidR="000524F2" w:rsidRPr="00AB213E" w14:paraId="7C3E318D" w14:textId="77777777" w:rsidTr="0087315F">
        <w:tc>
          <w:tcPr>
            <w:tcW w:w="1560" w:type="dxa"/>
          </w:tcPr>
          <w:p w14:paraId="442437D9" w14:textId="77777777" w:rsidR="000524F2" w:rsidRPr="00AB213E" w:rsidRDefault="000524F2" w:rsidP="000524F2">
            <w:pPr>
              <w:jc w:val="left"/>
              <w:rPr>
                <w:rFonts w:cs="Arial"/>
                <w:sz w:val="18"/>
                <w:szCs w:val="18"/>
              </w:rPr>
            </w:pPr>
            <w:r w:rsidRPr="00AB213E">
              <w:rPr>
                <w:sz w:val="18"/>
              </w:rPr>
              <w:t>Sandía</w:t>
            </w:r>
          </w:p>
        </w:tc>
        <w:tc>
          <w:tcPr>
            <w:tcW w:w="7479" w:type="dxa"/>
          </w:tcPr>
          <w:p w14:paraId="3C7F5720" w14:textId="77777777" w:rsidR="000524F2" w:rsidRPr="00AB213E" w:rsidRDefault="000524F2" w:rsidP="000524F2">
            <w:pPr>
              <w:jc w:val="left"/>
              <w:rPr>
                <w:rFonts w:cs="Arial"/>
                <w:sz w:val="18"/>
                <w:szCs w:val="18"/>
              </w:rPr>
            </w:pPr>
            <w:r w:rsidRPr="00AB213E">
              <w:rPr>
                <w:sz w:val="18"/>
              </w:rPr>
              <w:t>República de Corea</w:t>
            </w:r>
          </w:p>
        </w:tc>
      </w:tr>
      <w:tr w:rsidR="000524F2" w:rsidRPr="00AB213E" w14:paraId="0B86FD86" w14:textId="77777777" w:rsidTr="0087315F">
        <w:tc>
          <w:tcPr>
            <w:tcW w:w="1560" w:type="dxa"/>
          </w:tcPr>
          <w:p w14:paraId="78FFE0A3" w14:textId="77777777" w:rsidR="000524F2" w:rsidRPr="00AB213E" w:rsidRDefault="000524F2" w:rsidP="000524F2">
            <w:pPr>
              <w:jc w:val="left"/>
              <w:rPr>
                <w:rFonts w:cs="Arial"/>
                <w:sz w:val="18"/>
                <w:szCs w:val="18"/>
              </w:rPr>
            </w:pPr>
            <w:r w:rsidRPr="00AB213E">
              <w:rPr>
                <w:sz w:val="18"/>
              </w:rPr>
              <w:t>Melón</w:t>
            </w:r>
          </w:p>
        </w:tc>
        <w:tc>
          <w:tcPr>
            <w:tcW w:w="7479" w:type="dxa"/>
          </w:tcPr>
          <w:p w14:paraId="0B59B525" w14:textId="77777777" w:rsidR="000524F2" w:rsidRPr="00AB213E" w:rsidRDefault="005F10C4" w:rsidP="000524F2">
            <w:pPr>
              <w:jc w:val="left"/>
              <w:rPr>
                <w:rFonts w:cs="Arial"/>
                <w:sz w:val="18"/>
                <w:szCs w:val="18"/>
              </w:rPr>
            </w:pPr>
            <w:r w:rsidRPr="00AB213E">
              <w:rPr>
                <w:sz w:val="18"/>
              </w:rPr>
              <w:t>(Francia) y República de Corea</w:t>
            </w:r>
          </w:p>
        </w:tc>
      </w:tr>
      <w:tr w:rsidR="000524F2" w:rsidRPr="00AB213E" w14:paraId="10E6CCB4" w14:textId="77777777" w:rsidTr="0087315F">
        <w:tc>
          <w:tcPr>
            <w:tcW w:w="1560" w:type="dxa"/>
          </w:tcPr>
          <w:p w14:paraId="54B8B02E" w14:textId="77777777" w:rsidR="000524F2" w:rsidRPr="00AB213E" w:rsidRDefault="000524F2" w:rsidP="000524F2">
            <w:pPr>
              <w:jc w:val="left"/>
              <w:rPr>
                <w:rFonts w:cs="Arial"/>
                <w:sz w:val="18"/>
                <w:szCs w:val="18"/>
              </w:rPr>
            </w:pPr>
            <w:r w:rsidRPr="00AB213E">
              <w:rPr>
                <w:sz w:val="18"/>
              </w:rPr>
              <w:t>Lechuga</w:t>
            </w:r>
          </w:p>
        </w:tc>
        <w:tc>
          <w:tcPr>
            <w:tcW w:w="7479" w:type="dxa"/>
          </w:tcPr>
          <w:p w14:paraId="4C4BBEE2" w14:textId="77777777" w:rsidR="000524F2" w:rsidRPr="00AB213E" w:rsidRDefault="000524F2" w:rsidP="000524F2">
            <w:pPr>
              <w:jc w:val="left"/>
              <w:rPr>
                <w:rFonts w:cs="Arial"/>
                <w:sz w:val="18"/>
                <w:szCs w:val="18"/>
              </w:rPr>
            </w:pPr>
            <w:r w:rsidRPr="00AB213E">
              <w:rPr>
                <w:sz w:val="18"/>
              </w:rPr>
              <w:t>Francia, (Italia), Japón, (Países Bajos) y República de Corea</w:t>
            </w:r>
          </w:p>
        </w:tc>
      </w:tr>
      <w:tr w:rsidR="000524F2" w:rsidRPr="00AB213E" w14:paraId="526FF141" w14:textId="77777777" w:rsidTr="0087315F">
        <w:tc>
          <w:tcPr>
            <w:tcW w:w="1560" w:type="dxa"/>
          </w:tcPr>
          <w:p w14:paraId="0147DEC0" w14:textId="77777777" w:rsidR="000524F2" w:rsidRPr="00AB213E" w:rsidRDefault="000524F2" w:rsidP="000524F2">
            <w:pPr>
              <w:jc w:val="left"/>
              <w:rPr>
                <w:rFonts w:cs="Arial"/>
                <w:sz w:val="18"/>
                <w:szCs w:val="18"/>
              </w:rPr>
            </w:pPr>
            <w:r w:rsidRPr="00AB213E">
              <w:rPr>
                <w:sz w:val="18"/>
              </w:rPr>
              <w:t>Repollo</w:t>
            </w:r>
          </w:p>
        </w:tc>
        <w:tc>
          <w:tcPr>
            <w:tcW w:w="7479" w:type="dxa"/>
          </w:tcPr>
          <w:p w14:paraId="3D39188F" w14:textId="77777777" w:rsidR="000524F2" w:rsidRPr="00AB213E" w:rsidRDefault="000524F2" w:rsidP="000524F2">
            <w:pPr>
              <w:jc w:val="left"/>
              <w:rPr>
                <w:rFonts w:cs="Arial"/>
                <w:sz w:val="18"/>
                <w:szCs w:val="18"/>
              </w:rPr>
            </w:pPr>
            <w:r w:rsidRPr="00AB213E">
              <w:rPr>
                <w:sz w:val="18"/>
              </w:rPr>
              <w:t xml:space="preserve">Países Bajos, República de Corea y Unión Europea </w:t>
            </w:r>
          </w:p>
        </w:tc>
      </w:tr>
      <w:tr w:rsidR="000524F2" w:rsidRPr="00AB213E" w14:paraId="25F18C7B" w14:textId="77777777" w:rsidTr="0087315F">
        <w:tc>
          <w:tcPr>
            <w:tcW w:w="1560" w:type="dxa"/>
          </w:tcPr>
          <w:p w14:paraId="2B871E9C" w14:textId="77777777" w:rsidR="000524F2" w:rsidRPr="00AB213E" w:rsidRDefault="000524F2" w:rsidP="000524F2">
            <w:pPr>
              <w:jc w:val="left"/>
              <w:rPr>
                <w:rFonts w:cs="Arial"/>
                <w:sz w:val="18"/>
                <w:szCs w:val="18"/>
              </w:rPr>
            </w:pPr>
            <w:r w:rsidRPr="00AB213E">
              <w:rPr>
                <w:sz w:val="18"/>
              </w:rPr>
              <w:t>Hongos</w:t>
            </w:r>
          </w:p>
        </w:tc>
        <w:tc>
          <w:tcPr>
            <w:tcW w:w="7479" w:type="dxa"/>
          </w:tcPr>
          <w:p w14:paraId="79AE11E6" w14:textId="77777777" w:rsidR="000524F2" w:rsidRPr="00AB213E" w:rsidRDefault="000524F2" w:rsidP="000524F2">
            <w:pPr>
              <w:jc w:val="left"/>
              <w:rPr>
                <w:rFonts w:cs="Arial"/>
                <w:sz w:val="18"/>
                <w:szCs w:val="18"/>
              </w:rPr>
            </w:pPr>
            <w:r w:rsidRPr="00AB213E">
              <w:rPr>
                <w:sz w:val="18"/>
              </w:rPr>
              <w:t>Japón</w:t>
            </w:r>
          </w:p>
        </w:tc>
      </w:tr>
      <w:tr w:rsidR="000524F2" w:rsidRPr="00AB213E" w14:paraId="0233EB96" w14:textId="77777777" w:rsidTr="0087315F">
        <w:tc>
          <w:tcPr>
            <w:tcW w:w="1560" w:type="dxa"/>
          </w:tcPr>
          <w:p w14:paraId="3EA72220" w14:textId="77777777" w:rsidR="000524F2" w:rsidRPr="00AB213E" w:rsidRDefault="000524F2" w:rsidP="000524F2">
            <w:pPr>
              <w:jc w:val="left"/>
              <w:rPr>
                <w:rFonts w:cs="Arial"/>
                <w:sz w:val="18"/>
                <w:szCs w:val="18"/>
              </w:rPr>
            </w:pPr>
            <w:r w:rsidRPr="00AB213E">
              <w:rPr>
                <w:sz w:val="18"/>
              </w:rPr>
              <w:t>Judía común</w:t>
            </w:r>
          </w:p>
        </w:tc>
        <w:tc>
          <w:tcPr>
            <w:tcW w:w="7479" w:type="dxa"/>
          </w:tcPr>
          <w:p w14:paraId="2CD4FE7E" w14:textId="77777777" w:rsidR="000524F2" w:rsidRPr="00AB213E" w:rsidRDefault="000524F2" w:rsidP="000524F2">
            <w:pPr>
              <w:jc w:val="left"/>
              <w:rPr>
                <w:rFonts w:cs="Arial"/>
                <w:sz w:val="18"/>
                <w:szCs w:val="18"/>
              </w:rPr>
            </w:pPr>
            <w:r w:rsidRPr="00AB213E">
              <w:rPr>
                <w:color w:val="000000"/>
                <w:sz w:val="18"/>
              </w:rPr>
              <w:t>Países Bajos</w:t>
            </w:r>
          </w:p>
        </w:tc>
      </w:tr>
      <w:tr w:rsidR="000524F2" w:rsidRPr="00AB213E" w14:paraId="6936E70E" w14:textId="77777777" w:rsidTr="0087315F">
        <w:tc>
          <w:tcPr>
            <w:tcW w:w="1560" w:type="dxa"/>
          </w:tcPr>
          <w:p w14:paraId="1CE19BBB" w14:textId="77777777" w:rsidR="000524F2" w:rsidRPr="00AB213E" w:rsidRDefault="000524F2" w:rsidP="000524F2">
            <w:pPr>
              <w:jc w:val="left"/>
              <w:rPr>
                <w:rFonts w:cs="Arial"/>
                <w:sz w:val="18"/>
                <w:szCs w:val="18"/>
              </w:rPr>
            </w:pPr>
            <w:r w:rsidRPr="00AB213E">
              <w:rPr>
                <w:sz w:val="18"/>
              </w:rPr>
              <w:t>Guisante</w:t>
            </w:r>
          </w:p>
        </w:tc>
        <w:tc>
          <w:tcPr>
            <w:tcW w:w="7479" w:type="dxa"/>
          </w:tcPr>
          <w:p w14:paraId="16201E4B" w14:textId="77777777" w:rsidR="000524F2" w:rsidRPr="00AB213E" w:rsidRDefault="005F10C4" w:rsidP="000524F2">
            <w:pPr>
              <w:jc w:val="left"/>
              <w:rPr>
                <w:rFonts w:cs="Arial"/>
                <w:sz w:val="18"/>
                <w:szCs w:val="18"/>
              </w:rPr>
            </w:pPr>
            <w:r w:rsidRPr="00AB213E">
              <w:rPr>
                <w:sz w:val="18"/>
              </w:rPr>
              <w:t xml:space="preserve">(Países Bajos) y (Reino Unido) </w:t>
            </w:r>
          </w:p>
        </w:tc>
      </w:tr>
      <w:tr w:rsidR="000524F2" w:rsidRPr="00AB213E" w14:paraId="3177417E" w14:textId="77777777" w:rsidTr="0087315F">
        <w:tc>
          <w:tcPr>
            <w:tcW w:w="1560" w:type="dxa"/>
          </w:tcPr>
          <w:p w14:paraId="7A4AECAF" w14:textId="77777777" w:rsidR="000524F2" w:rsidRPr="00AB213E" w:rsidRDefault="000524F2" w:rsidP="000524F2">
            <w:pPr>
              <w:jc w:val="left"/>
              <w:rPr>
                <w:rFonts w:cs="Arial"/>
                <w:sz w:val="18"/>
                <w:szCs w:val="18"/>
              </w:rPr>
            </w:pPr>
            <w:r w:rsidRPr="00AB213E">
              <w:rPr>
                <w:sz w:val="18"/>
              </w:rPr>
              <w:t>Cebolla</w:t>
            </w:r>
          </w:p>
        </w:tc>
        <w:tc>
          <w:tcPr>
            <w:tcW w:w="7479" w:type="dxa"/>
          </w:tcPr>
          <w:p w14:paraId="2766E54B" w14:textId="77777777" w:rsidR="000524F2" w:rsidRPr="00AB213E" w:rsidRDefault="000524F2" w:rsidP="000524F2">
            <w:pPr>
              <w:jc w:val="left"/>
              <w:rPr>
                <w:rFonts w:cs="Arial"/>
                <w:sz w:val="18"/>
                <w:szCs w:val="18"/>
              </w:rPr>
            </w:pPr>
            <w:r w:rsidRPr="00AB213E">
              <w:rPr>
                <w:color w:val="000000"/>
                <w:sz w:val="18"/>
              </w:rPr>
              <w:t>Países Bajos</w:t>
            </w:r>
          </w:p>
        </w:tc>
      </w:tr>
      <w:tr w:rsidR="000524F2" w:rsidRPr="00AB213E" w14:paraId="4DB94230" w14:textId="77777777" w:rsidTr="0087315F">
        <w:tc>
          <w:tcPr>
            <w:tcW w:w="1560" w:type="dxa"/>
          </w:tcPr>
          <w:p w14:paraId="4718510B" w14:textId="77777777" w:rsidR="000524F2" w:rsidRPr="00AB213E" w:rsidRDefault="000524F2" w:rsidP="000524F2">
            <w:pPr>
              <w:jc w:val="left"/>
              <w:rPr>
                <w:rFonts w:cs="Arial"/>
                <w:sz w:val="18"/>
                <w:szCs w:val="18"/>
              </w:rPr>
            </w:pPr>
            <w:r w:rsidRPr="00AB213E">
              <w:rPr>
                <w:sz w:val="18"/>
              </w:rPr>
              <w:t>Berenjena</w:t>
            </w:r>
          </w:p>
        </w:tc>
        <w:tc>
          <w:tcPr>
            <w:tcW w:w="7479" w:type="dxa"/>
          </w:tcPr>
          <w:p w14:paraId="0AE9FDC6" w14:textId="77777777" w:rsidR="000524F2" w:rsidRPr="00AB213E" w:rsidRDefault="005F10C4" w:rsidP="000524F2">
            <w:pPr>
              <w:jc w:val="left"/>
              <w:rPr>
                <w:rFonts w:cs="Arial"/>
                <w:color w:val="000000"/>
                <w:sz w:val="18"/>
                <w:szCs w:val="18"/>
              </w:rPr>
            </w:pPr>
            <w:r w:rsidRPr="00AB213E">
              <w:rPr>
                <w:color w:val="000000"/>
                <w:sz w:val="18"/>
              </w:rPr>
              <w:t>(China)</w:t>
            </w:r>
          </w:p>
        </w:tc>
      </w:tr>
    </w:tbl>
    <w:p w14:paraId="572CFA30" w14:textId="77777777" w:rsidR="000524F2" w:rsidRPr="00AB213E" w:rsidRDefault="000524F2" w:rsidP="000524F2"/>
    <w:p w14:paraId="7386D99A" w14:textId="77777777" w:rsidR="000524F2" w:rsidRPr="00AB213E" w:rsidRDefault="000524F2" w:rsidP="000524F2">
      <w:pPr>
        <w:keepNext/>
        <w:ind w:left="567"/>
        <w:outlineLvl w:val="3"/>
        <w:rPr>
          <w:rFonts w:eastAsiaTheme="minorEastAsia"/>
          <w:u w:val="single"/>
        </w:rPr>
      </w:pPr>
      <w:r w:rsidRPr="00AB213E">
        <w:rPr>
          <w:rFonts w:eastAsiaTheme="minorEastAsia"/>
          <w:u w:val="single"/>
        </w:rPr>
        <w:lastRenderedPageBreak/>
        <w:t>Resumen de uso actual de las técnicas bioquímicas y moleculares en el sector hortícola</w:t>
      </w:r>
    </w:p>
    <w:p w14:paraId="1756E4CE" w14:textId="77777777" w:rsidR="000524F2" w:rsidRPr="00AB213E" w:rsidRDefault="000524F2" w:rsidP="00FD22B2">
      <w:pPr>
        <w:keepNext/>
        <w:rPr>
          <w:rFonts w:eastAsiaTheme="minorEastAsia"/>
        </w:rPr>
      </w:pPr>
    </w:p>
    <w:tbl>
      <w:tblPr>
        <w:tblStyle w:val="TableGrid21"/>
        <w:tblW w:w="9039" w:type="dxa"/>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85" w:type="dxa"/>
          <w:right w:w="85" w:type="dxa"/>
        </w:tblCellMar>
        <w:tblLook w:val="04A0" w:firstRow="1" w:lastRow="0" w:firstColumn="1" w:lastColumn="0" w:noHBand="0" w:noVBand="1"/>
      </w:tblPr>
      <w:tblGrid>
        <w:gridCol w:w="9039"/>
      </w:tblGrid>
      <w:tr w:rsidR="000524F2" w:rsidRPr="00AB213E" w14:paraId="089B8BED" w14:textId="77777777" w:rsidTr="0087315F">
        <w:tc>
          <w:tcPr>
            <w:tcW w:w="9039" w:type="dxa"/>
          </w:tcPr>
          <w:p w14:paraId="7B94700D" w14:textId="77777777" w:rsidR="000524F2" w:rsidRPr="00AB213E" w:rsidRDefault="000524F2" w:rsidP="000524F2">
            <w:pPr>
              <w:jc w:val="left"/>
              <w:rPr>
                <w:rFonts w:cs="Arial"/>
                <w:sz w:val="18"/>
                <w:szCs w:val="18"/>
                <w:u w:val="single"/>
              </w:rPr>
            </w:pPr>
            <w:r w:rsidRPr="00AB213E">
              <w:rPr>
                <w:sz w:val="18"/>
              </w:rPr>
              <w:t>Uso:</w:t>
            </w:r>
          </w:p>
        </w:tc>
      </w:tr>
      <w:tr w:rsidR="000524F2" w:rsidRPr="00AB213E" w14:paraId="70B27585" w14:textId="77777777" w:rsidTr="0087315F">
        <w:tc>
          <w:tcPr>
            <w:tcW w:w="9039" w:type="dxa"/>
          </w:tcPr>
          <w:p w14:paraId="5253B779" w14:textId="77777777" w:rsidR="000524F2" w:rsidRPr="00AB213E" w:rsidRDefault="000524F2" w:rsidP="000524F2">
            <w:pPr>
              <w:jc w:val="left"/>
              <w:rPr>
                <w:rFonts w:cs="Arial"/>
                <w:sz w:val="18"/>
                <w:szCs w:val="18"/>
              </w:rPr>
            </w:pPr>
            <w:r w:rsidRPr="00AB213E">
              <w:rPr>
                <w:sz w:val="18"/>
              </w:rPr>
              <w:t>Gestión de colecciones de referencia</w:t>
            </w:r>
          </w:p>
        </w:tc>
      </w:tr>
      <w:tr w:rsidR="000524F2" w:rsidRPr="00AB213E" w14:paraId="5F2F66FA" w14:textId="77777777" w:rsidTr="0087315F">
        <w:tc>
          <w:tcPr>
            <w:tcW w:w="9039" w:type="dxa"/>
          </w:tcPr>
          <w:p w14:paraId="095363FC" w14:textId="77777777" w:rsidR="000524F2" w:rsidRPr="00AB213E" w:rsidRDefault="000524F2" w:rsidP="000524F2">
            <w:pPr>
              <w:jc w:val="left"/>
              <w:rPr>
                <w:rFonts w:cs="Arial"/>
                <w:sz w:val="18"/>
                <w:szCs w:val="18"/>
              </w:rPr>
            </w:pPr>
            <w:r w:rsidRPr="00AB213E">
              <w:rPr>
                <w:sz w:val="18"/>
              </w:rPr>
              <w:t>Selección de variedades similares/caracteres de agrupamiento</w:t>
            </w:r>
          </w:p>
        </w:tc>
      </w:tr>
      <w:tr w:rsidR="000524F2" w:rsidRPr="00AB213E" w14:paraId="4CEB7BDD" w14:textId="77777777" w:rsidTr="0087315F">
        <w:tc>
          <w:tcPr>
            <w:tcW w:w="9039" w:type="dxa"/>
          </w:tcPr>
          <w:p w14:paraId="388E7A02" w14:textId="77777777" w:rsidR="000524F2" w:rsidRPr="00AB213E" w:rsidRDefault="000524F2" w:rsidP="000524F2">
            <w:pPr>
              <w:jc w:val="left"/>
              <w:rPr>
                <w:rFonts w:cs="Arial"/>
                <w:sz w:val="18"/>
                <w:szCs w:val="18"/>
              </w:rPr>
            </w:pPr>
            <w:r w:rsidRPr="00AB213E">
              <w:rPr>
                <w:sz w:val="18"/>
              </w:rPr>
              <w:t>Identificación de variedades</w:t>
            </w:r>
          </w:p>
        </w:tc>
      </w:tr>
      <w:tr w:rsidR="000524F2" w:rsidRPr="00AB213E" w14:paraId="500276E9" w14:textId="77777777" w:rsidTr="0087315F">
        <w:tc>
          <w:tcPr>
            <w:tcW w:w="9039" w:type="dxa"/>
          </w:tcPr>
          <w:p w14:paraId="00FB9EA9" w14:textId="77777777" w:rsidR="000524F2" w:rsidRPr="00AB213E" w:rsidRDefault="000524F2" w:rsidP="000524F2">
            <w:pPr>
              <w:jc w:val="left"/>
              <w:rPr>
                <w:rFonts w:cs="Arial"/>
                <w:sz w:val="18"/>
                <w:szCs w:val="18"/>
              </w:rPr>
            </w:pPr>
            <w:r w:rsidRPr="00AB213E">
              <w:rPr>
                <w:sz w:val="18"/>
              </w:rPr>
              <w:t>Observancia o infracción de derechos de propiedad intelectual</w:t>
            </w:r>
          </w:p>
        </w:tc>
      </w:tr>
      <w:tr w:rsidR="000524F2" w:rsidRPr="00AB213E" w14:paraId="405923C7" w14:textId="77777777" w:rsidTr="0087315F">
        <w:tc>
          <w:tcPr>
            <w:tcW w:w="9039" w:type="dxa"/>
          </w:tcPr>
          <w:p w14:paraId="0998A75C" w14:textId="77777777" w:rsidR="000524F2" w:rsidRPr="00AB213E" w:rsidRDefault="000524F2" w:rsidP="000524F2">
            <w:pPr>
              <w:jc w:val="left"/>
              <w:rPr>
                <w:rFonts w:cs="Arial"/>
                <w:sz w:val="18"/>
                <w:szCs w:val="18"/>
              </w:rPr>
            </w:pPr>
            <w:r w:rsidRPr="00AB213E">
              <w:rPr>
                <w:sz w:val="18"/>
              </w:rPr>
              <w:t>Examen de caracteres específicos (p. ej. esterilidad masculina, resistencia a enfermedades: como sustitución o complemento de bioanálisis).</w:t>
            </w:r>
          </w:p>
        </w:tc>
      </w:tr>
      <w:tr w:rsidR="000524F2" w:rsidRPr="00AB213E" w14:paraId="3FC2EE79" w14:textId="77777777" w:rsidTr="0087315F">
        <w:tc>
          <w:tcPr>
            <w:tcW w:w="9039" w:type="dxa"/>
          </w:tcPr>
          <w:p w14:paraId="36BE5B57" w14:textId="77777777" w:rsidR="000524F2" w:rsidRPr="00AB213E" w:rsidRDefault="000524F2" w:rsidP="000524F2">
            <w:pPr>
              <w:jc w:val="left"/>
              <w:rPr>
                <w:rFonts w:cs="Arial"/>
                <w:sz w:val="10"/>
                <w:szCs w:val="18"/>
              </w:rPr>
            </w:pPr>
          </w:p>
        </w:tc>
      </w:tr>
      <w:tr w:rsidR="000524F2" w:rsidRPr="00AB213E" w14:paraId="1B5D262E" w14:textId="77777777" w:rsidTr="0087315F">
        <w:tc>
          <w:tcPr>
            <w:tcW w:w="9039" w:type="dxa"/>
          </w:tcPr>
          <w:p w14:paraId="344377F1" w14:textId="77777777" w:rsidR="000524F2" w:rsidRPr="00AB213E" w:rsidRDefault="000524F2" w:rsidP="000524F2">
            <w:pPr>
              <w:jc w:val="left"/>
              <w:rPr>
                <w:rFonts w:cs="Arial"/>
                <w:sz w:val="18"/>
                <w:szCs w:val="18"/>
                <w:u w:val="single"/>
              </w:rPr>
            </w:pPr>
            <w:r w:rsidRPr="00AB213E">
              <w:rPr>
                <w:sz w:val="18"/>
              </w:rPr>
              <w:t>Técnicas:</w:t>
            </w:r>
          </w:p>
        </w:tc>
      </w:tr>
      <w:tr w:rsidR="000524F2" w:rsidRPr="00AB213E" w14:paraId="75FB8535" w14:textId="77777777" w:rsidTr="0087315F">
        <w:tc>
          <w:tcPr>
            <w:tcW w:w="9039" w:type="dxa"/>
          </w:tcPr>
          <w:p w14:paraId="5F8E6D14" w14:textId="77777777" w:rsidR="000524F2" w:rsidRPr="00AB213E" w:rsidRDefault="000524F2" w:rsidP="000524F2">
            <w:pPr>
              <w:jc w:val="left"/>
              <w:rPr>
                <w:rFonts w:cs="Arial"/>
                <w:sz w:val="18"/>
                <w:szCs w:val="18"/>
              </w:rPr>
            </w:pPr>
            <w:r w:rsidRPr="00AB213E">
              <w:rPr>
                <w:sz w:val="18"/>
              </w:rPr>
              <w:t>SSR</w:t>
            </w:r>
          </w:p>
        </w:tc>
      </w:tr>
      <w:tr w:rsidR="000524F2" w:rsidRPr="00AB213E" w14:paraId="1CC78D45" w14:textId="77777777" w:rsidTr="0087315F">
        <w:tc>
          <w:tcPr>
            <w:tcW w:w="9039" w:type="dxa"/>
          </w:tcPr>
          <w:p w14:paraId="4D324680" w14:textId="77777777" w:rsidR="000524F2" w:rsidRPr="00AB213E" w:rsidRDefault="000524F2" w:rsidP="000524F2">
            <w:pPr>
              <w:jc w:val="left"/>
              <w:rPr>
                <w:rFonts w:cs="Arial"/>
                <w:sz w:val="18"/>
                <w:szCs w:val="18"/>
              </w:rPr>
            </w:pPr>
            <w:r w:rsidRPr="00AB213E">
              <w:rPr>
                <w:sz w:val="18"/>
              </w:rPr>
              <w:t>SNP</w:t>
            </w:r>
          </w:p>
        </w:tc>
      </w:tr>
      <w:tr w:rsidR="000524F2" w:rsidRPr="00AB213E" w14:paraId="7EE244B9" w14:textId="77777777" w:rsidTr="0087315F">
        <w:tc>
          <w:tcPr>
            <w:tcW w:w="9039" w:type="dxa"/>
          </w:tcPr>
          <w:p w14:paraId="2E8351B4" w14:textId="77777777" w:rsidR="000524F2" w:rsidRPr="00AB213E" w:rsidRDefault="000524F2" w:rsidP="000524F2">
            <w:pPr>
              <w:jc w:val="left"/>
              <w:rPr>
                <w:rFonts w:cs="Arial"/>
                <w:sz w:val="18"/>
                <w:szCs w:val="18"/>
              </w:rPr>
            </w:pPr>
            <w:r w:rsidRPr="00AB213E">
              <w:rPr>
                <w:sz w:val="18"/>
              </w:rPr>
              <w:t>Electroforesis (isoenzima)</w:t>
            </w:r>
          </w:p>
        </w:tc>
      </w:tr>
    </w:tbl>
    <w:p w14:paraId="49736158" w14:textId="77777777" w:rsidR="00F13396" w:rsidRPr="00AB213E" w:rsidRDefault="00F13396" w:rsidP="000524F2"/>
    <w:p w14:paraId="6A6A5BC9" w14:textId="77777777" w:rsidR="000524F2" w:rsidRPr="00AB213E" w:rsidRDefault="000524F2" w:rsidP="000524F2">
      <w:pPr>
        <w:keepNext/>
        <w:ind w:left="567"/>
        <w:outlineLvl w:val="3"/>
        <w:rPr>
          <w:rFonts w:eastAsiaTheme="minorEastAsia"/>
          <w:u w:val="single"/>
        </w:rPr>
      </w:pPr>
      <w:r w:rsidRPr="00AB213E">
        <w:rPr>
          <w:rFonts w:eastAsiaTheme="minorEastAsia"/>
          <w:u w:val="single"/>
        </w:rPr>
        <w:t>Resumen de posibles esferas de cooperación en el uso de técnicas bioquímicas y moleculares en el sector hortícola</w:t>
      </w:r>
    </w:p>
    <w:p w14:paraId="0D5020AA" w14:textId="77777777" w:rsidR="000524F2" w:rsidRPr="00AB213E" w:rsidRDefault="000524F2" w:rsidP="000524F2">
      <w:pPr>
        <w:keepNext/>
        <w:rPr>
          <w:rFonts w:eastAsiaTheme="minorEastAsia"/>
        </w:rPr>
      </w:pPr>
      <w:r w:rsidRPr="00AB213E">
        <w:t xml:space="preserve"> </w:t>
      </w:r>
    </w:p>
    <w:tbl>
      <w:tblPr>
        <w:tblStyle w:val="TableGrid21"/>
        <w:tblW w:w="9039" w:type="dxa"/>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tblCellMar>
        <w:tblLook w:val="04A0" w:firstRow="1" w:lastRow="0" w:firstColumn="1" w:lastColumn="0" w:noHBand="0" w:noVBand="1"/>
      </w:tblPr>
      <w:tblGrid>
        <w:gridCol w:w="9039"/>
      </w:tblGrid>
      <w:tr w:rsidR="000524F2" w:rsidRPr="00AB213E" w14:paraId="1DA70E6C" w14:textId="77777777" w:rsidTr="0087315F">
        <w:tc>
          <w:tcPr>
            <w:tcW w:w="9039" w:type="dxa"/>
          </w:tcPr>
          <w:p w14:paraId="5601C9C9" w14:textId="77777777" w:rsidR="000524F2" w:rsidRPr="00AB213E" w:rsidRDefault="000524F2" w:rsidP="000524F2">
            <w:pPr>
              <w:keepNext/>
              <w:jc w:val="left"/>
              <w:rPr>
                <w:rFonts w:cs="Arial"/>
                <w:sz w:val="18"/>
                <w:szCs w:val="18"/>
              </w:rPr>
            </w:pPr>
            <w:r w:rsidRPr="00AB213E">
              <w:rPr>
                <w:sz w:val="18"/>
              </w:rPr>
              <w:t>Fomentar el intercambio de datos y técnicas</w:t>
            </w:r>
          </w:p>
        </w:tc>
      </w:tr>
      <w:tr w:rsidR="000524F2" w:rsidRPr="00AB213E" w14:paraId="4D4AB472" w14:textId="77777777" w:rsidTr="0087315F">
        <w:tc>
          <w:tcPr>
            <w:tcW w:w="9039" w:type="dxa"/>
          </w:tcPr>
          <w:p w14:paraId="2CE0F604" w14:textId="77777777" w:rsidR="000524F2" w:rsidRPr="00AB213E" w:rsidRDefault="000524F2" w:rsidP="000524F2">
            <w:pPr>
              <w:jc w:val="left"/>
              <w:rPr>
                <w:rFonts w:cs="Arial"/>
                <w:sz w:val="18"/>
                <w:szCs w:val="18"/>
              </w:rPr>
            </w:pPr>
            <w:r w:rsidRPr="00AB213E">
              <w:rPr>
                <w:sz w:val="18"/>
              </w:rPr>
              <w:t>Facilitar la cooperación y la formación</w:t>
            </w:r>
          </w:p>
        </w:tc>
      </w:tr>
      <w:tr w:rsidR="000524F2" w:rsidRPr="00AB213E" w14:paraId="0826FFDC" w14:textId="77777777" w:rsidTr="0087315F">
        <w:tc>
          <w:tcPr>
            <w:tcW w:w="9039" w:type="dxa"/>
          </w:tcPr>
          <w:p w14:paraId="45F94DB5" w14:textId="77777777" w:rsidR="000524F2" w:rsidRPr="00AB213E" w:rsidRDefault="000524F2" w:rsidP="000524F2">
            <w:pPr>
              <w:jc w:val="left"/>
              <w:rPr>
                <w:rFonts w:cs="Arial"/>
                <w:sz w:val="18"/>
                <w:szCs w:val="18"/>
              </w:rPr>
            </w:pPr>
            <w:r w:rsidRPr="00AB213E">
              <w:rPr>
                <w:sz w:val="18"/>
              </w:rPr>
              <w:t>Fomentar el intercambio de ADN o conjunto de marcadores (abióticos) y semillas</w:t>
            </w:r>
          </w:p>
        </w:tc>
      </w:tr>
      <w:tr w:rsidR="000524F2" w:rsidRPr="00AB213E" w14:paraId="339A74DE" w14:textId="77777777" w:rsidTr="0087315F">
        <w:tc>
          <w:tcPr>
            <w:tcW w:w="9039" w:type="dxa"/>
          </w:tcPr>
          <w:p w14:paraId="5B324C00" w14:textId="76DCFD99" w:rsidR="000524F2" w:rsidRPr="00AB213E" w:rsidRDefault="000524F2" w:rsidP="000524F2">
            <w:pPr>
              <w:jc w:val="left"/>
              <w:rPr>
                <w:rFonts w:cs="Arial"/>
                <w:sz w:val="18"/>
                <w:szCs w:val="18"/>
              </w:rPr>
            </w:pPr>
            <w:r w:rsidRPr="00AB213E">
              <w:rPr>
                <w:sz w:val="18"/>
              </w:rPr>
              <w:t>Procurar coherencia en el uso de las técnicas basadas en marcadores moleculares entre los miembros de la</w:t>
            </w:r>
            <w:r w:rsidR="00CD68E5" w:rsidRPr="00AB213E">
              <w:rPr>
                <w:sz w:val="18"/>
              </w:rPr>
              <w:t> </w:t>
            </w:r>
            <w:r w:rsidRPr="00AB213E">
              <w:rPr>
                <w:sz w:val="18"/>
              </w:rPr>
              <w:t>UPOV</w:t>
            </w:r>
          </w:p>
        </w:tc>
      </w:tr>
      <w:tr w:rsidR="000524F2" w:rsidRPr="00AB213E" w14:paraId="67F06D1A" w14:textId="77777777" w:rsidTr="0087315F">
        <w:tc>
          <w:tcPr>
            <w:tcW w:w="9039" w:type="dxa"/>
          </w:tcPr>
          <w:p w14:paraId="47822C75" w14:textId="77777777" w:rsidR="000524F2" w:rsidRPr="00AB213E" w:rsidRDefault="000524F2" w:rsidP="000524F2">
            <w:pPr>
              <w:jc w:val="left"/>
              <w:rPr>
                <w:rFonts w:cs="Arial"/>
                <w:sz w:val="18"/>
                <w:szCs w:val="18"/>
              </w:rPr>
            </w:pPr>
            <w:r w:rsidRPr="00AB213E">
              <w:rPr>
                <w:sz w:val="18"/>
              </w:rPr>
              <w:t>Elegir un coordinador de técnicas moleculares en el examen DHE para cada miembro de la UPOV y publicar esta información en el sitio web de la UPOV</w:t>
            </w:r>
          </w:p>
        </w:tc>
      </w:tr>
      <w:tr w:rsidR="000524F2" w:rsidRPr="00AB213E" w14:paraId="5F0D146D" w14:textId="77777777" w:rsidTr="0087315F">
        <w:tc>
          <w:tcPr>
            <w:tcW w:w="9039" w:type="dxa"/>
          </w:tcPr>
          <w:p w14:paraId="0D966E2B" w14:textId="77777777" w:rsidR="000524F2" w:rsidRPr="00AB213E" w:rsidRDefault="000524F2" w:rsidP="000524F2">
            <w:pPr>
              <w:jc w:val="left"/>
              <w:rPr>
                <w:rFonts w:cs="Arial"/>
                <w:sz w:val="18"/>
                <w:szCs w:val="18"/>
              </w:rPr>
            </w:pPr>
            <w:r w:rsidRPr="00AB213E">
              <w:rPr>
                <w:sz w:val="18"/>
              </w:rPr>
              <w:t>Elaborar orientación sobre la obtención de muestras de ADN y la titularidad del material intercambiado (confidencialidad)</w:t>
            </w:r>
          </w:p>
        </w:tc>
      </w:tr>
      <w:tr w:rsidR="000524F2" w:rsidRPr="00AB213E" w14:paraId="024C783D" w14:textId="77777777" w:rsidTr="0087315F">
        <w:tc>
          <w:tcPr>
            <w:tcW w:w="9039" w:type="dxa"/>
          </w:tcPr>
          <w:p w14:paraId="13D58B44" w14:textId="77777777" w:rsidR="000524F2" w:rsidRPr="00AB213E" w:rsidRDefault="000524F2" w:rsidP="000524F2">
            <w:pPr>
              <w:jc w:val="left"/>
              <w:rPr>
                <w:rFonts w:cs="Arial"/>
                <w:sz w:val="18"/>
                <w:szCs w:val="18"/>
              </w:rPr>
            </w:pPr>
            <w:r w:rsidRPr="00AB213E">
              <w:rPr>
                <w:sz w:val="18"/>
              </w:rPr>
              <w:t>Actualizar la orientación sobre la manera de utilizar la información y de intercambiar material de ADN</w:t>
            </w:r>
          </w:p>
        </w:tc>
      </w:tr>
      <w:tr w:rsidR="000524F2" w:rsidRPr="00AB213E" w14:paraId="79A39D44" w14:textId="77777777" w:rsidTr="0087315F">
        <w:trPr>
          <w:trHeight w:val="156"/>
        </w:trPr>
        <w:tc>
          <w:tcPr>
            <w:tcW w:w="9039" w:type="dxa"/>
          </w:tcPr>
          <w:p w14:paraId="4AAD690B" w14:textId="2C999951" w:rsidR="000524F2" w:rsidRPr="00AB213E" w:rsidRDefault="000524F2" w:rsidP="000524F2">
            <w:pPr>
              <w:jc w:val="left"/>
              <w:rPr>
                <w:rFonts w:cs="Arial"/>
                <w:sz w:val="18"/>
                <w:szCs w:val="18"/>
              </w:rPr>
            </w:pPr>
            <w:r w:rsidRPr="00AB213E">
              <w:rPr>
                <w:sz w:val="18"/>
              </w:rPr>
              <w:t>Estudiar la posibilidad de crear una base de datos de ADN “de la UPOV” y un conjunto de marcadores “de</w:t>
            </w:r>
            <w:r w:rsidR="00673B6F" w:rsidRPr="00AB213E">
              <w:rPr>
                <w:sz w:val="18"/>
              </w:rPr>
              <w:t> </w:t>
            </w:r>
            <w:r w:rsidRPr="00AB213E">
              <w:rPr>
                <w:sz w:val="18"/>
              </w:rPr>
              <w:t>la</w:t>
            </w:r>
            <w:r w:rsidR="00673B6F" w:rsidRPr="00AB213E">
              <w:rPr>
                <w:sz w:val="18"/>
              </w:rPr>
              <w:t> </w:t>
            </w:r>
            <w:r w:rsidRPr="00AB213E">
              <w:rPr>
                <w:sz w:val="18"/>
              </w:rPr>
              <w:t>UPOV”</w:t>
            </w:r>
          </w:p>
        </w:tc>
      </w:tr>
      <w:tr w:rsidR="000524F2" w:rsidRPr="00AB213E" w14:paraId="5357A83D" w14:textId="77777777" w:rsidTr="0087315F">
        <w:tc>
          <w:tcPr>
            <w:tcW w:w="9039" w:type="dxa"/>
          </w:tcPr>
          <w:p w14:paraId="14D53B7B" w14:textId="77777777" w:rsidR="000524F2" w:rsidRPr="00AB213E" w:rsidRDefault="000524F2" w:rsidP="000524F2">
            <w:pPr>
              <w:jc w:val="left"/>
              <w:rPr>
                <w:rFonts w:cs="Arial"/>
                <w:sz w:val="18"/>
                <w:szCs w:val="18"/>
              </w:rPr>
            </w:pPr>
            <w:r w:rsidRPr="00AB213E">
              <w:rPr>
                <w:sz w:val="18"/>
              </w:rPr>
              <w:t>Elaborar orientación o formación para tribunales de justicia especializados o para expertos</w:t>
            </w:r>
          </w:p>
        </w:tc>
      </w:tr>
      <w:tr w:rsidR="000524F2" w:rsidRPr="00AB213E" w14:paraId="330F3164" w14:textId="77777777" w:rsidTr="0087315F">
        <w:tc>
          <w:tcPr>
            <w:tcW w:w="9039" w:type="dxa"/>
          </w:tcPr>
          <w:p w14:paraId="64DDFBBB" w14:textId="77777777" w:rsidR="000524F2" w:rsidRPr="00AB213E" w:rsidRDefault="000524F2" w:rsidP="000524F2">
            <w:pPr>
              <w:jc w:val="left"/>
              <w:rPr>
                <w:rFonts w:cs="Arial"/>
                <w:sz w:val="18"/>
                <w:szCs w:val="18"/>
              </w:rPr>
            </w:pPr>
            <w:r w:rsidRPr="00AB213E">
              <w:rPr>
                <w:sz w:val="18"/>
              </w:rPr>
              <w:t>Organizar ensayos comparativos (p. ej. el proyecto Harmores)</w:t>
            </w:r>
          </w:p>
        </w:tc>
      </w:tr>
      <w:tr w:rsidR="000524F2" w:rsidRPr="00AB213E" w14:paraId="715C6DD2" w14:textId="77777777" w:rsidTr="0087315F">
        <w:tc>
          <w:tcPr>
            <w:tcW w:w="9039" w:type="dxa"/>
          </w:tcPr>
          <w:p w14:paraId="68E697DA" w14:textId="77777777" w:rsidR="000524F2" w:rsidRPr="00AB213E" w:rsidRDefault="000524F2" w:rsidP="000524F2">
            <w:pPr>
              <w:jc w:val="left"/>
              <w:rPr>
                <w:rFonts w:cs="Arial"/>
                <w:sz w:val="18"/>
                <w:szCs w:val="18"/>
              </w:rPr>
            </w:pPr>
            <w:r w:rsidRPr="00AB213E">
              <w:rPr>
                <w:sz w:val="18"/>
              </w:rPr>
              <w:t>Fomentar y promover la labor del BMT como plataforma de mejora de la cooperación y alentar a los miembros a participar.</w:t>
            </w:r>
          </w:p>
        </w:tc>
      </w:tr>
      <w:tr w:rsidR="000524F2" w:rsidRPr="00AB213E" w14:paraId="2095B4F9" w14:textId="77777777" w:rsidTr="0087315F">
        <w:tc>
          <w:tcPr>
            <w:tcW w:w="9039" w:type="dxa"/>
          </w:tcPr>
          <w:p w14:paraId="01EDF326" w14:textId="77777777" w:rsidR="000524F2" w:rsidRPr="00AB213E" w:rsidRDefault="000524F2" w:rsidP="000524F2">
            <w:pPr>
              <w:jc w:val="left"/>
              <w:rPr>
                <w:rFonts w:cs="Arial"/>
                <w:sz w:val="18"/>
                <w:szCs w:val="18"/>
              </w:rPr>
            </w:pPr>
            <w:r w:rsidRPr="00AB213E">
              <w:rPr>
                <w:sz w:val="18"/>
              </w:rPr>
              <w:t>Fomentar y mejorar la cooperación con los obtentores y sus representantes</w:t>
            </w:r>
          </w:p>
        </w:tc>
      </w:tr>
    </w:tbl>
    <w:p w14:paraId="2A4C88D5" w14:textId="087AEC21" w:rsidR="00673B6F" w:rsidRPr="00AB213E" w:rsidRDefault="00673B6F" w:rsidP="000524F2">
      <w:pPr>
        <w:spacing w:line="360" w:lineRule="auto"/>
      </w:pPr>
    </w:p>
    <w:p w14:paraId="552A0BB9" w14:textId="77777777" w:rsidR="000524F2" w:rsidRPr="00AB213E" w:rsidRDefault="000524F2" w:rsidP="000524F2">
      <w:pPr>
        <w:keepNext/>
        <w:outlineLvl w:val="2"/>
        <w:rPr>
          <w:i/>
          <w:snapToGrid w:val="0"/>
        </w:rPr>
      </w:pPr>
      <w:bookmarkStart w:id="53" w:name="_Toc14980933"/>
      <w:r w:rsidRPr="00AB213E">
        <w:rPr>
          <w:i/>
          <w:snapToGrid w:val="0"/>
        </w:rPr>
        <w:t>Grupo de Trabajo Técnico sobre Plantas Frutales</w:t>
      </w:r>
      <w:bookmarkEnd w:id="53"/>
    </w:p>
    <w:p w14:paraId="4910A8D3" w14:textId="77777777" w:rsidR="000524F2" w:rsidRPr="00AB213E" w:rsidRDefault="000524F2" w:rsidP="000524F2">
      <w:pPr>
        <w:keepNext/>
      </w:pPr>
    </w:p>
    <w:p w14:paraId="1F2980B8" w14:textId="332128BA" w:rsidR="000524F2" w:rsidRPr="00AB213E" w:rsidRDefault="000524F2" w:rsidP="000524F2">
      <w:r w:rsidRPr="00AB213E">
        <w:fldChar w:fldCharType="begin"/>
      </w:r>
      <w:r w:rsidRPr="00AB213E">
        <w:instrText xml:space="preserve"> AUTONUM  </w:instrText>
      </w:r>
      <w:r w:rsidRPr="00AB213E">
        <w:fldChar w:fldCharType="end"/>
      </w:r>
      <w:r w:rsidRPr="00AB213E">
        <w:tab/>
        <w:t>Tras los debates de los subgrupos, los participantes en el TWF facilitaron la información siguiente (véase el párrafo 75 del documento TWF/50/13 “</w:t>
      </w:r>
      <w:r w:rsidRPr="00AB213E">
        <w:rPr>
          <w:i/>
        </w:rPr>
        <w:t>Report</w:t>
      </w:r>
      <w:r w:rsidRPr="00AB213E">
        <w:t>”):</w:t>
      </w:r>
      <w:r w:rsidR="00365911" w:rsidRPr="00AB213E">
        <w:t xml:space="preserve"> </w:t>
      </w:r>
    </w:p>
    <w:p w14:paraId="163BD30F" w14:textId="77777777" w:rsidR="000524F2" w:rsidRPr="00AB213E" w:rsidRDefault="000524F2" w:rsidP="000524F2"/>
    <w:p w14:paraId="101CB37B" w14:textId="77777777" w:rsidR="000524F2" w:rsidRPr="00AB213E" w:rsidRDefault="000524F2" w:rsidP="000524F2">
      <w:pPr>
        <w:keepNext/>
        <w:ind w:left="567"/>
        <w:outlineLvl w:val="3"/>
        <w:rPr>
          <w:rFonts w:eastAsiaTheme="minorEastAsia"/>
          <w:u w:val="single"/>
        </w:rPr>
      </w:pPr>
      <w:r w:rsidRPr="00AB213E">
        <w:rPr>
          <w:rFonts w:eastAsiaTheme="minorEastAsia"/>
          <w:u w:val="single"/>
        </w:rPr>
        <w:t>Resumen de cultivos y autoridades que actualmente utilizan técnicas bioquímicas y moleculares en el sector de las plantas frutales</w:t>
      </w:r>
    </w:p>
    <w:p w14:paraId="381E1EAC" w14:textId="77777777" w:rsidR="000524F2" w:rsidRPr="00AB213E" w:rsidRDefault="000524F2" w:rsidP="000524F2">
      <w:pPr>
        <w:keepNext/>
        <w:ind w:left="567"/>
        <w:outlineLvl w:val="3"/>
        <w:rPr>
          <w:rFonts w:eastAsiaTheme="minorEastAsia"/>
          <w:sz w:val="16"/>
          <w:u w:val="single"/>
        </w:rPr>
      </w:pPr>
    </w:p>
    <w:tbl>
      <w:tblPr>
        <w:tblW w:w="9039" w:type="dxa"/>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tblCellMar>
        <w:tblLook w:val="04A0" w:firstRow="1" w:lastRow="0" w:firstColumn="1" w:lastColumn="0" w:noHBand="0" w:noVBand="1"/>
      </w:tblPr>
      <w:tblGrid>
        <w:gridCol w:w="1843"/>
        <w:gridCol w:w="7196"/>
      </w:tblGrid>
      <w:tr w:rsidR="000524F2" w:rsidRPr="00AB213E" w14:paraId="09FB3518" w14:textId="77777777" w:rsidTr="001D597D">
        <w:tc>
          <w:tcPr>
            <w:tcW w:w="1843" w:type="dxa"/>
          </w:tcPr>
          <w:p w14:paraId="768B6DAB" w14:textId="2FC07947" w:rsidR="000524F2" w:rsidRPr="00AB213E" w:rsidRDefault="001524DA" w:rsidP="001D597D">
            <w:pPr>
              <w:keepNext/>
              <w:rPr>
                <w:sz w:val="18"/>
              </w:rPr>
            </w:pPr>
            <w:r w:rsidRPr="00AB213E">
              <w:rPr>
                <w:sz w:val="18"/>
              </w:rPr>
              <w:t>República Checa</w:t>
            </w:r>
          </w:p>
        </w:tc>
        <w:tc>
          <w:tcPr>
            <w:tcW w:w="7196" w:type="dxa"/>
          </w:tcPr>
          <w:p w14:paraId="5DFB3A5F" w14:textId="77777777" w:rsidR="000524F2" w:rsidRPr="00AB213E" w:rsidRDefault="000524F2" w:rsidP="001D597D">
            <w:pPr>
              <w:keepNext/>
              <w:rPr>
                <w:sz w:val="18"/>
              </w:rPr>
            </w:pPr>
            <w:r w:rsidRPr="00AB213E">
              <w:rPr>
                <w:sz w:val="18"/>
              </w:rPr>
              <w:t>Vid</w:t>
            </w:r>
          </w:p>
        </w:tc>
      </w:tr>
      <w:tr w:rsidR="000524F2" w:rsidRPr="00AB213E" w14:paraId="6A7697D3" w14:textId="77777777" w:rsidTr="001D597D">
        <w:tc>
          <w:tcPr>
            <w:tcW w:w="1843" w:type="dxa"/>
          </w:tcPr>
          <w:p w14:paraId="05308063" w14:textId="77777777" w:rsidR="000524F2" w:rsidRPr="00AB213E" w:rsidRDefault="000524F2" w:rsidP="001D597D">
            <w:pPr>
              <w:keepNext/>
              <w:rPr>
                <w:sz w:val="18"/>
              </w:rPr>
            </w:pPr>
            <w:r w:rsidRPr="00AB213E">
              <w:rPr>
                <w:sz w:val="18"/>
              </w:rPr>
              <w:t>Francia</w:t>
            </w:r>
          </w:p>
        </w:tc>
        <w:tc>
          <w:tcPr>
            <w:tcW w:w="7196" w:type="dxa"/>
          </w:tcPr>
          <w:p w14:paraId="30B9FEF4" w14:textId="77777777" w:rsidR="000524F2" w:rsidRPr="00AB213E" w:rsidRDefault="000524F2" w:rsidP="001D597D">
            <w:pPr>
              <w:keepNext/>
              <w:rPr>
                <w:sz w:val="18"/>
              </w:rPr>
            </w:pPr>
            <w:r w:rsidRPr="00AB213E">
              <w:rPr>
                <w:sz w:val="18"/>
              </w:rPr>
              <w:t>Manzano, durazno/melocotonero, peral, cerezo dulce, albaricoquero y ciruelo japonés</w:t>
            </w:r>
          </w:p>
        </w:tc>
      </w:tr>
      <w:tr w:rsidR="000524F2" w:rsidRPr="00AB213E" w14:paraId="20ACB34B" w14:textId="77777777" w:rsidTr="001D597D">
        <w:tc>
          <w:tcPr>
            <w:tcW w:w="1843" w:type="dxa"/>
          </w:tcPr>
          <w:p w14:paraId="62AB7AE7" w14:textId="77777777" w:rsidR="000524F2" w:rsidRPr="00AB213E" w:rsidRDefault="000524F2" w:rsidP="001D597D">
            <w:pPr>
              <w:keepNext/>
              <w:rPr>
                <w:sz w:val="18"/>
              </w:rPr>
            </w:pPr>
            <w:r w:rsidRPr="00AB213E">
              <w:rPr>
                <w:sz w:val="18"/>
              </w:rPr>
              <w:t>Alemania</w:t>
            </w:r>
          </w:p>
        </w:tc>
        <w:tc>
          <w:tcPr>
            <w:tcW w:w="7196" w:type="dxa"/>
          </w:tcPr>
          <w:p w14:paraId="6796D66B" w14:textId="77777777" w:rsidR="000524F2" w:rsidRPr="00AB213E" w:rsidRDefault="000524F2" w:rsidP="001D597D">
            <w:pPr>
              <w:keepNext/>
              <w:rPr>
                <w:sz w:val="18"/>
              </w:rPr>
            </w:pPr>
            <w:r w:rsidRPr="00AB213E">
              <w:rPr>
                <w:sz w:val="18"/>
              </w:rPr>
              <w:t>Peral, manzano, fresa/frutilla, cerezo dulce y cerezo ácido/guindo/cerezo Duke</w:t>
            </w:r>
          </w:p>
        </w:tc>
      </w:tr>
      <w:tr w:rsidR="000524F2" w:rsidRPr="00AB213E" w14:paraId="070A4172" w14:textId="77777777" w:rsidTr="001D597D">
        <w:tc>
          <w:tcPr>
            <w:tcW w:w="1843" w:type="dxa"/>
          </w:tcPr>
          <w:p w14:paraId="1C6717B8" w14:textId="77777777" w:rsidR="000524F2" w:rsidRPr="00AB213E" w:rsidRDefault="000524F2" w:rsidP="001D597D">
            <w:pPr>
              <w:rPr>
                <w:sz w:val="18"/>
              </w:rPr>
            </w:pPr>
            <w:r w:rsidRPr="00AB213E">
              <w:rPr>
                <w:sz w:val="18"/>
              </w:rPr>
              <w:t>República de Corea</w:t>
            </w:r>
          </w:p>
        </w:tc>
        <w:tc>
          <w:tcPr>
            <w:tcW w:w="7196" w:type="dxa"/>
          </w:tcPr>
          <w:p w14:paraId="3A05AEA8" w14:textId="77777777" w:rsidR="000524F2" w:rsidRPr="00AB213E" w:rsidRDefault="000524F2" w:rsidP="001D597D">
            <w:pPr>
              <w:rPr>
                <w:sz w:val="18"/>
              </w:rPr>
            </w:pPr>
            <w:r w:rsidRPr="00AB213E">
              <w:rPr>
                <w:sz w:val="18"/>
              </w:rPr>
              <w:t>Manzano, Vid, durazno/melocotonero, peral y fresa/frutilla</w:t>
            </w:r>
          </w:p>
        </w:tc>
      </w:tr>
      <w:tr w:rsidR="000524F2" w:rsidRPr="00AB213E" w14:paraId="61EAC053" w14:textId="77777777" w:rsidTr="001D597D">
        <w:tc>
          <w:tcPr>
            <w:tcW w:w="1843" w:type="dxa"/>
          </w:tcPr>
          <w:p w14:paraId="2F7D60CC" w14:textId="77777777" w:rsidR="000524F2" w:rsidRPr="00AB213E" w:rsidRDefault="000524F2" w:rsidP="001D597D">
            <w:pPr>
              <w:rPr>
                <w:sz w:val="18"/>
              </w:rPr>
            </w:pPr>
            <w:r w:rsidRPr="00AB213E">
              <w:rPr>
                <w:sz w:val="18"/>
              </w:rPr>
              <w:t>Marruecos</w:t>
            </w:r>
          </w:p>
        </w:tc>
        <w:tc>
          <w:tcPr>
            <w:tcW w:w="7196" w:type="dxa"/>
          </w:tcPr>
          <w:p w14:paraId="77F7364B" w14:textId="77777777" w:rsidR="000524F2" w:rsidRPr="00AB213E" w:rsidRDefault="000524F2" w:rsidP="001D597D">
            <w:pPr>
              <w:rPr>
                <w:sz w:val="18"/>
              </w:rPr>
            </w:pPr>
            <w:r w:rsidRPr="00AB213E">
              <w:rPr>
                <w:sz w:val="18"/>
              </w:rPr>
              <w:t>Cítricos y palma datilera</w:t>
            </w:r>
          </w:p>
        </w:tc>
      </w:tr>
      <w:tr w:rsidR="000524F2" w:rsidRPr="00AB213E" w14:paraId="435B5D56" w14:textId="77777777" w:rsidTr="001D597D">
        <w:tc>
          <w:tcPr>
            <w:tcW w:w="1843" w:type="dxa"/>
          </w:tcPr>
          <w:p w14:paraId="05E10B58" w14:textId="77777777" w:rsidR="000524F2" w:rsidRPr="00AB213E" w:rsidRDefault="000524F2" w:rsidP="001D597D">
            <w:pPr>
              <w:rPr>
                <w:sz w:val="18"/>
              </w:rPr>
            </w:pPr>
            <w:r w:rsidRPr="00AB213E">
              <w:rPr>
                <w:sz w:val="18"/>
              </w:rPr>
              <w:t>Italia</w:t>
            </w:r>
          </w:p>
        </w:tc>
        <w:tc>
          <w:tcPr>
            <w:tcW w:w="7196" w:type="dxa"/>
          </w:tcPr>
          <w:p w14:paraId="257CE49F" w14:textId="77777777" w:rsidR="000524F2" w:rsidRPr="00AB213E" w:rsidRDefault="000524F2" w:rsidP="001D597D">
            <w:pPr>
              <w:rPr>
                <w:sz w:val="18"/>
              </w:rPr>
            </w:pPr>
            <w:r w:rsidRPr="00AB213E">
              <w:rPr>
                <w:sz w:val="18"/>
              </w:rPr>
              <w:t>Vid</w:t>
            </w:r>
          </w:p>
        </w:tc>
      </w:tr>
      <w:tr w:rsidR="000524F2" w:rsidRPr="00AB213E" w14:paraId="71DD7177" w14:textId="77777777" w:rsidTr="001D597D">
        <w:tc>
          <w:tcPr>
            <w:tcW w:w="1843" w:type="dxa"/>
          </w:tcPr>
          <w:p w14:paraId="23188137" w14:textId="77777777" w:rsidR="000524F2" w:rsidRPr="00AB213E" w:rsidRDefault="000524F2" w:rsidP="001D597D">
            <w:pPr>
              <w:rPr>
                <w:sz w:val="18"/>
              </w:rPr>
            </w:pPr>
            <w:r w:rsidRPr="00AB213E">
              <w:rPr>
                <w:sz w:val="18"/>
              </w:rPr>
              <w:t>Hungría</w:t>
            </w:r>
          </w:p>
        </w:tc>
        <w:tc>
          <w:tcPr>
            <w:tcW w:w="7196" w:type="dxa"/>
          </w:tcPr>
          <w:p w14:paraId="7E21CDB4" w14:textId="77777777" w:rsidR="000524F2" w:rsidRPr="00AB213E" w:rsidRDefault="000524F2" w:rsidP="001D597D">
            <w:pPr>
              <w:rPr>
                <w:sz w:val="18"/>
              </w:rPr>
            </w:pPr>
            <w:r w:rsidRPr="00AB213E">
              <w:rPr>
                <w:sz w:val="18"/>
              </w:rPr>
              <w:t xml:space="preserve">Vid, durazno/melocotonero, cerezo, cerezo ácido/guindo/cerezo Duke, albaricoquero y ciruelo </w:t>
            </w:r>
          </w:p>
        </w:tc>
      </w:tr>
      <w:tr w:rsidR="000524F2" w:rsidRPr="00AB213E" w14:paraId="72D96565" w14:textId="77777777" w:rsidTr="001D597D">
        <w:tc>
          <w:tcPr>
            <w:tcW w:w="1843" w:type="dxa"/>
          </w:tcPr>
          <w:p w14:paraId="5756E4D4" w14:textId="77777777" w:rsidR="000524F2" w:rsidRPr="00AB213E" w:rsidRDefault="000524F2" w:rsidP="001D597D">
            <w:pPr>
              <w:rPr>
                <w:sz w:val="18"/>
              </w:rPr>
            </w:pPr>
            <w:r w:rsidRPr="00AB213E">
              <w:rPr>
                <w:sz w:val="18"/>
              </w:rPr>
              <w:t>España</w:t>
            </w:r>
          </w:p>
        </w:tc>
        <w:tc>
          <w:tcPr>
            <w:tcW w:w="7196" w:type="dxa"/>
          </w:tcPr>
          <w:p w14:paraId="3B9589EF" w14:textId="77777777" w:rsidR="000524F2" w:rsidRPr="00AB213E" w:rsidRDefault="000524F2" w:rsidP="001D597D">
            <w:pPr>
              <w:rPr>
                <w:sz w:val="18"/>
              </w:rPr>
            </w:pPr>
            <w:r w:rsidRPr="00AB213E">
              <w:rPr>
                <w:sz w:val="18"/>
              </w:rPr>
              <w:t xml:space="preserve">Almendra, albaricoquero, aguacate, platanera, chirimoyo, cítricos, higuera, vid, avellano, mango, durazno/melocotonero, peral, piña, fresa/frutilla, cerezo dulce y nuez </w:t>
            </w:r>
          </w:p>
        </w:tc>
      </w:tr>
      <w:tr w:rsidR="000524F2" w:rsidRPr="00AB213E" w14:paraId="30F32E03" w14:textId="77777777" w:rsidTr="001D597D">
        <w:tc>
          <w:tcPr>
            <w:tcW w:w="1843" w:type="dxa"/>
          </w:tcPr>
          <w:p w14:paraId="1913D026" w14:textId="77777777" w:rsidR="000524F2" w:rsidRPr="00AB213E" w:rsidRDefault="000524F2" w:rsidP="001D597D">
            <w:pPr>
              <w:rPr>
                <w:sz w:val="18"/>
              </w:rPr>
            </w:pPr>
            <w:r w:rsidRPr="00AB213E">
              <w:rPr>
                <w:sz w:val="18"/>
              </w:rPr>
              <w:t>Japón</w:t>
            </w:r>
          </w:p>
        </w:tc>
        <w:tc>
          <w:tcPr>
            <w:tcW w:w="7196" w:type="dxa"/>
          </w:tcPr>
          <w:p w14:paraId="28251068" w14:textId="77777777" w:rsidR="000524F2" w:rsidRPr="00AB213E" w:rsidRDefault="000524F2" w:rsidP="001D597D">
            <w:pPr>
              <w:rPr>
                <w:sz w:val="18"/>
              </w:rPr>
            </w:pPr>
            <w:r w:rsidRPr="00AB213E">
              <w:rPr>
                <w:sz w:val="18"/>
              </w:rPr>
              <w:t>Manzano, cítricos, piña, peral japonés, cerezo dulce, fresa/frutilla y vid</w:t>
            </w:r>
          </w:p>
        </w:tc>
      </w:tr>
    </w:tbl>
    <w:p w14:paraId="7C3906D2" w14:textId="77777777" w:rsidR="000524F2" w:rsidRPr="00AB213E" w:rsidRDefault="000524F2" w:rsidP="001D597D">
      <w:pPr>
        <w:rPr>
          <w:rFonts w:eastAsiaTheme="minorEastAsia"/>
        </w:rPr>
      </w:pPr>
    </w:p>
    <w:p w14:paraId="32C7AF69" w14:textId="77777777" w:rsidR="000524F2" w:rsidRPr="00AB213E" w:rsidRDefault="000524F2" w:rsidP="000524F2">
      <w:pPr>
        <w:keepNext/>
        <w:ind w:left="567"/>
        <w:outlineLvl w:val="3"/>
        <w:rPr>
          <w:rFonts w:eastAsiaTheme="minorEastAsia"/>
          <w:u w:val="single"/>
        </w:rPr>
      </w:pPr>
      <w:r w:rsidRPr="00AB213E">
        <w:rPr>
          <w:rFonts w:eastAsiaTheme="minorEastAsia"/>
          <w:u w:val="single"/>
        </w:rPr>
        <w:t>Resumen de uso actual de las técnicas bioquímicas y moleculares en el sector de las plantas frutales</w:t>
      </w:r>
    </w:p>
    <w:p w14:paraId="31A11235" w14:textId="77777777" w:rsidR="000524F2" w:rsidRPr="00AB213E" w:rsidRDefault="000524F2" w:rsidP="000524F2">
      <w:pPr>
        <w:keepNext/>
      </w:pPr>
    </w:p>
    <w:tbl>
      <w:tblPr>
        <w:tblW w:w="9039" w:type="dxa"/>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tblCellMar>
        <w:tblLook w:val="04A0" w:firstRow="1" w:lastRow="0" w:firstColumn="1" w:lastColumn="0" w:noHBand="0" w:noVBand="1"/>
      </w:tblPr>
      <w:tblGrid>
        <w:gridCol w:w="9039"/>
      </w:tblGrid>
      <w:tr w:rsidR="000524F2" w:rsidRPr="00AB213E" w14:paraId="550607F8" w14:textId="77777777" w:rsidTr="000729AC">
        <w:trPr>
          <w:tblHeader/>
        </w:trPr>
        <w:tc>
          <w:tcPr>
            <w:tcW w:w="9039" w:type="dxa"/>
          </w:tcPr>
          <w:p w14:paraId="0B44448A" w14:textId="77777777" w:rsidR="000524F2" w:rsidRPr="00AB213E" w:rsidRDefault="000524F2" w:rsidP="000524F2">
            <w:pPr>
              <w:keepNext/>
              <w:ind w:left="40"/>
              <w:rPr>
                <w:sz w:val="18"/>
              </w:rPr>
            </w:pPr>
            <w:r w:rsidRPr="00AB213E">
              <w:rPr>
                <w:sz w:val="18"/>
              </w:rPr>
              <w:t>Uso:</w:t>
            </w:r>
          </w:p>
        </w:tc>
      </w:tr>
      <w:tr w:rsidR="000524F2" w:rsidRPr="00AB213E" w14:paraId="5AE46842" w14:textId="77777777" w:rsidTr="001D597D">
        <w:tc>
          <w:tcPr>
            <w:tcW w:w="9039" w:type="dxa"/>
          </w:tcPr>
          <w:p w14:paraId="636CAAE1" w14:textId="77777777" w:rsidR="000524F2" w:rsidRPr="00AB213E" w:rsidRDefault="000524F2" w:rsidP="000524F2">
            <w:pPr>
              <w:ind w:left="40"/>
              <w:rPr>
                <w:sz w:val="18"/>
              </w:rPr>
            </w:pPr>
            <w:r w:rsidRPr="00AB213E">
              <w:rPr>
                <w:sz w:val="18"/>
              </w:rPr>
              <w:t xml:space="preserve">Gestión y descripción de colecciones de variedades </w:t>
            </w:r>
          </w:p>
        </w:tc>
      </w:tr>
      <w:tr w:rsidR="000524F2" w:rsidRPr="00AB213E" w14:paraId="682499E6" w14:textId="77777777" w:rsidTr="001D597D">
        <w:tc>
          <w:tcPr>
            <w:tcW w:w="9039" w:type="dxa"/>
          </w:tcPr>
          <w:p w14:paraId="078082BF" w14:textId="77777777" w:rsidR="000524F2" w:rsidRPr="00AB213E" w:rsidRDefault="000524F2" w:rsidP="000524F2">
            <w:pPr>
              <w:ind w:left="40"/>
              <w:rPr>
                <w:sz w:val="18"/>
              </w:rPr>
            </w:pPr>
            <w:r w:rsidRPr="00AB213E">
              <w:rPr>
                <w:sz w:val="18"/>
              </w:rPr>
              <w:t>Distancia genética y perfil molecular</w:t>
            </w:r>
          </w:p>
        </w:tc>
      </w:tr>
      <w:tr w:rsidR="000524F2" w:rsidRPr="00AB213E" w14:paraId="7445485E" w14:textId="77777777" w:rsidTr="001D597D">
        <w:tc>
          <w:tcPr>
            <w:tcW w:w="9039" w:type="dxa"/>
          </w:tcPr>
          <w:p w14:paraId="5F30F574" w14:textId="77777777" w:rsidR="000524F2" w:rsidRPr="00AB213E" w:rsidRDefault="000524F2" w:rsidP="000524F2">
            <w:pPr>
              <w:ind w:left="40"/>
              <w:rPr>
                <w:sz w:val="18"/>
              </w:rPr>
            </w:pPr>
            <w:r w:rsidRPr="00AB213E">
              <w:rPr>
                <w:sz w:val="18"/>
              </w:rPr>
              <w:lastRenderedPageBreak/>
              <w:t>Evaluación de la homogeneidad</w:t>
            </w:r>
          </w:p>
        </w:tc>
      </w:tr>
      <w:tr w:rsidR="000524F2" w:rsidRPr="00AB213E" w14:paraId="1E4A9C7B" w14:textId="77777777" w:rsidTr="001D597D">
        <w:tc>
          <w:tcPr>
            <w:tcW w:w="9039" w:type="dxa"/>
          </w:tcPr>
          <w:p w14:paraId="20F62733" w14:textId="77777777" w:rsidR="000524F2" w:rsidRPr="00AB213E" w:rsidRDefault="000524F2" w:rsidP="000524F2">
            <w:pPr>
              <w:ind w:left="40"/>
              <w:rPr>
                <w:sz w:val="18"/>
              </w:rPr>
            </w:pPr>
            <w:r w:rsidRPr="00AB213E">
              <w:rPr>
                <w:sz w:val="18"/>
              </w:rPr>
              <w:t xml:space="preserve">Con fines de investigación </w:t>
            </w:r>
          </w:p>
        </w:tc>
      </w:tr>
      <w:tr w:rsidR="000524F2" w:rsidRPr="00AB213E" w14:paraId="5950C87C" w14:textId="77777777" w:rsidTr="001D597D">
        <w:tc>
          <w:tcPr>
            <w:tcW w:w="9039" w:type="dxa"/>
          </w:tcPr>
          <w:p w14:paraId="2F61E311" w14:textId="77777777" w:rsidR="000524F2" w:rsidRPr="00AB213E" w:rsidRDefault="000524F2" w:rsidP="000524F2">
            <w:pPr>
              <w:ind w:left="40"/>
              <w:rPr>
                <w:sz w:val="18"/>
              </w:rPr>
            </w:pPr>
            <w:r w:rsidRPr="00AB213E">
              <w:rPr>
                <w:sz w:val="18"/>
              </w:rPr>
              <w:t>Defensa de derechos</w:t>
            </w:r>
          </w:p>
        </w:tc>
      </w:tr>
      <w:tr w:rsidR="000524F2" w:rsidRPr="00AB213E" w14:paraId="1C1CB2FA" w14:textId="77777777" w:rsidTr="001D597D">
        <w:tc>
          <w:tcPr>
            <w:tcW w:w="9039" w:type="dxa"/>
          </w:tcPr>
          <w:p w14:paraId="0B281790" w14:textId="77777777" w:rsidR="000524F2" w:rsidRPr="00AB213E" w:rsidRDefault="000524F2" w:rsidP="000524F2">
            <w:pPr>
              <w:ind w:left="40"/>
              <w:rPr>
                <w:sz w:val="18"/>
              </w:rPr>
            </w:pPr>
            <w:r w:rsidRPr="00AB213E">
              <w:rPr>
                <w:sz w:val="18"/>
              </w:rPr>
              <w:t xml:space="preserve">Identificación de variedades para sistemas de certificación. </w:t>
            </w:r>
          </w:p>
        </w:tc>
      </w:tr>
      <w:tr w:rsidR="000524F2" w:rsidRPr="00AB213E" w14:paraId="7E9ED7DB" w14:textId="77777777" w:rsidTr="001D597D">
        <w:trPr>
          <w:trHeight w:val="117"/>
        </w:trPr>
        <w:tc>
          <w:tcPr>
            <w:tcW w:w="9039" w:type="dxa"/>
          </w:tcPr>
          <w:p w14:paraId="140AD520" w14:textId="77777777" w:rsidR="000524F2" w:rsidRPr="00AB213E" w:rsidRDefault="000524F2" w:rsidP="000524F2">
            <w:pPr>
              <w:ind w:left="40"/>
              <w:rPr>
                <w:sz w:val="14"/>
              </w:rPr>
            </w:pPr>
          </w:p>
        </w:tc>
      </w:tr>
      <w:tr w:rsidR="000524F2" w:rsidRPr="00AB213E" w14:paraId="5F2A3350" w14:textId="77777777" w:rsidTr="001D597D">
        <w:tc>
          <w:tcPr>
            <w:tcW w:w="9039" w:type="dxa"/>
          </w:tcPr>
          <w:p w14:paraId="2ECBE558" w14:textId="77777777" w:rsidR="000524F2" w:rsidRPr="00AB213E" w:rsidRDefault="000524F2" w:rsidP="000524F2">
            <w:pPr>
              <w:ind w:left="40"/>
              <w:rPr>
                <w:sz w:val="18"/>
              </w:rPr>
            </w:pPr>
            <w:r w:rsidRPr="00AB213E">
              <w:rPr>
                <w:sz w:val="18"/>
              </w:rPr>
              <w:t>Técnicas:</w:t>
            </w:r>
          </w:p>
        </w:tc>
      </w:tr>
      <w:tr w:rsidR="000524F2" w:rsidRPr="00AB213E" w14:paraId="13572F57" w14:textId="77777777" w:rsidTr="001D597D">
        <w:tc>
          <w:tcPr>
            <w:tcW w:w="9039" w:type="dxa"/>
          </w:tcPr>
          <w:p w14:paraId="70FF75CD" w14:textId="77777777" w:rsidR="000524F2" w:rsidRPr="00AB213E" w:rsidRDefault="000524F2" w:rsidP="000524F2">
            <w:pPr>
              <w:ind w:left="40"/>
              <w:rPr>
                <w:sz w:val="18"/>
              </w:rPr>
            </w:pPr>
            <w:r w:rsidRPr="00AB213E">
              <w:rPr>
                <w:sz w:val="18"/>
              </w:rPr>
              <w:t>SSR</w:t>
            </w:r>
          </w:p>
        </w:tc>
      </w:tr>
      <w:tr w:rsidR="000524F2" w:rsidRPr="00AB213E" w14:paraId="620659AA" w14:textId="77777777" w:rsidTr="001D597D">
        <w:tc>
          <w:tcPr>
            <w:tcW w:w="9039" w:type="dxa"/>
          </w:tcPr>
          <w:p w14:paraId="12BFC572" w14:textId="77777777" w:rsidR="000524F2" w:rsidRPr="00AB213E" w:rsidRDefault="000524F2" w:rsidP="000524F2">
            <w:pPr>
              <w:ind w:left="40"/>
              <w:rPr>
                <w:sz w:val="18"/>
              </w:rPr>
            </w:pPr>
            <w:r w:rsidRPr="00AB213E">
              <w:rPr>
                <w:sz w:val="18"/>
              </w:rPr>
              <w:t>SNP</w:t>
            </w:r>
          </w:p>
        </w:tc>
      </w:tr>
    </w:tbl>
    <w:p w14:paraId="28AAB1E4" w14:textId="77777777" w:rsidR="000524F2" w:rsidRPr="00AB213E" w:rsidRDefault="000524F2" w:rsidP="000524F2"/>
    <w:p w14:paraId="37773738" w14:textId="77777777" w:rsidR="000524F2" w:rsidRPr="00AB213E" w:rsidRDefault="000524F2" w:rsidP="000524F2">
      <w:pPr>
        <w:keepNext/>
        <w:ind w:left="567"/>
        <w:outlineLvl w:val="3"/>
        <w:rPr>
          <w:rFonts w:eastAsiaTheme="minorEastAsia"/>
          <w:u w:val="single"/>
        </w:rPr>
      </w:pPr>
      <w:r w:rsidRPr="00AB213E">
        <w:rPr>
          <w:rFonts w:eastAsiaTheme="minorEastAsia"/>
          <w:u w:val="single"/>
        </w:rPr>
        <w:t>Resumen de posibles esferas de cooperación en el uso de técnicas bioquímicas y moleculares en el sector de las plantas frutales</w:t>
      </w:r>
    </w:p>
    <w:p w14:paraId="738E2C71" w14:textId="77777777" w:rsidR="000524F2" w:rsidRPr="00AB213E" w:rsidRDefault="000524F2" w:rsidP="000524F2">
      <w:pPr>
        <w:keepNext/>
        <w:ind w:left="567"/>
        <w:outlineLvl w:val="3"/>
        <w:rPr>
          <w:u w:val="single"/>
        </w:rPr>
      </w:pPr>
    </w:p>
    <w:tbl>
      <w:tblPr>
        <w:tblW w:w="9039" w:type="dxa"/>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tblCellMar>
        <w:tblLook w:val="04A0" w:firstRow="1" w:lastRow="0" w:firstColumn="1" w:lastColumn="0" w:noHBand="0" w:noVBand="1"/>
      </w:tblPr>
      <w:tblGrid>
        <w:gridCol w:w="9039"/>
      </w:tblGrid>
      <w:tr w:rsidR="000524F2" w:rsidRPr="00AB213E" w14:paraId="6B05D45C" w14:textId="77777777" w:rsidTr="001D597D">
        <w:tc>
          <w:tcPr>
            <w:tcW w:w="9039" w:type="dxa"/>
          </w:tcPr>
          <w:p w14:paraId="304BE7BC" w14:textId="77777777" w:rsidR="000524F2" w:rsidRPr="00AB213E" w:rsidRDefault="000524F2" w:rsidP="000524F2">
            <w:pPr>
              <w:keepNext/>
              <w:ind w:left="40"/>
              <w:rPr>
                <w:sz w:val="18"/>
              </w:rPr>
            </w:pPr>
            <w:r w:rsidRPr="00AB213E">
              <w:rPr>
                <w:sz w:val="18"/>
              </w:rPr>
              <w:t>Crear y compartir bases de datos comunes (elegir un país líder y coordinador)</w:t>
            </w:r>
          </w:p>
        </w:tc>
      </w:tr>
      <w:tr w:rsidR="000524F2" w:rsidRPr="00AB213E" w14:paraId="6F03E27D" w14:textId="77777777" w:rsidTr="001D597D">
        <w:tc>
          <w:tcPr>
            <w:tcW w:w="9039" w:type="dxa"/>
          </w:tcPr>
          <w:p w14:paraId="59B0CF0C" w14:textId="77777777" w:rsidR="000524F2" w:rsidRPr="00AB213E" w:rsidRDefault="000524F2" w:rsidP="000524F2">
            <w:pPr>
              <w:keepNext/>
              <w:ind w:left="40"/>
              <w:rPr>
                <w:sz w:val="18"/>
              </w:rPr>
            </w:pPr>
            <w:r w:rsidRPr="00AB213E">
              <w:rPr>
                <w:sz w:val="18"/>
              </w:rPr>
              <w:t>Compartir técnicas</w:t>
            </w:r>
          </w:p>
        </w:tc>
      </w:tr>
      <w:tr w:rsidR="000524F2" w:rsidRPr="00AB213E" w14:paraId="4D5D0782" w14:textId="77777777" w:rsidTr="001D597D">
        <w:tc>
          <w:tcPr>
            <w:tcW w:w="9039" w:type="dxa"/>
          </w:tcPr>
          <w:p w14:paraId="0314BB2B" w14:textId="77777777" w:rsidR="000524F2" w:rsidRPr="00AB213E" w:rsidRDefault="000524F2" w:rsidP="000524F2">
            <w:pPr>
              <w:ind w:left="40"/>
              <w:rPr>
                <w:sz w:val="18"/>
              </w:rPr>
            </w:pPr>
            <w:r w:rsidRPr="00AB213E">
              <w:rPr>
                <w:sz w:val="18"/>
              </w:rPr>
              <w:t>Armonizar proyectos/mercados/métodos/procedimientos</w:t>
            </w:r>
          </w:p>
        </w:tc>
      </w:tr>
      <w:tr w:rsidR="000524F2" w:rsidRPr="00AB213E" w14:paraId="693162DF" w14:textId="77777777" w:rsidTr="001D597D">
        <w:tc>
          <w:tcPr>
            <w:tcW w:w="9039" w:type="dxa"/>
          </w:tcPr>
          <w:p w14:paraId="04F5EA7D" w14:textId="77777777" w:rsidR="000524F2" w:rsidRPr="00AB213E" w:rsidRDefault="000524F2" w:rsidP="000524F2">
            <w:pPr>
              <w:ind w:left="40"/>
              <w:rPr>
                <w:sz w:val="18"/>
              </w:rPr>
            </w:pPr>
            <w:r w:rsidRPr="00AB213E">
              <w:rPr>
                <w:sz w:val="18"/>
              </w:rPr>
              <w:t>Intercambiar conocimientos y técnicas</w:t>
            </w:r>
          </w:p>
        </w:tc>
      </w:tr>
      <w:tr w:rsidR="000524F2" w:rsidRPr="00AB213E" w14:paraId="08EB6C8E" w14:textId="77777777" w:rsidTr="001D597D">
        <w:tc>
          <w:tcPr>
            <w:tcW w:w="9039" w:type="dxa"/>
          </w:tcPr>
          <w:p w14:paraId="26AAFE53" w14:textId="77777777" w:rsidR="000524F2" w:rsidRPr="00AB213E" w:rsidRDefault="000524F2" w:rsidP="000524F2">
            <w:pPr>
              <w:ind w:left="40"/>
              <w:rPr>
                <w:sz w:val="18"/>
              </w:rPr>
            </w:pPr>
            <w:r w:rsidRPr="00AB213E">
              <w:rPr>
                <w:sz w:val="18"/>
              </w:rPr>
              <w:t>Alentar a los expertos en cultivos a asistir a las sesiones del BMT</w:t>
            </w:r>
          </w:p>
        </w:tc>
      </w:tr>
    </w:tbl>
    <w:p w14:paraId="4AB0321E" w14:textId="77777777" w:rsidR="000524F2" w:rsidRPr="00AB213E" w:rsidRDefault="000524F2" w:rsidP="000524F2"/>
    <w:p w14:paraId="647F7B05" w14:textId="77777777" w:rsidR="00422D07" w:rsidRPr="00AB213E" w:rsidRDefault="00422D07" w:rsidP="00422D07">
      <w:pPr>
        <w:rPr>
          <w:snapToGrid w:val="0"/>
          <w:color w:val="000000"/>
          <w:spacing w:val="-2"/>
        </w:rPr>
      </w:pPr>
      <w:r w:rsidRPr="00AB213E">
        <w:rPr>
          <w:rFonts w:cs="Arial"/>
          <w:spacing w:val="-2"/>
        </w:rPr>
        <w:fldChar w:fldCharType="begin"/>
      </w:r>
      <w:r w:rsidRPr="00AB213E">
        <w:rPr>
          <w:rFonts w:cs="Arial"/>
          <w:spacing w:val="-2"/>
        </w:rPr>
        <w:instrText xml:space="preserve"> AUTONUM  </w:instrText>
      </w:r>
      <w:r w:rsidRPr="00AB213E">
        <w:rPr>
          <w:rFonts w:cs="Arial"/>
          <w:spacing w:val="-2"/>
        </w:rPr>
        <w:fldChar w:fldCharType="end"/>
      </w:r>
      <w:r w:rsidRPr="00AB213E">
        <w:rPr>
          <w:spacing w:val="-2"/>
        </w:rPr>
        <w:tab/>
      </w:r>
      <w:r w:rsidRPr="00AB213E">
        <w:rPr>
          <w:snapToGrid w:val="0"/>
          <w:color w:val="000000"/>
          <w:spacing w:val="-2"/>
        </w:rPr>
        <w:t>El</w:t>
      </w:r>
      <w:r w:rsidRPr="00AB213E">
        <w:rPr>
          <w:rFonts w:hint="eastAsia"/>
          <w:color w:val="000000"/>
          <w:spacing w:val="-2"/>
        </w:rPr>
        <w:t xml:space="preserve"> TWA</w:t>
      </w:r>
      <w:r w:rsidRPr="00AB213E">
        <w:rPr>
          <w:spacing w:val="-2"/>
        </w:rPr>
        <w:t xml:space="preserve">, </w:t>
      </w:r>
      <w:r w:rsidRPr="00AB213E">
        <w:rPr>
          <w:color w:val="000000"/>
          <w:spacing w:val="-2"/>
        </w:rPr>
        <w:t>en su cuadragésima octava sesión, que se celebrará en Montevideo (Uruguay), del 16 al 20 de septiembre de 2019, y el TWC, en su trigésima séptima sesión, que se celebrará en Hangzhou (China), del 14 al 16 de octubre de 2019, examinarán el documento TWP/3/7 “</w:t>
      </w:r>
      <w:r w:rsidRPr="00AB213E">
        <w:rPr>
          <w:i/>
          <w:color w:val="000000"/>
          <w:spacing w:val="-2"/>
        </w:rPr>
        <w:t>Molecular Techniques</w:t>
      </w:r>
      <w:r w:rsidRPr="00AB213E">
        <w:rPr>
          <w:color w:val="000000"/>
          <w:spacing w:val="-2"/>
        </w:rPr>
        <w:t>” (Técnicas moleculares).</w:t>
      </w:r>
    </w:p>
    <w:p w14:paraId="099F4BA8" w14:textId="77777777" w:rsidR="00422D07" w:rsidRPr="00AB213E" w:rsidRDefault="00422D07" w:rsidP="00422D07"/>
    <w:p w14:paraId="3F262188" w14:textId="23BBE201" w:rsidR="00422D07" w:rsidRPr="00AB213E" w:rsidRDefault="00422D07" w:rsidP="00422D07">
      <w:pPr>
        <w:rPr>
          <w:snapToGrid w:val="0"/>
          <w:color w:val="000000"/>
        </w:rPr>
      </w:pPr>
      <w:r w:rsidRPr="00AB213E">
        <w:rPr>
          <w:rFonts w:cs="Arial"/>
        </w:rPr>
        <w:fldChar w:fldCharType="begin"/>
      </w:r>
      <w:r w:rsidRPr="00AB213E">
        <w:rPr>
          <w:rFonts w:cs="Arial"/>
        </w:rPr>
        <w:instrText xml:space="preserve"> AUTONUM  </w:instrText>
      </w:r>
      <w:r w:rsidRPr="00AB213E">
        <w:rPr>
          <w:rFonts w:cs="Arial"/>
        </w:rPr>
        <w:fldChar w:fldCharType="end"/>
      </w:r>
      <w:r w:rsidRPr="00AB213E">
        <w:tab/>
        <w:t xml:space="preserve">Los resultados de los debates mantenidos en los </w:t>
      </w:r>
      <w:r w:rsidRPr="00AB213E">
        <w:rPr>
          <w:rFonts w:hint="eastAsia"/>
          <w:color w:val="000000"/>
        </w:rPr>
        <w:t>TWP</w:t>
      </w:r>
      <w:r w:rsidRPr="00AB213E">
        <w:t xml:space="preserve"> </w:t>
      </w:r>
      <w:r w:rsidRPr="00AB213E">
        <w:rPr>
          <w:color w:val="000000"/>
        </w:rPr>
        <w:t>pa</w:t>
      </w:r>
      <w:r w:rsidRPr="00AB213E">
        <w:t>ra definir ámbitos de cooperación en el uso de técnicas moleculares, se comunicarán a</w:t>
      </w:r>
      <w:r w:rsidRPr="00AB213E">
        <w:rPr>
          <w:color w:val="000000"/>
        </w:rPr>
        <w:t>l BMT, en su decimoctava sesión, que se celebrará en Hangzhou (China) del 16 al 18 de octubre de 2019.</w:t>
      </w:r>
      <w:r w:rsidR="00365911" w:rsidRPr="00AB213E">
        <w:rPr>
          <w:color w:val="000000"/>
        </w:rPr>
        <w:t xml:space="preserve"> </w:t>
      </w:r>
    </w:p>
    <w:p w14:paraId="34E12C68" w14:textId="77777777" w:rsidR="00422D07" w:rsidRPr="00AB213E" w:rsidRDefault="00422D07" w:rsidP="00422D07"/>
    <w:p w14:paraId="3D716EFE" w14:textId="3E5D17E0" w:rsidR="00422D07" w:rsidRPr="00AB213E" w:rsidRDefault="00422D07" w:rsidP="00422D07">
      <w:pPr>
        <w:rPr>
          <w:snapToGrid w:val="0"/>
          <w:color w:val="000000"/>
        </w:rPr>
      </w:pPr>
      <w:r w:rsidRPr="00AB213E">
        <w:rPr>
          <w:rFonts w:cs="Arial"/>
        </w:rPr>
        <w:fldChar w:fldCharType="begin"/>
      </w:r>
      <w:r w:rsidRPr="00AB213E">
        <w:rPr>
          <w:rFonts w:cs="Arial"/>
        </w:rPr>
        <w:instrText xml:space="preserve"> AUTONUM  </w:instrText>
      </w:r>
      <w:r w:rsidRPr="00AB213E">
        <w:rPr>
          <w:rFonts w:cs="Arial"/>
        </w:rPr>
        <w:fldChar w:fldCharType="end"/>
      </w:r>
      <w:r w:rsidRPr="00AB213E">
        <w:tab/>
        <w:t xml:space="preserve">En su decimoctava sesión, se invitará al BMT a elaborar propuestas </w:t>
      </w:r>
      <w:r w:rsidRPr="00AB213E">
        <w:rPr>
          <w:color w:val="000000"/>
        </w:rPr>
        <w:t>sobre los próximos pasos encaminados a definir ámbitos de cooperación en el uso de técnicas moleculares.</w:t>
      </w:r>
      <w:r w:rsidR="00365911" w:rsidRPr="00AB213E">
        <w:rPr>
          <w:color w:val="000000"/>
        </w:rPr>
        <w:t xml:space="preserve"> </w:t>
      </w:r>
    </w:p>
    <w:p w14:paraId="43BBDE9D" w14:textId="77777777" w:rsidR="00422D07" w:rsidRPr="00AB213E" w:rsidRDefault="00422D07" w:rsidP="00422D07">
      <w:pPr>
        <w:rPr>
          <w:color w:val="000000"/>
        </w:rPr>
      </w:pPr>
    </w:p>
    <w:p w14:paraId="19580CCC" w14:textId="37538FC2" w:rsidR="00422D07" w:rsidRPr="00AB213E" w:rsidRDefault="00422D07" w:rsidP="00422D07">
      <w:pPr>
        <w:rPr>
          <w:snapToGrid w:val="0"/>
          <w:color w:val="000000"/>
        </w:rPr>
      </w:pPr>
      <w:r w:rsidRPr="00AB213E">
        <w:rPr>
          <w:rFonts w:cs="Arial"/>
        </w:rPr>
        <w:fldChar w:fldCharType="begin"/>
      </w:r>
      <w:r w:rsidRPr="00AB213E">
        <w:rPr>
          <w:rFonts w:cs="Arial"/>
        </w:rPr>
        <w:instrText xml:space="preserve"> AUTONUM  </w:instrText>
      </w:r>
      <w:r w:rsidRPr="00AB213E">
        <w:rPr>
          <w:rFonts w:cs="Arial"/>
        </w:rPr>
        <w:fldChar w:fldCharType="end"/>
      </w:r>
      <w:r w:rsidRPr="00AB213E">
        <w:tab/>
        <w:t>Las</w:t>
      </w:r>
      <w:bookmarkStart w:id="54" w:name="_GoBack"/>
      <w:bookmarkEnd w:id="54"/>
      <w:r w:rsidRPr="00AB213E">
        <w:t xml:space="preserve"> propuestas elaboradas por el BMT, en su decimoctava sesión, se comunicarán al TC en su quincuagésima quinta sesión, en una adición al presente documento.</w:t>
      </w:r>
      <w:r w:rsidR="00365911" w:rsidRPr="00AB213E">
        <w:rPr>
          <w:color w:val="000000"/>
        </w:rPr>
        <w:t xml:space="preserve"> </w:t>
      </w:r>
    </w:p>
    <w:p w14:paraId="61EFA6D4" w14:textId="77777777" w:rsidR="00422D07" w:rsidRPr="00AB213E" w:rsidRDefault="00422D07" w:rsidP="00E40632">
      <w:pPr>
        <w:rPr>
          <w:snapToGrid w:val="0"/>
        </w:rPr>
      </w:pPr>
    </w:p>
    <w:p w14:paraId="41E0001D" w14:textId="77777777" w:rsidR="00E40632" w:rsidRPr="00AB213E" w:rsidRDefault="00E40632" w:rsidP="00E40632">
      <w:pPr>
        <w:pStyle w:val="DecisionParagraphs"/>
        <w:keepNext/>
      </w:pPr>
      <w:r w:rsidRPr="00AB213E">
        <w:fldChar w:fldCharType="begin"/>
      </w:r>
      <w:r w:rsidRPr="00AB213E">
        <w:instrText xml:space="preserve"> AUTONUM  </w:instrText>
      </w:r>
      <w:r w:rsidRPr="00AB213E">
        <w:fldChar w:fldCharType="end"/>
      </w:r>
      <w:r w:rsidRPr="00AB213E">
        <w:tab/>
        <w:t>Se invita al TC a:</w:t>
      </w:r>
    </w:p>
    <w:p w14:paraId="49711DFE" w14:textId="77777777" w:rsidR="00057048" w:rsidRPr="00AB213E" w:rsidRDefault="00057048" w:rsidP="00057048">
      <w:pPr>
        <w:pStyle w:val="DecisionParagraphs"/>
        <w:keepNext/>
        <w:tabs>
          <w:tab w:val="left" w:pos="5812"/>
          <w:tab w:val="left" w:pos="5954"/>
        </w:tabs>
      </w:pPr>
    </w:p>
    <w:p w14:paraId="139881BA" w14:textId="77777777" w:rsidR="00057048" w:rsidRPr="00AB213E" w:rsidRDefault="00057048" w:rsidP="00057048">
      <w:pPr>
        <w:pStyle w:val="DecisionParagraphs"/>
        <w:keepNext/>
        <w:tabs>
          <w:tab w:val="left" w:pos="5812"/>
          <w:tab w:val="left" w:pos="5954"/>
        </w:tabs>
      </w:pPr>
      <w:r w:rsidRPr="00AB213E">
        <w:tab/>
        <w:t>a)</w:t>
      </w:r>
      <w:r w:rsidRPr="00AB213E">
        <w:tab/>
        <w:t>tomar nota de los resultados de los debates mantenidos en los TWP, en sus sesiones de 2019, sobre cooperación en materia de uso de técnicas moleculares, expuestos en los párrafos 32 a 35 de este documento;</w:t>
      </w:r>
    </w:p>
    <w:p w14:paraId="5CB577FD" w14:textId="77777777" w:rsidR="00E40632" w:rsidRPr="00AB213E" w:rsidRDefault="00E40632" w:rsidP="00E40632">
      <w:pPr>
        <w:pStyle w:val="DecisionParagraphs"/>
      </w:pPr>
    </w:p>
    <w:p w14:paraId="38C90053" w14:textId="77777777" w:rsidR="00E40632" w:rsidRPr="00AB213E" w:rsidRDefault="00E40632" w:rsidP="00E40632">
      <w:pPr>
        <w:pStyle w:val="DecisionParagraphs"/>
        <w:tabs>
          <w:tab w:val="left" w:pos="5812"/>
        </w:tabs>
        <w:rPr>
          <w:snapToGrid w:val="0"/>
        </w:rPr>
      </w:pPr>
      <w:r w:rsidRPr="00AB213E">
        <w:tab/>
        <w:t>b)</w:t>
      </w:r>
      <w:r w:rsidRPr="00AB213E">
        <w:tab/>
        <w:t>tomar nota de que, en su decimoctava sesión, se invitará al BMT a elaborar propuestas sobre los próximos pasos encaminados a definir ámbitos de cooperación en el uso de técnicas moleculares, según se expone en el párrafo 38 de este documento; y</w:t>
      </w:r>
    </w:p>
    <w:p w14:paraId="121E3AB6" w14:textId="77777777" w:rsidR="00E40632" w:rsidRPr="00AB213E" w:rsidRDefault="00E40632" w:rsidP="00E40632">
      <w:pPr>
        <w:pStyle w:val="DecisionParagraphs"/>
        <w:keepNext/>
        <w:tabs>
          <w:tab w:val="left" w:pos="5812"/>
          <w:tab w:val="left" w:pos="5954"/>
        </w:tabs>
      </w:pPr>
    </w:p>
    <w:p w14:paraId="2CBF0154" w14:textId="77777777" w:rsidR="00E40632" w:rsidRPr="00AB213E" w:rsidRDefault="00E40632" w:rsidP="009A50E6">
      <w:pPr>
        <w:pStyle w:val="DecisionParagraphs"/>
        <w:keepNext/>
        <w:tabs>
          <w:tab w:val="left" w:pos="5812"/>
          <w:tab w:val="left" w:pos="5954"/>
        </w:tabs>
      </w:pPr>
      <w:r w:rsidRPr="00AB213E">
        <w:tab/>
        <w:t>c)</w:t>
      </w:r>
      <w:r w:rsidRPr="00AB213E">
        <w:tab/>
        <w:t>tomar nota de que las propuestas formuladas por el BMT, en su decimoctava sesión, respecto de los ámbitos de cooperación en el uso de técnicas moleculares, se comunicarán en una adición al presente documento, según se expone en el párrafo 39 de este documento.</w:t>
      </w:r>
    </w:p>
    <w:p w14:paraId="36A2C99C" w14:textId="77777777" w:rsidR="00E8631F" w:rsidRPr="00AB213E" w:rsidRDefault="00E8631F" w:rsidP="009A50E6"/>
    <w:p w14:paraId="1E1D3433" w14:textId="77777777" w:rsidR="00F935A6" w:rsidRPr="00AB213E" w:rsidRDefault="00F935A6" w:rsidP="00E8631F"/>
    <w:p w14:paraId="616849CA" w14:textId="77777777" w:rsidR="00E8631F" w:rsidRPr="00AB213E" w:rsidRDefault="00E8631F" w:rsidP="00E8631F"/>
    <w:p w14:paraId="78E3AC3C" w14:textId="77777777" w:rsidR="00E8631F" w:rsidRDefault="00E8631F" w:rsidP="00E8631F">
      <w:pPr>
        <w:jc w:val="right"/>
      </w:pPr>
      <w:r w:rsidRPr="00AB213E">
        <w:t>[Fin del documento]</w:t>
      </w:r>
    </w:p>
    <w:sectPr w:rsidR="00E8631F" w:rsidSect="00906DDC">
      <w:headerReference w:type="default" r:id="rId9"/>
      <w:footerReference w:type="default" r:id="rId10"/>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A56DC3" w14:textId="77777777" w:rsidR="00C96712" w:rsidRDefault="00C96712" w:rsidP="006655D3">
      <w:r>
        <w:separator/>
      </w:r>
    </w:p>
    <w:p w14:paraId="4D707727" w14:textId="77777777" w:rsidR="00C96712" w:rsidRDefault="00C96712" w:rsidP="006655D3"/>
    <w:p w14:paraId="6E97FE8A" w14:textId="77777777" w:rsidR="00C96712" w:rsidRDefault="00C96712" w:rsidP="006655D3"/>
  </w:endnote>
  <w:endnote w:type="continuationSeparator" w:id="0">
    <w:p w14:paraId="7FF2E7DB" w14:textId="77777777" w:rsidR="00C96712" w:rsidRDefault="00C96712" w:rsidP="006655D3">
      <w:r>
        <w:separator/>
      </w:r>
    </w:p>
    <w:p w14:paraId="24B5BC17" w14:textId="77777777" w:rsidR="00C96712" w:rsidRPr="00294751" w:rsidRDefault="00C96712">
      <w:pPr>
        <w:pStyle w:val="Footer"/>
        <w:spacing w:after="60"/>
        <w:rPr>
          <w:sz w:val="18"/>
          <w:lang w:val="fr-FR"/>
        </w:rPr>
      </w:pPr>
      <w:r w:rsidRPr="00294751">
        <w:rPr>
          <w:sz w:val="18"/>
          <w:lang w:val="fr-FR"/>
        </w:rPr>
        <w:t>[Suite de la note de la page précédente]</w:t>
      </w:r>
    </w:p>
    <w:p w14:paraId="6AFD77D3" w14:textId="77777777" w:rsidR="00C96712" w:rsidRPr="00294751" w:rsidRDefault="00C96712" w:rsidP="006655D3">
      <w:pPr>
        <w:rPr>
          <w:lang w:val="fr-FR"/>
        </w:rPr>
      </w:pPr>
    </w:p>
    <w:p w14:paraId="18EABFB5" w14:textId="77777777" w:rsidR="00C96712" w:rsidRPr="00294751" w:rsidRDefault="00C96712" w:rsidP="006655D3">
      <w:pPr>
        <w:rPr>
          <w:lang w:val="fr-FR"/>
        </w:rPr>
      </w:pPr>
    </w:p>
  </w:endnote>
  <w:endnote w:type="continuationNotice" w:id="1">
    <w:p w14:paraId="447CACB9" w14:textId="77777777" w:rsidR="00C96712" w:rsidRPr="00294751" w:rsidRDefault="00C96712" w:rsidP="006655D3">
      <w:pPr>
        <w:rPr>
          <w:lang w:val="fr-FR"/>
        </w:rPr>
      </w:pPr>
      <w:r w:rsidRPr="00294751">
        <w:rPr>
          <w:lang w:val="fr-FR"/>
        </w:rPr>
        <w:t>[Suite de la note page suivante]</w:t>
      </w:r>
    </w:p>
    <w:p w14:paraId="7DFB11E4" w14:textId="77777777" w:rsidR="00C96712" w:rsidRPr="00294751" w:rsidRDefault="00C96712" w:rsidP="006655D3">
      <w:pPr>
        <w:rPr>
          <w:lang w:val="fr-FR"/>
        </w:rPr>
      </w:pPr>
    </w:p>
    <w:p w14:paraId="23EA5795" w14:textId="77777777" w:rsidR="00C96712" w:rsidRPr="00294751" w:rsidRDefault="00C96712"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5D2D7" w14:textId="77777777" w:rsidR="000D17A1" w:rsidRDefault="000D17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E5B9AD" w14:textId="77777777" w:rsidR="00C96712" w:rsidRDefault="00C96712" w:rsidP="006655D3">
      <w:r>
        <w:separator/>
      </w:r>
    </w:p>
  </w:footnote>
  <w:footnote w:type="continuationSeparator" w:id="0">
    <w:p w14:paraId="5C85AA3C" w14:textId="77777777" w:rsidR="00C96712" w:rsidRDefault="00C96712" w:rsidP="006655D3">
      <w:r>
        <w:separator/>
      </w:r>
    </w:p>
  </w:footnote>
  <w:footnote w:type="continuationNotice" w:id="1">
    <w:p w14:paraId="5BC5D91D" w14:textId="77777777" w:rsidR="00C96712" w:rsidRPr="00AB530F" w:rsidRDefault="00C96712"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BBAE3" w14:textId="77777777" w:rsidR="00A5050C" w:rsidRPr="00C5280D" w:rsidRDefault="00A5050C" w:rsidP="00EB048E">
    <w:pPr>
      <w:pStyle w:val="Header"/>
      <w:rPr>
        <w:rStyle w:val="PageNumber"/>
      </w:rPr>
    </w:pPr>
    <w:r>
      <w:rPr>
        <w:rStyle w:val="PageNumber"/>
      </w:rPr>
      <w:t>TC/55/7</w:t>
    </w:r>
  </w:p>
  <w:p w14:paraId="72AD66A3" w14:textId="26872829" w:rsidR="00A5050C" w:rsidRPr="00C5280D" w:rsidRDefault="00A5050C" w:rsidP="00EB048E">
    <w:pPr>
      <w:pStyle w:val="Header"/>
    </w:pPr>
    <w:r>
      <w:t xml:space="preserve">página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FD22B2">
      <w:rPr>
        <w:rStyle w:val="PageNumber"/>
        <w:noProof/>
      </w:rPr>
      <w:t>8</w:t>
    </w:r>
    <w:r w:rsidRPr="00C5280D">
      <w:rPr>
        <w:rStyle w:val="PageNumber"/>
      </w:rPr>
      <w:fldChar w:fldCharType="end"/>
    </w:r>
  </w:p>
  <w:p w14:paraId="014762B2" w14:textId="77777777" w:rsidR="00A5050C" w:rsidRDefault="00A5050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D23DA3"/>
    <w:multiLevelType w:val="hybridMultilevel"/>
    <w:tmpl w:val="B33483A2"/>
    <w:lvl w:ilvl="0" w:tplc="8210023A">
      <w:start w:val="1"/>
      <w:numFmt w:val="lowerRoman"/>
      <w:lvlText w:val="(%1)"/>
      <w:lvlJc w:val="left"/>
      <w:pPr>
        <w:ind w:left="1410" w:hanging="72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 w15:restartNumberingAfterBreak="0">
    <w:nsid w:val="5B314102"/>
    <w:multiLevelType w:val="hybridMultilevel"/>
    <w:tmpl w:val="5B309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4096" w:nlCheck="1" w:checkStyle="0"/>
  <w:activeWritingStyle w:appName="MSWord" w:lang="fr-FR" w:vendorID="64" w:dllVersion="4096" w:nlCheck="1" w:checkStyle="0"/>
  <w:activeWritingStyle w:appName="MSWord" w:lang="es-ES"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A26"/>
    <w:rsid w:val="000046CD"/>
    <w:rsid w:val="00010CF3"/>
    <w:rsid w:val="0001118E"/>
    <w:rsid w:val="00011E27"/>
    <w:rsid w:val="00012AE5"/>
    <w:rsid w:val="000148BC"/>
    <w:rsid w:val="00016763"/>
    <w:rsid w:val="00017ADB"/>
    <w:rsid w:val="00024AB8"/>
    <w:rsid w:val="00030854"/>
    <w:rsid w:val="00036028"/>
    <w:rsid w:val="000372AA"/>
    <w:rsid w:val="00044642"/>
    <w:rsid w:val="000446B9"/>
    <w:rsid w:val="00047E21"/>
    <w:rsid w:val="00050E16"/>
    <w:rsid w:val="000524F2"/>
    <w:rsid w:val="00057048"/>
    <w:rsid w:val="000729AC"/>
    <w:rsid w:val="00077892"/>
    <w:rsid w:val="00085505"/>
    <w:rsid w:val="00085851"/>
    <w:rsid w:val="000A7832"/>
    <w:rsid w:val="000C4E25"/>
    <w:rsid w:val="000C7021"/>
    <w:rsid w:val="000D17A1"/>
    <w:rsid w:val="000D50ED"/>
    <w:rsid w:val="000D631F"/>
    <w:rsid w:val="000D6BBC"/>
    <w:rsid w:val="000D7780"/>
    <w:rsid w:val="000E0939"/>
    <w:rsid w:val="000E636A"/>
    <w:rsid w:val="000E7560"/>
    <w:rsid w:val="000F2F11"/>
    <w:rsid w:val="001015BE"/>
    <w:rsid w:val="00103150"/>
    <w:rsid w:val="00105929"/>
    <w:rsid w:val="00110BD9"/>
    <w:rsid w:val="00110C36"/>
    <w:rsid w:val="001131D5"/>
    <w:rsid w:val="00141DB8"/>
    <w:rsid w:val="001524DA"/>
    <w:rsid w:val="001708AA"/>
    <w:rsid w:val="00172084"/>
    <w:rsid w:val="0017474A"/>
    <w:rsid w:val="00175271"/>
    <w:rsid w:val="001758C6"/>
    <w:rsid w:val="00182B99"/>
    <w:rsid w:val="00190770"/>
    <w:rsid w:val="001929DA"/>
    <w:rsid w:val="001A473A"/>
    <w:rsid w:val="001B59B6"/>
    <w:rsid w:val="001C47B5"/>
    <w:rsid w:val="001D36AC"/>
    <w:rsid w:val="001D597D"/>
    <w:rsid w:val="001E09F1"/>
    <w:rsid w:val="001E16DD"/>
    <w:rsid w:val="001F329D"/>
    <w:rsid w:val="002067ED"/>
    <w:rsid w:val="0021332C"/>
    <w:rsid w:val="00213982"/>
    <w:rsid w:val="0021667A"/>
    <w:rsid w:val="00242B45"/>
    <w:rsid w:val="0024416D"/>
    <w:rsid w:val="00246AA4"/>
    <w:rsid w:val="00251DEF"/>
    <w:rsid w:val="00271911"/>
    <w:rsid w:val="00271DA6"/>
    <w:rsid w:val="002767CA"/>
    <w:rsid w:val="002800A0"/>
    <w:rsid w:val="002801B3"/>
    <w:rsid w:val="00281060"/>
    <w:rsid w:val="00282B27"/>
    <w:rsid w:val="00284B1A"/>
    <w:rsid w:val="002868FD"/>
    <w:rsid w:val="002940E8"/>
    <w:rsid w:val="00294751"/>
    <w:rsid w:val="00296CC4"/>
    <w:rsid w:val="002A1FF7"/>
    <w:rsid w:val="002A26F5"/>
    <w:rsid w:val="002A5737"/>
    <w:rsid w:val="002A6E50"/>
    <w:rsid w:val="002B36CC"/>
    <w:rsid w:val="002B4298"/>
    <w:rsid w:val="002C10B5"/>
    <w:rsid w:val="002C256A"/>
    <w:rsid w:val="002C7ED9"/>
    <w:rsid w:val="002D2DFD"/>
    <w:rsid w:val="002F4D19"/>
    <w:rsid w:val="00304827"/>
    <w:rsid w:val="00305573"/>
    <w:rsid w:val="00305A7F"/>
    <w:rsid w:val="003152FE"/>
    <w:rsid w:val="00324FB0"/>
    <w:rsid w:val="00326FCD"/>
    <w:rsid w:val="00327436"/>
    <w:rsid w:val="003447B7"/>
    <w:rsid w:val="00344AE4"/>
    <w:rsid w:val="00344BD6"/>
    <w:rsid w:val="00347951"/>
    <w:rsid w:val="0035528D"/>
    <w:rsid w:val="00361821"/>
    <w:rsid w:val="00361E9E"/>
    <w:rsid w:val="00363688"/>
    <w:rsid w:val="00365911"/>
    <w:rsid w:val="00381D64"/>
    <w:rsid w:val="00394D38"/>
    <w:rsid w:val="003A3A32"/>
    <w:rsid w:val="003A44CC"/>
    <w:rsid w:val="003A4AEB"/>
    <w:rsid w:val="003C04BA"/>
    <w:rsid w:val="003C4226"/>
    <w:rsid w:val="003C4544"/>
    <w:rsid w:val="003C7FBE"/>
    <w:rsid w:val="003D227C"/>
    <w:rsid w:val="003D2B4D"/>
    <w:rsid w:val="003D348C"/>
    <w:rsid w:val="003D388D"/>
    <w:rsid w:val="003F7338"/>
    <w:rsid w:val="00413009"/>
    <w:rsid w:val="00414712"/>
    <w:rsid w:val="00422D07"/>
    <w:rsid w:val="00436163"/>
    <w:rsid w:val="00440683"/>
    <w:rsid w:val="00440EB9"/>
    <w:rsid w:val="004422D8"/>
    <w:rsid w:val="00443766"/>
    <w:rsid w:val="00444A88"/>
    <w:rsid w:val="00451F5A"/>
    <w:rsid w:val="00455221"/>
    <w:rsid w:val="00467FFE"/>
    <w:rsid w:val="0047482A"/>
    <w:rsid w:val="00474DA4"/>
    <w:rsid w:val="00476B4D"/>
    <w:rsid w:val="00480568"/>
    <w:rsid w:val="004805FA"/>
    <w:rsid w:val="00486CFB"/>
    <w:rsid w:val="004935D2"/>
    <w:rsid w:val="004A02EF"/>
    <w:rsid w:val="004A27A2"/>
    <w:rsid w:val="004A4FB0"/>
    <w:rsid w:val="004B1215"/>
    <w:rsid w:val="004C5C7E"/>
    <w:rsid w:val="004D047D"/>
    <w:rsid w:val="004E75D6"/>
    <w:rsid w:val="004F1E9E"/>
    <w:rsid w:val="004F305A"/>
    <w:rsid w:val="00501163"/>
    <w:rsid w:val="00504ABB"/>
    <w:rsid w:val="005078AE"/>
    <w:rsid w:val="00512164"/>
    <w:rsid w:val="00513793"/>
    <w:rsid w:val="00520297"/>
    <w:rsid w:val="00530403"/>
    <w:rsid w:val="005338F9"/>
    <w:rsid w:val="00536FFD"/>
    <w:rsid w:val="0054281C"/>
    <w:rsid w:val="00544581"/>
    <w:rsid w:val="0055268D"/>
    <w:rsid w:val="00563124"/>
    <w:rsid w:val="005651DF"/>
    <w:rsid w:val="0057020C"/>
    <w:rsid w:val="00576BE4"/>
    <w:rsid w:val="00591C21"/>
    <w:rsid w:val="00594BA7"/>
    <w:rsid w:val="005A0E75"/>
    <w:rsid w:val="005A400A"/>
    <w:rsid w:val="005A43D3"/>
    <w:rsid w:val="005B46E9"/>
    <w:rsid w:val="005B61BC"/>
    <w:rsid w:val="005C363D"/>
    <w:rsid w:val="005D59C3"/>
    <w:rsid w:val="005E1079"/>
    <w:rsid w:val="005F0C9E"/>
    <w:rsid w:val="005F10C4"/>
    <w:rsid w:val="005F2BA6"/>
    <w:rsid w:val="005F5286"/>
    <w:rsid w:val="005F7B92"/>
    <w:rsid w:val="006040BF"/>
    <w:rsid w:val="00612379"/>
    <w:rsid w:val="006153B6"/>
    <w:rsid w:val="0061555F"/>
    <w:rsid w:val="00616463"/>
    <w:rsid w:val="00625039"/>
    <w:rsid w:val="00636B03"/>
    <w:rsid w:val="00636CA6"/>
    <w:rsid w:val="00641200"/>
    <w:rsid w:val="006441DF"/>
    <w:rsid w:val="00645CA8"/>
    <w:rsid w:val="00660AA5"/>
    <w:rsid w:val="006655D3"/>
    <w:rsid w:val="00667404"/>
    <w:rsid w:val="00673B6F"/>
    <w:rsid w:val="00687EB4"/>
    <w:rsid w:val="006929F3"/>
    <w:rsid w:val="00695C56"/>
    <w:rsid w:val="006A5CDE"/>
    <w:rsid w:val="006A644A"/>
    <w:rsid w:val="006B049D"/>
    <w:rsid w:val="006B17D2"/>
    <w:rsid w:val="006C224E"/>
    <w:rsid w:val="006C7057"/>
    <w:rsid w:val="006D5C79"/>
    <w:rsid w:val="006D7435"/>
    <w:rsid w:val="006D780A"/>
    <w:rsid w:val="006E6DB8"/>
    <w:rsid w:val="00707D27"/>
    <w:rsid w:val="00707D40"/>
    <w:rsid w:val="0071271E"/>
    <w:rsid w:val="007172AD"/>
    <w:rsid w:val="00727851"/>
    <w:rsid w:val="00732DEC"/>
    <w:rsid w:val="00735BD5"/>
    <w:rsid w:val="00743208"/>
    <w:rsid w:val="00747752"/>
    <w:rsid w:val="00751613"/>
    <w:rsid w:val="0075399D"/>
    <w:rsid w:val="007556F6"/>
    <w:rsid w:val="00756AB2"/>
    <w:rsid w:val="00760EEF"/>
    <w:rsid w:val="00761BCB"/>
    <w:rsid w:val="00777EE5"/>
    <w:rsid w:val="00781CC3"/>
    <w:rsid w:val="00784836"/>
    <w:rsid w:val="0079023E"/>
    <w:rsid w:val="00797BAC"/>
    <w:rsid w:val="007A2854"/>
    <w:rsid w:val="007C1D92"/>
    <w:rsid w:val="007C4CB9"/>
    <w:rsid w:val="007D0B9D"/>
    <w:rsid w:val="007D19B0"/>
    <w:rsid w:val="007F2D8A"/>
    <w:rsid w:val="007F4385"/>
    <w:rsid w:val="007F498F"/>
    <w:rsid w:val="007F5CFF"/>
    <w:rsid w:val="007F6128"/>
    <w:rsid w:val="00803B6D"/>
    <w:rsid w:val="0080679D"/>
    <w:rsid w:val="008108B0"/>
    <w:rsid w:val="00811B20"/>
    <w:rsid w:val="00820097"/>
    <w:rsid w:val="008211B5"/>
    <w:rsid w:val="0082296E"/>
    <w:rsid w:val="00824099"/>
    <w:rsid w:val="00831627"/>
    <w:rsid w:val="00846D7C"/>
    <w:rsid w:val="008474D1"/>
    <w:rsid w:val="00855FFE"/>
    <w:rsid w:val="00861419"/>
    <w:rsid w:val="00864D30"/>
    <w:rsid w:val="00867AC1"/>
    <w:rsid w:val="0087315F"/>
    <w:rsid w:val="00890DF8"/>
    <w:rsid w:val="00891741"/>
    <w:rsid w:val="008958EB"/>
    <w:rsid w:val="008A31C9"/>
    <w:rsid w:val="008A5CAE"/>
    <w:rsid w:val="008A743F"/>
    <w:rsid w:val="008B0899"/>
    <w:rsid w:val="008B6E60"/>
    <w:rsid w:val="008C0970"/>
    <w:rsid w:val="008C10EC"/>
    <w:rsid w:val="008C4271"/>
    <w:rsid w:val="008D0BC5"/>
    <w:rsid w:val="008D2CF7"/>
    <w:rsid w:val="008D3D46"/>
    <w:rsid w:val="008D7E86"/>
    <w:rsid w:val="008E4275"/>
    <w:rsid w:val="00900C26"/>
    <w:rsid w:val="00900C6F"/>
    <w:rsid w:val="0090197F"/>
    <w:rsid w:val="00903985"/>
    <w:rsid w:val="00906DDC"/>
    <w:rsid w:val="009262C4"/>
    <w:rsid w:val="00931509"/>
    <w:rsid w:val="00934E09"/>
    <w:rsid w:val="00936253"/>
    <w:rsid w:val="00940D46"/>
    <w:rsid w:val="00952DD4"/>
    <w:rsid w:val="00955A55"/>
    <w:rsid w:val="00965AE7"/>
    <w:rsid w:val="00965DC4"/>
    <w:rsid w:val="00970FED"/>
    <w:rsid w:val="00983ED6"/>
    <w:rsid w:val="00990A26"/>
    <w:rsid w:val="00992D82"/>
    <w:rsid w:val="00995EAD"/>
    <w:rsid w:val="00997029"/>
    <w:rsid w:val="009A0856"/>
    <w:rsid w:val="009A50E6"/>
    <w:rsid w:val="009A7339"/>
    <w:rsid w:val="009B440E"/>
    <w:rsid w:val="009C0C04"/>
    <w:rsid w:val="009C1868"/>
    <w:rsid w:val="009C7311"/>
    <w:rsid w:val="009D4699"/>
    <w:rsid w:val="009D690D"/>
    <w:rsid w:val="009E65B6"/>
    <w:rsid w:val="009F155B"/>
    <w:rsid w:val="00A032E5"/>
    <w:rsid w:val="00A04A26"/>
    <w:rsid w:val="00A111A2"/>
    <w:rsid w:val="00A1232B"/>
    <w:rsid w:val="00A24C10"/>
    <w:rsid w:val="00A33DC8"/>
    <w:rsid w:val="00A37C2B"/>
    <w:rsid w:val="00A42AC3"/>
    <w:rsid w:val="00A430CF"/>
    <w:rsid w:val="00A45A4F"/>
    <w:rsid w:val="00A5050C"/>
    <w:rsid w:val="00A54309"/>
    <w:rsid w:val="00A7496F"/>
    <w:rsid w:val="00A83B9E"/>
    <w:rsid w:val="00A90061"/>
    <w:rsid w:val="00AA0374"/>
    <w:rsid w:val="00AA75A3"/>
    <w:rsid w:val="00AB213E"/>
    <w:rsid w:val="00AB2B93"/>
    <w:rsid w:val="00AB530F"/>
    <w:rsid w:val="00AB643D"/>
    <w:rsid w:val="00AB66D3"/>
    <w:rsid w:val="00AB7E5B"/>
    <w:rsid w:val="00AC2883"/>
    <w:rsid w:val="00AD0387"/>
    <w:rsid w:val="00AD31CA"/>
    <w:rsid w:val="00AE0811"/>
    <w:rsid w:val="00AE0EF1"/>
    <w:rsid w:val="00AE2937"/>
    <w:rsid w:val="00AF6609"/>
    <w:rsid w:val="00B07301"/>
    <w:rsid w:val="00B11F3E"/>
    <w:rsid w:val="00B200D3"/>
    <w:rsid w:val="00B224DE"/>
    <w:rsid w:val="00B324D4"/>
    <w:rsid w:val="00B370A4"/>
    <w:rsid w:val="00B46575"/>
    <w:rsid w:val="00B61777"/>
    <w:rsid w:val="00B61BB3"/>
    <w:rsid w:val="00B84BBD"/>
    <w:rsid w:val="00B91D03"/>
    <w:rsid w:val="00B96116"/>
    <w:rsid w:val="00BA43FB"/>
    <w:rsid w:val="00BA5109"/>
    <w:rsid w:val="00BC127D"/>
    <w:rsid w:val="00BC1FE6"/>
    <w:rsid w:val="00BD2F44"/>
    <w:rsid w:val="00BD7E4E"/>
    <w:rsid w:val="00BE0AA3"/>
    <w:rsid w:val="00BE0C8B"/>
    <w:rsid w:val="00BF6FB1"/>
    <w:rsid w:val="00C061B6"/>
    <w:rsid w:val="00C2446C"/>
    <w:rsid w:val="00C30618"/>
    <w:rsid w:val="00C36AE5"/>
    <w:rsid w:val="00C412FA"/>
    <w:rsid w:val="00C415AB"/>
    <w:rsid w:val="00C41F17"/>
    <w:rsid w:val="00C527FA"/>
    <w:rsid w:val="00C5280D"/>
    <w:rsid w:val="00C53EB3"/>
    <w:rsid w:val="00C54E4D"/>
    <w:rsid w:val="00C55669"/>
    <w:rsid w:val="00C5791C"/>
    <w:rsid w:val="00C65649"/>
    <w:rsid w:val="00C66290"/>
    <w:rsid w:val="00C72B7A"/>
    <w:rsid w:val="00C7456E"/>
    <w:rsid w:val="00C848A6"/>
    <w:rsid w:val="00C96568"/>
    <w:rsid w:val="00C96712"/>
    <w:rsid w:val="00C973F2"/>
    <w:rsid w:val="00CA304C"/>
    <w:rsid w:val="00CA774A"/>
    <w:rsid w:val="00CC11B0"/>
    <w:rsid w:val="00CC2841"/>
    <w:rsid w:val="00CC3BE3"/>
    <w:rsid w:val="00CD68E5"/>
    <w:rsid w:val="00CE46FF"/>
    <w:rsid w:val="00CE6FEF"/>
    <w:rsid w:val="00CF1330"/>
    <w:rsid w:val="00CF7E36"/>
    <w:rsid w:val="00D03F4E"/>
    <w:rsid w:val="00D15A7B"/>
    <w:rsid w:val="00D31C54"/>
    <w:rsid w:val="00D326F9"/>
    <w:rsid w:val="00D3708D"/>
    <w:rsid w:val="00D40426"/>
    <w:rsid w:val="00D44D6F"/>
    <w:rsid w:val="00D50A6D"/>
    <w:rsid w:val="00D544F7"/>
    <w:rsid w:val="00D5514B"/>
    <w:rsid w:val="00D57C96"/>
    <w:rsid w:val="00D57D18"/>
    <w:rsid w:val="00D705E1"/>
    <w:rsid w:val="00D91203"/>
    <w:rsid w:val="00D95174"/>
    <w:rsid w:val="00DA4973"/>
    <w:rsid w:val="00DA6F36"/>
    <w:rsid w:val="00DB596E"/>
    <w:rsid w:val="00DB7773"/>
    <w:rsid w:val="00DC00EA"/>
    <w:rsid w:val="00DC3802"/>
    <w:rsid w:val="00DD42B1"/>
    <w:rsid w:val="00DE2C65"/>
    <w:rsid w:val="00DF1E9C"/>
    <w:rsid w:val="00E00001"/>
    <w:rsid w:val="00E06EC9"/>
    <w:rsid w:val="00E07D87"/>
    <w:rsid w:val="00E2045F"/>
    <w:rsid w:val="00E20AE5"/>
    <w:rsid w:val="00E2109F"/>
    <w:rsid w:val="00E31C55"/>
    <w:rsid w:val="00E32F7E"/>
    <w:rsid w:val="00E40632"/>
    <w:rsid w:val="00E51FA2"/>
    <w:rsid w:val="00E525F9"/>
    <w:rsid w:val="00E5267B"/>
    <w:rsid w:val="00E5302F"/>
    <w:rsid w:val="00E63C0E"/>
    <w:rsid w:val="00E651E2"/>
    <w:rsid w:val="00E656A1"/>
    <w:rsid w:val="00E7081F"/>
    <w:rsid w:val="00E72D49"/>
    <w:rsid w:val="00E73F0D"/>
    <w:rsid w:val="00E7593C"/>
    <w:rsid w:val="00E7678A"/>
    <w:rsid w:val="00E8631F"/>
    <w:rsid w:val="00E879C4"/>
    <w:rsid w:val="00E935F1"/>
    <w:rsid w:val="00E94A81"/>
    <w:rsid w:val="00EA1FFB"/>
    <w:rsid w:val="00EA4AD7"/>
    <w:rsid w:val="00EB048E"/>
    <w:rsid w:val="00EB4E9C"/>
    <w:rsid w:val="00EC621F"/>
    <w:rsid w:val="00ED644C"/>
    <w:rsid w:val="00EE34DF"/>
    <w:rsid w:val="00EF2F89"/>
    <w:rsid w:val="00F00A42"/>
    <w:rsid w:val="00F03E98"/>
    <w:rsid w:val="00F0703A"/>
    <w:rsid w:val="00F1237A"/>
    <w:rsid w:val="00F13396"/>
    <w:rsid w:val="00F22CBD"/>
    <w:rsid w:val="00F272F1"/>
    <w:rsid w:val="00F45372"/>
    <w:rsid w:val="00F4590B"/>
    <w:rsid w:val="00F468AF"/>
    <w:rsid w:val="00F507E2"/>
    <w:rsid w:val="00F549A0"/>
    <w:rsid w:val="00F560F7"/>
    <w:rsid w:val="00F6334D"/>
    <w:rsid w:val="00F80657"/>
    <w:rsid w:val="00F84369"/>
    <w:rsid w:val="00F871C6"/>
    <w:rsid w:val="00F92E58"/>
    <w:rsid w:val="00F935A6"/>
    <w:rsid w:val="00F97C92"/>
    <w:rsid w:val="00FA49AB"/>
    <w:rsid w:val="00FA5822"/>
    <w:rsid w:val="00FB6BDA"/>
    <w:rsid w:val="00FD22B2"/>
    <w:rsid w:val="00FD303B"/>
    <w:rsid w:val="00FE39C7"/>
    <w:rsid w:val="00FF3D73"/>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C94ACC2"/>
  <w15:docId w15:val="{B603EDB1-AA95-436E-A322-32C15F71C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es-ES"/>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B96116"/>
    <w:pPr>
      <w:keepNext/>
      <w:jc w:val="both"/>
      <w:outlineLvl w:val="0"/>
    </w:pPr>
    <w:rPr>
      <w:rFonts w:ascii="Arial" w:hAnsi="Arial"/>
      <w:caps/>
      <w:spacing w:val="-4"/>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s-E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es-ES" w:eastAsia="es-ES" w:bidi="es-ES"/>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es-ES" w:eastAsia="es-ES" w:bidi="es-ES"/>
    </w:rPr>
  </w:style>
  <w:style w:type="paragraph" w:styleId="TOC2">
    <w:name w:val="toc 2"/>
    <w:basedOn w:val="Normal"/>
    <w:next w:val="Normal"/>
    <w:autoRedefine/>
    <w:uiPriority w:val="39"/>
    <w:rsid w:val="000D17A1"/>
    <w:pPr>
      <w:tabs>
        <w:tab w:val="right" w:leader="dot" w:pos="9639"/>
      </w:tabs>
      <w:spacing w:before="40"/>
      <w:ind w:left="284" w:right="851"/>
    </w:pPr>
    <w:rPr>
      <w:noProof/>
      <w:sz w:val="18"/>
    </w:rPr>
  </w:style>
  <w:style w:type="paragraph" w:styleId="TOC3">
    <w:name w:val="toc 3"/>
    <w:next w:val="Normal"/>
    <w:autoRedefine/>
    <w:uiPriority w:val="39"/>
    <w:rsid w:val="000D17A1"/>
    <w:pPr>
      <w:tabs>
        <w:tab w:val="right" w:leader="dot" w:pos="9639"/>
      </w:tabs>
      <w:ind w:right="851" w:firstLine="284"/>
    </w:pPr>
    <w:rPr>
      <w:rFonts w:ascii="Arial" w:hAnsi="Arial"/>
      <w:noProof/>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rPr>
  </w:style>
  <w:style w:type="paragraph" w:styleId="TOC1">
    <w:name w:val="toc 1"/>
    <w:basedOn w:val="Normal"/>
    <w:next w:val="Normal"/>
    <w:autoRedefine/>
    <w:uiPriority w:val="39"/>
    <w:rsid w:val="00ED644C"/>
    <w:pPr>
      <w:tabs>
        <w:tab w:val="right" w:leader="dot" w:pos="9639"/>
      </w:tabs>
      <w:spacing w:before="60"/>
      <w:ind w:right="1418"/>
      <w:jc w:val="left"/>
    </w:pPr>
    <w:rPr>
      <w:caps/>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erChar">
    <w:name w:val="Header Char"/>
    <w:basedOn w:val="DefaultParagraphFont"/>
    <w:link w:val="Header"/>
    <w:rsid w:val="00440683"/>
    <w:rPr>
      <w:rFonts w:ascii="Arial" w:hAnsi="Arial"/>
      <w:lang w:val="es-ES"/>
    </w:rPr>
  </w:style>
  <w:style w:type="table" w:styleId="TableGrid">
    <w:name w:val="Table Grid"/>
    <w:basedOn w:val="TableNormal"/>
    <w:uiPriority w:val="39"/>
    <w:rsid w:val="00E8631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604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96116"/>
    <w:rPr>
      <w:rFonts w:ascii="Arial" w:hAnsi="Arial"/>
      <w:caps/>
      <w:spacing w:val="-4"/>
      <w:lang w:eastAsia="es-ES"/>
    </w:rPr>
  </w:style>
  <w:style w:type="table" w:customStyle="1" w:styleId="TableGrid2">
    <w:name w:val="Table Grid2"/>
    <w:basedOn w:val="TableNormal"/>
    <w:next w:val="TableGrid"/>
    <w:rsid w:val="00C415AB"/>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2F4D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660A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820097"/>
    <w:pPr>
      <w:keepLines/>
      <w:spacing w:before="240" w:line="259" w:lineRule="auto"/>
      <w:jc w:val="left"/>
      <w:outlineLvl w:val="9"/>
    </w:pPr>
    <w:rPr>
      <w:rFonts w:asciiTheme="majorHAnsi" w:eastAsiaTheme="majorEastAsia" w:hAnsiTheme="majorHAnsi" w:cstheme="majorBidi"/>
      <w:caps w:val="0"/>
      <w:color w:val="365F91" w:themeColor="accent1" w:themeShade="BF"/>
      <w:sz w:val="32"/>
      <w:szCs w:val="32"/>
    </w:rPr>
  </w:style>
  <w:style w:type="table" w:customStyle="1" w:styleId="TableGrid41">
    <w:name w:val="Table Grid41"/>
    <w:basedOn w:val="TableNormal"/>
    <w:next w:val="TableGrid"/>
    <w:rsid w:val="00C9656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F806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0524F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0524F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uiPriority w:val="99"/>
    <w:semiHidden/>
    <w:unhideWhenUsed/>
  </w:style>
  <w:style w:type="character" w:styleId="CommentReference">
    <w:name w:val="annotation referenc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8EE0D-1D03-43A7-BFD4-03CAF31B0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4707</Words>
  <Characters>26088</Characters>
  <Application>Microsoft Office Word</Application>
  <DocSecurity>0</DocSecurity>
  <Lines>217</Lines>
  <Paragraphs>61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TC/55/7</vt:lpstr>
      <vt:lpstr>TC/55/7</vt:lpstr>
    </vt:vector>
  </TitlesOfParts>
  <Company>UPOV</Company>
  <LinksUpToDate>false</LinksUpToDate>
  <CharactersWithSpaces>30734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TC/55/7</dc:title>
  <dc:creator>SANCHEZ VIZCAINO GOMEZ Rosa Maria</dc:creator>
  <cp:lastModifiedBy>BESSE Ariane</cp:lastModifiedBy>
  <cp:revision>3</cp:revision>
  <cp:lastPrinted>2019-09-06T13:53:00Z</cp:lastPrinted>
  <dcterms:created xsi:type="dcterms:W3CDTF">2019-09-06T13:47:00Z</dcterms:created>
  <dcterms:modified xsi:type="dcterms:W3CDTF">2019-09-06T13:54:00Z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fb420226-08e7-4e42-bdef-65e1fc7c63d5</vt:lpwstr>
  </property>
</Properties>
</file>