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3025"/>
      </w:tblGrid>
      <w:tr w:rsidR="00DC3802" w:rsidRPr="00067B44" w14:paraId="4211022D" w14:textId="77777777" w:rsidTr="00EB4E9C">
        <w:tc>
          <w:tcPr>
            <w:tcW w:w="6522" w:type="dxa"/>
          </w:tcPr>
          <w:p w14:paraId="2E83C9A2" w14:textId="77777777" w:rsidR="00DC3802" w:rsidRPr="00067B44" w:rsidRDefault="00DC3802" w:rsidP="00AC2883">
            <w:pPr>
              <w:rPr>
                <w:lang w:val="es-419"/>
              </w:rPr>
            </w:pPr>
            <w:bookmarkStart w:id="0" w:name="_GoBack"/>
            <w:bookmarkEnd w:id="0"/>
            <w:r w:rsidRPr="00067B44">
              <w:rPr>
                <w:noProof/>
                <w:lang w:val="en-US" w:eastAsia="en-US" w:bidi="ar-SA"/>
              </w:rPr>
              <w:drawing>
                <wp:inline distT="0" distB="0" distL="0" distR="0" wp14:anchorId="783DA3E7" wp14:editId="6FC5C26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0DB246C" w14:textId="77777777" w:rsidR="00DC3802" w:rsidRPr="00067B44" w:rsidRDefault="00B233F9" w:rsidP="00AC2883">
            <w:pPr>
              <w:pStyle w:val="Lettrine"/>
              <w:rPr>
                <w:lang w:val="es-419"/>
              </w:rPr>
            </w:pPr>
            <w:r w:rsidRPr="00067B44">
              <w:rPr>
                <w:lang w:val="es-419"/>
              </w:rPr>
              <w:t>S</w:t>
            </w:r>
          </w:p>
        </w:tc>
      </w:tr>
      <w:tr w:rsidR="00DC3802" w:rsidRPr="00067B44" w14:paraId="39DE2C2E" w14:textId="77777777" w:rsidTr="00645CA8">
        <w:trPr>
          <w:trHeight w:val="219"/>
        </w:trPr>
        <w:tc>
          <w:tcPr>
            <w:tcW w:w="6522" w:type="dxa"/>
          </w:tcPr>
          <w:p w14:paraId="218D4201" w14:textId="77777777" w:rsidR="00DC3802" w:rsidRPr="00067B44" w:rsidRDefault="00B233F9" w:rsidP="00AC2883">
            <w:pPr>
              <w:pStyle w:val="upove"/>
              <w:rPr>
                <w:lang w:val="es-419"/>
              </w:rPr>
            </w:pPr>
            <w:r w:rsidRPr="00067B44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4329E90B" w14:textId="77777777" w:rsidR="00DC3802" w:rsidRPr="00067B44" w:rsidRDefault="00DC3802" w:rsidP="00DA4973">
            <w:pPr>
              <w:rPr>
                <w:lang w:val="es-419"/>
              </w:rPr>
            </w:pPr>
          </w:p>
        </w:tc>
      </w:tr>
    </w:tbl>
    <w:p w14:paraId="1B51AABE" w14:textId="77777777" w:rsidR="00DC3802" w:rsidRPr="00067B44" w:rsidRDefault="00DC3802" w:rsidP="00DC3802">
      <w:pPr>
        <w:rPr>
          <w:lang w:val="es-419"/>
        </w:rPr>
      </w:pPr>
    </w:p>
    <w:p w14:paraId="2710002F" w14:textId="77777777" w:rsidR="00DA4973" w:rsidRPr="00067B44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0"/>
        <w:gridCol w:w="3035"/>
      </w:tblGrid>
      <w:tr w:rsidR="00EB4E9C" w:rsidRPr="00067B44" w14:paraId="4DCA7732" w14:textId="77777777" w:rsidTr="00EB4E9C">
        <w:tc>
          <w:tcPr>
            <w:tcW w:w="6512" w:type="dxa"/>
          </w:tcPr>
          <w:p w14:paraId="2BE3D7A7" w14:textId="77777777" w:rsidR="00B233F9" w:rsidRPr="00067B44" w:rsidRDefault="00B233F9" w:rsidP="00B233F9">
            <w:pPr>
              <w:pStyle w:val="Sessiontc"/>
              <w:spacing w:line="240" w:lineRule="auto"/>
              <w:rPr>
                <w:lang w:val="es-419"/>
              </w:rPr>
            </w:pPr>
            <w:r w:rsidRPr="00067B44">
              <w:rPr>
                <w:lang w:val="es-419"/>
              </w:rPr>
              <w:t>Comité Técnico</w:t>
            </w:r>
          </w:p>
          <w:p w14:paraId="5ED4ED92" w14:textId="77777777" w:rsidR="00EB4E9C" w:rsidRPr="00067B44" w:rsidRDefault="00B233F9" w:rsidP="00B233F9">
            <w:pPr>
              <w:pStyle w:val="Sessiontcplacedate"/>
              <w:rPr>
                <w:sz w:val="22"/>
                <w:lang w:val="es-419"/>
              </w:rPr>
            </w:pPr>
            <w:r w:rsidRPr="00067B44">
              <w:rPr>
                <w:lang w:val="es-419"/>
              </w:rPr>
              <w:t>Quincuagésima quinta sesión</w:t>
            </w:r>
            <w:r w:rsidRPr="00067B44">
              <w:rPr>
                <w:lang w:val="es-419"/>
              </w:rPr>
              <w:br/>
              <w:t>Ginebra, 28 y 29 de octubre de 2019</w:t>
            </w:r>
          </w:p>
        </w:tc>
        <w:tc>
          <w:tcPr>
            <w:tcW w:w="3127" w:type="dxa"/>
          </w:tcPr>
          <w:p w14:paraId="29AAD3F4" w14:textId="77777777" w:rsidR="00EB4E9C" w:rsidRPr="00067B44" w:rsidRDefault="006D7435" w:rsidP="003C7FBE">
            <w:pPr>
              <w:pStyle w:val="Doccode"/>
              <w:rPr>
                <w:lang w:val="es-419"/>
              </w:rPr>
            </w:pPr>
            <w:r w:rsidRPr="00067B44">
              <w:rPr>
                <w:lang w:val="es-419"/>
              </w:rPr>
              <w:t>TC/55/3 Add.</w:t>
            </w:r>
          </w:p>
          <w:p w14:paraId="19921049" w14:textId="10A04EED" w:rsidR="00B233F9" w:rsidRPr="00067B44" w:rsidRDefault="00B233F9" w:rsidP="00B233F9">
            <w:pPr>
              <w:pStyle w:val="Docoriginal"/>
              <w:rPr>
                <w:lang w:val="es-419"/>
              </w:rPr>
            </w:pPr>
            <w:r w:rsidRPr="00067B44">
              <w:rPr>
                <w:lang w:val="es-419"/>
              </w:rPr>
              <w:t>Original:</w:t>
            </w:r>
            <w:r w:rsidR="00E01934" w:rsidRPr="00067B44">
              <w:rPr>
                <w:b w:val="0"/>
                <w:spacing w:val="0"/>
                <w:lang w:val="es-419"/>
              </w:rPr>
              <w:t xml:space="preserve"> </w:t>
            </w:r>
            <w:r w:rsidRPr="00067B44">
              <w:rPr>
                <w:b w:val="0"/>
                <w:spacing w:val="0"/>
                <w:lang w:val="es-419"/>
              </w:rPr>
              <w:t>Inglés</w:t>
            </w:r>
          </w:p>
          <w:p w14:paraId="13876F6D" w14:textId="3D890EF9" w:rsidR="00EB4E9C" w:rsidRPr="00067B44" w:rsidRDefault="00B233F9" w:rsidP="00B233F9">
            <w:pPr>
              <w:pStyle w:val="Docoriginal"/>
              <w:rPr>
                <w:lang w:val="es-419"/>
              </w:rPr>
            </w:pPr>
            <w:r w:rsidRPr="00067B44">
              <w:rPr>
                <w:lang w:val="es-419"/>
              </w:rPr>
              <w:t>Fecha:</w:t>
            </w:r>
            <w:r w:rsidR="00E01934" w:rsidRPr="00067B44">
              <w:rPr>
                <w:b w:val="0"/>
                <w:spacing w:val="0"/>
                <w:lang w:val="es-419"/>
              </w:rPr>
              <w:t xml:space="preserve"> </w:t>
            </w:r>
            <w:r w:rsidRPr="00067B44">
              <w:rPr>
                <w:b w:val="0"/>
                <w:spacing w:val="0"/>
                <w:lang w:val="es-419"/>
              </w:rPr>
              <w:t>21 de octubre de 2019</w:t>
            </w:r>
          </w:p>
        </w:tc>
      </w:tr>
    </w:tbl>
    <w:p w14:paraId="6B4BA7C2" w14:textId="77777777" w:rsidR="000D7780" w:rsidRPr="00067B44" w:rsidRDefault="00222950" w:rsidP="006A644A">
      <w:pPr>
        <w:pStyle w:val="Titleofdoc0"/>
        <w:rPr>
          <w:lang w:val="es-419"/>
        </w:rPr>
      </w:pPr>
      <w:bookmarkStart w:id="1" w:name="TitleOfDoc"/>
      <w:bookmarkEnd w:id="1"/>
      <w:r w:rsidRPr="00067B44">
        <w:rPr>
          <w:lang w:val="es-419"/>
        </w:rPr>
        <w:t>Adición al documento: Cuestiones planteadas por los Grupos de Trabajo Técnico</w:t>
      </w:r>
    </w:p>
    <w:p w14:paraId="506F9B36" w14:textId="77777777" w:rsidR="00B233F9" w:rsidRPr="00067B44" w:rsidRDefault="00B233F9" w:rsidP="00B233F9">
      <w:pPr>
        <w:pStyle w:val="preparedby1"/>
        <w:jc w:val="left"/>
        <w:rPr>
          <w:lang w:val="es-419"/>
        </w:rPr>
      </w:pPr>
      <w:bookmarkStart w:id="2" w:name="Prepared"/>
      <w:bookmarkEnd w:id="2"/>
      <w:r w:rsidRPr="00067B44">
        <w:rPr>
          <w:lang w:val="es-419"/>
        </w:rPr>
        <w:t>Documento preparado por la Oficina de la Unión</w:t>
      </w:r>
    </w:p>
    <w:p w14:paraId="64A24972" w14:textId="77777777" w:rsidR="00B233F9" w:rsidRPr="00067B44" w:rsidRDefault="00B233F9" w:rsidP="00B233F9">
      <w:pPr>
        <w:pStyle w:val="Disclaimer"/>
        <w:rPr>
          <w:lang w:val="es-419"/>
        </w:rPr>
      </w:pPr>
      <w:r w:rsidRPr="00067B44">
        <w:rPr>
          <w:lang w:val="es-419"/>
        </w:rPr>
        <w:t>Descargo de responsabilidad: el presente documento no constituye un documento de política u orientación de la UPOV</w:t>
      </w:r>
    </w:p>
    <w:p w14:paraId="40E88AA8" w14:textId="77777777" w:rsidR="00222950" w:rsidRPr="00067B44" w:rsidRDefault="00222950" w:rsidP="00222950">
      <w:pPr>
        <w:rPr>
          <w:snapToGrid w:val="0"/>
          <w:lang w:val="es-419"/>
        </w:rPr>
      </w:pPr>
      <w:r w:rsidRPr="00067B44">
        <w:rPr>
          <w:snapToGrid w:val="0"/>
          <w:lang w:val="es-419"/>
        </w:rPr>
        <w:fldChar w:fldCharType="begin"/>
      </w:r>
      <w:r w:rsidRPr="00067B44">
        <w:rPr>
          <w:snapToGrid w:val="0"/>
          <w:lang w:val="es-419"/>
        </w:rPr>
        <w:instrText xml:space="preserve"> AUTONUM  </w:instrText>
      </w:r>
      <w:r w:rsidRPr="00067B44">
        <w:rPr>
          <w:snapToGrid w:val="0"/>
          <w:lang w:val="es-419"/>
        </w:rPr>
        <w:fldChar w:fldCharType="end"/>
      </w:r>
      <w:r w:rsidRPr="00067B44">
        <w:rPr>
          <w:lang w:val="es-419"/>
        </w:rPr>
        <w:tab/>
        <w:t>Esta adición tiene por objeto exponer las</w:t>
      </w:r>
      <w:r w:rsidRPr="00067B44">
        <w:rPr>
          <w:color w:val="000000"/>
          <w:lang w:val="es-419"/>
        </w:rPr>
        <w:t xml:space="preserve"> cuestiones planteadas en las sesiones de 2019 del Grupo de Trabajo Técnico sobre Automatización y Programas Informáticos</w:t>
      </w:r>
      <w:r w:rsidRPr="00067B44">
        <w:rPr>
          <w:lang w:val="es-419"/>
        </w:rPr>
        <w:t xml:space="preserve"> (TWC) y el Grupo de Trabajo sobre Técnicas Bioquímicas y Moleculares, y Perfiles de ADN en particular (BMT)</w:t>
      </w:r>
      <w:r w:rsidRPr="00067B44">
        <w:rPr>
          <w:color w:val="000000"/>
          <w:lang w:val="es-419"/>
        </w:rPr>
        <w:t xml:space="preserve"> que no se incluyeron de manera explícita en ningún punto del orden del día.</w:t>
      </w:r>
    </w:p>
    <w:p w14:paraId="341C2C9E" w14:textId="77777777" w:rsidR="004B345C" w:rsidRPr="00067B44" w:rsidRDefault="004B345C" w:rsidP="004B345C">
      <w:pPr>
        <w:rPr>
          <w:lang w:val="es-419"/>
        </w:rPr>
      </w:pPr>
    </w:p>
    <w:p w14:paraId="37E87E38" w14:textId="77777777" w:rsidR="004B345C" w:rsidRPr="00067B44" w:rsidRDefault="004B345C" w:rsidP="004B345C">
      <w:pPr>
        <w:pStyle w:val="Heading2"/>
        <w:rPr>
          <w:snapToGrid w:val="0"/>
          <w:lang w:val="es-419"/>
        </w:rPr>
      </w:pPr>
      <w:r w:rsidRPr="00067B44">
        <w:rPr>
          <w:lang w:val="es-419"/>
        </w:rPr>
        <w:t>Evaluación de la homogeneidad sobre la base de las plantas fuera de tipo</w:t>
      </w:r>
    </w:p>
    <w:p w14:paraId="6D3EF57F" w14:textId="77777777" w:rsidR="004B345C" w:rsidRPr="00067B44" w:rsidRDefault="004B345C" w:rsidP="004B345C">
      <w:pPr>
        <w:rPr>
          <w:snapToGrid w:val="0"/>
          <w:lang w:val="es-419"/>
        </w:rPr>
      </w:pPr>
      <w:r w:rsidRPr="00067B44">
        <w:rPr>
          <w:lang w:val="es-419"/>
        </w:rPr>
        <w:t xml:space="preserve"> </w:t>
      </w:r>
    </w:p>
    <w:p w14:paraId="235CEA19" w14:textId="6A13F5F7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examinó el documento TWC/37/5 “</w:t>
      </w:r>
      <w:r w:rsidRPr="00067B44">
        <w:rPr>
          <w:i/>
          <w:lang w:val="es-419"/>
        </w:rPr>
        <w:t>Risks associated with assessment of uniformity by off</w:t>
      </w:r>
      <w:r w:rsidR="000C5AAD" w:rsidRPr="00067B44">
        <w:rPr>
          <w:i/>
          <w:lang w:val="es-419"/>
        </w:rPr>
        <w:noBreakHyphen/>
      </w:r>
      <w:r w:rsidRPr="00067B44">
        <w:rPr>
          <w:i/>
          <w:lang w:val="es-419"/>
        </w:rPr>
        <w:t>types on the basis of more than one growing cycle</w:t>
      </w:r>
      <w:r w:rsidRPr="00067B44">
        <w:rPr>
          <w:lang w:val="es-419"/>
        </w:rPr>
        <w:t>” (Riesgos asociados a la evaluación de la homogeneidad sobre la base de las plantas fuera de tipo mediante la observación de más de un ciclo de cultivo) (véanse los párrafos 11 a 16 del documento TWC/37/12 “</w:t>
      </w:r>
      <w:r w:rsidRPr="00067B44">
        <w:rPr>
          <w:i/>
          <w:lang w:val="es-419"/>
        </w:rPr>
        <w:t>Report</w:t>
      </w:r>
      <w:r w:rsidRPr="00067B44">
        <w:rPr>
          <w:lang w:val="es-419"/>
        </w:rPr>
        <w:t>” (Informe)).</w:t>
      </w:r>
    </w:p>
    <w:p w14:paraId="3E8D765B" w14:textId="77777777" w:rsidR="004B345C" w:rsidRPr="00067B44" w:rsidRDefault="004B345C" w:rsidP="004B345C">
      <w:pPr>
        <w:rPr>
          <w:lang w:val="es-419"/>
        </w:rPr>
      </w:pPr>
    </w:p>
    <w:p w14:paraId="54026084" w14:textId="5D211C14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asistió a una ponencia sobre “Evaluación de la homogeneidad sobre la base de las plantas fuera de tipo: calculador del número de plantas fuera de tipo y los riesgos".</w:t>
      </w:r>
      <w:r w:rsidR="00E01934" w:rsidRPr="00067B44">
        <w:rPr>
          <w:lang w:val="es-419"/>
        </w:rPr>
        <w:t xml:space="preserve"> </w:t>
      </w:r>
      <w:r w:rsidRPr="00067B44">
        <w:rPr>
          <w:lang w:val="es-419"/>
        </w:rPr>
        <w:t>Esta ponencia se reproduce en el Anexo I del documento TWC/37/5.</w:t>
      </w:r>
    </w:p>
    <w:p w14:paraId="7A3D9186" w14:textId="77777777" w:rsidR="004B345C" w:rsidRPr="00067B44" w:rsidRDefault="004B345C" w:rsidP="004B345C">
      <w:pPr>
        <w:rPr>
          <w:lang w:val="es-419"/>
        </w:rPr>
      </w:pPr>
    </w:p>
    <w:p w14:paraId="2704BF43" w14:textId="77777777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 xml:space="preserve">El TWC tomó nota de que se ha desarrollado un programa informático en Excel para calcular el número de plantas fuera de tipo y los riesgos asociados a la evaluación de la homogeneidad de las plantas fuera de tipo sobre la base de más de un ciclo de cultivo, que se expone en el Anexo II del documento TWC/37/5. </w:t>
      </w:r>
    </w:p>
    <w:p w14:paraId="7C2A314C" w14:textId="77777777" w:rsidR="004B345C" w:rsidRPr="00067B44" w:rsidRDefault="004B345C" w:rsidP="004B345C">
      <w:pPr>
        <w:rPr>
          <w:lang w:val="es-419"/>
        </w:rPr>
      </w:pPr>
    </w:p>
    <w:p w14:paraId="79B22725" w14:textId="3823A477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 xml:space="preserve">El TWC acogió con satisfacción la disponibilidad del programa informático que permite determinar el número máximo de plantas fuera de tipo, ya sea cuando la probabilidad de aceptación se aplica </w:t>
      </w:r>
      <w:r w:rsidR="000C5AAD" w:rsidRPr="00067B44">
        <w:rPr>
          <w:lang w:val="es-419"/>
        </w:rPr>
        <w:t>a</w:t>
      </w:r>
      <w:r w:rsidRPr="00067B44">
        <w:rPr>
          <w:lang w:val="es-419"/>
        </w:rPr>
        <w:t xml:space="preserve"> cada ciclo por separado o al examen de dos ciclos agrupados.</w:t>
      </w:r>
    </w:p>
    <w:p w14:paraId="42949E11" w14:textId="77777777" w:rsidR="004B345C" w:rsidRPr="00067B44" w:rsidRDefault="004B345C" w:rsidP="004B345C">
      <w:pPr>
        <w:rPr>
          <w:lang w:val="es-419"/>
        </w:rPr>
      </w:pPr>
    </w:p>
    <w:p w14:paraId="5A80D41B" w14:textId="77777777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convino en proponer que se añada una frase al documento TGP/8 para explicar que se dispone de un programa informático para calcular el número de plantas fuera de tipo para varios ciclos de cultivo agrupados.</w:t>
      </w:r>
    </w:p>
    <w:p w14:paraId="1B55F929" w14:textId="77777777" w:rsidR="004B345C" w:rsidRPr="00067B44" w:rsidRDefault="004B345C" w:rsidP="004B345C">
      <w:pPr>
        <w:rPr>
          <w:lang w:val="es-419"/>
        </w:rPr>
      </w:pPr>
    </w:p>
    <w:p w14:paraId="4C445C35" w14:textId="77777777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 xml:space="preserve">El TWC convino en proponer que el programa informático se pueda descargar desde el sitio web de la UPOV. </w:t>
      </w:r>
    </w:p>
    <w:p w14:paraId="75922D93" w14:textId="77777777" w:rsidR="004B345C" w:rsidRPr="00067B44" w:rsidRDefault="004B345C" w:rsidP="004B345C">
      <w:pPr>
        <w:rPr>
          <w:lang w:val="es-419"/>
        </w:rPr>
      </w:pPr>
    </w:p>
    <w:p w14:paraId="03EB55D2" w14:textId="77777777" w:rsidR="004B345C" w:rsidRPr="00067B44" w:rsidRDefault="004B345C" w:rsidP="004B345C">
      <w:pPr>
        <w:pStyle w:val="Heading2"/>
        <w:rPr>
          <w:lang w:val="es-419"/>
        </w:rPr>
      </w:pPr>
      <w:r w:rsidRPr="00067B44">
        <w:rPr>
          <w:lang w:val="es-419"/>
        </w:rPr>
        <w:t>Experiencia en el uso de dos lugares de ensayo en un año para las decisiones sobre DHE</w:t>
      </w:r>
    </w:p>
    <w:p w14:paraId="7647FEAD" w14:textId="77777777" w:rsidR="004B345C" w:rsidRPr="00067B44" w:rsidRDefault="004B345C" w:rsidP="004B345C">
      <w:pPr>
        <w:rPr>
          <w:lang w:val="es-419"/>
        </w:rPr>
      </w:pPr>
    </w:p>
    <w:p w14:paraId="43022530" w14:textId="3FEFE041" w:rsidR="002E65B0" w:rsidRPr="00067B44" w:rsidRDefault="004B345C" w:rsidP="002E65B0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examinó el documento TWC/37/10 y asistió a una ponencia sobre “Experiencia en el uso de dos lugares de ensayo en un año para las decisiones sobre DHE” a cargo de un experto de Francia.</w:t>
      </w:r>
      <w:r w:rsidR="00E01934" w:rsidRPr="00067B44">
        <w:rPr>
          <w:lang w:val="es-419"/>
        </w:rPr>
        <w:t xml:space="preserve"> </w:t>
      </w:r>
      <w:r w:rsidRPr="00067B44">
        <w:rPr>
          <w:lang w:val="es-419"/>
        </w:rPr>
        <w:t>Esta ponencia se reproduce en el Anexo del documento TWC/37/10 (véanse los párrafos 17 y 18 del documento TWC/37/12 “</w:t>
      </w:r>
      <w:r w:rsidRPr="00067B44">
        <w:rPr>
          <w:i/>
          <w:lang w:val="es-419"/>
        </w:rPr>
        <w:t>Report</w:t>
      </w:r>
      <w:r w:rsidRPr="00067B44">
        <w:rPr>
          <w:lang w:val="es-419"/>
        </w:rPr>
        <w:t>”).</w:t>
      </w:r>
    </w:p>
    <w:p w14:paraId="44598378" w14:textId="77777777" w:rsidR="004B345C" w:rsidRPr="00067B44" w:rsidRDefault="004B345C" w:rsidP="004B345C">
      <w:pPr>
        <w:rPr>
          <w:lang w:val="es-419"/>
        </w:rPr>
      </w:pPr>
    </w:p>
    <w:p w14:paraId="3915750D" w14:textId="3970E36F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tomó nota de que las descripciones de variedades se generaron con información de un solo lugar de ensayo.</w:t>
      </w:r>
      <w:r w:rsidR="00E01934" w:rsidRPr="00067B44">
        <w:rPr>
          <w:lang w:val="es-419"/>
        </w:rPr>
        <w:t xml:space="preserve"> </w:t>
      </w:r>
    </w:p>
    <w:p w14:paraId="07384121" w14:textId="77777777" w:rsidR="004B345C" w:rsidRPr="00067B44" w:rsidRDefault="004B345C" w:rsidP="004B345C">
      <w:pPr>
        <w:rPr>
          <w:lang w:val="es-419"/>
        </w:rPr>
      </w:pPr>
    </w:p>
    <w:p w14:paraId="14273475" w14:textId="77777777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lastRenderedPageBreak/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 xml:space="preserve">El TWC recordó que, cuando dos ciclos de cultivo se realizan en un mismo año y simultáneamente, se necesita una distancia suficiente o una diferencia suficiente entre las condiciones de cultivo de dos lugares de ensayo para cumplir los requisitos de independencia. </w:t>
      </w:r>
    </w:p>
    <w:p w14:paraId="3F141916" w14:textId="77777777" w:rsidR="004B345C" w:rsidRPr="00067B44" w:rsidRDefault="004B345C" w:rsidP="004B345C">
      <w:pPr>
        <w:rPr>
          <w:lang w:val="es-419"/>
        </w:rPr>
      </w:pPr>
    </w:p>
    <w:p w14:paraId="01133DC2" w14:textId="77777777" w:rsidR="004B345C" w:rsidRPr="00067B44" w:rsidRDefault="004B345C" w:rsidP="002E65B0">
      <w:pPr>
        <w:pStyle w:val="Heading2"/>
        <w:rPr>
          <w:lang w:val="es-419"/>
        </w:rPr>
      </w:pPr>
      <w:r w:rsidRPr="00067B44">
        <w:rPr>
          <w:lang w:val="es-419"/>
        </w:rPr>
        <w:t>Desarrollo e innovación en materia de instrumentos de examen DHE</w:t>
      </w:r>
    </w:p>
    <w:p w14:paraId="5A34EA01" w14:textId="77777777" w:rsidR="004B345C" w:rsidRPr="00067B44" w:rsidRDefault="004B345C" w:rsidP="004B345C">
      <w:pPr>
        <w:rPr>
          <w:lang w:val="es-419"/>
        </w:rPr>
      </w:pPr>
    </w:p>
    <w:p w14:paraId="3B0220DA" w14:textId="77777777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examinó el documento TWC/37/9 y asistió a una ponencia sobre “Desarrollo e innovación en materia de instrumentos de examen DHE” a cargo de un experto de China. Esta ponencia se reproduce en el Anexo del documento TWC/37/9 (véanse los párrafos 19 y 20 del documento TWC/37/12 “</w:t>
      </w:r>
      <w:r w:rsidRPr="00067B44">
        <w:rPr>
          <w:i/>
          <w:lang w:val="es-419"/>
        </w:rPr>
        <w:t>Report</w:t>
      </w:r>
      <w:r w:rsidRPr="00067B44">
        <w:rPr>
          <w:lang w:val="es-419"/>
        </w:rPr>
        <w:t>”).</w:t>
      </w:r>
    </w:p>
    <w:p w14:paraId="5BB30D21" w14:textId="77777777" w:rsidR="004B345C" w:rsidRPr="00067B44" w:rsidRDefault="004B345C" w:rsidP="004B345C">
      <w:pPr>
        <w:rPr>
          <w:lang w:val="es-419"/>
        </w:rPr>
      </w:pPr>
    </w:p>
    <w:p w14:paraId="7F0BA531" w14:textId="112EF168" w:rsidR="004B345C" w:rsidRPr="00067B44" w:rsidRDefault="004B345C" w:rsidP="004B345C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 xml:space="preserve">El TWC recordó que pueden utilizarse los documentos UPOV/INF/16 “Programas informáticos para intercambio” y UPOV/INF/22 “Programas informáticos y equipos utilizados por los miembros de la Unión” para </w:t>
      </w:r>
      <w:r w:rsidR="000C5AAD" w:rsidRPr="00067B44">
        <w:rPr>
          <w:lang w:val="es-419"/>
        </w:rPr>
        <w:t>difundir</w:t>
      </w:r>
      <w:r w:rsidRPr="00067B44">
        <w:rPr>
          <w:lang w:val="es-419"/>
        </w:rPr>
        <w:t xml:space="preserve"> información sobre las novedades comunicadas por China, si procede.</w:t>
      </w:r>
    </w:p>
    <w:p w14:paraId="7CCD52D1" w14:textId="77777777" w:rsidR="004B345C" w:rsidRPr="00067B44" w:rsidRDefault="004B345C" w:rsidP="004B345C">
      <w:pPr>
        <w:rPr>
          <w:lang w:val="es-419"/>
        </w:rPr>
      </w:pPr>
    </w:p>
    <w:p w14:paraId="6BEF0C3E" w14:textId="77777777" w:rsidR="003B7109" w:rsidRPr="00067B44" w:rsidRDefault="003B7109" w:rsidP="003B7109">
      <w:pPr>
        <w:pStyle w:val="Heading2"/>
        <w:rPr>
          <w:lang w:val="es-419"/>
        </w:rPr>
      </w:pPr>
      <w:r w:rsidRPr="00067B44">
        <w:rPr>
          <w:lang w:val="es-419"/>
        </w:rPr>
        <w:t>Servicios en línea prestados por la UPOV</w:t>
      </w:r>
    </w:p>
    <w:p w14:paraId="4CB58B27" w14:textId="77777777" w:rsidR="003B7109" w:rsidRPr="00067B44" w:rsidRDefault="003B7109" w:rsidP="003B7109">
      <w:pPr>
        <w:rPr>
          <w:lang w:val="es-419"/>
        </w:rPr>
      </w:pPr>
    </w:p>
    <w:p w14:paraId="6BA82EE8" w14:textId="0DDC6DAA" w:rsidR="003B7109" w:rsidRPr="00067B44" w:rsidRDefault="003B7109" w:rsidP="003B7109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examinó el documento TWC/37/4 “</w:t>
      </w:r>
      <w:r w:rsidRPr="00067B44">
        <w:rPr>
          <w:i/>
          <w:lang w:val="es-419"/>
        </w:rPr>
        <w:t>Web services provided by UPOV</w:t>
      </w:r>
      <w:r w:rsidRPr="00067B44">
        <w:rPr>
          <w:lang w:val="es-419"/>
        </w:rPr>
        <w:t xml:space="preserve">” (Servicios en línea prestados por la UPOV) y tomó nota de la disponibilidad de servicios en línea para transmitir solicitudes </w:t>
      </w:r>
      <w:r w:rsidR="00E7070F" w:rsidRPr="00067B44">
        <w:rPr>
          <w:lang w:val="es-419"/>
        </w:rPr>
        <w:t>entre UPOV PRISMA y las oficinas de protección de las obtenciones vegetales</w:t>
      </w:r>
      <w:r w:rsidR="000F42A9" w:rsidRPr="00067B44">
        <w:rPr>
          <w:lang w:val="es-419"/>
        </w:rPr>
        <w:t xml:space="preserve"> y, también, tomó nota</w:t>
      </w:r>
      <w:r w:rsidR="00E7070F" w:rsidRPr="00067B44">
        <w:rPr>
          <w:lang w:val="es-419"/>
        </w:rPr>
        <w:t xml:space="preserve"> de </w:t>
      </w:r>
      <w:r w:rsidRPr="00067B44">
        <w:rPr>
          <w:lang w:val="es-419"/>
        </w:rPr>
        <w:t>las modificaciones que se prevé introducir en el futuro en relación con la base de datos GENIE (véase el párrafo 57 del documento</w:t>
      </w:r>
      <w:r w:rsidR="000C5AAD" w:rsidRPr="00067B44">
        <w:rPr>
          <w:lang w:val="es-419"/>
        </w:rPr>
        <w:t> </w:t>
      </w:r>
      <w:r w:rsidRPr="00067B44">
        <w:rPr>
          <w:lang w:val="es-419"/>
        </w:rPr>
        <w:t>TWC/37/12 “</w:t>
      </w:r>
      <w:r w:rsidRPr="00067B44">
        <w:rPr>
          <w:i/>
          <w:lang w:val="es-419"/>
        </w:rPr>
        <w:t>Report</w:t>
      </w:r>
      <w:r w:rsidRPr="00067B44">
        <w:rPr>
          <w:lang w:val="es-419"/>
        </w:rPr>
        <w:t>”).</w:t>
      </w:r>
    </w:p>
    <w:p w14:paraId="2E1C6F05" w14:textId="77777777" w:rsidR="003B7109" w:rsidRPr="00067B44" w:rsidRDefault="003B7109" w:rsidP="003B7109">
      <w:pPr>
        <w:rPr>
          <w:lang w:val="es-419"/>
        </w:rPr>
      </w:pPr>
    </w:p>
    <w:p w14:paraId="13DBECA9" w14:textId="77777777" w:rsidR="006C4A11" w:rsidRPr="00067B44" w:rsidRDefault="00155B72" w:rsidP="00155B72">
      <w:pPr>
        <w:pStyle w:val="Heading2"/>
        <w:rPr>
          <w:snapToGrid w:val="0"/>
          <w:lang w:val="es-419"/>
        </w:rPr>
      </w:pPr>
      <w:r w:rsidRPr="00067B44">
        <w:rPr>
          <w:lang w:val="es-419"/>
        </w:rPr>
        <w:t>Un programa informático para el análisis estadístico: DUS Excel</w:t>
      </w:r>
    </w:p>
    <w:p w14:paraId="7712BAB3" w14:textId="77777777" w:rsidR="006C4A11" w:rsidRPr="00067B44" w:rsidRDefault="006C4A11" w:rsidP="00222950">
      <w:pPr>
        <w:rPr>
          <w:snapToGrid w:val="0"/>
          <w:lang w:val="es-419"/>
        </w:rPr>
      </w:pPr>
    </w:p>
    <w:p w14:paraId="249164C8" w14:textId="20C40274" w:rsidR="00155B72" w:rsidRPr="00067B44" w:rsidRDefault="00155B72" w:rsidP="00155B72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examinó el documento TWC/37/8 y asistió a una ponencia a cargo de un experto de China titulada “Un programa informático para el análisis estadístico: DUS Excel”.</w:t>
      </w:r>
      <w:r w:rsidR="00E01934" w:rsidRPr="00067B44">
        <w:rPr>
          <w:lang w:val="es-419"/>
        </w:rPr>
        <w:t xml:space="preserve"> </w:t>
      </w:r>
      <w:r w:rsidRPr="00067B44">
        <w:rPr>
          <w:lang w:val="es-419"/>
        </w:rPr>
        <w:t>Esta ponencia se reproduce en el Anexo del documento TWC/37/8 (véanse los párrafos 104 y 106 del documento TWC/37/12 “</w:t>
      </w:r>
      <w:r w:rsidRPr="00067B44">
        <w:rPr>
          <w:i/>
          <w:lang w:val="es-419"/>
        </w:rPr>
        <w:t>Report</w:t>
      </w:r>
      <w:r w:rsidRPr="00067B44">
        <w:rPr>
          <w:lang w:val="es-419"/>
        </w:rPr>
        <w:t>”).</w:t>
      </w:r>
    </w:p>
    <w:p w14:paraId="78D41AF4" w14:textId="77777777" w:rsidR="00155B72" w:rsidRPr="00067B44" w:rsidRDefault="00155B72" w:rsidP="00155B72">
      <w:pPr>
        <w:tabs>
          <w:tab w:val="left" w:pos="1312"/>
        </w:tabs>
        <w:rPr>
          <w:lang w:val="es-419"/>
        </w:rPr>
      </w:pPr>
    </w:p>
    <w:p w14:paraId="7C1AFBB9" w14:textId="32933CF8" w:rsidR="00155B72" w:rsidRPr="00067B44" w:rsidRDefault="00155B72" w:rsidP="00155B72">
      <w:pPr>
        <w:tabs>
          <w:tab w:val="left" w:pos="567"/>
        </w:tabs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 TWC analizó la validación del programa informático presentado.</w:t>
      </w:r>
      <w:r w:rsidR="00E01934" w:rsidRPr="00067B44">
        <w:rPr>
          <w:lang w:val="es-419"/>
        </w:rPr>
        <w:t xml:space="preserve"> </w:t>
      </w:r>
      <w:r w:rsidRPr="00067B44">
        <w:rPr>
          <w:lang w:val="es-419"/>
        </w:rPr>
        <w:t xml:space="preserve">Recordó el ejercicio anterior en </w:t>
      </w:r>
      <w:r w:rsidR="000F42A9" w:rsidRPr="00067B44">
        <w:rPr>
          <w:lang w:val="es-419"/>
        </w:rPr>
        <w:t xml:space="preserve">el </w:t>
      </w:r>
      <w:r w:rsidRPr="00067B44">
        <w:rPr>
          <w:lang w:val="es-419"/>
        </w:rPr>
        <w:t>que se compararon los resultados obtenidos con el programa informático de China y otros programas informáticos utilizados por los participantes del TWC.</w:t>
      </w:r>
      <w:r w:rsidR="00E01934" w:rsidRPr="00067B44">
        <w:rPr>
          <w:lang w:val="es-419"/>
        </w:rPr>
        <w:t xml:space="preserve"> </w:t>
      </w:r>
      <w:r w:rsidRPr="00067B44">
        <w:rPr>
          <w:lang w:val="es-419"/>
        </w:rPr>
        <w:t xml:space="preserve">El TWC tomó nota del ofrecimiento del Reino Unido de proporcionar un conjunto de datos comunes a China, Francia y Kenya, a efectos de comparar los resultados de los procedimientos COYD y COYU obtenidos con diferentes programas informáticos. </w:t>
      </w:r>
    </w:p>
    <w:p w14:paraId="3237D66D" w14:textId="77777777" w:rsidR="00155B72" w:rsidRPr="00067B44" w:rsidRDefault="00155B72" w:rsidP="00155B72">
      <w:pPr>
        <w:tabs>
          <w:tab w:val="left" w:pos="1312"/>
        </w:tabs>
        <w:rPr>
          <w:lang w:val="es-419"/>
        </w:rPr>
      </w:pPr>
    </w:p>
    <w:p w14:paraId="2329F4EE" w14:textId="33492065" w:rsidR="00155B72" w:rsidRPr="00067B44" w:rsidRDefault="00155B72" w:rsidP="000F42A9">
      <w:pPr>
        <w:tabs>
          <w:tab w:val="left" w:pos="567"/>
        </w:tabs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tomó nota del ofrecimiento de China de poner el programa informático a disposición de otros miembros de la UPOV.</w:t>
      </w:r>
      <w:r w:rsidR="00E01934" w:rsidRPr="00067B44">
        <w:rPr>
          <w:lang w:val="es-419"/>
        </w:rPr>
        <w:t xml:space="preserve"> </w:t>
      </w:r>
      <w:r w:rsidR="000F42A9" w:rsidRPr="00067B44">
        <w:rPr>
          <w:lang w:val="es-419"/>
        </w:rPr>
        <w:t>E</w:t>
      </w:r>
      <w:r w:rsidRPr="00067B44">
        <w:rPr>
          <w:lang w:val="es-419"/>
        </w:rPr>
        <w:t>l TWC</w:t>
      </w:r>
      <w:r w:rsidR="000F42A9" w:rsidRPr="00067B44">
        <w:rPr>
          <w:lang w:val="es-419"/>
        </w:rPr>
        <w:t xml:space="preserve"> también</w:t>
      </w:r>
      <w:r w:rsidRPr="00067B44">
        <w:rPr>
          <w:lang w:val="es-419"/>
        </w:rPr>
        <w:t xml:space="preserve"> tomó nota de que la interfaz de usuario está disponible en chino y en inglés, mientras que el manual del usuario se ha publicado únicamente en chino.</w:t>
      </w:r>
      <w:r w:rsidR="00E01934" w:rsidRPr="00067B44">
        <w:rPr>
          <w:lang w:val="es-419"/>
        </w:rPr>
        <w:t xml:space="preserve"> </w:t>
      </w:r>
      <w:r w:rsidR="000F42A9" w:rsidRPr="00067B44">
        <w:rPr>
          <w:lang w:val="es-419"/>
        </w:rPr>
        <w:t>Además, el TWC</w:t>
      </w:r>
      <w:r w:rsidRPr="00067B44">
        <w:rPr>
          <w:lang w:val="es-419"/>
        </w:rPr>
        <w:t xml:space="preserve"> tomó nota del ofrecimiento de los Estados Unidos de América de traducir una descripción breve del sistema para evaluar el interés en que se traduzca todo el manual del usuario.</w:t>
      </w:r>
    </w:p>
    <w:p w14:paraId="1BA6266E" w14:textId="77777777" w:rsidR="00155B72" w:rsidRPr="00067B44" w:rsidRDefault="00155B72" w:rsidP="00155B72">
      <w:pPr>
        <w:rPr>
          <w:lang w:val="es-419"/>
        </w:rPr>
      </w:pPr>
    </w:p>
    <w:p w14:paraId="501D06E1" w14:textId="77777777" w:rsidR="00155B72" w:rsidRPr="00067B44" w:rsidRDefault="00155B72" w:rsidP="0039169C">
      <w:pPr>
        <w:pStyle w:val="Heading2"/>
        <w:rPr>
          <w:lang w:val="es-419"/>
        </w:rPr>
      </w:pPr>
      <w:r w:rsidRPr="00067B44">
        <w:rPr>
          <w:lang w:val="es-419"/>
        </w:rPr>
        <w:t>Creación de una base de datos con información sobre marcadores moleculares para la gestión de las colecciones de variedades</w:t>
      </w:r>
    </w:p>
    <w:p w14:paraId="049DB311" w14:textId="77777777" w:rsidR="00155B72" w:rsidRPr="00067B44" w:rsidRDefault="00155B72" w:rsidP="00155B72">
      <w:pPr>
        <w:rPr>
          <w:lang w:val="es-419"/>
        </w:rPr>
      </w:pPr>
    </w:p>
    <w:p w14:paraId="30EB5809" w14:textId="3805B158" w:rsidR="00155B72" w:rsidRPr="00067B44" w:rsidRDefault="00155B72" w:rsidP="00155B72">
      <w:pPr>
        <w:rPr>
          <w:lang w:val="es-419"/>
        </w:rPr>
      </w:pPr>
      <w:r w:rsidRPr="00067B44">
        <w:rPr>
          <w:lang w:val="es-419"/>
        </w:rPr>
        <w:fldChar w:fldCharType="begin"/>
      </w:r>
      <w:r w:rsidRPr="00067B44">
        <w:rPr>
          <w:lang w:val="es-419"/>
        </w:rPr>
        <w:instrText xml:space="preserve"> AUTONUM  </w:instrText>
      </w:r>
      <w:r w:rsidRPr="00067B44">
        <w:rPr>
          <w:lang w:val="es-419"/>
        </w:rPr>
        <w:fldChar w:fldCharType="end"/>
      </w:r>
      <w:r w:rsidRPr="00067B44">
        <w:rPr>
          <w:lang w:val="es-419"/>
        </w:rPr>
        <w:tab/>
        <w:t>El TWC examinó el documento TWC/37/6 y asistió a una ponencia a cargo de un experto de China titulada “Sistema de gestión de bases de datos de huella</w:t>
      </w:r>
      <w:r w:rsidR="00E01934" w:rsidRPr="00067B44">
        <w:rPr>
          <w:lang w:val="es-419"/>
        </w:rPr>
        <w:t>s</w:t>
      </w:r>
      <w:r w:rsidRPr="00067B44">
        <w:rPr>
          <w:lang w:val="es-419"/>
        </w:rPr>
        <w:t xml:space="preserve"> fitogenética</w:t>
      </w:r>
      <w:r w:rsidR="00E01934" w:rsidRPr="00067B44">
        <w:rPr>
          <w:lang w:val="es-419"/>
        </w:rPr>
        <w:t>s</w:t>
      </w:r>
      <w:r w:rsidRPr="00067B44">
        <w:rPr>
          <w:lang w:val="es-419"/>
        </w:rPr>
        <w:t>”.</w:t>
      </w:r>
      <w:r w:rsidR="00E01934" w:rsidRPr="00067B44">
        <w:rPr>
          <w:lang w:val="es-419"/>
        </w:rPr>
        <w:t xml:space="preserve"> </w:t>
      </w:r>
      <w:r w:rsidRPr="00067B44">
        <w:rPr>
          <w:lang w:val="es-419"/>
        </w:rPr>
        <w:t>Esta ponencia se reproduce en el</w:t>
      </w:r>
      <w:r w:rsidR="00E01934" w:rsidRPr="00067B44">
        <w:rPr>
          <w:lang w:val="es-419"/>
        </w:rPr>
        <w:t> </w:t>
      </w:r>
      <w:r w:rsidRPr="00067B44">
        <w:rPr>
          <w:lang w:val="es-419"/>
        </w:rPr>
        <w:t>Anexo del documento TWC/37/6 (véase el párrafo 113 del documento TWC/37/12 “</w:t>
      </w:r>
      <w:r w:rsidRPr="00067B44">
        <w:rPr>
          <w:i/>
          <w:lang w:val="es-419"/>
        </w:rPr>
        <w:t>Report</w:t>
      </w:r>
      <w:r w:rsidRPr="00067B44">
        <w:rPr>
          <w:lang w:val="es-419"/>
        </w:rPr>
        <w:t>”).</w:t>
      </w:r>
    </w:p>
    <w:p w14:paraId="4F9D2856" w14:textId="77777777" w:rsidR="00155B72" w:rsidRPr="00067B44" w:rsidRDefault="00155B72" w:rsidP="00155B72">
      <w:pPr>
        <w:rPr>
          <w:lang w:val="es-419"/>
        </w:rPr>
      </w:pPr>
    </w:p>
    <w:p w14:paraId="5B2147A1" w14:textId="77777777" w:rsidR="00816846" w:rsidRPr="00067B44" w:rsidRDefault="00816846" w:rsidP="00155B72">
      <w:pPr>
        <w:rPr>
          <w:lang w:val="es-419"/>
        </w:rPr>
      </w:pPr>
    </w:p>
    <w:p w14:paraId="26C5C3E8" w14:textId="77777777" w:rsidR="00222950" w:rsidRPr="00067B44" w:rsidRDefault="00222950" w:rsidP="00CA71B1">
      <w:pPr>
        <w:jc w:val="right"/>
        <w:rPr>
          <w:snapToGrid w:val="0"/>
          <w:lang w:val="es-419"/>
        </w:rPr>
      </w:pPr>
    </w:p>
    <w:p w14:paraId="0BF95BA6" w14:textId="77777777" w:rsidR="00671852" w:rsidRPr="00067B44" w:rsidRDefault="00397D83" w:rsidP="00CA71B1">
      <w:pPr>
        <w:jc w:val="right"/>
        <w:rPr>
          <w:lang w:val="es-419"/>
        </w:rPr>
      </w:pPr>
      <w:r w:rsidRPr="00067B44">
        <w:rPr>
          <w:lang w:val="es-419"/>
        </w:rPr>
        <w:t>[Fin del documento]</w:t>
      </w:r>
    </w:p>
    <w:sectPr w:rsidR="00671852" w:rsidRPr="00067B44" w:rsidSect="00CA71B1">
      <w:headerReference w:type="default" r:id="rId9"/>
      <w:pgSz w:w="11907" w:h="16840"/>
      <w:pgMar w:top="567" w:right="1134" w:bottom="102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4E3FF" w14:textId="77777777" w:rsidR="00D57AFC" w:rsidRDefault="00D57AFC" w:rsidP="006655D3">
      <w:r>
        <w:separator/>
      </w:r>
    </w:p>
    <w:p w14:paraId="1D6B9664" w14:textId="77777777" w:rsidR="00D57AFC" w:rsidRDefault="00D57AFC" w:rsidP="006655D3"/>
    <w:p w14:paraId="43752B68" w14:textId="77777777" w:rsidR="00D57AFC" w:rsidRDefault="00D57AFC" w:rsidP="006655D3"/>
  </w:endnote>
  <w:endnote w:type="continuationSeparator" w:id="0">
    <w:p w14:paraId="398B5D1E" w14:textId="77777777" w:rsidR="00D57AFC" w:rsidRDefault="00D57AFC" w:rsidP="006655D3">
      <w:r>
        <w:separator/>
      </w:r>
    </w:p>
    <w:p w14:paraId="32800A23" w14:textId="77777777" w:rsidR="00D57AFC" w:rsidRPr="00294751" w:rsidRDefault="00D57AF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511B588" w14:textId="77777777" w:rsidR="00D57AFC" w:rsidRPr="00294751" w:rsidRDefault="00D57AFC" w:rsidP="006655D3">
      <w:pPr>
        <w:rPr>
          <w:lang w:val="fr-FR"/>
        </w:rPr>
      </w:pPr>
    </w:p>
    <w:p w14:paraId="436E13EC" w14:textId="77777777" w:rsidR="00D57AFC" w:rsidRPr="00294751" w:rsidRDefault="00D57AFC" w:rsidP="006655D3">
      <w:pPr>
        <w:rPr>
          <w:lang w:val="fr-FR"/>
        </w:rPr>
      </w:pPr>
    </w:p>
  </w:endnote>
  <w:endnote w:type="continuationNotice" w:id="1">
    <w:p w14:paraId="0758B2AA" w14:textId="77777777" w:rsidR="00D57AFC" w:rsidRPr="00294751" w:rsidRDefault="00D57AF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0CACAF1" w14:textId="77777777" w:rsidR="00D57AFC" w:rsidRPr="00294751" w:rsidRDefault="00D57AFC" w:rsidP="006655D3">
      <w:pPr>
        <w:rPr>
          <w:lang w:val="fr-FR"/>
        </w:rPr>
      </w:pPr>
    </w:p>
    <w:p w14:paraId="2ED87FAE" w14:textId="77777777" w:rsidR="00D57AFC" w:rsidRPr="00294751" w:rsidRDefault="00D57AF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D46BA" w14:textId="77777777" w:rsidR="00D57AFC" w:rsidRDefault="00D57AFC" w:rsidP="006655D3">
      <w:r>
        <w:separator/>
      </w:r>
    </w:p>
  </w:footnote>
  <w:footnote w:type="continuationSeparator" w:id="0">
    <w:p w14:paraId="46701C71" w14:textId="77777777" w:rsidR="00D57AFC" w:rsidRDefault="00D57AFC" w:rsidP="006655D3">
      <w:r>
        <w:separator/>
      </w:r>
    </w:p>
  </w:footnote>
  <w:footnote w:type="continuationNotice" w:id="1">
    <w:p w14:paraId="54B95F26" w14:textId="77777777" w:rsidR="00D57AFC" w:rsidRPr="00AB530F" w:rsidRDefault="00D57AF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CA8D1" w14:textId="77777777" w:rsidR="00E25A70" w:rsidRPr="008A3E38" w:rsidRDefault="00E25A70" w:rsidP="00EB048E">
    <w:pPr>
      <w:pStyle w:val="Header"/>
      <w:rPr>
        <w:rStyle w:val="PageNumber"/>
      </w:rPr>
    </w:pPr>
    <w:r>
      <w:rPr>
        <w:rStyle w:val="PageNumber"/>
      </w:rPr>
      <w:t>TC/55/3 Add.</w:t>
    </w:r>
  </w:p>
  <w:p w14:paraId="7F553B41" w14:textId="07D0CFC0" w:rsidR="00CA71B1" w:rsidRPr="00C62912" w:rsidRDefault="00B233F9" w:rsidP="00CA71B1">
    <w:pPr>
      <w:pStyle w:val="Header"/>
    </w:pPr>
    <w:r>
      <w:t xml:space="preserve">página </w:t>
    </w:r>
    <w:r w:rsidR="00CA71B1" w:rsidRPr="00C5280D">
      <w:rPr>
        <w:rStyle w:val="PageNumber"/>
      </w:rPr>
      <w:fldChar w:fldCharType="begin"/>
    </w:r>
    <w:r w:rsidR="00CA71B1" w:rsidRPr="00C62912">
      <w:rPr>
        <w:rStyle w:val="PageNumber"/>
      </w:rPr>
      <w:instrText xml:space="preserve"> PAGE </w:instrText>
    </w:r>
    <w:r w:rsidR="00CA71B1" w:rsidRPr="00C5280D">
      <w:rPr>
        <w:rStyle w:val="PageNumber"/>
      </w:rPr>
      <w:fldChar w:fldCharType="separate"/>
    </w:r>
    <w:r w:rsidR="002114C7">
      <w:rPr>
        <w:rStyle w:val="PageNumber"/>
        <w:noProof/>
      </w:rPr>
      <w:t>2</w:t>
    </w:r>
    <w:r w:rsidR="00CA71B1" w:rsidRPr="00C5280D">
      <w:rPr>
        <w:rStyle w:val="PageNumber"/>
      </w:rPr>
      <w:fldChar w:fldCharType="end"/>
    </w:r>
  </w:p>
  <w:p w14:paraId="03CF2AF2" w14:textId="77777777" w:rsidR="00E25A70" w:rsidRPr="008A3E38" w:rsidRDefault="00E25A70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0D0"/>
    <w:multiLevelType w:val="hybridMultilevel"/>
    <w:tmpl w:val="0CBE3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E49CC"/>
    <w:multiLevelType w:val="hybridMultilevel"/>
    <w:tmpl w:val="B730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6DB3"/>
    <w:multiLevelType w:val="hybridMultilevel"/>
    <w:tmpl w:val="82BE4666"/>
    <w:lvl w:ilvl="0" w:tplc="0409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A0844"/>
    <w:multiLevelType w:val="hybridMultilevel"/>
    <w:tmpl w:val="8590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B2F6E"/>
    <w:multiLevelType w:val="hybridMultilevel"/>
    <w:tmpl w:val="B5D4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F1EA3"/>
    <w:multiLevelType w:val="hybridMultilevel"/>
    <w:tmpl w:val="2F1E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C79F9"/>
    <w:multiLevelType w:val="hybridMultilevel"/>
    <w:tmpl w:val="4C2C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9342C"/>
    <w:multiLevelType w:val="hybridMultilevel"/>
    <w:tmpl w:val="85D6F8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012E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7B44"/>
    <w:rsid w:val="00085505"/>
    <w:rsid w:val="000970DC"/>
    <w:rsid w:val="000A276E"/>
    <w:rsid w:val="000B794A"/>
    <w:rsid w:val="000C4E25"/>
    <w:rsid w:val="000C5AAD"/>
    <w:rsid w:val="000C7021"/>
    <w:rsid w:val="000D3268"/>
    <w:rsid w:val="000D368A"/>
    <w:rsid w:val="000D6BBC"/>
    <w:rsid w:val="000D6D0A"/>
    <w:rsid w:val="000D7780"/>
    <w:rsid w:val="000E636A"/>
    <w:rsid w:val="000F2F11"/>
    <w:rsid w:val="000F42A9"/>
    <w:rsid w:val="00105929"/>
    <w:rsid w:val="0010755F"/>
    <w:rsid w:val="00110C36"/>
    <w:rsid w:val="001131D5"/>
    <w:rsid w:val="00123756"/>
    <w:rsid w:val="00141DB8"/>
    <w:rsid w:val="00155B72"/>
    <w:rsid w:val="00166BA4"/>
    <w:rsid w:val="00172084"/>
    <w:rsid w:val="0017474A"/>
    <w:rsid w:val="001758C6"/>
    <w:rsid w:val="00182B99"/>
    <w:rsid w:val="001C44C0"/>
    <w:rsid w:val="001C4EC1"/>
    <w:rsid w:val="002114C7"/>
    <w:rsid w:val="0021332C"/>
    <w:rsid w:val="00213982"/>
    <w:rsid w:val="00222950"/>
    <w:rsid w:val="0024416D"/>
    <w:rsid w:val="00244757"/>
    <w:rsid w:val="00260E33"/>
    <w:rsid w:val="002704BE"/>
    <w:rsid w:val="00271911"/>
    <w:rsid w:val="00274A4D"/>
    <w:rsid w:val="002800A0"/>
    <w:rsid w:val="002801B3"/>
    <w:rsid w:val="00281060"/>
    <w:rsid w:val="002940E8"/>
    <w:rsid w:val="00294751"/>
    <w:rsid w:val="0029690D"/>
    <w:rsid w:val="002A6E50"/>
    <w:rsid w:val="002B4298"/>
    <w:rsid w:val="002B6F79"/>
    <w:rsid w:val="002C256A"/>
    <w:rsid w:val="002E65B0"/>
    <w:rsid w:val="002F1989"/>
    <w:rsid w:val="002F77C1"/>
    <w:rsid w:val="00304827"/>
    <w:rsid w:val="00305A7F"/>
    <w:rsid w:val="003152FE"/>
    <w:rsid w:val="00327436"/>
    <w:rsid w:val="003401F8"/>
    <w:rsid w:val="00344BD6"/>
    <w:rsid w:val="00353F13"/>
    <w:rsid w:val="0035528D"/>
    <w:rsid w:val="00361821"/>
    <w:rsid w:val="00361E9E"/>
    <w:rsid w:val="0039169C"/>
    <w:rsid w:val="00397D83"/>
    <w:rsid w:val="003A58AB"/>
    <w:rsid w:val="003B7109"/>
    <w:rsid w:val="003C52A2"/>
    <w:rsid w:val="003C7FBE"/>
    <w:rsid w:val="003D227C"/>
    <w:rsid w:val="003D2B4D"/>
    <w:rsid w:val="0043294B"/>
    <w:rsid w:val="00442107"/>
    <w:rsid w:val="00444A88"/>
    <w:rsid w:val="0045053E"/>
    <w:rsid w:val="00472ACF"/>
    <w:rsid w:val="00474DA4"/>
    <w:rsid w:val="00476B4D"/>
    <w:rsid w:val="004805FA"/>
    <w:rsid w:val="004935D2"/>
    <w:rsid w:val="004B1215"/>
    <w:rsid w:val="004B345C"/>
    <w:rsid w:val="004D047D"/>
    <w:rsid w:val="004F1E9E"/>
    <w:rsid w:val="004F305A"/>
    <w:rsid w:val="00512164"/>
    <w:rsid w:val="00520297"/>
    <w:rsid w:val="005338F9"/>
    <w:rsid w:val="00535F56"/>
    <w:rsid w:val="00540C52"/>
    <w:rsid w:val="0054281C"/>
    <w:rsid w:val="00544581"/>
    <w:rsid w:val="00545123"/>
    <w:rsid w:val="0055268D"/>
    <w:rsid w:val="00553EB4"/>
    <w:rsid w:val="005550A4"/>
    <w:rsid w:val="00576BE4"/>
    <w:rsid w:val="0059212A"/>
    <w:rsid w:val="005A400A"/>
    <w:rsid w:val="005D2FE1"/>
    <w:rsid w:val="005F7B92"/>
    <w:rsid w:val="00601B3C"/>
    <w:rsid w:val="006060A5"/>
    <w:rsid w:val="00612379"/>
    <w:rsid w:val="006153B6"/>
    <w:rsid w:val="00615429"/>
    <w:rsid w:val="0061555F"/>
    <w:rsid w:val="00627A8C"/>
    <w:rsid w:val="00636CA6"/>
    <w:rsid w:val="00641200"/>
    <w:rsid w:val="00645CA8"/>
    <w:rsid w:val="006655D3"/>
    <w:rsid w:val="00667404"/>
    <w:rsid w:val="00671852"/>
    <w:rsid w:val="006773E5"/>
    <w:rsid w:val="00687EB4"/>
    <w:rsid w:val="00695C56"/>
    <w:rsid w:val="006A5CDE"/>
    <w:rsid w:val="006A644A"/>
    <w:rsid w:val="006A69B6"/>
    <w:rsid w:val="006B17D2"/>
    <w:rsid w:val="006C11EA"/>
    <w:rsid w:val="006C224E"/>
    <w:rsid w:val="006C4A11"/>
    <w:rsid w:val="006D7435"/>
    <w:rsid w:val="006D780A"/>
    <w:rsid w:val="006E2343"/>
    <w:rsid w:val="00701F1E"/>
    <w:rsid w:val="0071271E"/>
    <w:rsid w:val="007131F0"/>
    <w:rsid w:val="00732DEC"/>
    <w:rsid w:val="00735BD5"/>
    <w:rsid w:val="007371B7"/>
    <w:rsid w:val="00744D56"/>
    <w:rsid w:val="00751613"/>
    <w:rsid w:val="007556F6"/>
    <w:rsid w:val="007557F1"/>
    <w:rsid w:val="00755FCE"/>
    <w:rsid w:val="00760EEF"/>
    <w:rsid w:val="00777EE5"/>
    <w:rsid w:val="00784635"/>
    <w:rsid w:val="00784836"/>
    <w:rsid w:val="0079023E"/>
    <w:rsid w:val="007A2854"/>
    <w:rsid w:val="007A4840"/>
    <w:rsid w:val="007C1D92"/>
    <w:rsid w:val="007C4CB9"/>
    <w:rsid w:val="007D0B9D"/>
    <w:rsid w:val="007D19B0"/>
    <w:rsid w:val="007F498F"/>
    <w:rsid w:val="0080679D"/>
    <w:rsid w:val="008108B0"/>
    <w:rsid w:val="00811B20"/>
    <w:rsid w:val="00816846"/>
    <w:rsid w:val="008211B5"/>
    <w:rsid w:val="0082271C"/>
    <w:rsid w:val="0082296E"/>
    <w:rsid w:val="00824099"/>
    <w:rsid w:val="008314A8"/>
    <w:rsid w:val="00846D7C"/>
    <w:rsid w:val="00850FD4"/>
    <w:rsid w:val="00853022"/>
    <w:rsid w:val="00867AC1"/>
    <w:rsid w:val="00872256"/>
    <w:rsid w:val="00890DF8"/>
    <w:rsid w:val="00897E98"/>
    <w:rsid w:val="008A3E38"/>
    <w:rsid w:val="008A743F"/>
    <w:rsid w:val="008B6E60"/>
    <w:rsid w:val="008C0970"/>
    <w:rsid w:val="008D0BC5"/>
    <w:rsid w:val="008D1C86"/>
    <w:rsid w:val="008D2CF7"/>
    <w:rsid w:val="008D7E86"/>
    <w:rsid w:val="008E40A6"/>
    <w:rsid w:val="008E4F12"/>
    <w:rsid w:val="00900C26"/>
    <w:rsid w:val="0090197F"/>
    <w:rsid w:val="00906DDC"/>
    <w:rsid w:val="009250AA"/>
    <w:rsid w:val="00934E09"/>
    <w:rsid w:val="00936253"/>
    <w:rsid w:val="00940D46"/>
    <w:rsid w:val="00952DD4"/>
    <w:rsid w:val="0096250C"/>
    <w:rsid w:val="00965AE7"/>
    <w:rsid w:val="00970FED"/>
    <w:rsid w:val="00973C53"/>
    <w:rsid w:val="00992D82"/>
    <w:rsid w:val="00997029"/>
    <w:rsid w:val="009A7339"/>
    <w:rsid w:val="009B0CB9"/>
    <w:rsid w:val="009B440E"/>
    <w:rsid w:val="009B704D"/>
    <w:rsid w:val="009D690D"/>
    <w:rsid w:val="009E18D2"/>
    <w:rsid w:val="009E5D02"/>
    <w:rsid w:val="009E65B6"/>
    <w:rsid w:val="009F5853"/>
    <w:rsid w:val="00A04A26"/>
    <w:rsid w:val="00A211E8"/>
    <w:rsid w:val="00A24C10"/>
    <w:rsid w:val="00A336E9"/>
    <w:rsid w:val="00A37C2B"/>
    <w:rsid w:val="00A42AC3"/>
    <w:rsid w:val="00A430CF"/>
    <w:rsid w:val="00A54309"/>
    <w:rsid w:val="00A92FA3"/>
    <w:rsid w:val="00A930DD"/>
    <w:rsid w:val="00AA0DEF"/>
    <w:rsid w:val="00AA1C00"/>
    <w:rsid w:val="00AB2B93"/>
    <w:rsid w:val="00AB530F"/>
    <w:rsid w:val="00AB7E5B"/>
    <w:rsid w:val="00AC2883"/>
    <w:rsid w:val="00AC5F56"/>
    <w:rsid w:val="00AE0EF1"/>
    <w:rsid w:val="00AE2937"/>
    <w:rsid w:val="00AF0EAD"/>
    <w:rsid w:val="00B03A49"/>
    <w:rsid w:val="00B07301"/>
    <w:rsid w:val="00B11F3E"/>
    <w:rsid w:val="00B224DE"/>
    <w:rsid w:val="00B233F9"/>
    <w:rsid w:val="00B324D4"/>
    <w:rsid w:val="00B46575"/>
    <w:rsid w:val="00B556C7"/>
    <w:rsid w:val="00B61777"/>
    <w:rsid w:val="00B84BBD"/>
    <w:rsid w:val="00B93B4F"/>
    <w:rsid w:val="00BA43FB"/>
    <w:rsid w:val="00BB4DB2"/>
    <w:rsid w:val="00BC127D"/>
    <w:rsid w:val="00BC1FE6"/>
    <w:rsid w:val="00BC5EB0"/>
    <w:rsid w:val="00BC700C"/>
    <w:rsid w:val="00C061B6"/>
    <w:rsid w:val="00C2446C"/>
    <w:rsid w:val="00C36AE5"/>
    <w:rsid w:val="00C41F17"/>
    <w:rsid w:val="00C504C2"/>
    <w:rsid w:val="00C527FA"/>
    <w:rsid w:val="00C5280D"/>
    <w:rsid w:val="00C53EB3"/>
    <w:rsid w:val="00C5791C"/>
    <w:rsid w:val="00C62CCD"/>
    <w:rsid w:val="00C66290"/>
    <w:rsid w:val="00C72B7A"/>
    <w:rsid w:val="00C763B8"/>
    <w:rsid w:val="00C973F2"/>
    <w:rsid w:val="00CA304C"/>
    <w:rsid w:val="00CA71B1"/>
    <w:rsid w:val="00CA774A"/>
    <w:rsid w:val="00CC11B0"/>
    <w:rsid w:val="00CC2841"/>
    <w:rsid w:val="00CF1330"/>
    <w:rsid w:val="00CF7E36"/>
    <w:rsid w:val="00D10B2E"/>
    <w:rsid w:val="00D3708D"/>
    <w:rsid w:val="00D40426"/>
    <w:rsid w:val="00D40C9F"/>
    <w:rsid w:val="00D57AFC"/>
    <w:rsid w:val="00D57C96"/>
    <w:rsid w:val="00D57D18"/>
    <w:rsid w:val="00D66782"/>
    <w:rsid w:val="00D7614C"/>
    <w:rsid w:val="00D827B7"/>
    <w:rsid w:val="00D909E3"/>
    <w:rsid w:val="00D91203"/>
    <w:rsid w:val="00D95174"/>
    <w:rsid w:val="00DA4973"/>
    <w:rsid w:val="00DA6F36"/>
    <w:rsid w:val="00DB1534"/>
    <w:rsid w:val="00DB2FE8"/>
    <w:rsid w:val="00DB596E"/>
    <w:rsid w:val="00DB7773"/>
    <w:rsid w:val="00DC00EA"/>
    <w:rsid w:val="00DC0EFC"/>
    <w:rsid w:val="00DC2A56"/>
    <w:rsid w:val="00DC3802"/>
    <w:rsid w:val="00E01934"/>
    <w:rsid w:val="00E07D87"/>
    <w:rsid w:val="00E25A70"/>
    <w:rsid w:val="00E32F7E"/>
    <w:rsid w:val="00E47F79"/>
    <w:rsid w:val="00E5267B"/>
    <w:rsid w:val="00E63C0E"/>
    <w:rsid w:val="00E6777A"/>
    <w:rsid w:val="00E7070F"/>
    <w:rsid w:val="00E72D49"/>
    <w:rsid w:val="00E7593C"/>
    <w:rsid w:val="00E7678A"/>
    <w:rsid w:val="00E77198"/>
    <w:rsid w:val="00E935F1"/>
    <w:rsid w:val="00E94A81"/>
    <w:rsid w:val="00EA1FFB"/>
    <w:rsid w:val="00EB048E"/>
    <w:rsid w:val="00EB4E9C"/>
    <w:rsid w:val="00EE34DF"/>
    <w:rsid w:val="00EE62A8"/>
    <w:rsid w:val="00EF2F89"/>
    <w:rsid w:val="00F03E98"/>
    <w:rsid w:val="00F06C29"/>
    <w:rsid w:val="00F1237A"/>
    <w:rsid w:val="00F22CBD"/>
    <w:rsid w:val="00F272F1"/>
    <w:rsid w:val="00F343B8"/>
    <w:rsid w:val="00F43046"/>
    <w:rsid w:val="00F45372"/>
    <w:rsid w:val="00F52059"/>
    <w:rsid w:val="00F560F7"/>
    <w:rsid w:val="00F6334D"/>
    <w:rsid w:val="00FA49AB"/>
    <w:rsid w:val="00FE39C7"/>
    <w:rsid w:val="00FF07D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3039483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6773E5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s-ES" w:bidi="es-ES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s-ES" w:bidi="es-ES"/>
    </w:rPr>
  </w:style>
  <w:style w:type="paragraph" w:styleId="TOC2">
    <w:name w:val="toc 2"/>
    <w:basedOn w:val="Normal"/>
    <w:next w:val="Normal"/>
    <w:autoRedefine/>
    <w:uiPriority w:val="39"/>
    <w:rsid w:val="00853022"/>
    <w:pPr>
      <w:ind w:left="284" w:right="-1"/>
      <w:contextualSpacing/>
    </w:pPr>
    <w:rPr>
      <w:sz w:val="18"/>
    </w:rPr>
  </w:style>
  <w:style w:type="paragraph" w:styleId="TOC3">
    <w:name w:val="toc 3"/>
    <w:next w:val="Normal"/>
    <w:autoRedefine/>
    <w:uiPriority w:val="39"/>
    <w:rsid w:val="00E47F79"/>
    <w:pPr>
      <w:tabs>
        <w:tab w:val="right" w:leader="dot" w:pos="9639"/>
      </w:tabs>
      <w:spacing w:before="120"/>
      <w:ind w:left="568" w:right="-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rsid w:val="00D10B2E"/>
    <w:pPr>
      <w:tabs>
        <w:tab w:val="right" w:leader="dot" w:pos="9356"/>
      </w:tabs>
      <w:spacing w:before="60"/>
      <w:ind w:right="-1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97D8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66782"/>
    <w:rPr>
      <w:rFonts w:ascii="Arial" w:hAnsi="Arial"/>
      <w:lang w:val="es-ES"/>
    </w:rPr>
  </w:style>
  <w:style w:type="character" w:customStyle="1" w:styleId="Heading2Char">
    <w:name w:val="Heading 2 Char"/>
    <w:aliases w:val="VARIETY Char,variety Char"/>
    <w:link w:val="Heading2"/>
    <w:locked/>
    <w:rsid w:val="00AA1C00"/>
    <w:rPr>
      <w:rFonts w:ascii="Arial" w:hAnsi="Arial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03A4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4B345C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7E34-A666-4921-9FDB-D03B6F29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TC/55/3</vt:lpstr>
      <vt:lpstr>TC/55/3</vt:lpstr>
    </vt:vector>
  </TitlesOfParts>
  <Company>UPOV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TC/55/3</dc:title>
  <dc:creator>SANCHEZ VIZCAINO GOMEZ Rosa Maria</dc:creator>
  <cp:lastModifiedBy>MAY Jessica</cp:lastModifiedBy>
  <cp:revision>2</cp:revision>
  <cp:lastPrinted>2016-11-22T15:41:00Z</cp:lastPrinted>
  <dcterms:created xsi:type="dcterms:W3CDTF">2019-11-11T10:49:00Z</dcterms:created>
  <dcterms:modified xsi:type="dcterms:W3CDTF">2019-11-11T10:49:00Z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d67b3968-f356-4e11-b980-4d43ee152a3d</vt:lpwstr>
  </property>
</Properties>
</file>