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24357" w14:paraId="444F2E99" w14:textId="77777777" w:rsidTr="00EB4E9C">
        <w:tc>
          <w:tcPr>
            <w:tcW w:w="6522" w:type="dxa"/>
          </w:tcPr>
          <w:p w14:paraId="44C86DA2" w14:textId="77777777" w:rsidR="00DC3802" w:rsidRPr="00824357" w:rsidRDefault="00DC3802" w:rsidP="00AC2883">
            <w:r>
              <w:rPr>
                <w:noProof/>
                <w:lang w:val="en-US" w:eastAsia="en-US" w:bidi="ar-SA"/>
              </w:rPr>
              <w:drawing>
                <wp:inline distT="0" distB="0" distL="0" distR="0" wp14:anchorId="50CB7B01" wp14:editId="293AADD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22A635" w14:textId="77777777" w:rsidR="00DC3802" w:rsidRPr="00824357" w:rsidRDefault="00963B6C" w:rsidP="00AC2883">
            <w:pPr>
              <w:pStyle w:val="Lettrine"/>
            </w:pPr>
            <w:r>
              <w:t>S</w:t>
            </w:r>
          </w:p>
        </w:tc>
      </w:tr>
      <w:tr w:rsidR="00DC3802" w:rsidRPr="00963B6C" w14:paraId="78A96342" w14:textId="77777777" w:rsidTr="00645CA8">
        <w:trPr>
          <w:trHeight w:val="219"/>
        </w:trPr>
        <w:tc>
          <w:tcPr>
            <w:tcW w:w="6522" w:type="dxa"/>
          </w:tcPr>
          <w:p w14:paraId="2CBB7A47" w14:textId="77777777" w:rsidR="00DC3802" w:rsidRPr="00963B6C" w:rsidRDefault="00963B6C" w:rsidP="00AC2883">
            <w:pPr>
              <w:pStyle w:val="upove"/>
            </w:pPr>
            <w:r>
              <w:t>Unión Internacional para la Protección de las Obtenciones Vegetales</w:t>
            </w:r>
          </w:p>
        </w:tc>
        <w:tc>
          <w:tcPr>
            <w:tcW w:w="3117" w:type="dxa"/>
          </w:tcPr>
          <w:p w14:paraId="2F4EAF57" w14:textId="77777777" w:rsidR="00DC3802" w:rsidRPr="00963B6C" w:rsidRDefault="00DC3802" w:rsidP="00DA4973"/>
        </w:tc>
      </w:tr>
    </w:tbl>
    <w:p w14:paraId="1551E632" w14:textId="77777777" w:rsidR="00DC3802" w:rsidRPr="00963B6C" w:rsidRDefault="00DC3802" w:rsidP="00DC3802"/>
    <w:p w14:paraId="01F8D287" w14:textId="77777777" w:rsidR="00DA4973" w:rsidRPr="00963B6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63B6C" w14:paraId="55F8546F" w14:textId="77777777" w:rsidTr="00EB4E9C">
        <w:tc>
          <w:tcPr>
            <w:tcW w:w="6512" w:type="dxa"/>
          </w:tcPr>
          <w:p w14:paraId="41B127A9" w14:textId="77777777" w:rsidR="00963B6C" w:rsidRPr="00AC2883" w:rsidRDefault="00963B6C" w:rsidP="00963B6C">
            <w:pPr>
              <w:pStyle w:val="Sessiontc"/>
              <w:spacing w:line="240" w:lineRule="auto"/>
            </w:pPr>
            <w:r>
              <w:t>Comité Técnico</w:t>
            </w:r>
          </w:p>
          <w:p w14:paraId="444B5517" w14:textId="77777777" w:rsidR="00EB4E9C" w:rsidRPr="00963B6C" w:rsidRDefault="00963B6C" w:rsidP="00963B6C">
            <w:pPr>
              <w:pStyle w:val="Sessiontcplacedate"/>
              <w:rPr>
                <w:sz w:val="22"/>
              </w:rPr>
            </w:pPr>
            <w:r>
              <w:t>Quincuagésima quinta sesión</w:t>
            </w:r>
            <w:r>
              <w:br/>
              <w:t>Ginebra, 28 y 29 de octubre de 2019</w:t>
            </w:r>
          </w:p>
        </w:tc>
        <w:tc>
          <w:tcPr>
            <w:tcW w:w="3127" w:type="dxa"/>
          </w:tcPr>
          <w:p w14:paraId="190C23E8" w14:textId="77777777" w:rsidR="00EB4E9C" w:rsidRPr="00793E1E" w:rsidRDefault="006D7435" w:rsidP="003C7FBE">
            <w:pPr>
              <w:pStyle w:val="Doccode"/>
            </w:pPr>
            <w:r>
              <w:t>TC/55/25</w:t>
            </w:r>
          </w:p>
          <w:p w14:paraId="01CA38E0" w14:textId="77777777" w:rsidR="00EB4E9C" w:rsidRPr="00963B6C" w:rsidRDefault="00EB4E9C" w:rsidP="003C7FBE">
            <w:pPr>
              <w:pStyle w:val="Docoriginal"/>
            </w:pPr>
            <w:r>
              <w:t>Original:</w:t>
            </w:r>
            <w:r>
              <w:rPr>
                <w:b w:val="0"/>
                <w:spacing w:val="0"/>
              </w:rPr>
              <w:t xml:space="preserve"> Inglés</w:t>
            </w:r>
          </w:p>
          <w:p w14:paraId="45F4A8B0" w14:textId="77777777" w:rsidR="00EB4E9C" w:rsidRPr="00963B6C" w:rsidRDefault="00963B6C" w:rsidP="008E2636">
            <w:pPr>
              <w:pStyle w:val="Docoriginal"/>
            </w:pPr>
            <w:r>
              <w:t>Fecha:</w:t>
            </w:r>
            <w:r>
              <w:rPr>
                <w:b w:val="0"/>
                <w:spacing w:val="0"/>
              </w:rPr>
              <w:t xml:space="preserve"> 29 de octubre de 2019</w:t>
            </w:r>
          </w:p>
        </w:tc>
      </w:tr>
    </w:tbl>
    <w:p w14:paraId="32CC17C4" w14:textId="77777777" w:rsidR="000D7780" w:rsidRPr="00824357" w:rsidRDefault="00AC6B05" w:rsidP="006A644A">
      <w:pPr>
        <w:pStyle w:val="Titleofdoc0"/>
      </w:pPr>
      <w:bookmarkStart w:id="0" w:name="TitleOfDoc"/>
      <w:bookmarkEnd w:id="0"/>
      <w:r>
        <w:t>Informe</w:t>
      </w:r>
    </w:p>
    <w:p w14:paraId="5AB89431" w14:textId="77777777" w:rsidR="006A644A" w:rsidRPr="00824357" w:rsidRDefault="00086C47" w:rsidP="006A644A">
      <w:pPr>
        <w:pStyle w:val="preparedby1"/>
        <w:jc w:val="left"/>
      </w:pPr>
      <w:bookmarkStart w:id="1" w:name="Prepared"/>
      <w:bookmarkEnd w:id="1"/>
      <w:r>
        <w:t>aprobado por el Comité Técnico</w:t>
      </w:r>
    </w:p>
    <w:p w14:paraId="7619FB68" w14:textId="77777777" w:rsidR="00963B6C" w:rsidRPr="00963B6C" w:rsidRDefault="00963B6C" w:rsidP="00963B6C">
      <w:pPr>
        <w:pStyle w:val="Disclaimer"/>
      </w:pPr>
      <w:r>
        <w:t>Descargo de responsabilidad: el presente documento no constituye un documento de política u orientación de la UPOV</w:t>
      </w:r>
    </w:p>
    <w:p w14:paraId="5DCEBC4A" w14:textId="0B5DEE8F" w:rsidR="00136DE9" w:rsidRPr="00824357" w:rsidRDefault="00136DE9" w:rsidP="00136DE9">
      <w:r w:rsidRPr="00824357">
        <w:fldChar w:fldCharType="begin"/>
      </w:r>
      <w:r w:rsidRPr="00824357">
        <w:instrText xml:space="preserve"> AUTONUM  \* Arabic </w:instrText>
      </w:r>
      <w:r w:rsidRPr="00824357">
        <w:fldChar w:fldCharType="end"/>
      </w:r>
      <w:r>
        <w:tab/>
        <w:t>El Comité Técnico (TC) celebró su quincuagésima quinta sesión en Ginebra los días 28 y el 29 de octubre de 2019.</w:t>
      </w:r>
      <w:r w:rsidR="002A0DA3">
        <w:t xml:space="preserve"> </w:t>
      </w:r>
      <w:r>
        <w:t>La lista de participantes figura en el Anexo I del presente documento.</w:t>
      </w:r>
    </w:p>
    <w:p w14:paraId="5F1A584B" w14:textId="77777777" w:rsidR="00136DE9" w:rsidRPr="00824357" w:rsidRDefault="00136DE9" w:rsidP="00136DE9">
      <w:pPr>
        <w:rPr>
          <w:snapToGrid w:val="0"/>
        </w:rPr>
      </w:pPr>
    </w:p>
    <w:p w14:paraId="10BA274A" w14:textId="77777777" w:rsidR="00136DE9" w:rsidRPr="00824357" w:rsidRDefault="00136DE9" w:rsidP="00136DE9">
      <w:r w:rsidRPr="00824357">
        <w:fldChar w:fldCharType="begin"/>
      </w:r>
      <w:r w:rsidRPr="00824357">
        <w:instrText xml:space="preserve"> AUTONUM  \* Arabic </w:instrText>
      </w:r>
      <w:r w:rsidRPr="00824357">
        <w:fldChar w:fldCharType="end"/>
      </w:r>
      <w:r>
        <w:tab/>
        <w:t>Inauguró la sesión el Sr. Kees van Ettekoven (Países Bajos), presidente del TC, quien dio la bienvenida a los participantes.</w:t>
      </w:r>
    </w:p>
    <w:p w14:paraId="508206E4" w14:textId="77777777" w:rsidR="00136DE9" w:rsidRPr="00824357" w:rsidRDefault="00136DE9" w:rsidP="00136DE9">
      <w:pPr>
        <w:rPr>
          <w:snapToGrid w:val="0"/>
        </w:rPr>
      </w:pPr>
    </w:p>
    <w:p w14:paraId="274F3DD5" w14:textId="7BFF927C" w:rsidR="00136DE9" w:rsidRPr="00824357" w:rsidRDefault="00136DE9" w:rsidP="00BA62F5">
      <w:r w:rsidRPr="00824357">
        <w:fldChar w:fldCharType="begin"/>
      </w:r>
      <w:r w:rsidRPr="00824357">
        <w:instrText xml:space="preserve"> AUTONUM  </w:instrText>
      </w:r>
      <w:r w:rsidRPr="00824357">
        <w:fldChar w:fldCharType="end"/>
      </w:r>
      <w:r>
        <w:tab/>
        <w:t>El secretario general adjunto presentó a la Sra. Wen</w:t>
      </w:r>
      <w:r w:rsidR="009860AE">
        <w:t> Wen</w:t>
      </w:r>
      <w:r>
        <w:t>, quien se ha incorporado a la UPOV como beneficiaria de una beca de un año que comenzó en septiembre de 2019.</w:t>
      </w:r>
      <w:r w:rsidR="002A0DA3">
        <w:t xml:space="preserve"> </w:t>
      </w:r>
      <w:r>
        <w:t>Informó que, antes de comenzar su beca, la Sra. Wen se desempeñó como directora adjunta de división del Centro de Desarrollo de Científico y Tecnológico adscrito al Ministerio de Agricultura y Asuntos Rurales de China.</w:t>
      </w:r>
      <w:r w:rsidR="002A0DA3">
        <w:t xml:space="preserve"> </w:t>
      </w:r>
      <w:r>
        <w:t>También presentó a la</w:t>
      </w:r>
      <w:r w:rsidR="00547A4C">
        <w:t> </w:t>
      </w:r>
      <w:r>
        <w:t>Sra. Trang Thi Thu Tran, quien se ha incorporado a la UPOV en septiembre de 2019, en virtud de un contrato del ICS para el proyecto piloto del Foro de Asia Oriental para la Protección de las Variedades Vegetales.</w:t>
      </w:r>
      <w:r w:rsidR="002A0DA3">
        <w:t xml:space="preserve"> </w:t>
      </w:r>
      <w:r>
        <w:t xml:space="preserve">También informó que la Sra. Sarra Berich se ha incorporado a la UPOV en marzo de 2019, como beneficiaria de una beca para trabajar en proyectos informáticos durante un período de nueve meses. </w:t>
      </w:r>
    </w:p>
    <w:p w14:paraId="2603E886" w14:textId="77777777" w:rsidR="00BA62F5" w:rsidRPr="00824357" w:rsidRDefault="00BA62F5" w:rsidP="00BA62F5"/>
    <w:p w14:paraId="7EFC35D7" w14:textId="77777777" w:rsidR="00BA62F5" w:rsidRPr="00824357" w:rsidRDefault="00BA62F5" w:rsidP="00BA62F5"/>
    <w:p w14:paraId="2CAA7F27" w14:textId="77777777" w:rsidR="00136DE9" w:rsidRPr="00824357" w:rsidRDefault="00136DE9" w:rsidP="00136DE9">
      <w:pPr>
        <w:pStyle w:val="Heading2"/>
        <w:rPr>
          <w:snapToGrid w:val="0"/>
        </w:rPr>
      </w:pPr>
      <w:r>
        <w:t>Aprobación del orden del día</w:t>
      </w:r>
    </w:p>
    <w:p w14:paraId="23DCD35C" w14:textId="77777777" w:rsidR="00136DE9" w:rsidRPr="00824357" w:rsidRDefault="00136DE9" w:rsidP="00136DE9">
      <w:pPr>
        <w:ind w:left="567" w:hanging="567"/>
        <w:rPr>
          <w:rFonts w:cs="Arial"/>
          <w:snapToGrid w:val="0"/>
        </w:rPr>
      </w:pPr>
    </w:p>
    <w:p w14:paraId="69A5423E" w14:textId="6A7C8575" w:rsidR="00136DE9" w:rsidRPr="00824357" w:rsidRDefault="00136DE9" w:rsidP="00136DE9">
      <w:pPr>
        <w:keepNext/>
      </w:pPr>
      <w:r w:rsidRPr="006A61B0">
        <w:fldChar w:fldCharType="begin"/>
      </w:r>
      <w:r w:rsidRPr="006A61B0">
        <w:instrText xml:space="preserve"> AUTONUM  \* Arabic </w:instrText>
      </w:r>
      <w:r w:rsidRPr="006A61B0">
        <w:fldChar w:fldCharType="end"/>
      </w:r>
      <w:r>
        <w:tab/>
        <w:t>El TC aprobó el orden del día que figura en el documento TC/55/1 Rev. 2.</w:t>
      </w:r>
      <w:r w:rsidR="002A0DA3">
        <w:t xml:space="preserve"> </w:t>
      </w:r>
      <w:r>
        <w:t>El TC tomó nota de que no se han recibido documentos para el debate previsto en el punto 15.</w:t>
      </w:r>
      <w:r w:rsidR="002A0DA3">
        <w:t xml:space="preserve"> </w:t>
      </w:r>
    </w:p>
    <w:p w14:paraId="03EB2BDB" w14:textId="77777777" w:rsidR="00136DE9" w:rsidRPr="00824357" w:rsidRDefault="00136DE9" w:rsidP="00136DE9">
      <w:pPr>
        <w:keepNext/>
      </w:pPr>
    </w:p>
    <w:p w14:paraId="6FFE102D" w14:textId="77777777" w:rsidR="00136DE9" w:rsidRPr="00824357" w:rsidRDefault="00136DE9" w:rsidP="00136DE9">
      <w:pPr>
        <w:keepNext/>
      </w:pPr>
    </w:p>
    <w:p w14:paraId="00BF8138" w14:textId="77777777" w:rsidR="00136DE9" w:rsidRPr="00824357" w:rsidRDefault="00951D8E" w:rsidP="00951D8E">
      <w:pPr>
        <w:pStyle w:val="Heading2"/>
      </w:pPr>
      <w:r>
        <w:t>Informe del secretario general adjunto sobre las novedades acaecidas en la UPOV</w:t>
      </w:r>
    </w:p>
    <w:p w14:paraId="4DCCDFFD" w14:textId="77777777" w:rsidR="00050E16" w:rsidRPr="00824357" w:rsidRDefault="00050E16" w:rsidP="00136DE9">
      <w:pPr>
        <w:keepNext/>
      </w:pPr>
    </w:p>
    <w:p w14:paraId="47B9D1EA" w14:textId="40651D72" w:rsidR="00050E16" w:rsidRPr="00824357" w:rsidRDefault="00365B6D" w:rsidP="00050E16">
      <w:r w:rsidRPr="00824357">
        <w:fldChar w:fldCharType="begin"/>
      </w:r>
      <w:r w:rsidRPr="00824357">
        <w:instrText xml:space="preserve"> AUTONUM  </w:instrText>
      </w:r>
      <w:r w:rsidRPr="00824357">
        <w:fldChar w:fldCharType="end"/>
      </w:r>
      <w:r>
        <w:tab/>
        <w:t>El TC asistió a una ponencia a cargo de la Oficina de la UPOV, que se reproducirá en el documento TC/55/INF/8.</w:t>
      </w:r>
      <w:r w:rsidR="002A0DA3">
        <w:t xml:space="preserve"> </w:t>
      </w:r>
    </w:p>
    <w:p w14:paraId="3EB6DD9E" w14:textId="77777777" w:rsidR="00544581" w:rsidRPr="00824357" w:rsidRDefault="00544581">
      <w:pPr>
        <w:jc w:val="left"/>
      </w:pPr>
    </w:p>
    <w:p w14:paraId="0860C78D" w14:textId="77777777" w:rsidR="000B28D3" w:rsidRPr="00824357" w:rsidRDefault="000B28D3">
      <w:pPr>
        <w:jc w:val="left"/>
      </w:pPr>
    </w:p>
    <w:p w14:paraId="03D414D6" w14:textId="77777777" w:rsidR="00DA468B" w:rsidRPr="00824357" w:rsidRDefault="00DA468B" w:rsidP="00DA468B">
      <w:pPr>
        <w:pStyle w:val="Heading2"/>
      </w:pPr>
      <w:r>
        <w:t>Informes sobre la marcha de la labor de los Grupos de Trabajo Técnico y el Grupo de Trabajo sobre Técnicas Bioquímicas y Moleculares, y Perfiles de ADN en particular (BMT)</w:t>
      </w:r>
    </w:p>
    <w:p w14:paraId="7A301A73" w14:textId="77777777" w:rsidR="00DA468B" w:rsidRPr="00824357" w:rsidRDefault="00DA468B" w:rsidP="00DA468B">
      <w:pPr>
        <w:keepNext/>
        <w:jc w:val="left"/>
      </w:pPr>
    </w:p>
    <w:p w14:paraId="22739D46" w14:textId="3FDE200B" w:rsidR="00DA468B" w:rsidRPr="00824357" w:rsidRDefault="00DA468B" w:rsidP="00DA468B">
      <w:r w:rsidRPr="00824357">
        <w:fldChar w:fldCharType="begin"/>
      </w:r>
      <w:r w:rsidRPr="00824357">
        <w:instrText xml:space="preserve"> AUTONUM  </w:instrText>
      </w:r>
      <w:r w:rsidRPr="00824357">
        <w:fldChar w:fldCharType="end"/>
      </w:r>
      <w:r>
        <w:tab/>
        <w:t>El TC tomó nota de que, desde su quincuagésima cuarta sesión, el Grupo de Trabajo Técnico sobre Plantas Agrícolas (TWA), el Grupo de Trabajo Técnico sobre Automatización y Programas Informáticos (TWC), el Grupo de Trabajo Técnico sobre Plantas Ornamentales y Árboles Forestales (TWO), el Grupo de Trabajo Técnico sobre Hortalizas (TWV) y el Grupo de Trabajo sobre Técnicas Bioquímicas y Moleculares y Perfiles de ADN en particular (BMT) han celebrado una sesión cada uno.</w:t>
      </w:r>
      <w:r w:rsidR="002A0DA3">
        <w:t xml:space="preserve"> </w:t>
      </w:r>
      <w:r>
        <w:t>El TC también tomó nota de que, durante el mismo período, el Grupo de Trabajo Técnico sobre Plantas Frutales (TWF) ha celebrado dos sesiones.</w:t>
      </w:r>
    </w:p>
    <w:p w14:paraId="486544B2" w14:textId="77777777" w:rsidR="00DA468B" w:rsidRPr="00824357" w:rsidRDefault="00DA468B" w:rsidP="00DA468B"/>
    <w:p w14:paraId="70093854" w14:textId="1929FF3B" w:rsidR="00DA468B" w:rsidRPr="00824357" w:rsidRDefault="00DA468B" w:rsidP="00DA468B">
      <w:r w:rsidRPr="00824357">
        <w:fldChar w:fldCharType="begin"/>
      </w:r>
      <w:r w:rsidRPr="00824357">
        <w:instrText xml:space="preserve"> AUTONUM  </w:instrText>
      </w:r>
      <w:r w:rsidRPr="00824357">
        <w:fldChar w:fldCharType="end"/>
      </w:r>
      <w:r>
        <w:tab/>
        <w:t>El TC escuchó informes verbales de los presidentes sobre la labor del TWA, el TWC, el TWF, el TWO, el TWV y el BMT.</w:t>
      </w:r>
      <w:r w:rsidR="002A0DA3">
        <w:t xml:space="preserve"> </w:t>
      </w:r>
      <w:r>
        <w:t>Los presidentes ofrecieron los siguientes resúmenes de la labor:</w:t>
      </w:r>
    </w:p>
    <w:p w14:paraId="2CC2DC49" w14:textId="77777777" w:rsidR="00C512D7" w:rsidRPr="00824357" w:rsidRDefault="00C512D7" w:rsidP="00DA468B">
      <w:pPr>
        <w:jc w:val="left"/>
      </w:pPr>
    </w:p>
    <w:p w14:paraId="4A89BA68" w14:textId="77777777" w:rsidR="00DA468B" w:rsidRPr="00824357" w:rsidRDefault="00DA468B" w:rsidP="003127D5">
      <w:pPr>
        <w:pStyle w:val="Heading3"/>
      </w:pPr>
      <w:bookmarkStart w:id="2" w:name="_Toc494205436"/>
      <w:r>
        <w:lastRenderedPageBreak/>
        <w:t>Grupo de Trabajo Técnico sobre Plantas Agrícolas</w:t>
      </w:r>
      <w:bookmarkEnd w:id="2"/>
      <w:r>
        <w:t xml:space="preserve"> (TWA)</w:t>
      </w:r>
    </w:p>
    <w:p w14:paraId="20C0F21D" w14:textId="77777777" w:rsidR="00DA468B" w:rsidRPr="00824357" w:rsidRDefault="00DA468B" w:rsidP="003127D5">
      <w:pPr>
        <w:keepNext/>
        <w:rPr>
          <w:rFonts w:cs="Arial"/>
        </w:rPr>
      </w:pPr>
    </w:p>
    <w:p w14:paraId="2514FD35" w14:textId="77777777" w:rsidR="00DA468B" w:rsidRPr="00824357" w:rsidRDefault="00DA468B" w:rsidP="003127D5">
      <w:pPr>
        <w:keepNext/>
        <w:rPr>
          <w:rFonts w:cs="Arial"/>
        </w:rPr>
      </w:pPr>
      <w:r>
        <w:t>Informe de la Sra. Beate Ruecker (Alemania), en nombre de la Sra. Cheryl Turnbull (Reino Unido), presidente del TWA</w:t>
      </w:r>
    </w:p>
    <w:p w14:paraId="31429659" w14:textId="77777777" w:rsidR="00DA468B" w:rsidRPr="00824357" w:rsidRDefault="00DA468B" w:rsidP="003127D5">
      <w:pPr>
        <w:keepNext/>
        <w:rPr>
          <w:snapToGrid w:val="0"/>
        </w:rPr>
      </w:pPr>
    </w:p>
    <w:p w14:paraId="628EA1BB" w14:textId="77777777" w:rsidR="00DA468B" w:rsidRPr="00824357" w:rsidRDefault="00DA468B" w:rsidP="00DA468B">
      <w:pPr>
        <w:pStyle w:val="Heading4"/>
        <w:rPr>
          <w:snapToGrid w:val="0"/>
        </w:rPr>
      </w:pPr>
      <w:r>
        <w:t>Cuadragésima octava sesión del TWA</w:t>
      </w:r>
    </w:p>
    <w:p w14:paraId="14DF7521" w14:textId="77777777" w:rsidR="00DA468B" w:rsidRPr="00824357" w:rsidRDefault="00DA468B" w:rsidP="00DA468B">
      <w:pPr>
        <w:rPr>
          <w:snapToGrid w:val="0"/>
        </w:rPr>
      </w:pPr>
    </w:p>
    <w:p w14:paraId="5B9D1F92" w14:textId="2A33A460"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celebró su cuadragésima octava sesión en Montevideo (Uruguay), del 16 al 20 de septiembre de 2019, bajo la presidencia de la Sra. Cheryl Turnbull (Reino Unido).</w:t>
      </w:r>
      <w:r w:rsidR="002A0DA3">
        <w:t xml:space="preserve"> </w:t>
      </w:r>
      <w:r>
        <w:t>El informe de la sesión se facilita en el documento TWA/48/9 “</w:t>
      </w:r>
      <w:r>
        <w:rPr>
          <w:i/>
        </w:rPr>
        <w:t>Report</w:t>
      </w:r>
      <w:r>
        <w:t>” (Informe).</w:t>
      </w:r>
    </w:p>
    <w:p w14:paraId="35D100CD" w14:textId="77777777" w:rsidR="00DA468B" w:rsidRPr="00824357" w:rsidRDefault="00DA468B" w:rsidP="00DA468B">
      <w:pPr>
        <w:rPr>
          <w:snapToGrid w:val="0"/>
        </w:rPr>
      </w:pPr>
    </w:p>
    <w:p w14:paraId="2E188D5E"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Asistieron a la sesión 42 participantes procedentes de 20 miembros de la Unión y 4 organizaciones en calidad de observadoras. Los asuntos que anteriormente se habrían tratado en un taller preparatorio aparte, se incorporaron por primera vez a la parte principal de los debates de la sesión.</w:t>
      </w:r>
    </w:p>
    <w:p w14:paraId="7EF42144" w14:textId="77777777" w:rsidR="00DA468B" w:rsidRPr="00824357" w:rsidRDefault="00DA468B" w:rsidP="00DA468B">
      <w:pPr>
        <w:rPr>
          <w:snapToGrid w:val="0"/>
        </w:rPr>
      </w:pPr>
    </w:p>
    <w:p w14:paraId="76AD30E6"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 xml:space="preserve">Dieron la bienvenida al TWA el Sr. Pedro Queheille, presidente del Instituto Nacional de Semillas (INASE) y el Sr. Daniel Bayce, director ejecutivo del mismo Instituto. El Sr. Pedro Queheille presentó una ponencia sobre la protección de las obtenciones vegetales en el Uruguay. </w:t>
      </w:r>
    </w:p>
    <w:p w14:paraId="6D39E9DA" w14:textId="77777777" w:rsidR="00DA468B" w:rsidRPr="00824357" w:rsidRDefault="00DA468B" w:rsidP="00DA468B">
      <w:pPr>
        <w:rPr>
          <w:snapToGrid w:val="0"/>
        </w:rPr>
      </w:pPr>
    </w:p>
    <w:p w14:paraId="61CD4B9A"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 xml:space="preserve">El TWA aprobó el orden del día que figura en el documento TWA/48/1 Rev. </w:t>
      </w:r>
    </w:p>
    <w:p w14:paraId="1BDA3315" w14:textId="77777777" w:rsidR="00DA468B" w:rsidRPr="00824357" w:rsidRDefault="00DA468B" w:rsidP="00DA468B">
      <w:pPr>
        <w:rPr>
          <w:snapToGrid w:val="0"/>
        </w:rPr>
      </w:pPr>
    </w:p>
    <w:p w14:paraId="1CE661D5"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examinó el documento TWP/3/9 “</w:t>
      </w:r>
      <w:r>
        <w:rPr>
          <w:i/>
        </w:rPr>
        <w:t>Characteristics that only apply to certain varieties</w:t>
      </w:r>
      <w:r>
        <w:t>” (Caracteres que solo se aplican a ciertas variedades) y debatió los posibles riesgos respecto de las decisiones sobre la distinción derivados del uso del enfoque propuesto. El TWA convino en que el riesgo es bajo, al igual que el riesgo de que dos examinadores tomen decisiones diferentes. También convino en que el uso del enfoque propuesto puede aumentar la dificultad de excluir variedades de la comparación, pero que es improbable que esta exclusión tenga un efecto considerable.</w:t>
      </w:r>
    </w:p>
    <w:p w14:paraId="4D43DA81" w14:textId="77777777" w:rsidR="00DA468B" w:rsidRPr="00824357" w:rsidRDefault="00DA468B" w:rsidP="00DA468B">
      <w:pPr>
        <w:rPr>
          <w:snapToGrid w:val="0"/>
        </w:rPr>
      </w:pPr>
    </w:p>
    <w:p w14:paraId="3F22748F"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 xml:space="preserve">El TWA examinó los documentos TWP/3/10 y TWA/48/7 </w:t>
      </w:r>
      <w:r>
        <w:rPr>
          <w:i/>
        </w:rPr>
        <w:t>“Data Processing for the Assessment of Distinctness and for Producing Variety Descriptions</w:t>
      </w:r>
      <w:r>
        <w:t>” (Tratamiento de datos para la evaluación de la distinción y la elaboración de descripciones de variedades) y tomó nota del resumen de los métodos expuesto en el Anexo II del documento TWP/3/10. Convino en que un árbol de decisión o flujograma, con fines orientativos, puede facilitar la elección del método más adecuado para transformar las observaciones en notas y propuso algunos elementos que podrían incluirse en dicho instrumento como punto de partida.</w:t>
      </w:r>
    </w:p>
    <w:p w14:paraId="27DE68CB" w14:textId="77777777" w:rsidR="00DA468B" w:rsidRPr="00824357" w:rsidRDefault="00DA468B" w:rsidP="00DA468B">
      <w:pPr>
        <w:rPr>
          <w:snapToGrid w:val="0"/>
        </w:rPr>
      </w:pPr>
    </w:p>
    <w:p w14:paraId="1A66FB3B"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examinó el documento TWP/3/12 “</w:t>
      </w:r>
      <w:r>
        <w:rPr>
          <w:i/>
        </w:rPr>
        <w:t>Characteristic-specific marker with incomplete information on state of expression</w:t>
      </w:r>
      <w:r>
        <w:t>” (Marcador ligado a un carácter con información incompleta sobre el nivel de expresión) y convino en que el texto del nuevo ejemplo propuesto debe redactarse de manera más clara.</w:t>
      </w:r>
    </w:p>
    <w:p w14:paraId="7BC0C4D8" w14:textId="77777777" w:rsidR="00DA468B" w:rsidRPr="00824357" w:rsidRDefault="00DA468B" w:rsidP="00DA468B">
      <w:pPr>
        <w:rPr>
          <w:snapToGrid w:val="0"/>
        </w:rPr>
      </w:pPr>
    </w:p>
    <w:p w14:paraId="2D4C9E70" w14:textId="30FC0DED"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 xml:space="preserve">El TWA examinó la propuesta de revisión del documento TGP/7 para que en las directrices de examen se presenten todos los niveles de expresión de los caracteres cuantitativos y convino en que es imposible para este Grupo de Trabajo llegar a una conclusión sobre este asunto en esta etapa. Convino en que este enfoque puede ser útil para los examinadores DHE menos experimentados y algunos otros usuarios de las directrices de examen y también en que presentar todos los caracteres es importante para las solicitudes en línea. También observó que presentar </w:t>
      </w:r>
      <w:r w:rsidR="00FA6C63">
        <w:t>todos los niveles</w:t>
      </w:r>
      <w:r>
        <w:t xml:space="preserve"> de expresión puede aumentar la extensión de las directrices de examen y hacer que el documento sea menos práctico para su uso en el campo.</w:t>
      </w:r>
    </w:p>
    <w:p w14:paraId="6F66EDD9" w14:textId="77777777" w:rsidR="00DA468B" w:rsidRPr="00824357" w:rsidRDefault="00DA468B" w:rsidP="00DA468B">
      <w:pPr>
        <w:rPr>
          <w:snapToGrid w:val="0"/>
        </w:rPr>
      </w:pPr>
    </w:p>
    <w:p w14:paraId="5ABFA2C1" w14:textId="1D1C1396"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analizó la cooperación entre organizaciones internacionales y, en especial, la elaboración de un inventario de la utilización de técnicas basadas en marcadores moleculares.</w:t>
      </w:r>
      <w:r w:rsidR="002A0DA3">
        <w:t xml:space="preserve"> </w:t>
      </w:r>
      <w:r>
        <w:t>Convino en que el significado del término “validada” en el contexto de la pregunta “¿Está la técnica molecular validada?” puede dar lugar a confusión y en que se debe considerar si procede excluir esta pregunta de la encuesta. El TWA también convino en que para evitar que se duplique el trabajo, en beneficio de los encuestados, la encuesta se ha de coordinar con la OCDE, en la medida de lo posible.</w:t>
      </w:r>
    </w:p>
    <w:p w14:paraId="04D3A8F3" w14:textId="77777777" w:rsidR="00DA468B" w:rsidRPr="00824357" w:rsidRDefault="00DA468B" w:rsidP="00DA468B">
      <w:pPr>
        <w:rPr>
          <w:snapToGrid w:val="0"/>
        </w:rPr>
      </w:pPr>
    </w:p>
    <w:p w14:paraId="470515CB"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formó grupos pequeños de debate para intercambiar información sobre su labor en materia de técnicas bioquímicas y moleculares y definir posibles ámbitos de cooperación. Las sesiones fueron fructíferas y bien acogidas y se elaboraron resúmenes de los cultivos en que actualmente se utilizan (o se están desarrollando) técnicas moleculares y las autoridades que lo hacen, de las técnicas existentes empleadas y la finalidad con que se emplean, además de definirse posibles ámbitos de cooperación, para utilizarlos como referencia en el futuro.</w:t>
      </w:r>
    </w:p>
    <w:p w14:paraId="2921EA55" w14:textId="77777777" w:rsidR="00DA468B" w:rsidRPr="00824357" w:rsidRDefault="00DA468B" w:rsidP="00DA468B">
      <w:pPr>
        <w:rPr>
          <w:snapToGrid w:val="0"/>
        </w:rPr>
      </w:pPr>
    </w:p>
    <w:p w14:paraId="152793B3" w14:textId="190F986E"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también formó grupos pequeños de debate para examinar cuestiones técnicas que impiden la cooperación en materia de examen DHE y la manera de solventarlas.</w:t>
      </w:r>
      <w:r w:rsidR="002A0DA3">
        <w:t xml:space="preserve"> </w:t>
      </w:r>
      <w:r>
        <w:t xml:space="preserve">También se elaboraron resúmenes de </w:t>
      </w:r>
      <w:r>
        <w:lastRenderedPageBreak/>
        <w:t>estos debates.</w:t>
      </w:r>
      <w:r w:rsidR="002A0DA3">
        <w:t xml:space="preserve"> </w:t>
      </w:r>
      <w:r>
        <w:t xml:space="preserve">Los grupos pequeños fueron productivos y se recibieron comentarios positivos respecto de este método de trabajo. </w:t>
      </w:r>
    </w:p>
    <w:p w14:paraId="2A5A052F" w14:textId="77777777" w:rsidR="00DA468B" w:rsidRPr="00824357" w:rsidRDefault="00DA468B" w:rsidP="00DA468B">
      <w:pPr>
        <w:rPr>
          <w:snapToGrid w:val="0"/>
        </w:rPr>
      </w:pPr>
    </w:p>
    <w:p w14:paraId="5A8596AB" w14:textId="63F6D089"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examinó el documento TWP/3/13 “</w:t>
      </w:r>
      <w:r>
        <w:rPr>
          <w:i/>
        </w:rPr>
        <w:t>Differences in notes for the assessment of distinctness</w:t>
      </w:r>
      <w:r>
        <w:t>” (Diferencias en las notas para evaluar la distinción) y tomó nota de que el método GAIA es un instrumento de preselección y no se utiliza para comparar datos en el ensayo en cultivo.</w:t>
      </w:r>
      <w:r w:rsidR="002A0DA3">
        <w:t xml:space="preserve"> </w:t>
      </w:r>
      <w:r>
        <w:t>También convino en que las explicaciones para determinados caracteres relativos a la forma y el color pueden proporcionarse por medio de una matriz que indique qué niveles de expresión se consideran distintos entre sí.</w:t>
      </w:r>
    </w:p>
    <w:p w14:paraId="51F1F99C" w14:textId="77777777" w:rsidR="00DA468B" w:rsidRPr="00824357" w:rsidRDefault="00DA468B" w:rsidP="00DA468B">
      <w:pPr>
        <w:rPr>
          <w:snapToGrid w:val="0"/>
        </w:rPr>
      </w:pPr>
    </w:p>
    <w:p w14:paraId="4B01A732" w14:textId="5300316F"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asistió a una ponencia sobre “</w:t>
      </w:r>
      <w:r>
        <w:rPr>
          <w:i/>
        </w:rPr>
        <w:t>Experiences with new types and species of agricultural crops in the Czech Republic</w:t>
      </w:r>
      <w:r>
        <w:t>” (Experiencias con nuevos tipos y especies de plantas agrícolas en la República Checa) (documento TWA/48/6) y convino en que la información facilitada por la República de Checa sobre la manera de tratar los nuevos tipos y especies es una guía útil tanto para los nuevos miembros como para los experimentados. El TWA tomó nota de la experiencia de la República Checa con diferentes modalidades de cooperación en el examen DHE, tal como la utilización de informes de examen realizados por otra autoridad y la cooperación con los obtentores, además de realizar el examen directamente.</w:t>
      </w:r>
      <w:r w:rsidR="002A0DA3">
        <w:t xml:space="preserve"> </w:t>
      </w:r>
    </w:p>
    <w:p w14:paraId="1977F49F" w14:textId="77777777" w:rsidR="00DA468B" w:rsidRPr="00824357" w:rsidRDefault="00DA468B" w:rsidP="00DA468B">
      <w:pPr>
        <w:rPr>
          <w:snapToGrid w:val="0"/>
        </w:rPr>
      </w:pPr>
    </w:p>
    <w:p w14:paraId="29F027DE" w14:textId="475BF579"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examinó nueve proyectos de directrices de examen y convino en proponer al Comité Técnico que apruebe los proyectos de directrices de examen del ginseng (</w:t>
      </w:r>
      <w:r>
        <w:rPr>
          <w:i/>
          <w:snapToGrid w:val="0"/>
        </w:rPr>
        <w:t>Panax ginseng</w:t>
      </w:r>
      <w:r>
        <w:t xml:space="preserve"> C.A. Mey) (revisión), el trébol rojo (</w:t>
      </w:r>
      <w:r>
        <w:rPr>
          <w:i/>
          <w:snapToGrid w:val="0"/>
        </w:rPr>
        <w:t>Trifolium pratense</w:t>
      </w:r>
      <w:r>
        <w:t xml:space="preserve"> L.) (revisión) y el triticale (×</w:t>
      </w:r>
      <w:r>
        <w:rPr>
          <w:i/>
          <w:snapToGrid w:val="0"/>
        </w:rPr>
        <w:t>Triticosecale</w:t>
      </w:r>
      <w:r>
        <w:t xml:space="preserve"> Witt.)</w:t>
      </w:r>
      <w:r w:rsidR="008770A8" w:rsidRPr="008770A8">
        <w:t xml:space="preserve"> </w:t>
      </w:r>
      <w:r w:rsidR="008770A8">
        <w:t>(revisión)</w:t>
      </w:r>
      <w:r>
        <w:t>.</w:t>
      </w:r>
    </w:p>
    <w:p w14:paraId="7D363AA6" w14:textId="77777777" w:rsidR="00DA468B" w:rsidRPr="00824357" w:rsidRDefault="00DA468B" w:rsidP="00DA468B">
      <w:pPr>
        <w:rPr>
          <w:snapToGrid w:val="0"/>
        </w:rPr>
      </w:pPr>
    </w:p>
    <w:p w14:paraId="2474EBB1"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 xml:space="preserve">El TWA convino en examinar 10 directrices de examen en su cuadragésima novena sesión que se celebrará en 2020. El TWA convino en que las directrices de examen del arroz, la soja, el té y el fleo se han de marcar con un asterisco para 2020. Se prevé que se inicien nuevos debates sobre las directrices de examen de la papa/patata, la colza, la caña de azúcar, el girasol y las gramíneas del género </w:t>
      </w:r>
      <w:r>
        <w:rPr>
          <w:i/>
        </w:rPr>
        <w:t>Zoysia</w:t>
      </w:r>
      <w:r>
        <w:t>.</w:t>
      </w:r>
    </w:p>
    <w:p w14:paraId="3482A2AB" w14:textId="77777777" w:rsidR="00DA468B" w:rsidRPr="00824357" w:rsidRDefault="00DA468B" w:rsidP="00DA468B">
      <w:pPr>
        <w:rPr>
          <w:snapToGrid w:val="0"/>
        </w:rPr>
      </w:pPr>
    </w:p>
    <w:p w14:paraId="12A74AE6"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Por invitación del Canadá, el TWA convino en celebrar su cuadragésima novena sesión en Saskatoon (Canadá), del 22 al 26 de junio de 2020.</w:t>
      </w:r>
    </w:p>
    <w:p w14:paraId="36F105B0" w14:textId="77777777" w:rsidR="00DA468B" w:rsidRPr="00824357" w:rsidRDefault="00DA468B" w:rsidP="00DA468B">
      <w:pPr>
        <w:rPr>
          <w:snapToGrid w:val="0"/>
        </w:rPr>
      </w:pPr>
    </w:p>
    <w:p w14:paraId="57740A40"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acordó proponer al TC que recomiende al Consejo elegir a la Sra. Renée Cloutier (Canadá) como próximo presidente del TWA.</w:t>
      </w:r>
    </w:p>
    <w:p w14:paraId="19BA26DF" w14:textId="77777777" w:rsidR="00DA468B" w:rsidRPr="00824357" w:rsidRDefault="00DA468B" w:rsidP="00DA468B">
      <w:pPr>
        <w:rPr>
          <w:snapToGrid w:val="0"/>
        </w:rPr>
      </w:pPr>
    </w:p>
    <w:p w14:paraId="157208E3" w14:textId="32AD0BA1"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acordó examinar los siguientes puntos en su próxima sesión:</w:t>
      </w:r>
      <w:r w:rsidR="002A0DA3">
        <w:t xml:space="preserve"> </w:t>
      </w:r>
    </w:p>
    <w:p w14:paraId="52CBB811" w14:textId="77777777" w:rsidR="00DA468B" w:rsidRPr="00824357" w:rsidRDefault="00DA468B" w:rsidP="00DA468B">
      <w:pPr>
        <w:rPr>
          <w:snapToGrid w:val="0"/>
        </w:rPr>
      </w:pPr>
    </w:p>
    <w:p w14:paraId="6C614894" w14:textId="0E4D4F8D" w:rsidR="00DA468B" w:rsidRPr="00824357" w:rsidRDefault="00DA468B" w:rsidP="00DA468B">
      <w:pPr>
        <w:tabs>
          <w:tab w:val="left" w:pos="1134"/>
          <w:tab w:val="left" w:pos="1701"/>
        </w:tabs>
        <w:ind w:left="1134" w:hanging="567"/>
        <w:rPr>
          <w:snapToGrid w:val="0"/>
        </w:rPr>
      </w:pPr>
      <w:r>
        <w:t>1.</w:t>
      </w:r>
      <w:r w:rsidR="00854810">
        <w:tab/>
      </w:r>
      <w:r>
        <w:t>Apertura de la sesión</w:t>
      </w:r>
    </w:p>
    <w:p w14:paraId="6B2A3EE3" w14:textId="3B6E2A02" w:rsidR="00DA468B" w:rsidRPr="00824357" w:rsidRDefault="00DA468B" w:rsidP="00DA468B">
      <w:pPr>
        <w:tabs>
          <w:tab w:val="left" w:pos="1134"/>
          <w:tab w:val="left" w:pos="1701"/>
        </w:tabs>
        <w:ind w:left="1134" w:hanging="567"/>
        <w:rPr>
          <w:snapToGrid w:val="0"/>
        </w:rPr>
      </w:pPr>
      <w:r>
        <w:t>2.</w:t>
      </w:r>
      <w:r w:rsidR="00854810">
        <w:tab/>
      </w:r>
      <w:r>
        <w:t>Aprobación del orden del día</w:t>
      </w:r>
    </w:p>
    <w:p w14:paraId="4EBB84AC" w14:textId="388F8305" w:rsidR="00DA468B" w:rsidRPr="00824357" w:rsidRDefault="00DA468B" w:rsidP="00DA468B">
      <w:pPr>
        <w:tabs>
          <w:tab w:val="left" w:pos="1134"/>
          <w:tab w:val="left" w:pos="1701"/>
        </w:tabs>
        <w:ind w:left="1134" w:hanging="567"/>
        <w:rPr>
          <w:snapToGrid w:val="0"/>
        </w:rPr>
      </w:pPr>
      <w:r>
        <w:t>3.</w:t>
      </w:r>
      <w:r w:rsidR="00854810">
        <w:tab/>
      </w:r>
      <w:r>
        <w:t xml:space="preserve">Informes breves sobre los avances logrados en la protección de las variedades vegetales </w:t>
      </w:r>
    </w:p>
    <w:p w14:paraId="0ADD9E38" w14:textId="71FE7D33" w:rsidR="00DA468B" w:rsidRPr="00824357" w:rsidRDefault="00DA468B" w:rsidP="00854810">
      <w:pPr>
        <w:ind w:left="1701" w:hanging="567"/>
        <w:rPr>
          <w:snapToGrid w:val="0"/>
        </w:rPr>
      </w:pPr>
      <w:r>
        <w:t>a)</w:t>
      </w:r>
      <w:r>
        <w:tab/>
        <w:t>Informes de los miembros y observadores (los miembros y observadores elaborarán informes escritos)</w:t>
      </w:r>
    </w:p>
    <w:p w14:paraId="730B74C0" w14:textId="3AE8D3E1" w:rsidR="00DA468B" w:rsidRPr="00824357" w:rsidRDefault="00DA468B" w:rsidP="00854810">
      <w:pPr>
        <w:ind w:left="1701" w:hanging="567"/>
        <w:rPr>
          <w:snapToGrid w:val="0"/>
        </w:rPr>
      </w:pPr>
      <w:r>
        <w:t>b)</w:t>
      </w:r>
      <w:r>
        <w:tab/>
        <w:t>Informe sobre los avances logrados en la UPOV (informe verbal a cargo de la Oficina de la Unión)</w:t>
      </w:r>
    </w:p>
    <w:p w14:paraId="198AE29D" w14:textId="0ADB899B" w:rsidR="00DA468B" w:rsidRPr="00824357" w:rsidRDefault="00DA468B" w:rsidP="00DA468B">
      <w:pPr>
        <w:tabs>
          <w:tab w:val="left" w:pos="1134"/>
          <w:tab w:val="left" w:pos="1701"/>
        </w:tabs>
        <w:ind w:left="1134" w:hanging="567"/>
        <w:rPr>
          <w:snapToGrid w:val="0"/>
        </w:rPr>
      </w:pPr>
      <w:r>
        <w:t>4.</w:t>
      </w:r>
      <w:r w:rsidR="00854810">
        <w:tab/>
      </w:r>
      <w:r>
        <w:t>Técnicas moleculares (la Oficina de la Unión elaborará un documento)</w:t>
      </w:r>
    </w:p>
    <w:p w14:paraId="00245411" w14:textId="1FD80473" w:rsidR="00DA468B" w:rsidRPr="00824357" w:rsidRDefault="00DA468B" w:rsidP="00DA468B">
      <w:pPr>
        <w:tabs>
          <w:tab w:val="left" w:pos="1134"/>
          <w:tab w:val="left" w:pos="1701"/>
        </w:tabs>
        <w:ind w:left="1134" w:hanging="567"/>
        <w:rPr>
          <w:snapToGrid w:val="0"/>
        </w:rPr>
      </w:pPr>
      <w:r>
        <w:t>5.</w:t>
      </w:r>
      <w:r w:rsidR="00854810">
        <w:tab/>
      </w:r>
      <w:r>
        <w:t>Novedades acaecidas en la UPOV (la Oficina de la Unión elaborará un documento)</w:t>
      </w:r>
    </w:p>
    <w:p w14:paraId="0CB9B80B" w14:textId="60F0A466" w:rsidR="00DA468B" w:rsidRPr="00824357" w:rsidRDefault="00DA468B" w:rsidP="00DA468B">
      <w:pPr>
        <w:tabs>
          <w:tab w:val="left" w:pos="1134"/>
          <w:tab w:val="left" w:pos="1701"/>
        </w:tabs>
        <w:ind w:left="1134" w:hanging="567"/>
        <w:rPr>
          <w:snapToGrid w:val="0"/>
        </w:rPr>
      </w:pPr>
      <w:r>
        <w:t>6.</w:t>
      </w:r>
      <w:r w:rsidR="00854810">
        <w:tab/>
      </w:r>
      <w:r>
        <w:t>Ponencia sobre la utilización de técnicas moleculares en el examen DHE (se invita a los miembros de la Unión a presentar ponencias)</w:t>
      </w:r>
    </w:p>
    <w:p w14:paraId="4BD62363" w14:textId="485208FF" w:rsidR="00DA468B" w:rsidRPr="00824357" w:rsidRDefault="00DA468B" w:rsidP="00DA468B">
      <w:pPr>
        <w:tabs>
          <w:tab w:val="left" w:pos="1134"/>
          <w:tab w:val="left" w:pos="1701"/>
        </w:tabs>
        <w:ind w:left="1134" w:hanging="567"/>
        <w:rPr>
          <w:snapToGrid w:val="0"/>
        </w:rPr>
      </w:pPr>
      <w:r>
        <w:t>7.</w:t>
      </w:r>
      <w:r w:rsidR="00854810">
        <w:tab/>
      </w:r>
      <w:r>
        <w:t>Documentos TGP (la Oficina de la Unión elaborará documentos)</w:t>
      </w:r>
    </w:p>
    <w:p w14:paraId="71186751" w14:textId="5EF50DAB" w:rsidR="00DA468B" w:rsidRPr="00824357" w:rsidRDefault="00DA468B" w:rsidP="00DA468B">
      <w:pPr>
        <w:tabs>
          <w:tab w:val="left" w:pos="1134"/>
          <w:tab w:val="left" w:pos="1701"/>
        </w:tabs>
        <w:ind w:left="1134" w:hanging="567"/>
        <w:rPr>
          <w:snapToGrid w:val="0"/>
        </w:rPr>
      </w:pPr>
      <w:r>
        <w:t>8.</w:t>
      </w:r>
      <w:r w:rsidR="00854810">
        <w:tab/>
      </w:r>
      <w:r>
        <w:t>Denominaciones de variedades (la Oficina de la Unión elaborará un documento)</w:t>
      </w:r>
    </w:p>
    <w:p w14:paraId="50408197" w14:textId="59FF5A97" w:rsidR="00DA468B" w:rsidRPr="00824357" w:rsidRDefault="00DA468B" w:rsidP="00DA468B">
      <w:pPr>
        <w:tabs>
          <w:tab w:val="left" w:pos="1134"/>
          <w:tab w:val="left" w:pos="1701"/>
        </w:tabs>
        <w:ind w:left="1134" w:hanging="567"/>
        <w:rPr>
          <w:snapToGrid w:val="0"/>
        </w:rPr>
      </w:pPr>
      <w:r>
        <w:t>9.</w:t>
      </w:r>
      <w:r w:rsidR="00854810">
        <w:tab/>
      </w:r>
      <w:r>
        <w:t>Información y bases de datos</w:t>
      </w:r>
    </w:p>
    <w:p w14:paraId="55B85EBD" w14:textId="6B3AF99A" w:rsidR="00DA468B" w:rsidRPr="00854810" w:rsidRDefault="00DA468B" w:rsidP="00854810">
      <w:pPr>
        <w:ind w:left="1701" w:hanging="567"/>
      </w:pPr>
      <w:r>
        <w:t>a)</w:t>
      </w:r>
      <w:r>
        <w:tab/>
        <w:t>Bases de datos de información de la UPOV (la Oficina de la Unión elaborará documentos)</w:t>
      </w:r>
    </w:p>
    <w:p w14:paraId="1D174D2F" w14:textId="508686C0" w:rsidR="00DA468B" w:rsidRPr="00854810" w:rsidRDefault="00DA468B" w:rsidP="00854810">
      <w:pPr>
        <w:ind w:left="1701" w:hanging="567"/>
      </w:pPr>
      <w:r>
        <w:t>b)</w:t>
      </w:r>
      <w:r>
        <w:tab/>
        <w:t>Bases de datos de descripciones de variedades (la Oficina de la Unión elaborará documentos)</w:t>
      </w:r>
    </w:p>
    <w:p w14:paraId="21F8B35B" w14:textId="53EC4CB0" w:rsidR="00DA468B" w:rsidRPr="00854810" w:rsidRDefault="00DA468B" w:rsidP="00854810">
      <w:pPr>
        <w:ind w:left="1701" w:hanging="567"/>
      </w:pPr>
      <w:r>
        <w:t>c)</w:t>
      </w:r>
      <w:r>
        <w:tab/>
        <w:t>Intercambio y uso de programas informáticos y equipos (la Oficina de la Unión elaborará un documento)</w:t>
      </w:r>
    </w:p>
    <w:p w14:paraId="5D057523" w14:textId="77777777" w:rsidR="00DA468B" w:rsidRPr="00824357" w:rsidRDefault="00DA468B" w:rsidP="00DA468B">
      <w:pPr>
        <w:tabs>
          <w:tab w:val="left" w:pos="1134"/>
          <w:tab w:val="left" w:pos="1701"/>
          <w:tab w:val="left" w:pos="2268"/>
        </w:tabs>
        <w:ind w:left="1134" w:hanging="567"/>
        <w:rPr>
          <w:snapToGrid w:val="0"/>
        </w:rPr>
      </w:pPr>
      <w:r>
        <w:tab/>
        <w:t>d)</w:t>
      </w:r>
      <w:r>
        <w:tab/>
        <w:t>UPOV PRISMA (la Oficina de la Unión elaborará documentos)</w:t>
      </w:r>
    </w:p>
    <w:p w14:paraId="356B99B4" w14:textId="11B467B7" w:rsidR="00DA468B" w:rsidRPr="00824357" w:rsidRDefault="00DA468B" w:rsidP="00DA468B">
      <w:pPr>
        <w:tabs>
          <w:tab w:val="left" w:pos="1134"/>
          <w:tab w:val="left" w:pos="1701"/>
        </w:tabs>
        <w:ind w:left="1134" w:hanging="567"/>
        <w:rPr>
          <w:snapToGrid w:val="0"/>
        </w:rPr>
      </w:pPr>
      <w:r>
        <w:t>10.</w:t>
      </w:r>
      <w:r w:rsidR="00854810">
        <w:tab/>
      </w:r>
      <w:r>
        <w:t>Experiencias con nuevos tipos y especies (se invita a presentar informes verbales)</w:t>
      </w:r>
    </w:p>
    <w:p w14:paraId="7BF46DFF" w14:textId="600B4846" w:rsidR="00DA468B" w:rsidRPr="00824357" w:rsidRDefault="00DA468B" w:rsidP="00DA468B">
      <w:pPr>
        <w:tabs>
          <w:tab w:val="left" w:pos="1134"/>
          <w:tab w:val="left" w:pos="1701"/>
        </w:tabs>
        <w:ind w:left="1134" w:hanging="567"/>
        <w:rPr>
          <w:snapToGrid w:val="0"/>
        </w:rPr>
      </w:pPr>
      <w:r>
        <w:t>11.</w:t>
      </w:r>
      <w:r w:rsidR="00854810">
        <w:tab/>
      </w:r>
      <w:r>
        <w:t xml:space="preserve">Guía para redactores de directrices de examen </w:t>
      </w:r>
    </w:p>
    <w:p w14:paraId="6B2CC725" w14:textId="60E0B052" w:rsidR="00DA468B" w:rsidRPr="00824357" w:rsidRDefault="00DA468B" w:rsidP="00DA468B">
      <w:pPr>
        <w:tabs>
          <w:tab w:val="left" w:pos="1134"/>
          <w:tab w:val="left" w:pos="1701"/>
        </w:tabs>
        <w:ind w:left="1134" w:hanging="567"/>
        <w:rPr>
          <w:snapToGrid w:val="0"/>
        </w:rPr>
      </w:pPr>
      <w:r>
        <w:t>12.</w:t>
      </w:r>
      <w:r w:rsidR="00854810">
        <w:tab/>
      </w:r>
      <w:r>
        <w:t>Examen de proyectos de directrices de examen (subgrupos)</w:t>
      </w:r>
    </w:p>
    <w:p w14:paraId="2FE0CBDB" w14:textId="720F0AEE" w:rsidR="00DA468B" w:rsidRPr="00824357" w:rsidRDefault="00DA468B" w:rsidP="00DA468B">
      <w:pPr>
        <w:tabs>
          <w:tab w:val="left" w:pos="1134"/>
          <w:tab w:val="left" w:pos="1701"/>
        </w:tabs>
        <w:ind w:left="1134" w:hanging="567"/>
        <w:rPr>
          <w:snapToGrid w:val="0"/>
        </w:rPr>
      </w:pPr>
      <w:r>
        <w:t>13.</w:t>
      </w:r>
      <w:r w:rsidR="00854810">
        <w:tab/>
      </w:r>
      <w:r>
        <w:t>Recomendaciones sobre proyectos de directrices de examen</w:t>
      </w:r>
    </w:p>
    <w:p w14:paraId="5DF95C4F" w14:textId="543DDC1F" w:rsidR="00DA468B" w:rsidRPr="00824357" w:rsidRDefault="00DA468B" w:rsidP="00854810">
      <w:pPr>
        <w:ind w:left="1134" w:hanging="567"/>
        <w:contextualSpacing/>
        <w:rPr>
          <w:snapToGrid w:val="0"/>
        </w:rPr>
      </w:pPr>
      <w:r>
        <w:t>14.</w:t>
      </w:r>
      <w:r w:rsidR="00854810">
        <w:tab/>
      </w:r>
      <w:r>
        <w:t>Nueva tecnología utilizada en el examen DHE (la Argentina y Dinamarca elaborarán documentos y se invita a presentar otros documentos)</w:t>
      </w:r>
    </w:p>
    <w:p w14:paraId="4257350A" w14:textId="016286A9" w:rsidR="00DA468B" w:rsidRPr="00824357" w:rsidRDefault="00DA468B" w:rsidP="00DA468B">
      <w:pPr>
        <w:tabs>
          <w:tab w:val="left" w:pos="1134"/>
          <w:tab w:val="left" w:pos="1701"/>
        </w:tabs>
        <w:ind w:left="1134" w:hanging="567"/>
        <w:rPr>
          <w:snapToGrid w:val="0"/>
        </w:rPr>
      </w:pPr>
      <w:r>
        <w:t>15.</w:t>
      </w:r>
      <w:r w:rsidR="00854810">
        <w:tab/>
      </w:r>
      <w:r>
        <w:t>Examen de variedades híbridas (el Reino Unido elaborará un documento y se invita a presentar otros documentos)</w:t>
      </w:r>
    </w:p>
    <w:p w14:paraId="269AA184" w14:textId="67AA9D86" w:rsidR="00DA468B" w:rsidRPr="00824357" w:rsidRDefault="00DA468B" w:rsidP="00DA468B">
      <w:pPr>
        <w:tabs>
          <w:tab w:val="left" w:pos="1134"/>
          <w:tab w:val="left" w:pos="1701"/>
        </w:tabs>
        <w:ind w:left="1134" w:hanging="567"/>
        <w:rPr>
          <w:snapToGrid w:val="0"/>
        </w:rPr>
      </w:pPr>
      <w:r>
        <w:t>16.</w:t>
      </w:r>
      <w:r w:rsidR="00854810">
        <w:tab/>
      </w:r>
      <w:r>
        <w:t>Fecha y lugar de la próxima sesión</w:t>
      </w:r>
    </w:p>
    <w:p w14:paraId="1533197A" w14:textId="58ADEAF3" w:rsidR="00DA468B" w:rsidRPr="00824357" w:rsidRDefault="00DA468B" w:rsidP="00DA468B">
      <w:pPr>
        <w:tabs>
          <w:tab w:val="left" w:pos="1134"/>
          <w:tab w:val="left" w:pos="1701"/>
        </w:tabs>
        <w:ind w:left="1134" w:hanging="567"/>
        <w:rPr>
          <w:snapToGrid w:val="0"/>
        </w:rPr>
      </w:pPr>
      <w:r>
        <w:lastRenderedPageBreak/>
        <w:t>17.</w:t>
      </w:r>
      <w:r w:rsidR="00854810">
        <w:tab/>
      </w:r>
      <w:r>
        <w:t>Próximo programa</w:t>
      </w:r>
    </w:p>
    <w:p w14:paraId="64650C99" w14:textId="231B5FBE" w:rsidR="00DA468B" w:rsidRPr="00824357" w:rsidRDefault="00DA468B" w:rsidP="00DA468B">
      <w:pPr>
        <w:tabs>
          <w:tab w:val="left" w:pos="1134"/>
          <w:tab w:val="left" w:pos="1701"/>
        </w:tabs>
        <w:ind w:left="1134" w:hanging="567"/>
        <w:rPr>
          <w:snapToGrid w:val="0"/>
        </w:rPr>
      </w:pPr>
      <w:r>
        <w:t xml:space="preserve">18. </w:t>
      </w:r>
      <w:r w:rsidR="00854810">
        <w:tab/>
      </w:r>
      <w:r>
        <w:t>Aprobación del informe de la sesión (si se dispone de tiempo suficiente)</w:t>
      </w:r>
    </w:p>
    <w:p w14:paraId="13A13B07" w14:textId="6C34D257" w:rsidR="00DA468B" w:rsidRPr="00824357" w:rsidRDefault="00DA468B" w:rsidP="00DA468B">
      <w:pPr>
        <w:tabs>
          <w:tab w:val="left" w:pos="1134"/>
          <w:tab w:val="left" w:pos="1701"/>
        </w:tabs>
        <w:ind w:left="1134" w:hanging="567"/>
        <w:rPr>
          <w:snapToGrid w:val="0"/>
        </w:rPr>
      </w:pPr>
      <w:r>
        <w:t xml:space="preserve">19. </w:t>
      </w:r>
      <w:r w:rsidR="00854810">
        <w:tab/>
      </w:r>
      <w:r>
        <w:t>Clausura de la sesión</w:t>
      </w:r>
    </w:p>
    <w:p w14:paraId="2B622F2C" w14:textId="77777777" w:rsidR="00DA468B" w:rsidRPr="00824357" w:rsidRDefault="00DA468B" w:rsidP="00DA468B">
      <w:pPr>
        <w:rPr>
          <w:snapToGrid w:val="0"/>
        </w:rPr>
      </w:pPr>
    </w:p>
    <w:p w14:paraId="70B8643A"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TWA convino en que los grupos de debate ofrecen una oportunidad útil para compartir experiencias entre los participantes y convino en proponer que se formen estos grupos para tratar la “Nueva tecnología utilizada en el examen DHE” (punto 12) en su cuadragésima novena sesión.</w:t>
      </w:r>
    </w:p>
    <w:p w14:paraId="6CE9FC94" w14:textId="77777777" w:rsidR="00DA468B" w:rsidRPr="00824357" w:rsidRDefault="00DA468B" w:rsidP="00DA468B">
      <w:pPr>
        <w:contextualSpacing/>
        <w:rPr>
          <w:rFonts w:cs="Arial"/>
          <w:color w:val="000000"/>
        </w:rPr>
      </w:pPr>
    </w:p>
    <w:p w14:paraId="678BAF2D" w14:textId="77777777" w:rsidR="00DA468B" w:rsidRPr="00824357" w:rsidRDefault="00DA468B" w:rsidP="00DA468B">
      <w:pPr>
        <w:pStyle w:val="Heading3"/>
      </w:pPr>
      <w:bookmarkStart w:id="3" w:name="_Toc494205437"/>
      <w:r>
        <w:t>Grupo de Trabajo Técnico sobre Automatización y Programas Informáticos</w:t>
      </w:r>
      <w:bookmarkEnd w:id="3"/>
      <w:r>
        <w:t xml:space="preserve"> (TWC)</w:t>
      </w:r>
    </w:p>
    <w:p w14:paraId="74CC4376" w14:textId="77777777" w:rsidR="00DA468B" w:rsidRPr="00824357" w:rsidRDefault="00DA468B" w:rsidP="00DA468B">
      <w:pPr>
        <w:keepNext/>
      </w:pPr>
    </w:p>
    <w:p w14:paraId="5B44F835" w14:textId="77777777" w:rsidR="00DA468B" w:rsidRPr="00824357" w:rsidRDefault="00DA468B" w:rsidP="00DA468B">
      <w:pPr>
        <w:keepNext/>
      </w:pPr>
      <w:r>
        <w:t>Informe del Sr. Kees van Ettekoven (Países Bajos), en ausencia del Sr. Christophe Chevalier (Francia), presidente del TWC</w:t>
      </w:r>
    </w:p>
    <w:p w14:paraId="7FF2EA48" w14:textId="77777777" w:rsidR="00DA468B" w:rsidRPr="00824357" w:rsidRDefault="00DA468B" w:rsidP="00DA468B">
      <w:pPr>
        <w:keepNext/>
      </w:pPr>
    </w:p>
    <w:p w14:paraId="2512D4FA" w14:textId="77777777" w:rsidR="00DA468B" w:rsidRPr="00824357" w:rsidRDefault="00DA468B" w:rsidP="000C3495">
      <w:pPr>
        <w:pStyle w:val="Heading4"/>
      </w:pPr>
      <w:r>
        <w:t>Trigésima séptima sesión del TWC</w:t>
      </w:r>
    </w:p>
    <w:p w14:paraId="5E81485F" w14:textId="77777777" w:rsidR="00DA468B" w:rsidRPr="00824357" w:rsidRDefault="00DA468B" w:rsidP="000C3495">
      <w:pPr>
        <w:keepNext/>
        <w:rPr>
          <w:snapToGrid w:val="0"/>
        </w:rPr>
      </w:pPr>
    </w:p>
    <w:p w14:paraId="20C23E47" w14:textId="34E2FA37" w:rsidR="00DA468B" w:rsidRPr="00824357" w:rsidRDefault="00DA468B" w:rsidP="00DA468B">
      <w:r w:rsidRPr="00824357">
        <w:rPr>
          <w:snapToGrid w:val="0"/>
        </w:rPr>
        <w:fldChar w:fldCharType="begin"/>
      </w:r>
      <w:r w:rsidRPr="00824357">
        <w:rPr>
          <w:snapToGrid w:val="0"/>
        </w:rPr>
        <w:instrText xml:space="preserve"> AUTONUM  </w:instrText>
      </w:r>
      <w:r w:rsidRPr="00824357">
        <w:rPr>
          <w:snapToGrid w:val="0"/>
        </w:rPr>
        <w:fldChar w:fldCharType="end"/>
      </w:r>
      <w:r>
        <w:tab/>
        <w:t>El TWC celebró su trigésima séptima sesión en Hangzhou (China), del 14 al 16 de octubre de 2019.</w:t>
      </w:r>
      <w:r w:rsidR="002A0DA3">
        <w:t xml:space="preserve"> </w:t>
      </w:r>
      <w:r>
        <w:t>En ausencia del Sr. Christophe Chevalier (Francia), presidente del TWC, inauguró y presidió la sesión el Sr. Kees van Ettekoven (Países Bajos).</w:t>
      </w:r>
    </w:p>
    <w:p w14:paraId="56DBF47F" w14:textId="77777777" w:rsidR="00DA468B" w:rsidRPr="00824357" w:rsidRDefault="00DA468B" w:rsidP="00DA468B"/>
    <w:p w14:paraId="4F3F89A6" w14:textId="192AE813" w:rsidR="00DA468B" w:rsidRPr="00824357" w:rsidRDefault="00DA468B" w:rsidP="00DA468B">
      <w:r w:rsidRPr="00824357">
        <w:fldChar w:fldCharType="begin"/>
      </w:r>
      <w:r w:rsidRPr="00824357">
        <w:instrText xml:space="preserve"> AUTONUM  </w:instrText>
      </w:r>
      <w:r w:rsidRPr="00824357">
        <w:fldChar w:fldCharType="end"/>
      </w:r>
      <w:r>
        <w:tab/>
        <w:t>Dio la bienvenida al TWC el Sr. Hao Tang, director de la División de Exámenes DHE del Centro de Desarrollo Científico y Tecnológico adscrito al Ministerio de Agricultura y Asuntos Rurales de China (MARA). El TWC asistió a una ponencia de la Sra.</w:t>
      </w:r>
      <w:r w:rsidR="00FA6C63">
        <w:t> </w:t>
      </w:r>
      <w:r>
        <w:t>Xuhong Yang, directora adjunta de la misma División del Centro de Desarrollo Científico y Tecnológico adscrito al MARA, sobre las novedades que se han producido en el ámbito de la protección de las obtenciones vegetales en este país. El informe de la sesión se facilita en el documento TWC/37/12 “</w:t>
      </w:r>
      <w:r>
        <w:rPr>
          <w:i/>
        </w:rPr>
        <w:t>Report</w:t>
      </w:r>
      <w:r>
        <w:t>”.</w:t>
      </w:r>
    </w:p>
    <w:p w14:paraId="53907328" w14:textId="77777777" w:rsidR="00DA468B" w:rsidRPr="00824357" w:rsidRDefault="00DA468B" w:rsidP="00DA468B"/>
    <w:p w14:paraId="679E94CE" w14:textId="77777777" w:rsidR="00DA468B" w:rsidRPr="00824357" w:rsidRDefault="00DA468B" w:rsidP="008C4FB8">
      <w:pPr>
        <w:pStyle w:val="Heading5"/>
      </w:pPr>
      <w:r>
        <w:t>Método de cálculo del criterio combinado interanual de homogeneidad (COYU)</w:t>
      </w:r>
    </w:p>
    <w:p w14:paraId="49BF836B" w14:textId="77777777" w:rsidR="00DA468B" w:rsidRPr="00824357" w:rsidRDefault="00DA468B" w:rsidP="00DA468B"/>
    <w:p w14:paraId="53217EE1" w14:textId="2F41EEE8" w:rsidR="00DA468B" w:rsidRPr="00824357" w:rsidRDefault="00DA468B" w:rsidP="00DA468B">
      <w:r w:rsidRPr="00824357">
        <w:fldChar w:fldCharType="begin"/>
      </w:r>
      <w:r w:rsidRPr="00824357">
        <w:instrText xml:space="preserve"> AUTONUM  </w:instrText>
      </w:r>
      <w:r w:rsidRPr="00824357">
        <w:fldChar w:fldCharType="end"/>
      </w:r>
      <w:r>
        <w:tab/>
        <w:t>El TWC convino en invitar a los miembros a utilizar los programas informáticos “R” o “DUST” para examinar el nuevo paquete informático COYU a fin de detectar elementos que puedan mejorarse.</w:t>
      </w:r>
      <w:r w:rsidR="002A0DA3">
        <w:t xml:space="preserve"> </w:t>
      </w:r>
      <w:r>
        <w:t>El TWC tomó nota de que los expertos de China, Finlandia, Francia y el Reino Unido manifestaron interés en analizar el nuevo paquete informático COYU.</w:t>
      </w:r>
    </w:p>
    <w:p w14:paraId="470D63DE" w14:textId="77777777" w:rsidR="00DA468B" w:rsidRPr="00824357" w:rsidRDefault="00DA468B" w:rsidP="00DA468B"/>
    <w:p w14:paraId="67BD053A" w14:textId="18110D5B" w:rsidR="00DA468B" w:rsidRPr="00824357" w:rsidRDefault="00DA468B" w:rsidP="00DA468B">
      <w:r w:rsidRPr="00824357">
        <w:fldChar w:fldCharType="begin"/>
      </w:r>
      <w:r w:rsidRPr="00824357">
        <w:instrText xml:space="preserve"> AUTONUM  </w:instrText>
      </w:r>
      <w:r w:rsidRPr="00824357">
        <w:fldChar w:fldCharType="end"/>
      </w:r>
      <w:r>
        <w:tab/>
        <w:t>El TWC examinó el proyecto propuesto de revisión de la sección 9 “Criterio combinado interanual de homogeneidad (COYU)” del documento TGP/8, presentado en el Anexo del documento TWC/37/7.</w:t>
      </w:r>
      <w:r w:rsidR="002A0DA3">
        <w:t xml:space="preserve"> </w:t>
      </w:r>
      <w:r>
        <w:t>El TWC convino en invitar al experto del Reino Unido a elaborar una versión revisada del proyecto de orientación, para presentarla a este Grupo de Trabajo en su trigésima octava sesión.</w:t>
      </w:r>
    </w:p>
    <w:p w14:paraId="597E6A25" w14:textId="77777777" w:rsidR="00DA468B" w:rsidRPr="00824357" w:rsidRDefault="00DA468B" w:rsidP="00DA468B">
      <w:pPr>
        <w:keepNext/>
        <w:rPr>
          <w:rFonts w:eastAsia="MS Mincho"/>
        </w:rPr>
      </w:pPr>
    </w:p>
    <w:p w14:paraId="61BAF2BE" w14:textId="77777777" w:rsidR="00DA468B" w:rsidRPr="00824357" w:rsidRDefault="00DA468B" w:rsidP="008C4FB8">
      <w:pPr>
        <w:pStyle w:val="Heading5"/>
        <w:rPr>
          <w:snapToGrid w:val="0"/>
        </w:rPr>
      </w:pPr>
      <w:r>
        <w:t>Riesgos asociados a la evaluación de la homogeneidad sobre la base de las plantas fuera de tipo mediante la observación de más de un ciclo de cultivo</w:t>
      </w:r>
    </w:p>
    <w:p w14:paraId="5BFF530A" w14:textId="77777777" w:rsidR="00DA468B" w:rsidRPr="00824357" w:rsidRDefault="00DA468B" w:rsidP="00DA468B">
      <w:pPr>
        <w:rPr>
          <w:snapToGrid w:val="0"/>
        </w:rPr>
      </w:pPr>
    </w:p>
    <w:p w14:paraId="6D2195AD" w14:textId="567C57A6" w:rsidR="00DA468B" w:rsidRPr="00824357" w:rsidRDefault="00DA468B" w:rsidP="00DA468B">
      <w:r w:rsidRPr="00824357">
        <w:fldChar w:fldCharType="begin"/>
      </w:r>
      <w:r w:rsidRPr="00824357">
        <w:instrText xml:space="preserve"> AUTONUM  </w:instrText>
      </w:r>
      <w:r w:rsidRPr="00824357">
        <w:fldChar w:fldCharType="end"/>
      </w:r>
      <w:r>
        <w:tab/>
        <w:t>El TWC tomó nota de que se ha desarrollado un programa informático en Excel para calcular el número de plantas fuera de tipo y los riesgos asociados a la evaluación de la homogeneidad sobre la base de las plantas fuera de tipo mediante la observación de más de un ciclo de cultivo, que se expone en el Anexo II del documento TWC/37/5.</w:t>
      </w:r>
      <w:r w:rsidR="002A0DA3">
        <w:t xml:space="preserve"> </w:t>
      </w:r>
      <w:r>
        <w:t>Este Grupo de Trabajo acogió con satisfacción la disponibilidad del programa informático que permite determinar el número máximo de plantas fuera de tipo, ya sea cuando la probabilidad de aceptación se aplica a cada ciclo por separado o al examen de dos ciclos agrupados.</w:t>
      </w:r>
    </w:p>
    <w:p w14:paraId="3C77EF08" w14:textId="77777777" w:rsidR="00DA468B" w:rsidRPr="00824357" w:rsidRDefault="00DA468B" w:rsidP="00DA468B"/>
    <w:p w14:paraId="6019D002"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El TWC convino en proponer que el programa informático se pueda descargar desde el sitio web de la UPOV. </w:t>
      </w:r>
    </w:p>
    <w:p w14:paraId="594DCF37" w14:textId="77777777" w:rsidR="00DA468B" w:rsidRPr="00824357" w:rsidRDefault="00DA468B" w:rsidP="00DA468B"/>
    <w:p w14:paraId="19135FCD" w14:textId="77777777" w:rsidR="00DA468B" w:rsidRPr="00824357" w:rsidRDefault="00DA468B" w:rsidP="008C4FB8">
      <w:pPr>
        <w:pStyle w:val="Heading5"/>
        <w:rPr>
          <w:snapToGrid w:val="0"/>
        </w:rPr>
      </w:pPr>
      <w:r>
        <w:t>Experiencia en el uso de dos lugares de ensayo en un año para las decisiones sobre DHE</w:t>
      </w:r>
    </w:p>
    <w:p w14:paraId="174F07C1" w14:textId="77777777" w:rsidR="00DA468B" w:rsidRPr="00824357" w:rsidRDefault="00DA468B" w:rsidP="00DA468B"/>
    <w:p w14:paraId="4DE92724"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El TWC recordó que, cuando dos ciclos de cultivo se realizan en un mismo año y simultáneamente, se necesita una distancia suficiente o una diferencia suficiente entre las condiciones de cultivo de dos lugares de ensayo para cumplir el requisito de independencia. </w:t>
      </w:r>
    </w:p>
    <w:p w14:paraId="048F7A7B" w14:textId="77777777" w:rsidR="00DA468B" w:rsidRPr="00824357" w:rsidRDefault="00DA468B" w:rsidP="00DA468B"/>
    <w:p w14:paraId="0F5A7177" w14:textId="77777777" w:rsidR="00DA468B" w:rsidRPr="00824357" w:rsidRDefault="00DA468B" w:rsidP="008C4FB8">
      <w:pPr>
        <w:pStyle w:val="Heading5"/>
      </w:pPr>
      <w:r>
        <w:t>Desarrollo e innovación en materia de instrumentos de examen DHE</w:t>
      </w:r>
    </w:p>
    <w:p w14:paraId="1BBF9F3A" w14:textId="77777777" w:rsidR="00DA468B" w:rsidRPr="00824357" w:rsidRDefault="00DA468B" w:rsidP="00DA468B"/>
    <w:p w14:paraId="214C2201" w14:textId="77777777" w:rsidR="00DA468B" w:rsidRPr="00824357" w:rsidRDefault="00DA468B" w:rsidP="00DA468B">
      <w:r w:rsidRPr="00824357">
        <w:fldChar w:fldCharType="begin"/>
      </w:r>
      <w:r w:rsidRPr="00824357">
        <w:instrText xml:space="preserve"> AUTONUM  </w:instrText>
      </w:r>
      <w:r w:rsidRPr="00824357">
        <w:fldChar w:fldCharType="end"/>
      </w:r>
      <w:r>
        <w:tab/>
        <w:t>El TWC recordó que pueden utilizarse los documentos UPOV/INF/16 “Programas informáticos para intercambio” y UPOV/INF/22 “Programas informáticos y equipos utilizados por los miembros de la Unión” para difundir información sobre las novedades comunicadas por China, si procede.</w:t>
      </w:r>
    </w:p>
    <w:p w14:paraId="00C1411B" w14:textId="77777777" w:rsidR="00DA468B" w:rsidRPr="00824357" w:rsidRDefault="00DA468B" w:rsidP="00B239D7"/>
    <w:p w14:paraId="10EB59E4" w14:textId="77777777" w:rsidR="00DA468B" w:rsidRPr="00824357" w:rsidRDefault="00DA468B" w:rsidP="008C4FB8">
      <w:pPr>
        <w:pStyle w:val="Heading5"/>
      </w:pPr>
      <w:r>
        <w:lastRenderedPageBreak/>
        <w:t>Tratamiento de datos para la evaluación de la distinción y la elaboración de descripciones de variedades</w:t>
      </w:r>
    </w:p>
    <w:p w14:paraId="2FE43255" w14:textId="77777777" w:rsidR="00DA468B" w:rsidRPr="00824357" w:rsidRDefault="00DA468B" w:rsidP="00DA468B">
      <w:pPr>
        <w:jc w:val="left"/>
      </w:pPr>
    </w:p>
    <w:p w14:paraId="606BB630" w14:textId="41A3F915" w:rsidR="00DA468B" w:rsidRPr="00824357" w:rsidRDefault="00DA468B" w:rsidP="00DA468B">
      <w:pPr>
        <w:keepNext/>
      </w:pPr>
      <w:r w:rsidRPr="00824357">
        <w:fldChar w:fldCharType="begin"/>
      </w:r>
      <w:r w:rsidRPr="00824357">
        <w:instrText xml:space="preserve"> AUTONUM  </w:instrText>
      </w:r>
      <w:r w:rsidRPr="00824357">
        <w:fldChar w:fldCharType="end"/>
      </w:r>
      <w:r>
        <w:tab/>
        <w:t>El TWC tomó nota de que los diferentes métodos descritos en el documento se utilizaron para elaborar descripciones de variedades y de que no se menciona la evaluación de la distinción.</w:t>
      </w:r>
      <w:r w:rsidR="002A0DA3">
        <w:t xml:space="preserve"> </w:t>
      </w:r>
      <w:r>
        <w:t>El TWC convino en proponer que se modifique el título del documento para que sea “</w:t>
      </w:r>
      <w:r>
        <w:rPr>
          <w:i/>
        </w:rPr>
        <w:t xml:space="preserve">Data processing for the </w:t>
      </w:r>
      <w:r>
        <w:rPr>
          <w:i/>
          <w:strike/>
          <w:highlight w:val="lightGray"/>
        </w:rPr>
        <w:t>assessment of distinctness and for producing</w:t>
      </w:r>
      <w:r>
        <w:rPr>
          <w:i/>
        </w:rPr>
        <w:t xml:space="preserve"> </w:t>
      </w:r>
      <w:r>
        <w:rPr>
          <w:i/>
          <w:highlight w:val="lightGray"/>
          <w:u w:val="single"/>
        </w:rPr>
        <w:t>production of</w:t>
      </w:r>
      <w:r>
        <w:rPr>
          <w:i/>
        </w:rPr>
        <w:t xml:space="preserve"> variety descriptions </w:t>
      </w:r>
      <w:r w:rsidRPr="008F3D89">
        <w:rPr>
          <w:i/>
          <w:highlight w:val="lightGray"/>
          <w:u w:val="single"/>
        </w:rPr>
        <w:t>for measured quantitative characteristics</w:t>
      </w:r>
      <w:r>
        <w:t xml:space="preserve">” (Tratamiento de datos para </w:t>
      </w:r>
      <w:r>
        <w:rPr>
          <w:strike/>
          <w:highlight w:val="lightGray"/>
        </w:rPr>
        <w:t>la evaluación de la distinción y</w:t>
      </w:r>
      <w:r w:rsidR="002A0DA3">
        <w:t xml:space="preserve"> </w:t>
      </w:r>
      <w:r>
        <w:t xml:space="preserve">la elaboración de descripciones de variedades </w:t>
      </w:r>
      <w:r>
        <w:rPr>
          <w:highlight w:val="lightGray"/>
          <w:u w:val="single"/>
        </w:rPr>
        <w:t>en el caso de caracteres cuantitativos medidos</w:t>
      </w:r>
      <w:r w:rsidRPr="00547A4C">
        <w:t>)</w:t>
      </w:r>
      <w:r>
        <w:t>.</w:t>
      </w:r>
    </w:p>
    <w:p w14:paraId="1F3946B0" w14:textId="77777777" w:rsidR="00DA468B" w:rsidRPr="00824357" w:rsidRDefault="00DA468B" w:rsidP="00DA468B"/>
    <w:p w14:paraId="735997AA"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El TWC tomó nota de que el TC pidió a los expertos de Alemania, Francia, el Japón y el Reino Unido que faciliten información sobre las circunstancias en las que sería adecuado utilizar sus métodos, tales como el método de reproducción o multiplicación vegetativa de la variedad y otros factores considerados al decidir el uso del método. El TWC tomó nota de que las descripciones de los métodos no son suficientes para la solicitud y de las situaciones en que los métodos serían adecuados y en que no lo serían y convino en que se ha de invitar a los expertos de Alemania, Francia, Italia y el Japón a facilitar la información solicitada por el TC al experto del Reino Unido. </w:t>
      </w:r>
    </w:p>
    <w:p w14:paraId="4F1C4AC5" w14:textId="77777777" w:rsidR="00DA468B" w:rsidRPr="00824357" w:rsidRDefault="00DA468B" w:rsidP="00DA468B"/>
    <w:p w14:paraId="0B6D44B5" w14:textId="31221CD5" w:rsidR="00DA468B" w:rsidRPr="00824357" w:rsidRDefault="00DA468B" w:rsidP="00DA468B">
      <w:r w:rsidRPr="00824357">
        <w:fldChar w:fldCharType="begin"/>
      </w:r>
      <w:r w:rsidRPr="00824357">
        <w:instrText xml:space="preserve"> AUTONUM  </w:instrText>
      </w:r>
      <w:r w:rsidRPr="00824357">
        <w:fldChar w:fldCharType="end"/>
      </w:r>
      <w:r>
        <w:tab/>
        <w:t>El TWC examinó la propuesta de elaborar un flujograma de requisitos y situaciones para el uso de los diferentes métodos descritos.</w:t>
      </w:r>
      <w:r w:rsidR="002A0DA3">
        <w:t xml:space="preserve"> </w:t>
      </w:r>
      <w:r>
        <w:t xml:space="preserve">El TWC convino en invitar a los expertos de Alemania, Francia, Italia, el Japón y el Reino Unido a considerar la posibilidad de facilitar la información necesaria como punto de partida para describir los requisitos de cada método. </w:t>
      </w:r>
    </w:p>
    <w:p w14:paraId="79F17EC2" w14:textId="77777777" w:rsidR="00DA468B" w:rsidRPr="00824357" w:rsidRDefault="00DA468B" w:rsidP="00DA468B"/>
    <w:p w14:paraId="4098E2B8" w14:textId="77777777" w:rsidR="00DA468B" w:rsidRPr="00824357" w:rsidRDefault="00DA468B" w:rsidP="008C4FB8">
      <w:pPr>
        <w:pStyle w:val="Heading5"/>
      </w:pPr>
      <w:r>
        <w:t>Guía para redactores de directrices de examen</w:t>
      </w:r>
    </w:p>
    <w:p w14:paraId="443E8BA1" w14:textId="77777777" w:rsidR="00DA468B" w:rsidRPr="00824357" w:rsidRDefault="00DA468B" w:rsidP="00DA468B">
      <w:pPr>
        <w:keepNext/>
      </w:pPr>
    </w:p>
    <w:p w14:paraId="2E7F70B6" w14:textId="4621C1FB" w:rsidR="00DA468B" w:rsidRPr="00824357" w:rsidRDefault="00DA468B" w:rsidP="00DA468B">
      <w:r w:rsidRPr="00824357">
        <w:fldChar w:fldCharType="begin"/>
      </w:r>
      <w:r w:rsidRPr="00824357">
        <w:instrText xml:space="preserve"> AUTONUM  </w:instrText>
      </w:r>
      <w:r w:rsidRPr="00824357">
        <w:fldChar w:fldCharType="end"/>
      </w:r>
      <w:r>
        <w:tab/>
        <w:t>El TWC tomó nota de que en los diferentes elementos presentados en la plantilla en Internet de los documentos TG se incluyen enlaces a las correspondientes “notas orientativas” o “texto estándar adicional” del documento TGP/7.</w:t>
      </w:r>
      <w:r w:rsidR="002A0DA3">
        <w:t xml:space="preserve"> </w:t>
      </w:r>
      <w:r>
        <w:t>El TWC convino en proponer que desde la plantilla en Internet de los documentos TG también se pueda acceder a los enlaces al texto estándar de otros documentos TGP.</w:t>
      </w:r>
    </w:p>
    <w:p w14:paraId="6A13CC0F" w14:textId="77777777" w:rsidR="00DA468B" w:rsidRPr="00824357" w:rsidRDefault="00DA468B" w:rsidP="00DA468B"/>
    <w:p w14:paraId="14884267" w14:textId="77777777" w:rsidR="00DA468B" w:rsidRPr="008C4FB8" w:rsidRDefault="00DA468B" w:rsidP="008C4FB8">
      <w:pPr>
        <w:pStyle w:val="Heading5"/>
      </w:pPr>
      <w:bookmarkStart w:id="4" w:name="_Toc889272"/>
      <w:r w:rsidRPr="008C4FB8">
        <w:t>Presentación de la escala completa de notas de los caracteres cuantitativos en las directrices de examen</w:t>
      </w:r>
      <w:bookmarkEnd w:id="4"/>
    </w:p>
    <w:p w14:paraId="4A6832EC" w14:textId="77777777" w:rsidR="00DA468B" w:rsidRPr="00824357" w:rsidRDefault="00DA468B" w:rsidP="00DA468B">
      <w:pPr>
        <w:keepNext/>
      </w:pPr>
    </w:p>
    <w:p w14:paraId="1A7668D8" w14:textId="75C83350" w:rsidR="00DA468B" w:rsidRPr="00824357" w:rsidRDefault="00DA468B" w:rsidP="00DA468B">
      <w:pPr>
        <w:keepNext/>
      </w:pPr>
      <w:r w:rsidRPr="00824357">
        <w:fldChar w:fldCharType="begin"/>
      </w:r>
      <w:r w:rsidRPr="00824357">
        <w:instrText xml:space="preserve"> AUTONUM  </w:instrText>
      </w:r>
      <w:r w:rsidRPr="00824357">
        <w:fldChar w:fldCharType="end"/>
      </w:r>
      <w:r>
        <w:tab/>
        <w:t>El TWC tomó nota de la utilidad de presentar la escala completa de notas para los sistemas de presentación electrónica de solicitudes y convino con el TWO, el TWV y el TWF en que en las directrices de examen se han de presentar todos los niveles de expresión de los caracteres cuantitativos.</w:t>
      </w:r>
      <w:r w:rsidR="002A0DA3">
        <w:t xml:space="preserve"> </w:t>
      </w:r>
    </w:p>
    <w:p w14:paraId="4BA0E987" w14:textId="77777777" w:rsidR="00DA468B" w:rsidRPr="00824357" w:rsidRDefault="00DA468B" w:rsidP="00DA468B">
      <w:pPr>
        <w:rPr>
          <w:snapToGrid w:val="0"/>
        </w:rPr>
      </w:pPr>
    </w:p>
    <w:p w14:paraId="772BCFAF" w14:textId="77777777" w:rsidR="00DA468B" w:rsidRPr="00824357" w:rsidRDefault="00DA468B" w:rsidP="008C4FB8">
      <w:pPr>
        <w:pStyle w:val="Heading5"/>
      </w:pPr>
      <w:r>
        <w:t>Sesión para facilitar la cooperación en el uso de técnicas moleculares y la cooperación internacional en el examen DHE</w:t>
      </w:r>
    </w:p>
    <w:p w14:paraId="66CB5F23" w14:textId="77777777" w:rsidR="00DA468B" w:rsidRPr="00824357" w:rsidRDefault="00DA468B" w:rsidP="00DA468B"/>
    <w:p w14:paraId="230DB794" w14:textId="77777777" w:rsidR="00DA468B" w:rsidRPr="00824357" w:rsidRDefault="00DA468B" w:rsidP="00DA468B">
      <w:r w:rsidRPr="00824357">
        <w:fldChar w:fldCharType="begin"/>
      </w:r>
      <w:r w:rsidRPr="00824357">
        <w:instrText xml:space="preserve"> AUTONUM  </w:instrText>
      </w:r>
      <w:r w:rsidRPr="00824357">
        <w:fldChar w:fldCharType="end"/>
      </w:r>
      <w:r>
        <w:tab/>
        <w:t>El TWC formó grupos de debate para examinar la cooperación en el uso de técnicas moleculares, las cuestiones técnicas que impiden la cooperación en materia de examen DHE y la manera de solventar las cuestiones técnicas planteadas.</w:t>
      </w:r>
    </w:p>
    <w:p w14:paraId="604877E3" w14:textId="77777777" w:rsidR="00DA468B" w:rsidRPr="00824357" w:rsidRDefault="00DA468B" w:rsidP="00DA468B">
      <w:pPr>
        <w:rPr>
          <w:snapToGrid w:val="0"/>
        </w:rPr>
      </w:pPr>
    </w:p>
    <w:p w14:paraId="572C3879" w14:textId="77777777" w:rsidR="00DA468B" w:rsidRPr="00824357" w:rsidRDefault="00DA468B" w:rsidP="008C4FB8">
      <w:pPr>
        <w:pStyle w:val="Heading5"/>
      </w:pPr>
      <w:r>
        <w:t>Programas informáticos, información y bases de datos</w:t>
      </w:r>
    </w:p>
    <w:p w14:paraId="567F6135" w14:textId="77777777" w:rsidR="00DA468B" w:rsidRPr="00824357" w:rsidRDefault="00DA468B" w:rsidP="00DA468B"/>
    <w:p w14:paraId="6FC113A1" w14:textId="7CFA7D2C" w:rsidR="00DA468B" w:rsidRPr="00824357" w:rsidRDefault="00DA468B" w:rsidP="00DA468B">
      <w:r w:rsidRPr="00824357">
        <w:fldChar w:fldCharType="begin"/>
      </w:r>
      <w:r w:rsidRPr="00824357">
        <w:instrText xml:space="preserve"> AUTONUM  </w:instrText>
      </w:r>
      <w:r w:rsidRPr="00824357">
        <w:fldChar w:fldCharType="end"/>
      </w:r>
      <w:r>
        <w:tab/>
        <w:t>El TWC examinó el documento TWC/37/8 y asistió a una ponencia titulada “Un programa informático para el análisis estadístico: DUS Excel”.</w:t>
      </w:r>
      <w:r w:rsidR="002A0DA3">
        <w:t xml:space="preserve"> </w:t>
      </w:r>
    </w:p>
    <w:p w14:paraId="5D1AFE79" w14:textId="77777777" w:rsidR="00DA468B" w:rsidRPr="00824357" w:rsidRDefault="00DA468B" w:rsidP="00DA468B">
      <w:pPr>
        <w:tabs>
          <w:tab w:val="left" w:pos="1312"/>
        </w:tabs>
      </w:pPr>
    </w:p>
    <w:p w14:paraId="6FA152E1" w14:textId="2A50106D" w:rsidR="00DA468B" w:rsidRPr="00824357" w:rsidRDefault="00DA468B" w:rsidP="00DA468B">
      <w:r w:rsidRPr="00824357">
        <w:fldChar w:fldCharType="begin"/>
      </w:r>
      <w:r w:rsidRPr="00824357">
        <w:instrText xml:space="preserve"> AUTONUM  </w:instrText>
      </w:r>
      <w:r w:rsidRPr="00824357">
        <w:fldChar w:fldCharType="end"/>
      </w:r>
      <w:r>
        <w:tab/>
        <w:t>El TWC analizó la validación del programa informático presentado.</w:t>
      </w:r>
      <w:r w:rsidR="002A0DA3">
        <w:t xml:space="preserve"> </w:t>
      </w:r>
      <w:r>
        <w:t xml:space="preserve">El TWC tomó nota del ofrecimiento del Reino Unido de proporcionar un conjunto de datos comunes a China, Francia y Kenya, a efectos de comparar los resultados de los procedimientos COYD y COYU obtenidos con diferentes programas informáticos. </w:t>
      </w:r>
    </w:p>
    <w:p w14:paraId="1AF5634C" w14:textId="77777777" w:rsidR="00DA468B" w:rsidRPr="00824357" w:rsidRDefault="00DA468B" w:rsidP="00DA468B">
      <w:pPr>
        <w:tabs>
          <w:tab w:val="left" w:pos="1312"/>
        </w:tabs>
      </w:pPr>
    </w:p>
    <w:p w14:paraId="52EF2144" w14:textId="513C51E0" w:rsidR="00DA468B" w:rsidRPr="00824357" w:rsidRDefault="00DA468B" w:rsidP="00DA468B">
      <w:r w:rsidRPr="00824357">
        <w:fldChar w:fldCharType="begin"/>
      </w:r>
      <w:r w:rsidRPr="00824357">
        <w:instrText xml:space="preserve"> AUTONUM  </w:instrText>
      </w:r>
      <w:r w:rsidRPr="00824357">
        <w:fldChar w:fldCharType="end"/>
      </w:r>
      <w:r>
        <w:tab/>
        <w:t>El TWC tomó nota del ofrecimiento de China de poner el programa informático a disposición de otros miembros de la UPOV.</w:t>
      </w:r>
      <w:r w:rsidR="002A0DA3">
        <w:t xml:space="preserve"> </w:t>
      </w:r>
      <w:r>
        <w:t>El TWC observó que la interfaz de usuario está disponible en chino y en inglés, mientras que el manual del usuario se ha publicado únicamente en chino.</w:t>
      </w:r>
      <w:r w:rsidR="002A0DA3">
        <w:t xml:space="preserve"> </w:t>
      </w:r>
      <w:r>
        <w:t>También tomó nota del ofrecimiento de los Estados Unidos de América de traducir una descripción breve del sistema para evaluar el interés en que se traduzca todo el manual del usuario.</w:t>
      </w:r>
    </w:p>
    <w:p w14:paraId="3ADC128F" w14:textId="77777777" w:rsidR="00DA468B" w:rsidRPr="00824357" w:rsidRDefault="00DA468B" w:rsidP="00DA468B"/>
    <w:p w14:paraId="27C0BE29" w14:textId="77777777" w:rsidR="00DA468B" w:rsidRPr="00824357" w:rsidRDefault="00DA468B" w:rsidP="008C4FB8">
      <w:pPr>
        <w:pStyle w:val="Heading5"/>
      </w:pPr>
      <w:r>
        <w:lastRenderedPageBreak/>
        <w:t xml:space="preserve">Fecha y lugar de la próxima sesión </w:t>
      </w:r>
    </w:p>
    <w:p w14:paraId="284BE5F1" w14:textId="77777777" w:rsidR="00DA468B" w:rsidRPr="00824357" w:rsidRDefault="00DA468B" w:rsidP="00DA468B">
      <w:pPr>
        <w:keepNext/>
        <w:rPr>
          <w:rFonts w:cs="Arial"/>
        </w:rPr>
      </w:pPr>
    </w:p>
    <w:p w14:paraId="02C10720" w14:textId="77777777" w:rsidR="00DA468B" w:rsidRPr="00824357" w:rsidRDefault="00DA468B" w:rsidP="00DA468B">
      <w:pPr>
        <w:keepNext/>
        <w:rPr>
          <w:color w:val="000000"/>
        </w:rPr>
      </w:pPr>
      <w:r w:rsidRPr="00824357">
        <w:rPr>
          <w:color w:val="000000"/>
        </w:rPr>
        <w:fldChar w:fldCharType="begin"/>
      </w:r>
      <w:r w:rsidRPr="00824357">
        <w:rPr>
          <w:color w:val="000000"/>
        </w:rPr>
        <w:instrText xml:space="preserve"> AUTONUM  </w:instrText>
      </w:r>
      <w:r w:rsidRPr="00824357">
        <w:rPr>
          <w:color w:val="000000"/>
        </w:rPr>
        <w:fldChar w:fldCharType="end"/>
      </w:r>
      <w:r>
        <w:tab/>
        <w:t>Por invitación de los Estados Unidos de América, el TWC convino en celebrar su trigésima octava sesión en Alexandria, Virginia (Estados Unidos de América), junto con el BMT, durante la semana del 21 al 25 de septiembre de 2020.</w:t>
      </w:r>
    </w:p>
    <w:p w14:paraId="423B0F6C" w14:textId="77777777" w:rsidR="00DA468B" w:rsidRPr="00824357" w:rsidRDefault="00DA468B" w:rsidP="00DA468B">
      <w:pPr>
        <w:rPr>
          <w:rFonts w:cs="Arial"/>
        </w:rPr>
      </w:pPr>
    </w:p>
    <w:p w14:paraId="6ECB6FEF" w14:textId="77777777" w:rsidR="00DA468B" w:rsidRPr="00824357" w:rsidRDefault="00DA468B" w:rsidP="008C4FB8">
      <w:pPr>
        <w:pStyle w:val="Heading5"/>
      </w:pPr>
      <w:r>
        <w:t>Programa previsto</w:t>
      </w:r>
    </w:p>
    <w:p w14:paraId="0D922288" w14:textId="77777777" w:rsidR="00DA468B" w:rsidRPr="00824357" w:rsidRDefault="00DA468B" w:rsidP="00DA468B">
      <w:pPr>
        <w:keepNext/>
        <w:rPr>
          <w:snapToGrid w:val="0"/>
        </w:rPr>
      </w:pPr>
    </w:p>
    <w:p w14:paraId="3A4374E0" w14:textId="54E75D48" w:rsidR="00DA468B" w:rsidRPr="00824357" w:rsidRDefault="00DA468B" w:rsidP="00DA468B">
      <w:pPr>
        <w:rPr>
          <w:rFonts w:cs="Arial"/>
        </w:rPr>
      </w:pPr>
      <w:r w:rsidRPr="00824357">
        <w:fldChar w:fldCharType="begin"/>
      </w:r>
      <w:r w:rsidRPr="00824357">
        <w:instrText xml:space="preserve"> AUTONUM  </w:instrText>
      </w:r>
      <w:r w:rsidRPr="00824357">
        <w:fldChar w:fldCharType="end"/>
      </w:r>
      <w:r>
        <w:tab/>
        <w:t>El TWC consideró la posibilidad de organizar sus sesiones y las del BMT en la misma semana.</w:t>
      </w:r>
      <w:r w:rsidR="002A0DA3">
        <w:t xml:space="preserve"> </w:t>
      </w:r>
      <w:r>
        <w:t>El TWC tomó nota de que existe una duplicación del contenido presentado en sus sesiones y las del BMT y convino en que las partes de apertura e introducción han ser una sola para ambas sesiones al mismo tiempo.</w:t>
      </w:r>
      <w:r w:rsidR="002A0DA3">
        <w:t xml:space="preserve"> </w:t>
      </w:r>
    </w:p>
    <w:p w14:paraId="48E79B6D" w14:textId="77777777" w:rsidR="00DA468B" w:rsidRPr="00824357" w:rsidRDefault="00DA468B" w:rsidP="00DA468B">
      <w:pPr>
        <w:rPr>
          <w:rFonts w:cs="Arial"/>
        </w:rPr>
      </w:pPr>
    </w:p>
    <w:p w14:paraId="78428D92" w14:textId="535A4CA4" w:rsidR="00DA468B" w:rsidRPr="00824357" w:rsidRDefault="00DA468B" w:rsidP="00DA468B">
      <w:pPr>
        <w:rPr>
          <w:rFonts w:cs="Arial"/>
        </w:rPr>
      </w:pPr>
      <w:r w:rsidRPr="00824357">
        <w:fldChar w:fldCharType="begin"/>
      </w:r>
      <w:r w:rsidRPr="00824357">
        <w:instrText xml:space="preserve"> AUTONUM  </w:instrText>
      </w:r>
      <w:r w:rsidRPr="00824357">
        <w:fldChar w:fldCharType="end"/>
      </w:r>
      <w:r>
        <w:tab/>
        <w:t>El TWC convino en que los puntos del orden de día que se prevé debatir en la trigésima octava sesión se deben centrar en los puntos pertinentes para el grupo y en que el resto de los puntos se deben presentar solo a título informativo.</w:t>
      </w:r>
      <w:r w:rsidR="002A0DA3">
        <w:t xml:space="preserve"> </w:t>
      </w:r>
      <w:r>
        <w:t xml:space="preserve">El TWC convino en que los puntos del orden del día se han de agrupar por tema en diferentes días y en que el orden del debate se ha de comunicar a los participantes con antelación. </w:t>
      </w:r>
    </w:p>
    <w:p w14:paraId="2C3E063D" w14:textId="77777777" w:rsidR="00DA468B" w:rsidRPr="00824357" w:rsidRDefault="00DA468B" w:rsidP="00DA468B">
      <w:pPr>
        <w:rPr>
          <w:rFonts w:cs="Arial"/>
        </w:rPr>
      </w:pPr>
    </w:p>
    <w:p w14:paraId="628210B9" w14:textId="77777777" w:rsidR="00DA468B" w:rsidRPr="00824357" w:rsidRDefault="00DA468B" w:rsidP="00DA468B">
      <w:pPr>
        <w:rPr>
          <w:rFonts w:cs="Arial"/>
        </w:rPr>
      </w:pPr>
      <w:r w:rsidRPr="00824357">
        <w:fldChar w:fldCharType="begin"/>
      </w:r>
      <w:r w:rsidRPr="00824357">
        <w:instrText xml:space="preserve"> AUTONUM  </w:instrText>
      </w:r>
      <w:r w:rsidRPr="00824357">
        <w:fldChar w:fldCharType="end"/>
      </w:r>
      <w:r>
        <w:tab/>
        <w:t xml:space="preserve">El TWC convino en que es posible que las propuestas expuestas supra permitan asignar tiempo, durante la sesión, para una visita técnica. </w:t>
      </w:r>
    </w:p>
    <w:p w14:paraId="32C87CBF" w14:textId="77777777" w:rsidR="00DA468B" w:rsidRPr="00824357" w:rsidRDefault="00DA468B" w:rsidP="00DA468B">
      <w:pPr>
        <w:keepNext/>
        <w:rPr>
          <w:snapToGrid w:val="0"/>
        </w:rPr>
      </w:pPr>
    </w:p>
    <w:p w14:paraId="506688AC" w14:textId="77777777" w:rsidR="00DA468B" w:rsidRPr="00824357" w:rsidRDefault="00DA468B" w:rsidP="00DA468B">
      <w:pPr>
        <w:keepNext/>
        <w:rPr>
          <w:rFonts w:cs="Arial"/>
        </w:rPr>
      </w:pPr>
      <w:r w:rsidRPr="00824357">
        <w:rPr>
          <w:color w:val="000000"/>
        </w:rPr>
        <w:fldChar w:fldCharType="begin"/>
      </w:r>
      <w:r w:rsidRPr="00824357">
        <w:rPr>
          <w:color w:val="000000"/>
        </w:rPr>
        <w:instrText xml:space="preserve"> AUTONUM  </w:instrText>
      </w:r>
      <w:r w:rsidRPr="00824357">
        <w:rPr>
          <w:color w:val="000000"/>
        </w:rPr>
        <w:fldChar w:fldCharType="end"/>
      </w:r>
      <w:r>
        <w:tab/>
        <w:t>El TWC propuso examinar los siguientes puntos en su próxima sesión:</w:t>
      </w:r>
    </w:p>
    <w:p w14:paraId="08960DCC" w14:textId="77777777" w:rsidR="00DA468B" w:rsidRPr="00824357" w:rsidRDefault="00DA468B" w:rsidP="00DA468B">
      <w:pPr>
        <w:jc w:val="right"/>
      </w:pPr>
    </w:p>
    <w:p w14:paraId="7F9C0061" w14:textId="77777777" w:rsidR="00DA468B" w:rsidRPr="00824357" w:rsidRDefault="00DA468B" w:rsidP="00F44E48">
      <w:pPr>
        <w:numPr>
          <w:ilvl w:val="0"/>
          <w:numId w:val="24"/>
        </w:numPr>
        <w:ind w:left="1134" w:hanging="567"/>
        <w:contextualSpacing/>
      </w:pPr>
      <w:r>
        <w:t>Apertura de la sesión</w:t>
      </w:r>
    </w:p>
    <w:p w14:paraId="1EC78F10" w14:textId="77777777" w:rsidR="00DA468B" w:rsidRPr="00824357" w:rsidRDefault="00DA468B" w:rsidP="00F44E48">
      <w:pPr>
        <w:numPr>
          <w:ilvl w:val="0"/>
          <w:numId w:val="24"/>
        </w:numPr>
        <w:ind w:left="1134" w:hanging="567"/>
        <w:contextualSpacing/>
      </w:pPr>
      <w:r>
        <w:t>Aprobación del orden del día</w:t>
      </w:r>
    </w:p>
    <w:p w14:paraId="68C81C2C" w14:textId="77777777" w:rsidR="00DA468B" w:rsidRPr="00824357" w:rsidRDefault="00DA468B" w:rsidP="00F44E48">
      <w:pPr>
        <w:numPr>
          <w:ilvl w:val="0"/>
          <w:numId w:val="24"/>
        </w:numPr>
        <w:ind w:left="1134" w:hanging="567"/>
        <w:contextualSpacing/>
      </w:pPr>
      <w:r>
        <w:t xml:space="preserve">Informes breves sobre los avances logrados en la protección de las variedades vegetales </w:t>
      </w:r>
    </w:p>
    <w:p w14:paraId="5FEDA923" w14:textId="77777777" w:rsidR="00DA468B" w:rsidRPr="00824357" w:rsidRDefault="00DA468B" w:rsidP="00DA468B">
      <w:pPr>
        <w:ind w:left="1701" w:hanging="567"/>
        <w:rPr>
          <w:rFonts w:cs="Arial"/>
          <w:color w:val="000000"/>
        </w:rPr>
      </w:pPr>
      <w:r>
        <w:t>a)</w:t>
      </w:r>
      <w:r>
        <w:tab/>
        <w:t>Informes de los miembros y observadores (los miembros y observadores elaborarán informes escritos)</w:t>
      </w:r>
    </w:p>
    <w:p w14:paraId="3B7E85CC" w14:textId="77777777" w:rsidR="00DA468B" w:rsidRPr="00824357" w:rsidRDefault="00DA468B" w:rsidP="00DA468B">
      <w:pPr>
        <w:ind w:left="1701" w:hanging="567"/>
      </w:pPr>
      <w:r>
        <w:t>b)</w:t>
      </w:r>
      <w:r>
        <w:tab/>
        <w:t>Informe sobre los avances logrados en la UPOV (informe verbal a cargo de la Oficina de la Unión)</w:t>
      </w:r>
    </w:p>
    <w:p w14:paraId="7FDFB407" w14:textId="77777777" w:rsidR="00DA468B" w:rsidRPr="00824357" w:rsidRDefault="00DA468B" w:rsidP="00F44E48">
      <w:pPr>
        <w:numPr>
          <w:ilvl w:val="0"/>
          <w:numId w:val="24"/>
        </w:numPr>
        <w:ind w:left="1134" w:hanging="567"/>
        <w:contextualSpacing/>
        <w:rPr>
          <w:bCs/>
        </w:rPr>
      </w:pPr>
      <w:r>
        <w:t>Métodos estadísticos (se invita a presentar documentos)</w:t>
      </w:r>
    </w:p>
    <w:p w14:paraId="440A7757" w14:textId="77777777" w:rsidR="00DA468B" w:rsidRPr="00824357" w:rsidRDefault="00DA468B" w:rsidP="00DA468B">
      <w:pPr>
        <w:ind w:left="1134" w:firstLine="567"/>
      </w:pPr>
      <w:r>
        <w:t xml:space="preserve">Documento TGP/8 </w:t>
      </w:r>
    </w:p>
    <w:p w14:paraId="609115C0" w14:textId="674DB6CD" w:rsidR="00DA468B" w:rsidRPr="00824357" w:rsidRDefault="00547A4C" w:rsidP="00547A4C">
      <w:pPr>
        <w:ind w:left="2268" w:hanging="567"/>
      </w:pPr>
      <w:r>
        <w:t>i.</w:t>
      </w:r>
      <w:r>
        <w:tab/>
      </w:r>
      <w:r w:rsidR="00DA468B">
        <w:t>Reorganización del documento TGP/8 (China elaborará un documento)</w:t>
      </w:r>
    </w:p>
    <w:p w14:paraId="38FC5C17" w14:textId="596C263A" w:rsidR="00DA468B" w:rsidRPr="00824357" w:rsidRDefault="00547A4C" w:rsidP="00547A4C">
      <w:pPr>
        <w:ind w:left="2268" w:hanging="567"/>
      </w:pPr>
      <w:r>
        <w:t>ii.</w:t>
      </w:r>
      <w:r>
        <w:tab/>
      </w:r>
      <w:r w:rsidR="00DA468B">
        <w:t>Interacción entre el genotipo y el ambiente (Finlandia e Italia elaborarán un documento)</w:t>
      </w:r>
    </w:p>
    <w:p w14:paraId="4465A311" w14:textId="07C15425" w:rsidR="00DA468B" w:rsidRPr="00824357" w:rsidRDefault="00547A4C" w:rsidP="00547A4C">
      <w:pPr>
        <w:ind w:left="2268" w:hanging="567"/>
      </w:pPr>
      <w:r>
        <w:t>iii.</w:t>
      </w:r>
      <w:r>
        <w:tab/>
      </w:r>
      <w:r w:rsidR="00DA468B">
        <w:t>El criterio combinado interanual de homogeneidad (COYU) (el Reino Unido elaborará un documento)</w:t>
      </w:r>
    </w:p>
    <w:p w14:paraId="0A2D8C4F" w14:textId="77777777" w:rsidR="00DA468B" w:rsidRPr="00824357" w:rsidRDefault="00DA468B" w:rsidP="00DA468B">
      <w:pPr>
        <w:ind w:left="1701"/>
      </w:pPr>
      <w:r>
        <w:t>Documento TGP/10</w:t>
      </w:r>
    </w:p>
    <w:p w14:paraId="106C70F8" w14:textId="77777777" w:rsidR="00DA468B" w:rsidRPr="00824357" w:rsidRDefault="00DA468B" w:rsidP="00DA468B">
      <w:pPr>
        <w:ind w:left="2268" w:hanging="567"/>
      </w:pPr>
      <w:r>
        <w:t>iv.</w:t>
      </w:r>
      <w:r>
        <w:tab/>
        <w:t>Tratamiento de datos para elaborar descripciones de variedades (el Reino Unido preparará un documento)</w:t>
      </w:r>
    </w:p>
    <w:p w14:paraId="2B368B66" w14:textId="77777777" w:rsidR="00DA468B" w:rsidRPr="00824357" w:rsidRDefault="00DA468B" w:rsidP="00F44E48">
      <w:pPr>
        <w:numPr>
          <w:ilvl w:val="0"/>
          <w:numId w:val="24"/>
        </w:numPr>
        <w:ind w:left="1134" w:hanging="567"/>
        <w:contextualSpacing/>
        <w:rPr>
          <w:bCs/>
        </w:rPr>
      </w:pPr>
      <w:r>
        <w:t>Programas informáticos, información y bases de datos (se invita a presentar documentos)</w:t>
      </w:r>
    </w:p>
    <w:p w14:paraId="668E8F76" w14:textId="77777777" w:rsidR="00DA468B" w:rsidRPr="00824357" w:rsidRDefault="00DA468B" w:rsidP="00DA468B">
      <w:pPr>
        <w:ind w:left="1701" w:hanging="567"/>
        <w:rPr>
          <w:rFonts w:cs="Arial"/>
          <w:color w:val="000000"/>
        </w:rPr>
      </w:pPr>
      <w:r>
        <w:t>a)</w:t>
      </w:r>
      <w:r>
        <w:tab/>
        <w:t>Bases de datos de información de la UPOV (la Oficina de la Unión elaborará un documento)</w:t>
      </w:r>
    </w:p>
    <w:p w14:paraId="06227FAE" w14:textId="77777777" w:rsidR="00DA468B" w:rsidRPr="00824357" w:rsidRDefault="00DA468B" w:rsidP="00DA468B">
      <w:pPr>
        <w:ind w:left="1701" w:hanging="567"/>
        <w:rPr>
          <w:rFonts w:cs="Arial"/>
          <w:color w:val="000000"/>
        </w:rPr>
      </w:pPr>
      <w:r>
        <w:t>b)</w:t>
      </w:r>
      <w:r>
        <w:tab/>
        <w:t>Bases de datos de descripciones de variedades (la Oficina de la Unión elaborará un documento y se invita a presentar otros documentos)</w:t>
      </w:r>
    </w:p>
    <w:p w14:paraId="7488F992" w14:textId="77777777" w:rsidR="00DA468B" w:rsidRPr="00824357" w:rsidRDefault="00DA468B" w:rsidP="00DA468B">
      <w:pPr>
        <w:ind w:left="1701" w:hanging="567"/>
        <w:rPr>
          <w:rFonts w:cs="Arial"/>
          <w:color w:val="000000"/>
        </w:rPr>
      </w:pPr>
      <w:r>
        <w:t>c)</w:t>
      </w:r>
      <w:r>
        <w:tab/>
        <w:t>Intercambio y uso de programas informáticos y equipos (la Oficina de la Unión elaborará un documento)</w:t>
      </w:r>
    </w:p>
    <w:p w14:paraId="45DB3B31" w14:textId="77777777" w:rsidR="00DA468B" w:rsidRPr="00824357" w:rsidRDefault="00DA468B" w:rsidP="00DA468B">
      <w:pPr>
        <w:ind w:left="1701" w:hanging="567"/>
        <w:rPr>
          <w:rFonts w:cs="Arial"/>
          <w:color w:val="000000"/>
        </w:rPr>
      </w:pPr>
      <w:r>
        <w:t>d)</w:t>
      </w:r>
      <w:r>
        <w:tab/>
        <w:t>UPOV PRISMA (la Oficina de la Unión elaborará un documento)</w:t>
      </w:r>
    </w:p>
    <w:p w14:paraId="067AA909" w14:textId="77777777" w:rsidR="00DA468B" w:rsidRPr="00824357" w:rsidRDefault="00DA468B" w:rsidP="00DA468B">
      <w:pPr>
        <w:ind w:left="1701" w:hanging="567"/>
        <w:rPr>
          <w:rFonts w:cs="Arial"/>
          <w:color w:val="000000"/>
        </w:rPr>
      </w:pPr>
      <w:r>
        <w:rPr>
          <w:color w:val="000000"/>
        </w:rPr>
        <w:t>e)</w:t>
      </w:r>
      <w:r>
        <w:tab/>
      </w:r>
      <w:r>
        <w:rPr>
          <w:color w:val="000000"/>
        </w:rPr>
        <w:t>DUS Excel (China elaborará un documento)</w:t>
      </w:r>
    </w:p>
    <w:p w14:paraId="2AB376C4" w14:textId="77777777" w:rsidR="00DA468B" w:rsidRPr="00824357" w:rsidRDefault="00DA468B" w:rsidP="00DA468B">
      <w:pPr>
        <w:ind w:left="1701" w:hanging="567"/>
        <w:rPr>
          <w:rFonts w:cs="Arial"/>
          <w:color w:val="000000"/>
        </w:rPr>
      </w:pPr>
      <w:r>
        <w:t>f)</w:t>
      </w:r>
      <w:r>
        <w:tab/>
        <w:t>Validación de programas informáticos (el Reino Unido elaborará un documento)</w:t>
      </w:r>
    </w:p>
    <w:p w14:paraId="41E01565" w14:textId="77777777" w:rsidR="00DA468B" w:rsidRPr="00824357" w:rsidRDefault="00DA468B" w:rsidP="00F44E48">
      <w:pPr>
        <w:numPr>
          <w:ilvl w:val="0"/>
          <w:numId w:val="24"/>
        </w:numPr>
        <w:ind w:left="1134" w:hanging="567"/>
        <w:contextualSpacing/>
      </w:pPr>
      <w:r>
        <w:t>Técnicas moleculares y bioinformática (la Oficina de la Unión elaborará un documento y se invita a presentar otros documentos)</w:t>
      </w:r>
    </w:p>
    <w:p w14:paraId="4CA19583" w14:textId="77777777" w:rsidR="00DA468B" w:rsidRPr="00824357" w:rsidRDefault="00DA468B" w:rsidP="00DA468B">
      <w:pPr>
        <w:ind w:left="1497" w:firstLine="204"/>
        <w:contextualSpacing/>
      </w:pPr>
      <w:r>
        <w:t>Revisión del documento TGP/15 (la Oficina de la Unión elaborará un documento)</w:t>
      </w:r>
    </w:p>
    <w:p w14:paraId="6DF1A9EA" w14:textId="77777777" w:rsidR="00DA468B" w:rsidRPr="00824357" w:rsidRDefault="00DA468B" w:rsidP="00F44E48">
      <w:pPr>
        <w:numPr>
          <w:ilvl w:val="0"/>
          <w:numId w:val="24"/>
        </w:numPr>
        <w:ind w:left="1134" w:hanging="567"/>
        <w:contextualSpacing/>
      </w:pPr>
      <w:r>
        <w:t>Fenotipado y análisis de imágenes (se invita a presentar documentos)</w:t>
      </w:r>
    </w:p>
    <w:p w14:paraId="6B10625A" w14:textId="77777777" w:rsidR="00DA468B" w:rsidRPr="00824357" w:rsidRDefault="00DA468B" w:rsidP="00F44E48">
      <w:pPr>
        <w:numPr>
          <w:ilvl w:val="0"/>
          <w:numId w:val="24"/>
        </w:numPr>
        <w:ind w:left="1134" w:hanging="567"/>
        <w:contextualSpacing/>
      </w:pPr>
      <w:r>
        <w:t>Instrumentos y métodos para el examen DHE (se invita a presentar documentos)</w:t>
      </w:r>
    </w:p>
    <w:p w14:paraId="6E9A09B5" w14:textId="77777777" w:rsidR="00DA468B" w:rsidRPr="00824357" w:rsidRDefault="00DA468B" w:rsidP="00F44E48">
      <w:pPr>
        <w:numPr>
          <w:ilvl w:val="0"/>
          <w:numId w:val="24"/>
        </w:numPr>
        <w:ind w:left="1134" w:hanging="567"/>
        <w:contextualSpacing/>
      </w:pPr>
      <w:r>
        <w:rPr>
          <w:color w:val="000000"/>
        </w:rPr>
        <w:t>Fecha y lugar de la próxima sesión</w:t>
      </w:r>
    </w:p>
    <w:p w14:paraId="26735E11" w14:textId="77777777" w:rsidR="00DA468B" w:rsidRPr="00824357" w:rsidRDefault="00DA468B" w:rsidP="00F44E48">
      <w:pPr>
        <w:numPr>
          <w:ilvl w:val="0"/>
          <w:numId w:val="24"/>
        </w:numPr>
        <w:ind w:left="1134" w:hanging="567"/>
        <w:contextualSpacing/>
      </w:pPr>
      <w:r>
        <w:rPr>
          <w:color w:val="000000"/>
        </w:rPr>
        <w:t>Programa previsto</w:t>
      </w:r>
    </w:p>
    <w:p w14:paraId="32EC68A6" w14:textId="77777777" w:rsidR="00DA468B" w:rsidRPr="00824357" w:rsidRDefault="00DA468B" w:rsidP="00F44E48">
      <w:pPr>
        <w:numPr>
          <w:ilvl w:val="0"/>
          <w:numId w:val="24"/>
        </w:numPr>
        <w:ind w:left="1134" w:hanging="567"/>
        <w:contextualSpacing/>
      </w:pPr>
      <w:r>
        <w:rPr>
          <w:color w:val="000000"/>
        </w:rPr>
        <w:t>Aprobación del informe de la sesión (si se dispone de tiempo suficiente)</w:t>
      </w:r>
    </w:p>
    <w:p w14:paraId="3277842B" w14:textId="77777777" w:rsidR="00C512D7" w:rsidRPr="00C512D7" w:rsidRDefault="00DA468B" w:rsidP="00F44E48">
      <w:pPr>
        <w:numPr>
          <w:ilvl w:val="0"/>
          <w:numId w:val="24"/>
        </w:numPr>
        <w:ind w:left="1134" w:hanging="567"/>
        <w:contextualSpacing/>
      </w:pPr>
      <w:r>
        <w:rPr>
          <w:color w:val="000000"/>
        </w:rPr>
        <w:t>Clausura de la sesión</w:t>
      </w:r>
    </w:p>
    <w:p w14:paraId="2E16339F" w14:textId="77777777" w:rsidR="00DA468B" w:rsidRPr="00824357" w:rsidRDefault="00DA468B" w:rsidP="00DA468B">
      <w:pPr>
        <w:rPr>
          <w:snapToGrid w:val="0"/>
        </w:rPr>
      </w:pPr>
    </w:p>
    <w:p w14:paraId="24C737F9" w14:textId="77777777" w:rsidR="00DA468B" w:rsidRPr="00824357" w:rsidRDefault="00DA468B" w:rsidP="00DA468B">
      <w:pPr>
        <w:pStyle w:val="Heading3"/>
      </w:pPr>
      <w:bookmarkStart w:id="5" w:name="_Toc494205438"/>
      <w:r>
        <w:lastRenderedPageBreak/>
        <w:t>Grupo de Trabajo Técnico sobre Plantas Frutales</w:t>
      </w:r>
      <w:bookmarkEnd w:id="5"/>
      <w:r>
        <w:t xml:space="preserve"> (TWF)</w:t>
      </w:r>
    </w:p>
    <w:p w14:paraId="09BB23CD" w14:textId="77777777" w:rsidR="00DA468B" w:rsidRPr="00824357" w:rsidRDefault="00DA468B" w:rsidP="00DA468B">
      <w:pPr>
        <w:keepNext/>
      </w:pPr>
    </w:p>
    <w:p w14:paraId="6B5928DE" w14:textId="77777777" w:rsidR="00DA468B" w:rsidRPr="00824357" w:rsidRDefault="00DA468B" w:rsidP="00DA468B">
      <w:pPr>
        <w:keepNext/>
      </w:pPr>
      <w:r>
        <w:t>Informe del Sr. Jean Maison (Unión Europea), presidente del TWF</w:t>
      </w:r>
    </w:p>
    <w:p w14:paraId="5681ABBB" w14:textId="77777777" w:rsidR="00DA468B" w:rsidRPr="00824357" w:rsidRDefault="00DA468B" w:rsidP="00DA468B">
      <w:pPr>
        <w:keepNext/>
      </w:pPr>
    </w:p>
    <w:p w14:paraId="47A6121B" w14:textId="77777777" w:rsidR="00DA468B" w:rsidRPr="00824357" w:rsidRDefault="00DA468B" w:rsidP="00DA468B">
      <w:pPr>
        <w:pStyle w:val="Heading4"/>
      </w:pPr>
      <w:r>
        <w:t>Cuadragésima novena sesión del TWF</w:t>
      </w:r>
    </w:p>
    <w:p w14:paraId="4911623C" w14:textId="77777777" w:rsidR="00DA468B" w:rsidRPr="00824357" w:rsidRDefault="00DA468B" w:rsidP="00DA468B"/>
    <w:p w14:paraId="3AF27C20" w14:textId="77777777" w:rsidR="00DA468B" w:rsidRPr="00824357" w:rsidRDefault="00DA468B" w:rsidP="00DA468B">
      <w:pPr>
        <w:rPr>
          <w:bCs/>
        </w:rPr>
      </w:pPr>
      <w:r w:rsidRPr="00824357">
        <w:fldChar w:fldCharType="begin"/>
      </w:r>
      <w:r w:rsidRPr="00824357">
        <w:instrText xml:space="preserve"> AUTONUM  </w:instrText>
      </w:r>
      <w:r w:rsidRPr="00824357">
        <w:fldChar w:fldCharType="end"/>
      </w:r>
      <w:r>
        <w:tab/>
        <w:t xml:space="preserve">El Grupo de Trabajo Técnico sobre Plantas Frutales (TWF) celebró su cuadragésima novena sesión en Santiago de Chile (Chile), del 19 al 23 de noviembre de 2018, bajo la presidencia del Sr. Jean Maison (Unión Europea). </w:t>
      </w:r>
    </w:p>
    <w:p w14:paraId="0390B9C9" w14:textId="77777777" w:rsidR="00DA468B" w:rsidRPr="00824357" w:rsidRDefault="00DA468B" w:rsidP="00DA468B"/>
    <w:p w14:paraId="6234058C"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Asistieron a la sesión del TWF 40 participantes procedentes de 18 miembros de la Unión y 1 organización en calidad de observadora. </w:t>
      </w:r>
    </w:p>
    <w:p w14:paraId="00C5A82D" w14:textId="77777777" w:rsidR="00DA468B" w:rsidRPr="00824357" w:rsidRDefault="00DA468B" w:rsidP="00DA468B"/>
    <w:p w14:paraId="39D1716F" w14:textId="77777777" w:rsidR="00DA468B" w:rsidRPr="00824357" w:rsidRDefault="00DA468B" w:rsidP="00DA468B">
      <w:r w:rsidRPr="00824357">
        <w:fldChar w:fldCharType="begin"/>
      </w:r>
      <w:r w:rsidRPr="00824357">
        <w:instrText xml:space="preserve"> AUTONUM  </w:instrText>
      </w:r>
      <w:r w:rsidRPr="00824357">
        <w:fldChar w:fldCharType="end"/>
      </w:r>
      <w:r>
        <w:tab/>
        <w:t>Dio la bienvenida al TWF el Sr. Guillermo Federico Aparicio Muñoz, jefe de la División de Semillas del Servicio Agrícola y Ganadero</w:t>
      </w:r>
      <w:r>
        <w:rPr>
          <w:i/>
        </w:rPr>
        <w:t xml:space="preserve"> </w:t>
      </w:r>
      <w:r>
        <w:t xml:space="preserve">(SAG) adscrito al Ministerio de Agricultura, quien presentó una ponencia sobre la protección de las obtenciones vegetales en Chile. </w:t>
      </w:r>
    </w:p>
    <w:p w14:paraId="32F973D0" w14:textId="77777777" w:rsidR="00DA468B" w:rsidRPr="00824357" w:rsidRDefault="00DA468B" w:rsidP="00DA468B"/>
    <w:p w14:paraId="26DCB241"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 xml:space="preserve">En relación con los debates acerca de los documentos TGP, al principio de la propuesta, el TWF tomó nota de que el TC convino en incluir la frase siguiente como texto estándar en las directrices de examen: </w:t>
      </w:r>
    </w:p>
    <w:p w14:paraId="7BAF2A39" w14:textId="77777777" w:rsidR="00DA468B" w:rsidRPr="00824357" w:rsidRDefault="00DA468B" w:rsidP="00DA468B"/>
    <w:p w14:paraId="09F3B8E8" w14:textId="77777777" w:rsidR="00DA468B" w:rsidRPr="00824357" w:rsidRDefault="00DA468B" w:rsidP="00DA468B">
      <w:pPr>
        <w:ind w:left="567" w:right="567"/>
        <w:rPr>
          <w:sz w:val="18"/>
          <w:u w:val="single"/>
        </w:rPr>
      </w:pPr>
      <w:r>
        <w:rPr>
          <w:sz w:val="18"/>
          <w:highlight w:val="lightGray"/>
          <w:u w:val="single"/>
        </w:rPr>
        <w:t>“Se podrá concluir el examen de una variedad en el momento en que la autoridad competente pueda determinar con certeza su resultado, ya sea anticipadamente o después de lo previsto.”</w:t>
      </w:r>
    </w:p>
    <w:p w14:paraId="66095AD8" w14:textId="77777777" w:rsidR="00DA468B" w:rsidRPr="00824357" w:rsidRDefault="00DA468B" w:rsidP="00DA468B">
      <w:pPr>
        <w:rPr>
          <w:bCs/>
        </w:rPr>
      </w:pPr>
    </w:p>
    <w:p w14:paraId="0FEF0403"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 xml:space="preserve">El TWF asistió a una ponencia de la Unión Europea sobre el examen DHE de variedades mutantes de manzano y convino en especial, que en el caso del examen DHE de estas variedades, el intercambio de información entre las oficinas de examen DHE es importante para procurar que las autoridades conozcan todas las variedades existentes que podrían ser similares. El TWF convino en que el proyecto sobre esta cuestión, centrado en ciertos grupos de variedades mutantes, debe por lo tanto continuar y se ha de animar a todos los miembros que realizan exámenes DHE del manzano a contribuir a este intercambio de información. </w:t>
      </w:r>
    </w:p>
    <w:p w14:paraId="5F799E03" w14:textId="77777777" w:rsidR="00DA468B" w:rsidRPr="00824357" w:rsidRDefault="00DA468B" w:rsidP="00DA468B"/>
    <w:p w14:paraId="57AFB866"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Se informó al TWF de los resultados de la encuesta sobre los enfoques para obtener material vegetal de los obtentores y para decidir sobre las variedades de existencia notoriamente conocida. Convino en que obtener material vegetal es un requisito fundamental para el examen DHE y en que sería interesante continuar examinando las dificultades actuales a las que se enfrentan las autoridades en materia de DHE en el sector de los frutales, en su próxima sesión en un punto especial del orden del día. </w:t>
      </w:r>
    </w:p>
    <w:p w14:paraId="0B41FCB2" w14:textId="77777777" w:rsidR="00DA468B" w:rsidRPr="00824357" w:rsidRDefault="00DA468B" w:rsidP="00DA468B"/>
    <w:p w14:paraId="7D87F1C2"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El TWF analizó las cuestiones pendientes de resolución relativas a los proyectos de directrices de examen del nogal negro, como recomendó el TC-EDC. A su vez, convino en que se han de someter a la aprobación del TC las revisiones o revisiones parciales de directrices de examen de las siguientes especies: almendro, arándano americano, cocotero, kiwi y macadamia. También continuó examinando los proyectos de directrices de examen del manzano (variedades frutales), el albaricoquero, el argán y la vid.</w:t>
      </w:r>
    </w:p>
    <w:p w14:paraId="6352890C" w14:textId="77777777" w:rsidR="00DA468B" w:rsidRPr="00824357" w:rsidRDefault="00DA468B" w:rsidP="00DA468B"/>
    <w:p w14:paraId="70608F03" w14:textId="77777777" w:rsidR="00DA468B" w:rsidRPr="00824357" w:rsidRDefault="00DA468B" w:rsidP="00DA468B">
      <w:r w:rsidRPr="00824357">
        <w:fldChar w:fldCharType="begin"/>
      </w:r>
      <w:r w:rsidRPr="00824357">
        <w:instrText xml:space="preserve"> AUTONUM  </w:instrText>
      </w:r>
      <w:r w:rsidRPr="00824357">
        <w:fldChar w:fldCharType="end"/>
      </w:r>
      <w:r>
        <w:tab/>
        <w:t>Por invitación conjunta de Hungría y la Unión Europea, el TWF convino en celebrar su quincuagésima sesión en Budapest (Hungría), del 24 al 28 de junio de 2019.</w:t>
      </w:r>
    </w:p>
    <w:p w14:paraId="435B5762" w14:textId="77777777" w:rsidR="00DA468B" w:rsidRPr="00824357" w:rsidRDefault="00DA468B" w:rsidP="00DA468B"/>
    <w:p w14:paraId="223416A8"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El TWF visitó el centro de investigación experimental “Universidad de Chile” y recibió información sobre los programas de fitomejoramiento del nectarino, el melocotonero, el ciruelo y el almendro. El TWF también visitó la estación experimental de la Universidad Católica de Chile donde escuchó sus experiencias con los obtentores de cerezo dulce.</w:t>
      </w:r>
    </w:p>
    <w:p w14:paraId="4355EC85" w14:textId="77777777" w:rsidR="00DA468B" w:rsidRPr="00824357" w:rsidRDefault="00DA468B" w:rsidP="00DA468B">
      <w:pPr>
        <w:keepNext/>
      </w:pPr>
    </w:p>
    <w:p w14:paraId="525F7AB7" w14:textId="77777777" w:rsidR="00DA468B" w:rsidRPr="00824357" w:rsidRDefault="00DA468B" w:rsidP="00DA468B">
      <w:pPr>
        <w:pStyle w:val="Heading4"/>
      </w:pPr>
      <w:r>
        <w:t>Quincuagésima sesión del TWF</w:t>
      </w:r>
    </w:p>
    <w:p w14:paraId="33F39480" w14:textId="77777777" w:rsidR="00DA468B" w:rsidRPr="00824357" w:rsidRDefault="00DA468B" w:rsidP="00DA468B"/>
    <w:p w14:paraId="2294BA0F" w14:textId="77777777" w:rsidR="00DA468B" w:rsidRPr="00824357" w:rsidRDefault="00DA468B" w:rsidP="00DA468B">
      <w:pPr>
        <w:rPr>
          <w:bCs/>
        </w:rPr>
      </w:pPr>
      <w:r w:rsidRPr="00824357">
        <w:fldChar w:fldCharType="begin"/>
      </w:r>
      <w:r w:rsidRPr="00824357">
        <w:instrText xml:space="preserve"> AUTONUM  </w:instrText>
      </w:r>
      <w:r w:rsidRPr="00824357">
        <w:fldChar w:fldCharType="end"/>
      </w:r>
      <w:r>
        <w:tab/>
        <w:t xml:space="preserve">El Grupo de Trabajo Técnico sobre Plantas Frutales (TWF) celebró su quincuagésima sesión en Budapest (Hungría), del 24 al 28 de junio de 2019. Presidió la sesión el Sr. Jean Maison (Unión Europea), presidente del TWF. </w:t>
      </w:r>
    </w:p>
    <w:p w14:paraId="3EB296D5" w14:textId="77777777" w:rsidR="00DA468B" w:rsidRPr="00824357" w:rsidRDefault="00DA468B" w:rsidP="00DA468B"/>
    <w:p w14:paraId="64514ADC"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Asistieron a la sesión del TWF 60 participantes procedentes de 19 miembros de la Unión y 1 organización en calidad de observadora. </w:t>
      </w:r>
    </w:p>
    <w:p w14:paraId="1DB1BFD4" w14:textId="77777777" w:rsidR="00DA468B" w:rsidRPr="00824357" w:rsidRDefault="00DA468B" w:rsidP="00DA468B"/>
    <w:p w14:paraId="4718DCB1" w14:textId="77777777" w:rsidR="00DA468B" w:rsidRPr="00824357" w:rsidRDefault="00DA468B" w:rsidP="00DA468B">
      <w:pPr>
        <w:rPr>
          <w:bCs/>
        </w:rPr>
      </w:pPr>
      <w:r w:rsidRPr="00824357">
        <w:rPr>
          <w:bCs/>
        </w:rPr>
        <w:fldChar w:fldCharType="begin"/>
      </w:r>
      <w:r w:rsidRPr="00824357">
        <w:rPr>
          <w:bCs/>
        </w:rPr>
        <w:instrText xml:space="preserve"> AUTONUM  </w:instrText>
      </w:r>
      <w:r w:rsidRPr="00824357">
        <w:rPr>
          <w:bCs/>
        </w:rPr>
        <w:fldChar w:fldCharType="end"/>
      </w:r>
      <w:r>
        <w:tab/>
        <w:t>Dio la bienvenida al TWF el Sr. Tamás Tarpataki, secretario de estado adjunto de Mercados Agrícolas del Ministerio de Agricultura. El Sr. Tarpataki presentó una ponencia sobre el sector agrícola en Hungría y sobre el Centro Nacional de Investigación e Innovación Agrícolas (NARIC FRI).</w:t>
      </w:r>
    </w:p>
    <w:p w14:paraId="1FD74061" w14:textId="77777777" w:rsidR="00DA468B" w:rsidRPr="00824357" w:rsidRDefault="00DA468B" w:rsidP="00DA468B"/>
    <w:p w14:paraId="1FCD870E"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En relación con los documentos TGP, el TWF acogió con satisfacción la posibilidad de modificar el procedimiento de revisión parcial de las directrices de examen, lo que permitirá a los expertos formular nuevas propuestas en el transcurso del año. Ofreció aclaraciones sobre las situaciones en las que se aplicarán estos procedimientos acelerados.</w:t>
      </w:r>
    </w:p>
    <w:p w14:paraId="2AC2F84F" w14:textId="77777777" w:rsidR="00DA468B" w:rsidRPr="00824357" w:rsidRDefault="00DA468B" w:rsidP="00DA468B"/>
    <w:p w14:paraId="14BCA879"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 xml:space="preserve">El TWF debatió el acceso al material vegetal a efectos de la gestión de colecciones de variedades y el examen DHE, basándose en las presentaciones siguientes: </w:t>
      </w:r>
    </w:p>
    <w:p w14:paraId="2497DF28" w14:textId="77777777" w:rsidR="00DA468B" w:rsidRPr="00824357" w:rsidRDefault="00DA468B" w:rsidP="00F44E48">
      <w:pPr>
        <w:numPr>
          <w:ilvl w:val="0"/>
          <w:numId w:val="14"/>
        </w:numPr>
      </w:pPr>
      <w:r>
        <w:t xml:space="preserve">“Experiencia del Canadá en el acceso al material vegetal para el examen DHE” </w:t>
      </w:r>
    </w:p>
    <w:p w14:paraId="7158DA05" w14:textId="77777777" w:rsidR="00DA468B" w:rsidRPr="00824357" w:rsidRDefault="00DA468B" w:rsidP="00F44E48">
      <w:pPr>
        <w:numPr>
          <w:ilvl w:val="0"/>
          <w:numId w:val="14"/>
        </w:numPr>
      </w:pPr>
      <w:r>
        <w:t>“La práctica de China en materia de acceso al material vegetal para la gestión de colecciones de variedades y el examen DHE”</w:t>
      </w:r>
    </w:p>
    <w:p w14:paraId="78B0DF82" w14:textId="77777777" w:rsidR="00DA468B" w:rsidRPr="00824357" w:rsidRDefault="00DA468B" w:rsidP="00F44E48">
      <w:pPr>
        <w:numPr>
          <w:ilvl w:val="0"/>
          <w:numId w:val="14"/>
        </w:numPr>
      </w:pPr>
      <w:r>
        <w:t>“Acceso al material vegetal a efectos del examen de variedades: situación actual, problemas y posibles soluciones” a cargo de un experto de Italia.</w:t>
      </w:r>
    </w:p>
    <w:p w14:paraId="347B7B6F" w14:textId="77777777" w:rsidR="00DA468B" w:rsidRPr="00824357" w:rsidRDefault="00DA468B" w:rsidP="00DA468B">
      <w:pPr>
        <w:ind w:left="720"/>
      </w:pPr>
    </w:p>
    <w:p w14:paraId="003B18E3" w14:textId="77777777" w:rsidR="00DA468B" w:rsidRPr="00824357" w:rsidRDefault="00DA468B" w:rsidP="00DA468B">
      <w:r w:rsidRPr="00824357">
        <w:fldChar w:fldCharType="begin"/>
      </w:r>
      <w:r w:rsidRPr="00824357">
        <w:instrText xml:space="preserve"> AUTONUM  </w:instrText>
      </w:r>
      <w:r w:rsidRPr="00824357">
        <w:fldChar w:fldCharType="end"/>
      </w:r>
      <w:r>
        <w:tab/>
        <w:t>El TWF convino en que los obtentores son una fuente importante de información y material vegetal vivo y que es en su propio interés cooperar en la creación y el mantenimiento de colecciones de variedades. El TWF tomó nota de la observación formulada por un representante de la CIOPORA sobre la importancia de proteger los intereses de los obtentores cuando son estos quienes proporcionan el material vegetal. También deliberó sobre el riesgo al que los obtentores consideran estar expuestos cuando las oficinas de examen realizan actividades de fitomejoramiento y sobre la manera de asegurar que las colecciones vivas no se utilicen con fines de fitomejoramiento. El TWF señaló la necesidad de contar con un alto nivel de confianza entre las oficinas de protección de las obtenciones vegetales y los obtentores para garantizar que la cooperación sea fructífera. El TWF tomó nota de que la Unión Europea ha adoptado una política sobre el uso del material vegetal remitido a efectos del examen DHE.</w:t>
      </w:r>
    </w:p>
    <w:p w14:paraId="76365B7B" w14:textId="77777777" w:rsidR="00DA468B" w:rsidRPr="00824357" w:rsidRDefault="00DA468B" w:rsidP="00DA468B"/>
    <w:p w14:paraId="1E608588" w14:textId="77777777" w:rsidR="00DA468B" w:rsidRPr="00824357" w:rsidRDefault="00DA468B" w:rsidP="00DA468B">
      <w:r w:rsidRPr="00824357">
        <w:fldChar w:fldCharType="begin"/>
      </w:r>
      <w:r w:rsidRPr="00824357">
        <w:instrText xml:space="preserve"> AUTONUM  </w:instrText>
      </w:r>
      <w:r w:rsidRPr="00824357">
        <w:fldChar w:fldCharType="end"/>
      </w:r>
      <w:r>
        <w:tab/>
        <w:t>El TWF convino en continuar el debate en su próxima sesión e invitó al experto de Italia a elaborar un documento en el que se resuman las cuestiones a las que se enfrentan las oficinas de protección de las obtenciones vegetales y los obtentores y a formular propuestas sobre la manera en que estas cuestiones pueden afrontarse en el seno de la UPOV.</w:t>
      </w:r>
    </w:p>
    <w:p w14:paraId="77EF8067" w14:textId="77777777" w:rsidR="00DA468B" w:rsidRPr="00824357" w:rsidRDefault="00DA468B" w:rsidP="00DA468B">
      <w:pPr>
        <w:rPr>
          <w:bCs/>
        </w:rPr>
      </w:pPr>
    </w:p>
    <w:p w14:paraId="3A1DF2FE"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El TWF recibió de la Unión Europea información actualizada sobre el examen DHE de variedades mutantes de manzano y tomó nota de que, sin una colección de variedades adecuada para el examen DHE, la exactitud del informe DHE puede verse afectada, lo que puede inhibir la cooperación y el intercambio de informes DHE de estas variedades entre las oficinas de protección de las obtenciones vegetales. </w:t>
      </w:r>
    </w:p>
    <w:p w14:paraId="29FFD29E" w14:textId="77777777" w:rsidR="00DA468B" w:rsidRPr="00824357" w:rsidRDefault="00DA468B" w:rsidP="00DA468B"/>
    <w:p w14:paraId="563FB0CB" w14:textId="77777777"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tab/>
        <w:t xml:space="preserve">El TWF celebró una sesión para facilitar la cooperación en el uso de técnicas moleculares y otra sesión sobre cooperación en materia de examen. </w:t>
      </w:r>
    </w:p>
    <w:p w14:paraId="646E3AD4" w14:textId="77777777" w:rsidR="00DA468B" w:rsidRDefault="00DA468B" w:rsidP="00DA468B"/>
    <w:p w14:paraId="73D3C41C" w14:textId="77777777" w:rsidR="00DA468B" w:rsidRPr="00824357" w:rsidRDefault="00DA468B" w:rsidP="00761933">
      <w:pPr>
        <w:keepNext/>
        <w:rPr>
          <w:bCs/>
        </w:rPr>
      </w:pPr>
      <w:r w:rsidRPr="00824357">
        <w:rPr>
          <w:bCs/>
        </w:rPr>
        <w:fldChar w:fldCharType="begin"/>
      </w:r>
      <w:r w:rsidRPr="00824357">
        <w:rPr>
          <w:bCs/>
        </w:rPr>
        <w:instrText xml:space="preserve"> AUTONUM  </w:instrText>
      </w:r>
      <w:r w:rsidRPr="00824357">
        <w:rPr>
          <w:bCs/>
        </w:rPr>
        <w:fldChar w:fldCharType="end"/>
      </w:r>
      <w:r>
        <w:tab/>
        <w:t>El TWF acordó, en especial, examinar los siguientes asuntos en su próxima sesión:</w:t>
      </w:r>
    </w:p>
    <w:p w14:paraId="1E1751FF" w14:textId="468A9CFD" w:rsidR="00DA468B" w:rsidRPr="00824357" w:rsidRDefault="00DA468B" w:rsidP="00F44E48">
      <w:pPr>
        <w:numPr>
          <w:ilvl w:val="0"/>
          <w:numId w:val="15"/>
        </w:numPr>
      </w:pPr>
      <w:r>
        <w:t>Acceso al material vegetal a efectos de la gestión de colecciones de variedades y el examen</w:t>
      </w:r>
      <w:r w:rsidR="008821F5">
        <w:t> </w:t>
      </w:r>
      <w:r>
        <w:t>DHE (Italia elaborará un documento)</w:t>
      </w:r>
    </w:p>
    <w:p w14:paraId="7FB165CB" w14:textId="77777777" w:rsidR="00DA468B" w:rsidRPr="00824357" w:rsidRDefault="00DA468B" w:rsidP="00F44E48">
      <w:pPr>
        <w:numPr>
          <w:ilvl w:val="0"/>
          <w:numId w:val="15"/>
        </w:numPr>
      </w:pPr>
      <w:r>
        <w:t>Examen DHE de variedades mutantes de manzano (la Unión Europea elaborará un documento)</w:t>
      </w:r>
    </w:p>
    <w:p w14:paraId="539B2BDC" w14:textId="77777777" w:rsidR="00DA468B" w:rsidRPr="00824357" w:rsidRDefault="00DA468B" w:rsidP="00DA468B"/>
    <w:p w14:paraId="02EE6E5E" w14:textId="77777777" w:rsidR="00DA468B" w:rsidRPr="00824357" w:rsidRDefault="00DA468B" w:rsidP="00DA468B">
      <w:pPr>
        <w:rPr>
          <w:bCs/>
        </w:rPr>
      </w:pPr>
      <w:r w:rsidRPr="00824357">
        <w:rPr>
          <w:bCs/>
        </w:rPr>
        <w:fldChar w:fldCharType="begin"/>
      </w:r>
      <w:r w:rsidRPr="00824357">
        <w:rPr>
          <w:bCs/>
        </w:rPr>
        <w:instrText xml:space="preserve"> AUTONUM  </w:instrText>
      </w:r>
      <w:r w:rsidRPr="00824357">
        <w:rPr>
          <w:bCs/>
        </w:rPr>
        <w:fldChar w:fldCharType="end"/>
      </w:r>
      <w:r>
        <w:tab/>
        <w:t>El TWF analizó las cuestiones pendientes de resolución relativas a los proyectos de directrices de examen de la macadamia y el nogal negro, como recomendó el TC. Convino en que la revisión parcial de las directrices de examen del naranjo y el pummelo se han de someter a la aprobación del TC. También continuó examinando los proyectos de directrices de examen del manzano (variedades frutales), el albaricoquero, el argán, la vid, la morera, el pistacho, la fresa/frutilla y el cerezo dulce.</w:t>
      </w:r>
    </w:p>
    <w:p w14:paraId="100CBEA7" w14:textId="77777777" w:rsidR="00DA468B" w:rsidRPr="00824357" w:rsidRDefault="00DA468B" w:rsidP="00DA468B"/>
    <w:p w14:paraId="53FAD07B" w14:textId="77777777" w:rsidR="00DA468B" w:rsidRPr="00824357" w:rsidRDefault="00DA468B" w:rsidP="00DA468B">
      <w:r w:rsidRPr="00824357">
        <w:fldChar w:fldCharType="begin"/>
      </w:r>
      <w:r w:rsidRPr="00824357">
        <w:instrText xml:space="preserve"> AUTONUM  </w:instrText>
      </w:r>
      <w:r w:rsidRPr="00824357">
        <w:fldChar w:fldCharType="end"/>
      </w:r>
      <w:r>
        <w:tab/>
        <w:t>El TWF convino en examinar 17 directrices de examen en su quincuagésima primera sesión.</w:t>
      </w:r>
    </w:p>
    <w:p w14:paraId="581CD7EC" w14:textId="77777777" w:rsidR="00DA468B" w:rsidRPr="00824357" w:rsidRDefault="00DA468B" w:rsidP="00DA468B"/>
    <w:p w14:paraId="65945F62" w14:textId="77777777" w:rsidR="00DA468B" w:rsidRPr="00824357" w:rsidRDefault="00DA468B" w:rsidP="00DA468B">
      <w:r w:rsidRPr="00824357">
        <w:fldChar w:fldCharType="begin"/>
      </w:r>
      <w:r w:rsidRPr="00824357">
        <w:instrText xml:space="preserve"> AUTONUM  </w:instrText>
      </w:r>
      <w:r w:rsidRPr="00824357">
        <w:fldChar w:fldCharType="end"/>
      </w:r>
      <w:r>
        <w:tab/>
        <w:t xml:space="preserve">Por invitación de Francia, el TWF convino en celebrar su quincuagésima primera sesión en Nîmes (Francia), del 6 al 10 de julio de 2020. </w:t>
      </w:r>
    </w:p>
    <w:p w14:paraId="081C2CF7" w14:textId="77777777" w:rsidR="00DA468B" w:rsidRPr="00824357" w:rsidRDefault="00DA468B" w:rsidP="00DA468B">
      <w:pPr>
        <w:rPr>
          <w:bCs/>
        </w:rPr>
      </w:pPr>
    </w:p>
    <w:p w14:paraId="3BF5A499" w14:textId="77777777" w:rsidR="00DA468B" w:rsidRPr="00824357" w:rsidRDefault="00DA468B" w:rsidP="00DA468B">
      <w:r w:rsidRPr="00824357">
        <w:fldChar w:fldCharType="begin"/>
      </w:r>
      <w:r w:rsidRPr="00824357">
        <w:instrText xml:space="preserve"> AUTONUM  </w:instrText>
      </w:r>
      <w:r w:rsidRPr="00824357">
        <w:fldChar w:fldCharType="end"/>
      </w:r>
      <w:r>
        <w:tab/>
        <w:t>El TWF propuso examinar los siguientes puntos en su próxima sesión:</w:t>
      </w:r>
    </w:p>
    <w:p w14:paraId="59B84325" w14:textId="77777777" w:rsidR="00DA468B" w:rsidRPr="00824357" w:rsidRDefault="00DA468B" w:rsidP="00DA468B"/>
    <w:p w14:paraId="0CF4B9D0" w14:textId="77777777" w:rsidR="00DA468B" w:rsidRPr="00824357" w:rsidRDefault="00DA468B" w:rsidP="00F44E48">
      <w:pPr>
        <w:numPr>
          <w:ilvl w:val="0"/>
          <w:numId w:val="17"/>
        </w:numPr>
      </w:pPr>
      <w:r>
        <w:t>Apertura de la sesión</w:t>
      </w:r>
    </w:p>
    <w:p w14:paraId="23890C19" w14:textId="77777777" w:rsidR="00DA468B" w:rsidRPr="00824357" w:rsidRDefault="00DA468B" w:rsidP="00F44E48">
      <w:pPr>
        <w:numPr>
          <w:ilvl w:val="0"/>
          <w:numId w:val="17"/>
        </w:numPr>
      </w:pPr>
      <w:r>
        <w:t>Aprobación del orden del día</w:t>
      </w:r>
    </w:p>
    <w:p w14:paraId="5BA1E303" w14:textId="77777777" w:rsidR="00DA468B" w:rsidRPr="00824357" w:rsidRDefault="00DA468B" w:rsidP="00F44E48">
      <w:pPr>
        <w:numPr>
          <w:ilvl w:val="0"/>
          <w:numId w:val="17"/>
        </w:numPr>
      </w:pPr>
      <w:r>
        <w:t>Informes breves sobre los avances logrados en la protección de las variedades vegetales</w:t>
      </w:r>
    </w:p>
    <w:p w14:paraId="6C8ED250" w14:textId="77777777" w:rsidR="00DA468B" w:rsidRPr="00824357" w:rsidRDefault="00DA468B" w:rsidP="00DA468B">
      <w:pPr>
        <w:tabs>
          <w:tab w:val="left" w:pos="1701"/>
        </w:tabs>
        <w:ind w:left="1701" w:hanging="567"/>
      </w:pPr>
      <w:r>
        <w:t>a)</w:t>
      </w:r>
      <w:r>
        <w:tab/>
        <w:t>Informes de los miembros y observadores (los miembros y observadores elaborarán informes escritos)</w:t>
      </w:r>
    </w:p>
    <w:p w14:paraId="3E273A4D" w14:textId="77777777" w:rsidR="00DA468B" w:rsidRPr="00824357" w:rsidRDefault="00DA468B" w:rsidP="00DA468B">
      <w:pPr>
        <w:tabs>
          <w:tab w:val="left" w:pos="1701"/>
        </w:tabs>
        <w:ind w:left="1701" w:hanging="567"/>
      </w:pPr>
      <w:r>
        <w:lastRenderedPageBreak/>
        <w:t>b)</w:t>
      </w:r>
      <w:r>
        <w:tab/>
        <w:t>Informes sobre los avances logrados en la UPOV (informe verbal de la Oficina de la Unión)</w:t>
      </w:r>
    </w:p>
    <w:p w14:paraId="01F483E7" w14:textId="77777777" w:rsidR="00DA468B" w:rsidRPr="00824357" w:rsidRDefault="00DA468B" w:rsidP="00F44E48">
      <w:pPr>
        <w:numPr>
          <w:ilvl w:val="0"/>
          <w:numId w:val="17"/>
        </w:numPr>
      </w:pPr>
      <w:r>
        <w:t>Técnicas moleculares (la Oficina de la Unión elaborará un documento)</w:t>
      </w:r>
    </w:p>
    <w:p w14:paraId="1C74E5EC" w14:textId="0A65AE48" w:rsidR="00DA468B" w:rsidRPr="00824357" w:rsidRDefault="008821F5" w:rsidP="008821F5">
      <w:pPr>
        <w:tabs>
          <w:tab w:val="left" w:pos="1701"/>
        </w:tabs>
        <w:ind w:left="1701" w:hanging="567"/>
      </w:pPr>
      <w:r>
        <w:t>a)</w:t>
      </w:r>
      <w:r>
        <w:tab/>
      </w:r>
      <w:r w:rsidR="00DA468B">
        <w:t>Novedades acaecidas en la UPOV (la Oficina de la Unión elaborará un documento)</w:t>
      </w:r>
    </w:p>
    <w:p w14:paraId="4BA560A2" w14:textId="4EB19BCA" w:rsidR="00DA468B" w:rsidRPr="00824357" w:rsidRDefault="008821F5" w:rsidP="008821F5">
      <w:pPr>
        <w:tabs>
          <w:tab w:val="left" w:pos="1701"/>
        </w:tabs>
        <w:ind w:left="1701" w:hanging="567"/>
      </w:pPr>
      <w:r>
        <w:t>b)</w:t>
      </w:r>
      <w:r>
        <w:tab/>
      </w:r>
      <w:r w:rsidR="00DA468B">
        <w:t>Ponencia sobre la utilización de técnicas moleculares en el examen DHE (se invita a los miembros de la Unión a presentar ponencias)</w:t>
      </w:r>
    </w:p>
    <w:p w14:paraId="227905CA" w14:textId="77777777" w:rsidR="00DA468B" w:rsidRPr="00824357" w:rsidRDefault="00DA468B" w:rsidP="00F44E48">
      <w:pPr>
        <w:numPr>
          <w:ilvl w:val="0"/>
          <w:numId w:val="17"/>
        </w:numPr>
      </w:pPr>
      <w:r>
        <w:t>Documentos TGP (la Oficina de la Unión elaborará documentos)</w:t>
      </w:r>
    </w:p>
    <w:p w14:paraId="17DFCF2E" w14:textId="77777777" w:rsidR="00DA468B" w:rsidRPr="00824357" w:rsidRDefault="00DA468B" w:rsidP="00F44E48">
      <w:pPr>
        <w:numPr>
          <w:ilvl w:val="0"/>
          <w:numId w:val="17"/>
        </w:numPr>
      </w:pPr>
      <w:r>
        <w:t>Denominaciones de variedades (la Oficina de la Unión elaborará un documento)</w:t>
      </w:r>
    </w:p>
    <w:p w14:paraId="001BE56A" w14:textId="77777777" w:rsidR="00DA468B" w:rsidRPr="00824357" w:rsidRDefault="00DA468B" w:rsidP="00F44E48">
      <w:pPr>
        <w:numPr>
          <w:ilvl w:val="0"/>
          <w:numId w:val="17"/>
        </w:numPr>
      </w:pPr>
      <w:r>
        <w:t>Información y bases de datos</w:t>
      </w:r>
    </w:p>
    <w:p w14:paraId="493CD4D8" w14:textId="77777777" w:rsidR="00DA468B" w:rsidRPr="00824357" w:rsidRDefault="00DA468B" w:rsidP="00DA468B">
      <w:pPr>
        <w:ind w:left="1701" w:hanging="567"/>
      </w:pPr>
      <w:r>
        <w:t>a)</w:t>
      </w:r>
      <w:r>
        <w:tab/>
        <w:t>Bases de datos de información de la UPOV (la Oficina de la Unión elaborará documentos)</w:t>
      </w:r>
    </w:p>
    <w:p w14:paraId="3DBE4B4C" w14:textId="77777777" w:rsidR="00DA468B" w:rsidRPr="00824357" w:rsidRDefault="00DA468B" w:rsidP="00DA468B">
      <w:pPr>
        <w:ind w:left="1701" w:hanging="567"/>
      </w:pPr>
      <w:r>
        <w:t>b)</w:t>
      </w:r>
      <w:r>
        <w:tab/>
        <w:t xml:space="preserve">Bases de datos de descripciones de variedades (la Oficina de la Unión elaborará documentos) </w:t>
      </w:r>
    </w:p>
    <w:p w14:paraId="485B68E4" w14:textId="77777777" w:rsidR="00DA468B" w:rsidRPr="00824357" w:rsidRDefault="00DA468B" w:rsidP="00DA468B">
      <w:pPr>
        <w:ind w:left="1701" w:hanging="567"/>
      </w:pPr>
      <w:r>
        <w:t>c)</w:t>
      </w:r>
      <w:r>
        <w:tab/>
        <w:t>Intercambio y uso de programas informáticos y equipos (la Oficina de la Unión elaborará un documento)</w:t>
      </w:r>
    </w:p>
    <w:p w14:paraId="75D3DB33" w14:textId="77777777" w:rsidR="00DA468B" w:rsidRPr="00824357" w:rsidRDefault="00DA468B" w:rsidP="00DA468B">
      <w:pPr>
        <w:ind w:left="1701" w:hanging="567"/>
      </w:pPr>
      <w:r>
        <w:t>d)</w:t>
      </w:r>
      <w:r>
        <w:tab/>
        <w:t>UPOV PRISMA (la Oficina de la Unión elaborará un documento)</w:t>
      </w:r>
    </w:p>
    <w:p w14:paraId="5B8D34B4" w14:textId="77777777" w:rsidR="00DA468B" w:rsidRPr="00824357" w:rsidRDefault="00DA468B" w:rsidP="00F44E48">
      <w:pPr>
        <w:numPr>
          <w:ilvl w:val="0"/>
          <w:numId w:val="17"/>
        </w:numPr>
      </w:pPr>
      <w:r>
        <w:t>Experiencias con nuevos tipos y especies (se invita a presentar informes verbales)</w:t>
      </w:r>
    </w:p>
    <w:p w14:paraId="532BBCEC" w14:textId="77777777" w:rsidR="00DA468B" w:rsidRPr="00824357" w:rsidRDefault="00DA468B" w:rsidP="00F44E48">
      <w:pPr>
        <w:numPr>
          <w:ilvl w:val="0"/>
          <w:numId w:val="17"/>
        </w:numPr>
      </w:pPr>
      <w:r>
        <w:t>Acceso al material vegetal a efectos de la gestión de colecciones de variedades y el examen DHE (Italia elaborará un documento)</w:t>
      </w:r>
    </w:p>
    <w:p w14:paraId="4FFB9A47" w14:textId="77777777" w:rsidR="00DA468B" w:rsidRPr="00824357" w:rsidRDefault="00DA468B" w:rsidP="00F44E48">
      <w:pPr>
        <w:numPr>
          <w:ilvl w:val="0"/>
          <w:numId w:val="17"/>
        </w:numPr>
      </w:pPr>
      <w:r>
        <w:t>Examen DHE de variedades mutantes de manzano (la Unión Europea elaborará un documento)</w:t>
      </w:r>
    </w:p>
    <w:p w14:paraId="025A68E4" w14:textId="77777777" w:rsidR="00DA468B" w:rsidRPr="00824357" w:rsidRDefault="00DA468B" w:rsidP="00F44E48">
      <w:pPr>
        <w:numPr>
          <w:ilvl w:val="0"/>
          <w:numId w:val="17"/>
        </w:numPr>
      </w:pPr>
      <w:r>
        <w:t>Cuestiones de interés en relación con el examen DHE en el sector frutícola (se invita a los miembros y observadores a presentar ponencias)</w:t>
      </w:r>
    </w:p>
    <w:p w14:paraId="6176B729" w14:textId="77777777" w:rsidR="00DA468B" w:rsidRPr="00824357" w:rsidRDefault="00DA468B" w:rsidP="00F44E48">
      <w:pPr>
        <w:numPr>
          <w:ilvl w:val="0"/>
          <w:numId w:val="17"/>
        </w:numPr>
      </w:pPr>
      <w:r>
        <w:t>Guía para redactores de directrices de examen</w:t>
      </w:r>
    </w:p>
    <w:p w14:paraId="225D92EA" w14:textId="77777777" w:rsidR="00DA468B" w:rsidRPr="00824357" w:rsidRDefault="00DA468B" w:rsidP="00F44E48">
      <w:pPr>
        <w:numPr>
          <w:ilvl w:val="0"/>
          <w:numId w:val="17"/>
        </w:numPr>
      </w:pPr>
      <w:r>
        <w:t>Cuestiones por resolver en lo que respecta a directrices de examen sometidas a la aprobación del Comité Técnico (si procede)</w:t>
      </w:r>
    </w:p>
    <w:p w14:paraId="7AD9DE84" w14:textId="77777777" w:rsidR="00DA468B" w:rsidRPr="00824357" w:rsidRDefault="00DA468B" w:rsidP="00F44E48">
      <w:pPr>
        <w:numPr>
          <w:ilvl w:val="0"/>
          <w:numId w:val="17"/>
        </w:numPr>
      </w:pPr>
      <w:r>
        <w:t>Examen de proyectos de directrices de examen (subgrupos)</w:t>
      </w:r>
    </w:p>
    <w:p w14:paraId="133A610C" w14:textId="77777777" w:rsidR="00DA468B" w:rsidRPr="00824357" w:rsidRDefault="00DA468B" w:rsidP="00F44E48">
      <w:pPr>
        <w:numPr>
          <w:ilvl w:val="0"/>
          <w:numId w:val="17"/>
        </w:numPr>
      </w:pPr>
      <w:r>
        <w:t>Recomendaciones sobre proyectos de directrices de examen</w:t>
      </w:r>
    </w:p>
    <w:p w14:paraId="41A9BCD6" w14:textId="77777777" w:rsidR="00DA468B" w:rsidRPr="00824357" w:rsidRDefault="00DA468B" w:rsidP="00F44E48">
      <w:pPr>
        <w:numPr>
          <w:ilvl w:val="0"/>
          <w:numId w:val="17"/>
        </w:numPr>
      </w:pPr>
      <w:r>
        <w:t>Fecha y lugar de la próxima sesión</w:t>
      </w:r>
    </w:p>
    <w:p w14:paraId="27BE2F6A" w14:textId="77777777" w:rsidR="00DA468B" w:rsidRPr="00824357" w:rsidRDefault="00DA468B" w:rsidP="00F44E48">
      <w:pPr>
        <w:numPr>
          <w:ilvl w:val="0"/>
          <w:numId w:val="17"/>
        </w:numPr>
      </w:pPr>
      <w:r>
        <w:t>Próximo programa</w:t>
      </w:r>
    </w:p>
    <w:p w14:paraId="462DCEE6" w14:textId="77777777" w:rsidR="00DA468B" w:rsidRPr="00824357" w:rsidRDefault="00DA468B" w:rsidP="00F44E48">
      <w:pPr>
        <w:numPr>
          <w:ilvl w:val="0"/>
          <w:numId w:val="17"/>
        </w:numPr>
      </w:pPr>
      <w:r>
        <w:t>Aprobación del informe de la sesión (si se dispone de tiempo suficiente)</w:t>
      </w:r>
    </w:p>
    <w:p w14:paraId="66671BC7" w14:textId="77777777" w:rsidR="00DA468B" w:rsidRPr="00824357" w:rsidRDefault="00DA468B" w:rsidP="00F44E48">
      <w:pPr>
        <w:numPr>
          <w:ilvl w:val="0"/>
          <w:numId w:val="17"/>
        </w:numPr>
      </w:pPr>
      <w:r>
        <w:t>Clausura de la sesión</w:t>
      </w:r>
    </w:p>
    <w:p w14:paraId="1CA19369" w14:textId="77777777" w:rsidR="00DA468B" w:rsidRPr="00824357" w:rsidRDefault="00DA468B" w:rsidP="00DA468B">
      <w:pPr>
        <w:rPr>
          <w:bCs/>
        </w:rPr>
      </w:pPr>
    </w:p>
    <w:p w14:paraId="7DA0EF1E" w14:textId="77777777" w:rsidR="00DA468B" w:rsidRPr="00824357" w:rsidRDefault="00761933" w:rsidP="00DA468B">
      <w:r>
        <w:rPr>
          <w:bCs/>
        </w:rPr>
        <w:fldChar w:fldCharType="begin"/>
      </w:r>
      <w:r>
        <w:rPr>
          <w:bCs/>
        </w:rPr>
        <w:instrText xml:space="preserve"> AUTONUM  </w:instrText>
      </w:r>
      <w:r>
        <w:rPr>
          <w:bCs/>
        </w:rPr>
        <w:fldChar w:fldCharType="end"/>
      </w:r>
      <w:r>
        <w:tab/>
        <w:t>El TWF visitó la estación de examen NÉBIH en Pölöske, en la región transdanubiana occidental y en el Instituto de Investigaciones Vitícolas y Enológicas de Badacsony, uno de los 16 institutos del Centro Nacional de Investigación e Innovación Agrícolas (NARIC).</w:t>
      </w:r>
    </w:p>
    <w:p w14:paraId="22025925" w14:textId="77777777" w:rsidR="00DA468B" w:rsidRPr="00824357" w:rsidRDefault="00DA468B" w:rsidP="00DA468B"/>
    <w:p w14:paraId="4F22B509" w14:textId="77777777" w:rsidR="00DA468B" w:rsidRPr="00824357" w:rsidRDefault="00DA468B" w:rsidP="00DA468B">
      <w:r w:rsidRPr="00824357">
        <w:fldChar w:fldCharType="begin"/>
      </w:r>
      <w:r w:rsidRPr="00824357">
        <w:instrText xml:space="preserve"> AUTONUM  </w:instrText>
      </w:r>
      <w:r w:rsidRPr="00824357">
        <w:fldChar w:fldCharType="end"/>
      </w:r>
      <w:r>
        <w:tab/>
        <w:t>El TWF acordó proponer al TC que recomiende al Consejo elegir al Sr. Christopher Barnaby (Nueva Zelandia) como próximo presidente del TWF.</w:t>
      </w:r>
    </w:p>
    <w:p w14:paraId="0187F6E3" w14:textId="77777777" w:rsidR="00DA468B" w:rsidRPr="00824357" w:rsidRDefault="00DA468B" w:rsidP="00DA468B"/>
    <w:p w14:paraId="5817030F" w14:textId="77777777" w:rsidR="00DA468B" w:rsidRPr="00824357" w:rsidRDefault="00DA468B" w:rsidP="00DA468B"/>
    <w:p w14:paraId="05DD30D1" w14:textId="77777777" w:rsidR="00DA468B" w:rsidRPr="00824357" w:rsidRDefault="00DA468B" w:rsidP="00DA468B">
      <w:pPr>
        <w:pStyle w:val="Heading3"/>
      </w:pPr>
      <w:bookmarkStart w:id="6" w:name="_Toc494205439"/>
      <w:r>
        <w:t>Grupo de Trabajo Técnico sobre Plantas Ornamentales y Árboles Forestales</w:t>
      </w:r>
      <w:bookmarkEnd w:id="6"/>
      <w:r>
        <w:t xml:space="preserve"> (TWO)</w:t>
      </w:r>
    </w:p>
    <w:p w14:paraId="11A6831E" w14:textId="77777777" w:rsidR="00DA468B" w:rsidRPr="00824357" w:rsidRDefault="00DA468B" w:rsidP="00DA468B">
      <w:pPr>
        <w:keepNext/>
        <w:contextualSpacing/>
        <w:rPr>
          <w:rFonts w:cs="Arial"/>
        </w:rPr>
      </w:pPr>
    </w:p>
    <w:p w14:paraId="3C00CA6C" w14:textId="57CAE9B0" w:rsidR="00DA468B" w:rsidRPr="00824357" w:rsidRDefault="00DA468B" w:rsidP="00DA468B">
      <w:pPr>
        <w:keepNext/>
        <w:contextualSpacing/>
        <w:rPr>
          <w:rFonts w:cs="Arial"/>
        </w:rPr>
      </w:pPr>
      <w:r>
        <w:t>Informe del Sr. Nik Hulse (Australia), en ausencia del Sr. Henk de Greef (Países Bajos), presidente del TWO</w:t>
      </w:r>
      <w:r w:rsidR="002A0DA3">
        <w:t xml:space="preserve"> </w:t>
      </w:r>
    </w:p>
    <w:p w14:paraId="056277BD" w14:textId="77777777" w:rsidR="00DA468B" w:rsidRDefault="00DA468B" w:rsidP="00DA468B">
      <w:pPr>
        <w:keepNext/>
        <w:contextualSpacing/>
        <w:rPr>
          <w:rFonts w:cs="Arial"/>
        </w:rPr>
      </w:pPr>
    </w:p>
    <w:p w14:paraId="2D9853B8" w14:textId="77777777" w:rsidR="000C3495" w:rsidRPr="000C3495" w:rsidRDefault="000C3495" w:rsidP="000C3495">
      <w:pPr>
        <w:pStyle w:val="Heading4"/>
      </w:pPr>
      <w:r>
        <w:t>Quincuagésima primera sesión del TWO</w:t>
      </w:r>
    </w:p>
    <w:p w14:paraId="47D08D50" w14:textId="77777777" w:rsidR="000C3495" w:rsidRPr="00824357" w:rsidRDefault="000C3495" w:rsidP="00DA468B">
      <w:pPr>
        <w:keepNext/>
        <w:contextualSpacing/>
        <w:rPr>
          <w:rFonts w:cs="Arial"/>
        </w:rPr>
      </w:pPr>
    </w:p>
    <w:p w14:paraId="26CA1D3E" w14:textId="4E2A6C40"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t>El TWO celebró su quincuagésima primera sesión en Christchurch (Nueva Zelandia), del 18 al 22 de febrero de 2019.</w:t>
      </w:r>
      <w:r w:rsidR="002A0DA3">
        <w:rPr>
          <w:color w:val="000000" w:themeColor="text1"/>
        </w:rPr>
        <w:t xml:space="preserve"> </w:t>
      </w:r>
      <w:r>
        <w:rPr>
          <w:color w:val="000000" w:themeColor="text1"/>
        </w:rPr>
        <w:t>En ausencia del Sr. Henk de Greef (Países Bajos), presidente del TWO, presidió la sesión el Sr. Nik Hulse (Australia).</w:t>
      </w:r>
      <w:r w:rsidR="002A0DA3">
        <w:rPr>
          <w:color w:val="000000" w:themeColor="text1"/>
        </w:rPr>
        <w:t xml:space="preserve"> </w:t>
      </w:r>
      <w:r>
        <w:rPr>
          <w:color w:val="000000" w:themeColor="text1"/>
        </w:rPr>
        <w:t>El informe de la sesión se facilita en el documento TWO/51/12 “</w:t>
      </w:r>
      <w:r>
        <w:rPr>
          <w:i/>
          <w:color w:val="000000" w:themeColor="text1"/>
        </w:rPr>
        <w:t>Report</w:t>
      </w:r>
      <w:r>
        <w:rPr>
          <w:color w:val="000000" w:themeColor="text1"/>
        </w:rPr>
        <w:t xml:space="preserve">”. </w:t>
      </w:r>
    </w:p>
    <w:p w14:paraId="32D08B92" w14:textId="77777777" w:rsidR="00DA468B" w:rsidRPr="00824357" w:rsidRDefault="00DA468B" w:rsidP="00DA468B">
      <w:pPr>
        <w:rPr>
          <w:rFonts w:cs="Arial"/>
          <w:color w:val="000000" w:themeColor="text1"/>
        </w:rPr>
      </w:pPr>
    </w:p>
    <w:p w14:paraId="058734C9" w14:textId="5420E1FA"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t>Asistieron a la sesión 28 participantes procedentes de 12 miembros de la Unión, 1 Estado en calidad de observador y 1 organización en calidad de observadora.</w:t>
      </w:r>
      <w:r w:rsidR="002A0DA3">
        <w:rPr>
          <w:color w:val="000000" w:themeColor="text1"/>
        </w:rPr>
        <w:t xml:space="preserve"> </w:t>
      </w:r>
      <w:r>
        <w:rPr>
          <w:color w:val="000000" w:themeColor="text1"/>
        </w:rPr>
        <w:t>El 17 de febrero de 2019 por la tarde se llevó a cabo un taller preparatorio, al que asistieron 18 participantes procedentes de 10 miembros de la Unión y</w:t>
      </w:r>
      <w:r w:rsidR="00DC2010">
        <w:rPr>
          <w:color w:val="000000" w:themeColor="text1"/>
        </w:rPr>
        <w:t> </w:t>
      </w:r>
      <w:r>
        <w:rPr>
          <w:color w:val="000000" w:themeColor="text1"/>
        </w:rPr>
        <w:t xml:space="preserve">1 organización en calidad de observadora. </w:t>
      </w:r>
    </w:p>
    <w:p w14:paraId="2F00C735" w14:textId="77777777" w:rsidR="00DA468B" w:rsidRPr="00824357" w:rsidRDefault="00DA468B" w:rsidP="00DA468B">
      <w:pPr>
        <w:rPr>
          <w:rFonts w:cstheme="minorBidi"/>
          <w:szCs w:val="22"/>
        </w:rPr>
      </w:pPr>
    </w:p>
    <w:p w14:paraId="4BE6FAF8" w14:textId="717C7243" w:rsidR="00DA468B" w:rsidRPr="00824357" w:rsidRDefault="00DA468B" w:rsidP="00DA468B">
      <w:pPr>
        <w:tabs>
          <w:tab w:val="left" w:pos="630"/>
        </w:tabs>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r>
      <w:r>
        <w:rPr>
          <w:color w:val="000000" w:themeColor="text1"/>
        </w:rPr>
        <w:t>Dio la bienvenida al TWO el Sr. Simon Gallagher, administrador nacional de la Oficina de Propiedad Intelectual de Nueva Zelandia (IPONZ)</w:t>
      </w:r>
      <w:r>
        <w:t>.</w:t>
      </w:r>
      <w:r w:rsidR="002A0DA3">
        <w:t xml:space="preserve"> </w:t>
      </w:r>
      <w:r>
        <w:rPr>
          <w:color w:val="000000" w:themeColor="text1"/>
        </w:rPr>
        <w:t xml:space="preserve">El TWO asistió a una ponencia sobre los derechos de obtentor en Nueva Zelandia, a cargo del Sr. Chris Barnaby, comisario adjunto y examinador principal de derechos de obtentor de la Oficina de Derechos de Obtentor adscrita a la IPONZ. </w:t>
      </w:r>
    </w:p>
    <w:p w14:paraId="7736D734" w14:textId="77777777" w:rsidR="00DA468B" w:rsidRPr="00824357" w:rsidRDefault="00DA468B" w:rsidP="00DA468B"/>
    <w:p w14:paraId="0DEAE14D" w14:textId="77777777" w:rsidR="00DA468B" w:rsidRPr="00824357" w:rsidRDefault="00DA468B" w:rsidP="00DA468B">
      <w:pPr>
        <w:rPr>
          <w:snapToGrid w:val="0"/>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tab/>
        <w:t>El TWO examinó la propuesta de revisión del documento TGP/7 y convino en que se deben presentar todos los niveles de expresión de los caracteres cuantitativos en las directrices de examen.</w:t>
      </w:r>
    </w:p>
    <w:p w14:paraId="06D200BF" w14:textId="77777777" w:rsidR="00DA468B" w:rsidRPr="00824357" w:rsidRDefault="00DA468B" w:rsidP="00DA468B"/>
    <w:p w14:paraId="41735496" w14:textId="67CA5F95" w:rsidR="00DA468B" w:rsidRPr="00824357" w:rsidRDefault="00DA468B" w:rsidP="00DA468B">
      <w:pPr>
        <w:keepLines/>
        <w:rPr>
          <w:rFonts w:cs="Arial"/>
          <w:snapToGrid w:val="0"/>
        </w:rPr>
      </w:pPr>
      <w:r w:rsidRPr="00824357">
        <w:rPr>
          <w:rFonts w:cs="Arial"/>
          <w:snapToGrid w:val="0"/>
        </w:rPr>
        <w:lastRenderedPageBreak/>
        <w:fldChar w:fldCharType="begin"/>
      </w:r>
      <w:r w:rsidRPr="00824357">
        <w:rPr>
          <w:rFonts w:cs="Arial"/>
          <w:snapToGrid w:val="0"/>
        </w:rPr>
        <w:instrText xml:space="preserve"> AUTONUM  </w:instrText>
      </w:r>
      <w:r w:rsidRPr="00824357">
        <w:rPr>
          <w:rFonts w:cs="Arial"/>
          <w:snapToGrid w:val="0"/>
        </w:rPr>
        <w:fldChar w:fldCharType="end"/>
      </w:r>
      <w:r>
        <w:tab/>
        <w:t>El TWO recordó que, según la orientación ofrecida en el documento TGP/7, en el caso de los caracteres cuantitativos, es necesario proporcionar variedades ejemplo como mínimo para tres niveles de expresión cuando su escala es de “1 a 9” y como mínimo para dos niveles de expresión cuando su escala es de “1 a 5”, “1 a 4” o “1 a 3”.</w:t>
      </w:r>
      <w:r w:rsidR="002A0DA3">
        <w:t xml:space="preserve"> </w:t>
      </w:r>
      <w:r>
        <w:t>El TWO respaldó la propuesta de que en las directrices de examen se presenten todos los niveles de expresión de los caracteres cuantitativos y convino en que hacerlo no modificará el número mínimo de variedades ejemplo necesario en el documento TGP/7.</w:t>
      </w:r>
    </w:p>
    <w:p w14:paraId="0080D6FD" w14:textId="77777777" w:rsidR="00DA468B" w:rsidRPr="00824357" w:rsidRDefault="00DA468B" w:rsidP="00DA468B">
      <w:pPr>
        <w:keepLines/>
        <w:rPr>
          <w:rFonts w:eastAsia="SimSun" w:cs="Arial"/>
        </w:rPr>
      </w:pPr>
    </w:p>
    <w:p w14:paraId="69C448E0" w14:textId="77777777" w:rsidR="00DA468B" w:rsidRPr="00824357" w:rsidRDefault="00DA468B" w:rsidP="00DA468B">
      <w:pPr>
        <w:rPr>
          <w:rFonts w:eastAsia="SimSun" w:cs="Arial"/>
        </w:rPr>
      </w:pPr>
      <w:r w:rsidRPr="00824357">
        <w:rPr>
          <w:rFonts w:eastAsia="SimSun" w:cs="Arial"/>
        </w:rPr>
        <w:fldChar w:fldCharType="begin"/>
      </w:r>
      <w:r w:rsidRPr="00824357">
        <w:rPr>
          <w:rFonts w:eastAsia="SimSun" w:cs="Arial"/>
        </w:rPr>
        <w:instrText xml:space="preserve"> AUTONUM  </w:instrText>
      </w:r>
      <w:r w:rsidRPr="00824357">
        <w:rPr>
          <w:rFonts w:eastAsia="SimSun" w:cs="Arial"/>
        </w:rPr>
        <w:fldChar w:fldCharType="end"/>
      </w:r>
      <w:r>
        <w:tab/>
        <w:t>El TWO examinó el documento TWV/3/9 “</w:t>
      </w:r>
      <w:r>
        <w:rPr>
          <w:i/>
        </w:rPr>
        <w:t>Characteristics which only apply to certain varieties</w:t>
      </w:r>
      <w:r>
        <w:t>” (Caracteres que solo se aplican a ciertas variedades) y la petición de que se aporten ejemplos adecuados de caracteres cuantitativos y pseudocualitativos a fin de mostrar cómo puede emplearse el enfoque propuesto de manera que no plantee riesgos respecto de las decisiones sobre la distinción.</w:t>
      </w:r>
    </w:p>
    <w:p w14:paraId="2A2CB695" w14:textId="77777777" w:rsidR="00DA468B" w:rsidRPr="00824357" w:rsidRDefault="00DA468B" w:rsidP="00DA468B">
      <w:pPr>
        <w:rPr>
          <w:rFonts w:cs="Arial"/>
          <w:color w:val="000000" w:themeColor="text1"/>
        </w:rPr>
      </w:pPr>
    </w:p>
    <w:p w14:paraId="10654514" w14:textId="792FEEEC" w:rsidR="00DA468B" w:rsidRPr="00824357" w:rsidRDefault="00DA468B" w:rsidP="00DA468B">
      <w:pPr>
        <w:rPr>
          <w:rFonts w:cs="Arial"/>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tab/>
        <w:t>El TWO convino en que cuando una estructura se describe como “ausente o muy débil” en parte de una planta, es posible que sea difícil o impracticable observar otros caracteres en esa estructura.</w:t>
      </w:r>
      <w:r w:rsidR="002A0DA3">
        <w:t xml:space="preserve"> </w:t>
      </w:r>
      <w:r>
        <w:t>Por ejemplo, sería impracticable observar “Pelo: color” en una parte de planta con “presencia de pelos: ausentes o muy débil”.</w:t>
      </w:r>
    </w:p>
    <w:p w14:paraId="1817C6AB" w14:textId="77777777" w:rsidR="00DA468B" w:rsidRPr="00824357" w:rsidRDefault="00DA468B" w:rsidP="00DA468B"/>
    <w:p w14:paraId="632D3CA6" w14:textId="77777777" w:rsidR="00DA468B" w:rsidRPr="00824357" w:rsidRDefault="00DA468B" w:rsidP="00DA468B">
      <w:r w:rsidRPr="00824357">
        <w:rPr>
          <w:rFonts w:cs="Arial"/>
        </w:rPr>
        <w:fldChar w:fldCharType="begin"/>
      </w:r>
      <w:r w:rsidRPr="00824357">
        <w:rPr>
          <w:rFonts w:cs="Arial"/>
        </w:rPr>
        <w:instrText xml:space="preserve"> AUTONUM  </w:instrText>
      </w:r>
      <w:r w:rsidRPr="00824357">
        <w:rPr>
          <w:rFonts w:cs="Arial"/>
        </w:rPr>
        <w:fldChar w:fldCharType="end"/>
      </w:r>
      <w:r>
        <w:tab/>
        <w:t>El TWO convino en que el carácter pseudocualitativo (PQ) de las directrices de examen de la dalia (TG/226/1) expuesto a continuación es un ejemplo adecuado para mostrar cómo puede emplearse el enfoque propuesto de manera que no plantee riesgos respecto de las decisiones sobre la distinción.</w:t>
      </w:r>
    </w:p>
    <w:p w14:paraId="597CA4CA" w14:textId="77777777" w:rsidR="00DA468B" w:rsidRPr="00824357" w:rsidRDefault="00DA468B" w:rsidP="00DA468B"/>
    <w:p w14:paraId="1DCAB639" w14:textId="77777777" w:rsidR="00DA468B" w:rsidRPr="00824357" w:rsidRDefault="00DA468B" w:rsidP="00DA468B">
      <w:pPr>
        <w:ind w:left="709"/>
        <w:rPr>
          <w:rFonts w:eastAsiaTheme="minorEastAsia"/>
          <w:snapToGrid w:val="0"/>
        </w:rPr>
      </w:pPr>
      <w:r>
        <w:t>(PQ) Capítulo: tipo: sencillo (1); semidoble (2); doble tipo margarita (3); doble (4)</w:t>
      </w:r>
    </w:p>
    <w:p w14:paraId="04BD5E36" w14:textId="77777777" w:rsidR="00DA468B" w:rsidRPr="00824357" w:rsidRDefault="00DA468B" w:rsidP="00DA468B">
      <w:pPr>
        <w:rPr>
          <w:rFonts w:cs="Arial"/>
        </w:rPr>
      </w:pPr>
    </w:p>
    <w:p w14:paraId="6FD3E540" w14:textId="77777777" w:rsidR="00DA468B" w:rsidRPr="00824357" w:rsidRDefault="00DA468B" w:rsidP="00DA468B">
      <w:pPr>
        <w:rPr>
          <w:snapToGrid w:val="0"/>
        </w:rPr>
      </w:pPr>
      <w:r w:rsidRPr="00824357">
        <w:rPr>
          <w:rFonts w:cs="Arial"/>
        </w:rPr>
        <w:fldChar w:fldCharType="begin"/>
      </w:r>
      <w:r w:rsidRPr="00824357">
        <w:rPr>
          <w:rFonts w:cs="Arial"/>
        </w:rPr>
        <w:instrText xml:space="preserve"> AUTONUM  </w:instrText>
      </w:r>
      <w:r w:rsidRPr="00824357">
        <w:rPr>
          <w:rFonts w:cs="Arial"/>
        </w:rPr>
        <w:fldChar w:fldCharType="end"/>
      </w:r>
      <w:r>
        <w:tab/>
        <w:t>El TWO convino en que es preferible que el título del carácter incorpore la exclusión y, si fuera necesario, una explicación en las directrices de examen.</w:t>
      </w:r>
    </w:p>
    <w:p w14:paraId="2F0ECBD3" w14:textId="77777777" w:rsidR="00DA468B" w:rsidRPr="00824357" w:rsidRDefault="00DA468B" w:rsidP="00DA468B">
      <w:pPr>
        <w:rPr>
          <w:snapToGrid w:val="0"/>
        </w:rPr>
      </w:pPr>
    </w:p>
    <w:p w14:paraId="65AE35FE" w14:textId="77777777"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tab/>
        <w:t>El TWO examinó el documento TWP/3/11 “</w:t>
      </w:r>
      <w:r>
        <w:rPr>
          <w:i/>
        </w:rPr>
        <w:t>Color names for the RHS Colour Chart</w:t>
      </w:r>
      <w:r>
        <w:t>” (Nombres de los colores de la carta de colores RHS).</w:t>
      </w:r>
    </w:p>
    <w:p w14:paraId="675A3108" w14:textId="77777777" w:rsidR="00DA468B" w:rsidRPr="00824357" w:rsidRDefault="00DA468B" w:rsidP="00DA468B">
      <w:pPr>
        <w:rPr>
          <w:rFonts w:cs="Arial"/>
        </w:rPr>
      </w:pPr>
    </w:p>
    <w:p w14:paraId="0A17DEFE" w14:textId="45194DA9"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TWO consideró la propuesta de revisión de la lista de grupos de color UPOV del documento TGP/14 “Glosario de términos utilizados en los documentos de la UPOV” conforme a los grupos de color que figuran en el Anexo I del documento TWP/3/11.</w:t>
      </w:r>
      <w:r w:rsidR="002A0DA3">
        <w:t xml:space="preserve"> </w:t>
      </w:r>
      <w:r>
        <w:t>El TWO convino en proponer que la nueva lista de grupos de color UPOV creada a partir de la sexta edición de la carta de colores RHS se incluya en el documento TGP/14.</w:t>
      </w:r>
    </w:p>
    <w:p w14:paraId="50D27D01" w14:textId="77777777" w:rsidR="00DA468B" w:rsidRPr="00824357" w:rsidRDefault="00DA468B" w:rsidP="00DA468B">
      <w:pPr>
        <w:rPr>
          <w:rFonts w:cs="Arial"/>
        </w:rPr>
      </w:pPr>
    </w:p>
    <w:p w14:paraId="36127B30" w14:textId="054732BD"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TWO examinó la propuesta de revisión del documento TGP/14, sección 2, subsección 3: “Color” y subsección 3: Anexo: “Nombres de los colores de la carta de colores RHS”, a fin de reflejar la incorporación de la lista revisada de grupos de color UPOV.</w:t>
      </w:r>
      <w:r w:rsidR="002A0DA3">
        <w:t xml:space="preserve"> </w:t>
      </w:r>
      <w:r>
        <w:t>El TWO convino en que el documento TGP/14 se ha de revisar a fin de reflejar la incorporación de la nueva lista de grupos de color UPOV sobre la base de la propuesta que se expone en el Anexo II del documento TWP/3/11.</w:t>
      </w:r>
    </w:p>
    <w:p w14:paraId="7E0CA285" w14:textId="77777777" w:rsidR="00DA468B" w:rsidRPr="00824357" w:rsidRDefault="00DA468B" w:rsidP="00DA468B">
      <w:pPr>
        <w:rPr>
          <w:rFonts w:cs="Arial"/>
        </w:rPr>
      </w:pPr>
    </w:p>
    <w:p w14:paraId="45C3D076"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TWO asistió a ponencias de Australia y la Unión Europea sobre experiencias con la definición de árboles, arbustos y vides. El TWO propuso invitar a las autoridades a facilitar la lista de géneros y especies que consideran árboles y vides, por conducto de UPOV PRISMA, e invitar a las autoridades a comunicar, en la próxima sesión del TWO, la información introducida en UPOV PRISMA.</w:t>
      </w:r>
    </w:p>
    <w:p w14:paraId="04211A5C" w14:textId="77777777" w:rsidR="00DA468B" w:rsidRPr="00824357" w:rsidRDefault="00DA468B" w:rsidP="00DA468B">
      <w:pPr>
        <w:rPr>
          <w:rFonts w:cs="Arial"/>
        </w:rPr>
      </w:pPr>
    </w:p>
    <w:p w14:paraId="04FCE696" w14:textId="131ABB7A"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t>El TWO convino en que existen ciertos géneros y especies para los que no es posible generalizar una decisión sobre si sus variedades se han de considerar árboles o vides.</w:t>
      </w:r>
      <w:r w:rsidR="002A0DA3">
        <w:t xml:space="preserve"> </w:t>
      </w:r>
      <w:r>
        <w:t>El TWO convino en solicitar a las autoridades que faciliten información sobre los géneros y especies que, en su opinión, deben estudiarse caso por caso.</w:t>
      </w:r>
      <w:r>
        <w:rPr>
          <w:color w:val="000000" w:themeColor="text1"/>
        </w:rPr>
        <w:t xml:space="preserve"> </w:t>
      </w:r>
    </w:p>
    <w:p w14:paraId="7526AD94" w14:textId="77777777" w:rsidR="00DA468B" w:rsidRPr="00824357" w:rsidRDefault="00DA468B" w:rsidP="00DA468B">
      <w:pPr>
        <w:rPr>
          <w:rFonts w:cs="Arial"/>
          <w:color w:val="000000" w:themeColor="text1"/>
        </w:rPr>
      </w:pPr>
    </w:p>
    <w:p w14:paraId="67DE0398" w14:textId="4F306BFD"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t>El TWO acordó presentar siete proyectos de directrices de examen al Comité Técnico para su aprobación:</w:t>
      </w:r>
      <w:r>
        <w:rPr>
          <w:color w:val="000000" w:themeColor="text1"/>
        </w:rPr>
        <w:t xml:space="preserve"> </w:t>
      </w:r>
      <w:r>
        <w:rPr>
          <w:i/>
        </w:rPr>
        <w:t>Alstroemeria</w:t>
      </w:r>
      <w:r>
        <w:t>, caléndula</w:t>
      </w:r>
      <w:r>
        <w:rPr>
          <w:i/>
          <w:color w:val="000000" w:themeColor="text1"/>
        </w:rPr>
        <w:t>, Coreopsis, Gazania</w:t>
      </w:r>
      <w:r>
        <w:rPr>
          <w:color w:val="000000" w:themeColor="text1"/>
        </w:rPr>
        <w:t xml:space="preserve">, </w:t>
      </w:r>
      <w:r>
        <w:rPr>
          <w:i/>
          <w:color w:val="000000" w:themeColor="text1"/>
        </w:rPr>
        <w:t>Anigozanthos</w:t>
      </w:r>
      <w:r>
        <w:rPr>
          <w:color w:val="000000" w:themeColor="text1"/>
        </w:rPr>
        <w:t xml:space="preserve"> (revisión), </w:t>
      </w:r>
      <w:r>
        <w:rPr>
          <w:i/>
          <w:color w:val="000000" w:themeColor="text1"/>
        </w:rPr>
        <w:t>Phalaenopsis</w:t>
      </w:r>
      <w:r>
        <w:rPr>
          <w:color w:val="000000" w:themeColor="text1"/>
        </w:rPr>
        <w:t xml:space="preserve"> (revisión parcial) y verd</w:t>
      </w:r>
      <w:r>
        <w:t xml:space="preserve">olaga </w:t>
      </w:r>
      <w:r>
        <w:rPr>
          <w:color w:val="000000" w:themeColor="text1"/>
        </w:rPr>
        <w:t>(revisión).</w:t>
      </w:r>
      <w:r w:rsidR="002A0DA3">
        <w:rPr>
          <w:color w:val="000000" w:themeColor="text1"/>
        </w:rPr>
        <w:t xml:space="preserve"> </w:t>
      </w:r>
      <w:r>
        <w:rPr>
          <w:color w:val="000000" w:themeColor="text1"/>
        </w:rPr>
        <w:t>En su quincuagésima segunda sesión, que se celebrará en 2020, el TWO tiene previsto debatir 11 directrices de examen.</w:t>
      </w:r>
    </w:p>
    <w:p w14:paraId="4B3CCFBC" w14:textId="77777777" w:rsidR="00DA468B" w:rsidRPr="00824357" w:rsidRDefault="00DA468B" w:rsidP="00DA468B">
      <w:pPr>
        <w:rPr>
          <w:rFonts w:cs="Arial"/>
          <w:color w:val="000000" w:themeColor="text1"/>
        </w:rPr>
      </w:pPr>
      <w:r>
        <w:rPr>
          <w:color w:val="000000" w:themeColor="text1"/>
        </w:rPr>
        <w:t xml:space="preserve"> </w:t>
      </w:r>
    </w:p>
    <w:p w14:paraId="76FA4040" w14:textId="77777777"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t>Por invitación de los Países Bajos, el TWO convino en celebrar su quincuagésima segunda sesión en Roelofarendsveen (Países Bajos) del 8 al 12 de junio de 2020.</w:t>
      </w:r>
    </w:p>
    <w:p w14:paraId="797FD919" w14:textId="77777777" w:rsidR="00DA468B" w:rsidRPr="00824357" w:rsidRDefault="00DA468B" w:rsidP="00DA468B">
      <w:pPr>
        <w:rPr>
          <w:rFonts w:cs="Arial"/>
        </w:rPr>
      </w:pPr>
    </w:p>
    <w:p w14:paraId="38B88C0B" w14:textId="77777777" w:rsidR="00DA468B" w:rsidRPr="00824357" w:rsidRDefault="00DA468B" w:rsidP="00DA468B">
      <w:pPr>
        <w:keepNext/>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tab/>
        <w:t>El TWO acordó examinar los siguientes puntos en su próxima sesión:</w:t>
      </w:r>
    </w:p>
    <w:p w14:paraId="1AE1547F" w14:textId="77777777" w:rsidR="00DA468B" w:rsidRPr="00824357" w:rsidRDefault="00DA468B" w:rsidP="00DA468B">
      <w:pPr>
        <w:ind w:left="567"/>
      </w:pPr>
    </w:p>
    <w:p w14:paraId="51733F16" w14:textId="77777777" w:rsidR="00DA468B" w:rsidRPr="00824357" w:rsidRDefault="00DA468B" w:rsidP="00DA468B">
      <w:pPr>
        <w:tabs>
          <w:tab w:val="left" w:pos="1134"/>
          <w:tab w:val="left" w:pos="1701"/>
        </w:tabs>
        <w:ind w:left="567"/>
      </w:pPr>
      <w:r>
        <w:t>1.</w:t>
      </w:r>
      <w:r>
        <w:tab/>
        <w:t>Apertura de la sesión</w:t>
      </w:r>
    </w:p>
    <w:p w14:paraId="4D481C9D" w14:textId="77777777" w:rsidR="00DA468B" w:rsidRPr="00824357" w:rsidRDefault="00DA468B" w:rsidP="00DA468B">
      <w:pPr>
        <w:tabs>
          <w:tab w:val="left" w:pos="1134"/>
          <w:tab w:val="left" w:pos="1701"/>
        </w:tabs>
        <w:ind w:left="567"/>
      </w:pPr>
      <w:r>
        <w:t>2.</w:t>
      </w:r>
      <w:r>
        <w:tab/>
        <w:t>Aprobación del orden del día</w:t>
      </w:r>
    </w:p>
    <w:p w14:paraId="627E82E8" w14:textId="77777777" w:rsidR="00DA468B" w:rsidRPr="00824357" w:rsidRDefault="00DA468B" w:rsidP="00DA468B">
      <w:pPr>
        <w:tabs>
          <w:tab w:val="left" w:pos="1134"/>
          <w:tab w:val="left" w:pos="1701"/>
        </w:tabs>
        <w:ind w:left="567"/>
      </w:pPr>
      <w:r>
        <w:t>3.</w:t>
      </w:r>
      <w:r>
        <w:tab/>
        <w:t>Informes breves sobre los avances logrados en la protección de las variedades vegetales</w:t>
      </w:r>
    </w:p>
    <w:p w14:paraId="2A70F040" w14:textId="77777777" w:rsidR="00DA468B" w:rsidRPr="00824357" w:rsidRDefault="00DA468B" w:rsidP="00DA468B">
      <w:pPr>
        <w:tabs>
          <w:tab w:val="left" w:pos="1134"/>
          <w:tab w:val="left" w:pos="1701"/>
        </w:tabs>
        <w:ind w:left="1701" w:hanging="567"/>
      </w:pPr>
      <w:r>
        <w:lastRenderedPageBreak/>
        <w:t>a)</w:t>
      </w:r>
      <w:r>
        <w:tab/>
        <w:t>Informes de los miembros y observadores (los miembros y observadores elaborarán informes escritos)</w:t>
      </w:r>
    </w:p>
    <w:p w14:paraId="49BD854A" w14:textId="77777777" w:rsidR="00DA468B" w:rsidRPr="00824357" w:rsidRDefault="00DA468B" w:rsidP="00DA468B">
      <w:pPr>
        <w:tabs>
          <w:tab w:val="left" w:pos="1134"/>
          <w:tab w:val="left" w:pos="1701"/>
        </w:tabs>
        <w:ind w:left="1701" w:hanging="567"/>
      </w:pPr>
      <w:r>
        <w:t>b)</w:t>
      </w:r>
      <w:r>
        <w:tab/>
        <w:t>Informes sobre los avances logrados en la UPOV (la Oficina de la Unión elaborará un documento)</w:t>
      </w:r>
    </w:p>
    <w:p w14:paraId="06AF5103" w14:textId="77777777" w:rsidR="00DA468B" w:rsidRPr="00824357" w:rsidRDefault="00DA468B" w:rsidP="00DA468B">
      <w:pPr>
        <w:tabs>
          <w:tab w:val="left" w:pos="1134"/>
          <w:tab w:val="left" w:pos="1701"/>
        </w:tabs>
        <w:ind w:left="567"/>
        <w:rPr>
          <w:rFonts w:cs="Arial"/>
        </w:rPr>
      </w:pPr>
      <w:r>
        <w:t>4.</w:t>
      </w:r>
      <w:r>
        <w:tab/>
        <w:t>Documentos TGP (la Oficina de la Unión elaborará documentos)</w:t>
      </w:r>
    </w:p>
    <w:p w14:paraId="0EC38D80" w14:textId="77777777" w:rsidR="00DA468B" w:rsidRPr="00824357" w:rsidRDefault="00DA468B" w:rsidP="00DA468B">
      <w:pPr>
        <w:tabs>
          <w:tab w:val="left" w:pos="1134"/>
          <w:tab w:val="left" w:pos="1701"/>
        </w:tabs>
        <w:ind w:left="567"/>
      </w:pPr>
      <w:r>
        <w:t>5.</w:t>
      </w:r>
      <w:r>
        <w:tab/>
        <w:t>Técnicas moleculares (la Oficina de la Unión elaborará un documento)</w:t>
      </w:r>
    </w:p>
    <w:p w14:paraId="7F181DD2" w14:textId="77777777" w:rsidR="00DA468B" w:rsidRPr="00824357" w:rsidRDefault="00DA468B" w:rsidP="00DA468B">
      <w:pPr>
        <w:tabs>
          <w:tab w:val="left" w:pos="1134"/>
          <w:tab w:val="left" w:pos="1701"/>
        </w:tabs>
        <w:ind w:left="567"/>
      </w:pPr>
      <w:r>
        <w:t>6.</w:t>
      </w:r>
      <w:r>
        <w:tab/>
        <w:t>Denominaciones de variedades (la Oficina de la Unión elaborará un documento)</w:t>
      </w:r>
    </w:p>
    <w:p w14:paraId="5B3CF594" w14:textId="77777777" w:rsidR="00DA468B" w:rsidRPr="00824357" w:rsidRDefault="00DA468B" w:rsidP="00DA468B">
      <w:pPr>
        <w:tabs>
          <w:tab w:val="left" w:pos="1134"/>
          <w:tab w:val="left" w:pos="1701"/>
        </w:tabs>
        <w:ind w:left="567"/>
      </w:pPr>
      <w:r>
        <w:t>7.</w:t>
      </w:r>
      <w:r>
        <w:tab/>
        <w:t>Información y bases de datos</w:t>
      </w:r>
    </w:p>
    <w:p w14:paraId="4CA60502" w14:textId="77777777" w:rsidR="00DA468B" w:rsidRPr="00824357" w:rsidRDefault="00DA468B" w:rsidP="00DA468B">
      <w:pPr>
        <w:tabs>
          <w:tab w:val="left" w:pos="1134"/>
          <w:tab w:val="left" w:pos="1701"/>
        </w:tabs>
        <w:ind w:left="1701" w:hanging="567"/>
        <w:rPr>
          <w:rFonts w:cs="Arial"/>
        </w:rPr>
      </w:pPr>
      <w:r>
        <w:t>a)</w:t>
      </w:r>
      <w:r>
        <w:tab/>
        <w:t>Bases de datos de información de la UPOV (la Oficina de la Unión elaborará un documento)</w:t>
      </w:r>
    </w:p>
    <w:p w14:paraId="181AFA31" w14:textId="77777777" w:rsidR="00DA468B" w:rsidRPr="00824357" w:rsidRDefault="00DA468B" w:rsidP="00DA468B">
      <w:pPr>
        <w:tabs>
          <w:tab w:val="left" w:pos="1134"/>
          <w:tab w:val="left" w:pos="1701"/>
        </w:tabs>
        <w:ind w:left="1701" w:hanging="567"/>
        <w:rPr>
          <w:rFonts w:cs="Arial"/>
        </w:rPr>
      </w:pPr>
      <w:r>
        <w:t>b)</w:t>
      </w:r>
      <w:r>
        <w:tab/>
        <w:t xml:space="preserve">Bases de datos de descripciones de variedades (la Oficina de la Unión elaborará un documento y se invita a presentar otros documentos) </w:t>
      </w:r>
    </w:p>
    <w:p w14:paraId="5DFCE2D2" w14:textId="77777777" w:rsidR="00DA468B" w:rsidRPr="00824357" w:rsidRDefault="00DA468B" w:rsidP="00DA468B">
      <w:pPr>
        <w:tabs>
          <w:tab w:val="left" w:pos="1134"/>
          <w:tab w:val="left" w:pos="1701"/>
        </w:tabs>
        <w:ind w:left="1701" w:hanging="567"/>
        <w:rPr>
          <w:rFonts w:cs="Arial"/>
        </w:rPr>
      </w:pPr>
      <w:r>
        <w:t>c)</w:t>
      </w:r>
      <w:r>
        <w:tab/>
        <w:t>Intercambio y uso de programas informáticos y equipos (la Oficina de la Unión elaborará un documento)</w:t>
      </w:r>
    </w:p>
    <w:p w14:paraId="499674E5" w14:textId="77777777" w:rsidR="00DA468B" w:rsidRPr="00824357" w:rsidRDefault="00DA468B" w:rsidP="00DA468B">
      <w:pPr>
        <w:tabs>
          <w:tab w:val="left" w:pos="1134"/>
          <w:tab w:val="left" w:pos="1701"/>
        </w:tabs>
        <w:ind w:left="1701" w:hanging="567"/>
        <w:rPr>
          <w:rFonts w:cs="Arial"/>
        </w:rPr>
      </w:pPr>
      <w:r>
        <w:t>d)</w:t>
      </w:r>
      <w:r>
        <w:tab/>
        <w:t>UPOV PRISMA (la Oficina de la Unión elaborará un documento y se invita a presentar informes acerca de la introducción de información sobre árboles y vides en UPOV PRISMA)</w:t>
      </w:r>
    </w:p>
    <w:p w14:paraId="2C0F5088" w14:textId="77777777" w:rsidR="00DA468B" w:rsidRPr="00824357" w:rsidRDefault="00DA468B" w:rsidP="00DA468B">
      <w:pPr>
        <w:tabs>
          <w:tab w:val="left" w:pos="1134"/>
          <w:tab w:val="left" w:pos="1701"/>
        </w:tabs>
        <w:ind w:left="1134" w:hanging="567"/>
        <w:rPr>
          <w:rFonts w:cs="Arial"/>
          <w:color w:val="000000"/>
        </w:rPr>
      </w:pPr>
      <w:r>
        <w:rPr>
          <w:color w:val="000000"/>
        </w:rPr>
        <w:t>8.</w:t>
      </w:r>
      <w:r>
        <w:tab/>
      </w:r>
      <w:r>
        <w:rPr>
          <w:color w:val="000000"/>
        </w:rPr>
        <w:t>Distancias mínimas entre variedades ornamentales de multiplicación vegetativa (la Unión Europea y la CIOPORA elaborarán un documento y se invita a presentar otros documentos)</w:t>
      </w:r>
    </w:p>
    <w:p w14:paraId="629134FD" w14:textId="77777777" w:rsidR="00DA468B" w:rsidRPr="00824357" w:rsidRDefault="00DA468B" w:rsidP="00DC2010">
      <w:pPr>
        <w:tabs>
          <w:tab w:val="left" w:pos="1134"/>
          <w:tab w:val="left" w:pos="1701"/>
        </w:tabs>
        <w:ind w:left="1134" w:hanging="567"/>
      </w:pPr>
      <w:r>
        <w:t>9.</w:t>
      </w:r>
      <w:r>
        <w:tab/>
        <w:t>Nuevas cuestiones que se plantean en relación con el examen DHE (se invita a presentar documentos)</w:t>
      </w:r>
    </w:p>
    <w:p w14:paraId="77AAC7F7" w14:textId="77777777" w:rsidR="00DA468B" w:rsidRPr="00824357" w:rsidRDefault="00DA468B" w:rsidP="00DA468B">
      <w:pPr>
        <w:tabs>
          <w:tab w:val="left" w:pos="1134"/>
          <w:tab w:val="left" w:pos="1701"/>
        </w:tabs>
        <w:ind w:left="1170" w:hanging="603"/>
      </w:pPr>
      <w:r>
        <w:t>10.</w:t>
      </w:r>
      <w:r>
        <w:tab/>
        <w:t>Informe sobre causas judiciales en que se abordaron cuestiones técnicas (se invita a presentar documentos)</w:t>
      </w:r>
    </w:p>
    <w:p w14:paraId="6DC64ACF" w14:textId="77777777" w:rsidR="00DA468B" w:rsidRPr="00824357" w:rsidRDefault="00DA468B" w:rsidP="00DA468B">
      <w:pPr>
        <w:tabs>
          <w:tab w:val="left" w:pos="1134"/>
          <w:tab w:val="left" w:pos="1701"/>
        </w:tabs>
        <w:ind w:left="567"/>
      </w:pPr>
      <w:r>
        <w:t>11.</w:t>
      </w:r>
      <w:r>
        <w:tab/>
        <w:t xml:space="preserve">Experiencias con nuevos tipos y especies (se invita a presentar informes verbales) </w:t>
      </w:r>
    </w:p>
    <w:p w14:paraId="6B30DF9B" w14:textId="77777777" w:rsidR="00DA468B" w:rsidRPr="00824357" w:rsidRDefault="00DA468B" w:rsidP="00DC2010">
      <w:pPr>
        <w:tabs>
          <w:tab w:val="left" w:pos="1134"/>
          <w:tab w:val="left" w:pos="1701"/>
        </w:tabs>
        <w:ind w:left="1134" w:hanging="567"/>
      </w:pPr>
      <w:r>
        <w:t>12.</w:t>
      </w:r>
      <w:r>
        <w:tab/>
        <w:t xml:space="preserve">Cuestiones por resolver en lo que respecta a directrices de examen aprobadas por el Comité Técnico </w:t>
      </w:r>
    </w:p>
    <w:p w14:paraId="4CFF399D" w14:textId="77777777" w:rsidR="00DA468B" w:rsidRPr="00824357" w:rsidRDefault="00DA468B" w:rsidP="00DA468B">
      <w:pPr>
        <w:tabs>
          <w:tab w:val="left" w:pos="1134"/>
          <w:tab w:val="left" w:pos="1701"/>
        </w:tabs>
        <w:ind w:left="567"/>
      </w:pPr>
      <w:r>
        <w:t>13.</w:t>
      </w:r>
      <w:r>
        <w:tab/>
        <w:t>Examen de proyectos de directrices de examen (subgrupos)</w:t>
      </w:r>
    </w:p>
    <w:p w14:paraId="7652230F" w14:textId="77777777" w:rsidR="00DA468B" w:rsidRPr="00824357" w:rsidRDefault="00DA468B" w:rsidP="00DA468B">
      <w:pPr>
        <w:tabs>
          <w:tab w:val="left" w:pos="1134"/>
          <w:tab w:val="left" w:pos="1701"/>
        </w:tabs>
        <w:ind w:left="567"/>
      </w:pPr>
      <w:r>
        <w:t>14.</w:t>
      </w:r>
      <w:r>
        <w:tab/>
        <w:t>Recomendaciones sobre proyectos de directrices de examen</w:t>
      </w:r>
    </w:p>
    <w:p w14:paraId="4817ED49" w14:textId="77777777" w:rsidR="00DA468B" w:rsidRPr="00824357" w:rsidRDefault="00DA468B" w:rsidP="00DA468B">
      <w:pPr>
        <w:tabs>
          <w:tab w:val="left" w:pos="1134"/>
          <w:tab w:val="left" w:pos="1701"/>
        </w:tabs>
        <w:ind w:left="567"/>
      </w:pPr>
      <w:r>
        <w:t>15.</w:t>
      </w:r>
      <w:r>
        <w:tab/>
        <w:t xml:space="preserve">Guía para redactores de directrices de examen </w:t>
      </w:r>
    </w:p>
    <w:p w14:paraId="58F6E6A7" w14:textId="77777777" w:rsidR="00DA468B" w:rsidRPr="00824357" w:rsidRDefault="00DA468B" w:rsidP="00DA468B">
      <w:pPr>
        <w:tabs>
          <w:tab w:val="left" w:pos="1134"/>
          <w:tab w:val="left" w:pos="1701"/>
        </w:tabs>
        <w:ind w:left="567"/>
      </w:pPr>
      <w:r>
        <w:t>16.</w:t>
      </w:r>
      <w:r>
        <w:tab/>
        <w:t>Fecha y lugar de la próxima sesión</w:t>
      </w:r>
    </w:p>
    <w:p w14:paraId="12FB8C68" w14:textId="77777777" w:rsidR="00DA468B" w:rsidRPr="00824357" w:rsidRDefault="00DA468B" w:rsidP="00DA468B">
      <w:pPr>
        <w:tabs>
          <w:tab w:val="left" w:pos="1134"/>
          <w:tab w:val="left" w:pos="1701"/>
        </w:tabs>
        <w:ind w:left="567"/>
      </w:pPr>
      <w:r>
        <w:t>17.</w:t>
      </w:r>
      <w:r>
        <w:tab/>
        <w:t>Próximo programa</w:t>
      </w:r>
    </w:p>
    <w:p w14:paraId="57462F4C" w14:textId="77777777" w:rsidR="00DA468B" w:rsidRPr="00824357" w:rsidRDefault="00DA468B" w:rsidP="00DA468B">
      <w:pPr>
        <w:tabs>
          <w:tab w:val="left" w:pos="1134"/>
          <w:tab w:val="left" w:pos="1701"/>
        </w:tabs>
        <w:ind w:left="567"/>
      </w:pPr>
      <w:r>
        <w:t>18.</w:t>
      </w:r>
      <w:r>
        <w:tab/>
        <w:t>Aprobación del informe de la sesión (si se dispone de tiempo suficiente)</w:t>
      </w:r>
    </w:p>
    <w:p w14:paraId="3A915552" w14:textId="77777777" w:rsidR="00DA468B" w:rsidRPr="00824357" w:rsidRDefault="00DA468B" w:rsidP="00DA468B">
      <w:pPr>
        <w:tabs>
          <w:tab w:val="left" w:pos="1134"/>
          <w:tab w:val="left" w:pos="1701"/>
        </w:tabs>
        <w:ind w:left="567"/>
      </w:pPr>
      <w:r>
        <w:t>19.</w:t>
      </w:r>
      <w:r>
        <w:tab/>
        <w:t>Clausura de la sesión</w:t>
      </w:r>
    </w:p>
    <w:p w14:paraId="7482F50A" w14:textId="77777777" w:rsidR="00DA468B" w:rsidRPr="00824357" w:rsidRDefault="00DA468B" w:rsidP="00DA468B">
      <w:pPr>
        <w:rPr>
          <w:rFonts w:cs="Arial"/>
          <w:color w:val="000000" w:themeColor="text1"/>
        </w:rPr>
      </w:pPr>
    </w:p>
    <w:p w14:paraId="5EFF810F" w14:textId="476427DA" w:rsidR="00DA468B" w:rsidRPr="00824357" w:rsidRDefault="00DA468B" w:rsidP="00DA468B">
      <w:pPr>
        <w:rPr>
          <w:shd w:val="clear" w:color="auto" w:fill="FFFFFF"/>
        </w:rPr>
      </w:pPr>
      <w:r w:rsidRPr="00824357">
        <w:rPr>
          <w:shd w:val="clear" w:color="auto" w:fill="FFFFFF"/>
        </w:rPr>
        <w:fldChar w:fldCharType="begin"/>
      </w:r>
      <w:r w:rsidRPr="00824357">
        <w:rPr>
          <w:shd w:val="clear" w:color="auto" w:fill="FFFFFF"/>
        </w:rPr>
        <w:instrText xml:space="preserve"> AUTONUM  </w:instrText>
      </w:r>
      <w:r w:rsidRPr="00824357">
        <w:rPr>
          <w:shd w:val="clear" w:color="auto" w:fill="FFFFFF"/>
        </w:rPr>
        <w:fldChar w:fldCharType="end"/>
      </w:r>
      <w:r>
        <w:tab/>
        <w:t xml:space="preserve">El miércoles 20 de febrero de 2019 por la tarde, el TWO visitó los Broadfield New Zealand Gardens cerca de Rolleston para ver especies ornamentales autóctonas de Nueva Zelandia, entre ellas, </w:t>
      </w:r>
      <w:r>
        <w:rPr>
          <w:i/>
        </w:rPr>
        <w:t>Agathis, Clianthus, Neopanax</w:t>
      </w:r>
      <w:r>
        <w:t xml:space="preserve"> y </w:t>
      </w:r>
      <w:r>
        <w:rPr>
          <w:i/>
        </w:rPr>
        <w:t>Pseudopanax</w:t>
      </w:r>
      <w:r>
        <w:t>. El TWO visitó también el instituto de investigación Manaaki Whenua Landcare Research, en el Centro de Agricultura y Ciencias Canterbury (CASC) de Lincoln y los ensayos DHE del geranio</w:t>
      </w:r>
      <w:r>
        <w:rPr>
          <w:i/>
        </w:rPr>
        <w:t>, Daphne</w:t>
      </w:r>
      <w:r>
        <w:t xml:space="preserve"> y </w:t>
      </w:r>
      <w:r>
        <w:rPr>
          <w:i/>
        </w:rPr>
        <w:t>Leucothoe</w:t>
      </w:r>
      <w:r>
        <w:t>.</w:t>
      </w:r>
      <w:r w:rsidR="002A0DA3">
        <w:t xml:space="preserve"> </w:t>
      </w:r>
      <w:r>
        <w:t xml:space="preserve">El TWO visitó las colecciones de variedades de </w:t>
      </w:r>
      <w:r>
        <w:rPr>
          <w:i/>
        </w:rPr>
        <w:t>Cordyline</w:t>
      </w:r>
      <w:r>
        <w:t xml:space="preserve">, verónica, cala y lino de Nueva Zelandia. </w:t>
      </w:r>
    </w:p>
    <w:p w14:paraId="0B07032E" w14:textId="77777777" w:rsidR="00DA468B" w:rsidRPr="00824357" w:rsidRDefault="00DA468B" w:rsidP="00DA468B">
      <w:pPr>
        <w:rPr>
          <w:shd w:val="clear" w:color="auto" w:fill="FFFFFF"/>
        </w:rPr>
      </w:pPr>
    </w:p>
    <w:p w14:paraId="2711B050" w14:textId="77777777" w:rsidR="00DA468B" w:rsidRPr="00824357" w:rsidRDefault="00DA468B" w:rsidP="00DA468B">
      <w:pPr>
        <w:rPr>
          <w:shd w:val="clear" w:color="auto" w:fill="FFFFFF"/>
        </w:rPr>
      </w:pPr>
      <w:r w:rsidRPr="00824357">
        <w:rPr>
          <w:shd w:val="clear" w:color="auto" w:fill="FFFFFF"/>
        </w:rPr>
        <w:fldChar w:fldCharType="begin"/>
      </w:r>
      <w:r w:rsidRPr="00824357">
        <w:rPr>
          <w:shd w:val="clear" w:color="auto" w:fill="FFFFFF"/>
        </w:rPr>
        <w:instrText xml:space="preserve"> AUTONUM  </w:instrText>
      </w:r>
      <w:r w:rsidRPr="00824357">
        <w:rPr>
          <w:shd w:val="clear" w:color="auto" w:fill="FFFFFF"/>
        </w:rPr>
        <w:fldChar w:fldCharType="end"/>
      </w:r>
      <w:r>
        <w:tab/>
        <w:t>El TWO designará a su nuevo presidente en su quincuagésima segunda sesión, que se celebrará en Roelofarendsveen (Países Bajos), del 8 al 12 de junio de 2020.</w:t>
      </w:r>
    </w:p>
    <w:p w14:paraId="6CA5B42B" w14:textId="77777777" w:rsidR="00DA468B" w:rsidRPr="00824357" w:rsidRDefault="00DA468B" w:rsidP="00DA468B"/>
    <w:p w14:paraId="2BFDBDEC" w14:textId="77777777" w:rsidR="00DA468B" w:rsidRPr="00824357" w:rsidRDefault="00DA468B" w:rsidP="00DA468B">
      <w:pPr>
        <w:rPr>
          <w:rFonts w:cs="Arial"/>
        </w:rPr>
      </w:pPr>
    </w:p>
    <w:p w14:paraId="406BDA94" w14:textId="77777777" w:rsidR="00DA468B" w:rsidRPr="00824357" w:rsidRDefault="00DA468B" w:rsidP="00DA468B">
      <w:pPr>
        <w:pStyle w:val="Heading3"/>
      </w:pPr>
      <w:bookmarkStart w:id="7" w:name="_Toc494205440"/>
      <w:r>
        <w:t>Grupo de Trabajo Técnico sobre Hortalizas</w:t>
      </w:r>
      <w:bookmarkEnd w:id="7"/>
      <w:r>
        <w:t xml:space="preserve"> (TWV)</w:t>
      </w:r>
    </w:p>
    <w:p w14:paraId="04AD436D" w14:textId="77777777" w:rsidR="00DA468B" w:rsidRPr="00824357" w:rsidRDefault="00DA468B" w:rsidP="00DA468B">
      <w:pPr>
        <w:keepNext/>
        <w:rPr>
          <w:rFonts w:cs="Arial"/>
        </w:rPr>
      </w:pPr>
    </w:p>
    <w:p w14:paraId="0600500B" w14:textId="77777777" w:rsidR="00DA468B" w:rsidRPr="00824357" w:rsidRDefault="00DA468B" w:rsidP="00DA468B">
      <w:pPr>
        <w:keepNext/>
        <w:rPr>
          <w:rFonts w:cs="Arial"/>
        </w:rPr>
      </w:pPr>
      <w:r>
        <w:t>Informe de la Sra. Romana Bravi (Italia), presidente del TWV</w:t>
      </w:r>
    </w:p>
    <w:p w14:paraId="550B6640" w14:textId="77777777" w:rsidR="00DA468B" w:rsidRPr="00824357" w:rsidRDefault="00DA468B" w:rsidP="00DA468B">
      <w:pPr>
        <w:keepNext/>
        <w:rPr>
          <w:rFonts w:cs="Arial"/>
        </w:rPr>
      </w:pPr>
    </w:p>
    <w:p w14:paraId="315E7E31" w14:textId="77777777" w:rsidR="00DA468B" w:rsidRPr="00824357" w:rsidRDefault="00DA468B" w:rsidP="00DA468B">
      <w:pPr>
        <w:pStyle w:val="Heading4"/>
      </w:pPr>
      <w:r>
        <w:t>Quincuagésima tercera sesión del TWV</w:t>
      </w:r>
    </w:p>
    <w:p w14:paraId="111BE895" w14:textId="77777777" w:rsidR="00DA468B" w:rsidRPr="00824357" w:rsidRDefault="00DA468B" w:rsidP="00DA468B">
      <w:pPr>
        <w:keepNext/>
        <w:rPr>
          <w:rFonts w:cs="Arial"/>
        </w:rPr>
      </w:pPr>
    </w:p>
    <w:p w14:paraId="76B65A3E" w14:textId="53FC985B"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Grupo de Trabajo Técnico sobre Hortalizas (TWV) celebró su quincuagésima tercera sesión en Seúl (República de Corea), del 20 al 24 de mayo de 2019.</w:t>
      </w:r>
      <w:r w:rsidR="002A0DA3">
        <w:t xml:space="preserve"> </w:t>
      </w:r>
      <w:r>
        <w:t>Asistieron al TWV 58 participantes procedentes de 15 miembros de la Unión y 3 organizaciones en calidad de observadoras.</w:t>
      </w:r>
    </w:p>
    <w:p w14:paraId="4CB0EC9E" w14:textId="77777777" w:rsidR="00DA468B" w:rsidRPr="00824357" w:rsidRDefault="00DA468B" w:rsidP="00DA468B">
      <w:pPr>
        <w:rPr>
          <w:rFonts w:cs="Arial"/>
        </w:rPr>
      </w:pPr>
    </w:p>
    <w:p w14:paraId="3A72390C" w14:textId="6957E7AE"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Inauguró la sesión la Sra. Romana Bravi (Italia), presidente del TWV, quien dio la bienvenida a los participantes y agradeció a la República de Corea la organización de la sesión del TWV.</w:t>
      </w:r>
      <w:r w:rsidR="002A0DA3">
        <w:t xml:space="preserve"> </w:t>
      </w:r>
      <w:r>
        <w:t>Dio la bienvenida al TWV el Sr. Choi Byungkook, director general de la División de Desarrollo Internacional y Cooperación, adscrita al Ministerio de Agricultura, Alimentación y Asuntos Rurales (MAFRA).</w:t>
      </w:r>
      <w:r w:rsidR="002A0DA3">
        <w:t xml:space="preserve"> </w:t>
      </w:r>
      <w:r>
        <w:t xml:space="preserve">El TWV asistió a una presentación sobre la protección de las obtenciones vegetales y la industria de las semillas en la República de Corea, a cargo del Sr. Pang Munjin, director de la División de Protección de las Obtenciones Vegetales, </w:t>
      </w:r>
      <w:r>
        <w:lastRenderedPageBreak/>
        <w:t>adscrita al Servicio de Semillas y Variedades de la República de Corea (KSVS).</w:t>
      </w:r>
      <w:r w:rsidR="002A0DA3">
        <w:t xml:space="preserve"> </w:t>
      </w:r>
      <w:r>
        <w:t xml:space="preserve">El TWV examinó las siguientes cuestiones principales: </w:t>
      </w:r>
    </w:p>
    <w:p w14:paraId="4B035E6C" w14:textId="77777777" w:rsidR="00DA468B" w:rsidRPr="00824357" w:rsidRDefault="00DA468B" w:rsidP="00DA468B">
      <w:pPr>
        <w:rPr>
          <w:rFonts w:cs="Arial"/>
        </w:rPr>
      </w:pPr>
    </w:p>
    <w:p w14:paraId="5B4A1FA3" w14:textId="77777777" w:rsidR="00DA468B" w:rsidRPr="00824357" w:rsidRDefault="00DA468B" w:rsidP="008C4FB8">
      <w:pPr>
        <w:pStyle w:val="Heading5"/>
      </w:pPr>
      <w:r>
        <w:t>Caracteres que solo se aplican a ciertas variedades (TWP/3/9)</w:t>
      </w:r>
    </w:p>
    <w:p w14:paraId="45AC9837" w14:textId="77777777" w:rsidR="00DA468B" w:rsidRPr="00824357" w:rsidRDefault="00DA468B" w:rsidP="00DA468B">
      <w:pPr>
        <w:rPr>
          <w:rFonts w:cs="Arial"/>
          <w:u w:val="single"/>
        </w:rPr>
      </w:pPr>
    </w:p>
    <w:p w14:paraId="09585452"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examinó la petición de facilitar ejemplos de casos inadecuados para mostrar los riesgos de que decisiones sobre la distinción excluyan variedades de la observación de un carácter sobre la base del nivel de expresión de un carácter cuantitativo o pseudocualitativo anterior.</w:t>
      </w:r>
    </w:p>
    <w:p w14:paraId="1CA77534" w14:textId="77777777" w:rsidR="00DA468B" w:rsidRPr="00824357" w:rsidRDefault="00DA468B" w:rsidP="00DA468B">
      <w:pPr>
        <w:rPr>
          <w:rFonts w:cs="Arial"/>
        </w:rPr>
      </w:pPr>
    </w:p>
    <w:p w14:paraId="5F481432"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coincidió en que cuando una estructura se describe como “ausente o débil” en parte de una planta, es posible que sea difícil observar otros caracteres en esa estructura. Por ejemplo, en las directrices de examen de la lechuga (TG 13/11), el carácter 3: “Planta: grado de solapamiento de la parte superior de las hojas”, indicado como QN, con los grados de expresión (1) “ausente o débil, (2) medio, (3) fuerte”. Sin embargo, el TWV convino en que, junto con el cuadro facilitado en el capítulo 5.3 de las directrices de examen, reduce los riesgos de las decisiones sobre la distinción y, en consecuencia, propicia el uso de estos cuadros cuando son necesarios.</w:t>
      </w:r>
    </w:p>
    <w:p w14:paraId="6B3BA6DE" w14:textId="77777777" w:rsidR="00DA468B" w:rsidRPr="00824357" w:rsidRDefault="00DA468B" w:rsidP="00DA468B">
      <w:pPr>
        <w:rPr>
          <w:rFonts w:cs="Arial"/>
        </w:rPr>
      </w:pPr>
    </w:p>
    <w:p w14:paraId="6A7D7148"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convino en que el carácter pseudocualitativo (PQ) de las directrices de examen de la achicoria de hoja (TG/154/4) expuesto a continuación es un ejemplo adecuado para mostrar cómo puede emplearse el enfoque propuesto de manera que no plantee riesgos respecto de las decisiones sobre la distinción.</w:t>
      </w:r>
    </w:p>
    <w:p w14:paraId="696FC0E1" w14:textId="77777777" w:rsidR="00DA468B" w:rsidRPr="00824357" w:rsidRDefault="00DA468B" w:rsidP="00DA468B">
      <w:pPr>
        <w:rPr>
          <w:rFonts w:cs="Arial"/>
        </w:rPr>
      </w:pPr>
    </w:p>
    <w:p w14:paraId="7F475CE3" w14:textId="77777777" w:rsidR="00DA468B" w:rsidRPr="00824357" w:rsidRDefault="00DA468B" w:rsidP="00DA468B">
      <w:pPr>
        <w:tabs>
          <w:tab w:val="left" w:pos="1134"/>
        </w:tabs>
        <w:ind w:left="567"/>
        <w:rPr>
          <w:rFonts w:cs="Arial"/>
        </w:rPr>
      </w:pPr>
      <w:r>
        <w:t>Carácter 16: “Solo para variedades que forman repollo: ausente (1); cerrado (2); abierto (3)”</w:t>
      </w:r>
    </w:p>
    <w:p w14:paraId="6FC378E8" w14:textId="77777777" w:rsidR="00DA468B" w:rsidRPr="00824357" w:rsidRDefault="00DA468B" w:rsidP="00DA468B">
      <w:pPr>
        <w:tabs>
          <w:tab w:val="left" w:pos="1134"/>
        </w:tabs>
        <w:ind w:left="567"/>
        <w:rPr>
          <w:rFonts w:cs="Arial"/>
        </w:rPr>
      </w:pPr>
      <w:r>
        <w:t xml:space="preserve">Carácter 17: “Solo para variedades que forman repollo…” </w:t>
      </w:r>
    </w:p>
    <w:p w14:paraId="390253A5" w14:textId="77777777" w:rsidR="00DA468B" w:rsidRPr="00824357" w:rsidRDefault="00DA468B" w:rsidP="00DA468B">
      <w:pPr>
        <w:rPr>
          <w:rFonts w:cs="Arial"/>
          <w:u w:val="single"/>
        </w:rPr>
      </w:pPr>
    </w:p>
    <w:p w14:paraId="294FA20E" w14:textId="3606E457" w:rsidR="00DA468B" w:rsidRPr="00824357" w:rsidRDefault="00DA468B" w:rsidP="008C4FB8">
      <w:pPr>
        <w:pStyle w:val="Heading5"/>
        <w:rPr>
          <w:rFonts w:cs="Arial"/>
        </w:rPr>
      </w:pPr>
      <w:r>
        <w:t>TGP/15: Orientación sobre el uso de marcadores bioquímicos y moleculares en el examen de la distinción, la homogeneidad y la estabilidad (DHE):</w:t>
      </w:r>
      <w:r w:rsidR="002A0DA3">
        <w:t xml:space="preserve"> </w:t>
      </w:r>
      <w:r>
        <w:t>nuevo ejemplo: Marcador ligado a un carácter con información incompleta sobre el nivel de expresión</w:t>
      </w:r>
    </w:p>
    <w:p w14:paraId="6F08C701" w14:textId="77777777" w:rsidR="00DA468B" w:rsidRPr="00824357" w:rsidRDefault="00DA468B" w:rsidP="00DA468B">
      <w:pPr>
        <w:rPr>
          <w:rFonts w:cs="Arial"/>
        </w:rPr>
      </w:pPr>
    </w:p>
    <w:p w14:paraId="3EC75BFD"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suscribió la propuesta de añadir un nuevo ejemplo al documento TGP/15 a fin de ilustrar el caso en que un marcador ligado a un carácter no proporciona información completa sobre el nivel de expresión de un carácter, expuesto en el Anexo del documento TWP/3/12.</w:t>
      </w:r>
    </w:p>
    <w:p w14:paraId="0120BEAC" w14:textId="77777777" w:rsidR="00DA468B" w:rsidRPr="00824357" w:rsidRDefault="00DA468B" w:rsidP="00DA468B">
      <w:pPr>
        <w:rPr>
          <w:rFonts w:cs="Arial"/>
        </w:rPr>
      </w:pPr>
    </w:p>
    <w:p w14:paraId="603F8414"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convino en que ha de añadirse una nueva frase al documento TGP/15 para indicar que, en los casos en que el solicitante declare en el cuestionario técnico que la variedad es resistente pero el resultado del análisis del marcador sea negativo, se ha de efectuar o realizar un bioanálisis y este debe ser concluyente.</w:t>
      </w:r>
    </w:p>
    <w:p w14:paraId="7FBAEAEC" w14:textId="77777777" w:rsidR="00DA468B" w:rsidRPr="00824357" w:rsidRDefault="00DA468B" w:rsidP="00DA468B">
      <w:pPr>
        <w:rPr>
          <w:rFonts w:cs="Arial"/>
        </w:rPr>
      </w:pPr>
    </w:p>
    <w:p w14:paraId="40D36E79" w14:textId="77777777" w:rsidR="00DA468B" w:rsidRPr="007D341D" w:rsidRDefault="00DA468B" w:rsidP="008C4FB8">
      <w:pPr>
        <w:pStyle w:val="Heading5"/>
      </w:pPr>
      <w:r>
        <w:t>TGP/7: Elaboración de las directrices de examen: procedimiento de revisión parcial de las directrices de examen de la UPOV</w:t>
      </w:r>
    </w:p>
    <w:p w14:paraId="0A41F2D9" w14:textId="77777777" w:rsidR="00DA468B" w:rsidRPr="007D341D" w:rsidRDefault="00DA468B" w:rsidP="00DA468B">
      <w:pPr>
        <w:rPr>
          <w:rFonts w:cs="Arial"/>
          <w:u w:val="single"/>
        </w:rPr>
      </w:pPr>
    </w:p>
    <w:p w14:paraId="1F0E2EF9" w14:textId="77777777" w:rsidR="00DA468B" w:rsidRPr="00824357" w:rsidRDefault="00DA468B" w:rsidP="00DA468B">
      <w:pPr>
        <w:rPr>
          <w:rFonts w:cs="Arial"/>
        </w:rPr>
      </w:pPr>
      <w:r>
        <w:t>El TWV acogió con satisfacción la posibilidad de disponer de un procedimiento acelerado para las revisiones parciales de directrices de examen, que permita a los expertos formular nuevas propuestas en el transcurso del año, respetando el plazo acordado para elaborar y distribuir el documento con la antelación suficiente respecto de la sesión para que los miembros de la Unión dispongan del tiempo necesario para examinarlas.</w:t>
      </w:r>
    </w:p>
    <w:p w14:paraId="7E2CCC83" w14:textId="77777777" w:rsidR="00DA468B" w:rsidRPr="00824357" w:rsidRDefault="00DA468B" w:rsidP="00DA468B">
      <w:pPr>
        <w:rPr>
          <w:rFonts w:cs="Arial"/>
          <w:u w:val="single"/>
        </w:rPr>
      </w:pPr>
    </w:p>
    <w:p w14:paraId="17AEB76D" w14:textId="77777777" w:rsidR="00DA468B" w:rsidRPr="00824357" w:rsidRDefault="00DA468B" w:rsidP="008C4FB8">
      <w:pPr>
        <w:pStyle w:val="Heading5"/>
      </w:pPr>
      <w:r>
        <w:t>Técnicas moleculares (TWP/3/7)</w:t>
      </w:r>
    </w:p>
    <w:p w14:paraId="24BF9190" w14:textId="77777777" w:rsidR="00DA468B" w:rsidRPr="00824357" w:rsidRDefault="00DA468B" w:rsidP="00DA468B">
      <w:pPr>
        <w:rPr>
          <w:rFonts w:cs="Arial"/>
        </w:rPr>
      </w:pPr>
    </w:p>
    <w:p w14:paraId="6440074B"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propuso que se invite al BMT a ofrecer orientación sobre los elementos que ha de comprender un protocolo de análisis del marcador de ADN de un carácter concreto.</w:t>
      </w:r>
    </w:p>
    <w:p w14:paraId="0764BB1D" w14:textId="77777777" w:rsidR="00DA468B" w:rsidRPr="00824357" w:rsidRDefault="00DA468B" w:rsidP="00DA468B">
      <w:pPr>
        <w:rPr>
          <w:rFonts w:cs="Arial"/>
        </w:rPr>
      </w:pPr>
    </w:p>
    <w:p w14:paraId="3E6B0C78" w14:textId="77777777" w:rsidR="00DA468B" w:rsidRPr="00824357" w:rsidRDefault="00DA468B" w:rsidP="008C4FB8">
      <w:pPr>
        <w:pStyle w:val="Heading5"/>
      </w:pPr>
      <w:r>
        <w:t>Cooperación entre organizaciones internacionales</w:t>
      </w:r>
    </w:p>
    <w:p w14:paraId="2BCA35A1" w14:textId="77777777" w:rsidR="00DA468B" w:rsidRPr="00824357" w:rsidRDefault="00DA468B" w:rsidP="00D32BA2">
      <w:pPr>
        <w:keepNext/>
        <w:rPr>
          <w:rFonts w:cs="Arial"/>
        </w:rPr>
      </w:pPr>
    </w:p>
    <w:p w14:paraId="077839C2" w14:textId="77777777" w:rsidR="00DA468B" w:rsidRPr="00824357" w:rsidRDefault="00DA468B" w:rsidP="00D32BA2">
      <w:pPr>
        <w:keepNext/>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aprobó el inventario sobre la utilización de técnicas basadas en marcadores moleculares, por cultivos, con los añadidos siguientes para reflejar la situación actual de las técnicas basadas en marcadores moleculares (esto es, ya en uso o en desarrollo)</w:t>
      </w:r>
    </w:p>
    <w:p w14:paraId="2A4C79E8" w14:textId="77777777" w:rsidR="00DA468B" w:rsidRPr="00824357" w:rsidRDefault="00DA468B" w:rsidP="00DA468B">
      <w:pPr>
        <w:rPr>
          <w:rFonts w:cs="Arial"/>
        </w:rPr>
      </w:pPr>
    </w:p>
    <w:p w14:paraId="52ED761F" w14:textId="77777777" w:rsidR="00DA468B" w:rsidRPr="00824357" w:rsidRDefault="00DA468B" w:rsidP="00F44E48">
      <w:pPr>
        <w:pStyle w:val="ListParagraph"/>
        <w:numPr>
          <w:ilvl w:val="0"/>
          <w:numId w:val="21"/>
        </w:numPr>
        <w:spacing w:after="160" w:line="259" w:lineRule="auto"/>
        <w:ind w:left="1134" w:hanging="567"/>
        <w:jc w:val="left"/>
        <w:rPr>
          <w:rFonts w:cs="Arial"/>
          <w:i/>
        </w:rPr>
      </w:pPr>
      <w:r>
        <w:rPr>
          <w:i/>
        </w:rPr>
        <w:t>Situación (es decir, en uso actualmente o en desarrollo)</w:t>
      </w:r>
    </w:p>
    <w:p w14:paraId="7AD96FFB" w14:textId="4EAB242C" w:rsidR="00DA468B" w:rsidRPr="00DC2010" w:rsidRDefault="00DA468B" w:rsidP="00F44E48">
      <w:pPr>
        <w:pStyle w:val="ListParagraph"/>
        <w:numPr>
          <w:ilvl w:val="0"/>
          <w:numId w:val="21"/>
        </w:numPr>
        <w:spacing w:after="160" w:line="259" w:lineRule="auto"/>
        <w:ind w:left="1134" w:hanging="567"/>
        <w:jc w:val="left"/>
        <w:rPr>
          <w:rFonts w:cs="Arial"/>
          <w:i/>
        </w:rPr>
      </w:pPr>
      <w:r>
        <w:rPr>
          <w:i/>
        </w:rPr>
        <w:t>Cultivo(s) para el(los) que se utiliza la técnica basada en marcadores moleculares y (en caso de estar en uso) carácter al que está ligado [se han de facilitar el(los) nombre(s) botánico(s) y código(s) UPOV]</w:t>
      </w:r>
    </w:p>
    <w:p w14:paraId="16979543" w14:textId="77777777" w:rsidR="00DC2010" w:rsidRPr="00DC2010" w:rsidRDefault="00DC2010" w:rsidP="00DC2010">
      <w:pPr>
        <w:spacing w:after="160" w:line="259" w:lineRule="auto"/>
        <w:ind w:left="567"/>
        <w:jc w:val="left"/>
        <w:rPr>
          <w:rFonts w:cs="Arial"/>
          <w:i/>
        </w:rPr>
      </w:pPr>
    </w:p>
    <w:p w14:paraId="02A9DF88" w14:textId="77777777" w:rsidR="00DA468B" w:rsidRPr="00824357" w:rsidRDefault="00DA468B" w:rsidP="008C4FB8">
      <w:pPr>
        <w:pStyle w:val="Heading5"/>
      </w:pPr>
      <w:r>
        <w:lastRenderedPageBreak/>
        <w:t>Utilización de caracteres de resistencia a las enfermedades</w:t>
      </w:r>
    </w:p>
    <w:p w14:paraId="49F114E2" w14:textId="77777777" w:rsidR="00DA468B" w:rsidRPr="00824357" w:rsidRDefault="00DA468B" w:rsidP="00DA468B">
      <w:pPr>
        <w:rPr>
          <w:rFonts w:cs="Arial"/>
          <w:u w:val="single"/>
        </w:rPr>
      </w:pPr>
    </w:p>
    <w:p w14:paraId="40BB0FF3"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escuchó las ponencias siguientes:</w:t>
      </w:r>
    </w:p>
    <w:p w14:paraId="635FB2B2" w14:textId="77777777" w:rsidR="00DA468B" w:rsidRPr="00824357" w:rsidRDefault="00DA468B" w:rsidP="00DA468B">
      <w:pPr>
        <w:keepNext/>
        <w:rPr>
          <w:rFonts w:cs="Arial"/>
        </w:rPr>
      </w:pPr>
    </w:p>
    <w:p w14:paraId="69573333" w14:textId="5B3E663F" w:rsidR="00DA468B" w:rsidRPr="00824357" w:rsidRDefault="00DC2010" w:rsidP="00DC2010">
      <w:pPr>
        <w:tabs>
          <w:tab w:val="left" w:pos="1134"/>
        </w:tabs>
        <w:ind w:left="1134" w:hanging="567"/>
        <w:contextualSpacing/>
        <w:rPr>
          <w:rFonts w:eastAsia="MS Mincho" w:cs="Arial"/>
        </w:rPr>
      </w:pPr>
      <w:r>
        <w:t>a)</w:t>
      </w:r>
      <w:r>
        <w:tab/>
      </w:r>
      <w:r w:rsidR="00DA468B">
        <w:t>“Utilización de caracteres de resistencia”, a cargo de un experto de la Unión Europea.</w:t>
      </w:r>
    </w:p>
    <w:p w14:paraId="515411E1" w14:textId="78C3EC63" w:rsidR="00DA468B" w:rsidRPr="00824357" w:rsidRDefault="00DC2010" w:rsidP="00DC2010">
      <w:pPr>
        <w:tabs>
          <w:tab w:val="left" w:pos="1134"/>
        </w:tabs>
        <w:ind w:left="1134" w:hanging="567"/>
        <w:contextualSpacing/>
        <w:rPr>
          <w:rFonts w:eastAsia="MS Mincho" w:cs="Arial"/>
        </w:rPr>
      </w:pPr>
      <w:r>
        <w:t>b)</w:t>
      </w:r>
      <w:r>
        <w:tab/>
      </w:r>
      <w:r w:rsidR="00DA468B">
        <w:t>“Evaluación de la resistencia a enfermedades en variedades de hortalizas según las normas de la UPOV,</w:t>
      </w:r>
      <w:r w:rsidR="002A0DA3">
        <w:t xml:space="preserve"> </w:t>
      </w:r>
      <w:r w:rsidR="00DA468B">
        <w:t>centrada en las actividades italianas”, a cargo de un experto de Italia.</w:t>
      </w:r>
    </w:p>
    <w:p w14:paraId="213EC33A" w14:textId="33D4B567" w:rsidR="00DA468B" w:rsidRPr="00824357" w:rsidRDefault="00DC2010" w:rsidP="00DC2010">
      <w:pPr>
        <w:tabs>
          <w:tab w:val="left" w:pos="1134"/>
        </w:tabs>
        <w:ind w:left="1134" w:hanging="567"/>
        <w:contextualSpacing/>
        <w:rPr>
          <w:rFonts w:eastAsia="MS Mincho" w:cs="Arial"/>
        </w:rPr>
      </w:pPr>
      <w:r>
        <w:t>c)</w:t>
      </w:r>
      <w:r>
        <w:tab/>
      </w:r>
      <w:r w:rsidR="00DA468B">
        <w:t>“Resistencia a las enfermedades en el examen DHE”, a cargo de expertos de Francia y los Países Bajos.</w:t>
      </w:r>
    </w:p>
    <w:p w14:paraId="7FD43D6A" w14:textId="5550AD30" w:rsidR="00DA468B" w:rsidRPr="00824357" w:rsidRDefault="00DC2010" w:rsidP="00DC2010">
      <w:pPr>
        <w:tabs>
          <w:tab w:val="left" w:pos="1134"/>
        </w:tabs>
        <w:ind w:left="1134" w:hanging="567"/>
        <w:contextualSpacing/>
        <w:rPr>
          <w:rFonts w:eastAsia="MS Mincho" w:cs="Arial"/>
        </w:rPr>
      </w:pPr>
      <w:r>
        <w:t>d)</w:t>
      </w:r>
      <w:r>
        <w:tab/>
      </w:r>
      <w:r w:rsidR="00DA468B">
        <w:t>“Armonización de los ensayos de resistencia a las enfermedades en el examen DHE: Harmores 3”, a cargo de un experto de Francia (en nombre del Grupo de Trabajo).</w:t>
      </w:r>
    </w:p>
    <w:p w14:paraId="0C45184D" w14:textId="1A005D80" w:rsidR="00DA468B" w:rsidRPr="00824357" w:rsidRDefault="00DC2010" w:rsidP="00DC2010">
      <w:pPr>
        <w:tabs>
          <w:tab w:val="left" w:pos="1134"/>
        </w:tabs>
        <w:ind w:left="1134" w:hanging="567"/>
        <w:contextualSpacing/>
        <w:rPr>
          <w:rFonts w:eastAsia="MS Mincho" w:cs="Arial"/>
          <w:snapToGrid w:val="0"/>
        </w:rPr>
      </w:pPr>
      <w:r>
        <w:t>e)</w:t>
      </w:r>
      <w:r>
        <w:tab/>
      </w:r>
      <w:r w:rsidR="00DA468B">
        <w:t xml:space="preserve">“Resistencia a las enfermedades en las hortalizas: ¿cómo procede la industria europea en materia de declaraciones?”, a cargo de un experto de la </w:t>
      </w:r>
      <w:r w:rsidR="00DA468B">
        <w:rPr>
          <w:i/>
        </w:rPr>
        <w:t>European Seed Association</w:t>
      </w:r>
      <w:r w:rsidR="00DA468B">
        <w:t xml:space="preserve"> (ESA).</w:t>
      </w:r>
    </w:p>
    <w:p w14:paraId="51C20123" w14:textId="7144117E" w:rsidR="00DA468B" w:rsidRPr="00824357" w:rsidRDefault="00DC2010" w:rsidP="00DC2010">
      <w:pPr>
        <w:keepNext/>
        <w:tabs>
          <w:tab w:val="left" w:pos="1134"/>
        </w:tabs>
        <w:ind w:left="1134" w:hanging="567"/>
        <w:contextualSpacing/>
        <w:rPr>
          <w:rFonts w:eastAsia="MS Mincho" w:cs="Arial"/>
        </w:rPr>
      </w:pPr>
      <w:r>
        <w:t>f)</w:t>
      </w:r>
      <w:r>
        <w:tab/>
      </w:r>
      <w:r w:rsidR="00DA468B">
        <w:t xml:space="preserve">“Grupo de Trabajo del ISF sobre Terminología del ámbito de la Resistencia a las Enfermedades”, a cargo de un experto de la </w:t>
      </w:r>
      <w:r w:rsidR="00DA468B">
        <w:rPr>
          <w:i/>
        </w:rPr>
        <w:t>International Seed Federation</w:t>
      </w:r>
      <w:r w:rsidR="00DA468B">
        <w:t xml:space="preserve"> (ISF).</w:t>
      </w:r>
    </w:p>
    <w:p w14:paraId="1AB27A47" w14:textId="77777777" w:rsidR="00DA468B" w:rsidRPr="00824357" w:rsidRDefault="00DA468B" w:rsidP="00DA468B">
      <w:pPr>
        <w:rPr>
          <w:rFonts w:cs="Arial"/>
        </w:rPr>
      </w:pPr>
    </w:p>
    <w:p w14:paraId="4C09B21C" w14:textId="1E15E2EB"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convino en que, por el momento, la orientación ofrecida actualmente en los documentos de la UPOV en relación con la utilización de los caracteres de resistencia a las enfermedades en las directrices de examen y en el examen DHE es clara y suficiente. El TWV tomó nota de que, en el ámbito de los caracteres de resistencia a las enfermedades, cuando se utiliza el tipo de expresión cuantitativa, es posible utilizar más de tres niveles.</w:t>
      </w:r>
    </w:p>
    <w:p w14:paraId="2B02BE7B" w14:textId="77777777" w:rsidR="00DA468B" w:rsidRPr="00824357" w:rsidRDefault="00DA468B" w:rsidP="00DA468B">
      <w:pPr>
        <w:rPr>
          <w:rFonts w:cs="Arial"/>
        </w:rPr>
      </w:pPr>
    </w:p>
    <w:p w14:paraId="23523426"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El TWV convino en que la resistencia a las enfermedades es un importante objetivo del fitomejoramiento y, por lo tanto, la cooperación entre todos los interesados será beneficiosa para garantizar que el desarrollo del examen DHE y la elaboración de las directrices de examen sean acordes a las expectativas de los usuarios del sistema. </w:t>
      </w:r>
    </w:p>
    <w:p w14:paraId="23A769E0" w14:textId="77777777" w:rsidR="00DA468B" w:rsidRPr="00824357" w:rsidRDefault="00DA468B" w:rsidP="00DA468B">
      <w:pPr>
        <w:rPr>
          <w:rFonts w:cs="Arial"/>
        </w:rPr>
      </w:pPr>
    </w:p>
    <w:p w14:paraId="68958892"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convino en que los caracteres de resistencia a las enfermedades son importantes para el examen DHE y en especial para la distinción, el agrupamiento y las descripciones de variedades. En consecuencia, el TWV convino en que es responsabilidad de cada TWP actualizar las directrices de examen oportunamente y si procede además de emplear el tiempo necesario para incluir o actualizar caracteres con métodos aprobados para su evaluación (p. ej. tipo de expresión cuantitativa o cualitativa y terminología común acordada) y para el protocolo de ensayo de enfermedades validado que ha de seguirse. A fin de lograr este objetivo, el TWV convino en que se ha de consultar e implicar a todos los interesados (esto es, expertos en DHE, fitopatólogos y obtentores) y se ha de conceder el tiempo necesario para asegurar que todas las oficinas de examen DHE den su consentimiento antes de añadir nuevos caracteres de resistencia a enfermedades o un nuevo protocolo de ensayo de enfermedades.</w:t>
      </w:r>
    </w:p>
    <w:p w14:paraId="4BA52CD8" w14:textId="77777777" w:rsidR="00DA468B" w:rsidRPr="00824357" w:rsidRDefault="00DA468B" w:rsidP="00DA468B">
      <w:pPr>
        <w:rPr>
          <w:rFonts w:cs="Arial"/>
        </w:rPr>
      </w:pPr>
    </w:p>
    <w:p w14:paraId="1AB63236" w14:textId="77777777" w:rsidR="00DA468B" w:rsidRPr="00824357" w:rsidRDefault="00DA468B" w:rsidP="008C4FB8">
      <w:pPr>
        <w:pStyle w:val="Heading5"/>
      </w:pPr>
      <w:r>
        <w:t>Nuevas cuestiones que se plantean en relación con el examen DHE</w:t>
      </w:r>
    </w:p>
    <w:p w14:paraId="5AB10FFE" w14:textId="77777777" w:rsidR="00DA468B" w:rsidRPr="00824357" w:rsidRDefault="00DA468B" w:rsidP="00B239D7"/>
    <w:p w14:paraId="55BF5CF6" w14:textId="77777777" w:rsidR="00DA468B" w:rsidRPr="00824357" w:rsidRDefault="00DA468B" w:rsidP="00DA468B">
      <w:pPr>
        <w:keepNext/>
        <w:keepLines/>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En relación con el debate mantenido en la quincuagésima segunda sesión del TWV sobre “Fenotipos aberrantes en </w:t>
      </w:r>
      <w:r>
        <w:rPr>
          <w:i/>
        </w:rPr>
        <w:t>Brassica oleracea</w:t>
      </w:r>
      <w:r>
        <w:t xml:space="preserve"> var. </w:t>
      </w:r>
      <w:r>
        <w:rPr>
          <w:i/>
        </w:rPr>
        <w:t>botrytis</w:t>
      </w:r>
      <w:r>
        <w:t xml:space="preserve">”, el representante de </w:t>
      </w:r>
      <w:r>
        <w:rPr>
          <w:i/>
        </w:rPr>
        <w:t>Crop Life International</w:t>
      </w:r>
      <w:r>
        <w:t xml:space="preserve"> informó, tras consultarlo con miembros de su organización, que no se trata de un problema en aumento y no se considera, por el momento, un problema importante globalmente en los programas de fitomejoramiento. El TWV convino en no continuar con el debate de este punto e invitar a los expertos de Francia y de los observadores a comunicar cualquier otra novedad que se produzca en el futuro, si es pertinente y en el momento oportuno.</w:t>
      </w:r>
    </w:p>
    <w:p w14:paraId="295E3378" w14:textId="77777777" w:rsidR="00DA468B" w:rsidRPr="00824357" w:rsidRDefault="00DA468B" w:rsidP="00DA468B">
      <w:pPr>
        <w:rPr>
          <w:rFonts w:cs="Arial"/>
        </w:rPr>
      </w:pPr>
    </w:p>
    <w:p w14:paraId="1DE93DDD"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tomó nota de la observación formulada por un experto de los Países Bajos sobre el aumento del uso de variedades de multiplicación vegetativa en especies que normalmente son de reproducción sexuada (p. ej. el pimiento). El TWV invitó al experto de los Países Bajos y a otros expertos a comunicar las novedades más recientes relativas a esta tendencia y, en especial, explicar los posibles problemas en el ámbito del examen DHE.</w:t>
      </w:r>
    </w:p>
    <w:p w14:paraId="17F714C4" w14:textId="77777777" w:rsidR="00DA468B" w:rsidRPr="00824357" w:rsidRDefault="00DA468B" w:rsidP="00DA468B">
      <w:pPr>
        <w:rPr>
          <w:rFonts w:cs="Arial"/>
        </w:rPr>
      </w:pPr>
    </w:p>
    <w:p w14:paraId="7CE44FA2" w14:textId="77777777" w:rsidR="00DA468B" w:rsidRPr="00824357" w:rsidRDefault="00DA468B" w:rsidP="008C4FB8">
      <w:pPr>
        <w:pStyle w:val="Heading5"/>
      </w:pPr>
      <w:r>
        <w:t>Experiencias con nuevos tipos y especies</w:t>
      </w:r>
    </w:p>
    <w:p w14:paraId="5DCFEF0A" w14:textId="77777777" w:rsidR="00DA468B" w:rsidRPr="00824357" w:rsidRDefault="00DA468B" w:rsidP="00DA468B">
      <w:pPr>
        <w:keepNext/>
        <w:rPr>
          <w:rFonts w:cs="Arial"/>
        </w:rPr>
      </w:pPr>
    </w:p>
    <w:p w14:paraId="0D122FC6" w14:textId="40C05012" w:rsidR="00DA468B" w:rsidRDefault="00DA468B" w:rsidP="00DA468B">
      <w:r w:rsidRPr="00824357">
        <w:rPr>
          <w:rFonts w:cs="Arial"/>
        </w:rPr>
        <w:fldChar w:fldCharType="begin"/>
      </w:r>
      <w:r w:rsidRPr="00824357">
        <w:rPr>
          <w:rFonts w:cs="Arial"/>
        </w:rPr>
        <w:instrText xml:space="preserve"> AUTONUM  </w:instrText>
      </w:r>
      <w:r w:rsidRPr="00824357">
        <w:rPr>
          <w:rFonts w:cs="Arial"/>
        </w:rPr>
        <w:fldChar w:fldCharType="end"/>
      </w:r>
      <w:r>
        <w:tab/>
        <w:t>El TWV asistió a una ponencia sobre la labor realizada para elaborar una directriz nacional de la campana/espinaca acuática (</w:t>
      </w:r>
      <w:r>
        <w:rPr>
          <w:i/>
        </w:rPr>
        <w:t>Ipomoea aquatica</w:t>
      </w:r>
      <w:r>
        <w:t>) a cargo de un experto de China. El TWV convino en invitar a los expertos de China y de cualquier otro miembro a informar de otras novedades en el número de solicitudes y las actividades de fitomejoramiento para poder considerar la elaboración de directrices de examen de la UPOV para el futuro, si procede.</w:t>
      </w:r>
    </w:p>
    <w:p w14:paraId="2CCC9C3B" w14:textId="77777777" w:rsidR="00F43F33" w:rsidRPr="00824357" w:rsidRDefault="00F43F33" w:rsidP="00DA468B">
      <w:pPr>
        <w:rPr>
          <w:rFonts w:cs="Arial"/>
        </w:rPr>
      </w:pPr>
    </w:p>
    <w:p w14:paraId="0DBF69F1" w14:textId="77777777" w:rsidR="00DA468B" w:rsidRPr="00824357" w:rsidRDefault="00DA468B" w:rsidP="00DA468B">
      <w:pPr>
        <w:rPr>
          <w:rFonts w:cs="Arial"/>
        </w:rPr>
      </w:pPr>
    </w:p>
    <w:p w14:paraId="03500012" w14:textId="77777777" w:rsidR="00DA468B" w:rsidRPr="00824357" w:rsidRDefault="00DA468B" w:rsidP="008C4FB8">
      <w:pPr>
        <w:pStyle w:val="Heading5"/>
      </w:pPr>
      <w:r>
        <w:lastRenderedPageBreak/>
        <w:t xml:space="preserve">Cooperación en materia de examen </w:t>
      </w:r>
    </w:p>
    <w:p w14:paraId="2F1F6AE3" w14:textId="77777777" w:rsidR="00DA468B" w:rsidRPr="00824357" w:rsidRDefault="00DA468B" w:rsidP="00DA468B">
      <w:pPr>
        <w:rPr>
          <w:rFonts w:cs="Arial"/>
        </w:rPr>
      </w:pPr>
    </w:p>
    <w:p w14:paraId="635450B8"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formó grupos de debate para examinar las cuestiones técnicas que impiden la cooperación en materia de examen DHE y la manera de solventar las cuestiones técnicas planteadas.</w:t>
      </w:r>
    </w:p>
    <w:p w14:paraId="34A993E9" w14:textId="77777777" w:rsidR="00DA468B" w:rsidRPr="00824357" w:rsidRDefault="00DA468B" w:rsidP="00DA468B">
      <w:pPr>
        <w:rPr>
          <w:rFonts w:cs="Arial"/>
        </w:rPr>
      </w:pPr>
    </w:p>
    <w:p w14:paraId="689C2F27" w14:textId="77777777" w:rsidR="00DA468B" w:rsidRPr="00824357" w:rsidRDefault="00DA468B" w:rsidP="008C4FB8">
      <w:pPr>
        <w:pStyle w:val="Heading5"/>
      </w:pPr>
      <w:r>
        <w:t xml:space="preserve">Denominación de variedades </w:t>
      </w:r>
    </w:p>
    <w:p w14:paraId="4AC9DF62" w14:textId="77777777" w:rsidR="00DA468B" w:rsidRPr="00824357" w:rsidRDefault="00DA468B" w:rsidP="00DA468B">
      <w:pPr>
        <w:rPr>
          <w:rFonts w:cs="Arial"/>
        </w:rPr>
      </w:pPr>
    </w:p>
    <w:p w14:paraId="3D8B81E0"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suscribió la propuesta de revisión de la clase 205, presentada en el documento TWP/3/6 “</w:t>
      </w:r>
      <w:r>
        <w:rPr>
          <w:i/>
        </w:rPr>
        <w:t>Variety Denominations</w:t>
      </w:r>
      <w:r>
        <w:t>” para dividir la actual clase 205 (</w:t>
      </w:r>
      <w:r>
        <w:rPr>
          <w:i/>
        </w:rPr>
        <w:t>Cichorium</w:t>
      </w:r>
      <w:r>
        <w:t xml:space="preserve"> y </w:t>
      </w:r>
      <w:r>
        <w:rPr>
          <w:i/>
        </w:rPr>
        <w:t>Lactuca</w:t>
      </w:r>
      <w:r>
        <w:t>) en dos clases nuevas:</w:t>
      </w:r>
    </w:p>
    <w:p w14:paraId="2C024EF6" w14:textId="77777777" w:rsidR="00DA468B" w:rsidRPr="00824357" w:rsidRDefault="00DA468B" w:rsidP="00DA468B">
      <w:pPr>
        <w:ind w:left="1134" w:hanging="567"/>
        <w:rPr>
          <w:rFonts w:cs="Arial"/>
        </w:rPr>
      </w:pPr>
    </w:p>
    <w:p w14:paraId="6F9BEC03" w14:textId="77777777" w:rsidR="00DA468B" w:rsidRPr="00824357" w:rsidRDefault="00DA468B" w:rsidP="00DA468B">
      <w:pPr>
        <w:ind w:left="1134" w:hanging="567"/>
        <w:rPr>
          <w:rFonts w:cs="Arial"/>
        </w:rPr>
      </w:pPr>
      <w:r>
        <w:t>•</w:t>
      </w:r>
      <w:r>
        <w:tab/>
        <w:t xml:space="preserve">Clase: </w:t>
      </w:r>
      <w:r>
        <w:rPr>
          <w:i/>
        </w:rPr>
        <w:t>Lactuca</w:t>
      </w:r>
      <w:r>
        <w:t xml:space="preserve">, </w:t>
      </w:r>
      <w:r>
        <w:rPr>
          <w:i/>
        </w:rPr>
        <w:t>Cichorium endivia</w:t>
      </w:r>
      <w:r>
        <w:t xml:space="preserve"> (endivia), </w:t>
      </w:r>
      <w:r>
        <w:rPr>
          <w:i/>
        </w:rPr>
        <w:t>Cichorium intybus</w:t>
      </w:r>
      <w:r>
        <w:t xml:space="preserve"> var. </w:t>
      </w:r>
      <w:r>
        <w:rPr>
          <w:i/>
        </w:rPr>
        <w:t>foliosum</w:t>
      </w:r>
      <w:r>
        <w:t xml:space="preserve"> (achicoria de hoja/achicoria de ensalada)</w:t>
      </w:r>
    </w:p>
    <w:p w14:paraId="4BBA1537" w14:textId="77777777" w:rsidR="00DA468B" w:rsidRPr="00824357" w:rsidRDefault="00DA468B" w:rsidP="00DA468B">
      <w:pPr>
        <w:ind w:left="1134" w:hanging="567"/>
        <w:rPr>
          <w:rFonts w:cs="Arial"/>
        </w:rPr>
      </w:pPr>
      <w:r>
        <w:t>•</w:t>
      </w:r>
      <w:r>
        <w:tab/>
        <w:t xml:space="preserve">Clase: </w:t>
      </w:r>
      <w:r>
        <w:rPr>
          <w:i/>
        </w:rPr>
        <w:t>Cichorium intybus</w:t>
      </w:r>
      <w:r>
        <w:t xml:space="preserve"> var. </w:t>
      </w:r>
      <w:r>
        <w:rPr>
          <w:i/>
        </w:rPr>
        <w:t>sativum</w:t>
      </w:r>
      <w:r>
        <w:t xml:space="preserve"> (achicoria industrial)</w:t>
      </w:r>
    </w:p>
    <w:p w14:paraId="3CCCCF00" w14:textId="77777777" w:rsidR="00DA468B" w:rsidRPr="00824357" w:rsidRDefault="00DA468B" w:rsidP="00DA468B">
      <w:pPr>
        <w:rPr>
          <w:rFonts w:cs="Arial"/>
        </w:rPr>
      </w:pPr>
    </w:p>
    <w:p w14:paraId="182DFBAF" w14:textId="77777777" w:rsidR="00DA468B" w:rsidRPr="00824357" w:rsidRDefault="00DA468B" w:rsidP="008C4FB8">
      <w:pPr>
        <w:pStyle w:val="Heading5"/>
      </w:pPr>
      <w:r>
        <w:t>Debate y recomendaciones sobre proyectos de directrices de examen</w:t>
      </w:r>
    </w:p>
    <w:p w14:paraId="371D2365" w14:textId="77777777" w:rsidR="00DA468B" w:rsidRPr="00824357" w:rsidRDefault="00DA468B" w:rsidP="00DA468B"/>
    <w:p w14:paraId="73E3A3B8" w14:textId="46341B86"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Los subgrupos debatieron las directrices de examen del garbanzo, el hinojo, la col, el melón, el pimiento, el calabacín, la acelga, el nabo, el tomate y el portainjertos de tomate.</w:t>
      </w:r>
      <w:r w:rsidR="002A0DA3">
        <w:t xml:space="preserve"> </w:t>
      </w:r>
      <w:r>
        <w:t>El TWV acordó presentar al TC, para su aprobación en su quincuagésima quinta sesión, los proyectos de directrices de examen de las siguientes hortalizas: hinojo, melón, acelga, tomate y portainjertos de tomate.</w:t>
      </w:r>
      <w:r w:rsidR="002A0DA3">
        <w:t xml:space="preserve"> </w:t>
      </w:r>
      <w:r>
        <w:t>El TWV acordó debatir, en su quincuagésima cuarta sesión, los proyectos de directrices de examen de las siguientes hortalizas:</w:t>
      </w:r>
      <w:r w:rsidR="002A0DA3">
        <w:t xml:space="preserve"> </w:t>
      </w:r>
      <w:r>
        <w:t xml:space="preserve">garbanzo, repollo chino, berenjena, col, pimiento, calabacín (revisión parcial), tomate (revisión parcial), portainjertos de tomate (revisión parcial) y nabo. </w:t>
      </w:r>
    </w:p>
    <w:p w14:paraId="7F0CB55D" w14:textId="77777777" w:rsidR="00DA468B" w:rsidRPr="00824357" w:rsidRDefault="00DA468B" w:rsidP="00DA468B">
      <w:pPr>
        <w:rPr>
          <w:rFonts w:cs="Arial"/>
        </w:rPr>
      </w:pPr>
    </w:p>
    <w:p w14:paraId="2596A3CD" w14:textId="77777777" w:rsidR="00DA468B" w:rsidRPr="00824357" w:rsidRDefault="00DA468B" w:rsidP="008C4FB8">
      <w:pPr>
        <w:pStyle w:val="Heading5"/>
      </w:pPr>
      <w:r>
        <w:t>Presidente</w:t>
      </w:r>
    </w:p>
    <w:p w14:paraId="1F16C26C" w14:textId="77777777" w:rsidR="00DA468B" w:rsidRPr="00824357" w:rsidRDefault="00DA468B" w:rsidP="00DA468B"/>
    <w:p w14:paraId="472D5FA2"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acordó proponer al TC que recomiende al Consejo elegir a la Sra. Marian van Leeuwen (Países Bajos) como próximo presidente del TWV.</w:t>
      </w:r>
    </w:p>
    <w:p w14:paraId="32BA9EBF" w14:textId="77777777" w:rsidR="00DA468B" w:rsidRPr="00824357" w:rsidRDefault="00DA468B" w:rsidP="00DA468B">
      <w:pPr>
        <w:rPr>
          <w:rFonts w:cs="Arial"/>
        </w:rPr>
      </w:pPr>
    </w:p>
    <w:p w14:paraId="3C68D782" w14:textId="77777777" w:rsidR="00DA468B" w:rsidRPr="00824357" w:rsidRDefault="00DA468B" w:rsidP="008C4FB8">
      <w:pPr>
        <w:pStyle w:val="Heading5"/>
      </w:pPr>
      <w:r>
        <w:t xml:space="preserve">Fecha y lugar de la próxima sesión </w:t>
      </w:r>
    </w:p>
    <w:p w14:paraId="1D207311" w14:textId="77777777" w:rsidR="00DA468B" w:rsidRPr="00824357" w:rsidRDefault="00DA468B" w:rsidP="00DA468B"/>
    <w:p w14:paraId="00EB08AE"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Por invitación del Brasil, el TWV convino en celebrar su quincuagésima cuarta sesión en Brasilia (Brasil), del 11 al 15 de mayo de 2020.</w:t>
      </w:r>
    </w:p>
    <w:p w14:paraId="53B8A2D9" w14:textId="77777777" w:rsidR="00DA468B" w:rsidRPr="00824357" w:rsidRDefault="00DA468B" w:rsidP="00DA468B">
      <w:pPr>
        <w:rPr>
          <w:rFonts w:cs="Arial"/>
        </w:rPr>
      </w:pPr>
    </w:p>
    <w:p w14:paraId="6D4C3C0B" w14:textId="77777777" w:rsidR="00DA468B" w:rsidRPr="00824357" w:rsidRDefault="00DA468B" w:rsidP="008C4FB8">
      <w:pPr>
        <w:pStyle w:val="Heading5"/>
      </w:pPr>
      <w:r>
        <w:t>Puntos del orden del día de la próxima sesión</w:t>
      </w:r>
    </w:p>
    <w:p w14:paraId="20A855CE" w14:textId="77777777" w:rsidR="00DA468B" w:rsidRPr="00824357" w:rsidRDefault="00DA468B" w:rsidP="00DA468B"/>
    <w:p w14:paraId="74F07136"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TWV propuso examinar los siguientes puntos en su próxima sesión:</w:t>
      </w:r>
    </w:p>
    <w:p w14:paraId="4734195B" w14:textId="77777777" w:rsidR="00DA468B" w:rsidRPr="00824357" w:rsidRDefault="00DA468B" w:rsidP="00DA468B">
      <w:pPr>
        <w:rPr>
          <w:rFonts w:cs="Arial"/>
        </w:rPr>
      </w:pPr>
    </w:p>
    <w:p w14:paraId="34BD91E6" w14:textId="77777777" w:rsidR="00DA468B" w:rsidRPr="00824357" w:rsidRDefault="00DA468B" w:rsidP="00F44E48">
      <w:pPr>
        <w:numPr>
          <w:ilvl w:val="0"/>
          <w:numId w:val="18"/>
        </w:numPr>
        <w:tabs>
          <w:tab w:val="clear" w:pos="360"/>
          <w:tab w:val="num" w:pos="1134"/>
          <w:tab w:val="left" w:pos="1701"/>
        </w:tabs>
        <w:ind w:left="1134" w:hanging="567"/>
        <w:jc w:val="left"/>
        <w:rPr>
          <w:rFonts w:cs="Arial"/>
        </w:rPr>
      </w:pPr>
      <w:r>
        <w:t>Apertura de la sesión</w:t>
      </w:r>
    </w:p>
    <w:p w14:paraId="6792F639" w14:textId="77777777" w:rsidR="00DA468B" w:rsidRPr="00824357" w:rsidRDefault="00DA468B" w:rsidP="00F44E48">
      <w:pPr>
        <w:numPr>
          <w:ilvl w:val="0"/>
          <w:numId w:val="18"/>
        </w:numPr>
        <w:tabs>
          <w:tab w:val="clear" w:pos="360"/>
          <w:tab w:val="num" w:pos="1134"/>
          <w:tab w:val="left" w:pos="1701"/>
        </w:tabs>
        <w:ind w:left="1134" w:hanging="567"/>
        <w:jc w:val="left"/>
        <w:rPr>
          <w:rFonts w:cs="Arial"/>
        </w:rPr>
      </w:pPr>
      <w:r>
        <w:t>Aprobación del orden del día</w:t>
      </w:r>
    </w:p>
    <w:p w14:paraId="0BFCE877" w14:textId="77777777" w:rsidR="00DA468B" w:rsidRPr="00824357" w:rsidRDefault="00DA468B" w:rsidP="00F44E48">
      <w:pPr>
        <w:numPr>
          <w:ilvl w:val="0"/>
          <w:numId w:val="18"/>
        </w:numPr>
        <w:tabs>
          <w:tab w:val="clear" w:pos="360"/>
          <w:tab w:val="num" w:pos="1134"/>
          <w:tab w:val="left" w:pos="1701"/>
        </w:tabs>
        <w:ind w:left="1134" w:hanging="567"/>
        <w:jc w:val="left"/>
        <w:rPr>
          <w:rFonts w:cs="Arial"/>
        </w:rPr>
      </w:pPr>
      <w:r>
        <w:t>Informes breves sobre los avances logrados en la protección de las variedades vegetales</w:t>
      </w:r>
    </w:p>
    <w:p w14:paraId="006EC519" w14:textId="79B27116" w:rsidR="00DA468B" w:rsidRPr="00824357" w:rsidRDefault="00F43F33" w:rsidP="00F43F33">
      <w:pPr>
        <w:tabs>
          <w:tab w:val="left" w:pos="1701"/>
        </w:tabs>
        <w:ind w:left="1134"/>
        <w:jc w:val="left"/>
        <w:rPr>
          <w:rFonts w:cs="Arial"/>
        </w:rPr>
      </w:pPr>
      <w:r>
        <w:t>a)</w:t>
      </w:r>
      <w:r>
        <w:tab/>
      </w:r>
      <w:r w:rsidR="00DA468B">
        <w:t xml:space="preserve">Informes de miembros y observadores </w:t>
      </w:r>
    </w:p>
    <w:p w14:paraId="348BF579" w14:textId="7956334F" w:rsidR="00DA468B" w:rsidRPr="00824357" w:rsidRDefault="00F43F33" w:rsidP="00F43F33">
      <w:pPr>
        <w:tabs>
          <w:tab w:val="left" w:pos="1701"/>
        </w:tabs>
        <w:ind w:left="1134"/>
        <w:jc w:val="left"/>
        <w:rPr>
          <w:rFonts w:cs="Arial"/>
        </w:rPr>
      </w:pPr>
      <w:r>
        <w:t>b)</w:t>
      </w:r>
      <w:r>
        <w:tab/>
      </w:r>
      <w:r w:rsidR="00DA468B">
        <w:t>Informes sobre los avances logrados en la UPOV (informe verbal de la Oficina de la Unión)</w:t>
      </w:r>
    </w:p>
    <w:p w14:paraId="7854EEEF" w14:textId="77777777" w:rsidR="00DA468B" w:rsidRPr="00824357" w:rsidRDefault="00DA468B" w:rsidP="00F44E48">
      <w:pPr>
        <w:numPr>
          <w:ilvl w:val="0"/>
          <w:numId w:val="18"/>
        </w:numPr>
        <w:tabs>
          <w:tab w:val="left" w:pos="1701"/>
        </w:tabs>
        <w:ind w:left="1134" w:hanging="567"/>
        <w:jc w:val="left"/>
        <w:rPr>
          <w:rFonts w:cs="Arial"/>
        </w:rPr>
      </w:pPr>
      <w:r>
        <w:t xml:space="preserve">Técnicas moleculares </w:t>
      </w:r>
    </w:p>
    <w:p w14:paraId="6D5F3335" w14:textId="01A9AF31" w:rsidR="00DA468B" w:rsidRPr="00F43F33" w:rsidRDefault="00DA468B" w:rsidP="00F43F33">
      <w:pPr>
        <w:pStyle w:val="ListParagraph"/>
        <w:numPr>
          <w:ilvl w:val="0"/>
          <w:numId w:val="31"/>
        </w:numPr>
        <w:tabs>
          <w:tab w:val="left" w:pos="1701"/>
        </w:tabs>
        <w:jc w:val="left"/>
        <w:rPr>
          <w:rFonts w:cs="Arial"/>
        </w:rPr>
      </w:pPr>
      <w:r>
        <w:t>Novedades acaecidas en la UPOV (la Oficina de la Unión elaborará un documento)</w:t>
      </w:r>
    </w:p>
    <w:p w14:paraId="783C5B88" w14:textId="0FDD526C" w:rsidR="00DA468B" w:rsidRPr="00824357" w:rsidRDefault="00F43F33" w:rsidP="00F43F33">
      <w:pPr>
        <w:tabs>
          <w:tab w:val="left" w:pos="1701"/>
        </w:tabs>
        <w:ind w:left="1134"/>
        <w:jc w:val="left"/>
        <w:rPr>
          <w:rFonts w:cs="Arial"/>
        </w:rPr>
      </w:pPr>
      <w:r>
        <w:t>b)</w:t>
      </w:r>
      <w:r>
        <w:tab/>
      </w:r>
      <w:r w:rsidR="00DA468B">
        <w:t>Ponencia sobre la utilización de técnicas moleculares en el examen DHE (se invita a los miembros de la Unión a presentar ponencias)</w:t>
      </w:r>
    </w:p>
    <w:p w14:paraId="3E90642C" w14:textId="77777777" w:rsidR="00DA468B" w:rsidRPr="00824357" w:rsidRDefault="00DA468B" w:rsidP="00F44E48">
      <w:pPr>
        <w:numPr>
          <w:ilvl w:val="0"/>
          <w:numId w:val="18"/>
        </w:numPr>
        <w:tabs>
          <w:tab w:val="left" w:pos="1701"/>
        </w:tabs>
        <w:ind w:left="1134" w:hanging="567"/>
        <w:jc w:val="left"/>
        <w:rPr>
          <w:rFonts w:cs="Arial"/>
        </w:rPr>
      </w:pPr>
      <w:r>
        <w:t xml:space="preserve">Documentos TGP </w:t>
      </w:r>
    </w:p>
    <w:p w14:paraId="445FB7E3" w14:textId="77777777" w:rsidR="00DA468B" w:rsidRPr="00824357" w:rsidRDefault="00DA468B" w:rsidP="00F44E48">
      <w:pPr>
        <w:numPr>
          <w:ilvl w:val="0"/>
          <w:numId w:val="18"/>
        </w:numPr>
        <w:tabs>
          <w:tab w:val="left" w:pos="1701"/>
        </w:tabs>
        <w:ind w:left="1134" w:hanging="567"/>
        <w:jc w:val="left"/>
        <w:rPr>
          <w:rFonts w:cs="Arial"/>
        </w:rPr>
      </w:pPr>
      <w:r>
        <w:t>Denominaciones de variedades (la Oficina de la Unión elaborará un documento)</w:t>
      </w:r>
    </w:p>
    <w:p w14:paraId="271E5961" w14:textId="77777777" w:rsidR="00DA468B" w:rsidRPr="00824357" w:rsidRDefault="00DA468B" w:rsidP="00F44E48">
      <w:pPr>
        <w:numPr>
          <w:ilvl w:val="0"/>
          <w:numId w:val="18"/>
        </w:numPr>
        <w:tabs>
          <w:tab w:val="left" w:pos="1701"/>
        </w:tabs>
        <w:ind w:left="1134" w:hanging="567"/>
        <w:jc w:val="left"/>
        <w:rPr>
          <w:rFonts w:cs="Arial"/>
        </w:rPr>
      </w:pPr>
      <w:r>
        <w:t>Información y bases de datos</w:t>
      </w:r>
    </w:p>
    <w:p w14:paraId="5257B6E1" w14:textId="77777777" w:rsidR="00DA468B" w:rsidRPr="00824357" w:rsidRDefault="00DA468B" w:rsidP="00DA468B">
      <w:pPr>
        <w:tabs>
          <w:tab w:val="left" w:pos="1701"/>
        </w:tabs>
        <w:ind w:left="1701" w:hanging="567"/>
        <w:rPr>
          <w:rFonts w:cs="Arial"/>
        </w:rPr>
      </w:pPr>
      <w:r>
        <w:t>a)</w:t>
      </w:r>
      <w:r>
        <w:tab/>
        <w:t>Bases de datos de información de la UPOV (la Oficina de la Unión elaborará un documento)</w:t>
      </w:r>
    </w:p>
    <w:p w14:paraId="0A0FAB03" w14:textId="77777777" w:rsidR="00DA468B" w:rsidRPr="00824357" w:rsidRDefault="00DA468B" w:rsidP="00DA468B">
      <w:pPr>
        <w:tabs>
          <w:tab w:val="left" w:pos="1701"/>
        </w:tabs>
        <w:ind w:left="1701" w:hanging="567"/>
        <w:rPr>
          <w:rFonts w:cs="Arial"/>
        </w:rPr>
      </w:pPr>
      <w:r>
        <w:t>b)</w:t>
      </w:r>
      <w:r>
        <w:tab/>
        <w:t>Bases de datos de descripciones de variedades (la Oficina de la Unión elaborará un documento y se invita a presentar otros documentos)</w:t>
      </w:r>
    </w:p>
    <w:p w14:paraId="16203A54" w14:textId="77777777" w:rsidR="00DA468B" w:rsidRPr="00824357" w:rsidRDefault="00DA468B" w:rsidP="00DA468B">
      <w:pPr>
        <w:tabs>
          <w:tab w:val="left" w:pos="1701"/>
        </w:tabs>
        <w:ind w:left="1701" w:hanging="567"/>
        <w:rPr>
          <w:rFonts w:cs="Arial"/>
        </w:rPr>
      </w:pPr>
      <w:r>
        <w:t>c)</w:t>
      </w:r>
      <w:r>
        <w:tab/>
        <w:t>Intercambio y uso de programas informáticos y equipos (la Oficina de la Unión elaborará un documento)</w:t>
      </w:r>
    </w:p>
    <w:p w14:paraId="6D6A70BE" w14:textId="77777777" w:rsidR="00DA468B" w:rsidRPr="00824357" w:rsidRDefault="00DA468B" w:rsidP="00DA468B">
      <w:pPr>
        <w:tabs>
          <w:tab w:val="left" w:pos="1701"/>
        </w:tabs>
        <w:ind w:left="1701" w:hanging="567"/>
        <w:rPr>
          <w:rFonts w:cs="Arial"/>
        </w:rPr>
      </w:pPr>
      <w:r>
        <w:t>d)</w:t>
      </w:r>
      <w:r>
        <w:tab/>
        <w:t>UPOV PRISMA (la Oficina de la Unión elaborará un documento)</w:t>
      </w:r>
    </w:p>
    <w:p w14:paraId="27742D20" w14:textId="77777777" w:rsidR="00DA468B" w:rsidRPr="00824357" w:rsidRDefault="00DA468B" w:rsidP="00F44E48">
      <w:pPr>
        <w:numPr>
          <w:ilvl w:val="0"/>
          <w:numId w:val="18"/>
        </w:numPr>
        <w:tabs>
          <w:tab w:val="left" w:pos="1701"/>
        </w:tabs>
        <w:ind w:left="1134" w:hanging="567"/>
        <w:jc w:val="left"/>
        <w:rPr>
          <w:rFonts w:cs="Arial"/>
        </w:rPr>
      </w:pPr>
      <w:r>
        <w:t>Experiencias con nuevos tipos y especies (se invita a presentar informes verbales)</w:t>
      </w:r>
    </w:p>
    <w:p w14:paraId="2EF3E118" w14:textId="77777777" w:rsidR="00DA468B" w:rsidRPr="00824357" w:rsidRDefault="00DA468B" w:rsidP="00F44E48">
      <w:pPr>
        <w:numPr>
          <w:ilvl w:val="0"/>
          <w:numId w:val="18"/>
        </w:numPr>
        <w:tabs>
          <w:tab w:val="left" w:pos="1701"/>
        </w:tabs>
        <w:ind w:left="1134" w:hanging="567"/>
        <w:jc w:val="left"/>
        <w:rPr>
          <w:rFonts w:cs="Arial"/>
        </w:rPr>
      </w:pPr>
      <w:r>
        <w:t>Nuevas cuestiones que se plantean en relación con el examen DHE (eventuales presentaciones a cargo de miembros de la Unión)</w:t>
      </w:r>
    </w:p>
    <w:p w14:paraId="5D0F1F99" w14:textId="77777777" w:rsidR="00DA468B" w:rsidRPr="00824357" w:rsidRDefault="00DA468B" w:rsidP="00F44E48">
      <w:pPr>
        <w:numPr>
          <w:ilvl w:val="0"/>
          <w:numId w:val="18"/>
        </w:numPr>
        <w:tabs>
          <w:tab w:val="left" w:pos="1701"/>
        </w:tabs>
        <w:ind w:left="1134" w:hanging="567"/>
        <w:jc w:val="left"/>
        <w:rPr>
          <w:rFonts w:cs="Arial"/>
        </w:rPr>
      </w:pPr>
      <w:r>
        <w:t>Utilización de caracteres de resistencia a las enfermedades (se invita a los miembros de la Unión y a los observadores a presentar ponencias)</w:t>
      </w:r>
    </w:p>
    <w:p w14:paraId="283C0E2B" w14:textId="77777777" w:rsidR="00DA468B" w:rsidRPr="00824357" w:rsidRDefault="00DA468B" w:rsidP="00F44E48">
      <w:pPr>
        <w:numPr>
          <w:ilvl w:val="0"/>
          <w:numId w:val="18"/>
        </w:numPr>
        <w:tabs>
          <w:tab w:val="left" w:pos="1701"/>
        </w:tabs>
        <w:ind w:left="1134" w:hanging="567"/>
        <w:jc w:val="left"/>
        <w:rPr>
          <w:rFonts w:cs="Arial"/>
        </w:rPr>
      </w:pPr>
      <w:r>
        <w:lastRenderedPageBreak/>
        <w:t>Cuestiones por resolver en lo que respecta a directrices de examen sometidas a la aprobación del Comité Técnico (si procede)</w:t>
      </w:r>
    </w:p>
    <w:p w14:paraId="22F85C71" w14:textId="77777777" w:rsidR="00DA468B" w:rsidRPr="00824357" w:rsidRDefault="00DA468B" w:rsidP="00F44E48">
      <w:pPr>
        <w:numPr>
          <w:ilvl w:val="0"/>
          <w:numId w:val="18"/>
        </w:numPr>
        <w:tabs>
          <w:tab w:val="left" w:pos="1701"/>
        </w:tabs>
        <w:ind w:left="1134" w:hanging="567"/>
        <w:jc w:val="left"/>
        <w:rPr>
          <w:rFonts w:cs="Arial"/>
        </w:rPr>
      </w:pPr>
      <w:r>
        <w:t>Debates sobre proyectos de directrices de examen (subgrupos)</w:t>
      </w:r>
    </w:p>
    <w:p w14:paraId="2CFF2635" w14:textId="77777777" w:rsidR="00DA468B" w:rsidRPr="00824357" w:rsidRDefault="00DA468B" w:rsidP="00F44E48">
      <w:pPr>
        <w:numPr>
          <w:ilvl w:val="0"/>
          <w:numId w:val="18"/>
        </w:numPr>
        <w:tabs>
          <w:tab w:val="left" w:pos="1701"/>
        </w:tabs>
        <w:ind w:left="1134" w:hanging="567"/>
        <w:jc w:val="left"/>
        <w:rPr>
          <w:rFonts w:cs="Arial"/>
        </w:rPr>
      </w:pPr>
      <w:r>
        <w:t>Recomendaciones sobre proyectos de directrices de examen</w:t>
      </w:r>
    </w:p>
    <w:p w14:paraId="536979D9" w14:textId="77777777" w:rsidR="00DA468B" w:rsidRPr="00824357" w:rsidRDefault="00DA468B" w:rsidP="00F44E48">
      <w:pPr>
        <w:numPr>
          <w:ilvl w:val="0"/>
          <w:numId w:val="18"/>
        </w:numPr>
        <w:tabs>
          <w:tab w:val="left" w:pos="1701"/>
        </w:tabs>
        <w:ind w:left="1134" w:hanging="567"/>
        <w:jc w:val="left"/>
        <w:rPr>
          <w:rFonts w:cs="Arial"/>
        </w:rPr>
      </w:pPr>
      <w:r>
        <w:t>Guía para redactores de directrices de examen</w:t>
      </w:r>
    </w:p>
    <w:p w14:paraId="10745553" w14:textId="77777777" w:rsidR="00DA468B" w:rsidRPr="00824357" w:rsidRDefault="00DA468B" w:rsidP="00F44E48">
      <w:pPr>
        <w:numPr>
          <w:ilvl w:val="0"/>
          <w:numId w:val="18"/>
        </w:numPr>
        <w:tabs>
          <w:tab w:val="left" w:pos="1701"/>
        </w:tabs>
        <w:ind w:left="1134" w:hanging="567"/>
        <w:jc w:val="left"/>
        <w:rPr>
          <w:rFonts w:cs="Arial"/>
        </w:rPr>
      </w:pPr>
      <w:r>
        <w:t>Fecha y lugar de la próxima sesión</w:t>
      </w:r>
    </w:p>
    <w:p w14:paraId="59F9FC4F" w14:textId="77777777" w:rsidR="00DA468B" w:rsidRPr="00824357" w:rsidRDefault="00DA468B" w:rsidP="00F44E48">
      <w:pPr>
        <w:numPr>
          <w:ilvl w:val="0"/>
          <w:numId w:val="18"/>
        </w:numPr>
        <w:tabs>
          <w:tab w:val="left" w:pos="1701"/>
        </w:tabs>
        <w:ind w:left="1134" w:hanging="567"/>
        <w:jc w:val="left"/>
        <w:rPr>
          <w:rFonts w:cs="Arial"/>
        </w:rPr>
      </w:pPr>
      <w:r>
        <w:t>Próximo programa</w:t>
      </w:r>
    </w:p>
    <w:p w14:paraId="66515483" w14:textId="77777777" w:rsidR="00DA468B" w:rsidRPr="00824357" w:rsidRDefault="00DA468B" w:rsidP="00F44E48">
      <w:pPr>
        <w:numPr>
          <w:ilvl w:val="0"/>
          <w:numId w:val="18"/>
        </w:numPr>
        <w:tabs>
          <w:tab w:val="left" w:pos="1701"/>
        </w:tabs>
        <w:ind w:left="1134" w:hanging="567"/>
        <w:jc w:val="left"/>
        <w:rPr>
          <w:rFonts w:cs="Arial"/>
        </w:rPr>
      </w:pPr>
      <w:r>
        <w:t>Aprobación del informe de la sesión (si se dispone de tiempo suficiente)</w:t>
      </w:r>
    </w:p>
    <w:p w14:paraId="5924226B" w14:textId="77777777" w:rsidR="00DA468B" w:rsidRPr="00824357" w:rsidRDefault="00DA468B" w:rsidP="00F44E48">
      <w:pPr>
        <w:numPr>
          <w:ilvl w:val="0"/>
          <w:numId w:val="18"/>
        </w:numPr>
        <w:tabs>
          <w:tab w:val="left" w:pos="1701"/>
        </w:tabs>
        <w:ind w:left="1134" w:hanging="567"/>
        <w:jc w:val="left"/>
        <w:rPr>
          <w:rFonts w:cs="Arial"/>
        </w:rPr>
      </w:pPr>
      <w:r>
        <w:t>Clausura de la sesión</w:t>
      </w:r>
    </w:p>
    <w:p w14:paraId="5A49543C" w14:textId="77777777" w:rsidR="00DA468B" w:rsidRPr="00824357" w:rsidRDefault="00DA468B" w:rsidP="00DA468B"/>
    <w:p w14:paraId="4A317B2E" w14:textId="77777777" w:rsidR="00DA468B" w:rsidRPr="00824357" w:rsidRDefault="00DA468B" w:rsidP="00DA468B">
      <w:pPr>
        <w:pStyle w:val="Heading3"/>
      </w:pPr>
      <w:bookmarkStart w:id="8" w:name="_Toc494205441"/>
      <w:r>
        <w:t>Grupo de Trabajo sobre Técnicas Bioquímicas y Moleculares, y Perfiles de ADN en particular</w:t>
      </w:r>
      <w:bookmarkEnd w:id="8"/>
    </w:p>
    <w:p w14:paraId="674F7770" w14:textId="77777777" w:rsidR="00DA468B" w:rsidRPr="00824357" w:rsidRDefault="00DA468B" w:rsidP="00DA468B">
      <w:pPr>
        <w:keepNext/>
      </w:pPr>
    </w:p>
    <w:p w14:paraId="6EA5FAD2" w14:textId="77777777" w:rsidR="00DA468B" w:rsidRPr="00824357" w:rsidRDefault="00DA468B" w:rsidP="00DA468B">
      <w:pPr>
        <w:keepNext/>
      </w:pPr>
      <w:r>
        <w:t>Informe del Sr. Nik Hulse (Australia), presidente del BMT</w:t>
      </w:r>
    </w:p>
    <w:p w14:paraId="70944325" w14:textId="77777777" w:rsidR="00DA468B" w:rsidRPr="00824357" w:rsidRDefault="00DA468B" w:rsidP="00DA468B">
      <w:pPr>
        <w:keepNext/>
      </w:pPr>
    </w:p>
    <w:p w14:paraId="02E0E233" w14:textId="77777777" w:rsidR="00DA468B" w:rsidRPr="00824357" w:rsidRDefault="00DA468B" w:rsidP="00DA468B">
      <w:pPr>
        <w:pStyle w:val="Heading4"/>
      </w:pPr>
      <w:r>
        <w:t>Decimoctava sesión del BMT</w:t>
      </w:r>
    </w:p>
    <w:p w14:paraId="08526678" w14:textId="77777777" w:rsidR="00DA468B" w:rsidRPr="00824357" w:rsidRDefault="00DA468B" w:rsidP="00DA468B"/>
    <w:p w14:paraId="5C31B5F4" w14:textId="10F14053"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celebró su decimoctava sesión en Hangzhou (China), del 16 al 18 de octubre de 2019.</w:t>
      </w:r>
      <w:r w:rsidR="002A0DA3">
        <w:t xml:space="preserve"> </w:t>
      </w:r>
      <w:r>
        <w:t>Inauguró la sesión el Sr. Nik Hulse (Australia), presidente del BMT.</w:t>
      </w:r>
      <w:r w:rsidR="002A0DA3">
        <w:t xml:space="preserve"> </w:t>
      </w:r>
      <w:r>
        <w:t>Dio la bienvenida al BMT el Sr. Jianmeng Li, director de la División de Semillas e Innovación dependiente del Ministerio de Agricultura y Asuntos Rurales (MARA) (China).</w:t>
      </w:r>
      <w:r w:rsidR="002A0DA3">
        <w:t xml:space="preserve"> </w:t>
      </w:r>
      <w:r>
        <w:t xml:space="preserve">El BMT asistió a una ponencia a cargo del Sr. Ruixi Han, examinador principal en la División de Exámenes DHE del Centro de Desarrollo Científico y Tecnológico del MARA (China), sobre “Utilización de técnicas moleculares en los exámenes DHE y ejecución de la protección de las obtenciones vegetales en China”. </w:t>
      </w:r>
    </w:p>
    <w:p w14:paraId="7A1E307D" w14:textId="77777777" w:rsidR="00DA468B" w:rsidRPr="00824357" w:rsidRDefault="00DA468B" w:rsidP="00DA468B">
      <w:pPr>
        <w:rPr>
          <w:rFonts w:cs="Arial"/>
        </w:rPr>
      </w:pPr>
    </w:p>
    <w:p w14:paraId="73371AAD"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No se llevó a cabo un taller preparatorio antes de la sesión del BMT. En cambio, durante la sesión del BMT se presentaron ponencias sobre asuntos preparatorios, antes de la introducción de los puntos conexos. Asistieron a la sesión del BMT 65 participantes procedentes de 18 miembros de la Unión y 7 organizaciones en calidad de observadoras.</w:t>
      </w:r>
    </w:p>
    <w:p w14:paraId="24075503" w14:textId="77777777" w:rsidR="00DA468B" w:rsidRPr="00824357" w:rsidRDefault="00DA468B" w:rsidP="00DA468B">
      <w:pPr>
        <w:rPr>
          <w:rFonts w:cs="Arial"/>
        </w:rPr>
      </w:pPr>
      <w:r>
        <w:t xml:space="preserve"> </w:t>
      </w:r>
    </w:p>
    <w:p w14:paraId="485518CD"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recibió un informe sobre la creación de un instrumento informático para seleccionar marcadores que utilice el algoritmo del “vendedor ambulante”. El BMT invitó a los miembros a probar el programa informático y dar parte al BMT en su decimonovena sesión.</w:t>
      </w:r>
    </w:p>
    <w:p w14:paraId="03A5399B" w14:textId="77777777" w:rsidR="00DA468B" w:rsidRPr="00824357" w:rsidRDefault="00DA468B" w:rsidP="00DA468B">
      <w:pPr>
        <w:rPr>
          <w:rFonts w:cs="Arial"/>
        </w:rPr>
      </w:pPr>
    </w:p>
    <w:p w14:paraId="749FAD92"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El BMT escuchó las siguientes ponencias sobre la utilización de técnicas moleculares en la identificación de variedades: </w:t>
      </w:r>
    </w:p>
    <w:p w14:paraId="2CD2B812" w14:textId="64233A13" w:rsidR="00DA468B" w:rsidRPr="00824357" w:rsidRDefault="00DA468B" w:rsidP="00F44E48">
      <w:pPr>
        <w:pStyle w:val="ListParagraph"/>
        <w:numPr>
          <w:ilvl w:val="0"/>
          <w:numId w:val="23"/>
        </w:numPr>
        <w:spacing w:after="160" w:line="259" w:lineRule="auto"/>
        <w:jc w:val="left"/>
        <w:rPr>
          <w:rFonts w:cs="Arial"/>
        </w:rPr>
      </w:pPr>
      <w:r>
        <w:t>“Uso de marcadores de secuencias simples repetidas (SSR) y de polimorfismos de nucleótido único (SNP) en la identificación de variedades de maíz”</w:t>
      </w:r>
    </w:p>
    <w:p w14:paraId="2AEC5219" w14:textId="4EC12E8A" w:rsidR="00DA468B" w:rsidRPr="00824357" w:rsidRDefault="00DA468B" w:rsidP="00F44E48">
      <w:pPr>
        <w:pStyle w:val="ListParagraph"/>
        <w:numPr>
          <w:ilvl w:val="0"/>
          <w:numId w:val="23"/>
        </w:numPr>
        <w:spacing w:after="160" w:line="259" w:lineRule="auto"/>
        <w:jc w:val="left"/>
        <w:rPr>
          <w:rFonts w:cs="Arial"/>
        </w:rPr>
      </w:pPr>
      <w:r>
        <w:t>“Aplicaciones de los marcadores de polimorfismo de varios nucleótidos (MNP) para la protección de variedades vegetales”</w:t>
      </w:r>
    </w:p>
    <w:p w14:paraId="47164E77" w14:textId="775D3B84" w:rsidR="00DA468B" w:rsidRPr="00824357" w:rsidRDefault="00DA468B" w:rsidP="00F44E48">
      <w:pPr>
        <w:pStyle w:val="ListParagraph"/>
        <w:numPr>
          <w:ilvl w:val="0"/>
          <w:numId w:val="23"/>
        </w:numPr>
        <w:spacing w:after="160" w:line="259" w:lineRule="auto"/>
        <w:jc w:val="left"/>
        <w:rPr>
          <w:rFonts w:cs="Arial"/>
        </w:rPr>
      </w:pPr>
      <w:r>
        <w:t>“Análisis de la asociación entre marcadores de secuencias simples repetidas y caracteres agronómicos en la soja”</w:t>
      </w:r>
    </w:p>
    <w:p w14:paraId="3DCD0CB6" w14:textId="77777777" w:rsidR="00DA468B" w:rsidRPr="00824357" w:rsidRDefault="00DA468B" w:rsidP="00DA468B">
      <w:pPr>
        <w:ind w:left="567"/>
        <w:rPr>
          <w:rFonts w:cs="Arial"/>
        </w:rPr>
      </w:pPr>
    </w:p>
    <w:p w14:paraId="7E6D8804"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El BMT escuchó las siguientes ponencias sobre la utilización de técnicas moleculares en relación con el examen DHE: </w:t>
      </w:r>
    </w:p>
    <w:p w14:paraId="4B0802DB" w14:textId="77777777" w:rsidR="00DA468B" w:rsidRPr="00824357" w:rsidRDefault="00DA468B" w:rsidP="00DA468B">
      <w:pPr>
        <w:ind w:left="851" w:hanging="284"/>
        <w:rPr>
          <w:rFonts w:cs="Arial"/>
        </w:rPr>
      </w:pPr>
      <w:r>
        <w:t>•</w:t>
      </w:r>
      <w:r>
        <w:tab/>
        <w:t>“Facilitación del examen de la distinción, la homogeneidad y la estabilidad de variedades de soja: desarrollo y validación de métodos basados en marcadores moleculares y de muestreo de variedades”</w:t>
      </w:r>
    </w:p>
    <w:p w14:paraId="0D6259B6" w14:textId="77777777" w:rsidR="00DA468B" w:rsidRPr="00824357" w:rsidRDefault="00DA468B" w:rsidP="00DA468B">
      <w:pPr>
        <w:ind w:left="851" w:hanging="284"/>
        <w:rPr>
          <w:rFonts w:cs="Arial"/>
        </w:rPr>
      </w:pPr>
      <w:r>
        <w:t>•</w:t>
      </w:r>
      <w:r>
        <w:tab/>
        <w:t>“Facilitación del examen de la distinción, la homogeneidad y la estabilidad de variedades de soja: establecimiento de criterios para el uso de datos de polimorfismo de un solo nucleótido”</w:t>
      </w:r>
    </w:p>
    <w:p w14:paraId="11185FE8" w14:textId="77777777" w:rsidR="00DA468B" w:rsidRPr="00824357" w:rsidRDefault="00DA468B" w:rsidP="00DA468B">
      <w:pPr>
        <w:ind w:left="851" w:hanging="284"/>
        <w:rPr>
          <w:rFonts w:cs="Arial"/>
        </w:rPr>
      </w:pPr>
      <w:r>
        <w:t>•</w:t>
      </w:r>
      <w:r>
        <w:tab/>
        <w:t>“Próxima generación del examen de variedades para mejorar el cultivo en las explotaciones agrícolas europeas (InnoVar)”</w:t>
      </w:r>
    </w:p>
    <w:p w14:paraId="6F23F104" w14:textId="77777777" w:rsidR="00DA468B" w:rsidRPr="00824357" w:rsidRDefault="00DA468B" w:rsidP="00DA468B">
      <w:pPr>
        <w:ind w:left="851" w:hanging="284"/>
        <w:rPr>
          <w:rFonts w:cs="Arial"/>
        </w:rPr>
      </w:pPr>
      <w:r>
        <w:t>•</w:t>
      </w:r>
      <w:r>
        <w:tab/>
        <w:t>“Informe de la OCVV sobre el IMODDUS: últimas novedades (INVITE) e información actualizada sobre los proyectos de I+D)”</w:t>
      </w:r>
    </w:p>
    <w:p w14:paraId="50E206F6" w14:textId="77777777" w:rsidR="00DA468B" w:rsidRPr="00824357" w:rsidRDefault="00DA468B" w:rsidP="00DA468B">
      <w:pPr>
        <w:ind w:left="851" w:hanging="284"/>
        <w:rPr>
          <w:rFonts w:cs="Arial"/>
        </w:rPr>
      </w:pPr>
      <w:r>
        <w:t>•</w:t>
      </w:r>
      <w:r>
        <w:tab/>
        <w:t>“Un sistema simple de identificación varietal para la papa/patata basado en secuencias simples repetidas”</w:t>
      </w:r>
    </w:p>
    <w:p w14:paraId="0A31E369" w14:textId="77777777" w:rsidR="00DA468B" w:rsidRPr="00824357" w:rsidRDefault="00DA468B" w:rsidP="00DA468B">
      <w:pPr>
        <w:ind w:left="851" w:hanging="284"/>
        <w:rPr>
          <w:rFonts w:cs="Arial"/>
        </w:rPr>
      </w:pPr>
      <w:r>
        <w:t>•</w:t>
      </w:r>
      <w:r>
        <w:tab/>
        <w:t>“Uso de marcadores moleculares para la protección y la identificación varietal: situación actual en la Argentina”</w:t>
      </w:r>
    </w:p>
    <w:p w14:paraId="36EDF708" w14:textId="77777777" w:rsidR="00DA468B" w:rsidRPr="00824357" w:rsidRDefault="00DA468B" w:rsidP="00DA468B">
      <w:pPr>
        <w:ind w:left="851" w:hanging="284"/>
        <w:rPr>
          <w:rFonts w:cs="Arial"/>
        </w:rPr>
      </w:pPr>
      <w:r>
        <w:t>•</w:t>
      </w:r>
      <w:r>
        <w:tab/>
        <w:t>“¿Qué información es fundamental para los ‘marcadores moleculares ligados a caracteres’ en las directrices de examen?”</w:t>
      </w:r>
    </w:p>
    <w:p w14:paraId="622AB71C" w14:textId="77777777" w:rsidR="00DA468B" w:rsidRPr="00824357" w:rsidRDefault="00DA468B" w:rsidP="00DA468B">
      <w:pPr>
        <w:rPr>
          <w:rFonts w:cs="Arial"/>
        </w:rPr>
      </w:pPr>
    </w:p>
    <w:p w14:paraId="1BBF98C5" w14:textId="77777777" w:rsidR="00DA468B" w:rsidRPr="00824357" w:rsidRDefault="00DA468B" w:rsidP="00DA468B">
      <w:pPr>
        <w:rPr>
          <w:rFonts w:cs="Arial"/>
        </w:rPr>
      </w:pPr>
      <w:r w:rsidRPr="00824357">
        <w:rPr>
          <w:rFonts w:cs="Arial"/>
        </w:rPr>
        <w:lastRenderedPageBreak/>
        <w:fldChar w:fldCharType="begin"/>
      </w:r>
      <w:r w:rsidRPr="00824357">
        <w:rPr>
          <w:rFonts w:cs="Arial"/>
        </w:rPr>
        <w:instrText xml:space="preserve"> AUTONUM  </w:instrText>
      </w:r>
      <w:r w:rsidRPr="00824357">
        <w:rPr>
          <w:rFonts w:cs="Arial"/>
        </w:rPr>
        <w:fldChar w:fldCharType="end"/>
      </w:r>
      <w:r>
        <w:tab/>
        <w:t>El BMT examinó la cooperación entre organizaciones internacionales y convino en que los elementos pertinentes de la Alianza Mundial por las Semillas y la pregunta frecuente sobre la utilización de técnicas moleculares constituyen una base útil para elaborar un documento conjunto en el que se expliquen las características principales de los sistemas de la OCDE, la UPOV y la ISTA.</w:t>
      </w:r>
    </w:p>
    <w:p w14:paraId="2054911D" w14:textId="77777777" w:rsidR="00DA468B" w:rsidRPr="00824357" w:rsidRDefault="00DA468B" w:rsidP="00DA468B">
      <w:pPr>
        <w:rPr>
          <w:rFonts w:cs="Arial"/>
        </w:rPr>
      </w:pPr>
    </w:p>
    <w:p w14:paraId="674FCD50"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examinó la elaboración de un inventario sobre técnicas basadas en marcadores moleculares, por cultivos, y llegó a un acuerdo sobre los elementos que han de incluirse en una encuesta y convino en que esta se ha de estructurar.</w:t>
      </w:r>
    </w:p>
    <w:p w14:paraId="7B8476B6" w14:textId="77777777" w:rsidR="00DA468B" w:rsidRPr="00824357" w:rsidRDefault="00DA468B" w:rsidP="00DA468B">
      <w:pPr>
        <w:rPr>
          <w:rFonts w:cs="Arial"/>
        </w:rPr>
      </w:pPr>
    </w:p>
    <w:p w14:paraId="23CB1F9A"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convino en que debe considerarse la posibilidad de realizar encuesta piloto antes de invitar a los miembros a responder.</w:t>
      </w:r>
    </w:p>
    <w:p w14:paraId="4288179C" w14:textId="77777777" w:rsidR="00DA468B" w:rsidRPr="00824357" w:rsidRDefault="00DA468B" w:rsidP="00DA468B">
      <w:pPr>
        <w:rPr>
          <w:rFonts w:cs="Arial"/>
        </w:rPr>
      </w:pPr>
    </w:p>
    <w:p w14:paraId="79FE8C24"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asistió a las ponencias siguientes sobre la cooperación con la OCDE y la ISTA en relación con las técnicas moleculares:</w:t>
      </w:r>
    </w:p>
    <w:p w14:paraId="3553446E" w14:textId="3677D1DB" w:rsidR="00DA468B" w:rsidRPr="00824357" w:rsidRDefault="00DA468B" w:rsidP="00DA468B">
      <w:pPr>
        <w:ind w:left="851" w:hanging="284"/>
        <w:rPr>
          <w:rFonts w:cs="Arial"/>
        </w:rPr>
      </w:pPr>
      <w:r>
        <w:t>•</w:t>
      </w:r>
      <w:r>
        <w:tab/>
        <w:t>“Métodos horizontales para el análisis de biomarcadores moleculares” (Organización Internacional de Normalización (ISO))</w:t>
      </w:r>
    </w:p>
    <w:p w14:paraId="5674F378" w14:textId="2DBA8811" w:rsidR="00DA468B" w:rsidRPr="00824357" w:rsidRDefault="00DA468B" w:rsidP="00DA468B">
      <w:pPr>
        <w:ind w:left="851" w:hanging="284"/>
        <w:rPr>
          <w:rFonts w:cs="Arial"/>
        </w:rPr>
      </w:pPr>
      <w:r>
        <w:t>•</w:t>
      </w:r>
      <w:r>
        <w:tab/>
        <w:t>“Sistema de semillas de la OCDE: un sistema internacional de certificación varietal de semillas”</w:t>
      </w:r>
    </w:p>
    <w:p w14:paraId="5FAD35AF" w14:textId="6802AEEB" w:rsidR="00DA468B" w:rsidRPr="00824357" w:rsidRDefault="00DA468B" w:rsidP="00DA468B">
      <w:pPr>
        <w:ind w:left="851" w:hanging="284"/>
        <w:rPr>
          <w:rFonts w:cs="Arial"/>
        </w:rPr>
      </w:pPr>
      <w:r>
        <w:t>•</w:t>
      </w:r>
      <w:r>
        <w:tab/>
        <w:t>“Asociación Internacional para el Ensayo de Semillas”</w:t>
      </w:r>
    </w:p>
    <w:p w14:paraId="12F1546B" w14:textId="77777777" w:rsidR="00DA468B" w:rsidRPr="00824357" w:rsidRDefault="00DA468B" w:rsidP="00DA468B">
      <w:pPr>
        <w:ind w:left="851" w:hanging="284"/>
        <w:rPr>
          <w:rFonts w:cs="Arial"/>
        </w:rPr>
      </w:pPr>
    </w:p>
    <w:p w14:paraId="4F40382E"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asistió a una ponencia de la Unión Europea sobre “Acceso al material de referencia y los datos de las oficinas de examen de la Unión Europea”. El BMT formó entonces grupos de debate para que los participantes intercambien información sobre su labor y definan ámbitos de cooperación.</w:t>
      </w:r>
    </w:p>
    <w:p w14:paraId="6DB81619" w14:textId="77777777" w:rsidR="00DA468B" w:rsidRPr="00824357" w:rsidRDefault="00DA468B" w:rsidP="00DA468B">
      <w:pPr>
        <w:rPr>
          <w:rFonts w:cs="Arial"/>
        </w:rPr>
      </w:pPr>
    </w:p>
    <w:p w14:paraId="4A34B1AC" w14:textId="77777777" w:rsidR="00DA468B" w:rsidRPr="00824357" w:rsidRDefault="00DA468B" w:rsidP="008C4FB8">
      <w:pPr>
        <w:pStyle w:val="Heading5"/>
        <w:rPr>
          <w:rFonts w:cs="Arial"/>
        </w:rPr>
      </w:pPr>
      <w:r>
        <w:t>Revisión del documento UPOV/INF/17 “Directrices para los perfiles de ADN: selección de marcadores moleculares y creación de una base de datos (‘Directrices BMT’)”</w:t>
      </w:r>
    </w:p>
    <w:p w14:paraId="6290DF3C" w14:textId="77777777" w:rsidR="00DA468B" w:rsidRPr="00824357" w:rsidRDefault="00DA468B" w:rsidP="00DA468B">
      <w:pPr>
        <w:rPr>
          <w:rFonts w:cs="Arial"/>
        </w:rPr>
      </w:pPr>
    </w:p>
    <w:p w14:paraId="6AD0F323"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En especial, se convino en añadir a la sección B un texto que explique los requisitos para el análisis del perfil de ADN de una variedad vegetal. Esta sección comprende cinco fases:</w:t>
      </w:r>
    </w:p>
    <w:p w14:paraId="6D0C6698" w14:textId="77777777" w:rsidR="00DA468B" w:rsidRPr="00824357" w:rsidRDefault="00DA468B" w:rsidP="00DA468B">
      <w:pPr>
        <w:ind w:left="851" w:hanging="284"/>
        <w:rPr>
          <w:rFonts w:cs="Arial"/>
        </w:rPr>
      </w:pPr>
      <w:r>
        <w:t>•</w:t>
      </w:r>
      <w:r>
        <w:tab/>
        <w:t>Selección de marcadores moleculares</w:t>
      </w:r>
    </w:p>
    <w:p w14:paraId="0FC8D02E" w14:textId="77777777" w:rsidR="00DA468B" w:rsidRPr="00824357" w:rsidRDefault="00DA468B" w:rsidP="00DA468B">
      <w:pPr>
        <w:ind w:left="851" w:hanging="284"/>
        <w:rPr>
          <w:rFonts w:cs="Arial"/>
        </w:rPr>
      </w:pPr>
      <w:r>
        <w:t>•</w:t>
      </w:r>
      <w:r>
        <w:tab/>
        <w:t>Selección del método de detección</w:t>
      </w:r>
    </w:p>
    <w:p w14:paraId="25E72B09" w14:textId="77777777" w:rsidR="00DA468B" w:rsidRPr="00824357" w:rsidRDefault="00DA468B" w:rsidP="00DA468B">
      <w:pPr>
        <w:ind w:left="851" w:hanging="284"/>
        <w:rPr>
          <w:rFonts w:cs="Arial"/>
        </w:rPr>
      </w:pPr>
      <w:r>
        <w:t>•</w:t>
      </w:r>
      <w:r>
        <w:tab/>
        <w:t>Validación y armonización del método de detección</w:t>
      </w:r>
    </w:p>
    <w:p w14:paraId="306AC632" w14:textId="77777777" w:rsidR="00DA468B" w:rsidRPr="00824357" w:rsidRDefault="00DA468B" w:rsidP="00DA468B">
      <w:pPr>
        <w:ind w:left="851" w:hanging="284"/>
        <w:rPr>
          <w:rFonts w:cs="Arial"/>
        </w:rPr>
      </w:pPr>
      <w:r>
        <w:t>•</w:t>
      </w:r>
      <w:r>
        <w:tab/>
        <w:t>Creación de la base de datos</w:t>
      </w:r>
    </w:p>
    <w:p w14:paraId="0B424269" w14:textId="77777777" w:rsidR="00DA468B" w:rsidRPr="00824357" w:rsidRDefault="00DA468B" w:rsidP="00DA468B">
      <w:pPr>
        <w:ind w:left="851" w:hanging="284"/>
        <w:rPr>
          <w:rFonts w:cs="Arial"/>
        </w:rPr>
      </w:pPr>
      <w:r>
        <w:t>•</w:t>
      </w:r>
      <w:r>
        <w:tab/>
        <w:t>Intercambio de datos</w:t>
      </w:r>
    </w:p>
    <w:p w14:paraId="07FA6C3F" w14:textId="77777777" w:rsidR="00DA468B" w:rsidRPr="00824357" w:rsidRDefault="00DA468B" w:rsidP="00DA468B">
      <w:pPr>
        <w:ind w:left="851" w:hanging="284"/>
        <w:rPr>
          <w:rFonts w:cs="Arial"/>
        </w:rPr>
      </w:pPr>
    </w:p>
    <w:p w14:paraId="2D1765E9"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convino en que es necesario aclarar el “intercambio de datos” y convino en suprimir la actual sección 1.</w:t>
      </w:r>
    </w:p>
    <w:p w14:paraId="75AD57E2" w14:textId="77777777" w:rsidR="00DA468B" w:rsidRPr="00824357" w:rsidRDefault="00DA468B" w:rsidP="00DA468B">
      <w:pPr>
        <w:rPr>
          <w:rFonts w:cs="Arial"/>
        </w:rPr>
      </w:pPr>
    </w:p>
    <w:p w14:paraId="16117ACE"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convino en suprimir las secciones siguientes:</w:t>
      </w:r>
    </w:p>
    <w:p w14:paraId="37A0F47F" w14:textId="77777777" w:rsidR="00DA468B" w:rsidRPr="00824357" w:rsidRDefault="00DA468B" w:rsidP="00DA468B">
      <w:pPr>
        <w:ind w:left="851" w:hanging="284"/>
        <w:rPr>
          <w:rFonts w:cs="Arial"/>
        </w:rPr>
      </w:pPr>
      <w:r>
        <w:t>•</w:t>
      </w:r>
      <w:r>
        <w:tab/>
        <w:t>Sección 2.2: Criterios para tipos específicos de marcadores moleculares</w:t>
      </w:r>
    </w:p>
    <w:p w14:paraId="34D086CD" w14:textId="5AA4EC52" w:rsidR="00DA468B" w:rsidRPr="00824357" w:rsidRDefault="00DA468B" w:rsidP="00DA468B">
      <w:pPr>
        <w:ind w:left="851" w:hanging="284"/>
        <w:rPr>
          <w:rFonts w:cs="Arial"/>
        </w:rPr>
      </w:pPr>
      <w:r>
        <w:t>•</w:t>
      </w:r>
      <w:r>
        <w:tab/>
        <w:t>Sección 5:</w:t>
      </w:r>
      <w:r w:rsidR="002A0DA3">
        <w:t xml:space="preserve"> </w:t>
      </w:r>
      <w:r>
        <w:t>Estandarización de los protocolos analíticos</w:t>
      </w:r>
    </w:p>
    <w:p w14:paraId="3ED03812" w14:textId="77777777" w:rsidR="00DA468B" w:rsidRPr="00824357" w:rsidRDefault="00DA468B" w:rsidP="00DA468B">
      <w:pPr>
        <w:ind w:left="851" w:hanging="284"/>
        <w:rPr>
          <w:rFonts w:cs="Arial"/>
        </w:rPr>
      </w:pPr>
      <w:r>
        <w:t>•</w:t>
      </w:r>
      <w:r>
        <w:tab/>
        <w:t>Secciones 6.4, 6.5, 6.6, 6.7 y 6.8</w:t>
      </w:r>
    </w:p>
    <w:p w14:paraId="5503DCF6" w14:textId="77777777" w:rsidR="00DA468B" w:rsidRPr="00824357" w:rsidRDefault="00DA468B" w:rsidP="00DA468B">
      <w:pPr>
        <w:ind w:left="851" w:hanging="284"/>
        <w:rPr>
          <w:rFonts w:cs="Arial"/>
        </w:rPr>
      </w:pPr>
    </w:p>
    <w:p w14:paraId="10409BB7"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convino en suprimir la actual sección 2.2 “Criterios para tipos específicos de marcadores moleculares” y en añadir las siguientes nuevas secciones:</w:t>
      </w:r>
    </w:p>
    <w:p w14:paraId="19A286DC" w14:textId="77777777" w:rsidR="00DA468B" w:rsidRPr="00824357" w:rsidRDefault="00DA468B" w:rsidP="00DA468B">
      <w:pPr>
        <w:ind w:left="851" w:hanging="284"/>
        <w:rPr>
          <w:rFonts w:cs="Arial"/>
        </w:rPr>
      </w:pPr>
      <w:r>
        <w:t>•</w:t>
      </w:r>
      <w:r>
        <w:tab/>
        <w:t>Nueva sección 1.2: Marcadores moleculares: consideraciones respecto del rendimiento</w:t>
      </w:r>
    </w:p>
    <w:p w14:paraId="0B1C756D" w14:textId="77777777" w:rsidR="00DA468B" w:rsidRPr="00824357" w:rsidRDefault="00DA468B" w:rsidP="00DA468B">
      <w:pPr>
        <w:ind w:left="851" w:hanging="284"/>
        <w:rPr>
          <w:rFonts w:cs="Arial"/>
        </w:rPr>
      </w:pPr>
      <w:r>
        <w:t>•</w:t>
      </w:r>
      <w:r>
        <w:tab/>
        <w:t>Nueva sección 2.1: Métodos de determinación del perfil de ADN: consideraciones generales</w:t>
      </w:r>
    </w:p>
    <w:p w14:paraId="5DD17F5B" w14:textId="0F1BE249" w:rsidR="00DA468B" w:rsidRPr="00824357" w:rsidRDefault="00DA468B" w:rsidP="00DA468B">
      <w:pPr>
        <w:ind w:left="851" w:hanging="284"/>
        <w:rPr>
          <w:rFonts w:cs="Arial"/>
        </w:rPr>
      </w:pPr>
      <w:r>
        <w:t>•</w:t>
      </w:r>
      <w:r>
        <w:tab/>
        <w:t>Nueva sección 3:</w:t>
      </w:r>
      <w:r w:rsidR="002A0DA3">
        <w:t xml:space="preserve"> </w:t>
      </w:r>
      <w:r>
        <w:t>Validación y armonización de un conjunto de marcadores y método de detección</w:t>
      </w:r>
    </w:p>
    <w:p w14:paraId="490FBF11" w14:textId="058BB362" w:rsidR="00DA468B" w:rsidRPr="00824357" w:rsidRDefault="00DA468B" w:rsidP="00DA468B">
      <w:pPr>
        <w:ind w:left="851" w:hanging="284"/>
        <w:rPr>
          <w:rFonts w:cs="Arial"/>
        </w:rPr>
      </w:pPr>
      <w:r>
        <w:t>•</w:t>
      </w:r>
      <w:r>
        <w:tab/>
        <w:t>Nueva sección 4:</w:t>
      </w:r>
      <w:r w:rsidR="002A0DA3">
        <w:t xml:space="preserve"> </w:t>
      </w:r>
      <w:r>
        <w:t>Creación de una base de datos específica para un cultivo</w:t>
      </w:r>
    </w:p>
    <w:p w14:paraId="7C21D66C" w14:textId="0DDC2657" w:rsidR="00DA468B" w:rsidRPr="00824357" w:rsidRDefault="00DA468B" w:rsidP="00DA468B">
      <w:pPr>
        <w:ind w:left="851" w:hanging="284"/>
        <w:rPr>
          <w:rFonts w:cs="Arial"/>
        </w:rPr>
      </w:pPr>
      <w:r>
        <w:t>•</w:t>
      </w:r>
      <w:r>
        <w:tab/>
        <w:t>Nueva sección 5:</w:t>
      </w:r>
      <w:r w:rsidR="002A0DA3">
        <w:t xml:space="preserve"> </w:t>
      </w:r>
      <w:r>
        <w:t>Intercambio de datos</w:t>
      </w:r>
    </w:p>
    <w:p w14:paraId="392BF8FA" w14:textId="77777777" w:rsidR="00DA468B" w:rsidRPr="00824357" w:rsidRDefault="00DA468B" w:rsidP="00DA468B">
      <w:pPr>
        <w:rPr>
          <w:rFonts w:cs="Arial"/>
        </w:rPr>
      </w:pPr>
    </w:p>
    <w:p w14:paraId="66FB5F84"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convino en eliminar el glosario.</w:t>
      </w:r>
    </w:p>
    <w:p w14:paraId="548C3CD8" w14:textId="77777777" w:rsidR="00DA468B" w:rsidRPr="00824357" w:rsidRDefault="00DA468B" w:rsidP="00DA468B">
      <w:pPr>
        <w:rPr>
          <w:rFonts w:cs="Arial"/>
        </w:rPr>
      </w:pPr>
    </w:p>
    <w:p w14:paraId="230707E8"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El BMT convino en añadir una nueva sección C “Lista de siglas” con las entradas siguientes:</w:t>
      </w:r>
    </w:p>
    <w:p w14:paraId="5FC71629" w14:textId="77777777" w:rsidR="00DA468B" w:rsidRPr="00824357" w:rsidRDefault="00DA468B" w:rsidP="00DA468B">
      <w:pPr>
        <w:ind w:left="851" w:hanging="284"/>
        <w:rPr>
          <w:rFonts w:cs="Arial"/>
        </w:rPr>
      </w:pPr>
      <w:r>
        <w:t>•</w:t>
      </w:r>
      <w:r>
        <w:tab/>
        <w:t>BAM</w:t>
      </w:r>
      <w:r>
        <w:tab/>
      </w:r>
      <w:r>
        <w:tab/>
        <w:t>Mapa de alineación binaria (</w:t>
      </w:r>
      <w:r>
        <w:rPr>
          <w:i/>
        </w:rPr>
        <w:t>Binary Alignment Map</w:t>
      </w:r>
      <w:r>
        <w:t>)</w:t>
      </w:r>
    </w:p>
    <w:p w14:paraId="73AA1CA6" w14:textId="77777777" w:rsidR="00DA468B" w:rsidRPr="00824357" w:rsidRDefault="00DA468B" w:rsidP="00DA468B">
      <w:pPr>
        <w:ind w:left="851" w:hanging="284"/>
        <w:rPr>
          <w:rFonts w:cs="Arial"/>
        </w:rPr>
      </w:pPr>
      <w:r>
        <w:t>•</w:t>
      </w:r>
      <w:r>
        <w:tab/>
        <w:t>BCF</w:t>
      </w:r>
      <w:r>
        <w:tab/>
      </w:r>
      <w:r>
        <w:tab/>
        <w:t>Formato binario de colaboración (</w:t>
      </w:r>
      <w:r>
        <w:rPr>
          <w:i/>
        </w:rPr>
        <w:t>Binary Call Format</w:t>
      </w:r>
      <w:r>
        <w:t>)</w:t>
      </w:r>
    </w:p>
    <w:p w14:paraId="601A12E0" w14:textId="12569412" w:rsidR="00DA468B" w:rsidRPr="00824357" w:rsidRDefault="00DA468B" w:rsidP="00F43F33">
      <w:pPr>
        <w:tabs>
          <w:tab w:val="left" w:pos="851"/>
        </w:tabs>
        <w:ind w:left="2268" w:hanging="1701"/>
        <w:rPr>
          <w:rFonts w:cs="Arial"/>
        </w:rPr>
      </w:pPr>
      <w:r>
        <w:t>•</w:t>
      </w:r>
      <w:r>
        <w:tab/>
        <w:t>CRAM</w:t>
      </w:r>
      <w:r>
        <w:tab/>
      </w:r>
      <w:r>
        <w:tab/>
        <w:t>Mapa comprimido de alineación de secuencias basada referencias</w:t>
      </w:r>
      <w:r w:rsidR="00F43F33">
        <w:t xml:space="preserve"> </w:t>
      </w:r>
      <w:r>
        <w:t>(</w:t>
      </w:r>
      <w:r>
        <w:rPr>
          <w:i/>
        </w:rPr>
        <w:t>Compressed Reference-oriented Alignment Map</w:t>
      </w:r>
      <w:r>
        <w:t>)</w:t>
      </w:r>
    </w:p>
    <w:p w14:paraId="6352FDE7" w14:textId="77777777" w:rsidR="00DA468B" w:rsidRPr="00824357" w:rsidRDefault="00DA468B" w:rsidP="00DA468B">
      <w:pPr>
        <w:ind w:left="851" w:hanging="284"/>
        <w:rPr>
          <w:rFonts w:cs="Arial"/>
        </w:rPr>
      </w:pPr>
      <w:r>
        <w:t>•</w:t>
      </w:r>
      <w:r>
        <w:tab/>
        <w:t>MNP</w:t>
      </w:r>
      <w:r>
        <w:tab/>
      </w:r>
      <w:r>
        <w:tab/>
        <w:t>Polimorfismo de varios nucleótidos (</w:t>
      </w:r>
      <w:r>
        <w:rPr>
          <w:i/>
        </w:rPr>
        <w:t>Multiple Nucleotide Polymorphism</w:t>
      </w:r>
      <w:r>
        <w:t>)</w:t>
      </w:r>
    </w:p>
    <w:p w14:paraId="01E381A8" w14:textId="77777777" w:rsidR="00DA468B" w:rsidRPr="00824357" w:rsidRDefault="00DA468B" w:rsidP="00DA468B">
      <w:pPr>
        <w:ind w:left="851" w:hanging="284"/>
        <w:rPr>
          <w:rFonts w:cs="Arial"/>
        </w:rPr>
      </w:pPr>
      <w:r>
        <w:t>•</w:t>
      </w:r>
      <w:r>
        <w:tab/>
        <w:t>NIL</w:t>
      </w:r>
      <w:r>
        <w:tab/>
      </w:r>
      <w:r>
        <w:tab/>
        <w:t>Línea casi isogénica (</w:t>
      </w:r>
      <w:r>
        <w:rPr>
          <w:i/>
        </w:rPr>
        <w:t>Near Isogenic Line</w:t>
      </w:r>
      <w:r>
        <w:t>)</w:t>
      </w:r>
    </w:p>
    <w:p w14:paraId="0FF1AB61" w14:textId="77777777" w:rsidR="00DA468B" w:rsidRPr="00824357" w:rsidRDefault="00DA468B" w:rsidP="00DA468B">
      <w:pPr>
        <w:ind w:left="851" w:hanging="284"/>
        <w:rPr>
          <w:rFonts w:cs="Arial"/>
        </w:rPr>
      </w:pPr>
      <w:r>
        <w:t>•</w:t>
      </w:r>
      <w:r>
        <w:tab/>
        <w:t>RIL</w:t>
      </w:r>
      <w:r>
        <w:tab/>
      </w:r>
      <w:r>
        <w:tab/>
        <w:t>Línea recombinante endógama (</w:t>
      </w:r>
      <w:r>
        <w:rPr>
          <w:i/>
        </w:rPr>
        <w:t>Recombinant Inbred Line</w:t>
      </w:r>
      <w:r>
        <w:t>)</w:t>
      </w:r>
    </w:p>
    <w:p w14:paraId="45485533" w14:textId="77777777" w:rsidR="00DA468B" w:rsidRPr="00824357" w:rsidRDefault="00DA468B" w:rsidP="00DA468B">
      <w:pPr>
        <w:ind w:left="851" w:hanging="284"/>
        <w:rPr>
          <w:rFonts w:cs="Arial"/>
        </w:rPr>
      </w:pPr>
      <w:r>
        <w:t>•</w:t>
      </w:r>
      <w:r>
        <w:tab/>
        <w:t>SAM</w:t>
      </w:r>
      <w:r>
        <w:tab/>
      </w:r>
      <w:r>
        <w:tab/>
        <w:t>Mapa de alineación de secuencias (</w:t>
      </w:r>
      <w:r>
        <w:rPr>
          <w:i/>
        </w:rPr>
        <w:t>Sequence Alignment Map</w:t>
      </w:r>
      <w:r>
        <w:t>)</w:t>
      </w:r>
    </w:p>
    <w:p w14:paraId="02F94F69" w14:textId="77777777" w:rsidR="00DA468B" w:rsidRPr="00824357" w:rsidRDefault="00DA468B" w:rsidP="00DA468B">
      <w:pPr>
        <w:ind w:left="851" w:hanging="284"/>
        <w:rPr>
          <w:rFonts w:cs="Arial"/>
        </w:rPr>
      </w:pPr>
      <w:r>
        <w:t>•</w:t>
      </w:r>
      <w:r>
        <w:tab/>
        <w:t>SNP</w:t>
      </w:r>
      <w:r>
        <w:tab/>
      </w:r>
      <w:r>
        <w:tab/>
        <w:t>Polimorfismo de nucleótido único (</w:t>
      </w:r>
      <w:r>
        <w:rPr>
          <w:i/>
        </w:rPr>
        <w:t>Single Nucleotide Polymorphism)</w:t>
      </w:r>
    </w:p>
    <w:p w14:paraId="3168265E" w14:textId="77777777" w:rsidR="00DA468B" w:rsidRPr="00824357" w:rsidRDefault="00DA468B" w:rsidP="00DA468B">
      <w:pPr>
        <w:ind w:left="851" w:hanging="284"/>
        <w:rPr>
          <w:rFonts w:cs="Arial"/>
        </w:rPr>
      </w:pPr>
      <w:r>
        <w:t>•</w:t>
      </w:r>
      <w:r>
        <w:tab/>
        <w:t>TIFF</w:t>
      </w:r>
      <w:r>
        <w:tab/>
      </w:r>
      <w:r>
        <w:tab/>
        <w:t>Formato de archivo de imagen con etiquetas (</w:t>
      </w:r>
      <w:r>
        <w:rPr>
          <w:i/>
        </w:rPr>
        <w:t>Tagged Image File Format</w:t>
      </w:r>
      <w:r>
        <w:t>)</w:t>
      </w:r>
    </w:p>
    <w:p w14:paraId="0394B8F9" w14:textId="77777777" w:rsidR="00DA468B" w:rsidRPr="00824357" w:rsidRDefault="00DA468B" w:rsidP="00DA468B">
      <w:pPr>
        <w:ind w:left="851" w:hanging="284"/>
        <w:rPr>
          <w:rFonts w:cs="Arial"/>
        </w:rPr>
      </w:pPr>
      <w:r>
        <w:lastRenderedPageBreak/>
        <w:t>•</w:t>
      </w:r>
      <w:r>
        <w:tab/>
        <w:t>VCF</w:t>
      </w:r>
      <w:r>
        <w:tab/>
      </w:r>
      <w:r>
        <w:tab/>
        <w:t>Formato de llamada de variantes (</w:t>
      </w:r>
      <w:r>
        <w:rPr>
          <w:i/>
        </w:rPr>
        <w:t>Variant Call Format</w:t>
      </w:r>
      <w:r>
        <w:t>)</w:t>
      </w:r>
    </w:p>
    <w:p w14:paraId="7B88E43F" w14:textId="77777777" w:rsidR="00DA468B" w:rsidRPr="00824357" w:rsidRDefault="00DA468B" w:rsidP="00DA468B">
      <w:pPr>
        <w:rPr>
          <w:rFonts w:cs="Arial"/>
        </w:rPr>
      </w:pPr>
    </w:p>
    <w:p w14:paraId="4DA94324"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El BMT convino en proponer al TC que Francia, los Países Bajos y la Unión Europea elaboren un nuevo proyecto de documento UPOV/INF/17 para su examen en la decimonovena sesión del BMT. </w:t>
      </w:r>
    </w:p>
    <w:p w14:paraId="71819876" w14:textId="77777777" w:rsidR="00DA468B" w:rsidRPr="00824357" w:rsidRDefault="00DA468B" w:rsidP="00DA468B">
      <w:pPr>
        <w:rPr>
          <w:rFonts w:cs="Arial"/>
        </w:rPr>
      </w:pPr>
    </w:p>
    <w:bookmarkStart w:id="9" w:name="_Hlk22740387"/>
    <w:p w14:paraId="13C2E5A6"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Aceptando la invitación de los Estados Unidos de América, el BMT convino en celebrar su decimonovena sesión en Alexandria, Virginia (Estados Unidos de América), conjuntamente con el TWC, durante la semana del 21 de septiembre de 2020. </w:t>
      </w:r>
    </w:p>
    <w:p w14:paraId="36F0D1AB" w14:textId="77777777" w:rsidR="00DA468B" w:rsidRPr="00824357" w:rsidRDefault="00DA468B" w:rsidP="00DA468B">
      <w:pPr>
        <w:rPr>
          <w:rFonts w:cs="Arial"/>
        </w:rPr>
      </w:pPr>
    </w:p>
    <w:p w14:paraId="4FA86815" w14:textId="77777777"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El BMT convino con el TWC en que se debe evitar la duplicación de contenidos y en que las partes de apertura e introducción han de ser una sola. También consideró que, en tal caso, será posible asignar tiempo para una visita técnica. </w:t>
      </w:r>
    </w:p>
    <w:p w14:paraId="0AADDB1A" w14:textId="77777777" w:rsidR="00DA468B" w:rsidRPr="00824357" w:rsidRDefault="00DA468B" w:rsidP="00DA468B">
      <w:pPr>
        <w:rPr>
          <w:rFonts w:cs="Arial"/>
        </w:rPr>
      </w:pPr>
    </w:p>
    <w:bookmarkEnd w:id="9"/>
    <w:p w14:paraId="4ABB3662" w14:textId="77777777" w:rsidR="00DA468B" w:rsidRPr="00824357" w:rsidRDefault="00DA468B" w:rsidP="00DA468B">
      <w:pPr>
        <w:keepNext/>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En su decimonovena sesión, el BMT tiene previsto debatir las cuestiones siguientes:</w:t>
      </w:r>
    </w:p>
    <w:p w14:paraId="0B222173" w14:textId="77777777" w:rsidR="00DA468B" w:rsidRPr="00824357" w:rsidRDefault="00DA468B" w:rsidP="00DA468B">
      <w:pPr>
        <w:keepNext/>
        <w:rPr>
          <w:rFonts w:cs="Arial"/>
        </w:rPr>
      </w:pPr>
    </w:p>
    <w:p w14:paraId="3769F612" w14:textId="77777777" w:rsidR="00DA468B" w:rsidRPr="00824357" w:rsidRDefault="00DA468B" w:rsidP="00DA468B">
      <w:pPr>
        <w:tabs>
          <w:tab w:val="left" w:pos="1134"/>
        </w:tabs>
        <w:ind w:left="1134" w:hanging="567"/>
        <w:rPr>
          <w:rFonts w:cs="Arial"/>
        </w:rPr>
      </w:pPr>
      <w:r>
        <w:t>1.</w:t>
      </w:r>
      <w:r>
        <w:tab/>
        <w:t>Apertura de la sesión</w:t>
      </w:r>
    </w:p>
    <w:p w14:paraId="7711DA57" w14:textId="77777777" w:rsidR="00DA468B" w:rsidRPr="00824357" w:rsidRDefault="00DA468B" w:rsidP="00DA468B">
      <w:pPr>
        <w:tabs>
          <w:tab w:val="left" w:pos="1134"/>
        </w:tabs>
        <w:ind w:left="1134" w:hanging="567"/>
        <w:rPr>
          <w:rFonts w:cs="Arial"/>
        </w:rPr>
      </w:pPr>
      <w:r>
        <w:t>2.</w:t>
      </w:r>
      <w:r>
        <w:tab/>
        <w:t>Aprobación del orden del día</w:t>
      </w:r>
    </w:p>
    <w:p w14:paraId="02F23897" w14:textId="77777777" w:rsidR="00DA468B" w:rsidRPr="00824357" w:rsidRDefault="00DA468B" w:rsidP="00DA468B">
      <w:pPr>
        <w:tabs>
          <w:tab w:val="left" w:pos="1134"/>
        </w:tabs>
        <w:ind w:left="1134" w:hanging="567"/>
        <w:rPr>
          <w:rFonts w:cs="Arial"/>
        </w:rPr>
      </w:pPr>
      <w:r>
        <w:t>3.</w:t>
      </w:r>
      <w:r>
        <w:tab/>
        <w:t>Informes sobre las novedades acaecidas en la UPOV en relación con las técnicas bioquímicas y moleculares (la Oficina de la Unión elaborará un documento)</w:t>
      </w:r>
    </w:p>
    <w:p w14:paraId="2171AB6F" w14:textId="77777777" w:rsidR="00DA468B" w:rsidRPr="00824357" w:rsidRDefault="00DA468B" w:rsidP="00DA468B">
      <w:pPr>
        <w:tabs>
          <w:tab w:val="left" w:pos="1134"/>
        </w:tabs>
        <w:ind w:left="1134" w:hanging="567"/>
        <w:rPr>
          <w:rFonts w:cs="Arial"/>
        </w:rPr>
      </w:pPr>
      <w:r>
        <w:t>4.</w:t>
      </w:r>
      <w:r>
        <w:tab/>
        <w:t>Breves ponencias sobre los avances en las técnicas bioquímicas y moleculares a cargo de expertos en el examen DHE, especialistas en técnicas bioquímicas y moleculares, y obtentores y organizaciones internacionales pertinentes (informes verbales de los participantes)</w:t>
      </w:r>
    </w:p>
    <w:p w14:paraId="20CA8C1B" w14:textId="77777777" w:rsidR="00DA468B" w:rsidRPr="00824357" w:rsidRDefault="00DA468B" w:rsidP="00DA468B">
      <w:pPr>
        <w:tabs>
          <w:tab w:val="left" w:pos="1134"/>
        </w:tabs>
        <w:ind w:left="1134" w:hanging="567"/>
        <w:rPr>
          <w:rFonts w:cs="Arial"/>
        </w:rPr>
      </w:pPr>
      <w:r>
        <w:t>5.</w:t>
      </w:r>
      <w:r>
        <w:tab/>
        <w:t>Informe sobre la labor en materia de técnicas moleculares en relación con el examen DHE (se solicitan ponencias)</w:t>
      </w:r>
    </w:p>
    <w:p w14:paraId="156DBCEE" w14:textId="77777777" w:rsidR="00DA468B" w:rsidRPr="00824357" w:rsidRDefault="00DA468B" w:rsidP="00DA468B">
      <w:pPr>
        <w:tabs>
          <w:tab w:val="left" w:pos="1134"/>
        </w:tabs>
        <w:ind w:left="1134" w:hanging="567"/>
        <w:rPr>
          <w:rFonts w:cs="Arial"/>
        </w:rPr>
      </w:pPr>
      <w:r>
        <w:t>6.</w:t>
      </w:r>
      <w:r>
        <w:tab/>
        <w:t xml:space="preserve">Cooperación entre organizaciones internacionales (la Oficina de la Unión elaborará un documento) </w:t>
      </w:r>
    </w:p>
    <w:p w14:paraId="2DF5B720" w14:textId="77777777" w:rsidR="00DA468B" w:rsidRPr="00824357" w:rsidRDefault="00DA468B" w:rsidP="00DA468B">
      <w:pPr>
        <w:tabs>
          <w:tab w:val="left" w:pos="1134"/>
        </w:tabs>
        <w:ind w:left="1134" w:hanging="567"/>
        <w:rPr>
          <w:rFonts w:cs="Arial"/>
        </w:rPr>
      </w:pPr>
      <w:r>
        <w:t>7.</w:t>
      </w:r>
      <w:r>
        <w:tab/>
        <w:t>Bases de datos de descripciones de variedades, en particular las que contienen datos moleculares (se invita a presentar documentos)</w:t>
      </w:r>
    </w:p>
    <w:p w14:paraId="467F1719" w14:textId="77777777" w:rsidR="00DA468B" w:rsidRPr="00824357" w:rsidRDefault="00DA468B" w:rsidP="00DA468B">
      <w:pPr>
        <w:tabs>
          <w:tab w:val="left" w:pos="1134"/>
        </w:tabs>
        <w:ind w:left="1134" w:hanging="567"/>
        <w:rPr>
          <w:rFonts w:cs="Arial"/>
        </w:rPr>
      </w:pPr>
      <w:r>
        <w:t>8.</w:t>
      </w:r>
      <w:r>
        <w:tab/>
        <w:t>Métodos de análisis de datos moleculares, gestión de bases de datos e intercambio de datos y material (se invita a presentar documentos)</w:t>
      </w:r>
    </w:p>
    <w:p w14:paraId="14A5F712" w14:textId="77777777" w:rsidR="00DA468B" w:rsidRPr="00824357" w:rsidRDefault="00DA468B" w:rsidP="00DA468B">
      <w:pPr>
        <w:tabs>
          <w:tab w:val="left" w:pos="1134"/>
        </w:tabs>
        <w:ind w:left="1134" w:hanging="567"/>
        <w:rPr>
          <w:rFonts w:cs="Arial"/>
        </w:rPr>
      </w:pPr>
      <w:r>
        <w:t>9.</w:t>
      </w:r>
      <w:r>
        <w:tab/>
        <w:t>La utilización de técnicas moleculares en el examen de las variedades esencialmente derivadas</w:t>
      </w:r>
      <w:bookmarkStart w:id="10" w:name="_Ref498061157"/>
      <w:r>
        <w:rPr>
          <w:vertAlign w:val="superscript"/>
        </w:rPr>
        <w:footnoteReference w:id="2"/>
      </w:r>
      <w:bookmarkEnd w:id="10"/>
      <w:r>
        <w:t xml:space="preserve"> (se invita a presentar documentos) </w:t>
      </w:r>
    </w:p>
    <w:p w14:paraId="3E0430FA" w14:textId="77777777" w:rsidR="00DA468B" w:rsidRPr="00824357" w:rsidRDefault="00DA468B" w:rsidP="00DA468B">
      <w:pPr>
        <w:tabs>
          <w:tab w:val="left" w:pos="1134"/>
        </w:tabs>
        <w:ind w:left="1134" w:hanging="567"/>
        <w:rPr>
          <w:rFonts w:cs="Arial"/>
        </w:rPr>
      </w:pPr>
      <w:r>
        <w:t>10.</w:t>
      </w:r>
      <w:r>
        <w:tab/>
        <w:t>La utilización de técnicas moleculares en la identificación de variedades</w:t>
      </w:r>
      <w:r>
        <w:rPr>
          <w:vertAlign w:val="superscript"/>
        </w:rPr>
        <w:t>1</w:t>
      </w:r>
      <w:r>
        <w:t xml:space="preserve"> (se invita a presentar documentos)</w:t>
      </w:r>
    </w:p>
    <w:p w14:paraId="41D7AC94" w14:textId="77777777" w:rsidR="00DA468B" w:rsidRPr="00824357" w:rsidRDefault="00DA468B" w:rsidP="00DA468B">
      <w:pPr>
        <w:tabs>
          <w:tab w:val="left" w:pos="1134"/>
        </w:tabs>
        <w:ind w:left="1134" w:hanging="567"/>
        <w:rPr>
          <w:rFonts w:cs="Arial"/>
        </w:rPr>
      </w:pPr>
      <w:r>
        <w:t>11.</w:t>
      </w:r>
      <w:r>
        <w:tab/>
        <w:t>Confidencialidad, titularidad y acceso a datos moleculares</w:t>
      </w:r>
      <w:r>
        <w:rPr>
          <w:vertAlign w:val="superscript"/>
        </w:rPr>
        <w:t>1</w:t>
      </w:r>
      <w:r>
        <w:t xml:space="preserve"> (se invita a presentar documentos)</w:t>
      </w:r>
    </w:p>
    <w:p w14:paraId="0A0487BB" w14:textId="77777777" w:rsidR="00DA468B" w:rsidRPr="00824357" w:rsidRDefault="00DA468B" w:rsidP="00DA468B">
      <w:pPr>
        <w:tabs>
          <w:tab w:val="left" w:pos="1134"/>
        </w:tabs>
        <w:ind w:left="1134" w:hanging="567"/>
        <w:rPr>
          <w:rFonts w:cs="Arial"/>
        </w:rPr>
      </w:pPr>
      <w:r>
        <w:t>12.</w:t>
      </w:r>
      <w:r>
        <w:tab/>
        <w:t xml:space="preserve">Revisión del documento UPOV/INF/17 “Directrices para los perfiles de ADN: selección de marcadores moleculares y creación de una base de datos </w:t>
      </w:r>
    </w:p>
    <w:p w14:paraId="6AD7BBDD" w14:textId="77777777" w:rsidR="00DA468B" w:rsidRPr="00824357" w:rsidRDefault="00DA468B" w:rsidP="00DA468B">
      <w:pPr>
        <w:tabs>
          <w:tab w:val="left" w:pos="1134"/>
        </w:tabs>
        <w:ind w:left="1134" w:hanging="567"/>
        <w:rPr>
          <w:rFonts w:cs="Arial"/>
        </w:rPr>
      </w:pPr>
      <w:r>
        <w:t>13.</w:t>
      </w:r>
      <w:r>
        <w:tab/>
        <w:t xml:space="preserve">Sesión destinada a facilitar la cooperación </w:t>
      </w:r>
    </w:p>
    <w:p w14:paraId="714F108F" w14:textId="77777777" w:rsidR="00DA468B" w:rsidRPr="00824357" w:rsidRDefault="00DA468B" w:rsidP="00DA468B">
      <w:pPr>
        <w:tabs>
          <w:tab w:val="left" w:pos="1134"/>
        </w:tabs>
        <w:ind w:left="1134" w:hanging="567"/>
        <w:rPr>
          <w:rFonts w:cs="Arial"/>
        </w:rPr>
      </w:pPr>
      <w:r>
        <w:t>14.</w:t>
      </w:r>
      <w:r>
        <w:tab/>
        <w:t>Fecha y lugar de la próxima sesión</w:t>
      </w:r>
    </w:p>
    <w:p w14:paraId="013B20C9" w14:textId="77777777" w:rsidR="00DA468B" w:rsidRPr="00824357" w:rsidRDefault="00DA468B" w:rsidP="00DA468B">
      <w:pPr>
        <w:tabs>
          <w:tab w:val="left" w:pos="1134"/>
        </w:tabs>
        <w:ind w:left="1134" w:hanging="567"/>
        <w:rPr>
          <w:rFonts w:cs="Arial"/>
        </w:rPr>
      </w:pPr>
      <w:r>
        <w:t>15.</w:t>
      </w:r>
      <w:r>
        <w:tab/>
        <w:t>Próximo programa</w:t>
      </w:r>
    </w:p>
    <w:p w14:paraId="5465629C" w14:textId="77777777" w:rsidR="00DA468B" w:rsidRPr="00824357" w:rsidRDefault="00DA468B" w:rsidP="00DA468B">
      <w:pPr>
        <w:tabs>
          <w:tab w:val="left" w:pos="1134"/>
        </w:tabs>
        <w:ind w:left="1134" w:hanging="567"/>
        <w:rPr>
          <w:rFonts w:cs="Arial"/>
        </w:rPr>
      </w:pPr>
      <w:r>
        <w:t>16.</w:t>
      </w:r>
      <w:r>
        <w:tab/>
        <w:t>Informe de la sesión (si se dispone de tiempo)</w:t>
      </w:r>
    </w:p>
    <w:p w14:paraId="5084DF3A" w14:textId="77777777" w:rsidR="00DA468B" w:rsidRPr="00824357" w:rsidRDefault="00DA468B" w:rsidP="00DA468B">
      <w:pPr>
        <w:tabs>
          <w:tab w:val="left" w:pos="1134"/>
        </w:tabs>
        <w:ind w:left="1134" w:hanging="567"/>
        <w:rPr>
          <w:rFonts w:cs="Arial"/>
        </w:rPr>
      </w:pPr>
      <w:r>
        <w:t>17.</w:t>
      </w:r>
      <w:r>
        <w:tab/>
        <w:t>Clausura de la sesión</w:t>
      </w:r>
    </w:p>
    <w:p w14:paraId="1474903C" w14:textId="77777777" w:rsidR="00DA468B" w:rsidRPr="00824357" w:rsidRDefault="00DA468B" w:rsidP="00DA468B">
      <w:pPr>
        <w:rPr>
          <w:rFonts w:cs="Arial"/>
        </w:rPr>
      </w:pPr>
    </w:p>
    <w:p w14:paraId="56CE114E" w14:textId="77777777" w:rsidR="00DA468B" w:rsidRPr="00824357" w:rsidRDefault="00DA468B" w:rsidP="00DA468B"/>
    <w:p w14:paraId="3A7AD06D" w14:textId="77777777" w:rsidR="00DA468B" w:rsidRPr="00824357" w:rsidRDefault="00DA468B" w:rsidP="00DA468B">
      <w:pPr>
        <w:pStyle w:val="Heading2"/>
        <w:keepLines/>
      </w:pPr>
      <w:r>
        <w:t>Programa de trabajo de los TWP y el BMT en 2020</w:t>
      </w:r>
    </w:p>
    <w:p w14:paraId="149ABF71" w14:textId="77777777" w:rsidR="00DA468B" w:rsidRPr="00824357" w:rsidRDefault="00DA468B" w:rsidP="00DA468B">
      <w:pPr>
        <w:keepNext/>
        <w:keepLines/>
      </w:pPr>
    </w:p>
    <w:p w14:paraId="0FAEFD5D" w14:textId="1F61B04F" w:rsidR="00DA468B" w:rsidRPr="00824357" w:rsidRDefault="00DA468B" w:rsidP="00E20A0C">
      <w:pPr>
        <w:keepNext/>
        <w:keepLines/>
      </w:pPr>
      <w:r w:rsidRPr="00824357">
        <w:fldChar w:fldCharType="begin"/>
      </w:r>
      <w:r w:rsidRPr="00824357">
        <w:instrText xml:space="preserve"> AUTONUM  </w:instrText>
      </w:r>
      <w:r w:rsidRPr="00824357">
        <w:fldChar w:fldCharType="end"/>
      </w:r>
      <w:r>
        <w:tab/>
        <w:t>El TC aprobó el programa de trabajo de las sesiones de los TWP y el BMT de 2020, presentado en los respectivos informes de sesión e informes de los presidentes.</w:t>
      </w:r>
      <w:r w:rsidR="002A0DA3">
        <w:t xml:space="preserve"> </w:t>
      </w:r>
      <w:r>
        <w:t>El TC convino en someter los programas de trabajo a la aprobación del Consejo, en su sesión prevista el 1 de noviembre de 2019.</w:t>
      </w:r>
    </w:p>
    <w:p w14:paraId="473A8BD0" w14:textId="77777777" w:rsidR="00DA468B" w:rsidRPr="00824357" w:rsidRDefault="00DA468B" w:rsidP="00E20A0C"/>
    <w:p w14:paraId="2C1278CA" w14:textId="77777777" w:rsidR="00F52E0E" w:rsidRPr="00824357" w:rsidRDefault="00F52E0E" w:rsidP="00F52E0E">
      <w:pPr>
        <w:pStyle w:val="Heading3"/>
      </w:pPr>
      <w:r>
        <w:t>Organización de la labor del TWC y el BMT</w:t>
      </w:r>
    </w:p>
    <w:p w14:paraId="5BB0A922" w14:textId="77777777" w:rsidR="00F52E0E" w:rsidRPr="00824357" w:rsidRDefault="00F52E0E" w:rsidP="00E20A0C"/>
    <w:p w14:paraId="23556FB2" w14:textId="2B78B25F" w:rsidR="0069221D" w:rsidRPr="00824357" w:rsidRDefault="0069221D" w:rsidP="00E20A0C">
      <w:r w:rsidRPr="00824357">
        <w:fldChar w:fldCharType="begin"/>
      </w:r>
      <w:r w:rsidRPr="00824357">
        <w:instrText xml:space="preserve"> AUTONUM  </w:instrText>
      </w:r>
      <w:r w:rsidRPr="00824357">
        <w:fldChar w:fldCharType="end"/>
      </w:r>
      <w:r>
        <w:tab/>
        <w:t>El TC examinó las consecuencias de organizar las sesiones del TWC y el BMT en la misma semana.</w:t>
      </w:r>
      <w:r w:rsidR="002A0DA3">
        <w:t xml:space="preserve"> </w:t>
      </w:r>
    </w:p>
    <w:p w14:paraId="1FAABA2F" w14:textId="77777777" w:rsidR="001A7CB5" w:rsidRPr="00824357" w:rsidRDefault="001A7CB5" w:rsidP="00E20A0C">
      <w:pPr>
        <w:rPr>
          <w:rFonts w:cs="Arial"/>
        </w:rPr>
      </w:pPr>
    </w:p>
    <w:p w14:paraId="73B57197" w14:textId="0454C605" w:rsidR="001A7CB5" w:rsidRPr="00824357" w:rsidRDefault="001A7CB5" w:rsidP="00E20A0C">
      <w:r w:rsidRPr="00824357">
        <w:fldChar w:fldCharType="begin"/>
      </w:r>
      <w:r w:rsidRPr="00824357">
        <w:instrText xml:space="preserve"> AUTONUM  </w:instrText>
      </w:r>
      <w:r w:rsidRPr="00824357">
        <w:fldChar w:fldCharType="end"/>
      </w:r>
      <w:r>
        <w:tab/>
        <w:t>El TC tomó nota de los informes del TWC y el BMT sobre la duplicación del contenido presentado en las sesiones de estos Grupos de Trabajo y de que ambos han convenido en que las partes de apertura e introducción han ser una sola para ambas sesiones al mismo tiempo.</w:t>
      </w:r>
      <w:r w:rsidR="002A0DA3">
        <w:t xml:space="preserve"> </w:t>
      </w:r>
      <w:r>
        <w:t>Asimismo, tomó nota de la dificultad que representa para el organizador de las sesiones conjuntas celebrar dos ceremonias de apertura y dos recepciones.</w:t>
      </w:r>
    </w:p>
    <w:p w14:paraId="12D3A9DD" w14:textId="77777777" w:rsidR="00F91D4C" w:rsidRPr="00824357" w:rsidRDefault="00F91D4C" w:rsidP="00E20A0C">
      <w:pPr>
        <w:rPr>
          <w:rFonts w:cs="Arial"/>
        </w:rPr>
      </w:pPr>
    </w:p>
    <w:p w14:paraId="5D284E70" w14:textId="2673B8C8" w:rsidR="00F91D4C" w:rsidRPr="00824357" w:rsidRDefault="00F91D4C" w:rsidP="00E20A0C">
      <w:pPr>
        <w:rPr>
          <w:rFonts w:cs="Arial"/>
        </w:rPr>
      </w:pPr>
      <w:r w:rsidRPr="00824357">
        <w:rPr>
          <w:rFonts w:cs="Arial"/>
        </w:rPr>
        <w:lastRenderedPageBreak/>
        <w:fldChar w:fldCharType="begin"/>
      </w:r>
      <w:r w:rsidRPr="00824357">
        <w:rPr>
          <w:rFonts w:cs="Arial"/>
        </w:rPr>
        <w:instrText xml:space="preserve"> AUTONUM  </w:instrText>
      </w:r>
      <w:r w:rsidRPr="00824357">
        <w:rPr>
          <w:rFonts w:cs="Arial"/>
        </w:rPr>
        <w:fldChar w:fldCharType="end"/>
      </w:r>
      <w:r>
        <w:tab/>
        <w:t>El TC tomó nota de las observaciones y las propuestas del TWC y el BMT relativas a la organización de sus sesiones en la misma semana y convino en invitar a la Oficina de la UPOV a que elabore el proyecto de mandato y atribuciones de un eventual órgano único, que abarque la labor de ambos Grupos de Trabajo, para que se examine en su seno y se comunique al resto de los TWP, en sus sesiones de 2020.</w:t>
      </w:r>
      <w:r w:rsidR="002A0DA3">
        <w:t xml:space="preserve"> </w:t>
      </w:r>
      <w:r>
        <w:t>El eventual mandato y atribuciones se someterá luego al examen del TC, en su quincuagésima sexta sesión, junto con las observaciones formuladas por el TWC y el BMT.</w:t>
      </w:r>
    </w:p>
    <w:p w14:paraId="6E55FFA4" w14:textId="77777777" w:rsidR="000B28D3" w:rsidRDefault="000B28D3" w:rsidP="00E20A0C"/>
    <w:p w14:paraId="743D386D" w14:textId="77777777" w:rsidR="000C3495" w:rsidRPr="00824357" w:rsidRDefault="000C3495" w:rsidP="00E20A0C"/>
    <w:p w14:paraId="6BAAA58E" w14:textId="77777777" w:rsidR="00951D8E" w:rsidRPr="00824357" w:rsidRDefault="00951D8E" w:rsidP="00951D8E">
      <w:pPr>
        <w:pStyle w:val="Heading2"/>
        <w:rPr>
          <w:snapToGrid w:val="0"/>
        </w:rPr>
      </w:pPr>
      <w:r>
        <w:t xml:space="preserve">Cuestiones planteadas por los Grupos de Trabajo Técnico </w:t>
      </w:r>
    </w:p>
    <w:p w14:paraId="0C9E3173" w14:textId="77777777" w:rsidR="00951D8E" w:rsidRPr="00824357" w:rsidRDefault="00951D8E" w:rsidP="00951D8E">
      <w:pPr>
        <w:ind w:left="567" w:hanging="567"/>
        <w:jc w:val="left"/>
        <w:rPr>
          <w:rFonts w:cs="Arial"/>
          <w:snapToGrid w:val="0"/>
        </w:rPr>
      </w:pPr>
    </w:p>
    <w:p w14:paraId="2BDBBBCE" w14:textId="77777777" w:rsidR="00951D8E" w:rsidRPr="00824357" w:rsidRDefault="000B28D3" w:rsidP="00951D8E">
      <w:pPr>
        <w:ind w:left="567" w:hanging="567"/>
        <w:jc w:val="left"/>
        <w:rPr>
          <w:rFonts w:cs="Arial"/>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tab/>
        <w:t>El TC examinó los documentos TC/55/3 y TC/55/3 Add.</w:t>
      </w:r>
    </w:p>
    <w:p w14:paraId="27C09C10" w14:textId="77777777" w:rsidR="002C6676" w:rsidRPr="00824357" w:rsidRDefault="002C6676" w:rsidP="00951D8E">
      <w:pPr>
        <w:ind w:left="567" w:hanging="567"/>
        <w:jc w:val="left"/>
        <w:rPr>
          <w:rFonts w:cs="Arial"/>
        </w:rPr>
      </w:pPr>
    </w:p>
    <w:p w14:paraId="232FDD91" w14:textId="77777777" w:rsidR="002C6676" w:rsidRPr="00824357" w:rsidRDefault="002C6676" w:rsidP="002C6676">
      <w:pPr>
        <w:ind w:left="567" w:hanging="567"/>
        <w:jc w:val="left"/>
      </w:pPr>
      <w:r w:rsidRPr="00824357">
        <w:fldChar w:fldCharType="begin"/>
      </w:r>
      <w:r w:rsidRPr="00824357">
        <w:instrText xml:space="preserve"> AUTONUM  </w:instrText>
      </w:r>
      <w:r w:rsidRPr="00824357">
        <w:fldChar w:fldCharType="end"/>
      </w:r>
      <w:r>
        <w:tab/>
        <w:t>El TC tomó nota de las novedades que se han producido en los TWP en relación con las siguientes cuestiones:</w:t>
      </w:r>
    </w:p>
    <w:p w14:paraId="7E53CFA6" w14:textId="77777777" w:rsidR="002C6676" w:rsidRPr="00824357" w:rsidRDefault="002C6676" w:rsidP="002C6676">
      <w:pPr>
        <w:ind w:left="567" w:hanging="567"/>
        <w:jc w:val="left"/>
      </w:pPr>
    </w:p>
    <w:p w14:paraId="70521A8C" w14:textId="77777777" w:rsidR="002C6676" w:rsidRPr="00824357" w:rsidRDefault="002C6676" w:rsidP="002C6676">
      <w:pPr>
        <w:ind w:left="1134" w:hanging="567"/>
        <w:jc w:val="left"/>
      </w:pPr>
      <w:r>
        <w:t>i)</w:t>
      </w:r>
      <w:r>
        <w:tab/>
        <w:t>Utilización de caracteres de resistencia a las enfermedades;</w:t>
      </w:r>
    </w:p>
    <w:p w14:paraId="18D167D2" w14:textId="77777777" w:rsidR="002C6676" w:rsidRPr="00824357" w:rsidRDefault="002C6676" w:rsidP="002C6676">
      <w:pPr>
        <w:ind w:left="1134" w:hanging="567"/>
        <w:jc w:val="left"/>
      </w:pPr>
      <w:r>
        <w:t>ii)</w:t>
      </w:r>
      <w:r>
        <w:tab/>
        <w:t>Acceso al material vegetal a efectos de la gestión de colecciones de variedades y el examen DHE;</w:t>
      </w:r>
    </w:p>
    <w:p w14:paraId="3488999D" w14:textId="77777777" w:rsidR="002C6676" w:rsidRPr="00824357" w:rsidRDefault="002C6676" w:rsidP="002C6676">
      <w:pPr>
        <w:ind w:left="1134" w:hanging="567"/>
        <w:jc w:val="left"/>
      </w:pPr>
      <w:r>
        <w:t>iii)</w:t>
      </w:r>
      <w:r>
        <w:tab/>
        <w:t>Examen DHE de variedades mutantes de manzano;</w:t>
      </w:r>
    </w:p>
    <w:p w14:paraId="7779E9F5" w14:textId="77777777" w:rsidR="002C6676" w:rsidRPr="00824357" w:rsidRDefault="002C6676" w:rsidP="002C6676">
      <w:pPr>
        <w:ind w:left="1134" w:hanging="567"/>
        <w:jc w:val="left"/>
      </w:pPr>
      <w:r>
        <w:t>iv)</w:t>
      </w:r>
      <w:r>
        <w:tab/>
        <w:t>Experiencias con la definición de árboles, arbustos y vides;</w:t>
      </w:r>
    </w:p>
    <w:p w14:paraId="1B11589D" w14:textId="77777777" w:rsidR="002C6676" w:rsidRPr="00824357" w:rsidRDefault="002C6676" w:rsidP="002C6676">
      <w:pPr>
        <w:ind w:left="1134" w:hanging="567"/>
        <w:jc w:val="left"/>
      </w:pPr>
      <w:r>
        <w:t>v)</w:t>
      </w:r>
      <w:r>
        <w:tab/>
        <w:t>Definición de “ciclo de cultivo” en el caso de las especies ornamentales;</w:t>
      </w:r>
    </w:p>
    <w:p w14:paraId="03813536" w14:textId="77777777" w:rsidR="002C6676" w:rsidRPr="00824357" w:rsidRDefault="002C6676" w:rsidP="002C6676">
      <w:pPr>
        <w:ind w:left="1134" w:hanging="567"/>
        <w:jc w:val="left"/>
      </w:pPr>
      <w:r>
        <w:t>vi)</w:t>
      </w:r>
      <w:r>
        <w:tab/>
        <w:t>Experiencia con caracteres evaluados a partir de muestras en bloque;</w:t>
      </w:r>
    </w:p>
    <w:p w14:paraId="0EE3189C" w14:textId="77777777" w:rsidR="002C6676" w:rsidRPr="00824357" w:rsidRDefault="002C6676" w:rsidP="002C6676">
      <w:pPr>
        <w:ind w:left="1134" w:hanging="567"/>
        <w:jc w:val="left"/>
      </w:pPr>
      <w:r>
        <w:t>vii)</w:t>
      </w:r>
      <w:r>
        <w:tab/>
        <w:t>Experiencia con la carta de colores RHS y eventual añadidura de colores en el futuro;</w:t>
      </w:r>
    </w:p>
    <w:p w14:paraId="3933D0CB" w14:textId="77777777" w:rsidR="002C6676" w:rsidRPr="00824357" w:rsidRDefault="002C6676" w:rsidP="002C6676">
      <w:pPr>
        <w:ind w:left="1134" w:hanging="567"/>
        <w:jc w:val="left"/>
      </w:pPr>
      <w:r>
        <w:t>viii)</w:t>
      </w:r>
      <w:r>
        <w:tab/>
        <w:t>Experiencia con bases de datos taxonómicas;</w:t>
      </w:r>
    </w:p>
    <w:p w14:paraId="13DDD776" w14:textId="77777777" w:rsidR="002C6676" w:rsidRPr="00824357" w:rsidRDefault="002C6676" w:rsidP="002C6676">
      <w:pPr>
        <w:ind w:left="1134" w:hanging="567"/>
        <w:jc w:val="left"/>
      </w:pPr>
      <w:r>
        <w:t>ix)</w:t>
      </w:r>
      <w:r>
        <w:tab/>
        <w:t>Incongruencia entre la información del cuestionario técnico y el material vegetal enviado para el ensayo;</w:t>
      </w:r>
    </w:p>
    <w:p w14:paraId="409F89EE" w14:textId="77777777" w:rsidR="002C6676" w:rsidRPr="00824357" w:rsidRDefault="002C6676" w:rsidP="002C6676">
      <w:pPr>
        <w:ind w:left="1134" w:hanging="567"/>
        <w:jc w:val="left"/>
      </w:pPr>
      <w:r>
        <w:t>x)</w:t>
      </w:r>
      <w:r>
        <w:tab/>
        <w:t>Experiencias con nuevos tipos y especies;</w:t>
      </w:r>
    </w:p>
    <w:p w14:paraId="437B54EA" w14:textId="77777777" w:rsidR="002C6676" w:rsidRPr="00824357" w:rsidRDefault="002C6676" w:rsidP="002C6676">
      <w:pPr>
        <w:ind w:left="1134" w:hanging="567"/>
        <w:jc w:val="left"/>
      </w:pPr>
      <w:r>
        <w:t>xi)</w:t>
      </w:r>
      <w:r>
        <w:tab/>
        <w:t xml:space="preserve">Nuevas cuestiones que se plantean en relación con el examen DHE; </w:t>
      </w:r>
    </w:p>
    <w:p w14:paraId="6D756C99" w14:textId="77777777" w:rsidR="002C6676" w:rsidRPr="00824357" w:rsidRDefault="002C6676" w:rsidP="002C6676">
      <w:pPr>
        <w:ind w:left="1134" w:hanging="567"/>
        <w:jc w:val="left"/>
      </w:pPr>
      <w:r>
        <w:t>xii)</w:t>
      </w:r>
      <w:r>
        <w:tab/>
        <w:t xml:space="preserve">Cuestiones de interés en relación con el examen DHE en el sector frutícola; y </w:t>
      </w:r>
    </w:p>
    <w:p w14:paraId="4CD41062" w14:textId="77777777" w:rsidR="002C6676" w:rsidRPr="00824357" w:rsidRDefault="002C6676" w:rsidP="002C6676">
      <w:pPr>
        <w:ind w:left="1134" w:hanging="567"/>
        <w:jc w:val="left"/>
      </w:pPr>
      <w:r>
        <w:t>xiii)</w:t>
      </w:r>
      <w:r>
        <w:tab/>
        <w:t>Grupos de debate para examinar la “Nueva tecnología utilizada en el examen DHE”;</w:t>
      </w:r>
    </w:p>
    <w:p w14:paraId="7E856188" w14:textId="77777777" w:rsidR="002C6676" w:rsidRPr="00824357" w:rsidRDefault="002C6676" w:rsidP="002C6676">
      <w:pPr>
        <w:ind w:left="567"/>
      </w:pPr>
      <w:r>
        <w:t>xiv)</w:t>
      </w:r>
      <w:r>
        <w:tab/>
        <w:t>Evaluación de la homogeneidad sobre la base de las plantas fuera de tipo;</w:t>
      </w:r>
    </w:p>
    <w:p w14:paraId="5DFB87C1" w14:textId="77777777" w:rsidR="002C6676" w:rsidRPr="00824357" w:rsidRDefault="002C6676" w:rsidP="002C6676">
      <w:pPr>
        <w:ind w:left="567"/>
      </w:pPr>
      <w:r>
        <w:t>xv)</w:t>
      </w:r>
      <w:r>
        <w:tab/>
        <w:t>Experiencia en el uso de dos lugares de ensayo en un año para las decisiones sobre DHE;</w:t>
      </w:r>
    </w:p>
    <w:p w14:paraId="1593DFF1" w14:textId="77777777" w:rsidR="002C6676" w:rsidRPr="00824357" w:rsidRDefault="0016122C" w:rsidP="002C6676">
      <w:pPr>
        <w:ind w:left="567"/>
      </w:pPr>
      <w:r>
        <w:t>xvi)</w:t>
      </w:r>
      <w:r>
        <w:tab/>
        <w:t>Desarrollo e innovación en materia de instrumentos de examen DHE;</w:t>
      </w:r>
    </w:p>
    <w:p w14:paraId="6502D872" w14:textId="77777777" w:rsidR="002C6676" w:rsidRPr="00824357" w:rsidRDefault="0016122C" w:rsidP="002C6676">
      <w:pPr>
        <w:ind w:left="567"/>
      </w:pPr>
      <w:r>
        <w:t>xvii)</w:t>
      </w:r>
      <w:r>
        <w:tab/>
        <w:t>Servicios en línea prestados por la UPOV;</w:t>
      </w:r>
    </w:p>
    <w:p w14:paraId="39367A96" w14:textId="77777777" w:rsidR="002C6676" w:rsidRPr="00824357" w:rsidRDefault="002C6676" w:rsidP="002C6676">
      <w:pPr>
        <w:ind w:left="567"/>
      </w:pPr>
      <w:r>
        <w:t>xviii)</w:t>
      </w:r>
      <w:r>
        <w:tab/>
        <w:t>Un programa informático para el análisis estadístico: DUS Excel; y</w:t>
      </w:r>
    </w:p>
    <w:p w14:paraId="7A0998EA" w14:textId="77777777" w:rsidR="002C6676" w:rsidRPr="00824357" w:rsidRDefault="0016122C" w:rsidP="00705261">
      <w:pPr>
        <w:ind w:left="1134" w:hanging="567"/>
        <w:jc w:val="left"/>
      </w:pPr>
      <w:r>
        <w:t>xix)</w:t>
      </w:r>
      <w:r>
        <w:tab/>
        <w:t>Creación de una base de datos con información sobre marcadores moleculares para la gestión de las colecciones de variedades.</w:t>
      </w:r>
    </w:p>
    <w:p w14:paraId="5D3C53B3" w14:textId="77777777" w:rsidR="002C6676" w:rsidRPr="00824357" w:rsidRDefault="002C6676" w:rsidP="002C6676"/>
    <w:p w14:paraId="6E63DC41" w14:textId="77777777" w:rsidR="002C6676" w:rsidRPr="00824357" w:rsidRDefault="002C6676" w:rsidP="00050E16"/>
    <w:p w14:paraId="0805AED7" w14:textId="77777777" w:rsidR="002C6676" w:rsidRPr="00824357" w:rsidRDefault="002C6676" w:rsidP="00C739D6">
      <w:pPr>
        <w:pStyle w:val="Heading2"/>
      </w:pPr>
      <w:r>
        <w:t>Documentos TGP</w:t>
      </w:r>
    </w:p>
    <w:p w14:paraId="5D112015" w14:textId="77777777" w:rsidR="00E35F66" w:rsidRPr="00824357" w:rsidRDefault="00E35F66" w:rsidP="00C739D6">
      <w:pPr>
        <w:keepNext/>
      </w:pPr>
    </w:p>
    <w:p w14:paraId="7508A562" w14:textId="77777777" w:rsidR="00E35F66" w:rsidRPr="00824357" w:rsidRDefault="00E35F66" w:rsidP="00C739D6">
      <w:pPr>
        <w:keepNext/>
      </w:pPr>
      <w:r w:rsidRPr="00824357">
        <w:fldChar w:fldCharType="begin"/>
      </w:r>
      <w:r w:rsidRPr="00824357">
        <w:instrText xml:space="preserve"> AUTONUM  </w:instrText>
      </w:r>
      <w:r w:rsidRPr="00824357">
        <w:fldChar w:fldCharType="end"/>
      </w:r>
      <w:r>
        <w:tab/>
        <w:t>El TC examinó los documentos TC/55/4 y TC/55/4 Add.</w:t>
      </w:r>
    </w:p>
    <w:p w14:paraId="67BDA60C" w14:textId="77777777" w:rsidR="002C6676" w:rsidRPr="00824357" w:rsidRDefault="002C6676" w:rsidP="00C739D6">
      <w:pPr>
        <w:keepNext/>
      </w:pPr>
    </w:p>
    <w:p w14:paraId="71980787" w14:textId="77777777" w:rsidR="00E35F66" w:rsidRPr="00824357" w:rsidRDefault="00E35F66" w:rsidP="00C739D6">
      <w:pPr>
        <w:pStyle w:val="Heading3"/>
      </w:pPr>
      <w:bookmarkStart w:id="11" w:name="_Toc21683346"/>
      <w:r>
        <w:t>Asuntos sujetos a aprobación por el Consejo en 2019</w:t>
      </w:r>
      <w:bookmarkEnd w:id="11"/>
    </w:p>
    <w:p w14:paraId="7065B8D5" w14:textId="77777777" w:rsidR="00E35F66" w:rsidRPr="00824357" w:rsidRDefault="00E35F66" w:rsidP="00C739D6">
      <w:pPr>
        <w:keepNext/>
      </w:pPr>
    </w:p>
    <w:p w14:paraId="0970A7B6" w14:textId="77777777" w:rsidR="0016122C" w:rsidRPr="00824357" w:rsidRDefault="00C739D6" w:rsidP="00C739D6">
      <w:pPr>
        <w:keepNext/>
      </w:pPr>
      <w:r w:rsidRPr="00824357">
        <w:fldChar w:fldCharType="begin"/>
      </w:r>
      <w:r w:rsidRPr="00824357">
        <w:instrText xml:space="preserve"> AUTONUM  </w:instrText>
      </w:r>
      <w:r w:rsidRPr="00824357">
        <w:fldChar w:fldCharType="end"/>
      </w:r>
      <w:r>
        <w:tab/>
        <w:t>El TC tomó nota de que la revisión de los siguientes documentos TGP se someterá a la aprobación del Consejo en su quincuagésima tercera sesión ordinaria, a reserva de la aprobación del CAJ en su septuagésima sexta sesión:</w:t>
      </w:r>
    </w:p>
    <w:p w14:paraId="41DEACFC" w14:textId="77777777" w:rsidR="0016122C" w:rsidRPr="00824357" w:rsidRDefault="0016122C" w:rsidP="00C739D6">
      <w:pPr>
        <w:keepNext/>
      </w:pPr>
    </w:p>
    <w:p w14:paraId="169F1E69" w14:textId="77777777" w:rsidR="00E35F66" w:rsidRPr="00824357" w:rsidRDefault="0016122C" w:rsidP="00F44E48">
      <w:pPr>
        <w:pStyle w:val="ListParagraph"/>
        <w:numPr>
          <w:ilvl w:val="0"/>
          <w:numId w:val="13"/>
        </w:numPr>
      </w:pPr>
      <w:r>
        <w:t>Documento TGP/7 “Elaboración de las directrices de examen” (documento TGP/7/7), sobre la base del documento TGP/7/7 Draft 1 Rev.</w:t>
      </w:r>
    </w:p>
    <w:p w14:paraId="715E53F8" w14:textId="77777777" w:rsidR="0016122C" w:rsidRPr="00824357" w:rsidRDefault="0016122C" w:rsidP="0016122C">
      <w:pPr>
        <w:pStyle w:val="ListParagraph"/>
      </w:pPr>
    </w:p>
    <w:p w14:paraId="4AC84947" w14:textId="77777777" w:rsidR="00E35F66" w:rsidRPr="00824357" w:rsidRDefault="0016122C" w:rsidP="00F44E48">
      <w:pPr>
        <w:pStyle w:val="ListParagraph"/>
        <w:numPr>
          <w:ilvl w:val="0"/>
          <w:numId w:val="13"/>
        </w:numPr>
      </w:pPr>
      <w:r>
        <w:t>Documento TGP/8 “Diseño de ensayos y técnicas utilizados en el examen de la distinción, la homogeneidad y la estabilidad” (documento TGP/8/3), sobre la base del documento TGP/8/4 Draft 1.</w:t>
      </w:r>
    </w:p>
    <w:p w14:paraId="00B01020" w14:textId="77777777" w:rsidR="00E35F66" w:rsidRPr="00824357" w:rsidRDefault="00E35F66" w:rsidP="00050E16"/>
    <w:p w14:paraId="7D673B3E" w14:textId="77777777" w:rsidR="00E35F66" w:rsidRPr="00824357" w:rsidRDefault="0016122C" w:rsidP="00F44E48">
      <w:pPr>
        <w:pStyle w:val="ListParagraph"/>
        <w:numPr>
          <w:ilvl w:val="0"/>
          <w:numId w:val="13"/>
        </w:numPr>
      </w:pPr>
      <w:r>
        <w:t>Documento TGP/10 “Examen de la homogeneidad” (documento TGP/10/1), sobre la base del documento TGP/10/2 Draft 1.</w:t>
      </w:r>
    </w:p>
    <w:p w14:paraId="7C58AC63" w14:textId="77777777" w:rsidR="00E35F66" w:rsidRPr="00824357" w:rsidRDefault="00E35F66" w:rsidP="00050E16"/>
    <w:p w14:paraId="70DA48E0" w14:textId="77777777" w:rsidR="00E35F66" w:rsidRPr="00824357" w:rsidRDefault="0016122C" w:rsidP="00F44E48">
      <w:pPr>
        <w:pStyle w:val="ListParagraph"/>
        <w:numPr>
          <w:ilvl w:val="0"/>
          <w:numId w:val="13"/>
        </w:numPr>
      </w:pPr>
      <w:r>
        <w:t>Documento TGP/14 “Glosario de términos utilizados en los documentos de la UPOV” (documento TGP/14/3), sobre la base del documento TGP/14/4 Draft 1.</w:t>
      </w:r>
    </w:p>
    <w:p w14:paraId="012A9D69" w14:textId="77777777" w:rsidR="00E35F66" w:rsidRPr="00824357" w:rsidRDefault="00E35F66" w:rsidP="00050E16"/>
    <w:p w14:paraId="5AE56523" w14:textId="77777777" w:rsidR="00E35F66" w:rsidRPr="00824357" w:rsidRDefault="0016122C" w:rsidP="00F44E48">
      <w:pPr>
        <w:pStyle w:val="ListParagraph"/>
        <w:numPr>
          <w:ilvl w:val="0"/>
          <w:numId w:val="13"/>
        </w:numPr>
      </w:pPr>
      <w:r>
        <w:lastRenderedPageBreak/>
        <w:t>Documento TGP/15 “Orientación sobre el uso de marcadores bioquímicos y moleculares en el examen de la distinción, la homogeneidad y la estabilidad (DHE)” (documento TGP/15/1) sobre la base del documento TGP/15/2 Draft 2.</w:t>
      </w:r>
    </w:p>
    <w:p w14:paraId="2D65DF10" w14:textId="77777777" w:rsidR="00E35F66" w:rsidRPr="00824357" w:rsidRDefault="00E35F66" w:rsidP="00050E16"/>
    <w:p w14:paraId="382B249B" w14:textId="77777777" w:rsidR="00E35F66" w:rsidRPr="00824357" w:rsidRDefault="00C739D6" w:rsidP="00050E16">
      <w:r w:rsidRPr="00824357">
        <w:fldChar w:fldCharType="begin"/>
      </w:r>
      <w:r w:rsidRPr="00824357">
        <w:instrText xml:space="preserve"> AUTONUM  </w:instrText>
      </w:r>
      <w:r w:rsidRPr="00824357">
        <w:fldChar w:fldCharType="end"/>
      </w:r>
      <w:r>
        <w:tab/>
        <w:t>Se invita al TC a tomar nota de que, junto con la aprobación de los documentos TGP revisados, se propondrá al Consejo que apruebe una revisión del documento TGP/0 “Lista de documentos TGP y fechas de última publicación” (documento TGP/0/10) sobre la base del documento TGP/0/11 Draft 1.</w:t>
      </w:r>
    </w:p>
    <w:p w14:paraId="6A282632" w14:textId="77777777" w:rsidR="00222BFA" w:rsidRPr="00824357" w:rsidRDefault="00222BFA" w:rsidP="00050E16"/>
    <w:p w14:paraId="214E4ED7" w14:textId="77777777" w:rsidR="00E35F66" w:rsidRPr="00824357" w:rsidRDefault="008008A9" w:rsidP="008008A9">
      <w:pPr>
        <w:pStyle w:val="Heading3"/>
      </w:pPr>
      <w:bookmarkStart w:id="12" w:name="_Toc21683353"/>
      <w:r>
        <w:t>Posibles futuras revisiones de los documentos TGP</w:t>
      </w:r>
      <w:bookmarkEnd w:id="12"/>
    </w:p>
    <w:p w14:paraId="54335F8D" w14:textId="77777777" w:rsidR="00C739D6" w:rsidRPr="00824357" w:rsidRDefault="00C739D6" w:rsidP="008008A9">
      <w:pPr>
        <w:keepNext/>
      </w:pPr>
    </w:p>
    <w:p w14:paraId="51E58F12" w14:textId="37521813" w:rsidR="00C739D6" w:rsidRPr="00824357" w:rsidRDefault="008008A9" w:rsidP="008008A9">
      <w:pPr>
        <w:pStyle w:val="Heading4"/>
      </w:pPr>
      <w:r>
        <w:t>TGP/7:</w:t>
      </w:r>
      <w:r w:rsidR="002A0DA3">
        <w:t xml:space="preserve"> </w:t>
      </w:r>
      <w:r>
        <w:t>Elaboración de las directrices de examen</w:t>
      </w:r>
    </w:p>
    <w:p w14:paraId="6EAE8020" w14:textId="77777777" w:rsidR="00C739D6" w:rsidRPr="00824357" w:rsidRDefault="00C739D6" w:rsidP="008008A9">
      <w:pPr>
        <w:keepNext/>
      </w:pPr>
    </w:p>
    <w:p w14:paraId="37763C9E" w14:textId="77777777" w:rsidR="00C739D6" w:rsidRPr="00824357" w:rsidRDefault="008008A9" w:rsidP="008C4FB8">
      <w:pPr>
        <w:pStyle w:val="Heading5"/>
      </w:pPr>
      <w:r>
        <w:t>Caracteres que solo se aplican a ciertas variedades</w:t>
      </w:r>
    </w:p>
    <w:p w14:paraId="4E004FF1" w14:textId="77777777" w:rsidR="00C739D6" w:rsidRPr="00824357" w:rsidRDefault="00C739D6" w:rsidP="008008A9">
      <w:pPr>
        <w:keepNext/>
      </w:pPr>
    </w:p>
    <w:p w14:paraId="7D07A285" w14:textId="77777777" w:rsidR="00C739D6" w:rsidRPr="00824357" w:rsidRDefault="008008A9" w:rsidP="008008A9">
      <w:pPr>
        <w:keepNext/>
      </w:pPr>
      <w:r w:rsidRPr="00824357">
        <w:fldChar w:fldCharType="begin"/>
      </w:r>
      <w:r w:rsidRPr="00824357">
        <w:instrText xml:space="preserve"> AUTONUM  </w:instrText>
      </w:r>
      <w:r w:rsidRPr="00824357">
        <w:fldChar w:fldCharType="end"/>
      </w:r>
      <w:r>
        <w:tab/>
        <w:t>El TC examinó los documentos TC/55/12 y TC/55/12 Add.</w:t>
      </w:r>
    </w:p>
    <w:p w14:paraId="28F2BD95" w14:textId="77777777" w:rsidR="00970869" w:rsidRPr="00824357" w:rsidRDefault="00970869" w:rsidP="00970869"/>
    <w:p w14:paraId="035FBAF3" w14:textId="77777777" w:rsidR="00970869" w:rsidRPr="00824357" w:rsidRDefault="00970869" w:rsidP="00970869">
      <w:r w:rsidRPr="00824357">
        <w:fldChar w:fldCharType="begin"/>
      </w:r>
      <w:r w:rsidRPr="00824357">
        <w:instrText xml:space="preserve"> AUTONUM  </w:instrText>
      </w:r>
      <w:r w:rsidRPr="00824357">
        <w:fldChar w:fldCharType="end"/>
      </w:r>
      <w:r>
        <w:tab/>
        <w:t>El TC examinó la propuesta de modificación de la orientación que se ofrece en la nota orientativa 18 (GN 18) del documento TGP/7 a fin de permitir la exclusión de un carácter de la observación sobre la base del nivel de expresión de un carácter pseudocualitativo o cuantitativo anterior.</w:t>
      </w:r>
    </w:p>
    <w:p w14:paraId="0A93AA23" w14:textId="77777777" w:rsidR="008008A9" w:rsidRPr="00824357" w:rsidRDefault="008008A9" w:rsidP="00050E16"/>
    <w:p w14:paraId="5DF2BA7C" w14:textId="77777777" w:rsidR="008008A9" w:rsidRPr="00824357" w:rsidRDefault="00C40863" w:rsidP="00050E16">
      <w:r w:rsidRPr="00824357">
        <w:fldChar w:fldCharType="begin"/>
      </w:r>
      <w:r w:rsidRPr="00824357">
        <w:instrText xml:space="preserve"> AUTONUM  </w:instrText>
      </w:r>
      <w:r w:rsidRPr="00824357">
        <w:fldChar w:fldCharType="end"/>
      </w:r>
      <w:r>
        <w:tab/>
        <w:t>El TC examinó los ejemplos de caracteres cuantitativos y pseudocualitativos facilitados por los TWP, en sus sesiones de 2019, a fin de mostrar cómo puede emplearse el enfoque propuesto de manera que no plantee riesgos respecto de las decisiones sobre la distinción.</w:t>
      </w:r>
    </w:p>
    <w:p w14:paraId="43E9029C" w14:textId="77777777" w:rsidR="00970869" w:rsidRPr="00824357" w:rsidRDefault="00970869" w:rsidP="00970869"/>
    <w:p w14:paraId="5D15F329" w14:textId="77777777" w:rsidR="00970869" w:rsidRPr="00824357" w:rsidRDefault="00970869" w:rsidP="00970869">
      <w:pPr>
        <w:keepLines/>
      </w:pPr>
      <w:r w:rsidRPr="00824357">
        <w:fldChar w:fldCharType="begin"/>
      </w:r>
      <w:r w:rsidRPr="00824357">
        <w:instrText xml:space="preserve"> AUTONUM  </w:instrText>
      </w:r>
      <w:r w:rsidRPr="00824357">
        <w:fldChar w:fldCharType="end"/>
      </w:r>
      <w:r>
        <w:tab/>
        <w:t>El TC convino en modificar la nota orientativa 18 (GN 18) que se ofrece en el documento TGP/7 para que el texto sea el siguiente:</w:t>
      </w:r>
    </w:p>
    <w:p w14:paraId="2E1E5997" w14:textId="77777777" w:rsidR="00970869" w:rsidRPr="00824357" w:rsidRDefault="00970869" w:rsidP="00970869"/>
    <w:p w14:paraId="5D5FCCB2" w14:textId="77777777" w:rsidR="00970869" w:rsidRPr="00824357" w:rsidRDefault="00305C4E" w:rsidP="00970869">
      <w:pPr>
        <w:ind w:left="567" w:right="565"/>
        <w:rPr>
          <w:rFonts w:cs="Arial"/>
          <w:bCs/>
          <w:i/>
          <w:snapToGrid w:val="0"/>
          <w:sz w:val="18"/>
        </w:rPr>
      </w:pPr>
      <w:r>
        <w:rPr>
          <w:i/>
          <w:snapToGrid w:val="0"/>
          <w:sz w:val="18"/>
        </w:rPr>
        <w:t>“3. Caracteres que solo se aplican a ciertas variedades</w:t>
      </w:r>
    </w:p>
    <w:p w14:paraId="3F3CB682" w14:textId="77777777" w:rsidR="00970869" w:rsidRPr="00824357" w:rsidRDefault="00970869" w:rsidP="00970869">
      <w:pPr>
        <w:ind w:left="567" w:right="565"/>
        <w:rPr>
          <w:rFonts w:cs="Arial"/>
          <w:bCs/>
          <w:snapToGrid w:val="0"/>
          <w:sz w:val="18"/>
        </w:rPr>
      </w:pPr>
    </w:p>
    <w:p w14:paraId="17327E02" w14:textId="77777777" w:rsidR="00970869" w:rsidRPr="00824357" w:rsidRDefault="00305C4E" w:rsidP="00970869">
      <w:pPr>
        <w:ind w:left="567" w:right="565"/>
        <w:rPr>
          <w:rFonts w:cs="Arial"/>
          <w:bCs/>
          <w:snapToGrid w:val="0"/>
          <w:sz w:val="18"/>
        </w:rPr>
      </w:pPr>
      <w:r>
        <w:rPr>
          <w:snapToGrid w:val="0"/>
          <w:sz w:val="18"/>
        </w:rPr>
        <w:t xml:space="preserve">En algunos casos, por el nivel de expresión de un carácter anterior puede determinarse que un carácter subsiguiente no es aplicable, por ejemplo, no será posible describir la forma de los lóbulos de la hoja en una variedad que no los tenga. </w:t>
      </w:r>
    </w:p>
    <w:p w14:paraId="0718D1F8" w14:textId="77777777" w:rsidR="00970869" w:rsidRPr="00824357" w:rsidRDefault="00970869" w:rsidP="00970869">
      <w:pPr>
        <w:ind w:left="567" w:right="565"/>
        <w:rPr>
          <w:rFonts w:cs="Arial"/>
          <w:bCs/>
          <w:snapToGrid w:val="0"/>
          <w:sz w:val="18"/>
          <w:szCs w:val="18"/>
          <w:highlight w:val="lightGray"/>
          <w:u w:val="single"/>
        </w:rPr>
      </w:pPr>
    </w:p>
    <w:p w14:paraId="5E3BD642" w14:textId="77777777" w:rsidR="00970869" w:rsidRPr="00824357" w:rsidRDefault="00305C4E" w:rsidP="00970869">
      <w:pPr>
        <w:ind w:left="567" w:right="565"/>
        <w:rPr>
          <w:rFonts w:cs="Arial"/>
          <w:bCs/>
          <w:snapToGrid w:val="0"/>
          <w:sz w:val="18"/>
        </w:rPr>
      </w:pPr>
      <w:r>
        <w:rPr>
          <w:snapToGrid w:val="0"/>
          <w:sz w:val="18"/>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p>
    <w:p w14:paraId="38978089" w14:textId="77777777" w:rsidR="00970869" w:rsidRPr="00824357" w:rsidRDefault="00970869" w:rsidP="00970869">
      <w:pPr>
        <w:ind w:left="567" w:right="565"/>
        <w:rPr>
          <w:rFonts w:cs="Arial"/>
          <w:bCs/>
          <w:snapToGrid w:val="0"/>
          <w:sz w:val="18"/>
        </w:rPr>
      </w:pPr>
    </w:p>
    <w:p w14:paraId="272AEA74" w14:textId="77777777" w:rsidR="00970869" w:rsidRPr="004C1026" w:rsidRDefault="00305C4E" w:rsidP="00970869">
      <w:pPr>
        <w:ind w:left="567" w:right="565"/>
        <w:rPr>
          <w:sz w:val="18"/>
          <w:szCs w:val="18"/>
        </w:rPr>
      </w:pPr>
      <w:r>
        <w:rPr>
          <w:sz w:val="18"/>
        </w:rPr>
        <w:t>Los siguientes ejemplos ilustran cómo puede emplearse el enfoque propuesto para los caracteres QL, PQ y QN de manera que no plantee riesgos respecto de las decisiones sobre la distinción:</w:t>
      </w:r>
    </w:p>
    <w:p w14:paraId="34712016" w14:textId="77777777" w:rsidR="00BF6DF2" w:rsidRPr="004C1026" w:rsidRDefault="00BF6DF2" w:rsidP="00970869">
      <w:pPr>
        <w:ind w:left="567" w:right="565"/>
        <w:rPr>
          <w:rFonts w:cs="Arial"/>
          <w:bCs/>
          <w:snapToGrid w:val="0"/>
          <w:sz w:val="18"/>
        </w:rPr>
      </w:pPr>
    </w:p>
    <w:p w14:paraId="72E8AB74" w14:textId="77777777" w:rsidR="00BF6DF2" w:rsidRPr="004C1026" w:rsidRDefault="00970869" w:rsidP="00970869">
      <w:pPr>
        <w:ind w:left="1134" w:right="565"/>
        <w:rPr>
          <w:rFonts w:cs="Arial"/>
          <w:bCs/>
          <w:snapToGrid w:val="0"/>
          <w:sz w:val="18"/>
        </w:rPr>
      </w:pPr>
      <w:r>
        <w:rPr>
          <w:snapToGrid w:val="0"/>
          <w:sz w:val="18"/>
        </w:rPr>
        <w:t>(QL) Flor: tipo: simple (1); doble (2)</w:t>
      </w:r>
    </w:p>
    <w:p w14:paraId="63067B92" w14:textId="77777777" w:rsidR="00BF6DF2" w:rsidRPr="004C1026" w:rsidRDefault="00BF6DF2" w:rsidP="00BF6DF2">
      <w:pPr>
        <w:ind w:left="1134" w:right="565"/>
        <w:rPr>
          <w:rFonts w:cs="Arial"/>
          <w:bCs/>
          <w:snapToGrid w:val="0"/>
          <w:sz w:val="18"/>
        </w:rPr>
      </w:pPr>
      <w:r>
        <w:rPr>
          <w:snapToGrid w:val="0"/>
          <w:sz w:val="18"/>
        </w:rPr>
        <w:t xml:space="preserve">(PQ) </w:t>
      </w:r>
      <w:r>
        <w:rPr>
          <w:snapToGrid w:val="0"/>
          <w:sz w:val="18"/>
          <w:u w:val="single"/>
        </w:rPr>
        <w:t>Solo variedades con: Flor: tipo: simple</w:t>
      </w:r>
      <w:r>
        <w:rPr>
          <w:snapToGrid w:val="0"/>
          <w:sz w:val="18"/>
        </w:rPr>
        <w:t>: Flor: forma</w:t>
      </w:r>
    </w:p>
    <w:p w14:paraId="0ABF88C1" w14:textId="77777777" w:rsidR="00970869" w:rsidRPr="004C1026" w:rsidRDefault="00970869" w:rsidP="00970869">
      <w:pPr>
        <w:ind w:left="567" w:right="565"/>
        <w:rPr>
          <w:rFonts w:cs="Arial"/>
          <w:bCs/>
          <w:snapToGrid w:val="0"/>
          <w:sz w:val="18"/>
          <w:szCs w:val="18"/>
        </w:rPr>
      </w:pPr>
    </w:p>
    <w:p w14:paraId="70EDF920" w14:textId="77777777" w:rsidR="00970869" w:rsidRPr="004C1026" w:rsidRDefault="00970869" w:rsidP="00FA474A">
      <w:pPr>
        <w:keepNext/>
        <w:keepLines/>
        <w:ind w:left="1560" w:right="567" w:hanging="426"/>
        <w:rPr>
          <w:snapToGrid w:val="0"/>
          <w:sz w:val="18"/>
        </w:rPr>
      </w:pPr>
      <w:r>
        <w:rPr>
          <w:snapToGrid w:val="0"/>
          <w:sz w:val="18"/>
        </w:rPr>
        <w:t>(PQ) Capítulo: tipo: sencillo (1); semidoble (2); doble tipo margarita (3); doble (4)</w:t>
      </w:r>
    </w:p>
    <w:p w14:paraId="747B367C" w14:textId="77777777" w:rsidR="00970869" w:rsidRPr="004C1026" w:rsidRDefault="00970869" w:rsidP="00FA474A">
      <w:pPr>
        <w:keepNext/>
        <w:keepLines/>
        <w:ind w:left="1560" w:right="567" w:hanging="426"/>
        <w:rPr>
          <w:snapToGrid w:val="0"/>
          <w:sz w:val="18"/>
        </w:rPr>
      </w:pPr>
      <w:r>
        <w:rPr>
          <w:snapToGrid w:val="0"/>
          <w:sz w:val="18"/>
        </w:rPr>
        <w:t xml:space="preserve">(QN) </w:t>
      </w:r>
      <w:r>
        <w:rPr>
          <w:sz w:val="18"/>
          <w:u w:val="single"/>
        </w:rPr>
        <w:t>Solo variedades con: Capítulo: tipo: doble tipo margarita o doble:</w:t>
      </w:r>
      <w:r>
        <w:rPr>
          <w:sz w:val="18"/>
        </w:rPr>
        <w:t xml:space="preserve"> Capítulo: altura: corta (3); media (5); alta (7)</w:t>
      </w:r>
    </w:p>
    <w:p w14:paraId="35E6289C" w14:textId="77777777" w:rsidR="00970869" w:rsidRPr="004C1026" w:rsidRDefault="00970869" w:rsidP="00FA474A">
      <w:pPr>
        <w:ind w:left="1560" w:right="567" w:hanging="426"/>
        <w:rPr>
          <w:sz w:val="18"/>
        </w:rPr>
      </w:pPr>
    </w:p>
    <w:p w14:paraId="59B0C25C" w14:textId="77777777" w:rsidR="00970869" w:rsidRPr="004C1026" w:rsidRDefault="00970869" w:rsidP="00FA474A">
      <w:pPr>
        <w:keepNext/>
        <w:ind w:left="1560" w:right="567" w:hanging="426"/>
        <w:rPr>
          <w:sz w:val="18"/>
        </w:rPr>
      </w:pPr>
      <w:r>
        <w:rPr>
          <w:sz w:val="18"/>
        </w:rPr>
        <w:t>(PQ) Planta: repollo: ausente (1); cerrado (2); abierto (3)</w:t>
      </w:r>
    </w:p>
    <w:p w14:paraId="6D1D2D85" w14:textId="77777777" w:rsidR="00970869" w:rsidRPr="004C1026" w:rsidRDefault="00970869" w:rsidP="00FA474A">
      <w:pPr>
        <w:keepNext/>
        <w:ind w:left="1560" w:right="567" w:hanging="426"/>
        <w:rPr>
          <w:sz w:val="18"/>
        </w:rPr>
      </w:pPr>
      <w:r>
        <w:rPr>
          <w:sz w:val="18"/>
        </w:rPr>
        <w:t xml:space="preserve">(QN) </w:t>
      </w:r>
      <w:r>
        <w:rPr>
          <w:sz w:val="18"/>
          <w:u w:val="single"/>
        </w:rPr>
        <w:t>Solo variedades con: Planta: repollo: abierto o cerrado</w:t>
      </w:r>
      <w:r>
        <w:rPr>
          <w:sz w:val="18"/>
        </w:rPr>
        <w:t>: época de formación del repollo: muy temprana (1); temprana (3); media (5); tardía (7); muy tardía (9)”</w:t>
      </w:r>
    </w:p>
    <w:p w14:paraId="136828F3" w14:textId="77777777" w:rsidR="000D2EA4" w:rsidRPr="004C1026" w:rsidRDefault="000D2EA4" w:rsidP="00FA474A">
      <w:pPr>
        <w:ind w:left="1560" w:hanging="426"/>
        <w:rPr>
          <w:i/>
          <w:sz w:val="18"/>
        </w:rPr>
      </w:pPr>
    </w:p>
    <w:p w14:paraId="1DF7BFD5" w14:textId="77777777" w:rsidR="00970869" w:rsidRPr="004C1026" w:rsidRDefault="00970869" w:rsidP="00FA474A">
      <w:pPr>
        <w:ind w:left="1560" w:hanging="426"/>
        <w:rPr>
          <w:snapToGrid w:val="0"/>
          <w:sz w:val="18"/>
        </w:rPr>
      </w:pPr>
      <w:r>
        <w:rPr>
          <w:snapToGrid w:val="0"/>
          <w:sz w:val="18"/>
        </w:rPr>
        <w:t>(QN) Presencia de pelos: ausentes o muy débil (1).</w:t>
      </w:r>
    </w:p>
    <w:p w14:paraId="448701C8" w14:textId="77777777" w:rsidR="00970869" w:rsidRPr="004C1026" w:rsidRDefault="003A013C" w:rsidP="00FA474A">
      <w:pPr>
        <w:ind w:left="1560" w:hanging="426"/>
        <w:rPr>
          <w:snapToGrid w:val="0"/>
          <w:sz w:val="18"/>
        </w:rPr>
      </w:pPr>
      <w:r>
        <w:rPr>
          <w:snapToGrid w:val="0"/>
          <w:sz w:val="18"/>
        </w:rPr>
        <w:t xml:space="preserve">(PQ) </w:t>
      </w:r>
      <w:r>
        <w:rPr>
          <w:snapToGrid w:val="0"/>
          <w:sz w:val="18"/>
          <w:u w:val="single"/>
        </w:rPr>
        <w:t>Solo variedades con: Presencia de pelos: distinta de “ausente o muy débil” (1)</w:t>
      </w:r>
      <w:r>
        <w:rPr>
          <w:snapToGrid w:val="0"/>
          <w:sz w:val="18"/>
        </w:rPr>
        <w:t>: Pelo: color</w:t>
      </w:r>
    </w:p>
    <w:p w14:paraId="0A5C205D" w14:textId="77777777" w:rsidR="00970869" w:rsidRPr="004C1026" w:rsidRDefault="00970869" w:rsidP="00FA474A">
      <w:pPr>
        <w:ind w:left="567"/>
        <w:rPr>
          <w:rFonts w:cs="Arial"/>
          <w:bCs/>
          <w:snapToGrid w:val="0"/>
          <w:sz w:val="18"/>
          <w:szCs w:val="18"/>
        </w:rPr>
      </w:pPr>
    </w:p>
    <w:p w14:paraId="0B5246F0" w14:textId="77777777" w:rsidR="00970869" w:rsidRPr="004C1026" w:rsidRDefault="00305C4E" w:rsidP="00FA474A">
      <w:pPr>
        <w:ind w:left="567" w:right="567"/>
      </w:pPr>
      <w:r>
        <w:rPr>
          <w:sz w:val="18"/>
        </w:rPr>
        <w:t>La exclusión de caracteres de la observación sobre la base de un carácter pseudocualitativo (PQ) o cuantitativo (QN) anterior deberá utilizarse con precaución, teniendo en cuenta las posibles implicaciones de cara al examen de la distinción.”</w:t>
      </w:r>
    </w:p>
    <w:p w14:paraId="6E780CAC" w14:textId="77777777" w:rsidR="00A32AB3" w:rsidRPr="00824357" w:rsidRDefault="00A32AB3" w:rsidP="00A32AB3"/>
    <w:p w14:paraId="0E8B1820" w14:textId="77777777" w:rsidR="008008A9" w:rsidRPr="00824357" w:rsidRDefault="00A32AB3" w:rsidP="00866771">
      <w:pPr>
        <w:pStyle w:val="Heading4"/>
      </w:pPr>
      <w:r>
        <w:t>TGP/8: Diseño de ensayos y técnicas utilizados en el examen de la distinción, la homogeneidad y la estabilidad</w:t>
      </w:r>
    </w:p>
    <w:p w14:paraId="09293DFF" w14:textId="77777777" w:rsidR="008008A9" w:rsidRPr="00824357" w:rsidRDefault="008008A9" w:rsidP="00866771">
      <w:pPr>
        <w:keepNext/>
      </w:pPr>
    </w:p>
    <w:p w14:paraId="0E3C2639" w14:textId="77777777" w:rsidR="00C739D6" w:rsidRPr="00824357" w:rsidRDefault="00A32AB3" w:rsidP="008C4FB8">
      <w:pPr>
        <w:pStyle w:val="Heading5"/>
      </w:pPr>
      <w:r>
        <w:t>Tratamiento de datos para la evaluación de la distinción y la elaboración de descripciones de variedades</w:t>
      </w:r>
    </w:p>
    <w:p w14:paraId="3493103B" w14:textId="77777777" w:rsidR="00C739D6" w:rsidRPr="00824357" w:rsidRDefault="00C739D6" w:rsidP="00866771">
      <w:pPr>
        <w:keepNext/>
      </w:pPr>
    </w:p>
    <w:p w14:paraId="08E271C4" w14:textId="77777777" w:rsidR="00C739D6" w:rsidRPr="00824357" w:rsidRDefault="00A32AB3" w:rsidP="00866771">
      <w:pPr>
        <w:keepNext/>
      </w:pPr>
      <w:r w:rsidRPr="00824357">
        <w:fldChar w:fldCharType="begin"/>
      </w:r>
      <w:r w:rsidRPr="00824357">
        <w:instrText xml:space="preserve"> AUTONUM  </w:instrText>
      </w:r>
      <w:r w:rsidRPr="00824357">
        <w:fldChar w:fldCharType="end"/>
      </w:r>
      <w:r>
        <w:tab/>
        <w:t>El TC examinó los documentos TC/55/13 y TC/55/13 Add.</w:t>
      </w:r>
    </w:p>
    <w:p w14:paraId="723326DF" w14:textId="77777777" w:rsidR="00B95D9D" w:rsidRPr="00824357" w:rsidRDefault="00B95D9D" w:rsidP="00050E16"/>
    <w:p w14:paraId="2F671B78" w14:textId="616288FC" w:rsidR="008441C1" w:rsidRPr="00824357" w:rsidRDefault="008441C1" w:rsidP="008441C1">
      <w:pPr>
        <w:keepNext/>
      </w:pPr>
      <w:r w:rsidRPr="00824357">
        <w:lastRenderedPageBreak/>
        <w:fldChar w:fldCharType="begin"/>
      </w:r>
      <w:r w:rsidRPr="00824357">
        <w:instrText xml:space="preserve"> AUTONUM  </w:instrText>
      </w:r>
      <w:r w:rsidRPr="00824357">
        <w:fldChar w:fldCharType="end"/>
      </w:r>
      <w:r>
        <w:tab/>
        <w:t xml:space="preserve">El TC convino con el TWC en que se ha de modificar el título del documento para que sea </w:t>
      </w:r>
      <w:r w:rsidR="00F4740D">
        <w:t>“</w:t>
      </w:r>
      <w:r>
        <w:t>Tratamiento de datos para la elaboración de descripciones de variedades en el caso de caracteres cuantitativos medidos</w:t>
      </w:r>
      <w:r w:rsidR="00F4740D">
        <w:t>”</w:t>
      </w:r>
      <w:r>
        <w:t>.</w:t>
      </w:r>
    </w:p>
    <w:p w14:paraId="21959826" w14:textId="77777777" w:rsidR="006909E1" w:rsidRDefault="006909E1" w:rsidP="00050E16"/>
    <w:p w14:paraId="02FA9D36" w14:textId="2072FEEC" w:rsidR="008441C1" w:rsidRDefault="006909E1" w:rsidP="00050E16">
      <w:r>
        <w:fldChar w:fldCharType="begin"/>
      </w:r>
      <w:r>
        <w:instrText xml:space="preserve"> AUTONUM  </w:instrText>
      </w:r>
      <w:r>
        <w:fldChar w:fldCharType="end"/>
      </w:r>
      <w:r>
        <w:tab/>
        <w:t>El TC convino con el TWC en que las descripciones de los métodos no son suficientes para la solicitud y las situaciones en que los métodos serían adecuados y en que no lo serían.</w:t>
      </w:r>
    </w:p>
    <w:p w14:paraId="636DC4F5" w14:textId="77777777" w:rsidR="00B95D9D" w:rsidRPr="00824357" w:rsidRDefault="00B95D9D" w:rsidP="00B95D9D"/>
    <w:p w14:paraId="0529C885" w14:textId="77777777" w:rsidR="00B95D9D" w:rsidRPr="00824357" w:rsidRDefault="008441C1" w:rsidP="00B95D9D">
      <w:r w:rsidRPr="00824357">
        <w:fldChar w:fldCharType="begin"/>
      </w:r>
      <w:r w:rsidRPr="00824357">
        <w:instrText xml:space="preserve"> AUTONUM  </w:instrText>
      </w:r>
      <w:r w:rsidRPr="00824357">
        <w:fldChar w:fldCharType="end"/>
      </w:r>
      <w:r>
        <w:tab/>
        <w:t>El TC convino con el TWC en invitar a los expertos de Alemania, Francia, Italia, el Japón y el Reino Unido a facilitar la información siguiente como punto de partida para describir los requisitos de cada método, si procede:</w:t>
      </w:r>
    </w:p>
    <w:p w14:paraId="2EFE54CF" w14:textId="77777777" w:rsidR="00B95D9D" w:rsidRPr="00824357" w:rsidRDefault="00B95D9D" w:rsidP="00B95D9D"/>
    <w:p w14:paraId="6E084F68" w14:textId="77777777" w:rsidR="00B95D9D" w:rsidRPr="00824357" w:rsidRDefault="00B95D9D" w:rsidP="00F44E48">
      <w:pPr>
        <w:pStyle w:val="ListParagraph"/>
        <w:numPr>
          <w:ilvl w:val="0"/>
          <w:numId w:val="12"/>
        </w:numPr>
        <w:ind w:left="1134" w:hanging="567"/>
      </w:pPr>
      <w:r>
        <w:t>País</w:t>
      </w:r>
    </w:p>
    <w:p w14:paraId="4FDB2A30" w14:textId="77777777" w:rsidR="00B95D9D" w:rsidRPr="00824357" w:rsidRDefault="00B95D9D" w:rsidP="00F44E48">
      <w:pPr>
        <w:pStyle w:val="ListParagraph"/>
        <w:numPr>
          <w:ilvl w:val="0"/>
          <w:numId w:val="12"/>
        </w:numPr>
        <w:ind w:left="1134" w:hanging="567"/>
      </w:pPr>
      <w:r>
        <w:t>Método</w:t>
      </w:r>
    </w:p>
    <w:p w14:paraId="25EE5260" w14:textId="77777777" w:rsidR="00B95D9D" w:rsidRPr="00824357" w:rsidRDefault="00B95D9D" w:rsidP="00F44E48">
      <w:pPr>
        <w:pStyle w:val="ListParagraph"/>
        <w:numPr>
          <w:ilvl w:val="0"/>
          <w:numId w:val="12"/>
        </w:numPr>
        <w:ind w:left="1134" w:hanging="567"/>
      </w:pPr>
      <w:r>
        <w:t>¿Se necesita un conjunto completo de variedades ejemplo? [“sí”, “no” o “no procede”]</w:t>
      </w:r>
    </w:p>
    <w:p w14:paraId="42DAE5AC" w14:textId="77777777" w:rsidR="00B95D9D" w:rsidRPr="00824357" w:rsidRDefault="00B95D9D" w:rsidP="00F44E48">
      <w:pPr>
        <w:pStyle w:val="ListParagraph"/>
        <w:numPr>
          <w:ilvl w:val="0"/>
          <w:numId w:val="12"/>
        </w:numPr>
        <w:ind w:left="1134" w:hanging="567"/>
      </w:pPr>
      <w:r>
        <w:t>¿Se necesita un conjunto parcial de variedades ejemplo? [“sí”, “no” o “no procede”]</w:t>
      </w:r>
    </w:p>
    <w:p w14:paraId="62A9C52F" w14:textId="77777777" w:rsidR="00B95D9D" w:rsidRPr="00824357" w:rsidRDefault="00B95D9D" w:rsidP="00F44E48">
      <w:pPr>
        <w:pStyle w:val="ListParagraph"/>
        <w:numPr>
          <w:ilvl w:val="0"/>
          <w:numId w:val="12"/>
        </w:numPr>
        <w:ind w:left="1134" w:hanging="567"/>
      </w:pPr>
      <w:r>
        <w:t>Variedades × años, ¿más de 15 grados de libertad? [“sí”, “no” o “no procede”]</w:t>
      </w:r>
    </w:p>
    <w:p w14:paraId="25FE83C7" w14:textId="77777777" w:rsidR="00B95D9D" w:rsidRPr="00824357" w:rsidRDefault="00B95D9D" w:rsidP="00F44E48">
      <w:pPr>
        <w:pStyle w:val="ListParagraph"/>
        <w:numPr>
          <w:ilvl w:val="0"/>
          <w:numId w:val="12"/>
        </w:numPr>
        <w:ind w:left="1134" w:hanging="567"/>
      </w:pPr>
      <w:r>
        <w:t>¿Se necesitan variedades delimitantes? [“sí”, “no” o “no procede”]</w:t>
      </w:r>
    </w:p>
    <w:p w14:paraId="30122BC1" w14:textId="77777777" w:rsidR="00B95D9D" w:rsidRPr="00824357" w:rsidRDefault="00B95D9D" w:rsidP="00F44E48">
      <w:pPr>
        <w:pStyle w:val="ListParagraph"/>
        <w:numPr>
          <w:ilvl w:val="0"/>
          <w:numId w:val="12"/>
        </w:numPr>
        <w:ind w:left="1134" w:hanging="567"/>
      </w:pPr>
      <w:r>
        <w:t>¿Se necesita el dictamen de un experto en el cultivo? [“sí”, “no” o “no procede”]</w:t>
      </w:r>
    </w:p>
    <w:p w14:paraId="44256960" w14:textId="77777777" w:rsidR="00B95D9D" w:rsidRPr="00824357" w:rsidRDefault="00B95D9D" w:rsidP="00F44E48">
      <w:pPr>
        <w:pStyle w:val="ListParagraph"/>
        <w:numPr>
          <w:ilvl w:val="0"/>
          <w:numId w:val="12"/>
        </w:numPr>
        <w:ind w:left="1134" w:hanging="567"/>
      </w:pPr>
      <w:r>
        <w:t>¿Se necesita una gama completa de expresión en un ensayo en cultivo? [“sí”, “no” o “no procede”]</w:t>
      </w:r>
    </w:p>
    <w:p w14:paraId="6A484EAE" w14:textId="77777777" w:rsidR="00B95D9D" w:rsidRPr="00824357" w:rsidRDefault="00B95D9D" w:rsidP="00F44E48">
      <w:pPr>
        <w:pStyle w:val="ListParagraph"/>
        <w:numPr>
          <w:ilvl w:val="0"/>
          <w:numId w:val="12"/>
        </w:numPr>
        <w:ind w:left="1134" w:hanging="567"/>
      </w:pPr>
      <w:r>
        <w:t>¿Es posible utilizar el método con plantación cíclica? [“sí”, “no” o “no procede”]</w:t>
      </w:r>
    </w:p>
    <w:p w14:paraId="72FF5C00" w14:textId="77777777" w:rsidR="00B95D9D" w:rsidRPr="00824357" w:rsidRDefault="00B95D9D" w:rsidP="00F44E48">
      <w:pPr>
        <w:pStyle w:val="ListParagraph"/>
        <w:numPr>
          <w:ilvl w:val="0"/>
          <w:numId w:val="12"/>
        </w:numPr>
        <w:ind w:left="1134" w:hanging="567"/>
      </w:pPr>
      <w:r>
        <w:t>¿Se necesita una gama continua de expresión? [“sí”, “no” o “no procede”]</w:t>
      </w:r>
    </w:p>
    <w:p w14:paraId="49795054" w14:textId="77777777" w:rsidR="007B0A81" w:rsidRPr="00824357" w:rsidRDefault="007B0A81" w:rsidP="00B95D9D"/>
    <w:p w14:paraId="4E0B88BF" w14:textId="77777777" w:rsidR="00B95D9D" w:rsidRPr="00824357" w:rsidRDefault="008441C1" w:rsidP="00B95D9D">
      <w:r w:rsidRPr="00824357">
        <w:fldChar w:fldCharType="begin"/>
      </w:r>
      <w:r w:rsidRPr="00824357">
        <w:instrText xml:space="preserve"> AUTONUM  </w:instrText>
      </w:r>
      <w:r w:rsidRPr="00824357">
        <w:fldChar w:fldCharType="end"/>
      </w:r>
      <w:r>
        <w:tab/>
        <w:t>El TC convino con el TWC en que los expertos que facilitan información pueden añadir otros criterios o requisitos, si procede.</w:t>
      </w:r>
    </w:p>
    <w:p w14:paraId="2B89E63F" w14:textId="77777777" w:rsidR="006909E1" w:rsidRPr="00824357" w:rsidRDefault="006909E1" w:rsidP="006909E1"/>
    <w:p w14:paraId="6452D713" w14:textId="77777777" w:rsidR="006909E1" w:rsidRPr="00824357" w:rsidRDefault="006909E1" w:rsidP="006909E1">
      <w:r w:rsidRPr="00824357">
        <w:fldChar w:fldCharType="begin"/>
      </w:r>
      <w:r w:rsidRPr="00824357">
        <w:instrText xml:space="preserve"> AUTONUM  </w:instrText>
      </w:r>
      <w:r w:rsidRPr="00824357">
        <w:fldChar w:fldCharType="end"/>
      </w:r>
      <w:r>
        <w:tab/>
        <w:t xml:space="preserve">El TC convino con el TWC en invitar a los expertos de Alemania, Francia, Italia y el Japón a facilitar la información solicitada por el TC al experto del Reino Unido. </w:t>
      </w:r>
    </w:p>
    <w:p w14:paraId="5911EC16" w14:textId="77777777" w:rsidR="005E5A30" w:rsidRPr="00824357" w:rsidRDefault="005E5A30" w:rsidP="00B95D9D"/>
    <w:p w14:paraId="1F9AEF52" w14:textId="77777777" w:rsidR="005E5A30" w:rsidRPr="00824357" w:rsidRDefault="005E5A30" w:rsidP="008C4FB8">
      <w:pPr>
        <w:pStyle w:val="Heading5"/>
        <w:rPr>
          <w:rFonts w:eastAsia="MS Mincho"/>
        </w:rPr>
      </w:pPr>
      <w:bookmarkStart w:id="13" w:name="_Toc21683358"/>
      <w:r>
        <w:t>Criterio combinado interanual de homogeneidad (COYU)</w:t>
      </w:r>
      <w:bookmarkEnd w:id="13"/>
    </w:p>
    <w:p w14:paraId="15DBE2C6" w14:textId="77777777" w:rsidR="006E532C" w:rsidRPr="00824357" w:rsidRDefault="006E532C" w:rsidP="00866771">
      <w:pPr>
        <w:keepNext/>
        <w:rPr>
          <w:rFonts w:eastAsia="MS Mincho"/>
        </w:rPr>
      </w:pPr>
    </w:p>
    <w:p w14:paraId="2F97926F" w14:textId="77777777" w:rsidR="006E532C" w:rsidRPr="00824357" w:rsidRDefault="006E532C" w:rsidP="00866771">
      <w:pPr>
        <w:keepNext/>
        <w:rPr>
          <w:rFonts w:eastAsia="MS Mincho"/>
        </w:rPr>
      </w:pPr>
      <w:r w:rsidRPr="00824357">
        <w:rPr>
          <w:rFonts w:eastAsia="MS Mincho"/>
        </w:rPr>
        <w:fldChar w:fldCharType="begin"/>
      </w:r>
      <w:r w:rsidRPr="00824357">
        <w:rPr>
          <w:rFonts w:eastAsia="MS Mincho"/>
        </w:rPr>
        <w:instrText xml:space="preserve"> AUTONUM  </w:instrText>
      </w:r>
      <w:r w:rsidRPr="00824357">
        <w:rPr>
          <w:rFonts w:eastAsia="MS Mincho"/>
        </w:rPr>
        <w:fldChar w:fldCharType="end"/>
      </w:r>
      <w:r>
        <w:tab/>
        <w:t>El TC examinó los documentos TC/55/4 y TC/55/4 Add.</w:t>
      </w:r>
    </w:p>
    <w:p w14:paraId="64D97142" w14:textId="77777777" w:rsidR="005E5A30" w:rsidRPr="00824357" w:rsidRDefault="005E5A30" w:rsidP="005E5A30">
      <w:pPr>
        <w:rPr>
          <w:rFonts w:eastAsia="MS Mincho"/>
        </w:rPr>
      </w:pPr>
    </w:p>
    <w:p w14:paraId="04DACF04" w14:textId="5854B953" w:rsidR="006E532C" w:rsidRPr="00824357" w:rsidRDefault="006E532C" w:rsidP="005E5A30">
      <w:pPr>
        <w:rPr>
          <w:rFonts w:eastAsia="MS Mincho"/>
        </w:rPr>
      </w:pPr>
      <w:r w:rsidRPr="00824357">
        <w:rPr>
          <w:rFonts w:eastAsia="MS Mincho"/>
        </w:rPr>
        <w:fldChar w:fldCharType="begin"/>
      </w:r>
      <w:r w:rsidRPr="00824357">
        <w:rPr>
          <w:rFonts w:eastAsia="MS Mincho"/>
        </w:rPr>
        <w:instrText xml:space="preserve"> AUTONUM  </w:instrText>
      </w:r>
      <w:r w:rsidRPr="00824357">
        <w:rPr>
          <w:rFonts w:eastAsia="MS Mincho"/>
        </w:rPr>
        <w:fldChar w:fldCharType="end"/>
      </w:r>
      <w:r>
        <w:tab/>
        <w:t>El TC tomó nota de que el TWC, en su trigésima séptima sesión, ha examinado un proyecto de sección para sustituir la</w:t>
      </w:r>
      <w:r w:rsidR="00127374">
        <w:t xml:space="preserve"> sección</w:t>
      </w:r>
      <w:r>
        <w:t xml:space="preserve"> que figura en el documento TGP/8 sobre el método de cálculo del COYU, expuesto en el documento TC/55/4 Add.</w:t>
      </w:r>
      <w:r w:rsidR="002A0DA3">
        <w:t xml:space="preserve"> </w:t>
      </w:r>
      <w:r>
        <w:t xml:space="preserve">El TC tomó nota de que el TWC invitó al experto del Reino Unido a elaborar una versión revisada del proyecto de orientación, para que se presente a este Grupo de Trabajo en su trigésima octava sesión. </w:t>
      </w:r>
    </w:p>
    <w:p w14:paraId="59447E5B" w14:textId="77777777" w:rsidR="006E532C" w:rsidRPr="00824357" w:rsidRDefault="006E532C" w:rsidP="005E5A30">
      <w:pPr>
        <w:rPr>
          <w:rFonts w:eastAsia="MS Mincho"/>
        </w:rPr>
      </w:pPr>
    </w:p>
    <w:p w14:paraId="33B041DA" w14:textId="77777777" w:rsidR="005E5A30" w:rsidRPr="00824357" w:rsidRDefault="000C3495" w:rsidP="005E5A30">
      <w:r>
        <w:fldChar w:fldCharType="begin"/>
      </w:r>
      <w:r>
        <w:instrText xml:space="preserve"> AUTONUM  </w:instrText>
      </w:r>
      <w:r>
        <w:fldChar w:fldCharType="end"/>
      </w:r>
      <w:r>
        <w:tab/>
        <w:t xml:space="preserve">El TC tomó nota de que el TWC invitó a los miembros a utilizar los programas informáticos “R” o “DUST” para examinar el nuevo paquete informático COYU a fin de detectar elementos que puedan mejorarse. </w:t>
      </w:r>
    </w:p>
    <w:p w14:paraId="0BDB050A" w14:textId="77777777" w:rsidR="00B95D9D" w:rsidRPr="00824357" w:rsidRDefault="00B95D9D" w:rsidP="00050E16"/>
    <w:p w14:paraId="6C5D16FD" w14:textId="77777777" w:rsidR="00B95D9D" w:rsidRPr="00824357" w:rsidRDefault="00725951" w:rsidP="00866771">
      <w:pPr>
        <w:pStyle w:val="Heading4"/>
      </w:pPr>
      <w:r>
        <w:t>TGP/14: Glosario de términos utilizados en los documentos de la UPOV</w:t>
      </w:r>
    </w:p>
    <w:p w14:paraId="4A47D741" w14:textId="77777777" w:rsidR="00B95D9D" w:rsidRPr="00824357" w:rsidRDefault="00B95D9D" w:rsidP="00866771">
      <w:pPr>
        <w:keepNext/>
      </w:pPr>
    </w:p>
    <w:p w14:paraId="4119AF75" w14:textId="77777777" w:rsidR="00B95D9D" w:rsidRPr="00824357" w:rsidRDefault="00725951" w:rsidP="008C4FB8">
      <w:pPr>
        <w:pStyle w:val="Heading5"/>
      </w:pPr>
      <w:r>
        <w:t>Nombres de los colores de la carta de colores RHS</w:t>
      </w:r>
    </w:p>
    <w:p w14:paraId="116CE2FD" w14:textId="77777777" w:rsidR="00B95D9D" w:rsidRPr="00824357" w:rsidRDefault="00B95D9D" w:rsidP="00866771">
      <w:pPr>
        <w:keepNext/>
      </w:pPr>
    </w:p>
    <w:p w14:paraId="194CC254" w14:textId="77777777" w:rsidR="00725951" w:rsidRPr="00824357" w:rsidRDefault="00725951" w:rsidP="00866771">
      <w:pPr>
        <w:keepNext/>
        <w:rPr>
          <w:rFonts w:cs="Arial"/>
        </w:rPr>
      </w:pPr>
      <w:r w:rsidRPr="00824357">
        <w:fldChar w:fldCharType="begin"/>
      </w:r>
      <w:r w:rsidRPr="00824357">
        <w:instrText xml:space="preserve"> AUTONUM  </w:instrText>
      </w:r>
      <w:r w:rsidRPr="00824357">
        <w:fldChar w:fldCharType="end"/>
      </w:r>
      <w:r>
        <w:tab/>
        <w:t>El TC examinó el documento TC/55/14.</w:t>
      </w:r>
    </w:p>
    <w:p w14:paraId="30C7CFC2" w14:textId="77777777" w:rsidR="00725951" w:rsidRPr="00824357" w:rsidRDefault="00725951" w:rsidP="00050E16">
      <w:pPr>
        <w:rPr>
          <w:rFonts w:cs="Arial"/>
        </w:rPr>
      </w:pPr>
    </w:p>
    <w:p w14:paraId="7C7A04A3" w14:textId="77777777" w:rsidR="00725951" w:rsidRPr="00FC775A" w:rsidRDefault="00725951" w:rsidP="00050E16">
      <w:pPr>
        <w:rPr>
          <w:rFonts w:cs="Arial"/>
        </w:rPr>
      </w:pPr>
      <w:r w:rsidRPr="00FC775A">
        <w:rPr>
          <w:rFonts w:cs="Arial"/>
        </w:rPr>
        <w:fldChar w:fldCharType="begin"/>
      </w:r>
      <w:r w:rsidRPr="00FC775A">
        <w:rPr>
          <w:rFonts w:cs="Arial"/>
        </w:rPr>
        <w:instrText xml:space="preserve"> AUTONUM  </w:instrText>
      </w:r>
      <w:r w:rsidRPr="00FC775A">
        <w:rPr>
          <w:rFonts w:cs="Arial"/>
        </w:rPr>
        <w:fldChar w:fldCharType="end"/>
      </w:r>
      <w:r>
        <w:tab/>
        <w:t>El TC convino en revisar la lista de grupos de color UPOV del documento TGP/14 “Glosario de términos utilizados en los documentos de la UPOV” conforme a los grupos de color que figuran en el Anexo I del documento TC/55/14.</w:t>
      </w:r>
    </w:p>
    <w:p w14:paraId="7010E623" w14:textId="77777777" w:rsidR="00B95D9D" w:rsidRPr="00FC775A" w:rsidRDefault="00B95D9D" w:rsidP="00050E16"/>
    <w:p w14:paraId="5359AF8B" w14:textId="77777777" w:rsidR="00B95D9D" w:rsidRPr="00824357" w:rsidRDefault="00725951" w:rsidP="00050E16">
      <w:r w:rsidRPr="00FC775A">
        <w:rPr>
          <w:rFonts w:cs="Arial"/>
        </w:rPr>
        <w:fldChar w:fldCharType="begin"/>
      </w:r>
      <w:r w:rsidRPr="00FC775A">
        <w:rPr>
          <w:rFonts w:cs="Arial"/>
        </w:rPr>
        <w:instrText xml:space="preserve"> AUTONUM  </w:instrText>
      </w:r>
      <w:r w:rsidRPr="00FC775A">
        <w:rPr>
          <w:rFonts w:cs="Arial"/>
        </w:rPr>
        <w:fldChar w:fldCharType="end"/>
      </w:r>
      <w:r>
        <w:tab/>
        <w:t>El TC convino en revisar el documento TGP/14, sección 2, subsección 3: “Color” y subsección 3: Anexo: “Nombres de los colores de la carta de colores RHS”, a fin de reflejar la incorporación de la lista revisada de grupos de color UPOV, según se expone en el Anexo II del documento TC/55/14.</w:t>
      </w:r>
    </w:p>
    <w:p w14:paraId="32B057D1" w14:textId="77777777" w:rsidR="00B95D9D" w:rsidRPr="00824357" w:rsidRDefault="00B95D9D" w:rsidP="00050E16"/>
    <w:p w14:paraId="3225AB1E" w14:textId="77777777" w:rsidR="00725951" w:rsidRPr="00824357" w:rsidRDefault="00725951" w:rsidP="00050E16">
      <w:r w:rsidRPr="00824357">
        <w:fldChar w:fldCharType="begin"/>
      </w:r>
      <w:r w:rsidRPr="00824357">
        <w:instrText xml:space="preserve"> AUTONUM  </w:instrText>
      </w:r>
      <w:r w:rsidRPr="00824357">
        <w:fldChar w:fldCharType="end"/>
      </w:r>
      <w:r>
        <w:tab/>
        <w:t>El TC tomó nota de la invitación cursada por el TWF a un experto de Nueva Zelandia para que presente una ponencia sobre el uso de la carta de colores RHS en el examen DHE del albaricoquero, en su quincuagésima primera sesión, que se celebrará en 2020.</w:t>
      </w:r>
    </w:p>
    <w:p w14:paraId="6A226E98" w14:textId="77777777" w:rsidR="00447F85" w:rsidRPr="00824357" w:rsidRDefault="00447F85" w:rsidP="00050E16"/>
    <w:p w14:paraId="45F9AF1C" w14:textId="77777777" w:rsidR="00725951" w:rsidRPr="00824357" w:rsidRDefault="00725951" w:rsidP="00866771">
      <w:pPr>
        <w:pStyle w:val="Heading4"/>
      </w:pPr>
      <w:r>
        <w:lastRenderedPageBreak/>
        <w:t>TGP/15: Orientación sobre el uso de marcadores bioquímicos y moleculares en el examen de la distinción, la homogeneidad y la estabilidad (DHE)</w:t>
      </w:r>
    </w:p>
    <w:p w14:paraId="16BFA29C" w14:textId="77777777" w:rsidR="00725951" w:rsidRPr="00824357" w:rsidRDefault="00725951" w:rsidP="00866771">
      <w:pPr>
        <w:keepNext/>
      </w:pPr>
    </w:p>
    <w:p w14:paraId="50CE018E" w14:textId="77777777" w:rsidR="00725951" w:rsidRPr="00824357" w:rsidRDefault="00725951" w:rsidP="008C4FB8">
      <w:pPr>
        <w:pStyle w:val="Heading5"/>
      </w:pPr>
      <w:r>
        <w:t>Nuevo ejemplo: Marcador ligado a un carácter con información incompleta sobre el nivel de expresión</w:t>
      </w:r>
    </w:p>
    <w:p w14:paraId="0A1E77FC" w14:textId="77777777" w:rsidR="00725951" w:rsidRPr="00824357" w:rsidRDefault="00725951" w:rsidP="00866771">
      <w:pPr>
        <w:keepNext/>
      </w:pPr>
    </w:p>
    <w:p w14:paraId="4DEDB864" w14:textId="77777777" w:rsidR="00725951" w:rsidRPr="00824357" w:rsidRDefault="00725951" w:rsidP="00866771">
      <w:pPr>
        <w:keepNext/>
      </w:pPr>
      <w:r w:rsidRPr="00824357">
        <w:fldChar w:fldCharType="begin"/>
      </w:r>
      <w:r w:rsidRPr="00824357">
        <w:instrText xml:space="preserve"> AUTONUM  </w:instrText>
      </w:r>
      <w:r w:rsidRPr="00824357">
        <w:fldChar w:fldCharType="end"/>
      </w:r>
      <w:r>
        <w:tab/>
        <w:t>El TC examinó los documentos TC/55/15, TC/55/15 Add. y TC/55/15 Add. 2.</w:t>
      </w:r>
    </w:p>
    <w:p w14:paraId="33C7B6DC" w14:textId="77777777" w:rsidR="00725951" w:rsidRPr="00824357" w:rsidRDefault="00725951" w:rsidP="00050E16"/>
    <w:p w14:paraId="0FBEEA4B" w14:textId="77777777" w:rsidR="00725951" w:rsidRPr="00447F85" w:rsidRDefault="00725951" w:rsidP="00050E16">
      <w:r w:rsidRPr="00447F85">
        <w:rPr>
          <w:rFonts w:cs="Arial"/>
        </w:rPr>
        <w:fldChar w:fldCharType="begin"/>
      </w:r>
      <w:r w:rsidRPr="00447F85">
        <w:rPr>
          <w:rFonts w:cs="Arial"/>
        </w:rPr>
        <w:instrText xml:space="preserve"> AUTONUM  </w:instrText>
      </w:r>
      <w:r w:rsidRPr="00447F85">
        <w:rPr>
          <w:rFonts w:cs="Arial"/>
        </w:rPr>
        <w:fldChar w:fldCharType="end"/>
      </w:r>
      <w:r>
        <w:tab/>
        <w:t>El TC examinó la propuesta de añadir un nuevo ejemplo al documento TGP/15 para ilustrar el caso en que un marcador ligado a un carácter no proporciona información completa sobre el nivel de expresión de un carácter, expuesto en el Anexo del documento TC/55/15, junto con las observaciones formuladas por los TWP y el BMT.</w:t>
      </w:r>
    </w:p>
    <w:p w14:paraId="2A2F06F4" w14:textId="77777777" w:rsidR="00725951" w:rsidRPr="00447F85" w:rsidRDefault="00725951" w:rsidP="00725951"/>
    <w:p w14:paraId="692A91F5" w14:textId="5C8F462D" w:rsidR="00725951" w:rsidRPr="00824357" w:rsidRDefault="00447F85" w:rsidP="004C2045">
      <w:pPr>
        <w:rPr>
          <w:rFonts w:eastAsia="Calibri" w:cs="Arial"/>
          <w:sz w:val="18"/>
          <w:szCs w:val="18"/>
        </w:rPr>
      </w:pPr>
      <w:r>
        <w:fldChar w:fldCharType="begin"/>
      </w:r>
      <w:r>
        <w:instrText xml:space="preserve"> AUTONUM  </w:instrText>
      </w:r>
      <w:r>
        <w:fldChar w:fldCharType="end"/>
      </w:r>
      <w:r>
        <w:tab/>
        <w:t>El TC convino en que se ha añadir el ejemplo siguiente, modificado por el TC-EDC, en el documento TGP/15:</w:t>
      </w:r>
      <w:r w:rsidR="002A0DA3">
        <w:t xml:space="preserve"> </w:t>
      </w:r>
    </w:p>
    <w:p w14:paraId="212E639C" w14:textId="77777777" w:rsidR="004C2045" w:rsidRPr="00015E0F" w:rsidRDefault="004C2045" w:rsidP="004C2045">
      <w:pPr>
        <w:ind w:left="567" w:right="567"/>
        <w:rPr>
          <w:sz w:val="18"/>
        </w:rPr>
      </w:pPr>
    </w:p>
    <w:p w14:paraId="0BB017F7" w14:textId="096694A9" w:rsidR="004C2045" w:rsidRPr="00015E0F" w:rsidRDefault="00305C4E" w:rsidP="004C2045">
      <w:pPr>
        <w:spacing w:after="160" w:line="259" w:lineRule="auto"/>
        <w:ind w:left="567" w:right="567"/>
        <w:jc w:val="center"/>
        <w:rPr>
          <w:rFonts w:eastAsia="Calibri" w:cs="Arial"/>
          <w:sz w:val="18"/>
        </w:rPr>
      </w:pPr>
      <w:r>
        <w:rPr>
          <w:sz w:val="18"/>
        </w:rPr>
        <w:t>“EJEMPLO 2:</w:t>
      </w:r>
      <w:r w:rsidR="002A0DA3">
        <w:rPr>
          <w:sz w:val="18"/>
        </w:rPr>
        <w:t xml:space="preserve"> </w:t>
      </w:r>
      <w:r>
        <w:rPr>
          <w:sz w:val="18"/>
        </w:rPr>
        <w:t xml:space="preserve">MARCADOR GENÉTICO ESPECÍFICO CON INFORMACIÓN INCOMPLETA SOBRE EL NIVEL DE EXPRESIÓN DE LA RESISTENCIA A ENFERMEDADES EN EL TOMATE </w:t>
      </w:r>
    </w:p>
    <w:p w14:paraId="7D940C5C" w14:textId="77777777" w:rsidR="004C2045" w:rsidRPr="00015E0F" w:rsidRDefault="004C2045" w:rsidP="004C2045">
      <w:pPr>
        <w:spacing w:after="160" w:line="259" w:lineRule="auto"/>
        <w:ind w:left="567" w:right="567"/>
        <w:jc w:val="center"/>
        <w:rPr>
          <w:rFonts w:eastAsia="Calibri" w:cs="Arial"/>
          <w:i/>
          <w:iCs/>
          <w:sz w:val="18"/>
        </w:rPr>
      </w:pPr>
      <w:r>
        <w:rPr>
          <w:i/>
          <w:sz w:val="18"/>
        </w:rPr>
        <w:t>elaborado por expertos de los Países Bajos</w:t>
      </w:r>
    </w:p>
    <w:p w14:paraId="33AB1704" w14:textId="77777777" w:rsidR="004C2045" w:rsidRPr="00015E0F" w:rsidRDefault="004C2045" w:rsidP="004C2045">
      <w:pPr>
        <w:autoSpaceDE w:val="0"/>
        <w:autoSpaceDN w:val="0"/>
        <w:adjustRightInd w:val="0"/>
        <w:ind w:left="567" w:right="567"/>
        <w:rPr>
          <w:rFonts w:eastAsia="Calibri" w:cs="Arial"/>
          <w:sz w:val="18"/>
        </w:rPr>
      </w:pPr>
    </w:p>
    <w:p w14:paraId="459EB604" w14:textId="77777777" w:rsidR="004C2045" w:rsidRPr="00015E0F" w:rsidRDefault="00305C4E" w:rsidP="004C2045">
      <w:pPr>
        <w:autoSpaceDE w:val="0"/>
        <w:autoSpaceDN w:val="0"/>
        <w:adjustRightInd w:val="0"/>
        <w:ind w:left="567" w:right="567"/>
        <w:rPr>
          <w:rFonts w:eastAsia="Calibri" w:cs="Arial"/>
          <w:sz w:val="18"/>
        </w:rPr>
      </w:pPr>
      <w:r>
        <w:rPr>
          <w:sz w:val="18"/>
        </w:rPr>
        <w:t>“Ejemplo</w:t>
      </w:r>
    </w:p>
    <w:p w14:paraId="74B98ED1" w14:textId="77777777" w:rsidR="004C2045" w:rsidRPr="00015E0F" w:rsidRDefault="004C2045" w:rsidP="004C2045">
      <w:pPr>
        <w:autoSpaceDE w:val="0"/>
        <w:autoSpaceDN w:val="0"/>
        <w:adjustRightInd w:val="0"/>
        <w:ind w:left="567" w:right="567"/>
        <w:rPr>
          <w:rFonts w:eastAsia="Calibri" w:cs="Arial"/>
          <w:sz w:val="18"/>
        </w:rPr>
      </w:pPr>
    </w:p>
    <w:p w14:paraId="0DA8E030" w14:textId="77777777" w:rsidR="004C2045" w:rsidRPr="00015E0F" w:rsidRDefault="00305C4E" w:rsidP="004C2045">
      <w:pPr>
        <w:autoSpaceDE w:val="0"/>
        <w:autoSpaceDN w:val="0"/>
        <w:adjustRightInd w:val="0"/>
        <w:ind w:left="567" w:right="567"/>
        <w:rPr>
          <w:rFonts w:eastAsia="Calibri" w:cs="Arial"/>
          <w:sz w:val="18"/>
          <w:szCs w:val="18"/>
        </w:rPr>
      </w:pPr>
      <w:r>
        <w:rPr>
          <w:sz w:val="18"/>
        </w:rPr>
        <w:t>1.</w:t>
      </w:r>
      <w:r>
        <w:tab/>
      </w:r>
      <w:r>
        <w:rPr>
          <w:sz w:val="18"/>
        </w:rPr>
        <w:t>La presencia del alelo </w:t>
      </w:r>
      <w:r>
        <w:rPr>
          <w:i/>
          <w:sz w:val="18"/>
        </w:rPr>
        <w:t xml:space="preserve">Tm1 </w:t>
      </w:r>
      <w:r>
        <w:rPr>
          <w:sz w:val="18"/>
        </w:rPr>
        <w:t>del gen </w:t>
      </w:r>
      <w:r>
        <w:rPr>
          <w:i/>
          <w:sz w:val="18"/>
        </w:rPr>
        <w:t xml:space="preserve">Tm1 </w:t>
      </w:r>
      <w:r>
        <w:rPr>
          <w:sz w:val="18"/>
        </w:rPr>
        <w:t xml:space="preserve">o de los alelos </w:t>
      </w:r>
      <w:r>
        <w:rPr>
          <w:i/>
          <w:sz w:val="18"/>
        </w:rPr>
        <w:t xml:space="preserve">Tm2 </w:t>
      </w:r>
      <w:r>
        <w:rPr>
          <w:sz w:val="18"/>
        </w:rPr>
        <w:t xml:space="preserve">o </w:t>
      </w:r>
      <w:r>
        <w:rPr>
          <w:i/>
          <w:sz w:val="18"/>
        </w:rPr>
        <w:t>Tm2</w:t>
      </w:r>
      <w:r>
        <w:rPr>
          <w:i/>
          <w:sz w:val="18"/>
          <w:vertAlign w:val="superscript"/>
        </w:rPr>
        <w:t>2</w:t>
      </w:r>
      <w:r w:rsidRPr="00325F97">
        <w:rPr>
          <w:sz w:val="18"/>
        </w:rPr>
        <w:t xml:space="preserve"> </w:t>
      </w:r>
      <w:r>
        <w:rPr>
          <w:sz w:val="18"/>
        </w:rPr>
        <w:t>del gen </w:t>
      </w:r>
      <w:r>
        <w:rPr>
          <w:i/>
          <w:sz w:val="18"/>
        </w:rPr>
        <w:t>Tm2</w:t>
      </w:r>
      <w:r>
        <w:rPr>
          <w:sz w:val="18"/>
        </w:rPr>
        <w:t xml:space="preserve"> confiere resistencia a la cepa 0 del virus del mosaico del tomate (ToMV).</w:t>
      </w:r>
    </w:p>
    <w:p w14:paraId="22AD5972" w14:textId="77777777" w:rsidR="004C2045" w:rsidRPr="00015E0F" w:rsidRDefault="004C2045" w:rsidP="004C2045">
      <w:pPr>
        <w:autoSpaceDE w:val="0"/>
        <w:autoSpaceDN w:val="0"/>
        <w:adjustRightInd w:val="0"/>
        <w:ind w:left="567" w:right="567"/>
        <w:rPr>
          <w:rFonts w:eastAsia="Calibri" w:cs="Arial"/>
          <w:sz w:val="18"/>
          <w:szCs w:val="18"/>
        </w:rPr>
      </w:pPr>
    </w:p>
    <w:p w14:paraId="6F4D333E" w14:textId="27C186E4" w:rsidR="004C2045" w:rsidRPr="00015E0F" w:rsidRDefault="00305C4E" w:rsidP="004C2045">
      <w:pPr>
        <w:autoSpaceDE w:val="0"/>
        <w:autoSpaceDN w:val="0"/>
        <w:adjustRightInd w:val="0"/>
        <w:ind w:left="567" w:right="567"/>
        <w:rPr>
          <w:rFonts w:eastAsia="Calibri" w:cs="Arial"/>
          <w:sz w:val="18"/>
        </w:rPr>
      </w:pPr>
      <w:r>
        <w:rPr>
          <w:sz w:val="18"/>
        </w:rPr>
        <w:t>2.</w:t>
      </w:r>
      <w:r>
        <w:tab/>
      </w:r>
      <w:r>
        <w:rPr>
          <w:sz w:val="18"/>
        </w:rPr>
        <w:t xml:space="preserve">Un solo marcador señala la presencia de los alelos de resistencia </w:t>
      </w:r>
      <w:r>
        <w:rPr>
          <w:i/>
          <w:sz w:val="18"/>
        </w:rPr>
        <w:t>Tm2</w:t>
      </w:r>
      <w:r>
        <w:rPr>
          <w:sz w:val="18"/>
        </w:rPr>
        <w:t xml:space="preserve"> y </w:t>
      </w:r>
      <w:r>
        <w:rPr>
          <w:i/>
          <w:sz w:val="18"/>
        </w:rPr>
        <w:t>Tm2</w:t>
      </w:r>
      <w:r>
        <w:rPr>
          <w:i/>
          <w:sz w:val="18"/>
          <w:vertAlign w:val="superscript"/>
        </w:rPr>
        <w:t>2</w:t>
      </w:r>
      <w:r>
        <w:rPr>
          <w:sz w:val="18"/>
        </w:rPr>
        <w:t xml:space="preserve"> y del alelo susceptible </w:t>
      </w:r>
      <w:r>
        <w:rPr>
          <w:i/>
          <w:sz w:val="18"/>
        </w:rPr>
        <w:t>tm2</w:t>
      </w:r>
      <w:r>
        <w:rPr>
          <w:sz w:val="18"/>
        </w:rPr>
        <w:t>.</w:t>
      </w:r>
      <w:r w:rsidR="002A0DA3">
        <w:rPr>
          <w:sz w:val="18"/>
        </w:rPr>
        <w:t xml:space="preserve"> </w:t>
      </w:r>
      <w:r>
        <w:rPr>
          <w:sz w:val="18"/>
        </w:rPr>
        <w:t>Es el marcador</w:t>
      </w:r>
      <w:r>
        <w:rPr>
          <w:i/>
          <w:sz w:val="18"/>
        </w:rPr>
        <w:t> Tm2/2</w:t>
      </w:r>
      <w:r>
        <w:rPr>
          <w:i/>
          <w:sz w:val="18"/>
          <w:vertAlign w:val="superscript"/>
        </w:rPr>
        <w:t>2</w:t>
      </w:r>
      <w:r>
        <w:rPr>
          <w:sz w:val="18"/>
        </w:rPr>
        <w:t xml:space="preserve"> el cual está posicionado en la secuencia que codifica la proteína.</w:t>
      </w:r>
    </w:p>
    <w:p w14:paraId="7FB3C0A3" w14:textId="77777777" w:rsidR="004C2045" w:rsidRPr="00015E0F" w:rsidRDefault="004C2045" w:rsidP="004C2045">
      <w:pPr>
        <w:autoSpaceDE w:val="0"/>
        <w:autoSpaceDN w:val="0"/>
        <w:adjustRightInd w:val="0"/>
        <w:ind w:left="567" w:right="567"/>
        <w:rPr>
          <w:rFonts w:eastAsia="Calibri" w:cs="Arial"/>
          <w:sz w:val="18"/>
        </w:rPr>
      </w:pPr>
    </w:p>
    <w:p w14:paraId="2DF23BCE" w14:textId="023B0F45" w:rsidR="004C2045" w:rsidRPr="00015E0F" w:rsidRDefault="00305C4E" w:rsidP="004C2045">
      <w:pPr>
        <w:autoSpaceDE w:val="0"/>
        <w:autoSpaceDN w:val="0"/>
        <w:adjustRightInd w:val="0"/>
        <w:ind w:left="567" w:right="567"/>
        <w:rPr>
          <w:rFonts w:eastAsia="Calibri" w:cs="Arial"/>
          <w:sz w:val="18"/>
        </w:rPr>
      </w:pPr>
      <w:r>
        <w:rPr>
          <w:sz w:val="18"/>
        </w:rPr>
        <w:t>3.</w:t>
      </w:r>
      <w:r>
        <w:tab/>
      </w:r>
      <w:r>
        <w:rPr>
          <w:sz w:val="18"/>
        </w:rPr>
        <w:t>Una variedad es resistente a la cepa 0 del ToMV si es portadora del alelo de resistencia </w:t>
      </w:r>
      <w:r>
        <w:rPr>
          <w:i/>
          <w:sz w:val="18"/>
        </w:rPr>
        <w:t>Tm2</w:t>
      </w:r>
      <w:r>
        <w:rPr>
          <w:sz w:val="18"/>
        </w:rPr>
        <w:t xml:space="preserve"> o el alelo de resistencia </w:t>
      </w:r>
      <w:r>
        <w:rPr>
          <w:i/>
          <w:sz w:val="18"/>
        </w:rPr>
        <w:t>Tm2</w:t>
      </w:r>
      <w:r>
        <w:rPr>
          <w:i/>
          <w:sz w:val="18"/>
          <w:vertAlign w:val="superscript"/>
        </w:rPr>
        <w:t>2</w:t>
      </w:r>
      <w:r>
        <w:rPr>
          <w:sz w:val="18"/>
        </w:rPr>
        <w:t>.</w:t>
      </w:r>
      <w:r w:rsidR="002A0DA3">
        <w:rPr>
          <w:sz w:val="18"/>
        </w:rPr>
        <w:t xml:space="preserve"> </w:t>
      </w:r>
    </w:p>
    <w:p w14:paraId="40ED1ACA" w14:textId="77777777" w:rsidR="004C2045" w:rsidRPr="00015E0F" w:rsidRDefault="004C2045" w:rsidP="004C2045">
      <w:pPr>
        <w:autoSpaceDE w:val="0"/>
        <w:autoSpaceDN w:val="0"/>
        <w:adjustRightInd w:val="0"/>
        <w:ind w:left="567" w:right="567"/>
        <w:rPr>
          <w:rFonts w:eastAsia="Calibri" w:cs="Arial"/>
          <w:sz w:val="18"/>
        </w:rPr>
      </w:pPr>
    </w:p>
    <w:p w14:paraId="63297FC3" w14:textId="0A27D947" w:rsidR="004C2045" w:rsidRPr="006F6CE8" w:rsidRDefault="00305C4E" w:rsidP="004C2045">
      <w:pPr>
        <w:autoSpaceDE w:val="0"/>
        <w:autoSpaceDN w:val="0"/>
        <w:adjustRightInd w:val="0"/>
        <w:ind w:left="567" w:right="567"/>
        <w:rPr>
          <w:rFonts w:eastAsia="Calibri" w:cs="Arial"/>
          <w:sz w:val="18"/>
        </w:rPr>
      </w:pPr>
      <w:r>
        <w:rPr>
          <w:sz w:val="18"/>
        </w:rPr>
        <w:t>4.</w:t>
      </w:r>
      <w:r>
        <w:tab/>
      </w:r>
      <w:r>
        <w:rPr>
          <w:sz w:val="18"/>
        </w:rPr>
        <w:t>Una variedad homocigótic</w:t>
      </w:r>
      <w:r w:rsidR="00C259E6">
        <w:rPr>
          <w:sz w:val="18"/>
        </w:rPr>
        <w:t xml:space="preserve">a </w:t>
      </w:r>
      <w:r>
        <w:rPr>
          <w:i/>
          <w:sz w:val="18"/>
        </w:rPr>
        <w:t>t</w:t>
      </w:r>
      <w:r w:rsidR="00BA2CE7">
        <w:rPr>
          <w:i/>
          <w:sz w:val="18"/>
        </w:rPr>
        <w:t>m2/t</w:t>
      </w:r>
      <w:r>
        <w:rPr>
          <w:i/>
          <w:sz w:val="18"/>
        </w:rPr>
        <w:t>m2</w:t>
      </w:r>
      <w:r>
        <w:rPr>
          <w:sz w:val="18"/>
        </w:rPr>
        <w:t xml:space="preserve"> es susceptible a la cepa 0 del ToMV, </w:t>
      </w:r>
      <w:r w:rsidR="00242143">
        <w:rPr>
          <w:sz w:val="18"/>
        </w:rPr>
        <w:t>a no ser que</w:t>
      </w:r>
      <w:r>
        <w:rPr>
          <w:sz w:val="18"/>
        </w:rPr>
        <w:t xml:space="preserve"> el alelo</w:t>
      </w:r>
      <w:r w:rsidR="00242143">
        <w:rPr>
          <w:sz w:val="18"/>
        </w:rPr>
        <w:t xml:space="preserve"> de resistencia</w:t>
      </w:r>
      <w:r>
        <w:rPr>
          <w:sz w:val="18"/>
        </w:rPr>
        <w:t> </w:t>
      </w:r>
      <w:r>
        <w:rPr>
          <w:i/>
          <w:sz w:val="18"/>
        </w:rPr>
        <w:t>Tm1</w:t>
      </w:r>
      <w:r>
        <w:rPr>
          <w:sz w:val="18"/>
        </w:rPr>
        <w:t xml:space="preserve"> codifi</w:t>
      </w:r>
      <w:r w:rsidR="00242143">
        <w:rPr>
          <w:sz w:val="18"/>
        </w:rPr>
        <w:t>que</w:t>
      </w:r>
      <w:r>
        <w:rPr>
          <w:sz w:val="18"/>
        </w:rPr>
        <w:t xml:space="preserve"> la resistencia.</w:t>
      </w:r>
      <w:r w:rsidR="002A0DA3">
        <w:rPr>
          <w:sz w:val="18"/>
        </w:rPr>
        <w:t xml:space="preserve"> </w:t>
      </w:r>
      <w:r>
        <w:rPr>
          <w:sz w:val="18"/>
        </w:rPr>
        <w:t xml:space="preserve">En este caso, no es posible determinar la resistencia a la cepa 0 del ToMV mediante el análisis del marcador de ADN, porque no existe un marcador fiable del </w:t>
      </w:r>
      <w:r w:rsidRPr="006F6CE8">
        <w:rPr>
          <w:sz w:val="18"/>
        </w:rPr>
        <w:t>gen Tm1.</w:t>
      </w:r>
    </w:p>
    <w:p w14:paraId="4A174783" w14:textId="77777777" w:rsidR="004C2045" w:rsidRDefault="004C2045" w:rsidP="004C2045">
      <w:pPr>
        <w:autoSpaceDE w:val="0"/>
        <w:autoSpaceDN w:val="0"/>
        <w:adjustRightInd w:val="0"/>
        <w:ind w:left="567" w:right="567"/>
        <w:rPr>
          <w:rFonts w:eastAsia="Calibri" w:cs="Arial"/>
          <w:sz w:val="18"/>
        </w:rPr>
      </w:pPr>
    </w:p>
    <w:p w14:paraId="7A1F471A" w14:textId="77777777" w:rsidR="00F43A03" w:rsidRPr="00015E0F" w:rsidRDefault="00F43A03" w:rsidP="004C2045">
      <w:pPr>
        <w:autoSpaceDE w:val="0"/>
        <w:autoSpaceDN w:val="0"/>
        <w:adjustRightInd w:val="0"/>
        <w:ind w:left="567" w:right="567"/>
        <w:rPr>
          <w:rFonts w:eastAsia="Calibri" w:cs="Arial"/>
          <w:sz w:val="18"/>
        </w:rPr>
      </w:pPr>
    </w:p>
    <w:p w14:paraId="1CF79A79" w14:textId="71A6F149" w:rsidR="004C2045" w:rsidRPr="00015E0F" w:rsidRDefault="00305C4E" w:rsidP="000C3495">
      <w:pPr>
        <w:keepNext/>
        <w:autoSpaceDE w:val="0"/>
        <w:autoSpaceDN w:val="0"/>
        <w:adjustRightInd w:val="0"/>
        <w:ind w:left="567" w:right="567"/>
        <w:rPr>
          <w:rFonts w:eastAsia="Calibri" w:cs="Arial"/>
          <w:sz w:val="18"/>
        </w:rPr>
      </w:pPr>
      <w:r>
        <w:rPr>
          <w:sz w:val="18"/>
        </w:rPr>
        <w:t>Cuadro 1.</w:t>
      </w:r>
      <w:r w:rsidR="002A0DA3">
        <w:rPr>
          <w:sz w:val="18"/>
        </w:rPr>
        <w:t xml:space="preserve"> </w:t>
      </w:r>
      <w:r>
        <w:rPr>
          <w:sz w:val="18"/>
        </w:rPr>
        <w:t>Resumen esquemático de la resistencia al virus del mosaico del tomate y los alelos de resistencia:</w:t>
      </w:r>
    </w:p>
    <w:p w14:paraId="61EDC855" w14:textId="77777777" w:rsidR="004C2045" w:rsidRPr="00015E0F" w:rsidRDefault="004C2045" w:rsidP="000C3495">
      <w:pPr>
        <w:keepNext/>
        <w:autoSpaceDE w:val="0"/>
        <w:autoSpaceDN w:val="0"/>
        <w:adjustRightInd w:val="0"/>
        <w:ind w:left="567" w:right="567"/>
        <w:rPr>
          <w:rFonts w:eastAsia="Calibri" w:cs="Arial"/>
          <w:sz w:val="18"/>
          <w:szCs w:val="19"/>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DC4B66" w:rsidRPr="00015E0F" w14:paraId="09E00C11" w14:textId="77777777" w:rsidTr="00B07849">
        <w:tc>
          <w:tcPr>
            <w:tcW w:w="1701" w:type="dxa"/>
            <w:vAlign w:val="center"/>
          </w:tcPr>
          <w:p w14:paraId="7A2B3D71" w14:textId="6D8EE405" w:rsidR="004C2045" w:rsidRPr="00015E0F" w:rsidRDefault="0060568F" w:rsidP="000C3495">
            <w:pPr>
              <w:keepNext/>
              <w:autoSpaceDE w:val="0"/>
              <w:autoSpaceDN w:val="0"/>
              <w:adjustRightInd w:val="0"/>
              <w:ind w:left="180"/>
              <w:jc w:val="left"/>
              <w:rPr>
                <w:rFonts w:cs="Arial"/>
                <w:sz w:val="18"/>
                <w:szCs w:val="19"/>
              </w:rPr>
            </w:pPr>
            <w:r>
              <w:rPr>
                <w:sz w:val="18"/>
              </w:rPr>
              <w:t>Genotipo</w:t>
            </w:r>
          </w:p>
        </w:tc>
        <w:tc>
          <w:tcPr>
            <w:tcW w:w="1985" w:type="dxa"/>
            <w:vAlign w:val="center"/>
          </w:tcPr>
          <w:p w14:paraId="67E10CB6" w14:textId="77777777" w:rsidR="004C2045" w:rsidRPr="00015E0F" w:rsidRDefault="004C2045" w:rsidP="000C3495">
            <w:pPr>
              <w:keepNext/>
              <w:autoSpaceDE w:val="0"/>
              <w:autoSpaceDN w:val="0"/>
              <w:adjustRightInd w:val="0"/>
              <w:ind w:left="36" w:right="34"/>
              <w:jc w:val="left"/>
              <w:rPr>
                <w:rFonts w:cs="Arial"/>
                <w:i/>
                <w:sz w:val="18"/>
                <w:szCs w:val="19"/>
              </w:rPr>
            </w:pPr>
            <w:r>
              <w:rPr>
                <w:i/>
                <w:sz w:val="18"/>
              </w:rPr>
              <w:t xml:space="preserve">tm2/tm2 </w:t>
            </w:r>
          </w:p>
          <w:p w14:paraId="3FB19B47" w14:textId="77777777" w:rsidR="004C2045" w:rsidRPr="00015E0F" w:rsidRDefault="004C2045" w:rsidP="000C3495">
            <w:pPr>
              <w:keepNext/>
              <w:autoSpaceDE w:val="0"/>
              <w:autoSpaceDN w:val="0"/>
              <w:adjustRightInd w:val="0"/>
              <w:ind w:left="36" w:right="34"/>
              <w:jc w:val="left"/>
              <w:rPr>
                <w:rFonts w:cs="Arial"/>
                <w:sz w:val="18"/>
                <w:szCs w:val="19"/>
              </w:rPr>
            </w:pPr>
          </w:p>
          <w:p w14:paraId="1B9EC19F" w14:textId="77777777" w:rsidR="004C2045" w:rsidRPr="00015E0F" w:rsidRDefault="004C2045" w:rsidP="000C3495">
            <w:pPr>
              <w:keepNext/>
              <w:autoSpaceDE w:val="0"/>
              <w:autoSpaceDN w:val="0"/>
              <w:adjustRightInd w:val="0"/>
              <w:ind w:left="36" w:right="34"/>
              <w:jc w:val="left"/>
              <w:rPr>
                <w:rFonts w:cs="Arial"/>
                <w:sz w:val="18"/>
                <w:szCs w:val="19"/>
              </w:rPr>
            </w:pPr>
            <w:r>
              <w:rPr>
                <w:sz w:val="18"/>
              </w:rPr>
              <w:t xml:space="preserve">y </w:t>
            </w:r>
          </w:p>
          <w:p w14:paraId="3476A789" w14:textId="77777777" w:rsidR="004C2045" w:rsidRPr="00015E0F" w:rsidRDefault="004C2045" w:rsidP="000C3495">
            <w:pPr>
              <w:keepNext/>
              <w:autoSpaceDE w:val="0"/>
              <w:autoSpaceDN w:val="0"/>
              <w:adjustRightInd w:val="0"/>
              <w:ind w:left="36" w:right="34"/>
              <w:jc w:val="left"/>
              <w:rPr>
                <w:rFonts w:cs="Arial"/>
                <w:sz w:val="18"/>
                <w:szCs w:val="19"/>
              </w:rPr>
            </w:pPr>
          </w:p>
          <w:p w14:paraId="47060424" w14:textId="77777777" w:rsidR="004C2045" w:rsidRPr="00015E0F" w:rsidRDefault="004C2045" w:rsidP="000C3495">
            <w:pPr>
              <w:keepNext/>
              <w:autoSpaceDE w:val="0"/>
              <w:autoSpaceDN w:val="0"/>
              <w:adjustRightInd w:val="0"/>
              <w:ind w:left="36" w:right="34"/>
              <w:jc w:val="left"/>
              <w:rPr>
                <w:rFonts w:cs="Arial"/>
                <w:i/>
                <w:sz w:val="18"/>
                <w:szCs w:val="19"/>
              </w:rPr>
            </w:pPr>
            <w:r>
              <w:rPr>
                <w:i/>
                <w:sz w:val="18"/>
              </w:rPr>
              <w:t>tm1/tm1</w:t>
            </w:r>
          </w:p>
          <w:p w14:paraId="4CD9BCF5" w14:textId="77777777" w:rsidR="004C2045" w:rsidRPr="00015E0F" w:rsidRDefault="004C2045" w:rsidP="000C3495">
            <w:pPr>
              <w:keepNext/>
              <w:autoSpaceDE w:val="0"/>
              <w:autoSpaceDN w:val="0"/>
              <w:adjustRightInd w:val="0"/>
              <w:ind w:left="36" w:right="34"/>
              <w:jc w:val="left"/>
              <w:rPr>
                <w:rFonts w:cs="Arial"/>
                <w:sz w:val="18"/>
                <w:szCs w:val="19"/>
              </w:rPr>
            </w:pPr>
          </w:p>
        </w:tc>
        <w:tc>
          <w:tcPr>
            <w:tcW w:w="2977" w:type="dxa"/>
            <w:vAlign w:val="center"/>
          </w:tcPr>
          <w:p w14:paraId="5832E1B6" w14:textId="77777777" w:rsidR="004C2045" w:rsidRPr="00015E0F" w:rsidRDefault="004C2045" w:rsidP="000C3495">
            <w:pPr>
              <w:keepNext/>
              <w:autoSpaceDE w:val="0"/>
              <w:autoSpaceDN w:val="0"/>
              <w:adjustRightInd w:val="0"/>
              <w:ind w:left="36"/>
              <w:jc w:val="left"/>
              <w:rPr>
                <w:rFonts w:cs="Arial"/>
                <w:sz w:val="18"/>
                <w:szCs w:val="19"/>
              </w:rPr>
            </w:pPr>
            <w:r>
              <w:rPr>
                <w:i/>
                <w:sz w:val="18"/>
              </w:rPr>
              <w:t>Tm2/Tm2 o Tm2</w:t>
            </w:r>
            <w:r>
              <w:rPr>
                <w:i/>
                <w:sz w:val="18"/>
                <w:vertAlign w:val="superscript"/>
              </w:rPr>
              <w:t>2</w:t>
            </w:r>
            <w:r>
              <w:rPr>
                <w:i/>
                <w:sz w:val="18"/>
              </w:rPr>
              <w:t>/Tm2</w:t>
            </w:r>
            <w:r>
              <w:rPr>
                <w:i/>
                <w:sz w:val="18"/>
                <w:vertAlign w:val="superscript"/>
              </w:rPr>
              <w:t>2</w:t>
            </w:r>
            <w:r>
              <w:rPr>
                <w:sz w:val="18"/>
              </w:rPr>
              <w:t xml:space="preserve"> o </w:t>
            </w:r>
            <w:r>
              <w:rPr>
                <w:i/>
                <w:sz w:val="18"/>
              </w:rPr>
              <w:t>Tm2</w:t>
            </w:r>
            <w:r>
              <w:rPr>
                <w:i/>
                <w:sz w:val="18"/>
                <w:vertAlign w:val="superscript"/>
              </w:rPr>
              <w:t>2</w:t>
            </w:r>
            <w:r>
              <w:rPr>
                <w:i/>
                <w:sz w:val="18"/>
              </w:rPr>
              <w:t>/Tm2</w:t>
            </w:r>
            <w:r>
              <w:rPr>
                <w:sz w:val="18"/>
              </w:rPr>
              <w:t xml:space="preserve"> o </w:t>
            </w:r>
          </w:p>
          <w:p w14:paraId="3309F3BC" w14:textId="77777777" w:rsidR="004C2045" w:rsidRPr="00015E0F" w:rsidRDefault="004C2045" w:rsidP="000C3495">
            <w:pPr>
              <w:keepNext/>
              <w:autoSpaceDE w:val="0"/>
              <w:autoSpaceDN w:val="0"/>
              <w:adjustRightInd w:val="0"/>
              <w:ind w:left="36"/>
              <w:jc w:val="left"/>
              <w:rPr>
                <w:rFonts w:cs="Arial"/>
                <w:i/>
                <w:sz w:val="18"/>
                <w:szCs w:val="19"/>
              </w:rPr>
            </w:pPr>
            <w:r>
              <w:rPr>
                <w:i/>
                <w:sz w:val="18"/>
              </w:rPr>
              <w:t>Tm2/tm2 o Tm2</w:t>
            </w:r>
            <w:r>
              <w:rPr>
                <w:i/>
                <w:sz w:val="18"/>
                <w:vertAlign w:val="superscript"/>
              </w:rPr>
              <w:t>2</w:t>
            </w:r>
            <w:r>
              <w:rPr>
                <w:i/>
                <w:sz w:val="18"/>
              </w:rPr>
              <w:t>/tm2</w:t>
            </w:r>
          </w:p>
          <w:p w14:paraId="1FD84D5D" w14:textId="77777777" w:rsidR="004C2045" w:rsidRPr="00015E0F" w:rsidRDefault="004C2045" w:rsidP="000C3495">
            <w:pPr>
              <w:keepNext/>
              <w:autoSpaceDE w:val="0"/>
              <w:autoSpaceDN w:val="0"/>
              <w:adjustRightInd w:val="0"/>
              <w:ind w:left="36"/>
              <w:jc w:val="left"/>
              <w:rPr>
                <w:rFonts w:cs="Arial"/>
                <w:sz w:val="18"/>
                <w:szCs w:val="19"/>
              </w:rPr>
            </w:pPr>
          </w:p>
          <w:p w14:paraId="481CA900" w14:textId="77777777" w:rsidR="004C2045" w:rsidRPr="00015E0F" w:rsidRDefault="004C2045" w:rsidP="000C3495">
            <w:pPr>
              <w:keepNext/>
              <w:autoSpaceDE w:val="0"/>
              <w:autoSpaceDN w:val="0"/>
              <w:adjustRightInd w:val="0"/>
              <w:ind w:left="36"/>
              <w:jc w:val="left"/>
              <w:rPr>
                <w:rFonts w:cs="Arial"/>
                <w:sz w:val="18"/>
                <w:szCs w:val="19"/>
              </w:rPr>
            </w:pPr>
            <w:r>
              <w:rPr>
                <w:sz w:val="18"/>
              </w:rPr>
              <w:t xml:space="preserve">y </w:t>
            </w:r>
          </w:p>
          <w:p w14:paraId="0E8C3208" w14:textId="77777777" w:rsidR="004C2045" w:rsidRPr="00015E0F" w:rsidRDefault="004C2045" w:rsidP="000C3495">
            <w:pPr>
              <w:keepNext/>
              <w:autoSpaceDE w:val="0"/>
              <w:autoSpaceDN w:val="0"/>
              <w:adjustRightInd w:val="0"/>
              <w:ind w:left="36"/>
              <w:jc w:val="left"/>
              <w:rPr>
                <w:rFonts w:cs="Arial"/>
                <w:sz w:val="18"/>
                <w:szCs w:val="19"/>
              </w:rPr>
            </w:pPr>
          </w:p>
          <w:p w14:paraId="336805E5" w14:textId="77777777" w:rsidR="004C2045" w:rsidRPr="00015E0F" w:rsidRDefault="004C2045" w:rsidP="000C3495">
            <w:pPr>
              <w:keepNext/>
              <w:autoSpaceDE w:val="0"/>
              <w:autoSpaceDN w:val="0"/>
              <w:adjustRightInd w:val="0"/>
              <w:spacing w:before="60"/>
              <w:ind w:left="36"/>
              <w:jc w:val="left"/>
              <w:rPr>
                <w:rFonts w:cs="Arial"/>
                <w:sz w:val="18"/>
                <w:szCs w:val="19"/>
              </w:rPr>
            </w:pPr>
            <w:r>
              <w:rPr>
                <w:i/>
                <w:sz w:val="18"/>
              </w:rPr>
              <w:t>Tm1/Tm1</w:t>
            </w:r>
            <w:r>
              <w:rPr>
                <w:sz w:val="18"/>
              </w:rPr>
              <w:t xml:space="preserve"> o </w:t>
            </w:r>
            <w:r>
              <w:rPr>
                <w:i/>
                <w:sz w:val="18"/>
              </w:rPr>
              <w:t>Tm1/tm1</w:t>
            </w:r>
            <w:r>
              <w:rPr>
                <w:sz w:val="18"/>
              </w:rPr>
              <w:t xml:space="preserve"> o </w:t>
            </w:r>
            <w:r>
              <w:rPr>
                <w:i/>
                <w:sz w:val="18"/>
              </w:rPr>
              <w:t>tm1/tm1</w:t>
            </w:r>
          </w:p>
        </w:tc>
        <w:tc>
          <w:tcPr>
            <w:tcW w:w="1842" w:type="dxa"/>
            <w:vAlign w:val="center"/>
          </w:tcPr>
          <w:p w14:paraId="38B6E361" w14:textId="77777777" w:rsidR="004C2045" w:rsidRPr="00015E0F" w:rsidRDefault="004C2045" w:rsidP="000C3495">
            <w:pPr>
              <w:keepNext/>
              <w:autoSpaceDE w:val="0"/>
              <w:autoSpaceDN w:val="0"/>
              <w:adjustRightInd w:val="0"/>
              <w:ind w:left="20" w:right="-108"/>
              <w:jc w:val="left"/>
              <w:rPr>
                <w:rFonts w:cs="Arial"/>
                <w:i/>
                <w:sz w:val="18"/>
                <w:szCs w:val="19"/>
              </w:rPr>
            </w:pPr>
            <w:r>
              <w:rPr>
                <w:i/>
                <w:sz w:val="18"/>
              </w:rPr>
              <w:t xml:space="preserve">tm2/tm2 </w:t>
            </w:r>
          </w:p>
          <w:p w14:paraId="5B3DDB20" w14:textId="77777777" w:rsidR="004C2045" w:rsidRPr="00015E0F" w:rsidRDefault="004C2045" w:rsidP="000C3495">
            <w:pPr>
              <w:keepNext/>
              <w:autoSpaceDE w:val="0"/>
              <w:autoSpaceDN w:val="0"/>
              <w:adjustRightInd w:val="0"/>
              <w:ind w:left="20" w:right="-108"/>
              <w:jc w:val="left"/>
              <w:rPr>
                <w:rFonts w:cs="Arial"/>
                <w:sz w:val="18"/>
                <w:szCs w:val="19"/>
              </w:rPr>
            </w:pPr>
          </w:p>
          <w:p w14:paraId="6F0C4120" w14:textId="77777777" w:rsidR="004C2045" w:rsidRPr="00015E0F" w:rsidRDefault="004C2045" w:rsidP="000C3495">
            <w:pPr>
              <w:keepNext/>
              <w:autoSpaceDE w:val="0"/>
              <w:autoSpaceDN w:val="0"/>
              <w:adjustRightInd w:val="0"/>
              <w:ind w:left="20" w:right="-108"/>
              <w:jc w:val="left"/>
              <w:rPr>
                <w:rFonts w:cs="Arial"/>
                <w:sz w:val="18"/>
                <w:szCs w:val="19"/>
              </w:rPr>
            </w:pPr>
            <w:r>
              <w:rPr>
                <w:sz w:val="18"/>
              </w:rPr>
              <w:t>y</w:t>
            </w:r>
          </w:p>
          <w:p w14:paraId="442B550C" w14:textId="77777777" w:rsidR="004C2045" w:rsidRPr="00015E0F" w:rsidRDefault="004C2045" w:rsidP="000C3495">
            <w:pPr>
              <w:keepNext/>
              <w:autoSpaceDE w:val="0"/>
              <w:autoSpaceDN w:val="0"/>
              <w:adjustRightInd w:val="0"/>
              <w:ind w:left="20" w:right="-108"/>
              <w:jc w:val="left"/>
              <w:rPr>
                <w:rFonts w:cs="Arial"/>
                <w:sz w:val="18"/>
                <w:szCs w:val="19"/>
              </w:rPr>
            </w:pPr>
          </w:p>
          <w:p w14:paraId="4D6A80E7" w14:textId="77777777" w:rsidR="004C2045" w:rsidRPr="00015E0F" w:rsidRDefault="004C2045" w:rsidP="000C3495">
            <w:pPr>
              <w:keepNext/>
              <w:autoSpaceDE w:val="0"/>
              <w:autoSpaceDN w:val="0"/>
              <w:adjustRightInd w:val="0"/>
              <w:ind w:left="20" w:right="-108"/>
              <w:jc w:val="left"/>
              <w:rPr>
                <w:rFonts w:cs="Arial"/>
                <w:i/>
                <w:sz w:val="18"/>
                <w:szCs w:val="19"/>
              </w:rPr>
            </w:pPr>
            <w:r>
              <w:rPr>
                <w:i/>
                <w:sz w:val="18"/>
              </w:rPr>
              <w:t>Tm1/Tm1</w:t>
            </w:r>
            <w:r>
              <w:rPr>
                <w:sz w:val="18"/>
              </w:rPr>
              <w:t xml:space="preserve"> o </w:t>
            </w:r>
            <w:r>
              <w:rPr>
                <w:i/>
                <w:sz w:val="18"/>
              </w:rPr>
              <w:t xml:space="preserve">Tm1/tm1 </w:t>
            </w:r>
          </w:p>
        </w:tc>
      </w:tr>
      <w:tr w:rsidR="00DC4B66" w:rsidRPr="00015E0F" w14:paraId="47C39F40" w14:textId="77777777" w:rsidTr="00B07849">
        <w:trPr>
          <w:trHeight w:val="606"/>
        </w:trPr>
        <w:tc>
          <w:tcPr>
            <w:tcW w:w="1701" w:type="dxa"/>
            <w:vAlign w:val="center"/>
          </w:tcPr>
          <w:p w14:paraId="733B9C19" w14:textId="77777777" w:rsidR="004C2045" w:rsidRPr="00015E0F" w:rsidRDefault="004C2045" w:rsidP="00DC4B66">
            <w:pPr>
              <w:autoSpaceDE w:val="0"/>
              <w:autoSpaceDN w:val="0"/>
              <w:adjustRightInd w:val="0"/>
              <w:ind w:left="180"/>
              <w:jc w:val="left"/>
              <w:rPr>
                <w:rFonts w:cs="Arial"/>
                <w:sz w:val="18"/>
                <w:szCs w:val="19"/>
              </w:rPr>
            </w:pPr>
            <w:r>
              <w:rPr>
                <w:sz w:val="18"/>
              </w:rPr>
              <w:t xml:space="preserve">Marcador </w:t>
            </w:r>
            <w:r>
              <w:rPr>
                <w:i/>
                <w:sz w:val="18"/>
              </w:rPr>
              <w:t>Tm2/2</w:t>
            </w:r>
            <w:r>
              <w:rPr>
                <w:i/>
                <w:sz w:val="18"/>
                <w:vertAlign w:val="superscript"/>
              </w:rPr>
              <w:t>2</w:t>
            </w:r>
          </w:p>
        </w:tc>
        <w:tc>
          <w:tcPr>
            <w:tcW w:w="1985" w:type="dxa"/>
            <w:vAlign w:val="center"/>
          </w:tcPr>
          <w:p w14:paraId="50E06690" w14:textId="77777777" w:rsidR="004C2045" w:rsidRPr="00015E0F" w:rsidRDefault="004C2045" w:rsidP="00DC4B66">
            <w:pPr>
              <w:autoSpaceDE w:val="0"/>
              <w:autoSpaceDN w:val="0"/>
              <w:adjustRightInd w:val="0"/>
              <w:ind w:left="36" w:right="34"/>
              <w:jc w:val="left"/>
              <w:rPr>
                <w:rFonts w:cs="Arial"/>
                <w:sz w:val="18"/>
                <w:szCs w:val="19"/>
              </w:rPr>
            </w:pPr>
            <w:r>
              <w:rPr>
                <w:sz w:val="18"/>
              </w:rPr>
              <w:t>alelo susceptible</w:t>
            </w:r>
          </w:p>
        </w:tc>
        <w:tc>
          <w:tcPr>
            <w:tcW w:w="2977" w:type="dxa"/>
            <w:vAlign w:val="center"/>
          </w:tcPr>
          <w:p w14:paraId="4BCB8957" w14:textId="77777777" w:rsidR="004C2045" w:rsidRPr="00015E0F" w:rsidRDefault="004C2045" w:rsidP="00DC4B66">
            <w:pPr>
              <w:autoSpaceDE w:val="0"/>
              <w:autoSpaceDN w:val="0"/>
              <w:adjustRightInd w:val="0"/>
              <w:ind w:left="36"/>
              <w:jc w:val="left"/>
              <w:rPr>
                <w:rFonts w:cs="Arial"/>
                <w:sz w:val="18"/>
                <w:szCs w:val="19"/>
              </w:rPr>
            </w:pPr>
            <w:r>
              <w:rPr>
                <w:sz w:val="18"/>
              </w:rPr>
              <w:t>alelo resistente</w:t>
            </w:r>
          </w:p>
        </w:tc>
        <w:tc>
          <w:tcPr>
            <w:tcW w:w="1842" w:type="dxa"/>
            <w:vAlign w:val="center"/>
          </w:tcPr>
          <w:p w14:paraId="5A609F14" w14:textId="77777777" w:rsidR="004C2045" w:rsidRPr="00015E0F" w:rsidRDefault="004C2045" w:rsidP="00DC4B66">
            <w:pPr>
              <w:autoSpaceDE w:val="0"/>
              <w:autoSpaceDN w:val="0"/>
              <w:adjustRightInd w:val="0"/>
              <w:ind w:left="20" w:right="-108"/>
              <w:jc w:val="left"/>
              <w:rPr>
                <w:rFonts w:cs="Arial"/>
                <w:sz w:val="18"/>
                <w:szCs w:val="19"/>
              </w:rPr>
            </w:pPr>
            <w:r>
              <w:rPr>
                <w:sz w:val="18"/>
              </w:rPr>
              <w:t>alelo susceptible</w:t>
            </w:r>
          </w:p>
        </w:tc>
      </w:tr>
      <w:tr w:rsidR="00DC4B66" w:rsidRPr="00015E0F" w14:paraId="4A384812" w14:textId="77777777" w:rsidTr="00B07849">
        <w:trPr>
          <w:trHeight w:val="558"/>
        </w:trPr>
        <w:tc>
          <w:tcPr>
            <w:tcW w:w="1701" w:type="dxa"/>
            <w:vAlign w:val="center"/>
          </w:tcPr>
          <w:p w14:paraId="36C1440D" w14:textId="77777777" w:rsidR="004C2045" w:rsidRPr="00015E0F" w:rsidRDefault="004C2045" w:rsidP="00DC4B66">
            <w:pPr>
              <w:autoSpaceDE w:val="0"/>
              <w:autoSpaceDN w:val="0"/>
              <w:adjustRightInd w:val="0"/>
              <w:spacing w:before="120" w:after="120"/>
              <w:ind w:left="180"/>
              <w:jc w:val="left"/>
              <w:rPr>
                <w:rFonts w:cs="Arial"/>
                <w:sz w:val="18"/>
                <w:szCs w:val="19"/>
              </w:rPr>
            </w:pPr>
            <w:r>
              <w:rPr>
                <w:sz w:val="18"/>
              </w:rPr>
              <w:t>Resistencia a la cepa 0 del ToMV</w:t>
            </w:r>
          </w:p>
        </w:tc>
        <w:tc>
          <w:tcPr>
            <w:tcW w:w="1985" w:type="dxa"/>
            <w:vAlign w:val="center"/>
          </w:tcPr>
          <w:p w14:paraId="2F5C6C7B" w14:textId="77777777" w:rsidR="004C2045" w:rsidRPr="00015E0F" w:rsidRDefault="004C2045" w:rsidP="00DC4B66">
            <w:pPr>
              <w:autoSpaceDE w:val="0"/>
              <w:autoSpaceDN w:val="0"/>
              <w:adjustRightInd w:val="0"/>
              <w:ind w:left="36" w:right="34"/>
              <w:jc w:val="left"/>
              <w:rPr>
                <w:rFonts w:cs="Arial"/>
                <w:sz w:val="18"/>
                <w:szCs w:val="19"/>
              </w:rPr>
            </w:pPr>
            <w:r>
              <w:rPr>
                <w:sz w:val="18"/>
              </w:rPr>
              <w:t>ausente</w:t>
            </w:r>
          </w:p>
        </w:tc>
        <w:tc>
          <w:tcPr>
            <w:tcW w:w="2977" w:type="dxa"/>
            <w:vAlign w:val="center"/>
          </w:tcPr>
          <w:p w14:paraId="07BA88A6" w14:textId="77777777" w:rsidR="004C2045" w:rsidRPr="00015E0F" w:rsidRDefault="004C2045" w:rsidP="00DC4B66">
            <w:pPr>
              <w:autoSpaceDE w:val="0"/>
              <w:autoSpaceDN w:val="0"/>
              <w:adjustRightInd w:val="0"/>
              <w:ind w:left="36"/>
              <w:jc w:val="left"/>
              <w:rPr>
                <w:rFonts w:cs="Arial"/>
                <w:sz w:val="18"/>
                <w:szCs w:val="19"/>
              </w:rPr>
            </w:pPr>
            <w:r>
              <w:rPr>
                <w:sz w:val="18"/>
              </w:rPr>
              <w:t>presente</w:t>
            </w:r>
          </w:p>
        </w:tc>
        <w:tc>
          <w:tcPr>
            <w:tcW w:w="1842" w:type="dxa"/>
            <w:vAlign w:val="center"/>
          </w:tcPr>
          <w:p w14:paraId="1A18F33E" w14:textId="77777777" w:rsidR="004C2045" w:rsidRPr="00015E0F" w:rsidRDefault="004C2045" w:rsidP="00DC4B66">
            <w:pPr>
              <w:autoSpaceDE w:val="0"/>
              <w:autoSpaceDN w:val="0"/>
              <w:adjustRightInd w:val="0"/>
              <w:ind w:left="20" w:right="-108"/>
              <w:jc w:val="left"/>
              <w:rPr>
                <w:rFonts w:cs="Arial"/>
                <w:sz w:val="18"/>
                <w:szCs w:val="19"/>
              </w:rPr>
            </w:pPr>
            <w:r>
              <w:rPr>
                <w:sz w:val="18"/>
              </w:rPr>
              <w:t>presente</w:t>
            </w:r>
          </w:p>
        </w:tc>
      </w:tr>
    </w:tbl>
    <w:p w14:paraId="6C31BD5E" w14:textId="77777777" w:rsidR="004C2045" w:rsidRPr="00015E0F" w:rsidRDefault="004C2045" w:rsidP="004C2045">
      <w:pPr>
        <w:autoSpaceDE w:val="0"/>
        <w:autoSpaceDN w:val="0"/>
        <w:adjustRightInd w:val="0"/>
        <w:ind w:left="567" w:right="567"/>
        <w:rPr>
          <w:rFonts w:eastAsia="Calibri" w:cs="Arial"/>
          <w:sz w:val="18"/>
        </w:rPr>
      </w:pPr>
    </w:p>
    <w:p w14:paraId="4B3AAF64" w14:textId="48EE713C" w:rsidR="004C2045" w:rsidRPr="00015E0F" w:rsidRDefault="00305C4E" w:rsidP="004C2045">
      <w:pPr>
        <w:autoSpaceDE w:val="0"/>
        <w:autoSpaceDN w:val="0"/>
        <w:adjustRightInd w:val="0"/>
        <w:ind w:left="567" w:right="567"/>
        <w:rPr>
          <w:rFonts w:eastAsia="Calibri" w:cs="Arial"/>
          <w:sz w:val="18"/>
        </w:rPr>
      </w:pPr>
      <w:r>
        <w:rPr>
          <w:sz w:val="18"/>
        </w:rPr>
        <w:t>5.</w:t>
      </w:r>
      <w:r>
        <w:tab/>
      </w:r>
      <w:r>
        <w:rPr>
          <w:sz w:val="18"/>
        </w:rPr>
        <w:t>Si se declara que una variedad es resistente a la cepa 0 del ToMV, se puede realizar un análisis del marcador de ADN.</w:t>
      </w:r>
      <w:r w:rsidR="002A0DA3">
        <w:rPr>
          <w:sz w:val="18"/>
        </w:rPr>
        <w:t xml:space="preserve"> </w:t>
      </w:r>
      <w:r>
        <w:rPr>
          <w:sz w:val="18"/>
        </w:rPr>
        <w:t>En los casos en que la resistencia se base en la presencia de los alelos </w:t>
      </w:r>
      <w:r>
        <w:rPr>
          <w:i/>
          <w:sz w:val="18"/>
        </w:rPr>
        <w:t>Tm2</w:t>
      </w:r>
      <w:r>
        <w:rPr>
          <w:sz w:val="18"/>
        </w:rPr>
        <w:t xml:space="preserve"> o </w:t>
      </w:r>
      <w:r>
        <w:rPr>
          <w:i/>
          <w:sz w:val="18"/>
        </w:rPr>
        <w:t>Tm2</w:t>
      </w:r>
      <w:r>
        <w:rPr>
          <w:i/>
          <w:sz w:val="18"/>
          <w:vertAlign w:val="superscript"/>
        </w:rPr>
        <w:t>2</w:t>
      </w:r>
      <w:r>
        <w:rPr>
          <w:sz w:val="18"/>
        </w:rPr>
        <w:t>, el análisis del marcador de ADN puede reemplazar al bioanálisis tradicional.</w:t>
      </w:r>
    </w:p>
    <w:p w14:paraId="25676D11" w14:textId="77777777" w:rsidR="004C2045" w:rsidRPr="00015E0F" w:rsidRDefault="004C2045" w:rsidP="004C2045">
      <w:pPr>
        <w:autoSpaceDE w:val="0"/>
        <w:autoSpaceDN w:val="0"/>
        <w:adjustRightInd w:val="0"/>
        <w:ind w:left="567" w:right="567"/>
        <w:rPr>
          <w:rFonts w:eastAsia="Calibri" w:cs="Arial"/>
          <w:sz w:val="18"/>
        </w:rPr>
      </w:pPr>
    </w:p>
    <w:p w14:paraId="0BCFE192" w14:textId="77777777" w:rsidR="004C2045" w:rsidRPr="00015E0F" w:rsidRDefault="00305C4E" w:rsidP="004C2045">
      <w:pPr>
        <w:autoSpaceDE w:val="0"/>
        <w:autoSpaceDN w:val="0"/>
        <w:adjustRightInd w:val="0"/>
        <w:ind w:left="567" w:right="567"/>
        <w:rPr>
          <w:rFonts w:eastAsia="Calibri" w:cs="Arial"/>
          <w:sz w:val="18"/>
        </w:rPr>
      </w:pPr>
      <w:r>
        <w:rPr>
          <w:sz w:val="18"/>
        </w:rPr>
        <w:t>6.</w:t>
      </w:r>
      <w:r>
        <w:tab/>
      </w:r>
      <w:r>
        <w:rPr>
          <w:sz w:val="18"/>
        </w:rPr>
        <w:t>Si el análisis del marcador de ADN no confirma la resistencia declarada o si se declara que la variedad es susceptible, se debe realizar un bioanálisis.”</w:t>
      </w:r>
    </w:p>
    <w:p w14:paraId="410D60F3" w14:textId="77777777" w:rsidR="004C2045" w:rsidRDefault="004C2045" w:rsidP="004C2045"/>
    <w:p w14:paraId="394D2BFC" w14:textId="4DC71A2F" w:rsidR="00447F85" w:rsidRDefault="004C2045" w:rsidP="004C2045">
      <w:r>
        <w:fldChar w:fldCharType="begin"/>
      </w:r>
      <w:r>
        <w:instrText xml:space="preserve"> AUTONUM  </w:instrText>
      </w:r>
      <w:r>
        <w:fldChar w:fldCharType="end"/>
      </w:r>
      <w:r>
        <w:tab/>
        <w:t>El TC tomó nota de que el nuevo ejemplo “Marcador ligado a un carácter con información incompleta sobre el nivel de expresión” pasaría a ser un segundo ejemplo del modelo “Marcadores moleculares ligados a caracteres” del documento TGP/15.</w:t>
      </w:r>
      <w:r w:rsidR="002A0DA3">
        <w:t xml:space="preserve"> </w:t>
      </w:r>
    </w:p>
    <w:p w14:paraId="609D36FD" w14:textId="77777777" w:rsidR="004C2045" w:rsidRDefault="004C2045" w:rsidP="004C2045"/>
    <w:p w14:paraId="0A537CF4" w14:textId="5D7EC162" w:rsidR="00447F85" w:rsidRDefault="004C2045" w:rsidP="004C2045">
      <w:r>
        <w:fldChar w:fldCharType="begin"/>
      </w:r>
      <w:r>
        <w:instrText xml:space="preserve"> AUTONUM  </w:instrText>
      </w:r>
      <w:r>
        <w:fldChar w:fldCharType="end"/>
      </w:r>
      <w:r>
        <w:tab/>
        <w:t xml:space="preserve">El TC convino en que el modelo “Selección genética de variedades similares para el primer ciclo de cultivo” se ha de presentar en el documento TGP/15 como un segundo ejemplo del modelo “Combinación de </w:t>
      </w:r>
      <w:r>
        <w:lastRenderedPageBreak/>
        <w:t>distancias fenotípicas y moleculares en la gestión de las colecciones de variedades”.</w:t>
      </w:r>
      <w:r w:rsidR="002A0DA3">
        <w:t xml:space="preserve"> </w:t>
      </w:r>
      <w:r>
        <w:t>El TC convino en que en el documento se ha de revisar la terminología sobre los diferentes “modelos”.</w:t>
      </w:r>
    </w:p>
    <w:p w14:paraId="3FED457A" w14:textId="77777777" w:rsidR="004C2045" w:rsidRPr="00824357" w:rsidRDefault="004C2045" w:rsidP="00050E16"/>
    <w:p w14:paraId="0C8F32F0" w14:textId="77777777" w:rsidR="005170BC" w:rsidRPr="00824357" w:rsidRDefault="005170BC" w:rsidP="00866771">
      <w:pPr>
        <w:pStyle w:val="Heading3"/>
      </w:pPr>
      <w:bookmarkStart w:id="14" w:name="_Toc21683364"/>
      <w:r>
        <w:t>Nuevas propuestas para las revisiones de los documentos TGP</w:t>
      </w:r>
      <w:bookmarkEnd w:id="14"/>
    </w:p>
    <w:p w14:paraId="6CA1DDF4" w14:textId="77777777" w:rsidR="005170BC" w:rsidRPr="00824357" w:rsidRDefault="005170BC" w:rsidP="00866771">
      <w:pPr>
        <w:keepNext/>
      </w:pPr>
    </w:p>
    <w:p w14:paraId="18CCBF65" w14:textId="77777777" w:rsidR="005170BC" w:rsidRPr="00824357" w:rsidRDefault="005170BC" w:rsidP="00866771">
      <w:pPr>
        <w:pStyle w:val="Heading4"/>
      </w:pPr>
      <w:bookmarkStart w:id="15" w:name="_Toc21683365"/>
      <w:r>
        <w:t>TGP/7: Elaboración de las directrices de examen</w:t>
      </w:r>
      <w:bookmarkEnd w:id="15"/>
    </w:p>
    <w:p w14:paraId="01D752F2" w14:textId="77777777" w:rsidR="005170BC" w:rsidRPr="00824357" w:rsidRDefault="005170BC" w:rsidP="00866771">
      <w:pPr>
        <w:keepNext/>
      </w:pPr>
    </w:p>
    <w:p w14:paraId="3C95CBCE" w14:textId="77777777" w:rsidR="005170BC" w:rsidRPr="00824357" w:rsidRDefault="005170BC" w:rsidP="008C4FB8">
      <w:pPr>
        <w:pStyle w:val="Heading5"/>
        <w:rPr>
          <w:rFonts w:eastAsia="MS Mincho"/>
        </w:rPr>
      </w:pPr>
      <w:bookmarkStart w:id="16" w:name="_Toc527377896"/>
      <w:bookmarkStart w:id="17" w:name="_Toc21683366"/>
      <w:r>
        <w:t>Procedimiento de revisión parcial de las directrices de examen de la UPOV</w:t>
      </w:r>
      <w:bookmarkEnd w:id="16"/>
      <w:bookmarkEnd w:id="17"/>
    </w:p>
    <w:p w14:paraId="59B87906" w14:textId="77777777" w:rsidR="00725951" w:rsidRPr="00824357" w:rsidRDefault="00725951" w:rsidP="00866771">
      <w:pPr>
        <w:keepNext/>
      </w:pPr>
    </w:p>
    <w:p w14:paraId="1507CE33" w14:textId="77777777" w:rsidR="00725951" w:rsidRPr="00824357" w:rsidRDefault="00876CBC" w:rsidP="00876CBC">
      <w:r w:rsidRPr="00824357">
        <w:rPr>
          <w:rFonts w:cs="Arial"/>
        </w:rPr>
        <w:fldChar w:fldCharType="begin"/>
      </w:r>
      <w:r w:rsidRPr="00824357">
        <w:rPr>
          <w:rFonts w:cs="Arial"/>
        </w:rPr>
        <w:instrText xml:space="preserve"> AUTONUM  </w:instrText>
      </w:r>
      <w:r w:rsidRPr="00824357">
        <w:rPr>
          <w:rFonts w:cs="Arial"/>
        </w:rPr>
        <w:fldChar w:fldCharType="end"/>
      </w:r>
      <w:r>
        <w:tab/>
        <w:t>El TC consideró si procede modificar el procedimiento de revisión parcial de las directrices de examen, sobre la base de la información facilitada por el TWF.</w:t>
      </w:r>
    </w:p>
    <w:p w14:paraId="677E2708" w14:textId="77777777" w:rsidR="00876CBC" w:rsidRPr="00824357" w:rsidRDefault="00876CBC" w:rsidP="00876CBC"/>
    <w:p w14:paraId="6DAC5A0F" w14:textId="77777777" w:rsidR="005170BC" w:rsidRPr="00824357" w:rsidRDefault="00876CBC" w:rsidP="00876CBC">
      <w:r w:rsidRPr="00824357">
        <w:fldChar w:fldCharType="begin"/>
      </w:r>
      <w:r w:rsidRPr="00824357">
        <w:instrText xml:space="preserve"> AUTONUM  </w:instrText>
      </w:r>
      <w:r w:rsidRPr="00824357">
        <w:fldChar w:fldCharType="end"/>
      </w:r>
      <w:r>
        <w:tab/>
        <w:t>El TC tomó nota de las circunstancias siguientes, propuestas por el TWF, en las que se permite a los expertos formular nuevas propuestas de revisión parcial de las directrices de examen de la UPOV en el transcurso del año:</w:t>
      </w:r>
    </w:p>
    <w:p w14:paraId="0807F0D5" w14:textId="77777777" w:rsidR="005170BC" w:rsidRPr="00824357" w:rsidRDefault="005170BC" w:rsidP="00876CBC"/>
    <w:p w14:paraId="33AEC6C3" w14:textId="77777777" w:rsidR="005170BC" w:rsidRPr="00824357" w:rsidRDefault="005170BC" w:rsidP="00F44E48">
      <w:pPr>
        <w:pStyle w:val="ListParagraph"/>
        <w:numPr>
          <w:ilvl w:val="0"/>
          <w:numId w:val="28"/>
        </w:numPr>
      </w:pPr>
      <w:r>
        <w:t>Las propuestas de eliminar un carácter</w:t>
      </w:r>
    </w:p>
    <w:p w14:paraId="530C0732" w14:textId="77777777" w:rsidR="005170BC" w:rsidRPr="00824357" w:rsidRDefault="005170BC" w:rsidP="00F44E48">
      <w:pPr>
        <w:pStyle w:val="ListParagraph"/>
        <w:numPr>
          <w:ilvl w:val="0"/>
          <w:numId w:val="28"/>
        </w:numPr>
      </w:pPr>
      <w:r>
        <w:t>Las propuestas de añadir un nuevo nivel de expresión o de añadir una nueva ilustración</w:t>
      </w:r>
    </w:p>
    <w:p w14:paraId="0F7CF9A2" w14:textId="77777777" w:rsidR="005170BC" w:rsidRPr="00824357" w:rsidRDefault="005170BC" w:rsidP="00F44E48">
      <w:pPr>
        <w:pStyle w:val="ListParagraph"/>
        <w:numPr>
          <w:ilvl w:val="0"/>
          <w:numId w:val="28"/>
        </w:numPr>
      </w:pPr>
      <w:r>
        <w:t>Las propuestas de añadir nuevas variedades ejemplo</w:t>
      </w:r>
    </w:p>
    <w:p w14:paraId="488187FA" w14:textId="77777777" w:rsidR="005170BC" w:rsidRPr="00824357" w:rsidRDefault="005170BC" w:rsidP="00876CBC"/>
    <w:p w14:paraId="2C4A70A4" w14:textId="77777777" w:rsidR="005170BC" w:rsidRPr="00824357" w:rsidRDefault="00876CBC" w:rsidP="00876CBC">
      <w:r w:rsidRPr="00824357">
        <w:fldChar w:fldCharType="begin"/>
      </w:r>
      <w:r w:rsidRPr="00824357">
        <w:instrText xml:space="preserve"> AUTONUM  </w:instrText>
      </w:r>
      <w:r w:rsidRPr="00824357">
        <w:fldChar w:fldCharType="end"/>
      </w:r>
      <w:r>
        <w:tab/>
        <w:t>El TC tomó nota de las circunstancias siguientes, propuestas por el TWF, en las que no se ha de utilizar un procedimiento acelerado:</w:t>
      </w:r>
    </w:p>
    <w:p w14:paraId="3ED00FDB" w14:textId="77777777" w:rsidR="005170BC" w:rsidRPr="00824357" w:rsidRDefault="005170BC" w:rsidP="00876CBC"/>
    <w:p w14:paraId="4EFD1AF3" w14:textId="77777777" w:rsidR="005170BC" w:rsidRPr="00824357" w:rsidRDefault="005170BC" w:rsidP="00F44E48">
      <w:pPr>
        <w:pStyle w:val="ListParagraph"/>
        <w:numPr>
          <w:ilvl w:val="0"/>
          <w:numId w:val="29"/>
        </w:numPr>
      </w:pPr>
      <w:r>
        <w:t>Las propuestas de caracteres de agrupamiento</w:t>
      </w:r>
    </w:p>
    <w:p w14:paraId="5EFFC6AD" w14:textId="77777777" w:rsidR="005170BC" w:rsidRPr="00824357" w:rsidRDefault="005170BC" w:rsidP="00F44E48">
      <w:pPr>
        <w:pStyle w:val="ListParagraph"/>
        <w:numPr>
          <w:ilvl w:val="0"/>
          <w:numId w:val="29"/>
        </w:numPr>
      </w:pPr>
      <w:r>
        <w:t>Las propuestas de añadir nuevos caracteres</w:t>
      </w:r>
    </w:p>
    <w:p w14:paraId="1575B1FE" w14:textId="77777777" w:rsidR="005170BC" w:rsidRPr="00824357" w:rsidRDefault="005170BC" w:rsidP="00876CBC"/>
    <w:p w14:paraId="5F3A1A43" w14:textId="066B8F3E" w:rsidR="005170BC" w:rsidRPr="00824357" w:rsidRDefault="000C3495" w:rsidP="00876CBC">
      <w:r>
        <w:fldChar w:fldCharType="begin"/>
      </w:r>
      <w:r>
        <w:instrText xml:space="preserve"> AUTONUM  </w:instrText>
      </w:r>
      <w:r>
        <w:fldChar w:fldCharType="end"/>
      </w:r>
      <w:r>
        <w:tab/>
        <w:t>El TC recordó que, si se aprueba un procedimiento acelerado, las propuestas de revisión parcial de las directrices de examen se deberán publicar como mínimo dos meses antes de la sesión para que los miembros dispongan del tiempo necesario para examinarlas.</w:t>
      </w:r>
      <w:r w:rsidR="002A0DA3">
        <w:t xml:space="preserve"> </w:t>
      </w:r>
      <w:r>
        <w:t>El TC tomó nota de que la Oficina de la UPOV también necesitará tiempo adicional para elaborar documentos antes de que su publicación en línea.</w:t>
      </w:r>
    </w:p>
    <w:p w14:paraId="530E76FF" w14:textId="77777777" w:rsidR="0062665B" w:rsidRPr="00824357" w:rsidRDefault="0062665B" w:rsidP="00876CBC"/>
    <w:p w14:paraId="6CF7FBBC" w14:textId="5C2B82FF" w:rsidR="00876CBC" w:rsidRPr="00824357" w:rsidRDefault="0062665B" w:rsidP="00876CBC">
      <w:r w:rsidRPr="00824357">
        <w:fldChar w:fldCharType="begin"/>
      </w:r>
      <w:r w:rsidRPr="00824357">
        <w:instrText xml:space="preserve"> AUTONUM  </w:instrText>
      </w:r>
      <w:r w:rsidRPr="00824357">
        <w:fldChar w:fldCharType="end"/>
      </w:r>
      <w:r>
        <w:tab/>
        <w:t>El TC recordó que es posible proponer revisiones parciales de las directrices de examen en las sesiones de los TWP o el TC, por lo que se dispone de dos oportunidades al año, como mínimo, para proponer revisiones parciales.</w:t>
      </w:r>
      <w:r w:rsidR="002A0DA3">
        <w:t xml:space="preserve"> </w:t>
      </w:r>
    </w:p>
    <w:p w14:paraId="0081591B" w14:textId="77777777" w:rsidR="0048271B" w:rsidRPr="00824357" w:rsidRDefault="0048271B" w:rsidP="0048271B"/>
    <w:p w14:paraId="7D441362" w14:textId="0C2EFBFF" w:rsidR="0048271B" w:rsidRPr="00824357" w:rsidRDefault="0048271B" w:rsidP="0048271B">
      <w:r w:rsidRPr="00824357">
        <w:fldChar w:fldCharType="begin"/>
      </w:r>
      <w:r w:rsidRPr="00824357">
        <w:instrText xml:space="preserve"> AUTONUM  </w:instrText>
      </w:r>
      <w:r w:rsidRPr="00824357">
        <w:fldChar w:fldCharType="end"/>
      </w:r>
      <w:r>
        <w:tab/>
        <w:t>El TC tomó nota de que las actualizaciones frecuentes pueden ser perjudiciales para la armonización internacional de las directrices de examen y solicitó al TWF que reconsidere si procede introducir un nuevo procedimiento.</w:t>
      </w:r>
      <w:r w:rsidR="002A0DA3">
        <w:t xml:space="preserve"> </w:t>
      </w:r>
      <w:r>
        <w:t>El TC acordó que, en caso de que el TWF determine que se justifica disponer de un procedimiento acelerado, este solo deberá utilizarse en casos excepcionales.</w:t>
      </w:r>
    </w:p>
    <w:p w14:paraId="37A887BF" w14:textId="77777777" w:rsidR="00876CBC" w:rsidRPr="00824357" w:rsidRDefault="00876CBC" w:rsidP="00050E16"/>
    <w:p w14:paraId="576C740A" w14:textId="77777777" w:rsidR="005170BC" w:rsidRPr="00824357" w:rsidRDefault="005170BC" w:rsidP="008C4FB8">
      <w:pPr>
        <w:pStyle w:val="Heading5"/>
      </w:pPr>
      <w:bookmarkStart w:id="18" w:name="_Toc21683368"/>
      <w:r>
        <w:t>Presentación de la escala completa de notas de los caracteres cuantitativos en las directrices de examen</w:t>
      </w:r>
      <w:bookmarkEnd w:id="18"/>
    </w:p>
    <w:p w14:paraId="76AC92AC" w14:textId="77777777" w:rsidR="005170BC" w:rsidRPr="00824357" w:rsidRDefault="005170BC" w:rsidP="00866771">
      <w:pPr>
        <w:keepNext/>
      </w:pPr>
    </w:p>
    <w:p w14:paraId="5583D807" w14:textId="77777777" w:rsidR="005170BC" w:rsidRPr="00824357" w:rsidRDefault="005170BC" w:rsidP="00866771">
      <w:pPr>
        <w:keepNext/>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El TC suscribió la propuesta de revisión del documento TGP/7 para que en las directrices de examen se presenten todos los niveles de expresión de los caracteres cuantitativos </w:t>
      </w:r>
    </w:p>
    <w:p w14:paraId="3E037503" w14:textId="77777777" w:rsidR="00077226" w:rsidRPr="00824357" w:rsidRDefault="00077226" w:rsidP="006A0B56">
      <w:pPr>
        <w:keepNext/>
      </w:pPr>
    </w:p>
    <w:p w14:paraId="25ACC038" w14:textId="77777777" w:rsidR="00077226" w:rsidRPr="00824357" w:rsidRDefault="00D944BC" w:rsidP="008C4FB8">
      <w:pPr>
        <w:pStyle w:val="Heading5"/>
      </w:pPr>
      <w:r>
        <w:t>Enlaces a las orientaciones pertinentes ofrecidas en los documentos TGP en las directrices de examen</w:t>
      </w:r>
    </w:p>
    <w:p w14:paraId="6F56ECCC" w14:textId="77777777" w:rsidR="00D944BC" w:rsidRPr="00824357" w:rsidRDefault="00D944BC" w:rsidP="00D944BC"/>
    <w:p w14:paraId="74C740BF" w14:textId="106CFFFC" w:rsidR="003A5012" w:rsidRDefault="00D944BC" w:rsidP="00D944BC">
      <w:r>
        <w:fldChar w:fldCharType="begin"/>
      </w:r>
      <w:r>
        <w:instrText xml:space="preserve"> AUTONUM  </w:instrText>
      </w:r>
      <w:r>
        <w:fldChar w:fldCharType="end"/>
      </w:r>
      <w:r>
        <w:tab/>
        <w:t>El TC tomó nota de la propuesta del TWC, en su trigésima séptima sesión, de indicar las orientaciones pertinentes ofrecidas en los documentos TGP de las que se podría incluir enlaces en las directrices de examen y convino en invitar a los TWP, en sus sesiones de 2020, a proponer los enlaces que podrían incluirse.</w:t>
      </w:r>
      <w:r w:rsidR="002A0DA3">
        <w:t xml:space="preserve"> </w:t>
      </w:r>
    </w:p>
    <w:p w14:paraId="1B0BDC4B" w14:textId="77777777" w:rsidR="003A5012" w:rsidRDefault="003A5012" w:rsidP="00D944BC"/>
    <w:p w14:paraId="310EFB4B" w14:textId="77777777" w:rsidR="00D944BC" w:rsidRDefault="003A5012" w:rsidP="00D944BC">
      <w:r>
        <w:fldChar w:fldCharType="begin"/>
      </w:r>
      <w:r>
        <w:instrText xml:space="preserve"> AUTONUM  </w:instrText>
      </w:r>
      <w:r>
        <w:fldChar w:fldCharType="end"/>
      </w:r>
      <w:r>
        <w:tab/>
        <w:t>El TC convino en que las orientaciones de la UPOV pertinentes indicadas por los TWP se han de referir a este Comité, en su quincuagésima sexta sesión, para su eventual inclusión en la plantilla de las directrices de examen en una futura revisión del documento TGP/7.</w:t>
      </w:r>
    </w:p>
    <w:p w14:paraId="26CB421E" w14:textId="77777777" w:rsidR="005170BC" w:rsidRPr="00824357" w:rsidRDefault="005170BC" w:rsidP="00050E16"/>
    <w:p w14:paraId="5EB43284" w14:textId="77777777" w:rsidR="000A2721" w:rsidRPr="00824357" w:rsidRDefault="000A2721" w:rsidP="00866771">
      <w:pPr>
        <w:pStyle w:val="Heading4"/>
      </w:pPr>
      <w:bookmarkStart w:id="19" w:name="_Toc519608642"/>
      <w:bookmarkStart w:id="20" w:name="_Toc21683370"/>
      <w:r>
        <w:t>TGP/12: Orientación sobre ciertos caracteres fisiológicos</w:t>
      </w:r>
      <w:bookmarkEnd w:id="19"/>
      <w:bookmarkEnd w:id="20"/>
    </w:p>
    <w:p w14:paraId="4202E5F1" w14:textId="77777777" w:rsidR="000A2721" w:rsidRPr="00824357" w:rsidRDefault="000A2721" w:rsidP="00866771">
      <w:pPr>
        <w:keepNext/>
        <w:keepLines/>
      </w:pPr>
    </w:p>
    <w:p w14:paraId="043C2F4A" w14:textId="1C878B74" w:rsidR="005170BC" w:rsidRPr="00824357" w:rsidRDefault="000A2721" w:rsidP="00866771">
      <w:pPr>
        <w:keepNext/>
      </w:pPr>
      <w:r w:rsidRPr="00824357">
        <w:fldChar w:fldCharType="begin"/>
      </w:r>
      <w:r w:rsidRPr="00824357">
        <w:instrText xml:space="preserve"> AUTONUM  </w:instrText>
      </w:r>
      <w:r w:rsidRPr="00824357">
        <w:fldChar w:fldCharType="end"/>
      </w:r>
      <w:r>
        <w:tab/>
        <w:t>El TC tomó nota de que, en su quincuagésima tercera sesión, el TWV ha convenido en que la orientación ofrecida actualmente en los documentos de la UPOV en relación con la utilización de los caracteres de resistencia a las enfermedades es clara y suficiente, por el momento, según se expone en el párrafo 65 del documento TC/55/4.</w:t>
      </w:r>
      <w:r w:rsidR="002A0DA3">
        <w:t xml:space="preserve"> </w:t>
      </w:r>
      <w:r>
        <w:t>El TC convino en no será necesario tomar más medidas en esta etapa.</w:t>
      </w:r>
    </w:p>
    <w:p w14:paraId="13EECA1B" w14:textId="77777777" w:rsidR="00222BFA" w:rsidRPr="00824357" w:rsidRDefault="00222BFA" w:rsidP="00050E16"/>
    <w:p w14:paraId="4ACC2555" w14:textId="77777777" w:rsidR="000A2721" w:rsidRPr="00824357" w:rsidRDefault="000A2721" w:rsidP="00866771">
      <w:pPr>
        <w:pStyle w:val="Heading3"/>
      </w:pPr>
      <w:bookmarkStart w:id="21" w:name="_Toc519608644"/>
      <w:bookmarkStart w:id="22" w:name="_Toc21683373"/>
      <w:r>
        <w:lastRenderedPageBreak/>
        <w:t>Programa para la elaboración de los documentos TGP</w:t>
      </w:r>
      <w:bookmarkEnd w:id="21"/>
      <w:bookmarkEnd w:id="22"/>
    </w:p>
    <w:p w14:paraId="14C0F836" w14:textId="77777777" w:rsidR="005170BC" w:rsidRPr="00824357" w:rsidRDefault="005170BC" w:rsidP="00866771">
      <w:pPr>
        <w:keepNext/>
      </w:pPr>
    </w:p>
    <w:p w14:paraId="49FEEA49" w14:textId="77777777" w:rsidR="000A2721" w:rsidRPr="00824357" w:rsidRDefault="000A2721" w:rsidP="00866771">
      <w:pPr>
        <w:keepNext/>
      </w:pPr>
      <w:r w:rsidRPr="00824357">
        <w:fldChar w:fldCharType="begin"/>
      </w:r>
      <w:r w:rsidRPr="00824357">
        <w:instrText xml:space="preserve"> AUTONUM  </w:instrText>
      </w:r>
      <w:r w:rsidRPr="00824357">
        <w:fldChar w:fldCharType="end"/>
      </w:r>
      <w:r>
        <w:tab/>
        <w:t>El TC aprobó el programa para la elaboración de los documentos TGP, que figura en el Anexo IV del documento TC/55/4, teniendo en cuenta sus conclusiones en esta sesión.</w:t>
      </w:r>
    </w:p>
    <w:p w14:paraId="536ED4F9" w14:textId="77777777" w:rsidR="005170BC" w:rsidRPr="00824357" w:rsidRDefault="005170BC" w:rsidP="00050E16"/>
    <w:p w14:paraId="5DED4838" w14:textId="77777777" w:rsidR="00222BFA" w:rsidRPr="00824357" w:rsidRDefault="00222BFA" w:rsidP="00222BFA">
      <w:r w:rsidRPr="008043AB">
        <w:fldChar w:fldCharType="begin"/>
      </w:r>
      <w:r w:rsidRPr="008043AB">
        <w:instrText xml:space="preserve"> AUTONUM  </w:instrText>
      </w:r>
      <w:r w:rsidRPr="008043AB">
        <w:fldChar w:fldCharType="end"/>
      </w:r>
      <w:r>
        <w:tab/>
        <w:t>El TC convino en extender el alcance del documento “Documentos TGP” para abarcar todo material de información pertinente, que se ha de presentar en las futuras sesiones del Comité Técnico.</w:t>
      </w:r>
    </w:p>
    <w:p w14:paraId="72F87E88" w14:textId="77777777" w:rsidR="002C6676" w:rsidRDefault="002C6676" w:rsidP="00050E16"/>
    <w:p w14:paraId="421B20B7" w14:textId="77777777" w:rsidR="000C3495" w:rsidRPr="00824357" w:rsidRDefault="000C3495" w:rsidP="00050E16"/>
    <w:p w14:paraId="25C2E952" w14:textId="77777777" w:rsidR="000D5FC9" w:rsidRPr="00824357" w:rsidRDefault="00705162" w:rsidP="00866771">
      <w:pPr>
        <w:pStyle w:val="Heading2"/>
      </w:pPr>
      <w:r>
        <w:t>Técnicas moleculares</w:t>
      </w:r>
    </w:p>
    <w:p w14:paraId="417DA44A" w14:textId="77777777" w:rsidR="00250786" w:rsidRPr="00824357" w:rsidRDefault="00250786" w:rsidP="00866771">
      <w:pPr>
        <w:keepNext/>
      </w:pPr>
    </w:p>
    <w:p w14:paraId="0C1478E3" w14:textId="77777777" w:rsidR="00250786" w:rsidRPr="00824357" w:rsidRDefault="00250786" w:rsidP="00866771">
      <w:pPr>
        <w:keepNext/>
      </w:pPr>
      <w:r w:rsidRPr="00824357">
        <w:fldChar w:fldCharType="begin"/>
      </w:r>
      <w:r w:rsidRPr="00824357">
        <w:instrText xml:space="preserve"> AUTONUM  </w:instrText>
      </w:r>
      <w:r w:rsidRPr="00824357">
        <w:fldChar w:fldCharType="end"/>
      </w:r>
      <w:r>
        <w:tab/>
        <w:t>El TC examinó los documentos TC/55/7, TC/55/7 Add. y TC/55/7 Add. 2.</w:t>
      </w:r>
    </w:p>
    <w:p w14:paraId="086E5351" w14:textId="77777777" w:rsidR="000D5FC9" w:rsidRPr="00824357" w:rsidRDefault="000D5FC9" w:rsidP="00050E16"/>
    <w:p w14:paraId="0B7EFC68" w14:textId="77777777" w:rsidR="00250786" w:rsidRPr="00824357" w:rsidRDefault="00250786" w:rsidP="00866771">
      <w:pPr>
        <w:pStyle w:val="Heading3"/>
      </w:pPr>
      <w:bookmarkStart w:id="23" w:name="_Toc15059495"/>
      <w:bookmarkStart w:id="24" w:name="_Toc16181356"/>
      <w:r>
        <w:t>Revisión del documento UPOV/INF/17 “Directrices para los perfiles de ADN: selección de marcadores moleculares y creación de una base de datos (“Directrices BMT”)</w:t>
      </w:r>
      <w:bookmarkEnd w:id="23"/>
      <w:bookmarkEnd w:id="24"/>
      <w:r>
        <w:t>”</w:t>
      </w:r>
    </w:p>
    <w:p w14:paraId="21A5DB2E" w14:textId="77777777" w:rsidR="00250786" w:rsidRPr="00824357" w:rsidRDefault="00250786" w:rsidP="00866771">
      <w:pPr>
        <w:keepNext/>
      </w:pPr>
    </w:p>
    <w:p w14:paraId="72D62C6E" w14:textId="77777777" w:rsidR="00250786" w:rsidRPr="00824357" w:rsidRDefault="00250786" w:rsidP="00866771">
      <w:pPr>
        <w:keepNext/>
      </w:pPr>
      <w:r w:rsidRPr="00824357">
        <w:fldChar w:fldCharType="begin"/>
      </w:r>
      <w:r w:rsidRPr="00824357">
        <w:instrText xml:space="preserve"> AUTONUM  </w:instrText>
      </w:r>
      <w:r w:rsidRPr="00824357">
        <w:fldChar w:fldCharType="end"/>
      </w:r>
      <w:r>
        <w:tab/>
        <w:t>El TC tomó nota de que el BMT, en su decimoctava sesión, ha examinado el documento UPOV/INF/17/2 Draft 2 “Directrices para los perfiles de ADN: selección de marcadores moleculares y creación de una base de datos (‘Directrices BMT’)”, según se expone en el párrafo 7 del documento TC/55/7.</w:t>
      </w:r>
    </w:p>
    <w:p w14:paraId="1D73650F" w14:textId="77777777" w:rsidR="00250786" w:rsidRPr="00824357" w:rsidRDefault="00250786" w:rsidP="00250786"/>
    <w:p w14:paraId="6EF8B5E8" w14:textId="28E9B491" w:rsidR="00250786" w:rsidRPr="00824357" w:rsidRDefault="00250786" w:rsidP="00250786">
      <w:r w:rsidRPr="00824357">
        <w:fldChar w:fldCharType="begin"/>
      </w:r>
      <w:r w:rsidRPr="00824357">
        <w:instrText xml:space="preserve"> AUTONUM  </w:instrText>
      </w:r>
      <w:r w:rsidRPr="00824357">
        <w:fldChar w:fldCharType="end"/>
      </w:r>
      <w:r>
        <w:tab/>
        <w:t>El TC tomó nota de que la propuesta formulada por el TWV de que se elabore una orientación sobre los elementos que ha de comprender un protocolo de análisis del marcador de ADN de un carácter concreto, que figure en el documento UPOV/INF/17, se ha comunicado al BMT en su decimoctava sesión, según se expone en el párrafo </w:t>
      </w:r>
      <w:r w:rsidR="00895960">
        <w:t>9</w:t>
      </w:r>
      <w:r>
        <w:t xml:space="preserve"> del documento TC/55/7.</w:t>
      </w:r>
    </w:p>
    <w:p w14:paraId="56676DBB" w14:textId="77777777" w:rsidR="00A15763" w:rsidRPr="00824357" w:rsidRDefault="00A15763" w:rsidP="00A15763"/>
    <w:p w14:paraId="58E980DD" w14:textId="5C3F2086" w:rsidR="00A15763" w:rsidRPr="00824357" w:rsidRDefault="00A15763" w:rsidP="00A15763">
      <w:r w:rsidRPr="00824357">
        <w:fldChar w:fldCharType="begin"/>
      </w:r>
      <w:r w:rsidRPr="00824357">
        <w:instrText xml:space="preserve"> AUTONUM  </w:instrText>
      </w:r>
      <w:r w:rsidRPr="00824357">
        <w:fldChar w:fldCharType="end"/>
      </w:r>
      <w:r>
        <w:tab/>
        <w:t>El TC suscribió la propuesta del BMT, en su decimoctava sesión, de que Francia, los Países Bajos y la Unión Europea elaboren un nuevo proyecto del documento UPOV/INF/17 “Directrices para los perfiles de ADN: selección de marcadores moleculares y creación de una base de datos (‘Directrices BMT’)” (documento </w:t>
      </w:r>
      <w:r w:rsidR="005D053B">
        <w:t>U</w:t>
      </w:r>
      <w:r>
        <w:t>POV/INF/17/2 Draft 3) para que se examine en la decimonovena sesión del este Grupo de Trabajo.</w:t>
      </w:r>
    </w:p>
    <w:p w14:paraId="110187A3" w14:textId="77777777" w:rsidR="00321B98" w:rsidRPr="00824357" w:rsidRDefault="00321B98" w:rsidP="00050E16"/>
    <w:p w14:paraId="02BD3A88" w14:textId="77777777" w:rsidR="00250786" w:rsidRPr="00824357" w:rsidRDefault="00250786" w:rsidP="00866771">
      <w:pPr>
        <w:pStyle w:val="Heading3"/>
      </w:pPr>
      <w:bookmarkStart w:id="25" w:name="_Toc525647214"/>
      <w:bookmarkStart w:id="26" w:name="_Toc526175654"/>
      <w:bookmarkStart w:id="27" w:name="_Toc15059496"/>
      <w:bookmarkStart w:id="28" w:name="_Toc16181358"/>
      <w:r>
        <w:t>Cooperación entre organizaciones internacionales</w:t>
      </w:r>
      <w:bookmarkEnd w:id="25"/>
      <w:bookmarkEnd w:id="26"/>
      <w:bookmarkEnd w:id="27"/>
      <w:bookmarkEnd w:id="28"/>
    </w:p>
    <w:p w14:paraId="307B1D5E" w14:textId="77777777" w:rsidR="00250786" w:rsidRPr="00824357" w:rsidRDefault="00250786" w:rsidP="00866771">
      <w:pPr>
        <w:keepNext/>
      </w:pPr>
    </w:p>
    <w:p w14:paraId="7E226E32" w14:textId="77777777" w:rsidR="00D40690" w:rsidRPr="00824357" w:rsidRDefault="00D40690" w:rsidP="00866771">
      <w:pPr>
        <w:pStyle w:val="Heading4"/>
      </w:pPr>
      <w:bookmarkStart w:id="29" w:name="_Toc14980927"/>
      <w:bookmarkStart w:id="30" w:name="_Toc15059497"/>
      <w:bookmarkStart w:id="31" w:name="_Toc16181359"/>
      <w:r>
        <w:t>Documento conjunto en el que se expliquen las características principales de los sistemas de la OCDE, la UPOV y la ISTA</w:t>
      </w:r>
      <w:bookmarkEnd w:id="29"/>
      <w:bookmarkEnd w:id="30"/>
      <w:bookmarkEnd w:id="31"/>
    </w:p>
    <w:p w14:paraId="09EA7D36" w14:textId="77777777" w:rsidR="00D40690" w:rsidRPr="00824357" w:rsidRDefault="00D40690" w:rsidP="00866771">
      <w:pPr>
        <w:keepNext/>
      </w:pPr>
    </w:p>
    <w:p w14:paraId="03D23CA4" w14:textId="2138EA5C" w:rsidR="00250786" w:rsidRPr="00824357" w:rsidRDefault="00250786" w:rsidP="009C19D1">
      <w:pPr>
        <w:keepNext/>
      </w:pPr>
      <w:r w:rsidRPr="00824357">
        <w:fldChar w:fldCharType="begin"/>
      </w:r>
      <w:r w:rsidRPr="00824357">
        <w:instrText xml:space="preserve"> AUTONUM  </w:instrText>
      </w:r>
      <w:r w:rsidRPr="00824357">
        <w:fldChar w:fldCharType="end"/>
      </w:r>
      <w:r>
        <w:tab/>
        <w:t>El TC convino con el BMT, en su decimoctava sesión, que los elementos pertinentes de la Alianza Mundial por las Semillas y la pregunta frecuente sobre la utilización de técnicas moleculares en el examen DHE constituyen una base adecuada para que la Oficina de la Unión elabore, previa consulta con la</w:t>
      </w:r>
      <w:r w:rsidR="001C59C4">
        <w:t> </w:t>
      </w:r>
      <w:r>
        <w:t xml:space="preserve">OCDE, un proyecto de documento conjunto en el que se expliquen las características principales de los sistemas de la OCDE, la UPOV y la ISTA. </w:t>
      </w:r>
    </w:p>
    <w:p w14:paraId="336CFFA6" w14:textId="77777777" w:rsidR="009C19D1" w:rsidRPr="00824357" w:rsidRDefault="009C19D1" w:rsidP="00050E16"/>
    <w:p w14:paraId="77985340" w14:textId="77777777" w:rsidR="00D40690" w:rsidRPr="00824357" w:rsidRDefault="00A77B44" w:rsidP="00866771">
      <w:pPr>
        <w:pStyle w:val="Heading4"/>
      </w:pPr>
      <w:bookmarkStart w:id="32" w:name="_Toc14980928"/>
      <w:bookmarkStart w:id="33" w:name="_Toc15059498"/>
      <w:bookmarkStart w:id="34" w:name="_Toc16181360"/>
      <w:r>
        <w:t>Inventario sobre la utilización de técnicas basadas en marcadores moleculares, por cultivos</w:t>
      </w:r>
      <w:bookmarkEnd w:id="32"/>
      <w:bookmarkEnd w:id="33"/>
      <w:bookmarkEnd w:id="34"/>
    </w:p>
    <w:p w14:paraId="29BEB730" w14:textId="77777777" w:rsidR="00D40690" w:rsidRPr="00824357" w:rsidRDefault="00D40690" w:rsidP="00866771">
      <w:pPr>
        <w:keepNext/>
      </w:pPr>
    </w:p>
    <w:p w14:paraId="14866683" w14:textId="1C79FDB3" w:rsidR="009C7694" w:rsidRPr="00824357" w:rsidRDefault="009C7694" w:rsidP="00866771">
      <w:pPr>
        <w:keepNext/>
      </w:pPr>
      <w:r w:rsidRPr="00824357">
        <w:fldChar w:fldCharType="begin"/>
      </w:r>
      <w:r w:rsidRPr="00824357">
        <w:instrText xml:space="preserve"> AUTONUM  </w:instrText>
      </w:r>
      <w:r w:rsidRPr="00824357">
        <w:fldChar w:fldCharType="end"/>
      </w:r>
      <w:r>
        <w:tab/>
        <w:t>El TC examinó la posible elaboración de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w:t>
      </w:r>
      <w:r w:rsidR="002A0DA3">
        <w:t xml:space="preserve"> </w:t>
      </w:r>
    </w:p>
    <w:p w14:paraId="03175A4E" w14:textId="77777777" w:rsidR="009C7694" w:rsidRPr="00824357" w:rsidRDefault="009C7694" w:rsidP="00866771">
      <w:pPr>
        <w:keepNext/>
      </w:pPr>
    </w:p>
    <w:p w14:paraId="31F003FB" w14:textId="77777777" w:rsidR="00D40690" w:rsidRPr="00824357" w:rsidRDefault="00A77B44" w:rsidP="00866771">
      <w:pPr>
        <w:keepNext/>
      </w:pPr>
      <w:r w:rsidRPr="00824357">
        <w:fldChar w:fldCharType="begin"/>
      </w:r>
      <w:r w:rsidRPr="00824357">
        <w:instrText xml:space="preserve"> AUTONUM  </w:instrText>
      </w:r>
      <w:r w:rsidRPr="00824357">
        <w:fldChar w:fldCharType="end"/>
      </w:r>
      <w:r>
        <w:tab/>
        <w:t>El TC acordó los siguientes elementos para el inventario:</w:t>
      </w:r>
    </w:p>
    <w:p w14:paraId="5FD57D04" w14:textId="77777777" w:rsidR="00D40690" w:rsidRPr="00824357" w:rsidRDefault="00D40690" w:rsidP="00050E16"/>
    <w:p w14:paraId="1C29E237" w14:textId="77777777" w:rsidR="00DC0ABE" w:rsidRPr="00824357" w:rsidRDefault="00DC0ABE" w:rsidP="00F44E48">
      <w:pPr>
        <w:pStyle w:val="ListParagraph"/>
        <w:numPr>
          <w:ilvl w:val="0"/>
          <w:numId w:val="25"/>
        </w:numPr>
        <w:spacing w:line="276" w:lineRule="auto"/>
        <w:ind w:left="1134" w:hanging="567"/>
      </w:pPr>
      <w:r>
        <w:t xml:space="preserve">País u organización intergubernamental que utiliza la técnica basada en marcadores moleculares </w:t>
      </w:r>
    </w:p>
    <w:p w14:paraId="0DD810B4" w14:textId="77777777" w:rsidR="00DC0ABE" w:rsidRPr="00824357" w:rsidRDefault="00DC0ABE" w:rsidP="00F44E48">
      <w:pPr>
        <w:pStyle w:val="ListParagraph"/>
        <w:numPr>
          <w:ilvl w:val="0"/>
          <w:numId w:val="25"/>
        </w:numPr>
        <w:spacing w:line="276" w:lineRule="auto"/>
        <w:ind w:left="1134" w:hanging="567"/>
        <w:rPr>
          <w:rFonts w:eastAsiaTheme="minorEastAsia"/>
        </w:rPr>
      </w:pPr>
      <w:r>
        <w:t xml:space="preserve">Si la autoridad utiliza técnicas basadas en marcadores moleculares </w:t>
      </w:r>
    </w:p>
    <w:p w14:paraId="35059020" w14:textId="77777777" w:rsidR="00DC0ABE" w:rsidRPr="00824357" w:rsidRDefault="00DC0ABE" w:rsidP="00F44E48">
      <w:pPr>
        <w:pStyle w:val="ListParagraph"/>
        <w:numPr>
          <w:ilvl w:val="0"/>
          <w:numId w:val="25"/>
        </w:numPr>
        <w:spacing w:line="276" w:lineRule="auto"/>
        <w:ind w:left="1134" w:hanging="567"/>
      </w:pPr>
      <w:r>
        <w:t>Fuente [nombre de la autoridad] y datos de contacto [dirección de correo electrónico]</w:t>
      </w:r>
    </w:p>
    <w:p w14:paraId="3176E116" w14:textId="77777777" w:rsidR="00DC0ABE" w:rsidRPr="00824357" w:rsidRDefault="00DC0ABE" w:rsidP="00F44E48">
      <w:pPr>
        <w:pStyle w:val="ListParagraph"/>
        <w:numPr>
          <w:ilvl w:val="0"/>
          <w:numId w:val="25"/>
        </w:numPr>
        <w:spacing w:line="276" w:lineRule="auto"/>
        <w:ind w:left="1134" w:hanging="567"/>
      </w:pPr>
      <w:r>
        <w:t>Tipo de técnica basada en marcadores moleculares [AFLP, análisis de fragmentos por electroforesis capilar, MNP, RAPD-STS, SSR, SNP, Taqman, secuenciación del genoma completo u otra técnica (sírvase especificar)] [se admite más de una respuesta]</w:t>
      </w:r>
    </w:p>
    <w:p w14:paraId="38A5CB14" w14:textId="77777777" w:rsidR="00DC0ABE" w:rsidRPr="00824357" w:rsidRDefault="00DC0ABE" w:rsidP="00F44E48">
      <w:pPr>
        <w:pStyle w:val="ListParagraph"/>
        <w:numPr>
          <w:ilvl w:val="0"/>
          <w:numId w:val="25"/>
        </w:numPr>
        <w:spacing w:line="276" w:lineRule="auto"/>
        <w:ind w:left="1134" w:hanging="567"/>
      </w:pPr>
      <w:r>
        <w:t>Fuente del marcador molecular y datos de contacto [dirección de correo electrónico]</w:t>
      </w:r>
    </w:p>
    <w:p w14:paraId="4B6CA00C" w14:textId="77777777" w:rsidR="00DC0ABE" w:rsidRPr="00824357" w:rsidRDefault="00DC0ABE" w:rsidP="00F44E48">
      <w:pPr>
        <w:pStyle w:val="ListParagraph"/>
        <w:numPr>
          <w:ilvl w:val="0"/>
          <w:numId w:val="25"/>
        </w:numPr>
        <w:spacing w:line="276" w:lineRule="auto"/>
        <w:ind w:left="1134" w:hanging="567"/>
      </w:pPr>
      <w:r>
        <w:t>Disponibilidad del marcador [a disposición del público o protegido]</w:t>
      </w:r>
    </w:p>
    <w:p w14:paraId="2144C7C6" w14:textId="77777777" w:rsidR="00DC0ABE" w:rsidRPr="00824357" w:rsidRDefault="00DC0ABE" w:rsidP="00F44E48">
      <w:pPr>
        <w:pStyle w:val="ListParagraph"/>
        <w:numPr>
          <w:ilvl w:val="0"/>
          <w:numId w:val="25"/>
        </w:numPr>
        <w:spacing w:line="276" w:lineRule="auto"/>
        <w:ind w:left="1134" w:hanging="567"/>
      </w:pPr>
      <w:r>
        <w:t>Situación (es decir, en uso actualmente o en desarrollo)</w:t>
      </w:r>
    </w:p>
    <w:p w14:paraId="66B0C17B" w14:textId="77777777" w:rsidR="00DC0ABE" w:rsidRPr="00824357" w:rsidRDefault="00DC0ABE" w:rsidP="00F44E48">
      <w:pPr>
        <w:pStyle w:val="ListParagraph"/>
        <w:numPr>
          <w:ilvl w:val="0"/>
          <w:numId w:val="25"/>
        </w:numPr>
        <w:spacing w:line="276" w:lineRule="auto"/>
        <w:ind w:left="1134" w:hanging="567"/>
      </w:pPr>
      <w:r>
        <w:lastRenderedPageBreak/>
        <w:t>Cultivo(s) para el(los) que se utiliza la técnica basada en marcadores moleculares y carácter al que está ligado [se han de facilitar el(los) nombre(s) botánico(s) y código(s) UPOV]</w:t>
      </w:r>
    </w:p>
    <w:p w14:paraId="25FB819F" w14:textId="77777777" w:rsidR="00DC0ABE" w:rsidRPr="00824357" w:rsidRDefault="00DC0ABE" w:rsidP="00F44E48">
      <w:pPr>
        <w:pStyle w:val="ListParagraph"/>
        <w:numPr>
          <w:ilvl w:val="0"/>
          <w:numId w:val="25"/>
        </w:numPr>
        <w:spacing w:line="276" w:lineRule="auto"/>
        <w:ind w:left="1134" w:hanging="567"/>
      </w:pPr>
      <w:r>
        <w:t>Finalidad de la utilización de la técnica molecular [modelo de la UPOV “Marcadores moleculares ligados a caracteres”, modelo de la UPOV “Combinación de distancias fenotípicas y moleculares en la gestión de las colecciones de variedades”, pureza, identidad, comprobación de la correspondencia entre el material vegetal y una variedad protegida a efectos del ejercicio de los derechos de obtentor, verificación de la hibridez]</w:t>
      </w:r>
    </w:p>
    <w:p w14:paraId="3CA886DB" w14:textId="77777777" w:rsidR="00DC0ABE" w:rsidRPr="00824357" w:rsidRDefault="00DC0ABE" w:rsidP="00F44E48">
      <w:pPr>
        <w:pStyle w:val="ListParagraph"/>
        <w:numPr>
          <w:ilvl w:val="0"/>
          <w:numId w:val="25"/>
        </w:numPr>
        <w:spacing w:line="276" w:lineRule="auto"/>
        <w:ind w:left="1134" w:hanging="567"/>
      </w:pPr>
      <w:r>
        <w:t>Si se ha utilizado la técnica basada en marcadores moleculares como parte de una certificación de semillas en los últimos dos años [certificación nacional, certificación de la OCDE] [relevante para los sistemas de semillas de la OCDE]</w:t>
      </w:r>
    </w:p>
    <w:p w14:paraId="284A4E16" w14:textId="77777777" w:rsidR="00DC0ABE" w:rsidRPr="00824357" w:rsidRDefault="00DC0ABE" w:rsidP="00F44E48">
      <w:pPr>
        <w:pStyle w:val="ListParagraph"/>
        <w:numPr>
          <w:ilvl w:val="0"/>
          <w:numId w:val="25"/>
        </w:numPr>
        <w:spacing w:line="276" w:lineRule="auto"/>
        <w:ind w:left="1134" w:hanging="567"/>
      </w:pPr>
      <w:r>
        <w:t xml:space="preserve">Número de veces que la autoridad utilizó la técnica basada en marcadores moleculares en los últimos dos años [habitual, ocasional] [p. ej. entre 1 y 5, entre 6 y 20, entre 21 y 100 o más de 100] </w:t>
      </w:r>
    </w:p>
    <w:p w14:paraId="45A26341" w14:textId="77777777" w:rsidR="00DC0ABE" w:rsidRPr="00824357" w:rsidRDefault="00DC0ABE" w:rsidP="00F44E48">
      <w:pPr>
        <w:pStyle w:val="ListParagraph"/>
        <w:numPr>
          <w:ilvl w:val="0"/>
          <w:numId w:val="25"/>
        </w:numPr>
        <w:spacing w:line="276" w:lineRule="auto"/>
        <w:ind w:left="1134" w:hanging="567"/>
      </w:pPr>
      <w:r>
        <w:t>Si la técnica basada en marcadores moleculares está contemplada en [directriz(ces) de examen de la UPOV, documento(s) TGP de la UPOV, otro(s) documento(s) de la UPOV (especifique)</w:t>
      </w:r>
    </w:p>
    <w:p w14:paraId="01C69679" w14:textId="77777777" w:rsidR="00DC0ABE" w:rsidRPr="00824357" w:rsidRDefault="00DC0ABE" w:rsidP="00F44E48">
      <w:pPr>
        <w:pStyle w:val="ListParagraph"/>
        <w:numPr>
          <w:ilvl w:val="0"/>
          <w:numId w:val="25"/>
        </w:numPr>
        <w:spacing w:line="276" w:lineRule="auto"/>
        <w:ind w:left="1134" w:hanging="567"/>
      </w:pPr>
      <w:r>
        <w:t xml:space="preserve">Si la técnica molecular está validada, reconocida o autorizada [si lo está, indique una organización o autoridad concreta] </w:t>
      </w:r>
    </w:p>
    <w:p w14:paraId="3A875BFA" w14:textId="77777777" w:rsidR="00DC0ABE" w:rsidRPr="00824357" w:rsidRDefault="00DC0ABE" w:rsidP="00F44E48">
      <w:pPr>
        <w:pStyle w:val="ListParagraph"/>
        <w:numPr>
          <w:ilvl w:val="0"/>
          <w:numId w:val="25"/>
        </w:numPr>
        <w:spacing w:line="276" w:lineRule="auto"/>
        <w:ind w:left="1134" w:hanging="567"/>
      </w:pPr>
      <w:r>
        <w:t>[relevante para los sistemas de semillas de la OCDE]</w:t>
      </w:r>
    </w:p>
    <w:p w14:paraId="75E04C41" w14:textId="77777777" w:rsidR="00DC0ABE" w:rsidRPr="00824357" w:rsidRDefault="00DC0ABE" w:rsidP="00F44E48">
      <w:pPr>
        <w:pStyle w:val="ListParagraph"/>
        <w:numPr>
          <w:ilvl w:val="0"/>
          <w:numId w:val="25"/>
        </w:numPr>
        <w:spacing w:line="276" w:lineRule="auto"/>
        <w:ind w:left="1134" w:hanging="567"/>
      </w:pPr>
      <w:r>
        <w:t xml:space="preserve">Si la autoridad ha creado bases de datos con información obtenida a partir de la utilización de la técnica basada en marcadores moleculares </w:t>
      </w:r>
    </w:p>
    <w:p w14:paraId="38DA4091" w14:textId="77777777" w:rsidR="00010A57" w:rsidRDefault="00010A57" w:rsidP="00A77B44">
      <w:pPr>
        <w:rPr>
          <w:highlight w:val="yellow"/>
        </w:rPr>
      </w:pPr>
    </w:p>
    <w:p w14:paraId="27EBC455" w14:textId="77777777" w:rsidR="00010A57" w:rsidRPr="007A2710" w:rsidRDefault="00010A57" w:rsidP="00A77B44">
      <w:r w:rsidRPr="007A2710">
        <w:fldChar w:fldCharType="begin"/>
      </w:r>
      <w:r w:rsidRPr="007A2710">
        <w:instrText xml:space="preserve"> AUTONUM  </w:instrText>
      </w:r>
      <w:r w:rsidRPr="007A2710">
        <w:fldChar w:fldCharType="end"/>
      </w:r>
      <w:r>
        <w:tab/>
        <w:t xml:space="preserve">El TC convino en que la pregunta “Si la técnica molecular está validada” se ha de modificar para que sea “Si la técnica molecular está validada, reconocida o autorizada”. </w:t>
      </w:r>
    </w:p>
    <w:p w14:paraId="1AD7B990" w14:textId="77777777" w:rsidR="00617646" w:rsidRPr="007A2710" w:rsidRDefault="00617646" w:rsidP="00A77B44"/>
    <w:p w14:paraId="60F68421" w14:textId="77777777" w:rsidR="00D40690" w:rsidRPr="007A2710" w:rsidRDefault="00A77B44" w:rsidP="00050E16">
      <w:r w:rsidRPr="007A2710">
        <w:fldChar w:fldCharType="begin"/>
      </w:r>
      <w:r w:rsidRPr="007A2710">
        <w:instrText xml:space="preserve"> AUTONUM  </w:instrText>
      </w:r>
      <w:r w:rsidRPr="007A2710">
        <w:fldChar w:fldCharType="end"/>
      </w:r>
      <w:r>
        <w:tab/>
        <w:t>El TC convino en que se ha de enviar una circular para solicitar a los miembros de la Unión que respondan una encuesta como punto de partida de la elaboración de un inventario sobre la utilización de técnicas basadas en marcadores moleculares, por cultivos, tras coordinar con la OCDE.</w:t>
      </w:r>
    </w:p>
    <w:p w14:paraId="6C37D661" w14:textId="77777777" w:rsidR="00C246BF" w:rsidRPr="007A2710" w:rsidRDefault="00C246BF" w:rsidP="00C246BF"/>
    <w:p w14:paraId="352832C3" w14:textId="77777777" w:rsidR="00C246BF" w:rsidRPr="007A2710" w:rsidRDefault="00C246BF" w:rsidP="00C246BF">
      <w:r w:rsidRPr="007A2710">
        <w:fldChar w:fldCharType="begin"/>
      </w:r>
      <w:r w:rsidRPr="007A2710">
        <w:instrText xml:space="preserve"> AUTONUM  </w:instrText>
      </w:r>
      <w:r w:rsidRPr="007A2710">
        <w:fldChar w:fldCharType="end"/>
      </w:r>
      <w:r>
        <w:tab/>
        <w:t>El TC coincidió con el BMT en que la encuesta ha de tener respuestas estructuradas para que se puedan comparar los resultados, en la medida de lo posible.</w:t>
      </w:r>
    </w:p>
    <w:p w14:paraId="62302F7D" w14:textId="77777777" w:rsidR="00010A57" w:rsidRPr="007A2710" w:rsidRDefault="00010A57" w:rsidP="00010A57"/>
    <w:p w14:paraId="6D9AC7A4" w14:textId="77777777" w:rsidR="00010A57" w:rsidRPr="00824357" w:rsidRDefault="00010A57" w:rsidP="00010A57">
      <w:r w:rsidRPr="007A2710">
        <w:fldChar w:fldCharType="begin"/>
      </w:r>
      <w:r w:rsidRPr="007A2710">
        <w:instrText xml:space="preserve"> AUTONUM  </w:instrText>
      </w:r>
      <w:r w:rsidRPr="007A2710">
        <w:fldChar w:fldCharType="end"/>
      </w:r>
      <w:r>
        <w:tab/>
        <w:t>El TC convino en que la Oficina de la Unión ha de realizar una encuesta piloto con expertos del Reino Unido.</w:t>
      </w:r>
    </w:p>
    <w:p w14:paraId="65E9DABB" w14:textId="77777777" w:rsidR="00D40690" w:rsidRPr="00824357" w:rsidRDefault="00D40690" w:rsidP="00050E16"/>
    <w:p w14:paraId="57793763" w14:textId="77777777" w:rsidR="00D40690" w:rsidRPr="00824357" w:rsidRDefault="00A77B44" w:rsidP="00866771">
      <w:pPr>
        <w:pStyle w:val="Heading4"/>
      </w:pPr>
      <w:bookmarkStart w:id="35" w:name="_Toc14980929"/>
      <w:bookmarkStart w:id="36" w:name="_Toc15059500"/>
      <w:bookmarkStart w:id="37" w:name="_Toc16181362"/>
      <w:r>
        <w:t>Listas de posibles iniciativas conjuntas con la OCDE y la ISTA relacionadas con las técnicas moleculares</w:t>
      </w:r>
      <w:bookmarkEnd w:id="35"/>
      <w:bookmarkEnd w:id="36"/>
      <w:bookmarkEnd w:id="37"/>
    </w:p>
    <w:p w14:paraId="604EA9AE" w14:textId="77777777" w:rsidR="00D40690" w:rsidRPr="00824357" w:rsidRDefault="00D40690" w:rsidP="00866771">
      <w:pPr>
        <w:keepNext/>
      </w:pPr>
    </w:p>
    <w:p w14:paraId="44D05473" w14:textId="049D1D4A" w:rsidR="00CF2BBD" w:rsidRPr="00824357" w:rsidRDefault="00C125C6" w:rsidP="00CF2BBD">
      <w:pPr>
        <w:keepNext/>
      </w:pPr>
      <w:r w:rsidRPr="00824357">
        <w:fldChar w:fldCharType="begin"/>
      </w:r>
      <w:r w:rsidRPr="00824357">
        <w:instrText xml:space="preserve"> AUTONUM  </w:instrText>
      </w:r>
      <w:r w:rsidRPr="00824357">
        <w:fldChar w:fldCharType="end"/>
      </w:r>
      <w:r>
        <w:tab/>
        <w:t>El TC examinó posibles iniciativas conjuntas con la OCDE y la ISTA relacionadas con las técnicas moleculares y suscribió la propuesta formulada por el BMT, en su decimoctava sesión, de que se repitan los talleres conjuntos en el futuro.</w:t>
      </w:r>
      <w:r w:rsidR="002A0DA3">
        <w:t xml:space="preserve"> </w:t>
      </w:r>
    </w:p>
    <w:p w14:paraId="07448A43" w14:textId="77777777" w:rsidR="00CF2BBD" w:rsidRPr="00824357" w:rsidRDefault="00CF2BBD" w:rsidP="00CF2BBD">
      <w:pPr>
        <w:keepNext/>
      </w:pPr>
    </w:p>
    <w:p w14:paraId="6B78CE94" w14:textId="77777777" w:rsidR="00A77B44" w:rsidRPr="00824357" w:rsidRDefault="00CF2BBD" w:rsidP="00CF2BBD">
      <w:pPr>
        <w:keepNext/>
      </w:pPr>
      <w:r w:rsidRPr="00824357">
        <w:fldChar w:fldCharType="begin"/>
      </w:r>
      <w:r w:rsidRPr="00824357">
        <w:instrText xml:space="preserve"> AUTONUM  </w:instrText>
      </w:r>
      <w:r w:rsidRPr="00824357">
        <w:fldChar w:fldCharType="end"/>
      </w:r>
      <w:r>
        <w:tab/>
        <w:t>El TC convino con el BMT en proponer una iniciativa conjunta a fin de que cada organización informe a las demás sobre el uso de marcadores moleculares en su labor.</w:t>
      </w:r>
    </w:p>
    <w:p w14:paraId="149A0458" w14:textId="77777777" w:rsidR="007A2710" w:rsidRDefault="007A2710" w:rsidP="007A2710"/>
    <w:p w14:paraId="73A5721E" w14:textId="574C5724" w:rsidR="007A2710" w:rsidRDefault="007A2710" w:rsidP="00050E16">
      <w:r w:rsidRPr="004B3E56">
        <w:fldChar w:fldCharType="begin"/>
      </w:r>
      <w:r w:rsidRPr="004B3E56">
        <w:instrText xml:space="preserve"> AUTONUM  </w:instrText>
      </w:r>
      <w:r w:rsidRPr="004B3E56">
        <w:fldChar w:fldCharType="end"/>
      </w:r>
      <w:r>
        <w:tab/>
        <w:t>El TC tomó nota de que no existen definiciones sobre técnicas bioquímicas y moleculares en la UPOV.</w:t>
      </w:r>
      <w:r w:rsidR="002A0DA3">
        <w:t xml:space="preserve"> </w:t>
      </w:r>
      <w:r>
        <w:t>El TC convino en que la información de la encuesta sobre las técnicas puede contribuir a aclarar las que se consideran bioquímicas y moleculares.</w:t>
      </w:r>
      <w:r w:rsidR="002A0DA3">
        <w:t xml:space="preserve"> </w:t>
      </w:r>
    </w:p>
    <w:p w14:paraId="2D17D40C" w14:textId="77777777" w:rsidR="007A2710" w:rsidRPr="00824357" w:rsidRDefault="007A2710" w:rsidP="00050E16"/>
    <w:p w14:paraId="062EA09D" w14:textId="77777777" w:rsidR="00A77B44" w:rsidRPr="00824357" w:rsidRDefault="005A771F" w:rsidP="00866771">
      <w:pPr>
        <w:pStyle w:val="Heading3"/>
      </w:pPr>
      <w:bookmarkStart w:id="38" w:name="_Toc536782789"/>
      <w:bookmarkStart w:id="39" w:name="_Toc13511378"/>
      <w:bookmarkStart w:id="40" w:name="_Toc14980930"/>
      <w:bookmarkStart w:id="41" w:name="_Toc15568815"/>
      <w:bookmarkStart w:id="42" w:name="_Toc16181363"/>
      <w:r>
        <w:rPr>
          <w:rStyle w:val="Heading1Char"/>
          <w:caps w:val="0"/>
        </w:rPr>
        <w:t>Sesión para facilitar la cooperación en el</w:t>
      </w:r>
      <w:r>
        <w:t xml:space="preserve"> uso de técnicas moleculares</w:t>
      </w:r>
      <w:bookmarkEnd w:id="38"/>
      <w:bookmarkEnd w:id="39"/>
      <w:bookmarkEnd w:id="40"/>
      <w:bookmarkEnd w:id="41"/>
      <w:bookmarkEnd w:id="42"/>
    </w:p>
    <w:p w14:paraId="45D448C1" w14:textId="77777777" w:rsidR="004661A0" w:rsidRPr="00824357" w:rsidRDefault="004661A0" w:rsidP="004661A0"/>
    <w:p w14:paraId="7BF7E3E9" w14:textId="7A998B37" w:rsidR="004661A0" w:rsidRPr="00824357" w:rsidRDefault="004661A0" w:rsidP="004661A0">
      <w:pPr>
        <w:rPr>
          <w:color w:val="000000"/>
        </w:rPr>
      </w:pPr>
      <w:r w:rsidRPr="00824357">
        <w:rPr>
          <w:color w:val="000000"/>
        </w:rPr>
        <w:fldChar w:fldCharType="begin"/>
      </w:r>
      <w:r w:rsidRPr="00824357">
        <w:rPr>
          <w:color w:val="000000"/>
        </w:rPr>
        <w:instrText xml:space="preserve"> AUTONUM  </w:instrText>
      </w:r>
      <w:r w:rsidRPr="00824357">
        <w:rPr>
          <w:color w:val="000000"/>
        </w:rPr>
        <w:fldChar w:fldCharType="end"/>
      </w:r>
      <w:r>
        <w:tab/>
        <w:t>El TC tomo nota de que los TWP y el BMT, en sus sesiones de 2019, han creado grupos de debate con objeto de que los participantes intercambien información sobre su labor en materia de técnicas bioquímicas y moleculares y definan ámbitos de cooperación.</w:t>
      </w:r>
      <w:r w:rsidR="002A0DA3">
        <w:t xml:space="preserve"> </w:t>
      </w:r>
      <w:r>
        <w:t>El TC tomó nota de los resultados de los debates mantenidos en los TWP, expuestos en los párrafos 32 a 35 del documento TC/55/7, de los que se ha informado al BMT en su decimoctava sesión.</w:t>
      </w:r>
    </w:p>
    <w:p w14:paraId="6FEF4CA4" w14:textId="77777777" w:rsidR="004661A0" w:rsidRPr="00824357" w:rsidRDefault="004661A0" w:rsidP="004661A0"/>
    <w:p w14:paraId="4A5C181A" w14:textId="77777777" w:rsidR="00A77B44" w:rsidRPr="00824357" w:rsidRDefault="005A771F" w:rsidP="00195746">
      <w:pPr>
        <w:pStyle w:val="Heading4"/>
      </w:pPr>
      <w:bookmarkStart w:id="43" w:name="_Toc13511380"/>
      <w:bookmarkStart w:id="44" w:name="_Toc15568817"/>
      <w:bookmarkStart w:id="45" w:name="_Toc16181365"/>
      <w:r>
        <w:lastRenderedPageBreak/>
        <w:t>Novedades acaecidas en los Grupos de Trabajo Técnico y el Grupo de Trabajo sobre Técnicas Bioquímicas y Moleculares, y Perfiles de ADN en particular en 2019</w:t>
      </w:r>
      <w:bookmarkEnd w:id="43"/>
      <w:bookmarkEnd w:id="44"/>
      <w:bookmarkEnd w:id="45"/>
    </w:p>
    <w:p w14:paraId="4A158645" w14:textId="77777777" w:rsidR="005A771F" w:rsidRPr="00824357" w:rsidRDefault="005A771F" w:rsidP="00195746">
      <w:pPr>
        <w:keepNext/>
      </w:pPr>
    </w:p>
    <w:p w14:paraId="36CCE354" w14:textId="77777777" w:rsidR="005A771F" w:rsidRPr="00824357" w:rsidRDefault="005A771F" w:rsidP="00195746">
      <w:pPr>
        <w:keepNext/>
      </w:pPr>
      <w:r w:rsidRPr="00824357">
        <w:fldChar w:fldCharType="begin"/>
      </w:r>
      <w:r w:rsidRPr="00824357">
        <w:instrText xml:space="preserve"> AUTONUM  </w:instrText>
      </w:r>
      <w:r w:rsidRPr="00824357">
        <w:fldChar w:fldCharType="end"/>
      </w:r>
      <w:r>
        <w:tab/>
        <w:t>El TC tomó nota de que se ha invitado al BMT, en su decimoctava sesión, a elaborar propuestas sobre los próximos pasos encaminados a definir ámbitos de cooperación en el uso de técnicas moleculares, según se expone en el párrafo 38 del documento TC/55/7.</w:t>
      </w:r>
    </w:p>
    <w:p w14:paraId="6D39D452" w14:textId="77777777" w:rsidR="005A771F" w:rsidRPr="00824357" w:rsidRDefault="005A771F" w:rsidP="00050E16"/>
    <w:p w14:paraId="5E934094" w14:textId="77777777" w:rsidR="00B63A22" w:rsidRPr="00824357" w:rsidRDefault="00B63A22" w:rsidP="00050E16">
      <w:r w:rsidRPr="00824357">
        <w:fldChar w:fldCharType="begin"/>
      </w:r>
      <w:r w:rsidRPr="00824357">
        <w:instrText xml:space="preserve"> AUTONUM  </w:instrText>
      </w:r>
      <w:r w:rsidRPr="00824357">
        <w:fldChar w:fldCharType="end"/>
      </w:r>
      <w:r>
        <w:tab/>
        <w:t>El TC tomó nota de los siguientes resultados de los debates mantenidos en el BMT sobre las cuestiones de cooperación entre asociados y proveedores de servicios, incluida la confidencialidad, el acceso a los datos y el material:</w:t>
      </w:r>
    </w:p>
    <w:p w14:paraId="52215218" w14:textId="77777777" w:rsidR="00A96FDA" w:rsidRPr="00824357" w:rsidRDefault="00A96FDA" w:rsidP="00A96FDA">
      <w:pPr>
        <w:ind w:left="720"/>
        <w:contextualSpacing/>
        <w:rPr>
          <w:rFonts w:eastAsia="Calibri" w:cs="Arial"/>
        </w:rPr>
      </w:pPr>
    </w:p>
    <w:p w14:paraId="635744DF" w14:textId="6ADC3506" w:rsidR="005A771F" w:rsidRPr="00824357" w:rsidRDefault="005A771F" w:rsidP="00F44E48">
      <w:pPr>
        <w:numPr>
          <w:ilvl w:val="0"/>
          <w:numId w:val="26"/>
        </w:numPr>
        <w:spacing w:line="276" w:lineRule="auto"/>
        <w:ind w:left="1134" w:hanging="567"/>
        <w:contextualSpacing/>
        <w:rPr>
          <w:rFonts w:eastAsia="Calibri" w:cs="Arial"/>
        </w:rPr>
      </w:pPr>
      <w:r>
        <w:t>Los datos de los perfiles de ADN deben considerarse confidenciales;</w:t>
      </w:r>
      <w:r w:rsidR="002A0DA3">
        <w:t xml:space="preserve"> </w:t>
      </w:r>
    </w:p>
    <w:p w14:paraId="25FA1D45" w14:textId="77777777" w:rsidR="005A771F" w:rsidRPr="00824357" w:rsidRDefault="005A771F" w:rsidP="00F44E48">
      <w:pPr>
        <w:numPr>
          <w:ilvl w:val="0"/>
          <w:numId w:val="26"/>
        </w:numPr>
        <w:spacing w:line="276" w:lineRule="auto"/>
        <w:ind w:left="1134" w:hanging="567"/>
        <w:contextualSpacing/>
        <w:rPr>
          <w:rFonts w:eastAsia="Calibri" w:cs="Arial"/>
        </w:rPr>
      </w:pPr>
      <w:r>
        <w:t>Los datos de identificación de variedades pueden ponerse a disposición del público si el número de marcadores SNP utilizados es pequeño;</w:t>
      </w:r>
    </w:p>
    <w:p w14:paraId="07419605" w14:textId="77777777" w:rsidR="005A771F" w:rsidRPr="00824357" w:rsidRDefault="005A771F" w:rsidP="00F44E48">
      <w:pPr>
        <w:numPr>
          <w:ilvl w:val="0"/>
          <w:numId w:val="26"/>
        </w:numPr>
        <w:spacing w:line="276" w:lineRule="auto"/>
        <w:ind w:left="1134" w:hanging="567"/>
        <w:contextualSpacing/>
        <w:rPr>
          <w:rFonts w:eastAsia="Calibri" w:cs="Arial"/>
        </w:rPr>
      </w:pPr>
      <w:r>
        <w:t xml:space="preserve">Debe exigirse el consentimiento del obtentor para compartir información relativa al ADN; </w:t>
      </w:r>
    </w:p>
    <w:p w14:paraId="7A24E8E6" w14:textId="77777777" w:rsidR="005A771F" w:rsidRPr="00824357" w:rsidRDefault="005A771F" w:rsidP="00F44E48">
      <w:pPr>
        <w:numPr>
          <w:ilvl w:val="0"/>
          <w:numId w:val="26"/>
        </w:numPr>
        <w:spacing w:line="276" w:lineRule="auto"/>
        <w:ind w:left="1134" w:hanging="567"/>
        <w:contextualSpacing/>
        <w:rPr>
          <w:rFonts w:eastAsia="Calibri" w:cs="Arial"/>
        </w:rPr>
      </w:pPr>
      <w:r>
        <w:t>La publicación de identificaciones de variedades mediante SNP ha de comunicarse a los obtentores;</w:t>
      </w:r>
    </w:p>
    <w:p w14:paraId="7507AA66" w14:textId="77777777" w:rsidR="005A771F" w:rsidRPr="00824357" w:rsidRDefault="005A771F" w:rsidP="00F44E48">
      <w:pPr>
        <w:pStyle w:val="ListParagraph"/>
        <w:numPr>
          <w:ilvl w:val="0"/>
          <w:numId w:val="26"/>
        </w:numPr>
        <w:spacing w:line="276" w:lineRule="auto"/>
        <w:ind w:left="1134" w:hanging="567"/>
        <w:rPr>
          <w:rFonts w:eastAsia="Calibri" w:cs="Arial"/>
        </w:rPr>
      </w:pPr>
      <w:r>
        <w:t>La información acerca de las líneas parentales debe considerarse confidencial;</w:t>
      </w:r>
    </w:p>
    <w:p w14:paraId="42210C28" w14:textId="77777777" w:rsidR="005A771F" w:rsidRPr="00824357" w:rsidRDefault="00A96FDA" w:rsidP="00F44E48">
      <w:pPr>
        <w:pStyle w:val="ListParagraph"/>
        <w:numPr>
          <w:ilvl w:val="0"/>
          <w:numId w:val="26"/>
        </w:numPr>
        <w:spacing w:line="276" w:lineRule="auto"/>
        <w:ind w:left="1134" w:hanging="567"/>
      </w:pPr>
      <w:r>
        <w:t>Invitación a los obtentores, las organizaciones observadoras y otros asistentes a presentar ponencias en torno a cuestiones de titularidad durante el día del obtentor de la decimonovena sesión del BMT;</w:t>
      </w:r>
    </w:p>
    <w:p w14:paraId="08DC332D" w14:textId="77777777" w:rsidR="005A771F" w:rsidRPr="00824357" w:rsidRDefault="00A96FDA" w:rsidP="00F44E48">
      <w:pPr>
        <w:pStyle w:val="ListParagraph"/>
        <w:numPr>
          <w:ilvl w:val="0"/>
          <w:numId w:val="26"/>
        </w:numPr>
        <w:spacing w:line="276" w:lineRule="auto"/>
        <w:ind w:left="1134" w:hanging="567"/>
      </w:pPr>
      <w:r>
        <w:t>Propuesta de elaborar un modelo de acuerdo para el uso de datos moleculares, en colaboración con los obtentores. En el modelo debe constar el requisito de que se indique el uso previsto de los datos.</w:t>
      </w:r>
    </w:p>
    <w:p w14:paraId="02A3F442" w14:textId="77777777" w:rsidR="005A771F" w:rsidRPr="00824357" w:rsidRDefault="00A96FDA" w:rsidP="00F44E48">
      <w:pPr>
        <w:pStyle w:val="ListParagraph"/>
        <w:numPr>
          <w:ilvl w:val="0"/>
          <w:numId w:val="26"/>
        </w:numPr>
        <w:spacing w:line="276" w:lineRule="auto"/>
        <w:ind w:left="1134" w:hanging="567"/>
      </w:pPr>
      <w:r>
        <w:t>Tomó nota de que Nueva Zelandia ha publicado un documento de posición sobre el acceso y uso del material vegetal en el que se incluyen los datos moleculares. Por ejemplo, solo se facilitarán datos moleculares con el permiso del obtentor.</w:t>
      </w:r>
    </w:p>
    <w:p w14:paraId="66DE3036" w14:textId="77777777" w:rsidR="00DA6661" w:rsidRDefault="00DA6661" w:rsidP="00DA6661"/>
    <w:p w14:paraId="74EC7636" w14:textId="77777777" w:rsidR="00DA6661" w:rsidRPr="00824357" w:rsidRDefault="00DA6661" w:rsidP="00DA6661">
      <w:r w:rsidRPr="00824357">
        <w:fldChar w:fldCharType="begin"/>
      </w:r>
      <w:r w:rsidRPr="00824357">
        <w:instrText xml:space="preserve"> AUTONUM  </w:instrText>
      </w:r>
      <w:r w:rsidRPr="00824357">
        <w:fldChar w:fldCharType="end"/>
      </w:r>
      <w:r>
        <w:tab/>
        <w:t>El TC convino con el BMT en que se invite a los obtentores, las organizaciones observadoras y otros asistentes a presentar ponencias en torno a cuestiones de titularidad durante el día del obtentor de la decimonovena sesión del BMT.</w:t>
      </w:r>
    </w:p>
    <w:p w14:paraId="2E7FEA5B" w14:textId="77777777" w:rsidR="00DA6661" w:rsidRPr="00824357" w:rsidRDefault="00DA6661" w:rsidP="00050E16"/>
    <w:p w14:paraId="7C4E7EE5" w14:textId="77777777" w:rsidR="00C57811" w:rsidRPr="00824357" w:rsidRDefault="00C57811" w:rsidP="00050E16">
      <w:r w:rsidRPr="00824357">
        <w:fldChar w:fldCharType="begin"/>
      </w:r>
      <w:r w:rsidRPr="00824357">
        <w:instrText xml:space="preserve"> AUTONUM  </w:instrText>
      </w:r>
      <w:r w:rsidRPr="00824357">
        <w:fldChar w:fldCharType="end"/>
      </w:r>
      <w:r>
        <w:tab/>
        <w:t>El TC recordó que en la sección 1 “Acuerdo administrativo tipo de cooperación internacional en el examen de las obtenciones vegetales” del documento TGP/5 se ofrece una orientación sobre la confidencialidad de la información molecular.</w:t>
      </w:r>
    </w:p>
    <w:p w14:paraId="6A670F39" w14:textId="77777777" w:rsidR="007B41A4" w:rsidRPr="00824357" w:rsidRDefault="007B41A4" w:rsidP="007B41A4"/>
    <w:p w14:paraId="0EBFFD9D" w14:textId="77777777" w:rsidR="007B41A4" w:rsidRPr="00824357" w:rsidRDefault="007B41A4" w:rsidP="007B41A4">
      <w:pPr>
        <w:pStyle w:val="Heading2"/>
      </w:pPr>
      <w:r>
        <w:t>Cooperación internacional en materia de examen</w:t>
      </w:r>
    </w:p>
    <w:p w14:paraId="767125D5" w14:textId="77777777" w:rsidR="007B41A4" w:rsidRPr="00824357" w:rsidRDefault="007B41A4" w:rsidP="007B41A4">
      <w:pPr>
        <w:keepNext/>
      </w:pPr>
    </w:p>
    <w:p w14:paraId="6DC54640" w14:textId="77777777" w:rsidR="007B41A4" w:rsidRPr="00824357" w:rsidRDefault="007B41A4" w:rsidP="007B41A4">
      <w:pPr>
        <w:keepNext/>
      </w:pPr>
      <w:r w:rsidRPr="00824357">
        <w:fldChar w:fldCharType="begin"/>
      </w:r>
      <w:r w:rsidRPr="00824357">
        <w:instrText xml:space="preserve"> AUTONUM  </w:instrText>
      </w:r>
      <w:r w:rsidRPr="00824357">
        <w:fldChar w:fldCharType="end"/>
      </w:r>
      <w:r>
        <w:tab/>
        <w:t>El TC examinó los documentos TC/55/10 y TC/55/10 Add.</w:t>
      </w:r>
    </w:p>
    <w:p w14:paraId="4424F86A" w14:textId="77777777" w:rsidR="007B41A4" w:rsidRPr="00824357" w:rsidRDefault="007B41A4" w:rsidP="007B41A4"/>
    <w:p w14:paraId="595ADB64" w14:textId="77777777" w:rsidR="007B41A4" w:rsidRPr="00824357" w:rsidRDefault="007B41A4" w:rsidP="007B41A4">
      <w:pPr>
        <w:pStyle w:val="Heading3"/>
      </w:pPr>
      <w:r>
        <w:t>Designación de personas de enlace para asuntos relativos a la cooperación internacional en materia de examen DHE</w:t>
      </w:r>
    </w:p>
    <w:p w14:paraId="0D9F5FDA" w14:textId="77777777" w:rsidR="007B41A4" w:rsidRPr="00824357" w:rsidRDefault="007B41A4" w:rsidP="007B41A4">
      <w:pPr>
        <w:keepNext/>
      </w:pPr>
    </w:p>
    <w:p w14:paraId="362CDD7A" w14:textId="77777777" w:rsidR="00EE75A4" w:rsidRPr="00824357" w:rsidRDefault="007B41A4" w:rsidP="00EE75A4">
      <w:r w:rsidRPr="00824357">
        <w:fldChar w:fldCharType="begin"/>
      </w:r>
      <w:r w:rsidRPr="00824357">
        <w:instrText xml:space="preserve"> AUTONUM  </w:instrText>
      </w:r>
      <w:r w:rsidRPr="00824357">
        <w:fldChar w:fldCharType="end"/>
      </w:r>
      <w:r>
        <w:tab/>
        <w:t>El TC tomó nota de la lista de personas de enlace para los asuntos relativos a la cooperación internacional en materia de examen DHE, que figura en el Anexo del documento TC/55/10 y se publicará en el sitio web de la UPOV una vez que este adopte su nuevo diseño.</w:t>
      </w:r>
    </w:p>
    <w:p w14:paraId="72395C65" w14:textId="77777777" w:rsidR="007B41A4" w:rsidRPr="00824357" w:rsidRDefault="007B41A4" w:rsidP="007B41A4"/>
    <w:p w14:paraId="1D9A8F0C" w14:textId="77777777" w:rsidR="007B41A4" w:rsidRPr="00824357" w:rsidRDefault="007B41A4" w:rsidP="007B41A4">
      <w:r w:rsidRPr="00824357">
        <w:fldChar w:fldCharType="begin"/>
      </w:r>
      <w:r w:rsidRPr="00824357">
        <w:instrText xml:space="preserve"> AUTONUM  </w:instrText>
      </w:r>
      <w:r w:rsidRPr="00824357">
        <w:fldChar w:fldCharType="end"/>
      </w:r>
      <w:r>
        <w:tab/>
        <w:t xml:space="preserve">El TC tomó nota de que se invitará a los miembros de la UPOV a que actualicen cada año la información de la(s) persona(s) de enlace para los asuntos relativos a la cooperación internacional en materia de examen DHE, cuando se les invite a facilitar información para el documento TC/[xx]/4 “Lista de géneros y especies respecto de los cuales las autoridades poseen experiencia práctica en el examen de la distinción, la homogeneidad y la estabilidad”. </w:t>
      </w:r>
    </w:p>
    <w:p w14:paraId="4D6E78AE" w14:textId="77777777" w:rsidR="007B41A4" w:rsidRPr="00824357" w:rsidRDefault="007B41A4" w:rsidP="007B41A4"/>
    <w:p w14:paraId="22188354" w14:textId="77777777" w:rsidR="007B41A4" w:rsidRPr="00824357" w:rsidRDefault="007B41A4" w:rsidP="007B41A4">
      <w:pPr>
        <w:pStyle w:val="Heading3"/>
      </w:pPr>
      <w:r>
        <w:t>Información sobre las posibilidades de cooperación internacional</w:t>
      </w:r>
    </w:p>
    <w:p w14:paraId="2172F85F" w14:textId="77777777" w:rsidR="007B41A4" w:rsidRPr="00824357" w:rsidRDefault="007B41A4" w:rsidP="007B41A4">
      <w:pPr>
        <w:keepNext/>
      </w:pPr>
    </w:p>
    <w:p w14:paraId="52AF1998" w14:textId="506F2CD3" w:rsidR="007B41A4" w:rsidRPr="00824357" w:rsidRDefault="007B41A4" w:rsidP="007B41A4">
      <w:pPr>
        <w:keepNext/>
      </w:pPr>
      <w:r w:rsidRPr="00824357">
        <w:fldChar w:fldCharType="begin"/>
      </w:r>
      <w:r w:rsidRPr="00824357">
        <w:instrText xml:space="preserve"> AUTONUM  </w:instrText>
      </w:r>
      <w:r w:rsidRPr="00824357">
        <w:fldChar w:fldCharType="end"/>
      </w:r>
      <w:r>
        <w:tab/>
        <w:t xml:space="preserve">El TC tomó nota de que </w:t>
      </w:r>
      <w:r w:rsidR="00590AF1">
        <w:t>la cuestión</w:t>
      </w:r>
      <w:r>
        <w:t xml:space="preserve"> de la cooperación internacional en materia de examen DHE y la explicación de las actuales posibilidades de cooperación entre los miembros de la UPOV se ha</w:t>
      </w:r>
      <w:r w:rsidR="00590AF1">
        <w:t>n</w:t>
      </w:r>
      <w:r>
        <w:t xml:space="preserve"> presentado a los TWP en sus sesiones de 2019.</w:t>
      </w:r>
    </w:p>
    <w:p w14:paraId="2275C831" w14:textId="77777777" w:rsidR="007B41A4" w:rsidRPr="00824357" w:rsidRDefault="007B41A4" w:rsidP="007B41A4"/>
    <w:p w14:paraId="1B8DCFD4" w14:textId="77777777" w:rsidR="007B41A4" w:rsidRPr="00824357" w:rsidRDefault="007B41A4" w:rsidP="007B41A4">
      <w:pPr>
        <w:pStyle w:val="Heading3"/>
      </w:pPr>
      <w:bookmarkStart w:id="46" w:name="_Toc17381962"/>
      <w:r>
        <w:lastRenderedPageBreak/>
        <w:t>Cuestiones técnicas que impiden la cooperación en materia de examen</w:t>
      </w:r>
      <w:bookmarkEnd w:id="46"/>
    </w:p>
    <w:p w14:paraId="2A6AAB31" w14:textId="77777777" w:rsidR="007B41A4" w:rsidRPr="00824357" w:rsidRDefault="007B41A4" w:rsidP="007B41A4">
      <w:pPr>
        <w:keepNext/>
      </w:pPr>
    </w:p>
    <w:p w14:paraId="593652F6" w14:textId="77777777" w:rsidR="007B41A4" w:rsidRPr="00824357" w:rsidRDefault="007B41A4" w:rsidP="007B41A4">
      <w:pPr>
        <w:keepNext/>
      </w:pPr>
      <w:r w:rsidRPr="00824357">
        <w:fldChar w:fldCharType="begin"/>
      </w:r>
      <w:r w:rsidRPr="00824357">
        <w:instrText xml:space="preserve"> AUTONUM  </w:instrText>
      </w:r>
      <w:r w:rsidRPr="00824357">
        <w:fldChar w:fldCharType="end"/>
      </w:r>
      <w:r>
        <w:tab/>
        <w:t>El TC tomó nota de que los TWP, en sus sesiones de 2019, formaron grupos de debate para examinar las cuestiones técnicas que impiden la cooperación en materia de examen DHE y proponer la manera de solventar las cuestiones técnicas planteadas.</w:t>
      </w:r>
    </w:p>
    <w:p w14:paraId="1419913E" w14:textId="77777777" w:rsidR="007B41A4" w:rsidRPr="00824357" w:rsidRDefault="007B41A4" w:rsidP="007B41A4"/>
    <w:p w14:paraId="33E5C440" w14:textId="77777777" w:rsidR="007B41A4" w:rsidRPr="00824357" w:rsidRDefault="007B41A4" w:rsidP="008C7DFD">
      <w:pPr>
        <w:rPr>
          <w:snapToGrid w:val="0"/>
        </w:rPr>
      </w:pPr>
      <w:r w:rsidRPr="00F43A03">
        <w:fldChar w:fldCharType="begin"/>
      </w:r>
      <w:r w:rsidRPr="00F43A03">
        <w:instrText xml:space="preserve"> AUTONUM  </w:instrText>
      </w:r>
      <w:r w:rsidRPr="00F43A03">
        <w:fldChar w:fldCharType="end"/>
      </w:r>
      <w:r>
        <w:tab/>
        <w:t>El TC examinó los resultados de los debates mantenidos en el seno del TWO, el TWV, el TWF, el TWA y el TWC, en sus sesiones de 2019, expuestos en los párrafos 19 a 26 del documento TC/55/10, y las medidas propuestas para solventar las cuestiones planteadas, expuestas en los párrafos 27 y 28 del mismo documento.</w:t>
      </w:r>
    </w:p>
    <w:p w14:paraId="10A6A518" w14:textId="77777777" w:rsidR="00E277EB" w:rsidRPr="00824357" w:rsidRDefault="00E277EB" w:rsidP="008C7DFD"/>
    <w:p w14:paraId="64183507" w14:textId="77777777" w:rsidR="00683151" w:rsidRPr="00824357" w:rsidRDefault="00683151" w:rsidP="008C7DFD">
      <w:r w:rsidRPr="00824357">
        <w:fldChar w:fldCharType="begin"/>
      </w:r>
      <w:r w:rsidRPr="00824357">
        <w:instrText xml:space="preserve"> AUTONUM  </w:instrText>
      </w:r>
      <w:r w:rsidRPr="00824357">
        <w:fldChar w:fldCharType="end"/>
      </w:r>
      <w:r>
        <w:tab/>
        <w:t>El TC convino en invitar a la Oficina de la UPOV a elaborar un plan coherente, basado en las siguientes propuestas, para solventar las cuestiones planteadas por los TWP y proponer la manera de evaluar la repercusión del plan:</w:t>
      </w:r>
    </w:p>
    <w:p w14:paraId="0FB726F0" w14:textId="77777777" w:rsidR="007B41A4" w:rsidRPr="00BB7A5A" w:rsidRDefault="007B41A4" w:rsidP="007B41A4">
      <w:pPr>
        <w:keepNext/>
      </w:pPr>
    </w:p>
    <w:p w14:paraId="005D6D0E" w14:textId="77777777" w:rsidR="007B41A4" w:rsidRPr="00BB7A5A" w:rsidRDefault="007B41A4" w:rsidP="00F44E48">
      <w:pPr>
        <w:pStyle w:val="ListParagraph"/>
        <w:numPr>
          <w:ilvl w:val="0"/>
          <w:numId w:val="7"/>
        </w:numPr>
        <w:spacing w:after="200" w:line="276" w:lineRule="auto"/>
        <w:ind w:left="1134" w:hanging="567"/>
      </w:pPr>
      <w:r>
        <w:t>Base de datos GENIE: experiencia práctica y cooperación en materia de examen</w:t>
      </w:r>
    </w:p>
    <w:p w14:paraId="1B2D577A" w14:textId="77777777" w:rsidR="007B41A4" w:rsidRPr="00BB7A5A" w:rsidRDefault="007B41A4" w:rsidP="00F44E48">
      <w:pPr>
        <w:pStyle w:val="ListParagraph"/>
        <w:numPr>
          <w:ilvl w:val="0"/>
          <w:numId w:val="7"/>
        </w:numPr>
        <w:spacing w:after="200" w:line="276" w:lineRule="auto"/>
        <w:ind w:left="1134" w:hanging="567"/>
      </w:pPr>
      <w:r>
        <w:t>Publicación en el sitio web de la UPOV de una lista de las personas de enlace para asuntos relativos a la cooperación internacional en materia de examen DHE (véanse los párrafos 6 a 11)</w:t>
      </w:r>
    </w:p>
    <w:p w14:paraId="3581AF4D" w14:textId="77777777" w:rsidR="007B41A4" w:rsidRPr="00BB7A5A" w:rsidRDefault="007B41A4" w:rsidP="00F44E48">
      <w:pPr>
        <w:pStyle w:val="ListParagraph"/>
        <w:numPr>
          <w:ilvl w:val="0"/>
          <w:numId w:val="7"/>
        </w:numPr>
        <w:spacing w:after="200" w:line="276" w:lineRule="auto"/>
        <w:ind w:left="1134" w:hanging="567"/>
      </w:pPr>
      <w:r>
        <w:t>Base de datos PLUTO: crear una función de búsqueda de informes de examen DHE</w:t>
      </w:r>
      <w:r>
        <w:tab/>
      </w:r>
    </w:p>
    <w:p w14:paraId="4B2EE5E1" w14:textId="77777777" w:rsidR="007B41A4" w:rsidRPr="00BB7A5A" w:rsidRDefault="007B41A4" w:rsidP="00F44E48">
      <w:pPr>
        <w:pStyle w:val="ListParagraph"/>
        <w:numPr>
          <w:ilvl w:val="0"/>
          <w:numId w:val="7"/>
        </w:numPr>
        <w:spacing w:after="200" w:line="276" w:lineRule="auto"/>
        <w:ind w:left="1134" w:hanging="567"/>
      </w:pPr>
      <w:r>
        <w:t>Herramienta multilingüe en línea para solicitar informes de examen DHE</w:t>
      </w:r>
      <w:r>
        <w:tab/>
      </w:r>
    </w:p>
    <w:p w14:paraId="6135B876" w14:textId="2BD33FF6" w:rsidR="007B41A4" w:rsidRPr="00BB7A5A" w:rsidRDefault="007B41A4" w:rsidP="00F44E48">
      <w:pPr>
        <w:pStyle w:val="ListParagraph"/>
        <w:numPr>
          <w:ilvl w:val="0"/>
          <w:numId w:val="7"/>
        </w:numPr>
        <w:spacing w:after="200" w:line="276" w:lineRule="auto"/>
        <w:ind w:left="1134" w:hanging="567"/>
      </w:pPr>
      <w:r>
        <w:t>Sesiones de los TWP: invitar a presentar ponencias sobre los procedimientos de examen DHE</w:t>
      </w:r>
    </w:p>
    <w:p w14:paraId="64F26AE5" w14:textId="77777777" w:rsidR="007B41A4" w:rsidRPr="00BB7A5A" w:rsidRDefault="007B41A4" w:rsidP="00F44E48">
      <w:pPr>
        <w:pStyle w:val="ListParagraph"/>
        <w:numPr>
          <w:ilvl w:val="0"/>
          <w:numId w:val="7"/>
        </w:numPr>
        <w:spacing w:after="200" w:line="276" w:lineRule="auto"/>
        <w:ind w:left="1134" w:hanging="567"/>
      </w:pPr>
      <w:r>
        <w:t>Modificar la sección 6 del documento TGP/5 a fin de que se indiquen las variedades consideradas en el examen (no solo las variedades similares)</w:t>
      </w:r>
    </w:p>
    <w:p w14:paraId="42FBBFD6" w14:textId="77777777" w:rsidR="007B41A4" w:rsidRPr="00BB7A5A" w:rsidRDefault="007B41A4" w:rsidP="00F44E48">
      <w:pPr>
        <w:pStyle w:val="ListParagraph"/>
        <w:numPr>
          <w:ilvl w:val="0"/>
          <w:numId w:val="7"/>
        </w:numPr>
        <w:spacing w:after="200" w:line="276" w:lineRule="auto"/>
        <w:ind w:left="1134" w:hanging="567"/>
      </w:pPr>
      <w:r>
        <w:t>Modificar la sección 6 del documento TGP/5 a fin de que se faciliten datos de las observaciones sobre el terreno junto con el informe del examen DHE de cada variedad</w:t>
      </w:r>
      <w:r>
        <w:tab/>
      </w:r>
    </w:p>
    <w:p w14:paraId="4EFB5D1E" w14:textId="77777777" w:rsidR="007B41A4" w:rsidRPr="00BB7A5A" w:rsidRDefault="007B41A4" w:rsidP="00F44E48">
      <w:pPr>
        <w:pStyle w:val="ListParagraph"/>
        <w:numPr>
          <w:ilvl w:val="0"/>
          <w:numId w:val="7"/>
        </w:numPr>
        <w:spacing w:after="200" w:line="276" w:lineRule="auto"/>
        <w:ind w:left="1134" w:hanging="567"/>
      </w:pPr>
      <w:r>
        <w:t>Traducir a los idiomas pertinentes el acuerdo tipo de cooperación en el examen de variedades (sección 1 del documento TGP/5)</w:t>
      </w:r>
      <w:r>
        <w:tab/>
      </w:r>
    </w:p>
    <w:p w14:paraId="1C3022B7" w14:textId="77777777" w:rsidR="007B41A4" w:rsidRPr="00BB7A5A" w:rsidRDefault="007B41A4" w:rsidP="00F44E48">
      <w:pPr>
        <w:pStyle w:val="ListParagraph"/>
        <w:numPr>
          <w:ilvl w:val="0"/>
          <w:numId w:val="7"/>
        </w:numPr>
        <w:spacing w:after="200" w:line="276" w:lineRule="auto"/>
        <w:ind w:left="1134" w:hanging="567"/>
      </w:pPr>
      <w:r>
        <w:t>Elaborar una base de datos común con información morfológica y molecular de determinados cultivos o especies</w:t>
      </w:r>
    </w:p>
    <w:p w14:paraId="7DB07FA6" w14:textId="77777777" w:rsidR="007B41A4" w:rsidRPr="00BB7A5A" w:rsidRDefault="007B41A4" w:rsidP="00F44E48">
      <w:pPr>
        <w:pStyle w:val="ListParagraph"/>
        <w:numPr>
          <w:ilvl w:val="0"/>
          <w:numId w:val="7"/>
        </w:numPr>
        <w:spacing w:after="200" w:line="276" w:lineRule="auto"/>
        <w:ind w:left="1134" w:hanging="567"/>
      </w:pPr>
      <w:r>
        <w:t>Publicar los procedimientos de garantía de la calidad del examen de las variedades</w:t>
      </w:r>
      <w:r>
        <w:tab/>
      </w:r>
    </w:p>
    <w:p w14:paraId="771DF3D8" w14:textId="77777777" w:rsidR="007B41A4" w:rsidRPr="00BB7A5A" w:rsidRDefault="007B41A4" w:rsidP="00F44E48">
      <w:pPr>
        <w:pStyle w:val="ListParagraph"/>
        <w:numPr>
          <w:ilvl w:val="0"/>
          <w:numId w:val="7"/>
        </w:numPr>
        <w:spacing w:line="276" w:lineRule="auto"/>
        <w:ind w:left="1134" w:hanging="567"/>
      </w:pPr>
      <w:r>
        <w:t>Sondeo y revisión del uso de las directrices de examen de la UPOV por los miembros de la Unión</w:t>
      </w:r>
    </w:p>
    <w:p w14:paraId="53209F14" w14:textId="77777777" w:rsidR="007B41A4" w:rsidRPr="00824357" w:rsidRDefault="007B41A4" w:rsidP="007B41A4"/>
    <w:p w14:paraId="2583949D" w14:textId="542A47A4" w:rsidR="007B41A4" w:rsidRPr="00824357" w:rsidRDefault="007B41A4" w:rsidP="007B41A4">
      <w:r w:rsidRPr="00DE0F3F">
        <w:fldChar w:fldCharType="begin"/>
      </w:r>
      <w:r w:rsidRPr="00DE0F3F">
        <w:instrText xml:space="preserve"> AUTONUM  </w:instrText>
      </w:r>
      <w:r w:rsidRPr="00DE0F3F">
        <w:fldChar w:fldCharType="end"/>
      </w:r>
      <w:r>
        <w:tab/>
        <w:t xml:space="preserve">El TC convino en </w:t>
      </w:r>
      <w:r w:rsidR="00B56449">
        <w:t>notificar</w:t>
      </w:r>
      <w:r>
        <w:t xml:space="preserve"> al CAJ las cuestiones normativas o jurídicas conexas, que se exponen en los párrafos 27 y 28 del documento TC/55/10.</w:t>
      </w:r>
    </w:p>
    <w:p w14:paraId="43E9166A" w14:textId="77777777" w:rsidR="007B41A4" w:rsidRDefault="007B41A4" w:rsidP="00050E16"/>
    <w:p w14:paraId="600DB001" w14:textId="77777777" w:rsidR="003C3722" w:rsidRDefault="00DE0F3F" w:rsidP="00050E16">
      <w:r>
        <w:fldChar w:fldCharType="begin"/>
      </w:r>
      <w:r>
        <w:instrText xml:space="preserve"> AUTONUM  </w:instrText>
      </w:r>
      <w:r>
        <w:fldChar w:fldCharType="end"/>
      </w:r>
      <w:r>
        <w:tab/>
        <w:t>El TC tomó nota de que las sesiones de los TWP pueden ofrecer a los expertos la oportunidad de reforzar la colaboración e intercambiar información y convino en que estas sesiones deben emplearse para dar mayor impulso a la cooperación entre los miembros.</w:t>
      </w:r>
    </w:p>
    <w:p w14:paraId="08260BDB" w14:textId="77777777" w:rsidR="00CF5C88" w:rsidRDefault="00CF5C88" w:rsidP="00CF5C88"/>
    <w:p w14:paraId="36A17CD8" w14:textId="77777777" w:rsidR="000C3495" w:rsidRPr="00824357" w:rsidRDefault="000C3495" w:rsidP="00CF5C88"/>
    <w:p w14:paraId="6C3F2B5B" w14:textId="77777777" w:rsidR="00CF5C88" w:rsidRPr="00824357" w:rsidRDefault="00CF5C88" w:rsidP="00CF5C88">
      <w:pPr>
        <w:pStyle w:val="Heading2"/>
      </w:pPr>
      <w:r>
        <w:t>Bases de datos de información de la UPOV</w:t>
      </w:r>
    </w:p>
    <w:p w14:paraId="4E6F2770" w14:textId="77777777" w:rsidR="00CF5C88" w:rsidRPr="00824357" w:rsidRDefault="00CF5C88" w:rsidP="00CF5C88">
      <w:pPr>
        <w:keepNext/>
      </w:pPr>
    </w:p>
    <w:p w14:paraId="1948C463" w14:textId="77777777" w:rsidR="00CF5C88" w:rsidRPr="00824357" w:rsidRDefault="00C31B9B" w:rsidP="00CF5C88">
      <w:pPr>
        <w:keepNext/>
        <w:jc w:val="left"/>
        <w:rPr>
          <w:snapToGrid w:val="0"/>
          <w:u w:val="single"/>
        </w:rPr>
      </w:pPr>
      <w:r w:rsidRPr="00824357">
        <w:fldChar w:fldCharType="begin"/>
      </w:r>
      <w:r w:rsidRPr="00824357">
        <w:instrText xml:space="preserve"> AUTONUM  </w:instrText>
      </w:r>
      <w:r w:rsidRPr="00824357">
        <w:fldChar w:fldCharType="end"/>
      </w:r>
      <w:r>
        <w:tab/>
        <w:t>El TC examinó los documentos TC/55/5 y TC/55/5 Add.</w:t>
      </w:r>
    </w:p>
    <w:p w14:paraId="17A2D57F" w14:textId="77777777" w:rsidR="00CF5C88" w:rsidRPr="00824357" w:rsidRDefault="00CF5C88" w:rsidP="00CF5C88"/>
    <w:p w14:paraId="5CE52035" w14:textId="77777777" w:rsidR="00CF5C88" w:rsidRPr="00824357" w:rsidRDefault="00CF5C88" w:rsidP="00CF5C88">
      <w:pPr>
        <w:pStyle w:val="Heading3"/>
        <w:rPr>
          <w:snapToGrid w:val="0"/>
          <w:u w:val="single"/>
        </w:rPr>
      </w:pPr>
      <w:bookmarkStart w:id="47" w:name="_Toc477797640"/>
      <w:bookmarkStart w:id="48" w:name="_Toc525734052"/>
      <w:bookmarkStart w:id="49" w:name="_Toc16687084"/>
      <w:r>
        <w:t>Modificaciones de la “Orientación acerca del sistema de códigos de la UPOV”</w:t>
      </w:r>
      <w:bookmarkEnd w:id="47"/>
      <w:bookmarkEnd w:id="48"/>
      <w:bookmarkEnd w:id="49"/>
    </w:p>
    <w:p w14:paraId="5D117E7F" w14:textId="77777777" w:rsidR="00CF5C88" w:rsidRPr="00824357" w:rsidRDefault="00CF5C88" w:rsidP="00CF5C88">
      <w:pPr>
        <w:keepNext/>
        <w:jc w:val="left"/>
      </w:pPr>
    </w:p>
    <w:p w14:paraId="032EC7E6" w14:textId="79A7E96B" w:rsidR="00CF5C88" w:rsidRPr="00824357" w:rsidRDefault="00CF5C88" w:rsidP="00CF5C88">
      <w:pPr>
        <w:keepNext/>
      </w:pPr>
      <w:r w:rsidRPr="00A3688A">
        <w:fldChar w:fldCharType="begin"/>
      </w:r>
      <w:r w:rsidRPr="00A3688A">
        <w:instrText xml:space="preserve"> AUTONUM  </w:instrText>
      </w:r>
      <w:r w:rsidRPr="00A3688A">
        <w:fldChar w:fldCharType="end"/>
      </w:r>
      <w:r>
        <w:tab/>
        <w:t>El TC examinó las propuestas de modificación de la “Orientación acerca del sistema de códigos de la</w:t>
      </w:r>
      <w:r w:rsidR="00590AF1">
        <w:t> </w:t>
      </w:r>
      <w:r>
        <w:t xml:space="preserve">UPOV” a efectos de reflejar la creación de excepciones admitidas para los códigos UPOV del maíz palomero/maíz reventón, el maíz dulce y </w:t>
      </w:r>
      <w:r>
        <w:rPr>
          <w:i/>
        </w:rPr>
        <w:t>Brassica oleracea</w:t>
      </w:r>
      <w:r>
        <w:t>, expuestas en el Anexo I del documento TC/55/5.</w:t>
      </w:r>
    </w:p>
    <w:p w14:paraId="34B77C66" w14:textId="77777777" w:rsidR="0006112F" w:rsidRPr="00824357" w:rsidRDefault="0006112F" w:rsidP="00CF5C88">
      <w:pPr>
        <w:pStyle w:val="DecisionParagraphs"/>
        <w:rPr>
          <w:highlight w:val="yellow"/>
        </w:rPr>
      </w:pPr>
    </w:p>
    <w:p w14:paraId="7E2C3796" w14:textId="03DFB186" w:rsidR="00A26CC1" w:rsidRDefault="00E651FD" w:rsidP="00CF5C88">
      <w:r>
        <w:fldChar w:fldCharType="begin"/>
      </w:r>
      <w:r>
        <w:instrText xml:space="preserve"> AUTONUM  </w:instrText>
      </w:r>
      <w:r>
        <w:fldChar w:fldCharType="end"/>
      </w:r>
      <w:r>
        <w:tab/>
        <w:t>El TC recordó que el sistema de códigos UPOV tiene por objetivo principal resolver los problemas de sinonimia entre taxones vegetales y ha de basarse en criterios taxonómicos, teniendo también en cuenta que otras organizaciones internacionales como la ISTA han utilizado este sistema.</w:t>
      </w:r>
      <w:r w:rsidR="002A0DA3">
        <w:t xml:space="preserve"> </w:t>
      </w:r>
    </w:p>
    <w:p w14:paraId="015D60DE" w14:textId="77777777" w:rsidR="00A26CC1" w:rsidRDefault="00A26CC1" w:rsidP="00CF5C88"/>
    <w:p w14:paraId="7659E35C" w14:textId="15A9724C" w:rsidR="00A26CC1" w:rsidRDefault="00A26CC1" w:rsidP="00CF5C88">
      <w:r>
        <w:fldChar w:fldCharType="begin"/>
      </w:r>
      <w:r>
        <w:instrText xml:space="preserve"> AUTONUM  </w:instrText>
      </w:r>
      <w:r>
        <w:fldChar w:fldCharType="end"/>
      </w:r>
      <w:r>
        <w:tab/>
        <w:t>El TC convino en que las excepciones a la “Orientación acerca del sistema de códigos de la UPOV” propuestas divergen de la taxonomía de la Red de Información de Recursos de Germoplasma (GRIN).</w:t>
      </w:r>
      <w:r w:rsidR="002A0DA3">
        <w:t xml:space="preserve"> </w:t>
      </w:r>
      <w:r>
        <w:t>El TC convino en que los códigos UPOV deben seguir ajustándose a la taxonomía de la GRIN en la medida de lo posible.</w:t>
      </w:r>
    </w:p>
    <w:p w14:paraId="717441E5" w14:textId="77777777" w:rsidR="00E651FD" w:rsidRDefault="00E651FD" w:rsidP="00CF5C88"/>
    <w:p w14:paraId="1410F524" w14:textId="313DC5D8" w:rsidR="00A26CC1" w:rsidRPr="00824357" w:rsidRDefault="00A26CC1" w:rsidP="00A26CC1">
      <w:r w:rsidRPr="00824357">
        <w:lastRenderedPageBreak/>
        <w:fldChar w:fldCharType="begin"/>
      </w:r>
      <w:r w:rsidRPr="00824357">
        <w:instrText xml:space="preserve"> AUTONUM  </w:instrText>
      </w:r>
      <w:r w:rsidRPr="00824357">
        <w:fldChar w:fldCharType="end"/>
      </w:r>
      <w:r>
        <w:tab/>
        <w:t>El TC convino en posponer la modificación de la “Orientación acerca del sistema de códigos de la UPOV” y estudiar soluciones alternativas para que los códigos UPOV puedan proporcionar información útil sobre grupos o tipos de variedades a los fines del examen DHE.</w:t>
      </w:r>
      <w:r w:rsidR="002A0DA3">
        <w:t xml:space="preserve"> </w:t>
      </w:r>
      <w:r>
        <w:t>El TC convino en invitar a la Oficina de la Unión a elaborar un documento con propuestas, para que se someta a examen en su quincuagésima sexta sesión.</w:t>
      </w:r>
    </w:p>
    <w:p w14:paraId="69991ECC" w14:textId="77777777" w:rsidR="00E651FD" w:rsidRPr="00824357" w:rsidRDefault="00E651FD" w:rsidP="00CF5C88"/>
    <w:p w14:paraId="323F6535" w14:textId="6E0361AC" w:rsidR="00CF5C88" w:rsidRPr="00824357" w:rsidRDefault="00CF5C88" w:rsidP="00C31B9B">
      <w:pPr>
        <w:pStyle w:val="Heading3"/>
      </w:pPr>
      <w:bookmarkStart w:id="50" w:name="_Toc525734054"/>
      <w:bookmarkStart w:id="51" w:name="_Toc16687086"/>
      <w:r>
        <w:t>Modificaciones de los códigos de la UPOV</w:t>
      </w:r>
      <w:bookmarkEnd w:id="50"/>
      <w:bookmarkEnd w:id="51"/>
      <w:r w:rsidR="002A0DA3">
        <w:t xml:space="preserve"> </w:t>
      </w:r>
    </w:p>
    <w:p w14:paraId="451A67B6" w14:textId="77777777" w:rsidR="00C31B9B" w:rsidRPr="00824357" w:rsidRDefault="00C31B9B" w:rsidP="00C31B9B"/>
    <w:p w14:paraId="21099992" w14:textId="77777777" w:rsidR="00CF5C88" w:rsidRPr="00824357" w:rsidRDefault="00CF5C88" w:rsidP="00CF5C88">
      <w:pPr>
        <w:pStyle w:val="Heading4"/>
      </w:pPr>
      <w:bookmarkStart w:id="52" w:name="_Toc16687087"/>
      <w:r>
        <w:t>Propuestas de modificación de códigos de la UPOV</w:t>
      </w:r>
      <w:bookmarkEnd w:id="52"/>
    </w:p>
    <w:p w14:paraId="08553176" w14:textId="77777777" w:rsidR="00CF5C88" w:rsidRPr="00824357" w:rsidRDefault="00CF5C88" w:rsidP="00CF5C88">
      <w:pPr>
        <w:keepNext/>
        <w:jc w:val="left"/>
      </w:pPr>
    </w:p>
    <w:p w14:paraId="2D6246D7" w14:textId="2E446E7D" w:rsidR="00021FC8" w:rsidRDefault="00CF5C88" w:rsidP="001C59C4">
      <w:pPr>
        <w:keepNext/>
      </w:pPr>
      <w:r w:rsidRPr="00824357">
        <w:fldChar w:fldCharType="begin"/>
      </w:r>
      <w:r w:rsidRPr="00824357">
        <w:instrText xml:space="preserve"> AUTONUM  </w:instrText>
      </w:r>
      <w:r w:rsidRPr="00824357">
        <w:fldChar w:fldCharType="end"/>
      </w:r>
      <w:r>
        <w:tab/>
        <w:t>El TC convino en modificar los códigos UPOV siguientes, según se expone en los párrafos 18 a 62 del documento TC/55/5 y los párrafos 4, 8 y 12 del documento TC/55/5 Add.:</w:t>
      </w:r>
    </w:p>
    <w:p w14:paraId="124F76B9" w14:textId="77777777" w:rsidR="001C59C4" w:rsidRDefault="001C59C4" w:rsidP="001C59C4">
      <w:pPr>
        <w:keepNext/>
      </w:pPr>
    </w:p>
    <w:p w14:paraId="76FC71EC" w14:textId="0F899D40" w:rsidR="001C59C4" w:rsidRPr="001C59C4" w:rsidRDefault="001C59C4" w:rsidP="001C59C4">
      <w:pPr>
        <w:keepNext/>
        <w:sectPr w:rsidR="001C59C4" w:rsidRPr="001C59C4" w:rsidSect="000C3495">
          <w:headerReference w:type="even" r:id="rId9"/>
          <w:headerReference w:type="default" r:id="rId10"/>
          <w:pgSz w:w="11907" w:h="16840" w:code="9"/>
          <w:pgMar w:top="510" w:right="1134" w:bottom="1134" w:left="1134" w:header="510" w:footer="680" w:gutter="0"/>
          <w:cols w:space="720"/>
          <w:titlePg/>
        </w:sectPr>
      </w:pPr>
    </w:p>
    <w:p w14:paraId="4DAB60AC" w14:textId="77777777" w:rsidR="002A021C" w:rsidRPr="00824357" w:rsidRDefault="002A021C" w:rsidP="002A021C">
      <w:pPr>
        <w:rPr>
          <w:rFonts w:eastAsiaTheme="minorEastAsia"/>
        </w:rPr>
      </w:pPr>
    </w:p>
    <w:p w14:paraId="42A87CBA" w14:textId="77777777" w:rsidR="00760FCB" w:rsidRPr="00824357" w:rsidRDefault="00760FCB" w:rsidP="00F44E48">
      <w:pPr>
        <w:pStyle w:val="ListParagraph"/>
        <w:numPr>
          <w:ilvl w:val="0"/>
          <w:numId w:val="27"/>
        </w:numPr>
        <w:jc w:val="left"/>
        <w:rPr>
          <w:rFonts w:eastAsiaTheme="minorEastAsia"/>
          <w:snapToGrid w:val="0"/>
        </w:rPr>
      </w:pPr>
      <w:r>
        <w:t xml:space="preserve">ASCOC, ASNEO, NEOFI y NEOFI_FAL </w:t>
      </w:r>
    </w:p>
    <w:p w14:paraId="54C5C808" w14:textId="77777777" w:rsidR="00760FCB" w:rsidRPr="00824357" w:rsidRDefault="00760FCB" w:rsidP="00F44E48">
      <w:pPr>
        <w:pStyle w:val="ListParagraph"/>
        <w:numPr>
          <w:ilvl w:val="0"/>
          <w:numId w:val="27"/>
        </w:numPr>
        <w:jc w:val="left"/>
      </w:pPr>
      <w:r>
        <w:t>BERBE_REP</w:t>
      </w:r>
    </w:p>
    <w:p w14:paraId="4297BA4A" w14:textId="77777777" w:rsidR="00CF5C88" w:rsidRPr="00824357" w:rsidRDefault="00CF5C88" w:rsidP="00F44E48">
      <w:pPr>
        <w:pStyle w:val="ListParagraph"/>
        <w:numPr>
          <w:ilvl w:val="0"/>
          <w:numId w:val="27"/>
        </w:numPr>
        <w:jc w:val="left"/>
        <w:rPr>
          <w:snapToGrid w:val="0"/>
        </w:rPr>
      </w:pPr>
      <w:r>
        <w:t>CITRU_LIT</w:t>
      </w:r>
    </w:p>
    <w:p w14:paraId="51D28B7D" w14:textId="77777777" w:rsidR="00760FCB" w:rsidRPr="00824357" w:rsidRDefault="00760FCB" w:rsidP="00F44E48">
      <w:pPr>
        <w:pStyle w:val="ListParagraph"/>
        <w:numPr>
          <w:ilvl w:val="0"/>
          <w:numId w:val="27"/>
        </w:numPr>
        <w:jc w:val="left"/>
        <w:rPr>
          <w:rFonts w:cs="Arial"/>
        </w:rPr>
      </w:pPr>
      <w:r>
        <w:t>CRTNT y CRTNT_CAL</w:t>
      </w:r>
    </w:p>
    <w:p w14:paraId="153E15C0" w14:textId="77777777" w:rsidR="002A021C" w:rsidRPr="00824357" w:rsidRDefault="002A021C" w:rsidP="00F44E48">
      <w:pPr>
        <w:pStyle w:val="ListParagraph"/>
        <w:numPr>
          <w:ilvl w:val="0"/>
          <w:numId w:val="27"/>
        </w:numPr>
        <w:jc w:val="left"/>
      </w:pPr>
      <w:r>
        <w:t>ECSED y ECSED_EMO</w:t>
      </w:r>
    </w:p>
    <w:p w14:paraId="09D52A57" w14:textId="77777777" w:rsidR="00760FCB" w:rsidRPr="00824357" w:rsidRDefault="000714B3" w:rsidP="00F44E48">
      <w:pPr>
        <w:pStyle w:val="ListParagraph"/>
        <w:numPr>
          <w:ilvl w:val="0"/>
          <w:numId w:val="27"/>
        </w:numPr>
        <w:jc w:val="left"/>
        <w:rPr>
          <w:rFonts w:cs="Arial"/>
        </w:rPr>
      </w:pPr>
      <w:r>
        <w:t xml:space="preserve">ECHIN_CHA </w:t>
      </w:r>
    </w:p>
    <w:p w14:paraId="51C5F8F0" w14:textId="77777777" w:rsidR="00760FCB" w:rsidRPr="00824357" w:rsidRDefault="000714B3" w:rsidP="00F44E48">
      <w:pPr>
        <w:pStyle w:val="ListParagraph"/>
        <w:numPr>
          <w:ilvl w:val="0"/>
          <w:numId w:val="27"/>
        </w:numPr>
        <w:jc w:val="left"/>
      </w:pPr>
      <w:r>
        <w:t>EPICH_FES</w:t>
      </w:r>
    </w:p>
    <w:p w14:paraId="32EBE4E8" w14:textId="77777777" w:rsidR="00760FCB" w:rsidRPr="00824357" w:rsidRDefault="000714B3" w:rsidP="00F44E48">
      <w:pPr>
        <w:pStyle w:val="ListParagraph"/>
        <w:numPr>
          <w:ilvl w:val="0"/>
          <w:numId w:val="27"/>
        </w:numPr>
        <w:jc w:val="left"/>
        <w:rPr>
          <w:snapToGrid w:val="0"/>
        </w:rPr>
      </w:pPr>
      <w:r>
        <w:t xml:space="preserve">EUTRE </w:t>
      </w:r>
    </w:p>
    <w:p w14:paraId="1EB96A55" w14:textId="77777777" w:rsidR="00760FCB" w:rsidRPr="00824357" w:rsidRDefault="00760FCB" w:rsidP="00F44E48">
      <w:pPr>
        <w:pStyle w:val="ListParagraph"/>
        <w:numPr>
          <w:ilvl w:val="0"/>
          <w:numId w:val="27"/>
        </w:numPr>
        <w:jc w:val="left"/>
        <w:rPr>
          <w:snapToGrid w:val="0"/>
        </w:rPr>
      </w:pPr>
      <w:r>
        <w:t>EUTRE_JAP</w:t>
      </w:r>
    </w:p>
    <w:p w14:paraId="4A30EE62" w14:textId="77777777" w:rsidR="00742B0B" w:rsidRPr="00824357" w:rsidRDefault="00CF5C88" w:rsidP="00F44E48">
      <w:pPr>
        <w:pStyle w:val="ListParagraph"/>
        <w:numPr>
          <w:ilvl w:val="0"/>
          <w:numId w:val="27"/>
        </w:numPr>
        <w:jc w:val="left"/>
        <w:rPr>
          <w:rFonts w:cs="Arial"/>
        </w:rPr>
      </w:pPr>
      <w:r>
        <w:t>ISOPL, DGISO, ISOPL_CAN y DGISO_PCA</w:t>
      </w:r>
    </w:p>
    <w:p w14:paraId="52360595" w14:textId="77777777" w:rsidR="00742B0B" w:rsidRPr="00824357" w:rsidRDefault="00CF5C88" w:rsidP="00F44E48">
      <w:pPr>
        <w:pStyle w:val="ListParagraph"/>
        <w:numPr>
          <w:ilvl w:val="0"/>
          <w:numId w:val="27"/>
        </w:numPr>
        <w:jc w:val="left"/>
        <w:rPr>
          <w:rFonts w:cs="Arial"/>
        </w:rPr>
      </w:pPr>
      <w:r>
        <w:t>HAWOR_FAS, HAWOR_LIM, HAWOR_LFA y HAWOR_MAR</w:t>
      </w:r>
    </w:p>
    <w:p w14:paraId="7D81191D" w14:textId="770DB24E" w:rsidR="00742B0B" w:rsidRPr="00824357" w:rsidRDefault="00742B0B" w:rsidP="00F44E48">
      <w:pPr>
        <w:pStyle w:val="ListParagraph"/>
        <w:numPr>
          <w:ilvl w:val="0"/>
          <w:numId w:val="27"/>
        </w:numPr>
        <w:jc w:val="left"/>
        <w:rPr>
          <w:rFonts w:cs="Arial"/>
        </w:rPr>
      </w:pPr>
      <w:r>
        <w:t>HAWOT_FAS</w:t>
      </w:r>
      <w:r w:rsidR="002A0DA3">
        <w:t xml:space="preserve"> </w:t>
      </w:r>
    </w:p>
    <w:p w14:paraId="5CAD74A1" w14:textId="01A64EFC" w:rsidR="00742B0B" w:rsidRPr="00824357" w:rsidRDefault="000714B3" w:rsidP="00F44E48">
      <w:pPr>
        <w:pStyle w:val="ListParagraph"/>
        <w:numPr>
          <w:ilvl w:val="0"/>
          <w:numId w:val="27"/>
        </w:numPr>
        <w:jc w:val="left"/>
        <w:rPr>
          <w:rFonts w:cs="Arial"/>
          <w:i/>
        </w:rPr>
      </w:pPr>
      <w:r>
        <w:t>HAWOT_LIM</w:t>
      </w:r>
      <w:r w:rsidR="002A0DA3">
        <w:t xml:space="preserve"> </w:t>
      </w:r>
    </w:p>
    <w:p w14:paraId="05603183" w14:textId="3E86D8BE" w:rsidR="00CF5C88" w:rsidRPr="00824357" w:rsidRDefault="00CF5C88" w:rsidP="00F44E48">
      <w:pPr>
        <w:pStyle w:val="ListParagraph"/>
        <w:numPr>
          <w:ilvl w:val="0"/>
          <w:numId w:val="27"/>
        </w:numPr>
        <w:jc w:val="left"/>
        <w:rPr>
          <w:rFonts w:eastAsiaTheme="minorEastAsia"/>
          <w:snapToGrid w:val="0"/>
        </w:rPr>
      </w:pPr>
      <w:r>
        <w:t>HAWOT_LFA</w:t>
      </w:r>
      <w:r w:rsidR="002A0DA3">
        <w:t xml:space="preserve"> </w:t>
      </w:r>
    </w:p>
    <w:p w14:paraId="56582D14" w14:textId="77777777" w:rsidR="009C0EE6" w:rsidRPr="00824357" w:rsidRDefault="009C0EE6" w:rsidP="00F44E48">
      <w:pPr>
        <w:pStyle w:val="ListParagraph"/>
        <w:numPr>
          <w:ilvl w:val="0"/>
          <w:numId w:val="27"/>
        </w:numPr>
        <w:jc w:val="left"/>
      </w:pPr>
      <w:r>
        <w:t>HELLE_FNI</w:t>
      </w:r>
    </w:p>
    <w:p w14:paraId="0FC644D7" w14:textId="77777777" w:rsidR="009C0EE6" w:rsidRPr="00824357" w:rsidRDefault="00CF5C88" w:rsidP="00F44E48">
      <w:pPr>
        <w:pStyle w:val="ListParagraph"/>
        <w:numPr>
          <w:ilvl w:val="0"/>
          <w:numId w:val="27"/>
        </w:numPr>
        <w:jc w:val="left"/>
        <w:rPr>
          <w:snapToGrid w:val="0"/>
        </w:rPr>
      </w:pPr>
      <w:r>
        <w:t>HOMLC y HOMLC_PLA</w:t>
      </w:r>
    </w:p>
    <w:p w14:paraId="444BA726" w14:textId="77777777" w:rsidR="009C0EE6" w:rsidRPr="00824357" w:rsidRDefault="009C0EE6" w:rsidP="00F44E48">
      <w:pPr>
        <w:pStyle w:val="ListParagraph"/>
        <w:numPr>
          <w:ilvl w:val="0"/>
          <w:numId w:val="27"/>
        </w:numPr>
        <w:jc w:val="left"/>
        <w:rPr>
          <w:i/>
          <w:snapToGrid w:val="0"/>
        </w:rPr>
      </w:pPr>
      <w:r>
        <w:t xml:space="preserve">LAVN_XAL </w:t>
      </w:r>
    </w:p>
    <w:p w14:paraId="25583BBE" w14:textId="77777777" w:rsidR="00760FCB" w:rsidRPr="00824357" w:rsidRDefault="00760FCB" w:rsidP="00F44E48">
      <w:pPr>
        <w:pStyle w:val="ListParagraph"/>
        <w:numPr>
          <w:ilvl w:val="0"/>
          <w:numId w:val="27"/>
        </w:numPr>
        <w:jc w:val="left"/>
        <w:rPr>
          <w:snapToGrid w:val="0"/>
        </w:rPr>
      </w:pPr>
      <w:r>
        <w:t xml:space="preserve">LOBIV y LOBIV_SIL </w:t>
      </w:r>
    </w:p>
    <w:p w14:paraId="44F8A0D2" w14:textId="77777777" w:rsidR="009C0EE6" w:rsidRPr="00824357" w:rsidRDefault="009C0EE6" w:rsidP="00F44E48">
      <w:pPr>
        <w:pStyle w:val="ListParagraph"/>
        <w:numPr>
          <w:ilvl w:val="0"/>
          <w:numId w:val="27"/>
        </w:numPr>
        <w:jc w:val="left"/>
        <w:rPr>
          <w:snapToGrid w:val="0"/>
        </w:rPr>
      </w:pPr>
      <w:r>
        <w:t>MAHON, MAHON_ACA, MAHON_AQU, MAHON_BEA, MAHON_JAP, MAHON_LOM, MAHON_PUM y MAHON_REP</w:t>
      </w:r>
    </w:p>
    <w:p w14:paraId="113E65FE" w14:textId="77777777" w:rsidR="00CF5C88" w:rsidRPr="00824357" w:rsidRDefault="00CF5C88" w:rsidP="00F44E48">
      <w:pPr>
        <w:pStyle w:val="ListParagraph"/>
        <w:numPr>
          <w:ilvl w:val="0"/>
          <w:numId w:val="27"/>
        </w:numPr>
        <w:jc w:val="left"/>
        <w:rPr>
          <w:snapToGrid w:val="0"/>
        </w:rPr>
      </w:pPr>
      <w:r>
        <w:t xml:space="preserve">MUEHL_PLA </w:t>
      </w:r>
    </w:p>
    <w:p w14:paraId="21DB829D" w14:textId="77777777" w:rsidR="00CF5C88" w:rsidRPr="00824357" w:rsidRDefault="000714B3" w:rsidP="00F44E48">
      <w:pPr>
        <w:pStyle w:val="ListParagraph"/>
        <w:numPr>
          <w:ilvl w:val="0"/>
          <w:numId w:val="27"/>
        </w:numPr>
        <w:jc w:val="left"/>
      </w:pPr>
      <w:r>
        <w:t xml:space="preserve">NEOTY_LOL </w:t>
      </w:r>
    </w:p>
    <w:p w14:paraId="7D2E837E" w14:textId="77777777" w:rsidR="00CF5C88" w:rsidRPr="00824357" w:rsidRDefault="00CF5C88" w:rsidP="00F44E48">
      <w:pPr>
        <w:pStyle w:val="ListParagraph"/>
        <w:numPr>
          <w:ilvl w:val="0"/>
          <w:numId w:val="27"/>
        </w:numPr>
        <w:jc w:val="left"/>
      </w:pPr>
      <w:r>
        <w:t>SENEC_BIC, SENEC_CIN, SENEC_CHE, SENEC_CON, SENEC_CRU, SENEC_FIC, SENEC_HER, SENEC_JAC, SENEC_LAX y SENEC_TAL</w:t>
      </w:r>
    </w:p>
    <w:p w14:paraId="7C777D65" w14:textId="77777777" w:rsidR="00760FCB" w:rsidRPr="00824357" w:rsidRDefault="000714B3" w:rsidP="00F44E48">
      <w:pPr>
        <w:pStyle w:val="ListParagraph"/>
        <w:numPr>
          <w:ilvl w:val="0"/>
          <w:numId w:val="27"/>
        </w:numPr>
        <w:jc w:val="left"/>
        <w:rPr>
          <w:rFonts w:eastAsiaTheme="minorEastAsia"/>
          <w:snapToGrid w:val="0"/>
        </w:rPr>
      </w:pPr>
      <w:bookmarkStart w:id="53" w:name="_Toc16687088"/>
      <w:r>
        <w:t>VANDA_FAL</w:t>
      </w:r>
    </w:p>
    <w:p w14:paraId="0F127904" w14:textId="77777777" w:rsidR="009C0EE6" w:rsidRPr="00021FC8" w:rsidRDefault="009C0EE6" w:rsidP="00F44E48">
      <w:pPr>
        <w:pStyle w:val="ListParagraph"/>
        <w:numPr>
          <w:ilvl w:val="0"/>
          <w:numId w:val="27"/>
        </w:numPr>
        <w:jc w:val="left"/>
        <w:rPr>
          <w:i/>
          <w:snapToGrid w:val="0"/>
        </w:rPr>
      </w:pPr>
      <w:r>
        <w:t xml:space="preserve">WASAB y WASAB_JAP </w:t>
      </w:r>
    </w:p>
    <w:p w14:paraId="52B94287" w14:textId="77777777" w:rsidR="00021FC8" w:rsidRDefault="00021FC8" w:rsidP="00021FC8">
      <w:pPr>
        <w:pStyle w:val="ListParagraph"/>
        <w:jc w:val="left"/>
        <w:rPr>
          <w:i/>
          <w:snapToGrid w:val="0"/>
        </w:rPr>
        <w:sectPr w:rsidR="00021FC8" w:rsidSect="00021FC8">
          <w:type w:val="continuous"/>
          <w:pgSz w:w="11907" w:h="16840" w:code="9"/>
          <w:pgMar w:top="510" w:right="1134" w:bottom="1134" w:left="1134" w:header="510" w:footer="680" w:gutter="0"/>
          <w:cols w:num="2" w:space="720"/>
          <w:titlePg/>
        </w:sectPr>
      </w:pPr>
    </w:p>
    <w:p w14:paraId="283A181A" w14:textId="77777777" w:rsidR="00021FC8" w:rsidRPr="00824357" w:rsidRDefault="00021FC8" w:rsidP="00021FC8">
      <w:pPr>
        <w:pStyle w:val="ListParagraph"/>
        <w:jc w:val="left"/>
        <w:rPr>
          <w:i/>
          <w:snapToGrid w:val="0"/>
        </w:rPr>
      </w:pPr>
    </w:p>
    <w:p w14:paraId="57BB55DD" w14:textId="77777777" w:rsidR="00CF5C88" w:rsidRPr="00824357" w:rsidRDefault="00CF5C88" w:rsidP="00CF5C88"/>
    <w:p w14:paraId="48D9F6DF" w14:textId="77777777" w:rsidR="00CF5C88" w:rsidRPr="00824357" w:rsidRDefault="00CF5C88" w:rsidP="00CF5C88">
      <w:pPr>
        <w:pStyle w:val="Heading4"/>
        <w:rPr>
          <w:highlight w:val="yellow"/>
        </w:rPr>
      </w:pPr>
      <w:r>
        <w:t>Introducción de las modificaciones de los códigos UPOV</w:t>
      </w:r>
      <w:bookmarkEnd w:id="53"/>
    </w:p>
    <w:p w14:paraId="6CE09EF4" w14:textId="77777777" w:rsidR="00CF5C88" w:rsidRPr="00824357" w:rsidRDefault="00CF5C88" w:rsidP="00CF5C88"/>
    <w:p w14:paraId="003EDD99" w14:textId="49A105A5" w:rsidR="00CF5C88" w:rsidRPr="00824357" w:rsidRDefault="00CF5C88" w:rsidP="00CF5C88">
      <w:r w:rsidRPr="00824357">
        <w:fldChar w:fldCharType="begin"/>
      </w:r>
      <w:r w:rsidRPr="00824357">
        <w:instrText xml:space="preserve"> AUTONUM  </w:instrText>
      </w:r>
      <w:r w:rsidRPr="00824357">
        <w:fldChar w:fldCharType="end"/>
      </w:r>
      <w:r>
        <w:tab/>
        <w:t xml:space="preserve">El TC tomó nota de que los miembros de la Unión y quienes hayan aportado datos a la base de datos PLUTO recibirán información </w:t>
      </w:r>
      <w:r w:rsidR="00B87DC1">
        <w:t>sobre</w:t>
      </w:r>
      <w:r>
        <w:t xml:space="preserve"> las modificaciones de los códigos UPOV y las fechas de su introducción, por medio de una circular</w:t>
      </w:r>
      <w:r w:rsidR="00B87DC1">
        <w:t xml:space="preserve"> enviada</w:t>
      </w:r>
      <w:r>
        <w:t xml:space="preserve"> con antelación a las modificaciones, según se expone en el párrafo 64 del documento TC/55/5.</w:t>
      </w:r>
    </w:p>
    <w:p w14:paraId="06C7D9E1" w14:textId="77777777" w:rsidR="00CF5C88" w:rsidRPr="00824357" w:rsidRDefault="00CF5C88" w:rsidP="00CF5C88"/>
    <w:p w14:paraId="3BFE2F0F" w14:textId="77777777" w:rsidR="00CF5C88" w:rsidRPr="00824357" w:rsidRDefault="00CF5C88" w:rsidP="00CF5C88">
      <w:r w:rsidRPr="00824357">
        <w:fldChar w:fldCharType="begin"/>
      </w:r>
      <w:r w:rsidRPr="00824357">
        <w:instrText xml:space="preserve"> AUTONUM  </w:instrText>
      </w:r>
      <w:r w:rsidRPr="00824357">
        <w:fldChar w:fldCharType="end"/>
      </w:r>
      <w:r>
        <w:tab/>
        <w:t>El TC tomó nota de que se solicitará a quienes hayan aportado datos a la base de datos PLUTO que utilicen los códigos UPOV modificados cuando remitan los datos de sus variedades vegetales a la Oficina de la Unión, según se expone en el párrafo 64 del documento TC/55/5.</w:t>
      </w:r>
    </w:p>
    <w:p w14:paraId="21601BA6" w14:textId="77777777" w:rsidR="00CF5C88" w:rsidRPr="00824357" w:rsidRDefault="00CF5C88" w:rsidP="00CF5C88"/>
    <w:p w14:paraId="7F116540" w14:textId="77777777" w:rsidR="00CF5C88" w:rsidRPr="00824357" w:rsidRDefault="00CF5C88" w:rsidP="00CF5C88">
      <w:pPr>
        <w:pStyle w:val="Heading3"/>
      </w:pPr>
      <w:bookmarkStart w:id="54" w:name="_Toc477797643"/>
      <w:bookmarkStart w:id="55" w:name="_Toc525734062"/>
      <w:bookmarkStart w:id="56" w:name="_Toc16687089"/>
      <w:r>
        <w:t>Base de datos PLUTO</w:t>
      </w:r>
      <w:bookmarkEnd w:id="54"/>
      <w:bookmarkEnd w:id="55"/>
      <w:bookmarkEnd w:id="56"/>
    </w:p>
    <w:p w14:paraId="5966400F" w14:textId="77777777" w:rsidR="00CF5C88" w:rsidRPr="00824357" w:rsidRDefault="00CF5C88" w:rsidP="00CF5C88">
      <w:pPr>
        <w:keepNext/>
        <w:jc w:val="left"/>
      </w:pPr>
    </w:p>
    <w:p w14:paraId="42B46A5F" w14:textId="77777777" w:rsidR="00CF5C88" w:rsidRPr="00824357" w:rsidRDefault="00CF5C88" w:rsidP="00CF5C88">
      <w:pPr>
        <w:pStyle w:val="Heading4"/>
      </w:pPr>
      <w:bookmarkStart w:id="57" w:name="_Toc477797644"/>
      <w:bookmarkStart w:id="58" w:name="_Toc525734063"/>
      <w:bookmarkStart w:id="59" w:name="_Toc13238983"/>
      <w:bookmarkStart w:id="60" w:name="_Toc16687090"/>
      <w:r>
        <w:t>Programa de mejoras de la base de datos PLUTO</w:t>
      </w:r>
      <w:bookmarkEnd w:id="57"/>
      <w:bookmarkEnd w:id="58"/>
      <w:bookmarkEnd w:id="59"/>
      <w:bookmarkEnd w:id="60"/>
    </w:p>
    <w:p w14:paraId="1E61A012" w14:textId="77777777" w:rsidR="00CF5C88" w:rsidRPr="00824357" w:rsidRDefault="00CF5C88" w:rsidP="00CF5C88">
      <w:pPr>
        <w:keepNext/>
        <w:jc w:val="left"/>
      </w:pPr>
    </w:p>
    <w:p w14:paraId="2246990C" w14:textId="45BCEE30" w:rsidR="00CF5C88" w:rsidRPr="00824357" w:rsidRDefault="00CF5C88" w:rsidP="00CF5C88">
      <w:pPr>
        <w:keepNext/>
      </w:pPr>
      <w:r w:rsidRPr="00824357">
        <w:fldChar w:fldCharType="begin"/>
      </w:r>
      <w:r w:rsidRPr="00824357">
        <w:instrText xml:space="preserve"> AUTONUM  </w:instrText>
      </w:r>
      <w:r w:rsidRPr="00824357">
        <w:fldChar w:fldCharType="end"/>
      </w:r>
      <w:r>
        <w:tab/>
        <w:t>El TC suscribió la propuesta de revisión de la sección 3.1.3 del “Programa de mejoras de la</w:t>
      </w:r>
      <w:r w:rsidR="001C59C4">
        <w:t> </w:t>
      </w:r>
      <w:r>
        <w:t>base</w:t>
      </w:r>
      <w:r w:rsidR="001C59C4">
        <w:t> </w:t>
      </w:r>
      <w:r>
        <w:t>de</w:t>
      </w:r>
      <w:r w:rsidR="001C59C4">
        <w:t> </w:t>
      </w:r>
      <w:r>
        <w:t>datos PLUTO” que refleja la sustitución del conjunto válido de caracteres por el de la Norma ISO/IEC</w:t>
      </w:r>
      <w:r w:rsidR="00EC00E4">
        <w:t> </w:t>
      </w:r>
      <w:r>
        <w:t>8859 1: 1998, según se expone a continuación:</w:t>
      </w:r>
    </w:p>
    <w:p w14:paraId="096A3848" w14:textId="77777777" w:rsidR="00CF5C88" w:rsidRPr="00824357" w:rsidRDefault="00CF5C88" w:rsidP="00CF5C88"/>
    <w:p w14:paraId="4AFDCA3E" w14:textId="1E0D8CA6" w:rsidR="00CF5C88" w:rsidRPr="00B0237A" w:rsidRDefault="00CF5C88" w:rsidP="00CF5C88">
      <w:pPr>
        <w:ind w:left="567" w:right="567"/>
        <w:rPr>
          <w:sz w:val="18"/>
          <w:szCs w:val="18"/>
        </w:rPr>
      </w:pPr>
      <w:r w:rsidRPr="00B0237A">
        <w:rPr>
          <w:spacing w:val="-2"/>
          <w:sz w:val="18"/>
          <w:szCs w:val="18"/>
        </w:rPr>
        <w:t>“</w:t>
      </w:r>
      <w:r w:rsidRPr="00B0237A">
        <w:rPr>
          <w:sz w:val="18"/>
          <w:szCs w:val="18"/>
        </w:rPr>
        <w:t>3.1.3</w:t>
      </w:r>
      <w:r w:rsidRPr="00B0237A">
        <w:rPr>
          <w:sz w:val="18"/>
          <w:szCs w:val="18"/>
        </w:rPr>
        <w:tab/>
        <w:t>A reserva en lo dispuesto en la sección 3.1.4, el conjunto de caracteres que deberá usarse será la representación en caracteres ASCII [</w:t>
      </w:r>
      <w:r w:rsidRPr="00B0237A">
        <w:rPr>
          <w:i/>
          <w:sz w:val="18"/>
          <w:szCs w:val="18"/>
        </w:rPr>
        <w:t>American Standard Code for Information Interchange</w:t>
      </w:r>
      <w:r w:rsidRPr="00B0237A">
        <w:rPr>
          <w:sz w:val="18"/>
          <w:szCs w:val="18"/>
        </w:rPr>
        <w:t xml:space="preserve">] (código estándar estadounidense para el intercambio de información)] en su versión ampliada, de conformidad con la definición que figura en la Norma ISO [Organización Internacional </w:t>
      </w:r>
      <w:r w:rsidR="00B0237A">
        <w:rPr>
          <w:sz w:val="18"/>
          <w:szCs w:val="18"/>
        </w:rPr>
        <w:t>de Normalización]/CEI [Comisión </w:t>
      </w:r>
      <w:r w:rsidRPr="00B0237A">
        <w:rPr>
          <w:sz w:val="18"/>
          <w:szCs w:val="18"/>
        </w:rPr>
        <w:t xml:space="preserve">Electrónica Internacional] </w:t>
      </w:r>
      <w:r w:rsidRPr="00B0237A">
        <w:rPr>
          <w:spacing w:val="-2"/>
          <w:sz w:val="18"/>
          <w:szCs w:val="18"/>
        </w:rPr>
        <w:t>8859 1: 1998</w:t>
      </w:r>
      <w:r w:rsidRPr="00B0237A">
        <w:rPr>
          <w:sz w:val="18"/>
          <w:szCs w:val="18"/>
        </w:rPr>
        <w:t>.”</w:t>
      </w:r>
    </w:p>
    <w:p w14:paraId="05448D2F" w14:textId="77777777" w:rsidR="00CF5C88" w:rsidRPr="00824357" w:rsidRDefault="00CF5C88" w:rsidP="00CF5C88"/>
    <w:p w14:paraId="31E903B1" w14:textId="77777777" w:rsidR="00CF5C88" w:rsidRPr="00824357" w:rsidRDefault="00DD02D2" w:rsidP="00CF5C88">
      <w:r w:rsidRPr="00824357">
        <w:fldChar w:fldCharType="begin"/>
      </w:r>
      <w:r w:rsidRPr="00824357">
        <w:instrText xml:space="preserve"> AUTONUM  </w:instrText>
      </w:r>
      <w:r w:rsidRPr="00824357">
        <w:fldChar w:fldCharType="end"/>
      </w:r>
      <w:r>
        <w:t xml:space="preserve"> </w:t>
      </w:r>
      <w:r>
        <w:tab/>
        <w:t>El TC tomó nota de que el CAJ, en su septuagésima sexta sesión, examinará la propuesta de revisión de la sección 3.1.3 del “Programa de mejoras de la base de datos PLUTO”, junto con las observaciones formuladas por el TC, en su quincuagésima quinta sesión.</w:t>
      </w:r>
    </w:p>
    <w:p w14:paraId="533F58F1" w14:textId="77777777" w:rsidR="00DD02D2" w:rsidRPr="00824357" w:rsidRDefault="00DD02D2" w:rsidP="00CF5C88"/>
    <w:p w14:paraId="404405DE" w14:textId="77777777" w:rsidR="00CF5C88" w:rsidRPr="00824357" w:rsidRDefault="00CF5C88" w:rsidP="00CF5C88">
      <w:pPr>
        <w:pStyle w:val="Heading3"/>
      </w:pPr>
      <w:r>
        <w:lastRenderedPageBreak/>
        <w:t>Petición del Comité de Nomenclatura de la ISTA</w:t>
      </w:r>
    </w:p>
    <w:p w14:paraId="0CA1FA35" w14:textId="77777777" w:rsidR="00CF5C88" w:rsidRPr="00824357" w:rsidRDefault="00CF5C88" w:rsidP="00CF5C88">
      <w:pPr>
        <w:keepNext/>
      </w:pPr>
    </w:p>
    <w:p w14:paraId="3D086D97" w14:textId="1AD9703F" w:rsidR="00CF5C88" w:rsidRPr="00824357" w:rsidRDefault="00CF5C88" w:rsidP="00E86647">
      <w:pPr>
        <w:keepNext/>
        <w:rPr>
          <w:rFonts w:cs="Arial"/>
        </w:rPr>
      </w:pPr>
      <w:r w:rsidRPr="00824357">
        <w:fldChar w:fldCharType="begin"/>
      </w:r>
      <w:r w:rsidRPr="00824357">
        <w:instrText xml:space="preserve"> AUTONUM  </w:instrText>
      </w:r>
      <w:r w:rsidRPr="00824357">
        <w:fldChar w:fldCharType="end"/>
      </w:r>
      <w:r>
        <w:tab/>
        <w:t>El TC tomó nota de que la Oficina de la Unión ha recibido una petición del Comité de Nomenclatura de la Asociación Internacional para el Ensayo de Semillas (ISTA) de que se faciliten códigos UPOV para todos los nombres botánicos incluidos en la lista estabilizada de la ISTA de nombres botánicos de plantas, según se expone en el párrafo 2 del documento TC/55/5 Add.</w:t>
      </w:r>
      <w:r w:rsidR="002A0DA3">
        <w:t xml:space="preserve"> </w:t>
      </w:r>
      <w:r>
        <w:t>El 3 de octubre de 2019, la Oficina de la Unión facilitó al Comité de Nomenclatura de la ISTA una lista de códigos UPOV que abarca todos los nombres botánicos incluidos en la lista estabilizada de la ISTA.</w:t>
      </w:r>
    </w:p>
    <w:p w14:paraId="07610563" w14:textId="77777777" w:rsidR="00CF5C88" w:rsidRDefault="00CF5C88" w:rsidP="00CF5C88"/>
    <w:p w14:paraId="30185E0A" w14:textId="77777777" w:rsidR="006A4059" w:rsidRDefault="006A4059" w:rsidP="00CF5C88"/>
    <w:p w14:paraId="31DC6C84" w14:textId="77777777" w:rsidR="00CF5C88" w:rsidRPr="00824357" w:rsidRDefault="00CF5C88" w:rsidP="00CF5C88">
      <w:pPr>
        <w:pStyle w:val="Heading2"/>
      </w:pPr>
      <w:r>
        <w:t>Intercambio y uso de programas informáticos y equipos</w:t>
      </w:r>
    </w:p>
    <w:p w14:paraId="703BD758" w14:textId="77777777" w:rsidR="00CF5C88" w:rsidRPr="00824357" w:rsidRDefault="00CF5C88" w:rsidP="00CF5C88">
      <w:pPr>
        <w:keepNext/>
      </w:pPr>
    </w:p>
    <w:p w14:paraId="42C1518A" w14:textId="77777777" w:rsidR="00CF5C88" w:rsidRPr="00824357" w:rsidRDefault="00CF5C88" w:rsidP="00CF5C88">
      <w:pPr>
        <w:keepNext/>
      </w:pPr>
      <w:r w:rsidRPr="00824357">
        <w:fldChar w:fldCharType="begin"/>
      </w:r>
      <w:r w:rsidRPr="00824357">
        <w:instrText xml:space="preserve"> AUTONUM  </w:instrText>
      </w:r>
      <w:r w:rsidRPr="00824357">
        <w:fldChar w:fldCharType="end"/>
      </w:r>
      <w:r>
        <w:tab/>
        <w:t>El TC examinó el documento TC/55/6.</w:t>
      </w:r>
    </w:p>
    <w:p w14:paraId="0D61FDAB" w14:textId="77777777" w:rsidR="00CF5C88" w:rsidRPr="00824357" w:rsidRDefault="00CF5C88" w:rsidP="00CF5C88"/>
    <w:p w14:paraId="034D3722" w14:textId="77777777" w:rsidR="00CF5C88" w:rsidRPr="00824357" w:rsidRDefault="00CF5C88" w:rsidP="00CF5C88">
      <w:pPr>
        <w:pStyle w:val="Heading3"/>
      </w:pPr>
      <w:bookmarkStart w:id="61" w:name="_Toc14686105"/>
      <w:r>
        <w:t>Documento UPOV/INF/16 “Programas informáticos para intercambio”</w:t>
      </w:r>
      <w:bookmarkEnd w:id="61"/>
    </w:p>
    <w:p w14:paraId="4448B4B2" w14:textId="77777777" w:rsidR="00CF5C88" w:rsidRPr="00824357" w:rsidRDefault="00CF5C88" w:rsidP="00CF5C88">
      <w:pPr>
        <w:keepNext/>
      </w:pPr>
    </w:p>
    <w:p w14:paraId="3448E3FD" w14:textId="77777777" w:rsidR="00CF5C88" w:rsidRPr="00824357" w:rsidRDefault="00CF5C88" w:rsidP="00CF5C88">
      <w:pPr>
        <w:keepNext/>
      </w:pPr>
      <w:r w:rsidRPr="00824357">
        <w:fldChar w:fldCharType="begin"/>
      </w:r>
      <w:r w:rsidRPr="00824357">
        <w:instrText xml:space="preserve"> AUTONUM  </w:instrText>
      </w:r>
      <w:r w:rsidRPr="00824357">
        <w:fldChar w:fldCharType="end"/>
      </w:r>
      <w:r>
        <w:tab/>
        <w:t xml:space="preserve">El TC tomó nota de que el Consejo, en su quincuagésima segunda sesión ordinaria celebrada en Ginebra el 2 de noviembre de 2018, aprobó el documento UPOV/INF/16/8 “Programas informáticos para intercambio”. </w:t>
      </w:r>
    </w:p>
    <w:p w14:paraId="6B5F2ACA" w14:textId="77777777" w:rsidR="00CF5C88" w:rsidRPr="00824357" w:rsidRDefault="00CF5C88" w:rsidP="00CF5C88"/>
    <w:p w14:paraId="3CF964F8" w14:textId="77777777" w:rsidR="00CF5C88" w:rsidRPr="00824357" w:rsidRDefault="00CF5C88" w:rsidP="00CF5C88">
      <w:r w:rsidRPr="00824357">
        <w:fldChar w:fldCharType="begin"/>
      </w:r>
      <w:r w:rsidRPr="00824357">
        <w:instrText xml:space="preserve"> AUTONUM  </w:instrText>
      </w:r>
      <w:r w:rsidRPr="00824357">
        <w:fldChar w:fldCharType="end"/>
      </w:r>
      <w:r>
        <w:tab/>
        <w:t>El TC tomó nota de que no se ha recibido información nueva de los miembros de la Unión en respuesta a la Circular E-19/045 en la que se los invita a facilitar o actualizar la información relativa al uso de los programas informáticos incluidos en el documento UPOV/INF/16/8.</w:t>
      </w:r>
    </w:p>
    <w:p w14:paraId="46A352FD" w14:textId="77777777" w:rsidR="00CF5C88" w:rsidRPr="00824357" w:rsidRDefault="00CF5C88" w:rsidP="00CF5C88"/>
    <w:p w14:paraId="02B38609" w14:textId="77777777" w:rsidR="00CF5C88" w:rsidRPr="00824357" w:rsidRDefault="00CF5C88" w:rsidP="00CF5C88">
      <w:pPr>
        <w:pStyle w:val="Heading3"/>
      </w:pPr>
      <w:bookmarkStart w:id="62" w:name="_Toc14686109"/>
      <w:r>
        <w:t>Documento UPOV/INF/22 “Programas informáticos y equipos utilizados por los miembros de la Unión”</w:t>
      </w:r>
      <w:bookmarkEnd w:id="62"/>
    </w:p>
    <w:p w14:paraId="3C29BDBE" w14:textId="77777777" w:rsidR="00CF5C88" w:rsidRPr="00824357" w:rsidRDefault="00CF5C88" w:rsidP="00CF5C88">
      <w:pPr>
        <w:keepNext/>
      </w:pPr>
    </w:p>
    <w:p w14:paraId="2860FDE4" w14:textId="77777777" w:rsidR="00CF5C88" w:rsidRPr="00824357" w:rsidRDefault="00CF5C88" w:rsidP="00CF5C88">
      <w:pPr>
        <w:keepNext/>
      </w:pPr>
      <w:r w:rsidRPr="00285EF8">
        <w:fldChar w:fldCharType="begin"/>
      </w:r>
      <w:r w:rsidRPr="00285EF8">
        <w:instrText xml:space="preserve"> AUTONUM  </w:instrText>
      </w:r>
      <w:r w:rsidRPr="00285EF8">
        <w:fldChar w:fldCharType="end"/>
      </w:r>
      <w:r>
        <w:tab/>
        <w:t>El TC examinó el documento UPOV/INF/22/6 Draft 1 y convino en proponer la revisión del documento UPOV/INF/22 sobre esta base.</w:t>
      </w:r>
    </w:p>
    <w:p w14:paraId="2BF8D278" w14:textId="77777777" w:rsidR="00CF5C88" w:rsidRPr="00824357" w:rsidRDefault="00CF5C88" w:rsidP="00CF5C88"/>
    <w:p w14:paraId="03AF19BE" w14:textId="0E2B0CD4" w:rsidR="00CF5C88" w:rsidRPr="00824357" w:rsidRDefault="00CF5C88" w:rsidP="00CF5C88">
      <w:r w:rsidRPr="00824357">
        <w:fldChar w:fldCharType="begin"/>
      </w:r>
      <w:r w:rsidRPr="00824357">
        <w:instrText xml:space="preserve"> AUTONUM  </w:instrText>
      </w:r>
      <w:r w:rsidRPr="00824357">
        <w:fldChar w:fldCharType="end"/>
      </w:r>
      <w:r>
        <w:tab/>
        <w:t>The TC tomó nota de que las propuestas relativas a la revisión del documento UPOV/INF/22, formuladas por este Grupo de Trabajo en su quincuagésima quinta sesión, se notificar</w:t>
      </w:r>
      <w:r w:rsidR="00BC65DD">
        <w:t>á</w:t>
      </w:r>
      <w:r>
        <w:t xml:space="preserve">n al CAJ en su septuagésima sexta sesión, </w:t>
      </w:r>
      <w:r w:rsidR="00BC65DD">
        <w:t>que se celebrará</w:t>
      </w:r>
      <w:r>
        <w:t xml:space="preserve"> en Ginebra el 30 de octubre de 2019 y, previo acuerdo del CAJ, se present</w:t>
      </w:r>
      <w:r w:rsidR="00BC65DD">
        <w:t>ará</w:t>
      </w:r>
      <w:r>
        <w:t xml:space="preserve"> un proyecto de documento UPOV/INF/22/6 al Consejo para que consider</w:t>
      </w:r>
      <w:r w:rsidR="00BC65DD">
        <w:t>e</w:t>
      </w:r>
      <w:r>
        <w:t xml:space="preserve"> su aprobación en su quincuagésima tercera sesión ordinaria, </w:t>
      </w:r>
      <w:r w:rsidR="00BC65DD">
        <w:t>que se celebrará</w:t>
      </w:r>
      <w:r>
        <w:t xml:space="preserve"> el 1 de noviembre de 2019.</w:t>
      </w:r>
    </w:p>
    <w:p w14:paraId="6F7B40D2" w14:textId="77777777" w:rsidR="00CF5C88" w:rsidRPr="00824357" w:rsidRDefault="00CF5C88" w:rsidP="00CF5C88"/>
    <w:p w14:paraId="6672BE55" w14:textId="77777777" w:rsidR="00CF5C88" w:rsidRPr="00824357" w:rsidRDefault="00CF5C88" w:rsidP="00CF5C88">
      <w:pPr>
        <w:pStyle w:val="Heading3"/>
      </w:pPr>
      <w:bookmarkStart w:id="63" w:name="_Toc14686113"/>
      <w:r>
        <w:t>Publicación de los documentos UPOV/INF/16 “Programas informáticos para intercambio” y UPOV/INF/22 “Programas informáticos y equipos utilizados por los miembros de la Unión” con un formato susceptible de búsqueda</w:t>
      </w:r>
      <w:bookmarkEnd w:id="63"/>
    </w:p>
    <w:p w14:paraId="5AFCC16E" w14:textId="77777777" w:rsidR="00CF5C88" w:rsidRPr="00824357" w:rsidRDefault="00CF5C88" w:rsidP="00CF5C88">
      <w:pPr>
        <w:keepNext/>
      </w:pPr>
    </w:p>
    <w:p w14:paraId="2D959126" w14:textId="77777777" w:rsidR="00CF5C88" w:rsidRPr="00824357" w:rsidRDefault="00CF5C88" w:rsidP="00CF5C88">
      <w:pPr>
        <w:keepNext/>
      </w:pPr>
      <w:r w:rsidRPr="00824357">
        <w:fldChar w:fldCharType="begin"/>
      </w:r>
      <w:r w:rsidRPr="00824357">
        <w:instrText xml:space="preserve"> AUTONUM  </w:instrText>
      </w:r>
      <w:r w:rsidRPr="00824357">
        <w:fldChar w:fldCharType="end"/>
      </w:r>
      <w:r>
        <w:tab/>
        <w:t>El TC tomó nota de que la información que figura en los documentos UPOV/INF/16 y UPOV/INF/22 se publicará con un formato susceptible de búsqueda en el sitio web de la UPOV, tras la introducción del nuevo diseño del sitio web.</w:t>
      </w:r>
    </w:p>
    <w:p w14:paraId="5DEE1FC4" w14:textId="77777777" w:rsidR="00CF5C88" w:rsidRDefault="00CF5C88" w:rsidP="00050E16"/>
    <w:p w14:paraId="13458E8D" w14:textId="77777777" w:rsidR="003311C6" w:rsidRPr="00824357" w:rsidRDefault="003311C6" w:rsidP="00050E16"/>
    <w:p w14:paraId="6E7A83B9" w14:textId="77777777" w:rsidR="000D5FC9" w:rsidRPr="00824357" w:rsidRDefault="00417047" w:rsidP="00866771">
      <w:pPr>
        <w:pStyle w:val="Heading2"/>
        <w:rPr>
          <w:snapToGrid w:val="0"/>
        </w:rPr>
      </w:pPr>
      <w:r>
        <w:t>Talleres preparatorios</w:t>
      </w:r>
    </w:p>
    <w:p w14:paraId="6D1C3B80" w14:textId="77777777" w:rsidR="00250786" w:rsidRPr="00824357" w:rsidRDefault="00250786" w:rsidP="00866771">
      <w:pPr>
        <w:keepNext/>
      </w:pPr>
    </w:p>
    <w:p w14:paraId="6F23A1E5" w14:textId="77777777" w:rsidR="00250786" w:rsidRPr="00824357" w:rsidRDefault="00250786" w:rsidP="00866771">
      <w:pPr>
        <w:keepNext/>
      </w:pPr>
      <w:r w:rsidRPr="00824357">
        <w:fldChar w:fldCharType="begin"/>
      </w:r>
      <w:r w:rsidRPr="00824357">
        <w:instrText xml:space="preserve"> AUTONUM  </w:instrText>
      </w:r>
      <w:r w:rsidRPr="00824357">
        <w:fldChar w:fldCharType="end"/>
      </w:r>
      <w:r>
        <w:tab/>
        <w:t>El TC examinó el documento TC/55/9.</w:t>
      </w:r>
    </w:p>
    <w:p w14:paraId="4506CCE5" w14:textId="77777777" w:rsidR="000D5FC9" w:rsidRPr="00824357" w:rsidRDefault="000D5FC9" w:rsidP="00866771">
      <w:pPr>
        <w:keepNext/>
      </w:pPr>
    </w:p>
    <w:p w14:paraId="30EF4D07" w14:textId="77777777" w:rsidR="00417047" w:rsidRPr="00824357" w:rsidRDefault="00417047" w:rsidP="00417047">
      <w:r w:rsidRPr="00824357">
        <w:fldChar w:fldCharType="begin"/>
      </w:r>
      <w:r w:rsidRPr="00824357">
        <w:instrText xml:space="preserve"> AUTONUM  </w:instrText>
      </w:r>
      <w:r w:rsidRPr="00824357">
        <w:fldChar w:fldCharType="end"/>
      </w:r>
      <w:r>
        <w:tab/>
        <w:t>El TC tomó nota del informe sobre los talleres preparatorios realizados por el TWO en 2019.</w:t>
      </w:r>
    </w:p>
    <w:p w14:paraId="676AC53B" w14:textId="77777777" w:rsidR="00417047" w:rsidRPr="00824357" w:rsidRDefault="00417047" w:rsidP="00417047"/>
    <w:p w14:paraId="061D5169" w14:textId="77777777" w:rsidR="000D5FC9" w:rsidRPr="00824357" w:rsidRDefault="00250786" w:rsidP="00417047">
      <w:r w:rsidRPr="00824357">
        <w:fldChar w:fldCharType="begin"/>
      </w:r>
      <w:r w:rsidRPr="00824357">
        <w:instrText xml:space="preserve"> AUTONUM  </w:instrText>
      </w:r>
      <w:r w:rsidRPr="00824357">
        <w:fldChar w:fldCharType="end"/>
      </w:r>
      <w:r>
        <w:tab/>
        <w:t>El TC tomó nota de que los temas a tratar en los talleres preparatorios del TWA, el TWC, el TWF, el TWV y el BMT se han presentado como introducción a los respectivos puntos del orden del día durante el programa ordinario de las sesiones.</w:t>
      </w:r>
    </w:p>
    <w:p w14:paraId="2DC8EEFB" w14:textId="77777777" w:rsidR="00D123BD" w:rsidRDefault="00D123BD" w:rsidP="00D123BD"/>
    <w:p w14:paraId="1084D1C0" w14:textId="77777777" w:rsidR="00D123BD" w:rsidRDefault="00D123BD" w:rsidP="00D123BD">
      <w:r>
        <w:fldChar w:fldCharType="begin"/>
      </w:r>
      <w:r>
        <w:instrText xml:space="preserve"> AUTONUM  </w:instrText>
      </w:r>
      <w:r>
        <w:fldChar w:fldCharType="end"/>
      </w:r>
      <w:r>
        <w:tab/>
        <w:t>El TC recordó que los talleres preparatorios son una oportunidad para formar a los participantes locales y convino en que es conveniente prever que los TWP anfitriones puedan decidir si procede organizar un taller preparatorio antes de la sesión del TWP.</w:t>
      </w:r>
    </w:p>
    <w:p w14:paraId="526F7FED" w14:textId="77777777" w:rsidR="00D123BD" w:rsidRDefault="00D123BD" w:rsidP="00D123BD"/>
    <w:p w14:paraId="1A8B8463" w14:textId="77777777" w:rsidR="00D123BD" w:rsidRDefault="00D123BD" w:rsidP="00D123BD">
      <w:r>
        <w:fldChar w:fldCharType="begin"/>
      </w:r>
      <w:r>
        <w:instrText xml:space="preserve"> AUTONUM  </w:instrText>
      </w:r>
      <w:r>
        <w:fldChar w:fldCharType="end"/>
      </w:r>
      <w:r>
        <w:tab/>
        <w:t>El TC convino en que se ha de invitar a los TWP a analizar la posibilidad de organizar talleres preparatorios cuando consideren la fecha y el lugar de sus futuras sesiones.</w:t>
      </w:r>
    </w:p>
    <w:p w14:paraId="756282E8" w14:textId="77777777" w:rsidR="00453CC4" w:rsidRDefault="00453CC4" w:rsidP="00D123BD"/>
    <w:p w14:paraId="5F450048" w14:textId="58008705" w:rsidR="00D123BD" w:rsidRDefault="00D123BD" w:rsidP="00050E16">
      <w:r>
        <w:lastRenderedPageBreak/>
        <w:fldChar w:fldCharType="begin"/>
      </w:r>
      <w:r>
        <w:instrText xml:space="preserve"> AUTONUM  </w:instrText>
      </w:r>
      <w:r>
        <w:fldChar w:fldCharType="end"/>
      </w:r>
      <w:r>
        <w:tab/>
        <w:t xml:space="preserve">El TC convino en que la Oficina de la UPOV debe </w:t>
      </w:r>
      <w:r w:rsidR="0053305D">
        <w:t>considerar</w:t>
      </w:r>
      <w:r>
        <w:t xml:space="preserve"> la posibilidad de grabar un seminario en</w:t>
      </w:r>
      <w:r w:rsidR="0053305D">
        <w:t> </w:t>
      </w:r>
      <w:r>
        <w:t>Internet (</w:t>
      </w:r>
      <w:r>
        <w:rPr>
          <w:i/>
        </w:rPr>
        <w:t>webinar</w:t>
      </w:r>
      <w:r>
        <w:t>) para que parte del contenido del taller preparatorio se publique en línea para la enseñanza a distancia.</w:t>
      </w:r>
    </w:p>
    <w:p w14:paraId="7528A9B0" w14:textId="77777777" w:rsidR="00D123BD" w:rsidRPr="00824357" w:rsidRDefault="00D123BD" w:rsidP="00050E16"/>
    <w:p w14:paraId="3402B57B" w14:textId="77777777" w:rsidR="00417047" w:rsidRPr="00D9693A" w:rsidRDefault="00417047" w:rsidP="00417047">
      <w:pPr>
        <w:rPr>
          <w:rFonts w:cs="Arial"/>
        </w:rPr>
      </w:pPr>
      <w:r w:rsidRPr="00D9693A">
        <w:fldChar w:fldCharType="begin"/>
      </w:r>
      <w:r w:rsidRPr="00D9693A">
        <w:instrText xml:space="preserve"> AUTONUM  </w:instrText>
      </w:r>
      <w:r w:rsidRPr="00D9693A">
        <w:fldChar w:fldCharType="end"/>
      </w:r>
      <w:r>
        <w:tab/>
        <w:t xml:space="preserve">El TC acordó el contenido siguiente como introducción a los respectivos puntos del orden del día durante el programa ordinario de sesiones del TWA, el TWF, el TWO y el TWV de 2020: </w:t>
      </w:r>
    </w:p>
    <w:p w14:paraId="66F902ED" w14:textId="77777777" w:rsidR="00417047" w:rsidRPr="00D9693A" w:rsidRDefault="00417047" w:rsidP="00417047">
      <w:pPr>
        <w:rPr>
          <w:rFonts w:cs="Arial"/>
        </w:rPr>
      </w:pPr>
    </w:p>
    <w:p w14:paraId="79F236BB" w14:textId="77777777" w:rsidR="00417047" w:rsidRPr="00D9693A" w:rsidRDefault="00417047" w:rsidP="00417047">
      <w:pPr>
        <w:numPr>
          <w:ilvl w:val="0"/>
          <w:numId w:val="5"/>
        </w:numPr>
        <w:spacing w:line="276" w:lineRule="auto"/>
        <w:rPr>
          <w:rFonts w:cs="Arial"/>
        </w:rPr>
      </w:pPr>
      <w:r>
        <w:t>Introducción a la UPOV y función de los Grupos de Trabajo Técnico de la UPOV</w:t>
      </w:r>
    </w:p>
    <w:p w14:paraId="5C2A8EB4" w14:textId="77777777" w:rsidR="00417047" w:rsidRPr="00D9693A" w:rsidRDefault="00417047" w:rsidP="00417047">
      <w:pPr>
        <w:numPr>
          <w:ilvl w:val="0"/>
          <w:numId w:val="5"/>
        </w:numPr>
        <w:spacing w:line="276" w:lineRule="auto"/>
        <w:rPr>
          <w:rFonts w:cs="Arial"/>
        </w:rPr>
      </w:pPr>
      <w:r>
        <w:t>Resumen de la Introducción general (documento TG/1/3 y documentos TGP)</w:t>
      </w:r>
    </w:p>
    <w:p w14:paraId="67B18972" w14:textId="77777777" w:rsidR="00417047" w:rsidRPr="00D9693A" w:rsidRDefault="00417047" w:rsidP="00417047">
      <w:pPr>
        <w:numPr>
          <w:ilvl w:val="0"/>
          <w:numId w:val="2"/>
        </w:numPr>
        <w:spacing w:line="276" w:lineRule="auto"/>
        <w:rPr>
          <w:rFonts w:cs="Arial"/>
        </w:rPr>
      </w:pPr>
      <w:r>
        <w:t>Caracteres: base del examen DHE y selección de caracteres</w:t>
      </w:r>
    </w:p>
    <w:p w14:paraId="20F2D67F" w14:textId="77777777" w:rsidR="00417047" w:rsidRPr="00D9693A" w:rsidRDefault="00417047" w:rsidP="00417047">
      <w:pPr>
        <w:numPr>
          <w:ilvl w:val="0"/>
          <w:numId w:val="5"/>
        </w:numPr>
        <w:spacing w:line="276" w:lineRule="auto"/>
        <w:rPr>
          <w:rFonts w:cs="Arial"/>
        </w:rPr>
      </w:pPr>
      <w:r>
        <w:t xml:space="preserve">Orientaciones para la redacción de directrices de examen (documento TGP/7) </w:t>
      </w:r>
    </w:p>
    <w:p w14:paraId="1F1B982F" w14:textId="6CB94EDC" w:rsidR="00417047" w:rsidRPr="00D9693A" w:rsidRDefault="001C59C4" w:rsidP="001C59C4">
      <w:pPr>
        <w:spacing w:line="276" w:lineRule="auto"/>
        <w:ind w:left="1560" w:hanging="426"/>
        <w:rPr>
          <w:rFonts w:cs="Arial"/>
        </w:rPr>
      </w:pPr>
      <w:r>
        <w:t>a)</w:t>
      </w:r>
      <w:r>
        <w:tab/>
      </w:r>
      <w:r w:rsidR="00417047">
        <w:t>Objeto de las directrices de examen, material necesario y método de examen;</w:t>
      </w:r>
    </w:p>
    <w:p w14:paraId="00AA18F2" w14:textId="77D475C4" w:rsidR="00417047" w:rsidRPr="00D9693A" w:rsidRDefault="001C59C4" w:rsidP="001C59C4">
      <w:pPr>
        <w:spacing w:line="276" w:lineRule="auto"/>
        <w:ind w:left="1560" w:hanging="426"/>
        <w:rPr>
          <w:rFonts w:cs="Arial"/>
        </w:rPr>
      </w:pPr>
      <w:r>
        <w:t>b)</w:t>
      </w:r>
      <w:r>
        <w:tab/>
      </w:r>
      <w:r w:rsidR="00417047">
        <w:t>Método de observación (MS, MG, VS, VG)</w:t>
      </w:r>
    </w:p>
    <w:p w14:paraId="188BB589" w14:textId="266DA0AC" w:rsidR="00417047" w:rsidRPr="00D9693A" w:rsidRDefault="001C59C4" w:rsidP="001C59C4">
      <w:pPr>
        <w:tabs>
          <w:tab w:val="left" w:pos="567"/>
          <w:tab w:val="left" w:pos="1134"/>
          <w:tab w:val="left" w:pos="2268"/>
          <w:tab w:val="left" w:pos="2835"/>
          <w:tab w:val="left" w:pos="3402"/>
          <w:tab w:val="left" w:pos="3969"/>
          <w:tab w:val="left" w:pos="4536"/>
          <w:tab w:val="center" w:pos="5386"/>
        </w:tabs>
        <w:spacing w:line="276" w:lineRule="auto"/>
        <w:ind w:left="1560" w:hanging="426"/>
        <w:rPr>
          <w:rFonts w:cs="Arial"/>
        </w:rPr>
      </w:pPr>
      <w:r>
        <w:t>c)</w:t>
      </w:r>
      <w:r>
        <w:tab/>
      </w:r>
      <w:r w:rsidR="00417047">
        <w:t>Tipos de expresión (QL, QN y PQ), notas y distinción;</w:t>
      </w:r>
    </w:p>
    <w:p w14:paraId="42C01666" w14:textId="08F77368" w:rsidR="00417047" w:rsidRPr="00D9693A" w:rsidRDefault="001C59C4" w:rsidP="001C59C4">
      <w:pPr>
        <w:spacing w:line="276" w:lineRule="auto"/>
        <w:ind w:left="1560" w:hanging="426"/>
        <w:rPr>
          <w:rFonts w:cs="Arial"/>
        </w:rPr>
      </w:pPr>
      <w:r>
        <w:t>d)</w:t>
      </w:r>
      <w:r>
        <w:tab/>
      </w:r>
      <w:r w:rsidR="00417047">
        <w:t>Caracteres relativos a la forma y el color;</w:t>
      </w:r>
    </w:p>
    <w:p w14:paraId="5E280CEC" w14:textId="729B2583" w:rsidR="00417047" w:rsidRPr="00D9693A" w:rsidRDefault="001C59C4" w:rsidP="001C59C4">
      <w:pPr>
        <w:spacing w:line="276" w:lineRule="auto"/>
        <w:ind w:left="1560" w:hanging="426"/>
        <w:rPr>
          <w:rFonts w:cs="Arial"/>
        </w:rPr>
      </w:pPr>
      <w:r>
        <w:t>e)</w:t>
      </w:r>
      <w:r>
        <w:tab/>
      </w:r>
      <w:r w:rsidR="00417047">
        <w:t>Variedades ejemplo;</w:t>
      </w:r>
    </w:p>
    <w:p w14:paraId="4184B55E" w14:textId="43240637" w:rsidR="00417047" w:rsidRPr="00D9693A" w:rsidRDefault="001C59C4" w:rsidP="001C59C4">
      <w:pPr>
        <w:spacing w:line="276" w:lineRule="auto"/>
        <w:ind w:left="1560" w:hanging="426"/>
        <w:rPr>
          <w:rFonts w:cs="Arial"/>
        </w:rPr>
      </w:pPr>
      <w:r>
        <w:rPr>
          <w:snapToGrid w:val="0"/>
          <w:color w:val="000000"/>
        </w:rPr>
        <w:t>f)</w:t>
      </w:r>
      <w:r>
        <w:rPr>
          <w:snapToGrid w:val="0"/>
          <w:color w:val="000000"/>
        </w:rPr>
        <w:tab/>
      </w:r>
      <w:r w:rsidR="00417047">
        <w:rPr>
          <w:snapToGrid w:val="0"/>
          <w:color w:val="000000"/>
        </w:rPr>
        <w:t xml:space="preserve">Proceso de elaboración de directrices de examen de la UPOV, a saber: </w:t>
      </w:r>
      <w:r w:rsidR="00417047">
        <w:t>plantilla en</w:t>
      </w:r>
      <w:r w:rsidR="00417047">
        <w:rPr>
          <w:snapToGrid w:val="0"/>
          <w:color w:val="000000"/>
        </w:rPr>
        <w:t xml:space="preserve"> Internet</w:t>
      </w:r>
      <w:r w:rsidR="00417047">
        <w:t xml:space="preserve"> de los documentos TG, texto estándar adicional y notas orientativas</w:t>
      </w:r>
    </w:p>
    <w:p w14:paraId="1B2EA5C0" w14:textId="77777777" w:rsidR="00417047" w:rsidRPr="00D9693A" w:rsidRDefault="00417047" w:rsidP="00417047">
      <w:pPr>
        <w:numPr>
          <w:ilvl w:val="0"/>
          <w:numId w:val="5"/>
        </w:numPr>
        <w:spacing w:line="276" w:lineRule="auto"/>
        <w:rPr>
          <w:rFonts w:cs="Arial"/>
        </w:rPr>
      </w:pPr>
      <w:r>
        <w:t>Procedimiento para aprobar directrices de examen por correspondencia;</w:t>
      </w:r>
    </w:p>
    <w:p w14:paraId="67997EFB" w14:textId="77777777" w:rsidR="00417047" w:rsidRPr="00D9693A" w:rsidRDefault="00417047" w:rsidP="00417047">
      <w:pPr>
        <w:numPr>
          <w:ilvl w:val="0"/>
          <w:numId w:val="5"/>
        </w:numPr>
        <w:spacing w:line="276" w:lineRule="auto"/>
        <w:rPr>
          <w:rFonts w:cs="Arial"/>
        </w:rPr>
      </w:pPr>
      <w:r>
        <w:t>Función del experto principal en la elaboración de las directrices de examen y modo de participar como experto interesado</w:t>
      </w:r>
    </w:p>
    <w:p w14:paraId="06A940EC" w14:textId="2748A15C" w:rsidR="00417047" w:rsidRPr="00D9693A" w:rsidRDefault="00417047" w:rsidP="00417047">
      <w:pPr>
        <w:numPr>
          <w:ilvl w:val="0"/>
          <w:numId w:val="5"/>
        </w:numPr>
        <w:spacing w:line="276" w:lineRule="auto"/>
        <w:rPr>
          <w:rFonts w:cs="Arial"/>
        </w:rPr>
      </w:pPr>
      <w:r>
        <w:t>Posibilidades de cooperación internacional en materia de examen DHE</w:t>
      </w:r>
    </w:p>
    <w:p w14:paraId="262C5A21" w14:textId="77777777" w:rsidR="00417047" w:rsidRPr="00D9693A" w:rsidRDefault="00417047" w:rsidP="00417047">
      <w:pPr>
        <w:numPr>
          <w:ilvl w:val="0"/>
          <w:numId w:val="5"/>
        </w:numPr>
        <w:spacing w:line="276" w:lineRule="auto"/>
        <w:rPr>
          <w:rFonts w:cs="Arial"/>
        </w:rPr>
      </w:pPr>
      <w:r>
        <w:t>Orden del día de la sesión del TWP correspondiente</w:t>
      </w:r>
    </w:p>
    <w:p w14:paraId="0E8A66E7" w14:textId="77777777" w:rsidR="00417047" w:rsidRPr="00D9693A" w:rsidRDefault="00417047" w:rsidP="00417047">
      <w:pPr>
        <w:numPr>
          <w:ilvl w:val="0"/>
          <w:numId w:val="5"/>
        </w:numPr>
        <w:spacing w:line="276" w:lineRule="auto"/>
        <w:rPr>
          <w:rFonts w:cs="Arial"/>
        </w:rPr>
      </w:pPr>
      <w:r>
        <w:t>Información recibida de los participantes</w:t>
      </w:r>
    </w:p>
    <w:p w14:paraId="6E9A6742" w14:textId="77777777" w:rsidR="00417047" w:rsidRPr="00824357" w:rsidRDefault="00417047" w:rsidP="00417047">
      <w:pPr>
        <w:rPr>
          <w:rFonts w:cs="Arial"/>
          <w:highlight w:val="yellow"/>
        </w:rPr>
      </w:pPr>
    </w:p>
    <w:p w14:paraId="347849C9" w14:textId="77777777" w:rsidR="00417047" w:rsidRPr="00D9693A" w:rsidRDefault="003311C6" w:rsidP="00417047">
      <w:pPr>
        <w:keepNext/>
        <w:keepLines/>
        <w:rPr>
          <w:rFonts w:cs="Arial"/>
        </w:rPr>
      </w:pPr>
      <w:r>
        <w:rPr>
          <w:rFonts w:cs="Arial"/>
        </w:rPr>
        <w:fldChar w:fldCharType="begin"/>
      </w:r>
      <w:r>
        <w:rPr>
          <w:rFonts w:cs="Arial"/>
        </w:rPr>
        <w:instrText xml:space="preserve"> AUTONUM  </w:instrText>
      </w:r>
      <w:r>
        <w:rPr>
          <w:rFonts w:cs="Arial"/>
        </w:rPr>
        <w:fldChar w:fldCharType="end"/>
      </w:r>
      <w:r>
        <w:tab/>
        <w:t>El TC acordó el contenido siguiente como introducción a los respectivos puntos del orden del día durante el programa ordinario de sesiones de 2020 del TWC y el BMT:</w:t>
      </w:r>
    </w:p>
    <w:p w14:paraId="05B372C6" w14:textId="77777777" w:rsidR="00417047" w:rsidRPr="00D9693A" w:rsidRDefault="00417047" w:rsidP="00417047">
      <w:pPr>
        <w:keepNext/>
        <w:keepLines/>
        <w:rPr>
          <w:rFonts w:cs="Arial"/>
        </w:rPr>
      </w:pPr>
    </w:p>
    <w:p w14:paraId="5046C5BC" w14:textId="77777777" w:rsidR="00417047" w:rsidRPr="00D9693A" w:rsidRDefault="00417047" w:rsidP="00417047">
      <w:pPr>
        <w:keepNext/>
        <w:keepLines/>
        <w:numPr>
          <w:ilvl w:val="0"/>
          <w:numId w:val="3"/>
        </w:numPr>
        <w:spacing w:line="276" w:lineRule="auto"/>
        <w:rPr>
          <w:rFonts w:cs="Arial"/>
        </w:rPr>
      </w:pPr>
      <w:r>
        <w:t>Introducción a la UPOV y función de los TWP y el BMT;</w:t>
      </w:r>
    </w:p>
    <w:p w14:paraId="461C92CA" w14:textId="77777777" w:rsidR="00417047" w:rsidRPr="00D9693A" w:rsidRDefault="00417047" w:rsidP="00417047">
      <w:pPr>
        <w:keepNext/>
        <w:keepLines/>
        <w:numPr>
          <w:ilvl w:val="0"/>
          <w:numId w:val="3"/>
        </w:numPr>
        <w:spacing w:line="276" w:lineRule="auto"/>
        <w:ind w:left="1134" w:hanging="567"/>
        <w:rPr>
          <w:rFonts w:cs="Arial"/>
        </w:rPr>
      </w:pPr>
      <w:r>
        <w:t>Resumen de la Introducción general (documento TG/1/3 y documentos TGP)</w:t>
      </w:r>
    </w:p>
    <w:p w14:paraId="513832E3" w14:textId="77777777" w:rsidR="00417047" w:rsidRPr="00D9693A" w:rsidRDefault="00417047" w:rsidP="00417047">
      <w:pPr>
        <w:keepNext/>
        <w:keepLines/>
        <w:numPr>
          <w:ilvl w:val="0"/>
          <w:numId w:val="3"/>
        </w:numPr>
        <w:spacing w:line="276" w:lineRule="auto"/>
        <w:ind w:left="1134" w:hanging="567"/>
        <w:rPr>
          <w:rFonts w:cs="Arial"/>
        </w:rPr>
      </w:pPr>
      <w:r>
        <w:t>Aspectos generales de los ensayos DHE y las directrices de examen;</w:t>
      </w:r>
    </w:p>
    <w:p w14:paraId="740510B1" w14:textId="77777777" w:rsidR="00417047" w:rsidRPr="00D9693A" w:rsidRDefault="00417047" w:rsidP="00417047">
      <w:pPr>
        <w:keepNext/>
        <w:keepLines/>
        <w:numPr>
          <w:ilvl w:val="0"/>
          <w:numId w:val="3"/>
        </w:numPr>
        <w:spacing w:line="276" w:lineRule="auto"/>
        <w:ind w:left="1134" w:hanging="567"/>
        <w:rPr>
          <w:rFonts w:cs="Arial"/>
        </w:rPr>
      </w:pPr>
      <w:r>
        <w:t>Recursos de la UPOV en Internet;</w:t>
      </w:r>
    </w:p>
    <w:p w14:paraId="015E5B87" w14:textId="2C0F1B6F" w:rsidR="00417047" w:rsidRPr="00D9693A" w:rsidRDefault="001C59C4" w:rsidP="001C59C4">
      <w:pPr>
        <w:spacing w:line="276" w:lineRule="auto"/>
        <w:ind w:left="1701" w:hanging="567"/>
        <w:rPr>
          <w:rFonts w:cs="Arial"/>
        </w:rPr>
      </w:pPr>
      <w:r>
        <w:t>a)</w:t>
      </w:r>
      <w:r>
        <w:tab/>
      </w:r>
      <w:r w:rsidR="00417047">
        <w:t>Legislación de los miembros de la UPOV:</w:t>
      </w:r>
      <w:r w:rsidR="002A0DA3">
        <w:t xml:space="preserve"> </w:t>
      </w:r>
      <w:r w:rsidR="00417047">
        <w:t>UPOV Lex, base de datos GENIE</w:t>
      </w:r>
    </w:p>
    <w:p w14:paraId="1BE9FC06" w14:textId="6AD4D178" w:rsidR="00417047" w:rsidRPr="00D9693A" w:rsidRDefault="001C59C4" w:rsidP="001C59C4">
      <w:pPr>
        <w:spacing w:line="276" w:lineRule="auto"/>
        <w:ind w:left="1701" w:hanging="567"/>
        <w:rPr>
          <w:rFonts w:cs="Arial"/>
          <w:spacing w:val="-2"/>
        </w:rPr>
      </w:pPr>
      <w:r>
        <w:t>b)</w:t>
      </w:r>
      <w:r>
        <w:tab/>
      </w:r>
      <w:r w:rsidR="00417047">
        <w:t>Solicitudes de derechos de obtentor:</w:t>
      </w:r>
      <w:r w:rsidR="002A0DA3">
        <w:t xml:space="preserve"> </w:t>
      </w:r>
      <w:r w:rsidR="00417047">
        <w:t>herramienta de solicitudes PBR UPOV PRISMA</w:t>
      </w:r>
    </w:p>
    <w:p w14:paraId="7A762B93" w14:textId="6EF743AF" w:rsidR="00417047" w:rsidRPr="00D9693A" w:rsidRDefault="001C59C4" w:rsidP="001C59C4">
      <w:pPr>
        <w:spacing w:line="276" w:lineRule="auto"/>
        <w:ind w:left="1701" w:hanging="567"/>
        <w:rPr>
          <w:rFonts w:cs="Arial"/>
          <w:spacing w:val="-2"/>
        </w:rPr>
      </w:pPr>
      <w:r>
        <w:t>c)</w:t>
      </w:r>
      <w:r>
        <w:tab/>
      </w:r>
      <w:r w:rsidR="00417047">
        <w:t>Examen DHE:</w:t>
      </w:r>
      <w:r w:rsidR="002A0DA3">
        <w:t xml:space="preserve"> </w:t>
      </w:r>
      <w:r w:rsidR="00417047">
        <w:t>base de datos GENIE, plantilla en Internet de las directrices de examen y código de la UPOV</w:t>
      </w:r>
    </w:p>
    <w:p w14:paraId="227290FD" w14:textId="1705374A" w:rsidR="00417047" w:rsidRPr="00D9693A" w:rsidRDefault="001C59C4" w:rsidP="001C59C4">
      <w:pPr>
        <w:spacing w:line="276" w:lineRule="auto"/>
        <w:ind w:left="1701" w:hanging="567"/>
        <w:rPr>
          <w:rFonts w:cs="Arial"/>
          <w:spacing w:val="-2"/>
        </w:rPr>
      </w:pPr>
      <w:r>
        <w:t>d)</w:t>
      </w:r>
      <w:r>
        <w:tab/>
      </w:r>
      <w:r w:rsidR="00417047">
        <w:t>Denominaciones de variedades y novedad:</w:t>
      </w:r>
      <w:r w:rsidR="002A0DA3">
        <w:t xml:space="preserve"> </w:t>
      </w:r>
      <w:r w:rsidR="00417047">
        <w:t>base de datos PLUTO</w:t>
      </w:r>
    </w:p>
    <w:p w14:paraId="20310F68" w14:textId="77777777" w:rsidR="00417047" w:rsidRPr="00D9693A" w:rsidRDefault="00417047" w:rsidP="00417047">
      <w:pPr>
        <w:keepNext/>
        <w:numPr>
          <w:ilvl w:val="0"/>
          <w:numId w:val="3"/>
        </w:numPr>
        <w:spacing w:line="276" w:lineRule="auto"/>
        <w:rPr>
          <w:rFonts w:cs="Arial"/>
        </w:rPr>
      </w:pPr>
      <w:r>
        <w:t>Situación en la UPOV en relación con el posible uso de técnicas moleculares en el examen DHE</w:t>
      </w:r>
    </w:p>
    <w:p w14:paraId="1528C5ED" w14:textId="77777777" w:rsidR="00417047" w:rsidRPr="00D9693A" w:rsidRDefault="00417047" w:rsidP="00417047">
      <w:pPr>
        <w:keepNext/>
        <w:numPr>
          <w:ilvl w:val="0"/>
          <w:numId w:val="3"/>
        </w:numPr>
        <w:spacing w:line="276" w:lineRule="auto"/>
        <w:rPr>
          <w:rFonts w:cs="Arial"/>
        </w:rPr>
      </w:pPr>
      <w:r>
        <w:t>El concepto de variedad esencialmente derivada</w:t>
      </w:r>
    </w:p>
    <w:p w14:paraId="583DD0F7" w14:textId="77777777" w:rsidR="00417047" w:rsidRPr="00D9693A" w:rsidRDefault="00417047" w:rsidP="00417047">
      <w:pPr>
        <w:keepNext/>
        <w:numPr>
          <w:ilvl w:val="0"/>
          <w:numId w:val="3"/>
        </w:numPr>
        <w:spacing w:line="276" w:lineRule="auto"/>
        <w:rPr>
          <w:rFonts w:cs="Arial"/>
        </w:rPr>
      </w:pPr>
      <w:r>
        <w:t>Función de la UPOV en la identificación de variedades</w:t>
      </w:r>
    </w:p>
    <w:p w14:paraId="56867297" w14:textId="2CE6509B" w:rsidR="00417047" w:rsidRPr="00D9693A" w:rsidRDefault="00417047" w:rsidP="00417047">
      <w:pPr>
        <w:keepNext/>
        <w:numPr>
          <w:ilvl w:val="0"/>
          <w:numId w:val="3"/>
        </w:numPr>
        <w:spacing w:line="276" w:lineRule="auto"/>
      </w:pPr>
      <w:r>
        <w:t>Orden del día del TWC y el BM</w:t>
      </w:r>
      <w:r w:rsidR="00B0237A">
        <w:t>T</w:t>
      </w:r>
    </w:p>
    <w:p w14:paraId="7EE6E30B" w14:textId="77777777" w:rsidR="007A002D" w:rsidRDefault="007A002D" w:rsidP="00050E16"/>
    <w:p w14:paraId="7AA1152E" w14:textId="77777777" w:rsidR="003311C6" w:rsidRPr="00824357" w:rsidRDefault="003311C6" w:rsidP="00050E16"/>
    <w:p w14:paraId="10B66D0A" w14:textId="77777777" w:rsidR="00F90304" w:rsidRPr="00824357" w:rsidRDefault="00A15C99" w:rsidP="00A15C99">
      <w:pPr>
        <w:pStyle w:val="Heading2"/>
      </w:pPr>
      <w:r>
        <w:t>Asuntos relativos a las descripciones de variedades</w:t>
      </w:r>
    </w:p>
    <w:p w14:paraId="4181DEB1" w14:textId="77777777" w:rsidR="00F90304" w:rsidRPr="00824357" w:rsidRDefault="00F90304" w:rsidP="00A15C99">
      <w:pPr>
        <w:keepNext/>
      </w:pPr>
    </w:p>
    <w:p w14:paraId="2E48FFC6" w14:textId="77777777" w:rsidR="00A15C99" w:rsidRPr="00824357" w:rsidRDefault="00A15C99" w:rsidP="00A15C99">
      <w:pPr>
        <w:keepNext/>
      </w:pPr>
      <w:r w:rsidRPr="00824357">
        <w:fldChar w:fldCharType="begin"/>
      </w:r>
      <w:r w:rsidRPr="00824357">
        <w:instrText xml:space="preserve"> AUTONUM  </w:instrText>
      </w:r>
      <w:r w:rsidRPr="00824357">
        <w:fldChar w:fldCharType="end"/>
      </w:r>
      <w:r>
        <w:tab/>
        <w:t>El TC examinó el documento TC/55/11.</w:t>
      </w:r>
    </w:p>
    <w:p w14:paraId="41890FBE" w14:textId="77777777" w:rsidR="00A15C99" w:rsidRPr="00824357" w:rsidRDefault="00A15C99" w:rsidP="00050E16"/>
    <w:p w14:paraId="422DCA6F" w14:textId="77777777" w:rsidR="00F90304" w:rsidRPr="00824357" w:rsidRDefault="00A15C99" w:rsidP="00050E16">
      <w:r w:rsidRPr="00824357">
        <w:fldChar w:fldCharType="begin"/>
      </w:r>
      <w:r w:rsidRPr="00824357">
        <w:instrText xml:space="preserve"> AUTONUM  </w:instrText>
      </w:r>
      <w:r w:rsidRPr="00824357">
        <w:fldChar w:fldCharType="end"/>
      </w:r>
      <w:r>
        <w:tab/>
        <w:t>El TC convino en proponer la revisión de la sección 6 “Informe de la UPOV sobre el examen técnico y formulario UPOV para la descripción de variedades” del documento TGP/5, sobre la base de la propuesta que se expone en el Anexo del documento TC/55/11.</w:t>
      </w:r>
    </w:p>
    <w:p w14:paraId="71BBD911" w14:textId="77777777" w:rsidR="00C67295" w:rsidRDefault="00C67295" w:rsidP="00050E16"/>
    <w:p w14:paraId="4E834BB9" w14:textId="77777777" w:rsidR="003311C6" w:rsidRPr="00824357" w:rsidRDefault="003311C6" w:rsidP="00050E16"/>
    <w:p w14:paraId="1DFCDD70" w14:textId="77777777" w:rsidR="00F90304" w:rsidRPr="00824357" w:rsidRDefault="00DE5185" w:rsidP="00866771">
      <w:pPr>
        <w:pStyle w:val="Heading2"/>
      </w:pPr>
      <w:bookmarkStart w:id="64" w:name="_Toc18604994"/>
      <w:r>
        <w:t>Aumento de la participación de nuevos miembros de la Unión en la labor del TC y de los TWP</w:t>
      </w:r>
      <w:bookmarkEnd w:id="64"/>
    </w:p>
    <w:p w14:paraId="08C7D461" w14:textId="77777777" w:rsidR="00F90304" w:rsidRPr="00824357" w:rsidRDefault="00F90304" w:rsidP="00866771">
      <w:pPr>
        <w:keepNext/>
      </w:pPr>
    </w:p>
    <w:p w14:paraId="752B33AC" w14:textId="77777777" w:rsidR="00DE5185" w:rsidRPr="00824357" w:rsidRDefault="00DE5185" w:rsidP="00866771">
      <w:pPr>
        <w:keepNext/>
      </w:pPr>
      <w:r w:rsidRPr="00824357">
        <w:fldChar w:fldCharType="begin"/>
      </w:r>
      <w:r w:rsidRPr="00824357">
        <w:instrText xml:space="preserve"> AUTONUM  </w:instrText>
      </w:r>
      <w:r w:rsidRPr="00824357">
        <w:fldChar w:fldCharType="end"/>
      </w:r>
      <w:r>
        <w:tab/>
        <w:t>El TC examinó el documento TC/55/24.</w:t>
      </w:r>
    </w:p>
    <w:p w14:paraId="156A54A8" w14:textId="4D146A93" w:rsidR="00A37A44" w:rsidRDefault="00A37A44" w:rsidP="00167340">
      <w:pPr>
        <w:pStyle w:val="ListParagraph"/>
        <w:ind w:left="0"/>
        <w:rPr>
          <w:rFonts w:eastAsiaTheme="minorEastAsia" w:cs="Arial"/>
          <w:snapToGrid w:val="0"/>
        </w:rPr>
      </w:pPr>
    </w:p>
    <w:p w14:paraId="23496C62" w14:textId="77777777" w:rsidR="001C59C4" w:rsidRDefault="001C59C4" w:rsidP="00167340">
      <w:pPr>
        <w:pStyle w:val="ListParagraph"/>
        <w:ind w:left="0"/>
        <w:rPr>
          <w:rFonts w:eastAsiaTheme="minorEastAsia" w:cs="Arial"/>
          <w:snapToGrid w:val="0"/>
        </w:rPr>
      </w:pPr>
    </w:p>
    <w:p w14:paraId="2B3E7E95" w14:textId="77777777" w:rsidR="00A37A44" w:rsidRPr="0062546B" w:rsidRDefault="00A37A44" w:rsidP="0062546B">
      <w:pPr>
        <w:pStyle w:val="Heading3"/>
        <w:rPr>
          <w:rFonts w:eastAsiaTheme="minorEastAsia" w:cs="Arial"/>
          <w:snapToGrid w:val="0"/>
        </w:rPr>
      </w:pPr>
      <w:r>
        <w:lastRenderedPageBreak/>
        <w:t>Cartas de invitación</w:t>
      </w:r>
    </w:p>
    <w:p w14:paraId="178AF3E5" w14:textId="77777777" w:rsidR="00A37A44" w:rsidRDefault="00A37A44" w:rsidP="00167340">
      <w:pPr>
        <w:pStyle w:val="ListParagraph"/>
        <w:ind w:left="0"/>
        <w:rPr>
          <w:rFonts w:eastAsiaTheme="minorEastAsia" w:cs="Arial"/>
          <w:snapToGrid w:val="0"/>
        </w:rPr>
      </w:pPr>
    </w:p>
    <w:p w14:paraId="48BB62E5" w14:textId="2F33C74C" w:rsidR="00DE5185" w:rsidRPr="007D54FF" w:rsidRDefault="00167340" w:rsidP="00167340">
      <w:pPr>
        <w:pStyle w:val="ListParagraph"/>
        <w:ind w:left="0"/>
        <w:rPr>
          <w:rFonts w:eastAsiaTheme="minorEastAsia" w:cs="Arial"/>
          <w:snapToGrid w:val="0"/>
        </w:rPr>
      </w:pPr>
      <w:r w:rsidRPr="007D54FF">
        <w:rPr>
          <w:rFonts w:eastAsiaTheme="minorEastAsia" w:cs="Arial"/>
          <w:snapToGrid w:val="0"/>
        </w:rPr>
        <w:fldChar w:fldCharType="begin"/>
      </w:r>
      <w:r w:rsidRPr="007D54FF">
        <w:rPr>
          <w:rFonts w:eastAsiaTheme="minorEastAsia" w:cs="Arial"/>
          <w:snapToGrid w:val="0"/>
        </w:rPr>
        <w:instrText xml:space="preserve"> AUTONUM  </w:instrText>
      </w:r>
      <w:r w:rsidRPr="007D54FF">
        <w:rPr>
          <w:rFonts w:eastAsiaTheme="minorEastAsia" w:cs="Arial"/>
          <w:snapToGrid w:val="0"/>
        </w:rPr>
        <w:fldChar w:fldCharType="end"/>
      </w:r>
      <w:r>
        <w:tab/>
        <w:t>El TC convino en que las cartas de invitación a las sesiones de los TWP, que actualmente se envían tres meses antes de las sesiones, se han de enviar con mayor antelación y convino en que en la “Nota orientativa para anfitriones de los TWP” se ha de indicar una antelación de seis meses.</w:t>
      </w:r>
      <w:r w:rsidR="002A0DA3">
        <w:t xml:space="preserve"> </w:t>
      </w:r>
    </w:p>
    <w:p w14:paraId="57CDC8B3" w14:textId="77777777" w:rsidR="00F90304" w:rsidRDefault="00F90304" w:rsidP="00050E16"/>
    <w:p w14:paraId="0C996F3F" w14:textId="77777777" w:rsidR="00442E21" w:rsidRDefault="00442E21" w:rsidP="00442E21">
      <w:r>
        <w:fldChar w:fldCharType="begin"/>
      </w:r>
      <w:r>
        <w:instrText xml:space="preserve"> AUTONUM  </w:instrText>
      </w:r>
      <w:r>
        <w:fldChar w:fldCharType="end"/>
      </w:r>
      <w:r>
        <w:tab/>
        <w:t>El TC convino en invitar a la Oficina de la UPOV a redactar una descripción breve de la importancia de la labor de los TWP para acompañar las cartas de invitación a las sesiones de estos.</w:t>
      </w:r>
    </w:p>
    <w:p w14:paraId="754D6CCB" w14:textId="77777777" w:rsidR="001302FB" w:rsidRPr="00824357" w:rsidRDefault="001302FB" w:rsidP="00050E16"/>
    <w:p w14:paraId="3653AEB1" w14:textId="77777777" w:rsidR="00F90304" w:rsidRPr="00824357" w:rsidRDefault="00DE5185" w:rsidP="0062546B">
      <w:pPr>
        <w:pStyle w:val="Heading3"/>
      </w:pPr>
      <w:bookmarkStart w:id="65" w:name="_Toc18604995"/>
      <w:bookmarkStart w:id="66" w:name="_Toc20500457"/>
      <w:r>
        <w:t>Organización de un seminario en Ginebra</w:t>
      </w:r>
      <w:bookmarkEnd w:id="65"/>
      <w:bookmarkEnd w:id="66"/>
    </w:p>
    <w:p w14:paraId="43619B63" w14:textId="77777777" w:rsidR="00F90304" w:rsidRPr="00824357" w:rsidRDefault="00F90304" w:rsidP="00866771">
      <w:pPr>
        <w:keepNext/>
      </w:pPr>
    </w:p>
    <w:p w14:paraId="1292EBB3" w14:textId="05D581D8" w:rsidR="00BB16D5" w:rsidRDefault="00DE5185" w:rsidP="00866771">
      <w:pPr>
        <w:keepNext/>
      </w:pPr>
      <w:r w:rsidRPr="00824357">
        <w:fldChar w:fldCharType="begin"/>
      </w:r>
      <w:r w:rsidRPr="00824357">
        <w:instrText xml:space="preserve"> AUTONUM  </w:instrText>
      </w:r>
      <w:r w:rsidRPr="00824357">
        <w:fldChar w:fldCharType="end"/>
      </w:r>
      <w:r>
        <w:tab/>
        <w:t xml:space="preserve">El TC </w:t>
      </w:r>
      <w:r w:rsidR="004F7E74">
        <w:t>consideró</w:t>
      </w:r>
      <w:r>
        <w:t xml:space="preserve"> la posibilidad de organizar un seminario para transmitir la importancia de la labor técnica que se lleva a cabo en la UPOV y convino en que será necesario </w:t>
      </w:r>
      <w:r w:rsidR="004F7E74">
        <w:t>estudiar</w:t>
      </w:r>
      <w:r>
        <w:t xml:space="preserve"> más detenidamente su objetivo y su público destinatario antes seguir adelante con esta idea.</w:t>
      </w:r>
      <w:r w:rsidR="002A0DA3">
        <w:t xml:space="preserve"> </w:t>
      </w:r>
    </w:p>
    <w:p w14:paraId="2968F77D" w14:textId="77777777" w:rsidR="00DE5185" w:rsidRPr="00824357" w:rsidRDefault="00DE5185" w:rsidP="00050E16"/>
    <w:p w14:paraId="3AEB387F" w14:textId="77777777" w:rsidR="00DE5185" w:rsidRPr="00824357" w:rsidRDefault="00DE5185" w:rsidP="0062546B">
      <w:pPr>
        <w:pStyle w:val="Heading3"/>
      </w:pPr>
      <w:bookmarkStart w:id="67" w:name="_Toc18604996"/>
      <w:bookmarkStart w:id="68" w:name="_Toc20500458"/>
      <w:r>
        <w:t>Participación en las reuniones del TC y los TWP por medios electrónicos</w:t>
      </w:r>
      <w:bookmarkEnd w:id="67"/>
      <w:bookmarkEnd w:id="68"/>
    </w:p>
    <w:p w14:paraId="6CE341EA" w14:textId="77777777" w:rsidR="00F90304" w:rsidRPr="00824357" w:rsidRDefault="00F90304" w:rsidP="00866771">
      <w:pPr>
        <w:keepNext/>
      </w:pPr>
    </w:p>
    <w:p w14:paraId="6564AFC8" w14:textId="44C27120" w:rsidR="00FE4B1E" w:rsidRPr="00824357" w:rsidRDefault="00DE5185" w:rsidP="00442E21">
      <w:pPr>
        <w:keepNext/>
      </w:pPr>
      <w:r w:rsidRPr="00824357">
        <w:fldChar w:fldCharType="begin"/>
      </w:r>
      <w:r w:rsidRPr="00824357">
        <w:instrText xml:space="preserve"> AUTONUM  </w:instrText>
      </w:r>
      <w:r w:rsidRPr="00824357">
        <w:fldChar w:fldCharType="end"/>
      </w:r>
      <w:r>
        <w:tab/>
        <w:t>El TC tomó nota de que en las invitaciones a las sesiones de 2019 de los TWP se solicitó a los destinatarios que indicaran asuntos concretos que desearían tratar por medios electrónicos.</w:t>
      </w:r>
      <w:r w:rsidR="002A0DA3">
        <w:t xml:space="preserve"> </w:t>
      </w:r>
    </w:p>
    <w:p w14:paraId="62B87C92" w14:textId="77777777" w:rsidR="00E83272" w:rsidRDefault="00E83272" w:rsidP="00050E16"/>
    <w:p w14:paraId="5A8FE2FA" w14:textId="77777777" w:rsidR="003311C6" w:rsidRPr="00824357" w:rsidRDefault="003311C6" w:rsidP="00050E16"/>
    <w:p w14:paraId="5D0366E9" w14:textId="77777777" w:rsidR="00E83272" w:rsidRPr="00824357" w:rsidRDefault="00D70AB4" w:rsidP="00866771">
      <w:pPr>
        <w:pStyle w:val="Heading2"/>
      </w:pPr>
      <w:r>
        <w:t>Denominaciones de variedades</w:t>
      </w:r>
    </w:p>
    <w:p w14:paraId="668FED88" w14:textId="77777777" w:rsidR="00D70AB4" w:rsidRPr="00824357" w:rsidRDefault="00D70AB4" w:rsidP="00866771">
      <w:pPr>
        <w:keepNext/>
      </w:pPr>
    </w:p>
    <w:p w14:paraId="3A986208" w14:textId="77777777" w:rsidR="00D70AB4" w:rsidRPr="00824357" w:rsidRDefault="00E32D12" w:rsidP="00866771">
      <w:pPr>
        <w:keepNext/>
      </w:pPr>
      <w:r w:rsidRPr="00824357">
        <w:fldChar w:fldCharType="begin"/>
      </w:r>
      <w:r w:rsidRPr="00824357">
        <w:instrText xml:space="preserve"> AUTONUM  </w:instrText>
      </w:r>
      <w:r w:rsidRPr="00824357">
        <w:fldChar w:fldCharType="end"/>
      </w:r>
      <w:r>
        <w:tab/>
        <w:t>El TC examinó los documentos TC/55/8 y TC/55/8 Add.</w:t>
      </w:r>
    </w:p>
    <w:p w14:paraId="02F5AEC4" w14:textId="77777777" w:rsidR="00E32D12" w:rsidRPr="00824357" w:rsidRDefault="00E32D12" w:rsidP="00050E16"/>
    <w:p w14:paraId="263E5139" w14:textId="77777777" w:rsidR="00E32D12" w:rsidRPr="00824357" w:rsidRDefault="00E32D12" w:rsidP="00FE4B1E">
      <w:pPr>
        <w:rPr>
          <w:rFonts w:eastAsiaTheme="minorEastAsia"/>
          <w:snapToGrid w:val="0"/>
          <w:highlight w:val="yellow"/>
        </w:rPr>
      </w:pPr>
      <w:r w:rsidRPr="00824357">
        <w:fldChar w:fldCharType="begin"/>
      </w:r>
      <w:r w:rsidRPr="00824357">
        <w:instrText xml:space="preserve"> AUTONUM  </w:instrText>
      </w:r>
      <w:r w:rsidRPr="00824357">
        <w:fldChar w:fldCharType="end"/>
      </w:r>
      <w:r>
        <w:tab/>
        <w:t>El TC tomó nota de las observaciones formuladas por los TWP y suscribió las propuestas de revisar la siguiente lista de clases del documento UPOV/INF/12/5:</w:t>
      </w:r>
    </w:p>
    <w:p w14:paraId="3FBEBE24" w14:textId="77777777" w:rsidR="00E32D12" w:rsidRPr="00FE4B1E" w:rsidRDefault="00E32D12" w:rsidP="00E32D12"/>
    <w:p w14:paraId="13915208" w14:textId="229CD48D" w:rsidR="00E32D12" w:rsidRPr="00FE4B1E" w:rsidRDefault="001C59C4" w:rsidP="001C59C4">
      <w:pPr>
        <w:ind w:left="567"/>
        <w:contextualSpacing/>
      </w:pPr>
      <w:r>
        <w:t>a)</w:t>
      </w:r>
      <w:r>
        <w:tab/>
      </w:r>
      <w:r w:rsidR="00E32D12">
        <w:t>Propuesta de división de la actual clase 205 (</w:t>
      </w:r>
      <w:r w:rsidR="00E32D12">
        <w:rPr>
          <w:i/>
        </w:rPr>
        <w:t>Cichorium</w:t>
      </w:r>
      <w:r w:rsidR="00E32D12">
        <w:t xml:space="preserve"> y </w:t>
      </w:r>
      <w:r w:rsidR="00E32D12">
        <w:rPr>
          <w:i/>
        </w:rPr>
        <w:t>Lactuca</w:t>
      </w:r>
      <w:r w:rsidR="00E32D12">
        <w:t>) en dos clases nuevas:</w:t>
      </w:r>
    </w:p>
    <w:p w14:paraId="4904C669" w14:textId="77777777" w:rsidR="00E32D12" w:rsidRPr="00FE4B1E" w:rsidRDefault="00E32D12" w:rsidP="00FE4B1E">
      <w:pPr>
        <w:ind w:left="1134" w:hanging="567"/>
      </w:pPr>
      <w:r>
        <w:t>•</w:t>
      </w:r>
      <w:r>
        <w:tab/>
        <w:t xml:space="preserve">Clase: </w:t>
      </w:r>
      <w:r w:rsidRPr="00A518CA">
        <w:rPr>
          <w:i/>
        </w:rPr>
        <w:t>Lactuca</w:t>
      </w:r>
      <w:r w:rsidRPr="00A518CA">
        <w:t xml:space="preserve">, </w:t>
      </w:r>
      <w:r>
        <w:rPr>
          <w:i/>
        </w:rPr>
        <w:t>Cichorium endivia</w:t>
      </w:r>
      <w:r>
        <w:t xml:space="preserve"> (endivia), </w:t>
      </w:r>
      <w:r>
        <w:rPr>
          <w:i/>
        </w:rPr>
        <w:t>Cichorium intybus</w:t>
      </w:r>
      <w:r>
        <w:t xml:space="preserve"> var. </w:t>
      </w:r>
      <w:r>
        <w:rPr>
          <w:i/>
        </w:rPr>
        <w:t>foliosum</w:t>
      </w:r>
      <w:r>
        <w:t xml:space="preserve"> (achicoria de hoja/achicoria de ensalada)</w:t>
      </w:r>
    </w:p>
    <w:p w14:paraId="573C8B40" w14:textId="77777777" w:rsidR="00E32D12" w:rsidRPr="00FE4B1E" w:rsidRDefault="00E32D12" w:rsidP="00FE4B1E">
      <w:pPr>
        <w:ind w:left="1134" w:hanging="567"/>
      </w:pPr>
      <w:r>
        <w:t>•</w:t>
      </w:r>
      <w:r>
        <w:tab/>
        <w:t xml:space="preserve">Clase: </w:t>
      </w:r>
      <w:r>
        <w:rPr>
          <w:i/>
        </w:rPr>
        <w:t>Cichorium intybus</w:t>
      </w:r>
      <w:r>
        <w:t xml:space="preserve"> var. </w:t>
      </w:r>
      <w:r>
        <w:rPr>
          <w:i/>
        </w:rPr>
        <w:t>sativum</w:t>
      </w:r>
      <w:r>
        <w:t xml:space="preserve"> (achicoria industrial)</w:t>
      </w:r>
    </w:p>
    <w:p w14:paraId="48B6FFAD" w14:textId="77777777" w:rsidR="00E32D12" w:rsidRPr="00FE4B1E" w:rsidRDefault="00E32D12" w:rsidP="00FE4B1E">
      <w:pPr>
        <w:ind w:left="1134" w:hanging="567"/>
      </w:pPr>
    </w:p>
    <w:p w14:paraId="2F7B5921" w14:textId="77777777" w:rsidR="00E32D12" w:rsidRPr="00FE4B1E" w:rsidRDefault="00FE4B1E" w:rsidP="00FE4B1E">
      <w:pPr>
        <w:ind w:left="1134" w:hanging="567"/>
        <w:jc w:val="left"/>
      </w:pPr>
      <w:r>
        <w:t>b)</w:t>
      </w:r>
      <w:r>
        <w:tab/>
        <w:t xml:space="preserve">Propuesta de añadido del género </w:t>
      </w:r>
      <w:r>
        <w:rPr>
          <w:i/>
        </w:rPr>
        <w:t>Epichloe</w:t>
      </w:r>
      <w:r>
        <w:t xml:space="preserve"> (antes </w:t>
      </w:r>
      <w:r>
        <w:rPr>
          <w:i/>
        </w:rPr>
        <w:t>Neotyphodium</w:t>
      </w:r>
      <w:r>
        <w:t>) a la clase 203 (</w:t>
      </w:r>
      <w:r>
        <w:rPr>
          <w:i/>
        </w:rPr>
        <w:t>Agrostis, Dactylis, Festuca, Festulolium, Lolium, Phalaris, Phleum</w:t>
      </w:r>
      <w:r>
        <w:t xml:space="preserve"> y </w:t>
      </w:r>
      <w:r>
        <w:rPr>
          <w:i/>
        </w:rPr>
        <w:t>Poa</w:t>
      </w:r>
      <w:r>
        <w:t>).</w:t>
      </w:r>
    </w:p>
    <w:p w14:paraId="2A171331" w14:textId="77777777" w:rsidR="00D70AB4" w:rsidRDefault="00D70AB4" w:rsidP="00050E16"/>
    <w:p w14:paraId="52480E39" w14:textId="77777777" w:rsidR="003311C6" w:rsidRPr="00824357" w:rsidRDefault="003311C6" w:rsidP="00050E16"/>
    <w:p w14:paraId="31568F3A" w14:textId="77777777" w:rsidR="00D70AB4" w:rsidRPr="00824357" w:rsidRDefault="004B577C" w:rsidP="00866771">
      <w:pPr>
        <w:pStyle w:val="Heading2"/>
      </w:pPr>
      <w:r>
        <w:t>Directrices de examen</w:t>
      </w:r>
    </w:p>
    <w:p w14:paraId="60C17AD6" w14:textId="77777777" w:rsidR="004B577C" w:rsidRPr="00824357" w:rsidRDefault="004B577C" w:rsidP="00866771">
      <w:pPr>
        <w:keepNext/>
      </w:pPr>
    </w:p>
    <w:p w14:paraId="79924A9E" w14:textId="77777777" w:rsidR="004B577C" w:rsidRPr="00824357" w:rsidRDefault="004B577C" w:rsidP="00866771">
      <w:pPr>
        <w:keepNext/>
        <w:ind w:left="567" w:hanging="567"/>
      </w:pPr>
      <w:r w:rsidRPr="00824357">
        <w:fldChar w:fldCharType="begin"/>
      </w:r>
      <w:r w:rsidRPr="00824357">
        <w:instrText xml:space="preserve"> AUTONUM  </w:instrText>
      </w:r>
      <w:r w:rsidRPr="00824357">
        <w:fldChar w:fldCharType="end"/>
      </w:r>
      <w:r>
        <w:tab/>
        <w:t xml:space="preserve">El TC examinó el documento TC/55/2. </w:t>
      </w:r>
    </w:p>
    <w:p w14:paraId="7C45784B" w14:textId="77777777" w:rsidR="004B577C" w:rsidRPr="00824357" w:rsidRDefault="004B577C" w:rsidP="00866771">
      <w:pPr>
        <w:keepNext/>
        <w:ind w:left="567" w:hanging="567"/>
        <w:rPr>
          <w:rFonts w:cs="Arial"/>
          <w:snapToGrid w:val="0"/>
        </w:rPr>
      </w:pPr>
    </w:p>
    <w:p w14:paraId="1024E0D7" w14:textId="77777777" w:rsidR="004B577C" w:rsidRPr="00824357" w:rsidRDefault="004B577C" w:rsidP="00866771">
      <w:pPr>
        <w:pStyle w:val="Heading3"/>
      </w:pPr>
      <w:bookmarkStart w:id="69" w:name="_Toc527574749"/>
      <w:r>
        <w:t>Directrices de examen aprobadas por correspondencia</w:t>
      </w:r>
      <w:bookmarkEnd w:id="69"/>
      <w:r>
        <w:t xml:space="preserve"> </w:t>
      </w:r>
    </w:p>
    <w:p w14:paraId="71D25ADD" w14:textId="77777777" w:rsidR="004B577C" w:rsidRPr="00824357" w:rsidRDefault="004B577C" w:rsidP="00866771">
      <w:pPr>
        <w:keepNext/>
        <w:ind w:left="567" w:hanging="567"/>
        <w:rPr>
          <w:rFonts w:cs="Arial"/>
          <w:snapToGrid w:val="0"/>
        </w:rPr>
      </w:pPr>
    </w:p>
    <w:p w14:paraId="2DF4CA6B" w14:textId="77777777" w:rsidR="004B577C" w:rsidRPr="00824357" w:rsidRDefault="004B577C" w:rsidP="00866771">
      <w:pPr>
        <w:keepNext/>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tab/>
        <w:t>El TC tomó nota de que 1 directriz de examen revisada y 6 directrices de examen parcialmente revisadas para la ejecución del examen de la distinción, la homogeneidad y la estabilidad, que se enumeran en el cuadro siguiente, se han aprobado por correspondencia sobre la base de las modificaciones especificadas en el Anexo II del presente documento y los cambios lingüísticos recomendados por el TC</w:t>
      </w:r>
      <w:r>
        <w:noBreakHyphen/>
        <w:t xml:space="preserve">EDC: </w:t>
      </w:r>
    </w:p>
    <w:p w14:paraId="230647B6" w14:textId="1C12BC50" w:rsidR="005F1109" w:rsidRDefault="005F1109">
      <w:pPr>
        <w:jc w:val="left"/>
      </w:pPr>
      <w:r>
        <w:br w:type="page"/>
      </w:r>
    </w:p>
    <w:p w14:paraId="15CF157E" w14:textId="77777777" w:rsidR="004B577C" w:rsidRPr="00824357" w:rsidRDefault="004B577C" w:rsidP="004B577C"/>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4B577C" w:rsidRPr="00824357" w14:paraId="10862AD8" w14:textId="77777777" w:rsidTr="00D57C40">
        <w:trPr>
          <w:trHeight w:val="1050"/>
          <w:tblHeader/>
        </w:trPr>
        <w:tc>
          <w:tcPr>
            <w:tcW w:w="590" w:type="dxa"/>
            <w:tcBorders>
              <w:top w:val="single" w:sz="4" w:space="0" w:color="auto"/>
              <w:bottom w:val="single" w:sz="4" w:space="0" w:color="auto"/>
            </w:tcBorders>
            <w:shd w:val="clear" w:color="auto" w:fill="D9D9D9"/>
            <w:vAlign w:val="center"/>
          </w:tcPr>
          <w:p w14:paraId="42F9C69E" w14:textId="77777777" w:rsidR="004B577C" w:rsidRPr="00824357" w:rsidRDefault="004B577C" w:rsidP="008008A9">
            <w:pPr>
              <w:keepNext/>
              <w:jc w:val="left"/>
              <w:rPr>
                <w:rFonts w:eastAsia="MS Mincho" w:cs="Arial"/>
                <w:bCs/>
                <w:sz w:val="16"/>
                <w:szCs w:val="16"/>
              </w:rPr>
            </w:pPr>
            <w:r>
              <w:rPr>
                <w:sz w:val="16"/>
              </w:rPr>
              <w:t>**</w:t>
            </w:r>
          </w:p>
        </w:tc>
        <w:tc>
          <w:tcPr>
            <w:tcW w:w="590" w:type="dxa"/>
            <w:tcBorders>
              <w:top w:val="single" w:sz="4" w:space="0" w:color="auto"/>
              <w:bottom w:val="single" w:sz="4" w:space="0" w:color="auto"/>
            </w:tcBorders>
            <w:shd w:val="clear" w:color="auto" w:fill="D9D9D9"/>
            <w:vAlign w:val="center"/>
          </w:tcPr>
          <w:p w14:paraId="03456967" w14:textId="77777777" w:rsidR="004B577C" w:rsidRPr="00824357" w:rsidRDefault="004B577C" w:rsidP="008008A9">
            <w:pPr>
              <w:keepNext/>
              <w:jc w:val="left"/>
              <w:rPr>
                <w:rFonts w:eastAsia="MS Mincho" w:cs="Arial"/>
                <w:bCs/>
                <w:sz w:val="16"/>
                <w:szCs w:val="16"/>
              </w:rPr>
            </w:pPr>
            <w:r>
              <w:rPr>
                <w:sz w:val="16"/>
              </w:rPr>
              <w:t>TWP</w:t>
            </w:r>
          </w:p>
        </w:tc>
        <w:tc>
          <w:tcPr>
            <w:tcW w:w="1866" w:type="dxa"/>
            <w:tcBorders>
              <w:top w:val="single" w:sz="4" w:space="0" w:color="auto"/>
              <w:bottom w:val="single" w:sz="4" w:space="0" w:color="auto"/>
            </w:tcBorders>
            <w:shd w:val="clear" w:color="auto" w:fill="D9D9D9"/>
            <w:vAlign w:val="center"/>
          </w:tcPr>
          <w:p w14:paraId="18E94B45" w14:textId="77777777" w:rsidR="004B577C" w:rsidRPr="00824357" w:rsidRDefault="004B577C" w:rsidP="008008A9">
            <w:pPr>
              <w:keepNext/>
              <w:ind w:left="-36"/>
              <w:jc w:val="left"/>
              <w:rPr>
                <w:rFonts w:eastAsia="MS Mincho" w:cs="Arial"/>
                <w:bCs/>
                <w:sz w:val="16"/>
                <w:szCs w:val="16"/>
              </w:rPr>
            </w:pPr>
            <w:r w:rsidRPr="00257D16">
              <w:rPr>
                <w:sz w:val="16"/>
                <w:lang w:val="fr-CH"/>
              </w:rPr>
              <w:t xml:space="preserve">Document No. </w:t>
            </w:r>
            <w:r w:rsidRPr="00257D16">
              <w:rPr>
                <w:rFonts w:eastAsia="MS Mincho" w:cs="Arial"/>
                <w:bCs/>
                <w:sz w:val="16"/>
                <w:szCs w:val="16"/>
                <w:lang w:val="fr-CH"/>
              </w:rPr>
              <w:br/>
            </w:r>
            <w:r w:rsidRPr="00257D16">
              <w:rPr>
                <w:sz w:val="16"/>
                <w:lang w:val="fr-CH"/>
              </w:rPr>
              <w:t xml:space="preserve">No. du document </w:t>
            </w:r>
            <w:r w:rsidRPr="00257D16">
              <w:rPr>
                <w:rFonts w:eastAsia="MS Mincho" w:cs="Arial"/>
                <w:bCs/>
                <w:sz w:val="16"/>
                <w:szCs w:val="16"/>
                <w:lang w:val="fr-CH"/>
              </w:rPr>
              <w:br/>
            </w:r>
            <w:r w:rsidRPr="00257D16">
              <w:rPr>
                <w:sz w:val="16"/>
                <w:lang w:val="fr-CH"/>
              </w:rPr>
              <w:t xml:space="preserve">Dokument-Nr. </w:t>
            </w:r>
            <w:r w:rsidRPr="00257D16">
              <w:rPr>
                <w:rFonts w:eastAsia="MS Mincho" w:cs="Arial"/>
                <w:bCs/>
                <w:sz w:val="16"/>
                <w:szCs w:val="16"/>
                <w:lang w:val="fr-CH"/>
              </w:rPr>
              <w:br/>
            </w:r>
            <w:r>
              <w:rPr>
                <w:sz w:val="16"/>
              </w:rPr>
              <w:t>No del documento</w:t>
            </w:r>
          </w:p>
        </w:tc>
        <w:tc>
          <w:tcPr>
            <w:tcW w:w="1382" w:type="dxa"/>
            <w:tcBorders>
              <w:top w:val="single" w:sz="4" w:space="0" w:color="auto"/>
              <w:bottom w:val="single" w:sz="4" w:space="0" w:color="auto"/>
            </w:tcBorders>
            <w:shd w:val="clear" w:color="auto" w:fill="D9D9D9"/>
            <w:vAlign w:val="center"/>
          </w:tcPr>
          <w:p w14:paraId="48F9480C" w14:textId="77777777" w:rsidR="004B577C" w:rsidRPr="00824357" w:rsidRDefault="004B577C" w:rsidP="008008A9">
            <w:pPr>
              <w:keepNext/>
              <w:jc w:val="left"/>
              <w:rPr>
                <w:rFonts w:eastAsia="MS Mincho" w:cs="Arial"/>
                <w:bCs/>
                <w:sz w:val="16"/>
                <w:szCs w:val="16"/>
              </w:rPr>
            </w:pPr>
            <w:r>
              <w:rPr>
                <w:sz w:val="16"/>
              </w:rPr>
              <w:t>English</w:t>
            </w:r>
          </w:p>
        </w:tc>
        <w:tc>
          <w:tcPr>
            <w:tcW w:w="1382" w:type="dxa"/>
            <w:tcBorders>
              <w:top w:val="single" w:sz="4" w:space="0" w:color="auto"/>
              <w:bottom w:val="single" w:sz="4" w:space="0" w:color="auto"/>
            </w:tcBorders>
            <w:shd w:val="clear" w:color="auto" w:fill="D9D9D9"/>
            <w:vAlign w:val="center"/>
          </w:tcPr>
          <w:p w14:paraId="1E4DC4C3" w14:textId="77777777" w:rsidR="004B577C" w:rsidRPr="00824357" w:rsidRDefault="004B577C" w:rsidP="008008A9">
            <w:pPr>
              <w:keepNext/>
              <w:jc w:val="left"/>
              <w:rPr>
                <w:rFonts w:eastAsia="MS Mincho" w:cs="Arial"/>
                <w:sz w:val="16"/>
                <w:szCs w:val="16"/>
              </w:rPr>
            </w:pPr>
            <w:r>
              <w:rPr>
                <w:sz w:val="16"/>
              </w:rPr>
              <w:t>Français</w:t>
            </w:r>
          </w:p>
        </w:tc>
        <w:tc>
          <w:tcPr>
            <w:tcW w:w="1382" w:type="dxa"/>
            <w:tcBorders>
              <w:top w:val="single" w:sz="4" w:space="0" w:color="auto"/>
              <w:bottom w:val="single" w:sz="4" w:space="0" w:color="auto"/>
            </w:tcBorders>
            <w:shd w:val="clear" w:color="auto" w:fill="D9D9D9"/>
            <w:vAlign w:val="center"/>
          </w:tcPr>
          <w:p w14:paraId="28821C7F" w14:textId="77777777" w:rsidR="004B577C" w:rsidRPr="00824357" w:rsidRDefault="004B577C" w:rsidP="008008A9">
            <w:pPr>
              <w:keepNext/>
              <w:jc w:val="left"/>
              <w:rPr>
                <w:rFonts w:eastAsia="MS Mincho" w:cs="Arial"/>
                <w:sz w:val="16"/>
                <w:szCs w:val="16"/>
              </w:rPr>
            </w:pPr>
            <w:r>
              <w:rPr>
                <w:sz w:val="16"/>
              </w:rPr>
              <w:t>Deutsch</w:t>
            </w:r>
          </w:p>
        </w:tc>
        <w:tc>
          <w:tcPr>
            <w:tcW w:w="1382" w:type="dxa"/>
            <w:tcBorders>
              <w:top w:val="single" w:sz="4" w:space="0" w:color="auto"/>
              <w:bottom w:val="single" w:sz="4" w:space="0" w:color="auto"/>
            </w:tcBorders>
            <w:shd w:val="clear" w:color="auto" w:fill="D9D9D9"/>
            <w:vAlign w:val="center"/>
          </w:tcPr>
          <w:p w14:paraId="228BFBB2" w14:textId="77777777" w:rsidR="004B577C" w:rsidRPr="00824357" w:rsidRDefault="004B577C" w:rsidP="008008A9">
            <w:pPr>
              <w:keepNext/>
              <w:jc w:val="left"/>
              <w:rPr>
                <w:rFonts w:eastAsia="MS Mincho" w:cs="Arial"/>
                <w:sz w:val="16"/>
                <w:szCs w:val="16"/>
              </w:rPr>
            </w:pPr>
            <w:r>
              <w:rPr>
                <w:sz w:val="16"/>
              </w:rPr>
              <w:t>Español</w:t>
            </w:r>
          </w:p>
        </w:tc>
        <w:tc>
          <w:tcPr>
            <w:tcW w:w="1701" w:type="dxa"/>
            <w:tcBorders>
              <w:top w:val="single" w:sz="4" w:space="0" w:color="auto"/>
              <w:bottom w:val="single" w:sz="4" w:space="0" w:color="auto"/>
            </w:tcBorders>
            <w:shd w:val="clear" w:color="auto" w:fill="D9D9D9"/>
            <w:vAlign w:val="center"/>
          </w:tcPr>
          <w:p w14:paraId="6F43A10C" w14:textId="77777777" w:rsidR="004B577C" w:rsidRPr="00824357" w:rsidRDefault="004B577C" w:rsidP="008008A9">
            <w:pPr>
              <w:keepNext/>
              <w:jc w:val="left"/>
              <w:rPr>
                <w:rFonts w:eastAsia="MS Mincho" w:cs="Arial"/>
                <w:sz w:val="16"/>
                <w:szCs w:val="16"/>
              </w:rPr>
            </w:pPr>
            <w:r>
              <w:rPr>
                <w:sz w:val="16"/>
              </w:rPr>
              <w:t>Botanical name</w:t>
            </w:r>
            <w:r>
              <w:rPr>
                <w:rFonts w:eastAsia="MS Mincho" w:cs="Arial"/>
                <w:sz w:val="16"/>
                <w:szCs w:val="16"/>
              </w:rPr>
              <w:br/>
            </w:r>
            <w:r>
              <w:rPr>
                <w:sz w:val="16"/>
              </w:rPr>
              <w:t>Nom botanique</w:t>
            </w:r>
            <w:r>
              <w:rPr>
                <w:rFonts w:eastAsia="MS Mincho" w:cs="Arial"/>
                <w:sz w:val="16"/>
                <w:szCs w:val="16"/>
              </w:rPr>
              <w:br/>
            </w:r>
            <w:r>
              <w:rPr>
                <w:sz w:val="16"/>
              </w:rPr>
              <w:t>Botanischer Name</w:t>
            </w:r>
            <w:r>
              <w:rPr>
                <w:rFonts w:eastAsia="MS Mincho" w:cs="Arial"/>
                <w:sz w:val="16"/>
                <w:szCs w:val="16"/>
              </w:rPr>
              <w:br/>
            </w:r>
            <w:r>
              <w:rPr>
                <w:sz w:val="16"/>
              </w:rPr>
              <w:t>Nombre botánico</w:t>
            </w:r>
          </w:p>
        </w:tc>
      </w:tr>
      <w:tr w:rsidR="004B577C" w:rsidRPr="00257D16" w14:paraId="0940E7A4" w14:textId="77777777" w:rsidTr="00D57C40">
        <w:tc>
          <w:tcPr>
            <w:tcW w:w="10275" w:type="dxa"/>
            <w:gridSpan w:val="8"/>
            <w:tcBorders>
              <w:top w:val="single" w:sz="4" w:space="0" w:color="auto"/>
              <w:left w:val="single" w:sz="4" w:space="0" w:color="auto"/>
              <w:bottom w:val="single" w:sz="4" w:space="0" w:color="auto"/>
              <w:right w:val="single" w:sz="4" w:space="0" w:color="auto"/>
            </w:tcBorders>
          </w:tcPr>
          <w:p w14:paraId="06266016" w14:textId="77777777" w:rsidR="004B577C" w:rsidRPr="00CC1E1E" w:rsidRDefault="004B577C" w:rsidP="008008A9">
            <w:pPr>
              <w:spacing w:before="60" w:after="120"/>
              <w:ind w:left="-36"/>
              <w:jc w:val="left"/>
              <w:rPr>
                <w:rFonts w:cs="Arial"/>
                <w:sz w:val="16"/>
                <w:szCs w:val="16"/>
                <w:u w:val="single"/>
                <w:lang w:val="fr-CH"/>
              </w:rPr>
            </w:pPr>
            <w:r w:rsidRPr="00CC1E1E">
              <w:rPr>
                <w:sz w:val="16"/>
                <w:u w:val="single"/>
                <w:lang w:val="fr-CH"/>
              </w:rPr>
              <w:t xml:space="preserve">REVISIONS OF ADOPTED TEST GUIDELINES / RÉVISIONS DE PRINCIPES DIRECTEURS D’EXAMEN ADOPTÉS / </w:t>
            </w:r>
            <w:r w:rsidRPr="00CC1E1E">
              <w:rPr>
                <w:rFonts w:cs="Arial"/>
                <w:bCs/>
                <w:sz w:val="16"/>
                <w:szCs w:val="16"/>
                <w:u w:val="single"/>
                <w:lang w:val="fr-CH"/>
              </w:rPr>
              <w:br/>
            </w:r>
            <w:r w:rsidRPr="00CC1E1E">
              <w:rPr>
                <w:sz w:val="16"/>
                <w:u w:val="single"/>
                <w:lang w:val="fr-CH"/>
              </w:rPr>
              <w:t>REVISIONEN ANGENOMMENER PRÜFUNGSRICHTLINIEN / REVISIONES DE DIRECTRICES DE EXAMEN ADOPTADAS</w:t>
            </w:r>
          </w:p>
        </w:tc>
      </w:tr>
      <w:tr w:rsidR="004B577C" w:rsidRPr="00824357" w14:paraId="6838C216"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A03222C" w14:textId="77777777" w:rsidR="004B577C" w:rsidRPr="00824357" w:rsidRDefault="004B577C" w:rsidP="008008A9">
            <w:pPr>
              <w:rPr>
                <w:rFonts w:cs="Arial"/>
                <w:sz w:val="16"/>
              </w:rPr>
            </w:pPr>
            <w:r>
              <w:rPr>
                <w:sz w:val="16"/>
              </w:rPr>
              <w:t>AU</w:t>
            </w:r>
          </w:p>
        </w:tc>
        <w:tc>
          <w:tcPr>
            <w:tcW w:w="590" w:type="dxa"/>
            <w:tcBorders>
              <w:top w:val="single" w:sz="4" w:space="0" w:color="auto"/>
              <w:left w:val="nil"/>
              <w:bottom w:val="single" w:sz="4" w:space="0" w:color="auto"/>
              <w:right w:val="single" w:sz="4" w:space="0" w:color="auto"/>
            </w:tcBorders>
            <w:shd w:val="clear" w:color="auto" w:fill="auto"/>
          </w:tcPr>
          <w:p w14:paraId="0542B02E" w14:textId="77777777" w:rsidR="004B577C" w:rsidRPr="00824357" w:rsidRDefault="004B577C" w:rsidP="008008A9">
            <w:pPr>
              <w:rPr>
                <w:rFonts w:cs="Arial"/>
                <w:sz w:val="16"/>
              </w:rPr>
            </w:pPr>
            <w:r>
              <w:rPr>
                <w:sz w:val="16"/>
              </w:rPr>
              <w:t>TWF</w:t>
            </w:r>
          </w:p>
        </w:tc>
        <w:tc>
          <w:tcPr>
            <w:tcW w:w="1866" w:type="dxa"/>
            <w:tcBorders>
              <w:top w:val="single" w:sz="4" w:space="0" w:color="auto"/>
              <w:left w:val="nil"/>
              <w:bottom w:val="single" w:sz="4" w:space="0" w:color="auto"/>
              <w:right w:val="single" w:sz="4" w:space="0" w:color="auto"/>
            </w:tcBorders>
            <w:shd w:val="clear" w:color="auto" w:fill="auto"/>
          </w:tcPr>
          <w:p w14:paraId="6A6D7F0B" w14:textId="77777777" w:rsidR="004B577C" w:rsidRPr="00824357" w:rsidRDefault="004B577C" w:rsidP="008008A9">
            <w:pPr>
              <w:ind w:left="-36"/>
              <w:rPr>
                <w:rFonts w:cs="Arial"/>
                <w:sz w:val="16"/>
              </w:rPr>
            </w:pPr>
            <w:r>
              <w:rPr>
                <w:sz w:val="16"/>
              </w:rPr>
              <w:t>TG/137/5</w:t>
            </w:r>
          </w:p>
        </w:tc>
        <w:tc>
          <w:tcPr>
            <w:tcW w:w="1382" w:type="dxa"/>
            <w:tcBorders>
              <w:top w:val="single" w:sz="4" w:space="0" w:color="auto"/>
              <w:left w:val="nil"/>
              <w:bottom w:val="single" w:sz="4" w:space="0" w:color="auto"/>
              <w:right w:val="single" w:sz="4" w:space="0" w:color="auto"/>
            </w:tcBorders>
            <w:shd w:val="clear" w:color="auto" w:fill="auto"/>
          </w:tcPr>
          <w:p w14:paraId="05AFBAE4" w14:textId="77777777" w:rsidR="004B577C" w:rsidRPr="00824357" w:rsidRDefault="004B577C" w:rsidP="008008A9">
            <w:pPr>
              <w:jc w:val="left"/>
              <w:rPr>
                <w:rFonts w:cs="Arial"/>
                <w:sz w:val="16"/>
              </w:rPr>
            </w:pPr>
            <w:r>
              <w:rPr>
                <w:sz w:val="16"/>
              </w:rPr>
              <w:t>Blueberry</w:t>
            </w:r>
          </w:p>
        </w:tc>
        <w:tc>
          <w:tcPr>
            <w:tcW w:w="1382" w:type="dxa"/>
            <w:tcBorders>
              <w:top w:val="single" w:sz="4" w:space="0" w:color="auto"/>
              <w:left w:val="nil"/>
              <w:bottom w:val="single" w:sz="4" w:space="0" w:color="auto"/>
              <w:right w:val="single" w:sz="4" w:space="0" w:color="auto"/>
            </w:tcBorders>
            <w:shd w:val="clear" w:color="auto" w:fill="auto"/>
          </w:tcPr>
          <w:p w14:paraId="41A173E7" w14:textId="77777777" w:rsidR="004B577C" w:rsidRPr="00824357" w:rsidRDefault="004B577C" w:rsidP="008008A9">
            <w:pPr>
              <w:jc w:val="left"/>
              <w:rPr>
                <w:rFonts w:cs="Arial"/>
                <w:sz w:val="16"/>
              </w:rPr>
            </w:pPr>
            <w:r>
              <w:rPr>
                <w:sz w:val="16"/>
              </w:rPr>
              <w:t>Myrtille</w:t>
            </w:r>
          </w:p>
        </w:tc>
        <w:tc>
          <w:tcPr>
            <w:tcW w:w="1382" w:type="dxa"/>
            <w:tcBorders>
              <w:top w:val="single" w:sz="4" w:space="0" w:color="auto"/>
              <w:left w:val="nil"/>
              <w:bottom w:val="single" w:sz="4" w:space="0" w:color="auto"/>
              <w:right w:val="single" w:sz="4" w:space="0" w:color="auto"/>
            </w:tcBorders>
            <w:shd w:val="clear" w:color="auto" w:fill="auto"/>
          </w:tcPr>
          <w:p w14:paraId="69E82BCC" w14:textId="77777777" w:rsidR="004B577C" w:rsidRPr="00824357" w:rsidRDefault="004B577C" w:rsidP="008008A9">
            <w:pPr>
              <w:jc w:val="left"/>
              <w:rPr>
                <w:rFonts w:cs="Arial"/>
                <w:sz w:val="16"/>
              </w:rPr>
            </w:pPr>
            <w:r>
              <w:rPr>
                <w:sz w:val="16"/>
              </w:rPr>
              <w:t>Heidelbeere</w:t>
            </w:r>
          </w:p>
        </w:tc>
        <w:tc>
          <w:tcPr>
            <w:tcW w:w="1382" w:type="dxa"/>
            <w:tcBorders>
              <w:top w:val="single" w:sz="4" w:space="0" w:color="auto"/>
              <w:left w:val="nil"/>
              <w:bottom w:val="single" w:sz="4" w:space="0" w:color="auto"/>
              <w:right w:val="single" w:sz="4" w:space="0" w:color="auto"/>
            </w:tcBorders>
            <w:shd w:val="clear" w:color="auto" w:fill="auto"/>
          </w:tcPr>
          <w:p w14:paraId="0AE52ADF" w14:textId="77777777" w:rsidR="004B577C" w:rsidRPr="00824357" w:rsidRDefault="004B577C" w:rsidP="008008A9">
            <w:pPr>
              <w:jc w:val="left"/>
              <w:rPr>
                <w:rFonts w:cs="Arial"/>
                <w:sz w:val="16"/>
              </w:rPr>
            </w:pPr>
            <w:r>
              <w:rPr>
                <w:sz w:val="16"/>
              </w:rPr>
              <w:t>Arándano americano</w:t>
            </w:r>
          </w:p>
        </w:tc>
        <w:tc>
          <w:tcPr>
            <w:tcW w:w="1701" w:type="dxa"/>
            <w:tcBorders>
              <w:top w:val="single" w:sz="4" w:space="0" w:color="auto"/>
              <w:left w:val="nil"/>
              <w:bottom w:val="single" w:sz="4" w:space="0" w:color="auto"/>
              <w:right w:val="single" w:sz="4" w:space="0" w:color="auto"/>
            </w:tcBorders>
            <w:shd w:val="clear" w:color="auto" w:fill="auto"/>
          </w:tcPr>
          <w:p w14:paraId="14AA66DC" w14:textId="77777777" w:rsidR="004B577C" w:rsidRPr="00824357" w:rsidRDefault="004B577C" w:rsidP="008008A9">
            <w:pPr>
              <w:jc w:val="left"/>
              <w:rPr>
                <w:rFonts w:cs="Arial"/>
                <w:sz w:val="16"/>
              </w:rPr>
            </w:pPr>
            <w:r w:rsidRPr="004F7E74">
              <w:rPr>
                <w:i/>
                <w:iCs/>
                <w:color w:val="000000"/>
                <w:sz w:val="16"/>
              </w:rPr>
              <w:t>Vaccinium angustifolium × V. myrsinites × V. corymbosum; V. angustifolium</w:t>
            </w:r>
            <w:r>
              <w:rPr>
                <w:color w:val="000000"/>
                <w:sz w:val="16"/>
              </w:rPr>
              <w:t xml:space="preserve"> Aiton; </w:t>
            </w:r>
            <w:r>
              <w:rPr>
                <w:rFonts w:eastAsia="Arial" w:cs="Arial"/>
                <w:iCs/>
                <w:color w:val="000000"/>
                <w:sz w:val="16"/>
                <w:szCs w:val="16"/>
              </w:rPr>
              <w:br/>
            </w:r>
            <w:r>
              <w:rPr>
                <w:color w:val="000000"/>
                <w:sz w:val="16"/>
              </w:rPr>
              <w:t xml:space="preserve">Hybrids between </w:t>
            </w:r>
            <w:r w:rsidRPr="004F7E74">
              <w:rPr>
                <w:i/>
                <w:iCs/>
                <w:color w:val="000000"/>
                <w:sz w:val="16"/>
              </w:rPr>
              <w:t xml:space="preserve">V. corymbosum </w:t>
            </w:r>
            <w:r w:rsidRPr="004F7E74">
              <w:rPr>
                <w:color w:val="000000"/>
                <w:sz w:val="16"/>
              </w:rPr>
              <w:t>and</w:t>
            </w:r>
            <w:r w:rsidRPr="004F7E74">
              <w:rPr>
                <w:i/>
                <w:iCs/>
                <w:color w:val="000000"/>
                <w:sz w:val="16"/>
              </w:rPr>
              <w:t xml:space="preserve"> V. angustifolium;</w:t>
            </w:r>
            <w:r w:rsidRPr="004F7E74">
              <w:rPr>
                <w:rFonts w:eastAsia="Arial" w:cs="Arial"/>
                <w:i/>
                <w:iCs/>
                <w:color w:val="000000"/>
                <w:sz w:val="16"/>
                <w:szCs w:val="16"/>
              </w:rPr>
              <w:br/>
            </w:r>
            <w:r w:rsidRPr="004F7E74">
              <w:rPr>
                <w:i/>
                <w:iCs/>
                <w:color w:val="000000"/>
                <w:sz w:val="16"/>
              </w:rPr>
              <w:t>V. corymbosum × V. angustifolium × V. virgatum;</w:t>
            </w:r>
            <w:r w:rsidRPr="004F7E74">
              <w:rPr>
                <w:rFonts w:eastAsia="Arial" w:cs="Arial"/>
                <w:i/>
                <w:iCs/>
                <w:color w:val="000000"/>
                <w:sz w:val="16"/>
                <w:szCs w:val="16"/>
              </w:rPr>
              <w:br/>
            </w:r>
            <w:r w:rsidRPr="004F7E74">
              <w:rPr>
                <w:i/>
                <w:iCs/>
                <w:color w:val="000000"/>
                <w:sz w:val="16"/>
              </w:rPr>
              <w:t xml:space="preserve">V. corymbosum </w:t>
            </w:r>
            <w:r w:rsidRPr="004F7E74">
              <w:rPr>
                <w:color w:val="000000"/>
                <w:sz w:val="16"/>
              </w:rPr>
              <w:t>L.</w:t>
            </w:r>
            <w:r w:rsidRPr="004F7E74">
              <w:rPr>
                <w:i/>
                <w:iCs/>
                <w:color w:val="000000"/>
                <w:sz w:val="16"/>
              </w:rPr>
              <w:t>;</w:t>
            </w:r>
            <w:r w:rsidRPr="004F7E74">
              <w:rPr>
                <w:rFonts w:eastAsia="Arial" w:cs="Arial"/>
                <w:i/>
                <w:iCs/>
                <w:color w:val="000000"/>
                <w:sz w:val="16"/>
                <w:szCs w:val="16"/>
              </w:rPr>
              <w:br/>
            </w:r>
            <w:r w:rsidRPr="004F7E74">
              <w:rPr>
                <w:i/>
                <w:iCs/>
                <w:color w:val="000000"/>
                <w:sz w:val="16"/>
              </w:rPr>
              <w:t>V. formosum</w:t>
            </w:r>
            <w:r>
              <w:rPr>
                <w:color w:val="000000"/>
                <w:sz w:val="16"/>
              </w:rPr>
              <w:t xml:space="preserve"> Andrews;</w:t>
            </w:r>
            <w:r>
              <w:rPr>
                <w:rFonts w:eastAsia="Arial" w:cs="Arial"/>
                <w:iCs/>
                <w:color w:val="000000"/>
                <w:sz w:val="16"/>
                <w:szCs w:val="16"/>
              </w:rPr>
              <w:br/>
            </w:r>
            <w:r w:rsidRPr="004F7E74">
              <w:rPr>
                <w:i/>
                <w:iCs/>
                <w:color w:val="000000"/>
                <w:sz w:val="16"/>
              </w:rPr>
              <w:t>V. myrtilloides</w:t>
            </w:r>
            <w:r>
              <w:rPr>
                <w:color w:val="000000"/>
                <w:sz w:val="16"/>
              </w:rPr>
              <w:t xml:space="preserve"> Michx.;</w:t>
            </w:r>
            <w:r>
              <w:rPr>
                <w:rFonts w:eastAsia="Arial" w:cs="Arial"/>
                <w:iCs/>
                <w:color w:val="000000"/>
                <w:sz w:val="16"/>
                <w:szCs w:val="16"/>
              </w:rPr>
              <w:br/>
            </w:r>
            <w:r w:rsidRPr="004F7E74">
              <w:rPr>
                <w:i/>
                <w:iCs/>
                <w:color w:val="000000"/>
                <w:sz w:val="16"/>
              </w:rPr>
              <w:t>V. myrtillus</w:t>
            </w:r>
            <w:r>
              <w:rPr>
                <w:color w:val="000000"/>
                <w:sz w:val="16"/>
              </w:rPr>
              <w:t xml:space="preserve"> L.; </w:t>
            </w:r>
            <w:r>
              <w:rPr>
                <w:rFonts w:eastAsia="Arial" w:cs="Arial"/>
                <w:iCs/>
                <w:color w:val="000000"/>
                <w:sz w:val="16"/>
                <w:szCs w:val="16"/>
              </w:rPr>
              <w:br/>
            </w:r>
            <w:r w:rsidRPr="004F7E74">
              <w:rPr>
                <w:i/>
                <w:iCs/>
                <w:color w:val="000000"/>
                <w:sz w:val="16"/>
              </w:rPr>
              <w:t>V. simulatum</w:t>
            </w:r>
            <w:r>
              <w:rPr>
                <w:color w:val="000000"/>
                <w:sz w:val="16"/>
              </w:rPr>
              <w:t xml:space="preserve"> Small; </w:t>
            </w:r>
            <w:r>
              <w:rPr>
                <w:rFonts w:eastAsia="Arial" w:cs="Arial"/>
                <w:iCs/>
                <w:color w:val="000000"/>
                <w:sz w:val="16"/>
                <w:szCs w:val="16"/>
              </w:rPr>
              <w:br/>
            </w:r>
            <w:r w:rsidRPr="004F7E74">
              <w:rPr>
                <w:i/>
                <w:iCs/>
                <w:color w:val="000000"/>
                <w:sz w:val="16"/>
              </w:rPr>
              <w:t>V. virgatum</w:t>
            </w:r>
            <w:r>
              <w:rPr>
                <w:color w:val="000000"/>
                <w:sz w:val="16"/>
              </w:rPr>
              <w:t xml:space="preserve"> Aiton</w:t>
            </w:r>
          </w:p>
        </w:tc>
      </w:tr>
      <w:tr w:rsidR="004B577C" w:rsidRPr="00257D16" w14:paraId="54406747" w14:textId="77777777" w:rsidTr="00D57C40">
        <w:tc>
          <w:tcPr>
            <w:tcW w:w="10275" w:type="dxa"/>
            <w:gridSpan w:val="8"/>
            <w:tcBorders>
              <w:top w:val="single" w:sz="4" w:space="0" w:color="auto"/>
              <w:left w:val="single" w:sz="4" w:space="0" w:color="auto"/>
              <w:bottom w:val="single" w:sz="4" w:space="0" w:color="auto"/>
              <w:right w:val="single" w:sz="4" w:space="0" w:color="auto"/>
            </w:tcBorders>
          </w:tcPr>
          <w:p w14:paraId="647AC0B9" w14:textId="77777777" w:rsidR="004B577C" w:rsidRPr="00CC1E1E" w:rsidRDefault="004B577C" w:rsidP="003311C6">
            <w:pPr>
              <w:keepNext/>
              <w:spacing w:before="60" w:after="120"/>
              <w:ind w:left="-36"/>
              <w:jc w:val="left"/>
              <w:rPr>
                <w:rFonts w:cs="Arial"/>
                <w:sz w:val="16"/>
                <w:szCs w:val="16"/>
                <w:u w:val="single"/>
                <w:lang w:val="fr-CH"/>
              </w:rPr>
            </w:pPr>
            <w:r w:rsidRPr="00CC1E1E">
              <w:rPr>
                <w:sz w:val="16"/>
                <w:u w:val="single"/>
                <w:lang w:val="fr-CH"/>
              </w:rPr>
              <w:t>PARTIAL REVISIONS OF ADOPTED TEST GUIDELINES / RÉVISIONS PARTIELLES DE PRINCIPES DIRECTEURS D’EXAMEN ADOPTÉS / TEILREVISIONEN ANGENOMMENER PRÜFUNGSRICHTLINIEN / REVISIONES PARCIALES DE DIRECTRICES DE EXAMEN ADOPTADAS</w:t>
            </w:r>
          </w:p>
        </w:tc>
      </w:tr>
      <w:tr w:rsidR="004B577C" w:rsidRPr="007273D4" w14:paraId="2E976EEE"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5C6E21D" w14:textId="77777777" w:rsidR="004B577C" w:rsidRPr="00824357" w:rsidRDefault="004B577C" w:rsidP="003311C6">
            <w:pPr>
              <w:keepNext/>
              <w:jc w:val="left"/>
              <w:rPr>
                <w:rFonts w:cs="Arial"/>
                <w:sz w:val="16"/>
              </w:rPr>
            </w:pPr>
            <w:r>
              <w:rPr>
                <w:sz w:val="16"/>
              </w:rPr>
              <w:t>FR</w:t>
            </w:r>
          </w:p>
        </w:tc>
        <w:tc>
          <w:tcPr>
            <w:tcW w:w="590" w:type="dxa"/>
            <w:tcBorders>
              <w:top w:val="single" w:sz="4" w:space="0" w:color="auto"/>
              <w:left w:val="nil"/>
              <w:bottom w:val="single" w:sz="4" w:space="0" w:color="auto"/>
              <w:right w:val="single" w:sz="4" w:space="0" w:color="auto"/>
            </w:tcBorders>
            <w:shd w:val="clear" w:color="auto" w:fill="auto"/>
          </w:tcPr>
          <w:p w14:paraId="79DD4BC6" w14:textId="77777777" w:rsidR="004B577C" w:rsidRPr="00824357" w:rsidRDefault="004B577C" w:rsidP="003311C6">
            <w:pPr>
              <w:keepNext/>
              <w:jc w:val="left"/>
              <w:rPr>
                <w:rFonts w:cs="Arial"/>
                <w:sz w:val="16"/>
              </w:rPr>
            </w:pPr>
            <w:r>
              <w:rPr>
                <w:sz w:val="16"/>
              </w:rPr>
              <w:t>TWV</w:t>
            </w:r>
          </w:p>
        </w:tc>
        <w:tc>
          <w:tcPr>
            <w:tcW w:w="1866" w:type="dxa"/>
            <w:tcBorders>
              <w:top w:val="single" w:sz="4" w:space="0" w:color="auto"/>
              <w:left w:val="nil"/>
              <w:bottom w:val="single" w:sz="4" w:space="0" w:color="auto"/>
              <w:right w:val="single" w:sz="4" w:space="0" w:color="auto"/>
            </w:tcBorders>
            <w:shd w:val="clear" w:color="auto" w:fill="auto"/>
          </w:tcPr>
          <w:p w14:paraId="39B0D195" w14:textId="77777777" w:rsidR="004B577C" w:rsidRPr="00824357" w:rsidRDefault="004B577C" w:rsidP="008008A9">
            <w:pPr>
              <w:jc w:val="left"/>
              <w:rPr>
                <w:rFonts w:cs="Arial"/>
                <w:sz w:val="16"/>
              </w:rPr>
            </w:pPr>
            <w:r>
              <w:rPr>
                <w:sz w:val="16"/>
              </w:rPr>
              <w:t>TG/7/10 Rev. 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F651546" w14:textId="77777777" w:rsidR="004B577C" w:rsidRPr="00824357" w:rsidRDefault="004B577C" w:rsidP="008008A9">
            <w:pPr>
              <w:jc w:val="left"/>
              <w:rPr>
                <w:rFonts w:cs="Arial"/>
                <w:sz w:val="16"/>
                <w:szCs w:val="16"/>
              </w:rPr>
            </w:pPr>
            <w:r>
              <w:rPr>
                <w:sz w:val="16"/>
              </w:rPr>
              <w:t>Pea</w:t>
            </w:r>
          </w:p>
        </w:tc>
        <w:tc>
          <w:tcPr>
            <w:tcW w:w="1382" w:type="dxa"/>
            <w:tcBorders>
              <w:top w:val="single" w:sz="4" w:space="0" w:color="auto"/>
              <w:left w:val="nil"/>
              <w:bottom w:val="single" w:sz="4" w:space="0" w:color="auto"/>
              <w:right w:val="single" w:sz="4" w:space="0" w:color="auto"/>
            </w:tcBorders>
            <w:shd w:val="clear" w:color="auto" w:fill="auto"/>
          </w:tcPr>
          <w:p w14:paraId="73EDF797" w14:textId="77777777" w:rsidR="004B577C" w:rsidRPr="00824357" w:rsidRDefault="004B577C" w:rsidP="008008A9">
            <w:pPr>
              <w:jc w:val="left"/>
              <w:rPr>
                <w:rFonts w:cs="Arial"/>
                <w:sz w:val="16"/>
                <w:szCs w:val="16"/>
              </w:rPr>
            </w:pPr>
            <w:r>
              <w:rPr>
                <w:sz w:val="16"/>
              </w:rPr>
              <w:t>Pois</w:t>
            </w:r>
          </w:p>
        </w:tc>
        <w:tc>
          <w:tcPr>
            <w:tcW w:w="1382" w:type="dxa"/>
            <w:tcBorders>
              <w:top w:val="single" w:sz="4" w:space="0" w:color="auto"/>
              <w:left w:val="nil"/>
              <w:bottom w:val="single" w:sz="4" w:space="0" w:color="auto"/>
              <w:right w:val="single" w:sz="4" w:space="0" w:color="auto"/>
            </w:tcBorders>
            <w:shd w:val="clear" w:color="auto" w:fill="auto"/>
          </w:tcPr>
          <w:p w14:paraId="0B4061E8" w14:textId="77777777" w:rsidR="004B577C" w:rsidRPr="00824357" w:rsidRDefault="004B577C" w:rsidP="008008A9">
            <w:pPr>
              <w:jc w:val="left"/>
              <w:rPr>
                <w:rFonts w:cs="Arial"/>
                <w:sz w:val="16"/>
                <w:szCs w:val="16"/>
              </w:rPr>
            </w:pPr>
            <w:r>
              <w:rPr>
                <w:sz w:val="16"/>
              </w:rPr>
              <w:t>Erbse</w:t>
            </w:r>
          </w:p>
        </w:tc>
        <w:tc>
          <w:tcPr>
            <w:tcW w:w="1382" w:type="dxa"/>
            <w:tcBorders>
              <w:top w:val="single" w:sz="4" w:space="0" w:color="auto"/>
              <w:left w:val="nil"/>
              <w:bottom w:val="single" w:sz="4" w:space="0" w:color="auto"/>
              <w:right w:val="single" w:sz="4" w:space="0" w:color="auto"/>
            </w:tcBorders>
            <w:shd w:val="clear" w:color="auto" w:fill="auto"/>
          </w:tcPr>
          <w:p w14:paraId="3FF8B31C" w14:textId="77777777" w:rsidR="004B577C" w:rsidRPr="00824357" w:rsidRDefault="004B577C" w:rsidP="008008A9">
            <w:pPr>
              <w:jc w:val="left"/>
              <w:rPr>
                <w:rFonts w:cs="Arial"/>
                <w:sz w:val="16"/>
                <w:szCs w:val="16"/>
              </w:rPr>
            </w:pPr>
            <w:r>
              <w:rPr>
                <w:sz w:val="16"/>
              </w:rPr>
              <w:t>Guisante, Arveja</w:t>
            </w:r>
          </w:p>
        </w:tc>
        <w:tc>
          <w:tcPr>
            <w:tcW w:w="1701" w:type="dxa"/>
            <w:tcBorders>
              <w:top w:val="single" w:sz="4" w:space="0" w:color="auto"/>
              <w:left w:val="nil"/>
              <w:bottom w:val="single" w:sz="4" w:space="0" w:color="auto"/>
              <w:right w:val="single" w:sz="4" w:space="0" w:color="auto"/>
            </w:tcBorders>
            <w:shd w:val="clear" w:color="auto" w:fill="auto"/>
          </w:tcPr>
          <w:p w14:paraId="42FC0AFE" w14:textId="77777777" w:rsidR="004B577C" w:rsidRPr="007D0D8E" w:rsidRDefault="004B577C" w:rsidP="008008A9">
            <w:pPr>
              <w:jc w:val="left"/>
              <w:rPr>
                <w:rFonts w:cs="Arial"/>
                <w:sz w:val="16"/>
                <w:szCs w:val="16"/>
              </w:rPr>
            </w:pPr>
            <w:r w:rsidRPr="004F7E74">
              <w:rPr>
                <w:i/>
                <w:iCs/>
                <w:sz w:val="16"/>
              </w:rPr>
              <w:t>Pisum sativum</w:t>
            </w:r>
            <w:r>
              <w:rPr>
                <w:sz w:val="16"/>
              </w:rPr>
              <w:t xml:space="preserve"> L,</w:t>
            </w:r>
          </w:p>
          <w:p w14:paraId="5A3E9999" w14:textId="77777777" w:rsidR="004B577C" w:rsidRPr="007D0D8E" w:rsidRDefault="004B577C" w:rsidP="008008A9">
            <w:pPr>
              <w:jc w:val="left"/>
              <w:rPr>
                <w:rFonts w:cs="Arial"/>
                <w:sz w:val="16"/>
                <w:szCs w:val="16"/>
              </w:rPr>
            </w:pPr>
            <w:r w:rsidRPr="004F7E74">
              <w:rPr>
                <w:i/>
                <w:iCs/>
                <w:sz w:val="16"/>
              </w:rPr>
              <w:t>Pisum arvense</w:t>
            </w:r>
            <w:r>
              <w:rPr>
                <w:sz w:val="16"/>
              </w:rPr>
              <w:t xml:space="preserve"> L.</w:t>
            </w:r>
          </w:p>
        </w:tc>
      </w:tr>
      <w:tr w:rsidR="004B577C" w:rsidRPr="00824357" w14:paraId="14DFF27C"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2876CF8" w14:textId="77777777" w:rsidR="004B577C" w:rsidRPr="00824357" w:rsidRDefault="004B577C" w:rsidP="003311C6">
            <w:pPr>
              <w:keepNext/>
              <w:jc w:val="left"/>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206C04AB" w14:textId="77777777" w:rsidR="004B577C" w:rsidRPr="00824357" w:rsidRDefault="004B577C" w:rsidP="003311C6">
            <w:pPr>
              <w:keepNext/>
              <w:jc w:val="left"/>
            </w:pPr>
            <w:r>
              <w:rPr>
                <w:sz w:val="16"/>
              </w:rPr>
              <w:t>TWV</w:t>
            </w:r>
          </w:p>
        </w:tc>
        <w:tc>
          <w:tcPr>
            <w:tcW w:w="1866" w:type="dxa"/>
            <w:tcBorders>
              <w:top w:val="single" w:sz="4" w:space="0" w:color="auto"/>
              <w:left w:val="nil"/>
              <w:bottom w:val="single" w:sz="4" w:space="0" w:color="auto"/>
              <w:right w:val="single" w:sz="4" w:space="0" w:color="auto"/>
            </w:tcBorders>
            <w:shd w:val="clear" w:color="auto" w:fill="auto"/>
          </w:tcPr>
          <w:p w14:paraId="6AFBCBCB" w14:textId="77777777" w:rsidR="004B577C" w:rsidRPr="00824357" w:rsidRDefault="004B577C" w:rsidP="008008A9">
            <w:pPr>
              <w:jc w:val="left"/>
              <w:rPr>
                <w:rFonts w:cs="Arial"/>
                <w:sz w:val="16"/>
              </w:rPr>
            </w:pPr>
            <w:r>
              <w:rPr>
                <w:sz w:val="16"/>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8C61A03" w14:textId="77777777" w:rsidR="004B577C" w:rsidRPr="00824357" w:rsidRDefault="004B577C" w:rsidP="008008A9">
            <w:pPr>
              <w:jc w:val="left"/>
              <w:rPr>
                <w:rFonts w:cs="Arial"/>
                <w:sz w:val="16"/>
                <w:szCs w:val="16"/>
              </w:rPr>
            </w:pPr>
            <w:r>
              <w:rPr>
                <w:sz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42E0DB40" w14:textId="77777777" w:rsidR="004B577C" w:rsidRPr="00824357" w:rsidRDefault="004B577C" w:rsidP="008008A9">
            <w:pPr>
              <w:jc w:val="left"/>
              <w:rPr>
                <w:rFonts w:cs="Arial"/>
                <w:sz w:val="16"/>
                <w:szCs w:val="16"/>
              </w:rPr>
            </w:pPr>
            <w:r>
              <w:rPr>
                <w:sz w:val="16"/>
              </w:rPr>
              <w:t>Laitue</w:t>
            </w:r>
          </w:p>
        </w:tc>
        <w:tc>
          <w:tcPr>
            <w:tcW w:w="1382" w:type="dxa"/>
            <w:tcBorders>
              <w:top w:val="single" w:sz="4" w:space="0" w:color="auto"/>
              <w:left w:val="nil"/>
              <w:bottom w:val="single" w:sz="4" w:space="0" w:color="auto"/>
              <w:right w:val="single" w:sz="4" w:space="0" w:color="auto"/>
            </w:tcBorders>
            <w:shd w:val="clear" w:color="auto" w:fill="auto"/>
          </w:tcPr>
          <w:p w14:paraId="4748113F" w14:textId="77777777" w:rsidR="004B577C" w:rsidRPr="00824357" w:rsidRDefault="004B577C" w:rsidP="008008A9">
            <w:pPr>
              <w:jc w:val="left"/>
              <w:rPr>
                <w:rFonts w:cs="Arial"/>
                <w:sz w:val="16"/>
                <w:szCs w:val="16"/>
              </w:rPr>
            </w:pPr>
            <w:r>
              <w:rPr>
                <w:sz w:val="16"/>
              </w:rPr>
              <w:t>Salat</w:t>
            </w:r>
          </w:p>
        </w:tc>
        <w:tc>
          <w:tcPr>
            <w:tcW w:w="1382" w:type="dxa"/>
            <w:tcBorders>
              <w:top w:val="single" w:sz="4" w:space="0" w:color="auto"/>
              <w:left w:val="nil"/>
              <w:bottom w:val="single" w:sz="4" w:space="0" w:color="auto"/>
              <w:right w:val="single" w:sz="4" w:space="0" w:color="auto"/>
            </w:tcBorders>
            <w:shd w:val="clear" w:color="auto" w:fill="auto"/>
          </w:tcPr>
          <w:p w14:paraId="32CA866A" w14:textId="77777777" w:rsidR="004B577C" w:rsidRPr="00824357" w:rsidRDefault="004B577C" w:rsidP="008008A9">
            <w:pPr>
              <w:jc w:val="left"/>
              <w:rPr>
                <w:rFonts w:cs="Arial"/>
                <w:sz w:val="16"/>
                <w:szCs w:val="16"/>
              </w:rPr>
            </w:pPr>
            <w:r>
              <w:rPr>
                <w:sz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1E9352E6" w14:textId="77777777" w:rsidR="004B577C" w:rsidRPr="00824357" w:rsidRDefault="004B577C" w:rsidP="008008A9">
            <w:pPr>
              <w:jc w:val="left"/>
              <w:rPr>
                <w:rFonts w:cs="Arial"/>
                <w:sz w:val="16"/>
                <w:szCs w:val="16"/>
              </w:rPr>
            </w:pPr>
            <w:r w:rsidRPr="004F7E74">
              <w:rPr>
                <w:i/>
                <w:iCs/>
                <w:color w:val="333333"/>
                <w:sz w:val="16"/>
                <w:shd w:val="clear" w:color="auto" w:fill="FFFFFF"/>
              </w:rPr>
              <w:t>Lactuca sativ</w:t>
            </w:r>
            <w:r>
              <w:rPr>
                <w:color w:val="333333"/>
                <w:sz w:val="16"/>
                <w:shd w:val="clear" w:color="auto" w:fill="FFFFFF"/>
              </w:rPr>
              <w:t>a L.</w:t>
            </w:r>
          </w:p>
        </w:tc>
      </w:tr>
      <w:tr w:rsidR="004B577C" w:rsidRPr="00824357" w14:paraId="26315193"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E6649F9" w14:textId="77777777" w:rsidR="004B577C" w:rsidRPr="00824357" w:rsidRDefault="004B577C" w:rsidP="003311C6">
            <w:pPr>
              <w:keepNext/>
              <w:jc w:val="left"/>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14:paraId="6530C7DF" w14:textId="77777777" w:rsidR="004B577C" w:rsidRPr="00824357" w:rsidRDefault="004B577C" w:rsidP="003311C6">
            <w:pPr>
              <w:keepNext/>
              <w:jc w:val="left"/>
            </w:pPr>
            <w:r>
              <w:rPr>
                <w:sz w:val="16"/>
              </w:rPr>
              <w:t>TWV</w:t>
            </w:r>
          </w:p>
        </w:tc>
        <w:tc>
          <w:tcPr>
            <w:tcW w:w="1866" w:type="dxa"/>
            <w:tcBorders>
              <w:top w:val="single" w:sz="4" w:space="0" w:color="auto"/>
              <w:left w:val="nil"/>
              <w:bottom w:val="single" w:sz="4" w:space="0" w:color="auto"/>
              <w:right w:val="single" w:sz="4" w:space="0" w:color="auto"/>
            </w:tcBorders>
            <w:shd w:val="clear" w:color="auto" w:fill="auto"/>
          </w:tcPr>
          <w:p w14:paraId="1B709DF1" w14:textId="77777777" w:rsidR="004B577C" w:rsidRPr="00824357" w:rsidRDefault="004B577C" w:rsidP="008008A9">
            <w:pPr>
              <w:jc w:val="left"/>
              <w:rPr>
                <w:rFonts w:cs="Arial"/>
                <w:sz w:val="16"/>
              </w:rPr>
            </w:pPr>
            <w:r>
              <w:rPr>
                <w:sz w:val="16"/>
              </w:rPr>
              <w:t>TG/55/7 Rev. 6</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A67D78E" w14:textId="77777777" w:rsidR="004B577C" w:rsidRPr="00824357" w:rsidRDefault="004B577C" w:rsidP="008008A9">
            <w:pPr>
              <w:jc w:val="left"/>
              <w:rPr>
                <w:rFonts w:cs="Arial"/>
                <w:sz w:val="16"/>
                <w:szCs w:val="16"/>
              </w:rPr>
            </w:pPr>
            <w:r>
              <w:rPr>
                <w:sz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0CC5347C" w14:textId="77777777" w:rsidR="004B577C" w:rsidRPr="00824357" w:rsidRDefault="004B577C" w:rsidP="008008A9">
            <w:pPr>
              <w:jc w:val="left"/>
              <w:rPr>
                <w:rFonts w:cs="Arial"/>
                <w:sz w:val="16"/>
                <w:szCs w:val="16"/>
              </w:rPr>
            </w:pPr>
            <w:r>
              <w:rPr>
                <w:sz w:val="16"/>
              </w:rPr>
              <w:t>Épinard</w:t>
            </w:r>
          </w:p>
        </w:tc>
        <w:tc>
          <w:tcPr>
            <w:tcW w:w="1382" w:type="dxa"/>
            <w:tcBorders>
              <w:top w:val="single" w:sz="4" w:space="0" w:color="auto"/>
              <w:left w:val="nil"/>
              <w:bottom w:val="single" w:sz="4" w:space="0" w:color="auto"/>
              <w:right w:val="single" w:sz="4" w:space="0" w:color="auto"/>
            </w:tcBorders>
            <w:shd w:val="clear" w:color="auto" w:fill="auto"/>
          </w:tcPr>
          <w:p w14:paraId="047B40FB" w14:textId="77777777" w:rsidR="004B577C" w:rsidRPr="00824357" w:rsidRDefault="004B577C" w:rsidP="008008A9">
            <w:pPr>
              <w:jc w:val="left"/>
              <w:rPr>
                <w:rFonts w:cs="Arial"/>
                <w:sz w:val="16"/>
                <w:szCs w:val="16"/>
              </w:rPr>
            </w:pPr>
            <w:r>
              <w:rPr>
                <w:sz w:val="16"/>
              </w:rPr>
              <w:t>Spinat</w:t>
            </w:r>
          </w:p>
        </w:tc>
        <w:tc>
          <w:tcPr>
            <w:tcW w:w="1382" w:type="dxa"/>
            <w:tcBorders>
              <w:top w:val="single" w:sz="4" w:space="0" w:color="auto"/>
              <w:left w:val="nil"/>
              <w:bottom w:val="single" w:sz="4" w:space="0" w:color="auto"/>
              <w:right w:val="single" w:sz="4" w:space="0" w:color="auto"/>
            </w:tcBorders>
            <w:shd w:val="clear" w:color="auto" w:fill="auto"/>
          </w:tcPr>
          <w:p w14:paraId="07789F0D" w14:textId="77777777" w:rsidR="004B577C" w:rsidRPr="00824357" w:rsidRDefault="004B577C" w:rsidP="008008A9">
            <w:pPr>
              <w:jc w:val="left"/>
              <w:rPr>
                <w:rFonts w:cs="Arial"/>
                <w:sz w:val="16"/>
                <w:szCs w:val="16"/>
              </w:rPr>
            </w:pPr>
            <w:r>
              <w:rPr>
                <w:sz w:val="16"/>
              </w:rPr>
              <w:t>Espinaca</w:t>
            </w:r>
          </w:p>
        </w:tc>
        <w:tc>
          <w:tcPr>
            <w:tcW w:w="1701" w:type="dxa"/>
            <w:tcBorders>
              <w:top w:val="single" w:sz="4" w:space="0" w:color="auto"/>
              <w:left w:val="nil"/>
              <w:bottom w:val="single" w:sz="4" w:space="0" w:color="auto"/>
              <w:right w:val="single" w:sz="4" w:space="0" w:color="auto"/>
            </w:tcBorders>
            <w:shd w:val="clear" w:color="auto" w:fill="auto"/>
          </w:tcPr>
          <w:p w14:paraId="397A5C3D" w14:textId="77777777" w:rsidR="004B577C" w:rsidRPr="00824357" w:rsidRDefault="004B577C" w:rsidP="008008A9">
            <w:pPr>
              <w:jc w:val="left"/>
              <w:rPr>
                <w:rFonts w:cs="Arial"/>
                <w:sz w:val="16"/>
                <w:szCs w:val="16"/>
              </w:rPr>
            </w:pPr>
            <w:r w:rsidRPr="004F7E74">
              <w:rPr>
                <w:i/>
                <w:iCs/>
                <w:sz w:val="16"/>
              </w:rPr>
              <w:t>Spinacia oleracea</w:t>
            </w:r>
            <w:r>
              <w:rPr>
                <w:sz w:val="16"/>
              </w:rPr>
              <w:t xml:space="preserve"> L.</w:t>
            </w:r>
          </w:p>
        </w:tc>
      </w:tr>
      <w:tr w:rsidR="004B577C" w:rsidRPr="00824357" w14:paraId="26ADD9EA"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D133DD5" w14:textId="77777777" w:rsidR="004B577C" w:rsidRPr="00824357" w:rsidRDefault="004B577C" w:rsidP="008008A9">
            <w:pPr>
              <w:jc w:val="left"/>
              <w:rPr>
                <w:rFonts w:cs="Arial"/>
                <w:sz w:val="16"/>
              </w:rPr>
            </w:pPr>
            <w:r>
              <w:rPr>
                <w:sz w:val="16"/>
              </w:rPr>
              <w:t>ES</w:t>
            </w:r>
          </w:p>
        </w:tc>
        <w:tc>
          <w:tcPr>
            <w:tcW w:w="590" w:type="dxa"/>
            <w:tcBorders>
              <w:top w:val="single" w:sz="4" w:space="0" w:color="auto"/>
              <w:left w:val="nil"/>
              <w:bottom w:val="single" w:sz="4" w:space="0" w:color="auto"/>
              <w:right w:val="single" w:sz="4" w:space="0" w:color="auto"/>
            </w:tcBorders>
            <w:shd w:val="clear" w:color="auto" w:fill="auto"/>
          </w:tcPr>
          <w:p w14:paraId="7637EE84" w14:textId="77777777" w:rsidR="004B577C" w:rsidRPr="00824357" w:rsidRDefault="004B577C" w:rsidP="008008A9">
            <w:pPr>
              <w:jc w:val="left"/>
              <w:rPr>
                <w:rFonts w:cs="Arial"/>
                <w:sz w:val="16"/>
              </w:rPr>
            </w:pPr>
            <w:r>
              <w:rPr>
                <w:sz w:val="16"/>
              </w:rPr>
              <w:t>TWF</w:t>
            </w:r>
          </w:p>
        </w:tc>
        <w:tc>
          <w:tcPr>
            <w:tcW w:w="1866" w:type="dxa"/>
            <w:tcBorders>
              <w:top w:val="single" w:sz="4" w:space="0" w:color="auto"/>
              <w:left w:val="nil"/>
              <w:bottom w:val="single" w:sz="4" w:space="0" w:color="auto"/>
              <w:right w:val="single" w:sz="4" w:space="0" w:color="auto"/>
            </w:tcBorders>
            <w:shd w:val="clear" w:color="auto" w:fill="auto"/>
          </w:tcPr>
          <w:p w14:paraId="5AC62B7F" w14:textId="77777777" w:rsidR="004B577C" w:rsidRPr="00824357" w:rsidRDefault="004B577C" w:rsidP="008008A9">
            <w:pPr>
              <w:jc w:val="left"/>
              <w:rPr>
                <w:rFonts w:cs="Arial"/>
                <w:sz w:val="16"/>
              </w:rPr>
            </w:pPr>
            <w:r>
              <w:rPr>
                <w:sz w:val="16"/>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F7F968D" w14:textId="77777777" w:rsidR="004B577C" w:rsidRPr="00824357" w:rsidRDefault="004B577C" w:rsidP="008008A9">
            <w:pPr>
              <w:jc w:val="left"/>
              <w:rPr>
                <w:rFonts w:cs="Arial"/>
                <w:sz w:val="16"/>
                <w:szCs w:val="16"/>
              </w:rPr>
            </w:pPr>
            <w:r>
              <w:rPr>
                <w:sz w:val="16"/>
              </w:rPr>
              <w:t>Almond</w:t>
            </w:r>
          </w:p>
        </w:tc>
        <w:tc>
          <w:tcPr>
            <w:tcW w:w="1382" w:type="dxa"/>
            <w:tcBorders>
              <w:top w:val="single" w:sz="4" w:space="0" w:color="auto"/>
              <w:left w:val="nil"/>
              <w:bottom w:val="single" w:sz="4" w:space="0" w:color="auto"/>
              <w:right w:val="single" w:sz="4" w:space="0" w:color="auto"/>
            </w:tcBorders>
            <w:shd w:val="clear" w:color="auto" w:fill="auto"/>
          </w:tcPr>
          <w:p w14:paraId="5CBFA33F" w14:textId="77777777" w:rsidR="004B577C" w:rsidRPr="00824357" w:rsidRDefault="004B577C" w:rsidP="008008A9">
            <w:pPr>
              <w:jc w:val="left"/>
              <w:rPr>
                <w:rFonts w:cs="Arial"/>
                <w:sz w:val="16"/>
                <w:szCs w:val="16"/>
              </w:rPr>
            </w:pPr>
            <w:r>
              <w:rPr>
                <w:sz w:val="16"/>
              </w:rPr>
              <w:t>Amandier</w:t>
            </w:r>
          </w:p>
        </w:tc>
        <w:tc>
          <w:tcPr>
            <w:tcW w:w="1382" w:type="dxa"/>
            <w:tcBorders>
              <w:top w:val="single" w:sz="4" w:space="0" w:color="auto"/>
              <w:left w:val="nil"/>
              <w:bottom w:val="single" w:sz="4" w:space="0" w:color="auto"/>
              <w:right w:val="single" w:sz="4" w:space="0" w:color="auto"/>
            </w:tcBorders>
            <w:shd w:val="clear" w:color="auto" w:fill="auto"/>
          </w:tcPr>
          <w:p w14:paraId="3EE683D3" w14:textId="77777777" w:rsidR="004B577C" w:rsidRPr="00824357" w:rsidRDefault="004B577C" w:rsidP="008008A9">
            <w:pPr>
              <w:jc w:val="left"/>
              <w:rPr>
                <w:rFonts w:cs="Arial"/>
                <w:sz w:val="16"/>
                <w:szCs w:val="16"/>
              </w:rPr>
            </w:pPr>
            <w:r>
              <w:rPr>
                <w:sz w:val="16"/>
              </w:rPr>
              <w:t>Mandel</w:t>
            </w:r>
          </w:p>
        </w:tc>
        <w:tc>
          <w:tcPr>
            <w:tcW w:w="1382" w:type="dxa"/>
            <w:tcBorders>
              <w:top w:val="single" w:sz="4" w:space="0" w:color="auto"/>
              <w:left w:val="nil"/>
              <w:bottom w:val="single" w:sz="4" w:space="0" w:color="auto"/>
              <w:right w:val="single" w:sz="4" w:space="0" w:color="auto"/>
            </w:tcBorders>
            <w:shd w:val="clear" w:color="auto" w:fill="auto"/>
          </w:tcPr>
          <w:p w14:paraId="2C5C0A9F" w14:textId="77777777" w:rsidR="004B577C" w:rsidRPr="00824357" w:rsidRDefault="004B577C" w:rsidP="008008A9">
            <w:pPr>
              <w:jc w:val="left"/>
              <w:rPr>
                <w:rFonts w:cs="Arial"/>
                <w:sz w:val="16"/>
                <w:szCs w:val="16"/>
              </w:rPr>
            </w:pPr>
            <w:r>
              <w:rPr>
                <w:sz w:val="16"/>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14:paraId="62104EDA" w14:textId="77777777" w:rsidR="004B577C" w:rsidRPr="00824357" w:rsidRDefault="004B577C" w:rsidP="008008A9">
            <w:pPr>
              <w:jc w:val="left"/>
              <w:rPr>
                <w:rFonts w:cs="Arial"/>
                <w:sz w:val="16"/>
                <w:szCs w:val="16"/>
              </w:rPr>
            </w:pPr>
            <w:r w:rsidRPr="004F7E74">
              <w:rPr>
                <w:i/>
                <w:iCs/>
                <w:sz w:val="16"/>
              </w:rPr>
              <w:t>Prunus dulcis</w:t>
            </w:r>
            <w:r>
              <w:rPr>
                <w:sz w:val="16"/>
              </w:rPr>
              <w:t xml:space="preserve"> (Mill.) D.A.Webb, </w:t>
            </w:r>
            <w:r w:rsidRPr="004F7E74">
              <w:rPr>
                <w:i/>
                <w:iCs/>
                <w:sz w:val="16"/>
              </w:rPr>
              <w:t>Prunus amygdalus</w:t>
            </w:r>
            <w:r>
              <w:rPr>
                <w:sz w:val="16"/>
              </w:rPr>
              <w:t xml:space="preserve"> (L.)</w:t>
            </w:r>
          </w:p>
        </w:tc>
      </w:tr>
      <w:tr w:rsidR="004B577C" w:rsidRPr="00824357" w14:paraId="77B7F345"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68D9BE1" w14:textId="77777777" w:rsidR="004B577C" w:rsidRPr="00824357" w:rsidRDefault="004B577C" w:rsidP="008008A9">
            <w:pPr>
              <w:jc w:val="left"/>
              <w:rPr>
                <w:rFonts w:cs="Arial"/>
                <w:sz w:val="16"/>
              </w:rPr>
            </w:pPr>
            <w:r>
              <w:rPr>
                <w:sz w:val="16"/>
              </w:rPr>
              <w:t>NZ</w:t>
            </w:r>
          </w:p>
        </w:tc>
        <w:tc>
          <w:tcPr>
            <w:tcW w:w="590" w:type="dxa"/>
            <w:tcBorders>
              <w:top w:val="single" w:sz="4" w:space="0" w:color="auto"/>
              <w:left w:val="nil"/>
              <w:bottom w:val="single" w:sz="4" w:space="0" w:color="auto"/>
              <w:right w:val="single" w:sz="4" w:space="0" w:color="auto"/>
            </w:tcBorders>
            <w:shd w:val="clear" w:color="auto" w:fill="auto"/>
          </w:tcPr>
          <w:p w14:paraId="31A1F795" w14:textId="77777777" w:rsidR="004B577C" w:rsidRPr="00824357" w:rsidRDefault="004B577C" w:rsidP="008008A9">
            <w:pPr>
              <w:jc w:val="left"/>
              <w:rPr>
                <w:rFonts w:cs="Arial"/>
                <w:sz w:val="16"/>
              </w:rPr>
            </w:pPr>
            <w:r>
              <w:rPr>
                <w:sz w:val="16"/>
              </w:rPr>
              <w:t>TWF</w:t>
            </w:r>
          </w:p>
        </w:tc>
        <w:tc>
          <w:tcPr>
            <w:tcW w:w="1866" w:type="dxa"/>
            <w:tcBorders>
              <w:top w:val="single" w:sz="4" w:space="0" w:color="auto"/>
              <w:left w:val="nil"/>
              <w:bottom w:val="single" w:sz="4" w:space="0" w:color="auto"/>
              <w:right w:val="single" w:sz="4" w:space="0" w:color="auto"/>
            </w:tcBorders>
            <w:shd w:val="clear" w:color="auto" w:fill="auto"/>
          </w:tcPr>
          <w:p w14:paraId="2DA3D7E3" w14:textId="77777777" w:rsidR="004B577C" w:rsidRPr="00824357" w:rsidRDefault="004B577C" w:rsidP="008008A9">
            <w:pPr>
              <w:jc w:val="left"/>
              <w:rPr>
                <w:rFonts w:cs="Arial"/>
                <w:sz w:val="16"/>
              </w:rPr>
            </w:pPr>
            <w:r>
              <w:rPr>
                <w:sz w:val="16"/>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19DE142" w14:textId="77777777" w:rsidR="004B577C" w:rsidRPr="00824357" w:rsidRDefault="004B577C" w:rsidP="008008A9">
            <w:pPr>
              <w:jc w:val="left"/>
              <w:rPr>
                <w:rFonts w:cs="Arial"/>
                <w:sz w:val="16"/>
                <w:szCs w:val="16"/>
              </w:rPr>
            </w:pPr>
            <w:r>
              <w:rPr>
                <w:sz w:val="16"/>
              </w:rPr>
              <w:t>Actinidia, Kiwifruit</w:t>
            </w:r>
          </w:p>
        </w:tc>
        <w:tc>
          <w:tcPr>
            <w:tcW w:w="1382" w:type="dxa"/>
            <w:tcBorders>
              <w:top w:val="single" w:sz="4" w:space="0" w:color="auto"/>
              <w:left w:val="nil"/>
              <w:bottom w:val="single" w:sz="4" w:space="0" w:color="auto"/>
              <w:right w:val="single" w:sz="4" w:space="0" w:color="auto"/>
            </w:tcBorders>
            <w:shd w:val="clear" w:color="auto" w:fill="auto"/>
          </w:tcPr>
          <w:p w14:paraId="20D74086" w14:textId="77777777" w:rsidR="004B577C" w:rsidRPr="00824357" w:rsidRDefault="004B577C" w:rsidP="008008A9">
            <w:pPr>
              <w:jc w:val="left"/>
              <w:rPr>
                <w:rFonts w:cs="Arial"/>
                <w:sz w:val="16"/>
                <w:szCs w:val="16"/>
              </w:rPr>
            </w:pPr>
            <w:r>
              <w:rPr>
                <w:sz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14:paraId="7CD31A36" w14:textId="77777777" w:rsidR="004B577C" w:rsidRPr="00824357" w:rsidRDefault="004B577C" w:rsidP="008008A9">
            <w:pPr>
              <w:jc w:val="left"/>
              <w:rPr>
                <w:rFonts w:cs="Arial"/>
                <w:sz w:val="16"/>
                <w:szCs w:val="16"/>
              </w:rPr>
            </w:pPr>
            <w:r>
              <w:rPr>
                <w:sz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14:paraId="49A18489" w14:textId="77777777" w:rsidR="004B577C" w:rsidRPr="00824357" w:rsidRDefault="004B577C" w:rsidP="008008A9">
            <w:pPr>
              <w:jc w:val="left"/>
              <w:rPr>
                <w:rFonts w:cs="Arial"/>
                <w:sz w:val="16"/>
                <w:szCs w:val="16"/>
              </w:rPr>
            </w:pPr>
            <w:r>
              <w:rPr>
                <w:sz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14:paraId="54666831" w14:textId="77777777" w:rsidR="004B577C" w:rsidRPr="00824357" w:rsidRDefault="004B577C" w:rsidP="008008A9">
            <w:pPr>
              <w:jc w:val="left"/>
              <w:rPr>
                <w:rFonts w:cs="Arial"/>
                <w:sz w:val="16"/>
                <w:szCs w:val="16"/>
              </w:rPr>
            </w:pPr>
            <w:r w:rsidRPr="004F7E74">
              <w:rPr>
                <w:i/>
                <w:iCs/>
                <w:sz w:val="16"/>
              </w:rPr>
              <w:t>Actinidia</w:t>
            </w:r>
            <w:r>
              <w:rPr>
                <w:sz w:val="16"/>
              </w:rPr>
              <w:t xml:space="preserve"> Lindl.</w:t>
            </w:r>
          </w:p>
        </w:tc>
      </w:tr>
      <w:tr w:rsidR="004B577C" w:rsidRPr="00824357" w14:paraId="316E19BA" w14:textId="7777777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6FC853E" w14:textId="77777777" w:rsidR="004B577C" w:rsidRPr="00824357" w:rsidRDefault="004B577C" w:rsidP="008008A9">
            <w:pPr>
              <w:jc w:val="left"/>
              <w:rPr>
                <w:rFonts w:cs="Arial"/>
                <w:sz w:val="16"/>
              </w:rPr>
            </w:pPr>
            <w:r>
              <w:rPr>
                <w:sz w:val="16"/>
              </w:rPr>
              <w:t>BR</w:t>
            </w:r>
          </w:p>
        </w:tc>
        <w:tc>
          <w:tcPr>
            <w:tcW w:w="590" w:type="dxa"/>
            <w:tcBorders>
              <w:top w:val="single" w:sz="4" w:space="0" w:color="auto"/>
              <w:left w:val="nil"/>
              <w:bottom w:val="single" w:sz="4" w:space="0" w:color="auto"/>
              <w:right w:val="single" w:sz="4" w:space="0" w:color="auto"/>
            </w:tcBorders>
            <w:shd w:val="clear" w:color="auto" w:fill="auto"/>
          </w:tcPr>
          <w:p w14:paraId="00907A03" w14:textId="77777777" w:rsidR="004B577C" w:rsidRPr="00824357" w:rsidRDefault="004B577C" w:rsidP="008008A9">
            <w:pPr>
              <w:jc w:val="left"/>
              <w:rPr>
                <w:rFonts w:cs="Arial"/>
                <w:sz w:val="16"/>
              </w:rPr>
            </w:pPr>
            <w:r>
              <w:rPr>
                <w:sz w:val="16"/>
              </w:rPr>
              <w:t>TWF</w:t>
            </w:r>
          </w:p>
        </w:tc>
        <w:tc>
          <w:tcPr>
            <w:tcW w:w="1866" w:type="dxa"/>
            <w:tcBorders>
              <w:top w:val="single" w:sz="4" w:space="0" w:color="auto"/>
              <w:left w:val="nil"/>
              <w:bottom w:val="single" w:sz="4" w:space="0" w:color="auto"/>
              <w:right w:val="single" w:sz="4" w:space="0" w:color="auto"/>
            </w:tcBorders>
            <w:shd w:val="clear" w:color="auto" w:fill="auto"/>
          </w:tcPr>
          <w:p w14:paraId="41A57A70" w14:textId="77777777" w:rsidR="004B577C" w:rsidRPr="00824357" w:rsidRDefault="004B577C" w:rsidP="008008A9">
            <w:pPr>
              <w:jc w:val="left"/>
              <w:rPr>
                <w:rFonts w:cs="Arial"/>
                <w:sz w:val="16"/>
              </w:rPr>
            </w:pPr>
            <w:r>
              <w:rPr>
                <w:sz w:val="16"/>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457011F" w14:textId="77777777" w:rsidR="004B577C" w:rsidRPr="00824357" w:rsidRDefault="004B577C" w:rsidP="008008A9">
            <w:pPr>
              <w:jc w:val="left"/>
              <w:rPr>
                <w:rFonts w:cs="Arial"/>
                <w:sz w:val="16"/>
                <w:szCs w:val="16"/>
              </w:rPr>
            </w:pPr>
            <w:r>
              <w:rPr>
                <w:sz w:val="16"/>
              </w:rPr>
              <w:t>Coconut</w:t>
            </w:r>
          </w:p>
        </w:tc>
        <w:tc>
          <w:tcPr>
            <w:tcW w:w="1382" w:type="dxa"/>
            <w:tcBorders>
              <w:top w:val="single" w:sz="4" w:space="0" w:color="auto"/>
              <w:left w:val="nil"/>
              <w:bottom w:val="single" w:sz="4" w:space="0" w:color="auto"/>
              <w:right w:val="single" w:sz="4" w:space="0" w:color="auto"/>
            </w:tcBorders>
            <w:shd w:val="clear" w:color="auto" w:fill="auto"/>
          </w:tcPr>
          <w:p w14:paraId="18D2A674" w14:textId="77777777" w:rsidR="004B577C" w:rsidRPr="00824357" w:rsidRDefault="004B577C" w:rsidP="008008A9">
            <w:pPr>
              <w:jc w:val="left"/>
              <w:rPr>
                <w:rFonts w:cs="Arial"/>
                <w:sz w:val="16"/>
                <w:szCs w:val="16"/>
              </w:rPr>
            </w:pPr>
            <w:r>
              <w:rPr>
                <w:sz w:val="16"/>
              </w:rPr>
              <w:t>Cocotier</w:t>
            </w:r>
          </w:p>
        </w:tc>
        <w:tc>
          <w:tcPr>
            <w:tcW w:w="1382" w:type="dxa"/>
            <w:tcBorders>
              <w:top w:val="single" w:sz="4" w:space="0" w:color="auto"/>
              <w:left w:val="nil"/>
              <w:bottom w:val="single" w:sz="4" w:space="0" w:color="auto"/>
              <w:right w:val="single" w:sz="4" w:space="0" w:color="auto"/>
            </w:tcBorders>
            <w:shd w:val="clear" w:color="auto" w:fill="auto"/>
          </w:tcPr>
          <w:p w14:paraId="64487FB6" w14:textId="77777777" w:rsidR="004B577C" w:rsidRPr="00824357" w:rsidRDefault="004B577C" w:rsidP="008008A9">
            <w:pPr>
              <w:jc w:val="left"/>
              <w:rPr>
                <w:rFonts w:cs="Arial"/>
                <w:sz w:val="16"/>
                <w:szCs w:val="16"/>
              </w:rPr>
            </w:pPr>
            <w:r>
              <w:rPr>
                <w:sz w:val="16"/>
              </w:rPr>
              <w:t>Kokosnuß</w:t>
            </w:r>
          </w:p>
        </w:tc>
        <w:tc>
          <w:tcPr>
            <w:tcW w:w="1382" w:type="dxa"/>
            <w:tcBorders>
              <w:top w:val="single" w:sz="4" w:space="0" w:color="auto"/>
              <w:left w:val="nil"/>
              <w:bottom w:val="single" w:sz="4" w:space="0" w:color="auto"/>
              <w:right w:val="single" w:sz="4" w:space="0" w:color="auto"/>
            </w:tcBorders>
            <w:shd w:val="clear" w:color="auto" w:fill="auto"/>
          </w:tcPr>
          <w:p w14:paraId="4C586593" w14:textId="77777777" w:rsidR="004B577C" w:rsidRPr="00824357" w:rsidRDefault="004B577C" w:rsidP="008008A9">
            <w:pPr>
              <w:jc w:val="left"/>
              <w:rPr>
                <w:rFonts w:cs="Arial"/>
                <w:sz w:val="16"/>
                <w:szCs w:val="16"/>
              </w:rPr>
            </w:pPr>
            <w:r>
              <w:rPr>
                <w:sz w:val="16"/>
              </w:rPr>
              <w:t>Cocotero</w:t>
            </w:r>
          </w:p>
        </w:tc>
        <w:tc>
          <w:tcPr>
            <w:tcW w:w="1701" w:type="dxa"/>
            <w:tcBorders>
              <w:top w:val="single" w:sz="4" w:space="0" w:color="auto"/>
              <w:left w:val="nil"/>
              <w:bottom w:val="single" w:sz="4" w:space="0" w:color="auto"/>
              <w:right w:val="single" w:sz="4" w:space="0" w:color="auto"/>
            </w:tcBorders>
            <w:shd w:val="clear" w:color="auto" w:fill="auto"/>
          </w:tcPr>
          <w:p w14:paraId="763D86ED" w14:textId="77777777" w:rsidR="004B577C" w:rsidRPr="00824357" w:rsidRDefault="004B577C" w:rsidP="008008A9">
            <w:pPr>
              <w:jc w:val="left"/>
              <w:rPr>
                <w:rFonts w:cs="Arial"/>
                <w:sz w:val="16"/>
                <w:szCs w:val="16"/>
              </w:rPr>
            </w:pPr>
            <w:r w:rsidRPr="004F7E74">
              <w:rPr>
                <w:i/>
                <w:iCs/>
                <w:sz w:val="16"/>
              </w:rPr>
              <w:t>Cocos nucifera</w:t>
            </w:r>
            <w:r>
              <w:rPr>
                <w:sz w:val="16"/>
              </w:rPr>
              <w:t xml:space="preserve"> L.</w:t>
            </w:r>
          </w:p>
        </w:tc>
      </w:tr>
    </w:tbl>
    <w:p w14:paraId="67DDB023" w14:textId="77777777" w:rsidR="00D70AB4" w:rsidRPr="00824357" w:rsidRDefault="00D70AB4" w:rsidP="00050E16"/>
    <w:p w14:paraId="3EBB1810" w14:textId="77777777" w:rsidR="00D57C40" w:rsidRPr="00824357" w:rsidRDefault="00D57C40" w:rsidP="00866771">
      <w:pPr>
        <w:pStyle w:val="Heading3"/>
        <w:rPr>
          <w:snapToGrid w:val="0"/>
        </w:rPr>
      </w:pPr>
      <w:r>
        <w:t>Directrices de examen sometidas a aprobación</w:t>
      </w:r>
    </w:p>
    <w:p w14:paraId="2A97067D" w14:textId="77777777" w:rsidR="00D57C40" w:rsidRPr="00824357" w:rsidRDefault="00D57C40" w:rsidP="00866771">
      <w:pPr>
        <w:keepNext/>
        <w:ind w:left="567" w:hanging="567"/>
        <w:rPr>
          <w:rFonts w:cs="Arial"/>
          <w:snapToGrid w:val="0"/>
        </w:rPr>
      </w:pPr>
    </w:p>
    <w:p w14:paraId="7EE0B9BB" w14:textId="447840BD" w:rsidR="00D70AB4" w:rsidRDefault="00D57C40" w:rsidP="00866771">
      <w:pPr>
        <w:keepNext/>
      </w:pPr>
      <w:r w:rsidRPr="00824357">
        <w:fldChar w:fldCharType="begin"/>
      </w:r>
      <w:r w:rsidRPr="00824357">
        <w:instrText xml:space="preserve"> AUTONUM  </w:instrText>
      </w:r>
      <w:r w:rsidRPr="00824357">
        <w:fldChar w:fldCharType="end"/>
      </w:r>
      <w:r>
        <w:tab/>
        <w:t>Conforme a los procedimientos establecidos en el documento TGP/7, el TC aprobó 3 nuevas directrices de examen, 5 directrices de examen revisadas y 7 directrices de examen parcialmente revisadas para la ejecución del examen de la distinción, la homogeneidad y la estabilidad, que se enumeran en el cuadro siguiente, sobre la base de las modificaciones especificadas en el Anexo II del presente documento y los cambios lingüísticos recomendados por el TC-EDC:</w:t>
      </w:r>
      <w:r w:rsidR="002A0DA3">
        <w:t xml:space="preserve"> </w:t>
      </w:r>
      <w:r>
        <w:t>el TC convino en que estas directrices de examen se han de publicar en el sitio web de la UPOV en cuando sea posible:</w:t>
      </w:r>
    </w:p>
    <w:p w14:paraId="545874D1" w14:textId="60864DD1" w:rsidR="005F1109" w:rsidRDefault="005F1109">
      <w:pPr>
        <w:jc w:val="left"/>
      </w:pPr>
      <w:r>
        <w:br w:type="page"/>
      </w:r>
    </w:p>
    <w:tbl>
      <w:tblPr>
        <w:tblW w:w="10080" w:type="dxa"/>
        <w:tblLayout w:type="fixed"/>
        <w:tblLook w:val="01E0" w:firstRow="1" w:lastRow="1" w:firstColumn="1" w:lastColumn="1" w:noHBand="0" w:noVBand="0"/>
      </w:tblPr>
      <w:tblGrid>
        <w:gridCol w:w="10080"/>
      </w:tblGrid>
      <w:tr w:rsidR="00DC7917" w:rsidRPr="00824357" w14:paraId="657DE689" w14:textId="77777777" w:rsidTr="008008A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DC7917" w:rsidRPr="00824357" w14:paraId="17592E4F" w14:textId="77777777" w:rsidTr="008008A9">
              <w:trPr>
                <w:tblHeader/>
              </w:trPr>
              <w:tc>
                <w:tcPr>
                  <w:tcW w:w="600" w:type="dxa"/>
                  <w:shd w:val="clear" w:color="auto" w:fill="CACACA"/>
                  <w:tcMar>
                    <w:top w:w="0" w:type="dxa"/>
                    <w:left w:w="0" w:type="dxa"/>
                    <w:bottom w:w="0" w:type="dxa"/>
                    <w:right w:w="0" w:type="dxa"/>
                  </w:tcMar>
                  <w:vAlign w:val="center"/>
                </w:tcPr>
                <w:p w14:paraId="1C459216" w14:textId="77777777" w:rsidR="00DC7917" w:rsidRPr="00824357" w:rsidRDefault="00DC7917" w:rsidP="00DC7917">
                  <w:pPr>
                    <w:keepNext/>
                  </w:pPr>
                  <w:r>
                    <w:rPr>
                      <w:color w:val="000000"/>
                      <w:sz w:val="16"/>
                      <w:shd w:val="clear" w:color="auto" w:fill="CACACA"/>
                    </w:rPr>
                    <w:lastRenderedPageBreak/>
                    <w:t>**</w:t>
                  </w:r>
                </w:p>
              </w:tc>
              <w:tc>
                <w:tcPr>
                  <w:tcW w:w="668" w:type="dxa"/>
                  <w:shd w:val="clear" w:color="auto" w:fill="CACACA"/>
                  <w:tcMar>
                    <w:top w:w="0" w:type="dxa"/>
                    <w:left w:w="0" w:type="dxa"/>
                    <w:bottom w:w="0" w:type="dxa"/>
                    <w:right w:w="0" w:type="dxa"/>
                  </w:tcMar>
                  <w:vAlign w:val="center"/>
                </w:tcPr>
                <w:p w14:paraId="340221F8" w14:textId="77777777" w:rsidR="00DC7917" w:rsidRPr="00824357" w:rsidRDefault="00DC7917" w:rsidP="00DC7917">
                  <w:pPr>
                    <w:keepNext/>
                  </w:pPr>
                  <w:r>
                    <w:rPr>
                      <w:color w:val="000000"/>
                      <w:sz w:val="16"/>
                      <w:shd w:val="clear" w:color="auto" w:fill="CACACA"/>
                    </w:rPr>
                    <w:t>TWP</w:t>
                  </w:r>
                </w:p>
              </w:tc>
              <w:tc>
                <w:tcPr>
                  <w:tcW w:w="1447" w:type="dxa"/>
                  <w:shd w:val="clear" w:color="auto" w:fill="CACACA"/>
                  <w:tcMar>
                    <w:top w:w="0" w:type="dxa"/>
                    <w:left w:w="0" w:type="dxa"/>
                    <w:bottom w:w="0" w:type="dxa"/>
                    <w:right w:w="0" w:type="dxa"/>
                  </w:tcMar>
                  <w:vAlign w:val="center"/>
                </w:tcPr>
                <w:p w14:paraId="50DE07FA" w14:textId="77777777" w:rsidR="00DC7917" w:rsidRPr="00824357" w:rsidRDefault="00DC7917" w:rsidP="00DC7917">
                  <w:pPr>
                    <w:keepNext/>
                    <w:jc w:val="left"/>
                  </w:pPr>
                  <w:r w:rsidRPr="00257D16">
                    <w:rPr>
                      <w:color w:val="000000"/>
                      <w:sz w:val="16"/>
                      <w:shd w:val="clear" w:color="auto" w:fill="CACACA"/>
                      <w:lang w:val="fr-CH"/>
                    </w:rPr>
                    <w:t xml:space="preserve">Document No. </w:t>
                  </w:r>
                  <w:r w:rsidRPr="00257D16">
                    <w:rPr>
                      <w:rFonts w:eastAsia="Arial" w:cs="Arial"/>
                      <w:color w:val="000000"/>
                      <w:sz w:val="16"/>
                      <w:szCs w:val="16"/>
                      <w:shd w:val="clear" w:color="auto" w:fill="CACACA"/>
                      <w:lang w:val="fr-CH"/>
                    </w:rPr>
                    <w:br/>
                  </w:r>
                  <w:r w:rsidRPr="00257D16">
                    <w:rPr>
                      <w:color w:val="000000"/>
                      <w:sz w:val="16"/>
                      <w:shd w:val="clear" w:color="auto" w:fill="CACACA"/>
                      <w:lang w:val="fr-CH"/>
                    </w:rPr>
                    <w:t xml:space="preserve">No. du document </w:t>
                  </w:r>
                  <w:r w:rsidRPr="00257D16">
                    <w:rPr>
                      <w:rFonts w:eastAsia="Arial" w:cs="Arial"/>
                      <w:color w:val="000000"/>
                      <w:sz w:val="16"/>
                      <w:szCs w:val="16"/>
                      <w:shd w:val="clear" w:color="auto" w:fill="CACACA"/>
                      <w:lang w:val="fr-CH"/>
                    </w:rPr>
                    <w:br/>
                  </w:r>
                  <w:r w:rsidRPr="00257D16">
                    <w:rPr>
                      <w:color w:val="000000"/>
                      <w:sz w:val="16"/>
                      <w:shd w:val="clear" w:color="auto" w:fill="CACACA"/>
                      <w:lang w:val="fr-CH"/>
                    </w:rPr>
                    <w:t xml:space="preserve">Dokument-Nr. </w:t>
                  </w:r>
                  <w:r w:rsidRPr="00257D16">
                    <w:rPr>
                      <w:rFonts w:eastAsia="Arial" w:cs="Arial"/>
                      <w:color w:val="000000"/>
                      <w:sz w:val="16"/>
                      <w:szCs w:val="16"/>
                      <w:shd w:val="clear" w:color="auto" w:fill="CACACA"/>
                      <w:lang w:val="fr-CH"/>
                    </w:rPr>
                    <w:br/>
                  </w:r>
                  <w:r>
                    <w:rPr>
                      <w:color w:val="000000"/>
                      <w:sz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14:paraId="70E4D656" w14:textId="77777777" w:rsidR="00DC7917" w:rsidRPr="00824357" w:rsidRDefault="00DC7917" w:rsidP="00DC7917">
                  <w:pPr>
                    <w:keepNext/>
                  </w:pPr>
                  <w:r>
                    <w:rPr>
                      <w:color w:val="000000"/>
                      <w:sz w:val="16"/>
                      <w:shd w:val="clear" w:color="auto" w:fill="CACACA"/>
                    </w:rPr>
                    <w:t>English</w:t>
                  </w:r>
                </w:p>
              </w:tc>
              <w:tc>
                <w:tcPr>
                  <w:tcW w:w="1365" w:type="dxa"/>
                  <w:shd w:val="clear" w:color="auto" w:fill="CACACA"/>
                  <w:tcMar>
                    <w:top w:w="0" w:type="dxa"/>
                    <w:left w:w="0" w:type="dxa"/>
                    <w:bottom w:w="0" w:type="dxa"/>
                    <w:right w:w="0" w:type="dxa"/>
                  </w:tcMar>
                  <w:vAlign w:val="center"/>
                </w:tcPr>
                <w:p w14:paraId="15FF9D40" w14:textId="77777777" w:rsidR="00DC7917" w:rsidRPr="00824357" w:rsidRDefault="00DC7917" w:rsidP="00DC7917">
                  <w:pPr>
                    <w:keepNext/>
                  </w:pPr>
                  <w:r>
                    <w:rPr>
                      <w:color w:val="000000"/>
                      <w:sz w:val="16"/>
                      <w:shd w:val="clear" w:color="auto" w:fill="CACACA"/>
                    </w:rPr>
                    <w:t>Français</w:t>
                  </w:r>
                </w:p>
              </w:tc>
              <w:tc>
                <w:tcPr>
                  <w:tcW w:w="1440" w:type="dxa"/>
                  <w:shd w:val="clear" w:color="auto" w:fill="CACACA"/>
                  <w:tcMar>
                    <w:top w:w="0" w:type="dxa"/>
                    <w:left w:w="0" w:type="dxa"/>
                    <w:bottom w:w="0" w:type="dxa"/>
                    <w:right w:w="0" w:type="dxa"/>
                  </w:tcMar>
                  <w:vAlign w:val="center"/>
                </w:tcPr>
                <w:p w14:paraId="0A406B68" w14:textId="77777777" w:rsidR="00DC7917" w:rsidRPr="00824357" w:rsidRDefault="00DC7917" w:rsidP="00DC7917">
                  <w:pPr>
                    <w:keepNext/>
                  </w:pPr>
                  <w:r>
                    <w:rPr>
                      <w:color w:val="000000"/>
                      <w:sz w:val="16"/>
                      <w:shd w:val="clear" w:color="auto" w:fill="CACACA"/>
                    </w:rPr>
                    <w:t>Deutsch</w:t>
                  </w:r>
                </w:p>
              </w:tc>
              <w:tc>
                <w:tcPr>
                  <w:tcW w:w="1350" w:type="dxa"/>
                  <w:shd w:val="clear" w:color="auto" w:fill="CACACA"/>
                  <w:tcMar>
                    <w:top w:w="20" w:type="dxa"/>
                    <w:left w:w="20" w:type="dxa"/>
                    <w:bottom w:w="20" w:type="dxa"/>
                    <w:right w:w="20" w:type="dxa"/>
                  </w:tcMar>
                  <w:vAlign w:val="center"/>
                </w:tcPr>
                <w:p w14:paraId="64652F60" w14:textId="77777777" w:rsidR="00DC7917" w:rsidRPr="00824357" w:rsidRDefault="00DC7917" w:rsidP="00DC7917">
                  <w:pPr>
                    <w:keepNext/>
                    <w:jc w:val="center"/>
                  </w:pPr>
                  <w:r>
                    <w:rPr>
                      <w:color w:val="000000"/>
                      <w:sz w:val="16"/>
                      <w:shd w:val="clear" w:color="auto" w:fill="CACACA"/>
                    </w:rPr>
                    <w:t>Español</w:t>
                  </w:r>
                </w:p>
              </w:tc>
              <w:tc>
                <w:tcPr>
                  <w:tcW w:w="1500" w:type="dxa"/>
                  <w:shd w:val="clear" w:color="auto" w:fill="CACACA"/>
                  <w:tcMar>
                    <w:top w:w="0" w:type="dxa"/>
                    <w:left w:w="0" w:type="dxa"/>
                    <w:bottom w:w="0" w:type="dxa"/>
                    <w:right w:w="0" w:type="dxa"/>
                  </w:tcMar>
                  <w:vAlign w:val="center"/>
                </w:tcPr>
                <w:p w14:paraId="18D7515D" w14:textId="77777777" w:rsidR="00DC7917" w:rsidRPr="00824357" w:rsidRDefault="00DC7917" w:rsidP="00DC7917">
                  <w:pPr>
                    <w:keepNext/>
                    <w:jc w:val="left"/>
                  </w:pPr>
                  <w:r>
                    <w:rPr>
                      <w:color w:val="000000"/>
                      <w:sz w:val="16"/>
                      <w:shd w:val="clear" w:color="auto" w:fill="CACACA"/>
                    </w:rPr>
                    <w:t>Botanical name</w:t>
                  </w:r>
                  <w:r>
                    <w:rPr>
                      <w:rFonts w:eastAsia="Arial" w:cs="Arial"/>
                      <w:color w:val="000000"/>
                      <w:sz w:val="16"/>
                      <w:szCs w:val="16"/>
                      <w:shd w:val="clear" w:color="auto" w:fill="CACACA"/>
                    </w:rPr>
                    <w:br/>
                  </w:r>
                  <w:r>
                    <w:rPr>
                      <w:color w:val="000000"/>
                      <w:sz w:val="16"/>
                      <w:shd w:val="clear" w:color="auto" w:fill="CACACA"/>
                    </w:rPr>
                    <w:t>Nom botanique</w:t>
                  </w:r>
                  <w:r>
                    <w:rPr>
                      <w:rFonts w:eastAsia="Arial" w:cs="Arial"/>
                      <w:color w:val="000000"/>
                      <w:sz w:val="16"/>
                      <w:szCs w:val="16"/>
                      <w:shd w:val="clear" w:color="auto" w:fill="CACACA"/>
                    </w:rPr>
                    <w:br/>
                  </w:r>
                  <w:r>
                    <w:rPr>
                      <w:color w:val="000000"/>
                      <w:sz w:val="16"/>
                      <w:shd w:val="clear" w:color="auto" w:fill="CACACA"/>
                    </w:rPr>
                    <w:t>Botanischer Name</w:t>
                  </w:r>
                  <w:r>
                    <w:rPr>
                      <w:rFonts w:eastAsia="Arial" w:cs="Arial"/>
                      <w:color w:val="000000"/>
                      <w:sz w:val="16"/>
                      <w:szCs w:val="16"/>
                      <w:shd w:val="clear" w:color="auto" w:fill="CACACA"/>
                    </w:rPr>
                    <w:br/>
                  </w:r>
                  <w:r>
                    <w:rPr>
                      <w:color w:val="000000"/>
                      <w:sz w:val="16"/>
                      <w:shd w:val="clear" w:color="auto" w:fill="CACACA"/>
                    </w:rPr>
                    <w:t>Nombre botánico</w:t>
                  </w:r>
                  <w:r>
                    <w:rPr>
                      <w:rFonts w:eastAsia="Arial" w:cs="Arial"/>
                      <w:color w:val="000000"/>
                      <w:sz w:val="16"/>
                      <w:szCs w:val="16"/>
                      <w:shd w:val="clear" w:color="auto" w:fill="CACACA"/>
                    </w:rPr>
                    <w:br/>
                  </w:r>
                </w:p>
              </w:tc>
            </w:tr>
            <w:tr w:rsidR="00DC7917" w:rsidRPr="00824357" w14:paraId="71B237E6" w14:textId="77777777" w:rsidTr="008008A9">
              <w:tc>
                <w:tcPr>
                  <w:tcW w:w="600" w:type="dxa"/>
                  <w:tcMar>
                    <w:top w:w="0" w:type="dxa"/>
                    <w:left w:w="0" w:type="dxa"/>
                    <w:bottom w:w="0" w:type="dxa"/>
                    <w:right w:w="0" w:type="dxa"/>
                  </w:tcMar>
                </w:tcPr>
                <w:p w14:paraId="53525827" w14:textId="77777777" w:rsidR="00DC7917" w:rsidRPr="00824357" w:rsidRDefault="00DC7917" w:rsidP="00DC7917">
                  <w:pPr>
                    <w:keepNext/>
                    <w:spacing w:line="1" w:lineRule="auto"/>
                    <w:jc w:val="center"/>
                  </w:pPr>
                </w:p>
              </w:tc>
              <w:tc>
                <w:tcPr>
                  <w:tcW w:w="668" w:type="dxa"/>
                  <w:tcMar>
                    <w:top w:w="0" w:type="dxa"/>
                    <w:left w:w="0" w:type="dxa"/>
                    <w:bottom w:w="0" w:type="dxa"/>
                    <w:right w:w="0" w:type="dxa"/>
                  </w:tcMar>
                </w:tcPr>
                <w:p w14:paraId="190CA6A3" w14:textId="77777777" w:rsidR="00DC7917" w:rsidRPr="00824357" w:rsidRDefault="00DC7917" w:rsidP="00DC7917">
                  <w:pPr>
                    <w:keepNext/>
                    <w:spacing w:line="1" w:lineRule="auto"/>
                    <w:jc w:val="center"/>
                  </w:pPr>
                </w:p>
              </w:tc>
              <w:tc>
                <w:tcPr>
                  <w:tcW w:w="1447" w:type="dxa"/>
                  <w:tcMar>
                    <w:top w:w="0" w:type="dxa"/>
                    <w:left w:w="0" w:type="dxa"/>
                    <w:bottom w:w="0" w:type="dxa"/>
                    <w:right w:w="0" w:type="dxa"/>
                  </w:tcMar>
                </w:tcPr>
                <w:p w14:paraId="15618639" w14:textId="77777777" w:rsidR="00DC7917" w:rsidRPr="00824357" w:rsidRDefault="00DC7917" w:rsidP="00DC7917">
                  <w:pPr>
                    <w:keepNext/>
                    <w:spacing w:line="1" w:lineRule="auto"/>
                    <w:jc w:val="center"/>
                  </w:pPr>
                </w:p>
              </w:tc>
              <w:tc>
                <w:tcPr>
                  <w:tcW w:w="1530" w:type="dxa"/>
                  <w:tcMar>
                    <w:top w:w="0" w:type="dxa"/>
                    <w:left w:w="0" w:type="dxa"/>
                    <w:bottom w:w="0" w:type="dxa"/>
                    <w:right w:w="0" w:type="dxa"/>
                  </w:tcMar>
                </w:tcPr>
                <w:p w14:paraId="5966E55D" w14:textId="77777777" w:rsidR="00DC7917" w:rsidRPr="00824357" w:rsidRDefault="00DC7917" w:rsidP="00DC7917">
                  <w:pPr>
                    <w:keepNext/>
                    <w:spacing w:line="1" w:lineRule="auto"/>
                    <w:jc w:val="center"/>
                  </w:pPr>
                </w:p>
              </w:tc>
              <w:tc>
                <w:tcPr>
                  <w:tcW w:w="1365" w:type="dxa"/>
                  <w:tcMar>
                    <w:top w:w="0" w:type="dxa"/>
                    <w:left w:w="0" w:type="dxa"/>
                    <w:bottom w:w="0" w:type="dxa"/>
                    <w:right w:w="0" w:type="dxa"/>
                  </w:tcMar>
                </w:tcPr>
                <w:p w14:paraId="5B7A0483" w14:textId="77777777" w:rsidR="00DC7917" w:rsidRPr="00824357" w:rsidRDefault="00DC7917" w:rsidP="00DC7917">
                  <w:pPr>
                    <w:keepNext/>
                    <w:spacing w:line="1" w:lineRule="auto"/>
                    <w:jc w:val="center"/>
                  </w:pPr>
                </w:p>
              </w:tc>
              <w:tc>
                <w:tcPr>
                  <w:tcW w:w="1440" w:type="dxa"/>
                  <w:tcMar>
                    <w:top w:w="0" w:type="dxa"/>
                    <w:left w:w="0" w:type="dxa"/>
                    <w:bottom w:w="0" w:type="dxa"/>
                    <w:right w:w="0" w:type="dxa"/>
                  </w:tcMar>
                </w:tcPr>
                <w:p w14:paraId="730C0CB9" w14:textId="77777777" w:rsidR="00DC7917" w:rsidRPr="00824357" w:rsidRDefault="00DC7917" w:rsidP="00DC7917">
                  <w:pPr>
                    <w:keepNext/>
                    <w:spacing w:line="1" w:lineRule="auto"/>
                    <w:jc w:val="center"/>
                  </w:pPr>
                </w:p>
              </w:tc>
              <w:tc>
                <w:tcPr>
                  <w:tcW w:w="1350" w:type="dxa"/>
                  <w:tcMar>
                    <w:top w:w="0" w:type="dxa"/>
                    <w:left w:w="0" w:type="dxa"/>
                    <w:bottom w:w="0" w:type="dxa"/>
                    <w:right w:w="0" w:type="dxa"/>
                  </w:tcMar>
                </w:tcPr>
                <w:p w14:paraId="30510E11" w14:textId="77777777" w:rsidR="00DC7917" w:rsidRPr="00824357" w:rsidRDefault="00DC7917" w:rsidP="00DC7917">
                  <w:pPr>
                    <w:keepNext/>
                    <w:spacing w:line="1" w:lineRule="auto"/>
                    <w:jc w:val="center"/>
                  </w:pPr>
                </w:p>
              </w:tc>
              <w:tc>
                <w:tcPr>
                  <w:tcW w:w="1500" w:type="dxa"/>
                  <w:tcMar>
                    <w:top w:w="0" w:type="dxa"/>
                    <w:left w:w="0" w:type="dxa"/>
                    <w:bottom w:w="0" w:type="dxa"/>
                    <w:right w:w="0" w:type="dxa"/>
                  </w:tcMar>
                </w:tcPr>
                <w:p w14:paraId="30957B91" w14:textId="77777777" w:rsidR="00DC7917" w:rsidRPr="00824357" w:rsidRDefault="00DC7917" w:rsidP="00DC7917">
                  <w:pPr>
                    <w:keepNext/>
                    <w:spacing w:line="1" w:lineRule="auto"/>
                    <w:jc w:val="center"/>
                  </w:pPr>
                </w:p>
              </w:tc>
            </w:tr>
          </w:tbl>
          <w:p w14:paraId="5D1764AB" w14:textId="77777777" w:rsidR="00DC7917" w:rsidRPr="00824357" w:rsidRDefault="00DC7917" w:rsidP="00DC7917">
            <w:pPr>
              <w:keepNext/>
              <w:spacing w:line="1" w:lineRule="auto"/>
            </w:pPr>
          </w:p>
        </w:tc>
      </w:tr>
      <w:tr w:rsidR="00DC7917" w:rsidRPr="00824357" w14:paraId="296B8D29" w14:textId="77777777" w:rsidTr="008008A9">
        <w:tc>
          <w:tcPr>
            <w:tcW w:w="10080" w:type="dxa"/>
            <w:tcMar>
              <w:top w:w="0" w:type="dxa"/>
              <w:left w:w="0" w:type="dxa"/>
              <w:bottom w:w="0" w:type="dxa"/>
              <w:right w:w="0" w:type="dxa"/>
            </w:tcMar>
          </w:tcPr>
          <w:p w14:paraId="2A01FD9F" w14:textId="09F4EF94" w:rsidR="00DC7917" w:rsidRPr="00824357" w:rsidRDefault="002A0DA3" w:rsidP="008008A9">
            <w:pPr>
              <w:rPr>
                <w:rFonts w:eastAsia="Arial" w:cs="Arial"/>
                <w:color w:val="000000"/>
              </w:rPr>
            </w:pPr>
            <w:r>
              <w:rPr>
                <w:color w:val="000000"/>
              </w:rPr>
              <w:t xml:space="preserve"> </w:t>
            </w:r>
          </w:p>
        </w:tc>
      </w:tr>
      <w:tr w:rsidR="00DC7917" w:rsidRPr="00824357" w14:paraId="1295D171" w14:textId="77777777" w:rsidTr="008008A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DC7917" w:rsidRPr="00824357" w14:paraId="2B73DAB1" w14:textId="77777777" w:rsidTr="008008A9">
              <w:trPr>
                <w:trHeight w:val="230"/>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14:paraId="1E1333EA" w14:textId="77777777" w:rsidR="00DC7917" w:rsidRPr="00CC1E1E" w:rsidRDefault="00DC7917" w:rsidP="008008A9">
                  <w:pPr>
                    <w:jc w:val="left"/>
                    <w:rPr>
                      <w:rFonts w:eastAsia="Arial" w:cs="Arial"/>
                      <w:color w:val="000000"/>
                      <w:sz w:val="16"/>
                      <w:szCs w:val="16"/>
                      <w:u w:val="single"/>
                      <w:lang w:val="fr-CH"/>
                    </w:rPr>
                  </w:pPr>
                  <w:r w:rsidRPr="00CC1E1E">
                    <w:rPr>
                      <w:sz w:val="16"/>
                      <w:u w:val="single"/>
                      <w:lang w:val="fr-CH"/>
                    </w:rPr>
                    <w:t>NEW TEST GUIDELINES / NOUVEAUX PRINCIPES DIRECTEURS D’EXAMEN / NEUE PRÜFUNGSRICHTILINIEN /</w:t>
                  </w:r>
                  <w:r w:rsidRPr="00CC1E1E">
                    <w:rPr>
                      <w:rFonts w:cs="Arial"/>
                      <w:bCs/>
                      <w:sz w:val="16"/>
                      <w:szCs w:val="16"/>
                      <w:u w:val="single"/>
                      <w:lang w:val="fr-CH"/>
                    </w:rPr>
                    <w:br/>
                  </w:r>
                  <w:r w:rsidRPr="00CC1E1E">
                    <w:rPr>
                      <w:sz w:val="16"/>
                      <w:u w:val="single"/>
                      <w:lang w:val="fr-CH"/>
                    </w:rPr>
                    <w:t>NUEVAS DIRECTRICES DE EXAMEN</w:t>
                  </w:r>
                  <w:r w:rsidRPr="00CC1E1E">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DC7917" w:rsidRPr="00824357" w14:paraId="01433B58" w14:textId="77777777" w:rsidTr="008008A9">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1BB5F90" w14:textId="77777777" w:rsidR="00DC7917" w:rsidRPr="008770A8" w:rsidRDefault="00DC7917" w:rsidP="008008A9">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DC7917" w:rsidRPr="00824357" w14:paraId="0CE68B71" w14:textId="77777777" w:rsidTr="008008A9">
                          <w:tc>
                            <w:tcPr>
                              <w:tcW w:w="600" w:type="dxa"/>
                              <w:tcMar>
                                <w:top w:w="0" w:type="dxa"/>
                                <w:left w:w="0" w:type="dxa"/>
                                <w:bottom w:w="0" w:type="dxa"/>
                                <w:right w:w="0" w:type="dxa"/>
                              </w:tcMar>
                            </w:tcPr>
                            <w:p w14:paraId="6C4E030F" w14:textId="77777777" w:rsidR="00DC7917" w:rsidRPr="00824357" w:rsidRDefault="00DC7917" w:rsidP="008008A9">
                              <w:pPr>
                                <w:spacing w:before="20" w:after="20"/>
                                <w:rPr>
                                  <w:rFonts w:cs="Arial"/>
                                  <w:color w:val="000000"/>
                                  <w:sz w:val="16"/>
                                  <w:szCs w:val="16"/>
                                </w:rPr>
                              </w:pPr>
                              <w:r>
                                <w:rPr>
                                  <w:color w:val="000000"/>
                                  <w:sz w:val="16"/>
                                </w:rPr>
                                <w:t>JP</w:t>
                              </w:r>
                            </w:p>
                            <w:p w14:paraId="07D837EF" w14:textId="77777777" w:rsidR="00DC7917" w:rsidRPr="00824357" w:rsidRDefault="00DC7917" w:rsidP="008008A9">
                              <w:pPr>
                                <w:spacing w:before="20" w:after="20" w:line="1" w:lineRule="auto"/>
                              </w:pPr>
                            </w:p>
                          </w:tc>
                        </w:tr>
                      </w:tbl>
                      <w:p w14:paraId="038029B3" w14:textId="77777777" w:rsidR="00DC7917" w:rsidRPr="00824357" w:rsidRDefault="00DC7917" w:rsidP="008008A9">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C5B9E" w14:textId="77777777" w:rsidR="00DC7917" w:rsidRPr="00824357" w:rsidRDefault="00DC7917" w:rsidP="008008A9">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DC7917" w:rsidRPr="00824357" w14:paraId="7848B221" w14:textId="77777777" w:rsidTr="008008A9">
                          <w:tc>
                            <w:tcPr>
                              <w:tcW w:w="870" w:type="dxa"/>
                              <w:tcMar>
                                <w:top w:w="0" w:type="dxa"/>
                                <w:left w:w="0" w:type="dxa"/>
                                <w:bottom w:w="0" w:type="dxa"/>
                                <w:right w:w="0" w:type="dxa"/>
                              </w:tcMar>
                            </w:tcPr>
                            <w:p w14:paraId="48E3A0F4" w14:textId="77777777" w:rsidR="00DC7917" w:rsidRPr="00824357" w:rsidRDefault="00DC7917" w:rsidP="008008A9">
                              <w:pPr>
                                <w:spacing w:before="20" w:after="20"/>
                                <w:rPr>
                                  <w:rFonts w:cs="Arial"/>
                                  <w:color w:val="000000"/>
                                  <w:sz w:val="16"/>
                                  <w:szCs w:val="16"/>
                                </w:rPr>
                              </w:pPr>
                              <w:r>
                                <w:rPr>
                                  <w:color w:val="000000"/>
                                  <w:sz w:val="16"/>
                                </w:rPr>
                                <w:t>TWO</w:t>
                              </w:r>
                            </w:p>
                            <w:p w14:paraId="5FA28156" w14:textId="77777777" w:rsidR="00DC7917" w:rsidRPr="00824357" w:rsidRDefault="00DC7917" w:rsidP="008008A9">
                              <w:pPr>
                                <w:spacing w:before="20" w:after="20" w:line="1" w:lineRule="auto"/>
                              </w:pPr>
                            </w:p>
                          </w:tc>
                        </w:tr>
                      </w:tbl>
                      <w:p w14:paraId="17E69FCA" w14:textId="77777777" w:rsidR="00DC7917" w:rsidRPr="00824357" w:rsidRDefault="00DC7917" w:rsidP="008008A9">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CCF58" w14:textId="77777777" w:rsidR="00DC7917" w:rsidRPr="00824357" w:rsidRDefault="00DC7917" w:rsidP="008008A9">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DC7917" w:rsidRPr="00824357" w14:paraId="64863B9D" w14:textId="77777777" w:rsidTr="008008A9">
                          <w:tc>
                            <w:tcPr>
                              <w:tcW w:w="1414" w:type="dxa"/>
                              <w:tcMar>
                                <w:top w:w="0" w:type="dxa"/>
                                <w:left w:w="0" w:type="dxa"/>
                                <w:bottom w:w="0" w:type="dxa"/>
                                <w:right w:w="0" w:type="dxa"/>
                              </w:tcMar>
                            </w:tcPr>
                            <w:p w14:paraId="05FB16F9" w14:textId="77777777" w:rsidR="00DC7917" w:rsidRPr="00824357" w:rsidRDefault="00DC7917" w:rsidP="008008A9">
                              <w:pPr>
                                <w:spacing w:before="20" w:after="20"/>
                                <w:rPr>
                                  <w:rFonts w:cs="Arial"/>
                                  <w:color w:val="000000"/>
                                  <w:sz w:val="16"/>
                                  <w:szCs w:val="16"/>
                                </w:rPr>
                              </w:pPr>
                              <w:r>
                                <w:rPr>
                                  <w:color w:val="000000"/>
                                  <w:sz w:val="16"/>
                                </w:rPr>
                                <w:t>TG/CALEN(proj.4)</w:t>
                              </w:r>
                            </w:p>
                            <w:p w14:paraId="0CAD042F" w14:textId="77777777" w:rsidR="00DC7917" w:rsidRPr="00824357" w:rsidRDefault="00DC7917" w:rsidP="008008A9">
                              <w:pPr>
                                <w:spacing w:before="20" w:after="20" w:line="1" w:lineRule="auto"/>
                                <w:rPr>
                                  <w:sz w:val="16"/>
                                  <w:szCs w:val="16"/>
                                </w:rPr>
                              </w:pPr>
                            </w:p>
                          </w:tc>
                        </w:tr>
                      </w:tbl>
                      <w:p w14:paraId="0CA9ED40" w14:textId="77777777" w:rsidR="00DC7917" w:rsidRPr="00824357" w:rsidRDefault="00DC7917" w:rsidP="008008A9">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F6359" w14:textId="77777777" w:rsidR="00DC7917" w:rsidRPr="00824357" w:rsidRDefault="00DC7917" w:rsidP="008008A9">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C7917" w:rsidRPr="00824357" w14:paraId="22601A89" w14:textId="77777777" w:rsidTr="008008A9">
                          <w:tc>
                            <w:tcPr>
                              <w:tcW w:w="1530" w:type="dxa"/>
                              <w:tcMar>
                                <w:top w:w="0" w:type="dxa"/>
                                <w:left w:w="0" w:type="dxa"/>
                                <w:bottom w:w="0" w:type="dxa"/>
                                <w:right w:w="0" w:type="dxa"/>
                              </w:tcMar>
                            </w:tcPr>
                            <w:p w14:paraId="799348E3" w14:textId="77777777" w:rsidR="00DC7917" w:rsidRPr="00824357" w:rsidRDefault="00DC7917" w:rsidP="008008A9">
                              <w:pPr>
                                <w:spacing w:before="20" w:after="20" w:line="1" w:lineRule="auto"/>
                                <w:rPr>
                                  <w:sz w:val="16"/>
                                  <w:szCs w:val="16"/>
                                </w:rPr>
                              </w:pPr>
                            </w:p>
                          </w:tc>
                        </w:tr>
                      </w:tbl>
                      <w:p w14:paraId="5BE6CD2A" w14:textId="77777777" w:rsidR="00DC7917" w:rsidRPr="00824357" w:rsidRDefault="00DC7917" w:rsidP="008008A9">
                        <w:pPr>
                          <w:spacing w:before="20" w:after="20"/>
                          <w:rPr>
                            <w:sz w:val="16"/>
                            <w:szCs w:val="16"/>
                          </w:rPr>
                        </w:pPr>
                        <w:r>
                          <w:rPr>
                            <w:sz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4A074BC3" w14:textId="77777777" w:rsidTr="008008A9">
                          <w:tc>
                            <w:tcPr>
                              <w:tcW w:w="1365" w:type="dxa"/>
                              <w:tcMar>
                                <w:top w:w="0" w:type="dxa"/>
                                <w:left w:w="0" w:type="dxa"/>
                                <w:bottom w:w="0" w:type="dxa"/>
                                <w:right w:w="0" w:type="dxa"/>
                              </w:tcMar>
                            </w:tcPr>
                            <w:p w14:paraId="4059A477" w14:textId="77777777" w:rsidR="00DC7917" w:rsidRPr="00824357" w:rsidRDefault="00DC7917" w:rsidP="008008A9">
                              <w:pPr>
                                <w:spacing w:before="20" w:after="20"/>
                                <w:rPr>
                                  <w:sz w:val="16"/>
                                  <w:szCs w:val="16"/>
                                </w:rPr>
                              </w:pPr>
                              <w:r>
                                <w:rPr>
                                  <w:sz w:val="16"/>
                                </w:rPr>
                                <w:t>Calendula</w:t>
                              </w:r>
                            </w:p>
                          </w:tc>
                        </w:tr>
                      </w:tbl>
                      <w:p w14:paraId="14F24C36" w14:textId="77777777" w:rsidR="00DC7917" w:rsidRPr="00824357" w:rsidRDefault="00DC7917" w:rsidP="008008A9">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C7917" w:rsidRPr="00824357" w14:paraId="1321F27A" w14:textId="77777777" w:rsidTr="008008A9">
                          <w:tc>
                            <w:tcPr>
                              <w:tcW w:w="1440" w:type="dxa"/>
                              <w:tcMar>
                                <w:top w:w="0" w:type="dxa"/>
                                <w:left w:w="0" w:type="dxa"/>
                                <w:bottom w:w="0" w:type="dxa"/>
                                <w:right w:w="0" w:type="dxa"/>
                              </w:tcMar>
                            </w:tcPr>
                            <w:p w14:paraId="2E627B53" w14:textId="77777777" w:rsidR="00DC7917" w:rsidRPr="00824357" w:rsidRDefault="00DC7917" w:rsidP="008008A9">
                              <w:pPr>
                                <w:spacing w:before="20" w:after="20"/>
                                <w:rPr>
                                  <w:sz w:val="16"/>
                                  <w:szCs w:val="16"/>
                                </w:rPr>
                              </w:pPr>
                              <w:r>
                                <w:rPr>
                                  <w:sz w:val="16"/>
                                </w:rPr>
                                <w:t>Ringelblume</w:t>
                              </w:r>
                            </w:p>
                          </w:tc>
                        </w:tr>
                      </w:tbl>
                      <w:p w14:paraId="185FE533" w14:textId="77777777" w:rsidR="00DC7917" w:rsidRPr="00824357" w:rsidRDefault="00DC7917" w:rsidP="008008A9">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C7917" w:rsidRPr="00824357" w14:paraId="42C846EC" w14:textId="77777777" w:rsidTr="008008A9">
                          <w:tc>
                            <w:tcPr>
                              <w:tcW w:w="1350" w:type="dxa"/>
                              <w:tcMar>
                                <w:top w:w="0" w:type="dxa"/>
                                <w:left w:w="0" w:type="dxa"/>
                                <w:bottom w:w="0" w:type="dxa"/>
                                <w:right w:w="0" w:type="dxa"/>
                              </w:tcMar>
                            </w:tcPr>
                            <w:p w14:paraId="31E895D1" w14:textId="77777777" w:rsidR="00DC7917" w:rsidRPr="00824357" w:rsidRDefault="00DC7917" w:rsidP="008008A9">
                              <w:pPr>
                                <w:spacing w:before="20" w:after="20"/>
                                <w:rPr>
                                  <w:sz w:val="16"/>
                                  <w:szCs w:val="16"/>
                                </w:rPr>
                              </w:pPr>
                              <w:r>
                                <w:rPr>
                                  <w:sz w:val="16"/>
                                </w:rPr>
                                <w:t>Caléndul</w:t>
                              </w:r>
                            </w:p>
                          </w:tc>
                        </w:tr>
                      </w:tbl>
                      <w:p w14:paraId="185596F7" w14:textId="77777777" w:rsidR="00DC7917" w:rsidRPr="00824357" w:rsidRDefault="00DC7917" w:rsidP="008008A9">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D434B" w14:textId="77777777" w:rsidR="00DC7917" w:rsidRPr="00824357" w:rsidRDefault="00DC7917" w:rsidP="008008A9">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DC7917" w:rsidRPr="00824357" w14:paraId="123C37EF" w14:textId="77777777" w:rsidTr="008008A9">
                          <w:tc>
                            <w:tcPr>
                              <w:tcW w:w="1500" w:type="dxa"/>
                              <w:tcMar>
                                <w:top w:w="0" w:type="dxa"/>
                                <w:left w:w="0" w:type="dxa"/>
                                <w:bottom w:w="0" w:type="dxa"/>
                                <w:right w:w="0" w:type="dxa"/>
                              </w:tcMar>
                            </w:tcPr>
                            <w:p w14:paraId="145B6B9E" w14:textId="77777777" w:rsidR="00DC7917" w:rsidRPr="00824357" w:rsidRDefault="00DC7917" w:rsidP="008008A9">
                              <w:pPr>
                                <w:pStyle w:val="NormalWeb"/>
                                <w:spacing w:before="20" w:beforeAutospacing="0" w:after="20" w:afterAutospacing="0"/>
                              </w:pPr>
                              <w:r>
                                <w:rPr>
                                  <w:rFonts w:ascii="Arial" w:hAnsi="Arial"/>
                                  <w:i/>
                                  <w:color w:val="000000"/>
                                  <w:sz w:val="16"/>
                                </w:rPr>
                                <w:t>Calendula</w:t>
                              </w:r>
                              <w:r>
                                <w:rPr>
                                  <w:rFonts w:ascii="Arial" w:hAnsi="Arial"/>
                                  <w:color w:val="000000"/>
                                  <w:sz w:val="16"/>
                                </w:rPr>
                                <w:t> L.</w:t>
                              </w:r>
                            </w:p>
                          </w:tc>
                        </w:tr>
                      </w:tbl>
                      <w:p w14:paraId="2B3A93C2" w14:textId="77777777" w:rsidR="00DC7917" w:rsidRPr="00824357" w:rsidRDefault="00DC7917" w:rsidP="008008A9">
                        <w:pPr>
                          <w:spacing w:before="20" w:after="20" w:line="1" w:lineRule="auto"/>
                        </w:pPr>
                      </w:p>
                    </w:tc>
                  </w:tr>
                  <w:tr w:rsidR="00DC7917" w:rsidRPr="00824357" w14:paraId="2DB3A763" w14:textId="77777777" w:rsidTr="008008A9">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14:paraId="0B48457C" w14:textId="77777777" w:rsidR="00DC7917" w:rsidRPr="00824357" w:rsidRDefault="00DC7917" w:rsidP="008008A9">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DC7917" w:rsidRPr="00824357" w14:paraId="221CF0F0" w14:textId="77777777" w:rsidTr="008008A9">
                          <w:tc>
                            <w:tcPr>
                              <w:tcW w:w="600" w:type="dxa"/>
                              <w:tcMar>
                                <w:top w:w="0" w:type="dxa"/>
                                <w:left w:w="0" w:type="dxa"/>
                                <w:bottom w:w="0" w:type="dxa"/>
                                <w:right w:w="0" w:type="dxa"/>
                              </w:tcMar>
                            </w:tcPr>
                            <w:p w14:paraId="6E9E6775" w14:textId="77777777" w:rsidR="00DC7917" w:rsidRPr="00824357" w:rsidRDefault="00DC7917" w:rsidP="008008A9">
                              <w:pPr>
                                <w:spacing w:before="20" w:after="20"/>
                                <w:rPr>
                                  <w:rFonts w:cs="Arial"/>
                                  <w:color w:val="000000"/>
                                  <w:sz w:val="16"/>
                                  <w:szCs w:val="16"/>
                                </w:rPr>
                              </w:pPr>
                              <w:r>
                                <w:rPr>
                                  <w:color w:val="000000"/>
                                  <w:sz w:val="16"/>
                                </w:rPr>
                                <w:t>ZA</w:t>
                              </w:r>
                            </w:p>
                            <w:p w14:paraId="4DF3EECC" w14:textId="77777777" w:rsidR="00DC7917" w:rsidRPr="00824357" w:rsidRDefault="00DC7917" w:rsidP="008008A9">
                              <w:pPr>
                                <w:spacing w:before="20" w:after="20" w:line="1" w:lineRule="auto"/>
                              </w:pPr>
                            </w:p>
                          </w:tc>
                        </w:tr>
                      </w:tbl>
                      <w:p w14:paraId="4B53DF15" w14:textId="77777777" w:rsidR="00DC7917" w:rsidRPr="00824357" w:rsidRDefault="00DC7917" w:rsidP="008008A9">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BA215CC" w14:textId="77777777" w:rsidR="00DC7917" w:rsidRPr="00824357" w:rsidRDefault="00DC7917" w:rsidP="008008A9">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DC7917" w:rsidRPr="00824357" w14:paraId="7E15DC41" w14:textId="77777777" w:rsidTr="008008A9">
                          <w:tc>
                            <w:tcPr>
                              <w:tcW w:w="870" w:type="dxa"/>
                              <w:tcMar>
                                <w:top w:w="0" w:type="dxa"/>
                                <w:left w:w="0" w:type="dxa"/>
                                <w:bottom w:w="0" w:type="dxa"/>
                                <w:right w:w="0" w:type="dxa"/>
                              </w:tcMar>
                            </w:tcPr>
                            <w:p w14:paraId="442B25E6" w14:textId="77777777" w:rsidR="00DC7917" w:rsidRPr="00824357" w:rsidRDefault="00DC7917" w:rsidP="008008A9">
                              <w:pPr>
                                <w:spacing w:before="20" w:after="20"/>
                                <w:rPr>
                                  <w:rFonts w:cs="Arial"/>
                                  <w:color w:val="000000"/>
                                  <w:sz w:val="16"/>
                                  <w:szCs w:val="16"/>
                                </w:rPr>
                              </w:pPr>
                              <w:r>
                                <w:rPr>
                                  <w:color w:val="000000"/>
                                  <w:sz w:val="16"/>
                                </w:rPr>
                                <w:t>TWO</w:t>
                              </w:r>
                            </w:p>
                            <w:p w14:paraId="4659CCE2" w14:textId="77777777" w:rsidR="00DC7917" w:rsidRPr="00824357" w:rsidRDefault="00DC7917" w:rsidP="008008A9">
                              <w:pPr>
                                <w:spacing w:before="20" w:after="20" w:line="1" w:lineRule="auto"/>
                              </w:pPr>
                            </w:p>
                          </w:tc>
                        </w:tr>
                      </w:tbl>
                      <w:p w14:paraId="27AFA7DF" w14:textId="77777777" w:rsidR="00DC7917" w:rsidRPr="00824357" w:rsidRDefault="00DC7917" w:rsidP="008008A9">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8C7CC0A" w14:textId="77777777" w:rsidR="00DC7917" w:rsidRPr="00824357" w:rsidRDefault="00DC7917" w:rsidP="008008A9">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C7917" w:rsidRPr="00824357" w14:paraId="45A779F0" w14:textId="77777777" w:rsidTr="008008A9">
                          <w:tc>
                            <w:tcPr>
                              <w:tcW w:w="1414" w:type="dxa"/>
                              <w:tcMar>
                                <w:top w:w="0" w:type="dxa"/>
                                <w:left w:w="0" w:type="dxa"/>
                                <w:bottom w:w="0" w:type="dxa"/>
                                <w:right w:w="0" w:type="dxa"/>
                              </w:tcMar>
                            </w:tcPr>
                            <w:p w14:paraId="43EB4DAF" w14:textId="77777777" w:rsidR="00DC7917" w:rsidRPr="00824357" w:rsidRDefault="00DC7917" w:rsidP="008008A9">
                              <w:pPr>
                                <w:spacing w:before="20" w:after="20"/>
                                <w:rPr>
                                  <w:rFonts w:cs="Arial"/>
                                  <w:color w:val="000000"/>
                                  <w:sz w:val="16"/>
                                  <w:szCs w:val="16"/>
                                </w:rPr>
                              </w:pPr>
                              <w:r>
                                <w:rPr>
                                  <w:color w:val="000000"/>
                                  <w:sz w:val="16"/>
                                </w:rPr>
                                <w:t>TG/GAZAN(proj.4)</w:t>
                              </w:r>
                            </w:p>
                            <w:p w14:paraId="3510194D" w14:textId="77777777" w:rsidR="00DC7917" w:rsidRPr="00824357" w:rsidRDefault="00DC7917" w:rsidP="008008A9">
                              <w:pPr>
                                <w:spacing w:before="20" w:after="20" w:line="1" w:lineRule="auto"/>
                              </w:pPr>
                            </w:p>
                          </w:tc>
                        </w:tr>
                      </w:tbl>
                      <w:p w14:paraId="44FDB34B" w14:textId="77777777" w:rsidR="00DC7917" w:rsidRPr="00824357" w:rsidRDefault="00DC7917" w:rsidP="008008A9">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3D42C8C" w14:textId="77777777" w:rsidR="00DC7917" w:rsidRPr="00824357" w:rsidRDefault="00DC7917" w:rsidP="008008A9">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C7917" w:rsidRPr="00824357" w14:paraId="45163F0C" w14:textId="77777777" w:rsidTr="008008A9">
                          <w:tc>
                            <w:tcPr>
                              <w:tcW w:w="1530" w:type="dxa"/>
                              <w:tcMar>
                                <w:top w:w="0" w:type="dxa"/>
                                <w:left w:w="0" w:type="dxa"/>
                                <w:bottom w:w="0" w:type="dxa"/>
                                <w:right w:w="0" w:type="dxa"/>
                              </w:tcMar>
                            </w:tcPr>
                            <w:p w14:paraId="0DBDCAB5" w14:textId="77777777" w:rsidR="00DC7917" w:rsidRPr="00824357" w:rsidRDefault="00DC7917" w:rsidP="008008A9">
                              <w:pPr>
                                <w:spacing w:before="20" w:after="20"/>
                              </w:pPr>
                              <w:r>
                                <w:rPr>
                                  <w:color w:val="000000"/>
                                  <w:sz w:val="16"/>
                                </w:rPr>
                                <w:t>Gazania</w:t>
                              </w:r>
                            </w:p>
                          </w:tc>
                        </w:tr>
                      </w:tbl>
                      <w:p w14:paraId="017D792B" w14:textId="77777777" w:rsidR="00DC7917" w:rsidRPr="00824357" w:rsidRDefault="00DC7917" w:rsidP="008008A9">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59E16E0" w14:textId="77777777" w:rsidR="00DC7917" w:rsidRPr="00824357" w:rsidRDefault="00DC7917" w:rsidP="008008A9">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59289995" w14:textId="77777777" w:rsidTr="008008A9">
                          <w:tc>
                            <w:tcPr>
                              <w:tcW w:w="1365" w:type="dxa"/>
                              <w:tcMar>
                                <w:top w:w="0" w:type="dxa"/>
                                <w:left w:w="0" w:type="dxa"/>
                                <w:bottom w:w="0" w:type="dxa"/>
                                <w:right w:w="0" w:type="dxa"/>
                              </w:tcMar>
                            </w:tcPr>
                            <w:p w14:paraId="5CE06851" w14:textId="77777777" w:rsidR="00DC7917" w:rsidRPr="00824357" w:rsidRDefault="00DC7917" w:rsidP="008008A9">
                              <w:pPr>
                                <w:spacing w:before="20" w:after="20"/>
                                <w:rPr>
                                  <w:rFonts w:cs="Arial"/>
                                  <w:color w:val="000000"/>
                                  <w:sz w:val="16"/>
                                  <w:szCs w:val="16"/>
                                </w:rPr>
                              </w:pPr>
                              <w:r>
                                <w:rPr>
                                  <w:color w:val="000000"/>
                                  <w:sz w:val="16"/>
                                </w:rPr>
                                <w:t>Gazania</w:t>
                              </w:r>
                            </w:p>
                            <w:p w14:paraId="280EC1AC" w14:textId="77777777" w:rsidR="00DC7917" w:rsidRPr="00824357" w:rsidRDefault="00DC7917" w:rsidP="008008A9">
                              <w:pPr>
                                <w:spacing w:before="20" w:after="20" w:line="1" w:lineRule="auto"/>
                              </w:pPr>
                            </w:p>
                          </w:tc>
                        </w:tr>
                      </w:tbl>
                      <w:p w14:paraId="0598C884" w14:textId="77777777" w:rsidR="00DC7917" w:rsidRPr="00824357" w:rsidRDefault="00DC7917" w:rsidP="008008A9">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1512C32" w14:textId="77777777" w:rsidR="00DC7917" w:rsidRPr="00824357" w:rsidRDefault="00DC7917" w:rsidP="008008A9">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C7917" w:rsidRPr="00824357" w14:paraId="2DFB8479" w14:textId="77777777" w:rsidTr="008008A9">
                          <w:tc>
                            <w:tcPr>
                              <w:tcW w:w="1440" w:type="dxa"/>
                              <w:tcMar>
                                <w:top w:w="0" w:type="dxa"/>
                                <w:left w:w="0" w:type="dxa"/>
                                <w:bottom w:w="0" w:type="dxa"/>
                                <w:right w:w="0" w:type="dxa"/>
                              </w:tcMar>
                            </w:tcPr>
                            <w:p w14:paraId="32195581" w14:textId="77777777" w:rsidR="00DC7917" w:rsidRPr="00824357" w:rsidRDefault="00DC7917" w:rsidP="008008A9">
                              <w:pPr>
                                <w:spacing w:before="20" w:after="20"/>
                                <w:rPr>
                                  <w:rFonts w:cs="Arial"/>
                                  <w:color w:val="000000"/>
                                  <w:sz w:val="16"/>
                                  <w:szCs w:val="16"/>
                                </w:rPr>
                              </w:pPr>
                              <w:r>
                                <w:rPr>
                                  <w:color w:val="000000"/>
                                  <w:sz w:val="16"/>
                                </w:rPr>
                                <w:t>Gazania</w:t>
                              </w:r>
                            </w:p>
                            <w:p w14:paraId="10F1F974" w14:textId="77777777" w:rsidR="00DC7917" w:rsidRPr="00824357" w:rsidRDefault="00DC7917" w:rsidP="008008A9">
                              <w:pPr>
                                <w:spacing w:before="20" w:after="20" w:line="1" w:lineRule="auto"/>
                              </w:pPr>
                            </w:p>
                          </w:tc>
                        </w:tr>
                      </w:tbl>
                      <w:p w14:paraId="2515EBAD" w14:textId="77777777" w:rsidR="00DC7917" w:rsidRPr="00824357" w:rsidRDefault="00DC7917" w:rsidP="008008A9">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4FF1DE5" w14:textId="77777777" w:rsidR="00DC7917" w:rsidRPr="00824357" w:rsidRDefault="00DC7917" w:rsidP="008008A9">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C7917" w:rsidRPr="00824357" w14:paraId="4DA9E2F3" w14:textId="77777777" w:rsidTr="008008A9">
                          <w:tc>
                            <w:tcPr>
                              <w:tcW w:w="1350" w:type="dxa"/>
                              <w:tcMar>
                                <w:top w:w="0" w:type="dxa"/>
                                <w:left w:w="0" w:type="dxa"/>
                                <w:bottom w:w="0" w:type="dxa"/>
                                <w:right w:w="0" w:type="dxa"/>
                              </w:tcMar>
                            </w:tcPr>
                            <w:p w14:paraId="5A2AB00F" w14:textId="77777777" w:rsidR="00DC7917" w:rsidRPr="00824357" w:rsidRDefault="00DC7917" w:rsidP="008008A9">
                              <w:pPr>
                                <w:spacing w:before="20" w:after="20"/>
                                <w:rPr>
                                  <w:rFonts w:cs="Arial"/>
                                  <w:color w:val="000000"/>
                                  <w:sz w:val="16"/>
                                  <w:szCs w:val="16"/>
                                </w:rPr>
                              </w:pPr>
                              <w:r>
                                <w:rPr>
                                  <w:color w:val="000000"/>
                                  <w:sz w:val="16"/>
                                </w:rPr>
                                <w:t>Gazania</w:t>
                              </w:r>
                            </w:p>
                            <w:p w14:paraId="32B10F6F" w14:textId="77777777" w:rsidR="00DC7917" w:rsidRPr="00824357" w:rsidRDefault="00DC7917" w:rsidP="008008A9">
                              <w:pPr>
                                <w:spacing w:before="20" w:after="20" w:line="1" w:lineRule="auto"/>
                              </w:pPr>
                            </w:p>
                          </w:tc>
                        </w:tr>
                      </w:tbl>
                      <w:p w14:paraId="09746503" w14:textId="77777777" w:rsidR="00DC7917" w:rsidRPr="00824357" w:rsidRDefault="00DC7917" w:rsidP="008008A9">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153EAAC" w14:textId="77777777" w:rsidR="00DC7917" w:rsidRPr="00824357" w:rsidRDefault="00DC7917" w:rsidP="008008A9">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DC7917" w:rsidRPr="00824357" w14:paraId="2EC09D24" w14:textId="77777777" w:rsidTr="008008A9">
                          <w:tc>
                            <w:tcPr>
                              <w:tcW w:w="1500" w:type="dxa"/>
                              <w:tcMar>
                                <w:top w:w="0" w:type="dxa"/>
                                <w:left w:w="0" w:type="dxa"/>
                                <w:bottom w:w="0" w:type="dxa"/>
                                <w:right w:w="0" w:type="dxa"/>
                              </w:tcMar>
                            </w:tcPr>
                            <w:p w14:paraId="1B5EA65F" w14:textId="77777777" w:rsidR="00DC7917" w:rsidRPr="00824357" w:rsidRDefault="00DC7917" w:rsidP="008008A9">
                              <w:pPr>
                                <w:spacing w:before="20" w:after="20"/>
                                <w:rPr>
                                  <w:rFonts w:cs="Arial"/>
                                  <w:color w:val="000000"/>
                                  <w:sz w:val="16"/>
                                  <w:szCs w:val="16"/>
                                </w:rPr>
                              </w:pPr>
                              <w:r>
                                <w:rPr>
                                  <w:i/>
                                  <w:color w:val="000000"/>
                                  <w:sz w:val="16"/>
                                </w:rPr>
                                <w:t>Gazania</w:t>
                              </w:r>
                              <w:r>
                                <w:rPr>
                                  <w:color w:val="000000"/>
                                  <w:sz w:val="16"/>
                                </w:rPr>
                                <w:t> Gaertn.</w:t>
                              </w:r>
                            </w:p>
                            <w:p w14:paraId="192154D8" w14:textId="77777777" w:rsidR="00DC7917" w:rsidRPr="00824357" w:rsidRDefault="00DC7917" w:rsidP="008008A9">
                              <w:pPr>
                                <w:spacing w:before="20" w:after="20" w:line="1" w:lineRule="auto"/>
                              </w:pPr>
                            </w:p>
                          </w:tc>
                        </w:tr>
                      </w:tbl>
                      <w:p w14:paraId="2E592A2C" w14:textId="77777777" w:rsidR="00DC7917" w:rsidRPr="00824357" w:rsidRDefault="00DC7917" w:rsidP="008008A9">
                        <w:pPr>
                          <w:spacing w:before="20" w:after="20" w:line="1" w:lineRule="auto"/>
                        </w:pPr>
                      </w:p>
                    </w:tc>
                  </w:tr>
                </w:tbl>
                <w:p w14:paraId="60294CCA" w14:textId="77777777" w:rsidR="00DC7917" w:rsidRPr="00824357" w:rsidRDefault="00DC7917" w:rsidP="008008A9">
                  <w:pPr>
                    <w:jc w:val="left"/>
                    <w:rPr>
                      <w:rFonts w:eastAsia="Arial" w:cs="Arial"/>
                      <w:color w:val="000000"/>
                      <w:sz w:val="16"/>
                      <w:szCs w:val="16"/>
                      <w:u w:val="single"/>
                    </w:rPr>
                  </w:pPr>
                </w:p>
              </w:tc>
            </w:tr>
            <w:tr w:rsidR="00DC7917" w:rsidRPr="00257D16" w14:paraId="31B6210D" w14:textId="77777777" w:rsidTr="008008A9">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14:paraId="7EE300DF" w14:textId="77777777" w:rsidTr="008008A9">
                    <w:tc>
                      <w:tcPr>
                        <w:tcW w:w="645" w:type="dxa"/>
                        <w:tcMar>
                          <w:top w:w="0" w:type="dxa"/>
                          <w:left w:w="0" w:type="dxa"/>
                          <w:bottom w:w="0" w:type="dxa"/>
                          <w:right w:w="0" w:type="dxa"/>
                        </w:tcMar>
                      </w:tcPr>
                      <w:p w14:paraId="16999511" w14:textId="77777777" w:rsidR="00DC7917" w:rsidRPr="00824357" w:rsidRDefault="00DC7917" w:rsidP="008008A9">
                        <w:pPr>
                          <w:spacing w:before="20" w:after="20"/>
                          <w:rPr>
                            <w:rFonts w:cs="Arial"/>
                            <w:color w:val="000000"/>
                            <w:sz w:val="16"/>
                            <w:szCs w:val="16"/>
                          </w:rPr>
                        </w:pPr>
                        <w:r>
                          <w:rPr>
                            <w:color w:val="000000"/>
                            <w:sz w:val="16"/>
                          </w:rPr>
                          <w:t>ES</w:t>
                        </w:r>
                      </w:p>
                      <w:p w14:paraId="1CF85BB5" w14:textId="77777777" w:rsidR="00DC7917" w:rsidRPr="00824357" w:rsidRDefault="00DC7917" w:rsidP="008008A9">
                        <w:pPr>
                          <w:spacing w:before="20" w:after="20" w:line="1" w:lineRule="auto"/>
                        </w:pPr>
                      </w:p>
                    </w:tc>
                  </w:tr>
                </w:tbl>
                <w:p w14:paraId="65A56E36" w14:textId="77777777"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81E98F" w14:textId="77777777" w:rsidR="00DC7917" w:rsidRPr="00824357" w:rsidRDefault="00DC7917" w:rsidP="008008A9">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DC7917" w:rsidRPr="00824357" w14:paraId="6151EE90" w14:textId="77777777" w:rsidTr="008008A9">
                    <w:tc>
                      <w:tcPr>
                        <w:tcW w:w="596" w:type="dxa"/>
                        <w:tcMar>
                          <w:top w:w="0" w:type="dxa"/>
                          <w:left w:w="0" w:type="dxa"/>
                          <w:bottom w:w="0" w:type="dxa"/>
                          <w:right w:w="0" w:type="dxa"/>
                        </w:tcMar>
                      </w:tcPr>
                      <w:p w14:paraId="10E9C18F" w14:textId="77777777" w:rsidR="00DC7917" w:rsidRPr="00824357" w:rsidRDefault="00DC7917" w:rsidP="008008A9">
                        <w:pPr>
                          <w:spacing w:before="20" w:after="20"/>
                          <w:rPr>
                            <w:rFonts w:cs="Arial"/>
                            <w:color w:val="000000"/>
                            <w:sz w:val="16"/>
                            <w:szCs w:val="16"/>
                          </w:rPr>
                        </w:pPr>
                        <w:r>
                          <w:rPr>
                            <w:color w:val="000000"/>
                            <w:sz w:val="16"/>
                          </w:rPr>
                          <w:t>TWF</w:t>
                        </w:r>
                      </w:p>
                      <w:p w14:paraId="72B33DAC" w14:textId="77777777" w:rsidR="00DC7917" w:rsidRPr="00824357" w:rsidRDefault="00DC7917" w:rsidP="008008A9">
                        <w:pPr>
                          <w:spacing w:before="20" w:after="20" w:line="1" w:lineRule="auto"/>
                        </w:pPr>
                      </w:p>
                    </w:tc>
                  </w:tr>
                </w:tbl>
                <w:p w14:paraId="1F39E68D" w14:textId="77777777"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4E79B4" w14:textId="77777777" w:rsidR="00DC7917" w:rsidRPr="00824357" w:rsidRDefault="00DC7917" w:rsidP="008008A9">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C7917" w:rsidRPr="00824357" w14:paraId="7DDE2F58" w14:textId="77777777" w:rsidTr="008008A9">
                    <w:tc>
                      <w:tcPr>
                        <w:tcW w:w="1414" w:type="dxa"/>
                        <w:tcMar>
                          <w:top w:w="0" w:type="dxa"/>
                          <w:left w:w="0" w:type="dxa"/>
                          <w:bottom w:w="0" w:type="dxa"/>
                          <w:right w:w="0" w:type="dxa"/>
                        </w:tcMar>
                      </w:tcPr>
                      <w:p w14:paraId="5C9FB6FF" w14:textId="77777777" w:rsidR="00DC7917" w:rsidRPr="00824357" w:rsidRDefault="00DC7917" w:rsidP="008008A9">
                        <w:pPr>
                          <w:spacing w:before="20" w:after="20"/>
                          <w:jc w:val="left"/>
                          <w:rPr>
                            <w:rFonts w:cs="Arial"/>
                            <w:color w:val="000000"/>
                            <w:sz w:val="16"/>
                            <w:szCs w:val="16"/>
                          </w:rPr>
                        </w:pPr>
                        <w:r>
                          <w:rPr>
                            <w:color w:val="000000"/>
                            <w:sz w:val="16"/>
                          </w:rPr>
                          <w:t>TG/JUGLA(proj.6)</w:t>
                        </w:r>
                      </w:p>
                      <w:p w14:paraId="763C2ED9" w14:textId="77777777" w:rsidR="00DC7917" w:rsidRPr="00824357" w:rsidRDefault="00DC7917" w:rsidP="008008A9">
                        <w:pPr>
                          <w:spacing w:before="20" w:after="20" w:line="1" w:lineRule="auto"/>
                          <w:jc w:val="left"/>
                        </w:pPr>
                      </w:p>
                    </w:tc>
                  </w:tr>
                </w:tbl>
                <w:p w14:paraId="4FCB2E31" w14:textId="77777777"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B7E4F1" w14:textId="77777777"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14:paraId="6C2D9A80" w14:textId="77777777" w:rsidTr="008008A9">
                    <w:tc>
                      <w:tcPr>
                        <w:tcW w:w="1545" w:type="dxa"/>
                        <w:tcMar>
                          <w:top w:w="0" w:type="dxa"/>
                          <w:left w:w="0" w:type="dxa"/>
                          <w:bottom w:w="0" w:type="dxa"/>
                          <w:right w:w="0" w:type="dxa"/>
                        </w:tcMar>
                      </w:tcPr>
                      <w:p w14:paraId="69D6D4E7" w14:textId="77777777" w:rsidR="00DC7917" w:rsidRPr="00824357" w:rsidRDefault="00DC7917" w:rsidP="008008A9">
                        <w:pPr>
                          <w:spacing w:before="20" w:after="20"/>
                          <w:jc w:val="left"/>
                          <w:rPr>
                            <w:rFonts w:cs="Arial"/>
                            <w:color w:val="000000"/>
                            <w:sz w:val="16"/>
                            <w:szCs w:val="16"/>
                          </w:rPr>
                        </w:pPr>
                        <w:r>
                          <w:rPr>
                            <w:color w:val="000000"/>
                            <w:sz w:val="16"/>
                          </w:rPr>
                          <w:t>Black Walnut</w:t>
                        </w:r>
                      </w:p>
                      <w:p w14:paraId="71B29C93" w14:textId="77777777" w:rsidR="00DC7917" w:rsidRPr="00824357" w:rsidRDefault="00DC7917" w:rsidP="008008A9">
                        <w:pPr>
                          <w:spacing w:before="20" w:after="20" w:line="1" w:lineRule="auto"/>
                          <w:jc w:val="left"/>
                        </w:pPr>
                      </w:p>
                    </w:tc>
                  </w:tr>
                </w:tbl>
                <w:p w14:paraId="2C8D1E4E" w14:textId="77777777"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D06F47" w14:textId="77777777"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14:paraId="4765D20C" w14:textId="77777777" w:rsidTr="008008A9">
                    <w:tc>
                      <w:tcPr>
                        <w:tcW w:w="1290" w:type="dxa"/>
                        <w:tcMar>
                          <w:top w:w="0" w:type="dxa"/>
                          <w:left w:w="0" w:type="dxa"/>
                          <w:bottom w:w="0" w:type="dxa"/>
                          <w:right w:w="0" w:type="dxa"/>
                        </w:tcMar>
                      </w:tcPr>
                      <w:p w14:paraId="2349C193" w14:textId="77777777" w:rsidR="00DC7917" w:rsidRPr="00824357" w:rsidRDefault="00DC7917" w:rsidP="008008A9">
                        <w:pPr>
                          <w:spacing w:before="20" w:after="20"/>
                          <w:jc w:val="left"/>
                          <w:rPr>
                            <w:rFonts w:cs="Arial"/>
                            <w:color w:val="000000"/>
                            <w:sz w:val="16"/>
                            <w:szCs w:val="16"/>
                          </w:rPr>
                        </w:pPr>
                        <w:r>
                          <w:rPr>
                            <w:color w:val="000000"/>
                            <w:sz w:val="16"/>
                          </w:rPr>
                          <w:t>Noyer noir</w:t>
                        </w:r>
                      </w:p>
                      <w:p w14:paraId="5F93E284" w14:textId="77777777" w:rsidR="00DC7917" w:rsidRPr="00824357" w:rsidRDefault="00DC7917" w:rsidP="008008A9">
                        <w:pPr>
                          <w:spacing w:before="20" w:after="20" w:line="1" w:lineRule="auto"/>
                          <w:jc w:val="left"/>
                        </w:pPr>
                      </w:p>
                    </w:tc>
                  </w:tr>
                </w:tbl>
                <w:p w14:paraId="2837E603" w14:textId="77777777"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7FB7CB" w14:textId="77777777"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14:paraId="5A118326" w14:textId="77777777" w:rsidTr="008008A9">
                    <w:tc>
                      <w:tcPr>
                        <w:tcW w:w="1470" w:type="dxa"/>
                        <w:tcMar>
                          <w:top w:w="0" w:type="dxa"/>
                          <w:left w:w="0" w:type="dxa"/>
                          <w:bottom w:w="0" w:type="dxa"/>
                          <w:right w:w="0" w:type="dxa"/>
                        </w:tcMar>
                      </w:tcPr>
                      <w:p w14:paraId="55BA8AC9" w14:textId="77777777" w:rsidR="00DC7917" w:rsidRPr="00824357" w:rsidRDefault="00DC7917" w:rsidP="008008A9">
                        <w:pPr>
                          <w:spacing w:before="20" w:after="20"/>
                          <w:jc w:val="left"/>
                          <w:rPr>
                            <w:rFonts w:cs="Arial"/>
                            <w:color w:val="000000"/>
                            <w:sz w:val="16"/>
                            <w:szCs w:val="16"/>
                          </w:rPr>
                        </w:pPr>
                        <w:r>
                          <w:rPr>
                            <w:color w:val="000000"/>
                            <w:sz w:val="16"/>
                          </w:rPr>
                          <w:t>Schwarznuss</w:t>
                        </w:r>
                      </w:p>
                      <w:p w14:paraId="706B2904" w14:textId="77777777" w:rsidR="00DC7917" w:rsidRPr="00824357" w:rsidRDefault="00DC7917" w:rsidP="008008A9">
                        <w:pPr>
                          <w:spacing w:before="20" w:after="20" w:line="1" w:lineRule="auto"/>
                          <w:jc w:val="left"/>
                        </w:pPr>
                      </w:p>
                    </w:tc>
                  </w:tr>
                </w:tbl>
                <w:p w14:paraId="6CE13D04" w14:textId="77777777"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EEB818" w14:textId="77777777"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31E6F013" w14:textId="77777777" w:rsidTr="008008A9">
                    <w:tc>
                      <w:tcPr>
                        <w:tcW w:w="1365" w:type="dxa"/>
                        <w:tcMar>
                          <w:top w:w="0" w:type="dxa"/>
                          <w:left w:w="0" w:type="dxa"/>
                          <w:bottom w:w="0" w:type="dxa"/>
                          <w:right w:w="0" w:type="dxa"/>
                        </w:tcMar>
                      </w:tcPr>
                      <w:p w14:paraId="3C192B17" w14:textId="77777777" w:rsidR="00DC7917" w:rsidRPr="00824357" w:rsidRDefault="00DC7917" w:rsidP="008008A9">
                        <w:pPr>
                          <w:spacing w:before="20" w:after="20"/>
                          <w:jc w:val="left"/>
                          <w:rPr>
                            <w:rFonts w:cs="Arial"/>
                            <w:color w:val="000000"/>
                            <w:sz w:val="16"/>
                            <w:szCs w:val="16"/>
                          </w:rPr>
                        </w:pPr>
                        <w:r>
                          <w:rPr>
                            <w:color w:val="000000"/>
                            <w:sz w:val="16"/>
                          </w:rPr>
                          <w:t>Nogal negro</w:t>
                        </w:r>
                      </w:p>
                      <w:p w14:paraId="2C96D7F0" w14:textId="77777777" w:rsidR="00DC7917" w:rsidRPr="00824357" w:rsidRDefault="00DC7917" w:rsidP="008008A9">
                        <w:pPr>
                          <w:spacing w:before="20" w:after="20" w:line="1" w:lineRule="auto"/>
                          <w:jc w:val="left"/>
                        </w:pPr>
                      </w:p>
                    </w:tc>
                  </w:tr>
                </w:tbl>
                <w:p w14:paraId="0394D33C" w14:textId="77777777"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785F76" w14:textId="77777777" w:rsidR="00DC7917" w:rsidRPr="00CC1E1E" w:rsidRDefault="00DC7917" w:rsidP="008008A9">
                  <w:pPr>
                    <w:spacing w:before="20" w:after="20"/>
                    <w:jc w:val="left"/>
                    <w:rPr>
                      <w:vanish/>
                      <w:sz w:val="16"/>
                      <w:szCs w:val="16"/>
                      <w:lang w:val="en-US"/>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257D16" w14:paraId="591F3F7D" w14:textId="77777777" w:rsidTr="008008A9">
                    <w:tc>
                      <w:tcPr>
                        <w:tcW w:w="1455" w:type="dxa"/>
                        <w:tcMar>
                          <w:top w:w="0" w:type="dxa"/>
                          <w:left w:w="0" w:type="dxa"/>
                          <w:bottom w:w="0" w:type="dxa"/>
                          <w:right w:w="0" w:type="dxa"/>
                        </w:tcMar>
                      </w:tcPr>
                      <w:p w14:paraId="47F33AB0" w14:textId="77777777" w:rsidR="00DC7917" w:rsidRPr="00CC1E1E" w:rsidRDefault="00DC7917" w:rsidP="008008A9">
                        <w:pPr>
                          <w:spacing w:before="20" w:after="20" w:line="1" w:lineRule="auto"/>
                          <w:jc w:val="left"/>
                          <w:rPr>
                            <w:sz w:val="16"/>
                            <w:szCs w:val="16"/>
                            <w:lang w:val="en-US"/>
                          </w:rPr>
                        </w:pPr>
                      </w:p>
                    </w:tc>
                  </w:tr>
                </w:tbl>
                <w:p w14:paraId="1ED3782D" w14:textId="77777777" w:rsidR="00DC7917" w:rsidRPr="00CC1E1E" w:rsidRDefault="00DC7917" w:rsidP="008008A9">
                  <w:pPr>
                    <w:spacing w:before="20" w:after="20"/>
                    <w:jc w:val="left"/>
                    <w:rPr>
                      <w:sz w:val="16"/>
                      <w:szCs w:val="16"/>
                      <w:lang w:val="en-US"/>
                    </w:rPr>
                  </w:pPr>
                  <w:r w:rsidRPr="00CC1E1E">
                    <w:rPr>
                      <w:i/>
                      <w:sz w:val="16"/>
                      <w:lang w:val="en-US"/>
                    </w:rPr>
                    <w:t>Juglans hindsii</w:t>
                  </w:r>
                  <w:r w:rsidRPr="00CC1E1E">
                    <w:rPr>
                      <w:sz w:val="16"/>
                      <w:lang w:val="en-US"/>
                    </w:rPr>
                    <w:t xml:space="preserve"> (Jeps.) R. E. Sm.; </w:t>
                  </w:r>
                  <w:r w:rsidRPr="00CC1E1E">
                    <w:rPr>
                      <w:i/>
                      <w:sz w:val="16"/>
                      <w:lang w:val="en-US"/>
                    </w:rPr>
                    <w:t>J. hindsii</w:t>
                  </w:r>
                  <w:r w:rsidRPr="00CC1E1E">
                    <w:rPr>
                      <w:sz w:val="16"/>
                      <w:lang w:val="en-US"/>
                    </w:rPr>
                    <w:t xml:space="preserve"> × </w:t>
                  </w:r>
                  <w:r w:rsidRPr="00CC1E1E">
                    <w:rPr>
                      <w:i/>
                      <w:sz w:val="16"/>
                      <w:lang w:val="en-US"/>
                    </w:rPr>
                    <w:t>J. regia</w:t>
                  </w:r>
                  <w:r w:rsidRPr="00CC1E1E">
                    <w:rPr>
                      <w:sz w:val="16"/>
                      <w:lang w:val="en-US"/>
                    </w:rPr>
                    <w:t xml:space="preserve">; </w:t>
                  </w:r>
                  <w:r w:rsidRPr="00CC1E1E">
                    <w:rPr>
                      <w:i/>
                      <w:sz w:val="16"/>
                      <w:lang w:val="en-US"/>
                    </w:rPr>
                    <w:t>J. major</w:t>
                  </w:r>
                  <w:r w:rsidRPr="00CC1E1E">
                    <w:rPr>
                      <w:sz w:val="16"/>
                      <w:lang w:val="en-US"/>
                    </w:rPr>
                    <w:t xml:space="preserve"> (Torr.) A. Heller; </w:t>
                  </w:r>
                  <w:r w:rsidRPr="00CC1E1E">
                    <w:rPr>
                      <w:i/>
                      <w:sz w:val="16"/>
                      <w:lang w:val="en-US"/>
                    </w:rPr>
                    <w:t>J. major</w:t>
                  </w:r>
                  <w:r w:rsidRPr="00CC1E1E">
                    <w:rPr>
                      <w:sz w:val="16"/>
                      <w:lang w:val="en-US"/>
                    </w:rPr>
                    <w:t xml:space="preserve"> × </w:t>
                  </w:r>
                  <w:r w:rsidRPr="00CC1E1E">
                    <w:rPr>
                      <w:i/>
                      <w:sz w:val="16"/>
                      <w:lang w:val="en-US"/>
                    </w:rPr>
                    <w:t>J. regia</w:t>
                  </w:r>
                  <w:r w:rsidRPr="00CC1E1E">
                    <w:rPr>
                      <w:sz w:val="16"/>
                      <w:lang w:val="en-US"/>
                    </w:rPr>
                    <w:t xml:space="preserve">; </w:t>
                  </w:r>
                  <w:r w:rsidRPr="00CC1E1E">
                    <w:rPr>
                      <w:i/>
                      <w:sz w:val="16"/>
                      <w:lang w:val="en-US"/>
                    </w:rPr>
                    <w:t>J. nigra</w:t>
                  </w:r>
                  <w:r w:rsidRPr="00CC1E1E">
                    <w:rPr>
                      <w:sz w:val="16"/>
                      <w:lang w:val="en-US"/>
                    </w:rPr>
                    <w:t xml:space="preserve"> L.; </w:t>
                  </w:r>
                  <w:r w:rsidRPr="00CC1E1E">
                    <w:rPr>
                      <w:i/>
                      <w:sz w:val="16"/>
                      <w:lang w:val="en-US"/>
                    </w:rPr>
                    <w:t>J. nigra</w:t>
                  </w:r>
                  <w:r w:rsidRPr="00CC1E1E">
                    <w:rPr>
                      <w:sz w:val="16"/>
                      <w:lang w:val="en-US"/>
                    </w:rPr>
                    <w:t xml:space="preserve"> × </w:t>
                  </w:r>
                  <w:r w:rsidRPr="00CC1E1E">
                    <w:rPr>
                      <w:i/>
                      <w:sz w:val="16"/>
                      <w:lang w:val="en-US"/>
                    </w:rPr>
                    <w:t>J. regia</w:t>
                  </w:r>
                  <w:r w:rsidRPr="00CC1E1E">
                    <w:rPr>
                      <w:sz w:val="16"/>
                      <w:lang w:val="en-US"/>
                    </w:rPr>
                    <w:t xml:space="preserve"> L.</w:t>
                  </w:r>
                </w:p>
              </w:tc>
            </w:tr>
          </w:tbl>
          <w:p w14:paraId="331ECD3C" w14:textId="77777777" w:rsidR="00DC7917" w:rsidRPr="00CC1E1E" w:rsidRDefault="00DC7917" w:rsidP="008008A9">
            <w:pPr>
              <w:rPr>
                <w:lang w:val="en-US"/>
              </w:rPr>
            </w:pPr>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DC7917" w:rsidRPr="00257D16" w14:paraId="668B0559" w14:textId="77777777" w:rsidTr="008008A9">
              <w:trPr>
                <w:trHeight w:val="184"/>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14:paraId="3FB444A6" w14:textId="77777777" w:rsidR="00DC7917" w:rsidRPr="008770A8" w:rsidRDefault="00DC7917" w:rsidP="008008A9">
                  <w:pPr>
                    <w:rPr>
                      <w:vanish/>
                      <w:lang w:val="fr-CH"/>
                    </w:rPr>
                  </w:pPr>
                  <w:r>
                    <w:fldChar w:fldCharType="begin"/>
                  </w:r>
                  <w:r w:rsidRPr="008770A8">
                    <w:rPr>
                      <w:lang w:val="fr-CH"/>
                    </w:rPr>
                    <w:instrText xml:space="preserve"> TC  1" \f C \l "1"</w:instrText>
                  </w:r>
                  <w:r>
                    <w:fldChar w:fldCharType="end"/>
                  </w:r>
                </w:p>
                <w:p w14:paraId="01BA6395" w14:textId="77777777" w:rsidR="00DC7917" w:rsidRPr="00CC1E1E" w:rsidRDefault="00DC7917" w:rsidP="008008A9">
                  <w:pPr>
                    <w:jc w:val="left"/>
                    <w:rPr>
                      <w:rFonts w:eastAsia="Arial" w:cs="Arial"/>
                      <w:color w:val="000000"/>
                      <w:sz w:val="16"/>
                      <w:szCs w:val="16"/>
                      <w:u w:val="single"/>
                      <w:lang w:val="fr-CH"/>
                    </w:rPr>
                  </w:pPr>
                  <w:r w:rsidRPr="00CC1E1E">
                    <w:rPr>
                      <w:color w:val="000000"/>
                      <w:sz w:val="16"/>
                      <w:u w:val="single"/>
                      <w:lang w:val="fr-CH"/>
                    </w:rPr>
                    <w:t>REVISIONS OF TEST GUIDELINES / RÉVISIONS DE PRINCIPES DIRECTEURS D’EXAMEN ADOPTÉS / REVISIONEN ANGENOMMENER PRÜFUNGSRICHTLINIEN / REVISIONES DE DIRECTRICES DE EXAMEN ADOPTADAS</w:t>
                  </w:r>
                  <w:r w:rsidRPr="00CC1E1E">
                    <w:rPr>
                      <w:rFonts w:eastAsia="Arial" w:cs="Arial"/>
                      <w:color w:val="000000"/>
                      <w:sz w:val="16"/>
                      <w:szCs w:val="16"/>
                      <w:u w:val="single"/>
                      <w:lang w:val="fr-CH"/>
                    </w:rPr>
                    <w:br/>
                  </w:r>
                </w:p>
              </w:tc>
            </w:tr>
            <w:tr w:rsidR="00DC7917" w:rsidRPr="00824357" w14:paraId="0C266465" w14:textId="77777777" w:rsidTr="008008A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14:paraId="37D4F753" w14:textId="77777777" w:rsidTr="008008A9">
                    <w:tc>
                      <w:tcPr>
                        <w:tcW w:w="645" w:type="dxa"/>
                        <w:tcMar>
                          <w:top w:w="0" w:type="dxa"/>
                          <w:left w:w="0" w:type="dxa"/>
                          <w:bottom w:w="0" w:type="dxa"/>
                          <w:right w:w="0" w:type="dxa"/>
                        </w:tcMar>
                      </w:tcPr>
                      <w:p w14:paraId="7E590657" w14:textId="77777777" w:rsidR="00DC7917" w:rsidRPr="00824357" w:rsidRDefault="00DC7917" w:rsidP="008008A9">
                        <w:pPr>
                          <w:spacing w:before="20" w:after="20"/>
                          <w:rPr>
                            <w:rFonts w:cs="Arial"/>
                            <w:color w:val="000000"/>
                            <w:sz w:val="16"/>
                            <w:szCs w:val="16"/>
                          </w:rPr>
                        </w:pPr>
                        <w:r>
                          <w:rPr>
                            <w:color w:val="000000"/>
                            <w:sz w:val="16"/>
                          </w:rPr>
                          <w:t>NL</w:t>
                        </w:r>
                      </w:p>
                      <w:p w14:paraId="385534BD" w14:textId="77777777" w:rsidR="00DC7917" w:rsidRPr="00824357" w:rsidRDefault="00DC7917" w:rsidP="008008A9">
                        <w:pPr>
                          <w:spacing w:before="20" w:after="20" w:line="1" w:lineRule="auto"/>
                        </w:pPr>
                      </w:p>
                    </w:tc>
                  </w:tr>
                </w:tbl>
                <w:p w14:paraId="0020FBA1" w14:textId="77777777"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2061D" w14:textId="77777777" w:rsidR="00DC7917" w:rsidRPr="00824357" w:rsidRDefault="00DC7917" w:rsidP="008008A9">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DC7917" w:rsidRPr="00824357" w14:paraId="38A9F623" w14:textId="77777777" w:rsidTr="008008A9">
                    <w:tc>
                      <w:tcPr>
                        <w:tcW w:w="596" w:type="dxa"/>
                        <w:tcMar>
                          <w:top w:w="0" w:type="dxa"/>
                          <w:left w:w="0" w:type="dxa"/>
                          <w:bottom w:w="0" w:type="dxa"/>
                          <w:right w:w="0" w:type="dxa"/>
                        </w:tcMar>
                      </w:tcPr>
                      <w:p w14:paraId="279149F9" w14:textId="77777777" w:rsidR="00DC7917" w:rsidRPr="00824357" w:rsidRDefault="00DC7917" w:rsidP="008008A9">
                        <w:pPr>
                          <w:spacing w:before="20" w:after="20"/>
                          <w:rPr>
                            <w:rFonts w:cs="Arial"/>
                            <w:color w:val="000000"/>
                            <w:sz w:val="16"/>
                            <w:szCs w:val="16"/>
                          </w:rPr>
                        </w:pPr>
                        <w:r>
                          <w:rPr>
                            <w:color w:val="000000"/>
                            <w:sz w:val="16"/>
                          </w:rPr>
                          <w:t>TWO</w:t>
                        </w:r>
                      </w:p>
                      <w:p w14:paraId="0BCFA998" w14:textId="77777777" w:rsidR="00DC7917" w:rsidRPr="00824357" w:rsidRDefault="00DC7917" w:rsidP="008008A9">
                        <w:pPr>
                          <w:spacing w:before="20" w:after="20" w:line="1" w:lineRule="auto"/>
                        </w:pPr>
                      </w:p>
                    </w:tc>
                  </w:tr>
                </w:tbl>
                <w:p w14:paraId="6B546A9A" w14:textId="77777777"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A7BDA" w14:textId="77777777"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14:paraId="41DFE352" w14:textId="77777777" w:rsidTr="008008A9">
                    <w:tc>
                      <w:tcPr>
                        <w:tcW w:w="1245" w:type="dxa"/>
                        <w:tcMar>
                          <w:top w:w="0" w:type="dxa"/>
                          <w:left w:w="0" w:type="dxa"/>
                          <w:bottom w:w="0" w:type="dxa"/>
                          <w:right w:w="0" w:type="dxa"/>
                        </w:tcMar>
                      </w:tcPr>
                      <w:p w14:paraId="7BBE0EDE" w14:textId="77777777" w:rsidR="00DC7917" w:rsidRPr="00824357" w:rsidRDefault="00DC7917" w:rsidP="008008A9">
                        <w:pPr>
                          <w:spacing w:before="20" w:after="20"/>
                          <w:jc w:val="left"/>
                          <w:rPr>
                            <w:rFonts w:cs="Arial"/>
                            <w:color w:val="000000"/>
                            <w:sz w:val="16"/>
                            <w:szCs w:val="16"/>
                          </w:rPr>
                        </w:pPr>
                        <w:r>
                          <w:rPr>
                            <w:color w:val="000000"/>
                            <w:sz w:val="16"/>
                          </w:rPr>
                          <w:t>TG/29/8(proj.4)</w:t>
                        </w:r>
                      </w:p>
                      <w:p w14:paraId="454D4F16" w14:textId="77777777" w:rsidR="00DC7917" w:rsidRPr="00824357" w:rsidRDefault="00DC7917" w:rsidP="008008A9">
                        <w:pPr>
                          <w:spacing w:before="20" w:after="20" w:line="1" w:lineRule="auto"/>
                          <w:jc w:val="left"/>
                        </w:pPr>
                      </w:p>
                    </w:tc>
                  </w:tr>
                </w:tbl>
                <w:p w14:paraId="4520A2F2" w14:textId="77777777"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7F5CF" w14:textId="77777777"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14:paraId="4A86B51A" w14:textId="77777777" w:rsidTr="008008A9">
                    <w:tc>
                      <w:tcPr>
                        <w:tcW w:w="1545" w:type="dxa"/>
                        <w:tcMar>
                          <w:top w:w="0" w:type="dxa"/>
                          <w:left w:w="0" w:type="dxa"/>
                          <w:bottom w:w="0" w:type="dxa"/>
                          <w:right w:w="0" w:type="dxa"/>
                        </w:tcMar>
                      </w:tcPr>
                      <w:p w14:paraId="023DBC27" w14:textId="77777777" w:rsidR="00DC7917" w:rsidRPr="00824357" w:rsidRDefault="00DC7917" w:rsidP="008008A9">
                        <w:pPr>
                          <w:spacing w:before="20" w:after="20"/>
                          <w:jc w:val="left"/>
                          <w:rPr>
                            <w:rFonts w:cs="Arial"/>
                            <w:color w:val="000000"/>
                            <w:sz w:val="16"/>
                            <w:szCs w:val="16"/>
                          </w:rPr>
                        </w:pPr>
                        <w:r>
                          <w:rPr>
                            <w:color w:val="000000"/>
                            <w:sz w:val="16"/>
                          </w:rPr>
                          <w:t>Alstroemeria</w:t>
                        </w:r>
                      </w:p>
                      <w:p w14:paraId="1567CF41" w14:textId="77777777" w:rsidR="00DC7917" w:rsidRPr="00824357" w:rsidRDefault="00DC7917" w:rsidP="008008A9">
                        <w:pPr>
                          <w:spacing w:before="20" w:after="20" w:line="1" w:lineRule="auto"/>
                          <w:jc w:val="left"/>
                        </w:pPr>
                      </w:p>
                    </w:tc>
                  </w:tr>
                </w:tbl>
                <w:p w14:paraId="2CDE71AD" w14:textId="77777777"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BBB68" w14:textId="77777777"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14:paraId="40BA1C28" w14:textId="77777777" w:rsidTr="008008A9">
                    <w:tc>
                      <w:tcPr>
                        <w:tcW w:w="1290" w:type="dxa"/>
                        <w:tcMar>
                          <w:top w:w="0" w:type="dxa"/>
                          <w:left w:w="0" w:type="dxa"/>
                          <w:bottom w:w="0" w:type="dxa"/>
                          <w:right w:w="0" w:type="dxa"/>
                        </w:tcMar>
                      </w:tcPr>
                      <w:p w14:paraId="79118282" w14:textId="77777777" w:rsidR="00DC7917" w:rsidRPr="00824357" w:rsidRDefault="00DC7917" w:rsidP="008008A9">
                        <w:pPr>
                          <w:spacing w:before="20" w:after="20"/>
                          <w:jc w:val="left"/>
                          <w:rPr>
                            <w:rFonts w:cs="Arial"/>
                            <w:color w:val="000000"/>
                            <w:sz w:val="16"/>
                            <w:szCs w:val="16"/>
                          </w:rPr>
                        </w:pPr>
                        <w:r>
                          <w:rPr>
                            <w:color w:val="000000"/>
                            <w:sz w:val="16"/>
                          </w:rPr>
                          <w:t>Alstroemère</w:t>
                        </w:r>
                      </w:p>
                      <w:p w14:paraId="2FC8ADA3" w14:textId="77777777" w:rsidR="00DC7917" w:rsidRPr="00824357" w:rsidRDefault="00DC7917" w:rsidP="008008A9">
                        <w:pPr>
                          <w:spacing w:before="20" w:after="20" w:line="1" w:lineRule="auto"/>
                          <w:jc w:val="left"/>
                        </w:pPr>
                      </w:p>
                    </w:tc>
                  </w:tr>
                </w:tbl>
                <w:p w14:paraId="3ED7117C" w14:textId="77777777"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68B8D" w14:textId="77777777"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14:paraId="1BF452E8" w14:textId="77777777" w:rsidTr="008008A9">
                    <w:tc>
                      <w:tcPr>
                        <w:tcW w:w="1470" w:type="dxa"/>
                        <w:tcMar>
                          <w:top w:w="0" w:type="dxa"/>
                          <w:left w:w="0" w:type="dxa"/>
                          <w:bottom w:w="0" w:type="dxa"/>
                          <w:right w:w="0" w:type="dxa"/>
                        </w:tcMar>
                      </w:tcPr>
                      <w:p w14:paraId="6AE48154" w14:textId="77777777" w:rsidR="00DC7917" w:rsidRPr="00824357" w:rsidRDefault="00DC7917" w:rsidP="008008A9">
                        <w:pPr>
                          <w:spacing w:before="20" w:after="20"/>
                          <w:jc w:val="left"/>
                          <w:rPr>
                            <w:rFonts w:cs="Arial"/>
                            <w:color w:val="000000"/>
                            <w:sz w:val="16"/>
                            <w:szCs w:val="16"/>
                          </w:rPr>
                        </w:pPr>
                        <w:r>
                          <w:rPr>
                            <w:color w:val="000000"/>
                            <w:sz w:val="16"/>
                          </w:rPr>
                          <w:t>Inkalilie</w:t>
                        </w:r>
                      </w:p>
                      <w:p w14:paraId="5B425CF0" w14:textId="77777777" w:rsidR="00DC7917" w:rsidRPr="00824357" w:rsidRDefault="00DC7917" w:rsidP="008008A9">
                        <w:pPr>
                          <w:spacing w:before="20" w:after="20" w:line="1" w:lineRule="auto"/>
                          <w:jc w:val="left"/>
                        </w:pPr>
                      </w:p>
                    </w:tc>
                  </w:tr>
                </w:tbl>
                <w:p w14:paraId="071D6175" w14:textId="77777777"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06A72" w14:textId="77777777"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71AFE92A" w14:textId="77777777" w:rsidTr="008008A9">
                    <w:tc>
                      <w:tcPr>
                        <w:tcW w:w="1365" w:type="dxa"/>
                        <w:tcMar>
                          <w:top w:w="0" w:type="dxa"/>
                          <w:left w:w="0" w:type="dxa"/>
                          <w:bottom w:w="0" w:type="dxa"/>
                          <w:right w:w="0" w:type="dxa"/>
                        </w:tcMar>
                      </w:tcPr>
                      <w:p w14:paraId="15705FF3" w14:textId="77777777" w:rsidR="00DC7917" w:rsidRPr="00824357" w:rsidRDefault="00DC7917" w:rsidP="008008A9">
                        <w:pPr>
                          <w:spacing w:before="20" w:after="20"/>
                          <w:jc w:val="left"/>
                          <w:rPr>
                            <w:rFonts w:cs="Arial"/>
                            <w:color w:val="000000"/>
                            <w:sz w:val="16"/>
                            <w:szCs w:val="16"/>
                          </w:rPr>
                        </w:pPr>
                        <w:r>
                          <w:rPr>
                            <w:color w:val="000000"/>
                            <w:sz w:val="16"/>
                          </w:rPr>
                          <w:t>Alstroemeria</w:t>
                        </w:r>
                      </w:p>
                      <w:p w14:paraId="131D9A2A" w14:textId="77777777" w:rsidR="00DC7917" w:rsidRPr="00824357" w:rsidRDefault="00DC7917" w:rsidP="008008A9">
                        <w:pPr>
                          <w:spacing w:before="20" w:after="20" w:line="1" w:lineRule="auto"/>
                          <w:jc w:val="left"/>
                        </w:pPr>
                      </w:p>
                    </w:tc>
                  </w:tr>
                </w:tbl>
                <w:p w14:paraId="0490DB09" w14:textId="77777777"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F959A" w14:textId="77777777"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14:paraId="20C3CDC8" w14:textId="77777777" w:rsidTr="008008A9">
                    <w:tc>
                      <w:tcPr>
                        <w:tcW w:w="1455" w:type="dxa"/>
                        <w:tcMar>
                          <w:top w:w="0" w:type="dxa"/>
                          <w:left w:w="0" w:type="dxa"/>
                          <w:bottom w:w="0" w:type="dxa"/>
                          <w:right w:w="0" w:type="dxa"/>
                        </w:tcMar>
                      </w:tcPr>
                      <w:p w14:paraId="708B0AA9" w14:textId="77777777" w:rsidR="00DC7917" w:rsidRPr="00824357" w:rsidRDefault="00DC7917" w:rsidP="008008A9">
                        <w:pPr>
                          <w:spacing w:before="20" w:after="20"/>
                          <w:jc w:val="left"/>
                          <w:rPr>
                            <w:rFonts w:cs="Arial"/>
                            <w:color w:val="000000"/>
                            <w:sz w:val="16"/>
                            <w:szCs w:val="16"/>
                          </w:rPr>
                        </w:pPr>
                        <w:r>
                          <w:rPr>
                            <w:i/>
                            <w:color w:val="000000"/>
                            <w:sz w:val="16"/>
                          </w:rPr>
                          <w:t>Alstroemeria</w:t>
                        </w:r>
                        <w:r>
                          <w:rPr>
                            <w:color w:val="000000"/>
                            <w:sz w:val="16"/>
                          </w:rPr>
                          <w:t> L.</w:t>
                        </w:r>
                      </w:p>
                      <w:p w14:paraId="2124EDCE" w14:textId="77777777" w:rsidR="00DC7917" w:rsidRPr="00824357" w:rsidRDefault="00DC7917" w:rsidP="008008A9">
                        <w:pPr>
                          <w:spacing w:before="20" w:after="20" w:line="1" w:lineRule="auto"/>
                          <w:jc w:val="left"/>
                        </w:pPr>
                      </w:p>
                    </w:tc>
                  </w:tr>
                </w:tbl>
                <w:p w14:paraId="12BA323F" w14:textId="77777777" w:rsidR="00DC7917" w:rsidRPr="00824357" w:rsidRDefault="00DC7917" w:rsidP="008008A9">
                  <w:pPr>
                    <w:spacing w:before="20" w:after="20" w:line="1" w:lineRule="auto"/>
                    <w:jc w:val="left"/>
                  </w:pPr>
                </w:p>
              </w:tc>
            </w:tr>
            <w:tr w:rsidR="00DC7917" w:rsidRPr="00824357" w14:paraId="18D2324A" w14:textId="77777777" w:rsidTr="008008A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63170" w14:textId="77777777" w:rsidR="00DC7917" w:rsidRPr="00824357"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14:paraId="43F90A1C" w14:textId="77777777" w:rsidTr="008008A9">
                    <w:tc>
                      <w:tcPr>
                        <w:tcW w:w="645" w:type="dxa"/>
                        <w:tcMar>
                          <w:top w:w="0" w:type="dxa"/>
                          <w:left w:w="0" w:type="dxa"/>
                          <w:bottom w:w="0" w:type="dxa"/>
                          <w:right w:w="0" w:type="dxa"/>
                        </w:tcMar>
                      </w:tcPr>
                      <w:p w14:paraId="150358C0" w14:textId="77777777" w:rsidR="00DC7917" w:rsidRPr="00824357" w:rsidRDefault="00DC7917" w:rsidP="008008A9">
                        <w:pPr>
                          <w:spacing w:before="20" w:after="20"/>
                          <w:rPr>
                            <w:rFonts w:cs="Arial"/>
                            <w:color w:val="000000"/>
                            <w:sz w:val="16"/>
                            <w:szCs w:val="16"/>
                          </w:rPr>
                        </w:pPr>
                        <w:r>
                          <w:rPr>
                            <w:color w:val="000000"/>
                            <w:sz w:val="16"/>
                          </w:rPr>
                          <w:t>FR</w:t>
                        </w:r>
                      </w:p>
                      <w:p w14:paraId="3C708708" w14:textId="77777777" w:rsidR="00DC7917" w:rsidRPr="00824357" w:rsidRDefault="00DC7917" w:rsidP="008008A9">
                        <w:pPr>
                          <w:spacing w:before="20" w:after="20" w:line="1" w:lineRule="auto"/>
                        </w:pPr>
                      </w:p>
                    </w:tc>
                  </w:tr>
                </w:tbl>
                <w:p w14:paraId="4405A399" w14:textId="77777777"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1ECBD" w14:textId="77777777"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14:paraId="6285A3EE" w14:textId="77777777" w:rsidTr="008008A9">
                    <w:tc>
                      <w:tcPr>
                        <w:tcW w:w="885" w:type="dxa"/>
                        <w:tcMar>
                          <w:top w:w="0" w:type="dxa"/>
                          <w:left w:w="0" w:type="dxa"/>
                          <w:bottom w:w="0" w:type="dxa"/>
                          <w:right w:w="0" w:type="dxa"/>
                        </w:tcMar>
                      </w:tcPr>
                      <w:p w14:paraId="72C3E56D" w14:textId="77777777" w:rsidR="00DC7917" w:rsidRPr="00824357" w:rsidRDefault="00DC7917" w:rsidP="008008A9">
                        <w:pPr>
                          <w:spacing w:before="20" w:after="20"/>
                          <w:rPr>
                            <w:rFonts w:cs="Arial"/>
                            <w:color w:val="000000"/>
                            <w:sz w:val="16"/>
                            <w:szCs w:val="16"/>
                          </w:rPr>
                        </w:pPr>
                        <w:r>
                          <w:rPr>
                            <w:color w:val="000000"/>
                            <w:sz w:val="16"/>
                          </w:rPr>
                          <w:t>TWV</w:t>
                        </w:r>
                      </w:p>
                      <w:p w14:paraId="60456D79" w14:textId="77777777" w:rsidR="00DC7917" w:rsidRPr="00824357" w:rsidRDefault="00DC7917" w:rsidP="008008A9">
                        <w:pPr>
                          <w:spacing w:before="20" w:after="20" w:line="1" w:lineRule="auto"/>
                        </w:pPr>
                      </w:p>
                    </w:tc>
                  </w:tr>
                </w:tbl>
                <w:p w14:paraId="3BEECDA8" w14:textId="77777777"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48AF5" w14:textId="77777777"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14:paraId="3BA5510A" w14:textId="77777777" w:rsidTr="008008A9">
                    <w:tc>
                      <w:tcPr>
                        <w:tcW w:w="1245" w:type="dxa"/>
                        <w:tcMar>
                          <w:top w:w="0" w:type="dxa"/>
                          <w:left w:w="0" w:type="dxa"/>
                          <w:bottom w:w="0" w:type="dxa"/>
                          <w:right w:w="0" w:type="dxa"/>
                        </w:tcMar>
                      </w:tcPr>
                      <w:p w14:paraId="6D63CC8A" w14:textId="77777777" w:rsidR="00DC7917" w:rsidRPr="00824357" w:rsidRDefault="00DC7917" w:rsidP="008008A9">
                        <w:pPr>
                          <w:spacing w:before="20" w:after="20"/>
                          <w:jc w:val="left"/>
                          <w:rPr>
                            <w:rFonts w:cs="Arial"/>
                            <w:color w:val="000000"/>
                            <w:sz w:val="16"/>
                            <w:szCs w:val="16"/>
                          </w:rPr>
                        </w:pPr>
                        <w:r>
                          <w:rPr>
                            <w:color w:val="000000"/>
                            <w:sz w:val="16"/>
                          </w:rPr>
                          <w:t>TG/106/5(proj.4)</w:t>
                        </w:r>
                      </w:p>
                      <w:p w14:paraId="28AACDC9" w14:textId="77777777" w:rsidR="00DC7917" w:rsidRPr="00824357" w:rsidRDefault="00DC7917" w:rsidP="008008A9">
                        <w:pPr>
                          <w:spacing w:before="20" w:after="20" w:line="1" w:lineRule="auto"/>
                          <w:jc w:val="left"/>
                        </w:pPr>
                      </w:p>
                    </w:tc>
                  </w:tr>
                </w:tbl>
                <w:p w14:paraId="5022CF3D" w14:textId="77777777"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5327F" w14:textId="77777777"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14:paraId="75B574A7" w14:textId="77777777" w:rsidTr="008008A9">
                    <w:tc>
                      <w:tcPr>
                        <w:tcW w:w="1545" w:type="dxa"/>
                        <w:tcMar>
                          <w:top w:w="0" w:type="dxa"/>
                          <w:left w:w="0" w:type="dxa"/>
                          <w:bottom w:w="0" w:type="dxa"/>
                          <w:right w:w="0" w:type="dxa"/>
                        </w:tcMar>
                      </w:tcPr>
                      <w:p w14:paraId="451F1C16" w14:textId="77777777" w:rsidR="00DC7917" w:rsidRPr="00824357" w:rsidRDefault="00DC7917" w:rsidP="008008A9">
                        <w:pPr>
                          <w:spacing w:before="20" w:after="20"/>
                          <w:jc w:val="left"/>
                          <w:rPr>
                            <w:rFonts w:cs="Arial"/>
                            <w:color w:val="000000"/>
                            <w:sz w:val="16"/>
                            <w:szCs w:val="16"/>
                          </w:rPr>
                        </w:pPr>
                        <w:r>
                          <w:rPr>
                            <w:color w:val="000000"/>
                            <w:sz w:val="16"/>
                          </w:rPr>
                          <w:t>Leaf beet, Swiss chard</w:t>
                        </w:r>
                      </w:p>
                      <w:p w14:paraId="55854BB0" w14:textId="77777777" w:rsidR="00DC7917" w:rsidRPr="00824357" w:rsidRDefault="00DC7917" w:rsidP="008008A9">
                        <w:pPr>
                          <w:spacing w:before="20" w:after="20" w:line="1" w:lineRule="auto"/>
                          <w:jc w:val="left"/>
                        </w:pPr>
                      </w:p>
                    </w:tc>
                  </w:tr>
                </w:tbl>
                <w:p w14:paraId="4D492314" w14:textId="77777777"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38C36" w14:textId="77777777"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14:paraId="2EA4D996" w14:textId="77777777" w:rsidTr="008008A9">
                    <w:tc>
                      <w:tcPr>
                        <w:tcW w:w="1290" w:type="dxa"/>
                        <w:tcMar>
                          <w:top w:w="0" w:type="dxa"/>
                          <w:left w:w="0" w:type="dxa"/>
                          <w:bottom w:w="0" w:type="dxa"/>
                          <w:right w:w="0" w:type="dxa"/>
                        </w:tcMar>
                      </w:tcPr>
                      <w:p w14:paraId="13B6B435" w14:textId="77777777" w:rsidR="00DC7917" w:rsidRPr="00824357" w:rsidRDefault="00DC7917" w:rsidP="008008A9">
                        <w:pPr>
                          <w:spacing w:before="20" w:after="20"/>
                          <w:jc w:val="left"/>
                          <w:rPr>
                            <w:rFonts w:cs="Arial"/>
                            <w:color w:val="000000"/>
                            <w:sz w:val="16"/>
                            <w:szCs w:val="16"/>
                          </w:rPr>
                        </w:pPr>
                        <w:r>
                          <w:rPr>
                            <w:color w:val="000000"/>
                            <w:sz w:val="16"/>
                          </w:rPr>
                          <w:t>Poirée, Bette à cardes</w:t>
                        </w:r>
                      </w:p>
                      <w:p w14:paraId="632C1EC2" w14:textId="77777777" w:rsidR="00DC7917" w:rsidRPr="00824357" w:rsidRDefault="00DC7917" w:rsidP="008008A9">
                        <w:pPr>
                          <w:spacing w:before="20" w:after="20" w:line="1" w:lineRule="auto"/>
                          <w:jc w:val="left"/>
                        </w:pPr>
                      </w:p>
                    </w:tc>
                  </w:tr>
                </w:tbl>
                <w:p w14:paraId="053C128F" w14:textId="77777777"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09ADD" w14:textId="77777777"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14:paraId="09365FCB" w14:textId="77777777" w:rsidTr="008008A9">
                    <w:tc>
                      <w:tcPr>
                        <w:tcW w:w="1470" w:type="dxa"/>
                        <w:tcMar>
                          <w:top w:w="0" w:type="dxa"/>
                          <w:left w:w="0" w:type="dxa"/>
                          <w:bottom w:w="0" w:type="dxa"/>
                          <w:right w:w="0" w:type="dxa"/>
                        </w:tcMar>
                      </w:tcPr>
                      <w:p w14:paraId="686202D9" w14:textId="77777777" w:rsidR="00DC7917" w:rsidRPr="00824357" w:rsidRDefault="00DC7917" w:rsidP="008008A9">
                        <w:pPr>
                          <w:spacing w:before="20" w:after="20"/>
                          <w:jc w:val="left"/>
                          <w:rPr>
                            <w:rFonts w:cs="Arial"/>
                            <w:color w:val="000000"/>
                            <w:sz w:val="16"/>
                            <w:szCs w:val="16"/>
                          </w:rPr>
                        </w:pPr>
                        <w:r>
                          <w:rPr>
                            <w:color w:val="000000"/>
                            <w:sz w:val="16"/>
                          </w:rPr>
                          <w:t>Mangold</w:t>
                        </w:r>
                      </w:p>
                      <w:p w14:paraId="131434B3" w14:textId="77777777" w:rsidR="00DC7917" w:rsidRPr="00824357" w:rsidRDefault="00DC7917" w:rsidP="008008A9">
                        <w:pPr>
                          <w:spacing w:before="20" w:after="20" w:line="1" w:lineRule="auto"/>
                          <w:jc w:val="left"/>
                        </w:pPr>
                      </w:p>
                    </w:tc>
                  </w:tr>
                </w:tbl>
                <w:p w14:paraId="06059B08" w14:textId="77777777"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942CC" w14:textId="77777777"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0E81EAD0" w14:textId="77777777" w:rsidTr="008008A9">
                    <w:tc>
                      <w:tcPr>
                        <w:tcW w:w="1365" w:type="dxa"/>
                        <w:tcMar>
                          <w:top w:w="0" w:type="dxa"/>
                          <w:left w:w="0" w:type="dxa"/>
                          <w:bottom w:w="0" w:type="dxa"/>
                          <w:right w:w="0" w:type="dxa"/>
                        </w:tcMar>
                      </w:tcPr>
                      <w:p w14:paraId="04244B21" w14:textId="77777777" w:rsidR="00DC7917" w:rsidRPr="00824357" w:rsidRDefault="00DC7917" w:rsidP="008008A9">
                        <w:pPr>
                          <w:spacing w:before="20" w:after="20"/>
                          <w:jc w:val="left"/>
                          <w:rPr>
                            <w:rFonts w:cs="Arial"/>
                            <w:color w:val="000000"/>
                            <w:sz w:val="16"/>
                            <w:szCs w:val="16"/>
                          </w:rPr>
                        </w:pPr>
                        <w:r>
                          <w:rPr>
                            <w:color w:val="000000"/>
                            <w:sz w:val="16"/>
                          </w:rPr>
                          <w:t>Acelga</w:t>
                        </w:r>
                      </w:p>
                      <w:p w14:paraId="7F62DB3F" w14:textId="77777777" w:rsidR="00DC7917" w:rsidRPr="00824357" w:rsidRDefault="00DC7917" w:rsidP="008008A9">
                        <w:pPr>
                          <w:spacing w:before="20" w:after="20" w:line="1" w:lineRule="auto"/>
                          <w:jc w:val="left"/>
                        </w:pPr>
                      </w:p>
                    </w:tc>
                  </w:tr>
                </w:tbl>
                <w:p w14:paraId="2919E8D5" w14:textId="77777777"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600DA" w14:textId="77777777"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14:paraId="5F978C3C" w14:textId="77777777" w:rsidTr="008008A9">
                    <w:tc>
                      <w:tcPr>
                        <w:tcW w:w="1455" w:type="dxa"/>
                        <w:tcMar>
                          <w:top w:w="0" w:type="dxa"/>
                          <w:left w:w="0" w:type="dxa"/>
                          <w:bottom w:w="0" w:type="dxa"/>
                          <w:right w:w="0" w:type="dxa"/>
                        </w:tcMar>
                      </w:tcPr>
                      <w:p w14:paraId="1B5BA45B" w14:textId="77777777" w:rsidR="00DC7917" w:rsidRPr="00824357" w:rsidRDefault="00DC7917" w:rsidP="008008A9">
                        <w:pPr>
                          <w:spacing w:before="20" w:after="20"/>
                          <w:jc w:val="left"/>
                          <w:rPr>
                            <w:rFonts w:cs="Arial"/>
                            <w:color w:val="000000"/>
                            <w:sz w:val="16"/>
                            <w:szCs w:val="16"/>
                          </w:rPr>
                        </w:pPr>
                        <w:r>
                          <w:rPr>
                            <w:rStyle w:val="Emphasis"/>
                            <w:color w:val="000000"/>
                            <w:sz w:val="16"/>
                          </w:rPr>
                          <w:t>Beta vulgaris</w:t>
                        </w:r>
                        <w:r>
                          <w:rPr>
                            <w:color w:val="000000"/>
                            <w:sz w:val="16"/>
                          </w:rPr>
                          <w:t xml:space="preserve"> L. ssp. </w:t>
                        </w:r>
                        <w:r>
                          <w:rPr>
                            <w:rStyle w:val="Emphasis"/>
                            <w:color w:val="000000"/>
                            <w:sz w:val="16"/>
                          </w:rPr>
                          <w:t>vulgaris</w:t>
                        </w:r>
                        <w:r>
                          <w:rPr>
                            <w:color w:val="000000"/>
                            <w:sz w:val="16"/>
                          </w:rPr>
                          <w:t> var. </w:t>
                        </w:r>
                        <w:r>
                          <w:rPr>
                            <w:rFonts w:cs="Arial"/>
                            <w:color w:val="000000"/>
                            <w:sz w:val="16"/>
                            <w:szCs w:val="16"/>
                          </w:rPr>
                          <w:br/>
                        </w:r>
                        <w:r>
                          <w:rPr>
                            <w:rStyle w:val="Emphasis"/>
                            <w:color w:val="000000"/>
                            <w:sz w:val="16"/>
                          </w:rPr>
                          <w:t>flavescens</w:t>
                        </w:r>
                        <w:r>
                          <w:rPr>
                            <w:color w:val="000000"/>
                            <w:sz w:val="16"/>
                          </w:rPr>
                          <w:t> DC.</w:t>
                        </w:r>
                      </w:p>
                      <w:p w14:paraId="25BD05E3" w14:textId="77777777" w:rsidR="00DC7917" w:rsidRPr="00824357" w:rsidRDefault="00DC7917" w:rsidP="008008A9">
                        <w:pPr>
                          <w:spacing w:before="20" w:after="20" w:line="1" w:lineRule="auto"/>
                          <w:jc w:val="left"/>
                        </w:pPr>
                      </w:p>
                    </w:tc>
                  </w:tr>
                </w:tbl>
                <w:p w14:paraId="53EBD188" w14:textId="77777777" w:rsidR="00DC7917" w:rsidRPr="00824357" w:rsidRDefault="00DC7917" w:rsidP="008008A9">
                  <w:pPr>
                    <w:spacing w:before="20" w:after="20" w:line="1" w:lineRule="auto"/>
                    <w:jc w:val="left"/>
                  </w:pPr>
                </w:p>
              </w:tc>
            </w:tr>
            <w:tr w:rsidR="00DC7917" w:rsidRPr="00CE2720" w14:paraId="5F0ABCAB" w14:textId="77777777" w:rsidTr="008008A9">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DFF93A" w14:textId="77777777" w:rsidR="00DC7917" w:rsidRPr="00824357"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14:paraId="79A93EB9" w14:textId="77777777" w:rsidTr="008008A9">
                    <w:tc>
                      <w:tcPr>
                        <w:tcW w:w="645" w:type="dxa"/>
                        <w:tcMar>
                          <w:top w:w="0" w:type="dxa"/>
                          <w:left w:w="0" w:type="dxa"/>
                          <w:bottom w:w="0" w:type="dxa"/>
                          <w:right w:w="0" w:type="dxa"/>
                        </w:tcMar>
                      </w:tcPr>
                      <w:p w14:paraId="756916AF" w14:textId="77777777" w:rsidR="00DC7917" w:rsidRPr="00824357" w:rsidRDefault="00DC7917" w:rsidP="008008A9">
                        <w:pPr>
                          <w:spacing w:before="20" w:after="20"/>
                          <w:rPr>
                            <w:rFonts w:cs="Arial"/>
                            <w:color w:val="000000"/>
                            <w:sz w:val="16"/>
                            <w:szCs w:val="16"/>
                          </w:rPr>
                        </w:pPr>
                        <w:r>
                          <w:rPr>
                            <w:color w:val="000000"/>
                            <w:sz w:val="16"/>
                          </w:rPr>
                          <w:t>AU</w:t>
                        </w:r>
                      </w:p>
                      <w:p w14:paraId="5B983800" w14:textId="77777777" w:rsidR="00DC7917" w:rsidRPr="00824357" w:rsidRDefault="00DC7917" w:rsidP="008008A9">
                        <w:pPr>
                          <w:spacing w:before="20" w:after="20" w:line="1" w:lineRule="auto"/>
                        </w:pPr>
                      </w:p>
                    </w:tc>
                  </w:tr>
                </w:tbl>
                <w:p w14:paraId="6CD84088" w14:textId="77777777"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308F07" w14:textId="77777777"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14:paraId="504EFB40" w14:textId="77777777" w:rsidTr="008008A9">
                    <w:tc>
                      <w:tcPr>
                        <w:tcW w:w="885" w:type="dxa"/>
                        <w:tcMar>
                          <w:top w:w="0" w:type="dxa"/>
                          <w:left w:w="0" w:type="dxa"/>
                          <w:bottom w:w="0" w:type="dxa"/>
                          <w:right w:w="0" w:type="dxa"/>
                        </w:tcMar>
                      </w:tcPr>
                      <w:p w14:paraId="44EBCF7E" w14:textId="77777777" w:rsidR="00DC7917" w:rsidRPr="00824357" w:rsidRDefault="00DC7917" w:rsidP="008008A9">
                        <w:pPr>
                          <w:spacing w:before="20" w:after="20"/>
                          <w:rPr>
                            <w:rFonts w:cs="Arial"/>
                            <w:color w:val="000000"/>
                            <w:sz w:val="16"/>
                            <w:szCs w:val="16"/>
                          </w:rPr>
                        </w:pPr>
                        <w:r>
                          <w:rPr>
                            <w:color w:val="000000"/>
                            <w:sz w:val="16"/>
                          </w:rPr>
                          <w:t>TWF</w:t>
                        </w:r>
                      </w:p>
                      <w:p w14:paraId="2583E759" w14:textId="77777777" w:rsidR="00DC7917" w:rsidRPr="00824357" w:rsidRDefault="00DC7917" w:rsidP="008008A9">
                        <w:pPr>
                          <w:spacing w:before="20" w:after="20" w:line="1" w:lineRule="auto"/>
                        </w:pPr>
                      </w:p>
                    </w:tc>
                  </w:tr>
                </w:tbl>
                <w:p w14:paraId="0109AFC1" w14:textId="77777777"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A828FF" w14:textId="77777777"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14:paraId="18B1D9F8" w14:textId="77777777" w:rsidTr="008008A9">
                    <w:tc>
                      <w:tcPr>
                        <w:tcW w:w="1245" w:type="dxa"/>
                        <w:tcMar>
                          <w:top w:w="0" w:type="dxa"/>
                          <w:left w:w="0" w:type="dxa"/>
                          <w:bottom w:w="0" w:type="dxa"/>
                          <w:right w:w="0" w:type="dxa"/>
                        </w:tcMar>
                      </w:tcPr>
                      <w:p w14:paraId="2D39AD15" w14:textId="77777777" w:rsidR="00DC7917" w:rsidRPr="00824357" w:rsidRDefault="00DC7917" w:rsidP="008008A9">
                        <w:pPr>
                          <w:rPr>
                            <w:sz w:val="16"/>
                          </w:rPr>
                        </w:pPr>
                        <w:r>
                          <w:rPr>
                            <w:sz w:val="16"/>
                          </w:rPr>
                          <w:t>TG/111/4(proj.5),</w:t>
                        </w:r>
                        <w:r>
                          <w:rPr>
                            <w:sz w:val="16"/>
                          </w:rPr>
                          <w:br/>
                          <w:t>TC/55/18</w:t>
                        </w:r>
                      </w:p>
                    </w:tc>
                  </w:tr>
                </w:tbl>
                <w:p w14:paraId="7A03C2AD" w14:textId="77777777" w:rsidR="00DC7917" w:rsidRPr="00824357" w:rsidRDefault="00DC7917" w:rsidP="008008A9"/>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14:paraId="0FA27A14" w14:textId="77777777" w:rsidTr="008008A9">
                    <w:tc>
                      <w:tcPr>
                        <w:tcW w:w="1545" w:type="dxa"/>
                        <w:tcMar>
                          <w:top w:w="0" w:type="dxa"/>
                          <w:left w:w="0" w:type="dxa"/>
                          <w:bottom w:w="0" w:type="dxa"/>
                          <w:right w:w="0" w:type="dxa"/>
                        </w:tcMar>
                      </w:tcPr>
                      <w:p w14:paraId="7D5060E7" w14:textId="77777777" w:rsidR="00DC7917" w:rsidRPr="00824357" w:rsidRDefault="00DC7917" w:rsidP="008008A9">
                        <w:r>
                          <w:rPr>
                            <w:sz w:val="16"/>
                          </w:rPr>
                          <w:t>Macadamia</w:t>
                        </w:r>
                        <w:r>
                          <w:t xml:space="preserve"> </w:t>
                        </w:r>
                      </w:p>
                    </w:tc>
                  </w:tr>
                </w:tbl>
                <w:p w14:paraId="673203FD" w14:textId="77777777" w:rsidR="00DC7917" w:rsidRPr="00824357" w:rsidRDefault="00DC7917" w:rsidP="008008A9"/>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14:paraId="3A9C6926" w14:textId="77777777" w:rsidTr="008008A9">
                    <w:tc>
                      <w:tcPr>
                        <w:tcW w:w="1290" w:type="dxa"/>
                        <w:tcMar>
                          <w:top w:w="0" w:type="dxa"/>
                          <w:left w:w="0" w:type="dxa"/>
                          <w:bottom w:w="0" w:type="dxa"/>
                          <w:right w:w="0" w:type="dxa"/>
                        </w:tcMar>
                      </w:tcPr>
                      <w:p w14:paraId="04CFFFFE" w14:textId="77777777" w:rsidR="00DC7917" w:rsidRPr="00824357" w:rsidRDefault="00DC7917" w:rsidP="008008A9">
                        <w:r>
                          <w:rPr>
                            <w:sz w:val="16"/>
                          </w:rPr>
                          <w:t>Macadamia</w:t>
                        </w:r>
                        <w:r>
                          <w:t xml:space="preserve"> </w:t>
                        </w:r>
                      </w:p>
                    </w:tc>
                  </w:tr>
                </w:tbl>
                <w:p w14:paraId="1D7AA149" w14:textId="77777777" w:rsidR="00DC7917" w:rsidRPr="00824357" w:rsidRDefault="00DC7917" w:rsidP="008008A9"/>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14:paraId="454B43D7" w14:textId="77777777" w:rsidTr="008008A9">
                    <w:tc>
                      <w:tcPr>
                        <w:tcW w:w="1470" w:type="dxa"/>
                        <w:tcMar>
                          <w:top w:w="0" w:type="dxa"/>
                          <w:left w:w="0" w:type="dxa"/>
                          <w:bottom w:w="0" w:type="dxa"/>
                          <w:right w:w="0" w:type="dxa"/>
                        </w:tcMar>
                      </w:tcPr>
                      <w:p w14:paraId="048A3621" w14:textId="77777777" w:rsidR="00DC7917" w:rsidRPr="00824357" w:rsidRDefault="00DC7917" w:rsidP="008008A9">
                        <w:r>
                          <w:rPr>
                            <w:sz w:val="16"/>
                          </w:rPr>
                          <w:t>Macadamia</w:t>
                        </w:r>
                        <w:r>
                          <w:t xml:space="preserve"> </w:t>
                        </w:r>
                      </w:p>
                    </w:tc>
                  </w:tr>
                </w:tbl>
                <w:p w14:paraId="73765D41" w14:textId="77777777" w:rsidR="00DC7917" w:rsidRPr="00824357" w:rsidRDefault="00DC7917" w:rsidP="008008A9"/>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3CED1617" w14:textId="77777777" w:rsidTr="008008A9">
                    <w:tc>
                      <w:tcPr>
                        <w:tcW w:w="1365" w:type="dxa"/>
                        <w:tcMar>
                          <w:top w:w="0" w:type="dxa"/>
                          <w:left w:w="0" w:type="dxa"/>
                          <w:bottom w:w="0" w:type="dxa"/>
                          <w:right w:w="0" w:type="dxa"/>
                        </w:tcMar>
                      </w:tcPr>
                      <w:p w14:paraId="1EE471C3" w14:textId="77777777" w:rsidR="00DC7917" w:rsidRPr="00824357" w:rsidRDefault="00DC7917" w:rsidP="008008A9">
                        <w:r>
                          <w:rPr>
                            <w:sz w:val="16"/>
                          </w:rPr>
                          <w:t>Macadamia</w:t>
                        </w:r>
                        <w:r>
                          <w:t xml:space="preserve"> </w:t>
                        </w:r>
                      </w:p>
                    </w:tc>
                  </w:tr>
                </w:tbl>
                <w:p w14:paraId="6E75386F" w14:textId="77777777" w:rsidR="00DC7917" w:rsidRPr="00824357" w:rsidRDefault="00DC7917" w:rsidP="008008A9"/>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C7917" w:rsidRPr="00CE2720" w14:paraId="12015E65" w14:textId="77777777" w:rsidTr="008008A9">
                    <w:tc>
                      <w:tcPr>
                        <w:tcW w:w="1455" w:type="dxa"/>
                        <w:tcMar>
                          <w:top w:w="0" w:type="dxa"/>
                          <w:left w:w="0" w:type="dxa"/>
                          <w:bottom w:w="0" w:type="dxa"/>
                          <w:right w:w="0" w:type="dxa"/>
                        </w:tcMar>
                      </w:tcPr>
                      <w:p w14:paraId="2202F07D" w14:textId="77777777" w:rsidR="00DC7917" w:rsidRPr="000C3495" w:rsidRDefault="00DC7917" w:rsidP="008008A9">
                        <w:pPr>
                          <w:rPr>
                            <w:sz w:val="16"/>
                            <w:szCs w:val="16"/>
                          </w:rPr>
                        </w:pPr>
                        <w:r>
                          <w:rPr>
                            <w:i/>
                            <w:sz w:val="16"/>
                          </w:rPr>
                          <w:t>Macadamia integrifolia</w:t>
                        </w:r>
                        <w:r>
                          <w:rPr>
                            <w:sz w:val="16"/>
                          </w:rPr>
                          <w:t xml:space="preserve"> Maiden et Betche; </w:t>
                        </w:r>
                      </w:p>
                      <w:p w14:paraId="65D0B01E" w14:textId="77777777" w:rsidR="00DC7917" w:rsidRPr="000C3495" w:rsidRDefault="00DC7917" w:rsidP="008008A9">
                        <w:r>
                          <w:rPr>
                            <w:i/>
                            <w:sz w:val="16"/>
                          </w:rPr>
                          <w:t>Macadamia tetraphylla</w:t>
                        </w:r>
                        <w:r>
                          <w:rPr>
                            <w:sz w:val="16"/>
                          </w:rPr>
                          <w:t xml:space="preserve"> L. Johns.</w:t>
                        </w:r>
                      </w:p>
                    </w:tc>
                  </w:tr>
                </w:tbl>
                <w:p w14:paraId="598F06F5" w14:textId="77777777" w:rsidR="00DC7917" w:rsidRPr="000C3495" w:rsidRDefault="00DC7917" w:rsidP="008008A9"/>
              </w:tc>
            </w:tr>
            <w:tr w:rsidR="00DC7917" w:rsidRPr="00824357" w14:paraId="7A782284" w14:textId="77777777" w:rsidTr="008008A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4D9E4" w14:textId="77777777" w:rsidR="00DC7917" w:rsidRPr="000C3495"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14:paraId="51AA9F57" w14:textId="77777777" w:rsidTr="008008A9">
                    <w:tc>
                      <w:tcPr>
                        <w:tcW w:w="645" w:type="dxa"/>
                        <w:tcMar>
                          <w:top w:w="0" w:type="dxa"/>
                          <w:left w:w="0" w:type="dxa"/>
                          <w:bottom w:w="0" w:type="dxa"/>
                          <w:right w:w="0" w:type="dxa"/>
                        </w:tcMar>
                      </w:tcPr>
                      <w:p w14:paraId="0157DDA4" w14:textId="77777777" w:rsidR="00DC7917" w:rsidRPr="00824357" w:rsidRDefault="00DC7917" w:rsidP="008008A9">
                        <w:pPr>
                          <w:spacing w:before="20" w:after="20"/>
                          <w:rPr>
                            <w:rFonts w:cs="Arial"/>
                            <w:color w:val="000000"/>
                            <w:sz w:val="16"/>
                            <w:szCs w:val="16"/>
                          </w:rPr>
                        </w:pPr>
                        <w:r>
                          <w:rPr>
                            <w:color w:val="000000"/>
                            <w:sz w:val="16"/>
                          </w:rPr>
                          <w:t>AU</w:t>
                        </w:r>
                      </w:p>
                      <w:p w14:paraId="22DE9FF1" w14:textId="77777777" w:rsidR="00DC7917" w:rsidRPr="00824357" w:rsidRDefault="00DC7917" w:rsidP="008008A9">
                        <w:pPr>
                          <w:spacing w:before="20" w:after="20" w:line="1" w:lineRule="auto"/>
                        </w:pPr>
                      </w:p>
                    </w:tc>
                  </w:tr>
                </w:tbl>
                <w:p w14:paraId="19AFBA31" w14:textId="77777777"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6A30D" w14:textId="77777777"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14:paraId="1026E59A" w14:textId="77777777" w:rsidTr="008008A9">
                    <w:tc>
                      <w:tcPr>
                        <w:tcW w:w="885" w:type="dxa"/>
                        <w:tcMar>
                          <w:top w:w="0" w:type="dxa"/>
                          <w:left w:w="0" w:type="dxa"/>
                          <w:bottom w:w="0" w:type="dxa"/>
                          <w:right w:w="0" w:type="dxa"/>
                        </w:tcMar>
                      </w:tcPr>
                      <w:p w14:paraId="1929D482" w14:textId="77777777" w:rsidR="00DC7917" w:rsidRPr="00824357" w:rsidRDefault="00DC7917" w:rsidP="008008A9">
                        <w:pPr>
                          <w:spacing w:before="20" w:after="20"/>
                          <w:rPr>
                            <w:rFonts w:cs="Arial"/>
                            <w:color w:val="000000"/>
                            <w:sz w:val="16"/>
                            <w:szCs w:val="16"/>
                          </w:rPr>
                        </w:pPr>
                        <w:r>
                          <w:rPr>
                            <w:color w:val="000000"/>
                            <w:sz w:val="16"/>
                          </w:rPr>
                          <w:t>TWO</w:t>
                        </w:r>
                      </w:p>
                      <w:p w14:paraId="74CA4E33" w14:textId="77777777" w:rsidR="00DC7917" w:rsidRPr="00824357" w:rsidRDefault="00DC7917" w:rsidP="008008A9">
                        <w:pPr>
                          <w:spacing w:before="20" w:after="20" w:line="1" w:lineRule="auto"/>
                        </w:pPr>
                      </w:p>
                    </w:tc>
                  </w:tr>
                </w:tbl>
                <w:p w14:paraId="3F430E27" w14:textId="77777777"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2B368" w14:textId="77777777"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14:paraId="1DA88BE2" w14:textId="77777777" w:rsidTr="008008A9">
                    <w:tc>
                      <w:tcPr>
                        <w:tcW w:w="1245" w:type="dxa"/>
                        <w:tcMar>
                          <w:top w:w="0" w:type="dxa"/>
                          <w:left w:w="0" w:type="dxa"/>
                          <w:bottom w:w="0" w:type="dxa"/>
                          <w:right w:w="0" w:type="dxa"/>
                        </w:tcMar>
                      </w:tcPr>
                      <w:p w14:paraId="532949F6" w14:textId="77777777" w:rsidR="00DC7917" w:rsidRPr="00824357" w:rsidRDefault="00DC7917" w:rsidP="008008A9">
                        <w:pPr>
                          <w:spacing w:before="20" w:after="20"/>
                          <w:jc w:val="left"/>
                          <w:rPr>
                            <w:rFonts w:cs="Arial"/>
                            <w:color w:val="000000"/>
                            <w:sz w:val="16"/>
                            <w:szCs w:val="16"/>
                          </w:rPr>
                        </w:pPr>
                        <w:r>
                          <w:rPr>
                            <w:color w:val="000000"/>
                            <w:sz w:val="16"/>
                          </w:rPr>
                          <w:t>TG/175/4(proj.3)</w:t>
                        </w:r>
                      </w:p>
                      <w:p w14:paraId="72075082" w14:textId="77777777" w:rsidR="00DC7917" w:rsidRPr="00824357" w:rsidRDefault="00DC7917" w:rsidP="008008A9">
                        <w:pPr>
                          <w:spacing w:before="20" w:after="20" w:line="1" w:lineRule="auto"/>
                          <w:jc w:val="left"/>
                        </w:pPr>
                      </w:p>
                    </w:tc>
                  </w:tr>
                </w:tbl>
                <w:p w14:paraId="660B0BEE" w14:textId="77777777"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59774" w14:textId="77777777"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14:paraId="04943AA7" w14:textId="77777777" w:rsidTr="008008A9">
                    <w:tc>
                      <w:tcPr>
                        <w:tcW w:w="1545" w:type="dxa"/>
                        <w:tcMar>
                          <w:top w:w="0" w:type="dxa"/>
                          <w:left w:w="0" w:type="dxa"/>
                          <w:bottom w:w="0" w:type="dxa"/>
                          <w:right w:w="0" w:type="dxa"/>
                        </w:tcMar>
                      </w:tcPr>
                      <w:p w14:paraId="2D202FDB" w14:textId="77777777" w:rsidR="00DC7917" w:rsidRPr="00824357" w:rsidRDefault="00DC7917" w:rsidP="008008A9">
                        <w:pPr>
                          <w:spacing w:before="20" w:after="20"/>
                          <w:jc w:val="left"/>
                          <w:rPr>
                            <w:rFonts w:cs="Arial"/>
                            <w:color w:val="000000"/>
                            <w:sz w:val="16"/>
                            <w:szCs w:val="16"/>
                          </w:rPr>
                        </w:pPr>
                        <w:r>
                          <w:rPr>
                            <w:color w:val="000000"/>
                            <w:sz w:val="16"/>
                          </w:rPr>
                          <w:t>Kangaroo Paw</w:t>
                        </w:r>
                      </w:p>
                      <w:p w14:paraId="46D8C1EB" w14:textId="77777777" w:rsidR="00DC7917" w:rsidRPr="00824357" w:rsidRDefault="00DC7917" w:rsidP="008008A9">
                        <w:pPr>
                          <w:spacing w:before="20" w:after="20" w:line="1" w:lineRule="auto"/>
                          <w:jc w:val="left"/>
                        </w:pPr>
                      </w:p>
                    </w:tc>
                  </w:tr>
                </w:tbl>
                <w:p w14:paraId="459AC9D2" w14:textId="77777777"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D5D1F" w14:textId="77777777"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14:paraId="7D7DC78A" w14:textId="77777777" w:rsidTr="008008A9">
                    <w:tc>
                      <w:tcPr>
                        <w:tcW w:w="1290" w:type="dxa"/>
                        <w:tcMar>
                          <w:top w:w="0" w:type="dxa"/>
                          <w:left w:w="0" w:type="dxa"/>
                          <w:bottom w:w="0" w:type="dxa"/>
                          <w:right w:w="0" w:type="dxa"/>
                        </w:tcMar>
                      </w:tcPr>
                      <w:p w14:paraId="732A5450" w14:textId="77777777" w:rsidR="00DC7917" w:rsidRPr="00824357" w:rsidRDefault="00DC7917" w:rsidP="008008A9">
                        <w:pPr>
                          <w:spacing w:before="20" w:after="20"/>
                          <w:jc w:val="left"/>
                          <w:rPr>
                            <w:rFonts w:cs="Arial"/>
                            <w:color w:val="000000"/>
                            <w:sz w:val="16"/>
                            <w:szCs w:val="16"/>
                          </w:rPr>
                        </w:pPr>
                        <w:r>
                          <w:rPr>
                            <w:color w:val="000000"/>
                            <w:sz w:val="16"/>
                          </w:rPr>
                          <w:t>Anigozanthos</w:t>
                        </w:r>
                      </w:p>
                      <w:p w14:paraId="39F16A0A" w14:textId="77777777" w:rsidR="00DC7917" w:rsidRPr="00824357" w:rsidRDefault="00DC7917" w:rsidP="008008A9">
                        <w:pPr>
                          <w:spacing w:before="20" w:after="20" w:line="1" w:lineRule="auto"/>
                          <w:jc w:val="left"/>
                        </w:pPr>
                      </w:p>
                    </w:tc>
                  </w:tr>
                </w:tbl>
                <w:p w14:paraId="5D5CE507" w14:textId="77777777"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B2CF6" w14:textId="77777777"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14:paraId="23097AEA" w14:textId="77777777" w:rsidTr="008008A9">
                    <w:tc>
                      <w:tcPr>
                        <w:tcW w:w="1470" w:type="dxa"/>
                        <w:tcMar>
                          <w:top w:w="0" w:type="dxa"/>
                          <w:left w:w="0" w:type="dxa"/>
                          <w:bottom w:w="0" w:type="dxa"/>
                          <w:right w:w="0" w:type="dxa"/>
                        </w:tcMar>
                      </w:tcPr>
                      <w:p w14:paraId="4088B707" w14:textId="77777777" w:rsidR="00DC7917" w:rsidRPr="00824357" w:rsidRDefault="00DC7917" w:rsidP="008008A9">
                        <w:pPr>
                          <w:spacing w:before="20" w:after="20"/>
                          <w:jc w:val="left"/>
                          <w:rPr>
                            <w:rFonts w:cs="Arial"/>
                            <w:color w:val="000000"/>
                            <w:sz w:val="16"/>
                            <w:szCs w:val="16"/>
                          </w:rPr>
                        </w:pPr>
                        <w:r>
                          <w:rPr>
                            <w:color w:val="000000"/>
                            <w:sz w:val="16"/>
                          </w:rPr>
                          <w:t>Känguruhblume</w:t>
                        </w:r>
                      </w:p>
                      <w:p w14:paraId="57E26354" w14:textId="77777777" w:rsidR="00DC7917" w:rsidRPr="00824357" w:rsidRDefault="00DC7917" w:rsidP="008008A9">
                        <w:pPr>
                          <w:spacing w:before="20" w:after="20" w:line="1" w:lineRule="auto"/>
                          <w:jc w:val="left"/>
                        </w:pPr>
                      </w:p>
                    </w:tc>
                  </w:tr>
                </w:tbl>
                <w:p w14:paraId="3DBD1DFA" w14:textId="77777777"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3D7CA" w14:textId="77777777"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6013AED5" w14:textId="77777777" w:rsidTr="008008A9">
                    <w:tc>
                      <w:tcPr>
                        <w:tcW w:w="1365" w:type="dxa"/>
                        <w:tcMar>
                          <w:top w:w="0" w:type="dxa"/>
                          <w:left w:w="0" w:type="dxa"/>
                          <w:bottom w:w="0" w:type="dxa"/>
                          <w:right w:w="0" w:type="dxa"/>
                        </w:tcMar>
                      </w:tcPr>
                      <w:p w14:paraId="2EEA1D4D" w14:textId="77777777" w:rsidR="00DC7917" w:rsidRPr="00824357" w:rsidRDefault="00DC7917" w:rsidP="008008A9">
                        <w:pPr>
                          <w:spacing w:before="20" w:after="20"/>
                          <w:jc w:val="left"/>
                          <w:rPr>
                            <w:rFonts w:cs="Arial"/>
                            <w:color w:val="000000"/>
                            <w:sz w:val="16"/>
                            <w:szCs w:val="16"/>
                          </w:rPr>
                        </w:pPr>
                        <w:r>
                          <w:rPr>
                            <w:color w:val="000000"/>
                            <w:sz w:val="16"/>
                          </w:rPr>
                          <w:t>Anigozanthos</w:t>
                        </w:r>
                      </w:p>
                      <w:p w14:paraId="6672E04C" w14:textId="77777777" w:rsidR="00DC7917" w:rsidRPr="00824357" w:rsidRDefault="00DC7917" w:rsidP="008008A9">
                        <w:pPr>
                          <w:spacing w:before="20" w:after="20" w:line="1" w:lineRule="auto"/>
                          <w:jc w:val="left"/>
                        </w:pPr>
                      </w:p>
                    </w:tc>
                  </w:tr>
                </w:tbl>
                <w:p w14:paraId="6E26F871" w14:textId="77777777"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609CC" w14:textId="77777777"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14:paraId="794238A7" w14:textId="77777777" w:rsidTr="008008A9">
                    <w:tc>
                      <w:tcPr>
                        <w:tcW w:w="1455" w:type="dxa"/>
                        <w:tcMar>
                          <w:top w:w="0" w:type="dxa"/>
                          <w:left w:w="0" w:type="dxa"/>
                          <w:bottom w:w="0" w:type="dxa"/>
                          <w:right w:w="0" w:type="dxa"/>
                        </w:tcMar>
                      </w:tcPr>
                      <w:p w14:paraId="3082D5F7" w14:textId="77777777" w:rsidR="00DC7917" w:rsidRPr="00824357" w:rsidRDefault="00DC7917" w:rsidP="008008A9">
                        <w:pPr>
                          <w:spacing w:before="20" w:after="20"/>
                          <w:jc w:val="left"/>
                          <w:rPr>
                            <w:rFonts w:cs="Arial"/>
                            <w:color w:val="000000"/>
                            <w:sz w:val="16"/>
                            <w:szCs w:val="16"/>
                          </w:rPr>
                        </w:pPr>
                        <w:r>
                          <w:rPr>
                            <w:i/>
                            <w:color w:val="000000"/>
                            <w:sz w:val="16"/>
                          </w:rPr>
                          <w:t>Anigozanthos</w:t>
                        </w:r>
                        <w:r>
                          <w:rPr>
                            <w:color w:val="000000"/>
                            <w:sz w:val="16"/>
                          </w:rPr>
                          <w:t> </w:t>
                        </w:r>
                        <w:r>
                          <w:rPr>
                            <w:rFonts w:cs="Arial"/>
                            <w:color w:val="000000"/>
                            <w:sz w:val="16"/>
                            <w:szCs w:val="16"/>
                          </w:rPr>
                          <w:br/>
                        </w:r>
                        <w:r>
                          <w:rPr>
                            <w:color w:val="000000"/>
                            <w:sz w:val="16"/>
                          </w:rPr>
                          <w:t>Labill., </w:t>
                        </w:r>
                        <w:r>
                          <w:rPr>
                            <w:rStyle w:val="Emphasis"/>
                            <w:color w:val="000000"/>
                            <w:sz w:val="16"/>
                          </w:rPr>
                          <w:t>Macropidia fuliginosa</w:t>
                        </w:r>
                        <w:r>
                          <w:rPr>
                            <w:color w:val="000000"/>
                            <w:sz w:val="16"/>
                          </w:rPr>
                          <w:t> (Hook.) Druce</w:t>
                        </w:r>
                      </w:p>
                      <w:p w14:paraId="26572C10" w14:textId="77777777" w:rsidR="00DC7917" w:rsidRPr="00824357" w:rsidRDefault="00DC7917" w:rsidP="008008A9">
                        <w:pPr>
                          <w:spacing w:before="20" w:after="20" w:line="1" w:lineRule="auto"/>
                          <w:jc w:val="left"/>
                        </w:pPr>
                      </w:p>
                    </w:tc>
                  </w:tr>
                </w:tbl>
                <w:p w14:paraId="7C844C82" w14:textId="77777777" w:rsidR="00DC7917" w:rsidRPr="00824357" w:rsidRDefault="00DC7917" w:rsidP="008008A9">
                  <w:pPr>
                    <w:spacing w:before="20" w:after="20" w:line="1" w:lineRule="auto"/>
                    <w:jc w:val="left"/>
                  </w:pPr>
                </w:p>
              </w:tc>
            </w:tr>
            <w:tr w:rsidR="00DC7917" w:rsidRPr="00824357" w14:paraId="4D020E24" w14:textId="77777777" w:rsidTr="008008A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11591" w14:textId="77777777" w:rsidR="00DC7917" w:rsidRPr="00824357"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14:paraId="291ECE14" w14:textId="77777777" w:rsidTr="008008A9">
                    <w:tc>
                      <w:tcPr>
                        <w:tcW w:w="645" w:type="dxa"/>
                        <w:tcMar>
                          <w:top w:w="0" w:type="dxa"/>
                          <w:left w:w="0" w:type="dxa"/>
                          <w:bottom w:w="0" w:type="dxa"/>
                          <w:right w:w="0" w:type="dxa"/>
                        </w:tcMar>
                      </w:tcPr>
                      <w:p w14:paraId="09354002" w14:textId="77777777" w:rsidR="00DC7917" w:rsidRPr="00824357" w:rsidRDefault="00DC7917" w:rsidP="008008A9">
                        <w:pPr>
                          <w:spacing w:before="20" w:after="20"/>
                          <w:rPr>
                            <w:rFonts w:cs="Arial"/>
                            <w:color w:val="000000"/>
                            <w:sz w:val="16"/>
                            <w:szCs w:val="16"/>
                          </w:rPr>
                        </w:pPr>
                        <w:r>
                          <w:rPr>
                            <w:color w:val="000000"/>
                            <w:sz w:val="16"/>
                          </w:rPr>
                          <w:t>NL</w:t>
                        </w:r>
                      </w:p>
                      <w:p w14:paraId="5AE54898" w14:textId="77777777" w:rsidR="00DC7917" w:rsidRPr="00824357" w:rsidRDefault="00DC7917" w:rsidP="008008A9">
                        <w:pPr>
                          <w:spacing w:before="20" w:after="20" w:line="1" w:lineRule="auto"/>
                        </w:pPr>
                      </w:p>
                    </w:tc>
                  </w:tr>
                </w:tbl>
                <w:p w14:paraId="1DD4AD75" w14:textId="77777777"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F3354" w14:textId="77777777"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14:paraId="7478B5B3" w14:textId="77777777" w:rsidTr="008008A9">
                    <w:tc>
                      <w:tcPr>
                        <w:tcW w:w="885" w:type="dxa"/>
                        <w:tcMar>
                          <w:top w:w="0" w:type="dxa"/>
                          <w:left w:w="0" w:type="dxa"/>
                          <w:bottom w:w="0" w:type="dxa"/>
                          <w:right w:w="0" w:type="dxa"/>
                        </w:tcMar>
                      </w:tcPr>
                      <w:p w14:paraId="7930DE7A" w14:textId="77777777" w:rsidR="00DC7917" w:rsidRPr="00824357" w:rsidRDefault="00DC7917" w:rsidP="008008A9">
                        <w:pPr>
                          <w:spacing w:before="20" w:after="20"/>
                          <w:rPr>
                            <w:rFonts w:cs="Arial"/>
                            <w:color w:val="000000"/>
                            <w:sz w:val="16"/>
                            <w:szCs w:val="16"/>
                          </w:rPr>
                        </w:pPr>
                        <w:r>
                          <w:rPr>
                            <w:color w:val="000000"/>
                            <w:sz w:val="16"/>
                          </w:rPr>
                          <w:t>TWV</w:t>
                        </w:r>
                      </w:p>
                      <w:p w14:paraId="62D3DAAB" w14:textId="77777777" w:rsidR="00DC7917" w:rsidRPr="00824357" w:rsidRDefault="00DC7917" w:rsidP="008008A9">
                        <w:pPr>
                          <w:spacing w:before="20" w:after="20" w:line="1" w:lineRule="auto"/>
                        </w:pPr>
                      </w:p>
                    </w:tc>
                  </w:tr>
                </w:tbl>
                <w:p w14:paraId="55DF7D3A" w14:textId="77777777"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3F4CE" w14:textId="77777777"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14:paraId="6A838953" w14:textId="77777777" w:rsidTr="008008A9">
                    <w:tc>
                      <w:tcPr>
                        <w:tcW w:w="1245" w:type="dxa"/>
                        <w:tcMar>
                          <w:top w:w="0" w:type="dxa"/>
                          <w:left w:w="0" w:type="dxa"/>
                          <w:bottom w:w="0" w:type="dxa"/>
                          <w:right w:w="0" w:type="dxa"/>
                        </w:tcMar>
                      </w:tcPr>
                      <w:p w14:paraId="536381C3" w14:textId="77777777" w:rsidR="00DC7917" w:rsidRPr="00824357" w:rsidRDefault="00DC7917" w:rsidP="008008A9">
                        <w:pPr>
                          <w:spacing w:before="20" w:after="20"/>
                          <w:jc w:val="left"/>
                          <w:rPr>
                            <w:rFonts w:cs="Arial"/>
                            <w:color w:val="000000"/>
                            <w:sz w:val="16"/>
                            <w:szCs w:val="16"/>
                          </w:rPr>
                        </w:pPr>
                        <w:r>
                          <w:rPr>
                            <w:color w:val="000000"/>
                            <w:sz w:val="16"/>
                          </w:rPr>
                          <w:t>TG/183/4(proj.3)</w:t>
                        </w:r>
                      </w:p>
                      <w:p w14:paraId="2B760AA8" w14:textId="77777777" w:rsidR="00DC7917" w:rsidRPr="00824357" w:rsidRDefault="00DC7917" w:rsidP="008008A9">
                        <w:pPr>
                          <w:spacing w:before="20" w:after="20" w:line="1" w:lineRule="auto"/>
                          <w:jc w:val="left"/>
                        </w:pPr>
                      </w:p>
                    </w:tc>
                  </w:tr>
                </w:tbl>
                <w:p w14:paraId="53381B21" w14:textId="77777777"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5A2FF" w14:textId="77777777"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14:paraId="7FA907FD" w14:textId="77777777" w:rsidTr="008008A9">
                    <w:tc>
                      <w:tcPr>
                        <w:tcW w:w="1545" w:type="dxa"/>
                        <w:tcMar>
                          <w:top w:w="0" w:type="dxa"/>
                          <w:left w:w="0" w:type="dxa"/>
                          <w:bottom w:w="0" w:type="dxa"/>
                          <w:right w:w="0" w:type="dxa"/>
                        </w:tcMar>
                      </w:tcPr>
                      <w:p w14:paraId="7DFADA96" w14:textId="77777777" w:rsidR="00DC7917" w:rsidRPr="00824357" w:rsidRDefault="00DC7917" w:rsidP="008008A9">
                        <w:pPr>
                          <w:spacing w:before="20" w:after="20"/>
                          <w:jc w:val="left"/>
                          <w:rPr>
                            <w:rFonts w:cs="Arial"/>
                            <w:color w:val="000000"/>
                            <w:sz w:val="16"/>
                            <w:szCs w:val="16"/>
                          </w:rPr>
                        </w:pPr>
                        <w:r>
                          <w:rPr>
                            <w:color w:val="000000"/>
                            <w:sz w:val="16"/>
                          </w:rPr>
                          <w:t>Fennel</w:t>
                        </w:r>
                      </w:p>
                      <w:p w14:paraId="1BA0B769" w14:textId="77777777" w:rsidR="00DC7917" w:rsidRPr="00824357" w:rsidRDefault="00DC7917" w:rsidP="008008A9">
                        <w:pPr>
                          <w:spacing w:before="20" w:after="20" w:line="1" w:lineRule="auto"/>
                          <w:jc w:val="left"/>
                        </w:pPr>
                      </w:p>
                    </w:tc>
                  </w:tr>
                </w:tbl>
                <w:p w14:paraId="12A474BE" w14:textId="77777777"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F4C01" w14:textId="77777777"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14:paraId="534B01EF" w14:textId="77777777" w:rsidTr="008008A9">
                    <w:tc>
                      <w:tcPr>
                        <w:tcW w:w="1290" w:type="dxa"/>
                        <w:tcMar>
                          <w:top w:w="0" w:type="dxa"/>
                          <w:left w:w="0" w:type="dxa"/>
                          <w:bottom w:w="0" w:type="dxa"/>
                          <w:right w:w="0" w:type="dxa"/>
                        </w:tcMar>
                      </w:tcPr>
                      <w:p w14:paraId="2DB397EF" w14:textId="77777777" w:rsidR="00DC7917" w:rsidRPr="00824357" w:rsidRDefault="00DC7917" w:rsidP="008008A9">
                        <w:pPr>
                          <w:spacing w:before="20" w:after="20"/>
                          <w:jc w:val="left"/>
                          <w:rPr>
                            <w:rFonts w:cs="Arial"/>
                            <w:color w:val="000000"/>
                            <w:sz w:val="16"/>
                            <w:szCs w:val="16"/>
                          </w:rPr>
                        </w:pPr>
                        <w:r>
                          <w:rPr>
                            <w:color w:val="000000"/>
                            <w:sz w:val="16"/>
                          </w:rPr>
                          <w:t>Fenouil</w:t>
                        </w:r>
                      </w:p>
                      <w:p w14:paraId="5DD86FEF" w14:textId="77777777" w:rsidR="00DC7917" w:rsidRPr="00824357" w:rsidRDefault="00DC7917" w:rsidP="008008A9">
                        <w:pPr>
                          <w:spacing w:before="20" w:after="20" w:line="1" w:lineRule="auto"/>
                          <w:jc w:val="left"/>
                        </w:pPr>
                      </w:p>
                    </w:tc>
                  </w:tr>
                </w:tbl>
                <w:p w14:paraId="7F960D0E" w14:textId="77777777"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FCD1E" w14:textId="77777777"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14:paraId="1AEF5CD7" w14:textId="77777777" w:rsidTr="008008A9">
                    <w:tc>
                      <w:tcPr>
                        <w:tcW w:w="1470" w:type="dxa"/>
                        <w:tcMar>
                          <w:top w:w="0" w:type="dxa"/>
                          <w:left w:w="0" w:type="dxa"/>
                          <w:bottom w:w="0" w:type="dxa"/>
                          <w:right w:w="0" w:type="dxa"/>
                        </w:tcMar>
                      </w:tcPr>
                      <w:p w14:paraId="53ECDBA1" w14:textId="77777777" w:rsidR="00DC7917" w:rsidRPr="00824357" w:rsidRDefault="00DC7917" w:rsidP="008008A9">
                        <w:pPr>
                          <w:spacing w:before="20" w:after="20"/>
                          <w:jc w:val="left"/>
                          <w:rPr>
                            <w:rFonts w:cs="Arial"/>
                            <w:color w:val="000000"/>
                            <w:sz w:val="16"/>
                            <w:szCs w:val="16"/>
                          </w:rPr>
                        </w:pPr>
                        <w:r>
                          <w:rPr>
                            <w:color w:val="000000"/>
                            <w:sz w:val="16"/>
                          </w:rPr>
                          <w:t>Fenchel</w:t>
                        </w:r>
                      </w:p>
                      <w:p w14:paraId="40B28043" w14:textId="77777777" w:rsidR="00DC7917" w:rsidRPr="00824357" w:rsidRDefault="00DC7917" w:rsidP="008008A9">
                        <w:pPr>
                          <w:spacing w:before="20" w:after="20" w:line="1" w:lineRule="auto"/>
                          <w:jc w:val="left"/>
                        </w:pPr>
                      </w:p>
                    </w:tc>
                  </w:tr>
                </w:tbl>
                <w:p w14:paraId="6BC9570E" w14:textId="77777777"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DA1B5" w14:textId="77777777"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14:paraId="16F248A7" w14:textId="77777777" w:rsidTr="008008A9">
                    <w:tc>
                      <w:tcPr>
                        <w:tcW w:w="1365" w:type="dxa"/>
                        <w:tcMar>
                          <w:top w:w="0" w:type="dxa"/>
                          <w:left w:w="0" w:type="dxa"/>
                          <w:bottom w:w="0" w:type="dxa"/>
                          <w:right w:w="0" w:type="dxa"/>
                        </w:tcMar>
                      </w:tcPr>
                      <w:p w14:paraId="59D16CB3" w14:textId="77777777" w:rsidR="00DC7917" w:rsidRPr="00824357" w:rsidRDefault="00DC7917" w:rsidP="008008A9">
                        <w:pPr>
                          <w:spacing w:before="20" w:after="20"/>
                          <w:jc w:val="left"/>
                          <w:rPr>
                            <w:rFonts w:cs="Arial"/>
                            <w:color w:val="000000"/>
                            <w:sz w:val="16"/>
                            <w:szCs w:val="16"/>
                          </w:rPr>
                        </w:pPr>
                        <w:r>
                          <w:rPr>
                            <w:color w:val="000000"/>
                            <w:sz w:val="16"/>
                          </w:rPr>
                          <w:t>Hinojo</w:t>
                        </w:r>
                      </w:p>
                      <w:p w14:paraId="524407F6" w14:textId="77777777" w:rsidR="00DC7917" w:rsidRPr="00824357" w:rsidRDefault="00DC7917" w:rsidP="008008A9">
                        <w:pPr>
                          <w:spacing w:before="20" w:after="20" w:line="1" w:lineRule="auto"/>
                          <w:jc w:val="left"/>
                        </w:pPr>
                      </w:p>
                    </w:tc>
                  </w:tr>
                </w:tbl>
                <w:p w14:paraId="67D9F1CD" w14:textId="77777777"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E3C16" w14:textId="77777777"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14:paraId="4BA2A606" w14:textId="77777777" w:rsidTr="008008A9">
                    <w:tc>
                      <w:tcPr>
                        <w:tcW w:w="1455" w:type="dxa"/>
                        <w:tcMar>
                          <w:top w:w="0" w:type="dxa"/>
                          <w:left w:w="0" w:type="dxa"/>
                          <w:bottom w:w="0" w:type="dxa"/>
                          <w:right w:w="0" w:type="dxa"/>
                        </w:tcMar>
                      </w:tcPr>
                      <w:p w14:paraId="35F3E013" w14:textId="77777777" w:rsidR="00DC7917" w:rsidRPr="00824357" w:rsidRDefault="00DC7917" w:rsidP="008008A9">
                        <w:pPr>
                          <w:spacing w:before="20" w:after="20"/>
                          <w:jc w:val="left"/>
                          <w:rPr>
                            <w:rFonts w:cs="Arial"/>
                            <w:color w:val="000000"/>
                            <w:sz w:val="16"/>
                            <w:szCs w:val="16"/>
                          </w:rPr>
                        </w:pPr>
                        <w:r>
                          <w:rPr>
                            <w:rStyle w:val="Emphasis"/>
                            <w:color w:val="000000"/>
                            <w:sz w:val="16"/>
                          </w:rPr>
                          <w:t>Foeniculum vulgare</w:t>
                        </w:r>
                        <w:r>
                          <w:rPr>
                            <w:color w:val="000000"/>
                            <w:sz w:val="16"/>
                          </w:rPr>
                          <w:t> Mill.</w:t>
                        </w:r>
                      </w:p>
                      <w:p w14:paraId="67E808B3" w14:textId="77777777" w:rsidR="00DC7917" w:rsidRPr="00824357" w:rsidRDefault="00DC7917" w:rsidP="008008A9">
                        <w:pPr>
                          <w:spacing w:before="20" w:after="20" w:line="1" w:lineRule="auto"/>
                          <w:jc w:val="left"/>
                        </w:pPr>
                      </w:p>
                    </w:tc>
                  </w:tr>
                </w:tbl>
                <w:p w14:paraId="39C81CB5" w14:textId="77777777" w:rsidR="00DC7917" w:rsidRPr="00824357" w:rsidRDefault="00DC7917" w:rsidP="008008A9">
                  <w:pPr>
                    <w:spacing w:before="20" w:after="20" w:line="1" w:lineRule="auto"/>
                    <w:jc w:val="left"/>
                  </w:pPr>
                </w:p>
              </w:tc>
            </w:tr>
          </w:tbl>
          <w:p w14:paraId="62E5525E" w14:textId="77777777" w:rsidR="00DC7917" w:rsidRPr="00824357" w:rsidRDefault="00DC7917" w:rsidP="008008A9">
            <w:pPr>
              <w:spacing w:line="1" w:lineRule="auto"/>
            </w:pPr>
          </w:p>
        </w:tc>
      </w:tr>
      <w:tr w:rsidR="00DC7917" w:rsidRPr="00824357" w14:paraId="008DD54D" w14:textId="77777777" w:rsidTr="008008A9">
        <w:tc>
          <w:tcPr>
            <w:tcW w:w="10080" w:type="dxa"/>
            <w:tcMar>
              <w:top w:w="0" w:type="dxa"/>
              <w:left w:w="0" w:type="dxa"/>
              <w:bottom w:w="0" w:type="dxa"/>
              <w:right w:w="0" w:type="dxa"/>
            </w:tcMar>
          </w:tcPr>
          <w:p w14:paraId="1890A81B" w14:textId="5BB304E5" w:rsidR="00DC7917" w:rsidRPr="00824357" w:rsidRDefault="002A0DA3" w:rsidP="00021FC8">
            <w:pPr>
              <w:rPr>
                <w:rFonts w:eastAsia="Arial" w:cs="Arial"/>
                <w:color w:val="000000"/>
              </w:rPr>
            </w:pPr>
            <w:r>
              <w:rPr>
                <w:color w:val="000000"/>
              </w:rPr>
              <w:t xml:space="preserve"> </w:t>
            </w:r>
          </w:p>
        </w:tc>
      </w:tr>
    </w:tbl>
    <w:p w14:paraId="1DF9420E" w14:textId="77777777" w:rsidR="004B7498" w:rsidRDefault="004B7498">
      <w:r>
        <w:br w:type="page"/>
      </w:r>
    </w:p>
    <w:tbl>
      <w:tblPr>
        <w:tblW w:w="10080" w:type="dxa"/>
        <w:tblLayout w:type="fixed"/>
        <w:tblLook w:val="01E0" w:firstRow="1" w:lastRow="1" w:firstColumn="1" w:lastColumn="1" w:noHBand="0" w:noVBand="0"/>
      </w:tblPr>
      <w:tblGrid>
        <w:gridCol w:w="10080"/>
      </w:tblGrid>
      <w:tr w:rsidR="00DC7917" w:rsidRPr="00963B6C" w14:paraId="27F0010C" w14:textId="77777777" w:rsidTr="008008A9">
        <w:tc>
          <w:tcPr>
            <w:tcW w:w="10080" w:type="dxa"/>
            <w:tcMar>
              <w:top w:w="0" w:type="dxa"/>
              <w:left w:w="0" w:type="dxa"/>
              <w:bottom w:w="0" w:type="dxa"/>
              <w:right w:w="0" w:type="dxa"/>
            </w:tcMar>
          </w:tcPr>
          <w:p w14:paraId="5C3C9502" w14:textId="056F6819" w:rsidR="003311C6" w:rsidRPr="00CC1E1E" w:rsidRDefault="005F1109">
            <w:pPr>
              <w:rPr>
                <w:lang w:val="fr-CH"/>
              </w:rPr>
            </w:pPr>
            <w:r w:rsidRPr="00CC1E1E">
              <w:rPr>
                <w:lang w:val="fr-CH"/>
              </w:rPr>
              <w:lastRenderedPageBreak/>
              <w:br w:type="page"/>
            </w:r>
            <w:r w:rsidR="003311C6" w:rsidRPr="00CC1E1E">
              <w:rPr>
                <w:color w:val="000000"/>
                <w:sz w:val="16"/>
                <w:u w:val="single"/>
                <w:lang w:val="fr-CH"/>
              </w:rPr>
              <w:t>PARTIAL REVISIONS OF TEST GUIDELINES / RÉVISIONS PARTIELLES DE PRINCIPES DIRECTEURS D’EXAMEN ADOPTÉS /</w:t>
            </w:r>
            <w:r w:rsidR="003311C6" w:rsidRPr="00CC1E1E">
              <w:rPr>
                <w:rFonts w:eastAsia="Arial" w:cs="Arial"/>
                <w:color w:val="000000"/>
                <w:sz w:val="16"/>
                <w:szCs w:val="16"/>
                <w:u w:val="single"/>
                <w:lang w:val="fr-CH"/>
              </w:rPr>
              <w:br/>
            </w:r>
            <w:r w:rsidR="003311C6" w:rsidRPr="00CC1E1E">
              <w:rPr>
                <w:color w:val="000000"/>
                <w:sz w:val="16"/>
                <w:u w:val="single"/>
                <w:lang w:val="fr-CH"/>
              </w:rPr>
              <w:t>TEILREVISIONEN ANGENOMMENER PRÜFUNGSRICHTLINIEN / REVISIONES PARCIALES DE DIRECTRICES DE EXAMEN ADOPTADAS</w:t>
            </w:r>
          </w:p>
          <w:p w14:paraId="1B2D43BF" w14:textId="77777777" w:rsidR="003311C6" w:rsidRPr="00CC1E1E" w:rsidRDefault="003311C6">
            <w:pPr>
              <w:rPr>
                <w:lang w:val="fr-CH"/>
              </w:rPr>
            </w:pPr>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3311C6" w:rsidRPr="00824357" w14:paraId="56AA826E" w14:textId="77777777" w:rsidTr="00DC7917">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14:paraId="465D385D" w14:textId="77777777" w:rsidTr="008008A9">
                    <w:tc>
                      <w:tcPr>
                        <w:tcW w:w="540" w:type="dxa"/>
                        <w:tcMar>
                          <w:top w:w="0" w:type="dxa"/>
                          <w:left w:w="0" w:type="dxa"/>
                          <w:bottom w:w="0" w:type="dxa"/>
                          <w:right w:w="0" w:type="dxa"/>
                        </w:tcMar>
                      </w:tcPr>
                      <w:p w14:paraId="328CC969" w14:textId="77777777" w:rsidR="003311C6" w:rsidRPr="00824357" w:rsidRDefault="003311C6" w:rsidP="003311C6">
                        <w:pPr>
                          <w:spacing w:before="20" w:after="20"/>
                          <w:rPr>
                            <w:rFonts w:cs="Arial"/>
                            <w:color w:val="000000"/>
                            <w:sz w:val="16"/>
                            <w:szCs w:val="16"/>
                          </w:rPr>
                        </w:pPr>
                        <w:r>
                          <w:rPr>
                            <w:color w:val="000000"/>
                            <w:sz w:val="16"/>
                          </w:rPr>
                          <w:t>NL</w:t>
                        </w:r>
                      </w:p>
                      <w:p w14:paraId="5E177E82" w14:textId="77777777" w:rsidR="003311C6" w:rsidRPr="00824357" w:rsidRDefault="003311C6" w:rsidP="003311C6">
                        <w:pPr>
                          <w:spacing w:before="20" w:after="20" w:line="1" w:lineRule="auto"/>
                        </w:pPr>
                      </w:p>
                    </w:tc>
                  </w:tr>
                </w:tbl>
                <w:p w14:paraId="01481A49" w14:textId="77777777"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51579" w14:textId="77777777"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14:paraId="2DE47C60" w14:textId="77777777" w:rsidTr="008008A9">
                    <w:tc>
                      <w:tcPr>
                        <w:tcW w:w="975" w:type="dxa"/>
                        <w:tcMar>
                          <w:top w:w="0" w:type="dxa"/>
                          <w:left w:w="0" w:type="dxa"/>
                          <w:bottom w:w="0" w:type="dxa"/>
                          <w:right w:w="0" w:type="dxa"/>
                        </w:tcMar>
                      </w:tcPr>
                      <w:p w14:paraId="17B58A38" w14:textId="77777777" w:rsidR="003311C6" w:rsidRPr="00824357" w:rsidRDefault="003311C6" w:rsidP="003311C6">
                        <w:pPr>
                          <w:spacing w:before="20" w:after="20"/>
                          <w:jc w:val="left"/>
                          <w:rPr>
                            <w:rFonts w:cs="Arial"/>
                            <w:color w:val="000000"/>
                            <w:sz w:val="16"/>
                            <w:szCs w:val="16"/>
                          </w:rPr>
                        </w:pPr>
                        <w:r>
                          <w:rPr>
                            <w:color w:val="000000"/>
                            <w:sz w:val="16"/>
                          </w:rPr>
                          <w:t>TWV</w:t>
                        </w:r>
                      </w:p>
                      <w:p w14:paraId="2A843B52" w14:textId="77777777" w:rsidR="003311C6" w:rsidRPr="00824357" w:rsidRDefault="003311C6" w:rsidP="003311C6">
                        <w:pPr>
                          <w:spacing w:before="20" w:after="20" w:line="1" w:lineRule="auto"/>
                          <w:jc w:val="left"/>
                        </w:pPr>
                      </w:p>
                    </w:tc>
                  </w:tr>
                </w:tbl>
                <w:p w14:paraId="31844292" w14:textId="77777777"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AB0C2" w14:textId="77777777"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14:paraId="417050D8" w14:textId="77777777" w:rsidTr="008008A9">
                    <w:tc>
                      <w:tcPr>
                        <w:tcW w:w="1413" w:type="dxa"/>
                        <w:tcMar>
                          <w:top w:w="0" w:type="dxa"/>
                          <w:left w:w="0" w:type="dxa"/>
                          <w:bottom w:w="0" w:type="dxa"/>
                          <w:right w:w="0" w:type="dxa"/>
                        </w:tcMar>
                      </w:tcPr>
                      <w:p w14:paraId="615BD485" w14:textId="77777777" w:rsidR="003311C6" w:rsidRPr="00824357" w:rsidRDefault="003311C6" w:rsidP="003311C6">
                        <w:pPr>
                          <w:spacing w:before="20" w:after="20"/>
                          <w:ind w:right="-13"/>
                          <w:jc w:val="left"/>
                          <w:rPr>
                            <w:rFonts w:cs="Arial"/>
                            <w:color w:val="000000"/>
                            <w:sz w:val="16"/>
                            <w:szCs w:val="16"/>
                          </w:rPr>
                        </w:pPr>
                        <w:r>
                          <w:rPr>
                            <w:color w:val="000000"/>
                            <w:sz w:val="16"/>
                          </w:rPr>
                          <w:t>TG/44/11 Rev. 3 (proj.2)</w:t>
                        </w:r>
                      </w:p>
                      <w:p w14:paraId="1AF4EE8D" w14:textId="77777777" w:rsidR="003311C6" w:rsidRPr="00824357" w:rsidRDefault="003311C6" w:rsidP="003311C6">
                        <w:pPr>
                          <w:spacing w:before="20" w:after="20" w:line="1" w:lineRule="auto"/>
                          <w:ind w:right="-13"/>
                          <w:jc w:val="left"/>
                        </w:pPr>
                      </w:p>
                    </w:tc>
                  </w:tr>
                </w:tbl>
                <w:p w14:paraId="0CDA3C19" w14:textId="77777777"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04574"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5297FF0C" w14:textId="77777777" w:rsidTr="008008A9">
                    <w:tc>
                      <w:tcPr>
                        <w:tcW w:w="1545" w:type="dxa"/>
                        <w:tcMar>
                          <w:top w:w="0" w:type="dxa"/>
                          <w:left w:w="0" w:type="dxa"/>
                          <w:bottom w:w="0" w:type="dxa"/>
                          <w:right w:w="0" w:type="dxa"/>
                        </w:tcMar>
                      </w:tcPr>
                      <w:p w14:paraId="5BB539B9" w14:textId="77777777" w:rsidR="003311C6" w:rsidRPr="00824357" w:rsidRDefault="003311C6" w:rsidP="003311C6">
                        <w:pPr>
                          <w:spacing w:before="20" w:after="20"/>
                          <w:jc w:val="left"/>
                          <w:rPr>
                            <w:rFonts w:cs="Arial"/>
                            <w:color w:val="000000"/>
                            <w:sz w:val="16"/>
                            <w:szCs w:val="16"/>
                          </w:rPr>
                        </w:pPr>
                        <w:r>
                          <w:rPr>
                            <w:color w:val="000000"/>
                            <w:sz w:val="16"/>
                          </w:rPr>
                          <w:t>Tomato</w:t>
                        </w:r>
                      </w:p>
                      <w:p w14:paraId="52744C17" w14:textId="77777777" w:rsidR="003311C6" w:rsidRPr="00824357" w:rsidRDefault="003311C6" w:rsidP="003311C6">
                        <w:pPr>
                          <w:spacing w:before="20" w:after="20" w:line="1" w:lineRule="auto"/>
                          <w:jc w:val="left"/>
                        </w:pPr>
                      </w:p>
                    </w:tc>
                  </w:tr>
                </w:tbl>
                <w:p w14:paraId="2C205065" w14:textId="77777777"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D626C" w14:textId="3D1205DD" w:rsidR="003311C6" w:rsidRPr="005F1109" w:rsidRDefault="003311C6" w:rsidP="003311C6">
                  <w:pPr>
                    <w:spacing w:before="20" w:after="20"/>
                    <w:jc w:val="left"/>
                    <w:rPr>
                      <w:rFonts w:cs="Arial"/>
                      <w:color w:val="000000"/>
                      <w:sz w:val="16"/>
                      <w:szCs w:val="16"/>
                    </w:rPr>
                  </w:pPr>
                  <w:r>
                    <w:rPr>
                      <w:color w:val="000000"/>
                      <w:sz w:val="16"/>
                    </w:rPr>
                    <w:t>Tomato</w:t>
                  </w:r>
                </w:p>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14:paraId="285739A1" w14:textId="77777777" w:rsidTr="008008A9">
                    <w:tc>
                      <w:tcPr>
                        <w:tcW w:w="1230" w:type="dxa"/>
                        <w:tcMar>
                          <w:top w:w="0" w:type="dxa"/>
                          <w:left w:w="0" w:type="dxa"/>
                          <w:bottom w:w="0" w:type="dxa"/>
                          <w:right w:w="0" w:type="dxa"/>
                        </w:tcMar>
                      </w:tcPr>
                      <w:p w14:paraId="61A59523" w14:textId="77777777" w:rsidR="003311C6" w:rsidRPr="00824357" w:rsidRDefault="003311C6" w:rsidP="003311C6">
                        <w:pPr>
                          <w:spacing w:before="20" w:after="20"/>
                          <w:jc w:val="left"/>
                          <w:rPr>
                            <w:rFonts w:cs="Arial"/>
                            <w:sz w:val="16"/>
                            <w:szCs w:val="16"/>
                          </w:rPr>
                        </w:pPr>
                      </w:p>
                    </w:tc>
                  </w:tr>
                </w:tbl>
                <w:p w14:paraId="354AAE21" w14:textId="77777777"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E9B93" w14:textId="7777CF31" w:rsidR="003311C6" w:rsidRPr="005F1109" w:rsidRDefault="003311C6" w:rsidP="003311C6">
                  <w:pPr>
                    <w:spacing w:before="20" w:after="20"/>
                    <w:jc w:val="left"/>
                    <w:rPr>
                      <w:rFonts w:cs="Arial"/>
                      <w:color w:val="000000"/>
                      <w:sz w:val="16"/>
                      <w:szCs w:val="16"/>
                    </w:rPr>
                  </w:pPr>
                  <w:r>
                    <w:rPr>
                      <w:color w:val="000000"/>
                      <w:sz w:val="16"/>
                    </w:rPr>
                    <w:t>Tomato</w:t>
                  </w:r>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14:paraId="394AC85F" w14:textId="77777777" w:rsidTr="008008A9">
                    <w:tc>
                      <w:tcPr>
                        <w:tcW w:w="1560" w:type="dxa"/>
                        <w:tcMar>
                          <w:top w:w="0" w:type="dxa"/>
                          <w:left w:w="0" w:type="dxa"/>
                          <w:bottom w:w="0" w:type="dxa"/>
                          <w:right w:w="0" w:type="dxa"/>
                        </w:tcMar>
                      </w:tcPr>
                      <w:p w14:paraId="771344FE" w14:textId="77777777" w:rsidR="003311C6" w:rsidRPr="00824357" w:rsidRDefault="003311C6" w:rsidP="003311C6">
                        <w:pPr>
                          <w:spacing w:before="20" w:after="20"/>
                          <w:jc w:val="left"/>
                          <w:rPr>
                            <w:rFonts w:cs="Arial"/>
                            <w:sz w:val="16"/>
                            <w:szCs w:val="16"/>
                          </w:rPr>
                        </w:pPr>
                      </w:p>
                    </w:tc>
                  </w:tr>
                </w:tbl>
                <w:p w14:paraId="04F5C759" w14:textId="77777777"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7166B" w14:textId="4A5477D2" w:rsidR="003311C6" w:rsidRPr="005F1109" w:rsidRDefault="003311C6" w:rsidP="003311C6">
                  <w:pPr>
                    <w:spacing w:before="20" w:after="20"/>
                    <w:jc w:val="left"/>
                    <w:rPr>
                      <w:rFonts w:cs="Arial"/>
                      <w:color w:val="000000"/>
                      <w:sz w:val="16"/>
                      <w:szCs w:val="16"/>
                    </w:rPr>
                  </w:pPr>
                  <w:r>
                    <w:rPr>
                      <w:color w:val="000000"/>
                      <w:sz w:val="16"/>
                    </w:rPr>
                    <w:t>Tomato</w:t>
                  </w: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14:paraId="102FE075" w14:textId="77777777" w:rsidTr="008008A9">
                    <w:tc>
                      <w:tcPr>
                        <w:tcW w:w="1320" w:type="dxa"/>
                        <w:tcMar>
                          <w:top w:w="0" w:type="dxa"/>
                          <w:left w:w="0" w:type="dxa"/>
                          <w:bottom w:w="0" w:type="dxa"/>
                          <w:right w:w="0" w:type="dxa"/>
                        </w:tcMar>
                      </w:tcPr>
                      <w:p w14:paraId="13A3DBB1" w14:textId="77777777" w:rsidR="003311C6" w:rsidRPr="00824357" w:rsidRDefault="003311C6" w:rsidP="003311C6">
                        <w:pPr>
                          <w:spacing w:before="20" w:after="20"/>
                          <w:jc w:val="left"/>
                          <w:rPr>
                            <w:rFonts w:cs="Arial"/>
                            <w:sz w:val="16"/>
                            <w:szCs w:val="16"/>
                          </w:rPr>
                        </w:pPr>
                      </w:p>
                    </w:tc>
                  </w:tr>
                </w:tbl>
                <w:p w14:paraId="17C2A31A" w14:textId="77777777"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7D192"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4D878FAB" w14:textId="77777777" w:rsidTr="008008A9">
                    <w:tc>
                      <w:tcPr>
                        <w:tcW w:w="1545" w:type="dxa"/>
                        <w:tcMar>
                          <w:top w:w="0" w:type="dxa"/>
                          <w:left w:w="0" w:type="dxa"/>
                          <w:bottom w:w="0" w:type="dxa"/>
                          <w:right w:w="0" w:type="dxa"/>
                        </w:tcMar>
                      </w:tcPr>
                      <w:p w14:paraId="5E2F9F8F" w14:textId="77777777" w:rsidR="003311C6" w:rsidRPr="00824357" w:rsidRDefault="003311C6" w:rsidP="003311C6">
                        <w:pPr>
                          <w:spacing w:before="20" w:after="20"/>
                          <w:jc w:val="left"/>
                          <w:rPr>
                            <w:rFonts w:cs="Arial"/>
                            <w:color w:val="000000"/>
                            <w:sz w:val="16"/>
                            <w:szCs w:val="16"/>
                          </w:rPr>
                        </w:pPr>
                        <w:r>
                          <w:rPr>
                            <w:rStyle w:val="Emphasis"/>
                            <w:color w:val="000000"/>
                            <w:sz w:val="16"/>
                          </w:rPr>
                          <w:t>Solanum lycopersicum</w:t>
                        </w:r>
                        <w:r>
                          <w:rPr>
                            <w:color w:val="000000"/>
                            <w:sz w:val="16"/>
                          </w:rPr>
                          <w:t> L.</w:t>
                        </w:r>
                      </w:p>
                      <w:p w14:paraId="640922C3" w14:textId="77777777" w:rsidR="003311C6" w:rsidRPr="00824357" w:rsidRDefault="003311C6" w:rsidP="003311C6">
                        <w:pPr>
                          <w:spacing w:before="20" w:after="20" w:line="1" w:lineRule="auto"/>
                          <w:jc w:val="left"/>
                        </w:pPr>
                      </w:p>
                    </w:tc>
                  </w:tr>
                </w:tbl>
                <w:p w14:paraId="649F847C" w14:textId="77777777" w:rsidR="003311C6" w:rsidRPr="00824357" w:rsidRDefault="003311C6" w:rsidP="003311C6">
                  <w:pPr>
                    <w:spacing w:before="20" w:after="20" w:line="1" w:lineRule="auto"/>
                    <w:jc w:val="left"/>
                  </w:pPr>
                </w:p>
              </w:tc>
            </w:tr>
            <w:tr w:rsidR="003311C6" w:rsidRPr="00824357" w14:paraId="76F5C535" w14:textId="7777777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A99B0" w14:textId="77777777"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14:paraId="6B9A8D5E" w14:textId="77777777" w:rsidTr="008008A9">
                    <w:tc>
                      <w:tcPr>
                        <w:tcW w:w="540" w:type="dxa"/>
                        <w:tcMar>
                          <w:top w:w="0" w:type="dxa"/>
                          <w:left w:w="0" w:type="dxa"/>
                          <w:bottom w:w="0" w:type="dxa"/>
                          <w:right w:w="0" w:type="dxa"/>
                        </w:tcMar>
                      </w:tcPr>
                      <w:p w14:paraId="3CC6EC13" w14:textId="77777777" w:rsidR="003311C6" w:rsidRPr="00824357" w:rsidRDefault="003311C6" w:rsidP="003311C6">
                        <w:pPr>
                          <w:spacing w:before="20" w:after="20"/>
                          <w:rPr>
                            <w:rFonts w:cs="Arial"/>
                            <w:color w:val="000000"/>
                            <w:sz w:val="16"/>
                            <w:szCs w:val="16"/>
                          </w:rPr>
                        </w:pPr>
                        <w:r>
                          <w:rPr>
                            <w:color w:val="000000"/>
                            <w:sz w:val="16"/>
                          </w:rPr>
                          <w:t>FR</w:t>
                        </w:r>
                      </w:p>
                      <w:p w14:paraId="365B6766" w14:textId="77777777" w:rsidR="003311C6" w:rsidRPr="00824357" w:rsidRDefault="003311C6" w:rsidP="003311C6">
                        <w:pPr>
                          <w:spacing w:before="20" w:after="20" w:line="1" w:lineRule="auto"/>
                        </w:pPr>
                      </w:p>
                    </w:tc>
                  </w:tr>
                </w:tbl>
                <w:p w14:paraId="232E3CC5" w14:textId="77777777"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E2184" w14:textId="77777777"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14:paraId="1ACBF9DE" w14:textId="77777777" w:rsidTr="008008A9">
                    <w:tc>
                      <w:tcPr>
                        <w:tcW w:w="975" w:type="dxa"/>
                        <w:tcMar>
                          <w:top w:w="0" w:type="dxa"/>
                          <w:left w:w="0" w:type="dxa"/>
                          <w:bottom w:w="0" w:type="dxa"/>
                          <w:right w:w="0" w:type="dxa"/>
                        </w:tcMar>
                      </w:tcPr>
                      <w:p w14:paraId="47B89786" w14:textId="77777777" w:rsidR="003311C6" w:rsidRPr="00824357" w:rsidRDefault="003311C6" w:rsidP="003311C6">
                        <w:pPr>
                          <w:spacing w:before="20" w:after="20"/>
                          <w:jc w:val="left"/>
                          <w:rPr>
                            <w:rFonts w:cs="Arial"/>
                            <w:color w:val="000000"/>
                            <w:sz w:val="16"/>
                            <w:szCs w:val="16"/>
                          </w:rPr>
                        </w:pPr>
                        <w:r>
                          <w:rPr>
                            <w:color w:val="000000"/>
                            <w:sz w:val="16"/>
                          </w:rPr>
                          <w:t>TWF</w:t>
                        </w:r>
                      </w:p>
                      <w:p w14:paraId="0F99CFF7" w14:textId="77777777" w:rsidR="003311C6" w:rsidRPr="00824357" w:rsidRDefault="003311C6" w:rsidP="003311C6">
                        <w:pPr>
                          <w:spacing w:before="20" w:after="20" w:line="1" w:lineRule="auto"/>
                          <w:jc w:val="left"/>
                        </w:pPr>
                      </w:p>
                    </w:tc>
                  </w:tr>
                </w:tbl>
                <w:p w14:paraId="1E3D89E6" w14:textId="77777777"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004A3" w14:textId="77777777"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14:paraId="2CA55385" w14:textId="77777777" w:rsidTr="008008A9">
                    <w:tc>
                      <w:tcPr>
                        <w:tcW w:w="1413" w:type="dxa"/>
                        <w:tcMar>
                          <w:top w:w="0" w:type="dxa"/>
                          <w:left w:w="0" w:type="dxa"/>
                          <w:bottom w:w="0" w:type="dxa"/>
                          <w:right w:w="0" w:type="dxa"/>
                        </w:tcMar>
                      </w:tcPr>
                      <w:p w14:paraId="621EB103" w14:textId="77777777" w:rsidR="003311C6" w:rsidRPr="00824357" w:rsidRDefault="003311C6" w:rsidP="003311C6">
                        <w:pPr>
                          <w:spacing w:before="20" w:after="20"/>
                          <w:ind w:right="-13"/>
                          <w:jc w:val="left"/>
                          <w:rPr>
                            <w:rFonts w:cs="Arial"/>
                            <w:color w:val="000000"/>
                            <w:sz w:val="16"/>
                            <w:szCs w:val="16"/>
                          </w:rPr>
                        </w:pPr>
                        <w:r>
                          <w:rPr>
                            <w:color w:val="000000"/>
                            <w:sz w:val="16"/>
                          </w:rPr>
                          <w:t>TG/104/5 Rev. 2 (proj.2)</w:t>
                        </w:r>
                      </w:p>
                      <w:p w14:paraId="4E79AB16" w14:textId="77777777" w:rsidR="003311C6" w:rsidRPr="00824357" w:rsidRDefault="003311C6" w:rsidP="003311C6">
                        <w:pPr>
                          <w:spacing w:before="20" w:after="20" w:line="1" w:lineRule="auto"/>
                          <w:ind w:right="-13"/>
                          <w:jc w:val="left"/>
                        </w:pPr>
                      </w:p>
                    </w:tc>
                  </w:tr>
                </w:tbl>
                <w:p w14:paraId="5D81D7B4" w14:textId="77777777"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CEBAE"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5CFA53DB" w14:textId="77777777" w:rsidTr="008008A9">
                    <w:tc>
                      <w:tcPr>
                        <w:tcW w:w="1545" w:type="dxa"/>
                        <w:tcMar>
                          <w:top w:w="0" w:type="dxa"/>
                          <w:left w:w="0" w:type="dxa"/>
                          <w:bottom w:w="0" w:type="dxa"/>
                          <w:right w:w="0" w:type="dxa"/>
                        </w:tcMar>
                      </w:tcPr>
                      <w:p w14:paraId="112A6381" w14:textId="77777777" w:rsidR="003311C6" w:rsidRPr="00824357" w:rsidRDefault="003311C6" w:rsidP="003311C6">
                        <w:pPr>
                          <w:spacing w:before="20" w:after="20"/>
                          <w:jc w:val="left"/>
                          <w:rPr>
                            <w:rFonts w:cs="Arial"/>
                            <w:color w:val="000000"/>
                            <w:sz w:val="16"/>
                            <w:szCs w:val="16"/>
                          </w:rPr>
                        </w:pPr>
                        <w:r>
                          <w:rPr>
                            <w:color w:val="000000"/>
                            <w:sz w:val="16"/>
                          </w:rPr>
                          <w:t>Melon</w:t>
                        </w:r>
                      </w:p>
                      <w:p w14:paraId="223817EB" w14:textId="77777777" w:rsidR="003311C6" w:rsidRPr="00824357" w:rsidRDefault="003311C6" w:rsidP="003311C6">
                        <w:pPr>
                          <w:spacing w:before="20" w:after="20" w:line="1" w:lineRule="auto"/>
                          <w:jc w:val="left"/>
                        </w:pPr>
                      </w:p>
                    </w:tc>
                  </w:tr>
                </w:tbl>
                <w:p w14:paraId="0A6FEF53" w14:textId="77777777"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14:paraId="543BB6C1" w14:textId="77777777" w:rsidTr="008008A9">
                    <w:tc>
                      <w:tcPr>
                        <w:tcW w:w="1230" w:type="dxa"/>
                        <w:tcMar>
                          <w:top w:w="0" w:type="dxa"/>
                          <w:left w:w="0" w:type="dxa"/>
                          <w:bottom w:w="0" w:type="dxa"/>
                          <w:right w:w="0" w:type="dxa"/>
                        </w:tcMar>
                      </w:tcPr>
                      <w:p w14:paraId="033CF2D0" w14:textId="77777777" w:rsidR="003311C6" w:rsidRPr="00824357" w:rsidRDefault="003311C6" w:rsidP="003311C6">
                        <w:pPr>
                          <w:spacing w:before="20" w:after="20"/>
                          <w:jc w:val="left"/>
                          <w:rPr>
                            <w:rFonts w:cs="Arial"/>
                            <w:sz w:val="16"/>
                            <w:szCs w:val="16"/>
                          </w:rPr>
                        </w:pPr>
                        <w:r>
                          <w:rPr>
                            <w:color w:val="000000"/>
                            <w:sz w:val="16"/>
                          </w:rPr>
                          <w:t>Melon</w:t>
                        </w:r>
                      </w:p>
                    </w:tc>
                  </w:tr>
                </w:tbl>
                <w:p w14:paraId="11DEF5DE" w14:textId="77777777"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AF168" w14:textId="77777777" w:rsidR="003311C6" w:rsidRPr="00824357" w:rsidRDefault="003311C6" w:rsidP="003311C6">
                  <w:pPr>
                    <w:spacing w:before="20" w:after="20"/>
                    <w:jc w:val="left"/>
                    <w:rPr>
                      <w:rFonts w:cs="Arial"/>
                      <w:sz w:val="16"/>
                      <w:szCs w:val="16"/>
                    </w:rPr>
                  </w:pPr>
                  <w:r>
                    <w:rPr>
                      <w:color w:val="000000"/>
                      <w:sz w:val="16"/>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14:paraId="766A2C42" w14:textId="77777777" w:rsidTr="008008A9">
                    <w:tc>
                      <w:tcPr>
                        <w:tcW w:w="1560" w:type="dxa"/>
                        <w:tcMar>
                          <w:top w:w="0" w:type="dxa"/>
                          <w:left w:w="0" w:type="dxa"/>
                          <w:bottom w:w="0" w:type="dxa"/>
                          <w:right w:w="0" w:type="dxa"/>
                        </w:tcMar>
                      </w:tcPr>
                      <w:p w14:paraId="3A5BFF9E" w14:textId="77777777" w:rsidR="003311C6" w:rsidRPr="00824357" w:rsidRDefault="003311C6" w:rsidP="003311C6">
                        <w:pPr>
                          <w:spacing w:before="20" w:after="20"/>
                          <w:jc w:val="left"/>
                          <w:rPr>
                            <w:rFonts w:cs="Arial"/>
                            <w:sz w:val="16"/>
                            <w:szCs w:val="16"/>
                          </w:rPr>
                        </w:pPr>
                      </w:p>
                    </w:tc>
                  </w:tr>
                </w:tbl>
                <w:p w14:paraId="6230D457" w14:textId="77777777"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EEAE5" w14:textId="77777777" w:rsidR="003311C6" w:rsidRPr="00824357" w:rsidRDefault="003311C6" w:rsidP="003311C6">
                  <w:pPr>
                    <w:spacing w:before="20" w:after="20"/>
                    <w:jc w:val="left"/>
                    <w:rPr>
                      <w:rFonts w:cs="Arial"/>
                      <w:sz w:val="16"/>
                      <w:szCs w:val="16"/>
                    </w:rPr>
                  </w:pPr>
                  <w:r>
                    <w:rPr>
                      <w:color w:val="000000"/>
                      <w:sz w:val="16"/>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14:paraId="435C765A" w14:textId="77777777" w:rsidTr="008008A9">
                    <w:tc>
                      <w:tcPr>
                        <w:tcW w:w="1320" w:type="dxa"/>
                        <w:tcMar>
                          <w:top w:w="0" w:type="dxa"/>
                          <w:left w:w="0" w:type="dxa"/>
                          <w:bottom w:w="0" w:type="dxa"/>
                          <w:right w:w="0" w:type="dxa"/>
                        </w:tcMar>
                      </w:tcPr>
                      <w:p w14:paraId="1C960C24" w14:textId="77777777" w:rsidR="003311C6" w:rsidRPr="00824357" w:rsidRDefault="003311C6" w:rsidP="003311C6">
                        <w:pPr>
                          <w:spacing w:before="20" w:after="20"/>
                          <w:jc w:val="left"/>
                          <w:rPr>
                            <w:rFonts w:cs="Arial"/>
                            <w:sz w:val="16"/>
                            <w:szCs w:val="16"/>
                          </w:rPr>
                        </w:pPr>
                      </w:p>
                    </w:tc>
                  </w:tr>
                </w:tbl>
                <w:p w14:paraId="4D353A27" w14:textId="77777777"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4D3BF"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2FA66A39" w14:textId="77777777" w:rsidTr="008008A9">
                    <w:tc>
                      <w:tcPr>
                        <w:tcW w:w="1545" w:type="dxa"/>
                        <w:tcMar>
                          <w:top w:w="0" w:type="dxa"/>
                          <w:left w:w="0" w:type="dxa"/>
                          <w:bottom w:w="0" w:type="dxa"/>
                          <w:right w:w="0" w:type="dxa"/>
                        </w:tcMar>
                      </w:tcPr>
                      <w:p w14:paraId="6A3BF73D" w14:textId="77777777" w:rsidR="003311C6" w:rsidRPr="00824357" w:rsidRDefault="003311C6" w:rsidP="003311C6">
                        <w:pPr>
                          <w:spacing w:before="20" w:after="20"/>
                          <w:jc w:val="left"/>
                          <w:rPr>
                            <w:rFonts w:cs="Arial"/>
                            <w:color w:val="000000"/>
                            <w:sz w:val="16"/>
                            <w:szCs w:val="16"/>
                          </w:rPr>
                        </w:pPr>
                        <w:r>
                          <w:rPr>
                            <w:rStyle w:val="Emphasis"/>
                            <w:color w:val="000000"/>
                            <w:sz w:val="16"/>
                          </w:rPr>
                          <w:t>Cucumis melo</w:t>
                        </w:r>
                        <w:r>
                          <w:rPr>
                            <w:color w:val="000000"/>
                            <w:sz w:val="16"/>
                          </w:rPr>
                          <w:t> L.</w:t>
                        </w:r>
                      </w:p>
                      <w:p w14:paraId="1988C97C" w14:textId="77777777" w:rsidR="003311C6" w:rsidRPr="00824357" w:rsidRDefault="003311C6" w:rsidP="003311C6">
                        <w:pPr>
                          <w:spacing w:before="20" w:after="20" w:line="1" w:lineRule="auto"/>
                          <w:jc w:val="left"/>
                        </w:pPr>
                      </w:p>
                    </w:tc>
                  </w:tr>
                </w:tbl>
                <w:p w14:paraId="1E45CDD2" w14:textId="77777777" w:rsidR="003311C6" w:rsidRPr="00824357" w:rsidRDefault="003311C6" w:rsidP="003311C6">
                  <w:pPr>
                    <w:spacing w:before="20" w:after="20" w:line="1" w:lineRule="auto"/>
                    <w:jc w:val="left"/>
                  </w:pPr>
                </w:p>
              </w:tc>
            </w:tr>
            <w:tr w:rsidR="003311C6" w:rsidRPr="00257D16" w14:paraId="7A49C698" w14:textId="77777777" w:rsidTr="00DC7917">
              <w:trPr>
                <w:hidden/>
              </w:trPr>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9B6CE0" w14:textId="77777777"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14:paraId="12FD5F62" w14:textId="77777777" w:rsidTr="008008A9">
                    <w:tc>
                      <w:tcPr>
                        <w:tcW w:w="540" w:type="dxa"/>
                        <w:tcMar>
                          <w:top w:w="0" w:type="dxa"/>
                          <w:left w:w="0" w:type="dxa"/>
                          <w:bottom w:w="0" w:type="dxa"/>
                          <w:right w:w="0" w:type="dxa"/>
                        </w:tcMar>
                      </w:tcPr>
                      <w:p w14:paraId="5EACB97F" w14:textId="77777777" w:rsidR="003311C6" w:rsidRPr="00824357" w:rsidRDefault="003311C6" w:rsidP="003311C6">
                        <w:pPr>
                          <w:spacing w:before="20" w:after="20"/>
                          <w:rPr>
                            <w:rFonts w:cs="Arial"/>
                            <w:color w:val="000000"/>
                            <w:sz w:val="16"/>
                            <w:szCs w:val="16"/>
                          </w:rPr>
                        </w:pPr>
                        <w:r>
                          <w:rPr>
                            <w:color w:val="000000"/>
                            <w:sz w:val="16"/>
                          </w:rPr>
                          <w:t>NL</w:t>
                        </w:r>
                      </w:p>
                      <w:p w14:paraId="23551B19" w14:textId="77777777" w:rsidR="003311C6" w:rsidRPr="00824357" w:rsidRDefault="003311C6" w:rsidP="003311C6">
                        <w:pPr>
                          <w:spacing w:before="20" w:after="20" w:line="1" w:lineRule="auto"/>
                        </w:pPr>
                      </w:p>
                    </w:tc>
                  </w:tr>
                </w:tbl>
                <w:p w14:paraId="1D40E927" w14:textId="77777777"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3D39A2" w14:textId="77777777"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14:paraId="5B24AF3A" w14:textId="77777777" w:rsidTr="008008A9">
                    <w:tc>
                      <w:tcPr>
                        <w:tcW w:w="975" w:type="dxa"/>
                        <w:tcMar>
                          <w:top w:w="0" w:type="dxa"/>
                          <w:left w:w="0" w:type="dxa"/>
                          <w:bottom w:w="0" w:type="dxa"/>
                          <w:right w:w="0" w:type="dxa"/>
                        </w:tcMar>
                      </w:tcPr>
                      <w:p w14:paraId="6DD8EC17" w14:textId="77777777" w:rsidR="003311C6" w:rsidRPr="00824357" w:rsidRDefault="003311C6" w:rsidP="003311C6">
                        <w:pPr>
                          <w:spacing w:before="20" w:after="20"/>
                          <w:jc w:val="left"/>
                          <w:rPr>
                            <w:rFonts w:cs="Arial"/>
                            <w:color w:val="000000"/>
                            <w:sz w:val="16"/>
                            <w:szCs w:val="16"/>
                          </w:rPr>
                        </w:pPr>
                        <w:r>
                          <w:rPr>
                            <w:color w:val="000000"/>
                            <w:sz w:val="16"/>
                          </w:rPr>
                          <w:t>TWV</w:t>
                        </w:r>
                      </w:p>
                      <w:p w14:paraId="35E6324E" w14:textId="77777777" w:rsidR="003311C6" w:rsidRPr="00824357" w:rsidRDefault="003311C6" w:rsidP="003311C6">
                        <w:pPr>
                          <w:spacing w:before="20" w:after="20" w:line="1" w:lineRule="auto"/>
                          <w:jc w:val="left"/>
                        </w:pPr>
                      </w:p>
                    </w:tc>
                  </w:tr>
                </w:tbl>
                <w:p w14:paraId="29633C8F" w14:textId="77777777"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16F06C" w14:textId="77777777"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14:paraId="6C71FC14" w14:textId="77777777" w:rsidTr="008008A9">
                    <w:tc>
                      <w:tcPr>
                        <w:tcW w:w="1413" w:type="dxa"/>
                        <w:tcMar>
                          <w:top w:w="0" w:type="dxa"/>
                          <w:left w:w="0" w:type="dxa"/>
                          <w:bottom w:w="0" w:type="dxa"/>
                          <w:right w:w="0" w:type="dxa"/>
                        </w:tcMar>
                      </w:tcPr>
                      <w:p w14:paraId="0E123B1A" w14:textId="77777777" w:rsidR="003311C6" w:rsidRPr="00824357" w:rsidRDefault="003311C6" w:rsidP="003311C6">
                        <w:pPr>
                          <w:jc w:val="left"/>
                        </w:pPr>
                        <w:r>
                          <w:rPr>
                            <w:sz w:val="16"/>
                          </w:rPr>
                          <w:t>TG/</w:t>
                        </w:r>
                        <w:bookmarkStart w:id="70" w:name="Code"/>
                        <w:bookmarkEnd w:id="70"/>
                        <w:r>
                          <w:rPr>
                            <w:sz w:val="16"/>
                          </w:rPr>
                          <w:t>142/5 Rev. (proj.1), TC/55/17</w:t>
                        </w:r>
                      </w:p>
                    </w:tc>
                  </w:tr>
                </w:tbl>
                <w:p w14:paraId="6BE08ED6" w14:textId="77777777"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D4A673"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0E4FB92A" w14:textId="77777777" w:rsidTr="008008A9">
                    <w:tc>
                      <w:tcPr>
                        <w:tcW w:w="1545" w:type="dxa"/>
                        <w:tcMar>
                          <w:top w:w="0" w:type="dxa"/>
                          <w:left w:w="0" w:type="dxa"/>
                          <w:bottom w:w="0" w:type="dxa"/>
                          <w:right w:w="0" w:type="dxa"/>
                        </w:tcMar>
                      </w:tcPr>
                      <w:p w14:paraId="19024340" w14:textId="77777777" w:rsidR="003311C6" w:rsidRPr="00824357" w:rsidRDefault="003311C6" w:rsidP="003311C6">
                        <w:pPr>
                          <w:spacing w:before="20" w:after="20"/>
                          <w:jc w:val="left"/>
                          <w:rPr>
                            <w:rFonts w:cs="Arial"/>
                            <w:color w:val="000000"/>
                            <w:sz w:val="16"/>
                            <w:szCs w:val="16"/>
                          </w:rPr>
                        </w:pPr>
                        <w:r>
                          <w:rPr>
                            <w:color w:val="000000"/>
                            <w:sz w:val="16"/>
                          </w:rPr>
                          <w:t>Watermelon</w:t>
                        </w:r>
                      </w:p>
                      <w:p w14:paraId="06DAADF1" w14:textId="77777777" w:rsidR="003311C6" w:rsidRPr="00824357" w:rsidRDefault="003311C6" w:rsidP="003311C6">
                        <w:pPr>
                          <w:spacing w:before="20" w:after="20" w:line="1" w:lineRule="auto"/>
                          <w:jc w:val="left"/>
                        </w:pPr>
                      </w:p>
                    </w:tc>
                  </w:tr>
                </w:tbl>
                <w:p w14:paraId="237F4618" w14:textId="77777777"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14:paraId="6C8D4EB1" w14:textId="77777777" w:rsidTr="008008A9">
                    <w:tc>
                      <w:tcPr>
                        <w:tcW w:w="1230" w:type="dxa"/>
                        <w:tcMar>
                          <w:top w:w="0" w:type="dxa"/>
                          <w:left w:w="0" w:type="dxa"/>
                          <w:bottom w:w="0" w:type="dxa"/>
                          <w:right w:w="0" w:type="dxa"/>
                        </w:tcMar>
                      </w:tcPr>
                      <w:p w14:paraId="64B0C548" w14:textId="77777777" w:rsidR="003311C6" w:rsidRPr="00824357" w:rsidRDefault="003311C6" w:rsidP="003311C6">
                        <w:pPr>
                          <w:spacing w:before="20" w:after="20"/>
                          <w:jc w:val="left"/>
                          <w:rPr>
                            <w:rFonts w:cs="Arial"/>
                            <w:sz w:val="16"/>
                            <w:szCs w:val="16"/>
                          </w:rPr>
                        </w:pPr>
                        <w:r>
                          <w:rPr>
                            <w:color w:val="000000"/>
                            <w:sz w:val="16"/>
                          </w:rPr>
                          <w:t>Pastèque</w:t>
                        </w:r>
                      </w:p>
                    </w:tc>
                  </w:tr>
                  <w:tr w:rsidR="003311C6" w:rsidRPr="00824357" w14:paraId="166C4CAA" w14:textId="77777777" w:rsidTr="008008A9">
                    <w:tc>
                      <w:tcPr>
                        <w:tcW w:w="1230" w:type="dxa"/>
                        <w:tcMar>
                          <w:top w:w="0" w:type="dxa"/>
                          <w:left w:w="0" w:type="dxa"/>
                          <w:bottom w:w="0" w:type="dxa"/>
                          <w:right w:w="0" w:type="dxa"/>
                        </w:tcMar>
                      </w:tcPr>
                      <w:p w14:paraId="0410DFF4" w14:textId="77777777" w:rsidR="003311C6" w:rsidRPr="00824357" w:rsidRDefault="003311C6" w:rsidP="003311C6">
                        <w:pPr>
                          <w:spacing w:before="20" w:after="20"/>
                          <w:jc w:val="left"/>
                          <w:rPr>
                            <w:rFonts w:cs="Arial"/>
                            <w:color w:val="000000"/>
                            <w:sz w:val="16"/>
                            <w:szCs w:val="16"/>
                          </w:rPr>
                        </w:pPr>
                      </w:p>
                    </w:tc>
                  </w:tr>
                </w:tbl>
                <w:p w14:paraId="53C5D200" w14:textId="77777777"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162556" w14:textId="77777777" w:rsidR="003311C6" w:rsidRPr="00824357" w:rsidRDefault="003311C6" w:rsidP="003311C6">
                  <w:pPr>
                    <w:spacing w:before="20" w:after="20"/>
                    <w:jc w:val="left"/>
                    <w:rPr>
                      <w:rFonts w:cs="Arial"/>
                      <w:sz w:val="16"/>
                      <w:szCs w:val="16"/>
                    </w:rPr>
                  </w:pPr>
                  <w:r>
                    <w:rPr>
                      <w:color w:val="000000"/>
                      <w:sz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14:paraId="2C95B17F" w14:textId="77777777" w:rsidTr="008008A9">
                    <w:tc>
                      <w:tcPr>
                        <w:tcW w:w="1560" w:type="dxa"/>
                        <w:tcMar>
                          <w:top w:w="0" w:type="dxa"/>
                          <w:left w:w="0" w:type="dxa"/>
                          <w:bottom w:w="0" w:type="dxa"/>
                          <w:right w:w="0" w:type="dxa"/>
                        </w:tcMar>
                      </w:tcPr>
                      <w:p w14:paraId="57A33E31" w14:textId="77777777" w:rsidR="003311C6" w:rsidRPr="00824357" w:rsidRDefault="003311C6" w:rsidP="003311C6">
                        <w:pPr>
                          <w:spacing w:before="20" w:after="20"/>
                          <w:jc w:val="left"/>
                          <w:rPr>
                            <w:rFonts w:cs="Arial"/>
                            <w:sz w:val="16"/>
                            <w:szCs w:val="16"/>
                          </w:rPr>
                        </w:pPr>
                      </w:p>
                    </w:tc>
                  </w:tr>
                </w:tbl>
                <w:p w14:paraId="05C72ADC" w14:textId="77777777"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C3E59B" w14:textId="77777777" w:rsidR="003311C6" w:rsidRPr="00824357" w:rsidRDefault="003311C6" w:rsidP="003311C6">
                  <w:pPr>
                    <w:spacing w:before="20" w:after="20"/>
                    <w:jc w:val="left"/>
                    <w:rPr>
                      <w:rFonts w:cs="Arial"/>
                      <w:sz w:val="16"/>
                      <w:szCs w:val="16"/>
                    </w:rPr>
                  </w:pPr>
                  <w:r>
                    <w:rPr>
                      <w:color w:val="000000"/>
                      <w:sz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14:paraId="4A6D3B55" w14:textId="77777777" w:rsidTr="008008A9">
                    <w:tc>
                      <w:tcPr>
                        <w:tcW w:w="1320" w:type="dxa"/>
                        <w:tcMar>
                          <w:top w:w="0" w:type="dxa"/>
                          <w:left w:w="0" w:type="dxa"/>
                          <w:bottom w:w="0" w:type="dxa"/>
                          <w:right w:w="0" w:type="dxa"/>
                        </w:tcMar>
                      </w:tcPr>
                      <w:p w14:paraId="2A4C412E" w14:textId="77777777" w:rsidR="003311C6" w:rsidRPr="00824357" w:rsidRDefault="003311C6" w:rsidP="003311C6">
                        <w:pPr>
                          <w:spacing w:before="20" w:after="20"/>
                          <w:jc w:val="left"/>
                          <w:rPr>
                            <w:rFonts w:cs="Arial"/>
                            <w:sz w:val="16"/>
                            <w:szCs w:val="16"/>
                          </w:rPr>
                        </w:pPr>
                      </w:p>
                    </w:tc>
                  </w:tr>
                </w:tbl>
                <w:p w14:paraId="5B89F981" w14:textId="77777777"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35AA98"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257D16" w14:paraId="31680725" w14:textId="77777777" w:rsidTr="008008A9">
                    <w:tc>
                      <w:tcPr>
                        <w:tcW w:w="1545" w:type="dxa"/>
                        <w:shd w:val="clear" w:color="auto" w:fill="auto"/>
                        <w:tcMar>
                          <w:top w:w="0" w:type="dxa"/>
                          <w:left w:w="0" w:type="dxa"/>
                          <w:bottom w:w="0" w:type="dxa"/>
                          <w:right w:w="0" w:type="dxa"/>
                        </w:tcMar>
                      </w:tcPr>
                      <w:p w14:paraId="40DE762A" w14:textId="77777777" w:rsidR="003311C6" w:rsidRPr="00CC1E1E" w:rsidRDefault="003311C6" w:rsidP="003311C6">
                        <w:pPr>
                          <w:jc w:val="left"/>
                          <w:rPr>
                            <w:sz w:val="16"/>
                            <w:lang w:val="fr-CH"/>
                          </w:rPr>
                        </w:pPr>
                        <w:r w:rsidRPr="00CC1E1E">
                          <w:rPr>
                            <w:i/>
                            <w:sz w:val="16"/>
                            <w:shd w:val="clear" w:color="auto" w:fill="FFFFFF"/>
                            <w:lang w:val="fr-CH"/>
                          </w:rPr>
                          <w:t>Citrullus lanatus</w:t>
                        </w:r>
                        <w:r w:rsidRPr="00CC1E1E">
                          <w:rPr>
                            <w:sz w:val="16"/>
                            <w:shd w:val="clear" w:color="auto" w:fill="FFFFFF"/>
                            <w:lang w:val="fr-CH"/>
                          </w:rPr>
                          <w:t xml:space="preserve"> (Thunb.) Matsum. et Nakai</w:t>
                        </w:r>
                      </w:p>
                    </w:tc>
                  </w:tr>
                </w:tbl>
                <w:p w14:paraId="7EE6E0C4" w14:textId="77777777" w:rsidR="003311C6" w:rsidRPr="00CC1E1E" w:rsidRDefault="003311C6" w:rsidP="003311C6">
                  <w:pPr>
                    <w:spacing w:before="20" w:after="20" w:line="1" w:lineRule="auto"/>
                    <w:jc w:val="left"/>
                    <w:rPr>
                      <w:lang w:val="fr-CH"/>
                    </w:rPr>
                  </w:pPr>
                </w:p>
              </w:tc>
            </w:tr>
            <w:tr w:rsidR="003311C6" w:rsidRPr="00824357" w14:paraId="456D13DB" w14:textId="7777777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4BE1C" w14:textId="77777777" w:rsidR="003311C6" w:rsidRPr="008770A8" w:rsidRDefault="003311C6" w:rsidP="003311C6">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14:paraId="7172C810" w14:textId="77777777" w:rsidTr="008008A9">
                    <w:tc>
                      <w:tcPr>
                        <w:tcW w:w="540" w:type="dxa"/>
                        <w:tcMar>
                          <w:top w:w="0" w:type="dxa"/>
                          <w:left w:w="0" w:type="dxa"/>
                          <w:bottom w:w="0" w:type="dxa"/>
                          <w:right w:w="0" w:type="dxa"/>
                        </w:tcMar>
                      </w:tcPr>
                      <w:p w14:paraId="7D0E32FA" w14:textId="77777777" w:rsidR="003311C6" w:rsidRPr="00824357" w:rsidRDefault="003311C6" w:rsidP="003311C6">
                        <w:pPr>
                          <w:spacing w:before="20" w:after="20"/>
                          <w:rPr>
                            <w:rFonts w:cs="Arial"/>
                            <w:color w:val="000000"/>
                            <w:sz w:val="16"/>
                            <w:szCs w:val="16"/>
                          </w:rPr>
                        </w:pPr>
                        <w:r>
                          <w:rPr>
                            <w:color w:val="000000"/>
                            <w:sz w:val="16"/>
                          </w:rPr>
                          <w:t>ES</w:t>
                        </w:r>
                      </w:p>
                      <w:p w14:paraId="24C695EF" w14:textId="77777777" w:rsidR="003311C6" w:rsidRPr="00824357" w:rsidRDefault="003311C6" w:rsidP="003311C6">
                        <w:pPr>
                          <w:spacing w:before="20" w:after="20" w:line="1" w:lineRule="auto"/>
                        </w:pPr>
                      </w:p>
                    </w:tc>
                  </w:tr>
                </w:tbl>
                <w:p w14:paraId="5B7210A3" w14:textId="77777777"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51CC0" w14:textId="77777777"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14:paraId="3D2B6E5C" w14:textId="77777777" w:rsidTr="008008A9">
                    <w:tc>
                      <w:tcPr>
                        <w:tcW w:w="975" w:type="dxa"/>
                        <w:tcMar>
                          <w:top w:w="0" w:type="dxa"/>
                          <w:left w:w="0" w:type="dxa"/>
                          <w:bottom w:w="0" w:type="dxa"/>
                          <w:right w:w="0" w:type="dxa"/>
                        </w:tcMar>
                      </w:tcPr>
                      <w:p w14:paraId="735CBBED" w14:textId="77777777" w:rsidR="003311C6" w:rsidRPr="00824357" w:rsidRDefault="003311C6" w:rsidP="003311C6">
                        <w:pPr>
                          <w:spacing w:before="20" w:after="20"/>
                          <w:jc w:val="left"/>
                          <w:rPr>
                            <w:rFonts w:cs="Arial"/>
                            <w:color w:val="000000"/>
                            <w:sz w:val="16"/>
                            <w:szCs w:val="16"/>
                          </w:rPr>
                        </w:pPr>
                        <w:r>
                          <w:rPr>
                            <w:color w:val="000000"/>
                            <w:sz w:val="16"/>
                          </w:rPr>
                          <w:t>TWF</w:t>
                        </w:r>
                      </w:p>
                      <w:p w14:paraId="47A26C8E" w14:textId="77777777" w:rsidR="003311C6" w:rsidRPr="00824357" w:rsidRDefault="003311C6" w:rsidP="003311C6">
                        <w:pPr>
                          <w:spacing w:before="20" w:after="20" w:line="1" w:lineRule="auto"/>
                          <w:jc w:val="left"/>
                        </w:pPr>
                      </w:p>
                    </w:tc>
                  </w:tr>
                </w:tbl>
                <w:p w14:paraId="4635930B" w14:textId="77777777"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6DBC0" w14:textId="77777777"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14:paraId="6E7A8FD8" w14:textId="77777777" w:rsidTr="008008A9">
                    <w:tc>
                      <w:tcPr>
                        <w:tcW w:w="1413" w:type="dxa"/>
                        <w:tcMar>
                          <w:top w:w="0" w:type="dxa"/>
                          <w:left w:w="0" w:type="dxa"/>
                          <w:bottom w:w="0" w:type="dxa"/>
                          <w:right w:w="0" w:type="dxa"/>
                        </w:tcMar>
                      </w:tcPr>
                      <w:p w14:paraId="6F39048D" w14:textId="77777777" w:rsidR="003311C6" w:rsidRPr="00824357" w:rsidRDefault="003311C6" w:rsidP="003311C6">
                        <w:pPr>
                          <w:spacing w:before="20" w:after="20"/>
                          <w:ind w:right="-13"/>
                          <w:jc w:val="left"/>
                          <w:rPr>
                            <w:rFonts w:cs="Arial"/>
                            <w:color w:val="000000"/>
                            <w:sz w:val="16"/>
                            <w:szCs w:val="16"/>
                          </w:rPr>
                        </w:pPr>
                        <w:r>
                          <w:rPr>
                            <w:color w:val="000000"/>
                            <w:sz w:val="16"/>
                          </w:rPr>
                          <w:t>TG/202/1 Rev. 2 (proj.2)</w:t>
                        </w:r>
                      </w:p>
                      <w:p w14:paraId="79709113" w14:textId="77777777" w:rsidR="003311C6" w:rsidRPr="00824357" w:rsidRDefault="003311C6" w:rsidP="003311C6">
                        <w:pPr>
                          <w:spacing w:before="20" w:after="20" w:line="1" w:lineRule="auto"/>
                          <w:ind w:right="-13"/>
                          <w:jc w:val="left"/>
                        </w:pPr>
                      </w:p>
                    </w:tc>
                  </w:tr>
                </w:tbl>
                <w:p w14:paraId="6EED3ABE" w14:textId="77777777"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36CCF"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5CC17B4D" w14:textId="77777777" w:rsidTr="008008A9">
                    <w:tc>
                      <w:tcPr>
                        <w:tcW w:w="1545" w:type="dxa"/>
                        <w:tcMar>
                          <w:top w:w="0" w:type="dxa"/>
                          <w:left w:w="0" w:type="dxa"/>
                          <w:bottom w:w="0" w:type="dxa"/>
                          <w:right w:w="0" w:type="dxa"/>
                        </w:tcMar>
                      </w:tcPr>
                      <w:p w14:paraId="1EA1F653" w14:textId="77777777" w:rsidR="003311C6" w:rsidRPr="00824357" w:rsidRDefault="003311C6" w:rsidP="003311C6">
                        <w:pPr>
                          <w:spacing w:before="20" w:after="20"/>
                          <w:jc w:val="left"/>
                          <w:rPr>
                            <w:rFonts w:cs="Arial"/>
                            <w:color w:val="000000"/>
                            <w:sz w:val="16"/>
                            <w:szCs w:val="16"/>
                          </w:rPr>
                        </w:pPr>
                        <w:r>
                          <w:rPr>
                            <w:color w:val="000000"/>
                            <w:sz w:val="16"/>
                          </w:rPr>
                          <w:t>Oranges</w:t>
                        </w:r>
                      </w:p>
                      <w:p w14:paraId="46739FAD" w14:textId="77777777" w:rsidR="003311C6" w:rsidRPr="00824357" w:rsidRDefault="003311C6" w:rsidP="003311C6">
                        <w:pPr>
                          <w:spacing w:before="20" w:after="20" w:line="1" w:lineRule="auto"/>
                          <w:jc w:val="left"/>
                        </w:pPr>
                      </w:p>
                    </w:tc>
                  </w:tr>
                </w:tbl>
                <w:p w14:paraId="05A40F72" w14:textId="77777777"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14:paraId="1C5A451C" w14:textId="77777777" w:rsidTr="008008A9">
                    <w:tc>
                      <w:tcPr>
                        <w:tcW w:w="1230" w:type="dxa"/>
                        <w:tcMar>
                          <w:top w:w="0" w:type="dxa"/>
                          <w:left w:w="0" w:type="dxa"/>
                          <w:bottom w:w="0" w:type="dxa"/>
                          <w:right w:w="0" w:type="dxa"/>
                        </w:tcMar>
                      </w:tcPr>
                      <w:p w14:paraId="01F12D0F" w14:textId="77777777" w:rsidR="003311C6" w:rsidRPr="00824357" w:rsidRDefault="003311C6" w:rsidP="003311C6">
                        <w:pPr>
                          <w:spacing w:before="20" w:after="20"/>
                          <w:jc w:val="left"/>
                          <w:rPr>
                            <w:rFonts w:cs="Arial"/>
                            <w:sz w:val="16"/>
                            <w:szCs w:val="16"/>
                          </w:rPr>
                        </w:pPr>
                        <w:r>
                          <w:rPr>
                            <w:color w:val="000000"/>
                            <w:sz w:val="16"/>
                          </w:rPr>
                          <w:t>Oranger</w:t>
                        </w:r>
                      </w:p>
                    </w:tc>
                  </w:tr>
                  <w:tr w:rsidR="003311C6" w:rsidRPr="00824357" w14:paraId="569395E8" w14:textId="77777777" w:rsidTr="008008A9">
                    <w:tc>
                      <w:tcPr>
                        <w:tcW w:w="1230" w:type="dxa"/>
                        <w:tcMar>
                          <w:top w:w="0" w:type="dxa"/>
                          <w:left w:w="0" w:type="dxa"/>
                          <w:bottom w:w="0" w:type="dxa"/>
                          <w:right w:w="0" w:type="dxa"/>
                        </w:tcMar>
                      </w:tcPr>
                      <w:p w14:paraId="4E1A008A" w14:textId="77777777" w:rsidR="003311C6" w:rsidRPr="00824357" w:rsidRDefault="003311C6" w:rsidP="003311C6">
                        <w:pPr>
                          <w:spacing w:before="20" w:after="20"/>
                          <w:jc w:val="left"/>
                          <w:rPr>
                            <w:rFonts w:cs="Arial"/>
                            <w:color w:val="000000"/>
                            <w:sz w:val="16"/>
                            <w:szCs w:val="16"/>
                          </w:rPr>
                        </w:pPr>
                      </w:p>
                    </w:tc>
                  </w:tr>
                </w:tbl>
                <w:p w14:paraId="76EAD512" w14:textId="77777777"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D140B" w14:textId="77777777" w:rsidR="003311C6" w:rsidRPr="00824357" w:rsidRDefault="003311C6" w:rsidP="003311C6">
                  <w:pPr>
                    <w:spacing w:before="20" w:after="20"/>
                    <w:jc w:val="left"/>
                    <w:rPr>
                      <w:rFonts w:cs="Arial"/>
                      <w:sz w:val="16"/>
                      <w:szCs w:val="16"/>
                    </w:rPr>
                  </w:pPr>
                  <w:r>
                    <w:rPr>
                      <w:color w:val="000000"/>
                      <w:sz w:val="16"/>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14:paraId="4EFADA7C" w14:textId="77777777" w:rsidTr="008008A9">
                    <w:tc>
                      <w:tcPr>
                        <w:tcW w:w="1560" w:type="dxa"/>
                        <w:tcMar>
                          <w:top w:w="0" w:type="dxa"/>
                          <w:left w:w="0" w:type="dxa"/>
                          <w:bottom w:w="0" w:type="dxa"/>
                          <w:right w:w="0" w:type="dxa"/>
                        </w:tcMar>
                      </w:tcPr>
                      <w:p w14:paraId="6CF6B140" w14:textId="77777777" w:rsidR="003311C6" w:rsidRPr="00824357" w:rsidRDefault="003311C6" w:rsidP="003311C6">
                        <w:pPr>
                          <w:spacing w:before="20" w:after="20"/>
                          <w:jc w:val="left"/>
                          <w:rPr>
                            <w:rFonts w:cs="Arial"/>
                            <w:sz w:val="16"/>
                            <w:szCs w:val="16"/>
                          </w:rPr>
                        </w:pPr>
                      </w:p>
                    </w:tc>
                  </w:tr>
                </w:tbl>
                <w:p w14:paraId="089CB92B" w14:textId="77777777"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84C3B" w14:textId="77777777" w:rsidR="003311C6" w:rsidRPr="00824357" w:rsidRDefault="003311C6" w:rsidP="003311C6">
                  <w:pPr>
                    <w:spacing w:before="20" w:after="20"/>
                    <w:jc w:val="left"/>
                    <w:rPr>
                      <w:rFonts w:cs="Arial"/>
                      <w:sz w:val="16"/>
                      <w:szCs w:val="16"/>
                    </w:rPr>
                  </w:pPr>
                  <w:r>
                    <w:rPr>
                      <w:sz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14:paraId="4A9C39CE" w14:textId="77777777" w:rsidTr="008008A9">
                    <w:tc>
                      <w:tcPr>
                        <w:tcW w:w="1320" w:type="dxa"/>
                        <w:tcMar>
                          <w:top w:w="0" w:type="dxa"/>
                          <w:left w:w="0" w:type="dxa"/>
                          <w:bottom w:w="0" w:type="dxa"/>
                          <w:right w:w="0" w:type="dxa"/>
                        </w:tcMar>
                      </w:tcPr>
                      <w:p w14:paraId="45117AAE" w14:textId="77777777" w:rsidR="003311C6" w:rsidRPr="00824357" w:rsidRDefault="003311C6" w:rsidP="003311C6">
                        <w:pPr>
                          <w:spacing w:before="20" w:after="20"/>
                          <w:jc w:val="left"/>
                          <w:rPr>
                            <w:rFonts w:cs="Arial"/>
                            <w:sz w:val="16"/>
                            <w:szCs w:val="16"/>
                          </w:rPr>
                        </w:pPr>
                      </w:p>
                    </w:tc>
                  </w:tr>
                </w:tbl>
                <w:p w14:paraId="66627072" w14:textId="77777777"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0B2BB"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0A2F9498" w14:textId="77777777" w:rsidTr="008008A9">
                    <w:tc>
                      <w:tcPr>
                        <w:tcW w:w="1545" w:type="dxa"/>
                        <w:tcMar>
                          <w:top w:w="0" w:type="dxa"/>
                          <w:left w:w="0" w:type="dxa"/>
                          <w:bottom w:w="0" w:type="dxa"/>
                          <w:right w:w="0" w:type="dxa"/>
                        </w:tcMar>
                      </w:tcPr>
                      <w:p w14:paraId="0955B0AA" w14:textId="77777777" w:rsidR="003311C6" w:rsidRPr="00824357" w:rsidRDefault="003311C6" w:rsidP="003311C6">
                        <w:pPr>
                          <w:spacing w:before="20" w:after="20"/>
                          <w:jc w:val="left"/>
                          <w:rPr>
                            <w:rFonts w:cs="Arial"/>
                            <w:color w:val="000000"/>
                            <w:sz w:val="16"/>
                            <w:szCs w:val="16"/>
                          </w:rPr>
                        </w:pPr>
                        <w:r w:rsidRPr="00CC1E1E">
                          <w:rPr>
                            <w:rStyle w:val="Emphasis"/>
                            <w:color w:val="000000"/>
                            <w:sz w:val="16"/>
                            <w:lang w:val="en-US"/>
                          </w:rPr>
                          <w:t>Citrusaurantium</w:t>
                        </w:r>
                        <w:r w:rsidRPr="00CC1E1E">
                          <w:rPr>
                            <w:color w:val="000000"/>
                            <w:sz w:val="16"/>
                            <w:lang w:val="en-US"/>
                          </w:rPr>
                          <w:t> L., </w:t>
                        </w:r>
                        <w:r w:rsidRPr="00CC1E1E">
                          <w:rPr>
                            <w:rFonts w:cs="Arial"/>
                            <w:color w:val="000000"/>
                            <w:sz w:val="16"/>
                            <w:szCs w:val="16"/>
                            <w:lang w:val="en-US"/>
                          </w:rPr>
                          <w:br/>
                        </w:r>
                        <w:r w:rsidRPr="00CC1E1E">
                          <w:rPr>
                            <w:rStyle w:val="Emphasis"/>
                            <w:color w:val="000000"/>
                            <w:sz w:val="16"/>
                            <w:lang w:val="en-US"/>
                          </w:rPr>
                          <w:t>Citrus sinensis</w:t>
                        </w:r>
                        <w:r w:rsidRPr="00CC1E1E">
                          <w:rPr>
                            <w:color w:val="000000"/>
                            <w:sz w:val="16"/>
                            <w:lang w:val="en-US"/>
                          </w:rPr>
                          <w:t xml:space="preserve"> (L.) </w:t>
                        </w:r>
                        <w:r>
                          <w:rPr>
                            <w:color w:val="000000"/>
                            <w:sz w:val="16"/>
                          </w:rPr>
                          <w:t>Osbeck</w:t>
                        </w:r>
                      </w:p>
                      <w:p w14:paraId="37671F7B" w14:textId="77777777" w:rsidR="003311C6" w:rsidRPr="00824357" w:rsidRDefault="003311C6" w:rsidP="003311C6">
                        <w:pPr>
                          <w:spacing w:before="20" w:after="20" w:line="1" w:lineRule="auto"/>
                          <w:jc w:val="left"/>
                        </w:pPr>
                      </w:p>
                    </w:tc>
                  </w:tr>
                </w:tbl>
                <w:p w14:paraId="5E6435B4" w14:textId="77777777" w:rsidR="003311C6" w:rsidRPr="00824357" w:rsidRDefault="003311C6" w:rsidP="003311C6">
                  <w:pPr>
                    <w:spacing w:before="20" w:after="20" w:line="1" w:lineRule="auto"/>
                    <w:jc w:val="left"/>
                  </w:pPr>
                </w:p>
              </w:tc>
            </w:tr>
            <w:tr w:rsidR="003311C6" w:rsidRPr="00824357" w14:paraId="486DADC2" w14:textId="7777777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F8DC2" w14:textId="77777777"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14:paraId="3D415B19" w14:textId="77777777" w:rsidTr="008008A9">
                    <w:tc>
                      <w:tcPr>
                        <w:tcW w:w="540" w:type="dxa"/>
                        <w:tcMar>
                          <w:top w:w="0" w:type="dxa"/>
                          <w:left w:w="0" w:type="dxa"/>
                          <w:bottom w:w="0" w:type="dxa"/>
                          <w:right w:w="0" w:type="dxa"/>
                        </w:tcMar>
                      </w:tcPr>
                      <w:p w14:paraId="780DECBE" w14:textId="77777777" w:rsidR="003311C6" w:rsidRPr="00824357" w:rsidRDefault="003311C6" w:rsidP="003311C6">
                        <w:pPr>
                          <w:spacing w:before="20" w:after="20"/>
                          <w:rPr>
                            <w:rFonts w:cs="Arial"/>
                            <w:color w:val="000000"/>
                            <w:sz w:val="16"/>
                            <w:szCs w:val="16"/>
                          </w:rPr>
                        </w:pPr>
                        <w:r>
                          <w:rPr>
                            <w:color w:val="000000"/>
                            <w:sz w:val="16"/>
                          </w:rPr>
                          <w:t>ES</w:t>
                        </w:r>
                      </w:p>
                      <w:p w14:paraId="494027BD" w14:textId="77777777" w:rsidR="003311C6" w:rsidRPr="00824357" w:rsidRDefault="003311C6" w:rsidP="003311C6">
                        <w:pPr>
                          <w:spacing w:before="20" w:after="20" w:line="1" w:lineRule="auto"/>
                        </w:pPr>
                      </w:p>
                    </w:tc>
                  </w:tr>
                </w:tbl>
                <w:p w14:paraId="0F5094F8" w14:textId="77777777"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F9B21" w14:textId="77777777"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14:paraId="1B488204" w14:textId="77777777" w:rsidTr="008008A9">
                    <w:tc>
                      <w:tcPr>
                        <w:tcW w:w="975" w:type="dxa"/>
                        <w:tcMar>
                          <w:top w:w="0" w:type="dxa"/>
                          <w:left w:w="0" w:type="dxa"/>
                          <w:bottom w:w="0" w:type="dxa"/>
                          <w:right w:w="0" w:type="dxa"/>
                        </w:tcMar>
                      </w:tcPr>
                      <w:p w14:paraId="519EFAD5" w14:textId="77777777" w:rsidR="003311C6" w:rsidRPr="00824357" w:rsidRDefault="003311C6" w:rsidP="003311C6">
                        <w:pPr>
                          <w:spacing w:before="20" w:after="20"/>
                          <w:jc w:val="left"/>
                          <w:rPr>
                            <w:rFonts w:cs="Arial"/>
                            <w:color w:val="000000"/>
                            <w:sz w:val="16"/>
                            <w:szCs w:val="16"/>
                          </w:rPr>
                        </w:pPr>
                        <w:r>
                          <w:rPr>
                            <w:color w:val="000000"/>
                            <w:sz w:val="16"/>
                          </w:rPr>
                          <w:t>TWF</w:t>
                        </w:r>
                      </w:p>
                      <w:p w14:paraId="5B099FE9" w14:textId="77777777" w:rsidR="003311C6" w:rsidRPr="00824357" w:rsidRDefault="003311C6" w:rsidP="003311C6">
                        <w:pPr>
                          <w:spacing w:before="20" w:after="20" w:line="1" w:lineRule="auto"/>
                          <w:jc w:val="left"/>
                        </w:pPr>
                      </w:p>
                    </w:tc>
                  </w:tr>
                </w:tbl>
                <w:p w14:paraId="47B09B29" w14:textId="77777777"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D4737" w14:textId="77777777"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14:paraId="501F5EA1" w14:textId="77777777" w:rsidTr="008008A9">
                    <w:tc>
                      <w:tcPr>
                        <w:tcW w:w="1413" w:type="dxa"/>
                        <w:tcMar>
                          <w:top w:w="0" w:type="dxa"/>
                          <w:left w:w="0" w:type="dxa"/>
                          <w:bottom w:w="0" w:type="dxa"/>
                          <w:right w:w="0" w:type="dxa"/>
                        </w:tcMar>
                      </w:tcPr>
                      <w:p w14:paraId="12E1E239" w14:textId="77777777" w:rsidR="003311C6" w:rsidRPr="00824357" w:rsidRDefault="003311C6" w:rsidP="003311C6">
                        <w:pPr>
                          <w:spacing w:before="20" w:after="20"/>
                          <w:ind w:right="-13"/>
                          <w:jc w:val="left"/>
                          <w:rPr>
                            <w:rFonts w:cs="Arial"/>
                            <w:color w:val="000000"/>
                            <w:sz w:val="16"/>
                            <w:szCs w:val="16"/>
                          </w:rPr>
                        </w:pPr>
                        <w:r>
                          <w:rPr>
                            <w:color w:val="000000"/>
                            <w:sz w:val="16"/>
                          </w:rPr>
                          <w:t>TG/204/1 Rev. 2 (proj.2)</w:t>
                        </w:r>
                      </w:p>
                      <w:p w14:paraId="7EB064FE" w14:textId="77777777" w:rsidR="003311C6" w:rsidRPr="00824357" w:rsidRDefault="003311C6" w:rsidP="003311C6">
                        <w:pPr>
                          <w:spacing w:before="20" w:after="20" w:line="1" w:lineRule="auto"/>
                          <w:ind w:right="-13"/>
                          <w:jc w:val="left"/>
                        </w:pPr>
                      </w:p>
                    </w:tc>
                  </w:tr>
                </w:tbl>
                <w:p w14:paraId="5E7E3827" w14:textId="77777777"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1F10"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549A069E" w14:textId="77777777" w:rsidTr="008008A9">
                    <w:tc>
                      <w:tcPr>
                        <w:tcW w:w="1545" w:type="dxa"/>
                        <w:tcMar>
                          <w:top w:w="0" w:type="dxa"/>
                          <w:left w:w="0" w:type="dxa"/>
                          <w:bottom w:w="0" w:type="dxa"/>
                          <w:right w:w="0" w:type="dxa"/>
                        </w:tcMar>
                      </w:tcPr>
                      <w:p w14:paraId="62DD7C0E" w14:textId="77777777" w:rsidR="003311C6" w:rsidRPr="00824357" w:rsidRDefault="003311C6" w:rsidP="003311C6">
                        <w:pPr>
                          <w:spacing w:before="20" w:after="20"/>
                          <w:jc w:val="left"/>
                          <w:rPr>
                            <w:rFonts w:cs="Arial"/>
                            <w:color w:val="000000"/>
                            <w:sz w:val="16"/>
                            <w:szCs w:val="16"/>
                          </w:rPr>
                        </w:pPr>
                        <w:r>
                          <w:rPr>
                            <w:color w:val="000000"/>
                            <w:sz w:val="16"/>
                          </w:rPr>
                          <w:t>Grapefruit and Pummelo</w:t>
                        </w:r>
                      </w:p>
                      <w:p w14:paraId="65ED1DB8" w14:textId="77777777" w:rsidR="003311C6" w:rsidRPr="00824357" w:rsidRDefault="003311C6" w:rsidP="003311C6">
                        <w:pPr>
                          <w:spacing w:before="20" w:after="20" w:line="1" w:lineRule="auto"/>
                          <w:jc w:val="left"/>
                        </w:pPr>
                      </w:p>
                    </w:tc>
                  </w:tr>
                </w:tbl>
                <w:p w14:paraId="33FCAF05" w14:textId="77777777"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32190" w14:textId="77777777" w:rsidR="003311C6" w:rsidRPr="00824357" w:rsidRDefault="003311C6" w:rsidP="003311C6">
                  <w:pPr>
                    <w:spacing w:before="20" w:after="20"/>
                    <w:jc w:val="left"/>
                    <w:rPr>
                      <w:rFonts w:cs="Arial"/>
                      <w:sz w:val="16"/>
                      <w:szCs w:val="16"/>
                    </w:rPr>
                  </w:pPr>
                  <w:r>
                    <w:rPr>
                      <w:sz w:val="16"/>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14:paraId="733D6D1C" w14:textId="77777777" w:rsidTr="008008A9">
                    <w:tc>
                      <w:tcPr>
                        <w:tcW w:w="1230" w:type="dxa"/>
                        <w:tcMar>
                          <w:top w:w="0" w:type="dxa"/>
                          <w:left w:w="0" w:type="dxa"/>
                          <w:bottom w:w="0" w:type="dxa"/>
                          <w:right w:w="0" w:type="dxa"/>
                        </w:tcMar>
                      </w:tcPr>
                      <w:p w14:paraId="61BB8DD7" w14:textId="77777777" w:rsidR="003311C6" w:rsidRPr="00824357" w:rsidRDefault="003311C6" w:rsidP="003311C6">
                        <w:pPr>
                          <w:spacing w:before="20" w:after="20"/>
                          <w:jc w:val="left"/>
                          <w:rPr>
                            <w:rFonts w:cs="Arial"/>
                            <w:sz w:val="16"/>
                            <w:szCs w:val="16"/>
                          </w:rPr>
                        </w:pPr>
                      </w:p>
                    </w:tc>
                  </w:tr>
                </w:tbl>
                <w:p w14:paraId="168FBC9E" w14:textId="77777777"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3AD2D" w14:textId="77777777" w:rsidR="003311C6" w:rsidRPr="00824357" w:rsidRDefault="003311C6" w:rsidP="003311C6">
                  <w:pPr>
                    <w:spacing w:before="20" w:after="20"/>
                    <w:jc w:val="left"/>
                    <w:rPr>
                      <w:rFonts w:cs="Arial"/>
                      <w:sz w:val="16"/>
                      <w:szCs w:val="16"/>
                    </w:rPr>
                  </w:pPr>
                  <w:r>
                    <w:rPr>
                      <w:sz w:val="16"/>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14:paraId="10D25051" w14:textId="77777777" w:rsidTr="008008A9">
                    <w:tc>
                      <w:tcPr>
                        <w:tcW w:w="1560" w:type="dxa"/>
                        <w:tcMar>
                          <w:top w:w="0" w:type="dxa"/>
                          <w:left w:w="0" w:type="dxa"/>
                          <w:bottom w:w="0" w:type="dxa"/>
                          <w:right w:w="0" w:type="dxa"/>
                        </w:tcMar>
                      </w:tcPr>
                      <w:p w14:paraId="76575E87" w14:textId="77777777" w:rsidR="003311C6" w:rsidRPr="00824357" w:rsidRDefault="003311C6" w:rsidP="003311C6">
                        <w:pPr>
                          <w:spacing w:before="20" w:after="20"/>
                          <w:jc w:val="left"/>
                          <w:rPr>
                            <w:rFonts w:cs="Arial"/>
                            <w:sz w:val="16"/>
                            <w:szCs w:val="16"/>
                          </w:rPr>
                        </w:pPr>
                      </w:p>
                    </w:tc>
                  </w:tr>
                </w:tbl>
                <w:p w14:paraId="6F5FDCDC" w14:textId="77777777"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8CEEB" w14:textId="77777777" w:rsidR="003311C6" w:rsidRPr="00824357" w:rsidRDefault="003311C6" w:rsidP="003311C6">
                  <w:pPr>
                    <w:spacing w:before="20" w:after="20"/>
                    <w:jc w:val="left"/>
                    <w:rPr>
                      <w:rFonts w:cs="Arial"/>
                      <w:sz w:val="16"/>
                      <w:szCs w:val="16"/>
                    </w:rPr>
                  </w:pPr>
                  <w:r>
                    <w:rPr>
                      <w:sz w:val="16"/>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14:paraId="59E43AF1" w14:textId="77777777" w:rsidTr="008008A9">
                    <w:tc>
                      <w:tcPr>
                        <w:tcW w:w="1320" w:type="dxa"/>
                        <w:tcMar>
                          <w:top w:w="0" w:type="dxa"/>
                          <w:left w:w="0" w:type="dxa"/>
                          <w:bottom w:w="0" w:type="dxa"/>
                          <w:right w:w="0" w:type="dxa"/>
                        </w:tcMar>
                      </w:tcPr>
                      <w:p w14:paraId="2616F5E6" w14:textId="77777777" w:rsidR="003311C6" w:rsidRPr="00824357" w:rsidRDefault="003311C6" w:rsidP="003311C6">
                        <w:pPr>
                          <w:spacing w:before="20" w:after="20"/>
                          <w:jc w:val="left"/>
                          <w:rPr>
                            <w:rFonts w:cs="Arial"/>
                            <w:sz w:val="16"/>
                            <w:szCs w:val="16"/>
                          </w:rPr>
                        </w:pPr>
                      </w:p>
                    </w:tc>
                  </w:tr>
                </w:tbl>
                <w:p w14:paraId="23B606D8" w14:textId="77777777"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15766"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62DC9ACA" w14:textId="77777777" w:rsidTr="008008A9">
                    <w:tc>
                      <w:tcPr>
                        <w:tcW w:w="1545" w:type="dxa"/>
                        <w:tcMar>
                          <w:top w:w="0" w:type="dxa"/>
                          <w:left w:w="0" w:type="dxa"/>
                          <w:bottom w:w="0" w:type="dxa"/>
                          <w:right w:w="0" w:type="dxa"/>
                        </w:tcMar>
                      </w:tcPr>
                      <w:p w14:paraId="14F2B01C" w14:textId="77777777" w:rsidR="003311C6" w:rsidRPr="00824357" w:rsidRDefault="003311C6" w:rsidP="003311C6">
                        <w:pPr>
                          <w:spacing w:before="20" w:after="20"/>
                          <w:jc w:val="left"/>
                          <w:rPr>
                            <w:rFonts w:cs="Arial"/>
                            <w:color w:val="000000"/>
                            <w:sz w:val="16"/>
                            <w:szCs w:val="16"/>
                          </w:rPr>
                        </w:pPr>
                        <w:r>
                          <w:rPr>
                            <w:rStyle w:val="Emphasis"/>
                            <w:color w:val="000000"/>
                            <w:sz w:val="16"/>
                          </w:rPr>
                          <w:t>Citrus</w:t>
                        </w:r>
                        <w:r>
                          <w:rPr>
                            <w:color w:val="000000"/>
                            <w:sz w:val="16"/>
                          </w:rPr>
                          <w:t xml:space="preserve"> × </w:t>
                        </w:r>
                        <w:r>
                          <w:rPr>
                            <w:rStyle w:val="Emphasis"/>
                            <w:color w:val="000000"/>
                            <w:sz w:val="16"/>
                          </w:rPr>
                          <w:t>paradisi</w:t>
                        </w:r>
                        <w:r>
                          <w:rPr>
                            <w:color w:val="000000"/>
                            <w:sz w:val="16"/>
                          </w:rPr>
                          <w:t> Macfad.</w:t>
                        </w:r>
                      </w:p>
                      <w:p w14:paraId="3D5AE3A9" w14:textId="77777777" w:rsidR="003311C6" w:rsidRPr="00824357" w:rsidRDefault="003311C6" w:rsidP="003311C6">
                        <w:pPr>
                          <w:spacing w:before="20" w:after="20" w:line="1" w:lineRule="auto"/>
                          <w:jc w:val="left"/>
                        </w:pPr>
                      </w:p>
                    </w:tc>
                  </w:tr>
                </w:tbl>
                <w:p w14:paraId="442B33C4" w14:textId="77777777" w:rsidR="003311C6" w:rsidRPr="00824357" w:rsidRDefault="003311C6" w:rsidP="003311C6">
                  <w:pPr>
                    <w:spacing w:before="20" w:after="20" w:line="1" w:lineRule="auto"/>
                    <w:jc w:val="left"/>
                  </w:pPr>
                </w:p>
              </w:tc>
            </w:tr>
            <w:tr w:rsidR="003311C6" w:rsidRPr="00824357" w14:paraId="375DC007" w14:textId="7777777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FD739" w14:textId="77777777"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14:paraId="27C53EA5" w14:textId="77777777" w:rsidTr="008008A9">
                    <w:tc>
                      <w:tcPr>
                        <w:tcW w:w="540" w:type="dxa"/>
                        <w:tcMar>
                          <w:top w:w="0" w:type="dxa"/>
                          <w:left w:w="0" w:type="dxa"/>
                          <w:bottom w:w="0" w:type="dxa"/>
                          <w:right w:w="0" w:type="dxa"/>
                        </w:tcMar>
                      </w:tcPr>
                      <w:p w14:paraId="1EE08731" w14:textId="77777777" w:rsidR="003311C6" w:rsidRPr="00824357" w:rsidRDefault="003311C6" w:rsidP="003311C6">
                        <w:pPr>
                          <w:spacing w:before="20" w:after="20"/>
                          <w:rPr>
                            <w:rFonts w:cs="Arial"/>
                            <w:color w:val="000000"/>
                            <w:sz w:val="16"/>
                            <w:szCs w:val="16"/>
                          </w:rPr>
                        </w:pPr>
                        <w:r>
                          <w:rPr>
                            <w:color w:val="000000"/>
                            <w:sz w:val="16"/>
                          </w:rPr>
                          <w:t>NL</w:t>
                        </w:r>
                      </w:p>
                      <w:p w14:paraId="26AF2258" w14:textId="77777777" w:rsidR="003311C6" w:rsidRPr="00824357" w:rsidRDefault="003311C6" w:rsidP="003311C6">
                        <w:pPr>
                          <w:spacing w:before="20" w:after="20" w:line="1" w:lineRule="auto"/>
                        </w:pPr>
                      </w:p>
                    </w:tc>
                  </w:tr>
                </w:tbl>
                <w:p w14:paraId="55010E04" w14:textId="77777777"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393A2" w14:textId="77777777"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14:paraId="43F5BE0C" w14:textId="77777777" w:rsidTr="008008A9">
                    <w:tc>
                      <w:tcPr>
                        <w:tcW w:w="975" w:type="dxa"/>
                        <w:tcMar>
                          <w:top w:w="0" w:type="dxa"/>
                          <w:left w:w="0" w:type="dxa"/>
                          <w:bottom w:w="0" w:type="dxa"/>
                          <w:right w:w="0" w:type="dxa"/>
                        </w:tcMar>
                      </w:tcPr>
                      <w:p w14:paraId="66C38212" w14:textId="77777777" w:rsidR="003311C6" w:rsidRPr="00824357" w:rsidRDefault="003311C6" w:rsidP="003311C6">
                        <w:pPr>
                          <w:spacing w:before="20" w:after="20"/>
                          <w:jc w:val="left"/>
                          <w:rPr>
                            <w:rFonts w:cs="Arial"/>
                            <w:color w:val="000000"/>
                            <w:sz w:val="16"/>
                            <w:szCs w:val="16"/>
                          </w:rPr>
                        </w:pPr>
                        <w:r>
                          <w:rPr>
                            <w:color w:val="000000"/>
                            <w:sz w:val="16"/>
                          </w:rPr>
                          <w:t>TWO</w:t>
                        </w:r>
                      </w:p>
                      <w:p w14:paraId="7561CCAB" w14:textId="77777777" w:rsidR="003311C6" w:rsidRPr="00824357" w:rsidRDefault="003311C6" w:rsidP="003311C6">
                        <w:pPr>
                          <w:spacing w:before="20" w:after="20" w:line="1" w:lineRule="auto"/>
                          <w:jc w:val="left"/>
                        </w:pPr>
                      </w:p>
                    </w:tc>
                  </w:tr>
                </w:tbl>
                <w:p w14:paraId="4588AB00" w14:textId="77777777"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4F445" w14:textId="77777777"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14:paraId="6003F36E" w14:textId="77777777" w:rsidTr="008008A9">
                    <w:tc>
                      <w:tcPr>
                        <w:tcW w:w="1413" w:type="dxa"/>
                        <w:tcMar>
                          <w:top w:w="0" w:type="dxa"/>
                          <w:left w:w="0" w:type="dxa"/>
                          <w:bottom w:w="0" w:type="dxa"/>
                          <w:right w:w="0" w:type="dxa"/>
                        </w:tcMar>
                      </w:tcPr>
                      <w:p w14:paraId="69EBC9AA" w14:textId="77777777" w:rsidR="003311C6" w:rsidRPr="00824357" w:rsidRDefault="003311C6" w:rsidP="003311C6">
                        <w:pPr>
                          <w:spacing w:before="20" w:after="20"/>
                          <w:ind w:right="-13"/>
                          <w:jc w:val="left"/>
                          <w:rPr>
                            <w:rFonts w:cs="Arial"/>
                            <w:color w:val="000000"/>
                            <w:sz w:val="16"/>
                            <w:szCs w:val="16"/>
                          </w:rPr>
                        </w:pPr>
                        <w:r>
                          <w:rPr>
                            <w:color w:val="000000"/>
                            <w:sz w:val="16"/>
                          </w:rPr>
                          <w:t>TG/213/2 Rev. (proj.3)</w:t>
                        </w:r>
                      </w:p>
                      <w:p w14:paraId="15A46D5B" w14:textId="77777777" w:rsidR="003311C6" w:rsidRPr="00824357" w:rsidRDefault="003311C6" w:rsidP="003311C6">
                        <w:pPr>
                          <w:spacing w:before="20" w:after="20" w:line="1" w:lineRule="auto"/>
                          <w:ind w:right="-13"/>
                          <w:jc w:val="left"/>
                        </w:pPr>
                      </w:p>
                    </w:tc>
                  </w:tr>
                </w:tbl>
                <w:p w14:paraId="129EA5B8" w14:textId="77777777"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846C1"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71CCE9F8" w14:textId="77777777" w:rsidTr="008008A9">
                    <w:tc>
                      <w:tcPr>
                        <w:tcW w:w="1545" w:type="dxa"/>
                        <w:tcMar>
                          <w:top w:w="0" w:type="dxa"/>
                          <w:left w:w="0" w:type="dxa"/>
                          <w:bottom w:w="0" w:type="dxa"/>
                          <w:right w:w="0" w:type="dxa"/>
                        </w:tcMar>
                      </w:tcPr>
                      <w:p w14:paraId="4ECF3BD2" w14:textId="77777777" w:rsidR="003311C6" w:rsidRPr="00824357" w:rsidRDefault="003311C6" w:rsidP="003311C6">
                        <w:pPr>
                          <w:spacing w:before="20" w:after="20"/>
                          <w:jc w:val="left"/>
                          <w:rPr>
                            <w:rFonts w:cs="Arial"/>
                            <w:color w:val="000000"/>
                            <w:sz w:val="16"/>
                            <w:szCs w:val="16"/>
                          </w:rPr>
                        </w:pPr>
                        <w:r>
                          <w:rPr>
                            <w:color w:val="000000"/>
                            <w:sz w:val="16"/>
                          </w:rPr>
                          <w:t>Phalaenopsis</w:t>
                        </w:r>
                      </w:p>
                      <w:p w14:paraId="7F36BBBB" w14:textId="77777777" w:rsidR="003311C6" w:rsidRPr="00824357" w:rsidRDefault="003311C6" w:rsidP="003311C6">
                        <w:pPr>
                          <w:spacing w:before="20" w:after="20" w:line="1" w:lineRule="auto"/>
                          <w:jc w:val="left"/>
                        </w:pPr>
                      </w:p>
                    </w:tc>
                  </w:tr>
                </w:tbl>
                <w:p w14:paraId="5D38C4CE" w14:textId="77777777"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2FA76" w14:textId="77777777" w:rsidR="003311C6" w:rsidRPr="00824357" w:rsidRDefault="003311C6" w:rsidP="003311C6">
                  <w:pPr>
                    <w:spacing w:before="20" w:after="20"/>
                    <w:jc w:val="left"/>
                  </w:pPr>
                  <w:r>
                    <w:rPr>
                      <w:color w:val="000000"/>
                      <w:sz w:val="16"/>
                    </w:rPr>
                    <w:t>Phalaenopsis</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F62B9" w14:textId="77777777" w:rsidR="003311C6" w:rsidRPr="00824357" w:rsidRDefault="003311C6" w:rsidP="003311C6">
                  <w:pPr>
                    <w:spacing w:before="20" w:after="20"/>
                    <w:jc w:val="left"/>
                  </w:pPr>
                  <w:r>
                    <w:rPr>
                      <w:color w:val="000000"/>
                      <w:sz w:val="16"/>
                    </w:rPr>
                    <w:t>Phalaenopsis</w:t>
                  </w: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B3597" w14:textId="77777777" w:rsidR="003311C6" w:rsidRPr="00824357" w:rsidRDefault="003311C6" w:rsidP="003311C6">
                  <w:pPr>
                    <w:spacing w:before="20" w:after="20"/>
                    <w:jc w:val="left"/>
                  </w:pPr>
                  <w:r>
                    <w:rPr>
                      <w:color w:val="000000"/>
                      <w:sz w:val="16"/>
                    </w:rPr>
                    <w:t>Phalaenopsis</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3A84A" w14:textId="77777777"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14:paraId="4813D18F" w14:textId="77777777" w:rsidTr="008008A9">
                    <w:tc>
                      <w:tcPr>
                        <w:tcW w:w="1545" w:type="dxa"/>
                        <w:tcMar>
                          <w:top w:w="0" w:type="dxa"/>
                          <w:left w:w="0" w:type="dxa"/>
                          <w:bottom w:w="0" w:type="dxa"/>
                          <w:right w:w="0" w:type="dxa"/>
                        </w:tcMar>
                      </w:tcPr>
                      <w:p w14:paraId="038BEED6" w14:textId="77777777" w:rsidR="003311C6" w:rsidRPr="00824357" w:rsidRDefault="003311C6" w:rsidP="003311C6">
                        <w:pPr>
                          <w:spacing w:before="20" w:after="20"/>
                          <w:jc w:val="left"/>
                          <w:rPr>
                            <w:rFonts w:cs="Arial"/>
                            <w:color w:val="000000"/>
                            <w:sz w:val="16"/>
                            <w:szCs w:val="16"/>
                          </w:rPr>
                        </w:pPr>
                        <w:r>
                          <w:rPr>
                            <w:rStyle w:val="Emphasis"/>
                            <w:color w:val="000000"/>
                            <w:sz w:val="16"/>
                          </w:rPr>
                          <w:t>Phalaenopsis</w:t>
                        </w:r>
                        <w:r>
                          <w:rPr>
                            <w:color w:val="000000"/>
                            <w:sz w:val="16"/>
                          </w:rPr>
                          <w:t> Blume</w:t>
                        </w:r>
                      </w:p>
                      <w:p w14:paraId="2A5633F4" w14:textId="77777777" w:rsidR="003311C6" w:rsidRPr="00824357" w:rsidRDefault="003311C6" w:rsidP="003311C6">
                        <w:pPr>
                          <w:spacing w:before="20" w:after="20" w:line="1" w:lineRule="auto"/>
                          <w:jc w:val="left"/>
                        </w:pPr>
                      </w:p>
                    </w:tc>
                  </w:tr>
                </w:tbl>
                <w:p w14:paraId="3B5B4473" w14:textId="77777777" w:rsidR="003311C6" w:rsidRPr="00824357" w:rsidRDefault="003311C6" w:rsidP="003311C6">
                  <w:pPr>
                    <w:spacing w:before="20" w:after="20" w:line="1" w:lineRule="auto"/>
                    <w:jc w:val="left"/>
                  </w:pPr>
                </w:p>
              </w:tc>
            </w:tr>
          </w:tbl>
          <w:p w14:paraId="229C94A0" w14:textId="77777777" w:rsidR="00021FC8" w:rsidRDefault="00021FC8"/>
          <w:p w14:paraId="6BFE8DEC" w14:textId="77777777" w:rsidR="00021FC8" w:rsidRDefault="00021FC8"/>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021FC8" w:rsidRPr="00086C47" w14:paraId="551CDFE4" w14:textId="77777777" w:rsidTr="00021FC8">
              <w:tc>
                <w:tcPr>
                  <w:tcW w:w="5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1F9781BC" w14:textId="77777777" w:rsidR="00021FC8" w:rsidRPr="00F03375" w:rsidRDefault="00021FC8" w:rsidP="00F03375">
                  <w:pPr>
                    <w:jc w:val="left"/>
                    <w:rPr>
                      <w:rFonts w:eastAsia="Arial"/>
                      <w:sz w:val="16"/>
                    </w:rPr>
                  </w:pPr>
                  <w:r>
                    <w:rPr>
                      <w:sz w:val="16"/>
                    </w:rPr>
                    <w:t>**</w:t>
                  </w:r>
                </w:p>
              </w:tc>
              <w:tc>
                <w:tcPr>
                  <w:tcW w:w="7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1258CB76" w14:textId="77777777" w:rsidR="00021FC8" w:rsidRPr="00F03375" w:rsidRDefault="00021FC8" w:rsidP="00F03375">
                  <w:pPr>
                    <w:jc w:val="left"/>
                    <w:rPr>
                      <w:rFonts w:eastAsia="Arial"/>
                      <w:sz w:val="16"/>
                    </w:rPr>
                  </w:pPr>
                  <w:r>
                    <w:rPr>
                      <w:sz w:val="16"/>
                    </w:rPr>
                    <w:t>TWP</w:t>
                  </w:r>
                </w:p>
              </w:tc>
              <w:tc>
                <w:tcPr>
                  <w:tcW w:w="14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73823040" w14:textId="77777777" w:rsidR="00021FC8" w:rsidRPr="00F03375" w:rsidRDefault="00021FC8" w:rsidP="00F03375">
                  <w:pPr>
                    <w:jc w:val="left"/>
                    <w:rPr>
                      <w:rFonts w:eastAsia="Arial"/>
                      <w:sz w:val="16"/>
                    </w:rPr>
                  </w:pPr>
                  <w:r w:rsidRPr="00257D16">
                    <w:rPr>
                      <w:sz w:val="16"/>
                      <w:lang w:val="fr-CH"/>
                    </w:rPr>
                    <w:t xml:space="preserve">Document No. </w:t>
                  </w:r>
                  <w:r w:rsidRPr="00257D16">
                    <w:rPr>
                      <w:rFonts w:eastAsia="Arial"/>
                      <w:sz w:val="16"/>
                      <w:lang w:val="fr-CH"/>
                    </w:rPr>
                    <w:br/>
                  </w:r>
                  <w:r w:rsidRPr="00257D16">
                    <w:rPr>
                      <w:sz w:val="16"/>
                      <w:lang w:val="fr-CH"/>
                    </w:rPr>
                    <w:t xml:space="preserve">No. du document </w:t>
                  </w:r>
                  <w:r w:rsidRPr="00257D16">
                    <w:rPr>
                      <w:rFonts w:eastAsia="Arial"/>
                      <w:sz w:val="16"/>
                      <w:lang w:val="fr-CH"/>
                    </w:rPr>
                    <w:br/>
                  </w:r>
                  <w:r w:rsidRPr="00257D16">
                    <w:rPr>
                      <w:sz w:val="16"/>
                      <w:lang w:val="fr-CH"/>
                    </w:rPr>
                    <w:t xml:space="preserve">Dokument-Nr. </w:t>
                  </w:r>
                  <w:r w:rsidRPr="00257D16">
                    <w:rPr>
                      <w:rFonts w:eastAsia="Arial"/>
                      <w:sz w:val="16"/>
                      <w:lang w:val="fr-CH"/>
                    </w:rPr>
                    <w:br/>
                  </w:r>
                  <w:r>
                    <w:rPr>
                      <w:sz w:val="16"/>
                    </w:rPr>
                    <w:t>No del documento</w:t>
                  </w:r>
                  <w:r>
                    <w:rPr>
                      <w:rFonts w:eastAsia="Arial"/>
                      <w:sz w:val="16"/>
                    </w:rPr>
                    <w:br/>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648204E7" w14:textId="77777777" w:rsidR="00021FC8" w:rsidRPr="00F03375" w:rsidRDefault="00021FC8" w:rsidP="00F03375">
                  <w:pPr>
                    <w:jc w:val="left"/>
                    <w:rPr>
                      <w:rFonts w:eastAsia="Arial"/>
                      <w:sz w:val="16"/>
                    </w:rPr>
                  </w:pPr>
                  <w:r>
                    <w:rPr>
                      <w:sz w:val="16"/>
                    </w:rPr>
                    <w:t>English</w:t>
                  </w:r>
                </w:p>
              </w:tc>
              <w:tc>
                <w:tcPr>
                  <w:tcW w:w="12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6B030348" w14:textId="77777777" w:rsidR="00021FC8" w:rsidRPr="00F03375" w:rsidRDefault="00021FC8" w:rsidP="00F03375">
                  <w:pPr>
                    <w:jc w:val="left"/>
                    <w:rPr>
                      <w:rFonts w:eastAsia="Arial"/>
                      <w:sz w:val="16"/>
                    </w:rPr>
                  </w:pPr>
                  <w:r>
                    <w:rPr>
                      <w:sz w:val="16"/>
                    </w:rPr>
                    <w:t>Français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6DA1DA8A" w14:textId="77777777" w:rsidR="00021FC8" w:rsidRPr="00F03375" w:rsidRDefault="00021FC8" w:rsidP="00F03375">
                  <w:pPr>
                    <w:jc w:val="left"/>
                    <w:rPr>
                      <w:rFonts w:eastAsia="Arial"/>
                      <w:sz w:val="16"/>
                    </w:rPr>
                  </w:pPr>
                  <w:r>
                    <w:rPr>
                      <w:sz w:val="16"/>
                    </w:rPr>
                    <w:t>Deutsch</w:t>
                  </w:r>
                </w:p>
              </w:tc>
              <w:tc>
                <w:tcPr>
                  <w:tcW w:w="13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7549C3DC" w14:textId="77777777" w:rsidR="00021FC8" w:rsidRPr="00F03375" w:rsidRDefault="00021FC8" w:rsidP="00F03375">
                  <w:pPr>
                    <w:jc w:val="left"/>
                    <w:rPr>
                      <w:rFonts w:eastAsia="Arial"/>
                      <w:sz w:val="16"/>
                    </w:rPr>
                  </w:pPr>
                  <w:r>
                    <w:rPr>
                      <w:sz w:val="16"/>
                    </w:rPr>
                    <w:t>Español</w:t>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29EBC622" w14:textId="77777777" w:rsidR="00021FC8" w:rsidRPr="00F03375" w:rsidRDefault="00021FC8" w:rsidP="00F03375">
                  <w:pPr>
                    <w:jc w:val="left"/>
                    <w:rPr>
                      <w:rFonts w:eastAsia="Arial"/>
                      <w:sz w:val="16"/>
                    </w:rPr>
                  </w:pPr>
                  <w:r>
                    <w:rPr>
                      <w:sz w:val="16"/>
                    </w:rPr>
                    <w:t>Botanical name</w:t>
                  </w:r>
                  <w:r>
                    <w:rPr>
                      <w:rFonts w:eastAsia="Arial"/>
                      <w:sz w:val="16"/>
                    </w:rPr>
                    <w:br/>
                  </w:r>
                  <w:r>
                    <w:rPr>
                      <w:sz w:val="16"/>
                    </w:rPr>
                    <w:t>Nom botanique</w:t>
                  </w:r>
                  <w:r>
                    <w:rPr>
                      <w:rFonts w:eastAsia="Arial"/>
                      <w:sz w:val="16"/>
                    </w:rPr>
                    <w:br/>
                  </w:r>
                  <w:r>
                    <w:rPr>
                      <w:sz w:val="16"/>
                    </w:rPr>
                    <w:t>Botanischer Name</w:t>
                  </w:r>
                  <w:r>
                    <w:rPr>
                      <w:rFonts w:eastAsia="Arial"/>
                      <w:sz w:val="16"/>
                    </w:rPr>
                    <w:br/>
                  </w:r>
                  <w:r>
                    <w:rPr>
                      <w:sz w:val="16"/>
                    </w:rPr>
                    <w:t>Nombre botánico</w:t>
                  </w:r>
                  <w:r>
                    <w:rPr>
                      <w:rFonts w:eastAsia="Arial"/>
                      <w:sz w:val="16"/>
                    </w:rPr>
                    <w:br/>
                  </w:r>
                </w:p>
              </w:tc>
            </w:tr>
            <w:tr w:rsidR="00021FC8" w:rsidRPr="00963B6C" w14:paraId="17D1D150" w14:textId="77777777" w:rsidTr="003311C6">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609FD" w14:textId="77777777" w:rsidR="00021FC8" w:rsidRPr="00824357" w:rsidRDefault="00021FC8" w:rsidP="00021FC8">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021FC8" w:rsidRPr="00824357" w14:paraId="5737B03A" w14:textId="77777777" w:rsidTr="008008A9">
                    <w:tc>
                      <w:tcPr>
                        <w:tcW w:w="540" w:type="dxa"/>
                        <w:tcMar>
                          <w:top w:w="0" w:type="dxa"/>
                          <w:left w:w="0" w:type="dxa"/>
                          <w:bottom w:w="0" w:type="dxa"/>
                          <w:right w:w="0" w:type="dxa"/>
                        </w:tcMar>
                      </w:tcPr>
                      <w:p w14:paraId="7B7A18C8" w14:textId="77777777" w:rsidR="00021FC8" w:rsidRPr="00824357" w:rsidRDefault="00021FC8" w:rsidP="00021FC8">
                        <w:pPr>
                          <w:keepNext/>
                          <w:keepLines/>
                          <w:spacing w:before="20" w:after="20"/>
                          <w:rPr>
                            <w:rFonts w:cs="Arial"/>
                            <w:color w:val="000000"/>
                            <w:sz w:val="16"/>
                            <w:szCs w:val="16"/>
                          </w:rPr>
                        </w:pPr>
                        <w:r>
                          <w:rPr>
                            <w:color w:val="000000"/>
                            <w:sz w:val="16"/>
                          </w:rPr>
                          <w:t>NL</w:t>
                        </w:r>
                      </w:p>
                      <w:p w14:paraId="1615A3C0" w14:textId="77777777" w:rsidR="00021FC8" w:rsidRPr="00824357" w:rsidRDefault="00021FC8" w:rsidP="00021FC8">
                        <w:pPr>
                          <w:keepNext/>
                          <w:keepLines/>
                          <w:spacing w:before="20" w:after="20" w:line="1" w:lineRule="auto"/>
                        </w:pPr>
                      </w:p>
                    </w:tc>
                  </w:tr>
                </w:tbl>
                <w:p w14:paraId="0E7072BF" w14:textId="77777777" w:rsidR="00021FC8" w:rsidRPr="00824357" w:rsidRDefault="00021FC8" w:rsidP="00021FC8">
                  <w:pPr>
                    <w:keepNext/>
                    <w:keepLines/>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EBC6B" w14:textId="77777777" w:rsidR="00021FC8" w:rsidRPr="00824357" w:rsidRDefault="00021FC8" w:rsidP="00021FC8">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021FC8" w:rsidRPr="00824357" w14:paraId="02C0B2B4" w14:textId="77777777" w:rsidTr="008008A9">
                    <w:tc>
                      <w:tcPr>
                        <w:tcW w:w="975" w:type="dxa"/>
                        <w:tcMar>
                          <w:top w:w="0" w:type="dxa"/>
                          <w:left w:w="0" w:type="dxa"/>
                          <w:bottom w:w="0" w:type="dxa"/>
                          <w:right w:w="0" w:type="dxa"/>
                        </w:tcMar>
                      </w:tcPr>
                      <w:p w14:paraId="03BEFCBD" w14:textId="77777777" w:rsidR="00021FC8" w:rsidRPr="00824357" w:rsidRDefault="00021FC8" w:rsidP="00021FC8">
                        <w:pPr>
                          <w:keepNext/>
                          <w:keepLines/>
                          <w:spacing w:before="20" w:after="20"/>
                          <w:jc w:val="left"/>
                          <w:rPr>
                            <w:rFonts w:cs="Arial"/>
                            <w:color w:val="000000"/>
                            <w:sz w:val="16"/>
                            <w:szCs w:val="16"/>
                          </w:rPr>
                        </w:pPr>
                        <w:r>
                          <w:rPr>
                            <w:color w:val="000000"/>
                            <w:sz w:val="16"/>
                          </w:rPr>
                          <w:t>TWV</w:t>
                        </w:r>
                      </w:p>
                      <w:p w14:paraId="50F2840C" w14:textId="77777777" w:rsidR="00021FC8" w:rsidRPr="00824357" w:rsidRDefault="00021FC8" w:rsidP="00021FC8">
                        <w:pPr>
                          <w:keepNext/>
                          <w:keepLines/>
                          <w:spacing w:before="20" w:after="20" w:line="1" w:lineRule="auto"/>
                          <w:jc w:val="left"/>
                        </w:pPr>
                      </w:p>
                    </w:tc>
                  </w:tr>
                </w:tbl>
                <w:p w14:paraId="35945DE9" w14:textId="77777777" w:rsidR="00021FC8" w:rsidRPr="00824357" w:rsidRDefault="00021FC8" w:rsidP="00021FC8">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3882B" w14:textId="77777777" w:rsidR="00021FC8" w:rsidRPr="00824357" w:rsidRDefault="00021FC8" w:rsidP="00021FC8">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021FC8" w:rsidRPr="00824357" w14:paraId="55A29D0F" w14:textId="77777777" w:rsidTr="008008A9">
                    <w:tc>
                      <w:tcPr>
                        <w:tcW w:w="1413" w:type="dxa"/>
                        <w:tcMar>
                          <w:top w:w="0" w:type="dxa"/>
                          <w:left w:w="0" w:type="dxa"/>
                          <w:bottom w:w="0" w:type="dxa"/>
                          <w:right w:w="0" w:type="dxa"/>
                        </w:tcMar>
                      </w:tcPr>
                      <w:p w14:paraId="0EEB9FE8" w14:textId="77777777" w:rsidR="00021FC8" w:rsidRPr="00824357" w:rsidRDefault="00021FC8" w:rsidP="00021FC8">
                        <w:pPr>
                          <w:keepNext/>
                          <w:keepLines/>
                          <w:spacing w:before="20" w:after="20"/>
                          <w:ind w:right="-13"/>
                          <w:jc w:val="left"/>
                          <w:rPr>
                            <w:rFonts w:cs="Arial"/>
                            <w:color w:val="000000"/>
                            <w:sz w:val="16"/>
                            <w:szCs w:val="16"/>
                          </w:rPr>
                        </w:pPr>
                        <w:r>
                          <w:rPr>
                            <w:color w:val="000000"/>
                            <w:sz w:val="16"/>
                          </w:rPr>
                          <w:t>TG/294/1 Corr. Rev. 3 (proj.1)</w:t>
                        </w:r>
                      </w:p>
                      <w:p w14:paraId="0062494C" w14:textId="77777777" w:rsidR="00021FC8" w:rsidRPr="00824357" w:rsidRDefault="00021FC8" w:rsidP="00021FC8">
                        <w:pPr>
                          <w:keepNext/>
                          <w:keepLines/>
                          <w:spacing w:before="20" w:after="20" w:line="1" w:lineRule="auto"/>
                          <w:ind w:right="-13"/>
                          <w:jc w:val="left"/>
                        </w:pPr>
                      </w:p>
                    </w:tc>
                  </w:tr>
                </w:tbl>
                <w:p w14:paraId="5A7027FC" w14:textId="77777777" w:rsidR="00021FC8" w:rsidRPr="00824357" w:rsidRDefault="00021FC8" w:rsidP="00021FC8">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AC71D" w14:textId="77777777" w:rsidR="00021FC8" w:rsidRPr="00824357" w:rsidRDefault="00021FC8" w:rsidP="00021FC8">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021FC8" w:rsidRPr="00824357" w14:paraId="62E82A16" w14:textId="77777777" w:rsidTr="008008A9">
                    <w:tc>
                      <w:tcPr>
                        <w:tcW w:w="1545" w:type="dxa"/>
                        <w:tcMar>
                          <w:top w:w="0" w:type="dxa"/>
                          <w:left w:w="0" w:type="dxa"/>
                          <w:bottom w:w="0" w:type="dxa"/>
                          <w:right w:w="0" w:type="dxa"/>
                        </w:tcMar>
                      </w:tcPr>
                      <w:p w14:paraId="677571D5" w14:textId="77777777" w:rsidR="00021FC8" w:rsidRPr="00824357" w:rsidRDefault="00021FC8" w:rsidP="00021FC8">
                        <w:pPr>
                          <w:keepNext/>
                          <w:keepLines/>
                          <w:spacing w:before="20" w:after="20"/>
                          <w:jc w:val="left"/>
                          <w:rPr>
                            <w:rFonts w:cs="Arial"/>
                            <w:color w:val="000000"/>
                            <w:sz w:val="16"/>
                            <w:szCs w:val="16"/>
                          </w:rPr>
                        </w:pPr>
                        <w:r>
                          <w:rPr>
                            <w:color w:val="000000"/>
                            <w:sz w:val="16"/>
                          </w:rPr>
                          <w:t>Tomato Rootstocks</w:t>
                        </w:r>
                      </w:p>
                      <w:p w14:paraId="1F9CF177" w14:textId="77777777" w:rsidR="00021FC8" w:rsidRPr="00824357" w:rsidRDefault="00021FC8" w:rsidP="00021FC8">
                        <w:pPr>
                          <w:keepNext/>
                          <w:keepLines/>
                          <w:spacing w:before="20" w:after="20" w:line="1" w:lineRule="auto"/>
                          <w:jc w:val="left"/>
                        </w:pPr>
                      </w:p>
                    </w:tc>
                  </w:tr>
                </w:tbl>
                <w:p w14:paraId="7FA36F3F" w14:textId="77777777" w:rsidR="00021FC8" w:rsidRPr="00824357" w:rsidRDefault="00021FC8" w:rsidP="00021FC8">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FBB40" w14:textId="77777777" w:rsidR="00021FC8" w:rsidRPr="00824357" w:rsidRDefault="00021FC8" w:rsidP="00021FC8">
                  <w:pPr>
                    <w:keepNext/>
                    <w:keepLines/>
                    <w:spacing w:before="20" w:after="20"/>
                    <w:jc w:val="left"/>
                    <w:rPr>
                      <w:rFonts w:cs="Arial"/>
                      <w:sz w:val="16"/>
                      <w:szCs w:val="16"/>
                    </w:rPr>
                  </w:pPr>
                  <w:r>
                    <w:rPr>
                      <w:sz w:val="16"/>
                    </w:rPr>
                    <w:t>Porte-greffe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021FC8" w:rsidRPr="00824357" w14:paraId="54918EB4" w14:textId="77777777" w:rsidTr="008008A9">
                    <w:tc>
                      <w:tcPr>
                        <w:tcW w:w="1230" w:type="dxa"/>
                        <w:tcMar>
                          <w:top w:w="0" w:type="dxa"/>
                          <w:left w:w="0" w:type="dxa"/>
                          <w:bottom w:w="0" w:type="dxa"/>
                          <w:right w:w="0" w:type="dxa"/>
                        </w:tcMar>
                      </w:tcPr>
                      <w:p w14:paraId="76EF475C" w14:textId="77777777" w:rsidR="00021FC8" w:rsidRPr="00824357" w:rsidRDefault="00021FC8" w:rsidP="00021FC8">
                        <w:pPr>
                          <w:keepNext/>
                          <w:keepLines/>
                          <w:spacing w:before="20" w:after="20"/>
                          <w:jc w:val="left"/>
                          <w:rPr>
                            <w:rFonts w:cs="Arial"/>
                            <w:sz w:val="16"/>
                            <w:szCs w:val="16"/>
                          </w:rPr>
                        </w:pPr>
                      </w:p>
                    </w:tc>
                  </w:tr>
                </w:tbl>
                <w:p w14:paraId="6F1C7A03" w14:textId="77777777" w:rsidR="00021FC8" w:rsidRPr="00824357" w:rsidRDefault="00021FC8" w:rsidP="00021FC8">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1B123" w14:textId="77777777" w:rsidR="00021FC8" w:rsidRPr="00824357" w:rsidRDefault="00021FC8" w:rsidP="00021FC8">
                  <w:pPr>
                    <w:keepNext/>
                    <w:keepLines/>
                    <w:spacing w:before="20" w:after="20"/>
                    <w:jc w:val="left"/>
                    <w:rPr>
                      <w:rFonts w:cs="Arial"/>
                      <w:sz w:val="16"/>
                      <w:szCs w:val="16"/>
                    </w:rPr>
                  </w:pPr>
                  <w:r>
                    <w:rPr>
                      <w:sz w:val="16"/>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021FC8" w:rsidRPr="00824357" w14:paraId="165E4EEB" w14:textId="77777777" w:rsidTr="008008A9">
                    <w:tc>
                      <w:tcPr>
                        <w:tcW w:w="1560" w:type="dxa"/>
                        <w:tcMar>
                          <w:top w:w="0" w:type="dxa"/>
                          <w:left w:w="0" w:type="dxa"/>
                          <w:bottom w:w="0" w:type="dxa"/>
                          <w:right w:w="0" w:type="dxa"/>
                        </w:tcMar>
                      </w:tcPr>
                      <w:p w14:paraId="347562DC" w14:textId="77777777" w:rsidR="00021FC8" w:rsidRPr="00824357" w:rsidRDefault="00021FC8" w:rsidP="00021FC8">
                        <w:pPr>
                          <w:keepNext/>
                          <w:keepLines/>
                          <w:spacing w:before="20" w:after="20"/>
                          <w:jc w:val="left"/>
                          <w:rPr>
                            <w:rFonts w:cs="Arial"/>
                            <w:sz w:val="16"/>
                            <w:szCs w:val="16"/>
                          </w:rPr>
                        </w:pPr>
                      </w:p>
                    </w:tc>
                  </w:tr>
                </w:tbl>
                <w:p w14:paraId="3B063B4E" w14:textId="77777777" w:rsidR="00021FC8" w:rsidRPr="00824357" w:rsidRDefault="00021FC8" w:rsidP="00021FC8">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DE012" w14:textId="77777777" w:rsidR="00021FC8" w:rsidRPr="00824357" w:rsidRDefault="00021FC8" w:rsidP="00021FC8">
                  <w:pPr>
                    <w:keepNext/>
                    <w:keepLines/>
                    <w:spacing w:before="20" w:after="20"/>
                    <w:jc w:val="left"/>
                    <w:rPr>
                      <w:rFonts w:cs="Arial"/>
                      <w:sz w:val="16"/>
                      <w:szCs w:val="16"/>
                    </w:rPr>
                  </w:pPr>
                  <w:r>
                    <w:rPr>
                      <w:sz w:val="16"/>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021FC8" w:rsidRPr="00824357" w14:paraId="0AC1D8EA" w14:textId="77777777" w:rsidTr="008008A9">
                    <w:tc>
                      <w:tcPr>
                        <w:tcW w:w="1320" w:type="dxa"/>
                        <w:tcMar>
                          <w:top w:w="0" w:type="dxa"/>
                          <w:left w:w="0" w:type="dxa"/>
                          <w:bottom w:w="0" w:type="dxa"/>
                          <w:right w:w="0" w:type="dxa"/>
                        </w:tcMar>
                      </w:tcPr>
                      <w:p w14:paraId="0A2A1059" w14:textId="77777777" w:rsidR="00021FC8" w:rsidRPr="00824357" w:rsidRDefault="00021FC8" w:rsidP="00021FC8">
                        <w:pPr>
                          <w:keepNext/>
                          <w:keepLines/>
                          <w:spacing w:before="20" w:after="20"/>
                          <w:jc w:val="left"/>
                          <w:rPr>
                            <w:rFonts w:cs="Arial"/>
                            <w:sz w:val="16"/>
                            <w:szCs w:val="16"/>
                          </w:rPr>
                        </w:pPr>
                      </w:p>
                    </w:tc>
                  </w:tr>
                </w:tbl>
                <w:p w14:paraId="49AB2D6C" w14:textId="77777777" w:rsidR="00021FC8" w:rsidRPr="00824357" w:rsidRDefault="00021FC8" w:rsidP="00021FC8">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A6CB7" w14:textId="77777777" w:rsidR="00021FC8" w:rsidRPr="00824357" w:rsidRDefault="00021FC8" w:rsidP="00021FC8">
                  <w:pPr>
                    <w:keepNext/>
                    <w:keepLines/>
                    <w:spacing w:before="20" w:after="20"/>
                    <w:jc w:val="left"/>
                    <w:rPr>
                      <w:vanish/>
                    </w:rPr>
                  </w:pPr>
                </w:p>
                <w:p w14:paraId="4300D018" w14:textId="77777777" w:rsidR="004B7498" w:rsidRDefault="004B7498"/>
                <w:tbl>
                  <w:tblPr>
                    <w:tblW w:w="1545" w:type="dxa"/>
                    <w:tblLayout w:type="fixed"/>
                    <w:tblCellMar>
                      <w:left w:w="0" w:type="dxa"/>
                      <w:right w:w="0" w:type="dxa"/>
                    </w:tblCellMar>
                    <w:tblLook w:val="01E0" w:firstRow="1" w:lastRow="1" w:firstColumn="1" w:lastColumn="1" w:noHBand="0" w:noVBand="0"/>
                  </w:tblPr>
                  <w:tblGrid>
                    <w:gridCol w:w="1545"/>
                  </w:tblGrid>
                  <w:tr w:rsidR="00021FC8" w:rsidRPr="00963B6C" w14:paraId="63AD7AC3" w14:textId="77777777" w:rsidTr="008008A9">
                    <w:tc>
                      <w:tcPr>
                        <w:tcW w:w="1545" w:type="dxa"/>
                        <w:tcMar>
                          <w:top w:w="0" w:type="dxa"/>
                          <w:left w:w="0" w:type="dxa"/>
                          <w:bottom w:w="0" w:type="dxa"/>
                          <w:right w:w="0" w:type="dxa"/>
                        </w:tcMar>
                      </w:tcPr>
                      <w:p w14:paraId="10297237" w14:textId="38AD6AD4" w:rsidR="00021FC8" w:rsidRPr="007D0D8E" w:rsidRDefault="00021FC8" w:rsidP="00021FC8">
                        <w:pPr>
                          <w:keepNext/>
                          <w:keepLines/>
                          <w:spacing w:before="20" w:after="20"/>
                          <w:jc w:val="left"/>
                          <w:rPr>
                            <w:rFonts w:eastAsiaTheme="minorEastAsia" w:cs="Arial"/>
                            <w:color w:val="000000"/>
                            <w:sz w:val="16"/>
                            <w:szCs w:val="16"/>
                          </w:rPr>
                        </w:pPr>
                        <w:r>
                          <w:rPr>
                            <w:i/>
                            <w:color w:val="000000"/>
                            <w:sz w:val="16"/>
                          </w:rPr>
                          <w:t>Solanum lycopersicum</w:t>
                        </w:r>
                        <w:r>
                          <w:rPr>
                            <w:color w:val="000000"/>
                            <w:sz w:val="16"/>
                          </w:rPr>
                          <w:t xml:space="preserve"> L. × </w:t>
                        </w:r>
                        <w:r>
                          <w:rPr>
                            <w:i/>
                            <w:color w:val="000000"/>
                            <w:sz w:val="16"/>
                          </w:rPr>
                          <w:t>S. cheesmaniae</w:t>
                        </w:r>
                        <w:r>
                          <w:rPr>
                            <w:color w:val="000000"/>
                            <w:sz w:val="16"/>
                          </w:rPr>
                          <w:t> </w:t>
                        </w:r>
                        <w:r>
                          <w:rPr>
                            <w:rFonts w:cs="Arial"/>
                            <w:color w:val="000000"/>
                            <w:sz w:val="16"/>
                            <w:szCs w:val="16"/>
                          </w:rPr>
                          <w:br/>
                        </w:r>
                        <w:r>
                          <w:rPr>
                            <w:color w:val="000000"/>
                            <w:sz w:val="16"/>
                          </w:rPr>
                          <w:t xml:space="preserve">(L. Ridley) Fosberg, </w:t>
                        </w:r>
                        <w:r>
                          <w:rPr>
                            <w:i/>
                            <w:color w:val="000000"/>
                            <w:sz w:val="16"/>
                          </w:rPr>
                          <w:t>S. lycopersicum</w:t>
                        </w:r>
                        <w:r>
                          <w:rPr>
                            <w:color w:val="000000"/>
                            <w:sz w:val="16"/>
                          </w:rPr>
                          <w:t> L. × </w:t>
                        </w:r>
                        <w:r>
                          <w:rPr>
                            <w:i/>
                            <w:color w:val="000000"/>
                            <w:sz w:val="16"/>
                          </w:rPr>
                          <w:t>S. peruvianum</w:t>
                        </w:r>
                        <w:r>
                          <w:rPr>
                            <w:color w:val="000000"/>
                            <w:sz w:val="16"/>
                          </w:rPr>
                          <w:t xml:space="preserve"> (L.) Mill., </w:t>
                        </w:r>
                        <w:r w:rsidR="004B7498">
                          <w:rPr>
                            <w:color w:val="000000"/>
                            <w:sz w:val="16"/>
                          </w:rPr>
                          <w:br/>
                        </w:r>
                        <w:r>
                          <w:rPr>
                            <w:color w:val="000000"/>
                            <w:sz w:val="16"/>
                          </w:rPr>
                          <w:t>S.</w:t>
                        </w:r>
                        <w:r>
                          <w:rPr>
                            <w:rStyle w:val="Emphasis"/>
                            <w:color w:val="000000"/>
                            <w:sz w:val="16"/>
                          </w:rPr>
                          <w:t xml:space="preserve"> pimpinellifolium</w:t>
                        </w:r>
                        <w:r>
                          <w:rPr>
                            <w:color w:val="000000"/>
                            <w:sz w:val="16"/>
                          </w:rPr>
                          <w:t xml:space="preserve"> L. × </w:t>
                        </w:r>
                        <w:r>
                          <w:rPr>
                            <w:rStyle w:val="Emphasis"/>
                            <w:color w:val="000000"/>
                            <w:sz w:val="16"/>
                          </w:rPr>
                          <w:t>S. habrochaites</w:t>
                        </w:r>
                        <w:r>
                          <w:rPr>
                            <w:color w:val="000000"/>
                            <w:sz w:val="16"/>
                          </w:rPr>
                          <w:t> </w:t>
                        </w:r>
                        <w:r>
                          <w:rPr>
                            <w:rFonts w:cs="Arial"/>
                            <w:color w:val="000000"/>
                            <w:sz w:val="16"/>
                            <w:szCs w:val="16"/>
                          </w:rPr>
                          <w:br/>
                        </w:r>
                        <w:r>
                          <w:rPr>
                            <w:color w:val="000000"/>
                            <w:sz w:val="16"/>
                          </w:rPr>
                          <w:t>S. Knapp &amp; D.M. Spooner, </w:t>
                        </w:r>
                        <w:r>
                          <w:rPr>
                            <w:i/>
                            <w:color w:val="000000"/>
                            <w:sz w:val="16"/>
                          </w:rPr>
                          <w:t>Solanum habrochaites</w:t>
                        </w:r>
                        <w:r>
                          <w:rPr>
                            <w:color w:val="000000"/>
                            <w:sz w:val="16"/>
                          </w:rPr>
                          <w:t> </w:t>
                        </w:r>
                        <w:r w:rsidR="002518E1">
                          <w:rPr>
                            <w:color w:val="000000"/>
                            <w:sz w:val="16"/>
                          </w:rPr>
                          <w:br/>
                        </w:r>
                        <w:r>
                          <w:rPr>
                            <w:color w:val="000000"/>
                            <w:sz w:val="16"/>
                          </w:rPr>
                          <w:t>S.</w:t>
                        </w:r>
                        <w:r w:rsidR="004B7498">
                          <w:rPr>
                            <w:color w:val="000000"/>
                            <w:sz w:val="16"/>
                          </w:rPr>
                          <w:t> </w:t>
                        </w:r>
                        <w:r>
                          <w:rPr>
                            <w:color w:val="000000"/>
                            <w:sz w:val="16"/>
                          </w:rPr>
                          <w:t>Knapp </w:t>
                        </w:r>
                        <w:r>
                          <w:rPr>
                            <w:i/>
                            <w:color w:val="000000"/>
                            <w:sz w:val="16"/>
                          </w:rPr>
                          <w:t>&amp;</w:t>
                        </w:r>
                        <w:r>
                          <w:rPr>
                            <w:color w:val="000000"/>
                            <w:sz w:val="16"/>
                          </w:rPr>
                          <w:t xml:space="preserve"> D.M. Spooner, </w:t>
                        </w:r>
                        <w:r w:rsidR="004B7498">
                          <w:rPr>
                            <w:color w:val="000000"/>
                            <w:sz w:val="16"/>
                          </w:rPr>
                          <w:br/>
                        </w:r>
                        <w:r>
                          <w:rPr>
                            <w:i/>
                            <w:color w:val="000000"/>
                            <w:sz w:val="16"/>
                          </w:rPr>
                          <w:t>S</w:t>
                        </w:r>
                        <w:r w:rsidR="002518E1">
                          <w:rPr>
                            <w:i/>
                            <w:color w:val="000000"/>
                            <w:sz w:val="16"/>
                          </w:rPr>
                          <w:t>.</w:t>
                        </w:r>
                        <w:r w:rsidR="004B7498">
                          <w:rPr>
                            <w:i/>
                            <w:color w:val="000000"/>
                            <w:sz w:val="16"/>
                          </w:rPr>
                          <w:t> </w:t>
                        </w:r>
                        <w:r>
                          <w:rPr>
                            <w:i/>
                            <w:color w:val="000000"/>
                            <w:sz w:val="16"/>
                          </w:rPr>
                          <w:t>lycopersicum</w:t>
                        </w:r>
                        <w:r>
                          <w:rPr>
                            <w:color w:val="000000"/>
                            <w:sz w:val="16"/>
                          </w:rPr>
                          <w:t> L. var. </w:t>
                        </w:r>
                        <w:r>
                          <w:rPr>
                            <w:i/>
                            <w:color w:val="000000"/>
                            <w:sz w:val="16"/>
                          </w:rPr>
                          <w:t>lycopersicum</w:t>
                        </w:r>
                        <w:r>
                          <w:rPr>
                            <w:color w:val="000000"/>
                            <w:sz w:val="16"/>
                          </w:rPr>
                          <w:t> × </w:t>
                        </w:r>
                        <w:r w:rsidR="004B7498">
                          <w:rPr>
                            <w:color w:val="000000"/>
                            <w:sz w:val="16"/>
                          </w:rPr>
                          <w:br/>
                        </w:r>
                        <w:r>
                          <w:rPr>
                            <w:i/>
                            <w:color w:val="000000"/>
                            <w:sz w:val="16"/>
                          </w:rPr>
                          <w:t>S.</w:t>
                        </w:r>
                        <w:r w:rsidR="004B7498">
                          <w:rPr>
                            <w:i/>
                            <w:color w:val="000000"/>
                            <w:sz w:val="16"/>
                          </w:rPr>
                          <w:t> </w:t>
                        </w:r>
                        <w:r>
                          <w:rPr>
                            <w:i/>
                            <w:color w:val="000000"/>
                            <w:sz w:val="16"/>
                          </w:rPr>
                          <w:t>habrochaites</w:t>
                        </w:r>
                        <w:r>
                          <w:rPr>
                            <w:color w:val="000000"/>
                            <w:sz w:val="16"/>
                          </w:rPr>
                          <w:t> </w:t>
                        </w:r>
                        <w:r w:rsidR="002518E1">
                          <w:rPr>
                            <w:color w:val="000000"/>
                            <w:sz w:val="16"/>
                          </w:rPr>
                          <w:br/>
                        </w:r>
                        <w:r>
                          <w:rPr>
                            <w:color w:val="000000"/>
                            <w:sz w:val="16"/>
                          </w:rPr>
                          <w:t>S. Knapp &amp; D.M. Spooner</w:t>
                        </w:r>
                      </w:p>
                      <w:p w14:paraId="210F5145" w14:textId="77777777" w:rsidR="00021FC8" w:rsidRPr="007D0D8E" w:rsidRDefault="00021FC8" w:rsidP="00021FC8">
                        <w:pPr>
                          <w:keepNext/>
                          <w:keepLines/>
                          <w:spacing w:before="20" w:after="20" w:line="1" w:lineRule="auto"/>
                          <w:jc w:val="left"/>
                        </w:pPr>
                      </w:p>
                    </w:tc>
                  </w:tr>
                </w:tbl>
                <w:p w14:paraId="114B7B9C" w14:textId="77777777" w:rsidR="00021FC8" w:rsidRPr="007D0D8E" w:rsidRDefault="00021FC8" w:rsidP="00021FC8">
                  <w:pPr>
                    <w:keepNext/>
                    <w:keepLines/>
                    <w:spacing w:before="20" w:after="20" w:line="1" w:lineRule="auto"/>
                    <w:jc w:val="left"/>
                  </w:pPr>
                </w:p>
              </w:tc>
            </w:tr>
          </w:tbl>
          <w:p w14:paraId="6757A208" w14:textId="77777777" w:rsidR="00DC7917" w:rsidRPr="007D0D8E" w:rsidRDefault="00DC7917" w:rsidP="008008A9">
            <w:pPr>
              <w:spacing w:line="1" w:lineRule="auto"/>
            </w:pPr>
          </w:p>
        </w:tc>
      </w:tr>
    </w:tbl>
    <w:p w14:paraId="3D64F1AA" w14:textId="77777777" w:rsidR="00D70AB4" w:rsidRPr="007D0D8E" w:rsidRDefault="00D70AB4" w:rsidP="00050E16"/>
    <w:p w14:paraId="6497EB76" w14:textId="209EECE2" w:rsidR="00412DC1" w:rsidRPr="00D23966" w:rsidRDefault="00F82F9A" w:rsidP="00412DC1">
      <w:r w:rsidRPr="00D23966">
        <w:fldChar w:fldCharType="begin"/>
      </w:r>
      <w:r w:rsidRPr="00D23966">
        <w:instrText xml:space="preserve"> AUTONUM  </w:instrText>
      </w:r>
      <w:r w:rsidRPr="00D23966">
        <w:fldChar w:fldCharType="end"/>
      </w:r>
      <w:r>
        <w:tab/>
        <w:t xml:space="preserve">El TC-EDC convino en que el proyecto de directrices de examen de </w:t>
      </w:r>
      <w:r>
        <w:rPr>
          <w:i/>
        </w:rPr>
        <w:t>Coreopsis</w:t>
      </w:r>
      <w:r>
        <w:t xml:space="preserve"> (documento TG/COREO(proj.3)) se ha de remitir al TWO para aclarar los aspectos técnicos que se indican en el Anexo II del presente informe.</w:t>
      </w:r>
      <w:r w:rsidR="002A0DA3">
        <w:t xml:space="preserve"> </w:t>
      </w:r>
    </w:p>
    <w:p w14:paraId="3330EC81" w14:textId="77777777" w:rsidR="00412DC1" w:rsidRPr="00D23966" w:rsidRDefault="00412DC1" w:rsidP="00412DC1"/>
    <w:p w14:paraId="76EDD425" w14:textId="6BDB9E50" w:rsidR="0064482F" w:rsidRPr="00412DC1" w:rsidRDefault="00412DC1" w:rsidP="00412DC1">
      <w:r w:rsidRPr="00D23966">
        <w:fldChar w:fldCharType="begin"/>
      </w:r>
      <w:r w:rsidRPr="00D23966">
        <w:instrText xml:space="preserve"> AUTONUM  </w:instrText>
      </w:r>
      <w:r w:rsidRPr="00D23966">
        <w:fldChar w:fldCharType="end"/>
      </w:r>
      <w:r>
        <w:tab/>
        <w:t xml:space="preserve">El TC-EDC convino en que se necesitan aclaraciones de redacción del proyecto de directrices de examen de </w:t>
      </w:r>
      <w:r>
        <w:rPr>
          <w:i/>
        </w:rPr>
        <w:t>Portulaca</w:t>
      </w:r>
      <w:r>
        <w:t xml:space="preserve"> (documento </w:t>
      </w:r>
      <w:r>
        <w:rPr>
          <w:caps/>
        </w:rPr>
        <w:t>TG/242/4(</w:t>
      </w:r>
      <w:r>
        <w:t>proj.2)) y convino en volver a examinar el proyecto de directrices de examen en la reunión que tiene previsto mantener en marzo de 2020.</w:t>
      </w:r>
      <w:r w:rsidR="002A0DA3">
        <w:t xml:space="preserve"> </w:t>
      </w:r>
    </w:p>
    <w:p w14:paraId="1CF093FE" w14:textId="77777777" w:rsidR="00F82F9A" w:rsidRDefault="00F82F9A" w:rsidP="00866771">
      <w:pPr>
        <w:keepNext/>
      </w:pPr>
    </w:p>
    <w:p w14:paraId="546A3730" w14:textId="77777777" w:rsidR="00F82F9A" w:rsidRPr="00824357" w:rsidRDefault="00F82F9A" w:rsidP="00F82F9A">
      <w:pPr>
        <w:pStyle w:val="Heading3"/>
      </w:pPr>
      <w:bookmarkStart w:id="71" w:name="_Toc479752533"/>
      <w:bookmarkStart w:id="72" w:name="_Toc21019260"/>
      <w:r>
        <w:t>Correcciones de directrices de examen</w:t>
      </w:r>
      <w:bookmarkEnd w:id="71"/>
      <w:bookmarkEnd w:id="72"/>
    </w:p>
    <w:p w14:paraId="09D403F5" w14:textId="77777777" w:rsidR="00F82F9A" w:rsidRDefault="00F82F9A" w:rsidP="00866771">
      <w:pPr>
        <w:keepNext/>
      </w:pPr>
    </w:p>
    <w:p w14:paraId="2A34A3AD" w14:textId="64D386EB" w:rsidR="005F1109" w:rsidRDefault="0064482F" w:rsidP="00866771">
      <w:pPr>
        <w:keepNext/>
      </w:pPr>
      <w:r w:rsidRPr="00824357">
        <w:fldChar w:fldCharType="begin"/>
      </w:r>
      <w:r w:rsidRPr="00824357">
        <w:instrText xml:space="preserve"> AUTONUM  </w:instrText>
      </w:r>
      <w:r w:rsidRPr="00824357">
        <w:fldChar w:fldCharType="end"/>
      </w:r>
      <w:r>
        <w:tab/>
        <w:t xml:space="preserve">El TC tomó nota de las siguientes correcciones introducidas en las directrices de examen aprobadas de </w:t>
      </w:r>
      <w:r>
        <w:rPr>
          <w:i/>
        </w:rPr>
        <w:t>Lobelia</w:t>
      </w:r>
      <w:r>
        <w:t xml:space="preserve">, pepino/pepinillo y </w:t>
      </w:r>
      <w:r>
        <w:rPr>
          <w:i/>
        </w:rPr>
        <w:t>Urochloa</w:t>
      </w:r>
      <w:r>
        <w:t xml:space="preserve">: </w:t>
      </w:r>
    </w:p>
    <w:p w14:paraId="21EBE08E" w14:textId="77777777" w:rsidR="005F1109" w:rsidRDefault="005F1109" w:rsidP="00866771">
      <w:pPr>
        <w:keepNext/>
      </w:pPr>
    </w:p>
    <w:p w14:paraId="25A8877A" w14:textId="420A8F9F" w:rsidR="00DC7917" w:rsidRDefault="0064482F" w:rsidP="005F1109">
      <w:pPr>
        <w:pStyle w:val="ListParagraph"/>
        <w:keepNext/>
        <w:numPr>
          <w:ilvl w:val="0"/>
          <w:numId w:val="9"/>
        </w:numPr>
      </w:pPr>
      <w:r>
        <w:t xml:space="preserve">Directrices de examen de </w:t>
      </w:r>
      <w:r>
        <w:rPr>
          <w:i/>
        </w:rPr>
        <w:t>Lobelia</w:t>
      </w:r>
      <w:r>
        <w:t xml:space="preserve"> (documento TG/293/1 Corr.)</w:t>
      </w:r>
    </w:p>
    <w:p w14:paraId="4D621302" w14:textId="77777777" w:rsidR="00D23966" w:rsidRPr="00824357" w:rsidRDefault="00D23966" w:rsidP="00866771">
      <w:pPr>
        <w:keepNext/>
      </w:pPr>
    </w:p>
    <w:p w14:paraId="3BD9EB39" w14:textId="77777777" w:rsidR="0064482F" w:rsidRPr="005F1109" w:rsidRDefault="0064482F" w:rsidP="005F1109">
      <w:pPr>
        <w:pStyle w:val="ListParagraph"/>
        <w:keepNext/>
        <w:numPr>
          <w:ilvl w:val="0"/>
          <w:numId w:val="9"/>
        </w:numPr>
        <w:rPr>
          <w:rFonts w:cs="Arial"/>
        </w:rPr>
      </w:pPr>
      <w:r>
        <w:t>Supresión de las notas “1” y “2” de la explicación Ad. 27 “Labio inferior: zona blanca en la cara superior”.</w:t>
      </w:r>
    </w:p>
    <w:p w14:paraId="3221CEA3" w14:textId="77777777" w:rsidR="0064482F" w:rsidRPr="00D23966" w:rsidRDefault="0064482F" w:rsidP="0064482F">
      <w:pPr>
        <w:rPr>
          <w:rFonts w:cs="Arial"/>
        </w:rPr>
      </w:pPr>
    </w:p>
    <w:p w14:paraId="56011064" w14:textId="6BC89D9D" w:rsidR="0064482F" w:rsidRPr="00D23966" w:rsidRDefault="0064482F" w:rsidP="00F44E48">
      <w:pPr>
        <w:pStyle w:val="ListParagraph"/>
        <w:numPr>
          <w:ilvl w:val="0"/>
          <w:numId w:val="9"/>
        </w:numPr>
        <w:jc w:val="left"/>
        <w:rPr>
          <w:rFonts w:cs="Arial"/>
        </w:rPr>
      </w:pPr>
      <w:r>
        <w:t>Directrices de examen del pepino, pepinillo (documento TG/61/7 Rev. 2 Corr. 2 (EN, DE) y</w:t>
      </w:r>
      <w:r w:rsidR="005F1109">
        <w:t> </w:t>
      </w:r>
      <w:r>
        <w:t>TG/61/7 Rev. 2 Corr. 3 (FR, ES))</w:t>
      </w:r>
    </w:p>
    <w:p w14:paraId="01DEA99E" w14:textId="77777777" w:rsidR="0064482F" w:rsidRPr="00D23966" w:rsidRDefault="0064482F" w:rsidP="00D23966">
      <w:pPr>
        <w:pStyle w:val="ListParagraph"/>
        <w:ind w:left="1440"/>
        <w:rPr>
          <w:rFonts w:cs="Arial"/>
        </w:rPr>
      </w:pPr>
      <w:r>
        <w:t xml:space="preserve">Corrección del tipo de expresión del carácter 47 “Resistencia al mildiú del pepino </w:t>
      </w:r>
      <w:r>
        <w:rPr>
          <w:i/>
        </w:rPr>
        <w:t>Pseudoperonospora cubensis</w:t>
      </w:r>
      <w:r>
        <w:t>) Pcu)” que debe indicarse como QL en lugar de QN.</w:t>
      </w:r>
    </w:p>
    <w:p w14:paraId="561DCB58" w14:textId="77777777" w:rsidR="0064482F" w:rsidRPr="00D23966" w:rsidRDefault="0064482F" w:rsidP="0064482F">
      <w:pPr>
        <w:rPr>
          <w:rFonts w:cs="Arial"/>
        </w:rPr>
      </w:pPr>
    </w:p>
    <w:p w14:paraId="500ECA9C" w14:textId="67177014" w:rsidR="0064482F" w:rsidRPr="00D23966" w:rsidRDefault="0064482F" w:rsidP="00F44E48">
      <w:pPr>
        <w:pStyle w:val="ListParagraph"/>
        <w:keepNext/>
        <w:numPr>
          <w:ilvl w:val="0"/>
          <w:numId w:val="9"/>
        </w:numPr>
        <w:rPr>
          <w:rFonts w:cs="Arial"/>
        </w:rPr>
      </w:pPr>
      <w:r>
        <w:t xml:space="preserve">Directrices de examen de </w:t>
      </w:r>
      <w:r>
        <w:rPr>
          <w:i/>
        </w:rPr>
        <w:t>Urochloa</w:t>
      </w:r>
      <w:r>
        <w:t xml:space="preserve"> (documento TG/32</w:t>
      </w:r>
      <w:r w:rsidR="00257D16">
        <w:t>2</w:t>
      </w:r>
      <w:r>
        <w:t>/1 Corr.)</w:t>
      </w:r>
    </w:p>
    <w:p w14:paraId="627F92C5" w14:textId="77777777" w:rsidR="0064482F" w:rsidRPr="00824357" w:rsidRDefault="0064482F" w:rsidP="00D23966">
      <w:pPr>
        <w:ind w:left="1418"/>
      </w:pPr>
      <w:r>
        <w:t>Corrección del número de caracteres en las explicaciones Ad. 14, 16, 17 (“Inflorescencia: longitud del raquis”, “Inflorescencia: longitud de los racimos basales”, “Inflorescencia: longitud del pedúnculo”) para referirse a las partes correctas de la planta.‏</w:t>
      </w:r>
    </w:p>
    <w:p w14:paraId="532E7013" w14:textId="77777777" w:rsidR="00DC7917" w:rsidRPr="00824357" w:rsidRDefault="00DC7917" w:rsidP="00050E16"/>
    <w:p w14:paraId="378E60F2" w14:textId="77777777" w:rsidR="00DC7917" w:rsidRPr="00824357" w:rsidRDefault="003149E1" w:rsidP="003149E1">
      <w:pPr>
        <w:pStyle w:val="Heading3"/>
      </w:pPr>
      <w:bookmarkStart w:id="73" w:name="_Toc527574751"/>
      <w:r>
        <w:t>Proyectos de directrices de examen examinados por los TWP en 201</w:t>
      </w:r>
      <w:bookmarkEnd w:id="73"/>
      <w:r>
        <w:t>9</w:t>
      </w:r>
    </w:p>
    <w:p w14:paraId="6C29E7CC" w14:textId="77777777" w:rsidR="00D70AB4" w:rsidRPr="00824357" w:rsidRDefault="00D70AB4" w:rsidP="00050E16"/>
    <w:p w14:paraId="1EAE6CAE" w14:textId="77777777" w:rsidR="00D70AB4" w:rsidRPr="00824357" w:rsidRDefault="003149E1" w:rsidP="00050E16">
      <w:r w:rsidRPr="00824357">
        <w:fldChar w:fldCharType="begin"/>
      </w:r>
      <w:r w:rsidRPr="00824357">
        <w:instrText xml:space="preserve"> AUTONUM  </w:instrText>
      </w:r>
      <w:r w:rsidRPr="00824357">
        <w:fldChar w:fldCharType="end"/>
      </w:r>
      <w:r>
        <w:tab/>
        <w:t>El TC tomó nota de los proyectos de directrices de examen examinados por el TWF, en su sesión de 2018, y por los TWP, en sus sesiones de 2019, que se recogen en el Anexo III del documento TC/55/2.</w:t>
      </w:r>
    </w:p>
    <w:p w14:paraId="248C1486" w14:textId="77777777" w:rsidR="00B41FA6" w:rsidRPr="00824357" w:rsidRDefault="00B41FA6" w:rsidP="00050E16"/>
    <w:p w14:paraId="2CFC0CD5" w14:textId="77777777" w:rsidR="00D70AB4" w:rsidRPr="00824357" w:rsidRDefault="003149E1" w:rsidP="00866771">
      <w:pPr>
        <w:pStyle w:val="Heading3"/>
      </w:pPr>
      <w:bookmarkStart w:id="74" w:name="_Toc443394707"/>
      <w:bookmarkStart w:id="75" w:name="_Toc527574752"/>
      <w:r>
        <w:t>Proyectos de directrices de examen que han de debatirse en los TWP en </w:t>
      </w:r>
      <w:bookmarkEnd w:id="74"/>
      <w:bookmarkEnd w:id="75"/>
      <w:r>
        <w:t>2020</w:t>
      </w:r>
    </w:p>
    <w:p w14:paraId="5C850B0A" w14:textId="77777777" w:rsidR="00B41FA6" w:rsidRPr="00824357" w:rsidRDefault="00B41FA6" w:rsidP="00866771">
      <w:pPr>
        <w:keepNext/>
      </w:pPr>
    </w:p>
    <w:p w14:paraId="7705594B" w14:textId="6FE8275F" w:rsidR="00B41FA6" w:rsidRPr="00824357" w:rsidRDefault="00B41FA6" w:rsidP="00866771">
      <w:pPr>
        <w:keepNext/>
      </w:pPr>
      <w:r w:rsidRPr="00824357">
        <w:fldChar w:fldCharType="begin"/>
      </w:r>
      <w:r w:rsidRPr="00824357">
        <w:instrText xml:space="preserve"> AUTONUM  </w:instrText>
      </w:r>
      <w:r w:rsidRPr="00824357">
        <w:fldChar w:fldCharType="end"/>
      </w:r>
      <w:r>
        <w:tab/>
        <w:t>El TC aprobó el programa de elaboración de nuevas directrices de examen y de revisión de las directrices de examen aprobadas, que figura en el Anexo IV del documento TC/55/2, con las modificaciones siguientes:</w:t>
      </w:r>
    </w:p>
    <w:p w14:paraId="233F8A35" w14:textId="77777777" w:rsidR="00D70AB4" w:rsidRPr="00824357" w:rsidRDefault="00D70AB4" w:rsidP="00050E16"/>
    <w:p w14:paraId="57A5E5C0" w14:textId="77777777" w:rsidR="00B41FA6" w:rsidRPr="00824357" w:rsidRDefault="00B41FA6" w:rsidP="00866771">
      <w:pPr>
        <w:pStyle w:val="Heading4"/>
      </w:pPr>
      <w:bookmarkStart w:id="76" w:name="_Toc21019259"/>
      <w:r>
        <w:t>Revisión parcial de las directrices de examen del crisantemo</w:t>
      </w:r>
      <w:bookmarkEnd w:id="76"/>
    </w:p>
    <w:p w14:paraId="126BD011" w14:textId="77777777" w:rsidR="00B41FA6" w:rsidRPr="00824357" w:rsidRDefault="00B41FA6" w:rsidP="00866771">
      <w:pPr>
        <w:keepNext/>
        <w:jc w:val="left"/>
      </w:pPr>
    </w:p>
    <w:p w14:paraId="4D19E36F" w14:textId="77777777" w:rsidR="003149E1" w:rsidRDefault="00B41FA6" w:rsidP="00866771">
      <w:pPr>
        <w:keepNext/>
      </w:pPr>
      <w:r w:rsidRPr="00824357">
        <w:fldChar w:fldCharType="begin"/>
      </w:r>
      <w:r w:rsidRPr="00824357">
        <w:instrText xml:space="preserve"> AUTONUM  </w:instrText>
      </w:r>
      <w:r w:rsidRPr="00824357">
        <w:fldChar w:fldCharType="end"/>
      </w:r>
      <w:r>
        <w:tab/>
        <w:t xml:space="preserve">El TC convino en solicitar una revisión parcial de las directrices de examen del crisantemo (documento TG/26/5 Corr. 2) para abarcar todas las variedades de </w:t>
      </w:r>
      <w:r>
        <w:rPr>
          <w:i/>
        </w:rPr>
        <w:t>Chrysanthemum</w:t>
      </w:r>
      <w:r>
        <w:t xml:space="preserve"> L.</w:t>
      </w:r>
    </w:p>
    <w:p w14:paraId="7536E932" w14:textId="77777777" w:rsidR="00914083" w:rsidRPr="00824357" w:rsidRDefault="00914083" w:rsidP="00914083"/>
    <w:p w14:paraId="569D1521" w14:textId="77777777" w:rsidR="00914083" w:rsidRPr="00824357" w:rsidRDefault="00914083" w:rsidP="00914083">
      <w:pPr>
        <w:pStyle w:val="Heading4"/>
      </w:pPr>
      <w:r>
        <w:t xml:space="preserve">Revisión parcial de las directrices de examen de </w:t>
      </w:r>
      <w:r>
        <w:rPr>
          <w:i/>
        </w:rPr>
        <w:t>Calibrachoa</w:t>
      </w:r>
    </w:p>
    <w:p w14:paraId="63407777" w14:textId="77777777" w:rsidR="00914083" w:rsidRPr="00824357" w:rsidRDefault="00914083" w:rsidP="00914083">
      <w:pPr>
        <w:keepNext/>
        <w:jc w:val="left"/>
      </w:pPr>
    </w:p>
    <w:p w14:paraId="3B340053" w14:textId="77777777" w:rsidR="00914083" w:rsidRDefault="00914083" w:rsidP="00914083">
      <w:pPr>
        <w:keepNext/>
      </w:pPr>
      <w:r w:rsidRPr="00824357">
        <w:fldChar w:fldCharType="begin"/>
      </w:r>
      <w:r w:rsidRPr="00824357">
        <w:instrText xml:space="preserve"> AUTONUM  </w:instrText>
      </w:r>
      <w:r w:rsidRPr="00824357">
        <w:fldChar w:fldCharType="end"/>
      </w:r>
      <w:r>
        <w:tab/>
        <w:t xml:space="preserve">El TC tomó nota de la propuesta formulada por el Japón y convino en solicitar la revisión parcial de las directrices de examen de </w:t>
      </w:r>
      <w:r>
        <w:rPr>
          <w:i/>
        </w:rPr>
        <w:t>Calibrachoa</w:t>
      </w:r>
      <w:r>
        <w:t xml:space="preserve"> (documento TG/207/2), caracteres 16 a 20 y 28 y 29, para suprimir la restricción de la observación a solo determinados tipos de variedades.</w:t>
      </w:r>
    </w:p>
    <w:p w14:paraId="54FD3FCD" w14:textId="77777777" w:rsidR="003149E1" w:rsidRPr="00824357" w:rsidRDefault="003149E1" w:rsidP="00050E16"/>
    <w:p w14:paraId="12857889" w14:textId="77777777" w:rsidR="00D70AB4" w:rsidRPr="00824357" w:rsidRDefault="003149E1" w:rsidP="00866771">
      <w:pPr>
        <w:pStyle w:val="Heading3"/>
      </w:pPr>
      <w:bookmarkStart w:id="77" w:name="_Toc443394708"/>
      <w:bookmarkStart w:id="78" w:name="_Toc527574753"/>
      <w:r>
        <w:t>Estado de las directrices de examen actuales o los proyectos de directrices de examen</w:t>
      </w:r>
      <w:bookmarkEnd w:id="77"/>
      <w:bookmarkEnd w:id="78"/>
    </w:p>
    <w:p w14:paraId="256DEA2D" w14:textId="77777777" w:rsidR="00D70AB4" w:rsidRPr="00824357" w:rsidRDefault="00D70AB4" w:rsidP="00866771">
      <w:pPr>
        <w:keepNext/>
      </w:pPr>
    </w:p>
    <w:p w14:paraId="04BD81FD" w14:textId="77777777" w:rsidR="00D70AB4" w:rsidRPr="00824357" w:rsidRDefault="007E1441" w:rsidP="00866771">
      <w:pPr>
        <w:keepNext/>
      </w:pPr>
      <w:r w:rsidRPr="00824357">
        <w:fldChar w:fldCharType="begin"/>
      </w:r>
      <w:r w:rsidRPr="00824357">
        <w:instrText xml:space="preserve"> AUTONUM  </w:instrText>
      </w:r>
      <w:r w:rsidRPr="00824357">
        <w:fldChar w:fldCharType="end"/>
      </w:r>
      <w:r>
        <w:tab/>
        <w:t>El TC tomó nota del estado de las directrices de examen actuales o los proyectos de directrices de examen, que figuran en el Anexo V del documento TC/55/2.</w:t>
      </w:r>
    </w:p>
    <w:p w14:paraId="75307EE1" w14:textId="77777777" w:rsidR="00EB1742" w:rsidRPr="00824357" w:rsidRDefault="00EB1742" w:rsidP="00050E16"/>
    <w:p w14:paraId="608071E0" w14:textId="77777777" w:rsidR="007E1441" w:rsidRPr="00824357" w:rsidRDefault="007E1441" w:rsidP="00866771">
      <w:pPr>
        <w:pStyle w:val="Heading3"/>
      </w:pPr>
      <w:r>
        <w:t>Directrices de examen reemplazadas</w:t>
      </w:r>
    </w:p>
    <w:p w14:paraId="3A9D8D32" w14:textId="77777777" w:rsidR="007E1441" w:rsidRPr="00824357" w:rsidRDefault="007E1441" w:rsidP="00866771">
      <w:pPr>
        <w:keepNext/>
      </w:pPr>
    </w:p>
    <w:p w14:paraId="493E8371" w14:textId="77777777" w:rsidR="007E1441" w:rsidRPr="00824357" w:rsidRDefault="007E1441" w:rsidP="00866771">
      <w:pPr>
        <w:keepNext/>
      </w:pPr>
      <w:r w:rsidRPr="00824357">
        <w:fldChar w:fldCharType="begin"/>
      </w:r>
      <w:r w:rsidRPr="00824357">
        <w:instrText xml:space="preserve"> AUTONUM  </w:instrText>
      </w:r>
      <w:r w:rsidRPr="00824357">
        <w:fldChar w:fldCharType="end"/>
      </w:r>
      <w:r>
        <w:tab/>
        <w:t>El TC tomó nota de la lista de directrices de examen reemplazadas que figuran en el Anexo VI del documento TC/55/2.</w:t>
      </w:r>
    </w:p>
    <w:p w14:paraId="7E455C71" w14:textId="77777777" w:rsidR="00D70AB4" w:rsidRPr="00824357" w:rsidRDefault="00D70AB4" w:rsidP="00050E16"/>
    <w:p w14:paraId="45F84573" w14:textId="77777777" w:rsidR="00EB1742" w:rsidRPr="00824357" w:rsidRDefault="00EB1742" w:rsidP="00050E16">
      <w:r w:rsidRPr="00824357">
        <w:fldChar w:fldCharType="begin"/>
      </w:r>
      <w:r w:rsidRPr="00824357">
        <w:instrText xml:space="preserve"> AUTONUM  </w:instrText>
      </w:r>
      <w:r w:rsidRPr="00824357">
        <w:fldChar w:fldCharType="end"/>
      </w:r>
      <w:r>
        <w:tab/>
        <w:t>El TC tomó nota de que las nuevas versiones de las directrices de examen se han publicado en la página de directrices de examen del sitio web de la UPOV.</w:t>
      </w:r>
    </w:p>
    <w:p w14:paraId="608D23EB" w14:textId="77777777" w:rsidR="00EB1742" w:rsidRPr="00824357" w:rsidRDefault="00EB1742" w:rsidP="00050E16"/>
    <w:p w14:paraId="21A7D1BA" w14:textId="77777777" w:rsidR="00D70AB4" w:rsidRPr="00824357" w:rsidRDefault="003149E1" w:rsidP="00866771">
      <w:pPr>
        <w:pStyle w:val="Heading3"/>
      </w:pPr>
      <w:bookmarkStart w:id="79" w:name="_Toc527574755"/>
      <w:r>
        <w:t>Caracteres adicionales</w:t>
      </w:r>
      <w:bookmarkEnd w:id="79"/>
    </w:p>
    <w:p w14:paraId="3E25A0DD" w14:textId="77777777" w:rsidR="00D70AB4" w:rsidRPr="00824357" w:rsidRDefault="00D70AB4" w:rsidP="00866771">
      <w:pPr>
        <w:keepNext/>
      </w:pPr>
    </w:p>
    <w:p w14:paraId="44992563" w14:textId="77777777" w:rsidR="00D70AB4" w:rsidRPr="00824357" w:rsidRDefault="006E115D" w:rsidP="00866771">
      <w:pPr>
        <w:keepNext/>
      </w:pPr>
      <w:r w:rsidRPr="00824357">
        <w:fldChar w:fldCharType="begin"/>
      </w:r>
      <w:r w:rsidRPr="00824357">
        <w:instrText xml:space="preserve"> AUTONUM  </w:instrText>
      </w:r>
      <w:r w:rsidRPr="00824357">
        <w:fldChar w:fldCharType="end"/>
      </w:r>
      <w:r>
        <w:tab/>
        <w:t>El TC tomó nota de los caracteres y niveles de expresión adicionales notificados a la Oficina de la Unión desde la quincuagésima cuarta sesión del TC (véanse los Anexos VII y VIII del documento TC/55/2):</w:t>
      </w:r>
    </w:p>
    <w:p w14:paraId="423C1E68" w14:textId="77777777" w:rsidR="004927D4" w:rsidRPr="00824357" w:rsidRDefault="004927D4" w:rsidP="004927D4"/>
    <w:p w14:paraId="176754A6" w14:textId="77777777" w:rsidR="004927D4" w:rsidRPr="004927D4" w:rsidRDefault="004927D4" w:rsidP="004927D4">
      <w:pPr>
        <w:pStyle w:val="Heading4"/>
      </w:pPr>
      <w:r>
        <w:lastRenderedPageBreak/>
        <w:t>Plantas agrícolas</w:t>
      </w:r>
    </w:p>
    <w:p w14:paraId="7227281D" w14:textId="77777777" w:rsidR="004927D4" w:rsidRPr="004927D4" w:rsidRDefault="004927D4" w:rsidP="004927D4"/>
    <w:p w14:paraId="633AC922" w14:textId="77777777" w:rsidR="004927D4" w:rsidRPr="004927D4" w:rsidRDefault="004927D4" w:rsidP="008C4FB8">
      <w:pPr>
        <w:pStyle w:val="Heading5"/>
      </w:pPr>
      <w:bookmarkStart w:id="80" w:name="_Toc21019267"/>
      <w:r>
        <w:t>Caracteres adicionales</w:t>
      </w:r>
      <w:bookmarkEnd w:id="80"/>
    </w:p>
    <w:p w14:paraId="61430D11" w14:textId="77777777" w:rsidR="004927D4" w:rsidRPr="004927D4" w:rsidRDefault="004927D4" w:rsidP="00F44E48">
      <w:pPr>
        <w:pStyle w:val="ListParagraph"/>
        <w:numPr>
          <w:ilvl w:val="0"/>
          <w:numId w:val="10"/>
        </w:numPr>
        <w:ind w:left="1134" w:hanging="567"/>
      </w:pPr>
      <w:r>
        <w:rPr>
          <w:i/>
        </w:rPr>
        <w:t>Dactylis glomerata</w:t>
      </w:r>
      <w:r>
        <w:t xml:space="preserve"> L.: véase el Anexo VII (únicamente en inglés)</w:t>
      </w:r>
    </w:p>
    <w:p w14:paraId="64593EB5" w14:textId="77777777" w:rsidR="004927D4" w:rsidRPr="004927D4" w:rsidRDefault="004927D4" w:rsidP="00F44E48">
      <w:pPr>
        <w:pStyle w:val="ListParagraph"/>
        <w:numPr>
          <w:ilvl w:val="1"/>
          <w:numId w:val="10"/>
        </w:numPr>
        <w:ind w:left="1701" w:hanging="567"/>
      </w:pPr>
      <w:r>
        <w:t>“Planta: altura natural en otoño (sin vernalización)”</w:t>
      </w:r>
    </w:p>
    <w:p w14:paraId="4EC7976B" w14:textId="59B7A886" w:rsidR="004927D4" w:rsidRPr="004927D4" w:rsidRDefault="004927D4" w:rsidP="00F44E48">
      <w:pPr>
        <w:pStyle w:val="ListParagraph"/>
        <w:numPr>
          <w:ilvl w:val="0"/>
          <w:numId w:val="10"/>
        </w:numPr>
        <w:ind w:left="1134" w:hanging="567"/>
      </w:pPr>
      <w:r>
        <w:rPr>
          <w:i/>
        </w:rPr>
        <w:t>Lolium multiflorum</w:t>
      </w:r>
      <w:r>
        <w:t xml:space="preserve"> L.:</w:t>
      </w:r>
      <w:r w:rsidR="002A0DA3">
        <w:t xml:space="preserve"> </w:t>
      </w:r>
      <w:r>
        <w:t>véase el Anexo VII (únicamente en inglés)</w:t>
      </w:r>
    </w:p>
    <w:p w14:paraId="5A08D2C4" w14:textId="77777777" w:rsidR="004927D4" w:rsidRPr="004927D4" w:rsidRDefault="004927D4" w:rsidP="00F44E48">
      <w:pPr>
        <w:pStyle w:val="ListParagraph"/>
        <w:numPr>
          <w:ilvl w:val="1"/>
          <w:numId w:val="10"/>
        </w:numPr>
        <w:ind w:left="1701" w:hanging="567"/>
      </w:pPr>
      <w:r>
        <w:t>“Planta: longitud en otoño del año de siembra”</w:t>
      </w:r>
    </w:p>
    <w:p w14:paraId="1F8A7C73" w14:textId="77777777" w:rsidR="004927D4" w:rsidRPr="004927D4" w:rsidRDefault="004927D4" w:rsidP="00F44E48">
      <w:pPr>
        <w:pStyle w:val="ListParagraph"/>
        <w:numPr>
          <w:ilvl w:val="1"/>
          <w:numId w:val="10"/>
        </w:numPr>
        <w:ind w:left="1701" w:hanging="567"/>
      </w:pPr>
      <w:r>
        <w:t>“Hoja: longitud (en estado vegetativo)”</w:t>
      </w:r>
    </w:p>
    <w:p w14:paraId="1ED51A0D" w14:textId="77777777" w:rsidR="004927D4" w:rsidRPr="004927D4" w:rsidRDefault="004927D4" w:rsidP="004927D4">
      <w:pPr>
        <w:pStyle w:val="ListParagraph"/>
        <w:ind w:left="1440"/>
      </w:pPr>
    </w:p>
    <w:p w14:paraId="70552921" w14:textId="77777777" w:rsidR="004927D4" w:rsidRPr="000C3495" w:rsidRDefault="004927D4" w:rsidP="004927D4">
      <w:pPr>
        <w:pStyle w:val="Heading4"/>
      </w:pPr>
      <w:bookmarkStart w:id="81" w:name="_Toc21019268"/>
      <w:r>
        <w:t>Plantas ornamentales</w:t>
      </w:r>
      <w:bookmarkEnd w:id="81"/>
    </w:p>
    <w:p w14:paraId="0E17D0FA" w14:textId="77777777" w:rsidR="004927D4" w:rsidRPr="004927D4" w:rsidRDefault="004927D4" w:rsidP="004927D4"/>
    <w:p w14:paraId="42B8AF35" w14:textId="77777777" w:rsidR="004927D4" w:rsidRPr="004927D4" w:rsidRDefault="004927D4" w:rsidP="008C4FB8">
      <w:pPr>
        <w:pStyle w:val="Heading5"/>
      </w:pPr>
      <w:bookmarkStart w:id="82" w:name="_Toc21019269"/>
      <w:r>
        <w:t>Nuevo nivel de expresión</w:t>
      </w:r>
      <w:bookmarkEnd w:id="82"/>
    </w:p>
    <w:p w14:paraId="42265A6C" w14:textId="77777777" w:rsidR="004927D4" w:rsidRPr="004927D4" w:rsidRDefault="004927D4" w:rsidP="00F44E48">
      <w:pPr>
        <w:pStyle w:val="ListParagraph"/>
        <w:numPr>
          <w:ilvl w:val="0"/>
          <w:numId w:val="11"/>
        </w:numPr>
        <w:ind w:left="1134" w:hanging="567"/>
      </w:pPr>
      <w:r>
        <w:rPr>
          <w:i/>
        </w:rPr>
        <w:t>Lavandula</w:t>
      </w:r>
      <w:r>
        <w:t xml:space="preserve"> L.: véase el Anexo VIII.</w:t>
      </w:r>
    </w:p>
    <w:p w14:paraId="5467B6BA" w14:textId="77777777" w:rsidR="004927D4" w:rsidRPr="004927D4" w:rsidRDefault="004927D4" w:rsidP="00F44E48">
      <w:pPr>
        <w:pStyle w:val="ListParagraph"/>
        <w:numPr>
          <w:ilvl w:val="1"/>
          <w:numId w:val="11"/>
        </w:numPr>
        <w:ind w:left="1701" w:hanging="567"/>
      </w:pPr>
      <w:r>
        <w:t>Espiga: forma: “cónica y cilíndrica (50%-50%</w:t>
      </w:r>
      <w:r>
        <w:rPr>
          <w:u w:val="single"/>
        </w:rPr>
        <w:t>)</w:t>
      </w:r>
      <w:r>
        <w:t>”</w:t>
      </w:r>
    </w:p>
    <w:p w14:paraId="29D9E114" w14:textId="77777777" w:rsidR="00D70AB4" w:rsidRPr="00824357" w:rsidRDefault="00D70AB4" w:rsidP="00050E16"/>
    <w:p w14:paraId="269C7823" w14:textId="77777777" w:rsidR="00D70AB4" w:rsidRPr="00824357" w:rsidRDefault="006E115D" w:rsidP="00050E16">
      <w:r w:rsidRPr="00824357">
        <w:fldChar w:fldCharType="begin"/>
      </w:r>
      <w:r w:rsidRPr="00824357">
        <w:instrText xml:space="preserve"> AUTONUM  </w:instrText>
      </w:r>
      <w:r w:rsidRPr="00824357">
        <w:fldChar w:fldCharType="end"/>
      </w:r>
      <w:r>
        <w:tab/>
        <w:t>El TC tomó nota de que los caracteres o niveles de expresión adicionales notificados se presentarán al TWA o al TWO, según proceda, en sus sesiones de 2020, para que estudien la posibilidad de publicarlos en la página web de los redactores de directrices de examen del sitio web de la UPOV o si se ha de iniciar una revisión total o parcial de las directrices de examen correspondientes.</w:t>
      </w:r>
    </w:p>
    <w:p w14:paraId="5BB98F36" w14:textId="77777777" w:rsidR="001D5C48" w:rsidRPr="00824357" w:rsidRDefault="001D5C48">
      <w:pPr>
        <w:jc w:val="left"/>
        <w:rPr>
          <w:u w:val="single"/>
        </w:rPr>
      </w:pPr>
    </w:p>
    <w:p w14:paraId="78B7E2CE" w14:textId="77777777" w:rsidR="000D5FC9" w:rsidRPr="00824357" w:rsidRDefault="00093F1E" w:rsidP="00093F1E">
      <w:pPr>
        <w:pStyle w:val="Heading2"/>
      </w:pPr>
      <w:r>
        <w:t>Cuestiones para información</w:t>
      </w:r>
    </w:p>
    <w:p w14:paraId="4184F105" w14:textId="77777777" w:rsidR="000D5FC9" w:rsidRDefault="000D5FC9" w:rsidP="00050E16"/>
    <w:p w14:paraId="241F3425" w14:textId="3B35AC03" w:rsidR="008C7425" w:rsidRPr="00F5562F" w:rsidRDefault="00F5562F" w:rsidP="00F5562F">
      <w:pPr>
        <w:rPr>
          <w:rFonts w:cs="Arial"/>
        </w:rPr>
      </w:pPr>
      <w:r w:rsidRPr="00F5562F">
        <w:rPr>
          <w:rFonts w:cs="Arial"/>
        </w:rPr>
        <w:fldChar w:fldCharType="begin"/>
      </w:r>
      <w:r w:rsidRPr="00F5562F">
        <w:rPr>
          <w:rFonts w:cs="Arial"/>
        </w:rPr>
        <w:instrText xml:space="preserve"> AUTONUM  </w:instrText>
      </w:r>
      <w:r w:rsidRPr="00F5562F">
        <w:rPr>
          <w:rFonts w:cs="Arial"/>
        </w:rPr>
        <w:fldChar w:fldCharType="end"/>
      </w:r>
      <w:r>
        <w:tab/>
        <w:t>El TC tomo nota de que, junto con la decisión del Consejo de organizar una única sesión anual de los órganos de la UPOV en Ginebra, se ha adoptado un conjunto de medidas para optimizar la eficiencia de las sesiones, entre ellas, la separación de los documentos en dos tipos:</w:t>
      </w:r>
      <w:r w:rsidR="002A0DA3">
        <w:t xml:space="preserve"> </w:t>
      </w:r>
      <w:r>
        <w:t>documentos que contengan asuntos que requieran una decisión del órgano correspondiente (“documentos de decisión”); y documentos de carácter exclusivamente informativo.</w:t>
      </w:r>
    </w:p>
    <w:p w14:paraId="5C20356C" w14:textId="77777777" w:rsidR="00F5562F" w:rsidRPr="00F5562F" w:rsidRDefault="00F5562F" w:rsidP="00F5562F">
      <w:pPr>
        <w:rPr>
          <w:rFonts w:cs="Arial"/>
        </w:rPr>
      </w:pPr>
    </w:p>
    <w:p w14:paraId="5AAE6319" w14:textId="77777777" w:rsidR="00F03375" w:rsidRDefault="00F5562F" w:rsidP="00F03375">
      <w:pPr>
        <w:rPr>
          <w:rFonts w:cs="Arial"/>
        </w:rPr>
      </w:pPr>
      <w:r w:rsidRPr="00F5562F">
        <w:rPr>
          <w:rFonts w:cs="Arial"/>
        </w:rPr>
        <w:fldChar w:fldCharType="begin"/>
      </w:r>
      <w:r w:rsidRPr="00F5562F">
        <w:rPr>
          <w:rFonts w:cs="Arial"/>
        </w:rPr>
        <w:instrText xml:space="preserve"> AUTONUM  </w:instrText>
      </w:r>
      <w:r w:rsidRPr="00F5562F">
        <w:rPr>
          <w:rFonts w:cs="Arial"/>
        </w:rPr>
        <w:fldChar w:fldCharType="end"/>
      </w:r>
      <w:r>
        <w:tab/>
        <w:t>El TC tomó nota de que los documentos de carácter exclusivamente informativo se publican en una sección aparte de la página web del órgano correspondiente (“sección de información”) y no se examinan por separado. </w:t>
      </w:r>
    </w:p>
    <w:p w14:paraId="6F1CA160" w14:textId="77777777" w:rsidR="00F03375" w:rsidRDefault="00F03375" w:rsidP="00F03375">
      <w:pPr>
        <w:rPr>
          <w:rFonts w:cs="Arial"/>
        </w:rPr>
      </w:pPr>
    </w:p>
    <w:p w14:paraId="3867E446" w14:textId="77777777" w:rsidR="000B51E9" w:rsidRPr="00A945B3" w:rsidRDefault="000B51E9" w:rsidP="00F03375">
      <w:r w:rsidRPr="00A945B3">
        <w:fldChar w:fldCharType="begin"/>
      </w:r>
      <w:r w:rsidRPr="00A945B3">
        <w:instrText xml:space="preserve"> AUTONUM  </w:instrText>
      </w:r>
      <w:r w:rsidRPr="00A945B3">
        <w:fldChar w:fldCharType="end"/>
      </w:r>
      <w:r>
        <w:tab/>
        <w:t>El TC tomó nota de que los siguientes documentos se han publicado como documentos para información en la página web del TC/55:</w:t>
      </w:r>
    </w:p>
    <w:p w14:paraId="04AD29C6" w14:textId="77777777" w:rsidR="00F5562F" w:rsidRPr="00A945B3" w:rsidRDefault="00F5562F" w:rsidP="008E7C4F">
      <w:pPr>
        <w:keepNext/>
      </w:pPr>
    </w:p>
    <w:p w14:paraId="02284A54" w14:textId="77777777" w:rsidR="004D5F9C" w:rsidRPr="00A945B3" w:rsidRDefault="004D5F9C" w:rsidP="00F03375">
      <w:pPr>
        <w:ind w:left="1134" w:hanging="567"/>
        <w:jc w:val="left"/>
        <w:rPr>
          <w:rFonts w:cs="Arial"/>
          <w:snapToGrid w:val="0"/>
        </w:rPr>
      </w:pPr>
      <w:r>
        <w:t>a)</w:t>
      </w:r>
      <w:r>
        <w:tab/>
        <w:t>Lista de géneros y especies respecto de los cuales las autoridades poseen experiencia práctica en el examen de la distinción, la homogeneidad y la estabilidad (documento TC/55/INF/4)</w:t>
      </w:r>
    </w:p>
    <w:p w14:paraId="5EB8313C" w14:textId="77777777" w:rsidR="004D5F9C" w:rsidRPr="000C3495" w:rsidRDefault="004D5F9C" w:rsidP="00F03375">
      <w:pPr>
        <w:ind w:left="1134" w:hanging="567"/>
        <w:jc w:val="left"/>
      </w:pPr>
      <w:r>
        <w:t>b)</w:t>
      </w:r>
      <w:r>
        <w:tab/>
        <w:t>Bases de datos de información de la UPOV (documento TC/55/INF/2)</w:t>
      </w:r>
    </w:p>
    <w:p w14:paraId="5B45B7E5" w14:textId="77777777" w:rsidR="004D5F9C" w:rsidRPr="000C3495" w:rsidRDefault="004D5F9C" w:rsidP="00F03375">
      <w:pPr>
        <w:tabs>
          <w:tab w:val="left" w:pos="5812"/>
        </w:tabs>
        <w:ind w:left="1134" w:hanging="567"/>
        <w:jc w:val="left"/>
      </w:pPr>
      <w:r>
        <w:t>c)</w:t>
      </w:r>
      <w:r>
        <w:tab/>
        <w:t>Bases de datos de descripciones de variedades (documento TC/55/INF/3)</w:t>
      </w:r>
    </w:p>
    <w:p w14:paraId="1CACA8A8" w14:textId="77777777" w:rsidR="004D5F9C" w:rsidRPr="000C3495" w:rsidRDefault="004D5F9C" w:rsidP="00F03375">
      <w:pPr>
        <w:tabs>
          <w:tab w:val="left" w:pos="5812"/>
        </w:tabs>
        <w:ind w:left="1134" w:hanging="567"/>
        <w:jc w:val="left"/>
      </w:pPr>
      <w:r>
        <w:t>d)</w:t>
      </w:r>
      <w:r>
        <w:tab/>
        <w:t>UPOV PRISMA (documento TC/55/INF/5)</w:t>
      </w:r>
    </w:p>
    <w:p w14:paraId="26CEEE0E" w14:textId="77777777" w:rsidR="004D5F9C" w:rsidRPr="000C3495" w:rsidRDefault="004D5F9C" w:rsidP="008E7C4F">
      <w:pPr>
        <w:keepNext/>
        <w:tabs>
          <w:tab w:val="left" w:pos="5812"/>
        </w:tabs>
        <w:ind w:left="1134" w:hanging="567"/>
        <w:jc w:val="left"/>
      </w:pPr>
      <w:r>
        <w:t>e)</w:t>
      </w:r>
      <w:r>
        <w:tab/>
        <w:t>Técnicas moleculares (documento TC/55/INF/6)</w:t>
      </w:r>
    </w:p>
    <w:p w14:paraId="6B8F4B53" w14:textId="77777777" w:rsidR="004D5F9C" w:rsidRPr="000C3495" w:rsidRDefault="004D5F9C" w:rsidP="008E7C4F">
      <w:pPr>
        <w:keepNext/>
        <w:tabs>
          <w:tab w:val="left" w:pos="5812"/>
        </w:tabs>
        <w:ind w:left="1134" w:hanging="567"/>
        <w:jc w:val="left"/>
      </w:pPr>
      <w:r>
        <w:t>f)</w:t>
      </w:r>
      <w:r>
        <w:tab/>
        <w:t>Denominaciones de variedades (documento TC/55/INF/7)</w:t>
      </w:r>
    </w:p>
    <w:p w14:paraId="7349B0DA" w14:textId="1FB5DD18" w:rsidR="004D5F9C" w:rsidRPr="00A945B3" w:rsidRDefault="004D5F9C" w:rsidP="008E7C4F">
      <w:pPr>
        <w:keepNext/>
        <w:tabs>
          <w:tab w:val="left" w:pos="5812"/>
        </w:tabs>
        <w:ind w:left="1134" w:hanging="567"/>
        <w:jc w:val="left"/>
        <w:rPr>
          <w:rFonts w:cs="Arial"/>
          <w:snapToGrid w:val="0"/>
        </w:rPr>
      </w:pPr>
      <w:r>
        <w:t>g)</w:t>
      </w:r>
      <w:r>
        <w:tab/>
        <w:t xml:space="preserve">Las diferencias en las notas para evaluar la distinción (documento TC/55/INF/9) </w:t>
      </w:r>
    </w:p>
    <w:p w14:paraId="6D128537" w14:textId="77777777" w:rsidR="000B51E9" w:rsidRDefault="000B51E9" w:rsidP="00050E16"/>
    <w:p w14:paraId="7A8D9014" w14:textId="77777777" w:rsidR="003311C6" w:rsidRPr="00824357" w:rsidRDefault="003311C6" w:rsidP="00050E16"/>
    <w:p w14:paraId="23DD4E45" w14:textId="77777777" w:rsidR="002D75E7" w:rsidRPr="00824357" w:rsidRDefault="002D75E7" w:rsidP="00866771">
      <w:pPr>
        <w:pStyle w:val="Heading2"/>
      </w:pPr>
      <w:r>
        <w:t>Programa de la quincuagésima sexta sesión</w:t>
      </w:r>
    </w:p>
    <w:p w14:paraId="7C108268" w14:textId="77777777" w:rsidR="002D75E7" w:rsidRPr="00824357" w:rsidRDefault="002D75E7" w:rsidP="00866771">
      <w:pPr>
        <w:keepNext/>
        <w:jc w:val="left"/>
      </w:pPr>
    </w:p>
    <w:p w14:paraId="2067CBB7" w14:textId="77777777" w:rsidR="002D75E7" w:rsidRPr="00824357" w:rsidRDefault="002D75E7" w:rsidP="00866771">
      <w:pPr>
        <w:pStyle w:val="ListParagraph"/>
        <w:keepNext/>
        <w:numPr>
          <w:ilvl w:val="0"/>
          <w:numId w:val="1"/>
        </w:numPr>
        <w:tabs>
          <w:tab w:val="left" w:pos="1134"/>
        </w:tabs>
        <w:spacing w:line="276" w:lineRule="auto"/>
      </w:pPr>
      <w:r>
        <w:t>Apertura de la sesión</w:t>
      </w:r>
    </w:p>
    <w:p w14:paraId="48FEEFBD" w14:textId="77777777" w:rsidR="002D75E7" w:rsidRPr="00824357" w:rsidRDefault="002D75E7" w:rsidP="002D75E7">
      <w:pPr>
        <w:pStyle w:val="ListParagraph"/>
        <w:numPr>
          <w:ilvl w:val="0"/>
          <w:numId w:val="1"/>
        </w:numPr>
        <w:tabs>
          <w:tab w:val="left" w:pos="1134"/>
        </w:tabs>
        <w:spacing w:line="276" w:lineRule="auto"/>
      </w:pPr>
      <w:r>
        <w:t>Aprobación del orden del día</w:t>
      </w:r>
    </w:p>
    <w:p w14:paraId="774011B4" w14:textId="77777777" w:rsidR="002D75E7" w:rsidRPr="00824357" w:rsidRDefault="002D75E7" w:rsidP="002D75E7">
      <w:pPr>
        <w:pStyle w:val="ListParagraph"/>
        <w:numPr>
          <w:ilvl w:val="0"/>
          <w:numId w:val="1"/>
        </w:numPr>
        <w:tabs>
          <w:tab w:val="left" w:pos="1134"/>
        </w:tabs>
        <w:spacing w:line="276" w:lineRule="auto"/>
      </w:pPr>
      <w:r>
        <w:t>Informe sobre las novedades acaecidas en la UPOV</w:t>
      </w:r>
    </w:p>
    <w:p w14:paraId="6FF423BE" w14:textId="77777777" w:rsidR="002D75E7" w:rsidRPr="00824357" w:rsidRDefault="002D75E7" w:rsidP="002D75E7">
      <w:pPr>
        <w:pStyle w:val="ListParagraph"/>
        <w:numPr>
          <w:ilvl w:val="0"/>
          <w:numId w:val="1"/>
        </w:numPr>
        <w:tabs>
          <w:tab w:val="left" w:pos="1134"/>
        </w:tabs>
        <w:spacing w:line="276" w:lineRule="auto"/>
      </w:pPr>
      <w:r>
        <w:t xml:space="preserve">Informes sobre la labor de los Grupos de Trabajo Técnico, incluido el Grupo de Trabajo sobre Técnicas Bioquímicas y Moleculares, y Perfiles de ADN en particular (BMT) </w:t>
      </w:r>
    </w:p>
    <w:p w14:paraId="040C2BE2" w14:textId="77777777" w:rsidR="002D75E7" w:rsidRPr="00824357" w:rsidRDefault="002D75E7" w:rsidP="002D75E7">
      <w:pPr>
        <w:pStyle w:val="ListParagraph"/>
        <w:numPr>
          <w:ilvl w:val="0"/>
          <w:numId w:val="1"/>
        </w:numPr>
        <w:tabs>
          <w:tab w:val="left" w:pos="1134"/>
        </w:tabs>
        <w:spacing w:line="276" w:lineRule="auto"/>
      </w:pPr>
      <w:r>
        <w:t xml:space="preserve">Cuestiones planteadas por los Grupos de Trabajo Técnico </w:t>
      </w:r>
    </w:p>
    <w:p w14:paraId="61FC3A51" w14:textId="77777777" w:rsidR="002D75E7" w:rsidRPr="00824357" w:rsidRDefault="002D75E7" w:rsidP="002D75E7">
      <w:pPr>
        <w:pStyle w:val="ListParagraph"/>
        <w:numPr>
          <w:ilvl w:val="0"/>
          <w:numId w:val="1"/>
        </w:numPr>
        <w:tabs>
          <w:tab w:val="left" w:pos="1134"/>
        </w:tabs>
        <w:spacing w:line="276" w:lineRule="auto"/>
      </w:pPr>
      <w:r>
        <w:t xml:space="preserve">Documentos TGP </w:t>
      </w:r>
    </w:p>
    <w:p w14:paraId="24561EA1" w14:textId="77777777" w:rsidR="00B00727" w:rsidRDefault="00B00727" w:rsidP="00B00727">
      <w:pPr>
        <w:pStyle w:val="ListParagraph"/>
        <w:numPr>
          <w:ilvl w:val="0"/>
          <w:numId w:val="1"/>
        </w:numPr>
        <w:tabs>
          <w:tab w:val="left" w:pos="1134"/>
        </w:tabs>
        <w:spacing w:line="276" w:lineRule="auto"/>
      </w:pPr>
      <w:r>
        <w:t xml:space="preserve">Técnicas moleculares </w:t>
      </w:r>
    </w:p>
    <w:p w14:paraId="16E1BADE" w14:textId="77777777" w:rsidR="008065CA" w:rsidRPr="00824357" w:rsidRDefault="008065CA" w:rsidP="00B00727">
      <w:pPr>
        <w:pStyle w:val="ListParagraph"/>
        <w:numPr>
          <w:ilvl w:val="0"/>
          <w:numId w:val="1"/>
        </w:numPr>
        <w:tabs>
          <w:tab w:val="left" w:pos="1134"/>
        </w:tabs>
        <w:spacing w:line="276" w:lineRule="auto"/>
      </w:pPr>
      <w:r>
        <w:t>Posible fusión del BMT y el TWC</w:t>
      </w:r>
    </w:p>
    <w:p w14:paraId="6CCA88D9" w14:textId="77777777" w:rsidR="008065CA" w:rsidRPr="00824357" w:rsidRDefault="008065CA" w:rsidP="008065CA">
      <w:pPr>
        <w:pStyle w:val="ListParagraph"/>
        <w:numPr>
          <w:ilvl w:val="0"/>
          <w:numId w:val="1"/>
        </w:numPr>
        <w:tabs>
          <w:tab w:val="left" w:pos="1134"/>
        </w:tabs>
        <w:spacing w:line="276" w:lineRule="auto"/>
      </w:pPr>
      <w:r>
        <w:t>Estrategia de cooperación en materia de examen</w:t>
      </w:r>
    </w:p>
    <w:p w14:paraId="30F0E17F" w14:textId="77777777" w:rsidR="008065CA" w:rsidRPr="00824357" w:rsidRDefault="008065CA" w:rsidP="008065CA">
      <w:pPr>
        <w:pStyle w:val="ListParagraph"/>
        <w:numPr>
          <w:ilvl w:val="0"/>
          <w:numId w:val="1"/>
        </w:numPr>
        <w:tabs>
          <w:tab w:val="left" w:pos="1134"/>
        </w:tabs>
        <w:spacing w:line="276" w:lineRule="auto"/>
      </w:pPr>
      <w:r>
        <w:t>Aumento de la participación de nuevos miembros de la Unión en la labor del TC y de los TWP</w:t>
      </w:r>
    </w:p>
    <w:p w14:paraId="240797EF" w14:textId="77777777" w:rsidR="002D75E7" w:rsidRPr="00824357" w:rsidRDefault="002D75E7" w:rsidP="002D75E7">
      <w:pPr>
        <w:pStyle w:val="ListParagraph"/>
        <w:keepNext/>
        <w:numPr>
          <w:ilvl w:val="0"/>
          <w:numId w:val="1"/>
        </w:numPr>
        <w:tabs>
          <w:tab w:val="left" w:pos="1134"/>
        </w:tabs>
        <w:spacing w:line="276" w:lineRule="auto"/>
      </w:pPr>
      <w:r>
        <w:lastRenderedPageBreak/>
        <w:t>Información y bases de datos</w:t>
      </w:r>
    </w:p>
    <w:p w14:paraId="525C7AA6" w14:textId="70616770" w:rsidR="002D75E7" w:rsidRPr="00824357" w:rsidRDefault="00C97534" w:rsidP="00C97534">
      <w:pPr>
        <w:keepNext/>
        <w:tabs>
          <w:tab w:val="left" w:pos="1134"/>
          <w:tab w:val="left" w:pos="1701"/>
        </w:tabs>
        <w:spacing w:line="276" w:lineRule="auto"/>
        <w:ind w:left="1134"/>
      </w:pPr>
      <w:r>
        <w:t>a)</w:t>
      </w:r>
      <w:r>
        <w:tab/>
      </w:r>
      <w:r w:rsidR="002D75E7">
        <w:t xml:space="preserve">Bases de datos de información de la UPOV </w:t>
      </w:r>
    </w:p>
    <w:p w14:paraId="40DA0F71" w14:textId="0CB96B99" w:rsidR="002D75E7" w:rsidRPr="00824357" w:rsidRDefault="00C97534" w:rsidP="00C97534">
      <w:pPr>
        <w:tabs>
          <w:tab w:val="left" w:pos="1134"/>
          <w:tab w:val="left" w:pos="1701"/>
        </w:tabs>
        <w:spacing w:line="276" w:lineRule="auto"/>
        <w:ind w:left="1134"/>
      </w:pPr>
      <w:r>
        <w:t>b)</w:t>
      </w:r>
      <w:r>
        <w:tab/>
      </w:r>
      <w:r w:rsidR="002D75E7">
        <w:t xml:space="preserve">UPOV PRISMA </w:t>
      </w:r>
    </w:p>
    <w:p w14:paraId="088F336D" w14:textId="18277295" w:rsidR="002D75E7" w:rsidRPr="00824357" w:rsidRDefault="00C97534" w:rsidP="00C97534">
      <w:pPr>
        <w:tabs>
          <w:tab w:val="left" w:pos="1134"/>
          <w:tab w:val="left" w:pos="1701"/>
        </w:tabs>
        <w:spacing w:line="276" w:lineRule="auto"/>
        <w:ind w:left="1134"/>
      </w:pPr>
      <w:r>
        <w:t>c)</w:t>
      </w:r>
      <w:r>
        <w:tab/>
      </w:r>
      <w:r w:rsidR="002D75E7">
        <w:t xml:space="preserve">Intercambio y uso de programas informáticos y equipos </w:t>
      </w:r>
    </w:p>
    <w:p w14:paraId="78B49A1C" w14:textId="1725AC27" w:rsidR="002D75E7" w:rsidRPr="00824357" w:rsidRDefault="00C97534" w:rsidP="00C97534">
      <w:pPr>
        <w:tabs>
          <w:tab w:val="left" w:pos="1134"/>
          <w:tab w:val="left" w:pos="1701"/>
        </w:tabs>
        <w:spacing w:line="276" w:lineRule="auto"/>
        <w:ind w:left="1134"/>
      </w:pPr>
      <w:r>
        <w:t>d)</w:t>
      </w:r>
      <w:r>
        <w:tab/>
      </w:r>
      <w:r w:rsidR="002D75E7">
        <w:t xml:space="preserve">Bases de datos de descripciones de variedades </w:t>
      </w:r>
    </w:p>
    <w:p w14:paraId="4389293F" w14:textId="77777777" w:rsidR="002D75E7" w:rsidRPr="00824357" w:rsidRDefault="00B00727" w:rsidP="002D75E7">
      <w:pPr>
        <w:pStyle w:val="ListParagraph"/>
        <w:numPr>
          <w:ilvl w:val="0"/>
          <w:numId w:val="1"/>
        </w:numPr>
        <w:tabs>
          <w:tab w:val="left" w:pos="1134"/>
        </w:tabs>
        <w:spacing w:line="276" w:lineRule="auto"/>
      </w:pPr>
      <w:r>
        <w:t xml:space="preserve">Labor preparatoria </w:t>
      </w:r>
    </w:p>
    <w:p w14:paraId="00002025" w14:textId="77777777" w:rsidR="00B00727" w:rsidRPr="00824357" w:rsidRDefault="00B00727" w:rsidP="00B00727">
      <w:pPr>
        <w:pStyle w:val="ListParagraph"/>
        <w:numPr>
          <w:ilvl w:val="0"/>
          <w:numId w:val="1"/>
        </w:numPr>
        <w:tabs>
          <w:tab w:val="left" w:pos="1134"/>
        </w:tabs>
        <w:spacing w:line="276" w:lineRule="auto"/>
      </w:pPr>
      <w:r>
        <w:t>Denominaciones de variedades</w:t>
      </w:r>
    </w:p>
    <w:p w14:paraId="1FDDDF25" w14:textId="77777777" w:rsidR="002D75E7" w:rsidRPr="00824357" w:rsidRDefault="002D75E7" w:rsidP="002D75E7">
      <w:pPr>
        <w:pStyle w:val="ListParagraph"/>
        <w:numPr>
          <w:ilvl w:val="0"/>
          <w:numId w:val="1"/>
        </w:numPr>
        <w:tabs>
          <w:tab w:val="left" w:pos="1134"/>
        </w:tabs>
        <w:spacing w:line="276" w:lineRule="auto"/>
      </w:pPr>
      <w:r>
        <w:t>Debate sobre: distancia mínima entre las variedades</w:t>
      </w:r>
    </w:p>
    <w:p w14:paraId="1DC64EA9" w14:textId="77777777" w:rsidR="00216732" w:rsidRPr="00824357" w:rsidRDefault="00216732" w:rsidP="002D75E7">
      <w:pPr>
        <w:pStyle w:val="ListParagraph"/>
        <w:numPr>
          <w:ilvl w:val="0"/>
          <w:numId w:val="1"/>
        </w:numPr>
        <w:tabs>
          <w:tab w:val="left" w:pos="1134"/>
        </w:tabs>
        <w:spacing w:line="276" w:lineRule="auto"/>
      </w:pPr>
      <w:r>
        <w:t>Intercambio y uso de programas informáticos y equipos</w:t>
      </w:r>
    </w:p>
    <w:p w14:paraId="5BC45DD8" w14:textId="77777777" w:rsidR="002D75E7" w:rsidRPr="00824357" w:rsidRDefault="002D75E7" w:rsidP="002D75E7">
      <w:pPr>
        <w:pStyle w:val="ListParagraph"/>
        <w:numPr>
          <w:ilvl w:val="0"/>
          <w:numId w:val="1"/>
        </w:numPr>
        <w:tabs>
          <w:tab w:val="left" w:pos="1134"/>
        </w:tabs>
        <w:spacing w:line="276" w:lineRule="auto"/>
      </w:pPr>
      <w:r>
        <w:t>Lista de géneros y especies respecto de los cuales las autoridades poseen experiencia práctica en el examen de la distinción, la homogeneidad y la estabilidad</w:t>
      </w:r>
    </w:p>
    <w:p w14:paraId="17510701" w14:textId="77777777" w:rsidR="002D75E7" w:rsidRPr="00824357" w:rsidRDefault="002D75E7" w:rsidP="002D75E7">
      <w:pPr>
        <w:pStyle w:val="ListParagraph"/>
        <w:numPr>
          <w:ilvl w:val="0"/>
          <w:numId w:val="1"/>
        </w:numPr>
        <w:tabs>
          <w:tab w:val="left" w:pos="1134"/>
        </w:tabs>
        <w:spacing w:line="276" w:lineRule="auto"/>
      </w:pPr>
      <w:r>
        <w:t>Directrices de examen</w:t>
      </w:r>
    </w:p>
    <w:p w14:paraId="1A867B8B" w14:textId="77777777" w:rsidR="002D75E7" w:rsidRPr="00824357" w:rsidRDefault="002D75E7" w:rsidP="002D75E7">
      <w:pPr>
        <w:pStyle w:val="ListParagraph"/>
        <w:numPr>
          <w:ilvl w:val="0"/>
          <w:numId w:val="1"/>
        </w:numPr>
        <w:tabs>
          <w:tab w:val="left" w:pos="1134"/>
        </w:tabs>
        <w:spacing w:line="276" w:lineRule="auto"/>
      </w:pPr>
      <w:r>
        <w:t xml:space="preserve">Programa de la quincuagésima séptima sesión </w:t>
      </w:r>
    </w:p>
    <w:p w14:paraId="343E5698" w14:textId="77777777" w:rsidR="002D75E7" w:rsidRPr="00824357" w:rsidRDefault="002D75E7" w:rsidP="002D75E7">
      <w:pPr>
        <w:pStyle w:val="ListParagraph"/>
        <w:numPr>
          <w:ilvl w:val="0"/>
          <w:numId w:val="1"/>
        </w:numPr>
        <w:tabs>
          <w:tab w:val="left" w:pos="1134"/>
        </w:tabs>
        <w:spacing w:line="276" w:lineRule="auto"/>
      </w:pPr>
      <w:r>
        <w:t>Aprobación del informe (si se dispone de tiempo)</w:t>
      </w:r>
    </w:p>
    <w:p w14:paraId="568CC98D" w14:textId="77777777" w:rsidR="002D75E7" w:rsidRPr="00824357" w:rsidRDefault="002D75E7" w:rsidP="002D75E7">
      <w:pPr>
        <w:pStyle w:val="ListParagraph"/>
        <w:numPr>
          <w:ilvl w:val="0"/>
          <w:numId w:val="1"/>
        </w:numPr>
        <w:tabs>
          <w:tab w:val="left" w:pos="1134"/>
        </w:tabs>
        <w:spacing w:line="276" w:lineRule="auto"/>
      </w:pPr>
      <w:r>
        <w:t>Clausura de la sesión</w:t>
      </w:r>
    </w:p>
    <w:p w14:paraId="721D193C" w14:textId="77777777" w:rsidR="002C6676" w:rsidRDefault="002C6676" w:rsidP="00050E16"/>
    <w:p w14:paraId="615E0C07" w14:textId="77777777" w:rsidR="003311C6" w:rsidRPr="00824357" w:rsidRDefault="003311C6" w:rsidP="00050E16"/>
    <w:p w14:paraId="700064D9" w14:textId="77777777" w:rsidR="00B741DB" w:rsidRPr="00824357" w:rsidRDefault="00B741DB" w:rsidP="00F44E48">
      <w:pPr>
        <w:pStyle w:val="Heading2"/>
        <w:keepLines/>
      </w:pPr>
      <w:r>
        <w:t xml:space="preserve">Presidente y vicepresidente </w:t>
      </w:r>
    </w:p>
    <w:p w14:paraId="5A29BFC8" w14:textId="77777777" w:rsidR="00B741DB" w:rsidRPr="00824357" w:rsidRDefault="00B741DB" w:rsidP="00F44E48">
      <w:pPr>
        <w:keepNext/>
        <w:keepLines/>
      </w:pPr>
    </w:p>
    <w:p w14:paraId="0EAF4BAD" w14:textId="77777777" w:rsidR="00B741DB" w:rsidRPr="00824357" w:rsidRDefault="00B741DB" w:rsidP="00F44E48">
      <w:pPr>
        <w:keepNext/>
        <w:keepLines/>
      </w:pPr>
      <w:r w:rsidRPr="00824357">
        <w:fldChar w:fldCharType="begin"/>
      </w:r>
      <w:r w:rsidRPr="00824357">
        <w:instrText xml:space="preserve"> AUTONUM  </w:instrText>
      </w:r>
      <w:r w:rsidRPr="00824357">
        <w:fldChar w:fldCharType="end"/>
      </w:r>
      <w:r>
        <w:tab/>
        <w:t>El TC señaló que la presidencia del Sr. Kees van Ettekoven (Países Bajos) terminará en el momento de la clausura de la próxima sesión ordinaria del Consejo. Propuso que el Consejo designe al Sr. Nik Hulse (Australia) nuevo presidente y a la Sra. Beate Ruecker (Alemania) nueva vicepresidente del TC para el próximo trienio.</w:t>
      </w:r>
    </w:p>
    <w:p w14:paraId="75F6F486" w14:textId="77777777" w:rsidR="002C6676" w:rsidRDefault="002C6676" w:rsidP="00050E16"/>
    <w:p w14:paraId="1E0FC03A" w14:textId="77777777" w:rsidR="0021109A" w:rsidRPr="00824357" w:rsidRDefault="0021109A" w:rsidP="00050E16"/>
    <w:p w14:paraId="5D4E3B2C" w14:textId="77777777" w:rsidR="008A147D" w:rsidRPr="00824357" w:rsidRDefault="008A147D" w:rsidP="00866771">
      <w:pPr>
        <w:pStyle w:val="Heading2"/>
      </w:pPr>
      <w:r>
        <w:t>Medalla de la UPOV</w:t>
      </w:r>
    </w:p>
    <w:p w14:paraId="1D40F97A" w14:textId="77777777" w:rsidR="008A147D" w:rsidRPr="00824357" w:rsidRDefault="008A147D" w:rsidP="00866771">
      <w:pPr>
        <w:keepNext/>
      </w:pPr>
    </w:p>
    <w:p w14:paraId="60AF85C6" w14:textId="50415404" w:rsidR="00DC79ED" w:rsidRPr="00824357" w:rsidRDefault="008A147D" w:rsidP="00DC79ED">
      <w:pPr>
        <w:keepNext/>
        <w:rPr>
          <w:rFonts w:cstheme="minorBidi"/>
        </w:rPr>
      </w:pPr>
      <w:r w:rsidRPr="00824357">
        <w:rPr>
          <w:rFonts w:cs="Arial"/>
        </w:rPr>
        <w:fldChar w:fldCharType="begin"/>
      </w:r>
      <w:r w:rsidRPr="00824357">
        <w:rPr>
          <w:rFonts w:cs="Arial"/>
        </w:rPr>
        <w:instrText xml:space="preserve"> AUTONUM  </w:instrText>
      </w:r>
      <w:r w:rsidRPr="00824357">
        <w:rPr>
          <w:rFonts w:cs="Arial"/>
        </w:rPr>
        <w:fldChar w:fldCharType="end"/>
      </w:r>
      <w:r>
        <w:tab/>
        <w:t>En la clausura de la sesión, el secretario general adjunto hizo entrega de una medalla de plata de la UPOV al Sr. Kees van Ettekoven (Países Bajos), al término de su mandato como presidente del TC que se desarrolló entre los años 2017 y 2019.</w:t>
      </w:r>
      <w:r w:rsidR="002A0DA3">
        <w:t xml:space="preserve"> </w:t>
      </w:r>
      <w:r>
        <w:t>Al conceder la medalla, el secretario general adjunto recordó que el Sr. Kees van Ettekoven ha desempeñado los siguientes cargos en la UPOV:</w:t>
      </w:r>
      <w:r w:rsidR="002A0DA3">
        <w:t xml:space="preserve"> </w:t>
      </w:r>
      <w:r>
        <w:t>presidente del Grupo de Trabajo sobre Técnicas Bioquímicas y Moleculares, y Perfiles de ADN en particular (BMT) entre 2015 y 2017; vicepresidente del Comité Técnico (TC) entre 2014 y 2016; y presidente del Grupo de Trabajo Técnico sobre Hortalizas (TWV) entre 2003 y 2005.</w:t>
      </w:r>
      <w:r w:rsidR="002A0DA3">
        <w:t xml:space="preserve"> </w:t>
      </w:r>
      <w:r>
        <w:t xml:space="preserve">El Sr. van Ettekoven también participó en calidad de orador y formador en varias actividades de la UPOV </w:t>
      </w:r>
      <w:r w:rsidR="00B55F72">
        <w:t>de</w:t>
      </w:r>
      <w:r>
        <w:t xml:space="preserve"> fortalec</w:t>
      </w:r>
      <w:r w:rsidR="00B55F72">
        <w:t>imiento de</w:t>
      </w:r>
      <w:r>
        <w:t xml:space="preserve"> capacidades en distintas regiones y gozó de reconocimiento y un enorme prestigio en todo el mundo.</w:t>
      </w:r>
    </w:p>
    <w:p w14:paraId="48ABEF92" w14:textId="77777777" w:rsidR="00DC79ED" w:rsidRPr="00824357" w:rsidRDefault="00DC79ED" w:rsidP="00DC79ED">
      <w:pPr>
        <w:rPr>
          <w:rFonts w:cstheme="minorBidi"/>
        </w:rPr>
      </w:pPr>
    </w:p>
    <w:p w14:paraId="07128A6F" w14:textId="5F7C5E9F" w:rsidR="00DC79ED" w:rsidRPr="00824357" w:rsidRDefault="00DC79ED" w:rsidP="00DC79ED">
      <w:pPr>
        <w:rPr>
          <w:rFonts w:cstheme="minorBidi"/>
        </w:rPr>
      </w:pPr>
      <w:r w:rsidRPr="00824357">
        <w:rPr>
          <w:rFonts w:cs="Arial"/>
        </w:rPr>
        <w:fldChar w:fldCharType="begin"/>
      </w:r>
      <w:r w:rsidRPr="00824357">
        <w:rPr>
          <w:rFonts w:cs="Arial"/>
        </w:rPr>
        <w:instrText xml:space="preserve"> AUTONUM  </w:instrText>
      </w:r>
      <w:r w:rsidRPr="00824357">
        <w:rPr>
          <w:rFonts w:cs="Arial"/>
        </w:rPr>
        <w:fldChar w:fldCharType="end"/>
      </w:r>
      <w:r>
        <w:tab/>
        <w:t>Con respecto a los logros del TC bajo la presidencia del Sr. van Ettekoven, el secretario general adjunto destacó:</w:t>
      </w:r>
      <w:r w:rsidR="002A0DA3">
        <w:t xml:space="preserve"> </w:t>
      </w:r>
      <w:r>
        <w:t>la aprobación de 65 directrices de examen nuevas o revisadas; la iniciativa de organizar las sesiones del BMT y el TWC en la misma semana y lugar; la reorganización de las sesiones del TC para que se celebren junto con el Consejo y se acorten a dos días; la introducción del procedimiento de aprobación de las directrices de examen por correspondencia; la reconsideración de los talleres preparatorios; la cooperación con la ISTA y la OCDE en la utilización de información basada en el ADN para sus respectivos objetivos; la iniciativa de estudiar formas de intensificar la cooperación internacional en materia de examen DHE; y la revisión de los documentos siguientes: TGP/5 “Experiencia y cooperación en el examen de DHE”, TGP/7 “Elaboración de las directrices de examen”, TGP/8 “Diseño de ensayos y técnicas utilizados en el examen de la distinción, la homogeneidad y la estabilidad”, TGP/10 “Examen de la homogeneidad”; TGP/14 “Glosario de términos utilizados en los documentos de la UPOV”; y TGP/15 “Orientación sobre el uso de marcadores bioquímicos y moleculares en el examen de la distinción, la homogeneidad y la estabilidad (DHE)”.</w:t>
      </w:r>
    </w:p>
    <w:p w14:paraId="6D55885B" w14:textId="77777777" w:rsidR="002C6676" w:rsidRPr="00824357" w:rsidRDefault="002C6676" w:rsidP="00050E16"/>
    <w:p w14:paraId="055D0891" w14:textId="77777777" w:rsidR="002C6676" w:rsidRPr="00824357" w:rsidRDefault="00590D99" w:rsidP="00590D99">
      <w:pPr>
        <w:pStyle w:val="DecisionParagraphs"/>
      </w:pPr>
      <w:r>
        <w:fldChar w:fldCharType="begin"/>
      </w:r>
      <w:r>
        <w:instrText xml:space="preserve"> AUTONUM  </w:instrText>
      </w:r>
      <w:r>
        <w:fldChar w:fldCharType="end"/>
      </w:r>
      <w:r>
        <w:tab/>
        <w:t>El TC aprobó el presente informe en la clausura de la sesión el 29 de octubre de 2019.</w:t>
      </w:r>
    </w:p>
    <w:p w14:paraId="5D1E5FBE" w14:textId="77777777" w:rsidR="002C6676" w:rsidRDefault="002C6676" w:rsidP="00050E16"/>
    <w:p w14:paraId="714BD749" w14:textId="77777777" w:rsidR="00590D99" w:rsidRDefault="00590D99" w:rsidP="00050E16"/>
    <w:p w14:paraId="058EEE81" w14:textId="77777777" w:rsidR="00590D99" w:rsidRPr="00824357" w:rsidRDefault="00590D99" w:rsidP="00050E16"/>
    <w:p w14:paraId="57607C64" w14:textId="77777777" w:rsidR="009B440E" w:rsidRPr="002A21C1" w:rsidRDefault="00E7693D" w:rsidP="00050E16">
      <w:pPr>
        <w:jc w:val="right"/>
      </w:pPr>
      <w:r>
        <w:t>[Sigue el Anexo I]</w:t>
      </w:r>
    </w:p>
    <w:p w14:paraId="2B90E4A4" w14:textId="77777777" w:rsidR="00F03375" w:rsidRPr="002A21C1" w:rsidRDefault="00F03375" w:rsidP="00F03375">
      <w:pPr>
        <w:jc w:val="left"/>
        <w:sectPr w:rsidR="00F03375" w:rsidRPr="002A21C1" w:rsidSect="00021FC8">
          <w:type w:val="continuous"/>
          <w:pgSz w:w="11907" w:h="16840" w:code="9"/>
          <w:pgMar w:top="510" w:right="1134" w:bottom="1134" w:left="1134" w:header="510" w:footer="680" w:gutter="0"/>
          <w:cols w:space="720"/>
          <w:titlePg/>
        </w:sectPr>
      </w:pPr>
    </w:p>
    <w:p w14:paraId="70A03906" w14:textId="77777777" w:rsidR="00F03375" w:rsidRDefault="00F03375" w:rsidP="00F03375">
      <w:pPr>
        <w:jc w:val="center"/>
      </w:pPr>
      <w:r>
        <w:lastRenderedPageBreak/>
        <w:t xml:space="preserve">LISTE DES PARTICIPANTS / LIST OF PARTICIPANTS / </w:t>
      </w:r>
      <w:r>
        <w:br/>
        <w:t>TEILNEHMERLISTE / LISTA DE PARTICIPANTES</w:t>
      </w:r>
    </w:p>
    <w:p w14:paraId="4DB88607" w14:textId="77777777" w:rsidR="00F03375" w:rsidRPr="00F4402E" w:rsidRDefault="00F03375" w:rsidP="00F03375">
      <w:pPr>
        <w:jc w:val="center"/>
      </w:pPr>
    </w:p>
    <w:p w14:paraId="3AFA9548" w14:textId="77777777" w:rsidR="00F03375" w:rsidRPr="00F4402E" w:rsidRDefault="00F03375" w:rsidP="00F03375">
      <w:pPr>
        <w:jc w:val="center"/>
      </w:pPr>
      <w:r>
        <w:t>(dans l’ordre alphabétique des noms français des membres /</w:t>
      </w:r>
      <w:r>
        <w:br/>
        <w:t>in the alphabetical order of the French names of the Members /</w:t>
      </w:r>
      <w:r>
        <w:br/>
        <w:t>in alphabetischer Reihenfolge der französischen Namen der Mitglieder /</w:t>
      </w:r>
      <w:r>
        <w:br/>
        <w:t>por orden alfabético de los nombres en francés de los miembros)</w:t>
      </w:r>
    </w:p>
    <w:p w14:paraId="3A3DC3B9" w14:textId="77777777" w:rsidR="00F03375" w:rsidRPr="00F42BE3" w:rsidRDefault="00F03375" w:rsidP="00F03375">
      <w:pPr>
        <w:pStyle w:val="plheading"/>
      </w:pPr>
      <w:r>
        <w:t>I. MEMBRES / MEMBERS / VERBANDSMITGLIEDER / MIEMBROS</w:t>
      </w:r>
    </w:p>
    <w:p w14:paraId="6E8A5E81" w14:textId="77777777" w:rsidR="00F03375" w:rsidRPr="00F42BE3" w:rsidRDefault="00F03375" w:rsidP="00F03375">
      <w:pPr>
        <w:pStyle w:val="plcountry"/>
      </w:pPr>
      <w:r>
        <w:t>AFRIQUE DU SUD / SOUTH AFRICA / SÜDAFRIKA / SUDÁFRICA</w:t>
      </w:r>
    </w:p>
    <w:p w14:paraId="4D5873F2" w14:textId="77777777" w:rsidR="00F03375" w:rsidRPr="00F42BE3" w:rsidRDefault="00F03375" w:rsidP="00F03375">
      <w:pPr>
        <w:pStyle w:val="pldetails"/>
      </w:pPr>
      <w:r>
        <w:t xml:space="preserve">Noluthando NETNOU-NKOANA (Ms.), Director, Genetic Resources, Department of Agriculture, Forestry and Fisheries, Pretoria </w:t>
      </w:r>
      <w:r>
        <w:br/>
        <w:t>(e-mail: noluthandon@daff.gov.za)</w:t>
      </w:r>
    </w:p>
    <w:p w14:paraId="5564F922" w14:textId="77777777" w:rsidR="00F03375" w:rsidRPr="00CC1E1E" w:rsidRDefault="00F03375" w:rsidP="00F03375">
      <w:pPr>
        <w:pStyle w:val="plcountry"/>
        <w:rPr>
          <w:lang w:val="de-DE"/>
        </w:rPr>
      </w:pPr>
      <w:r w:rsidRPr="00CC1E1E">
        <w:rPr>
          <w:lang w:val="de-DE"/>
        </w:rPr>
        <w:t>ALLEMAGNE / GERMANY / DEUTSCHLAND / ALEMANIA</w:t>
      </w:r>
    </w:p>
    <w:p w14:paraId="1DB66E9C" w14:textId="77777777" w:rsidR="00F03375" w:rsidRPr="00CC1E1E" w:rsidRDefault="00F03375" w:rsidP="00F03375">
      <w:pPr>
        <w:pStyle w:val="pldetails"/>
        <w:rPr>
          <w:lang w:val="de-DE"/>
        </w:rPr>
      </w:pPr>
      <w:r w:rsidRPr="00CC1E1E">
        <w:rPr>
          <w:lang w:val="de-DE"/>
        </w:rPr>
        <w:t xml:space="preserve">Beate RÜCKER (Ms.), Head of Departement, Bundessortenamt, Hanover </w:t>
      </w:r>
      <w:r w:rsidRPr="00CC1E1E">
        <w:rPr>
          <w:lang w:val="de-DE"/>
        </w:rPr>
        <w:br/>
        <w:t>(e-mail: beate.ruecker@bundessortenamt.de)</w:t>
      </w:r>
    </w:p>
    <w:p w14:paraId="7ABE27AB" w14:textId="77777777" w:rsidR="00F03375" w:rsidRPr="001360C0" w:rsidRDefault="00F03375" w:rsidP="00F03375">
      <w:pPr>
        <w:pStyle w:val="plcountry"/>
      </w:pPr>
      <w:r>
        <w:t>ARGENTINE / ARGENTINA / ARGENTINIEN / ARGENTINA</w:t>
      </w:r>
    </w:p>
    <w:p w14:paraId="6C04B285" w14:textId="77777777" w:rsidR="00F03375" w:rsidRPr="001360C0" w:rsidRDefault="00F03375" w:rsidP="00F03375">
      <w:pPr>
        <w:pStyle w:val="pldetails"/>
      </w:pPr>
      <w:r>
        <w:t xml:space="preserve">Raimundo LAVIGNOLLE (Sr.), Presidente del Directorio, Instituto Nacional de Semillas (INASE), Secretaría de Agricultura, Ganadería, Pesca y Alimentación, Buenos Aires  </w:t>
      </w:r>
      <w:r>
        <w:br/>
        <w:t xml:space="preserve">(e-mail: rlavignolle@inase.gov.ar) </w:t>
      </w:r>
    </w:p>
    <w:p w14:paraId="0B418BA2" w14:textId="77777777" w:rsidR="00F03375" w:rsidRPr="001360C0" w:rsidRDefault="00F03375" w:rsidP="00F03375">
      <w:pPr>
        <w:pStyle w:val="pldetails"/>
      </w:pPr>
      <w:r>
        <w:t xml:space="preserve">María Laura VILLAMAYOR (Sra.), Coordinadora de Propiedad Intelectual y Recursos Fitogenéticos, Secretaría de Agricultura, Ganadería, Pesca y Alimentación, Buenos Aires  </w:t>
      </w:r>
      <w:r>
        <w:br/>
        <w:t>(e-mail: mlvillamayor@inase.gov.ar)</w:t>
      </w:r>
    </w:p>
    <w:p w14:paraId="6C968E4E" w14:textId="77777777" w:rsidR="00F03375" w:rsidRPr="00CC1E1E" w:rsidRDefault="00F03375" w:rsidP="00F03375">
      <w:pPr>
        <w:pStyle w:val="plcountry"/>
        <w:rPr>
          <w:lang w:val="en-US"/>
        </w:rPr>
      </w:pPr>
      <w:r w:rsidRPr="00CC1E1E">
        <w:rPr>
          <w:lang w:val="en-US"/>
        </w:rPr>
        <w:t>AUSTRALIE / AUSTRALIA / AUSTRALIEN / AUSTRALIA</w:t>
      </w:r>
    </w:p>
    <w:p w14:paraId="66DE38F9" w14:textId="77777777" w:rsidR="00F03375" w:rsidRPr="00CC1E1E" w:rsidRDefault="00F03375" w:rsidP="00F03375">
      <w:pPr>
        <w:pStyle w:val="pldetails"/>
        <w:rPr>
          <w:lang w:val="en-US"/>
        </w:rPr>
      </w:pPr>
      <w:r w:rsidRPr="00CC1E1E">
        <w:rPr>
          <w:lang w:val="en-US"/>
        </w:rPr>
        <w:t xml:space="preserve">Nik HULSE (Mr.), Chief of Plant Breeders' Rights, Plant Breeder's Rights Office, IP Australia, Woden </w:t>
      </w:r>
      <w:r w:rsidRPr="00CC1E1E">
        <w:rPr>
          <w:lang w:val="en-US"/>
        </w:rPr>
        <w:br/>
        <w:t xml:space="preserve">(e-mail: nik.hulse@ipaustralia.gov.au) </w:t>
      </w:r>
    </w:p>
    <w:p w14:paraId="763CA55C" w14:textId="77777777" w:rsidR="00F03375" w:rsidRPr="00CC1E1E" w:rsidRDefault="00F03375" w:rsidP="00F03375">
      <w:pPr>
        <w:pStyle w:val="plcountry"/>
        <w:rPr>
          <w:lang w:val="de-DE"/>
        </w:rPr>
      </w:pPr>
      <w:r w:rsidRPr="00CC1E1E">
        <w:rPr>
          <w:lang w:val="de-DE"/>
        </w:rPr>
        <w:t>AUTRICHE / AUSTRIA / ÖSTERREICH / AUSTRIA</w:t>
      </w:r>
    </w:p>
    <w:p w14:paraId="0FA0B2C3" w14:textId="77777777" w:rsidR="00F03375" w:rsidRPr="00CC1E1E" w:rsidRDefault="00F03375" w:rsidP="00F03375">
      <w:pPr>
        <w:pStyle w:val="pldetails"/>
        <w:rPr>
          <w:lang w:val="de-DE"/>
        </w:rPr>
      </w:pPr>
      <w:r w:rsidRPr="00CC1E1E">
        <w:rPr>
          <w:lang w:val="de-DE"/>
        </w:rPr>
        <w:t>Barbara FÜRNWEGER (Frau), Leiterin, Abteilung Sortenschutz und Registerprüfung, Institut für Saat- und Pflanzgut, Pflanzenschutzdienst und Bienen, Österreichische Agentur für Gesundheit und Ernährungssicherheit GmbH, Wien</w:t>
      </w:r>
      <w:r w:rsidRPr="00CC1E1E">
        <w:rPr>
          <w:lang w:val="de-DE"/>
        </w:rPr>
        <w:br/>
        <w:t xml:space="preserve">(e-mail: barbara.fuernweger@ages.at) </w:t>
      </w:r>
    </w:p>
    <w:p w14:paraId="22F68B87" w14:textId="77777777" w:rsidR="00F03375" w:rsidRPr="00CC1E1E" w:rsidRDefault="00F03375" w:rsidP="00F03375">
      <w:pPr>
        <w:pStyle w:val="plcountry"/>
        <w:rPr>
          <w:lang w:val="en-US"/>
        </w:rPr>
      </w:pPr>
      <w:r w:rsidRPr="00CC1E1E">
        <w:rPr>
          <w:lang w:val="en-US"/>
        </w:rPr>
        <w:t>BÉLARUS / BELARUS / BELARUS / BELARÚS</w:t>
      </w:r>
    </w:p>
    <w:p w14:paraId="675385B8" w14:textId="77777777" w:rsidR="00F03375" w:rsidRPr="00CC1E1E" w:rsidRDefault="00F03375" w:rsidP="00F03375">
      <w:pPr>
        <w:pStyle w:val="pldetails"/>
        <w:rPr>
          <w:lang w:val="en-US"/>
        </w:rPr>
      </w:pPr>
      <w:r w:rsidRPr="00CC1E1E">
        <w:rPr>
          <w:lang w:val="en-US"/>
        </w:rPr>
        <w:t xml:space="preserve">Vladzimir HRAKUN (Mr.), Deputy Minister, Ministry of Agriculture and Food Production, Minsk </w:t>
      </w:r>
      <w:r w:rsidRPr="00CC1E1E">
        <w:rPr>
          <w:lang w:val="en-US"/>
        </w:rPr>
        <w:br/>
        <w:t>(e-mail: belsort@sorttest.by)</w:t>
      </w:r>
    </w:p>
    <w:p w14:paraId="0A3DCF38" w14:textId="77777777" w:rsidR="00F03375" w:rsidRPr="00CC1E1E" w:rsidRDefault="00F03375" w:rsidP="00F03375">
      <w:pPr>
        <w:pStyle w:val="pldetails"/>
        <w:rPr>
          <w:lang w:val="en-US"/>
        </w:rPr>
      </w:pPr>
      <w:r w:rsidRPr="00CC1E1E">
        <w:rPr>
          <w:lang w:val="en-US"/>
        </w:rPr>
        <w:t xml:space="preserve">Uladzimir BEINIA (Mr.), Director, State Inspection for Testing and Protection of Plant Varieties, Minsk </w:t>
      </w:r>
      <w:r w:rsidRPr="00CC1E1E">
        <w:rPr>
          <w:lang w:val="en-US"/>
        </w:rPr>
        <w:br/>
        <w:t xml:space="preserve">(e-mail: belsort@sorttest.by) </w:t>
      </w:r>
    </w:p>
    <w:p w14:paraId="004355FD" w14:textId="77777777" w:rsidR="00F03375" w:rsidRPr="00CC1E1E" w:rsidRDefault="00F03375" w:rsidP="00F03375">
      <w:pPr>
        <w:pStyle w:val="pldetails"/>
        <w:rPr>
          <w:lang w:val="en-US"/>
        </w:rPr>
      </w:pPr>
      <w:r w:rsidRPr="00CC1E1E">
        <w:rPr>
          <w:lang w:val="en-US"/>
        </w:rPr>
        <w:t xml:space="preserve">Tatsiana SIAMASHKA (Ms.), Deputy Director of DUS Testing, State Inspection for Testing and Protection of Plant Varieties, Minsk  </w:t>
      </w:r>
      <w:r w:rsidRPr="00CC1E1E">
        <w:rPr>
          <w:lang w:val="en-US"/>
        </w:rPr>
        <w:br/>
        <w:t xml:space="preserve">(e-mail: tatianasortr@mail.ru) </w:t>
      </w:r>
    </w:p>
    <w:p w14:paraId="324678B1" w14:textId="77777777" w:rsidR="00F03375" w:rsidRPr="00CC1E1E" w:rsidRDefault="00F03375" w:rsidP="00F03375">
      <w:pPr>
        <w:pStyle w:val="pldetails"/>
        <w:rPr>
          <w:lang w:val="en-US"/>
        </w:rPr>
      </w:pPr>
      <w:r w:rsidRPr="00CC1E1E">
        <w:rPr>
          <w:lang w:val="en-US"/>
        </w:rPr>
        <w:t xml:space="preserve">Maryna SALADUKHA (Ms.), Deputy Head, International Cooperation Department, State Inspection for Testing and Protection of Plant Varieties, Minsk </w:t>
      </w:r>
      <w:r w:rsidRPr="00CC1E1E">
        <w:rPr>
          <w:lang w:val="en-US"/>
        </w:rPr>
        <w:br/>
        <w:t>(e-mail: belsort@mail.ru)</w:t>
      </w:r>
    </w:p>
    <w:p w14:paraId="5490F777" w14:textId="77777777" w:rsidR="00F03375" w:rsidRPr="001360C0" w:rsidRDefault="00F03375" w:rsidP="00F03375">
      <w:pPr>
        <w:pStyle w:val="plcountry"/>
        <w:keepLines w:val="0"/>
      </w:pPr>
      <w:r>
        <w:lastRenderedPageBreak/>
        <w:t xml:space="preserve">BOLIVIE (ÉTAT PLURINATIONAL DE) / BOLIVIA (PLURINATIONAL STATE OF) / </w:t>
      </w:r>
      <w:r>
        <w:br/>
        <w:t>BOLIVIEN (PLURINATIONALER STAAT) / BOLIVIA (ESTADO PLURINACIONAL DE)</w:t>
      </w:r>
    </w:p>
    <w:p w14:paraId="58727E4D" w14:textId="77777777" w:rsidR="00F03375" w:rsidRPr="001360C0" w:rsidRDefault="00F03375" w:rsidP="00F03375">
      <w:pPr>
        <w:pStyle w:val="pldetails"/>
        <w:keepNext/>
        <w:keepLines w:val="0"/>
      </w:pPr>
      <w:r>
        <w:t xml:space="preserve">Sergio Rider ANDRADE CÁCERES (Sr.), Director Nacional de Semillas, Instituto Nacional de Innovación Agropecuaria y Forestal (INIAF), La Paz </w:t>
      </w:r>
      <w:r>
        <w:br/>
        <w:t>(e-mail: rideran@yahoo.es)</w:t>
      </w:r>
    </w:p>
    <w:p w14:paraId="3B64234B" w14:textId="77777777" w:rsidR="00F03375" w:rsidRPr="001360C0" w:rsidRDefault="00F03375" w:rsidP="00F03375">
      <w:pPr>
        <w:pStyle w:val="pldetails"/>
        <w:keepNext/>
      </w:pPr>
      <w:r>
        <w:t xml:space="preserve">Freddy CABALLERO LEDEZMA (Sr.), Responsable de la Unidad de Fiscalización y Registro de Semillas, Registros y protección de Variedades Vegetales, Instituto Nacional de Innovación Agropecuaria y Forestal (INIAF), La Paz </w:t>
      </w:r>
      <w:r>
        <w:br/>
        <w:t>(e-mail: calefred@yahoo.es)</w:t>
      </w:r>
    </w:p>
    <w:p w14:paraId="0BAACD7D" w14:textId="77777777" w:rsidR="00F03375" w:rsidRPr="00CC1E1E" w:rsidRDefault="00F03375" w:rsidP="00F03375">
      <w:pPr>
        <w:pStyle w:val="plcountry"/>
        <w:rPr>
          <w:lang w:val="en-US"/>
        </w:rPr>
      </w:pPr>
      <w:r w:rsidRPr="00CC1E1E">
        <w:rPr>
          <w:lang w:val="en-US"/>
        </w:rPr>
        <w:t>BULGARIE / BULGARIA / BULGARIEN / BULGARIA</w:t>
      </w:r>
    </w:p>
    <w:p w14:paraId="3299F4B3" w14:textId="77777777" w:rsidR="00F03375" w:rsidRPr="00CC1E1E" w:rsidRDefault="00F03375" w:rsidP="00F03375">
      <w:pPr>
        <w:pStyle w:val="pldetails"/>
        <w:rPr>
          <w:lang w:val="en-US"/>
        </w:rPr>
      </w:pPr>
      <w:r w:rsidRPr="00CC1E1E">
        <w:rPr>
          <w:lang w:val="en-US"/>
        </w:rPr>
        <w:t xml:space="preserve">Bistra PAVLOVSKA (Ms.), Executive Director, Executive Agency for Variety Testing, Field Inspection and Seed Control (EAVTFISC), Sofia </w:t>
      </w:r>
      <w:r w:rsidRPr="00CC1E1E">
        <w:rPr>
          <w:lang w:val="en-US"/>
        </w:rPr>
        <w:br/>
        <w:t>(e-mail: bistra.pavlovska@iasas.government.bg)</w:t>
      </w:r>
    </w:p>
    <w:p w14:paraId="574D4B05" w14:textId="77777777" w:rsidR="00F03375" w:rsidRPr="00CC1E1E" w:rsidRDefault="00F03375" w:rsidP="00F03375">
      <w:pPr>
        <w:pStyle w:val="plcountry"/>
        <w:rPr>
          <w:lang w:val="en-US"/>
        </w:rPr>
      </w:pPr>
      <w:r w:rsidRPr="00CC1E1E">
        <w:rPr>
          <w:lang w:val="en-US"/>
        </w:rPr>
        <w:t>CANADA / CANADA / KANADA / CANADÁ</w:t>
      </w:r>
    </w:p>
    <w:p w14:paraId="4B43F068" w14:textId="77777777" w:rsidR="00F03375" w:rsidRPr="00CC1E1E" w:rsidRDefault="00F03375" w:rsidP="00F03375">
      <w:pPr>
        <w:pStyle w:val="pldetails"/>
        <w:keepLines w:val="0"/>
        <w:rPr>
          <w:lang w:val="en-US"/>
        </w:rPr>
      </w:pPr>
      <w:r w:rsidRPr="00CC1E1E">
        <w:rPr>
          <w:lang w:val="en-US"/>
        </w:rPr>
        <w:t xml:space="preserve">Anthony PARKER (Mr.), Commissioner, Plant Breeders' Rights Office, Canadian Food Inspection Agency (CFIA), Ottawa </w:t>
      </w:r>
      <w:r w:rsidRPr="00CC1E1E">
        <w:rPr>
          <w:lang w:val="en-US"/>
        </w:rPr>
        <w:br/>
        <w:t xml:space="preserve">(e-mail: anthony.parker@canada.ca) </w:t>
      </w:r>
    </w:p>
    <w:p w14:paraId="086AADB6" w14:textId="77777777" w:rsidR="00F03375" w:rsidRPr="00CC1E1E" w:rsidRDefault="00F03375" w:rsidP="00F03375">
      <w:pPr>
        <w:pStyle w:val="pldetails"/>
        <w:rPr>
          <w:lang w:val="en-US"/>
        </w:rPr>
      </w:pPr>
      <w:r w:rsidRPr="00CC1E1E">
        <w:rPr>
          <w:lang w:val="en-US"/>
        </w:rPr>
        <w:t xml:space="preserve">Ashley BALCHIN (Ms.), Examiner, Plant Breeders' Rights Office, Canadian Food Inspection Agency (CFIA), Ottawa </w:t>
      </w:r>
      <w:r w:rsidRPr="00CC1E1E">
        <w:rPr>
          <w:lang w:val="en-US"/>
        </w:rPr>
        <w:br/>
        <w:t xml:space="preserve">(e-mail: ashley.balchin@canada.ca) </w:t>
      </w:r>
    </w:p>
    <w:p w14:paraId="7F96D01E" w14:textId="77777777" w:rsidR="00F03375" w:rsidRPr="001360C0" w:rsidRDefault="00F03375" w:rsidP="00F03375">
      <w:pPr>
        <w:pStyle w:val="plcountry"/>
      </w:pPr>
      <w:r>
        <w:t>CHILI / CHILE / CHILE / CHILE</w:t>
      </w:r>
    </w:p>
    <w:p w14:paraId="57BB0728" w14:textId="77777777" w:rsidR="00F03375" w:rsidRPr="001360C0" w:rsidRDefault="00F03375" w:rsidP="00F03375">
      <w:pPr>
        <w:pStyle w:val="pldetails"/>
      </w:pPr>
      <w:r>
        <w:t xml:space="preserve">Manuel Antonio TORO UGALDE (Sr.), Jefe Departamento, Registro de Variedades Protegidas, </w:t>
      </w:r>
      <w:r>
        <w:br/>
        <w:t xml:space="preserve">División Semillas, Servicio Agrícola y Ganadero (SAG), Santiago de Chile </w:t>
      </w:r>
      <w:r>
        <w:br/>
        <w:t xml:space="preserve">(e-mail: manuel.toro@sag.gob.cl) </w:t>
      </w:r>
    </w:p>
    <w:p w14:paraId="3D0E77E7" w14:textId="77777777" w:rsidR="00F03375" w:rsidRPr="00CC1E1E" w:rsidRDefault="00F03375" w:rsidP="00F03375">
      <w:pPr>
        <w:pStyle w:val="plcountry"/>
        <w:rPr>
          <w:lang w:val="en-US"/>
        </w:rPr>
      </w:pPr>
      <w:r w:rsidRPr="00CC1E1E">
        <w:rPr>
          <w:lang w:val="en-US"/>
        </w:rPr>
        <w:t>CHINE / CHINA / CHINA / CHINA</w:t>
      </w:r>
    </w:p>
    <w:p w14:paraId="6F1AA1BF" w14:textId="77777777" w:rsidR="00F03375" w:rsidRPr="00CC1E1E" w:rsidRDefault="00F03375" w:rsidP="00F03375">
      <w:pPr>
        <w:pStyle w:val="pldetails"/>
        <w:rPr>
          <w:lang w:val="en-US"/>
        </w:rPr>
      </w:pPr>
      <w:r w:rsidRPr="00CC1E1E">
        <w:rPr>
          <w:lang w:val="en-US"/>
        </w:rPr>
        <w:t xml:space="preserve">Yehan CUI (Mr.), Division Director, Division of Plant Variety Protection, Development Center of Science &amp; Technology (DCST), MARA, Beijing </w:t>
      </w:r>
      <w:r w:rsidRPr="00CC1E1E">
        <w:rPr>
          <w:lang w:val="en-US"/>
        </w:rPr>
        <w:br/>
        <w:t>(e-mail: cuiyehan@agri.gov.cn)</w:t>
      </w:r>
    </w:p>
    <w:p w14:paraId="6BBC0B81" w14:textId="77777777" w:rsidR="00F03375" w:rsidRPr="00CC1E1E" w:rsidRDefault="00F03375" w:rsidP="00F03375">
      <w:pPr>
        <w:pStyle w:val="pldetails"/>
        <w:rPr>
          <w:lang w:val="en-US"/>
        </w:rPr>
      </w:pPr>
      <w:r w:rsidRPr="00CC1E1E">
        <w:rPr>
          <w:lang w:val="en-US"/>
        </w:rPr>
        <w:t xml:space="preserve">Zhiqiang MA (Mr.), Director, Division of Variety Management, Department of Seed Industry Management, Beijing </w:t>
      </w:r>
      <w:r w:rsidRPr="00CC1E1E">
        <w:rPr>
          <w:lang w:val="en-US"/>
        </w:rPr>
        <w:br/>
        <w:t>(e-mail: zyspzc@agri.gov.cn)</w:t>
      </w:r>
    </w:p>
    <w:p w14:paraId="28123C17" w14:textId="77777777" w:rsidR="00F03375" w:rsidRPr="00CC1E1E" w:rsidRDefault="00F03375" w:rsidP="00F03375">
      <w:pPr>
        <w:pStyle w:val="pldetails"/>
        <w:rPr>
          <w:lang w:val="en-US"/>
        </w:rPr>
      </w:pPr>
      <w:r w:rsidRPr="00CC1E1E">
        <w:rPr>
          <w:lang w:val="en-US"/>
        </w:rPr>
        <w:t xml:space="preserve">Sanqun LONG (Mr.), Deputy Director General, PVP Office, National Forestry and Grassland Administration, Beijing </w:t>
      </w:r>
      <w:r w:rsidRPr="00CC1E1E">
        <w:rPr>
          <w:lang w:val="en-US"/>
        </w:rPr>
        <w:br/>
        <w:t>(e-mail: LSQ9106@126.com)</w:t>
      </w:r>
    </w:p>
    <w:p w14:paraId="5E980B4E" w14:textId="77777777" w:rsidR="00F03375" w:rsidRPr="00CC1E1E" w:rsidRDefault="00F03375" w:rsidP="00F03375">
      <w:pPr>
        <w:pStyle w:val="pldetails"/>
        <w:rPr>
          <w:lang w:val="en-US"/>
        </w:rPr>
      </w:pPr>
      <w:r w:rsidRPr="00CC1E1E">
        <w:rPr>
          <w:lang w:val="en-US"/>
        </w:rPr>
        <w:t xml:space="preserve">Yongqi ZHENG (Mr.), Director, Laboratory for Molecular Testing of New Plant Varieties, Office of Protection of New Varieties of Plants, National Forestry and Grassland Administration, Beijing </w:t>
      </w:r>
      <w:r w:rsidRPr="00CC1E1E">
        <w:rPr>
          <w:lang w:val="en-US"/>
        </w:rPr>
        <w:br/>
        <w:t>(e-mail: zhengyq@caf.ac.cn)</w:t>
      </w:r>
    </w:p>
    <w:p w14:paraId="09F69E15" w14:textId="77777777" w:rsidR="00F03375" w:rsidRPr="00CC1E1E" w:rsidRDefault="00F03375" w:rsidP="00F03375">
      <w:pPr>
        <w:pStyle w:val="pldetails"/>
        <w:rPr>
          <w:lang w:val="en-US"/>
        </w:rPr>
      </w:pPr>
      <w:r w:rsidRPr="00CC1E1E">
        <w:rPr>
          <w:lang w:val="en-US"/>
        </w:rPr>
        <w:t xml:space="preserve">Wu BOXUAN (Mr.), Principal Staff, China National Intellectual Property Administration, Beijing </w:t>
      </w:r>
      <w:r w:rsidRPr="00CC1E1E">
        <w:rPr>
          <w:lang w:val="en-US"/>
        </w:rPr>
        <w:br/>
        <w:t>(e-mail: wuboxuan@cnipa.gov.cn)</w:t>
      </w:r>
    </w:p>
    <w:p w14:paraId="551B50F0" w14:textId="77777777" w:rsidR="00F03375" w:rsidRPr="00CC1E1E" w:rsidRDefault="00F03375" w:rsidP="00F03375">
      <w:pPr>
        <w:pStyle w:val="plcountry"/>
        <w:rPr>
          <w:lang w:val="de-DE"/>
        </w:rPr>
      </w:pPr>
      <w:r w:rsidRPr="00CC1E1E">
        <w:rPr>
          <w:lang w:val="de-DE"/>
        </w:rPr>
        <w:t>DANEMARK / DENMARK / DÄNEMARK / DINAMARCA</w:t>
      </w:r>
    </w:p>
    <w:p w14:paraId="13FCE1B4" w14:textId="77777777" w:rsidR="00F03375" w:rsidRPr="00CC1E1E" w:rsidRDefault="00F03375" w:rsidP="00F03375">
      <w:pPr>
        <w:pStyle w:val="pldetails"/>
        <w:rPr>
          <w:lang w:val="de-DE"/>
        </w:rPr>
      </w:pPr>
      <w:r w:rsidRPr="00CC1E1E">
        <w:rPr>
          <w:lang w:val="de-DE"/>
        </w:rPr>
        <w:t xml:space="preserve">Gerhard DENEKEN, Director, Tystofte Foundation, Skaelskoer </w:t>
      </w:r>
      <w:r w:rsidRPr="00CC1E1E">
        <w:rPr>
          <w:lang w:val="de-DE"/>
        </w:rPr>
        <w:br/>
        <w:t>(e-mail: gde@tystofte.dk)</w:t>
      </w:r>
    </w:p>
    <w:p w14:paraId="676B7A0C" w14:textId="77777777" w:rsidR="00F03375" w:rsidRPr="00D55269" w:rsidRDefault="00F03375" w:rsidP="00F03375">
      <w:pPr>
        <w:pStyle w:val="plcountry"/>
      </w:pPr>
      <w:r>
        <w:t>ÉQUATEUR / ECUADOR / ECUADOR / ECUADOR</w:t>
      </w:r>
    </w:p>
    <w:p w14:paraId="21361F63" w14:textId="77777777" w:rsidR="00F03375" w:rsidRPr="00FC3E41" w:rsidRDefault="00F03375" w:rsidP="00F03375">
      <w:pPr>
        <w:pStyle w:val="pldetails"/>
      </w:pPr>
      <w:r>
        <w:t>Heidi VÁSCONES (Sra.), Tercer Secretario, Misión Permanente de la República del Ecuador ante la OMC, Ginebra</w:t>
      </w:r>
      <w:r>
        <w:br/>
        <w:t>(e-mail: t.hvascones@cancilleria.gob.ec)</w:t>
      </w:r>
    </w:p>
    <w:p w14:paraId="345EEA90" w14:textId="77777777" w:rsidR="00F03375" w:rsidRPr="00BF2731" w:rsidRDefault="00F03375" w:rsidP="00F03375">
      <w:pPr>
        <w:pStyle w:val="plcountry"/>
      </w:pPr>
      <w:r>
        <w:t>ESPAGNE / SPAIN / SPANIEN / ESPAÑA</w:t>
      </w:r>
    </w:p>
    <w:p w14:paraId="385968BC" w14:textId="77777777" w:rsidR="00F03375" w:rsidRPr="0020749D" w:rsidRDefault="00F03375" w:rsidP="00F03375">
      <w:pPr>
        <w:pStyle w:val="pldetails"/>
      </w:pPr>
      <w:r>
        <w:t xml:space="preserve">Nuria URQUÍA FERNÁNDEZ (Sra.), Jefe de Área de registro de variedades, Oficina Española de Variedades Vegetales (OEVV), Ministerio de Agricultura, Pesca y Alimentación (MAPA), Madrid </w:t>
      </w:r>
      <w:r>
        <w:br/>
        <w:t>(e-mail: nurquia@mapa.es)</w:t>
      </w:r>
    </w:p>
    <w:p w14:paraId="5913C6A4" w14:textId="77777777" w:rsidR="00F03375" w:rsidRPr="00CC1E1E" w:rsidRDefault="00F03375" w:rsidP="00F03375">
      <w:pPr>
        <w:pStyle w:val="plcountry"/>
        <w:rPr>
          <w:lang w:val="en-US"/>
        </w:rPr>
      </w:pPr>
      <w:r w:rsidRPr="00CC1E1E">
        <w:rPr>
          <w:lang w:val="en-US"/>
        </w:rPr>
        <w:lastRenderedPageBreak/>
        <w:t>ESTONIE / ESTONIA / ESTLAND / ESTONIA</w:t>
      </w:r>
    </w:p>
    <w:p w14:paraId="66B87351" w14:textId="77777777" w:rsidR="00F03375" w:rsidRPr="00CC1E1E" w:rsidRDefault="00F03375" w:rsidP="00F03375">
      <w:pPr>
        <w:pStyle w:val="pldetails"/>
        <w:rPr>
          <w:lang w:val="en-US"/>
        </w:rPr>
      </w:pPr>
      <w:r w:rsidRPr="00CC1E1E">
        <w:rPr>
          <w:lang w:val="en-US"/>
        </w:rPr>
        <w:t xml:space="preserve">Kristiina DIGRYTE (Ms.), Adviser, Plant Health Department, Tallinn </w:t>
      </w:r>
      <w:r w:rsidRPr="00CC1E1E">
        <w:rPr>
          <w:lang w:val="en-US"/>
        </w:rPr>
        <w:br/>
        <w:t>(e-mail: kristiina.digryte@agri.ee)</w:t>
      </w:r>
    </w:p>
    <w:p w14:paraId="4D2CE04A" w14:textId="77777777" w:rsidR="00F03375" w:rsidRPr="00CC1E1E" w:rsidRDefault="00F03375" w:rsidP="00F03375">
      <w:pPr>
        <w:pStyle w:val="pldetails"/>
        <w:rPr>
          <w:lang w:val="en-US"/>
        </w:rPr>
      </w:pPr>
      <w:r w:rsidRPr="00CC1E1E">
        <w:rPr>
          <w:lang w:val="en-US"/>
        </w:rPr>
        <w:t xml:space="preserve">Laima PUUR (Ms.), Councellor, Estonian Agricultural Board, Viljandi </w:t>
      </w:r>
      <w:r w:rsidRPr="00CC1E1E">
        <w:rPr>
          <w:lang w:val="en-US"/>
        </w:rPr>
        <w:br/>
        <w:t>(e-mail: laima.puur@pma.agri.ee)</w:t>
      </w:r>
    </w:p>
    <w:p w14:paraId="4DA54602" w14:textId="77777777" w:rsidR="00F03375" w:rsidRPr="00CC1E1E" w:rsidRDefault="00F03375" w:rsidP="00F03375">
      <w:pPr>
        <w:pStyle w:val="plcountry"/>
        <w:rPr>
          <w:lang w:val="en-US"/>
        </w:rPr>
      </w:pPr>
      <w:r w:rsidRPr="00CC1E1E">
        <w:rPr>
          <w:lang w:val="en-US"/>
        </w:rPr>
        <w:t xml:space="preserve">ÉTATS-UNIS D'AMÉRIQUE / UNITED STATES OF AMERICA / VEREINIGTE STAATEN VON AMERIKA / </w:t>
      </w:r>
      <w:r w:rsidRPr="00CC1E1E">
        <w:rPr>
          <w:lang w:val="en-US"/>
        </w:rPr>
        <w:br/>
        <w:t>ESTADOS UNIDOS DE AMÉRICA</w:t>
      </w:r>
    </w:p>
    <w:p w14:paraId="587B8D5F" w14:textId="77777777" w:rsidR="00F03375" w:rsidRPr="00CC1E1E" w:rsidRDefault="00F03375" w:rsidP="00F03375">
      <w:pPr>
        <w:pStyle w:val="pldetails"/>
        <w:rPr>
          <w:lang w:val="en-US"/>
        </w:rPr>
      </w:pPr>
      <w:r w:rsidRPr="00CC1E1E">
        <w:rPr>
          <w:lang w:val="en-US"/>
        </w:rPr>
        <w:t xml:space="preserve">Elaine WU (Ms.), Senior Counsel, Office of Policy and International Affairs, United States Patent and Trademark Office, United States Department of Commerce, Alexandria </w:t>
      </w:r>
      <w:r w:rsidRPr="00CC1E1E">
        <w:rPr>
          <w:lang w:val="en-US"/>
        </w:rPr>
        <w:br/>
        <w:t>(e-mail: elaine.wu@uspto.gov)</w:t>
      </w:r>
    </w:p>
    <w:p w14:paraId="16EB5CC4" w14:textId="77777777" w:rsidR="00F03375" w:rsidRPr="00257D16" w:rsidRDefault="00F03375" w:rsidP="00F03375">
      <w:pPr>
        <w:pStyle w:val="pldetails"/>
        <w:rPr>
          <w:lang w:val="en-US"/>
        </w:rPr>
      </w:pPr>
      <w:r w:rsidRPr="00CC1E1E">
        <w:rPr>
          <w:lang w:val="en-US"/>
        </w:rPr>
        <w:t xml:space="preserve">Ruihong GUO (Ms.), Deputy Administrator, AMS, Science &amp; Technology Program, United States Department of Agriculture (USDA), Washington D.C. </w:t>
      </w:r>
      <w:r w:rsidRPr="00CC1E1E">
        <w:rPr>
          <w:lang w:val="en-US"/>
        </w:rPr>
        <w:br/>
      </w:r>
      <w:r w:rsidRPr="00257D16">
        <w:rPr>
          <w:lang w:val="en-US"/>
        </w:rPr>
        <w:t>(e-mail: ruihong.guo@ams.usda.gov)</w:t>
      </w:r>
    </w:p>
    <w:p w14:paraId="5E528A37" w14:textId="77777777" w:rsidR="00F03375" w:rsidRPr="00257D16" w:rsidRDefault="00F03375" w:rsidP="00F03375">
      <w:pPr>
        <w:pStyle w:val="pldetails"/>
        <w:rPr>
          <w:lang w:val="en-US"/>
        </w:rPr>
      </w:pPr>
      <w:r w:rsidRPr="00CC1E1E">
        <w:rPr>
          <w:lang w:val="en-US"/>
        </w:rPr>
        <w:t xml:space="preserve">Brian IKENBERRY (Mr.), Plant Variety Protection Examiner, Plant Variety Protection Office, United States Department of Agriculture (USDA), Washington D.C. </w:t>
      </w:r>
      <w:r w:rsidRPr="00CC1E1E">
        <w:rPr>
          <w:lang w:val="en-US"/>
        </w:rPr>
        <w:br/>
      </w:r>
      <w:r w:rsidRPr="00257D16">
        <w:rPr>
          <w:lang w:val="en-US"/>
        </w:rPr>
        <w:t>(e-mail: brian.ikenberry@usda.gov)</w:t>
      </w:r>
    </w:p>
    <w:p w14:paraId="1F8D56F8" w14:textId="77777777" w:rsidR="00F03375" w:rsidRPr="00257D16" w:rsidRDefault="00F03375" w:rsidP="00F03375">
      <w:pPr>
        <w:pStyle w:val="pldetails"/>
        <w:rPr>
          <w:highlight w:val="yellow"/>
          <w:lang w:val="en-US"/>
        </w:rPr>
      </w:pPr>
      <w:r w:rsidRPr="00257D16">
        <w:rPr>
          <w:lang w:val="en-US"/>
        </w:rPr>
        <w:t xml:space="preserve">Yasmine Nicole FULENA (Ms.), Intellectual Property Adviser, Permanent Mission, Chambésy </w:t>
      </w:r>
      <w:r w:rsidRPr="00257D16">
        <w:rPr>
          <w:lang w:val="en-US"/>
        </w:rPr>
        <w:br/>
        <w:t>(e-mail: fulenayn@state.gov)</w:t>
      </w:r>
    </w:p>
    <w:p w14:paraId="0C4E2CA8" w14:textId="77777777" w:rsidR="00F03375" w:rsidRPr="00257D16" w:rsidRDefault="00F03375" w:rsidP="00F03375">
      <w:pPr>
        <w:pStyle w:val="plcountry"/>
        <w:rPr>
          <w:lang w:val="en-US"/>
        </w:rPr>
      </w:pPr>
      <w:r w:rsidRPr="00257D16">
        <w:rPr>
          <w:lang w:val="en-US"/>
        </w:rPr>
        <w:t xml:space="preserve">FÉDÉRATION DE RUSSIE / RUSSIAN FEDERATION / RUSSISCHE FÖDERATION / </w:t>
      </w:r>
      <w:r w:rsidRPr="00257D16">
        <w:rPr>
          <w:lang w:val="en-US"/>
        </w:rPr>
        <w:br/>
        <w:t>FEDERACIÓN DE RUSIA</w:t>
      </w:r>
    </w:p>
    <w:p w14:paraId="2E13E43A" w14:textId="77777777" w:rsidR="00F03375" w:rsidRPr="00CC1E1E" w:rsidRDefault="00F03375" w:rsidP="00F03375">
      <w:pPr>
        <w:pStyle w:val="pldetails"/>
        <w:rPr>
          <w:lang w:val="en-US"/>
        </w:rPr>
      </w:pPr>
      <w:r w:rsidRPr="00CC1E1E">
        <w:rPr>
          <w:lang w:val="en-US"/>
        </w:rPr>
        <w:t xml:space="preserve">Olga LESNYKH (Ms.), Executive Chairman, State Commission of the Russian Federation for Selection Achievements Test and Protection, Moscow </w:t>
      </w:r>
      <w:r w:rsidRPr="00CC1E1E">
        <w:rPr>
          <w:lang w:val="en-US"/>
        </w:rPr>
        <w:br/>
        <w:t>(e-mail: gossort.rf@yandex.ru)</w:t>
      </w:r>
    </w:p>
    <w:p w14:paraId="4C274B94" w14:textId="77777777" w:rsidR="00F03375" w:rsidRPr="00CC1E1E" w:rsidRDefault="00F03375" w:rsidP="00F03375">
      <w:pPr>
        <w:pStyle w:val="pldetails"/>
        <w:rPr>
          <w:lang w:val="en-US"/>
        </w:rPr>
      </w:pPr>
      <w:r w:rsidRPr="00CC1E1E">
        <w:rPr>
          <w:lang w:val="en-US"/>
        </w:rPr>
        <w:t xml:space="preserve">Aleksey VAGIN (Mr.), Head, Department of Methodology and International Cooperation, State Commission of the Russian Federation for Selection Achievements Test and Protection, Moscow </w:t>
      </w:r>
      <w:r w:rsidRPr="00CC1E1E">
        <w:rPr>
          <w:lang w:val="en-US"/>
        </w:rPr>
        <w:br/>
        <w:t>(e-mail: alexsky@yandex.ru)</w:t>
      </w:r>
    </w:p>
    <w:p w14:paraId="1A8B43AF" w14:textId="77777777" w:rsidR="00F03375" w:rsidRPr="00CC1E1E" w:rsidRDefault="00F03375" w:rsidP="00F03375">
      <w:pPr>
        <w:pStyle w:val="pldetails"/>
        <w:rPr>
          <w:lang w:val="en-US"/>
        </w:rPr>
      </w:pPr>
      <w:r w:rsidRPr="00CC1E1E">
        <w:rPr>
          <w:lang w:val="en-US"/>
        </w:rPr>
        <w:t xml:space="preserve">Antonina TRETINNIKOVA (Ms.), Deputy Head, Methodology and International Cooperation Department, State Commission of the Russian Federation for Selection Achievements Test and Protection, Moscow </w:t>
      </w:r>
      <w:r w:rsidRPr="00CC1E1E">
        <w:rPr>
          <w:lang w:val="en-US"/>
        </w:rPr>
        <w:br/>
        <w:t xml:space="preserve">(e-mail: tretinnikova@mail.ru) </w:t>
      </w:r>
    </w:p>
    <w:p w14:paraId="6BB05F06" w14:textId="77777777" w:rsidR="00F03375" w:rsidRPr="00CC1E1E" w:rsidRDefault="00F03375" w:rsidP="00F03375">
      <w:pPr>
        <w:pStyle w:val="plcountry"/>
        <w:rPr>
          <w:lang w:val="en-US"/>
        </w:rPr>
      </w:pPr>
      <w:r w:rsidRPr="00CC1E1E">
        <w:rPr>
          <w:lang w:val="en-US"/>
        </w:rPr>
        <w:t>FINLANDE / FINLAND / FINNLAND / FINLANDIA</w:t>
      </w:r>
    </w:p>
    <w:p w14:paraId="683A49D6" w14:textId="77777777" w:rsidR="00F03375" w:rsidRPr="00CC1E1E" w:rsidRDefault="00F03375" w:rsidP="00F03375">
      <w:pPr>
        <w:pStyle w:val="pldetails"/>
        <w:rPr>
          <w:lang w:val="en-US"/>
        </w:rPr>
      </w:pPr>
      <w:r w:rsidRPr="00CC1E1E">
        <w:rPr>
          <w:lang w:val="en-US"/>
        </w:rPr>
        <w:t xml:space="preserve">Tarja Päivikki HIETARANTA (Ms.), Senior Officer, Seed Certification, Finnish Food Authority, Loimaa </w:t>
      </w:r>
      <w:r w:rsidRPr="00CC1E1E">
        <w:rPr>
          <w:lang w:val="en-US"/>
        </w:rPr>
        <w:br/>
        <w:t>(e-mail: tarja.hietaranta@evira.fi)</w:t>
      </w:r>
    </w:p>
    <w:p w14:paraId="1F2F7CDF" w14:textId="77777777" w:rsidR="00F03375" w:rsidRPr="00CC1E1E" w:rsidRDefault="00F03375" w:rsidP="00F03375">
      <w:pPr>
        <w:pStyle w:val="pldetails"/>
        <w:rPr>
          <w:lang w:val="en-US"/>
        </w:rPr>
      </w:pPr>
      <w:r w:rsidRPr="00CC1E1E">
        <w:rPr>
          <w:lang w:val="en-US"/>
        </w:rPr>
        <w:t xml:space="preserve">Kati LASSI (Ms.), Senior Specialist, Helsinki </w:t>
      </w:r>
      <w:r w:rsidRPr="00CC1E1E">
        <w:rPr>
          <w:lang w:val="en-US"/>
        </w:rPr>
        <w:br/>
        <w:t>(e-mail: kati.lassi@mmm.fi)</w:t>
      </w:r>
    </w:p>
    <w:p w14:paraId="7BD64097" w14:textId="77777777" w:rsidR="00F03375" w:rsidRPr="00CC1E1E" w:rsidRDefault="00F03375" w:rsidP="00F03375">
      <w:pPr>
        <w:pStyle w:val="pldetails"/>
        <w:rPr>
          <w:lang w:val="en-US"/>
        </w:rPr>
      </w:pPr>
      <w:r w:rsidRPr="00CC1E1E">
        <w:rPr>
          <w:lang w:val="en-US"/>
        </w:rPr>
        <w:t xml:space="preserve">Kirsi Marjatta HEINONEN (Ms.), Counsellor, Permanent Representation of Finland In European Union, Bruxelles </w:t>
      </w:r>
      <w:r w:rsidRPr="00CC1E1E">
        <w:rPr>
          <w:lang w:val="en-US"/>
        </w:rPr>
        <w:br/>
        <w:t>(e-mail: Kirsi.heinonen@formin.fi)</w:t>
      </w:r>
    </w:p>
    <w:p w14:paraId="6578C8EE" w14:textId="77777777" w:rsidR="00F03375" w:rsidRPr="00CC1E1E" w:rsidRDefault="00F03375" w:rsidP="00F03375">
      <w:pPr>
        <w:pStyle w:val="pldetails"/>
        <w:rPr>
          <w:lang w:val="en-US"/>
        </w:rPr>
      </w:pPr>
      <w:r w:rsidRPr="00CC1E1E">
        <w:rPr>
          <w:lang w:val="en-US"/>
        </w:rPr>
        <w:t>Kaarina PAAVILAINEN (Ms.), Senior Officer, Seed Unit, Finnish Food Authority, Loimaa</w:t>
      </w:r>
      <w:r w:rsidRPr="00CC1E1E">
        <w:rPr>
          <w:lang w:val="en-US"/>
        </w:rPr>
        <w:br/>
        <w:t>(e-mail: kaarina.paavilainen@ruokavirasto.fi)</w:t>
      </w:r>
    </w:p>
    <w:p w14:paraId="65C137D6" w14:textId="77777777" w:rsidR="00F03375" w:rsidRPr="00CC1E1E" w:rsidRDefault="00F03375" w:rsidP="00F03375">
      <w:pPr>
        <w:pStyle w:val="plcountry"/>
        <w:rPr>
          <w:lang w:val="fr-CH"/>
        </w:rPr>
      </w:pPr>
      <w:r w:rsidRPr="00CC1E1E">
        <w:rPr>
          <w:lang w:val="fr-CH"/>
        </w:rPr>
        <w:t>FRANCE / France / FRANKREICH / FRANCIA</w:t>
      </w:r>
    </w:p>
    <w:p w14:paraId="408803BB" w14:textId="77777777" w:rsidR="00F03375" w:rsidRPr="00CC1E1E" w:rsidRDefault="00F03375" w:rsidP="00F03375">
      <w:pPr>
        <w:pStyle w:val="pldetails"/>
        <w:rPr>
          <w:lang w:val="fr-CH"/>
        </w:rPr>
      </w:pPr>
      <w:r w:rsidRPr="00CC1E1E">
        <w:rPr>
          <w:lang w:val="fr-CH"/>
        </w:rPr>
        <w:t xml:space="preserve">Georges SICARD (M.), Directeur, Secteur Etude des variétés, Groupe d'étude et de contrôle des variétés et des semences (GEVES), Beaucouzé </w:t>
      </w:r>
      <w:r w:rsidRPr="00CC1E1E">
        <w:rPr>
          <w:lang w:val="fr-CH"/>
        </w:rPr>
        <w:br/>
        <w:t>(e-mail: georges.sicard@geves.fr)</w:t>
      </w:r>
    </w:p>
    <w:p w14:paraId="3D03E17E" w14:textId="77777777" w:rsidR="00F03375" w:rsidRPr="00CC1E1E" w:rsidRDefault="00F03375" w:rsidP="00F03375">
      <w:pPr>
        <w:pStyle w:val="pldetails"/>
        <w:rPr>
          <w:lang w:val="fr-CH"/>
        </w:rPr>
      </w:pPr>
      <w:r w:rsidRPr="00CC1E1E">
        <w:rPr>
          <w:lang w:val="fr-CH"/>
        </w:rPr>
        <w:t xml:space="preserve">Yvane MERESSE (Mme), Responsable INOV, Groupe d'Étude et de Contrôle des Variétés et des Semences (GEVES), Beaucouzé </w:t>
      </w:r>
      <w:r w:rsidRPr="00CC1E1E">
        <w:rPr>
          <w:lang w:val="fr-CH"/>
        </w:rPr>
        <w:br/>
        <w:t>(e-mail: yvane.meresse@geves.fr)</w:t>
      </w:r>
    </w:p>
    <w:p w14:paraId="58EE8054" w14:textId="77777777" w:rsidR="00F03375" w:rsidRPr="00CC1E1E" w:rsidRDefault="00F03375" w:rsidP="00F03375">
      <w:pPr>
        <w:pStyle w:val="plcountry"/>
        <w:rPr>
          <w:lang w:val="en-US"/>
        </w:rPr>
      </w:pPr>
      <w:r w:rsidRPr="00CC1E1E">
        <w:rPr>
          <w:lang w:val="en-US"/>
        </w:rPr>
        <w:t>HONGRIE / HUNGARY / UNGARN / HUNGRÍA</w:t>
      </w:r>
    </w:p>
    <w:p w14:paraId="50BE0363" w14:textId="77777777" w:rsidR="00F03375" w:rsidRPr="00CC1E1E" w:rsidRDefault="00F03375" w:rsidP="00F03375">
      <w:pPr>
        <w:pStyle w:val="pldetails"/>
        <w:rPr>
          <w:lang w:val="en-US"/>
        </w:rPr>
      </w:pPr>
      <w:r w:rsidRPr="00CC1E1E">
        <w:rPr>
          <w:lang w:val="en-US"/>
        </w:rPr>
        <w:t xml:space="preserve">György PERNESZ (Mr.), Head, Variety Testing Dept. for Horticultural Crops, National Food Chain Safety Office (NÉBIH), Budapest </w:t>
      </w:r>
      <w:r w:rsidRPr="00CC1E1E">
        <w:rPr>
          <w:lang w:val="en-US"/>
        </w:rPr>
        <w:br/>
        <w:t>(e-mail: perneszgy@nebih.gov.hu)</w:t>
      </w:r>
    </w:p>
    <w:p w14:paraId="2494C3E2" w14:textId="77777777" w:rsidR="00F03375" w:rsidRPr="00CC1E1E" w:rsidRDefault="00F03375" w:rsidP="00F03375">
      <w:pPr>
        <w:pStyle w:val="plcountry"/>
        <w:rPr>
          <w:lang w:val="en-US"/>
        </w:rPr>
      </w:pPr>
      <w:r w:rsidRPr="00CC1E1E">
        <w:rPr>
          <w:lang w:val="en-US"/>
        </w:rPr>
        <w:lastRenderedPageBreak/>
        <w:t>ITALIE / ITALY / ITALIEN / ITALIA</w:t>
      </w:r>
    </w:p>
    <w:p w14:paraId="7A2B838C" w14:textId="77777777" w:rsidR="00F03375" w:rsidRPr="00CC1E1E" w:rsidRDefault="00F03375" w:rsidP="00F03375">
      <w:pPr>
        <w:pStyle w:val="pldetails"/>
        <w:rPr>
          <w:lang w:val="en-US"/>
        </w:rPr>
      </w:pPr>
      <w:r w:rsidRPr="00CC1E1E">
        <w:rPr>
          <w:lang w:val="en-US"/>
        </w:rPr>
        <w:t xml:space="preserve">Pier Giacomo BIANCHI (Mr.), Scientific Coordinator Seed Area, CREA-DC, Milano </w:t>
      </w:r>
      <w:r w:rsidRPr="00CC1E1E">
        <w:rPr>
          <w:lang w:val="en-US"/>
        </w:rPr>
        <w:br/>
        <w:t>(e-mail: piergiacomo.bianchi@crea.gov.it)</w:t>
      </w:r>
    </w:p>
    <w:p w14:paraId="726298E1" w14:textId="77777777" w:rsidR="00F03375" w:rsidRPr="00CC1E1E" w:rsidRDefault="00F03375" w:rsidP="00F03375">
      <w:pPr>
        <w:pStyle w:val="pldetails"/>
        <w:rPr>
          <w:lang w:val="en-US"/>
        </w:rPr>
      </w:pPr>
      <w:r w:rsidRPr="00CC1E1E">
        <w:rPr>
          <w:lang w:val="en-US"/>
        </w:rPr>
        <w:t xml:space="preserve">Romana BRAVI (Mrs.), Vegetable DUS Testing, Agricultural Research Council and Economics Analysis - Plant Protection and Seed Certification (CREA - DC), Bologna </w:t>
      </w:r>
      <w:r w:rsidRPr="00CC1E1E">
        <w:rPr>
          <w:lang w:val="en-US"/>
        </w:rPr>
        <w:br/>
        <w:t>(e-mail: romana.bravi@crea.gov.it)</w:t>
      </w:r>
    </w:p>
    <w:p w14:paraId="4B8FD5DD" w14:textId="77777777" w:rsidR="00F03375" w:rsidRPr="00CC1E1E" w:rsidRDefault="00F03375" w:rsidP="00F03375">
      <w:pPr>
        <w:pStyle w:val="plcountry"/>
        <w:rPr>
          <w:lang w:val="en-US"/>
        </w:rPr>
      </w:pPr>
      <w:r w:rsidRPr="00CC1E1E">
        <w:rPr>
          <w:lang w:val="en-US"/>
        </w:rPr>
        <w:t>JAPON / JAPAN / JAPAN / JAPÓN</w:t>
      </w:r>
    </w:p>
    <w:p w14:paraId="680C6F4D" w14:textId="77777777" w:rsidR="00F03375" w:rsidRPr="00CC1E1E" w:rsidRDefault="00F03375" w:rsidP="00F03375">
      <w:pPr>
        <w:pStyle w:val="pldetails"/>
        <w:rPr>
          <w:lang w:val="en-US"/>
        </w:rPr>
      </w:pPr>
      <w:r w:rsidRPr="00CC1E1E">
        <w:rPr>
          <w:lang w:val="en-US"/>
        </w:rPr>
        <w:t xml:space="preserve">Atsuhiro MENO (Mr.), Senior Policy Advisor, Intellectual Property Division, Food Industry Affairs Bureau, Ministry of Agriculture, Forestry and Fisheries (MAFF), Tokyo </w:t>
      </w:r>
      <w:r w:rsidRPr="00CC1E1E">
        <w:rPr>
          <w:lang w:val="en-US"/>
        </w:rPr>
        <w:br/>
        <w:t>(e-mail: atsuhiro_meno150@maff.go.jp)</w:t>
      </w:r>
    </w:p>
    <w:p w14:paraId="4016CC04" w14:textId="77777777" w:rsidR="00F03375" w:rsidRPr="00CC1E1E" w:rsidRDefault="00F03375" w:rsidP="00F03375">
      <w:pPr>
        <w:pStyle w:val="pldetails"/>
        <w:rPr>
          <w:lang w:val="en-US"/>
        </w:rPr>
      </w:pPr>
      <w:r w:rsidRPr="00CC1E1E">
        <w:rPr>
          <w:lang w:val="en-US"/>
        </w:rPr>
        <w:t xml:space="preserve">Manabu SUZUKI (Mr.), Deputy Director for International Affairs, Intellectual Property Division, Food Industry Affairs Bureau, Ministry of Agriculture, Forestry and Fisheries (MAFF), Tokyo </w:t>
      </w:r>
      <w:r w:rsidRPr="00CC1E1E">
        <w:rPr>
          <w:lang w:val="en-US"/>
        </w:rPr>
        <w:br/>
        <w:t>(e-mail: manabu_suzuki410@maff.go.jp)</w:t>
      </w:r>
    </w:p>
    <w:p w14:paraId="459D96A3" w14:textId="77777777" w:rsidR="00F03375" w:rsidRPr="00CC1E1E" w:rsidRDefault="00F03375" w:rsidP="00F03375">
      <w:pPr>
        <w:pStyle w:val="pldetails"/>
        <w:rPr>
          <w:lang w:val="en-US"/>
        </w:rPr>
      </w:pPr>
      <w:r w:rsidRPr="00CC1E1E">
        <w:rPr>
          <w:lang w:val="en-US"/>
        </w:rPr>
        <w:t xml:space="preserve">Manabu OSAKI (Mr.), Senior Examiner, Plant Variety Protection Office, Intellectual Property Division, Food Industry Affairs Bureau, Ministry of Agriculture, Forestry and Fisheries (MAFF), Tokyo </w:t>
      </w:r>
      <w:r w:rsidRPr="00CC1E1E">
        <w:rPr>
          <w:lang w:val="en-US"/>
        </w:rPr>
        <w:br/>
        <w:t>(e-mail: manabu_osaki190@maff.go.jp)</w:t>
      </w:r>
    </w:p>
    <w:p w14:paraId="49A8B53E" w14:textId="77777777" w:rsidR="00F03375" w:rsidRPr="00CC1E1E" w:rsidRDefault="00F03375" w:rsidP="00F03375">
      <w:pPr>
        <w:pStyle w:val="plcountry"/>
        <w:rPr>
          <w:lang w:val="en-US"/>
        </w:rPr>
      </w:pPr>
      <w:r w:rsidRPr="00CC1E1E">
        <w:rPr>
          <w:lang w:val="en-US"/>
        </w:rPr>
        <w:t>KENYA / Kenya / KENIA / KENYA</w:t>
      </w:r>
    </w:p>
    <w:p w14:paraId="683DF70B" w14:textId="77777777" w:rsidR="00F03375" w:rsidRPr="00CC1E1E" w:rsidRDefault="00F03375" w:rsidP="00F03375">
      <w:pPr>
        <w:pStyle w:val="pldetails"/>
        <w:rPr>
          <w:lang w:val="en-US"/>
        </w:rPr>
      </w:pPr>
      <w:r w:rsidRPr="00CC1E1E">
        <w:rPr>
          <w:lang w:val="en-US"/>
        </w:rPr>
        <w:t xml:space="preserve">George Ombaso MOGAKA (Mr.), Corporation Secretary and Head of Legal Affairs, Kenya Plant Health Inspectorate Service (KEPHIS), Nairobi </w:t>
      </w:r>
      <w:r w:rsidRPr="00CC1E1E">
        <w:rPr>
          <w:lang w:val="en-US"/>
        </w:rPr>
        <w:br/>
        <w:t>(e-mail: gmogaka@kephis.org)</w:t>
      </w:r>
    </w:p>
    <w:p w14:paraId="2C3B53F0" w14:textId="77777777" w:rsidR="00F03375" w:rsidRPr="00CC1E1E" w:rsidRDefault="00F03375" w:rsidP="00F03375">
      <w:pPr>
        <w:pStyle w:val="pldetails"/>
        <w:rPr>
          <w:lang w:val="en-US"/>
        </w:rPr>
      </w:pPr>
      <w:r w:rsidRPr="00CC1E1E">
        <w:rPr>
          <w:lang w:val="en-US"/>
        </w:rPr>
        <w:t xml:space="preserve">Gentrix Nasimiyu JUMA (Ms.), Chief Plant Examiner, Kenya Plant Health Inspectorate Service (KEPHIS), Nairobi </w:t>
      </w:r>
      <w:r w:rsidRPr="00CC1E1E">
        <w:rPr>
          <w:lang w:val="en-US"/>
        </w:rPr>
        <w:br/>
        <w:t>(e-mail: gjuma@kephis.org)</w:t>
      </w:r>
    </w:p>
    <w:p w14:paraId="7B0FEA16" w14:textId="77777777" w:rsidR="00F03375" w:rsidRPr="00CC1E1E" w:rsidRDefault="00F03375" w:rsidP="00F03375">
      <w:pPr>
        <w:pStyle w:val="plcountry"/>
        <w:rPr>
          <w:lang w:val="en-US"/>
        </w:rPr>
      </w:pPr>
      <w:r w:rsidRPr="00CC1E1E">
        <w:rPr>
          <w:lang w:val="en-US"/>
        </w:rPr>
        <w:t>LETTONIE / LATVIA / LETTLAND / LETONIA</w:t>
      </w:r>
    </w:p>
    <w:p w14:paraId="2C944E45" w14:textId="77777777" w:rsidR="00F03375" w:rsidRPr="00CC1E1E" w:rsidRDefault="00F03375" w:rsidP="00F03375">
      <w:pPr>
        <w:pStyle w:val="pldetails"/>
        <w:rPr>
          <w:lang w:val="en-US"/>
        </w:rPr>
      </w:pPr>
      <w:r w:rsidRPr="00CC1E1E">
        <w:rPr>
          <w:lang w:val="en-US"/>
        </w:rPr>
        <w:t xml:space="preserve">Inga OVSJANNIKA (Ms.), Senior Officer, Division of Seed Certification and Plant Variety Protection, Seed Control Department, State Plant Protection Service, Riga </w:t>
      </w:r>
      <w:r w:rsidRPr="00CC1E1E">
        <w:rPr>
          <w:lang w:val="en-US"/>
        </w:rPr>
        <w:br/>
        <w:t>(e-mail: inga.ovsjannika@vaad.gov.lv)</w:t>
      </w:r>
    </w:p>
    <w:p w14:paraId="508B85B5" w14:textId="77777777" w:rsidR="00F03375" w:rsidRPr="00CC1E1E" w:rsidRDefault="00F03375" w:rsidP="00F03375">
      <w:pPr>
        <w:pStyle w:val="plcountry"/>
        <w:rPr>
          <w:lang w:val="fr-CH"/>
        </w:rPr>
      </w:pPr>
      <w:r w:rsidRPr="00CC1E1E">
        <w:rPr>
          <w:lang w:val="fr-CH"/>
        </w:rPr>
        <w:t>MAROC / MOROCCO / MAROKKO / MARRUECOS</w:t>
      </w:r>
    </w:p>
    <w:p w14:paraId="13954606" w14:textId="77777777" w:rsidR="00F03375" w:rsidRPr="00CC1E1E" w:rsidRDefault="00F03375" w:rsidP="00F03375">
      <w:pPr>
        <w:pStyle w:val="pldetails"/>
        <w:rPr>
          <w:lang w:val="fr-CH"/>
        </w:rPr>
      </w:pPr>
      <w:r w:rsidRPr="00CC1E1E">
        <w:rPr>
          <w:lang w:val="fr-CH"/>
        </w:rPr>
        <w:t xml:space="preserve">Zoubida TAOUSSI (Mme), Chargée de la protection des obtentions végétales, Office National de Sécurité de Produits Alimentaires, Rabat  </w:t>
      </w:r>
      <w:r w:rsidRPr="00CC1E1E">
        <w:rPr>
          <w:lang w:val="fr-CH"/>
        </w:rPr>
        <w:br/>
        <w:t xml:space="preserve">(e-mail: ztaoussi67@gmail.com) </w:t>
      </w:r>
    </w:p>
    <w:p w14:paraId="60AC22C7" w14:textId="77777777" w:rsidR="00F03375" w:rsidRPr="00CC1E1E" w:rsidRDefault="00F03375" w:rsidP="00F03375">
      <w:pPr>
        <w:pStyle w:val="plcountry"/>
        <w:rPr>
          <w:lang w:val="en-US"/>
        </w:rPr>
      </w:pPr>
      <w:r w:rsidRPr="00CC1E1E">
        <w:rPr>
          <w:lang w:val="en-US"/>
        </w:rPr>
        <w:t>NORVÈGE / NORWAY / NORWEGEN / NORUEGA</w:t>
      </w:r>
    </w:p>
    <w:p w14:paraId="46BF1AE3" w14:textId="77777777" w:rsidR="00F03375" w:rsidRPr="00CC1E1E" w:rsidRDefault="00F03375" w:rsidP="00F03375">
      <w:pPr>
        <w:pStyle w:val="pldetails"/>
        <w:rPr>
          <w:lang w:val="en-US"/>
        </w:rPr>
      </w:pPr>
      <w:r w:rsidRPr="00CC1E1E">
        <w:rPr>
          <w:lang w:val="en-US"/>
        </w:rPr>
        <w:t xml:space="preserve">Pia BORG (Ms.), Senior Advisor, Norwegian Food Safety Authority, Brumunddal </w:t>
      </w:r>
      <w:r w:rsidRPr="00CC1E1E">
        <w:rPr>
          <w:lang w:val="en-US"/>
        </w:rPr>
        <w:br/>
        <w:t>(e-mail: pia.borg@mattilsynet.no)</w:t>
      </w:r>
    </w:p>
    <w:p w14:paraId="2C775434" w14:textId="77777777" w:rsidR="00F03375" w:rsidRPr="00CC1E1E" w:rsidRDefault="00F03375" w:rsidP="00F03375">
      <w:pPr>
        <w:pStyle w:val="plcountry"/>
        <w:rPr>
          <w:lang w:val="en-US"/>
        </w:rPr>
      </w:pPr>
      <w:r w:rsidRPr="00CC1E1E">
        <w:rPr>
          <w:lang w:val="en-US"/>
        </w:rPr>
        <w:t>NOUVELLE-ZÉLANDE / NEW ZEALAND / NEUSEELAND / NUEVA ZELANDIA</w:t>
      </w:r>
    </w:p>
    <w:p w14:paraId="78E60B48" w14:textId="77777777" w:rsidR="00F03375" w:rsidRPr="00CC1E1E" w:rsidRDefault="00F03375" w:rsidP="00F03375">
      <w:pPr>
        <w:pStyle w:val="pldetails"/>
        <w:rPr>
          <w:lang w:val="en-US"/>
        </w:rPr>
      </w:pPr>
      <w:r w:rsidRPr="00CC1E1E">
        <w:rPr>
          <w:lang w:val="en-US"/>
        </w:rPr>
        <w:t xml:space="preserve">Christopher J. BARNABY (Mr.), PVP Manager / Assistant Commissioner, Plant Variety Rights Office, Intellectual Property Office of New Zealand, Ministry of Business, Innovation and Employment, Christchurch </w:t>
      </w:r>
      <w:r w:rsidRPr="00CC1E1E">
        <w:rPr>
          <w:lang w:val="en-US"/>
        </w:rPr>
        <w:br/>
        <w:t>(e-mail: Chris.Barnaby@pvr.govt.nz)</w:t>
      </w:r>
    </w:p>
    <w:p w14:paraId="2C4BB26F" w14:textId="77777777" w:rsidR="00F03375" w:rsidRPr="00CC1E1E" w:rsidRDefault="00F03375" w:rsidP="00F03375">
      <w:pPr>
        <w:pStyle w:val="plcountry"/>
        <w:keepNext w:val="0"/>
        <w:keepLines w:val="0"/>
        <w:rPr>
          <w:lang w:val="en-US"/>
        </w:rPr>
      </w:pPr>
      <w:r w:rsidRPr="00CC1E1E">
        <w:rPr>
          <w:lang w:val="en-US"/>
        </w:rPr>
        <w:t xml:space="preserve">ORGANISATION AFRICAINE DE LA PROPRIÉTÉ INTELLECTUELLE / </w:t>
      </w:r>
      <w:r w:rsidRPr="00CC1E1E">
        <w:rPr>
          <w:lang w:val="en-US"/>
        </w:rPr>
        <w:br/>
        <w:t xml:space="preserve">AFRICAN INTELLECTUAL PROPERTY ORGANIZATION / </w:t>
      </w:r>
      <w:r w:rsidRPr="00CC1E1E">
        <w:rPr>
          <w:lang w:val="en-US"/>
        </w:rPr>
        <w:br/>
        <w:t xml:space="preserve">AFRIKANISCHE ORGANISATION FÜR GEISTIGES EIGENTUM / </w:t>
      </w:r>
      <w:r w:rsidRPr="00CC1E1E">
        <w:rPr>
          <w:lang w:val="en-US"/>
        </w:rPr>
        <w:br/>
        <w:t>ORGANIZACIÓN AFRICANA DE LA PROPIEDAD INTELECTUAL</w:t>
      </w:r>
    </w:p>
    <w:p w14:paraId="6F0907BD" w14:textId="77777777" w:rsidR="00F03375" w:rsidRPr="00CC1E1E" w:rsidRDefault="00F03375" w:rsidP="00F03375">
      <w:pPr>
        <w:pStyle w:val="pldetails"/>
        <w:keepLines w:val="0"/>
        <w:rPr>
          <w:lang w:val="fr-CH"/>
        </w:rPr>
      </w:pPr>
      <w:r w:rsidRPr="00CC1E1E">
        <w:rPr>
          <w:lang w:val="fr-CH"/>
        </w:rPr>
        <w:t xml:space="preserve">Jean-Baptiste Noël WAGO (M.), Directeur Général Adjoint, Organisation africaine de la propriété intellectuelle (OAPI), Yaoundé </w:t>
      </w:r>
      <w:r w:rsidRPr="00CC1E1E">
        <w:rPr>
          <w:lang w:val="fr-CH"/>
        </w:rPr>
        <w:br/>
        <w:t>(e-mail: jean-baptiste.Wago@oapi.int)</w:t>
      </w:r>
    </w:p>
    <w:p w14:paraId="487ADF70" w14:textId="77777777" w:rsidR="00F03375" w:rsidRPr="00CC1E1E" w:rsidRDefault="00F03375" w:rsidP="00F03375">
      <w:pPr>
        <w:pStyle w:val="pldetails"/>
        <w:keepLines w:val="0"/>
        <w:rPr>
          <w:lang w:val="fr-CH"/>
        </w:rPr>
      </w:pPr>
      <w:r w:rsidRPr="00CC1E1E">
        <w:rPr>
          <w:lang w:val="fr-CH"/>
        </w:rPr>
        <w:t xml:space="preserve">Vladimir MEZUI (M.), Examinateur des Brevets, chargé des obtentions végétales, Organisation africaine de la propriété intellectuelle (OAPI), Yaoundé </w:t>
      </w:r>
      <w:r w:rsidRPr="00CC1E1E">
        <w:rPr>
          <w:lang w:val="fr-CH"/>
        </w:rPr>
        <w:br/>
        <w:t>(e-mail: vladimir.mezui@oapi.int)</w:t>
      </w:r>
    </w:p>
    <w:p w14:paraId="2CDA963E" w14:textId="77777777" w:rsidR="00F03375" w:rsidRPr="009B4D16" w:rsidRDefault="00F03375" w:rsidP="00F03375">
      <w:pPr>
        <w:pStyle w:val="plcountry"/>
      </w:pPr>
      <w:r>
        <w:lastRenderedPageBreak/>
        <w:t>Paraguay / Paraguay / Paraguay / Paraguay</w:t>
      </w:r>
    </w:p>
    <w:p w14:paraId="58C29819" w14:textId="77777777" w:rsidR="00F03375" w:rsidRDefault="00F03375" w:rsidP="00F03375">
      <w:pPr>
        <w:pStyle w:val="pldetails"/>
      </w:pPr>
      <w:r>
        <w:t xml:space="preserve">Jadiyi Concepcion TORALES SALINAS (Sra.), Directora, Dirección de Semillas (DISE), Servicio Nacional de Calidad y Sanidad Vegetal y de Semillas (SENAVE), San Lorenzo </w:t>
      </w:r>
      <w:r>
        <w:br/>
        <w:t>(e-mail: jadiyi.torales@senave.gov.py)</w:t>
      </w:r>
    </w:p>
    <w:p w14:paraId="3C51CD2D" w14:textId="77777777" w:rsidR="00F03375" w:rsidRPr="009B4D16" w:rsidRDefault="00F03375" w:rsidP="00F03375">
      <w:pPr>
        <w:pStyle w:val="pldetails"/>
      </w:pPr>
      <w:r>
        <w:t>Dahiana María OVEJERO MALDONADO (Sra.), Jefe, Departamento de Protección y Uso de variedades, Direccion de Semillas, Servicio Nacional de Calidad y Sanidad Vegetal y de Semillas (SENAVE), San Lorenzo</w:t>
      </w:r>
      <w:r>
        <w:br/>
        <w:t>(e-mail: dahiana.ovejero@senave.gov.py)</w:t>
      </w:r>
    </w:p>
    <w:p w14:paraId="293905E0" w14:textId="77777777" w:rsidR="00F03375" w:rsidRPr="00CC1E1E" w:rsidRDefault="00F03375" w:rsidP="00F03375">
      <w:pPr>
        <w:pStyle w:val="plcountry"/>
        <w:rPr>
          <w:lang w:val="en-US"/>
        </w:rPr>
      </w:pPr>
      <w:r w:rsidRPr="00CC1E1E">
        <w:rPr>
          <w:lang w:val="en-US"/>
        </w:rPr>
        <w:t>PAYS-BAS / NETHERLANDS / NIEDERLANDE / PAÍSES BAJOS</w:t>
      </w:r>
    </w:p>
    <w:p w14:paraId="0BA323A4" w14:textId="77777777" w:rsidR="00F03375" w:rsidRPr="00CC1E1E" w:rsidRDefault="00F03375" w:rsidP="00F03375">
      <w:pPr>
        <w:pStyle w:val="pldetails"/>
        <w:rPr>
          <w:lang w:val="en-US"/>
        </w:rPr>
      </w:pPr>
      <w:r w:rsidRPr="00CC1E1E">
        <w:rPr>
          <w:lang w:val="en-US"/>
        </w:rPr>
        <w:t xml:space="preserve">Marien VALSTAR (Mr.), Senior Policy Officer, Seeds and Plant Propagation Material, Ministry of Economic Affairs, DG AGRO &amp; NATURE, The Hague </w:t>
      </w:r>
      <w:r w:rsidRPr="00CC1E1E">
        <w:rPr>
          <w:lang w:val="en-US"/>
        </w:rPr>
        <w:br/>
        <w:t xml:space="preserve">(e-mail: m.valstar@minlnv.nl) </w:t>
      </w:r>
    </w:p>
    <w:p w14:paraId="0C9B0613" w14:textId="77777777" w:rsidR="00F03375" w:rsidRPr="00CC1E1E" w:rsidRDefault="00F03375" w:rsidP="00F03375">
      <w:pPr>
        <w:pStyle w:val="pldetails"/>
        <w:rPr>
          <w:lang w:val="en-US"/>
        </w:rPr>
      </w:pPr>
      <w:r w:rsidRPr="00CC1E1E">
        <w:rPr>
          <w:lang w:val="en-US"/>
        </w:rPr>
        <w:t xml:space="preserve">Bert SCHOLTE (Mr.), Head Department Variety Testing, Naktuinbouw NL, Roelofarendsveen </w:t>
      </w:r>
      <w:r w:rsidRPr="00CC1E1E">
        <w:rPr>
          <w:lang w:val="en-US"/>
        </w:rPr>
        <w:br/>
        <w:t>(e-mail: b.scholte@naktuinbouw.nl)</w:t>
      </w:r>
    </w:p>
    <w:p w14:paraId="3244C2EC" w14:textId="77777777" w:rsidR="00F03375" w:rsidRPr="00CC1E1E" w:rsidRDefault="00F03375" w:rsidP="00F03375">
      <w:pPr>
        <w:pStyle w:val="pldetails"/>
        <w:rPr>
          <w:lang w:val="en-US"/>
        </w:rPr>
      </w:pPr>
      <w:r w:rsidRPr="00CC1E1E">
        <w:rPr>
          <w:lang w:val="en-US"/>
        </w:rPr>
        <w:t xml:space="preserve">Kees VAN ETTEKOVEN (Mr.), Senior PVP Policy Advisor, Naktuinbouw NL, Roelofarendsveen </w:t>
      </w:r>
      <w:r w:rsidRPr="00CC1E1E">
        <w:rPr>
          <w:lang w:val="en-US"/>
        </w:rPr>
        <w:br/>
        <w:t>(e-mail: c.v.ettekoven@naktuinbouw.nl)</w:t>
      </w:r>
    </w:p>
    <w:p w14:paraId="12F69E2C" w14:textId="77777777" w:rsidR="00F03375" w:rsidRPr="00CC1E1E" w:rsidRDefault="00F03375" w:rsidP="00F03375">
      <w:pPr>
        <w:pStyle w:val="pldetails"/>
        <w:rPr>
          <w:lang w:val="en-US"/>
        </w:rPr>
      </w:pPr>
      <w:r w:rsidRPr="00CC1E1E">
        <w:rPr>
          <w:lang w:val="en-US"/>
        </w:rPr>
        <w:t xml:space="preserve">Henk J. DE GREEF (Mr.), Specialist DUS testing ornamentals, Team DUS ornamental &amp; fruit crops, Naktuinbouw, Roelofarendsveen </w:t>
      </w:r>
      <w:r w:rsidRPr="00CC1E1E">
        <w:rPr>
          <w:lang w:val="en-US"/>
        </w:rPr>
        <w:br/>
        <w:t>(e-mail: h.d.greef@naktuinbouw.nl)</w:t>
      </w:r>
    </w:p>
    <w:p w14:paraId="1A1EA792" w14:textId="77777777" w:rsidR="00F03375" w:rsidRPr="00FC3E41" w:rsidRDefault="00F03375" w:rsidP="00F03375">
      <w:pPr>
        <w:pStyle w:val="plcountry"/>
      </w:pPr>
      <w:r>
        <w:t>pérou / peru / peru / perú</w:t>
      </w:r>
    </w:p>
    <w:p w14:paraId="250F5E9D" w14:textId="77777777" w:rsidR="00F03375" w:rsidRPr="00FC3E41" w:rsidRDefault="00F03375" w:rsidP="00F03375">
      <w:pPr>
        <w:pStyle w:val="pldetails"/>
      </w:pPr>
      <w:r>
        <w:t>Cristobal MELGAR (Mr.), Economic Affairs Official, Misión Permanente del Perú ante la Oficina de las Naciones Unidas en Ginebra, Ginebra</w:t>
      </w:r>
      <w:r>
        <w:br/>
        <w:t>(e-mail: cmelgar@onuperu.org)</w:t>
      </w:r>
    </w:p>
    <w:p w14:paraId="59AD66F4" w14:textId="77777777" w:rsidR="00F03375" w:rsidRPr="00CC1E1E" w:rsidRDefault="00F03375" w:rsidP="00F03375">
      <w:pPr>
        <w:pStyle w:val="plcountry"/>
        <w:rPr>
          <w:lang w:val="en-US"/>
        </w:rPr>
      </w:pPr>
      <w:r w:rsidRPr="00CC1E1E">
        <w:rPr>
          <w:lang w:val="en-US"/>
        </w:rPr>
        <w:t>POLOGNE / POLAND / POLEN / POLONIA</w:t>
      </w:r>
    </w:p>
    <w:p w14:paraId="6C538823" w14:textId="77777777" w:rsidR="00F03375" w:rsidRPr="00CC1E1E" w:rsidRDefault="00F03375" w:rsidP="00F03375">
      <w:pPr>
        <w:pStyle w:val="pldetails"/>
        <w:rPr>
          <w:lang w:val="en-US"/>
        </w:rPr>
      </w:pPr>
      <w:r w:rsidRPr="00CC1E1E">
        <w:rPr>
          <w:lang w:val="en-US"/>
        </w:rPr>
        <w:t xml:space="preserve">Marcin KRÓL (Mr.), Head, DUS Testing Department, Research Centre for Cultivar Testing (COBORU), Slupia Wielka </w:t>
      </w:r>
      <w:r w:rsidRPr="00CC1E1E">
        <w:rPr>
          <w:lang w:val="en-US"/>
        </w:rPr>
        <w:br/>
        <w:t>(e-mail: m.krol@coboru.pl)</w:t>
      </w:r>
    </w:p>
    <w:p w14:paraId="5B9A9D53" w14:textId="77777777" w:rsidR="00F03375" w:rsidRPr="00CC1E1E" w:rsidRDefault="00F03375" w:rsidP="00F03375">
      <w:pPr>
        <w:pStyle w:val="plcountry"/>
        <w:rPr>
          <w:lang w:val="en-US"/>
        </w:rPr>
      </w:pPr>
      <w:r w:rsidRPr="00CC1E1E">
        <w:rPr>
          <w:lang w:val="en-US"/>
        </w:rPr>
        <w:t>RÉPUBLIQUE DE CORÉE / REPUBLIC OF KOREA / REPUBLIK KOREA / REPÚBLICA DE COREA</w:t>
      </w:r>
    </w:p>
    <w:p w14:paraId="559267AC" w14:textId="77777777" w:rsidR="00F03375" w:rsidRPr="00CC1E1E" w:rsidRDefault="00F03375" w:rsidP="00F03375">
      <w:pPr>
        <w:pStyle w:val="pldetails"/>
        <w:rPr>
          <w:lang w:val="en-US"/>
        </w:rPr>
      </w:pPr>
      <w:r w:rsidRPr="00CC1E1E">
        <w:rPr>
          <w:lang w:val="en-US"/>
        </w:rPr>
        <w:t xml:space="preserve">Keun-Jin CHOI (Mr.), Director, Korea Seed &amp; Variety Service (KSVS), Ministry of Agriculture, Food and Rural Affairs (MAF), Kangwon-do </w:t>
      </w:r>
      <w:r w:rsidRPr="00CC1E1E">
        <w:rPr>
          <w:lang w:val="en-US"/>
        </w:rPr>
        <w:br/>
        <w:t>(e-mail: kjchoi1001@korea.kr)</w:t>
      </w:r>
    </w:p>
    <w:p w14:paraId="6CA00840" w14:textId="77777777" w:rsidR="00F03375" w:rsidRPr="00CC1E1E" w:rsidRDefault="00F03375" w:rsidP="00F03375">
      <w:pPr>
        <w:pStyle w:val="pldetails"/>
        <w:rPr>
          <w:lang w:val="en-US"/>
        </w:rPr>
      </w:pPr>
      <w:r w:rsidRPr="00CC1E1E">
        <w:rPr>
          <w:lang w:val="en-US"/>
        </w:rPr>
        <w:t xml:space="preserve">Eunhee SOH (Ms.), Senior Examiner, Korea Seed and Variety Service (KSVS), Gyeonsangbok-do </w:t>
      </w:r>
      <w:r w:rsidRPr="00CC1E1E">
        <w:rPr>
          <w:lang w:val="en-US"/>
        </w:rPr>
        <w:br/>
        <w:t>(e-mail: eunhee.soh@korea.kr)</w:t>
      </w:r>
    </w:p>
    <w:p w14:paraId="52696620" w14:textId="77777777" w:rsidR="00F03375" w:rsidRPr="00CC1E1E" w:rsidRDefault="00F03375" w:rsidP="00F03375">
      <w:pPr>
        <w:pStyle w:val="pldetails"/>
        <w:rPr>
          <w:lang w:val="en-US"/>
        </w:rPr>
      </w:pPr>
      <w:r w:rsidRPr="00CC1E1E">
        <w:rPr>
          <w:lang w:val="en-US"/>
        </w:rPr>
        <w:t>Eun-Jung HEO (Ms.), Agricultural Researcher, Seobu Branch, Korea Seed and Variety Service (KSVS), Ministry of Agriculture, Food and Rural Affairs (MAFRA)</w:t>
      </w:r>
      <w:r w:rsidRPr="00CC1E1E">
        <w:rPr>
          <w:lang w:val="en-US"/>
        </w:rPr>
        <w:br/>
        <w:t>(e-mail: heoej@korea.kr)</w:t>
      </w:r>
    </w:p>
    <w:p w14:paraId="307FC29A" w14:textId="77777777" w:rsidR="00F03375" w:rsidRPr="00A225C4" w:rsidRDefault="00F03375" w:rsidP="00F03375">
      <w:pPr>
        <w:pStyle w:val="plcountry"/>
      </w:pPr>
      <w:r>
        <w:t xml:space="preserve">RÉPUBLIQUE DE MOLDOVA / REPUBLIC OF MOLDOVA / REPUBLIK MOLDAU / </w:t>
      </w:r>
      <w:r>
        <w:br/>
        <w:t xml:space="preserve">REPÚBLICA DE MOLDOVA </w:t>
      </w:r>
    </w:p>
    <w:p w14:paraId="305953C8" w14:textId="77777777" w:rsidR="00F03375" w:rsidRPr="00CC1E1E" w:rsidRDefault="00F03375" w:rsidP="00F03375">
      <w:pPr>
        <w:pStyle w:val="pldetails"/>
        <w:rPr>
          <w:lang w:val="en-US"/>
        </w:rPr>
      </w:pPr>
      <w:r w:rsidRPr="00CC1E1E">
        <w:rPr>
          <w:lang w:val="en-US"/>
        </w:rPr>
        <w:t xml:space="preserve">Mihail MACHIDON (Mr.), Chairman, State Commission for Crops Variety Testing  (SCCVT), Chisinau  </w:t>
      </w:r>
      <w:r w:rsidRPr="00CC1E1E">
        <w:rPr>
          <w:lang w:val="en-US"/>
        </w:rPr>
        <w:br/>
        <w:t xml:space="preserve">(e-mail: info@cstsp.md) </w:t>
      </w:r>
    </w:p>
    <w:p w14:paraId="6DEFDE38" w14:textId="77777777" w:rsidR="00F03375" w:rsidRPr="00CC1E1E" w:rsidRDefault="00F03375" w:rsidP="00F03375">
      <w:pPr>
        <w:pStyle w:val="pldetails"/>
        <w:rPr>
          <w:lang w:val="en-US"/>
        </w:rPr>
      </w:pPr>
      <w:r w:rsidRPr="00CC1E1E">
        <w:rPr>
          <w:lang w:val="en-US"/>
        </w:rPr>
        <w:t xml:space="preserve">Ala GUSAN (Ms.), Deputy Head, Patents Division, Inventions and Plant Varieties Department, State Agency on Intellectual Property of the Republic of Moldova (AGEPI), Chisinau  </w:t>
      </w:r>
      <w:r w:rsidRPr="00CC1E1E">
        <w:rPr>
          <w:lang w:val="en-US"/>
        </w:rPr>
        <w:br/>
        <w:t xml:space="preserve">(e-mail: ala.gusan@agepi.gov.md) </w:t>
      </w:r>
    </w:p>
    <w:p w14:paraId="262CFDE3" w14:textId="77777777" w:rsidR="00F03375" w:rsidRPr="000061A2" w:rsidRDefault="00F03375" w:rsidP="00F03375">
      <w:pPr>
        <w:pStyle w:val="plcountry"/>
      </w:pPr>
      <w:r>
        <w:t xml:space="preserve">RÉPUBLIQUE Dominicaine / dominican REPUBLIC / dominikanische REPUBLIK / </w:t>
      </w:r>
      <w:r>
        <w:br/>
        <w:t>REPÚBLICA Dominicana</w:t>
      </w:r>
    </w:p>
    <w:p w14:paraId="2714A48A" w14:textId="77777777" w:rsidR="00F03375" w:rsidRDefault="00F03375" w:rsidP="00F03375">
      <w:pPr>
        <w:pStyle w:val="pldetails"/>
      </w:pPr>
      <w:r>
        <w:t xml:space="preserve">Maria Ayalivis GARCIA MEDRANO (Sra.), Directora, Oficina de Registros de Variedades y Proteccion de los Derechos de Obtentor (Orevado), Santo Domingo </w:t>
      </w:r>
      <w:r>
        <w:br/>
        <w:t>(e-mail: mgarcia@orevado.gob.do)</w:t>
      </w:r>
    </w:p>
    <w:p w14:paraId="5DF90903" w14:textId="77777777" w:rsidR="00F03375" w:rsidRPr="00963B6C" w:rsidRDefault="00F03375" w:rsidP="00F03375">
      <w:pPr>
        <w:pStyle w:val="plcountry"/>
      </w:pPr>
      <w:r>
        <w:lastRenderedPageBreak/>
        <w:t>RÉPUBLIQUE TCHÈQUE / CZECH REPUBLIC / TSCHECHISCHE REPUBLIK / REPÚBLICA CHECA</w:t>
      </w:r>
    </w:p>
    <w:p w14:paraId="35DBB1D9" w14:textId="77777777" w:rsidR="00F03375" w:rsidRPr="00CC1E1E" w:rsidRDefault="00F03375" w:rsidP="00F03375">
      <w:pPr>
        <w:pStyle w:val="pldetails"/>
        <w:rPr>
          <w:lang w:val="en-US"/>
        </w:rPr>
      </w:pPr>
      <w:r w:rsidRPr="00CC1E1E">
        <w:rPr>
          <w:lang w:val="en-US"/>
        </w:rPr>
        <w:t xml:space="preserve">Radmila SAFAŘÍKOVÁ (Ms.), Senior Officer, National Plant Variety Office, Central Institute for Supervising and Testing in Agriculture (UKZUZ), Brno </w:t>
      </w:r>
      <w:r w:rsidRPr="00CC1E1E">
        <w:rPr>
          <w:lang w:val="en-US"/>
        </w:rPr>
        <w:br/>
        <w:t xml:space="preserve">(e-mail: radmila.safarikova@ukzuz.cz) </w:t>
      </w:r>
    </w:p>
    <w:p w14:paraId="4842B20A" w14:textId="77777777" w:rsidR="00F03375" w:rsidRPr="0061436C" w:rsidRDefault="00F03375" w:rsidP="00F03375">
      <w:pPr>
        <w:pStyle w:val="plcountry"/>
      </w:pPr>
      <w:r>
        <w:t xml:space="preserve">RÉPUBLIQUE-UNIE DE TANZANIE / UNITED REPUBLIC OF TANZANIA / </w:t>
      </w:r>
      <w:r>
        <w:br/>
        <w:t>VEREINIGTE REPUBLIK TANSANIA / REPÚBLICA UNIDA DE TANZANÍA</w:t>
      </w:r>
    </w:p>
    <w:p w14:paraId="41B50C2A" w14:textId="77777777" w:rsidR="00F03375" w:rsidRPr="00CC1E1E" w:rsidRDefault="00F03375" w:rsidP="00F03375">
      <w:pPr>
        <w:pStyle w:val="pldetails"/>
        <w:keepNext/>
        <w:rPr>
          <w:lang w:val="en-US"/>
        </w:rPr>
      </w:pPr>
      <w:r w:rsidRPr="00CC1E1E">
        <w:rPr>
          <w:lang w:val="en-US"/>
        </w:rPr>
        <w:t xml:space="preserve">Patrick NGWEDIAGI (Mr.), Director General, Tanzania Official Seed Certification Institute (TOSCI), Morogoro </w:t>
      </w:r>
      <w:r w:rsidRPr="00CC1E1E">
        <w:rPr>
          <w:lang w:val="en-US"/>
        </w:rPr>
        <w:br/>
        <w:t xml:space="preserve">(e-mail: ngwedi@yahoo.com) </w:t>
      </w:r>
    </w:p>
    <w:p w14:paraId="59A07BA0" w14:textId="77777777" w:rsidR="00F03375" w:rsidRPr="00CC1E1E" w:rsidRDefault="00F03375" w:rsidP="00F03375">
      <w:pPr>
        <w:pStyle w:val="pldetails"/>
        <w:keepNext/>
        <w:rPr>
          <w:lang w:val="en-US"/>
        </w:rPr>
      </w:pPr>
      <w:r w:rsidRPr="00CC1E1E">
        <w:rPr>
          <w:lang w:val="en-US"/>
        </w:rPr>
        <w:t xml:space="preserve">Twalib Mustafa NJOHOLE (Mr.), Registrar of Plant Breeders' Rights, Plant Breeders Rights' Office, Ministry of Agriculture (MoA), Dodoma </w:t>
      </w:r>
      <w:r w:rsidRPr="00CC1E1E">
        <w:rPr>
          <w:lang w:val="en-US"/>
        </w:rPr>
        <w:br/>
        <w:t>(e-mail: twalib.njohole@kilimo.go.tz)</w:t>
      </w:r>
    </w:p>
    <w:p w14:paraId="7CB39731" w14:textId="77777777" w:rsidR="00F03375" w:rsidRPr="00CC1E1E" w:rsidRDefault="00F03375" w:rsidP="00F03375">
      <w:pPr>
        <w:pStyle w:val="pldetails"/>
        <w:rPr>
          <w:lang w:val="en-US"/>
        </w:rPr>
      </w:pPr>
      <w:r w:rsidRPr="00CC1E1E">
        <w:rPr>
          <w:lang w:val="en-US"/>
        </w:rPr>
        <w:t xml:space="preserve">Asia Filfil THANI (Ms.), Registrar of Plant Breeders' Rights Zanzibar, Ministry of Agriculture and Natural Resources, Zanzibar </w:t>
      </w:r>
      <w:r w:rsidRPr="00CC1E1E">
        <w:rPr>
          <w:lang w:val="en-US"/>
        </w:rPr>
        <w:br/>
        <w:t>(e-mail: asiathani@yahoo.com)</w:t>
      </w:r>
    </w:p>
    <w:p w14:paraId="10BC2C7D" w14:textId="77777777" w:rsidR="00F03375" w:rsidRPr="00CC1E1E" w:rsidRDefault="00F03375" w:rsidP="00F03375">
      <w:pPr>
        <w:pStyle w:val="plcountry"/>
        <w:rPr>
          <w:lang w:val="en-US"/>
        </w:rPr>
      </w:pPr>
      <w:r w:rsidRPr="00CC1E1E">
        <w:rPr>
          <w:lang w:val="en-US"/>
        </w:rPr>
        <w:t>ROUMANIE / ROMANIA / RUMÄNIEN / RUMANIA</w:t>
      </w:r>
    </w:p>
    <w:p w14:paraId="1E036A4A" w14:textId="77777777" w:rsidR="00F03375" w:rsidRPr="00CC1E1E" w:rsidRDefault="00F03375" w:rsidP="00F03375">
      <w:pPr>
        <w:pStyle w:val="pldetails"/>
        <w:rPr>
          <w:lang w:val="en-US"/>
        </w:rPr>
      </w:pPr>
      <w:r w:rsidRPr="00CC1E1E">
        <w:rPr>
          <w:lang w:val="en-US"/>
        </w:rPr>
        <w:t xml:space="preserve">Mihaela-Rodica CIORA (Ms.), Counsellor, State Institute for Variety Testing and Registration (ISTIS), Bucarest </w:t>
      </w:r>
      <w:r w:rsidRPr="00CC1E1E">
        <w:rPr>
          <w:lang w:val="en-US"/>
        </w:rPr>
        <w:br/>
        <w:t>(e-mail: mihaela_ciora@istis.ro)</w:t>
      </w:r>
    </w:p>
    <w:p w14:paraId="0411592D" w14:textId="77777777" w:rsidR="00F03375" w:rsidRPr="00CC1E1E" w:rsidRDefault="00F03375" w:rsidP="00F03375">
      <w:pPr>
        <w:pStyle w:val="pldetails"/>
        <w:rPr>
          <w:lang w:val="en-US"/>
        </w:rPr>
      </w:pPr>
      <w:r w:rsidRPr="00CC1E1E">
        <w:rPr>
          <w:lang w:val="en-US"/>
        </w:rPr>
        <w:t>Teodor Dan ENESCU (Mr.), Counsellor, State Institute for Variety Testing and Registration (ISTIS), Bucarest</w:t>
      </w:r>
      <w:r w:rsidRPr="00CC1E1E">
        <w:rPr>
          <w:lang w:val="en-US"/>
        </w:rPr>
        <w:br/>
        <w:t>(e-mail: teonscu@yahoo.com)</w:t>
      </w:r>
    </w:p>
    <w:p w14:paraId="2896C0FB" w14:textId="77777777" w:rsidR="00F03375" w:rsidRPr="00CC1E1E" w:rsidRDefault="00F03375" w:rsidP="00F03375">
      <w:pPr>
        <w:pStyle w:val="plcountry"/>
        <w:rPr>
          <w:lang w:val="en-US"/>
        </w:rPr>
      </w:pPr>
      <w:r w:rsidRPr="00CC1E1E">
        <w:rPr>
          <w:lang w:val="en-US"/>
        </w:rPr>
        <w:t>ROYAUME-UNI / UNITED KINGDOM / VEREINIGTES KÖNIGREICH / REINO UNIDO</w:t>
      </w:r>
    </w:p>
    <w:p w14:paraId="3A76286A" w14:textId="77777777" w:rsidR="00F03375" w:rsidRPr="00CC1E1E" w:rsidRDefault="00F03375" w:rsidP="00F03375">
      <w:pPr>
        <w:pStyle w:val="pldetails"/>
        <w:rPr>
          <w:lang w:val="en-US"/>
        </w:rPr>
      </w:pPr>
      <w:r w:rsidRPr="00CC1E1E">
        <w:rPr>
          <w:lang w:val="en-US"/>
        </w:rPr>
        <w:t xml:space="preserve">Robert WARLOW (Mr.), Team Leader, National Listing / Plant Breeders' Rights, Animal and Plant Health Agency (APHA), Cambridge </w:t>
      </w:r>
      <w:r w:rsidRPr="00CC1E1E">
        <w:rPr>
          <w:lang w:val="en-US"/>
        </w:rPr>
        <w:br/>
        <w:t>(e-mail: rob.warlow@apha.gov.uk)</w:t>
      </w:r>
    </w:p>
    <w:p w14:paraId="61F92C11" w14:textId="77777777" w:rsidR="00F03375" w:rsidRPr="00CC1E1E" w:rsidRDefault="00F03375" w:rsidP="00F03375">
      <w:pPr>
        <w:pStyle w:val="pldetails"/>
        <w:rPr>
          <w:lang w:val="en-US"/>
        </w:rPr>
      </w:pPr>
      <w:r w:rsidRPr="00CC1E1E">
        <w:rPr>
          <w:lang w:val="en-US"/>
        </w:rPr>
        <w:t xml:space="preserve">Eleanor GIBSON-FORTY (Ms.), Plant Varieties and Seeds Administrator, Animal and Plant Health Agency (APHA), Cambridge </w:t>
      </w:r>
      <w:r w:rsidRPr="00CC1E1E">
        <w:rPr>
          <w:lang w:val="en-US"/>
        </w:rPr>
        <w:br/>
        <w:t>(e-mail: eleanor.gibson-forty@apha.gov.uk)</w:t>
      </w:r>
    </w:p>
    <w:p w14:paraId="2F1C85E8" w14:textId="77777777" w:rsidR="00F03375" w:rsidRPr="00CC1E1E" w:rsidRDefault="00F03375" w:rsidP="00F03375">
      <w:pPr>
        <w:pStyle w:val="plcountry"/>
        <w:rPr>
          <w:lang w:val="en-US"/>
        </w:rPr>
      </w:pPr>
      <w:r w:rsidRPr="00CC1E1E">
        <w:rPr>
          <w:lang w:val="en-US"/>
        </w:rPr>
        <w:t>SERBIE / SERBIA / SERBIEN / SERBIA</w:t>
      </w:r>
    </w:p>
    <w:p w14:paraId="7449E72D" w14:textId="77777777" w:rsidR="00F03375" w:rsidRPr="00CC1E1E" w:rsidRDefault="00F03375" w:rsidP="00F03375">
      <w:pPr>
        <w:pStyle w:val="pldetails"/>
        <w:rPr>
          <w:lang w:val="en-US"/>
        </w:rPr>
      </w:pPr>
      <w:r w:rsidRPr="00CC1E1E">
        <w:rPr>
          <w:lang w:val="en-US"/>
        </w:rPr>
        <w:t xml:space="preserve">Gordana LONCAR (Ms.), Senior Adviser for Plant Variety protection, Plant Protection Directorate, Group for Plant Variety Protection and Biosafety, Ministry of Agriculture and Environmental protection, Belgrade </w:t>
      </w:r>
      <w:r w:rsidRPr="00CC1E1E">
        <w:rPr>
          <w:lang w:val="en-US"/>
        </w:rPr>
        <w:br/>
        <w:t>(e-mail: gordana.loncar@minpolj.gov.rs)</w:t>
      </w:r>
    </w:p>
    <w:p w14:paraId="523697A4" w14:textId="77777777" w:rsidR="00F03375" w:rsidRPr="00CC1E1E" w:rsidRDefault="00F03375" w:rsidP="00F03375">
      <w:pPr>
        <w:pStyle w:val="plcountry"/>
        <w:rPr>
          <w:lang w:val="en-US"/>
        </w:rPr>
      </w:pPr>
      <w:r w:rsidRPr="00CC1E1E">
        <w:rPr>
          <w:lang w:val="en-US"/>
        </w:rPr>
        <w:t>SLOVAQUIE / SLOVAKIA / SLOWAKEI / ESLOVAQUIA</w:t>
      </w:r>
    </w:p>
    <w:p w14:paraId="136456CE" w14:textId="77777777" w:rsidR="00F03375" w:rsidRPr="00CC1E1E" w:rsidRDefault="00F03375" w:rsidP="00F03375">
      <w:pPr>
        <w:pStyle w:val="pldetails"/>
        <w:rPr>
          <w:lang w:val="en-US"/>
        </w:rPr>
      </w:pPr>
      <w:r w:rsidRPr="00CC1E1E">
        <w:rPr>
          <w:lang w:val="en-US"/>
        </w:rPr>
        <w:t xml:space="preserve">Bronislava BÁTOROVÁ (Ms.), National Coordinator for the Cooperation of the Slovak Republic with UPOV/ Senior Officer, Department of Variety Testing, Central Controlling and Testing Institute in Agriculture (ÚKSÚP), Nitra  </w:t>
      </w:r>
      <w:r w:rsidRPr="00CC1E1E">
        <w:rPr>
          <w:lang w:val="en-US"/>
        </w:rPr>
        <w:br/>
        <w:t xml:space="preserve">(e-mail: bronislava.batorova@uksup.sk) </w:t>
      </w:r>
    </w:p>
    <w:p w14:paraId="0B62E9B7" w14:textId="77777777" w:rsidR="00F03375" w:rsidRPr="00CC1E1E" w:rsidRDefault="00F03375" w:rsidP="00F03375">
      <w:pPr>
        <w:pStyle w:val="plcountry"/>
        <w:rPr>
          <w:lang w:val="en-US"/>
        </w:rPr>
      </w:pPr>
      <w:r w:rsidRPr="00CC1E1E">
        <w:rPr>
          <w:lang w:val="en-US"/>
        </w:rPr>
        <w:t>SUISSE / SWITZERLAND / SCHWEIZ / SUIZA</w:t>
      </w:r>
    </w:p>
    <w:p w14:paraId="6CACD2E4" w14:textId="77777777" w:rsidR="00F03375" w:rsidRPr="00CC1E1E" w:rsidRDefault="00F03375" w:rsidP="00F03375">
      <w:pPr>
        <w:pStyle w:val="pldetails"/>
        <w:rPr>
          <w:lang w:val="en-US"/>
        </w:rPr>
      </w:pPr>
      <w:r w:rsidRPr="00CC1E1E">
        <w:rPr>
          <w:lang w:val="en-US"/>
        </w:rPr>
        <w:t xml:space="preserve">Manuela BRAND (Ms.), Plant Variety Rights Office, Plant Health and Varieties, Office fédéral de l'agriculture (OFAG), Bern  </w:t>
      </w:r>
      <w:r w:rsidRPr="00CC1E1E">
        <w:rPr>
          <w:lang w:val="en-US"/>
        </w:rPr>
        <w:br/>
        <w:t xml:space="preserve">(e-mail: manuela.brand@blw.admin.ch) </w:t>
      </w:r>
    </w:p>
    <w:p w14:paraId="3D23649F" w14:textId="77777777" w:rsidR="00F03375" w:rsidRPr="00CC1E1E" w:rsidRDefault="00F03375" w:rsidP="00F03375">
      <w:pPr>
        <w:pStyle w:val="plcountry"/>
        <w:rPr>
          <w:lang w:val="fr-CH"/>
        </w:rPr>
      </w:pPr>
      <w:r w:rsidRPr="00CC1E1E">
        <w:rPr>
          <w:lang w:val="fr-CH"/>
        </w:rPr>
        <w:t>TUNISIE / TUNISIA / TUNESIEN / TÚNEZ</w:t>
      </w:r>
    </w:p>
    <w:p w14:paraId="11D801E7" w14:textId="77777777" w:rsidR="00F03375" w:rsidRPr="00CC1E1E" w:rsidRDefault="00F03375" w:rsidP="00F03375">
      <w:pPr>
        <w:pStyle w:val="pldetails"/>
        <w:rPr>
          <w:lang w:val="fr-CH"/>
        </w:rPr>
      </w:pPr>
      <w:r w:rsidRPr="00CC1E1E">
        <w:rPr>
          <w:lang w:val="fr-CH"/>
        </w:rPr>
        <w:t xml:space="preserve">Omar BRAHMI (Mr.),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sidRPr="00CC1E1E">
        <w:rPr>
          <w:lang w:val="fr-CH"/>
        </w:rPr>
        <w:br/>
        <w:t>(e-mail: bo.dgpcqpa@iresa.agrinet.tn)</w:t>
      </w:r>
    </w:p>
    <w:p w14:paraId="26CDC21A" w14:textId="77777777" w:rsidR="00F03375" w:rsidRPr="00CC1E1E" w:rsidRDefault="00F03375" w:rsidP="00F03375">
      <w:pPr>
        <w:pStyle w:val="plcountry"/>
        <w:keepLines w:val="0"/>
        <w:rPr>
          <w:lang w:val="en-US"/>
        </w:rPr>
      </w:pPr>
      <w:r w:rsidRPr="00CC1E1E">
        <w:rPr>
          <w:lang w:val="en-US"/>
        </w:rPr>
        <w:lastRenderedPageBreak/>
        <w:t>TURQUIE / TURKEY / TÜRKEI / TURQUÍA</w:t>
      </w:r>
    </w:p>
    <w:p w14:paraId="3E9C285A" w14:textId="77777777" w:rsidR="00F03375" w:rsidRPr="00CC1E1E" w:rsidRDefault="00F03375" w:rsidP="00F03375">
      <w:pPr>
        <w:pStyle w:val="pldetails"/>
        <w:keepNext/>
        <w:keepLines w:val="0"/>
        <w:rPr>
          <w:lang w:val="en-US"/>
        </w:rPr>
      </w:pPr>
      <w:r w:rsidRPr="00CC1E1E">
        <w:rPr>
          <w:lang w:val="en-US"/>
        </w:rPr>
        <w:t xml:space="preserve">Suat YILMAZ (Mr.), Deputy General Director, General Directorate of Plant Production, Ministry of Agriculture and Forestry, Ankara </w:t>
      </w:r>
    </w:p>
    <w:p w14:paraId="07C4D46C" w14:textId="77777777" w:rsidR="00F03375" w:rsidRPr="00CC1E1E" w:rsidRDefault="00F03375" w:rsidP="00F03375">
      <w:pPr>
        <w:pStyle w:val="pldetails"/>
        <w:keepLines w:val="0"/>
        <w:rPr>
          <w:lang w:val="en-US"/>
        </w:rPr>
      </w:pPr>
      <w:r w:rsidRPr="00CC1E1E">
        <w:rPr>
          <w:lang w:val="en-US"/>
        </w:rPr>
        <w:t xml:space="preserve">Mehmet CAKMAK (Mr.), PBR Expert, Seed Department, General Directorate of Plant Production, Ministry of Agriculture and Forestry, Ankara </w:t>
      </w:r>
      <w:r w:rsidRPr="00CC1E1E">
        <w:rPr>
          <w:lang w:val="en-US"/>
        </w:rPr>
        <w:br/>
        <w:t>(e-mail: mehmet.cakmak@tarim.gov.tr)</w:t>
      </w:r>
    </w:p>
    <w:p w14:paraId="2515F0E7" w14:textId="77777777" w:rsidR="00F03375" w:rsidRPr="00CC1E1E" w:rsidRDefault="00F03375" w:rsidP="00F03375">
      <w:pPr>
        <w:pStyle w:val="pldetails"/>
        <w:keepLines w:val="0"/>
        <w:rPr>
          <w:lang w:val="en-US"/>
        </w:rPr>
      </w:pPr>
      <w:r w:rsidRPr="00CC1E1E">
        <w:rPr>
          <w:lang w:val="en-US"/>
        </w:rPr>
        <w:t xml:space="preserve">Sezgin KARADENIZ (Mr.), Head of Seed Depatment, General Directorate of Plant Production, Ministry of Agriculture and Forestry, Ankara </w:t>
      </w:r>
      <w:r w:rsidRPr="00CC1E1E">
        <w:rPr>
          <w:lang w:val="en-US"/>
        </w:rPr>
        <w:br/>
        <w:t>(e-mail: sezgin.karadeniz@tarim.gov.tr)</w:t>
      </w:r>
    </w:p>
    <w:p w14:paraId="55C79433" w14:textId="77777777" w:rsidR="00F03375" w:rsidRPr="00CC1E1E" w:rsidRDefault="00F03375" w:rsidP="00F03375">
      <w:pPr>
        <w:pStyle w:val="plcountry"/>
        <w:rPr>
          <w:lang w:val="en-US"/>
        </w:rPr>
      </w:pPr>
      <w:r w:rsidRPr="00CC1E1E">
        <w:rPr>
          <w:lang w:val="en-US"/>
        </w:rPr>
        <w:t>UNION EUROPÉENNE / EUROPEAN UNION / EUROPÄISCHE UNION / UNIÓN EUROPEA</w:t>
      </w:r>
    </w:p>
    <w:p w14:paraId="648D50E7" w14:textId="77777777" w:rsidR="00F03375" w:rsidRPr="00CC1E1E" w:rsidRDefault="00F03375" w:rsidP="00F03375">
      <w:pPr>
        <w:pStyle w:val="pldetails"/>
        <w:rPr>
          <w:lang w:val="en-US"/>
        </w:rPr>
      </w:pPr>
      <w:r w:rsidRPr="00CC1E1E">
        <w:rPr>
          <w:lang w:val="en-US"/>
        </w:rPr>
        <w:t xml:space="preserve">Kirsi Marjatta HEINONEN (Ms.), Counsellor, Permanent Representation of Finland In European Union, Bruxelles </w:t>
      </w:r>
      <w:r w:rsidRPr="00CC1E1E">
        <w:rPr>
          <w:lang w:val="en-US"/>
        </w:rPr>
        <w:br/>
        <w:t>(e-mail: Kirsi.heinonen@formin.fi)</w:t>
      </w:r>
    </w:p>
    <w:p w14:paraId="1C6588BC" w14:textId="77777777" w:rsidR="00F03375" w:rsidRPr="00CC1E1E" w:rsidRDefault="00F03375" w:rsidP="00F03375">
      <w:pPr>
        <w:pStyle w:val="pldetails"/>
        <w:rPr>
          <w:lang w:val="en-US"/>
        </w:rPr>
      </w:pPr>
      <w:r w:rsidRPr="00CC1E1E">
        <w:rPr>
          <w:lang w:val="en-US"/>
        </w:rPr>
        <w:t xml:space="preserve">Kati LASSI (Ms.), Senior Specialist, Helsinki </w:t>
      </w:r>
      <w:r w:rsidRPr="00CC1E1E">
        <w:rPr>
          <w:lang w:val="en-US"/>
        </w:rPr>
        <w:br/>
        <w:t>(e-mail: kati.lassi@mmm.fi)</w:t>
      </w:r>
    </w:p>
    <w:p w14:paraId="7E3B4D77" w14:textId="77777777" w:rsidR="00F03375" w:rsidRPr="00CC1E1E" w:rsidRDefault="00F03375" w:rsidP="00F03375">
      <w:pPr>
        <w:pStyle w:val="pldetails"/>
        <w:rPr>
          <w:lang w:val="en-US"/>
        </w:rPr>
      </w:pPr>
      <w:r w:rsidRPr="00CC1E1E">
        <w:rPr>
          <w:lang w:val="en-US"/>
        </w:rPr>
        <w:t xml:space="preserve">Tarja Päivikki HIETARANTA (Ms.), Senior Officer, Seed Certification, Finnish Food Authority, Loimaa </w:t>
      </w:r>
      <w:r w:rsidRPr="00CC1E1E">
        <w:rPr>
          <w:lang w:val="en-US"/>
        </w:rPr>
        <w:br/>
        <w:t>(e-mail: tarja.hietaranta@evira.fi)</w:t>
      </w:r>
    </w:p>
    <w:p w14:paraId="4417BEC6" w14:textId="77777777" w:rsidR="00F03375" w:rsidRPr="00CC1E1E" w:rsidRDefault="00F03375" w:rsidP="00F03375">
      <w:pPr>
        <w:pStyle w:val="pldetails"/>
        <w:rPr>
          <w:lang w:val="en-US"/>
        </w:rPr>
      </w:pPr>
      <w:r w:rsidRPr="00CC1E1E">
        <w:rPr>
          <w:lang w:val="en-US"/>
        </w:rPr>
        <w:t xml:space="preserve">Päivi MANNERKORPI (Ms.), Team Leader - Plant Reproductive Material, Unit G1 Plant Health, Directorate General for Health and Food Safety (DG SANTE), European Commission, Bruxelles </w:t>
      </w:r>
      <w:r w:rsidRPr="00CC1E1E">
        <w:rPr>
          <w:lang w:val="en-US"/>
        </w:rPr>
        <w:br/>
        <w:t>(e-mail: paivi.mannerkorpi@ec.europa.eu)</w:t>
      </w:r>
    </w:p>
    <w:p w14:paraId="5DFE852C" w14:textId="77777777" w:rsidR="00F03375" w:rsidRPr="00CC1E1E" w:rsidRDefault="00F03375" w:rsidP="00F03375">
      <w:pPr>
        <w:pStyle w:val="pldetails"/>
        <w:rPr>
          <w:lang w:val="en-US"/>
        </w:rPr>
      </w:pPr>
      <w:r w:rsidRPr="00CC1E1E">
        <w:rPr>
          <w:lang w:val="en-US"/>
        </w:rPr>
        <w:t xml:space="preserve">Dirk THEOBALD (Mr.), Senior Advisor, Community Plant Variety Office (CPVO), Angers </w:t>
      </w:r>
      <w:r w:rsidRPr="00CC1E1E">
        <w:rPr>
          <w:lang w:val="en-US"/>
        </w:rPr>
        <w:br/>
        <w:t xml:space="preserve">(e-mail: theobald@cpvo.europa.eu) </w:t>
      </w:r>
    </w:p>
    <w:p w14:paraId="0847E19F" w14:textId="77777777" w:rsidR="00F03375" w:rsidRPr="00CC1E1E" w:rsidRDefault="00F03375" w:rsidP="00F03375">
      <w:pPr>
        <w:pStyle w:val="pldetails"/>
        <w:rPr>
          <w:lang w:val="en-US"/>
        </w:rPr>
      </w:pPr>
      <w:r w:rsidRPr="00CC1E1E">
        <w:rPr>
          <w:lang w:val="en-US"/>
        </w:rPr>
        <w:t xml:space="preserve">Jean MAISON (Mr.), Deputy Head, Technical Unit, Community Plant Variety Office (CPVO), Angers </w:t>
      </w:r>
      <w:r w:rsidRPr="00CC1E1E">
        <w:rPr>
          <w:lang w:val="en-US"/>
        </w:rPr>
        <w:br/>
        <w:t>(e-mail: maison@cpvo.europa.eu)</w:t>
      </w:r>
    </w:p>
    <w:p w14:paraId="48A7552C" w14:textId="77777777" w:rsidR="00F03375" w:rsidRPr="00CC1E1E" w:rsidRDefault="00F03375" w:rsidP="00F03375">
      <w:pPr>
        <w:pStyle w:val="plheading"/>
        <w:rPr>
          <w:lang w:val="en-US"/>
        </w:rPr>
      </w:pPr>
      <w:r w:rsidRPr="00CC1E1E">
        <w:rPr>
          <w:lang w:val="en-US"/>
        </w:rPr>
        <w:t>II. OBSERVATEURS / OBSERVERS / BEOBACHTER / OBSERVADORES</w:t>
      </w:r>
    </w:p>
    <w:p w14:paraId="567B4C9A" w14:textId="77777777" w:rsidR="00F03375" w:rsidRPr="00CC1E1E" w:rsidRDefault="00F03375" w:rsidP="00F03375">
      <w:pPr>
        <w:pStyle w:val="plcountry"/>
        <w:rPr>
          <w:lang w:val="en-US"/>
        </w:rPr>
      </w:pPr>
      <w:r w:rsidRPr="00CC1E1E">
        <w:rPr>
          <w:lang w:val="en-US"/>
        </w:rPr>
        <w:t>ÉGYPTE / EGYPT / ÄGYPTEN / EGIPTO</w:t>
      </w:r>
    </w:p>
    <w:p w14:paraId="5336A50F" w14:textId="77777777" w:rsidR="00F03375" w:rsidRPr="00CC1E1E" w:rsidRDefault="00F03375" w:rsidP="00F03375">
      <w:pPr>
        <w:pStyle w:val="pldetails"/>
        <w:rPr>
          <w:lang w:val="en-US"/>
        </w:rPr>
      </w:pPr>
      <w:r w:rsidRPr="00CC1E1E">
        <w:rPr>
          <w:lang w:val="en-US"/>
        </w:rPr>
        <w:t xml:space="preserve">Saad NASSAR (Mr.), Advisor to the Minister for Agriculture and Land Reclamation, Giza </w:t>
      </w:r>
      <w:r w:rsidRPr="00CC1E1E">
        <w:rPr>
          <w:lang w:val="en-US"/>
        </w:rPr>
        <w:br/>
        <w:t>(e-mail: saad.nassar@yahoo.com)</w:t>
      </w:r>
    </w:p>
    <w:p w14:paraId="7267069D" w14:textId="77777777" w:rsidR="00F03375" w:rsidRPr="00CC1E1E" w:rsidRDefault="00F03375" w:rsidP="00F03375">
      <w:pPr>
        <w:pStyle w:val="pldetails"/>
        <w:rPr>
          <w:lang w:val="en-US"/>
        </w:rPr>
      </w:pPr>
      <w:r w:rsidRPr="00CC1E1E">
        <w:rPr>
          <w:lang w:val="en-US"/>
        </w:rPr>
        <w:t xml:space="preserve">Hassan EL BADRAWY (Mr.), Vice President, Court Cassation, Ministry of Justice, Cairo </w:t>
      </w:r>
      <w:r w:rsidRPr="00CC1E1E">
        <w:rPr>
          <w:lang w:val="en-US"/>
        </w:rPr>
        <w:br/>
        <w:t>(e-mail: h_b49@hotmail.com)</w:t>
      </w:r>
    </w:p>
    <w:p w14:paraId="7575B0E4" w14:textId="77777777" w:rsidR="00F03375" w:rsidRPr="00CC1E1E" w:rsidRDefault="00F03375" w:rsidP="00F03375">
      <w:pPr>
        <w:pStyle w:val="pldetails"/>
        <w:rPr>
          <w:lang w:val="en-US"/>
        </w:rPr>
      </w:pPr>
      <w:r w:rsidRPr="00CC1E1E">
        <w:rPr>
          <w:lang w:val="en-US"/>
        </w:rPr>
        <w:t xml:space="preserve">Mahasen Fawaz Mohamed GAD (Ms.), General Manager, Plant Variety Protection Office, Central Administration for Seed Certification (CASC), Giza </w:t>
      </w:r>
      <w:r w:rsidRPr="00CC1E1E">
        <w:rPr>
          <w:lang w:val="en-US"/>
        </w:rPr>
        <w:br/>
        <w:t>(e-mail: mahansen.f.gad@gmail.com)</w:t>
      </w:r>
    </w:p>
    <w:p w14:paraId="3F0FFE69" w14:textId="77777777" w:rsidR="00F03375" w:rsidRPr="00CC1E1E" w:rsidRDefault="00F03375" w:rsidP="00F03375">
      <w:pPr>
        <w:pStyle w:val="plcountry"/>
        <w:rPr>
          <w:lang w:val="en-US"/>
        </w:rPr>
      </w:pPr>
      <w:r w:rsidRPr="00CC1E1E">
        <w:rPr>
          <w:lang w:val="en-US"/>
        </w:rPr>
        <w:t xml:space="preserve">Émirats arabes unis / United Arab Emirates / Vereinigte Arabische Emirate / </w:t>
      </w:r>
      <w:r w:rsidRPr="00CC1E1E">
        <w:rPr>
          <w:lang w:val="en-US"/>
        </w:rPr>
        <w:br/>
        <w:t>Emiratos Árabes Unidos</w:t>
      </w:r>
    </w:p>
    <w:p w14:paraId="639FC50E" w14:textId="77777777" w:rsidR="00F03375" w:rsidRPr="00CC1E1E" w:rsidRDefault="00F03375" w:rsidP="00F03375">
      <w:pPr>
        <w:pStyle w:val="pldetails"/>
        <w:rPr>
          <w:lang w:val="en-US"/>
        </w:rPr>
      </w:pPr>
      <w:r w:rsidRPr="00CC1E1E">
        <w:rPr>
          <w:lang w:val="en-US"/>
        </w:rPr>
        <w:t xml:space="preserve">Mohamed Ahmed HAMDAN AL DHANHANI (Mr.), Director, Agriculture Development and Health Department, Ministry of Climate Change and Environment, Dubai </w:t>
      </w:r>
      <w:r w:rsidRPr="00CC1E1E">
        <w:rPr>
          <w:lang w:val="en-US"/>
        </w:rPr>
        <w:br/>
        <w:t>(e-mail: maaldhanhani@moccae.gov.ae)</w:t>
      </w:r>
    </w:p>
    <w:p w14:paraId="03578BCC" w14:textId="77777777" w:rsidR="00F03375" w:rsidRPr="00CC1E1E" w:rsidRDefault="00F03375" w:rsidP="00F03375">
      <w:pPr>
        <w:pStyle w:val="plcountry"/>
        <w:rPr>
          <w:lang w:val="en-US"/>
        </w:rPr>
      </w:pPr>
      <w:r w:rsidRPr="00CC1E1E">
        <w:rPr>
          <w:lang w:val="en-US"/>
        </w:rPr>
        <w:t>KAZAKHSTAN / KAZAKHSTAN / KASACHSTAN / KAZAJSTÁN</w:t>
      </w:r>
    </w:p>
    <w:p w14:paraId="509ABF31" w14:textId="77777777" w:rsidR="00F03375" w:rsidRPr="00CC1E1E" w:rsidRDefault="00F03375" w:rsidP="00F03375">
      <w:pPr>
        <w:pStyle w:val="pldetails"/>
        <w:rPr>
          <w:lang w:val="en-US"/>
        </w:rPr>
      </w:pPr>
      <w:r w:rsidRPr="00CC1E1E">
        <w:rPr>
          <w:lang w:val="en-US"/>
        </w:rPr>
        <w:t xml:space="preserve">Talgat AZHGALIYEV (Mr.), Chairman, State Commission for Variety Testing of Crops, Astana </w:t>
      </w:r>
      <w:r w:rsidRPr="00CC1E1E">
        <w:rPr>
          <w:lang w:val="en-US"/>
        </w:rPr>
        <w:br/>
        <w:t>(e-mail: goskomKZ@mail.ru)</w:t>
      </w:r>
    </w:p>
    <w:p w14:paraId="5BA58979" w14:textId="77777777" w:rsidR="00F03375" w:rsidRPr="00CC1E1E" w:rsidRDefault="00F03375" w:rsidP="00F03375">
      <w:pPr>
        <w:pStyle w:val="pldetails"/>
        <w:rPr>
          <w:lang w:val="en-US"/>
        </w:rPr>
      </w:pPr>
      <w:r w:rsidRPr="00CC1E1E">
        <w:rPr>
          <w:lang w:val="en-US"/>
        </w:rPr>
        <w:t>Zulfira BASHIROVA (Ms.), Deputy Director, Ministry of Agriculture of the Republic of Kazakhstan, Nur-Sultan</w:t>
      </w:r>
      <w:r w:rsidRPr="00CC1E1E">
        <w:rPr>
          <w:lang w:val="en-US"/>
        </w:rPr>
        <w:br/>
        <w:t>(e-mail: bashirova.z@minagri.gov.kz)</w:t>
      </w:r>
    </w:p>
    <w:p w14:paraId="7897DC84" w14:textId="77777777" w:rsidR="00F03375" w:rsidRPr="00CC1E1E" w:rsidRDefault="00F03375" w:rsidP="00F03375">
      <w:pPr>
        <w:pStyle w:val="pldetails"/>
        <w:rPr>
          <w:lang w:val="en-US"/>
        </w:rPr>
      </w:pPr>
      <w:r w:rsidRPr="00CC1E1E">
        <w:rPr>
          <w:lang w:val="en-US"/>
        </w:rPr>
        <w:t xml:space="preserve">Gulferuz Mairambekovna SEITPENBETOVA (Ms.), Specialist, State Commission for Variety Testing for Crops, Nur-Sultan </w:t>
      </w:r>
      <w:r w:rsidRPr="00CC1E1E">
        <w:rPr>
          <w:lang w:val="en-US"/>
        </w:rPr>
        <w:br/>
        <w:t>(e-mail: goskomkz@mail.ru)</w:t>
      </w:r>
    </w:p>
    <w:p w14:paraId="74F3B3EE" w14:textId="77777777" w:rsidR="00F03375" w:rsidRPr="00CC1E1E" w:rsidRDefault="00F03375" w:rsidP="00F03375">
      <w:pPr>
        <w:pStyle w:val="plcountry"/>
        <w:rPr>
          <w:lang w:val="en-US"/>
        </w:rPr>
      </w:pPr>
      <w:r w:rsidRPr="00CC1E1E">
        <w:rPr>
          <w:lang w:val="en-US"/>
        </w:rPr>
        <w:lastRenderedPageBreak/>
        <w:t>MONGOLIE / MONGOLIA / MONGOLEI / MONGOLIA</w:t>
      </w:r>
    </w:p>
    <w:p w14:paraId="444A9497" w14:textId="77777777" w:rsidR="00F03375" w:rsidRPr="00CC1E1E" w:rsidRDefault="00F03375" w:rsidP="00F03375">
      <w:pPr>
        <w:pStyle w:val="pldetails"/>
        <w:keepNext/>
        <w:rPr>
          <w:lang w:val="en-US"/>
        </w:rPr>
      </w:pPr>
      <w:r w:rsidRPr="00CC1E1E">
        <w:rPr>
          <w:lang w:val="en-US"/>
        </w:rPr>
        <w:t xml:space="preserve">Uranchimeg BAZARRAGCHAA (Ms.), Officer, Department of Policy and Planning, Ministry of Food, Agriculture and Light Industry, Ulaanbaatar </w:t>
      </w:r>
      <w:r w:rsidRPr="00CC1E1E">
        <w:rPr>
          <w:lang w:val="en-US"/>
        </w:rPr>
        <w:br/>
        <w:t>(e-mail: bazarragchaau@yahoo.com)</w:t>
      </w:r>
    </w:p>
    <w:p w14:paraId="7C334AAE" w14:textId="77777777" w:rsidR="00F03375" w:rsidRPr="00CC1E1E" w:rsidRDefault="00F03375" w:rsidP="00F03375">
      <w:pPr>
        <w:pStyle w:val="pldetails"/>
        <w:keepNext/>
        <w:rPr>
          <w:lang w:val="en-US"/>
        </w:rPr>
      </w:pPr>
      <w:r w:rsidRPr="00CC1E1E">
        <w:rPr>
          <w:lang w:val="en-US"/>
        </w:rPr>
        <w:t xml:space="preserve">Altantsetseg BALGAN (Ms.), National Project Manager / Legal Expert, Food and Agriculture Organization of the United Nations (FAO), Ulaanbaatar, Mongolie </w:t>
      </w:r>
      <w:r w:rsidRPr="00CC1E1E">
        <w:rPr>
          <w:lang w:val="en-US"/>
        </w:rPr>
        <w:br/>
        <w:t>(e-mail: altantsetseg.balcan@fao.org)</w:t>
      </w:r>
    </w:p>
    <w:p w14:paraId="56C4EFA5" w14:textId="77777777" w:rsidR="00F03375" w:rsidRPr="00CC1E1E" w:rsidRDefault="00F03375" w:rsidP="00F03375">
      <w:pPr>
        <w:pStyle w:val="plcountry"/>
        <w:rPr>
          <w:lang w:val="en-US"/>
        </w:rPr>
      </w:pPr>
      <w:r w:rsidRPr="00CC1E1E">
        <w:rPr>
          <w:lang w:val="en-US"/>
        </w:rPr>
        <w:t>MYANMAR / MYANMAR / MYANMAR / MYANMAR</w:t>
      </w:r>
    </w:p>
    <w:p w14:paraId="5C2A5F49" w14:textId="77777777" w:rsidR="00F03375" w:rsidRPr="00CC1E1E" w:rsidRDefault="00F03375" w:rsidP="00F03375">
      <w:pPr>
        <w:pStyle w:val="pldetails"/>
        <w:rPr>
          <w:lang w:val="en-US"/>
        </w:rPr>
      </w:pPr>
      <w:r w:rsidRPr="00CC1E1E">
        <w:rPr>
          <w:lang w:val="en-US"/>
        </w:rPr>
        <w:t xml:space="preserve">Naing Kyi WIN (Mr.), Director General, Department of Agricultural Research (DAR), Ministry of Agriculture, Livestock and Irrigation (MOALI), Nay Pyi Taw </w:t>
      </w:r>
      <w:r w:rsidRPr="00CC1E1E">
        <w:rPr>
          <w:lang w:val="en-US"/>
        </w:rPr>
        <w:br/>
        <w:t>(e-mail: dgdar.moai@gmail.com)</w:t>
      </w:r>
    </w:p>
    <w:p w14:paraId="60966542" w14:textId="77777777" w:rsidR="00F03375" w:rsidRPr="00CC1E1E" w:rsidRDefault="00F03375" w:rsidP="00F03375">
      <w:pPr>
        <w:pStyle w:val="pldetails"/>
        <w:rPr>
          <w:lang w:val="en-US"/>
        </w:rPr>
      </w:pPr>
      <w:r w:rsidRPr="00CC1E1E">
        <w:rPr>
          <w:lang w:val="en-US"/>
        </w:rPr>
        <w:t xml:space="preserve">Pa Pa WIN (Ms.), Research Officer, Head of PVP Section, Department of Agricultural Research (DAR), Ministry of Agriculture, Livestock and Irrigation (MOALI), Nay Pyi Taw </w:t>
      </w:r>
      <w:r w:rsidRPr="00CC1E1E">
        <w:rPr>
          <w:lang w:val="en-US"/>
        </w:rPr>
        <w:br/>
        <w:t>(e-mail: papawin08@gmail.com)</w:t>
      </w:r>
    </w:p>
    <w:p w14:paraId="04B78AD8" w14:textId="77777777" w:rsidR="00F03375" w:rsidRPr="00CC1E1E" w:rsidRDefault="00F03375" w:rsidP="00F03375">
      <w:pPr>
        <w:pStyle w:val="pldetails"/>
        <w:rPr>
          <w:lang w:val="en-US"/>
        </w:rPr>
      </w:pPr>
      <w:r w:rsidRPr="00CC1E1E">
        <w:rPr>
          <w:lang w:val="en-US"/>
        </w:rPr>
        <w:t xml:space="preserve">Minn San THEIN (Mr.), Assistant Research Officer, Seed Bank, Department of Agricultural Research (DAR), Ministry of Agriculture, Livestock and Irrigation (MOALI), Nay Pyi Taw </w:t>
      </w:r>
      <w:r w:rsidRPr="00CC1E1E">
        <w:rPr>
          <w:lang w:val="en-US"/>
        </w:rPr>
        <w:br/>
        <w:t>(e-mail: minsanthein@gmail.com)</w:t>
      </w:r>
    </w:p>
    <w:p w14:paraId="1056293C" w14:textId="77777777" w:rsidR="00F03375" w:rsidRPr="00CC1E1E" w:rsidRDefault="00F03375" w:rsidP="00F03375">
      <w:pPr>
        <w:pStyle w:val="plcountry"/>
        <w:rPr>
          <w:lang w:val="en-US"/>
        </w:rPr>
      </w:pPr>
      <w:r w:rsidRPr="00CC1E1E">
        <w:rPr>
          <w:lang w:val="en-US"/>
        </w:rPr>
        <w:t>THAÏLANDE / THAILAND / THAILAND / TAILANDIA</w:t>
      </w:r>
    </w:p>
    <w:p w14:paraId="54788F14" w14:textId="77777777" w:rsidR="00F03375" w:rsidRPr="00CC1E1E" w:rsidRDefault="00F03375" w:rsidP="00F03375">
      <w:pPr>
        <w:pStyle w:val="pldetails"/>
        <w:rPr>
          <w:lang w:val="en-US"/>
        </w:rPr>
      </w:pPr>
      <w:r w:rsidRPr="00CC1E1E">
        <w:rPr>
          <w:lang w:val="en-US"/>
        </w:rPr>
        <w:t xml:space="preserve">Thidakoon SAENUDOM (Ms.), Director of the Plant Variety Protection Research Group, Plant Variety Protection Office, Ministry of Agriculture and Cooperatives, Bangkok </w:t>
      </w:r>
      <w:r w:rsidRPr="00CC1E1E">
        <w:rPr>
          <w:lang w:val="en-US"/>
        </w:rPr>
        <w:br/>
        <w:t>(e-mail: thidakuns@hotmail.com)</w:t>
      </w:r>
    </w:p>
    <w:p w14:paraId="3015D985" w14:textId="77777777" w:rsidR="00F03375" w:rsidRPr="00CC1E1E" w:rsidRDefault="00F03375" w:rsidP="00F03375">
      <w:pPr>
        <w:pStyle w:val="plheading"/>
        <w:rPr>
          <w:lang w:val="en-US"/>
        </w:rPr>
      </w:pPr>
      <w:r w:rsidRPr="00CC1E1E">
        <w:rPr>
          <w:lang w:val="en-US"/>
        </w:rPr>
        <w:t>III. ORGANISATIONS / ORGANIZATIONS / ORGANISATIONEN / ORGANIZACIONES</w:t>
      </w:r>
    </w:p>
    <w:p w14:paraId="51468255" w14:textId="77777777" w:rsidR="00F03375" w:rsidRPr="00CC1E1E" w:rsidRDefault="00F03375" w:rsidP="00F03375">
      <w:pPr>
        <w:pStyle w:val="plcountry"/>
        <w:rPr>
          <w:lang w:val="en-US"/>
        </w:rPr>
      </w:pPr>
      <w:r w:rsidRPr="00CC1E1E">
        <w:rPr>
          <w:lang w:val="en-US"/>
        </w:rPr>
        <w:t xml:space="preserve">ORGANISATION DE COOPÉRATION ET DE DÉVELOPPEMENT ÉCONOMIQUES (OCDE) / ORGANISATION FOR ECONOMIC CO-OPERATION AND DEVELOPMENT (OECD) / </w:t>
      </w:r>
      <w:r w:rsidRPr="00CC1E1E">
        <w:rPr>
          <w:lang w:val="en-US"/>
        </w:rPr>
        <w:br/>
        <w:t xml:space="preserve">ORGANISATION FÜR WIRTSCHAFTLICHE ZUSAMMENARBEIT UND ENTWICKLUNG (OECD) / </w:t>
      </w:r>
      <w:r w:rsidRPr="00CC1E1E">
        <w:rPr>
          <w:lang w:val="en-US"/>
        </w:rPr>
        <w:br/>
        <w:t>ORGANIZACIÓN DE COOPERACIÓN Y DESARROLLO ECONÓMICo (OCDE)</w:t>
      </w:r>
    </w:p>
    <w:p w14:paraId="1902C781" w14:textId="77777777" w:rsidR="00F03375" w:rsidRPr="00CC1E1E" w:rsidRDefault="00F03375" w:rsidP="00F03375">
      <w:pPr>
        <w:pStyle w:val="pldetails"/>
        <w:rPr>
          <w:lang w:val="en-US"/>
        </w:rPr>
      </w:pPr>
      <w:r w:rsidRPr="00CC1E1E">
        <w:rPr>
          <w:lang w:val="en-US"/>
        </w:rPr>
        <w:t>Csaba GASPAR (Mr.), Programme Manager, OECD Seed Schemes &amp; OECD Forest Seed and Plant Scheme, Organisation for Economic Co-operation and Development (OECD), Paris</w:t>
      </w:r>
      <w:r w:rsidRPr="00CC1E1E">
        <w:rPr>
          <w:lang w:val="en-US"/>
        </w:rPr>
        <w:br/>
        <w:t>(e-mail: csaba.gaspar@oecd.org)</w:t>
      </w:r>
    </w:p>
    <w:p w14:paraId="1AAC646D" w14:textId="77777777" w:rsidR="00F03375" w:rsidRPr="00CC1E1E" w:rsidRDefault="00F03375" w:rsidP="00F03375">
      <w:pPr>
        <w:pStyle w:val="plcountry"/>
        <w:rPr>
          <w:lang w:val="en-US"/>
        </w:rPr>
      </w:pPr>
      <w:r w:rsidRPr="00CC1E1E">
        <w:rPr>
          <w:lang w:val="en-US"/>
        </w:rPr>
        <w:t xml:space="preserve">ORGANISATION RÉGIONALE AFRICAINE DE LA PROPRIÉTÉ INTELLECTUELLE (ARIPO) / </w:t>
      </w:r>
      <w:r w:rsidRPr="00CC1E1E">
        <w:rPr>
          <w:lang w:val="en-US"/>
        </w:rPr>
        <w:br/>
        <w:t xml:space="preserve">AFRICAN REGIONAL INTELLECTUAL PROPERTY ORGANIZATION (ARIPO) / </w:t>
      </w:r>
      <w:r w:rsidRPr="00CC1E1E">
        <w:rPr>
          <w:lang w:val="en-US"/>
        </w:rPr>
        <w:br/>
        <w:t xml:space="preserve">AFRIKANISCHE REGIONALORGANISATION ZUM SCHUTZ GEISTIGEN EIGENTUMS (ARIPO) / </w:t>
      </w:r>
      <w:r w:rsidRPr="00CC1E1E">
        <w:rPr>
          <w:lang w:val="en-US"/>
        </w:rPr>
        <w:br/>
        <w:t>ORGANIZACIÓN REGIONAL AFRICANA DE LA PROPIEDAD INTELECTUAL (ARIPO)</w:t>
      </w:r>
    </w:p>
    <w:p w14:paraId="629564CA" w14:textId="77777777" w:rsidR="00F03375" w:rsidRPr="00CC1E1E" w:rsidRDefault="00F03375" w:rsidP="00F03375">
      <w:pPr>
        <w:pStyle w:val="plcountry"/>
        <w:keepLines w:val="0"/>
        <w:rPr>
          <w:caps w:val="0"/>
          <w:u w:val="none"/>
          <w:lang w:val="en-US"/>
        </w:rPr>
      </w:pPr>
      <w:r w:rsidRPr="00CC1E1E">
        <w:rPr>
          <w:caps w:val="0"/>
          <w:u w:val="none"/>
          <w:lang w:val="en-US"/>
        </w:rPr>
        <w:t xml:space="preserve">Flora Kokwihyukya MPANJU (Ms.), Head, Search and Substantive Examination, African Regional Intellectual Property Organization (ARIPO), Harare </w:t>
      </w:r>
      <w:r w:rsidRPr="00CC1E1E">
        <w:rPr>
          <w:caps w:val="0"/>
          <w:u w:val="none"/>
          <w:lang w:val="en-US"/>
        </w:rPr>
        <w:br/>
        <w:t>(e-mail: fmpanju@aripo.org)</w:t>
      </w:r>
    </w:p>
    <w:p w14:paraId="18488642" w14:textId="77777777" w:rsidR="00F03375" w:rsidRPr="00CC1E1E" w:rsidRDefault="00F03375" w:rsidP="00F03375">
      <w:pPr>
        <w:pStyle w:val="plcountry"/>
        <w:rPr>
          <w:lang w:val="fr-CH"/>
        </w:rPr>
      </w:pPr>
      <w:r w:rsidRPr="00CC1E1E">
        <w:rPr>
          <w:lang w:val="fr-CH"/>
        </w:rPr>
        <w:t>CROPLIFE INTERNATIONAL</w:t>
      </w:r>
    </w:p>
    <w:p w14:paraId="31534288" w14:textId="77777777" w:rsidR="00F03375" w:rsidRPr="00CC1E1E" w:rsidRDefault="00F03375" w:rsidP="00F03375">
      <w:pPr>
        <w:pStyle w:val="pldetails"/>
        <w:rPr>
          <w:lang w:val="fr-CH"/>
        </w:rPr>
      </w:pPr>
      <w:r w:rsidRPr="00CC1E1E">
        <w:rPr>
          <w:lang w:val="fr-CH"/>
        </w:rPr>
        <w:t xml:space="preserve">Marcel BRUINS, Consultant, CropLife International, Bruxelles </w:t>
      </w:r>
      <w:r w:rsidRPr="00CC1E1E">
        <w:rPr>
          <w:lang w:val="fr-CH"/>
        </w:rPr>
        <w:br/>
        <w:t xml:space="preserve">(e-mail: mbruins1964@gmail.com) </w:t>
      </w:r>
    </w:p>
    <w:p w14:paraId="622C29DB" w14:textId="77777777" w:rsidR="00F03375" w:rsidRPr="00CC1E1E" w:rsidRDefault="00F03375" w:rsidP="00F03375">
      <w:pPr>
        <w:pStyle w:val="plcountry"/>
        <w:rPr>
          <w:lang w:val="en-US"/>
        </w:rPr>
      </w:pPr>
      <w:r w:rsidRPr="00CC1E1E">
        <w:rPr>
          <w:lang w:val="en-US"/>
        </w:rPr>
        <w:t>EUROSEEDS</w:t>
      </w:r>
    </w:p>
    <w:p w14:paraId="534E9737" w14:textId="77777777" w:rsidR="00F03375" w:rsidRPr="00CC1E1E" w:rsidRDefault="00F03375" w:rsidP="00F03375">
      <w:pPr>
        <w:pStyle w:val="pldetails"/>
        <w:rPr>
          <w:lang w:val="en-US"/>
        </w:rPr>
      </w:pPr>
      <w:r w:rsidRPr="00CC1E1E">
        <w:rPr>
          <w:lang w:val="en-US"/>
        </w:rPr>
        <w:t>Catherine Chepkurui LANGAT (Ms.), Technical Manager Plant Breeding and Variety Registration, Euroseeds, Bruxelles</w:t>
      </w:r>
      <w:r w:rsidRPr="00CC1E1E">
        <w:rPr>
          <w:lang w:val="en-US"/>
        </w:rPr>
        <w:br/>
        <w:t>(e-mail: catherinelangat@euroseeds.eu)</w:t>
      </w:r>
    </w:p>
    <w:p w14:paraId="090BFEF6" w14:textId="77777777" w:rsidR="00F03375" w:rsidRPr="00CC1E1E" w:rsidRDefault="00F03375" w:rsidP="00F03375">
      <w:pPr>
        <w:pStyle w:val="plcountry"/>
        <w:rPr>
          <w:lang w:val="en-US"/>
        </w:rPr>
      </w:pPr>
      <w:r w:rsidRPr="00CC1E1E">
        <w:rPr>
          <w:lang w:val="en-US"/>
        </w:rPr>
        <w:lastRenderedPageBreak/>
        <w:t>INTERNATIONAL SEED FEDERATION (ISF)</w:t>
      </w:r>
    </w:p>
    <w:p w14:paraId="2C40DF03" w14:textId="77777777" w:rsidR="00F03375" w:rsidRPr="00CC1E1E" w:rsidRDefault="00F03375" w:rsidP="00F03375">
      <w:pPr>
        <w:pStyle w:val="pldetails"/>
        <w:keepNext/>
        <w:rPr>
          <w:lang w:val="en-US"/>
        </w:rPr>
      </w:pPr>
      <w:r w:rsidRPr="00CC1E1E">
        <w:rPr>
          <w:lang w:val="en-US"/>
        </w:rPr>
        <w:t>Szabolcs RUTHNER (Mr.), Regulatory Affairs Manager, International Seed Federation (ISF), Nyon</w:t>
      </w:r>
      <w:r w:rsidRPr="00CC1E1E">
        <w:rPr>
          <w:lang w:val="en-US"/>
        </w:rPr>
        <w:br/>
        <w:t>(e-mail: s.ruthner@worldseed.org)</w:t>
      </w:r>
    </w:p>
    <w:p w14:paraId="4FB8400B" w14:textId="77777777" w:rsidR="00F03375" w:rsidRPr="00CC1E1E" w:rsidRDefault="00F03375" w:rsidP="00F03375">
      <w:pPr>
        <w:pStyle w:val="pldetails"/>
        <w:keepNext/>
        <w:rPr>
          <w:lang w:val="en-US"/>
        </w:rPr>
      </w:pPr>
      <w:r w:rsidRPr="00CC1E1E">
        <w:rPr>
          <w:lang w:val="en-US"/>
        </w:rPr>
        <w:t>Stevan MADJARAC (Mr.), Germplasm IP Lead, American Seed Trade Association (ASTA), Alexandria</w:t>
      </w:r>
      <w:r w:rsidRPr="00CC1E1E">
        <w:rPr>
          <w:lang w:val="en-US"/>
        </w:rPr>
        <w:br/>
        <w:t>(e-mail: s.madjarac@gmail.com)</w:t>
      </w:r>
    </w:p>
    <w:p w14:paraId="6A7DCA8C" w14:textId="77777777" w:rsidR="00F03375" w:rsidRPr="00CC1E1E" w:rsidRDefault="00F03375" w:rsidP="00F03375">
      <w:pPr>
        <w:pStyle w:val="plcountry"/>
        <w:rPr>
          <w:lang w:val="fr-CH"/>
        </w:rPr>
      </w:pPr>
      <w:r w:rsidRPr="00CC1E1E">
        <w:rPr>
          <w:lang w:val="fr-CH"/>
        </w:rPr>
        <w:t xml:space="preserve">ASSOCIATION INTERNATIONALE DES PRODUCTEURS HORTICOLES (AIPH) / </w:t>
      </w:r>
      <w:r w:rsidRPr="00CC1E1E">
        <w:rPr>
          <w:lang w:val="fr-CH"/>
        </w:rPr>
        <w:br/>
        <w:t xml:space="preserve">INTERNATIONAL ASSOCIATION OF HORTICULTURAL PRODUCERS (AIPH) / </w:t>
      </w:r>
      <w:r w:rsidRPr="00CC1E1E">
        <w:rPr>
          <w:lang w:val="fr-CH"/>
        </w:rPr>
        <w:br/>
        <w:t xml:space="preserve">INTERNATIONALER VERBAND DES ERWERBSGARTENBAUES (AIPH) / </w:t>
      </w:r>
      <w:r w:rsidRPr="00CC1E1E">
        <w:rPr>
          <w:lang w:val="fr-CH"/>
        </w:rPr>
        <w:br/>
        <w:t>ASOCIACIÓN INTERNACIONAL DE PRODUCTORES HORTÍCOLAS (AIPH)</w:t>
      </w:r>
    </w:p>
    <w:p w14:paraId="76D053EB" w14:textId="77777777" w:rsidR="00F03375" w:rsidRPr="00CC1E1E" w:rsidRDefault="00F03375" w:rsidP="00F03375">
      <w:pPr>
        <w:pStyle w:val="pldetails"/>
        <w:rPr>
          <w:lang w:val="en-US"/>
        </w:rPr>
      </w:pPr>
      <w:r w:rsidRPr="00CC1E1E">
        <w:rPr>
          <w:lang w:val="en-US"/>
        </w:rPr>
        <w:t xml:space="preserve">Mia HOPPERUS BUMA (Ms.), Secretary, Committee for Novelty Protection, International Association of Horticultural Producers (AIPH), Oxfordshire </w:t>
      </w:r>
      <w:r w:rsidRPr="00CC1E1E">
        <w:rPr>
          <w:lang w:val="en-US"/>
        </w:rPr>
        <w:br/>
        <w:t>(e-mail: info@miabuma.nl)</w:t>
      </w:r>
    </w:p>
    <w:p w14:paraId="31305043" w14:textId="77777777" w:rsidR="00F03375" w:rsidRPr="00CC1E1E" w:rsidRDefault="00F03375" w:rsidP="00F03375">
      <w:pPr>
        <w:pStyle w:val="plcountry"/>
        <w:rPr>
          <w:lang w:val="en-US"/>
        </w:rPr>
      </w:pPr>
      <w:r w:rsidRPr="00CC1E1E">
        <w:rPr>
          <w:lang w:val="en-US"/>
        </w:rPr>
        <w:t xml:space="preserve">COMMUNAUTÉ INTERNATIONALE DES OBTENTEURS DE PLANTES ORNEMENTALES ET FRUITIÈRES À REPRODUCTION ASEXUÉE (CIOPORA) / </w:t>
      </w:r>
      <w:r w:rsidRPr="00CC1E1E">
        <w:rPr>
          <w:lang w:val="en-US"/>
        </w:rPr>
        <w:br/>
        <w:t xml:space="preserve">INTERNATIONAL COMMUNITY OF BREEDERS OF ASEXUALLY REPRODUCED ORNAMENTAL AND FRUIT PLANTS (CIOPORA) / INTERNATIONALE GEMEINSCHAFT DER ZÜCHTER VEGETATIV VERMEHRBARER ZIERUND OBSTPFLANZEN (CIOPORA) / </w:t>
      </w:r>
      <w:r w:rsidRPr="00CC1E1E">
        <w:rPr>
          <w:lang w:val="en-US"/>
        </w:rPr>
        <w:br/>
        <w:t>COMUNIDAD INTERNACIONAL DE OBTENTORES DE VARIEDADES ORNAMENTALES Y FRUTALES DE REPRODUCCIÓN ASEXUADA (CIOPORA)</w:t>
      </w:r>
    </w:p>
    <w:p w14:paraId="2583F7C7" w14:textId="77777777" w:rsidR="00F03375" w:rsidRPr="00CC1E1E" w:rsidRDefault="00F03375" w:rsidP="00F03375">
      <w:pPr>
        <w:pStyle w:val="pldetails"/>
        <w:rPr>
          <w:lang w:val="en-US"/>
        </w:rPr>
      </w:pPr>
      <w:r w:rsidRPr="00CC1E1E">
        <w:rPr>
          <w:lang w:val="en-US"/>
        </w:rPr>
        <w:t>Edgar KRIEGER (Mr.), Secretary General, International Community of Breeders of Asexually Reproduced Ornamental and Fruit Plants (CIOPORA), Hamburg</w:t>
      </w:r>
      <w:r w:rsidRPr="00CC1E1E">
        <w:rPr>
          <w:lang w:val="en-US"/>
        </w:rPr>
        <w:br/>
        <w:t>(e-mail: edgar.krieger@ciopora.org)</w:t>
      </w:r>
    </w:p>
    <w:p w14:paraId="52C5542D" w14:textId="77777777" w:rsidR="00F03375" w:rsidRPr="00CC1E1E" w:rsidRDefault="00F03375" w:rsidP="00F03375">
      <w:pPr>
        <w:pStyle w:val="pldetails"/>
        <w:rPr>
          <w:lang w:val="en-US"/>
        </w:rPr>
      </w:pPr>
      <w:r w:rsidRPr="00CC1E1E">
        <w:rPr>
          <w:lang w:val="en-US"/>
        </w:rPr>
        <w:t>Dominique THÉVENON (Mme), Board member, Treasurer - CIOPORA, AIGN®, International Community of Breeders of Asexually Reproduced Ornamental and Fruit Plants (CIOPORA), Hamburg</w:t>
      </w:r>
      <w:r w:rsidRPr="00CC1E1E">
        <w:rPr>
          <w:lang w:val="en-US"/>
        </w:rPr>
        <w:br/>
        <w:t>(e-mail: t.dominique4@orange.fr)</w:t>
      </w:r>
    </w:p>
    <w:p w14:paraId="773B15BD" w14:textId="77777777" w:rsidR="00F03375" w:rsidRPr="00CC1E1E" w:rsidRDefault="00F03375" w:rsidP="00F03375">
      <w:pPr>
        <w:pStyle w:val="pldetails"/>
        <w:rPr>
          <w:lang w:val="fr-CH"/>
        </w:rPr>
      </w:pPr>
      <w:r w:rsidRPr="00CC1E1E">
        <w:rPr>
          <w:lang w:val="fr-CH"/>
        </w:rPr>
        <w:t xml:space="preserve">Hélène JOURDAN (Mme), Secrétaire générale, Association des Obtenteurs Horticoles Européens (AOHE), Responsible COV &amp; Marques, Meilland International S.A., Le Luc en Provence </w:t>
      </w:r>
      <w:r w:rsidRPr="00CC1E1E">
        <w:rPr>
          <w:lang w:val="fr-CH"/>
        </w:rPr>
        <w:br/>
        <w:t>(e-mail: licprot@meilland.com)</w:t>
      </w:r>
    </w:p>
    <w:p w14:paraId="30BDFA3C" w14:textId="77777777" w:rsidR="00F03375" w:rsidRPr="00CC1E1E" w:rsidRDefault="00F03375" w:rsidP="00F03375">
      <w:pPr>
        <w:pStyle w:val="pldetails"/>
        <w:rPr>
          <w:lang w:val="fr-CH"/>
        </w:rPr>
      </w:pPr>
      <w:r w:rsidRPr="00CC1E1E">
        <w:rPr>
          <w:lang w:val="fr-CH"/>
        </w:rPr>
        <w:t xml:space="preserve">Maarten LEUNE (Mr.), Director, Royalty Administration International, 'S-Gravenzande </w:t>
      </w:r>
      <w:r w:rsidRPr="00CC1E1E">
        <w:rPr>
          <w:lang w:val="fr-CH"/>
        </w:rPr>
        <w:br/>
        <w:t>(e-mail: maarten@royalty-adm-int.nl)</w:t>
      </w:r>
    </w:p>
    <w:p w14:paraId="03358BF8" w14:textId="77777777" w:rsidR="00F03375" w:rsidRPr="00CC1E1E" w:rsidRDefault="00F03375" w:rsidP="00F03375">
      <w:pPr>
        <w:pStyle w:val="pldetails"/>
        <w:rPr>
          <w:lang w:val="fr-CH"/>
        </w:rPr>
      </w:pPr>
      <w:r w:rsidRPr="00CC1E1E">
        <w:rPr>
          <w:lang w:val="fr-CH"/>
        </w:rPr>
        <w:t xml:space="preserve">Bruno ETAVARD (Mr.), Board Member, Meilland International, Le Luc en Provence </w:t>
      </w:r>
      <w:r w:rsidRPr="00CC1E1E">
        <w:rPr>
          <w:lang w:val="fr-CH"/>
        </w:rPr>
        <w:br/>
        <w:t>(e-mail: bruno@meilland.com)</w:t>
      </w:r>
    </w:p>
    <w:p w14:paraId="3847571A" w14:textId="77777777" w:rsidR="00F03375" w:rsidRPr="00CC1E1E" w:rsidRDefault="00F03375" w:rsidP="00F03375">
      <w:pPr>
        <w:pStyle w:val="pldetails"/>
        <w:rPr>
          <w:lang w:val="en-US"/>
        </w:rPr>
      </w:pPr>
      <w:r w:rsidRPr="00CC1E1E">
        <w:rPr>
          <w:lang w:val="en-US"/>
        </w:rPr>
        <w:t xml:space="preserve">Emma BROWN (Ms.), Business Development Manager, the New Zealand Institute for Plant &amp; Food Research Limited, Havelock North </w:t>
      </w:r>
      <w:r w:rsidRPr="00CC1E1E">
        <w:rPr>
          <w:lang w:val="en-US"/>
        </w:rPr>
        <w:br/>
        <w:t>(e-mail: emma.brown@plantandfood.co.nz)</w:t>
      </w:r>
    </w:p>
    <w:p w14:paraId="23E54828" w14:textId="77777777" w:rsidR="00F03375" w:rsidRPr="00CC1E1E" w:rsidRDefault="00F03375" w:rsidP="00F03375">
      <w:pPr>
        <w:pStyle w:val="pldetails"/>
        <w:rPr>
          <w:lang w:val="en-US"/>
        </w:rPr>
      </w:pPr>
      <w:r w:rsidRPr="00CC1E1E">
        <w:rPr>
          <w:lang w:val="en-US"/>
        </w:rPr>
        <w:t xml:space="preserve">Roberto MANNO (Mr.), Partner, Weblegal.it, Barletta </w:t>
      </w:r>
      <w:r w:rsidRPr="00CC1E1E">
        <w:rPr>
          <w:lang w:val="en-US"/>
        </w:rPr>
        <w:br/>
        <w:t>(e-mail: r.manno@weblegal.it)</w:t>
      </w:r>
    </w:p>
    <w:p w14:paraId="2E0DEA7E" w14:textId="77777777" w:rsidR="00F03375" w:rsidRPr="00CC1E1E" w:rsidRDefault="00F03375" w:rsidP="00F03375">
      <w:pPr>
        <w:pStyle w:val="plcountry"/>
        <w:rPr>
          <w:lang w:val="en-US"/>
        </w:rPr>
      </w:pPr>
      <w:r w:rsidRPr="00CC1E1E">
        <w:rPr>
          <w:lang w:val="en-US"/>
        </w:rPr>
        <w:t xml:space="preserve">Association africaine du commerce des semences (AFSTA) / </w:t>
      </w:r>
      <w:r w:rsidRPr="00CC1E1E">
        <w:rPr>
          <w:lang w:val="en-US"/>
        </w:rPr>
        <w:br/>
        <w:t xml:space="preserve">AFRICAN SEED TRADE ASSOCIATION (AFSTA) / </w:t>
      </w:r>
      <w:r w:rsidRPr="00CC1E1E">
        <w:rPr>
          <w:lang w:val="en-US"/>
        </w:rPr>
        <w:br/>
        <w:t xml:space="preserve">Afrikanisches Saatguthandelsverband (AFSTA) / </w:t>
      </w:r>
      <w:r w:rsidRPr="00CC1E1E">
        <w:rPr>
          <w:lang w:val="en-US"/>
        </w:rPr>
        <w:br/>
        <w:t>Asociación Africana de Comercio de Semillas (AFSTA)</w:t>
      </w:r>
    </w:p>
    <w:p w14:paraId="66E9B3F2" w14:textId="77777777" w:rsidR="00F03375" w:rsidRPr="00CC1E1E" w:rsidRDefault="00F03375" w:rsidP="00F03375">
      <w:pPr>
        <w:pStyle w:val="pldetails"/>
        <w:rPr>
          <w:lang w:val="en-US"/>
        </w:rPr>
      </w:pPr>
      <w:r w:rsidRPr="00CC1E1E">
        <w:rPr>
          <w:lang w:val="en-US"/>
        </w:rPr>
        <w:t>Grace GITU (Ms), Technical Officer, Africa Seed Trade Association (AFSTA), Nairobi</w:t>
      </w:r>
      <w:r w:rsidRPr="00CC1E1E">
        <w:rPr>
          <w:lang w:val="en-US"/>
        </w:rPr>
        <w:br/>
        <w:t>(e-mail: gitu@afsta.org)</w:t>
      </w:r>
    </w:p>
    <w:p w14:paraId="2EA93264" w14:textId="77777777" w:rsidR="00F03375" w:rsidRPr="00CC1E1E" w:rsidRDefault="00F03375" w:rsidP="00F03375">
      <w:pPr>
        <w:pStyle w:val="plheading"/>
        <w:rPr>
          <w:rFonts w:cs="Arial"/>
          <w:lang w:val="en-US"/>
        </w:rPr>
      </w:pPr>
      <w:r w:rsidRPr="00CC1E1E">
        <w:rPr>
          <w:lang w:val="en-US"/>
        </w:rPr>
        <w:t>IV. BUREAU / OFFICER / VORSITZ / OFICINA</w:t>
      </w:r>
    </w:p>
    <w:p w14:paraId="2BFEFA40" w14:textId="77777777" w:rsidR="00F03375" w:rsidRPr="00CC1E1E" w:rsidRDefault="00F03375" w:rsidP="00F03375">
      <w:pPr>
        <w:pStyle w:val="pldetails"/>
        <w:rPr>
          <w:lang w:val="en-US"/>
        </w:rPr>
      </w:pPr>
      <w:r w:rsidRPr="00CC1E1E">
        <w:rPr>
          <w:lang w:val="en-US"/>
        </w:rPr>
        <w:t>Kees VAN ETTEKOVEN, Chair</w:t>
      </w:r>
    </w:p>
    <w:p w14:paraId="6FD32D82" w14:textId="77777777" w:rsidR="00F03375" w:rsidRPr="00CC1E1E" w:rsidRDefault="00F03375" w:rsidP="00F03375">
      <w:pPr>
        <w:pStyle w:val="pldetails"/>
        <w:rPr>
          <w:lang w:val="en-US"/>
        </w:rPr>
      </w:pPr>
      <w:r w:rsidRPr="00CC1E1E">
        <w:rPr>
          <w:lang w:val="en-US"/>
        </w:rPr>
        <w:t>Nik HULSE, Vice-Chair</w:t>
      </w:r>
    </w:p>
    <w:p w14:paraId="1385C047" w14:textId="77777777" w:rsidR="00F03375" w:rsidRPr="00CC1E1E" w:rsidRDefault="00F03375" w:rsidP="00F03375">
      <w:pPr>
        <w:pStyle w:val="plheading"/>
        <w:rPr>
          <w:rFonts w:cs="Arial"/>
          <w:lang w:val="en-US"/>
        </w:rPr>
      </w:pPr>
      <w:r w:rsidRPr="00CC1E1E">
        <w:rPr>
          <w:lang w:val="en-US"/>
        </w:rPr>
        <w:lastRenderedPageBreak/>
        <w:t>V. BUREAU DE L’UPOV / OFFICE OF UPOV / BÜRO DER UPOV / OFICINA DE LA UPOV</w:t>
      </w:r>
    </w:p>
    <w:p w14:paraId="0D2E1493" w14:textId="77777777" w:rsidR="00F03375" w:rsidRPr="00CC1E1E" w:rsidRDefault="00F03375" w:rsidP="00F03375">
      <w:pPr>
        <w:pStyle w:val="pldetails"/>
        <w:keepNext/>
        <w:keepLines w:val="0"/>
        <w:rPr>
          <w:lang w:val="en-US"/>
        </w:rPr>
      </w:pPr>
      <w:r w:rsidRPr="00CC1E1E">
        <w:rPr>
          <w:lang w:val="en-US"/>
        </w:rPr>
        <w:t>Peter BUTTON (Mr.), Vice Secretary-General</w:t>
      </w:r>
    </w:p>
    <w:p w14:paraId="3BD80865" w14:textId="77777777" w:rsidR="00F03375" w:rsidRPr="00CC1E1E" w:rsidRDefault="00F03375" w:rsidP="00F03375">
      <w:pPr>
        <w:pStyle w:val="pldetails"/>
        <w:keepNext/>
        <w:keepLines w:val="0"/>
        <w:rPr>
          <w:lang w:val="en-US"/>
        </w:rPr>
      </w:pPr>
      <w:r w:rsidRPr="00CC1E1E">
        <w:rPr>
          <w:lang w:val="en-US"/>
        </w:rPr>
        <w:t>Yolanda HUERTA (Ms.), Legal Counsel and Director of Training and Assistance</w:t>
      </w:r>
    </w:p>
    <w:p w14:paraId="69C6DEFC" w14:textId="77777777" w:rsidR="00F03375" w:rsidRPr="00CC1E1E" w:rsidRDefault="00F03375" w:rsidP="00F03375">
      <w:pPr>
        <w:pStyle w:val="pldetails"/>
        <w:keepLines w:val="0"/>
        <w:rPr>
          <w:lang w:val="en-US"/>
        </w:rPr>
      </w:pPr>
      <w:r w:rsidRPr="00CC1E1E">
        <w:rPr>
          <w:lang w:val="en-US"/>
        </w:rPr>
        <w:t>Ben RIVOIRE (Mr.), Head of Seed Sector Cooperation and Regional Development (Africa, Arab Countries)</w:t>
      </w:r>
    </w:p>
    <w:p w14:paraId="0D6550A7" w14:textId="77777777" w:rsidR="00F03375" w:rsidRPr="00CC1E1E" w:rsidRDefault="00F03375" w:rsidP="00F03375">
      <w:pPr>
        <w:pStyle w:val="pldetails"/>
        <w:keepLines w:val="0"/>
        <w:rPr>
          <w:lang w:val="en-US"/>
        </w:rPr>
      </w:pPr>
      <w:r w:rsidRPr="00CC1E1E">
        <w:rPr>
          <w:lang w:val="en-US"/>
        </w:rPr>
        <w:t>Leontino TAVEIRA (Mr.), Head of Technical Affairs and Regional Development (Latin America, Caribbean)</w:t>
      </w:r>
    </w:p>
    <w:p w14:paraId="02D3C7C0" w14:textId="77777777" w:rsidR="00F03375" w:rsidRPr="00CC1E1E" w:rsidRDefault="00F03375" w:rsidP="00F03375">
      <w:pPr>
        <w:pStyle w:val="pldetails"/>
        <w:keepLines w:val="0"/>
        <w:rPr>
          <w:lang w:val="en-US"/>
        </w:rPr>
      </w:pPr>
      <w:r w:rsidRPr="00CC1E1E">
        <w:rPr>
          <w:lang w:val="en-US"/>
        </w:rPr>
        <w:t>Hend MADHOUR (Ms.), IT Officer</w:t>
      </w:r>
    </w:p>
    <w:p w14:paraId="11A2C341" w14:textId="77777777" w:rsidR="00F03375" w:rsidRPr="00CC1E1E" w:rsidRDefault="00F03375" w:rsidP="00F03375">
      <w:pPr>
        <w:pStyle w:val="pldetails"/>
        <w:keepLines w:val="0"/>
        <w:rPr>
          <w:lang w:val="en-US"/>
        </w:rPr>
      </w:pPr>
      <w:r w:rsidRPr="00CC1E1E">
        <w:rPr>
          <w:lang w:val="en-US"/>
        </w:rPr>
        <w:t>Tomochika MOTOMURA (Mr.), Technical/Regional Officer (Asia)</w:t>
      </w:r>
    </w:p>
    <w:p w14:paraId="2C29586D" w14:textId="77777777" w:rsidR="00F03375" w:rsidRPr="00CC1E1E" w:rsidRDefault="00F03375" w:rsidP="00F03375">
      <w:pPr>
        <w:pStyle w:val="pldetails"/>
        <w:keepLines w:val="0"/>
        <w:rPr>
          <w:lang w:val="en-US"/>
        </w:rPr>
      </w:pPr>
      <w:r w:rsidRPr="00CC1E1E">
        <w:rPr>
          <w:lang w:val="en-US"/>
        </w:rPr>
        <w:t>Romy OERTEL (Ms.), Secretary II</w:t>
      </w:r>
    </w:p>
    <w:p w14:paraId="493226D6" w14:textId="77777777" w:rsidR="00F03375" w:rsidRPr="00CC1E1E" w:rsidRDefault="00F03375" w:rsidP="00F03375">
      <w:pPr>
        <w:pStyle w:val="pldetails"/>
        <w:keepLines w:val="0"/>
        <w:rPr>
          <w:lang w:val="en-US"/>
        </w:rPr>
      </w:pPr>
      <w:r w:rsidRPr="00CC1E1E">
        <w:rPr>
          <w:lang w:val="en-US"/>
        </w:rPr>
        <w:t>Wen WEN (Ms.), Fellow</w:t>
      </w:r>
    </w:p>
    <w:p w14:paraId="2408C665" w14:textId="77777777" w:rsidR="00F03375" w:rsidRPr="00CC1E1E" w:rsidRDefault="00F03375" w:rsidP="00F03375">
      <w:pPr>
        <w:rPr>
          <w:lang w:val="en-US"/>
        </w:rPr>
      </w:pPr>
    </w:p>
    <w:p w14:paraId="7FAFE4AF" w14:textId="77777777" w:rsidR="00F03375" w:rsidRPr="00CC1E1E" w:rsidRDefault="00F03375" w:rsidP="00F03375">
      <w:pPr>
        <w:rPr>
          <w:lang w:val="en-US"/>
        </w:rPr>
      </w:pPr>
    </w:p>
    <w:p w14:paraId="19E4FF2B" w14:textId="77777777" w:rsidR="00F03375" w:rsidRPr="00CC1E1E" w:rsidRDefault="00F03375" w:rsidP="00F03375">
      <w:pPr>
        <w:rPr>
          <w:lang w:val="en-US"/>
        </w:rPr>
      </w:pPr>
    </w:p>
    <w:p w14:paraId="011DD630" w14:textId="77777777" w:rsidR="00F03375" w:rsidRDefault="00F03375" w:rsidP="00F03375">
      <w:pPr>
        <w:jc w:val="right"/>
      </w:pPr>
      <w:r>
        <w:t>[L’annexe II suit /</w:t>
      </w:r>
      <w:r>
        <w:br/>
        <w:t>Annex II follows /</w:t>
      </w:r>
      <w:r>
        <w:br/>
        <w:t>Anlage II folgt /</w:t>
      </w:r>
      <w:r>
        <w:br/>
        <w:t>Sigue el Anexo II]</w:t>
      </w:r>
    </w:p>
    <w:p w14:paraId="70AEA070" w14:textId="77777777" w:rsidR="00F03375" w:rsidRDefault="00F03375" w:rsidP="00F03375">
      <w:pPr>
        <w:jc w:val="left"/>
      </w:pPr>
    </w:p>
    <w:p w14:paraId="764DE0F2" w14:textId="77777777" w:rsidR="00F03375" w:rsidRDefault="00F03375" w:rsidP="00F03375">
      <w:pPr>
        <w:jc w:val="left"/>
      </w:pPr>
    </w:p>
    <w:p w14:paraId="24BB9DD3" w14:textId="77777777" w:rsidR="00F44E48" w:rsidRDefault="00F44E48" w:rsidP="00050E16">
      <w:pPr>
        <w:jc w:val="right"/>
        <w:sectPr w:rsidR="00F44E48" w:rsidSect="00F03375">
          <w:headerReference w:type="even" r:id="rId11"/>
          <w:headerReference w:type="default" r:id="rId12"/>
          <w:headerReference w:type="first" r:id="rId13"/>
          <w:pgSz w:w="11907" w:h="16840" w:code="9"/>
          <w:pgMar w:top="510" w:right="1134" w:bottom="1134" w:left="1134" w:header="510" w:footer="680" w:gutter="0"/>
          <w:pgNumType w:start="1"/>
          <w:cols w:space="720"/>
          <w:titlePg/>
        </w:sectPr>
      </w:pPr>
    </w:p>
    <w:p w14:paraId="4CA26F82" w14:textId="77777777" w:rsidR="00F44E48" w:rsidRPr="00360589" w:rsidRDefault="00F44E48" w:rsidP="00F44E48">
      <w:pPr>
        <w:pStyle w:val="Heading1"/>
        <w:jc w:val="center"/>
        <w:rPr>
          <w:rFonts w:cs="Arial"/>
          <w:b/>
          <w:bCs/>
          <w:snapToGrid w:val="0"/>
        </w:rPr>
      </w:pPr>
      <w:r>
        <w:lastRenderedPageBreak/>
        <w:t xml:space="preserve">MODIFICACIONES DE LOS PROYECTOS DE DIRECTRICES DE EXAMEN </w:t>
      </w:r>
      <w:r>
        <w:br/>
      </w:r>
    </w:p>
    <w:p w14:paraId="0E9CAF7D" w14:textId="77777777" w:rsidR="00F44E48" w:rsidRPr="00360589" w:rsidRDefault="00F44E48" w:rsidP="00F44E48">
      <w:pPr>
        <w:pStyle w:val="Heading2"/>
        <w:rPr>
          <w:rFonts w:cs="Arial"/>
          <w:snapToGrid w:val="0"/>
        </w:rPr>
      </w:pPr>
      <w:r>
        <w:t>Directrices de examen aprobadas por correspondencia</w:t>
      </w:r>
    </w:p>
    <w:p w14:paraId="2C04F90C" w14:textId="77777777" w:rsidR="00F44E48" w:rsidRPr="00360589" w:rsidRDefault="00F44E48" w:rsidP="00F44E48">
      <w:pPr>
        <w:rPr>
          <w:rFonts w:cs="Arial"/>
          <w:snapToGrid w:val="0"/>
        </w:rPr>
      </w:pPr>
    </w:p>
    <w:p w14:paraId="55D30265" w14:textId="77777777" w:rsidR="00F44E48" w:rsidRPr="00360589" w:rsidRDefault="00F44E48" w:rsidP="00F44E48">
      <w:pPr>
        <w:pStyle w:val="Heading3"/>
        <w:rPr>
          <w:rFonts w:cs="Arial"/>
          <w:snapToGrid w:val="0"/>
        </w:rPr>
      </w:pPr>
      <w:r>
        <w:t>Revisiones parciales</w:t>
      </w:r>
    </w:p>
    <w:p w14:paraId="1B0FD002" w14:textId="77777777" w:rsidR="00F44E48" w:rsidRPr="00360589" w:rsidRDefault="00F44E48" w:rsidP="00F44E48">
      <w:pPr>
        <w:rPr>
          <w:rFonts w:cs="Arial"/>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7BE9E87A" w14:textId="77777777" w:rsidTr="00313560">
        <w:trPr>
          <w:cantSplit/>
          <w:jc w:val="center"/>
        </w:trPr>
        <w:tc>
          <w:tcPr>
            <w:tcW w:w="9670" w:type="dxa"/>
            <w:shd w:val="clear" w:color="auto" w:fill="D9D9D9"/>
            <w:vAlign w:val="center"/>
          </w:tcPr>
          <w:p w14:paraId="48ABA51B" w14:textId="77777777" w:rsidR="00F44E48" w:rsidRPr="00360589" w:rsidRDefault="00F44E48" w:rsidP="00313560">
            <w:pPr>
              <w:pStyle w:val="BodyText"/>
              <w:keepNext/>
              <w:tabs>
                <w:tab w:val="left" w:pos="1849"/>
              </w:tabs>
              <w:ind w:left="1803" w:hanging="1803"/>
              <w:jc w:val="left"/>
              <w:rPr>
                <w:rFonts w:cs="Arial"/>
                <w:b/>
                <w:iCs/>
              </w:rPr>
            </w:pPr>
            <w:r>
              <w:rPr>
                <w:b/>
              </w:rPr>
              <w:t>TC-EDC/Mar19/2</w:t>
            </w:r>
            <w:r>
              <w:tab/>
            </w:r>
            <w:r>
              <w:rPr>
                <w:b/>
              </w:rPr>
              <w:t>Revisión parcial de las directrices de examen del almendro</w:t>
            </w:r>
          </w:p>
        </w:tc>
      </w:tr>
    </w:tbl>
    <w:p w14:paraId="57889132" w14:textId="77777777" w:rsidR="00F44E48" w:rsidRPr="00360589" w:rsidRDefault="00F44E48" w:rsidP="00F44E48">
      <w:pPr>
        <w:keepNext/>
        <w:jc w:val="center"/>
        <w:rPr>
          <w:rFonts w:cs="Arial"/>
          <w:b/>
          <w:bCs/>
          <w:snapToGrid w:val="0"/>
          <w:color w:val="000000"/>
        </w:rPr>
      </w:pPr>
    </w:p>
    <w:p w14:paraId="2D371530" w14:textId="3DF368A9" w:rsidR="00F44E48" w:rsidRPr="00360589" w:rsidRDefault="00F44E48" w:rsidP="00F44E48">
      <w:pPr>
        <w:keepNext/>
        <w:ind w:firstLine="567"/>
        <w:rPr>
          <w:rFonts w:cs="Arial"/>
        </w:rPr>
      </w:pPr>
      <w:r>
        <w:t>En su reunión celebrada en Ginebra el 26 de marzo de 2019, el TC-EDC examinó el documento </w:t>
      </w:r>
      <w:r>
        <w:rPr>
          <w:caps/>
        </w:rPr>
        <w:t>TC</w:t>
      </w:r>
      <w:r>
        <w:noBreakHyphen/>
      </w:r>
      <w:r>
        <w:rPr>
          <w:caps/>
        </w:rPr>
        <w:t>EDC/</w:t>
      </w:r>
      <w:r>
        <w:t>Mar1</w:t>
      </w:r>
      <w:r w:rsidR="00857E57">
        <w:t>9</w:t>
      </w:r>
      <w:r>
        <w:rPr>
          <w:caps/>
        </w:rPr>
        <w:t>/2</w:t>
      </w:r>
      <w:r>
        <w:t xml:space="preserve"> y formuló las recomendaciones expuestas en el cuadro siguiente.</w:t>
      </w:r>
    </w:p>
    <w:p w14:paraId="3534AD1A" w14:textId="77777777" w:rsidR="00F44E48" w:rsidRPr="00360589" w:rsidRDefault="00F44E48" w:rsidP="00F44E48">
      <w:pPr>
        <w:keepNext/>
        <w:autoSpaceDE w:val="0"/>
        <w:autoSpaceDN w:val="0"/>
        <w:adjustRightInd w:val="0"/>
        <w:ind w:firstLine="567"/>
        <w:rPr>
          <w:rFonts w:cs="Arial"/>
        </w:rPr>
      </w:pPr>
    </w:p>
    <w:p w14:paraId="40E1900B" w14:textId="77777777" w:rsidR="00F44E48" w:rsidRPr="00360589" w:rsidRDefault="00F44E48" w:rsidP="00F44E48">
      <w:pPr>
        <w:autoSpaceDE w:val="0"/>
        <w:autoSpaceDN w:val="0"/>
        <w:adjustRightInd w:val="0"/>
        <w:ind w:firstLine="567"/>
        <w:rPr>
          <w:rFonts w:cs="Arial"/>
        </w:rPr>
      </w:pPr>
      <w:r>
        <w:t xml:space="preserve">El TC-EDC convino en que, si el experto principal está de acuerdo con las recomendaciones formuladas, se distribuya la revisión parcial de las directrices de examen del almendro a los miembros del TC para su aprobación por correspondencia. </w:t>
      </w:r>
    </w:p>
    <w:p w14:paraId="285FC86B" w14:textId="77777777" w:rsidR="00F44E48" w:rsidRPr="00360589" w:rsidRDefault="00F44E48" w:rsidP="00F44E48">
      <w:pPr>
        <w:keepNext/>
        <w:jc w:val="center"/>
        <w:rPr>
          <w:rFonts w:cs="Arial"/>
          <w:b/>
          <w:bCs/>
          <w:snapToGrid w:val="0"/>
          <w:color w:val="00000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F44E48" w:rsidRPr="00360589" w14:paraId="094A76DC" w14:textId="77777777" w:rsidTr="00313560">
        <w:trPr>
          <w:cantSplit/>
        </w:trPr>
        <w:tc>
          <w:tcPr>
            <w:tcW w:w="1573" w:type="dxa"/>
          </w:tcPr>
          <w:p w14:paraId="7D988337" w14:textId="77777777" w:rsidR="00F44E48" w:rsidRPr="00360589" w:rsidRDefault="00F44E48" w:rsidP="00313560">
            <w:pPr>
              <w:jc w:val="left"/>
              <w:rPr>
                <w:rFonts w:cs="Arial"/>
              </w:rPr>
            </w:pPr>
            <w:r>
              <w:t>9.</w:t>
            </w:r>
          </w:p>
        </w:tc>
        <w:tc>
          <w:tcPr>
            <w:tcW w:w="8086" w:type="dxa"/>
          </w:tcPr>
          <w:p w14:paraId="5EEEC6B8" w14:textId="77777777" w:rsidR="00F44E48" w:rsidRPr="00360589" w:rsidRDefault="00F44E48" w:rsidP="00313560">
            <w:pPr>
              <w:keepNext/>
              <w:rPr>
                <w:rFonts w:cs="Arial"/>
              </w:rPr>
            </w:pPr>
            <w:r>
              <w:t xml:space="preserve">revisar según las normas editoriales </w:t>
            </w:r>
          </w:p>
        </w:tc>
      </w:tr>
    </w:tbl>
    <w:p w14:paraId="08BE8CA0" w14:textId="77777777" w:rsidR="00F44E48" w:rsidRPr="00360589" w:rsidRDefault="00F44E48" w:rsidP="00F44E48">
      <w:pPr>
        <w:jc w:val="center"/>
        <w:rPr>
          <w:rFonts w:cs="Arial"/>
          <w:b/>
          <w:bCs/>
          <w:snapToGrid w:val="0"/>
        </w:rPr>
      </w:pPr>
    </w:p>
    <w:p w14:paraId="11257A2B" w14:textId="77777777" w:rsidR="00F44E48" w:rsidRPr="00360589"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7221134F" w14:textId="77777777" w:rsidTr="00313560">
        <w:trPr>
          <w:cantSplit/>
          <w:jc w:val="center"/>
        </w:trPr>
        <w:tc>
          <w:tcPr>
            <w:tcW w:w="9670" w:type="dxa"/>
            <w:shd w:val="clear" w:color="auto" w:fill="D9D9D9"/>
            <w:vAlign w:val="center"/>
          </w:tcPr>
          <w:p w14:paraId="65CC8542" w14:textId="77777777" w:rsidR="00F44E48" w:rsidRPr="00360589" w:rsidRDefault="00F44E48" w:rsidP="00313560">
            <w:pPr>
              <w:pStyle w:val="BodyText"/>
              <w:keepNext/>
              <w:tabs>
                <w:tab w:val="left" w:pos="1849"/>
              </w:tabs>
              <w:ind w:left="1803" w:hanging="1803"/>
              <w:jc w:val="left"/>
              <w:rPr>
                <w:rFonts w:cs="Arial"/>
                <w:b/>
                <w:iCs/>
              </w:rPr>
            </w:pPr>
            <w:r>
              <w:rPr>
                <w:b/>
              </w:rPr>
              <w:t>TC-EDC/Mar19/3</w:t>
            </w:r>
            <w:r>
              <w:tab/>
            </w:r>
            <w:r>
              <w:rPr>
                <w:b/>
              </w:rPr>
              <w:t>Revisión parcial de las directrices de examen del cocotero</w:t>
            </w:r>
          </w:p>
        </w:tc>
      </w:tr>
    </w:tbl>
    <w:p w14:paraId="79EEB1D6" w14:textId="77777777" w:rsidR="00F44E48" w:rsidRPr="00360589" w:rsidRDefault="00F44E48" w:rsidP="00F44E48">
      <w:pPr>
        <w:jc w:val="center"/>
        <w:rPr>
          <w:rFonts w:cs="Arial"/>
          <w:b/>
          <w:bCs/>
          <w:snapToGrid w:val="0"/>
        </w:rPr>
      </w:pPr>
    </w:p>
    <w:p w14:paraId="55294D8F" w14:textId="3A57CB02" w:rsidR="00F44E48" w:rsidRPr="00360589" w:rsidRDefault="00F44E48" w:rsidP="00F44E48">
      <w:pPr>
        <w:autoSpaceDE w:val="0"/>
        <w:autoSpaceDN w:val="0"/>
        <w:adjustRightInd w:val="0"/>
        <w:ind w:firstLine="567"/>
        <w:rPr>
          <w:rFonts w:cs="Arial"/>
        </w:rPr>
      </w:pPr>
      <w:r>
        <w:t>En su reunión celebrada en Ginebra el 26 de marzo de 2019, el TC-EDC examinó el documento </w:t>
      </w:r>
      <w:r>
        <w:rPr>
          <w:caps/>
        </w:rPr>
        <w:t>TC</w:t>
      </w:r>
      <w:r>
        <w:noBreakHyphen/>
      </w:r>
      <w:r>
        <w:rPr>
          <w:caps/>
        </w:rPr>
        <w:t>EDC/M</w:t>
      </w:r>
      <w:r>
        <w:t>ar</w:t>
      </w:r>
      <w:r w:rsidR="00857E57">
        <w:rPr>
          <w:caps/>
        </w:rPr>
        <w:t>19</w:t>
      </w:r>
      <w:r>
        <w:rPr>
          <w:caps/>
        </w:rPr>
        <w:t>/3</w:t>
      </w:r>
      <w:r>
        <w:t xml:space="preserve"> y convino en que se distribuya la revisión parcial de las directrices de examen del cocotero a los miembros del TC para su aprobación por correspondencia. </w:t>
      </w:r>
    </w:p>
    <w:p w14:paraId="2C9159AA" w14:textId="77777777" w:rsidR="00F44E48" w:rsidRPr="00360589" w:rsidRDefault="00F44E48" w:rsidP="00F44E48">
      <w:pPr>
        <w:jc w:val="center"/>
        <w:rPr>
          <w:rFonts w:cs="Arial"/>
          <w:b/>
          <w:bCs/>
          <w:snapToGrid w:val="0"/>
        </w:rPr>
      </w:pPr>
    </w:p>
    <w:p w14:paraId="5F29AC1E" w14:textId="77777777" w:rsidR="00F44E48" w:rsidRPr="00360589"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551752DD" w14:textId="77777777" w:rsidTr="00313560">
        <w:trPr>
          <w:cantSplit/>
          <w:jc w:val="center"/>
        </w:trPr>
        <w:tc>
          <w:tcPr>
            <w:tcW w:w="9670" w:type="dxa"/>
            <w:shd w:val="clear" w:color="auto" w:fill="D9D9D9"/>
            <w:vAlign w:val="center"/>
          </w:tcPr>
          <w:p w14:paraId="5CBCE12D" w14:textId="77777777" w:rsidR="00F44E48" w:rsidRPr="00360589" w:rsidRDefault="00F44E48" w:rsidP="00313560">
            <w:pPr>
              <w:pStyle w:val="BodyText"/>
              <w:keepNext/>
              <w:tabs>
                <w:tab w:val="left" w:pos="1849"/>
              </w:tabs>
              <w:ind w:left="1803" w:hanging="1803"/>
              <w:jc w:val="left"/>
              <w:rPr>
                <w:rFonts w:cs="Arial"/>
                <w:b/>
                <w:iCs/>
              </w:rPr>
            </w:pPr>
            <w:r>
              <w:rPr>
                <w:b/>
              </w:rPr>
              <w:t>TC-EDC/Mar19/4</w:t>
            </w:r>
            <w:r>
              <w:tab/>
            </w:r>
            <w:r>
              <w:rPr>
                <w:b/>
              </w:rPr>
              <w:t>Revisión parcial de las directrices de examen de la actinidia</w:t>
            </w:r>
          </w:p>
        </w:tc>
      </w:tr>
    </w:tbl>
    <w:p w14:paraId="7AD2C81D" w14:textId="77777777" w:rsidR="00F44E48" w:rsidRPr="00360589" w:rsidRDefault="00F44E48" w:rsidP="00F44E48">
      <w:pPr>
        <w:keepNext/>
        <w:jc w:val="center"/>
        <w:rPr>
          <w:rFonts w:cs="Arial"/>
          <w:b/>
          <w:bCs/>
          <w:snapToGrid w:val="0"/>
          <w:color w:val="000000"/>
        </w:rPr>
      </w:pPr>
    </w:p>
    <w:p w14:paraId="03540CF4" w14:textId="7D00E7C3" w:rsidR="00F44E48" w:rsidRPr="00360589" w:rsidRDefault="00F44E48" w:rsidP="00F44E48">
      <w:pPr>
        <w:keepNext/>
        <w:ind w:firstLine="567"/>
        <w:rPr>
          <w:rFonts w:cs="Arial"/>
        </w:rPr>
      </w:pPr>
      <w:r>
        <w:t>En su reunión celebrada en Ginebra el 26 de marzo de 2019, el TC-EDC examinó el documento </w:t>
      </w:r>
      <w:r>
        <w:rPr>
          <w:caps/>
        </w:rPr>
        <w:t>TC</w:t>
      </w:r>
      <w:r>
        <w:noBreakHyphen/>
      </w:r>
      <w:r>
        <w:rPr>
          <w:caps/>
        </w:rPr>
        <w:t>EDC/</w:t>
      </w:r>
      <w:r w:rsidR="00857E57">
        <w:t>Mar19</w:t>
      </w:r>
      <w:r>
        <w:rPr>
          <w:caps/>
        </w:rPr>
        <w:t>/4</w:t>
      </w:r>
      <w:r>
        <w:t xml:space="preserve"> y formuló las recomendaciones expuestas en el cuadro siguiente.</w:t>
      </w:r>
    </w:p>
    <w:p w14:paraId="4A81AF67" w14:textId="77777777" w:rsidR="00F44E48" w:rsidRPr="00360589" w:rsidRDefault="00F44E48" w:rsidP="00F44E48">
      <w:pPr>
        <w:keepNext/>
        <w:autoSpaceDE w:val="0"/>
        <w:autoSpaceDN w:val="0"/>
        <w:adjustRightInd w:val="0"/>
        <w:ind w:firstLine="567"/>
        <w:rPr>
          <w:rFonts w:cs="Arial"/>
        </w:rPr>
      </w:pPr>
    </w:p>
    <w:p w14:paraId="6C32D630" w14:textId="77777777" w:rsidR="00F44E48" w:rsidRPr="00360589" w:rsidRDefault="00F44E48" w:rsidP="00F44E48">
      <w:pPr>
        <w:autoSpaceDE w:val="0"/>
        <w:autoSpaceDN w:val="0"/>
        <w:adjustRightInd w:val="0"/>
        <w:ind w:firstLine="567"/>
        <w:rPr>
          <w:rFonts w:cs="Arial"/>
        </w:rPr>
      </w:pPr>
      <w:r>
        <w:t xml:space="preserve">El TC-EDC convino en que, si el experto principal está de acuerdo con las recomendaciones formuladas, se distribuya la revisión parcial de las directrices de examen de la actinidia a los miembros del TC para su aprobación por correspondencia. </w:t>
      </w:r>
    </w:p>
    <w:p w14:paraId="754FE320" w14:textId="77777777" w:rsidR="00F44E48" w:rsidRPr="00360589" w:rsidRDefault="00F44E48" w:rsidP="00F44E48">
      <w:pPr>
        <w:keepNext/>
        <w:jc w:val="center"/>
        <w:rPr>
          <w:rFonts w:cs="Arial"/>
          <w:b/>
          <w:bCs/>
          <w:snapToGrid w:val="0"/>
          <w:color w:val="00000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F44E48" w:rsidRPr="00360589" w14:paraId="215B97D0" w14:textId="77777777" w:rsidTr="00313560">
        <w:trPr>
          <w:cantSplit/>
        </w:trPr>
        <w:tc>
          <w:tcPr>
            <w:tcW w:w="1573" w:type="dxa"/>
          </w:tcPr>
          <w:p w14:paraId="14C92DDA" w14:textId="77777777" w:rsidR="00F44E48" w:rsidRPr="00360589" w:rsidRDefault="00F44E48" w:rsidP="00313560">
            <w:pPr>
              <w:jc w:val="left"/>
              <w:rPr>
                <w:rFonts w:cs="Arial"/>
              </w:rPr>
            </w:pPr>
            <w:r>
              <w:t>Nuevo carácter 29</w:t>
            </w:r>
          </w:p>
        </w:tc>
        <w:tc>
          <w:tcPr>
            <w:tcW w:w="8086" w:type="dxa"/>
          </w:tcPr>
          <w:p w14:paraId="04F0B4FA" w14:textId="77777777" w:rsidR="00F44E48" w:rsidRPr="00360589" w:rsidRDefault="00F44E48" w:rsidP="00313560">
            <w:pPr>
              <w:keepNext/>
              <w:rPr>
                <w:rFonts w:cs="Arial"/>
              </w:rPr>
            </w:pPr>
            <w:r>
              <w:t>suprimir “(2)” (véanse las variedades ejemplo acordadas por el TWF; el carácter no solo se aplica a los caracteres del grupo B)</w:t>
            </w:r>
          </w:p>
        </w:tc>
      </w:tr>
    </w:tbl>
    <w:p w14:paraId="51DBDADB" w14:textId="77777777" w:rsidR="00F44E48" w:rsidRPr="00360589" w:rsidRDefault="00F44E48" w:rsidP="00F44E48">
      <w:pPr>
        <w:jc w:val="center"/>
        <w:rPr>
          <w:rFonts w:cs="Arial"/>
          <w:b/>
          <w:bCs/>
          <w:snapToGrid w:val="0"/>
        </w:rPr>
      </w:pPr>
    </w:p>
    <w:p w14:paraId="7A67EAA8" w14:textId="77777777" w:rsidR="00F44E48" w:rsidRPr="00360589"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0B9EE6B0" w14:textId="77777777" w:rsidTr="00313560">
        <w:trPr>
          <w:cantSplit/>
          <w:jc w:val="center"/>
        </w:trPr>
        <w:tc>
          <w:tcPr>
            <w:tcW w:w="9670" w:type="dxa"/>
            <w:shd w:val="clear" w:color="auto" w:fill="D9D9D9"/>
            <w:vAlign w:val="center"/>
          </w:tcPr>
          <w:p w14:paraId="7FA22CD5" w14:textId="77777777" w:rsidR="00F44E48" w:rsidRPr="00360589" w:rsidRDefault="00F44E48" w:rsidP="00313560">
            <w:pPr>
              <w:pStyle w:val="BodyText"/>
              <w:keepNext/>
              <w:tabs>
                <w:tab w:val="left" w:pos="1849"/>
              </w:tabs>
              <w:ind w:left="1803" w:hanging="1803"/>
              <w:jc w:val="left"/>
              <w:rPr>
                <w:rFonts w:cs="Arial"/>
                <w:b/>
                <w:iCs/>
              </w:rPr>
            </w:pPr>
            <w:r>
              <w:rPr>
                <w:b/>
              </w:rPr>
              <w:t>TC-EDC/Mar19/5</w:t>
            </w:r>
            <w:r>
              <w:tab/>
            </w:r>
            <w:r>
              <w:rPr>
                <w:b/>
              </w:rPr>
              <w:t>Revisión parcial de las directrices de examen de la lechuga</w:t>
            </w:r>
          </w:p>
        </w:tc>
      </w:tr>
    </w:tbl>
    <w:p w14:paraId="6A04926D" w14:textId="77777777" w:rsidR="00F44E48" w:rsidRPr="00360589" w:rsidRDefault="00F44E48" w:rsidP="00F44E48">
      <w:pPr>
        <w:keepNext/>
        <w:jc w:val="center"/>
        <w:rPr>
          <w:rFonts w:cs="Arial"/>
          <w:b/>
          <w:bCs/>
          <w:snapToGrid w:val="0"/>
          <w:color w:val="000000"/>
        </w:rPr>
      </w:pPr>
    </w:p>
    <w:p w14:paraId="4C724B0B" w14:textId="2C8FC693" w:rsidR="00F44E48" w:rsidRPr="00360589" w:rsidRDefault="00F44E48" w:rsidP="00F44E48">
      <w:pPr>
        <w:keepNext/>
        <w:ind w:firstLine="567"/>
        <w:rPr>
          <w:rFonts w:cs="Arial"/>
        </w:rPr>
      </w:pPr>
      <w:r>
        <w:t>En su reunión celebrada en Ginebra el 26 de marzo de 2019, el TC-EDC examinó el documento </w:t>
      </w:r>
      <w:r>
        <w:rPr>
          <w:caps/>
        </w:rPr>
        <w:t>TC</w:t>
      </w:r>
      <w:r>
        <w:noBreakHyphen/>
      </w:r>
      <w:r>
        <w:rPr>
          <w:caps/>
        </w:rPr>
        <w:t>EDC/</w:t>
      </w:r>
      <w:r w:rsidR="00857E57">
        <w:t>Mar19</w:t>
      </w:r>
      <w:r>
        <w:rPr>
          <w:caps/>
        </w:rPr>
        <w:t>/5</w:t>
      </w:r>
      <w:r>
        <w:t xml:space="preserve"> y formuló las recomendaciones expuestas en el cuadro siguiente.</w:t>
      </w:r>
    </w:p>
    <w:p w14:paraId="57B5D0F7" w14:textId="77777777" w:rsidR="00F44E48" w:rsidRPr="00360589" w:rsidRDefault="00F44E48" w:rsidP="00F44E48">
      <w:pPr>
        <w:keepNext/>
        <w:autoSpaceDE w:val="0"/>
        <w:autoSpaceDN w:val="0"/>
        <w:adjustRightInd w:val="0"/>
        <w:ind w:firstLine="567"/>
        <w:rPr>
          <w:rFonts w:cs="Arial"/>
        </w:rPr>
      </w:pPr>
    </w:p>
    <w:p w14:paraId="751E8A1D" w14:textId="77777777" w:rsidR="00F44E48" w:rsidRPr="00360589" w:rsidRDefault="00F44E48" w:rsidP="00F44E48">
      <w:pPr>
        <w:autoSpaceDE w:val="0"/>
        <w:autoSpaceDN w:val="0"/>
        <w:adjustRightInd w:val="0"/>
        <w:ind w:firstLine="567"/>
        <w:rPr>
          <w:rFonts w:cs="Arial"/>
        </w:rPr>
      </w:pPr>
      <w:r>
        <w:t xml:space="preserve">El TC-EDC convino en que, si el experto principal está de acuerdo con las recomendaciones formuladas, se distribuya la revisión parcial de las directrices de examen de la lechuga a los miembros del TC para su aprobación por correspondencia. </w:t>
      </w:r>
    </w:p>
    <w:p w14:paraId="2FA57A70" w14:textId="77777777" w:rsidR="00F44E48" w:rsidRPr="00360589" w:rsidRDefault="00F44E48" w:rsidP="00F44E48">
      <w:pPr>
        <w:keepNext/>
        <w:jc w:val="center"/>
        <w:rPr>
          <w:rFonts w:cs="Arial"/>
          <w:b/>
          <w:bCs/>
          <w:snapToGrid w:val="0"/>
          <w:color w:val="00000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F44E48" w:rsidRPr="00360589" w14:paraId="2ABEE173" w14:textId="77777777" w:rsidTr="00313560">
        <w:trPr>
          <w:cantSplit/>
        </w:trPr>
        <w:tc>
          <w:tcPr>
            <w:tcW w:w="1573" w:type="dxa"/>
          </w:tcPr>
          <w:p w14:paraId="7A56F6EC" w14:textId="77777777" w:rsidR="00F44E48" w:rsidRPr="00360589" w:rsidRDefault="00F44E48" w:rsidP="00313560">
            <w:pPr>
              <w:jc w:val="left"/>
              <w:rPr>
                <w:rFonts w:cs="Arial"/>
              </w:rPr>
            </w:pPr>
            <w:r>
              <w:t>Ad. 38 a 52, 8.2</w:t>
            </w:r>
          </w:p>
        </w:tc>
        <w:tc>
          <w:tcPr>
            <w:tcW w:w="8086" w:type="dxa"/>
          </w:tcPr>
          <w:p w14:paraId="754BAC93" w14:textId="77777777" w:rsidR="00F44E48" w:rsidRPr="00360589" w:rsidRDefault="00F44E48" w:rsidP="00313560">
            <w:pPr>
              <w:keepNext/>
              <w:rPr>
                <w:rFonts w:cs="Arial"/>
              </w:rPr>
            </w:pPr>
            <w:r>
              <w:t>el texto ha de ser</w:t>
            </w:r>
          </w:p>
          <w:p w14:paraId="73287285" w14:textId="77777777" w:rsidR="00F44E48" w:rsidRPr="00360589" w:rsidRDefault="00F44E48" w:rsidP="00313560">
            <w:pPr>
              <w:keepNext/>
              <w:rPr>
                <w:rFonts w:cs="Arial"/>
              </w:rPr>
            </w:pPr>
            <w:r>
              <w:t>“variedad susceptible, por ejemplo Green Towers.</w:t>
            </w:r>
          </w:p>
          <w:p w14:paraId="71BE408A" w14:textId="77777777" w:rsidR="00F44E48" w:rsidRPr="00360589" w:rsidRDefault="00F44E48" w:rsidP="00313560">
            <w:pPr>
              <w:keepNext/>
              <w:rPr>
                <w:rFonts w:cs="Arial"/>
              </w:rPr>
            </w:pPr>
            <w:r>
              <w:rPr>
                <w:highlight w:val="lightGray"/>
                <w:u w:val="single"/>
              </w:rPr>
              <w:t>P</w:t>
            </w:r>
            <w:r>
              <w:t>ara aislados superiores…”</w:t>
            </w:r>
          </w:p>
        </w:tc>
      </w:tr>
      <w:tr w:rsidR="00F44E48" w:rsidRPr="00360589" w14:paraId="6D1AD962" w14:textId="77777777" w:rsidTr="00313560">
        <w:trPr>
          <w:cantSplit/>
        </w:trPr>
        <w:tc>
          <w:tcPr>
            <w:tcW w:w="1573" w:type="dxa"/>
          </w:tcPr>
          <w:p w14:paraId="77DBC13B" w14:textId="77777777" w:rsidR="00F44E48" w:rsidRPr="00360589" w:rsidRDefault="00F44E48" w:rsidP="00313560">
            <w:pPr>
              <w:jc w:val="left"/>
              <w:rPr>
                <w:rFonts w:cs="Arial"/>
                <w:color w:val="000000"/>
              </w:rPr>
            </w:pPr>
            <w:r>
              <w:rPr>
                <w:color w:val="000000"/>
              </w:rPr>
              <w:t>Ad. 38 a 52, 10.2</w:t>
            </w:r>
          </w:p>
        </w:tc>
        <w:tc>
          <w:tcPr>
            <w:tcW w:w="8086" w:type="dxa"/>
          </w:tcPr>
          <w:p w14:paraId="4490E713" w14:textId="77777777" w:rsidR="00F44E48" w:rsidRPr="00360589" w:rsidRDefault="00F44E48" w:rsidP="00313560">
            <w:pPr>
              <w:keepNext/>
              <w:rPr>
                <w:rFonts w:cs="Arial"/>
              </w:rPr>
            </w:pPr>
            <w:r>
              <w:t>el texto ha de ser: “3 × 10</w:t>
            </w:r>
            <w:r>
              <w:rPr>
                <w:vertAlign w:val="superscript"/>
              </w:rPr>
              <w:t>4</w:t>
            </w:r>
            <w:r>
              <w:t xml:space="preserve"> – 1 × 10</w:t>
            </w:r>
            <w:r>
              <w:rPr>
                <w:vertAlign w:val="superscript"/>
              </w:rPr>
              <w:t>5</w:t>
            </w:r>
            <w:r>
              <w:t>”</w:t>
            </w:r>
          </w:p>
          <w:p w14:paraId="05FD9A73" w14:textId="77777777" w:rsidR="00F44E48" w:rsidRPr="00360589" w:rsidRDefault="00F44E48" w:rsidP="00313560">
            <w:pPr>
              <w:keepNext/>
              <w:rPr>
                <w:rFonts w:cs="Arial"/>
              </w:rPr>
            </w:pPr>
          </w:p>
        </w:tc>
      </w:tr>
      <w:tr w:rsidR="00F44E48" w:rsidRPr="00360589" w14:paraId="51F76473" w14:textId="77777777" w:rsidTr="00313560">
        <w:trPr>
          <w:cantSplit/>
        </w:trPr>
        <w:tc>
          <w:tcPr>
            <w:tcW w:w="1573" w:type="dxa"/>
          </w:tcPr>
          <w:p w14:paraId="3A1279DD" w14:textId="77777777" w:rsidR="00F44E48" w:rsidRPr="00360589" w:rsidRDefault="00F44E48" w:rsidP="00313560">
            <w:pPr>
              <w:jc w:val="left"/>
              <w:rPr>
                <w:rFonts w:cs="Arial"/>
              </w:rPr>
            </w:pPr>
            <w:r>
              <w:t>Ad. 38 a 52, a título de referencia</w:t>
            </w:r>
          </w:p>
        </w:tc>
        <w:tc>
          <w:tcPr>
            <w:tcW w:w="8086" w:type="dxa"/>
          </w:tcPr>
          <w:p w14:paraId="71D9F776" w14:textId="77777777" w:rsidR="00F44E48" w:rsidRPr="00360589" w:rsidRDefault="00F44E48" w:rsidP="00313560">
            <w:pPr>
              <w:keepNext/>
              <w:rPr>
                <w:rFonts w:cs="Arial"/>
              </w:rPr>
            </w:pPr>
            <w:r>
              <w:t>la última frase ha de ser: “Se presentan también fotografías de la escala de observación.”</w:t>
            </w:r>
          </w:p>
        </w:tc>
      </w:tr>
    </w:tbl>
    <w:p w14:paraId="1AD56FEA" w14:textId="0BF5BC8B" w:rsidR="00B75B65" w:rsidRDefault="00B75B65" w:rsidP="00F44E48">
      <w:pPr>
        <w:rPr>
          <w:rFonts w:cs="Arial"/>
        </w:rPr>
      </w:pPr>
    </w:p>
    <w:p w14:paraId="6D4ED638" w14:textId="77777777" w:rsidR="00B75B65" w:rsidRDefault="00B75B65">
      <w:pPr>
        <w:jc w:val="left"/>
        <w:rPr>
          <w:rFonts w:cs="Arial"/>
        </w:rPr>
      </w:pPr>
      <w:r>
        <w:rPr>
          <w:rFonts w:cs="Arial"/>
        </w:rPr>
        <w:br w:type="page"/>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5"/>
      </w:tblGrid>
      <w:tr w:rsidR="00F44E48" w:rsidRPr="00360589" w14:paraId="21200CB8" w14:textId="77777777" w:rsidTr="00313560">
        <w:trPr>
          <w:cantSplit/>
          <w:jc w:val="center"/>
        </w:trPr>
        <w:tc>
          <w:tcPr>
            <w:tcW w:w="9675" w:type="dxa"/>
            <w:shd w:val="clear" w:color="auto" w:fill="D9D9D9"/>
            <w:vAlign w:val="center"/>
          </w:tcPr>
          <w:p w14:paraId="085ADEBF" w14:textId="77777777" w:rsidR="00F44E48" w:rsidRPr="00360589" w:rsidRDefault="00F44E48" w:rsidP="00313560">
            <w:pPr>
              <w:pStyle w:val="BodyText"/>
              <w:tabs>
                <w:tab w:val="left" w:pos="1849"/>
              </w:tabs>
              <w:ind w:left="1803" w:hanging="1803"/>
              <w:jc w:val="left"/>
              <w:rPr>
                <w:rFonts w:cs="Arial"/>
                <w:b/>
                <w:iCs/>
              </w:rPr>
            </w:pPr>
            <w:r>
              <w:rPr>
                <w:b/>
              </w:rPr>
              <w:lastRenderedPageBreak/>
              <w:t>TC-EDC/Mar19/6</w:t>
            </w:r>
            <w:r>
              <w:tab/>
            </w:r>
            <w:r>
              <w:rPr>
                <w:b/>
              </w:rPr>
              <w:t>Revisión parcial de las directrices de examen del guisante</w:t>
            </w:r>
          </w:p>
        </w:tc>
      </w:tr>
    </w:tbl>
    <w:p w14:paraId="6594C5AF" w14:textId="77777777" w:rsidR="00F44E48" w:rsidRPr="00360589" w:rsidRDefault="00F44E48" w:rsidP="00F44E48">
      <w:pPr>
        <w:jc w:val="center"/>
        <w:rPr>
          <w:rFonts w:cs="Arial"/>
          <w:b/>
          <w:bCs/>
          <w:snapToGrid w:val="0"/>
        </w:rPr>
      </w:pPr>
    </w:p>
    <w:p w14:paraId="1770B86C" w14:textId="5B1A7BAF" w:rsidR="00F44E48" w:rsidRPr="00360589" w:rsidRDefault="00F44E48" w:rsidP="00F44E48">
      <w:pPr>
        <w:autoSpaceDE w:val="0"/>
        <w:autoSpaceDN w:val="0"/>
        <w:adjustRightInd w:val="0"/>
        <w:ind w:firstLine="567"/>
        <w:rPr>
          <w:rFonts w:cs="Arial"/>
        </w:rPr>
      </w:pPr>
      <w:r>
        <w:t>En su reunión celebrada en Ginebra el 26 de marzo de 2019, el TC-EDC examinó el documento </w:t>
      </w:r>
      <w:r>
        <w:rPr>
          <w:caps/>
        </w:rPr>
        <w:t>TC</w:t>
      </w:r>
      <w:r>
        <w:noBreakHyphen/>
      </w:r>
      <w:r>
        <w:rPr>
          <w:caps/>
        </w:rPr>
        <w:t>EDC/M</w:t>
      </w:r>
      <w:r>
        <w:t>ar</w:t>
      </w:r>
      <w:r>
        <w:rPr>
          <w:caps/>
        </w:rPr>
        <w:t>1</w:t>
      </w:r>
      <w:r w:rsidR="00857E57">
        <w:rPr>
          <w:caps/>
        </w:rPr>
        <w:t>9</w:t>
      </w:r>
      <w:r>
        <w:rPr>
          <w:caps/>
        </w:rPr>
        <w:t>/6</w:t>
      </w:r>
      <w:r>
        <w:t xml:space="preserve"> y convino en que se distribuya la revisión parcial de las directrices de examen del guisante a los miembros del TC para su aprobación por correspondencia. </w:t>
      </w:r>
    </w:p>
    <w:p w14:paraId="5A5FC5A6" w14:textId="77777777" w:rsidR="00F44E48" w:rsidRPr="00360589"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37C8E7CF" w14:textId="77777777" w:rsidTr="00313560">
        <w:trPr>
          <w:cantSplit/>
          <w:jc w:val="center"/>
        </w:trPr>
        <w:tc>
          <w:tcPr>
            <w:tcW w:w="9670" w:type="dxa"/>
            <w:shd w:val="clear" w:color="auto" w:fill="D9D9D9"/>
            <w:vAlign w:val="center"/>
          </w:tcPr>
          <w:p w14:paraId="272E56E9" w14:textId="77777777" w:rsidR="00F44E48" w:rsidRPr="00360589" w:rsidRDefault="00F44E48" w:rsidP="00313560">
            <w:pPr>
              <w:pStyle w:val="BodyText"/>
              <w:keepNext/>
              <w:tabs>
                <w:tab w:val="left" w:pos="1849"/>
              </w:tabs>
              <w:ind w:left="1803" w:hanging="1803"/>
              <w:jc w:val="left"/>
              <w:rPr>
                <w:rFonts w:cs="Arial"/>
                <w:b/>
                <w:iCs/>
              </w:rPr>
            </w:pPr>
            <w:r>
              <w:rPr>
                <w:b/>
              </w:rPr>
              <w:t>TC-EDC/Mar19/7</w:t>
            </w:r>
            <w:r>
              <w:tab/>
            </w:r>
            <w:r>
              <w:rPr>
                <w:b/>
              </w:rPr>
              <w:t>Revisión parcial de las directrices de examen de la espinaca</w:t>
            </w:r>
          </w:p>
        </w:tc>
      </w:tr>
    </w:tbl>
    <w:p w14:paraId="3171CEC3" w14:textId="77777777" w:rsidR="00F44E48" w:rsidRPr="00360589" w:rsidRDefault="00F44E48" w:rsidP="00F44E48">
      <w:pPr>
        <w:keepNext/>
        <w:jc w:val="center"/>
        <w:rPr>
          <w:rFonts w:cs="Arial"/>
          <w:b/>
          <w:bCs/>
          <w:snapToGrid w:val="0"/>
          <w:color w:val="000000"/>
        </w:rPr>
      </w:pPr>
    </w:p>
    <w:p w14:paraId="7615CB27" w14:textId="021F681B" w:rsidR="00F44E48" w:rsidRPr="00360589" w:rsidRDefault="00F44E48" w:rsidP="00F44E48">
      <w:pPr>
        <w:keepNext/>
        <w:ind w:firstLine="567"/>
        <w:rPr>
          <w:rFonts w:cs="Arial"/>
        </w:rPr>
      </w:pPr>
      <w:r>
        <w:t>En su reunión celebrada en Ginebra el 26 de marzo de 2019, el TC-EDC examinó el documento </w:t>
      </w:r>
      <w:r>
        <w:rPr>
          <w:caps/>
        </w:rPr>
        <w:t>TC</w:t>
      </w:r>
      <w:r>
        <w:noBreakHyphen/>
      </w:r>
      <w:r>
        <w:rPr>
          <w:caps/>
        </w:rPr>
        <w:t>EDC/</w:t>
      </w:r>
      <w:r>
        <w:t>Mar1</w:t>
      </w:r>
      <w:r w:rsidR="00857E57">
        <w:t>9</w:t>
      </w:r>
      <w:bookmarkStart w:id="83" w:name="_GoBack"/>
      <w:bookmarkEnd w:id="83"/>
      <w:r>
        <w:rPr>
          <w:caps/>
        </w:rPr>
        <w:t>/7</w:t>
      </w:r>
      <w:r>
        <w:t xml:space="preserve"> y formuló las recomendaciones expuestas en el cuadro siguiente.</w:t>
      </w:r>
    </w:p>
    <w:p w14:paraId="3D1F9FD6" w14:textId="77777777" w:rsidR="00F44E48" w:rsidRPr="00360589" w:rsidRDefault="00F44E48" w:rsidP="00F44E48">
      <w:pPr>
        <w:keepNext/>
        <w:autoSpaceDE w:val="0"/>
        <w:autoSpaceDN w:val="0"/>
        <w:adjustRightInd w:val="0"/>
        <w:ind w:firstLine="567"/>
        <w:rPr>
          <w:rFonts w:cs="Arial"/>
        </w:rPr>
      </w:pPr>
    </w:p>
    <w:p w14:paraId="0143BA93" w14:textId="77777777" w:rsidR="00F44E48" w:rsidRPr="00360589" w:rsidRDefault="00F44E48" w:rsidP="00F44E48">
      <w:pPr>
        <w:autoSpaceDE w:val="0"/>
        <w:autoSpaceDN w:val="0"/>
        <w:adjustRightInd w:val="0"/>
        <w:ind w:firstLine="567"/>
        <w:rPr>
          <w:rFonts w:cs="Arial"/>
        </w:rPr>
      </w:pPr>
      <w:r>
        <w:t xml:space="preserve">El TC-EDC convino en que, si el experto principal está de acuerdo con las recomendaciones formuladas, se distribuya la revisión parcial de las directrices de examen de la espinaca a los miembros del TC para su aprobación por correspondencia. </w:t>
      </w:r>
    </w:p>
    <w:p w14:paraId="1E59471C" w14:textId="77777777" w:rsidR="00F44E48" w:rsidRPr="00360589" w:rsidRDefault="00F44E48" w:rsidP="00F44E48">
      <w:pPr>
        <w:keepNext/>
        <w:jc w:val="center"/>
        <w:rPr>
          <w:rFonts w:cs="Arial"/>
          <w:b/>
          <w:bCs/>
          <w:snapToGrid w:val="0"/>
          <w:color w:val="00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6"/>
      </w:tblGrid>
      <w:tr w:rsidR="00F44E48" w:rsidRPr="00360589" w14:paraId="1F33A07F" w14:textId="77777777" w:rsidTr="00313560">
        <w:trPr>
          <w:cantSplit/>
        </w:trPr>
        <w:tc>
          <w:tcPr>
            <w:tcW w:w="1573" w:type="dxa"/>
          </w:tcPr>
          <w:p w14:paraId="6209CF5E" w14:textId="77777777" w:rsidR="00F44E48" w:rsidRPr="00360589" w:rsidRDefault="00F44E48" w:rsidP="00313560">
            <w:pPr>
              <w:jc w:val="left"/>
              <w:rPr>
                <w:rFonts w:cs="Arial"/>
              </w:rPr>
            </w:pPr>
            <w:r>
              <w:t>Ad. 18, Evaluación de la infección</w:t>
            </w:r>
          </w:p>
        </w:tc>
        <w:tc>
          <w:tcPr>
            <w:tcW w:w="8066" w:type="dxa"/>
          </w:tcPr>
          <w:p w14:paraId="2D653875" w14:textId="77777777" w:rsidR="00F44E48" w:rsidRPr="00360589" w:rsidRDefault="00F44E48" w:rsidP="00313560">
            <w:pPr>
              <w:keepNext/>
              <w:rPr>
                <w:rFonts w:cs="Arial"/>
              </w:rPr>
            </w:pPr>
            <w:r>
              <w:t>ha de ser “En algunas variedades, el nivel de resistencia puede ser levemente inferior y puede dar lugar, por ejemplo, a una ligera esporulación apical. Este nivel/estas variedades se indica(n) en el cuadro mediante (R).”</w:t>
            </w:r>
          </w:p>
        </w:tc>
      </w:tr>
      <w:tr w:rsidR="00F44E48" w:rsidRPr="00360589" w14:paraId="2B17EDC1" w14:textId="77777777" w:rsidTr="00313560">
        <w:trPr>
          <w:cantSplit/>
        </w:trPr>
        <w:tc>
          <w:tcPr>
            <w:tcW w:w="1573" w:type="dxa"/>
          </w:tcPr>
          <w:p w14:paraId="1AA0E043" w14:textId="77777777" w:rsidR="00F44E48" w:rsidRPr="00360589" w:rsidRDefault="00F44E48" w:rsidP="00313560">
            <w:pPr>
              <w:jc w:val="left"/>
              <w:rPr>
                <w:rFonts w:cs="Arial"/>
              </w:rPr>
            </w:pPr>
            <w:r>
              <w:t>Ad. 18</w:t>
            </w:r>
          </w:p>
        </w:tc>
        <w:tc>
          <w:tcPr>
            <w:tcW w:w="8066" w:type="dxa"/>
          </w:tcPr>
          <w:p w14:paraId="28C81FB1" w14:textId="77777777" w:rsidR="00F44E48" w:rsidRPr="00360589" w:rsidRDefault="00F44E48" w:rsidP="00313560">
            <w:pPr>
              <w:keepNext/>
              <w:rPr>
                <w:rFonts w:cs="Arial"/>
              </w:rPr>
            </w:pPr>
            <w:r>
              <w:t>- la frase que figura antes de la tabla ha de ser “Se dispone de variedades diferenciales y aislados…”</w:t>
            </w:r>
          </w:p>
          <w:p w14:paraId="2074895E" w14:textId="77777777" w:rsidR="00F44E48" w:rsidRPr="00360589" w:rsidRDefault="00F44E48" w:rsidP="00313560">
            <w:pPr>
              <w:keepNext/>
              <w:rPr>
                <w:rFonts w:cs="Arial"/>
              </w:rPr>
            </w:pPr>
            <w:r>
              <w:t>- leyenda de la tabla de variedades diferenciales y líneas casi isogénicas (NIL) ha de ser solo “Variedades diferenciales”</w:t>
            </w:r>
          </w:p>
          <w:p w14:paraId="31C69A3D" w14:textId="77777777" w:rsidR="00F44E48" w:rsidRPr="00360589" w:rsidRDefault="00F44E48" w:rsidP="00313560">
            <w:pPr>
              <w:keepNext/>
              <w:rPr>
                <w:rFonts w:cs="Arial"/>
              </w:rPr>
            </w:pPr>
            <w:r>
              <w:t>- después de la tabla se ha de indicar: “Cortesía de la ISF; el cuadro puede consultarse en…”</w:t>
            </w:r>
          </w:p>
        </w:tc>
      </w:tr>
    </w:tbl>
    <w:p w14:paraId="5008C58D" w14:textId="77777777" w:rsidR="00F44E48" w:rsidRPr="00360589" w:rsidRDefault="00F44E48" w:rsidP="00F44E48">
      <w:pPr>
        <w:keepNext/>
        <w:jc w:val="left"/>
        <w:rPr>
          <w:rFonts w:cs="Arial"/>
          <w:u w:val="single"/>
        </w:rPr>
      </w:pPr>
    </w:p>
    <w:p w14:paraId="7B8F9427" w14:textId="77777777" w:rsidR="00F44E48" w:rsidRPr="00360589" w:rsidRDefault="00F44E48" w:rsidP="00F44E48">
      <w:pPr>
        <w:keepNext/>
        <w:jc w:val="left"/>
        <w:rPr>
          <w:rFonts w:cs="Arial"/>
          <w:u w:val="single"/>
        </w:rPr>
      </w:pPr>
    </w:p>
    <w:p w14:paraId="4E338584" w14:textId="77777777" w:rsidR="00F44E48" w:rsidRPr="00360589" w:rsidRDefault="00F44E48" w:rsidP="00F44E48">
      <w:pPr>
        <w:pStyle w:val="Heading3"/>
        <w:rPr>
          <w:rFonts w:cs="Arial"/>
        </w:rPr>
      </w:pPr>
      <w:r>
        <w:t>Revisiones</w:t>
      </w:r>
    </w:p>
    <w:p w14:paraId="299601C8" w14:textId="77777777" w:rsidR="00F44E48" w:rsidRPr="00360589" w:rsidRDefault="00F44E48" w:rsidP="00F44E48">
      <w:pPr>
        <w:keepNext/>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11FC9286" w14:textId="77777777" w:rsidTr="00313560">
        <w:trPr>
          <w:cantSplit/>
          <w:trHeight w:val="277"/>
          <w:jc w:val="center"/>
        </w:trPr>
        <w:tc>
          <w:tcPr>
            <w:tcW w:w="2894" w:type="dxa"/>
            <w:vMerge w:val="restart"/>
            <w:shd w:val="clear" w:color="auto" w:fill="D9D9D9"/>
            <w:vAlign w:val="center"/>
          </w:tcPr>
          <w:p w14:paraId="7ACF0D8D" w14:textId="77777777" w:rsidR="00F44E48" w:rsidRPr="00360589" w:rsidRDefault="00F44E48" w:rsidP="00313560">
            <w:pPr>
              <w:pStyle w:val="TitleofDoc"/>
              <w:keepNext/>
              <w:tabs>
                <w:tab w:val="left" w:pos="5245"/>
                <w:tab w:val="left" w:pos="7008"/>
              </w:tabs>
              <w:spacing w:before="0"/>
              <w:jc w:val="left"/>
              <w:rPr>
                <w:rFonts w:cs="Arial"/>
                <w:caps w:val="0"/>
              </w:rPr>
            </w:pPr>
            <w:r>
              <w:t>Arándano americano</w:t>
            </w:r>
          </w:p>
        </w:tc>
        <w:tc>
          <w:tcPr>
            <w:tcW w:w="2552" w:type="dxa"/>
            <w:shd w:val="clear" w:color="auto" w:fill="D9D9D9"/>
            <w:vAlign w:val="center"/>
          </w:tcPr>
          <w:p w14:paraId="7447C764" w14:textId="77777777" w:rsidR="00F44E48" w:rsidRPr="00360589" w:rsidRDefault="00F44E48" w:rsidP="00313560">
            <w:pPr>
              <w:pStyle w:val="TitleofDoc"/>
              <w:keepNext/>
              <w:tabs>
                <w:tab w:val="left" w:pos="5245"/>
                <w:tab w:val="left" w:pos="7008"/>
              </w:tabs>
              <w:spacing w:before="0"/>
              <w:jc w:val="left"/>
              <w:rPr>
                <w:rFonts w:cs="Arial"/>
                <w:caps w:val="0"/>
              </w:rPr>
            </w:pPr>
            <w:r>
              <w:t>TG/137/5(proj.5)</w:t>
            </w:r>
          </w:p>
        </w:tc>
        <w:tc>
          <w:tcPr>
            <w:tcW w:w="2807" w:type="dxa"/>
            <w:shd w:val="clear" w:color="auto" w:fill="D9D9D9"/>
            <w:vAlign w:val="center"/>
          </w:tcPr>
          <w:p w14:paraId="00B93A33" w14:textId="77777777" w:rsidR="00F44E48" w:rsidRPr="00360589" w:rsidRDefault="00F44E48" w:rsidP="00313560">
            <w:pPr>
              <w:keepNext/>
              <w:jc w:val="left"/>
              <w:rPr>
                <w:rFonts w:cs="Arial"/>
                <w:iCs/>
                <w:snapToGrid w:val="0"/>
                <w:color w:val="000000"/>
              </w:rPr>
            </w:pPr>
            <w:r>
              <w:rPr>
                <w:snapToGrid w:val="0"/>
                <w:color w:val="000000"/>
              </w:rPr>
              <w:t>Sr. Nik Hulse (AU)</w:t>
            </w:r>
          </w:p>
        </w:tc>
        <w:tc>
          <w:tcPr>
            <w:tcW w:w="736" w:type="dxa"/>
            <w:vMerge w:val="restart"/>
            <w:shd w:val="clear" w:color="auto" w:fill="D9D9D9"/>
            <w:vAlign w:val="center"/>
          </w:tcPr>
          <w:p w14:paraId="5CFA552C" w14:textId="77777777" w:rsidR="00F44E48" w:rsidRPr="00360589" w:rsidRDefault="00F44E48" w:rsidP="00313560">
            <w:pPr>
              <w:keepNext/>
              <w:jc w:val="left"/>
              <w:rPr>
                <w:rFonts w:cs="Arial"/>
                <w:iCs/>
                <w:highlight w:val="lightGray"/>
              </w:rPr>
            </w:pPr>
            <w:r>
              <w:t>TWF</w:t>
            </w:r>
          </w:p>
        </w:tc>
        <w:tc>
          <w:tcPr>
            <w:tcW w:w="993" w:type="dxa"/>
            <w:vMerge w:val="restart"/>
            <w:shd w:val="clear" w:color="auto" w:fill="D9D9D9"/>
            <w:vAlign w:val="center"/>
          </w:tcPr>
          <w:p w14:paraId="0AA25DFE" w14:textId="77777777" w:rsidR="00F44E48" w:rsidRPr="00360589" w:rsidRDefault="00F44E48" w:rsidP="00313560">
            <w:pPr>
              <w:pStyle w:val="BodyText"/>
              <w:keepNext/>
              <w:jc w:val="left"/>
              <w:rPr>
                <w:rFonts w:cs="Arial"/>
                <w:iCs/>
                <w:snapToGrid w:val="0"/>
              </w:rPr>
            </w:pPr>
            <w:r>
              <w:t>*</w:t>
            </w:r>
          </w:p>
        </w:tc>
      </w:tr>
      <w:tr w:rsidR="00F44E48" w:rsidRPr="00360589" w14:paraId="44D692E4" w14:textId="77777777" w:rsidTr="00313560">
        <w:trPr>
          <w:cantSplit/>
          <w:trHeight w:hRule="exact" w:val="911"/>
          <w:jc w:val="center"/>
        </w:trPr>
        <w:tc>
          <w:tcPr>
            <w:tcW w:w="2894" w:type="dxa"/>
            <w:vMerge/>
            <w:shd w:val="clear" w:color="auto" w:fill="D9D9D9"/>
            <w:vAlign w:val="center"/>
          </w:tcPr>
          <w:p w14:paraId="218DC977"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776A934" w14:textId="3549AF45"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38</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17</w:t>
            </w:r>
          </w:p>
        </w:tc>
        <w:tc>
          <w:tcPr>
            <w:tcW w:w="2807" w:type="dxa"/>
            <w:shd w:val="clear" w:color="auto" w:fill="D9D9D9"/>
            <w:vAlign w:val="center"/>
          </w:tcPr>
          <w:p w14:paraId="7E461AF6" w14:textId="77777777" w:rsidR="00F44E48" w:rsidRPr="00360589" w:rsidRDefault="00F44E48" w:rsidP="00313560">
            <w:pPr>
              <w:keepNext/>
              <w:jc w:val="left"/>
              <w:rPr>
                <w:rFonts w:cs="Arial"/>
                <w:iCs/>
                <w:snapToGrid w:val="0"/>
                <w:color w:val="000000"/>
              </w:rPr>
            </w:pPr>
            <w:r>
              <w:rPr>
                <w:snapToGrid w:val="0"/>
                <w:color w:val="000000"/>
              </w:rPr>
              <w:t xml:space="preserve">(expertos interesados: </w:t>
            </w:r>
            <w:r>
              <w:rPr>
                <w:color w:val="000000"/>
              </w:rPr>
              <w:t>BR, CA, CZ, DE, IT, JP, KR, MX, NZ, PL, PT, QZ, RO, ZA, CIOPORA</w:t>
            </w:r>
            <w:r>
              <w:t>)</w:t>
            </w:r>
          </w:p>
        </w:tc>
        <w:tc>
          <w:tcPr>
            <w:tcW w:w="736" w:type="dxa"/>
            <w:vMerge/>
            <w:shd w:val="clear" w:color="auto" w:fill="D9D9D9"/>
            <w:vAlign w:val="center"/>
          </w:tcPr>
          <w:p w14:paraId="62853EDC" w14:textId="77777777" w:rsidR="00F44E48" w:rsidRPr="00360589" w:rsidRDefault="00F44E48" w:rsidP="00313560">
            <w:pPr>
              <w:keepNext/>
              <w:jc w:val="left"/>
              <w:rPr>
                <w:rFonts w:cs="Arial"/>
                <w:iCs/>
              </w:rPr>
            </w:pPr>
          </w:p>
        </w:tc>
        <w:tc>
          <w:tcPr>
            <w:tcW w:w="993" w:type="dxa"/>
            <w:vMerge/>
            <w:shd w:val="clear" w:color="auto" w:fill="D9D9D9"/>
            <w:vAlign w:val="center"/>
          </w:tcPr>
          <w:p w14:paraId="2CC9628D" w14:textId="77777777" w:rsidR="00F44E48" w:rsidRPr="00360589" w:rsidRDefault="00F44E48" w:rsidP="00313560">
            <w:pPr>
              <w:pStyle w:val="BodyText"/>
              <w:keepNext/>
              <w:jc w:val="left"/>
              <w:rPr>
                <w:rFonts w:cs="Arial"/>
                <w:iCs/>
                <w:snapToGrid w:val="0"/>
              </w:rPr>
            </w:pPr>
          </w:p>
        </w:tc>
      </w:tr>
    </w:tbl>
    <w:p w14:paraId="76CDFC3B" w14:textId="77777777" w:rsidR="00F44E48" w:rsidRPr="00360589" w:rsidRDefault="00F44E48" w:rsidP="00F44E48">
      <w:pPr>
        <w:rPr>
          <w:rFonts w:cs="Arial"/>
        </w:rPr>
      </w:pPr>
    </w:p>
    <w:p w14:paraId="5752679B" w14:textId="77777777" w:rsidR="00F44E48" w:rsidRPr="00360589" w:rsidRDefault="00F44E48" w:rsidP="00F44E48">
      <w:pPr>
        <w:keepNext/>
        <w:ind w:firstLine="567"/>
        <w:rPr>
          <w:rFonts w:cs="Arial"/>
        </w:rPr>
      </w:pPr>
      <w:r>
        <w:t>En su reunión celebrada en Ginebra el 26 de marzo de 2019, el TC-EDC examinó el documento TG/137/5(proj.5) y formuló las recomendaciones expuestas en el cuadro siguiente.</w:t>
      </w:r>
    </w:p>
    <w:p w14:paraId="0F5D8F09" w14:textId="77777777" w:rsidR="00F44E48" w:rsidRPr="00360589" w:rsidRDefault="00F44E48" w:rsidP="00F44E48">
      <w:pPr>
        <w:keepNext/>
        <w:autoSpaceDE w:val="0"/>
        <w:autoSpaceDN w:val="0"/>
        <w:adjustRightInd w:val="0"/>
        <w:ind w:firstLine="567"/>
        <w:rPr>
          <w:rFonts w:cs="Arial"/>
        </w:rPr>
      </w:pPr>
    </w:p>
    <w:p w14:paraId="13450B10" w14:textId="77777777" w:rsidR="00F44E48" w:rsidRPr="00360589" w:rsidRDefault="00F44E48" w:rsidP="00F44E48">
      <w:pPr>
        <w:autoSpaceDE w:val="0"/>
        <w:autoSpaceDN w:val="0"/>
        <w:adjustRightInd w:val="0"/>
        <w:ind w:firstLine="567"/>
        <w:rPr>
          <w:rFonts w:cs="Arial"/>
        </w:rPr>
      </w:pPr>
      <w:r>
        <w:t xml:space="preserve">El TC-EDC convino en que, si el experto principal está de acuerdo con las recomendaciones formuladas, se distribuyan las directrices de examen del arándano americano a los miembros del TC para su aprobación por correspondencia. </w:t>
      </w:r>
    </w:p>
    <w:p w14:paraId="5AC62087" w14:textId="77777777" w:rsidR="00F44E48" w:rsidRPr="00360589" w:rsidRDefault="00F44E48" w:rsidP="00F44E48">
      <w:pPr>
        <w:rPr>
          <w:rFonts w:cs="Arial"/>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26"/>
      </w:tblGrid>
      <w:tr w:rsidR="00F44E48" w:rsidRPr="00360589" w14:paraId="67335392"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DDAD253" w14:textId="77777777" w:rsidR="00F44E48" w:rsidRPr="00360589" w:rsidRDefault="00F44E48" w:rsidP="00313560">
            <w:pPr>
              <w:jc w:val="left"/>
              <w:rPr>
                <w:rFonts w:cs="Arial"/>
              </w:rPr>
            </w:pPr>
            <w:r>
              <w:t>1.</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EC3C0F3" w14:textId="77777777" w:rsidR="00F44E48" w:rsidRPr="00360589" w:rsidRDefault="00F44E48" w:rsidP="00313560">
            <w:pPr>
              <w:keepNext/>
              <w:rPr>
                <w:rFonts w:cs="Arial"/>
              </w:rPr>
            </w:pPr>
            <w:r>
              <w:t>- suprimir “y híbridos de dichas especies.”</w:t>
            </w:r>
          </w:p>
          <w:p w14:paraId="46CDFB6D" w14:textId="77777777" w:rsidR="00F44E48" w:rsidRPr="00360589" w:rsidRDefault="00F44E48" w:rsidP="00313560">
            <w:pPr>
              <w:keepNext/>
              <w:rPr>
                <w:rFonts w:cs="Arial"/>
              </w:rPr>
            </w:pPr>
            <w:r>
              <w:t>- añadir la GN3 del TGP/7: “</w:t>
            </w:r>
            <w:r w:rsidRPr="00513417">
              <w:rPr>
                <w:i/>
                <w:iCs/>
              </w:rPr>
              <w:t>En el documento TGP/13 ‘Orientaciones para nuevos tipos y especies’ se proporcionan indicaciones acerca del uso de directrices de examen para híbridos interespecíficos a los que no sean explícitamente aplicables las directrices de examen</w:t>
            </w:r>
            <w:r>
              <w:t xml:space="preserve">.” </w:t>
            </w:r>
          </w:p>
        </w:tc>
      </w:tr>
      <w:tr w:rsidR="00F44E48" w:rsidRPr="00360589" w14:paraId="340C2663"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3719F31D" w14:textId="77777777" w:rsidR="00F44E48" w:rsidRPr="00360589" w:rsidRDefault="00F44E48" w:rsidP="00313560">
            <w:pPr>
              <w:jc w:val="left"/>
              <w:rPr>
                <w:rFonts w:cs="Arial"/>
              </w:rPr>
            </w:pPr>
            <w:r>
              <w:t>Car. 1</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99068A9" w14:textId="77777777" w:rsidR="00F44E48" w:rsidRPr="00360589" w:rsidRDefault="00F44E48" w:rsidP="00313560">
            <w:pPr>
              <w:keepNext/>
              <w:rPr>
                <w:rFonts w:cs="Arial"/>
              </w:rPr>
            </w:pPr>
            <w:r>
              <w:t>se ha de añadir un nuevo nivel (nivel 1): “muy débil”</w:t>
            </w:r>
          </w:p>
        </w:tc>
      </w:tr>
      <w:tr w:rsidR="00F44E48" w:rsidRPr="00360589" w14:paraId="0447D4AE"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1297BB5" w14:textId="77777777" w:rsidR="00F44E48" w:rsidRPr="00360589" w:rsidRDefault="00F44E48" w:rsidP="00313560">
            <w:pPr>
              <w:jc w:val="left"/>
              <w:rPr>
                <w:rFonts w:cs="Arial"/>
              </w:rPr>
            </w:pPr>
            <w:r>
              <w:t>Car. 3</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F7B9D21" w14:textId="77777777" w:rsidR="00F44E48" w:rsidRPr="00360589" w:rsidRDefault="00F44E48" w:rsidP="00313560">
            <w:pPr>
              <w:keepNext/>
              <w:rPr>
                <w:rFonts w:cs="Arial"/>
              </w:rPr>
            </w:pPr>
            <w:r>
              <w:t>añadir (*) (caracteres de agrupamiento)</w:t>
            </w:r>
          </w:p>
        </w:tc>
      </w:tr>
      <w:tr w:rsidR="00F44E48" w:rsidRPr="00360589" w14:paraId="5DFD6355"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2B6DAF2" w14:textId="77777777" w:rsidR="00F44E48" w:rsidRPr="00360589" w:rsidRDefault="00F44E48" w:rsidP="00313560">
            <w:pPr>
              <w:jc w:val="left"/>
              <w:rPr>
                <w:rFonts w:cs="Arial"/>
              </w:rPr>
            </w:pPr>
            <w:r>
              <w:t>Car. 4</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BFA578C" w14:textId="77777777" w:rsidR="00F44E48" w:rsidRPr="00360589" w:rsidRDefault="00F44E48" w:rsidP="00313560">
            <w:pPr>
              <w:keepNext/>
              <w:rPr>
                <w:rFonts w:cs="Arial"/>
              </w:rPr>
            </w:pPr>
            <w:r>
              <w:rPr>
                <w:snapToGrid w:val="0"/>
                <w:color w:val="000000"/>
              </w:rPr>
              <w:t>suprimir los niveles 2 y 4</w:t>
            </w:r>
          </w:p>
        </w:tc>
      </w:tr>
      <w:tr w:rsidR="00F44E48" w:rsidRPr="00360589" w14:paraId="46DC6883"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CD8AD09" w14:textId="77777777" w:rsidR="00F44E48" w:rsidRPr="00360589" w:rsidRDefault="00F44E48" w:rsidP="00313560">
            <w:pPr>
              <w:jc w:val="left"/>
              <w:rPr>
                <w:rFonts w:cs="Arial"/>
              </w:rPr>
            </w:pPr>
            <w:r>
              <w:lastRenderedPageBreak/>
              <w:t>Car. 7</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F732774" w14:textId="77777777" w:rsidR="00F44E48" w:rsidRPr="00360589" w:rsidRDefault="00F44E48" w:rsidP="00313560">
            <w:pPr>
              <w:keepNext/>
              <w:rPr>
                <w:rFonts w:cs="Arial"/>
              </w:rPr>
            </w:pPr>
            <w:r>
              <w:t>- indicar MG/VG (según el informe del TWF)</w:t>
            </w:r>
          </w:p>
          <w:p w14:paraId="7FBD90A3" w14:textId="77777777" w:rsidR="00F44E48" w:rsidRPr="00360589" w:rsidRDefault="00F44E48" w:rsidP="00313560">
            <w:pPr>
              <w:keepNext/>
              <w:rPr>
                <w:rFonts w:cs="Arial"/>
              </w:rPr>
            </w:pPr>
            <w:r>
              <w:t>- añadir la ilustración siguiente de las relaciones alta y baja</w:t>
            </w:r>
          </w:p>
          <w:tbl>
            <w:tblPr>
              <w:tblW w:w="0" w:type="auto"/>
              <w:tblLayout w:type="fixed"/>
              <w:tblLook w:val="0000" w:firstRow="0" w:lastRow="0" w:firstColumn="0" w:lastColumn="0" w:noHBand="0" w:noVBand="0"/>
            </w:tblPr>
            <w:tblGrid>
              <w:gridCol w:w="3423"/>
              <w:gridCol w:w="3119"/>
            </w:tblGrid>
            <w:tr w:rsidR="00F44E48" w:rsidRPr="00360589" w14:paraId="0A3CD101" w14:textId="77777777" w:rsidTr="00313560">
              <w:tc>
                <w:tcPr>
                  <w:tcW w:w="3423" w:type="dxa"/>
                  <w:vAlign w:val="bottom"/>
                </w:tcPr>
                <w:p w14:paraId="2662B507" w14:textId="77777777" w:rsidR="00F44E48" w:rsidRPr="00360589" w:rsidRDefault="00F44E48" w:rsidP="00313560">
                  <w:pPr>
                    <w:keepNext/>
                    <w:jc w:val="center"/>
                    <w:rPr>
                      <w:rFonts w:cs="Arial"/>
                    </w:rPr>
                  </w:pPr>
                  <w:r>
                    <w:rPr>
                      <w:rFonts w:cs="Arial"/>
                      <w:noProof/>
                      <w:lang w:val="en-US" w:eastAsia="en-US" w:bidi="ar-SA"/>
                    </w:rPr>
                    <w:drawing>
                      <wp:inline distT="0" distB="0" distL="0" distR="0" wp14:anchorId="4B2C71E4" wp14:editId="031A0EAD">
                        <wp:extent cx="1177590" cy="1677725"/>
                        <wp:effectExtent l="0" t="0" r="3810" b="0"/>
                        <wp:docPr id="1" name="Picture 1" descr="ch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7_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498" cy="1690417"/>
                                </a:xfrm>
                                <a:prstGeom prst="rect">
                                  <a:avLst/>
                                </a:prstGeom>
                                <a:noFill/>
                                <a:ln>
                                  <a:noFill/>
                                </a:ln>
                              </pic:spPr>
                            </pic:pic>
                          </a:graphicData>
                        </a:graphic>
                      </wp:inline>
                    </w:drawing>
                  </w:r>
                </w:p>
              </w:tc>
              <w:tc>
                <w:tcPr>
                  <w:tcW w:w="3119" w:type="dxa"/>
                  <w:vAlign w:val="bottom"/>
                </w:tcPr>
                <w:p w14:paraId="33C7921A" w14:textId="77777777" w:rsidR="00F44E48" w:rsidRPr="00360589" w:rsidRDefault="00F44E48" w:rsidP="00313560">
                  <w:pPr>
                    <w:keepNext/>
                    <w:jc w:val="center"/>
                    <w:rPr>
                      <w:rFonts w:cs="Arial"/>
                    </w:rPr>
                  </w:pPr>
                  <w:r>
                    <w:rPr>
                      <w:rFonts w:cs="Arial"/>
                      <w:noProof/>
                      <w:lang w:val="en-US" w:eastAsia="en-US" w:bidi="ar-SA"/>
                    </w:rPr>
                    <w:drawing>
                      <wp:inline distT="0" distB="0" distL="0" distR="0" wp14:anchorId="19B1A3F8" wp14:editId="4EEC1F83">
                        <wp:extent cx="1266795" cy="2798860"/>
                        <wp:effectExtent l="0" t="0" r="0" b="1905"/>
                        <wp:docPr id="2" name="Picture 2" descr="7_1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_1_HIGH"/>
                                <pic:cNvPicPr>
                                  <a:picLocks noChangeAspect="1" noChangeArrowheads="1"/>
                                </pic:cNvPicPr>
                              </pic:nvPicPr>
                              <pic:blipFill rotWithShape="1">
                                <a:blip r:embed="rId15">
                                  <a:extLst>
                                    <a:ext uri="{28A0092B-C50C-407E-A947-70E740481C1C}">
                                      <a14:useLocalDpi xmlns:a14="http://schemas.microsoft.com/office/drawing/2010/main" val="0"/>
                                    </a:ext>
                                  </a:extLst>
                                </a:blip>
                                <a:srcRect b="5519"/>
                                <a:stretch/>
                              </pic:blipFill>
                              <pic:spPr bwMode="auto">
                                <a:xfrm>
                                  <a:off x="0" y="0"/>
                                  <a:ext cx="1273425" cy="2813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4E48" w:rsidRPr="00360589" w14:paraId="2D7D76EA" w14:textId="77777777" w:rsidTr="00313560">
              <w:tc>
                <w:tcPr>
                  <w:tcW w:w="3423" w:type="dxa"/>
                </w:tcPr>
                <w:p w14:paraId="5A2AD9DF" w14:textId="77777777" w:rsidR="00F44E48" w:rsidRPr="00360589" w:rsidRDefault="00F44E48" w:rsidP="00313560">
                  <w:pPr>
                    <w:keepNext/>
                    <w:jc w:val="center"/>
                    <w:rPr>
                      <w:rFonts w:cs="Arial"/>
                    </w:rPr>
                  </w:pPr>
                  <w:r>
                    <w:t>3</w:t>
                  </w:r>
                </w:p>
              </w:tc>
              <w:tc>
                <w:tcPr>
                  <w:tcW w:w="3119" w:type="dxa"/>
                </w:tcPr>
                <w:p w14:paraId="38F516EE" w14:textId="77777777" w:rsidR="00F44E48" w:rsidRPr="00360589" w:rsidRDefault="00F44E48" w:rsidP="00313560">
                  <w:pPr>
                    <w:keepNext/>
                    <w:jc w:val="center"/>
                    <w:rPr>
                      <w:rFonts w:cs="Arial"/>
                    </w:rPr>
                  </w:pPr>
                  <w:r>
                    <w:t>7</w:t>
                  </w:r>
                </w:p>
              </w:tc>
            </w:tr>
            <w:tr w:rsidR="00F44E48" w:rsidRPr="00360589" w14:paraId="53945048" w14:textId="77777777" w:rsidTr="00313560">
              <w:tc>
                <w:tcPr>
                  <w:tcW w:w="3423" w:type="dxa"/>
                </w:tcPr>
                <w:p w14:paraId="4147A94D" w14:textId="77777777" w:rsidR="00F44E48" w:rsidRPr="00360589" w:rsidRDefault="00F44E48" w:rsidP="00313560">
                  <w:pPr>
                    <w:keepNext/>
                    <w:jc w:val="center"/>
                    <w:rPr>
                      <w:rFonts w:cs="Arial"/>
                    </w:rPr>
                  </w:pPr>
                  <w:r>
                    <w:t>baja</w:t>
                  </w:r>
                </w:p>
              </w:tc>
              <w:tc>
                <w:tcPr>
                  <w:tcW w:w="3119" w:type="dxa"/>
                </w:tcPr>
                <w:p w14:paraId="7536D4F2" w14:textId="77777777" w:rsidR="00F44E48" w:rsidRPr="00360589" w:rsidRDefault="00F44E48" w:rsidP="00313560">
                  <w:pPr>
                    <w:keepNext/>
                    <w:jc w:val="center"/>
                    <w:rPr>
                      <w:rFonts w:cs="Arial"/>
                    </w:rPr>
                  </w:pPr>
                  <w:r>
                    <w:t>alta</w:t>
                  </w:r>
                </w:p>
              </w:tc>
            </w:tr>
          </w:tbl>
          <w:p w14:paraId="7BD8CA78" w14:textId="77777777" w:rsidR="00F44E48" w:rsidRPr="00360589" w:rsidRDefault="00F44E48" w:rsidP="00313560">
            <w:pPr>
              <w:keepNext/>
              <w:rPr>
                <w:rFonts w:cs="Arial"/>
              </w:rPr>
            </w:pPr>
          </w:p>
        </w:tc>
      </w:tr>
      <w:tr w:rsidR="00F44E48" w:rsidRPr="00360589" w14:paraId="7514115C"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0A23A71" w14:textId="77777777" w:rsidR="00F44E48" w:rsidRPr="00360589" w:rsidRDefault="00F44E48" w:rsidP="00313560">
            <w:pPr>
              <w:jc w:val="left"/>
              <w:rPr>
                <w:rFonts w:cs="Arial"/>
              </w:rPr>
            </w:pPr>
            <w:r>
              <w:t>Car. 16</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AA8B427" w14:textId="77777777" w:rsidR="00F44E48" w:rsidRPr="00360589" w:rsidRDefault="00F44E48" w:rsidP="00313560">
            <w:pPr>
              <w:keepNext/>
              <w:rPr>
                <w:rFonts w:cs="Arial"/>
              </w:rPr>
            </w:pPr>
            <w:r>
              <w:t>añadir (c)</w:t>
            </w:r>
          </w:p>
        </w:tc>
      </w:tr>
      <w:tr w:rsidR="00F44E48" w:rsidRPr="00360589" w14:paraId="3FEDCD11"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DEAE46B" w14:textId="77777777" w:rsidR="00F44E48" w:rsidRPr="00360589" w:rsidRDefault="00F44E48" w:rsidP="00313560">
            <w:pPr>
              <w:jc w:val="left"/>
              <w:rPr>
                <w:rFonts w:cs="Arial"/>
              </w:rPr>
            </w:pPr>
            <w:r>
              <w:t>Car. 17</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749A939" w14:textId="77777777" w:rsidR="00F44E48" w:rsidRPr="00360589" w:rsidRDefault="00F44E48" w:rsidP="00313560">
            <w:pPr>
              <w:keepNext/>
              <w:rPr>
                <w:rFonts w:cs="Arial"/>
              </w:rPr>
            </w:pPr>
            <w:r>
              <w:t>añadir el nivel “muy intensa” sin variedad ejemplo</w:t>
            </w:r>
          </w:p>
        </w:tc>
      </w:tr>
      <w:tr w:rsidR="00F44E48" w:rsidRPr="00360589" w14:paraId="24AE44DE"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20E0EB75" w14:textId="77777777" w:rsidR="00F44E48" w:rsidRPr="00360589" w:rsidRDefault="00F44E48" w:rsidP="00313560">
            <w:pPr>
              <w:jc w:val="left"/>
              <w:rPr>
                <w:rFonts w:cs="Arial"/>
              </w:rPr>
            </w:pPr>
            <w:r>
              <w:t>Car. 20</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FB598A7" w14:textId="77777777" w:rsidR="00F44E48" w:rsidRPr="00360589" w:rsidRDefault="00F44E48" w:rsidP="00313560">
            <w:pPr>
              <w:keepNext/>
              <w:rPr>
                <w:rFonts w:cs="Arial"/>
              </w:rPr>
            </w:pPr>
            <w:r>
              <w:t>añadir (*) (caracteres de agrupamiento)</w:t>
            </w:r>
          </w:p>
        </w:tc>
      </w:tr>
      <w:tr w:rsidR="00F44E48" w:rsidRPr="00360589" w14:paraId="6A9F2811"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4C94B869" w14:textId="77777777" w:rsidR="00F44E48" w:rsidRPr="00360589" w:rsidDel="00F41D6D" w:rsidRDefault="00F44E48" w:rsidP="00313560">
            <w:pPr>
              <w:jc w:val="left"/>
              <w:rPr>
                <w:rFonts w:cs="Arial"/>
              </w:rPr>
            </w:pPr>
            <w:r>
              <w:t>Car. 23</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00738417" w14:textId="77777777" w:rsidR="00F44E48" w:rsidRPr="00360589" w:rsidDel="00F41D6D" w:rsidRDefault="00F44E48" w:rsidP="00313560">
            <w:pPr>
              <w:keepNext/>
              <w:rPr>
                <w:rFonts w:cs="Arial"/>
              </w:rPr>
            </w:pPr>
            <w:r>
              <w:t>se deberá indicar como QN</w:t>
            </w:r>
          </w:p>
        </w:tc>
      </w:tr>
      <w:tr w:rsidR="00F44E48" w:rsidRPr="00360589" w14:paraId="7261777F"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6D0F97A" w14:textId="77777777" w:rsidR="00F44E48" w:rsidRPr="00360589" w:rsidRDefault="00F44E48" w:rsidP="00313560">
            <w:pPr>
              <w:jc w:val="left"/>
              <w:rPr>
                <w:rFonts w:cs="Arial"/>
              </w:rPr>
            </w:pPr>
            <w:r>
              <w:t>Car. 24</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9FFB8CD" w14:textId="77777777" w:rsidR="00F44E48" w:rsidRPr="00360589" w:rsidRDefault="00F44E48" w:rsidP="00313560">
            <w:pPr>
              <w:keepNext/>
              <w:rPr>
                <w:rFonts w:cs="Arial"/>
              </w:rPr>
            </w:pPr>
            <w:r>
              <w:t>se ha de suprimir (no difiere del car. 23)</w:t>
            </w:r>
          </w:p>
        </w:tc>
      </w:tr>
      <w:tr w:rsidR="00F44E48" w:rsidRPr="00360589" w14:paraId="518FB297"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203239FA" w14:textId="77777777" w:rsidR="00F44E48" w:rsidRPr="00360589" w:rsidRDefault="00F44E48" w:rsidP="00313560">
            <w:pPr>
              <w:jc w:val="left"/>
              <w:rPr>
                <w:rFonts w:cs="Arial"/>
              </w:rPr>
            </w:pPr>
            <w:r>
              <w:t>Car. 25</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1E6E298" w14:textId="77777777" w:rsidR="00F44E48" w:rsidRPr="00360589" w:rsidRDefault="00F44E48" w:rsidP="00313560">
            <w:pPr>
              <w:keepNext/>
              <w:rPr>
                <w:rFonts w:cs="Arial"/>
              </w:rPr>
            </w:pPr>
            <w:r>
              <w:t>el texto ha de ser “Fruto: porte de los sépalos”</w:t>
            </w:r>
          </w:p>
        </w:tc>
      </w:tr>
      <w:tr w:rsidR="00F44E48" w:rsidRPr="00360589" w14:paraId="24CD33FC"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0C32EBD" w14:textId="77777777" w:rsidR="00F44E48" w:rsidRPr="00360589" w:rsidRDefault="00F44E48" w:rsidP="00313560">
            <w:pPr>
              <w:jc w:val="left"/>
              <w:rPr>
                <w:rFonts w:cs="Arial"/>
              </w:rPr>
            </w:pPr>
            <w:r>
              <w:t>Car. 30</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AE4C102" w14:textId="77777777" w:rsidR="00F44E48" w:rsidRPr="00360589" w:rsidRDefault="00F44E48" w:rsidP="00313560">
            <w:pPr>
              <w:keepNext/>
              <w:rPr>
                <w:rFonts w:cs="Arial"/>
              </w:rPr>
            </w:pPr>
            <w:r>
              <w:t>se ha de añadir un nuevo nivel (nivel 1): “muy blando”</w:t>
            </w:r>
          </w:p>
        </w:tc>
      </w:tr>
      <w:tr w:rsidR="00F44E48" w:rsidRPr="00360589" w14:paraId="397AAB55"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F4FFE3F" w14:textId="77777777" w:rsidR="00F44E48" w:rsidRPr="00360589" w:rsidRDefault="00F44E48" w:rsidP="00313560">
            <w:pPr>
              <w:jc w:val="left"/>
              <w:rPr>
                <w:rFonts w:cs="Arial"/>
              </w:rPr>
            </w:pPr>
            <w:r>
              <w:t>Car. 33</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AD99D76" w14:textId="77777777" w:rsidR="00F44E48" w:rsidRPr="00360589" w:rsidRDefault="00F44E48" w:rsidP="00313560">
            <w:pPr>
              <w:keepNext/>
              <w:rPr>
                <w:rFonts w:cs="Arial"/>
              </w:rPr>
            </w:pPr>
            <w:r>
              <w:t>añadir (*) (caracteres de agrupamiento)</w:t>
            </w:r>
          </w:p>
        </w:tc>
      </w:tr>
      <w:tr w:rsidR="00F44E48" w:rsidRPr="00360589" w14:paraId="21D00B60"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320BB246" w14:textId="77777777" w:rsidR="00F44E48" w:rsidRPr="00360589" w:rsidRDefault="00F44E48" w:rsidP="00313560">
            <w:pPr>
              <w:jc w:val="left"/>
              <w:rPr>
                <w:rFonts w:cs="Arial"/>
              </w:rPr>
            </w:pPr>
            <w:r>
              <w:t>Car. 36</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05C2EB78" w14:textId="77777777" w:rsidR="00F44E48" w:rsidRPr="00360589" w:rsidRDefault="00F44E48" w:rsidP="00313560">
            <w:pPr>
              <w:keepNext/>
              <w:rPr>
                <w:rFonts w:cs="Arial"/>
              </w:rPr>
            </w:pPr>
            <w:r>
              <w:t>eliminar el texto subrayado “Solo variedades…”</w:t>
            </w:r>
          </w:p>
        </w:tc>
      </w:tr>
      <w:tr w:rsidR="00F44E48" w:rsidRPr="00360589" w14:paraId="04564AA8"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45511EDE" w14:textId="77777777" w:rsidR="00F44E48" w:rsidRPr="00360589" w:rsidRDefault="00F44E48" w:rsidP="00313560">
            <w:pPr>
              <w:jc w:val="left"/>
              <w:rPr>
                <w:rFonts w:cs="Arial"/>
              </w:rPr>
            </w:pPr>
            <w:r>
              <w:t>8.1 (a) - (f)</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419FEF1" w14:textId="77777777" w:rsidR="00F44E48" w:rsidRPr="00360589" w:rsidRDefault="00F44E48" w:rsidP="00313560">
            <w:pPr>
              <w:keepNext/>
              <w:rPr>
                <w:rFonts w:cs="Arial"/>
              </w:rPr>
            </w:pPr>
            <w:r>
              <w:t>- el texto ha de ser: “Las observaciones deberán efectuarse...”</w:t>
            </w:r>
          </w:p>
        </w:tc>
      </w:tr>
      <w:tr w:rsidR="00F44E48" w:rsidRPr="00360589" w14:paraId="5D020297"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D7AC01B" w14:textId="77777777" w:rsidR="00F44E48" w:rsidRPr="00360589" w:rsidRDefault="00F44E48" w:rsidP="00313560">
            <w:pPr>
              <w:jc w:val="left"/>
              <w:rPr>
                <w:rFonts w:cs="Arial"/>
              </w:rPr>
            </w:pPr>
            <w:r>
              <w:t>8.1 (c)</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928CB09" w14:textId="77777777" w:rsidR="00F44E48" w:rsidRPr="00360589" w:rsidRDefault="00F44E48" w:rsidP="00313560">
            <w:pPr>
              <w:keepNext/>
              <w:rPr>
                <w:rFonts w:cs="Arial"/>
              </w:rPr>
            </w:pPr>
            <w:r>
              <w:t>- el texto ha de ser: “... en la época de inicio de la floración”</w:t>
            </w:r>
          </w:p>
        </w:tc>
      </w:tr>
      <w:tr w:rsidR="00F44E48" w:rsidRPr="00360589" w14:paraId="5F05C2C1"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312A5165" w14:textId="77777777" w:rsidR="00F44E48" w:rsidRPr="00360589" w:rsidRDefault="00F44E48" w:rsidP="00313560">
            <w:pPr>
              <w:jc w:val="left"/>
              <w:rPr>
                <w:rFonts w:cs="Arial"/>
              </w:rPr>
            </w:pPr>
            <w:r>
              <w:t>8.1 (e), (f)</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F8150CE" w14:textId="77777777" w:rsidR="00F44E48" w:rsidRPr="00360589" w:rsidRDefault="00F44E48" w:rsidP="00313560">
            <w:pPr>
              <w:keepNext/>
              <w:rPr>
                <w:rFonts w:cs="Arial"/>
              </w:rPr>
            </w:pPr>
            <w:r>
              <w:t>trasladar al capítulo 8.2</w:t>
            </w:r>
          </w:p>
        </w:tc>
      </w:tr>
      <w:tr w:rsidR="00F44E48" w:rsidRPr="00360589" w14:paraId="204E0887"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B0D50BC" w14:textId="77777777" w:rsidR="00F44E48" w:rsidRPr="00360589" w:rsidRDefault="00F44E48" w:rsidP="00313560">
            <w:pPr>
              <w:jc w:val="left"/>
              <w:rPr>
                <w:rFonts w:cs="Arial"/>
              </w:rPr>
            </w:pPr>
            <w:r>
              <w:t>Ad. 13</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8DF2858" w14:textId="77777777" w:rsidR="00F44E48" w:rsidRPr="00360589" w:rsidRDefault="00F44E48" w:rsidP="00313560">
            <w:pPr>
              <w:keepNext/>
              <w:rPr>
                <w:rFonts w:cs="Arial"/>
              </w:rPr>
            </w:pPr>
            <w:r>
              <w:t xml:space="preserve">- suprimir la indicación “a” para la rama </w:t>
            </w:r>
          </w:p>
          <w:p w14:paraId="341B8F1D" w14:textId="77777777" w:rsidR="00F44E48" w:rsidRPr="00360589" w:rsidRDefault="00F44E48" w:rsidP="00313560">
            <w:pPr>
              <w:keepNext/>
              <w:rPr>
                <w:rFonts w:cs="Arial"/>
              </w:rPr>
            </w:pPr>
            <w:r>
              <w:t>- suprimir “b” (conservar solo las líneas y la flecha)</w:t>
            </w:r>
          </w:p>
        </w:tc>
      </w:tr>
      <w:tr w:rsidR="00F44E48" w:rsidRPr="00360589" w14:paraId="0E9C6FE7"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CA9F756" w14:textId="77777777" w:rsidR="00F44E48" w:rsidRPr="00360589" w:rsidRDefault="00F44E48" w:rsidP="00313560">
            <w:pPr>
              <w:jc w:val="left"/>
              <w:rPr>
                <w:rFonts w:cs="Arial"/>
              </w:rPr>
            </w:pPr>
            <w:r>
              <w:t>Ad. 18</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F828558" w14:textId="77777777" w:rsidR="00F44E48" w:rsidRPr="00360589" w:rsidRDefault="00F44E48" w:rsidP="00313560">
            <w:pPr>
              <w:keepNext/>
              <w:rPr>
                <w:rFonts w:cs="Arial"/>
              </w:rPr>
            </w:pPr>
            <w:r>
              <w:t>- suprimir la línea punteada de la foto</w:t>
            </w:r>
          </w:p>
          <w:p w14:paraId="5D425869" w14:textId="77777777" w:rsidR="00F44E48" w:rsidRPr="00360589" w:rsidRDefault="00F44E48" w:rsidP="00313560">
            <w:pPr>
              <w:keepNext/>
              <w:rPr>
                <w:rFonts w:cs="Arial"/>
              </w:rPr>
            </w:pPr>
            <w:r>
              <w:t>- suprimir el dibujo</w:t>
            </w:r>
          </w:p>
          <w:p w14:paraId="55468D02" w14:textId="77777777" w:rsidR="00F44E48" w:rsidRPr="00360589" w:rsidRDefault="00F44E48" w:rsidP="00313560">
            <w:pPr>
              <w:keepNext/>
              <w:rPr>
                <w:rFonts w:cs="Arial"/>
              </w:rPr>
            </w:pPr>
            <w:r>
              <w:t>- el texto de “a” debe ser “aristas”</w:t>
            </w:r>
          </w:p>
        </w:tc>
      </w:tr>
      <w:tr w:rsidR="00F44E48" w:rsidRPr="00360589" w14:paraId="2963ADA3"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227DB328" w14:textId="77777777" w:rsidR="00F44E48" w:rsidRPr="00360589" w:rsidRDefault="00F44E48" w:rsidP="00313560">
            <w:pPr>
              <w:jc w:val="left"/>
              <w:rPr>
                <w:rFonts w:cs="Arial"/>
              </w:rPr>
            </w:pPr>
            <w:r>
              <w:t>Ad. 29</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B4ECEE3" w14:textId="77777777" w:rsidR="00F44E48" w:rsidRPr="00360589" w:rsidRDefault="00F44E48" w:rsidP="00313560">
            <w:pPr>
              <w:keepNext/>
              <w:rPr>
                <w:rFonts w:cs="Arial"/>
              </w:rPr>
            </w:pPr>
            <w:r>
              <w:t>suprimir “en el color de los frutos”</w:t>
            </w:r>
          </w:p>
        </w:tc>
      </w:tr>
      <w:tr w:rsidR="00F44E48" w:rsidRPr="00360589" w14:paraId="28BECF14"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0091184" w14:textId="77777777" w:rsidR="00F44E48" w:rsidRPr="00360589" w:rsidRDefault="00F44E48" w:rsidP="00313560">
            <w:pPr>
              <w:jc w:val="left"/>
              <w:rPr>
                <w:rFonts w:cs="Arial"/>
              </w:rPr>
            </w:pPr>
            <w:r>
              <w:t>Ad. 32</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6F1E3D9" w14:textId="77777777" w:rsidR="00F44E48" w:rsidRPr="00360589" w:rsidRDefault="00F44E48" w:rsidP="00313560">
            <w:pPr>
              <w:keepNext/>
              <w:rPr>
                <w:rFonts w:cs="Arial"/>
              </w:rPr>
            </w:pPr>
            <w:r>
              <w:t>“... mediante cata.”</w:t>
            </w:r>
          </w:p>
        </w:tc>
      </w:tr>
      <w:tr w:rsidR="00F44E48" w:rsidRPr="00360589" w14:paraId="435E361E"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3B1B048A" w14:textId="77777777" w:rsidR="00F44E48" w:rsidRPr="00360589" w:rsidRDefault="00F44E48" w:rsidP="00313560">
            <w:pPr>
              <w:jc w:val="left"/>
              <w:rPr>
                <w:rFonts w:cs="Arial"/>
              </w:rPr>
            </w:pPr>
            <w:r>
              <w:t>9.</w:t>
            </w: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1689E68C" w14:textId="4E27AB86" w:rsidR="00F44E48" w:rsidRPr="00360589" w:rsidRDefault="00F44E48" w:rsidP="00313560">
            <w:pPr>
              <w:keepNext/>
              <w:rPr>
                <w:rFonts w:cs="Arial"/>
              </w:rPr>
            </w:pPr>
            <w:r>
              <w:t xml:space="preserve">el código de país de la última referencia ha de ser </w:t>
            </w:r>
            <w:r w:rsidR="00B75B65">
              <w:t>“</w:t>
            </w:r>
            <w:r>
              <w:t>GB</w:t>
            </w:r>
            <w:r w:rsidR="00B75B65">
              <w:t>”</w:t>
            </w:r>
          </w:p>
        </w:tc>
      </w:tr>
    </w:tbl>
    <w:p w14:paraId="104EEBA7" w14:textId="77777777" w:rsidR="00F44E48" w:rsidRPr="00360589" w:rsidRDefault="00F44E48" w:rsidP="00F44E48">
      <w:pPr>
        <w:rPr>
          <w:rFonts w:cs="Arial"/>
        </w:rPr>
      </w:pPr>
    </w:p>
    <w:p w14:paraId="3EB31579" w14:textId="77777777" w:rsidR="00F44E48" w:rsidRPr="00360589" w:rsidRDefault="00F44E48" w:rsidP="00F44E48">
      <w:pPr>
        <w:rPr>
          <w:rFonts w:cs="Arial"/>
        </w:rPr>
      </w:pPr>
    </w:p>
    <w:p w14:paraId="774B9872" w14:textId="77777777" w:rsidR="00F44E48" w:rsidRPr="00360589" w:rsidRDefault="00F44E48" w:rsidP="00F44E48">
      <w:pPr>
        <w:pStyle w:val="Heading2"/>
        <w:rPr>
          <w:rFonts w:cs="Arial"/>
          <w:snapToGrid w:val="0"/>
        </w:rPr>
      </w:pPr>
      <w:r>
        <w:t xml:space="preserve">Directrices de examen aprobadas en la quincuagésima quinta sesión del Comité Técnico </w:t>
      </w:r>
    </w:p>
    <w:p w14:paraId="2A245749" w14:textId="77777777" w:rsidR="00F44E48" w:rsidRPr="00360589" w:rsidRDefault="00F44E48" w:rsidP="00B239D7">
      <w:pPr>
        <w:rPr>
          <w:snapToGrid w:val="0"/>
        </w:rPr>
      </w:pPr>
    </w:p>
    <w:p w14:paraId="4F354763" w14:textId="77777777" w:rsidR="00F44E48" w:rsidRPr="00360589" w:rsidRDefault="00F44E48" w:rsidP="00F44E48">
      <w:pPr>
        <w:pStyle w:val="Heading3"/>
        <w:rPr>
          <w:rFonts w:cs="Arial"/>
          <w:snapToGrid w:val="0"/>
        </w:rPr>
      </w:pPr>
      <w:r>
        <w:t>Revisiones parciales</w:t>
      </w:r>
    </w:p>
    <w:p w14:paraId="4A007FD3" w14:textId="77777777" w:rsidR="00F44E48" w:rsidRPr="00360589" w:rsidRDefault="00F44E48" w:rsidP="00F44E48">
      <w:pPr>
        <w:rPr>
          <w:rFonts w:cs="Arial"/>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4CFEC54A" w14:textId="77777777" w:rsidTr="00313560">
        <w:trPr>
          <w:cantSplit/>
          <w:jc w:val="center"/>
        </w:trPr>
        <w:tc>
          <w:tcPr>
            <w:tcW w:w="9670" w:type="dxa"/>
            <w:shd w:val="clear" w:color="auto" w:fill="D9D9D9"/>
            <w:vAlign w:val="center"/>
          </w:tcPr>
          <w:p w14:paraId="103499D9" w14:textId="77777777" w:rsidR="00F44E48" w:rsidRPr="00360589" w:rsidRDefault="00F44E48" w:rsidP="00313560">
            <w:pPr>
              <w:pStyle w:val="BodyText"/>
              <w:keepNext/>
              <w:tabs>
                <w:tab w:val="left" w:pos="1849"/>
              </w:tabs>
              <w:ind w:left="1803" w:hanging="1803"/>
              <w:jc w:val="left"/>
              <w:rPr>
                <w:rFonts w:cs="Arial"/>
                <w:b/>
                <w:iCs/>
              </w:rPr>
            </w:pPr>
            <w:r>
              <w:rPr>
                <w:b/>
              </w:rPr>
              <w:t>TC/55/16</w:t>
            </w:r>
            <w:r>
              <w:tab/>
            </w:r>
            <w:r>
              <w:rPr>
                <w:b/>
              </w:rPr>
              <w:t>Revisión parcial de las directrices de examen del melón</w:t>
            </w:r>
          </w:p>
        </w:tc>
      </w:tr>
    </w:tbl>
    <w:p w14:paraId="64E38F35" w14:textId="77777777" w:rsidR="00F44E48" w:rsidRPr="00360589" w:rsidRDefault="00F44E48" w:rsidP="00F44E48">
      <w:pPr>
        <w:keepNext/>
        <w:jc w:val="center"/>
        <w:rPr>
          <w:rFonts w:cs="Arial"/>
          <w:b/>
          <w:bCs/>
          <w:snapToGrid w:val="0"/>
          <w:color w:val="000000"/>
        </w:rPr>
      </w:pPr>
    </w:p>
    <w:p w14:paraId="08F9D09B" w14:textId="77777777" w:rsidR="00F44E48" w:rsidRPr="00360589" w:rsidRDefault="00F44E48" w:rsidP="00F44E48">
      <w:pPr>
        <w:ind w:firstLine="567"/>
        <w:rPr>
          <w:rFonts w:cs="Arial"/>
        </w:rPr>
      </w:pPr>
      <w:r>
        <w:t>En su reunión celebrada en Ginebra en octubre de 2019, el TC-EDC examinó el documento </w:t>
      </w:r>
      <w:r>
        <w:rPr>
          <w:caps/>
        </w:rPr>
        <w:t>TC/55/16</w:t>
      </w:r>
      <w:r>
        <w:t xml:space="preserve"> y formuló las recomendaciones expuestas en el cuadro siguiente:</w:t>
      </w:r>
    </w:p>
    <w:p w14:paraId="72C47072"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63E3F482" w14:textId="77777777" w:rsidTr="00313560">
        <w:trPr>
          <w:cantSplit/>
        </w:trPr>
        <w:tc>
          <w:tcPr>
            <w:tcW w:w="1573" w:type="dxa"/>
          </w:tcPr>
          <w:p w14:paraId="751AB0B5" w14:textId="77777777" w:rsidR="00F44E48" w:rsidRPr="00360589" w:rsidRDefault="00F44E48" w:rsidP="00313560">
            <w:pPr>
              <w:jc w:val="left"/>
              <w:rPr>
                <w:rFonts w:cs="Arial"/>
              </w:rPr>
            </w:pPr>
            <w:r>
              <w:t>Car. 75</w:t>
            </w:r>
          </w:p>
        </w:tc>
        <w:tc>
          <w:tcPr>
            <w:tcW w:w="8208" w:type="dxa"/>
          </w:tcPr>
          <w:p w14:paraId="1BFA1428" w14:textId="77777777" w:rsidR="00F44E48" w:rsidRPr="00360589" w:rsidRDefault="00F44E48" w:rsidP="00313560">
            <w:pPr>
              <w:keepNext/>
              <w:rPr>
                <w:rFonts w:cs="Arial"/>
              </w:rPr>
            </w:pPr>
            <w:r>
              <w:t>corregir la traducción al español de “</w:t>
            </w:r>
            <w:r>
              <w:rPr>
                <w:i/>
              </w:rPr>
              <w:t>strain</w:t>
            </w:r>
            <w:r>
              <w:t>” que ha de ser “cepa”</w:t>
            </w:r>
          </w:p>
        </w:tc>
      </w:tr>
      <w:tr w:rsidR="00F44E48" w:rsidRPr="00360589" w14:paraId="7B825595" w14:textId="77777777" w:rsidTr="00313560">
        <w:trPr>
          <w:cantSplit/>
        </w:trPr>
        <w:tc>
          <w:tcPr>
            <w:tcW w:w="1573" w:type="dxa"/>
          </w:tcPr>
          <w:p w14:paraId="3B27FEFC" w14:textId="77777777" w:rsidR="00F44E48" w:rsidRPr="00360589" w:rsidRDefault="00F44E48" w:rsidP="00313560">
            <w:pPr>
              <w:jc w:val="left"/>
              <w:rPr>
                <w:rFonts w:cs="Arial"/>
              </w:rPr>
            </w:pPr>
            <w:r>
              <w:t>Ad. 75</w:t>
            </w:r>
          </w:p>
        </w:tc>
        <w:tc>
          <w:tcPr>
            <w:tcW w:w="8208" w:type="dxa"/>
          </w:tcPr>
          <w:p w14:paraId="086DE8A2" w14:textId="77777777" w:rsidR="00F44E48" w:rsidRPr="00360589" w:rsidRDefault="00F44E48" w:rsidP="00313560">
            <w:pPr>
              <w:keepNext/>
              <w:rPr>
                <w:rFonts w:cs="Arial"/>
              </w:rPr>
            </w:pPr>
            <w:r>
              <w:t>suprimir los elementos que no son obligatorios de los que no se facilita información (p. ej. 2., 8.4)</w:t>
            </w:r>
          </w:p>
        </w:tc>
      </w:tr>
      <w:tr w:rsidR="00F44E48" w:rsidRPr="00360589" w14:paraId="6E658B38" w14:textId="77777777" w:rsidTr="00313560">
        <w:trPr>
          <w:cantSplit/>
        </w:trPr>
        <w:tc>
          <w:tcPr>
            <w:tcW w:w="1573" w:type="dxa"/>
          </w:tcPr>
          <w:p w14:paraId="521A20F3" w14:textId="77777777" w:rsidR="00F44E48" w:rsidRPr="00360589" w:rsidRDefault="00F44E48" w:rsidP="00313560">
            <w:pPr>
              <w:jc w:val="left"/>
              <w:rPr>
                <w:rFonts w:cs="Arial"/>
              </w:rPr>
            </w:pPr>
            <w:r>
              <w:t>Ad. 75, 13.</w:t>
            </w:r>
          </w:p>
        </w:tc>
        <w:tc>
          <w:tcPr>
            <w:tcW w:w="8208" w:type="dxa"/>
          </w:tcPr>
          <w:p w14:paraId="4F6EF2CD" w14:textId="77777777" w:rsidR="00F44E48" w:rsidRPr="00360589" w:rsidRDefault="00F44E48" w:rsidP="00313560">
            <w:pPr>
              <w:keepNext/>
              <w:rPr>
                <w:rFonts w:cs="Arial"/>
              </w:rPr>
            </w:pPr>
            <w:r>
              <w:t xml:space="preserve">el texto ha de ser: “Para verificar la identidad del patógeno, Virgos es resistente a la cepa 0 del MNSV y susceptible a la nueva cepa del MNSV.” </w:t>
            </w:r>
          </w:p>
        </w:tc>
      </w:tr>
    </w:tbl>
    <w:p w14:paraId="489AE100" w14:textId="77777777" w:rsidR="00F44E48" w:rsidRPr="00360589" w:rsidRDefault="00F44E48" w:rsidP="00F44E48">
      <w:pPr>
        <w:rPr>
          <w:rFonts w:eastAsia="Arial" w:cs="Arial"/>
          <w:color w:val="000000"/>
          <w:u w:val="single"/>
        </w:rPr>
      </w:pPr>
    </w:p>
    <w:p w14:paraId="78B68800" w14:textId="77777777"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5D80D054" w14:textId="77777777" w:rsidTr="00313560">
        <w:trPr>
          <w:cantSplit/>
          <w:jc w:val="center"/>
        </w:trPr>
        <w:tc>
          <w:tcPr>
            <w:tcW w:w="9670" w:type="dxa"/>
            <w:shd w:val="clear" w:color="auto" w:fill="D9D9D9"/>
            <w:vAlign w:val="center"/>
          </w:tcPr>
          <w:p w14:paraId="0D8C6163" w14:textId="77777777" w:rsidR="00F44E48" w:rsidRPr="00360589" w:rsidRDefault="00F44E48" w:rsidP="00313560">
            <w:pPr>
              <w:pStyle w:val="BodyText"/>
              <w:keepNext/>
              <w:tabs>
                <w:tab w:val="left" w:pos="1849"/>
              </w:tabs>
              <w:ind w:left="1803" w:hanging="1803"/>
              <w:jc w:val="left"/>
              <w:rPr>
                <w:rFonts w:cs="Arial"/>
                <w:b/>
                <w:iCs/>
              </w:rPr>
            </w:pPr>
            <w:r>
              <w:rPr>
                <w:b/>
              </w:rPr>
              <w:lastRenderedPageBreak/>
              <w:t>TC/55/18</w:t>
            </w:r>
            <w:r>
              <w:tab/>
            </w:r>
            <w:r>
              <w:rPr>
                <w:b/>
              </w:rPr>
              <w:t>Cuestiones por resolver en lo que respecta a directrices de examen sometidas a la aprobación del el Comité Técnico: macadamia</w:t>
            </w:r>
          </w:p>
        </w:tc>
      </w:tr>
    </w:tbl>
    <w:p w14:paraId="31C51DA7" w14:textId="77777777" w:rsidR="00F44E48" w:rsidRPr="00360589" w:rsidRDefault="00F44E48" w:rsidP="00F44E48">
      <w:pPr>
        <w:keepNext/>
        <w:jc w:val="center"/>
        <w:rPr>
          <w:rFonts w:cs="Arial"/>
          <w:b/>
          <w:bCs/>
          <w:snapToGrid w:val="0"/>
          <w:color w:val="000000"/>
        </w:rPr>
      </w:pPr>
    </w:p>
    <w:p w14:paraId="720F6229" w14:textId="77777777" w:rsidR="00F44E48" w:rsidRPr="00360589" w:rsidRDefault="00F44E48" w:rsidP="00F44E48">
      <w:pPr>
        <w:ind w:firstLine="567"/>
        <w:rPr>
          <w:rFonts w:cs="Arial"/>
        </w:rPr>
      </w:pPr>
      <w:r>
        <w:t>En su reunión celebrada en Ginebra en octubre de 2019, el TC-EDC examinó el documento </w:t>
      </w:r>
      <w:r>
        <w:rPr>
          <w:caps/>
        </w:rPr>
        <w:t>TC/55/18</w:t>
      </w:r>
      <w:r>
        <w:t xml:space="preserve"> y formuló las recomendaciones expuestas en el cuadro siguiente:</w:t>
      </w:r>
    </w:p>
    <w:p w14:paraId="5335BE92"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5E95D55F" w14:textId="77777777" w:rsidTr="00313560">
        <w:trPr>
          <w:cantSplit/>
        </w:trPr>
        <w:tc>
          <w:tcPr>
            <w:tcW w:w="1573" w:type="dxa"/>
          </w:tcPr>
          <w:p w14:paraId="4FDCD4A9" w14:textId="77777777" w:rsidR="00F44E48" w:rsidRPr="00360589" w:rsidRDefault="00F44E48" w:rsidP="00313560">
            <w:pPr>
              <w:jc w:val="left"/>
              <w:rPr>
                <w:rFonts w:cs="Arial"/>
              </w:rPr>
            </w:pPr>
            <w:r>
              <w:t>Variedades ejemplo</w:t>
            </w:r>
          </w:p>
        </w:tc>
        <w:tc>
          <w:tcPr>
            <w:tcW w:w="8208" w:type="dxa"/>
          </w:tcPr>
          <w:p w14:paraId="65D72744" w14:textId="77777777" w:rsidR="00F44E48" w:rsidRPr="00360589" w:rsidRDefault="00F44E48" w:rsidP="00313560">
            <w:pPr>
              <w:keepNext/>
              <w:rPr>
                <w:rFonts w:cs="Arial"/>
              </w:rPr>
            </w:pPr>
            <w:r>
              <w:t xml:space="preserve">crear un nuevo capítulo 8.3 “Variedades ejemplo y sinónimos” con el cuadro siguiente: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68"/>
            </w:tblGrid>
            <w:tr w:rsidR="00F44E48" w:rsidRPr="00360589" w14:paraId="1FA666CE" w14:textId="77777777" w:rsidTr="00313560">
              <w:tc>
                <w:tcPr>
                  <w:tcW w:w="1716" w:type="dxa"/>
                  <w:tcBorders>
                    <w:top w:val="single" w:sz="4" w:space="0" w:color="auto"/>
                    <w:left w:val="single" w:sz="4" w:space="0" w:color="auto"/>
                    <w:bottom w:val="single" w:sz="4" w:space="0" w:color="auto"/>
                    <w:right w:val="single" w:sz="4" w:space="0" w:color="auto"/>
                  </w:tcBorders>
                </w:tcPr>
                <w:p w14:paraId="0A0A4DAC" w14:textId="77777777" w:rsidR="00F44E48" w:rsidRPr="00360589" w:rsidRDefault="00F44E48" w:rsidP="00313560">
                  <w:pPr>
                    <w:rPr>
                      <w:rFonts w:cs="Arial"/>
                    </w:rPr>
                  </w:pPr>
                  <w:r>
                    <w:t>Variedad ejemplo</w:t>
                  </w:r>
                </w:p>
              </w:tc>
              <w:tc>
                <w:tcPr>
                  <w:tcW w:w="2268" w:type="dxa"/>
                  <w:tcBorders>
                    <w:top w:val="single" w:sz="4" w:space="0" w:color="auto"/>
                    <w:left w:val="single" w:sz="4" w:space="0" w:color="auto"/>
                    <w:bottom w:val="single" w:sz="4" w:space="0" w:color="auto"/>
                    <w:right w:val="single" w:sz="4" w:space="0" w:color="auto"/>
                  </w:tcBorders>
                </w:tcPr>
                <w:p w14:paraId="48527D86" w14:textId="77777777" w:rsidR="00F44E48" w:rsidRPr="00360589" w:rsidRDefault="00F44E48" w:rsidP="00313560">
                  <w:pPr>
                    <w:rPr>
                      <w:rFonts w:cs="Arial"/>
                    </w:rPr>
                  </w:pPr>
                  <w:r>
                    <w:t>Sinónimo</w:t>
                  </w:r>
                </w:p>
              </w:tc>
            </w:tr>
            <w:tr w:rsidR="00F44E48" w:rsidRPr="00360589" w14:paraId="683BC28F" w14:textId="77777777" w:rsidTr="00313560">
              <w:tc>
                <w:tcPr>
                  <w:tcW w:w="1716" w:type="dxa"/>
                  <w:tcBorders>
                    <w:top w:val="single" w:sz="4" w:space="0" w:color="auto"/>
                    <w:left w:val="single" w:sz="4" w:space="0" w:color="auto"/>
                    <w:bottom w:val="single" w:sz="4" w:space="0" w:color="auto"/>
                    <w:right w:val="single" w:sz="4" w:space="0" w:color="auto"/>
                  </w:tcBorders>
                </w:tcPr>
                <w:p w14:paraId="4DC2C09B" w14:textId="77777777" w:rsidR="00F44E48" w:rsidRPr="00360589" w:rsidRDefault="00F44E48" w:rsidP="00313560">
                  <w:pPr>
                    <w:rPr>
                      <w:rFonts w:cs="Arial"/>
                    </w:rPr>
                  </w:pPr>
                  <w:r>
                    <w:t>Keauhou</w:t>
                  </w:r>
                </w:p>
              </w:tc>
              <w:tc>
                <w:tcPr>
                  <w:tcW w:w="2268" w:type="dxa"/>
                  <w:tcBorders>
                    <w:top w:val="single" w:sz="4" w:space="0" w:color="auto"/>
                    <w:left w:val="single" w:sz="4" w:space="0" w:color="auto"/>
                    <w:bottom w:val="single" w:sz="4" w:space="0" w:color="auto"/>
                    <w:right w:val="single" w:sz="4" w:space="0" w:color="auto"/>
                  </w:tcBorders>
                  <w:hideMark/>
                </w:tcPr>
                <w:p w14:paraId="4363D6FF" w14:textId="77777777" w:rsidR="00F44E48" w:rsidRPr="00360589" w:rsidRDefault="00F44E48" w:rsidP="00313560">
                  <w:pPr>
                    <w:rPr>
                      <w:rFonts w:cs="Arial"/>
                    </w:rPr>
                  </w:pPr>
                  <w:r>
                    <w:t>HAES 246</w:t>
                  </w:r>
                </w:p>
              </w:tc>
            </w:tr>
            <w:tr w:rsidR="00F44E48" w:rsidRPr="00360589" w14:paraId="72CFC3BE" w14:textId="77777777" w:rsidTr="00313560">
              <w:tc>
                <w:tcPr>
                  <w:tcW w:w="1716" w:type="dxa"/>
                  <w:tcBorders>
                    <w:top w:val="single" w:sz="4" w:space="0" w:color="auto"/>
                    <w:left w:val="single" w:sz="4" w:space="0" w:color="auto"/>
                    <w:bottom w:val="single" w:sz="4" w:space="0" w:color="auto"/>
                    <w:right w:val="single" w:sz="4" w:space="0" w:color="auto"/>
                  </w:tcBorders>
                </w:tcPr>
                <w:p w14:paraId="57A3E48E" w14:textId="77777777" w:rsidR="00F44E48" w:rsidRPr="00360589" w:rsidRDefault="00F44E48" w:rsidP="00313560">
                  <w:pPr>
                    <w:rPr>
                      <w:rFonts w:cs="Arial"/>
                    </w:rPr>
                  </w:pPr>
                  <w:r>
                    <w:t>Ikaika</w:t>
                  </w:r>
                </w:p>
              </w:tc>
              <w:tc>
                <w:tcPr>
                  <w:tcW w:w="2268" w:type="dxa"/>
                  <w:tcBorders>
                    <w:top w:val="single" w:sz="4" w:space="0" w:color="auto"/>
                    <w:left w:val="single" w:sz="4" w:space="0" w:color="auto"/>
                    <w:bottom w:val="single" w:sz="4" w:space="0" w:color="auto"/>
                    <w:right w:val="single" w:sz="4" w:space="0" w:color="auto"/>
                  </w:tcBorders>
                  <w:hideMark/>
                </w:tcPr>
                <w:p w14:paraId="4583F80C" w14:textId="77777777" w:rsidR="00F44E48" w:rsidRPr="00360589" w:rsidRDefault="00F44E48" w:rsidP="00313560">
                  <w:pPr>
                    <w:rPr>
                      <w:rFonts w:cs="Arial"/>
                    </w:rPr>
                  </w:pPr>
                  <w:r>
                    <w:t>HAES 333</w:t>
                  </w:r>
                </w:p>
              </w:tc>
            </w:tr>
            <w:tr w:rsidR="00F44E48" w:rsidRPr="00360589" w14:paraId="7CEBF999" w14:textId="77777777" w:rsidTr="00313560">
              <w:tc>
                <w:tcPr>
                  <w:tcW w:w="1716" w:type="dxa"/>
                  <w:tcBorders>
                    <w:top w:val="single" w:sz="4" w:space="0" w:color="auto"/>
                    <w:left w:val="single" w:sz="4" w:space="0" w:color="auto"/>
                    <w:bottom w:val="single" w:sz="4" w:space="0" w:color="auto"/>
                    <w:right w:val="single" w:sz="4" w:space="0" w:color="auto"/>
                  </w:tcBorders>
                </w:tcPr>
                <w:p w14:paraId="279532A2" w14:textId="77777777" w:rsidR="00F44E48" w:rsidRPr="00360589" w:rsidRDefault="00F44E48" w:rsidP="00313560">
                  <w:pPr>
                    <w:rPr>
                      <w:rFonts w:cs="Arial"/>
                    </w:rPr>
                  </w:pPr>
                  <w:r>
                    <w:t>Keaau</w:t>
                  </w:r>
                </w:p>
              </w:tc>
              <w:tc>
                <w:tcPr>
                  <w:tcW w:w="2268" w:type="dxa"/>
                  <w:tcBorders>
                    <w:top w:val="single" w:sz="4" w:space="0" w:color="auto"/>
                    <w:left w:val="single" w:sz="4" w:space="0" w:color="auto"/>
                    <w:bottom w:val="single" w:sz="4" w:space="0" w:color="auto"/>
                    <w:right w:val="single" w:sz="4" w:space="0" w:color="auto"/>
                  </w:tcBorders>
                  <w:hideMark/>
                </w:tcPr>
                <w:p w14:paraId="21C425D4" w14:textId="77777777" w:rsidR="00F44E48" w:rsidRPr="00360589" w:rsidRDefault="00F44E48" w:rsidP="00313560">
                  <w:pPr>
                    <w:rPr>
                      <w:rFonts w:cs="Arial"/>
                    </w:rPr>
                  </w:pPr>
                  <w:r>
                    <w:t>HAES 660</w:t>
                  </w:r>
                </w:p>
              </w:tc>
            </w:tr>
          </w:tbl>
          <w:p w14:paraId="03D35CA5" w14:textId="77777777" w:rsidR="00F44E48" w:rsidRPr="00360589" w:rsidRDefault="00F44E48" w:rsidP="00313560">
            <w:pPr>
              <w:keepNext/>
              <w:rPr>
                <w:rFonts w:cs="Arial"/>
              </w:rPr>
            </w:pPr>
          </w:p>
        </w:tc>
      </w:tr>
    </w:tbl>
    <w:p w14:paraId="35277687" w14:textId="77777777" w:rsidR="00F44E48" w:rsidRPr="00360589" w:rsidRDefault="00F44E48" w:rsidP="00F44E48">
      <w:pPr>
        <w:rPr>
          <w:rFonts w:eastAsia="Arial" w:cs="Arial"/>
          <w:color w:val="000000"/>
          <w:u w:val="single"/>
        </w:rPr>
      </w:pPr>
    </w:p>
    <w:p w14:paraId="45FAEACA" w14:textId="77777777"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28176E21" w14:textId="77777777" w:rsidTr="00313560">
        <w:trPr>
          <w:cantSplit/>
          <w:jc w:val="center"/>
        </w:trPr>
        <w:tc>
          <w:tcPr>
            <w:tcW w:w="9670" w:type="dxa"/>
            <w:shd w:val="clear" w:color="auto" w:fill="D9D9D9"/>
            <w:vAlign w:val="center"/>
          </w:tcPr>
          <w:p w14:paraId="460E27BE" w14:textId="77777777" w:rsidR="00F44E48" w:rsidRPr="00360589" w:rsidRDefault="00F44E48" w:rsidP="00313560">
            <w:pPr>
              <w:pStyle w:val="BodyText"/>
              <w:keepNext/>
              <w:tabs>
                <w:tab w:val="left" w:pos="1849"/>
              </w:tabs>
              <w:ind w:left="1803" w:hanging="1803"/>
              <w:jc w:val="left"/>
              <w:rPr>
                <w:rFonts w:cs="Arial"/>
                <w:b/>
                <w:iCs/>
              </w:rPr>
            </w:pPr>
            <w:r>
              <w:rPr>
                <w:b/>
              </w:rPr>
              <w:t>TC/55/19</w:t>
            </w:r>
            <w:r>
              <w:tab/>
            </w:r>
            <w:r>
              <w:rPr>
                <w:b/>
              </w:rPr>
              <w:t>Revisión parcial de las directrices de examen del naranjo</w:t>
            </w:r>
            <w:r>
              <w:rPr>
                <w:rStyle w:val="Fuentedeprrafopredeter1"/>
                <w:b/>
                <w:i/>
              </w:rPr>
              <w:t xml:space="preserve"> </w:t>
            </w:r>
            <w:r>
              <w:rPr>
                <w:rStyle w:val="Fuentedeprrafopredeter1"/>
                <w:b/>
              </w:rPr>
              <w:t>(</w:t>
            </w:r>
            <w:r>
              <w:rPr>
                <w:rStyle w:val="Fuentedeprrafopredeter1"/>
                <w:b/>
                <w:i/>
              </w:rPr>
              <w:t>Citrus</w:t>
            </w:r>
            <w:r>
              <w:rPr>
                <w:b/>
              </w:rPr>
              <w:t xml:space="preserve"> L. – Grupo 2)</w:t>
            </w:r>
          </w:p>
        </w:tc>
      </w:tr>
    </w:tbl>
    <w:p w14:paraId="25E8B41E" w14:textId="77777777" w:rsidR="00F44E48" w:rsidRPr="00360589" w:rsidRDefault="00F44E48" w:rsidP="00F44E48">
      <w:pPr>
        <w:keepNext/>
        <w:jc w:val="center"/>
        <w:rPr>
          <w:rFonts w:cs="Arial"/>
          <w:b/>
          <w:bCs/>
          <w:snapToGrid w:val="0"/>
          <w:color w:val="000000"/>
        </w:rPr>
      </w:pPr>
    </w:p>
    <w:p w14:paraId="6B52AB5A" w14:textId="77777777" w:rsidR="00F44E48" w:rsidRPr="00360589" w:rsidRDefault="00F44E48" w:rsidP="00F44E48">
      <w:pPr>
        <w:ind w:firstLine="567"/>
        <w:rPr>
          <w:rFonts w:cs="Arial"/>
        </w:rPr>
      </w:pPr>
      <w:r>
        <w:t>En su reunión celebrada en Ginebra en octubre de 2019, el TC-EDC examinó el documento </w:t>
      </w:r>
      <w:r>
        <w:rPr>
          <w:caps/>
        </w:rPr>
        <w:t>TC/55/19</w:t>
      </w:r>
      <w:r>
        <w:t xml:space="preserve"> y formuló las recomendaciones expuestas en el cuadro siguiente:</w:t>
      </w:r>
    </w:p>
    <w:p w14:paraId="5D848E56"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11BA162D" w14:textId="77777777" w:rsidTr="00313560">
        <w:trPr>
          <w:cantSplit/>
        </w:trPr>
        <w:tc>
          <w:tcPr>
            <w:tcW w:w="1573" w:type="dxa"/>
          </w:tcPr>
          <w:p w14:paraId="41554FC9" w14:textId="77777777" w:rsidR="00F44E48" w:rsidRPr="00360589" w:rsidRDefault="00F44E48" w:rsidP="00313560">
            <w:pPr>
              <w:jc w:val="left"/>
              <w:rPr>
                <w:rFonts w:cs="Arial"/>
              </w:rPr>
            </w:pPr>
            <w:r>
              <w:t>Car. 56</w:t>
            </w:r>
          </w:p>
        </w:tc>
        <w:tc>
          <w:tcPr>
            <w:tcW w:w="8208" w:type="dxa"/>
          </w:tcPr>
          <w:p w14:paraId="00E2A3FF" w14:textId="014EDA26" w:rsidR="00F44E48" w:rsidRPr="00360589" w:rsidRDefault="00F44E48" w:rsidP="00313560">
            <w:pPr>
              <w:keepNext/>
              <w:rPr>
                <w:rFonts w:cs="Arial"/>
              </w:rPr>
            </w:pPr>
            <w:r>
              <w:t>suprimir “en las glándulas de aceite”, cambio que se ha de reflejar también en los caracteres</w:t>
            </w:r>
            <w:r w:rsidR="00093374">
              <w:t> </w:t>
            </w:r>
            <w:r>
              <w:t>58 y 59 (igual que en el carácter 57) (también se ha de modificar el Anexo “Tabla de caracteres general”)</w:t>
            </w:r>
          </w:p>
        </w:tc>
      </w:tr>
      <w:tr w:rsidR="00F44E48" w:rsidRPr="00360589" w14:paraId="5FC907B6" w14:textId="77777777" w:rsidTr="00313560">
        <w:trPr>
          <w:cantSplit/>
        </w:trPr>
        <w:tc>
          <w:tcPr>
            <w:tcW w:w="1573" w:type="dxa"/>
          </w:tcPr>
          <w:p w14:paraId="2AF17A17" w14:textId="77777777" w:rsidR="00F44E48" w:rsidRPr="00360589" w:rsidRDefault="00F44E48" w:rsidP="00313560">
            <w:pPr>
              <w:jc w:val="left"/>
              <w:rPr>
                <w:rFonts w:cs="Arial"/>
              </w:rPr>
            </w:pPr>
            <w:r>
              <w:t>Ad. 26</w:t>
            </w:r>
          </w:p>
        </w:tc>
        <w:tc>
          <w:tcPr>
            <w:tcW w:w="8208" w:type="dxa"/>
          </w:tcPr>
          <w:p w14:paraId="0CE59D1D" w14:textId="77777777" w:rsidR="00F44E48" w:rsidRPr="00360589" w:rsidRDefault="00F44E48" w:rsidP="00313560">
            <w:pPr>
              <w:keepNext/>
              <w:rPr>
                <w:rFonts w:cs="Arial"/>
              </w:rPr>
            </w:pPr>
            <w:r>
              <w:t>trasladar la última frase a la “Bibliografía” (referencia a la publicación de Brewbaker)</w:t>
            </w:r>
          </w:p>
        </w:tc>
      </w:tr>
    </w:tbl>
    <w:p w14:paraId="3E39ACB8" w14:textId="77777777" w:rsidR="00F44E48" w:rsidRPr="00360589" w:rsidRDefault="00F44E48" w:rsidP="00F44E48">
      <w:pPr>
        <w:rPr>
          <w:rFonts w:eastAsia="Arial" w:cs="Arial"/>
          <w:color w:val="000000"/>
          <w:u w:val="single"/>
        </w:rPr>
      </w:pPr>
    </w:p>
    <w:p w14:paraId="45A3D7AD" w14:textId="77777777"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43708C19" w14:textId="77777777" w:rsidTr="00313560">
        <w:trPr>
          <w:cantSplit/>
          <w:jc w:val="center"/>
        </w:trPr>
        <w:tc>
          <w:tcPr>
            <w:tcW w:w="9670" w:type="dxa"/>
            <w:shd w:val="clear" w:color="auto" w:fill="D9D9D9"/>
            <w:vAlign w:val="center"/>
          </w:tcPr>
          <w:p w14:paraId="3995D09B" w14:textId="77777777" w:rsidR="00F44E48" w:rsidRPr="00360589" w:rsidRDefault="00F44E48" w:rsidP="00313560">
            <w:pPr>
              <w:pStyle w:val="BodyText"/>
              <w:keepNext/>
              <w:tabs>
                <w:tab w:val="left" w:pos="1849"/>
              </w:tabs>
              <w:ind w:left="1803" w:hanging="1803"/>
              <w:jc w:val="left"/>
              <w:rPr>
                <w:rFonts w:cs="Arial"/>
                <w:b/>
                <w:iCs/>
              </w:rPr>
            </w:pPr>
            <w:r>
              <w:rPr>
                <w:b/>
              </w:rPr>
              <w:t>TC/55/20</w:t>
            </w:r>
            <w:r>
              <w:tab/>
            </w:r>
            <w:r>
              <w:rPr>
                <w:b/>
              </w:rPr>
              <w:t>Revisión parcial de las directrices de examen del pomelo y el plummelo (</w:t>
            </w:r>
            <w:r>
              <w:rPr>
                <w:rStyle w:val="Fuentedeprrafopredeter1"/>
                <w:b/>
                <w:i/>
              </w:rPr>
              <w:t>Citrus</w:t>
            </w:r>
            <w:r>
              <w:t> </w:t>
            </w:r>
            <w:r>
              <w:rPr>
                <w:b/>
              </w:rPr>
              <w:t>L. – Grupo 4)</w:t>
            </w:r>
          </w:p>
        </w:tc>
      </w:tr>
    </w:tbl>
    <w:p w14:paraId="4FBB60FD" w14:textId="77777777" w:rsidR="00F44E48" w:rsidRPr="00360589" w:rsidRDefault="00F44E48" w:rsidP="00F44E48">
      <w:pPr>
        <w:keepNext/>
        <w:jc w:val="center"/>
        <w:rPr>
          <w:rFonts w:cs="Arial"/>
          <w:b/>
          <w:bCs/>
          <w:snapToGrid w:val="0"/>
          <w:color w:val="000000"/>
        </w:rPr>
      </w:pPr>
    </w:p>
    <w:p w14:paraId="6284B5CE" w14:textId="77777777" w:rsidR="00F44E48" w:rsidRPr="00360589" w:rsidRDefault="00F44E48" w:rsidP="00F44E48">
      <w:pPr>
        <w:ind w:firstLine="567"/>
        <w:rPr>
          <w:rFonts w:cs="Arial"/>
        </w:rPr>
      </w:pPr>
      <w:r>
        <w:t>En su reunión celebrada en Ginebra en octubre de 2019, el TC-EDC examinó el documento </w:t>
      </w:r>
      <w:r>
        <w:rPr>
          <w:caps/>
        </w:rPr>
        <w:t>TC/55/20</w:t>
      </w:r>
      <w:r>
        <w:t xml:space="preserve"> y formuló las recomendaciones expuestas en el cuadro siguiente:</w:t>
      </w:r>
    </w:p>
    <w:p w14:paraId="183F8F42"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01EAFE61" w14:textId="77777777" w:rsidTr="00313560">
        <w:trPr>
          <w:cantSplit/>
        </w:trPr>
        <w:tc>
          <w:tcPr>
            <w:tcW w:w="1573" w:type="dxa"/>
          </w:tcPr>
          <w:p w14:paraId="59678E46" w14:textId="77777777" w:rsidR="00F44E48" w:rsidRPr="00360589" w:rsidRDefault="00F44E48" w:rsidP="00313560">
            <w:pPr>
              <w:jc w:val="left"/>
              <w:rPr>
                <w:rFonts w:cs="Arial"/>
              </w:rPr>
            </w:pPr>
            <w:r>
              <w:t>Ad. 30</w:t>
            </w:r>
          </w:p>
        </w:tc>
        <w:tc>
          <w:tcPr>
            <w:tcW w:w="8208" w:type="dxa"/>
          </w:tcPr>
          <w:p w14:paraId="74C9EF37" w14:textId="77777777" w:rsidR="00F44E48" w:rsidRPr="00360589" w:rsidRDefault="00F44E48" w:rsidP="00313560">
            <w:pPr>
              <w:keepNext/>
              <w:rPr>
                <w:rFonts w:cs="Arial"/>
              </w:rPr>
            </w:pPr>
            <w:r>
              <w:t>trasladar la última frase a la “Bibliografía” (referencia a la publicación de Brewbaker)</w:t>
            </w:r>
          </w:p>
        </w:tc>
      </w:tr>
    </w:tbl>
    <w:p w14:paraId="2F2D8A35" w14:textId="77777777" w:rsidR="00F44E48" w:rsidRPr="00360589" w:rsidRDefault="00F44E48" w:rsidP="00F44E48">
      <w:pPr>
        <w:rPr>
          <w:rFonts w:eastAsia="Arial" w:cs="Arial"/>
          <w:color w:val="000000"/>
          <w:u w:val="single"/>
        </w:rPr>
      </w:pPr>
    </w:p>
    <w:p w14:paraId="011BEB3A" w14:textId="77777777"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6E468DBF" w14:textId="77777777" w:rsidTr="00313560">
        <w:trPr>
          <w:cantSplit/>
          <w:jc w:val="center"/>
        </w:trPr>
        <w:tc>
          <w:tcPr>
            <w:tcW w:w="9670" w:type="dxa"/>
            <w:shd w:val="clear" w:color="auto" w:fill="D9D9D9"/>
            <w:vAlign w:val="center"/>
          </w:tcPr>
          <w:p w14:paraId="271BBDA1" w14:textId="77777777" w:rsidR="00F44E48" w:rsidRPr="00360589" w:rsidRDefault="00F44E48" w:rsidP="00313560">
            <w:pPr>
              <w:pStyle w:val="BodyText"/>
              <w:keepNext/>
              <w:tabs>
                <w:tab w:val="left" w:pos="1849"/>
              </w:tabs>
              <w:ind w:left="1803" w:hanging="1803"/>
              <w:jc w:val="left"/>
              <w:rPr>
                <w:rFonts w:cs="Arial"/>
                <w:b/>
                <w:iCs/>
              </w:rPr>
            </w:pPr>
            <w:r>
              <w:rPr>
                <w:b/>
              </w:rPr>
              <w:t>TC/55/21</w:t>
            </w:r>
            <w:r>
              <w:tab/>
            </w:r>
            <w:r>
              <w:rPr>
                <w:b/>
              </w:rPr>
              <w:t xml:space="preserve">Revisión parcial de las directrices de examen de </w:t>
            </w:r>
            <w:r>
              <w:rPr>
                <w:b/>
                <w:i/>
              </w:rPr>
              <w:t>Phalaenopsis</w:t>
            </w:r>
          </w:p>
        </w:tc>
      </w:tr>
    </w:tbl>
    <w:p w14:paraId="23B8CFF0" w14:textId="77777777" w:rsidR="00F44E48" w:rsidRPr="00360589" w:rsidRDefault="00F44E48" w:rsidP="00F44E48">
      <w:pPr>
        <w:keepNext/>
        <w:jc w:val="center"/>
        <w:rPr>
          <w:rFonts w:cs="Arial"/>
          <w:b/>
          <w:bCs/>
          <w:snapToGrid w:val="0"/>
          <w:color w:val="000000"/>
        </w:rPr>
      </w:pPr>
    </w:p>
    <w:p w14:paraId="040DE982" w14:textId="77777777" w:rsidR="00F44E48" w:rsidRPr="00360589" w:rsidRDefault="00F44E48" w:rsidP="00F44E48">
      <w:pPr>
        <w:ind w:firstLine="567"/>
        <w:rPr>
          <w:rFonts w:cs="Arial"/>
        </w:rPr>
      </w:pPr>
      <w:r>
        <w:t>En su reunión celebrada en Ginebra en octubre de 2019, el TC-EDC examinó el documento </w:t>
      </w:r>
      <w:r>
        <w:rPr>
          <w:caps/>
        </w:rPr>
        <w:t>TC/55/21</w:t>
      </w:r>
      <w:r>
        <w:t xml:space="preserve"> y formuló las recomendaciones expuestas en el cuadro siguiente:</w:t>
      </w:r>
    </w:p>
    <w:p w14:paraId="24C3C000"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155A98CB" w14:textId="77777777" w:rsidTr="00313560">
        <w:trPr>
          <w:cantSplit/>
        </w:trPr>
        <w:tc>
          <w:tcPr>
            <w:tcW w:w="1573" w:type="dxa"/>
          </w:tcPr>
          <w:p w14:paraId="04A97414" w14:textId="77777777" w:rsidR="00F44E48" w:rsidRPr="00360589" w:rsidRDefault="00F44E48" w:rsidP="00313560">
            <w:pPr>
              <w:jc w:val="left"/>
              <w:rPr>
                <w:rFonts w:cs="Arial"/>
              </w:rPr>
            </w:pPr>
            <w:r>
              <w:t>Car. NUEVO 1</w:t>
            </w:r>
          </w:p>
        </w:tc>
        <w:tc>
          <w:tcPr>
            <w:tcW w:w="8208" w:type="dxa"/>
          </w:tcPr>
          <w:p w14:paraId="73D6DFF4" w14:textId="77777777" w:rsidR="00F44E48" w:rsidRPr="00360589" w:rsidRDefault="00F44E48" w:rsidP="00313560">
            <w:pPr>
              <w:keepNext/>
              <w:rPr>
                <w:rFonts w:cs="Arial"/>
              </w:rPr>
            </w:pPr>
            <w:r>
              <w:t>el texto ha de ser: “Labio: fusión de los lóbulos laterales con el lóbulo apical”</w:t>
            </w:r>
          </w:p>
        </w:tc>
      </w:tr>
      <w:tr w:rsidR="00F44E48" w:rsidRPr="00360589" w14:paraId="476DF618" w14:textId="77777777" w:rsidTr="00313560">
        <w:trPr>
          <w:cantSplit/>
        </w:trPr>
        <w:tc>
          <w:tcPr>
            <w:tcW w:w="1573" w:type="dxa"/>
          </w:tcPr>
          <w:p w14:paraId="4FA44EAE" w14:textId="77777777" w:rsidR="00F44E48" w:rsidRPr="00360589" w:rsidRDefault="00F44E48" w:rsidP="00313560">
            <w:pPr>
              <w:jc w:val="left"/>
              <w:rPr>
                <w:rFonts w:cs="Arial"/>
              </w:rPr>
            </w:pPr>
            <w:r>
              <w:t>Ad. NUEVO 2</w:t>
            </w:r>
          </w:p>
        </w:tc>
        <w:tc>
          <w:tcPr>
            <w:tcW w:w="8208" w:type="dxa"/>
          </w:tcPr>
          <w:p w14:paraId="6D6B461F" w14:textId="77777777" w:rsidR="00F44E48" w:rsidRPr="00360589" w:rsidRDefault="00F44E48" w:rsidP="00313560">
            <w:pPr>
              <w:keepNext/>
              <w:rPr>
                <w:rFonts w:cs="Arial"/>
              </w:rPr>
            </w:pPr>
            <w:r>
              <w:t>se ha de suprimir el texto entre paréntesis que figura debajo de los niveles de expresión</w:t>
            </w:r>
          </w:p>
        </w:tc>
      </w:tr>
    </w:tbl>
    <w:p w14:paraId="6086C0AC" w14:textId="77777777" w:rsidR="00F44E48" w:rsidRPr="00360589" w:rsidRDefault="00F44E48" w:rsidP="00F44E48">
      <w:pPr>
        <w:rPr>
          <w:rFonts w:eastAsia="Arial" w:cs="Arial"/>
          <w:color w:val="000000"/>
          <w:u w:val="single"/>
        </w:rPr>
      </w:pPr>
    </w:p>
    <w:p w14:paraId="2C9A6B0A" w14:textId="77777777"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6A699B68" w14:textId="77777777" w:rsidTr="00313560">
        <w:trPr>
          <w:cantSplit/>
          <w:jc w:val="center"/>
        </w:trPr>
        <w:tc>
          <w:tcPr>
            <w:tcW w:w="9670" w:type="dxa"/>
            <w:shd w:val="clear" w:color="auto" w:fill="D9D9D9"/>
            <w:vAlign w:val="center"/>
          </w:tcPr>
          <w:p w14:paraId="3B092F55" w14:textId="77777777" w:rsidR="00F44E48" w:rsidRPr="00360589" w:rsidRDefault="00F44E48" w:rsidP="00313560">
            <w:pPr>
              <w:pStyle w:val="BodyText"/>
              <w:keepNext/>
              <w:tabs>
                <w:tab w:val="left" w:pos="1849"/>
              </w:tabs>
              <w:ind w:left="1803" w:hanging="1803"/>
              <w:jc w:val="left"/>
              <w:rPr>
                <w:rFonts w:cs="Arial"/>
                <w:b/>
                <w:iCs/>
              </w:rPr>
            </w:pPr>
            <w:r>
              <w:rPr>
                <w:b/>
              </w:rPr>
              <w:t>TC/55/22</w:t>
            </w:r>
            <w:r>
              <w:tab/>
            </w:r>
            <w:r>
              <w:rPr>
                <w:b/>
              </w:rPr>
              <w:t>Revisión parcial de las directrices de examen del tomate</w:t>
            </w:r>
          </w:p>
        </w:tc>
      </w:tr>
    </w:tbl>
    <w:p w14:paraId="707BC237" w14:textId="77777777" w:rsidR="00F44E48" w:rsidRPr="00360589" w:rsidRDefault="00F44E48" w:rsidP="00F44E48">
      <w:pPr>
        <w:keepNext/>
        <w:jc w:val="center"/>
        <w:rPr>
          <w:rFonts w:cs="Arial"/>
          <w:b/>
          <w:bCs/>
          <w:snapToGrid w:val="0"/>
          <w:color w:val="000000"/>
        </w:rPr>
      </w:pPr>
    </w:p>
    <w:p w14:paraId="56D6A53A" w14:textId="77777777" w:rsidR="00F44E48" w:rsidRPr="00360589" w:rsidRDefault="00F44E48" w:rsidP="00F44E48">
      <w:pPr>
        <w:keepNext/>
        <w:ind w:firstLine="567"/>
        <w:rPr>
          <w:rFonts w:cs="Arial"/>
        </w:rPr>
      </w:pPr>
      <w:r>
        <w:t>En su reunión celebrada en Ginebra en octubre de 2019, el TC-EDC examinó el documento </w:t>
      </w:r>
      <w:r>
        <w:rPr>
          <w:caps/>
        </w:rPr>
        <w:t>TC/55/22</w:t>
      </w:r>
      <w:r>
        <w:t xml:space="preserve"> y formuló las recomendaciones expuestas en el cuadro siguiente:</w:t>
      </w:r>
    </w:p>
    <w:p w14:paraId="038D759F"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68BF5E1E" w14:textId="77777777" w:rsidTr="00313560">
        <w:trPr>
          <w:cantSplit/>
        </w:trPr>
        <w:tc>
          <w:tcPr>
            <w:tcW w:w="1573" w:type="dxa"/>
          </w:tcPr>
          <w:p w14:paraId="64E5F62E" w14:textId="77777777" w:rsidR="00F44E48" w:rsidRPr="00360589" w:rsidRDefault="00F44E48" w:rsidP="00313560">
            <w:pPr>
              <w:keepNext/>
              <w:jc w:val="left"/>
              <w:rPr>
                <w:rFonts w:cs="Arial"/>
              </w:rPr>
            </w:pPr>
            <w:r>
              <w:t>Car. 48/ Ad. 48</w:t>
            </w:r>
          </w:p>
        </w:tc>
        <w:tc>
          <w:tcPr>
            <w:tcW w:w="8208" w:type="dxa"/>
          </w:tcPr>
          <w:p w14:paraId="65221CFF" w14:textId="77777777" w:rsidR="00F44E48" w:rsidRPr="00360589" w:rsidRDefault="00F44E48" w:rsidP="00313560">
            <w:pPr>
              <w:keepNext/>
              <w:rPr>
                <w:rFonts w:cs="Arial"/>
              </w:rPr>
            </w:pPr>
            <w:r>
              <w:t>reemplazar la traducción al francés de “</w:t>
            </w:r>
            <w:r>
              <w:rPr>
                <w:i/>
              </w:rPr>
              <w:t>Race</w:t>
            </w:r>
            <w:r>
              <w:t>” para que sea “</w:t>
            </w:r>
            <w:r>
              <w:rPr>
                <w:i/>
              </w:rPr>
              <w:t>Race</w:t>
            </w:r>
            <w:r>
              <w:t>” (en lugar de “</w:t>
            </w:r>
            <w:r>
              <w:rPr>
                <w:i/>
              </w:rPr>
              <w:t>Pathotype</w:t>
            </w:r>
            <w:r>
              <w:t>”)</w:t>
            </w:r>
          </w:p>
        </w:tc>
      </w:tr>
      <w:tr w:rsidR="00F44E48" w:rsidRPr="00360589" w14:paraId="228F6507" w14:textId="77777777" w:rsidTr="00313560">
        <w:trPr>
          <w:cantSplit/>
        </w:trPr>
        <w:tc>
          <w:tcPr>
            <w:tcW w:w="1573" w:type="dxa"/>
          </w:tcPr>
          <w:p w14:paraId="108A8BEE" w14:textId="77777777" w:rsidR="00F44E48" w:rsidRPr="00360589" w:rsidRDefault="00F44E48" w:rsidP="00313560">
            <w:pPr>
              <w:jc w:val="left"/>
              <w:rPr>
                <w:rFonts w:cs="Arial"/>
              </w:rPr>
            </w:pPr>
            <w:r>
              <w:t>Car. 48, 6.</w:t>
            </w:r>
          </w:p>
        </w:tc>
        <w:tc>
          <w:tcPr>
            <w:tcW w:w="8208" w:type="dxa"/>
          </w:tcPr>
          <w:p w14:paraId="2E26D392" w14:textId="77777777" w:rsidR="00F44E48" w:rsidRPr="00360589" w:rsidRDefault="00F44E48" w:rsidP="00313560">
            <w:pPr>
              <w:keepNext/>
              <w:rPr>
                <w:rFonts w:cs="Arial"/>
              </w:rPr>
            </w:pPr>
            <w:r>
              <w:t>el texto ha de ser “utilizar variedades diferenciales (véase el sitio web de la ISF)”</w:t>
            </w:r>
          </w:p>
        </w:tc>
      </w:tr>
    </w:tbl>
    <w:p w14:paraId="722380FA" w14:textId="77777777" w:rsidR="00F44E48" w:rsidRPr="00360589" w:rsidRDefault="00F44E48" w:rsidP="00F44E48">
      <w:pPr>
        <w:rPr>
          <w:rFonts w:eastAsia="Arial" w:cs="Arial"/>
          <w:color w:val="000000"/>
          <w:u w:val="single"/>
        </w:rPr>
      </w:pPr>
    </w:p>
    <w:p w14:paraId="5717E2F1" w14:textId="77777777"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14:paraId="62CAF3C2" w14:textId="77777777" w:rsidTr="00313560">
        <w:trPr>
          <w:cantSplit/>
          <w:jc w:val="center"/>
        </w:trPr>
        <w:tc>
          <w:tcPr>
            <w:tcW w:w="9670" w:type="dxa"/>
            <w:shd w:val="clear" w:color="auto" w:fill="D9D9D9"/>
            <w:vAlign w:val="center"/>
          </w:tcPr>
          <w:p w14:paraId="4A6A1596" w14:textId="77777777" w:rsidR="00F44E48" w:rsidRPr="00360589" w:rsidRDefault="00F44E48" w:rsidP="00313560">
            <w:pPr>
              <w:pStyle w:val="BodyText"/>
              <w:keepNext/>
              <w:tabs>
                <w:tab w:val="left" w:pos="1849"/>
              </w:tabs>
              <w:ind w:left="1803" w:hanging="1803"/>
              <w:jc w:val="left"/>
              <w:rPr>
                <w:rFonts w:cs="Arial"/>
                <w:b/>
                <w:iCs/>
              </w:rPr>
            </w:pPr>
            <w:r>
              <w:rPr>
                <w:b/>
              </w:rPr>
              <w:t>TC/55/23</w:t>
            </w:r>
            <w:r>
              <w:tab/>
            </w:r>
            <w:r>
              <w:rPr>
                <w:b/>
              </w:rPr>
              <w:t>Revisión parcial de las directrices de examen de portainjertos de tomate</w:t>
            </w:r>
          </w:p>
        </w:tc>
      </w:tr>
    </w:tbl>
    <w:p w14:paraId="1EF63245" w14:textId="77777777" w:rsidR="00F44E48" w:rsidRPr="00360589" w:rsidRDefault="00F44E48" w:rsidP="00F44E48">
      <w:pPr>
        <w:keepNext/>
        <w:jc w:val="center"/>
        <w:rPr>
          <w:rFonts w:cs="Arial"/>
          <w:b/>
          <w:bCs/>
          <w:snapToGrid w:val="0"/>
          <w:color w:val="000000"/>
        </w:rPr>
      </w:pPr>
    </w:p>
    <w:p w14:paraId="65F33DE8" w14:textId="77777777" w:rsidR="00F44E48" w:rsidRPr="00360589" w:rsidRDefault="00F44E48" w:rsidP="00F44E48">
      <w:pPr>
        <w:ind w:firstLine="567"/>
        <w:rPr>
          <w:rFonts w:cs="Arial"/>
          <w:b/>
          <w:bCs/>
          <w:snapToGrid w:val="0"/>
          <w:color w:val="000000"/>
        </w:rPr>
      </w:pPr>
      <w:r>
        <w:t>En su reunión celebrada en Ginebra en octubre de 2019, el TC-EDC examinó el documento </w:t>
      </w:r>
      <w:r>
        <w:rPr>
          <w:caps/>
        </w:rPr>
        <w:t>TC/55/23</w:t>
      </w:r>
      <w:r>
        <w:t xml:space="preserve"> y formuló las recomendaciones expuestas en el cuadro siguiente:</w:t>
      </w:r>
    </w:p>
    <w:p w14:paraId="3F9ADA01" w14:textId="77777777"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516F4A4D" w14:textId="77777777" w:rsidTr="00313560">
        <w:trPr>
          <w:cantSplit/>
          <w:trHeight w:val="250"/>
        </w:trPr>
        <w:tc>
          <w:tcPr>
            <w:tcW w:w="1573" w:type="dxa"/>
          </w:tcPr>
          <w:p w14:paraId="32AA2158" w14:textId="77777777" w:rsidR="00F44E48" w:rsidRPr="00360589" w:rsidRDefault="00F44E48" w:rsidP="00313560">
            <w:pPr>
              <w:jc w:val="left"/>
              <w:rPr>
                <w:rFonts w:cs="Arial"/>
              </w:rPr>
            </w:pPr>
            <w:r>
              <w:t>Car. 24/ Ad. 24</w:t>
            </w:r>
          </w:p>
        </w:tc>
        <w:tc>
          <w:tcPr>
            <w:tcW w:w="8208" w:type="dxa"/>
          </w:tcPr>
          <w:p w14:paraId="43CE03A9" w14:textId="77777777" w:rsidR="00F44E48" w:rsidRPr="00360589" w:rsidRDefault="00F44E48" w:rsidP="00313560">
            <w:pPr>
              <w:keepNext/>
              <w:rPr>
                <w:rFonts w:cs="Arial"/>
              </w:rPr>
            </w:pPr>
            <w:r>
              <w:t>reemplazar la traducción al francés de “</w:t>
            </w:r>
            <w:r>
              <w:rPr>
                <w:i/>
              </w:rPr>
              <w:t>Race</w:t>
            </w:r>
            <w:r>
              <w:t>” para que sea “</w:t>
            </w:r>
            <w:r>
              <w:rPr>
                <w:i/>
              </w:rPr>
              <w:t>Race</w:t>
            </w:r>
            <w:r>
              <w:t>” (en lugar de “</w:t>
            </w:r>
            <w:r>
              <w:rPr>
                <w:i/>
              </w:rPr>
              <w:t>Pathotype</w:t>
            </w:r>
            <w:r>
              <w:t>”)</w:t>
            </w:r>
          </w:p>
        </w:tc>
      </w:tr>
      <w:tr w:rsidR="00F44E48" w:rsidRPr="00360589" w14:paraId="7341D131" w14:textId="77777777" w:rsidTr="00313560">
        <w:trPr>
          <w:cantSplit/>
        </w:trPr>
        <w:tc>
          <w:tcPr>
            <w:tcW w:w="1573" w:type="dxa"/>
          </w:tcPr>
          <w:p w14:paraId="358258FF" w14:textId="77777777" w:rsidR="00F44E48" w:rsidRPr="00360589" w:rsidRDefault="00F44E48" w:rsidP="00313560">
            <w:pPr>
              <w:jc w:val="left"/>
              <w:rPr>
                <w:rFonts w:cs="Arial"/>
              </w:rPr>
            </w:pPr>
            <w:r>
              <w:t>Car. 24, 6.</w:t>
            </w:r>
          </w:p>
        </w:tc>
        <w:tc>
          <w:tcPr>
            <w:tcW w:w="8208" w:type="dxa"/>
          </w:tcPr>
          <w:p w14:paraId="649CED20" w14:textId="77777777" w:rsidR="00F44E48" w:rsidRPr="00360589" w:rsidRDefault="00F44E48" w:rsidP="00313560">
            <w:pPr>
              <w:keepNext/>
              <w:rPr>
                <w:rFonts w:cs="Arial"/>
              </w:rPr>
            </w:pPr>
            <w:r>
              <w:t>el texto ha de ser “utilizar variedades diferenciales (véase el sitio web de la ISF)”</w:t>
            </w:r>
          </w:p>
        </w:tc>
      </w:tr>
    </w:tbl>
    <w:p w14:paraId="3F034C92" w14:textId="77777777" w:rsidR="00F44E48" w:rsidRPr="00360589" w:rsidRDefault="00F44E48" w:rsidP="00F44E48">
      <w:pPr>
        <w:rPr>
          <w:rFonts w:eastAsia="Arial" w:cs="Arial"/>
          <w:color w:val="000000"/>
          <w:u w:val="single"/>
        </w:rPr>
      </w:pPr>
    </w:p>
    <w:p w14:paraId="7C9D5BF8" w14:textId="77777777" w:rsidR="00F44E48" w:rsidRPr="00360589" w:rsidRDefault="00F44E48" w:rsidP="00F44E48">
      <w:pPr>
        <w:rPr>
          <w:rFonts w:eastAsia="Arial" w:cs="Arial"/>
          <w:color w:val="000000"/>
          <w:u w:val="single"/>
        </w:rPr>
      </w:pPr>
    </w:p>
    <w:p w14:paraId="3BDE3E9E" w14:textId="77777777" w:rsidR="00F44E48" w:rsidRPr="00360589" w:rsidRDefault="00F44E48" w:rsidP="00F44E48">
      <w:pPr>
        <w:pStyle w:val="Heading3"/>
        <w:rPr>
          <w:rFonts w:eastAsia="Arial" w:cs="Arial"/>
        </w:rPr>
      </w:pPr>
      <w:r>
        <w:t>Nuevas directrices de examen</w:t>
      </w:r>
    </w:p>
    <w:p w14:paraId="5815013F"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705BCA7D" w14:textId="77777777" w:rsidTr="00313560">
        <w:trPr>
          <w:cantSplit/>
          <w:trHeight w:val="277"/>
          <w:jc w:val="center"/>
        </w:trPr>
        <w:tc>
          <w:tcPr>
            <w:tcW w:w="2894" w:type="dxa"/>
            <w:vMerge w:val="restart"/>
            <w:shd w:val="clear" w:color="auto" w:fill="D9D9D9"/>
            <w:vAlign w:val="center"/>
          </w:tcPr>
          <w:p w14:paraId="38DDC386" w14:textId="77777777" w:rsidR="00F44E48" w:rsidRPr="00360589" w:rsidRDefault="00F44E48" w:rsidP="00313560">
            <w:pPr>
              <w:pStyle w:val="TitleofDoc"/>
              <w:keepNext/>
              <w:tabs>
                <w:tab w:val="left" w:pos="5245"/>
                <w:tab w:val="left" w:pos="7008"/>
              </w:tabs>
              <w:spacing w:before="0"/>
              <w:jc w:val="left"/>
              <w:rPr>
                <w:rFonts w:cs="Arial"/>
                <w:caps w:val="0"/>
              </w:rPr>
            </w:pPr>
            <w:r>
              <w:t xml:space="preserve">Caléndula </w:t>
            </w:r>
            <w:r>
              <w:br/>
              <w:t>(</w:t>
            </w:r>
            <w:r>
              <w:rPr>
                <w:i/>
                <w:caps w:val="0"/>
              </w:rPr>
              <w:t>Calendula</w:t>
            </w:r>
            <w:r>
              <w:t xml:space="preserve"> L.)</w:t>
            </w:r>
          </w:p>
        </w:tc>
        <w:tc>
          <w:tcPr>
            <w:tcW w:w="2552" w:type="dxa"/>
            <w:shd w:val="clear" w:color="auto" w:fill="D9D9D9"/>
            <w:vAlign w:val="center"/>
          </w:tcPr>
          <w:p w14:paraId="2EA2CC43" w14:textId="77777777" w:rsidR="00F44E48" w:rsidRPr="00360589" w:rsidRDefault="00F44E48" w:rsidP="00313560">
            <w:pPr>
              <w:pStyle w:val="TitleofDoc"/>
              <w:keepNext/>
              <w:tabs>
                <w:tab w:val="left" w:pos="5245"/>
                <w:tab w:val="left" w:pos="7008"/>
              </w:tabs>
              <w:spacing w:before="0"/>
              <w:jc w:val="left"/>
              <w:rPr>
                <w:rFonts w:cs="Arial"/>
                <w:caps w:val="0"/>
              </w:rPr>
            </w:pPr>
            <w:r>
              <w:t>TG/CALEN(proj.4)</w:t>
            </w:r>
          </w:p>
        </w:tc>
        <w:tc>
          <w:tcPr>
            <w:tcW w:w="2807" w:type="dxa"/>
            <w:shd w:val="clear" w:color="auto" w:fill="D9D9D9"/>
            <w:vAlign w:val="center"/>
          </w:tcPr>
          <w:p w14:paraId="3683055A" w14:textId="77777777" w:rsidR="00F44E48" w:rsidRPr="00360589" w:rsidRDefault="00F44E48" w:rsidP="00313560">
            <w:pPr>
              <w:keepNext/>
              <w:jc w:val="left"/>
              <w:rPr>
                <w:rFonts w:cs="Arial"/>
                <w:iCs/>
                <w:snapToGrid w:val="0"/>
                <w:color w:val="000000"/>
              </w:rPr>
            </w:pPr>
            <w:r>
              <w:t>Sr. Koji Nakanishi (JP)</w:t>
            </w:r>
          </w:p>
        </w:tc>
        <w:tc>
          <w:tcPr>
            <w:tcW w:w="736" w:type="dxa"/>
            <w:vMerge w:val="restart"/>
            <w:shd w:val="clear" w:color="auto" w:fill="D9D9D9"/>
            <w:vAlign w:val="center"/>
          </w:tcPr>
          <w:p w14:paraId="5B710D75" w14:textId="77777777" w:rsidR="00F44E48" w:rsidRPr="00360589" w:rsidRDefault="00F44E48" w:rsidP="00313560">
            <w:pPr>
              <w:keepNext/>
              <w:jc w:val="left"/>
              <w:rPr>
                <w:rFonts w:cs="Arial"/>
                <w:iCs/>
              </w:rPr>
            </w:pPr>
            <w:r>
              <w:t>TWO</w:t>
            </w:r>
          </w:p>
        </w:tc>
        <w:tc>
          <w:tcPr>
            <w:tcW w:w="993" w:type="dxa"/>
            <w:vMerge w:val="restart"/>
            <w:shd w:val="clear" w:color="auto" w:fill="D9D9D9"/>
            <w:vAlign w:val="center"/>
          </w:tcPr>
          <w:p w14:paraId="1B1E3173" w14:textId="77777777" w:rsidR="00F44E48" w:rsidRPr="00360589" w:rsidRDefault="00F44E48" w:rsidP="00313560">
            <w:pPr>
              <w:pStyle w:val="BodyText"/>
              <w:keepNext/>
              <w:jc w:val="left"/>
              <w:rPr>
                <w:rFonts w:cs="Arial"/>
                <w:iCs/>
                <w:snapToGrid w:val="0"/>
              </w:rPr>
            </w:pPr>
            <w:r>
              <w:t>*</w:t>
            </w:r>
          </w:p>
        </w:tc>
      </w:tr>
      <w:tr w:rsidR="00F44E48" w:rsidRPr="00963B6C" w14:paraId="20E8D7F1" w14:textId="77777777" w:rsidTr="00313560">
        <w:trPr>
          <w:cantSplit/>
          <w:trHeight w:hRule="exact" w:val="791"/>
          <w:jc w:val="center"/>
        </w:trPr>
        <w:tc>
          <w:tcPr>
            <w:tcW w:w="2894" w:type="dxa"/>
            <w:vMerge/>
            <w:shd w:val="clear" w:color="auto" w:fill="D9D9D9"/>
            <w:vAlign w:val="center"/>
          </w:tcPr>
          <w:p w14:paraId="0C7402B7"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998F022" w14:textId="33363046"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36</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22</w:t>
            </w:r>
          </w:p>
        </w:tc>
        <w:tc>
          <w:tcPr>
            <w:tcW w:w="2807" w:type="dxa"/>
            <w:shd w:val="clear" w:color="auto" w:fill="D9D9D9"/>
            <w:vAlign w:val="center"/>
          </w:tcPr>
          <w:p w14:paraId="5B413765" w14:textId="70FBADC9"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DE, GB, KR, MX, QZ y ZA)</w:t>
            </w:r>
          </w:p>
        </w:tc>
        <w:tc>
          <w:tcPr>
            <w:tcW w:w="736" w:type="dxa"/>
            <w:vMerge/>
            <w:shd w:val="clear" w:color="auto" w:fill="D9D9D9"/>
            <w:vAlign w:val="center"/>
          </w:tcPr>
          <w:p w14:paraId="6FF6FEDF" w14:textId="77777777" w:rsidR="00F44E48" w:rsidRPr="00360589" w:rsidRDefault="00F44E48" w:rsidP="00313560">
            <w:pPr>
              <w:keepNext/>
              <w:jc w:val="left"/>
              <w:rPr>
                <w:rFonts w:cs="Arial"/>
                <w:iCs/>
              </w:rPr>
            </w:pPr>
          </w:p>
        </w:tc>
        <w:tc>
          <w:tcPr>
            <w:tcW w:w="993" w:type="dxa"/>
            <w:vMerge/>
            <w:shd w:val="clear" w:color="auto" w:fill="D9D9D9"/>
            <w:vAlign w:val="center"/>
          </w:tcPr>
          <w:p w14:paraId="719CA167" w14:textId="77777777" w:rsidR="00F44E48" w:rsidRPr="00360589" w:rsidRDefault="00F44E48" w:rsidP="00313560">
            <w:pPr>
              <w:pStyle w:val="BodyText"/>
              <w:keepNext/>
              <w:jc w:val="left"/>
              <w:rPr>
                <w:rFonts w:cs="Arial"/>
                <w:iCs/>
                <w:snapToGrid w:val="0"/>
              </w:rPr>
            </w:pPr>
          </w:p>
        </w:tc>
      </w:tr>
    </w:tbl>
    <w:p w14:paraId="1FB10534" w14:textId="77777777" w:rsidR="00F44E48" w:rsidRPr="00360589" w:rsidRDefault="00F44E48" w:rsidP="00F44E48">
      <w:pPr>
        <w:keepNext/>
        <w:rPr>
          <w:rFonts w:eastAsia="Arial" w:cs="Arial"/>
          <w:color w:val="000000"/>
          <w:u w:val="single"/>
        </w:rPr>
      </w:pPr>
    </w:p>
    <w:p w14:paraId="65216EC2" w14:textId="77777777" w:rsidR="00F44E48" w:rsidRPr="00360589" w:rsidRDefault="00F44E48" w:rsidP="00F44E48">
      <w:pPr>
        <w:ind w:firstLine="567"/>
        <w:rPr>
          <w:rFonts w:cs="Arial"/>
          <w:snapToGrid w:val="0"/>
        </w:rPr>
      </w:pPr>
      <w:r>
        <w:t>En su reunión celebrada en Ginebra en octubre de 2019, el TC-EDC examinó el documento </w:t>
      </w:r>
      <w:r>
        <w:rPr>
          <w:caps/>
        </w:rPr>
        <w:t>TG/CALEN(</w:t>
      </w:r>
      <w:r>
        <w:t>proj</w:t>
      </w:r>
      <w:r>
        <w:rPr>
          <w:caps/>
        </w:rPr>
        <w:t>.4)</w:t>
      </w:r>
      <w:r>
        <w:t xml:space="preserve"> y formuló las recomendaciones expuestas en el cuadro siguiente:</w:t>
      </w:r>
    </w:p>
    <w:p w14:paraId="4EA304A2"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5B756C0C" w14:textId="77777777" w:rsidTr="00313560">
        <w:trPr>
          <w:cantSplit/>
        </w:trPr>
        <w:tc>
          <w:tcPr>
            <w:tcW w:w="1573" w:type="dxa"/>
          </w:tcPr>
          <w:p w14:paraId="5EF593DD" w14:textId="77777777" w:rsidR="00F44E48" w:rsidRPr="00360589" w:rsidRDefault="00F44E48" w:rsidP="00313560">
            <w:pPr>
              <w:jc w:val="left"/>
              <w:rPr>
                <w:rFonts w:cs="Arial"/>
              </w:rPr>
            </w:pPr>
            <w:r>
              <w:t>Car. 11</w:t>
            </w:r>
          </w:p>
        </w:tc>
        <w:tc>
          <w:tcPr>
            <w:tcW w:w="8208" w:type="dxa"/>
          </w:tcPr>
          <w:p w14:paraId="0E367D66" w14:textId="77777777" w:rsidR="00F44E48" w:rsidRPr="00360589" w:rsidRDefault="00F44E48" w:rsidP="00313560">
            <w:pPr>
              <w:keepNext/>
              <w:rPr>
                <w:rFonts w:cs="Arial"/>
              </w:rPr>
            </w:pPr>
            <w:r>
              <w:t>aparece dos veces; se ha de suprimir una vez</w:t>
            </w:r>
          </w:p>
        </w:tc>
      </w:tr>
      <w:tr w:rsidR="00F44E48" w:rsidRPr="00360589" w14:paraId="04D1B8E7"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42BEF8D4" w14:textId="77777777" w:rsidR="00F44E48" w:rsidRPr="00360589" w:rsidRDefault="00F44E48" w:rsidP="00313560">
            <w:pPr>
              <w:rPr>
                <w:rFonts w:cs="Arial"/>
              </w:rPr>
            </w:pPr>
            <w:r>
              <w:t>Ad. 6</w:t>
            </w:r>
          </w:p>
        </w:tc>
        <w:tc>
          <w:tcPr>
            <w:tcW w:w="8208" w:type="dxa"/>
            <w:tcBorders>
              <w:top w:val="single" w:sz="4" w:space="0" w:color="auto"/>
              <w:left w:val="single" w:sz="4" w:space="0" w:color="auto"/>
              <w:bottom w:val="single" w:sz="4" w:space="0" w:color="auto"/>
              <w:right w:val="single" w:sz="4" w:space="0" w:color="auto"/>
            </w:tcBorders>
          </w:tcPr>
          <w:p w14:paraId="335CA925" w14:textId="77777777" w:rsidR="00F44E48" w:rsidRPr="00360589" w:rsidRDefault="00F44E48" w:rsidP="00313560">
            <w:pPr>
              <w:rPr>
                <w:rFonts w:cs="Arial"/>
              </w:rPr>
            </w:pPr>
            <w:r>
              <w:t>desplazar la indicación de “B” (no debe superponerse con la imagen de la hoja)</w:t>
            </w:r>
          </w:p>
        </w:tc>
      </w:tr>
    </w:tbl>
    <w:p w14:paraId="7CAF1BD4" w14:textId="77777777" w:rsidR="00F44E48" w:rsidRPr="00360589" w:rsidRDefault="00F44E48" w:rsidP="00F44E48">
      <w:pPr>
        <w:rPr>
          <w:rFonts w:eastAsia="Arial" w:cs="Arial"/>
          <w:color w:val="000000"/>
          <w:u w:val="single"/>
        </w:rPr>
      </w:pPr>
    </w:p>
    <w:p w14:paraId="64CB90C5"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37EB7D42" w14:textId="77777777" w:rsidTr="00313560">
        <w:trPr>
          <w:cantSplit/>
          <w:trHeight w:val="277"/>
          <w:jc w:val="center"/>
        </w:trPr>
        <w:tc>
          <w:tcPr>
            <w:tcW w:w="2894" w:type="dxa"/>
            <w:vMerge w:val="restart"/>
            <w:shd w:val="clear" w:color="auto" w:fill="D9D9D9"/>
            <w:vAlign w:val="center"/>
          </w:tcPr>
          <w:p w14:paraId="707DC009" w14:textId="77777777" w:rsidR="00F44E48" w:rsidRPr="00360589" w:rsidRDefault="00F44E48" w:rsidP="00313560">
            <w:pPr>
              <w:pStyle w:val="TitleofDoc"/>
              <w:keepNext/>
              <w:tabs>
                <w:tab w:val="left" w:pos="5245"/>
                <w:tab w:val="left" w:pos="7008"/>
              </w:tabs>
              <w:spacing w:before="0"/>
              <w:jc w:val="left"/>
              <w:rPr>
                <w:rFonts w:cs="Arial"/>
                <w:caps w:val="0"/>
              </w:rPr>
            </w:pPr>
            <w:r>
              <w:t xml:space="preserve">Coreopsis </w:t>
            </w:r>
            <w:r>
              <w:br/>
              <w:t>(</w:t>
            </w:r>
            <w:r>
              <w:rPr>
                <w:i/>
                <w:caps w:val="0"/>
              </w:rPr>
              <w:t>Coreopsis</w:t>
            </w:r>
            <w:r>
              <w:t xml:space="preserve"> L.)</w:t>
            </w:r>
          </w:p>
        </w:tc>
        <w:tc>
          <w:tcPr>
            <w:tcW w:w="2552" w:type="dxa"/>
            <w:shd w:val="clear" w:color="auto" w:fill="D9D9D9"/>
            <w:vAlign w:val="center"/>
          </w:tcPr>
          <w:p w14:paraId="233D1DBF" w14:textId="77777777" w:rsidR="00F44E48" w:rsidRPr="00360589" w:rsidRDefault="00F44E48" w:rsidP="00313560">
            <w:pPr>
              <w:pStyle w:val="TitleofDoc"/>
              <w:keepNext/>
              <w:tabs>
                <w:tab w:val="left" w:pos="5245"/>
                <w:tab w:val="left" w:pos="7008"/>
              </w:tabs>
              <w:spacing w:before="0"/>
              <w:jc w:val="left"/>
              <w:rPr>
                <w:rFonts w:cs="Arial"/>
                <w:caps w:val="0"/>
              </w:rPr>
            </w:pPr>
            <w:r>
              <w:t>TG/COREO(proj.3)</w:t>
            </w:r>
          </w:p>
        </w:tc>
        <w:tc>
          <w:tcPr>
            <w:tcW w:w="2807" w:type="dxa"/>
            <w:shd w:val="clear" w:color="auto" w:fill="D9D9D9"/>
            <w:vAlign w:val="center"/>
          </w:tcPr>
          <w:p w14:paraId="7AAAE141" w14:textId="77777777" w:rsidR="00F44E48" w:rsidRPr="00360589" w:rsidRDefault="00F44E48" w:rsidP="00313560">
            <w:pPr>
              <w:keepNext/>
              <w:jc w:val="left"/>
              <w:rPr>
                <w:rFonts w:cs="Arial"/>
                <w:iCs/>
                <w:snapToGrid w:val="0"/>
                <w:color w:val="000000"/>
              </w:rPr>
            </w:pPr>
            <w:r>
              <w:t>Sr. Peter Baker (GB)</w:t>
            </w:r>
          </w:p>
        </w:tc>
        <w:tc>
          <w:tcPr>
            <w:tcW w:w="736" w:type="dxa"/>
            <w:vMerge w:val="restart"/>
            <w:shd w:val="clear" w:color="auto" w:fill="D9D9D9"/>
            <w:vAlign w:val="center"/>
          </w:tcPr>
          <w:p w14:paraId="089075A6" w14:textId="77777777" w:rsidR="00F44E48" w:rsidRPr="00360589" w:rsidRDefault="00F44E48" w:rsidP="00313560">
            <w:pPr>
              <w:keepNext/>
              <w:jc w:val="left"/>
              <w:rPr>
                <w:rFonts w:cs="Arial"/>
                <w:iCs/>
              </w:rPr>
            </w:pPr>
            <w:r>
              <w:t>TWO</w:t>
            </w:r>
          </w:p>
        </w:tc>
        <w:tc>
          <w:tcPr>
            <w:tcW w:w="993" w:type="dxa"/>
            <w:vMerge w:val="restart"/>
            <w:shd w:val="clear" w:color="auto" w:fill="D9D9D9"/>
            <w:vAlign w:val="center"/>
          </w:tcPr>
          <w:p w14:paraId="28FE1EAC" w14:textId="77777777" w:rsidR="00F44E48" w:rsidRPr="00360589" w:rsidRDefault="00F44E48" w:rsidP="00313560">
            <w:pPr>
              <w:pStyle w:val="BodyText"/>
              <w:keepNext/>
              <w:jc w:val="left"/>
              <w:rPr>
                <w:rFonts w:cs="Arial"/>
                <w:iCs/>
                <w:snapToGrid w:val="0"/>
              </w:rPr>
            </w:pPr>
            <w:r>
              <w:t>*</w:t>
            </w:r>
          </w:p>
        </w:tc>
      </w:tr>
      <w:tr w:rsidR="00F44E48" w:rsidRPr="00360589" w14:paraId="3F4C8367" w14:textId="77777777" w:rsidTr="00313560">
        <w:trPr>
          <w:cantSplit/>
          <w:trHeight w:hRule="exact" w:val="791"/>
          <w:jc w:val="center"/>
        </w:trPr>
        <w:tc>
          <w:tcPr>
            <w:tcW w:w="2894" w:type="dxa"/>
            <w:vMerge/>
            <w:shd w:val="clear" w:color="auto" w:fill="D9D9D9"/>
            <w:vAlign w:val="center"/>
          </w:tcPr>
          <w:p w14:paraId="60311F79"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7913E45" w14:textId="53E5A28C"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44</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34</w:t>
            </w:r>
          </w:p>
        </w:tc>
        <w:tc>
          <w:tcPr>
            <w:tcW w:w="2807" w:type="dxa"/>
            <w:shd w:val="clear" w:color="auto" w:fill="D9D9D9"/>
            <w:vAlign w:val="center"/>
          </w:tcPr>
          <w:p w14:paraId="7A0ECAAF" w14:textId="44062139"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AU, CA, DE, FR, JP, KR, MX, NZ y QZ)</w:t>
            </w:r>
          </w:p>
        </w:tc>
        <w:tc>
          <w:tcPr>
            <w:tcW w:w="736" w:type="dxa"/>
            <w:vMerge/>
            <w:shd w:val="clear" w:color="auto" w:fill="D9D9D9"/>
            <w:vAlign w:val="center"/>
          </w:tcPr>
          <w:p w14:paraId="248291D0" w14:textId="77777777" w:rsidR="00F44E48" w:rsidRPr="00360589" w:rsidRDefault="00F44E48" w:rsidP="00313560">
            <w:pPr>
              <w:keepNext/>
              <w:jc w:val="left"/>
              <w:rPr>
                <w:rFonts w:cs="Arial"/>
                <w:iCs/>
              </w:rPr>
            </w:pPr>
          </w:p>
        </w:tc>
        <w:tc>
          <w:tcPr>
            <w:tcW w:w="993" w:type="dxa"/>
            <w:vMerge/>
            <w:shd w:val="clear" w:color="auto" w:fill="D9D9D9"/>
            <w:vAlign w:val="center"/>
          </w:tcPr>
          <w:p w14:paraId="4020A451" w14:textId="77777777" w:rsidR="00F44E48" w:rsidRPr="00360589" w:rsidRDefault="00F44E48" w:rsidP="00313560">
            <w:pPr>
              <w:pStyle w:val="BodyText"/>
              <w:keepNext/>
              <w:jc w:val="left"/>
              <w:rPr>
                <w:rFonts w:cs="Arial"/>
                <w:iCs/>
                <w:snapToGrid w:val="0"/>
              </w:rPr>
            </w:pPr>
          </w:p>
        </w:tc>
      </w:tr>
    </w:tbl>
    <w:p w14:paraId="7559E74C" w14:textId="77777777" w:rsidR="00F44E48" w:rsidRPr="00360589" w:rsidRDefault="00F44E48" w:rsidP="00F44E48">
      <w:pPr>
        <w:keepNext/>
        <w:rPr>
          <w:rFonts w:eastAsia="Arial" w:cs="Arial"/>
          <w:color w:val="000000"/>
          <w:u w:val="single"/>
        </w:rPr>
      </w:pPr>
    </w:p>
    <w:p w14:paraId="150B497F" w14:textId="77777777" w:rsidR="00F44E48" w:rsidRPr="00360589" w:rsidRDefault="00F44E48" w:rsidP="00F44E48">
      <w:pPr>
        <w:keepNext/>
        <w:ind w:firstLine="567"/>
        <w:rPr>
          <w:rFonts w:cs="Arial"/>
          <w:snapToGrid w:val="0"/>
        </w:rPr>
      </w:pPr>
      <w:r>
        <w:t>En su reunión celebrada en Ginebra en octubre de 2019, el TC-EDC examinó el documento </w:t>
      </w:r>
      <w:r>
        <w:rPr>
          <w:caps/>
        </w:rPr>
        <w:t>TG/COREO(</w:t>
      </w:r>
      <w:r>
        <w:t>proj</w:t>
      </w:r>
      <w:r>
        <w:rPr>
          <w:caps/>
        </w:rPr>
        <w:t xml:space="preserve">.3) </w:t>
      </w:r>
      <w:r>
        <w:t>y formuló las recomendaciones expuestas en el cuadro siguiente:</w:t>
      </w:r>
    </w:p>
    <w:p w14:paraId="6D0F3C6A" w14:textId="77777777" w:rsidR="00F44E48" w:rsidRPr="00360589" w:rsidRDefault="00F44E48" w:rsidP="00F44E48">
      <w:pPr>
        <w:keepNext/>
        <w:rPr>
          <w:rFonts w:eastAsia="Arial" w:cs="Arial"/>
          <w:color w:val="000000"/>
          <w:u w:val="single"/>
        </w:rPr>
      </w:pPr>
    </w:p>
    <w:p w14:paraId="7C8D9FF2" w14:textId="77777777" w:rsidR="00F44E48" w:rsidRPr="00360589" w:rsidRDefault="00F44E48" w:rsidP="00F44E48">
      <w:pPr>
        <w:ind w:firstLine="567"/>
        <w:rPr>
          <w:rFonts w:cs="Arial"/>
        </w:rPr>
      </w:pPr>
      <w:r>
        <w:t xml:space="preserve">El TC-EDC convino en que el proyecto de directrices de examen de </w:t>
      </w:r>
      <w:r>
        <w:rPr>
          <w:i/>
        </w:rPr>
        <w:t>Coreopsis</w:t>
      </w:r>
      <w:r>
        <w:t xml:space="preserve"> se ha de remitir al TWO para aclarar los aspectos técnicos señalados a continuación mediante el símbolo “</w:t>
      </w:r>
      <w:r>
        <w:rPr>
          <w:snapToGrid w:val="0"/>
          <w:vertAlign w:val="superscript"/>
        </w:rPr>
        <w:t>#</w:t>
      </w:r>
      <w:r>
        <w:t>”.</w:t>
      </w:r>
    </w:p>
    <w:p w14:paraId="603E076A" w14:textId="77777777" w:rsidR="00F44E48" w:rsidRPr="00360589" w:rsidRDefault="00F44E48" w:rsidP="00F44E48">
      <w:pPr>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6E2479E3" w14:textId="77777777" w:rsidTr="00313560">
        <w:trPr>
          <w:cantSplit/>
        </w:trPr>
        <w:tc>
          <w:tcPr>
            <w:tcW w:w="1573" w:type="dxa"/>
          </w:tcPr>
          <w:p w14:paraId="46AF5B21" w14:textId="77777777" w:rsidR="00F44E48" w:rsidRPr="00360589" w:rsidRDefault="00F44E48" w:rsidP="00313560">
            <w:pPr>
              <w:jc w:val="left"/>
              <w:rPr>
                <w:rFonts w:cs="Arial"/>
              </w:rPr>
            </w:pPr>
            <w:r>
              <w:rPr>
                <w:snapToGrid w:val="0"/>
                <w:vertAlign w:val="superscript"/>
              </w:rPr>
              <w:t>#</w:t>
            </w:r>
            <w:r>
              <w:t>Car. 1, 8, 17, 20, 24, 27, 39, 40, 41 y 42</w:t>
            </w:r>
          </w:p>
        </w:tc>
        <w:tc>
          <w:tcPr>
            <w:tcW w:w="8208" w:type="dxa"/>
          </w:tcPr>
          <w:p w14:paraId="5047D0DC" w14:textId="77777777" w:rsidR="00F44E48" w:rsidRPr="00360589" w:rsidRDefault="00F44E48" w:rsidP="00313560">
            <w:pPr>
              <w:rPr>
                <w:rFonts w:eastAsia="Arial" w:cs="Arial"/>
                <w:color w:val="000000"/>
              </w:rPr>
            </w:pPr>
            <w:r>
              <w:rPr>
                <w:color w:val="000000"/>
              </w:rPr>
              <w:t>se han de añadir variedades ejemplo (véase el documento TGP/7 (GN 28))</w:t>
            </w:r>
          </w:p>
        </w:tc>
      </w:tr>
      <w:tr w:rsidR="00F44E48" w:rsidRPr="00360589" w14:paraId="678C78B6" w14:textId="77777777" w:rsidTr="00313560">
        <w:trPr>
          <w:cantSplit/>
        </w:trPr>
        <w:tc>
          <w:tcPr>
            <w:tcW w:w="1573" w:type="dxa"/>
          </w:tcPr>
          <w:p w14:paraId="0864DDDF" w14:textId="77777777" w:rsidR="00F44E48" w:rsidRPr="00360589" w:rsidRDefault="00F44E48" w:rsidP="00313560">
            <w:pPr>
              <w:jc w:val="left"/>
              <w:rPr>
                <w:rFonts w:cs="Arial"/>
              </w:rPr>
            </w:pPr>
            <w:r>
              <w:rPr>
                <w:snapToGrid w:val="0"/>
                <w:vertAlign w:val="superscript"/>
              </w:rPr>
              <w:t>#</w:t>
            </w:r>
            <w:r>
              <w:t>Car. 6 a 11 y 15 a 17</w:t>
            </w:r>
          </w:p>
        </w:tc>
        <w:tc>
          <w:tcPr>
            <w:tcW w:w="8208" w:type="dxa"/>
          </w:tcPr>
          <w:p w14:paraId="20A076C6" w14:textId="64A8F035" w:rsidR="00F44E48" w:rsidRPr="00360589" w:rsidRDefault="00697BC9" w:rsidP="00313560">
            <w:pPr>
              <w:jc w:val="left"/>
              <w:rPr>
                <w:rFonts w:cs="Arial"/>
              </w:rPr>
            </w:pPr>
            <w:r>
              <w:t>s</w:t>
            </w:r>
            <w:r w:rsidR="00F44E48">
              <w:t xml:space="preserve">egún el Ad. 5, todas las variedades pueden presentar ambos tipos de hojas. </w:t>
            </w:r>
          </w:p>
          <w:p w14:paraId="46F95DB3" w14:textId="77777777" w:rsidR="00F44E48" w:rsidRPr="00360589" w:rsidRDefault="00F44E48" w:rsidP="00313560">
            <w:pPr>
              <w:jc w:val="left"/>
              <w:rPr>
                <w:rFonts w:cs="Arial"/>
              </w:rPr>
            </w:pPr>
            <w:r>
              <w:t>Es preciso aclarar si se han de describir todos los caracteres de las variedades con las notas 1, 2 y 3 en el carácter 5.</w:t>
            </w:r>
          </w:p>
        </w:tc>
      </w:tr>
      <w:tr w:rsidR="00F44E48" w:rsidRPr="00360589" w14:paraId="234EE0A5" w14:textId="77777777" w:rsidTr="00313560">
        <w:trPr>
          <w:cantSplit/>
        </w:trPr>
        <w:tc>
          <w:tcPr>
            <w:tcW w:w="1573" w:type="dxa"/>
          </w:tcPr>
          <w:p w14:paraId="12FFD269" w14:textId="77777777" w:rsidR="00F44E48" w:rsidRPr="00360589" w:rsidRDefault="00F44E48" w:rsidP="00313560">
            <w:pPr>
              <w:jc w:val="left"/>
              <w:rPr>
                <w:rFonts w:cs="Arial"/>
              </w:rPr>
            </w:pPr>
            <w:r>
              <w:t>Car. 12 a 14</w:t>
            </w:r>
          </w:p>
        </w:tc>
        <w:tc>
          <w:tcPr>
            <w:tcW w:w="8208" w:type="dxa"/>
          </w:tcPr>
          <w:p w14:paraId="7B37B605" w14:textId="77777777" w:rsidR="00F44E48" w:rsidRPr="00360589" w:rsidRDefault="00F44E48" w:rsidP="00313560">
            <w:pPr>
              <w:jc w:val="left"/>
              <w:rPr>
                <w:rFonts w:cs="Arial"/>
              </w:rPr>
            </w:pPr>
            <w:r>
              <w:t xml:space="preserve">deben colocarse después del carácter 17 </w:t>
            </w:r>
          </w:p>
        </w:tc>
      </w:tr>
      <w:tr w:rsidR="00F44E48" w:rsidRPr="00360589" w14:paraId="2E464494" w14:textId="77777777" w:rsidTr="00313560">
        <w:trPr>
          <w:cantSplit/>
        </w:trPr>
        <w:tc>
          <w:tcPr>
            <w:tcW w:w="1573" w:type="dxa"/>
          </w:tcPr>
          <w:p w14:paraId="240CD31D" w14:textId="77777777" w:rsidR="00F44E48" w:rsidRPr="00360589" w:rsidRDefault="00F44E48" w:rsidP="00313560">
            <w:pPr>
              <w:jc w:val="left"/>
              <w:rPr>
                <w:rFonts w:cs="Arial"/>
              </w:rPr>
            </w:pPr>
            <w:r>
              <w:t>Car. 30</w:t>
            </w:r>
          </w:p>
        </w:tc>
        <w:tc>
          <w:tcPr>
            <w:tcW w:w="8208" w:type="dxa"/>
          </w:tcPr>
          <w:p w14:paraId="1B0BC9B7" w14:textId="77777777" w:rsidR="00F44E48" w:rsidRPr="00360589" w:rsidRDefault="00F44E48" w:rsidP="00313560">
            <w:pPr>
              <w:jc w:val="left"/>
              <w:rPr>
                <w:rFonts w:cs="Arial"/>
              </w:rPr>
            </w:pPr>
            <w:r>
              <w:t>“en la totalidad” debe ser la nota 15</w:t>
            </w:r>
          </w:p>
        </w:tc>
      </w:tr>
      <w:tr w:rsidR="00F44E48" w:rsidRPr="00360589" w14:paraId="6C2691F3" w14:textId="77777777" w:rsidTr="00313560">
        <w:trPr>
          <w:cantSplit/>
        </w:trPr>
        <w:tc>
          <w:tcPr>
            <w:tcW w:w="1573" w:type="dxa"/>
          </w:tcPr>
          <w:p w14:paraId="58C1A619" w14:textId="77777777" w:rsidR="00F44E48" w:rsidRPr="00360589" w:rsidRDefault="00F44E48" w:rsidP="00313560">
            <w:pPr>
              <w:jc w:val="left"/>
              <w:rPr>
                <w:rFonts w:cs="Arial"/>
              </w:rPr>
            </w:pPr>
            <w:r>
              <w:t xml:space="preserve">Car. 32 </w:t>
            </w:r>
          </w:p>
        </w:tc>
        <w:tc>
          <w:tcPr>
            <w:tcW w:w="8208" w:type="dxa"/>
          </w:tcPr>
          <w:p w14:paraId="180E001A" w14:textId="77777777" w:rsidR="00F44E48" w:rsidRPr="00360589" w:rsidRDefault="00F44E48" w:rsidP="00313560">
            <w:pPr>
              <w:jc w:val="left"/>
              <w:rPr>
                <w:rFonts w:cs="Arial"/>
              </w:rPr>
            </w:pPr>
            <w:r>
              <w:t>desplazarlo para que quede antes del carácter 30</w:t>
            </w:r>
          </w:p>
        </w:tc>
      </w:tr>
      <w:tr w:rsidR="00F44E48" w:rsidRPr="00360589" w14:paraId="0234553A" w14:textId="77777777" w:rsidTr="00313560">
        <w:trPr>
          <w:cantSplit/>
        </w:trPr>
        <w:tc>
          <w:tcPr>
            <w:tcW w:w="1573" w:type="dxa"/>
          </w:tcPr>
          <w:p w14:paraId="1EBA1370" w14:textId="77777777" w:rsidR="00F44E48" w:rsidRPr="00360589" w:rsidRDefault="00F44E48" w:rsidP="00313560">
            <w:pPr>
              <w:jc w:val="left"/>
              <w:rPr>
                <w:rFonts w:cs="Arial"/>
              </w:rPr>
            </w:pPr>
            <w:r>
              <w:t>8.1 (d)</w:t>
            </w:r>
          </w:p>
        </w:tc>
        <w:tc>
          <w:tcPr>
            <w:tcW w:w="8208" w:type="dxa"/>
          </w:tcPr>
          <w:p w14:paraId="6388626A" w14:textId="24BBCF1E" w:rsidR="00F44E48" w:rsidRPr="00360589" w:rsidRDefault="00F44E48" w:rsidP="00313560">
            <w:pPr>
              <w:keepNext/>
              <w:rPr>
                <w:rFonts w:cs="Arial"/>
              </w:rPr>
            </w:pPr>
            <w:r>
              <w:t xml:space="preserve">primero </w:t>
            </w:r>
            <w:r w:rsidR="00A826EA">
              <w:t xml:space="preserve">en </w:t>
            </w:r>
            <w:r w:rsidR="00697BC9">
              <w:t>“</w:t>
            </w:r>
            <w:r>
              <w:t>8.1 (d)</w:t>
            </w:r>
            <w:r w:rsidR="00697BC9">
              <w:t>”</w:t>
            </w:r>
            <w:r w:rsidR="00A826EA">
              <w:t>,</w:t>
            </w:r>
            <w:r>
              <w:t xml:space="preserve"> </w:t>
            </w:r>
            <w:r w:rsidR="00A826EA">
              <w:t xml:space="preserve">la “(d)” </w:t>
            </w:r>
            <w:r>
              <w:t>se debe cambiar por “(b)” (tipo o)</w:t>
            </w:r>
          </w:p>
        </w:tc>
      </w:tr>
      <w:tr w:rsidR="00F44E48" w:rsidRPr="00360589" w14:paraId="6A8AD74C" w14:textId="77777777" w:rsidTr="00313560">
        <w:trPr>
          <w:cantSplit/>
        </w:trPr>
        <w:tc>
          <w:tcPr>
            <w:tcW w:w="1573" w:type="dxa"/>
          </w:tcPr>
          <w:p w14:paraId="2CB647F2" w14:textId="77777777" w:rsidR="00F44E48" w:rsidRPr="00360589" w:rsidRDefault="00F44E48" w:rsidP="00313560">
            <w:pPr>
              <w:rPr>
                <w:rFonts w:cs="Arial"/>
              </w:rPr>
            </w:pPr>
            <w:r>
              <w:t>8.1 (e)</w:t>
            </w:r>
          </w:p>
        </w:tc>
        <w:tc>
          <w:tcPr>
            <w:tcW w:w="8208" w:type="dxa"/>
          </w:tcPr>
          <w:p w14:paraId="67F2D965" w14:textId="77777777" w:rsidR="00F44E48" w:rsidRPr="00360589" w:rsidRDefault="00F44E48" w:rsidP="00313560">
            <w:pPr>
              <w:rPr>
                <w:rFonts w:cs="Arial"/>
              </w:rPr>
            </w:pPr>
            <w:r>
              <w:t>se debe sustituir por el texto estándar (véase el documento TGP/14)</w:t>
            </w:r>
          </w:p>
        </w:tc>
      </w:tr>
      <w:tr w:rsidR="00F44E48" w:rsidRPr="00360589" w14:paraId="6FA1B304" w14:textId="77777777" w:rsidTr="00313560">
        <w:trPr>
          <w:cantSplit/>
        </w:trPr>
        <w:tc>
          <w:tcPr>
            <w:tcW w:w="1573" w:type="dxa"/>
          </w:tcPr>
          <w:p w14:paraId="6B72761E" w14:textId="77777777" w:rsidR="00F44E48" w:rsidRPr="00360589" w:rsidRDefault="00F44E48" w:rsidP="00313560">
            <w:pPr>
              <w:jc w:val="left"/>
              <w:rPr>
                <w:rFonts w:cs="Arial"/>
              </w:rPr>
            </w:pPr>
            <w:r>
              <w:t>Ad. 5</w:t>
            </w:r>
          </w:p>
        </w:tc>
        <w:tc>
          <w:tcPr>
            <w:tcW w:w="8208" w:type="dxa"/>
          </w:tcPr>
          <w:p w14:paraId="212A523D" w14:textId="77777777" w:rsidR="00F44E48" w:rsidRPr="00360589" w:rsidRDefault="00F44E48" w:rsidP="00313560">
            <w:pPr>
              <w:jc w:val="left"/>
              <w:rPr>
                <w:rFonts w:cs="Arial"/>
              </w:rPr>
            </w:pPr>
            <w:r>
              <w:t>el texto ha de ser “Algunas variedades presentan ambos tipos de hojas. Se determinará el tipo predominante de hoja. El nivel de...”</w:t>
            </w:r>
          </w:p>
        </w:tc>
      </w:tr>
      <w:tr w:rsidR="00F44E48" w:rsidRPr="00360589" w14:paraId="25242A92" w14:textId="77777777" w:rsidTr="00313560">
        <w:trPr>
          <w:cantSplit/>
        </w:trPr>
        <w:tc>
          <w:tcPr>
            <w:tcW w:w="1573" w:type="dxa"/>
          </w:tcPr>
          <w:p w14:paraId="295D9DE3" w14:textId="77777777" w:rsidR="00F44E48" w:rsidRPr="00360589" w:rsidRDefault="00F44E48" w:rsidP="00313560">
            <w:pPr>
              <w:jc w:val="left"/>
              <w:rPr>
                <w:rFonts w:cs="Arial"/>
              </w:rPr>
            </w:pPr>
            <w:r>
              <w:t>Ad. 19</w:t>
            </w:r>
          </w:p>
        </w:tc>
        <w:tc>
          <w:tcPr>
            <w:tcW w:w="8208" w:type="dxa"/>
          </w:tcPr>
          <w:p w14:paraId="077EC3A4" w14:textId="77777777" w:rsidR="00F44E48" w:rsidRPr="00360589" w:rsidRDefault="00F44E48" w:rsidP="00313560">
            <w:pPr>
              <w:jc w:val="left"/>
              <w:rPr>
                <w:rFonts w:cs="Arial"/>
              </w:rPr>
            </w:pPr>
            <w:r>
              <w:t>ha de suprimirse (véase VG)</w:t>
            </w:r>
          </w:p>
        </w:tc>
      </w:tr>
      <w:tr w:rsidR="00F44E48" w:rsidRPr="00360589" w14:paraId="5BAF13BC" w14:textId="77777777" w:rsidTr="00313560">
        <w:trPr>
          <w:cantSplit/>
        </w:trPr>
        <w:tc>
          <w:tcPr>
            <w:tcW w:w="1573" w:type="dxa"/>
          </w:tcPr>
          <w:p w14:paraId="7781DB28" w14:textId="77777777" w:rsidR="00F44E48" w:rsidRPr="00360589" w:rsidRDefault="00F44E48" w:rsidP="00313560">
            <w:pPr>
              <w:keepNext/>
              <w:jc w:val="left"/>
              <w:rPr>
                <w:rFonts w:cs="Arial"/>
              </w:rPr>
            </w:pPr>
            <w:r>
              <w:t>Ad. 29</w:t>
            </w:r>
          </w:p>
        </w:tc>
        <w:tc>
          <w:tcPr>
            <w:tcW w:w="8208" w:type="dxa"/>
          </w:tcPr>
          <w:p w14:paraId="4BC18F9B" w14:textId="71CEDCEC" w:rsidR="00F44E48" w:rsidRPr="00360589" w:rsidRDefault="00697BC9" w:rsidP="00313560">
            <w:pPr>
              <w:keepNext/>
              <w:jc w:val="left"/>
              <w:rPr>
                <w:rFonts w:cs="Arial"/>
              </w:rPr>
            </w:pPr>
            <w:r>
              <w:t>s</w:t>
            </w:r>
            <w:r w:rsidR="00F44E48">
              <w:t>e han de mejorar los dibujos. El color principal debe ser liso, para evitar la confusión con los dibujos de los caracteres 30 y 32.</w:t>
            </w:r>
          </w:p>
        </w:tc>
      </w:tr>
      <w:tr w:rsidR="00F44E48" w:rsidRPr="00360589" w14:paraId="4766C4B6" w14:textId="77777777" w:rsidTr="00313560">
        <w:trPr>
          <w:cantSplit/>
        </w:trPr>
        <w:tc>
          <w:tcPr>
            <w:tcW w:w="1573" w:type="dxa"/>
          </w:tcPr>
          <w:p w14:paraId="6694F8BF" w14:textId="77777777" w:rsidR="00F44E48" w:rsidRPr="00360589" w:rsidRDefault="00F44E48" w:rsidP="00313560">
            <w:pPr>
              <w:jc w:val="left"/>
              <w:rPr>
                <w:rFonts w:cs="Arial"/>
              </w:rPr>
            </w:pPr>
            <w:r>
              <w:rPr>
                <w:snapToGrid w:val="0"/>
                <w:vertAlign w:val="superscript"/>
              </w:rPr>
              <w:t>#</w:t>
            </w:r>
            <w:r>
              <w:t>Ad. 30</w:t>
            </w:r>
          </w:p>
        </w:tc>
        <w:tc>
          <w:tcPr>
            <w:tcW w:w="8208" w:type="dxa"/>
          </w:tcPr>
          <w:p w14:paraId="7C17B556" w14:textId="77777777" w:rsidR="00F44E48" w:rsidRPr="00360589" w:rsidRDefault="00F44E48" w:rsidP="00313560">
            <w:pPr>
              <w:keepNext/>
              <w:jc w:val="left"/>
              <w:rPr>
                <w:rFonts w:cs="Arial"/>
              </w:rPr>
            </w:pPr>
            <w:r>
              <w:t>- añadir una explicación para aclarar la manera en que un color secundario puede ocupar más del 50% de la superficie (analizar si el texto ha de ser “Si el color secundario no es liso, es posible que se distribuya en más de la mitad de la flor ligulada y la superficie total sigue siendo menor que la del color principal.”)</w:t>
            </w:r>
          </w:p>
          <w:p w14:paraId="3494B168" w14:textId="77777777" w:rsidR="00F44E48" w:rsidRPr="00360589" w:rsidRDefault="00F44E48" w:rsidP="00313560">
            <w:pPr>
              <w:keepNext/>
              <w:jc w:val="left"/>
              <w:rPr>
                <w:rFonts w:cs="Arial"/>
              </w:rPr>
            </w:pPr>
            <w:r>
              <w:t xml:space="preserve">- Se han de mejorar los dibujos. El color secundario </w:t>
            </w:r>
            <w:r>
              <w:rPr>
                <w:u w:val="single"/>
              </w:rPr>
              <w:t>no</w:t>
            </w:r>
            <w:r>
              <w:t xml:space="preserve"> debe ser liso en los niveles 6 a 11 y 14 para evitar la confusión con los dibujos del carácter 30.</w:t>
            </w:r>
          </w:p>
        </w:tc>
      </w:tr>
      <w:tr w:rsidR="00F44E48" w:rsidRPr="00360589" w14:paraId="5853215B" w14:textId="77777777" w:rsidTr="00313560">
        <w:trPr>
          <w:cantSplit/>
        </w:trPr>
        <w:tc>
          <w:tcPr>
            <w:tcW w:w="1573" w:type="dxa"/>
          </w:tcPr>
          <w:p w14:paraId="4C956377" w14:textId="77777777" w:rsidR="00F44E48" w:rsidRPr="00360589" w:rsidRDefault="00F44E48" w:rsidP="00313560">
            <w:pPr>
              <w:pStyle w:val="BodyText"/>
              <w:jc w:val="left"/>
              <w:rPr>
                <w:rFonts w:cs="Arial"/>
                <w:snapToGrid w:val="0"/>
                <w:color w:val="000000"/>
              </w:rPr>
            </w:pPr>
            <w:r>
              <w:rPr>
                <w:snapToGrid w:val="0"/>
                <w:vertAlign w:val="superscript"/>
              </w:rPr>
              <w:t>#</w:t>
            </w:r>
            <w:r>
              <w:rPr>
                <w:snapToGrid w:val="0"/>
                <w:color w:val="000000"/>
              </w:rPr>
              <w:t>Ad. 33</w:t>
            </w:r>
          </w:p>
        </w:tc>
        <w:tc>
          <w:tcPr>
            <w:tcW w:w="8208" w:type="dxa"/>
          </w:tcPr>
          <w:p w14:paraId="1A15B4E8" w14:textId="77777777" w:rsidR="00F44E48" w:rsidRPr="00360589" w:rsidRDefault="00F44E48" w:rsidP="00313560">
            <w:pPr>
              <w:pStyle w:val="BodyText"/>
              <w:jc w:val="left"/>
              <w:rPr>
                <w:rFonts w:cs="Arial"/>
                <w:snapToGrid w:val="0"/>
                <w:color w:val="000000"/>
              </w:rPr>
            </w:pPr>
            <w:r>
              <w:rPr>
                <w:snapToGrid w:val="0"/>
                <w:color w:val="000000"/>
              </w:rPr>
              <w:t xml:space="preserve">- analizar si el texto ha de ser “Si el color terciario no es liso, es posible que se distribuya hasta en la mitad de la flor ligulada y la superficie total sigue siendo menor que la del color secundario.”) </w:t>
            </w:r>
          </w:p>
          <w:p w14:paraId="4DC9F89B" w14:textId="5D793B32" w:rsidR="00F44E48" w:rsidRPr="00360589" w:rsidRDefault="00F44E48" w:rsidP="00313560">
            <w:pPr>
              <w:pStyle w:val="BodyText"/>
              <w:jc w:val="left"/>
              <w:rPr>
                <w:rFonts w:cs="Arial"/>
                <w:snapToGrid w:val="0"/>
                <w:color w:val="000000"/>
              </w:rPr>
            </w:pPr>
            <w:r>
              <w:rPr>
                <w:snapToGrid w:val="0"/>
                <w:color w:val="000000"/>
              </w:rPr>
              <w:t xml:space="preserve">- </w:t>
            </w:r>
            <w:r w:rsidR="00697BC9">
              <w:rPr>
                <w:snapToGrid w:val="0"/>
                <w:color w:val="000000"/>
              </w:rPr>
              <w:t>s</w:t>
            </w:r>
            <w:r>
              <w:rPr>
                <w:snapToGrid w:val="0"/>
                <w:color w:val="000000"/>
              </w:rPr>
              <w:t xml:space="preserve">e han de mejorar los dibujos. El color secundario </w:t>
            </w:r>
            <w:r>
              <w:rPr>
                <w:snapToGrid w:val="0"/>
                <w:color w:val="000000"/>
                <w:u w:val="single"/>
              </w:rPr>
              <w:t>no</w:t>
            </w:r>
            <w:r>
              <w:rPr>
                <w:snapToGrid w:val="0"/>
                <w:color w:val="000000"/>
              </w:rPr>
              <w:t xml:space="preserve"> debe ser liso en los niveles 4 a 8 para evitar la confusión con los dibujos del carácter 30 y 32.</w:t>
            </w:r>
          </w:p>
        </w:tc>
      </w:tr>
    </w:tbl>
    <w:p w14:paraId="0833921A" w14:textId="77777777" w:rsidR="00F44E48" w:rsidRPr="00360589" w:rsidRDefault="00F44E48" w:rsidP="00F44E48">
      <w:pPr>
        <w:rPr>
          <w:rFonts w:eastAsia="Arial" w:cs="Arial"/>
          <w:color w:val="000000"/>
          <w:u w:val="single"/>
        </w:rPr>
      </w:pPr>
    </w:p>
    <w:p w14:paraId="3D78B474"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668E556F" w14:textId="77777777" w:rsidTr="00313560">
        <w:trPr>
          <w:cantSplit/>
          <w:trHeight w:val="277"/>
          <w:jc w:val="center"/>
        </w:trPr>
        <w:tc>
          <w:tcPr>
            <w:tcW w:w="2894" w:type="dxa"/>
            <w:vMerge w:val="restart"/>
            <w:shd w:val="clear" w:color="auto" w:fill="D9D9D9"/>
            <w:vAlign w:val="center"/>
          </w:tcPr>
          <w:p w14:paraId="5AAFAB25" w14:textId="77777777" w:rsidR="00F44E48" w:rsidRPr="00360589" w:rsidRDefault="00F44E48" w:rsidP="00313560">
            <w:pPr>
              <w:pStyle w:val="TitleofDoc"/>
              <w:keepNext/>
              <w:tabs>
                <w:tab w:val="left" w:pos="5245"/>
                <w:tab w:val="left" w:pos="7008"/>
              </w:tabs>
              <w:spacing w:before="0"/>
              <w:jc w:val="left"/>
              <w:rPr>
                <w:rFonts w:cs="Arial"/>
                <w:caps w:val="0"/>
              </w:rPr>
            </w:pPr>
            <w:r>
              <w:lastRenderedPageBreak/>
              <w:t xml:space="preserve">Gazania </w:t>
            </w:r>
            <w:r>
              <w:br/>
              <w:t>(</w:t>
            </w:r>
            <w:r>
              <w:rPr>
                <w:i/>
                <w:caps w:val="0"/>
              </w:rPr>
              <w:t>Gazania</w:t>
            </w:r>
            <w:r>
              <w:t xml:space="preserve"> Gaertn.)</w:t>
            </w:r>
          </w:p>
        </w:tc>
        <w:tc>
          <w:tcPr>
            <w:tcW w:w="2552" w:type="dxa"/>
            <w:shd w:val="clear" w:color="auto" w:fill="D9D9D9"/>
            <w:vAlign w:val="center"/>
          </w:tcPr>
          <w:p w14:paraId="20457E97" w14:textId="77777777" w:rsidR="00F44E48" w:rsidRPr="00360589" w:rsidRDefault="00F44E48" w:rsidP="00313560">
            <w:pPr>
              <w:pStyle w:val="TitleofDoc"/>
              <w:keepNext/>
              <w:tabs>
                <w:tab w:val="left" w:pos="5245"/>
                <w:tab w:val="left" w:pos="7008"/>
              </w:tabs>
              <w:spacing w:before="0"/>
              <w:jc w:val="left"/>
              <w:rPr>
                <w:rFonts w:cs="Arial"/>
                <w:caps w:val="0"/>
              </w:rPr>
            </w:pPr>
            <w:r>
              <w:t>TG/GAZAN(proj.4)</w:t>
            </w:r>
          </w:p>
        </w:tc>
        <w:tc>
          <w:tcPr>
            <w:tcW w:w="2807" w:type="dxa"/>
            <w:shd w:val="clear" w:color="auto" w:fill="D9D9D9"/>
            <w:vAlign w:val="center"/>
          </w:tcPr>
          <w:p w14:paraId="251619A9" w14:textId="77777777" w:rsidR="00F44E48" w:rsidRPr="00B239D7" w:rsidRDefault="00F44E48" w:rsidP="00313560">
            <w:pPr>
              <w:keepNext/>
              <w:jc w:val="left"/>
              <w:rPr>
                <w:rFonts w:cs="Arial"/>
                <w:iCs/>
                <w:snapToGrid w:val="0"/>
                <w:color w:val="000000"/>
                <w:lang w:val="fr-CH"/>
              </w:rPr>
            </w:pPr>
            <w:r w:rsidRPr="00B239D7">
              <w:rPr>
                <w:lang w:val="fr-CH"/>
              </w:rPr>
              <w:t>Sr. Adriaan de Villiers (ZA)</w:t>
            </w:r>
          </w:p>
        </w:tc>
        <w:tc>
          <w:tcPr>
            <w:tcW w:w="736" w:type="dxa"/>
            <w:vMerge w:val="restart"/>
            <w:shd w:val="clear" w:color="auto" w:fill="D9D9D9"/>
            <w:vAlign w:val="center"/>
          </w:tcPr>
          <w:p w14:paraId="5BE321B7" w14:textId="77777777" w:rsidR="00F44E48" w:rsidRPr="00360589" w:rsidRDefault="00F44E48" w:rsidP="00313560">
            <w:pPr>
              <w:keepNext/>
              <w:jc w:val="left"/>
              <w:rPr>
                <w:rFonts w:cs="Arial"/>
                <w:iCs/>
              </w:rPr>
            </w:pPr>
            <w:r>
              <w:t>TWO</w:t>
            </w:r>
          </w:p>
        </w:tc>
        <w:tc>
          <w:tcPr>
            <w:tcW w:w="993" w:type="dxa"/>
            <w:vMerge w:val="restart"/>
            <w:shd w:val="clear" w:color="auto" w:fill="D9D9D9"/>
            <w:vAlign w:val="center"/>
          </w:tcPr>
          <w:p w14:paraId="33914199" w14:textId="77777777" w:rsidR="00F44E48" w:rsidRPr="00360589" w:rsidRDefault="00F44E48" w:rsidP="00313560">
            <w:pPr>
              <w:pStyle w:val="BodyText"/>
              <w:keepNext/>
              <w:jc w:val="left"/>
              <w:rPr>
                <w:rFonts w:cs="Arial"/>
                <w:iCs/>
                <w:snapToGrid w:val="0"/>
              </w:rPr>
            </w:pPr>
            <w:r>
              <w:t>*</w:t>
            </w:r>
          </w:p>
        </w:tc>
      </w:tr>
      <w:tr w:rsidR="00F44E48" w:rsidRPr="00963B6C" w14:paraId="7884C81A" w14:textId="77777777" w:rsidTr="00313560">
        <w:trPr>
          <w:cantSplit/>
          <w:trHeight w:hRule="exact" w:val="791"/>
          <w:jc w:val="center"/>
        </w:trPr>
        <w:tc>
          <w:tcPr>
            <w:tcW w:w="2894" w:type="dxa"/>
            <w:vMerge/>
            <w:shd w:val="clear" w:color="auto" w:fill="D9D9D9"/>
            <w:vAlign w:val="center"/>
          </w:tcPr>
          <w:p w14:paraId="7D706EC5"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D566789" w14:textId="7E49A149"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35</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20</w:t>
            </w:r>
          </w:p>
        </w:tc>
        <w:tc>
          <w:tcPr>
            <w:tcW w:w="2807" w:type="dxa"/>
            <w:shd w:val="clear" w:color="auto" w:fill="D9D9D9"/>
            <w:vAlign w:val="center"/>
          </w:tcPr>
          <w:p w14:paraId="56CEE93B" w14:textId="2204D118"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AU, DE, GB, JP, KR, MX, NZ, QZ y CIOPORA)</w:t>
            </w:r>
          </w:p>
        </w:tc>
        <w:tc>
          <w:tcPr>
            <w:tcW w:w="736" w:type="dxa"/>
            <w:vMerge/>
            <w:shd w:val="clear" w:color="auto" w:fill="D9D9D9"/>
            <w:vAlign w:val="center"/>
          </w:tcPr>
          <w:p w14:paraId="5AD65CF1" w14:textId="77777777" w:rsidR="00F44E48" w:rsidRPr="00360589" w:rsidRDefault="00F44E48" w:rsidP="00313560">
            <w:pPr>
              <w:keepNext/>
              <w:jc w:val="left"/>
              <w:rPr>
                <w:rFonts w:cs="Arial"/>
                <w:iCs/>
              </w:rPr>
            </w:pPr>
          </w:p>
        </w:tc>
        <w:tc>
          <w:tcPr>
            <w:tcW w:w="993" w:type="dxa"/>
            <w:vMerge/>
            <w:shd w:val="clear" w:color="auto" w:fill="D9D9D9"/>
            <w:vAlign w:val="center"/>
          </w:tcPr>
          <w:p w14:paraId="6CB86197" w14:textId="77777777" w:rsidR="00F44E48" w:rsidRPr="00360589" w:rsidRDefault="00F44E48" w:rsidP="00313560">
            <w:pPr>
              <w:pStyle w:val="BodyText"/>
              <w:keepNext/>
              <w:jc w:val="left"/>
              <w:rPr>
                <w:rFonts w:cs="Arial"/>
                <w:iCs/>
                <w:snapToGrid w:val="0"/>
              </w:rPr>
            </w:pPr>
          </w:p>
        </w:tc>
      </w:tr>
    </w:tbl>
    <w:p w14:paraId="18FD7D2B" w14:textId="77777777" w:rsidR="00F44E48" w:rsidRPr="00360589" w:rsidRDefault="00F44E48" w:rsidP="00F44E48">
      <w:pPr>
        <w:keepNext/>
        <w:rPr>
          <w:rFonts w:eastAsia="Arial" w:cs="Arial"/>
          <w:color w:val="000000"/>
          <w:u w:val="single"/>
        </w:rPr>
      </w:pPr>
    </w:p>
    <w:p w14:paraId="4FB78781" w14:textId="77777777" w:rsidR="00F44E48" w:rsidRPr="00360589" w:rsidRDefault="00F44E48" w:rsidP="00F44E48">
      <w:pPr>
        <w:ind w:firstLine="567"/>
        <w:rPr>
          <w:rFonts w:cs="Arial"/>
          <w:snapToGrid w:val="0"/>
        </w:rPr>
      </w:pPr>
      <w:r>
        <w:t>En su reunión celebrada en Ginebra en octubre de 2019, el TC-EDC examinó el documento </w:t>
      </w:r>
      <w:r>
        <w:rPr>
          <w:caps/>
        </w:rPr>
        <w:t>TG/GAZAN(</w:t>
      </w:r>
      <w:r>
        <w:t>proj</w:t>
      </w:r>
      <w:r>
        <w:rPr>
          <w:caps/>
        </w:rPr>
        <w:t>.4)</w:t>
      </w:r>
      <w:r>
        <w:t xml:space="preserve"> y formuló las recomendaciones expuestas en el cuadro siguiente:</w:t>
      </w:r>
    </w:p>
    <w:p w14:paraId="4ED63222"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6FB157A2" w14:textId="77777777" w:rsidTr="00313560">
        <w:trPr>
          <w:cantSplit/>
        </w:trPr>
        <w:tc>
          <w:tcPr>
            <w:tcW w:w="1573" w:type="dxa"/>
          </w:tcPr>
          <w:p w14:paraId="0A4E2D21" w14:textId="77777777" w:rsidR="00F44E48" w:rsidRPr="00360589" w:rsidRDefault="00F44E48" w:rsidP="00313560">
            <w:pPr>
              <w:keepNext/>
              <w:rPr>
                <w:rFonts w:cs="Arial"/>
              </w:rPr>
            </w:pPr>
            <w:r>
              <w:t>5.3 (e)</w:t>
            </w:r>
          </w:p>
        </w:tc>
        <w:tc>
          <w:tcPr>
            <w:tcW w:w="8208" w:type="dxa"/>
          </w:tcPr>
          <w:p w14:paraId="7425F83E" w14:textId="2EE4CC87" w:rsidR="00F44E48" w:rsidRPr="00360589" w:rsidRDefault="00F44E48" w:rsidP="00313560">
            <w:pPr>
              <w:keepNext/>
              <w:rPr>
                <w:rFonts w:cs="Arial"/>
              </w:rPr>
            </w:pPr>
            <w:r>
              <w:t xml:space="preserve">el texto ha de ser: “Flor ligulada: color, de los siguientes grupos, que ocupa la superficie </w:t>
            </w:r>
            <w:r w:rsidR="00CC1E1E">
              <w:t xml:space="preserve">más grande </w:t>
            </w:r>
            <w:r>
              <w:t xml:space="preserve">en la cara superior:” </w:t>
            </w:r>
          </w:p>
        </w:tc>
      </w:tr>
      <w:tr w:rsidR="00F44E48" w:rsidRPr="00360589" w14:paraId="6FB50188" w14:textId="77777777" w:rsidTr="00313560">
        <w:trPr>
          <w:cantSplit/>
        </w:trPr>
        <w:tc>
          <w:tcPr>
            <w:tcW w:w="1573" w:type="dxa"/>
          </w:tcPr>
          <w:p w14:paraId="017BDE76" w14:textId="77777777" w:rsidR="00F44E48" w:rsidRPr="00360589" w:rsidRDefault="00F44E48" w:rsidP="00313560">
            <w:pPr>
              <w:keepNext/>
              <w:rPr>
                <w:rFonts w:cs="Arial"/>
              </w:rPr>
            </w:pPr>
            <w:r>
              <w:t>Car. 7</w:t>
            </w:r>
          </w:p>
        </w:tc>
        <w:tc>
          <w:tcPr>
            <w:tcW w:w="8208" w:type="dxa"/>
          </w:tcPr>
          <w:p w14:paraId="08120B0B" w14:textId="77777777" w:rsidR="00F44E48" w:rsidRPr="00360589" w:rsidRDefault="00F44E48" w:rsidP="00313560">
            <w:pPr>
              <w:keepNext/>
              <w:rPr>
                <w:rFonts w:cs="Arial"/>
              </w:rPr>
            </w:pPr>
            <w:r>
              <w:t>- se ha de añadir una explicación con el texto siguiente “Las observaciones deben excluir la variegación.”</w:t>
            </w:r>
          </w:p>
          <w:p w14:paraId="373E64FD" w14:textId="77777777" w:rsidR="00F44E48" w:rsidRPr="00360589" w:rsidRDefault="00F44E48" w:rsidP="00313560">
            <w:pPr>
              <w:keepNext/>
              <w:rPr>
                <w:rFonts w:cs="Arial"/>
              </w:rPr>
            </w:pPr>
            <w:r>
              <w:t>- suprimir (b)</w:t>
            </w:r>
          </w:p>
        </w:tc>
      </w:tr>
      <w:tr w:rsidR="00F44E48" w:rsidRPr="00360589" w14:paraId="1C17A9CB" w14:textId="77777777" w:rsidTr="00313560">
        <w:trPr>
          <w:cantSplit/>
        </w:trPr>
        <w:tc>
          <w:tcPr>
            <w:tcW w:w="1573" w:type="dxa"/>
          </w:tcPr>
          <w:p w14:paraId="0E08A8CF" w14:textId="77777777" w:rsidR="00F44E48" w:rsidRPr="00360589" w:rsidRDefault="00F44E48" w:rsidP="00313560">
            <w:pPr>
              <w:keepNext/>
              <w:rPr>
                <w:rFonts w:cs="Arial"/>
                <w:highlight w:val="yellow"/>
              </w:rPr>
            </w:pPr>
            <w:r>
              <w:t>Car. 8</w:t>
            </w:r>
          </w:p>
        </w:tc>
        <w:tc>
          <w:tcPr>
            <w:tcW w:w="8208" w:type="dxa"/>
          </w:tcPr>
          <w:p w14:paraId="7D40BDF9" w14:textId="77777777" w:rsidR="00F44E48" w:rsidRPr="00360589" w:rsidRDefault="00F44E48" w:rsidP="00313560">
            <w:pPr>
              <w:keepNext/>
              <w:rPr>
                <w:rFonts w:cs="Arial"/>
              </w:rPr>
            </w:pPr>
            <w:r>
              <w:t>- el texto ha de ser “Hoja madura: color de la variegación”</w:t>
            </w:r>
          </w:p>
          <w:p w14:paraId="37C5032D" w14:textId="77777777" w:rsidR="00F44E48" w:rsidRPr="00360589" w:rsidRDefault="00F44E48" w:rsidP="00313560">
            <w:pPr>
              <w:keepNext/>
              <w:rPr>
                <w:rFonts w:cs="Arial"/>
                <w:highlight w:val="yellow"/>
              </w:rPr>
            </w:pPr>
            <w:r>
              <w:t>- suprimir (b)</w:t>
            </w:r>
          </w:p>
        </w:tc>
      </w:tr>
      <w:tr w:rsidR="00F44E48" w:rsidRPr="00360589" w14:paraId="1A9A98F1"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52D99F6C" w14:textId="77777777" w:rsidR="00F44E48" w:rsidRPr="00360589" w:rsidRDefault="00F44E48" w:rsidP="00313560">
            <w:pPr>
              <w:jc w:val="left"/>
              <w:rPr>
                <w:rFonts w:cs="Arial"/>
              </w:rPr>
            </w:pPr>
            <w:r>
              <w:t>Car. 10</w:t>
            </w:r>
          </w:p>
        </w:tc>
        <w:tc>
          <w:tcPr>
            <w:tcW w:w="8208" w:type="dxa"/>
            <w:tcBorders>
              <w:top w:val="single" w:sz="4" w:space="0" w:color="auto"/>
              <w:left w:val="single" w:sz="4" w:space="0" w:color="auto"/>
              <w:bottom w:val="single" w:sz="4" w:space="0" w:color="auto"/>
              <w:right w:val="single" w:sz="4" w:space="0" w:color="auto"/>
            </w:tcBorders>
          </w:tcPr>
          <w:p w14:paraId="01C5C170" w14:textId="77777777" w:rsidR="00F44E48" w:rsidRPr="00360589" w:rsidRDefault="00F44E48" w:rsidP="00313560">
            <w:pPr>
              <w:rPr>
                <w:rFonts w:cs="Arial"/>
              </w:rPr>
            </w:pPr>
            <w:r>
              <w:t>suprimir los niveles 2 y 4</w:t>
            </w:r>
          </w:p>
        </w:tc>
      </w:tr>
      <w:tr w:rsidR="00F44E48" w:rsidRPr="00360589" w14:paraId="5206911C"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37EA1252" w14:textId="77777777" w:rsidR="00F44E48" w:rsidRPr="00360589" w:rsidRDefault="00F44E48" w:rsidP="00313560">
            <w:pPr>
              <w:jc w:val="left"/>
              <w:rPr>
                <w:rFonts w:cs="Arial"/>
              </w:rPr>
            </w:pPr>
            <w:r>
              <w:t>Car. 24</w:t>
            </w:r>
          </w:p>
        </w:tc>
        <w:tc>
          <w:tcPr>
            <w:tcW w:w="8208" w:type="dxa"/>
            <w:tcBorders>
              <w:top w:val="single" w:sz="4" w:space="0" w:color="auto"/>
              <w:left w:val="single" w:sz="4" w:space="0" w:color="auto"/>
              <w:bottom w:val="single" w:sz="4" w:space="0" w:color="auto"/>
              <w:right w:val="single" w:sz="4" w:space="0" w:color="auto"/>
            </w:tcBorders>
          </w:tcPr>
          <w:p w14:paraId="29CDAA2F" w14:textId="77777777" w:rsidR="00F44E48" w:rsidRPr="00360589" w:rsidRDefault="00F44E48" w:rsidP="00313560">
            <w:pPr>
              <w:rPr>
                <w:rFonts w:cs="Arial"/>
              </w:rPr>
            </w:pPr>
            <w:r>
              <w:t>Como nivel 19 debe figurar: “en la totalidad de la zona lateral”</w:t>
            </w:r>
          </w:p>
        </w:tc>
      </w:tr>
      <w:tr w:rsidR="00F44E48" w:rsidRPr="00360589" w14:paraId="6DD4232A"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60F9B650" w14:textId="77777777" w:rsidR="00F44E48" w:rsidRPr="00360589" w:rsidRDefault="00F44E48" w:rsidP="00313560">
            <w:pPr>
              <w:jc w:val="left"/>
              <w:rPr>
                <w:rFonts w:cs="Arial"/>
              </w:rPr>
            </w:pPr>
            <w:r>
              <w:t>Car. 26, 28 y 30</w:t>
            </w:r>
          </w:p>
        </w:tc>
        <w:tc>
          <w:tcPr>
            <w:tcW w:w="8208" w:type="dxa"/>
            <w:tcBorders>
              <w:top w:val="single" w:sz="4" w:space="0" w:color="auto"/>
              <w:left w:val="single" w:sz="4" w:space="0" w:color="auto"/>
              <w:bottom w:val="single" w:sz="4" w:space="0" w:color="auto"/>
              <w:right w:val="single" w:sz="4" w:space="0" w:color="auto"/>
            </w:tcBorders>
          </w:tcPr>
          <w:p w14:paraId="66D3FE6A" w14:textId="77777777" w:rsidR="00F44E48" w:rsidRPr="00360589" w:rsidRDefault="00F44E48" w:rsidP="00313560">
            <w:pPr>
              <w:rPr>
                <w:rFonts w:cs="Arial"/>
              </w:rPr>
            </w:pPr>
            <w:r>
              <w:t>Como nivel 20 debe figurar: “en la totalidad de la zona lateral”</w:t>
            </w:r>
          </w:p>
        </w:tc>
      </w:tr>
      <w:tr w:rsidR="00F44E48" w:rsidRPr="00360589" w14:paraId="5D130839"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7E55E95B" w14:textId="77777777" w:rsidR="00F44E48" w:rsidRPr="00360589" w:rsidRDefault="00F44E48" w:rsidP="00313560">
            <w:pPr>
              <w:jc w:val="left"/>
              <w:rPr>
                <w:rFonts w:cs="Arial"/>
              </w:rPr>
            </w:pPr>
            <w:r>
              <w:t>Car. 26, 28 y 30</w:t>
            </w:r>
          </w:p>
        </w:tc>
        <w:tc>
          <w:tcPr>
            <w:tcW w:w="8208" w:type="dxa"/>
            <w:tcBorders>
              <w:top w:val="single" w:sz="4" w:space="0" w:color="auto"/>
              <w:left w:val="single" w:sz="4" w:space="0" w:color="auto"/>
              <w:bottom w:val="single" w:sz="4" w:space="0" w:color="auto"/>
              <w:right w:val="single" w:sz="4" w:space="0" w:color="auto"/>
            </w:tcBorders>
          </w:tcPr>
          <w:p w14:paraId="40E645DD" w14:textId="77777777" w:rsidR="00F44E48" w:rsidRPr="00360589" w:rsidRDefault="00F44E48" w:rsidP="00313560">
            <w:pPr>
              <w:rPr>
                <w:rFonts w:cs="Arial"/>
              </w:rPr>
            </w:pPr>
            <w:r>
              <w:t>el nivel 1 se ha de desplazar al final de la escala o armonizarse mejor con el carácter 24</w:t>
            </w:r>
          </w:p>
        </w:tc>
      </w:tr>
      <w:tr w:rsidR="00F44E48" w:rsidRPr="00360589" w14:paraId="6479A6CA"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3E2F63D9" w14:textId="77777777" w:rsidR="00F44E48" w:rsidRPr="00360589" w:rsidRDefault="00F44E48" w:rsidP="00313560">
            <w:pPr>
              <w:rPr>
                <w:rFonts w:cs="Arial"/>
              </w:rPr>
            </w:pPr>
            <w:r>
              <w:t>Car. 35</w:t>
            </w:r>
          </w:p>
        </w:tc>
        <w:tc>
          <w:tcPr>
            <w:tcW w:w="8208" w:type="dxa"/>
            <w:tcBorders>
              <w:top w:val="single" w:sz="4" w:space="0" w:color="auto"/>
              <w:left w:val="single" w:sz="4" w:space="0" w:color="auto"/>
              <w:bottom w:val="single" w:sz="4" w:space="0" w:color="auto"/>
              <w:right w:val="single" w:sz="4" w:space="0" w:color="auto"/>
            </w:tcBorders>
          </w:tcPr>
          <w:p w14:paraId="3B166050" w14:textId="77777777" w:rsidR="00F44E48" w:rsidRPr="00360589" w:rsidRDefault="00F44E48" w:rsidP="00313560">
            <w:pPr>
              <w:rPr>
                <w:rFonts w:cs="Arial"/>
              </w:rPr>
            </w:pPr>
            <w:r>
              <w:t>- suprimir (b) y reemplazarlo por una explicación que abarque caracteres individuales con el texto “El color principal es el que ocupa la mayor superficie.”</w:t>
            </w:r>
          </w:p>
        </w:tc>
      </w:tr>
      <w:tr w:rsidR="00F44E48" w:rsidRPr="00360589" w14:paraId="32BFEA85"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2A008966" w14:textId="77777777" w:rsidR="00F44E48" w:rsidRPr="00360589" w:rsidRDefault="00F44E48" w:rsidP="00313560">
            <w:pPr>
              <w:jc w:val="left"/>
              <w:rPr>
                <w:rFonts w:cs="Arial"/>
              </w:rPr>
            </w:pPr>
            <w:r>
              <w:t>8.1 (b)</w:t>
            </w:r>
          </w:p>
        </w:tc>
        <w:tc>
          <w:tcPr>
            <w:tcW w:w="8208" w:type="dxa"/>
            <w:tcBorders>
              <w:top w:val="single" w:sz="4" w:space="0" w:color="auto"/>
              <w:left w:val="single" w:sz="4" w:space="0" w:color="auto"/>
              <w:bottom w:val="single" w:sz="4" w:space="0" w:color="auto"/>
              <w:right w:val="single" w:sz="4" w:space="0" w:color="auto"/>
            </w:tcBorders>
          </w:tcPr>
          <w:p w14:paraId="71A3C4C0" w14:textId="77777777" w:rsidR="00F44E48" w:rsidRPr="00360589" w:rsidRDefault="00F44E48" w:rsidP="00313560">
            <w:pPr>
              <w:rPr>
                <w:rFonts w:cs="Arial"/>
              </w:rPr>
            </w:pPr>
            <w:r>
              <w:t xml:space="preserve">debe suprimirse </w:t>
            </w:r>
          </w:p>
        </w:tc>
      </w:tr>
      <w:tr w:rsidR="00F44E48" w:rsidRPr="00360589" w14:paraId="0A2D9D7D"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0794B208" w14:textId="77777777" w:rsidR="00F44E48" w:rsidRPr="00360589" w:rsidRDefault="00F44E48" w:rsidP="00313560">
            <w:pPr>
              <w:rPr>
                <w:rFonts w:cs="Arial"/>
              </w:rPr>
            </w:pPr>
            <w:r>
              <w:t>8.1 (d)</w:t>
            </w:r>
          </w:p>
        </w:tc>
        <w:tc>
          <w:tcPr>
            <w:tcW w:w="8208" w:type="dxa"/>
            <w:tcBorders>
              <w:top w:val="single" w:sz="4" w:space="0" w:color="auto"/>
              <w:left w:val="single" w:sz="4" w:space="0" w:color="auto"/>
              <w:bottom w:val="single" w:sz="4" w:space="0" w:color="auto"/>
              <w:right w:val="single" w:sz="4" w:space="0" w:color="auto"/>
            </w:tcBorders>
          </w:tcPr>
          <w:p w14:paraId="6E7E9BD8" w14:textId="77777777" w:rsidR="00F44E48" w:rsidRPr="00360589" w:rsidRDefault="00F44E48" w:rsidP="00313560">
            <w:pPr>
              <w:keepNext/>
              <w:rPr>
                <w:rFonts w:cs="Arial"/>
              </w:rPr>
            </w:pPr>
            <w:r>
              <w:t>el texto de la indicación debe ser “Base” (no “En la base”).</w:t>
            </w:r>
          </w:p>
        </w:tc>
      </w:tr>
      <w:tr w:rsidR="00F44E48" w:rsidRPr="00360589" w14:paraId="1366BE0E"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12FF8D2B" w14:textId="77777777" w:rsidR="00F44E48" w:rsidRPr="00360589" w:rsidRDefault="00F44E48" w:rsidP="00313560">
            <w:pPr>
              <w:rPr>
                <w:rFonts w:cs="Arial"/>
              </w:rPr>
            </w:pPr>
            <w:r>
              <w:t>8.1 (e)</w:t>
            </w:r>
          </w:p>
        </w:tc>
        <w:tc>
          <w:tcPr>
            <w:tcW w:w="8208" w:type="dxa"/>
            <w:tcBorders>
              <w:top w:val="single" w:sz="4" w:space="0" w:color="auto"/>
              <w:left w:val="single" w:sz="4" w:space="0" w:color="auto"/>
              <w:bottom w:val="single" w:sz="4" w:space="0" w:color="auto"/>
              <w:right w:val="single" w:sz="4" w:space="0" w:color="auto"/>
            </w:tcBorders>
          </w:tcPr>
          <w:p w14:paraId="70D76C68" w14:textId="77777777" w:rsidR="00F44E48" w:rsidRPr="00360589" w:rsidRDefault="00F44E48" w:rsidP="00313560">
            <w:pPr>
              <w:keepNext/>
              <w:rPr>
                <w:rFonts w:cs="Arial"/>
              </w:rPr>
            </w:pPr>
            <w:r>
              <w:t xml:space="preserve">el texto ha de ser: </w:t>
            </w:r>
            <w:r>
              <w:rPr>
                <w:color w:val="000000"/>
              </w:rPr>
              <w:t>“</w:t>
            </w:r>
            <w:r>
              <w:t>En las variedades multicolores, se han de registrar hasta cuatro colores; si hay más, no deberá tenerse en cuenta el color o los colores cuya superficie sea la más pequeña.</w:t>
            </w:r>
            <w:r>
              <w:rPr>
                <w:color w:val="000000"/>
              </w:rPr>
              <w:t xml:space="preserve"> Tampoco deberá tenerse en cuenta el ojo de la mancha basal. El ‘primer color’, el ‘segundo color’, etc. han de registrarse según su número en la carta de colores RHS, es decir, el primer color será aquel al que corresponda el número más bajo, el segundo aquel al que corresponda el segundo número en orden ascendente y así sucesivamente. Si dos colores tienen el mismo número, por ejemplo, verde 137A y verde 137D, se considerará que el 137A es el color al que corresponde el número más bajo. En este sistema, el orden es independiente de la superficie, por lo tanto, es posible clasificar el color que cubre la superficie más extensa como tercer o cuarto color.”</w:t>
            </w:r>
          </w:p>
        </w:tc>
      </w:tr>
      <w:tr w:rsidR="00F44E48" w:rsidRPr="00360589" w14:paraId="6EEB4979"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795E4B1" w14:textId="77777777" w:rsidR="00F44E48" w:rsidRPr="00360589" w:rsidRDefault="00F44E48" w:rsidP="00313560">
            <w:pPr>
              <w:rPr>
                <w:rFonts w:cs="Arial"/>
              </w:rPr>
            </w:pPr>
            <w:r>
              <w:t>Ad. 4</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7C7350AF" w14:textId="77777777" w:rsidR="00F44E48" w:rsidRPr="00360589" w:rsidRDefault="00F44E48" w:rsidP="00313560">
            <w:pPr>
              <w:keepNext/>
              <w:rPr>
                <w:rFonts w:cs="Arial"/>
              </w:rPr>
            </w:pPr>
            <w:r>
              <w:t>la primera frase ha de ser “Una planta puede tener hojas lobuladas y hojas que no lo son.”</w:t>
            </w:r>
          </w:p>
        </w:tc>
      </w:tr>
      <w:tr w:rsidR="00F44E48" w:rsidRPr="00360589" w14:paraId="56862D70"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36EA98E" w14:textId="77777777" w:rsidR="00F44E48" w:rsidRPr="00360589" w:rsidRDefault="00F44E48" w:rsidP="00313560">
            <w:pPr>
              <w:rPr>
                <w:rFonts w:cs="Arial"/>
              </w:rPr>
            </w:pPr>
            <w:r>
              <w:t>Ad. 14</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76B9D80" w14:textId="77777777" w:rsidR="00F44E48" w:rsidRPr="00360589" w:rsidRDefault="00F44E48" w:rsidP="00313560">
            <w:pPr>
              <w:keepNext/>
              <w:rPr>
                <w:rFonts w:cs="Arial"/>
              </w:rPr>
            </w:pPr>
            <w:r>
              <w:t>suprimir “petaloides” en el nivel 2 (véase el carácter 34)</w:t>
            </w:r>
          </w:p>
        </w:tc>
      </w:tr>
      <w:tr w:rsidR="00F44E48" w:rsidRPr="00360589" w14:paraId="77D60655"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489F7C7" w14:textId="77777777" w:rsidR="00F44E48" w:rsidRPr="00360589" w:rsidRDefault="00F44E48" w:rsidP="00313560">
            <w:pPr>
              <w:rPr>
                <w:rFonts w:cs="Arial"/>
              </w:rPr>
            </w:pPr>
            <w:r>
              <w:t>Ad. 24 y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BF3822E" w14:textId="77777777" w:rsidR="00F44E48" w:rsidRPr="00360589" w:rsidRDefault="00F44E48" w:rsidP="00313560">
            <w:pPr>
              <w:keepNext/>
              <w:rPr>
                <w:rFonts w:cs="Arial"/>
              </w:rPr>
            </w:pPr>
            <w:r>
              <w:t>adoptar el tamaño de la imagen para el nivel 20 en las versiones alemana y española</w:t>
            </w:r>
          </w:p>
        </w:tc>
      </w:tr>
      <w:tr w:rsidR="00F44E48" w:rsidRPr="00360589" w14:paraId="1CE32D6D"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8BDF32C" w14:textId="77777777" w:rsidR="00F44E48" w:rsidRPr="00360589" w:rsidRDefault="00F44E48" w:rsidP="00313560">
            <w:pPr>
              <w:rPr>
                <w:rFonts w:cs="Arial"/>
              </w:rPr>
            </w:pPr>
            <w:r>
              <w:t>Ad.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A26C868" w14:textId="77777777" w:rsidR="00F44E48" w:rsidRPr="00360589" w:rsidRDefault="00F44E48" w:rsidP="00313560">
            <w:pPr>
              <w:keepNext/>
              <w:rPr>
                <w:rFonts w:cs="Arial"/>
              </w:rPr>
            </w:pPr>
            <w:r>
              <w:t>suprimir “petaloides” en el nivel 2 (véase el carácter 34)</w:t>
            </w:r>
          </w:p>
        </w:tc>
      </w:tr>
      <w:tr w:rsidR="00F44E48" w:rsidRPr="00360589" w14:paraId="7CDD14B5"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2527ACD" w14:textId="77777777" w:rsidR="00F44E48" w:rsidRPr="00360589" w:rsidRDefault="00F44E48" w:rsidP="00313560">
            <w:pPr>
              <w:rPr>
                <w:rFonts w:cs="Arial"/>
              </w:rPr>
            </w:pPr>
            <w:r>
              <w:t>TQ, 5.5</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13DD9E6" w14:textId="744101C7" w:rsidR="00F44E48" w:rsidRPr="00360589" w:rsidRDefault="00F44E48" w:rsidP="00313560">
            <w:pPr>
              <w:keepNext/>
              <w:rPr>
                <w:rFonts w:cs="Arial"/>
              </w:rPr>
            </w:pPr>
            <w:r>
              <w:t xml:space="preserve">el texto ha de ser: “Flor ligulada: color que ocupa la superficie </w:t>
            </w:r>
            <w:r w:rsidR="00CC1E1E">
              <w:t xml:space="preserve">más grande </w:t>
            </w:r>
            <w:r>
              <w:t>en la cara superior”</w:t>
            </w:r>
          </w:p>
        </w:tc>
      </w:tr>
    </w:tbl>
    <w:p w14:paraId="487060E2" w14:textId="77777777" w:rsidR="00F44E48" w:rsidRPr="00360589" w:rsidRDefault="00F44E48" w:rsidP="00F44E48">
      <w:pPr>
        <w:rPr>
          <w:rFonts w:eastAsia="Arial" w:cs="Arial"/>
          <w:color w:val="000000"/>
          <w:u w:val="single"/>
        </w:rPr>
      </w:pPr>
    </w:p>
    <w:p w14:paraId="1A41A521"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2227C9F8" w14:textId="77777777" w:rsidTr="00313560">
        <w:trPr>
          <w:cantSplit/>
          <w:trHeight w:val="277"/>
          <w:jc w:val="center"/>
        </w:trPr>
        <w:tc>
          <w:tcPr>
            <w:tcW w:w="2894" w:type="dxa"/>
            <w:vMerge w:val="restart"/>
            <w:shd w:val="clear" w:color="auto" w:fill="D9D9D9"/>
            <w:vAlign w:val="center"/>
          </w:tcPr>
          <w:p w14:paraId="6368B376" w14:textId="77777777" w:rsidR="00F44E48" w:rsidRPr="00360589" w:rsidRDefault="00F44E48" w:rsidP="00313560">
            <w:pPr>
              <w:pStyle w:val="TitleofDoc"/>
              <w:keepNext/>
              <w:tabs>
                <w:tab w:val="left" w:pos="5245"/>
                <w:tab w:val="left" w:pos="7008"/>
              </w:tabs>
              <w:spacing w:before="0"/>
              <w:jc w:val="left"/>
              <w:rPr>
                <w:rFonts w:cs="Arial"/>
                <w:caps w:val="0"/>
              </w:rPr>
            </w:pPr>
            <w:r>
              <w:t>Nogal negro</w:t>
            </w:r>
          </w:p>
        </w:tc>
        <w:tc>
          <w:tcPr>
            <w:tcW w:w="2552" w:type="dxa"/>
            <w:shd w:val="clear" w:color="auto" w:fill="D9D9D9"/>
            <w:vAlign w:val="center"/>
          </w:tcPr>
          <w:p w14:paraId="42B992DA" w14:textId="77777777" w:rsidR="00F44E48" w:rsidRPr="00360589" w:rsidRDefault="00F44E48" w:rsidP="00313560">
            <w:pPr>
              <w:pStyle w:val="TitleofDoc"/>
              <w:keepNext/>
              <w:tabs>
                <w:tab w:val="left" w:pos="5245"/>
                <w:tab w:val="left" w:pos="7008"/>
              </w:tabs>
              <w:spacing w:before="0"/>
              <w:jc w:val="left"/>
              <w:rPr>
                <w:rFonts w:cs="Arial"/>
                <w:caps w:val="0"/>
              </w:rPr>
            </w:pPr>
            <w:r>
              <w:t>TG/JUGLA(proj.6)</w:t>
            </w:r>
          </w:p>
        </w:tc>
        <w:tc>
          <w:tcPr>
            <w:tcW w:w="2807" w:type="dxa"/>
            <w:shd w:val="clear" w:color="auto" w:fill="D9D9D9"/>
            <w:vAlign w:val="center"/>
          </w:tcPr>
          <w:p w14:paraId="64439EFE" w14:textId="77777777" w:rsidR="00F44E48" w:rsidRPr="00360589" w:rsidRDefault="00F44E48" w:rsidP="00313560">
            <w:pPr>
              <w:pStyle w:val="TitleofDoc"/>
              <w:keepNext/>
              <w:tabs>
                <w:tab w:val="left" w:pos="5245"/>
                <w:tab w:val="left" w:pos="7008"/>
              </w:tabs>
              <w:spacing w:before="0"/>
              <w:jc w:val="left"/>
              <w:rPr>
                <w:rFonts w:cs="Arial"/>
                <w:iCs/>
                <w:snapToGrid w:val="0"/>
                <w:color w:val="000000"/>
              </w:rPr>
            </w:pPr>
            <w:r>
              <w:t>Sra. Nuria Urquía Fernández (ES)</w:t>
            </w:r>
          </w:p>
        </w:tc>
        <w:tc>
          <w:tcPr>
            <w:tcW w:w="736" w:type="dxa"/>
            <w:vMerge w:val="restart"/>
            <w:shd w:val="clear" w:color="auto" w:fill="D9D9D9"/>
            <w:vAlign w:val="center"/>
          </w:tcPr>
          <w:p w14:paraId="11376266" w14:textId="77777777" w:rsidR="00F44E48" w:rsidRPr="00360589" w:rsidRDefault="00F44E48" w:rsidP="00313560">
            <w:pPr>
              <w:keepNext/>
              <w:jc w:val="left"/>
              <w:rPr>
                <w:rFonts w:cs="Arial"/>
                <w:iCs/>
              </w:rPr>
            </w:pPr>
            <w:r>
              <w:t>TWF</w:t>
            </w:r>
          </w:p>
        </w:tc>
        <w:tc>
          <w:tcPr>
            <w:tcW w:w="993" w:type="dxa"/>
            <w:vMerge w:val="restart"/>
            <w:shd w:val="clear" w:color="auto" w:fill="D9D9D9"/>
            <w:vAlign w:val="center"/>
          </w:tcPr>
          <w:p w14:paraId="14C69AA8" w14:textId="77777777" w:rsidR="00F44E48" w:rsidRPr="00360589" w:rsidRDefault="00F44E48" w:rsidP="00313560">
            <w:pPr>
              <w:pStyle w:val="BodyText"/>
              <w:keepNext/>
              <w:jc w:val="left"/>
              <w:rPr>
                <w:rFonts w:cs="Arial"/>
                <w:iCs/>
                <w:snapToGrid w:val="0"/>
              </w:rPr>
            </w:pPr>
          </w:p>
        </w:tc>
      </w:tr>
      <w:tr w:rsidR="00F44E48" w:rsidRPr="00360589" w14:paraId="0658F58A" w14:textId="77777777" w:rsidTr="00313560">
        <w:trPr>
          <w:cantSplit/>
          <w:trHeight w:hRule="exact" w:val="791"/>
          <w:jc w:val="center"/>
        </w:trPr>
        <w:tc>
          <w:tcPr>
            <w:tcW w:w="2894" w:type="dxa"/>
            <w:vMerge/>
            <w:shd w:val="clear" w:color="auto" w:fill="D9D9D9"/>
            <w:vAlign w:val="center"/>
          </w:tcPr>
          <w:p w14:paraId="6B7BE5A4"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0B25A769" w14:textId="67F5AE76"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14</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20</w:t>
            </w:r>
          </w:p>
        </w:tc>
        <w:tc>
          <w:tcPr>
            <w:tcW w:w="2807" w:type="dxa"/>
            <w:shd w:val="clear" w:color="auto" w:fill="D9D9D9"/>
            <w:vAlign w:val="center"/>
          </w:tcPr>
          <w:p w14:paraId="3E943119" w14:textId="51D36B87"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CN, KR, QZ y ZA)</w:t>
            </w:r>
          </w:p>
        </w:tc>
        <w:tc>
          <w:tcPr>
            <w:tcW w:w="736" w:type="dxa"/>
            <w:vMerge/>
            <w:shd w:val="clear" w:color="auto" w:fill="D9D9D9"/>
            <w:vAlign w:val="center"/>
          </w:tcPr>
          <w:p w14:paraId="562C70A3" w14:textId="77777777" w:rsidR="00F44E48" w:rsidRPr="00360589" w:rsidRDefault="00F44E48" w:rsidP="00313560">
            <w:pPr>
              <w:keepNext/>
              <w:jc w:val="left"/>
              <w:rPr>
                <w:rFonts w:cs="Arial"/>
                <w:iCs/>
              </w:rPr>
            </w:pPr>
          </w:p>
        </w:tc>
        <w:tc>
          <w:tcPr>
            <w:tcW w:w="993" w:type="dxa"/>
            <w:vMerge/>
            <w:shd w:val="clear" w:color="auto" w:fill="D9D9D9"/>
            <w:vAlign w:val="center"/>
          </w:tcPr>
          <w:p w14:paraId="01E9EDEB" w14:textId="77777777" w:rsidR="00F44E48" w:rsidRPr="00360589" w:rsidRDefault="00F44E48" w:rsidP="00313560">
            <w:pPr>
              <w:pStyle w:val="BodyText"/>
              <w:keepNext/>
              <w:jc w:val="left"/>
              <w:rPr>
                <w:rFonts w:cs="Arial"/>
                <w:iCs/>
                <w:snapToGrid w:val="0"/>
              </w:rPr>
            </w:pPr>
          </w:p>
        </w:tc>
      </w:tr>
    </w:tbl>
    <w:p w14:paraId="1DD06636" w14:textId="77777777" w:rsidR="00F44E48" w:rsidRPr="00360589" w:rsidRDefault="00F44E48" w:rsidP="00F44E48">
      <w:pPr>
        <w:keepNext/>
        <w:rPr>
          <w:rFonts w:eastAsia="Arial" w:cs="Arial"/>
          <w:color w:val="000000"/>
          <w:u w:val="single"/>
        </w:rPr>
      </w:pPr>
    </w:p>
    <w:p w14:paraId="5EEDDD21" w14:textId="77777777" w:rsidR="00F44E48" w:rsidRPr="00360589" w:rsidRDefault="00F44E48" w:rsidP="00F44E48">
      <w:pPr>
        <w:keepNext/>
        <w:ind w:firstLine="567"/>
        <w:rPr>
          <w:rFonts w:cs="Arial"/>
          <w:snapToGrid w:val="0"/>
        </w:rPr>
      </w:pPr>
      <w:r>
        <w:t>En su reunión celebrada en Ginebra en octubre de 2019, el TC-EDC examinó el documento </w:t>
      </w:r>
      <w:r>
        <w:rPr>
          <w:caps/>
        </w:rPr>
        <w:t>TG/JUGLA(</w:t>
      </w:r>
      <w:r>
        <w:t>proj</w:t>
      </w:r>
      <w:r>
        <w:rPr>
          <w:caps/>
        </w:rPr>
        <w:t>.6)</w:t>
      </w:r>
      <w:r>
        <w:t xml:space="preserve"> y formuló las recomendaciones expuestas en el cuadro siguiente:</w:t>
      </w:r>
    </w:p>
    <w:p w14:paraId="66491C6E"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504B27D5" w14:textId="77777777" w:rsidTr="00313560">
        <w:trPr>
          <w:cantSplit/>
        </w:trPr>
        <w:tc>
          <w:tcPr>
            <w:tcW w:w="1573" w:type="dxa"/>
          </w:tcPr>
          <w:p w14:paraId="1DD49D9A" w14:textId="77777777" w:rsidR="00F44E48" w:rsidRPr="00360589" w:rsidRDefault="00F44E48" w:rsidP="00313560">
            <w:pPr>
              <w:keepNext/>
              <w:jc w:val="left"/>
              <w:rPr>
                <w:rFonts w:cs="Arial"/>
              </w:rPr>
            </w:pPr>
            <w:r>
              <w:t>4.2</w:t>
            </w:r>
          </w:p>
        </w:tc>
        <w:tc>
          <w:tcPr>
            <w:tcW w:w="8208" w:type="dxa"/>
          </w:tcPr>
          <w:p w14:paraId="00AED72B" w14:textId="77777777" w:rsidR="00F44E48" w:rsidRPr="00360589" w:rsidRDefault="00F44E48" w:rsidP="00313560">
            <w:pPr>
              <w:keepNext/>
              <w:rPr>
                <w:rFonts w:cs="Arial"/>
              </w:rPr>
            </w:pPr>
            <w:r>
              <w:t>volver a introducir el párrafo siguiente del proyecto 4 (que se eliminó por error en el proyecto 5):</w:t>
            </w:r>
          </w:p>
          <w:p w14:paraId="4E814544" w14:textId="77777777" w:rsidR="00F44E48" w:rsidRPr="00360589" w:rsidRDefault="00F44E48" w:rsidP="00313560">
            <w:pPr>
              <w:rPr>
                <w:rFonts w:eastAsia="Arial" w:cs="Arial"/>
                <w:highlight w:val="red"/>
              </w:rPr>
            </w:pPr>
            <w:r>
              <w:t>“Para la evaluación de la homogeneidad de las variedades de multiplicación vegetativa, deberá aplicarse una población estándar del 1% y una probabilidad de aceptación del 95%, como mínimo. En el caso de un tamaño de muestra de 5 plantas, no se permitirán plantas fuera de tipo.”</w:t>
            </w:r>
          </w:p>
        </w:tc>
      </w:tr>
      <w:tr w:rsidR="00F44E48" w:rsidRPr="00360589" w14:paraId="51B307FD" w14:textId="77777777" w:rsidTr="00313560">
        <w:trPr>
          <w:cantSplit/>
        </w:trPr>
        <w:tc>
          <w:tcPr>
            <w:tcW w:w="1573" w:type="dxa"/>
          </w:tcPr>
          <w:p w14:paraId="6E43EB6C" w14:textId="77777777" w:rsidR="00F44E48" w:rsidRPr="00360589" w:rsidRDefault="00F44E48" w:rsidP="00313560">
            <w:pPr>
              <w:jc w:val="left"/>
              <w:rPr>
                <w:rFonts w:cs="Arial"/>
              </w:rPr>
            </w:pPr>
            <w:r>
              <w:t>1.</w:t>
            </w:r>
          </w:p>
        </w:tc>
        <w:tc>
          <w:tcPr>
            <w:tcW w:w="8208" w:type="dxa"/>
          </w:tcPr>
          <w:p w14:paraId="3EAB6E4B" w14:textId="77777777" w:rsidR="00F44E48" w:rsidRPr="00360589" w:rsidRDefault="00F44E48" w:rsidP="00313560">
            <w:pPr>
              <w:keepNext/>
              <w:rPr>
                <w:rFonts w:cs="Arial"/>
              </w:rPr>
            </w:pPr>
            <w:r>
              <w:t xml:space="preserve">sustituir “x” por el símbolo de multiplicación para híbridos </w:t>
            </w:r>
          </w:p>
        </w:tc>
      </w:tr>
      <w:tr w:rsidR="00F44E48" w:rsidRPr="00360589" w14:paraId="41C25F3E" w14:textId="77777777" w:rsidTr="00313560">
        <w:trPr>
          <w:cantSplit/>
        </w:trPr>
        <w:tc>
          <w:tcPr>
            <w:tcW w:w="1573" w:type="dxa"/>
          </w:tcPr>
          <w:p w14:paraId="5C465F75" w14:textId="77777777" w:rsidR="00F44E48" w:rsidRPr="00360589" w:rsidRDefault="00F44E48" w:rsidP="00313560">
            <w:pPr>
              <w:jc w:val="left"/>
              <w:rPr>
                <w:rFonts w:cs="Arial"/>
              </w:rPr>
            </w:pPr>
            <w:r>
              <w:t>2.2</w:t>
            </w:r>
          </w:p>
        </w:tc>
        <w:tc>
          <w:tcPr>
            <w:tcW w:w="8208" w:type="dxa"/>
          </w:tcPr>
          <w:p w14:paraId="12C8F096" w14:textId="77777777" w:rsidR="00F44E48" w:rsidRPr="00360589" w:rsidRDefault="00F44E48" w:rsidP="00313560">
            <w:pPr>
              <w:keepNext/>
              <w:rPr>
                <w:rFonts w:cs="Arial"/>
              </w:rPr>
            </w:pPr>
            <w:r>
              <w:t xml:space="preserve">el texto ha de ser “… injertos </w:t>
            </w:r>
            <w:r>
              <w:rPr>
                <w:highlight w:val="lightGray"/>
                <w:u w:val="single"/>
              </w:rPr>
              <w:t>o esquejes de yema</w:t>
            </w:r>
            <w:r>
              <w:t>”</w:t>
            </w:r>
          </w:p>
        </w:tc>
      </w:tr>
      <w:tr w:rsidR="00F44E48" w:rsidRPr="00360589" w14:paraId="43DC24E4" w14:textId="77777777" w:rsidTr="00313560">
        <w:trPr>
          <w:cantSplit/>
        </w:trPr>
        <w:tc>
          <w:tcPr>
            <w:tcW w:w="1573" w:type="dxa"/>
          </w:tcPr>
          <w:p w14:paraId="58CCA291" w14:textId="77777777" w:rsidR="00F44E48" w:rsidRPr="00360589" w:rsidRDefault="00F44E48" w:rsidP="00313560">
            <w:pPr>
              <w:jc w:val="left"/>
              <w:rPr>
                <w:rFonts w:cs="Arial"/>
              </w:rPr>
            </w:pPr>
            <w:r>
              <w:lastRenderedPageBreak/>
              <w:t>2.3</w:t>
            </w:r>
          </w:p>
        </w:tc>
        <w:tc>
          <w:tcPr>
            <w:tcW w:w="8208" w:type="dxa"/>
          </w:tcPr>
          <w:p w14:paraId="3D8574BC" w14:textId="77777777" w:rsidR="00F44E48" w:rsidRPr="00360589" w:rsidRDefault="00F44E48" w:rsidP="00313560">
            <w:pPr>
              <w:keepNext/>
              <w:rPr>
                <w:rFonts w:cs="Arial"/>
              </w:rPr>
            </w:pPr>
            <w:r>
              <w:t>el texto ha de ser “5 esquejes de yema, suficientes para multiplicar 10 árboles”</w:t>
            </w:r>
          </w:p>
        </w:tc>
      </w:tr>
      <w:tr w:rsidR="00F44E48" w:rsidRPr="00360589" w14:paraId="2260782B" w14:textId="77777777" w:rsidTr="00313560">
        <w:trPr>
          <w:cantSplit/>
        </w:trPr>
        <w:tc>
          <w:tcPr>
            <w:tcW w:w="1573" w:type="dxa"/>
          </w:tcPr>
          <w:p w14:paraId="6F801B70" w14:textId="77777777" w:rsidR="00F44E48" w:rsidRPr="00360589" w:rsidRDefault="00F44E48" w:rsidP="00313560">
            <w:pPr>
              <w:jc w:val="left"/>
              <w:rPr>
                <w:rFonts w:cs="Arial"/>
              </w:rPr>
            </w:pPr>
            <w:r>
              <w:t>3.1.2, 5.3, carácter 16</w:t>
            </w:r>
          </w:p>
        </w:tc>
        <w:tc>
          <w:tcPr>
            <w:tcW w:w="8208" w:type="dxa"/>
          </w:tcPr>
          <w:p w14:paraId="20A98503" w14:textId="77777777" w:rsidR="00F44E48" w:rsidRPr="00360589" w:rsidRDefault="00F44E48" w:rsidP="00313560">
            <w:pPr>
              <w:keepNext/>
              <w:jc w:val="left"/>
              <w:rPr>
                <w:rFonts w:cs="Arial"/>
              </w:rPr>
            </w:pPr>
            <w:r>
              <w:t>separar “</w:t>
            </w:r>
            <w:r>
              <w:rPr>
                <w:i/>
              </w:rPr>
              <w:t>budburst</w:t>
            </w:r>
            <w:r>
              <w:t>” en dos palabras en todo el documento en la versión en inglés</w:t>
            </w:r>
          </w:p>
        </w:tc>
      </w:tr>
      <w:tr w:rsidR="00F44E48" w:rsidRPr="00360589" w14:paraId="08D7FE08" w14:textId="77777777" w:rsidTr="00313560">
        <w:trPr>
          <w:cantSplit/>
        </w:trPr>
        <w:tc>
          <w:tcPr>
            <w:tcW w:w="1573" w:type="dxa"/>
          </w:tcPr>
          <w:p w14:paraId="69EEC650" w14:textId="77777777" w:rsidR="00F44E48" w:rsidRPr="00360589" w:rsidRDefault="00F44E48" w:rsidP="00313560">
            <w:pPr>
              <w:jc w:val="left"/>
              <w:rPr>
                <w:rFonts w:cs="Arial"/>
              </w:rPr>
            </w:pPr>
            <w:r>
              <w:t>Car. 7</w:t>
            </w:r>
          </w:p>
        </w:tc>
        <w:tc>
          <w:tcPr>
            <w:tcW w:w="8208" w:type="dxa"/>
          </w:tcPr>
          <w:p w14:paraId="083AC9DA" w14:textId="77777777" w:rsidR="00F44E48" w:rsidRPr="00360589" w:rsidRDefault="00F44E48" w:rsidP="00313560">
            <w:pPr>
              <w:keepNext/>
              <w:jc w:val="left"/>
              <w:rPr>
                <w:rFonts w:cs="Arial"/>
              </w:rPr>
            </w:pPr>
            <w:r>
              <w:t>- suprimir “en un grupo de” de todos los niveles</w:t>
            </w:r>
          </w:p>
          <w:p w14:paraId="525E5B0E" w14:textId="77777777" w:rsidR="00F44E48" w:rsidRPr="00360589" w:rsidRDefault="00F44E48" w:rsidP="00313560">
            <w:pPr>
              <w:keepNext/>
              <w:jc w:val="left"/>
              <w:rPr>
                <w:rFonts w:cs="Arial"/>
              </w:rPr>
            </w:pPr>
            <w:r>
              <w:t>- el texto ha de ser “Flor femenina: número predominante de flores” y se lo debe colocar antes del carácter 6</w:t>
            </w:r>
          </w:p>
        </w:tc>
      </w:tr>
      <w:tr w:rsidR="00F44E48" w:rsidRPr="00360589" w14:paraId="4ABD22AF" w14:textId="77777777" w:rsidTr="00313560">
        <w:trPr>
          <w:cantSplit/>
        </w:trPr>
        <w:tc>
          <w:tcPr>
            <w:tcW w:w="1573" w:type="dxa"/>
          </w:tcPr>
          <w:p w14:paraId="6139397E" w14:textId="77777777" w:rsidR="00F44E48" w:rsidRPr="00360589" w:rsidRDefault="00F44E48" w:rsidP="00313560">
            <w:pPr>
              <w:jc w:val="left"/>
              <w:rPr>
                <w:rFonts w:cs="Arial"/>
              </w:rPr>
            </w:pPr>
            <w:r>
              <w:t>Car. 10</w:t>
            </w:r>
          </w:p>
        </w:tc>
        <w:tc>
          <w:tcPr>
            <w:tcW w:w="8208" w:type="dxa"/>
          </w:tcPr>
          <w:p w14:paraId="6B5F86A4" w14:textId="09C42FCB" w:rsidR="00F44E48" w:rsidRPr="00360589" w:rsidRDefault="00F44E48" w:rsidP="00313560">
            <w:pPr>
              <w:keepNext/>
              <w:rPr>
                <w:rFonts w:cs="Arial"/>
              </w:rPr>
            </w:pPr>
            <w:r>
              <w:t>el texto ha de ser “Flor femenina: tipo de estigma”</w:t>
            </w:r>
            <w:r w:rsidR="002A0DA3">
              <w:t xml:space="preserve"> </w:t>
            </w:r>
          </w:p>
        </w:tc>
      </w:tr>
      <w:tr w:rsidR="00F44E48" w:rsidRPr="00360589" w14:paraId="6665C05B" w14:textId="77777777" w:rsidTr="00313560">
        <w:trPr>
          <w:cantSplit/>
        </w:trPr>
        <w:tc>
          <w:tcPr>
            <w:tcW w:w="1573" w:type="dxa"/>
          </w:tcPr>
          <w:p w14:paraId="54E87CFF" w14:textId="77777777" w:rsidR="00F44E48" w:rsidRPr="00360589" w:rsidRDefault="00F44E48" w:rsidP="00313560">
            <w:pPr>
              <w:jc w:val="left"/>
              <w:rPr>
                <w:rFonts w:cs="Arial"/>
              </w:rPr>
            </w:pPr>
            <w:r>
              <w:t>Car. 11</w:t>
            </w:r>
          </w:p>
        </w:tc>
        <w:tc>
          <w:tcPr>
            <w:tcW w:w="8208" w:type="dxa"/>
          </w:tcPr>
          <w:p w14:paraId="76103247" w14:textId="2C4D0A1A" w:rsidR="00F44E48" w:rsidRPr="00360589" w:rsidRDefault="00697BC9" w:rsidP="00313560">
            <w:pPr>
              <w:jc w:val="left"/>
              <w:rPr>
                <w:rFonts w:cs="Arial"/>
              </w:rPr>
            </w:pPr>
            <w:r>
              <w:t>e</w:t>
            </w:r>
            <w:r w:rsidR="00F44E48">
              <w:t>l texto debe ser: “Planta: amentos plenamente desarrollados”</w:t>
            </w:r>
          </w:p>
        </w:tc>
      </w:tr>
      <w:tr w:rsidR="00F44E48" w:rsidRPr="00360589" w14:paraId="324BDE92" w14:textId="77777777" w:rsidTr="00313560">
        <w:trPr>
          <w:cantSplit/>
        </w:trPr>
        <w:tc>
          <w:tcPr>
            <w:tcW w:w="1573" w:type="dxa"/>
          </w:tcPr>
          <w:p w14:paraId="689158EB" w14:textId="77777777" w:rsidR="00F44E48" w:rsidRPr="00360589" w:rsidRDefault="00F44E48" w:rsidP="00313560">
            <w:pPr>
              <w:jc w:val="left"/>
              <w:rPr>
                <w:rFonts w:cs="Arial"/>
              </w:rPr>
            </w:pPr>
            <w:r>
              <w:t>Car. 12</w:t>
            </w:r>
          </w:p>
        </w:tc>
        <w:tc>
          <w:tcPr>
            <w:tcW w:w="8208" w:type="dxa"/>
          </w:tcPr>
          <w:p w14:paraId="2B0D24DC" w14:textId="0760ED7E" w:rsidR="00F44E48" w:rsidRPr="00360589" w:rsidRDefault="00697BC9" w:rsidP="00313560">
            <w:pPr>
              <w:jc w:val="left"/>
              <w:rPr>
                <w:rFonts w:cs="Arial"/>
              </w:rPr>
            </w:pPr>
            <w:r>
              <w:t>e</w:t>
            </w:r>
            <w:r w:rsidR="00F44E48">
              <w:t>l texto debe ser “Solo variedades con: Planta: amentos plenamente desarrollados: presentes: Amento: forma”</w:t>
            </w:r>
          </w:p>
        </w:tc>
      </w:tr>
      <w:tr w:rsidR="00F44E48" w:rsidRPr="00360589" w14:paraId="6443FCF1" w14:textId="77777777" w:rsidTr="00313560">
        <w:trPr>
          <w:cantSplit/>
        </w:trPr>
        <w:tc>
          <w:tcPr>
            <w:tcW w:w="1573" w:type="dxa"/>
          </w:tcPr>
          <w:p w14:paraId="23A647EE" w14:textId="77777777" w:rsidR="00F44E48" w:rsidRPr="00360589" w:rsidRDefault="00F44E48" w:rsidP="00313560">
            <w:pPr>
              <w:jc w:val="left"/>
              <w:rPr>
                <w:rFonts w:cs="Arial"/>
              </w:rPr>
            </w:pPr>
            <w:r>
              <w:t>Car. 13</w:t>
            </w:r>
          </w:p>
        </w:tc>
        <w:tc>
          <w:tcPr>
            <w:tcW w:w="8208" w:type="dxa"/>
          </w:tcPr>
          <w:p w14:paraId="3D22347A" w14:textId="77777777" w:rsidR="00F44E48" w:rsidRPr="00360589" w:rsidRDefault="00F44E48" w:rsidP="00313560">
            <w:pPr>
              <w:jc w:val="left"/>
              <w:rPr>
                <w:rFonts w:cs="Arial"/>
              </w:rPr>
            </w:pPr>
            <w:r>
              <w:t>el texto debe ser: “Nuez: forma”</w:t>
            </w:r>
          </w:p>
        </w:tc>
      </w:tr>
      <w:tr w:rsidR="00F44E48" w:rsidRPr="00360589" w14:paraId="5A71D976" w14:textId="77777777" w:rsidTr="00313560">
        <w:trPr>
          <w:cantSplit/>
        </w:trPr>
        <w:tc>
          <w:tcPr>
            <w:tcW w:w="1573" w:type="dxa"/>
          </w:tcPr>
          <w:p w14:paraId="1F4B947A" w14:textId="77777777" w:rsidR="00F44E48" w:rsidRPr="00360589" w:rsidRDefault="00F44E48" w:rsidP="00313560">
            <w:pPr>
              <w:jc w:val="left"/>
              <w:rPr>
                <w:rFonts w:cs="Arial"/>
              </w:rPr>
            </w:pPr>
            <w:r>
              <w:t>8.1</w:t>
            </w:r>
          </w:p>
        </w:tc>
        <w:tc>
          <w:tcPr>
            <w:tcW w:w="8208" w:type="dxa"/>
          </w:tcPr>
          <w:p w14:paraId="318BC784" w14:textId="77777777" w:rsidR="00F44E48" w:rsidRPr="00360589" w:rsidRDefault="00F44E48" w:rsidP="00313560">
            <w:pPr>
              <w:keepNext/>
              <w:rPr>
                <w:rFonts w:cs="Arial"/>
              </w:rPr>
            </w:pPr>
            <w:r>
              <w:t>suprimir las referencias a las partes de la planta en (a) a (d) (“Las observaciones se realizarán…”)</w:t>
            </w:r>
          </w:p>
        </w:tc>
      </w:tr>
      <w:tr w:rsidR="00F44E48" w:rsidRPr="00360589" w14:paraId="77CD9F40" w14:textId="77777777" w:rsidTr="00313560">
        <w:trPr>
          <w:cantSplit/>
        </w:trPr>
        <w:tc>
          <w:tcPr>
            <w:tcW w:w="1573" w:type="dxa"/>
          </w:tcPr>
          <w:p w14:paraId="5CB05AC8" w14:textId="77777777" w:rsidR="00F44E48" w:rsidRPr="00360589" w:rsidRDefault="00F44E48" w:rsidP="00313560">
            <w:pPr>
              <w:jc w:val="left"/>
              <w:rPr>
                <w:rFonts w:cs="Arial"/>
              </w:rPr>
            </w:pPr>
            <w:r>
              <w:t>8.1 (c)</w:t>
            </w:r>
          </w:p>
        </w:tc>
        <w:tc>
          <w:tcPr>
            <w:tcW w:w="8208" w:type="dxa"/>
          </w:tcPr>
          <w:p w14:paraId="74979F77" w14:textId="77777777" w:rsidR="00F44E48" w:rsidRPr="00360589" w:rsidRDefault="00F44E48" w:rsidP="00313560">
            <w:pPr>
              <w:jc w:val="left"/>
              <w:rPr>
                <w:rFonts w:cs="Arial"/>
              </w:rPr>
            </w:pPr>
            <w:r>
              <w:t>el texto ha de ser: “Las observaciones se realizarán durante el período de plena floración de las flores masculinas o femeninas, respectivamente.”</w:t>
            </w:r>
          </w:p>
        </w:tc>
      </w:tr>
      <w:tr w:rsidR="00F44E48" w:rsidRPr="00360589" w14:paraId="2C7523E0" w14:textId="77777777" w:rsidTr="00313560">
        <w:trPr>
          <w:cantSplit/>
        </w:trPr>
        <w:tc>
          <w:tcPr>
            <w:tcW w:w="1573" w:type="dxa"/>
          </w:tcPr>
          <w:p w14:paraId="26634061" w14:textId="77777777" w:rsidR="00F44E48" w:rsidRPr="00360589" w:rsidRDefault="00F44E48" w:rsidP="00313560">
            <w:pPr>
              <w:jc w:val="left"/>
              <w:rPr>
                <w:rFonts w:cs="Arial"/>
              </w:rPr>
            </w:pPr>
            <w:r>
              <w:t>8.1 (d)</w:t>
            </w:r>
          </w:p>
        </w:tc>
        <w:tc>
          <w:tcPr>
            <w:tcW w:w="8208" w:type="dxa"/>
          </w:tcPr>
          <w:p w14:paraId="48A992E5" w14:textId="77777777" w:rsidR="00F44E48" w:rsidRPr="00360589" w:rsidRDefault="00F44E48" w:rsidP="00313560">
            <w:pPr>
              <w:jc w:val="left"/>
              <w:rPr>
                <w:rFonts w:cs="Arial"/>
              </w:rPr>
            </w:pPr>
            <w:r>
              <w:t>el texto ha de ser: “Las observaciones se realizarán con la sutura de frente en nueces fisiológicamente maduras, excluyendo el pericarpio.”</w:t>
            </w:r>
          </w:p>
        </w:tc>
      </w:tr>
      <w:tr w:rsidR="00F44E48" w:rsidRPr="00360589" w14:paraId="6839C652" w14:textId="77777777" w:rsidTr="00313560">
        <w:trPr>
          <w:cantSplit/>
        </w:trPr>
        <w:tc>
          <w:tcPr>
            <w:tcW w:w="1573" w:type="dxa"/>
          </w:tcPr>
          <w:p w14:paraId="24EE0332" w14:textId="77777777" w:rsidR="00F44E48" w:rsidRPr="00360589" w:rsidRDefault="00F44E48" w:rsidP="00313560">
            <w:pPr>
              <w:jc w:val="left"/>
              <w:rPr>
                <w:rFonts w:cs="Arial"/>
              </w:rPr>
            </w:pPr>
            <w:r>
              <w:t>Ad. 3</w:t>
            </w:r>
          </w:p>
        </w:tc>
        <w:tc>
          <w:tcPr>
            <w:tcW w:w="8208" w:type="dxa"/>
          </w:tcPr>
          <w:p w14:paraId="59FD5F31" w14:textId="77777777" w:rsidR="00F44E48" w:rsidRPr="00360589" w:rsidRDefault="00F44E48" w:rsidP="00313560">
            <w:pPr>
              <w:keepNext/>
              <w:rPr>
                <w:rFonts w:cs="Arial"/>
              </w:rPr>
            </w:pPr>
            <w:r>
              <w:t>el texto ha de ser “menos de 9; entre 9 y 13; entre 14 y 17; entre 18 y 21; 22 o más”</w:t>
            </w:r>
          </w:p>
        </w:tc>
      </w:tr>
      <w:tr w:rsidR="00F44E48" w:rsidRPr="00360589" w14:paraId="11F3D2A9" w14:textId="77777777" w:rsidTr="00313560">
        <w:trPr>
          <w:cantSplit/>
        </w:trPr>
        <w:tc>
          <w:tcPr>
            <w:tcW w:w="1573" w:type="dxa"/>
          </w:tcPr>
          <w:p w14:paraId="0B7A2ABC" w14:textId="77777777" w:rsidR="00F44E48" w:rsidRPr="00360589" w:rsidRDefault="00F44E48" w:rsidP="00313560">
            <w:pPr>
              <w:jc w:val="left"/>
              <w:rPr>
                <w:rFonts w:cs="Arial"/>
              </w:rPr>
            </w:pPr>
            <w:r>
              <w:t>Ad. 6</w:t>
            </w:r>
          </w:p>
        </w:tc>
        <w:tc>
          <w:tcPr>
            <w:tcW w:w="8208" w:type="dxa"/>
          </w:tcPr>
          <w:p w14:paraId="68C613D5" w14:textId="77777777" w:rsidR="00F44E48" w:rsidRPr="00360589" w:rsidRDefault="00F44E48" w:rsidP="00313560">
            <w:pPr>
              <w:keepNext/>
              <w:rPr>
                <w:rFonts w:cs="Arial"/>
              </w:rPr>
            </w:pPr>
            <w:r>
              <w:t>el texto ha de ser “No se considera visible cuando…”</w:t>
            </w:r>
          </w:p>
        </w:tc>
      </w:tr>
      <w:tr w:rsidR="00F44E48" w:rsidRPr="00360589" w14:paraId="3C9010B7" w14:textId="77777777" w:rsidTr="00313560">
        <w:trPr>
          <w:cantSplit/>
        </w:trPr>
        <w:tc>
          <w:tcPr>
            <w:tcW w:w="1573" w:type="dxa"/>
          </w:tcPr>
          <w:p w14:paraId="51E54FAC" w14:textId="77777777" w:rsidR="00F44E48" w:rsidRPr="00360589" w:rsidRDefault="00F44E48" w:rsidP="00313560">
            <w:pPr>
              <w:jc w:val="left"/>
              <w:rPr>
                <w:rFonts w:cs="Arial"/>
              </w:rPr>
            </w:pPr>
            <w:r>
              <w:t>Ad. 11</w:t>
            </w:r>
          </w:p>
        </w:tc>
        <w:tc>
          <w:tcPr>
            <w:tcW w:w="8208" w:type="dxa"/>
          </w:tcPr>
          <w:p w14:paraId="652E4EC0" w14:textId="5550016F" w:rsidR="00F44E48" w:rsidRPr="00360589" w:rsidRDefault="00697BC9" w:rsidP="00313560">
            <w:pPr>
              <w:jc w:val="left"/>
              <w:rPr>
                <w:rFonts w:cs="Arial"/>
              </w:rPr>
            </w:pPr>
            <w:r>
              <w:t>e</w:t>
            </w:r>
            <w:r w:rsidR="00F44E48">
              <w:t xml:space="preserve">l texto debe ser: “... </w:t>
            </w:r>
            <w:r w:rsidR="00F44E48">
              <w:rPr>
                <w:i/>
              </w:rPr>
              <w:t>the pollen sacs are full</w:t>
            </w:r>
            <w:r w:rsidR="00F44E48">
              <w:t>” (los sacos del polen están llenos) en la versión en inglés.</w:t>
            </w:r>
          </w:p>
        </w:tc>
      </w:tr>
      <w:tr w:rsidR="00F44E48" w:rsidRPr="00360589" w14:paraId="26396907" w14:textId="77777777" w:rsidTr="00313560">
        <w:trPr>
          <w:cantSplit/>
        </w:trPr>
        <w:tc>
          <w:tcPr>
            <w:tcW w:w="1573" w:type="dxa"/>
          </w:tcPr>
          <w:p w14:paraId="7DDE04B5" w14:textId="77777777" w:rsidR="00F44E48" w:rsidRPr="00360589" w:rsidRDefault="00F44E48" w:rsidP="00313560">
            <w:pPr>
              <w:jc w:val="left"/>
              <w:rPr>
                <w:rFonts w:cs="Arial"/>
              </w:rPr>
            </w:pPr>
            <w:r>
              <w:t>Ad. 14 y 15</w:t>
            </w:r>
          </w:p>
        </w:tc>
        <w:tc>
          <w:tcPr>
            <w:tcW w:w="8208" w:type="dxa"/>
          </w:tcPr>
          <w:p w14:paraId="496797DA" w14:textId="77777777" w:rsidR="00F44E48" w:rsidRPr="00360589" w:rsidRDefault="00F44E48" w:rsidP="00313560">
            <w:pPr>
              <w:jc w:val="left"/>
              <w:rPr>
                <w:rFonts w:cs="Arial"/>
              </w:rPr>
            </w:pPr>
            <w:r>
              <w:t>suprimir la frase</w:t>
            </w:r>
          </w:p>
        </w:tc>
      </w:tr>
      <w:tr w:rsidR="00F44E48" w:rsidRPr="00360589" w14:paraId="0783BC1D" w14:textId="77777777" w:rsidTr="00313560">
        <w:trPr>
          <w:cantSplit/>
        </w:trPr>
        <w:tc>
          <w:tcPr>
            <w:tcW w:w="1573" w:type="dxa"/>
          </w:tcPr>
          <w:p w14:paraId="037EFB6D" w14:textId="77777777" w:rsidR="00F44E48" w:rsidRPr="00360589" w:rsidRDefault="00F44E48" w:rsidP="00313560">
            <w:pPr>
              <w:jc w:val="left"/>
              <w:rPr>
                <w:rFonts w:cs="Arial"/>
              </w:rPr>
            </w:pPr>
            <w:r>
              <w:t>Ad. 16</w:t>
            </w:r>
          </w:p>
        </w:tc>
        <w:tc>
          <w:tcPr>
            <w:tcW w:w="8208" w:type="dxa"/>
          </w:tcPr>
          <w:p w14:paraId="39803BD2" w14:textId="77777777" w:rsidR="00F44E48" w:rsidRPr="00360589" w:rsidRDefault="00F44E48" w:rsidP="00313560">
            <w:pPr>
              <w:jc w:val="left"/>
              <w:rPr>
                <w:rFonts w:cs="Arial"/>
              </w:rPr>
            </w:pPr>
            <w:r>
              <w:t>suprimir “más d”</w:t>
            </w:r>
          </w:p>
        </w:tc>
      </w:tr>
      <w:tr w:rsidR="00F44E48" w:rsidRPr="00360589" w14:paraId="47DBCBA9" w14:textId="77777777" w:rsidTr="00313560">
        <w:trPr>
          <w:cantSplit/>
        </w:trPr>
        <w:tc>
          <w:tcPr>
            <w:tcW w:w="1573" w:type="dxa"/>
          </w:tcPr>
          <w:p w14:paraId="63D44953" w14:textId="77777777" w:rsidR="00F44E48" w:rsidRPr="00360589" w:rsidRDefault="00F44E48" w:rsidP="00313560">
            <w:pPr>
              <w:jc w:val="left"/>
              <w:rPr>
                <w:rFonts w:cs="Arial"/>
              </w:rPr>
            </w:pPr>
            <w:r>
              <w:t>Ad. 20</w:t>
            </w:r>
          </w:p>
        </w:tc>
        <w:tc>
          <w:tcPr>
            <w:tcW w:w="8208" w:type="dxa"/>
          </w:tcPr>
          <w:p w14:paraId="620DD61C" w14:textId="77777777" w:rsidR="00F44E48" w:rsidRPr="00360589" w:rsidRDefault="00F44E48" w:rsidP="00313560">
            <w:pPr>
              <w:jc w:val="left"/>
              <w:rPr>
                <w:rFonts w:cs="Arial"/>
              </w:rPr>
            </w:pPr>
            <w:r>
              <w:t>suprimir “más d”</w:t>
            </w:r>
          </w:p>
        </w:tc>
      </w:tr>
    </w:tbl>
    <w:p w14:paraId="5620E3EA" w14:textId="77777777" w:rsidR="00F44E48" w:rsidRPr="00360589" w:rsidRDefault="00F44E48" w:rsidP="00F44E48">
      <w:pPr>
        <w:rPr>
          <w:rFonts w:eastAsia="Arial" w:cs="Arial"/>
          <w:color w:val="000000"/>
          <w:u w:val="single"/>
        </w:rPr>
      </w:pPr>
    </w:p>
    <w:p w14:paraId="46D479D3" w14:textId="77777777" w:rsidR="00F44E48" w:rsidRPr="00360589" w:rsidRDefault="00F44E48" w:rsidP="00F44E48">
      <w:pPr>
        <w:rPr>
          <w:rFonts w:eastAsia="Arial" w:cs="Arial"/>
          <w:color w:val="000000"/>
          <w:u w:val="single"/>
        </w:rPr>
      </w:pPr>
    </w:p>
    <w:p w14:paraId="60526A1E" w14:textId="77777777" w:rsidR="00F44E48" w:rsidRPr="00360589" w:rsidRDefault="00F44E48" w:rsidP="00F44E48">
      <w:pPr>
        <w:pStyle w:val="Heading3"/>
        <w:rPr>
          <w:rFonts w:eastAsia="Arial" w:cs="Arial"/>
        </w:rPr>
      </w:pPr>
      <w:r>
        <w:t>Revisiones</w:t>
      </w:r>
    </w:p>
    <w:p w14:paraId="54BDF244" w14:textId="77777777" w:rsidR="00F44E48" w:rsidRPr="00360589" w:rsidRDefault="00F44E48" w:rsidP="00F44E48">
      <w:pPr>
        <w:keepNext/>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6BBBBC34" w14:textId="77777777" w:rsidTr="00313560">
        <w:trPr>
          <w:cantSplit/>
          <w:trHeight w:val="277"/>
          <w:jc w:val="center"/>
        </w:trPr>
        <w:tc>
          <w:tcPr>
            <w:tcW w:w="2894" w:type="dxa"/>
            <w:vMerge w:val="restart"/>
            <w:shd w:val="clear" w:color="auto" w:fill="D9D9D9"/>
            <w:vAlign w:val="center"/>
          </w:tcPr>
          <w:p w14:paraId="1603EDBA" w14:textId="77777777" w:rsidR="00F44E48" w:rsidRPr="00360589" w:rsidRDefault="00F44E48" w:rsidP="00313560">
            <w:pPr>
              <w:pStyle w:val="TitleofDoc"/>
              <w:keepNext/>
              <w:tabs>
                <w:tab w:val="left" w:pos="5245"/>
                <w:tab w:val="left" w:pos="7008"/>
              </w:tabs>
              <w:spacing w:before="0"/>
              <w:jc w:val="left"/>
              <w:rPr>
                <w:rFonts w:cs="Arial"/>
                <w:caps w:val="0"/>
              </w:rPr>
            </w:pPr>
            <w:r>
              <w:t xml:space="preserve">Alstroemeria </w:t>
            </w:r>
            <w:r>
              <w:br/>
              <w:t>(</w:t>
            </w:r>
            <w:r>
              <w:rPr>
                <w:i/>
                <w:caps w:val="0"/>
              </w:rPr>
              <w:t>Alstroemeria</w:t>
            </w:r>
            <w:r>
              <w:t xml:space="preserve"> L.)</w:t>
            </w:r>
          </w:p>
        </w:tc>
        <w:tc>
          <w:tcPr>
            <w:tcW w:w="2552" w:type="dxa"/>
            <w:shd w:val="clear" w:color="auto" w:fill="D9D9D9"/>
            <w:vAlign w:val="center"/>
          </w:tcPr>
          <w:p w14:paraId="2FC3B5F0" w14:textId="77777777" w:rsidR="00F44E48" w:rsidRPr="00360589" w:rsidRDefault="00F44E48" w:rsidP="00313560">
            <w:pPr>
              <w:pStyle w:val="TitleofDoc"/>
              <w:keepNext/>
              <w:tabs>
                <w:tab w:val="left" w:pos="5245"/>
                <w:tab w:val="left" w:pos="7008"/>
              </w:tabs>
              <w:spacing w:before="0"/>
              <w:jc w:val="left"/>
              <w:rPr>
                <w:rFonts w:cs="Arial"/>
                <w:caps w:val="0"/>
              </w:rPr>
            </w:pPr>
            <w:r>
              <w:t>TG/29/8(proj.4)</w:t>
            </w:r>
          </w:p>
        </w:tc>
        <w:tc>
          <w:tcPr>
            <w:tcW w:w="2807" w:type="dxa"/>
            <w:shd w:val="clear" w:color="auto" w:fill="D9D9D9"/>
            <w:vAlign w:val="center"/>
          </w:tcPr>
          <w:p w14:paraId="022788F7" w14:textId="77777777" w:rsidR="00F44E48" w:rsidRPr="00CC1E1E" w:rsidRDefault="00F44E48" w:rsidP="00313560">
            <w:pPr>
              <w:keepNext/>
              <w:jc w:val="left"/>
              <w:rPr>
                <w:rFonts w:cs="Arial"/>
                <w:iCs/>
                <w:snapToGrid w:val="0"/>
                <w:color w:val="000000"/>
                <w:lang w:val="de-DE"/>
              </w:rPr>
            </w:pPr>
            <w:r w:rsidRPr="00CC1E1E">
              <w:rPr>
                <w:lang w:val="de-DE"/>
              </w:rPr>
              <w:t>Sr. Henk de Greef (NL)</w:t>
            </w:r>
          </w:p>
        </w:tc>
        <w:tc>
          <w:tcPr>
            <w:tcW w:w="736" w:type="dxa"/>
            <w:vMerge w:val="restart"/>
            <w:shd w:val="clear" w:color="auto" w:fill="D9D9D9"/>
            <w:vAlign w:val="center"/>
          </w:tcPr>
          <w:p w14:paraId="41BE17DD" w14:textId="77777777" w:rsidR="00F44E48" w:rsidRPr="00360589" w:rsidRDefault="00F44E48" w:rsidP="00313560">
            <w:pPr>
              <w:keepNext/>
              <w:jc w:val="left"/>
              <w:rPr>
                <w:rFonts w:cs="Arial"/>
                <w:iCs/>
              </w:rPr>
            </w:pPr>
            <w:r>
              <w:t>TWO</w:t>
            </w:r>
          </w:p>
        </w:tc>
        <w:tc>
          <w:tcPr>
            <w:tcW w:w="993" w:type="dxa"/>
            <w:vMerge w:val="restart"/>
            <w:shd w:val="clear" w:color="auto" w:fill="D9D9D9"/>
            <w:vAlign w:val="center"/>
          </w:tcPr>
          <w:p w14:paraId="34A6529A" w14:textId="77777777" w:rsidR="00F44E48" w:rsidRPr="00360589" w:rsidRDefault="00F44E48" w:rsidP="00313560">
            <w:pPr>
              <w:pStyle w:val="BodyText"/>
              <w:keepNext/>
              <w:jc w:val="left"/>
              <w:rPr>
                <w:rFonts w:cs="Arial"/>
                <w:iCs/>
                <w:snapToGrid w:val="0"/>
              </w:rPr>
            </w:pPr>
            <w:r>
              <w:t>*</w:t>
            </w:r>
          </w:p>
        </w:tc>
      </w:tr>
      <w:tr w:rsidR="00F44E48" w:rsidRPr="00360589" w14:paraId="42516B5B" w14:textId="77777777" w:rsidTr="00313560">
        <w:trPr>
          <w:cantSplit/>
          <w:trHeight w:hRule="exact" w:val="791"/>
          <w:jc w:val="center"/>
        </w:trPr>
        <w:tc>
          <w:tcPr>
            <w:tcW w:w="2894" w:type="dxa"/>
            <w:vMerge/>
            <w:shd w:val="clear" w:color="auto" w:fill="D9D9D9"/>
            <w:vAlign w:val="center"/>
          </w:tcPr>
          <w:p w14:paraId="1C300410"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7918A650" w14:textId="7B15D240"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43</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35</w:t>
            </w:r>
          </w:p>
        </w:tc>
        <w:tc>
          <w:tcPr>
            <w:tcW w:w="2807" w:type="dxa"/>
            <w:shd w:val="clear" w:color="auto" w:fill="D9D9D9"/>
            <w:vAlign w:val="center"/>
          </w:tcPr>
          <w:p w14:paraId="41B1365C" w14:textId="3AEEB0A1"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AU, CA, KR, JP, MX, NZ, QZ y ZA)</w:t>
            </w:r>
          </w:p>
        </w:tc>
        <w:tc>
          <w:tcPr>
            <w:tcW w:w="736" w:type="dxa"/>
            <w:vMerge/>
            <w:shd w:val="clear" w:color="auto" w:fill="D9D9D9"/>
            <w:vAlign w:val="center"/>
          </w:tcPr>
          <w:p w14:paraId="467F4575" w14:textId="77777777" w:rsidR="00F44E48" w:rsidRPr="00360589" w:rsidRDefault="00F44E48" w:rsidP="00313560">
            <w:pPr>
              <w:keepNext/>
              <w:jc w:val="left"/>
              <w:rPr>
                <w:rFonts w:cs="Arial"/>
                <w:iCs/>
              </w:rPr>
            </w:pPr>
          </w:p>
        </w:tc>
        <w:tc>
          <w:tcPr>
            <w:tcW w:w="993" w:type="dxa"/>
            <w:vMerge/>
            <w:shd w:val="clear" w:color="auto" w:fill="D9D9D9"/>
            <w:vAlign w:val="center"/>
          </w:tcPr>
          <w:p w14:paraId="1B9871C6" w14:textId="77777777" w:rsidR="00F44E48" w:rsidRPr="00360589" w:rsidRDefault="00F44E48" w:rsidP="00313560">
            <w:pPr>
              <w:pStyle w:val="BodyText"/>
              <w:keepNext/>
              <w:jc w:val="left"/>
              <w:rPr>
                <w:rFonts w:cs="Arial"/>
                <w:iCs/>
                <w:snapToGrid w:val="0"/>
              </w:rPr>
            </w:pPr>
          </w:p>
        </w:tc>
      </w:tr>
    </w:tbl>
    <w:p w14:paraId="48906543" w14:textId="77777777" w:rsidR="00F44E48" w:rsidRPr="00360589" w:rsidRDefault="00F44E48" w:rsidP="00F44E48">
      <w:pPr>
        <w:keepNext/>
        <w:rPr>
          <w:rFonts w:eastAsia="Arial" w:cs="Arial"/>
          <w:color w:val="000000"/>
          <w:u w:val="single"/>
        </w:rPr>
      </w:pPr>
    </w:p>
    <w:p w14:paraId="6689A80F" w14:textId="77777777" w:rsidR="00F44E48" w:rsidRPr="00360589" w:rsidRDefault="00F44E48" w:rsidP="00F44E48">
      <w:pPr>
        <w:ind w:firstLine="567"/>
        <w:rPr>
          <w:rFonts w:cs="Arial"/>
          <w:snapToGrid w:val="0"/>
        </w:rPr>
      </w:pPr>
      <w:r>
        <w:t>En su reunión celebrada en Ginebra en octubre de 2019, el TC-EDC examinó el documento </w:t>
      </w:r>
      <w:r>
        <w:rPr>
          <w:caps/>
        </w:rPr>
        <w:t>TG/29/8(</w:t>
      </w:r>
      <w:r>
        <w:t>proj</w:t>
      </w:r>
      <w:r>
        <w:rPr>
          <w:caps/>
        </w:rPr>
        <w:t>.4)</w:t>
      </w:r>
      <w:r>
        <w:t xml:space="preserve"> y formuló las recomendaciones expuestas en el cuadro siguiente:</w:t>
      </w:r>
    </w:p>
    <w:p w14:paraId="4A0136CB"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44C09C3D"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2B9FE071" w14:textId="77777777" w:rsidR="00F44E48" w:rsidRPr="00360589" w:rsidRDefault="00F44E48" w:rsidP="00313560">
            <w:pPr>
              <w:rPr>
                <w:rFonts w:cs="Arial"/>
              </w:rPr>
            </w:pPr>
            <w:r>
              <w:t>Car.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2F720899" w14:textId="77777777" w:rsidR="00F44E48" w:rsidRPr="00360589" w:rsidRDefault="00F44E48" w:rsidP="00313560">
            <w:pPr>
              <w:rPr>
                <w:rFonts w:cs="Arial"/>
              </w:rPr>
            </w:pPr>
            <w:r>
              <w:t xml:space="preserve">colocarlo después del carácter 9 </w:t>
            </w:r>
          </w:p>
        </w:tc>
      </w:tr>
      <w:tr w:rsidR="00F44E48" w:rsidRPr="00360589" w14:paraId="10B0D4CE"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2C36B504" w14:textId="77777777" w:rsidR="00F44E48" w:rsidRPr="00360589" w:rsidRDefault="00F44E48" w:rsidP="00313560">
            <w:pPr>
              <w:rPr>
                <w:rFonts w:cs="Arial"/>
              </w:rPr>
            </w:pPr>
            <w:r>
              <w:t>Car.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9CB20A9" w14:textId="77777777" w:rsidR="00F44E48" w:rsidRPr="00360589" w:rsidRDefault="00F44E48" w:rsidP="00313560">
            <w:pPr>
              <w:rPr>
                <w:rFonts w:cs="Arial"/>
              </w:rPr>
            </w:pPr>
            <w:r>
              <w:t>el texto ha de ser: “</w:t>
            </w:r>
            <w:r>
              <w:rPr>
                <w:i/>
              </w:rPr>
              <w:t>Umbel: length of rays</w:t>
            </w:r>
            <w:r>
              <w:t>” (Umbela: longitud de los radios) en la versión en inglés</w:t>
            </w:r>
          </w:p>
        </w:tc>
      </w:tr>
      <w:tr w:rsidR="00F44E48" w:rsidRPr="00360589" w14:paraId="0F87C268"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AE09B68" w14:textId="77777777" w:rsidR="00F44E48" w:rsidRPr="00360589" w:rsidRDefault="00F44E48" w:rsidP="00313560">
            <w:pPr>
              <w:rPr>
                <w:rFonts w:cs="Arial"/>
              </w:rPr>
            </w:pPr>
            <w:r>
              <w:t>Car. 16</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5B6C3F1" w14:textId="77777777" w:rsidR="00F44E48" w:rsidRPr="00360589" w:rsidRDefault="00F44E48" w:rsidP="00313560">
            <w:pPr>
              <w:rPr>
                <w:rFonts w:cs="Arial"/>
              </w:rPr>
            </w:pPr>
            <w:r>
              <w:t>el texto ha de ser “Flor: relación longitud/anchura en vista frontal”</w:t>
            </w:r>
          </w:p>
        </w:tc>
      </w:tr>
      <w:tr w:rsidR="00F44E48" w:rsidRPr="00360589" w14:paraId="79CC431C"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639B8B1" w14:textId="77777777" w:rsidR="00F44E48" w:rsidRPr="00360589" w:rsidRDefault="00F44E48" w:rsidP="00313560">
            <w:pPr>
              <w:rPr>
                <w:rFonts w:cs="Arial"/>
              </w:rPr>
            </w:pPr>
            <w:r>
              <w:t xml:space="preserve">Car. 17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F6F3EE2" w14:textId="77777777" w:rsidR="00F44E48" w:rsidRPr="00360589" w:rsidRDefault="00F44E48" w:rsidP="00313560">
            <w:pPr>
              <w:rPr>
                <w:rFonts w:cs="Arial"/>
              </w:rPr>
            </w:pPr>
            <w:r>
              <w:t>el texto ha de ser “Flor: longitud en vista lateral”</w:t>
            </w:r>
          </w:p>
        </w:tc>
      </w:tr>
      <w:tr w:rsidR="00F44E48" w:rsidRPr="00360589" w14:paraId="433F4DCE"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2C376F4D" w14:textId="77777777" w:rsidR="00F44E48" w:rsidRPr="00360589" w:rsidRDefault="00F44E48" w:rsidP="00313560">
            <w:pPr>
              <w:rPr>
                <w:rFonts w:cs="Arial"/>
              </w:rPr>
            </w:pPr>
            <w:r>
              <w:t>Car. 21</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5B5A6A0" w14:textId="77777777" w:rsidR="00F44E48" w:rsidRPr="00360589" w:rsidRDefault="00F44E48" w:rsidP="00313560">
            <w:pPr>
              <w:rPr>
                <w:rFonts w:cs="Arial"/>
              </w:rPr>
            </w:pPr>
            <w:r>
              <w:t>- el texto ha de ser “Tépalo externo: zona verde del lado exterior”</w:t>
            </w:r>
          </w:p>
          <w:p w14:paraId="04C6372C" w14:textId="77777777" w:rsidR="00F44E48" w:rsidRPr="00360589" w:rsidRDefault="00F44E48" w:rsidP="00313560">
            <w:pPr>
              <w:rPr>
                <w:rFonts w:cs="Arial"/>
              </w:rPr>
            </w:pPr>
            <w:r>
              <w:t>- añadir el nivel 5 “muy grande”</w:t>
            </w:r>
          </w:p>
        </w:tc>
      </w:tr>
      <w:tr w:rsidR="00F44E48" w:rsidRPr="00360589" w14:paraId="73EE7FD9"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E98A1DD" w14:textId="77777777" w:rsidR="00F44E48" w:rsidRPr="00360589" w:rsidRDefault="00F44E48" w:rsidP="00313560">
            <w:pPr>
              <w:rPr>
                <w:rFonts w:cs="Arial"/>
              </w:rPr>
            </w:pPr>
            <w:r>
              <w:t>Car. 29 al 38</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708686CE" w14:textId="77777777" w:rsidR="00F44E48" w:rsidRPr="00360589" w:rsidRDefault="00F44E48" w:rsidP="00313560">
            <w:pPr>
              <w:rPr>
                <w:rFonts w:cs="Arial"/>
              </w:rPr>
            </w:pPr>
            <w:r>
              <w:t>suprimir “lado interior” y añadir esta información en una nueva explicación en el capítulo 8.1</w:t>
            </w:r>
          </w:p>
        </w:tc>
      </w:tr>
      <w:tr w:rsidR="00F44E48" w:rsidRPr="00360589" w14:paraId="5915F2DE" w14:textId="77777777" w:rsidTr="00313560">
        <w:trPr>
          <w:cantSplit/>
        </w:trPr>
        <w:tc>
          <w:tcPr>
            <w:tcW w:w="1573" w:type="dxa"/>
          </w:tcPr>
          <w:p w14:paraId="1FABA125" w14:textId="77777777" w:rsidR="00F44E48" w:rsidRPr="00360589" w:rsidRDefault="00F44E48" w:rsidP="00313560">
            <w:pPr>
              <w:jc w:val="left"/>
              <w:rPr>
                <w:rFonts w:cs="Arial"/>
              </w:rPr>
            </w:pPr>
            <w:r>
              <w:t>Car. 41</w:t>
            </w:r>
          </w:p>
        </w:tc>
        <w:tc>
          <w:tcPr>
            <w:tcW w:w="8208" w:type="dxa"/>
          </w:tcPr>
          <w:p w14:paraId="1651BEEB" w14:textId="77777777" w:rsidR="00F44E48" w:rsidRPr="00360589" w:rsidRDefault="00F44E48" w:rsidP="00313560">
            <w:pPr>
              <w:keepNext/>
              <w:rPr>
                <w:rFonts w:cs="Arial"/>
              </w:rPr>
            </w:pPr>
            <w:r>
              <w:t>el texto ha de ser: “Filamento; número de manchas”</w:t>
            </w:r>
          </w:p>
        </w:tc>
      </w:tr>
      <w:tr w:rsidR="00F44E48" w:rsidRPr="00360589" w14:paraId="3FABED50" w14:textId="77777777" w:rsidTr="00313560">
        <w:trPr>
          <w:cantSplit/>
        </w:trPr>
        <w:tc>
          <w:tcPr>
            <w:tcW w:w="1573" w:type="dxa"/>
          </w:tcPr>
          <w:p w14:paraId="3A132303" w14:textId="77777777" w:rsidR="00F44E48" w:rsidRPr="00360589" w:rsidRDefault="00F44E48" w:rsidP="00313560">
            <w:pPr>
              <w:jc w:val="left"/>
              <w:rPr>
                <w:rFonts w:cs="Arial"/>
              </w:rPr>
            </w:pPr>
            <w:r>
              <w:t>Car. 41</w:t>
            </w:r>
          </w:p>
        </w:tc>
        <w:tc>
          <w:tcPr>
            <w:tcW w:w="8208" w:type="dxa"/>
          </w:tcPr>
          <w:p w14:paraId="0B33074E" w14:textId="77777777" w:rsidR="00F44E48" w:rsidRPr="00360589" w:rsidRDefault="00F44E48" w:rsidP="00313560">
            <w:pPr>
              <w:keepNext/>
              <w:rPr>
                <w:rFonts w:cs="Arial"/>
              </w:rPr>
            </w:pPr>
            <w:r>
              <w:t>suprimir (+)</w:t>
            </w:r>
          </w:p>
        </w:tc>
      </w:tr>
      <w:tr w:rsidR="00F44E48" w:rsidRPr="00360589" w14:paraId="3A95219C"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41BBF5D2" w14:textId="77777777" w:rsidR="00F44E48" w:rsidRPr="00360589" w:rsidRDefault="00F44E48" w:rsidP="00313560">
            <w:pPr>
              <w:rPr>
                <w:rFonts w:cs="Arial"/>
              </w:rPr>
            </w:pPr>
            <w:r>
              <w:t>8.1 (a)</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2D2585F" w14:textId="77777777" w:rsidR="00F44E48" w:rsidRPr="00360589" w:rsidRDefault="00F44E48" w:rsidP="00313560">
            <w:pPr>
              <w:rPr>
                <w:rFonts w:cs="Arial"/>
              </w:rPr>
            </w:pPr>
            <w:r>
              <w:t>el texto ha de ser: “Las observaciones deberán efectuarse en el primer tallo completamente desarrollado, cuando se hayan abierto el 50% de las flores.”</w:t>
            </w:r>
          </w:p>
        </w:tc>
      </w:tr>
      <w:tr w:rsidR="00F44E48" w:rsidRPr="00360589" w14:paraId="4A175778"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06372322" w14:textId="77777777" w:rsidR="00F44E48" w:rsidRPr="00360589" w:rsidRDefault="00F44E48" w:rsidP="00313560">
            <w:pPr>
              <w:rPr>
                <w:rFonts w:cs="Arial"/>
              </w:rPr>
            </w:pPr>
            <w:r>
              <w:t>8.1 (b)</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0C4B9171" w14:textId="77777777" w:rsidR="00F44E48" w:rsidRPr="00360589" w:rsidRDefault="00F44E48" w:rsidP="00313560">
            <w:pPr>
              <w:rPr>
                <w:rFonts w:cs="Arial"/>
              </w:rPr>
            </w:pPr>
            <w:r>
              <w:t>el texto debe ser: “Las observaciones deberán realizarse en hojas tomadas del tercio central del tallo.”</w:t>
            </w:r>
          </w:p>
        </w:tc>
      </w:tr>
      <w:tr w:rsidR="00F44E48" w:rsidRPr="00360589" w14:paraId="3CA176CE"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C837201" w14:textId="77777777" w:rsidR="00F44E48" w:rsidRPr="00360589" w:rsidRDefault="00F44E48" w:rsidP="00313560">
            <w:pPr>
              <w:rPr>
                <w:rFonts w:cs="Arial"/>
              </w:rPr>
            </w:pPr>
            <w:r>
              <w:t>8.1 (c)</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9B98147" w14:textId="77777777" w:rsidR="00F44E48" w:rsidRPr="00360589" w:rsidRDefault="00F44E48" w:rsidP="00313560">
            <w:pPr>
              <w:rPr>
                <w:rFonts w:cs="Arial"/>
              </w:rPr>
            </w:pPr>
            <w:r>
              <w:t>el texto ha de ser: “Las observaciones deberán efectuarse en el momento de la dehiscencia de la primera antera de cada flor.”</w:t>
            </w:r>
          </w:p>
        </w:tc>
      </w:tr>
      <w:tr w:rsidR="00F44E48" w:rsidRPr="00360589" w14:paraId="37BE5D01"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95799E6" w14:textId="77777777" w:rsidR="00F44E48" w:rsidRPr="00360589" w:rsidRDefault="00F44E48" w:rsidP="00313560">
            <w:pPr>
              <w:rPr>
                <w:rFonts w:cs="Arial"/>
              </w:rPr>
            </w:pPr>
            <w:r>
              <w:t>Ad.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0B7D6F5" w14:textId="77777777" w:rsidR="00F44E48" w:rsidRPr="00360589" w:rsidRDefault="00F44E48" w:rsidP="00313560">
            <w:pPr>
              <w:rPr>
                <w:rFonts w:cs="Arial"/>
              </w:rPr>
            </w:pPr>
            <w:r>
              <w:t>"El grosor se deberá determinar en el tercio central del tallo."</w:t>
            </w:r>
          </w:p>
        </w:tc>
      </w:tr>
      <w:tr w:rsidR="00F44E48" w:rsidRPr="00360589" w14:paraId="1CC0F84B"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D02CDB3" w14:textId="77777777" w:rsidR="00F44E48" w:rsidRPr="00360589" w:rsidRDefault="00F44E48" w:rsidP="00313560">
            <w:pPr>
              <w:rPr>
                <w:rFonts w:cs="Arial"/>
              </w:rPr>
            </w:pPr>
            <w:r>
              <w:t>Ad.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0F9A19CE" w14:textId="77777777" w:rsidR="00F44E48" w:rsidRPr="00360589" w:rsidRDefault="00F44E48" w:rsidP="00313560">
            <w:pPr>
              <w:rPr>
                <w:rFonts w:cs="Arial"/>
              </w:rPr>
            </w:pPr>
            <w:r>
              <w:t>- el texto ha de ser “Se deberá observar el haz la hoja. La estría de color grisáceo del nervio central no se considera variegación.”</w:t>
            </w:r>
          </w:p>
          <w:p w14:paraId="25DCBC25" w14:textId="77777777" w:rsidR="00F44E48" w:rsidRPr="00360589" w:rsidRDefault="00F44E48" w:rsidP="00313560">
            <w:pPr>
              <w:rPr>
                <w:rFonts w:cs="Arial"/>
              </w:rPr>
            </w:pPr>
            <w:r>
              <w:t>- el texto de la indicación “a” de la fotografía superior ha de ser “haz”</w:t>
            </w:r>
          </w:p>
          <w:p w14:paraId="202A95C9" w14:textId="77777777" w:rsidR="00F44E48" w:rsidRPr="00360589" w:rsidRDefault="00F44E48" w:rsidP="00313560">
            <w:pPr>
              <w:rPr>
                <w:rFonts w:cs="Arial"/>
              </w:rPr>
            </w:pPr>
            <w:r>
              <w:t>- suprimir la segunda foto del nivel 1 en la que se indica la estría de color grisáceo</w:t>
            </w:r>
          </w:p>
        </w:tc>
      </w:tr>
      <w:tr w:rsidR="00F44E48" w:rsidRPr="00360589" w14:paraId="1CEE420F"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32021888" w14:textId="77777777" w:rsidR="00F44E48" w:rsidRPr="00360589" w:rsidRDefault="00F44E48" w:rsidP="00313560">
            <w:pPr>
              <w:rPr>
                <w:rFonts w:cs="Arial"/>
              </w:rPr>
            </w:pPr>
            <w:r>
              <w:t>Ad.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1573F798" w14:textId="77777777" w:rsidR="00F44E48" w:rsidRPr="00360589" w:rsidDel="00901081" w:rsidRDefault="00F44E48" w:rsidP="00313560">
            <w:pPr>
              <w:rPr>
                <w:rFonts w:cs="Arial"/>
              </w:rPr>
            </w:pPr>
            <w:r>
              <w:t>reemplazar la actual foto del nivel 9 por la foto con la indicación de la estría de color grisáceo del Ad. 8</w:t>
            </w:r>
          </w:p>
        </w:tc>
      </w:tr>
      <w:tr w:rsidR="00F44E48" w:rsidRPr="00360589" w14:paraId="3AAD09AF"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B6909FE" w14:textId="77777777" w:rsidR="00F44E48" w:rsidRPr="00360589" w:rsidRDefault="00F44E48" w:rsidP="00313560">
            <w:pPr>
              <w:rPr>
                <w:rFonts w:cs="Arial"/>
              </w:rPr>
            </w:pPr>
            <w:r>
              <w:lastRenderedPageBreak/>
              <w:t>Ad.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07B15F98" w14:textId="77777777" w:rsidR="00F44E48" w:rsidRPr="00360589" w:rsidRDefault="00F44E48" w:rsidP="00313560">
            <w:pPr>
              <w:rPr>
                <w:rFonts w:eastAsia="Arial" w:cs="Arial"/>
                <w:color w:val="000000"/>
              </w:rPr>
            </w:pPr>
            <w:r>
              <w:rPr>
                <w:color w:val="000000"/>
              </w:rPr>
              <w:t>añadir “Las observaciones se efectuarán desde el punto de inserción hasta la base del botón floral superior.”</w:t>
            </w:r>
          </w:p>
        </w:tc>
      </w:tr>
      <w:tr w:rsidR="00F44E48" w:rsidRPr="00360589" w14:paraId="23296085"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B5952A5" w14:textId="77777777" w:rsidR="00F44E48" w:rsidRPr="00360589" w:rsidRDefault="00F44E48" w:rsidP="00313560">
            <w:pPr>
              <w:rPr>
                <w:rFonts w:cs="Arial"/>
              </w:rPr>
            </w:pPr>
            <w:r>
              <w:t>Ad. 14 y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CC45623" w14:textId="77777777" w:rsidR="00F44E48" w:rsidRPr="00360589" w:rsidRDefault="00F44E48" w:rsidP="00313560">
            <w:pPr>
              <w:rPr>
                <w:rFonts w:eastAsia="Arial" w:cs="Arial"/>
                <w:color w:val="000000"/>
              </w:rPr>
            </w:pPr>
            <w:r>
              <w:rPr>
                <w:color w:val="000000"/>
              </w:rPr>
              <w:t xml:space="preserve">utilizar una sola ilustración en la que se indique la longitud y la anchura </w:t>
            </w:r>
          </w:p>
        </w:tc>
      </w:tr>
      <w:tr w:rsidR="00F44E48" w:rsidRPr="00360589" w14:paraId="074A8758"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0568A610" w14:textId="77777777" w:rsidR="00F44E48" w:rsidRPr="00360589" w:rsidRDefault="00F44E48" w:rsidP="00313560">
            <w:pPr>
              <w:rPr>
                <w:rFonts w:cs="Arial"/>
              </w:rPr>
            </w:pPr>
            <w:r>
              <w:t>Ad. 18</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1AB75BD4" w14:textId="77777777" w:rsidR="00F44E48" w:rsidRPr="00360589" w:rsidRDefault="00F44E48" w:rsidP="00313560">
            <w:pPr>
              <w:rPr>
                <w:rFonts w:eastAsia="Arial" w:cs="Arial"/>
                <w:color w:val="000000"/>
              </w:rPr>
            </w:pPr>
            <w:r>
              <w:rPr>
                <w:color w:val="000000"/>
              </w:rPr>
              <w:t>se han de invertir las ilustraciones de los niveles 2 y 4</w:t>
            </w:r>
          </w:p>
        </w:tc>
      </w:tr>
      <w:tr w:rsidR="00F44E48" w:rsidRPr="00360589" w14:paraId="42BDB0A8"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136FEB4" w14:textId="77777777" w:rsidR="00F44E48" w:rsidRPr="00360589" w:rsidRDefault="00F44E48" w:rsidP="00313560">
            <w:pPr>
              <w:rPr>
                <w:rFonts w:cs="Arial"/>
              </w:rPr>
            </w:pPr>
            <w:r>
              <w:t>Ad.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5D62106" w14:textId="77777777" w:rsidR="00F44E48" w:rsidRPr="00360589" w:rsidRDefault="00F44E48" w:rsidP="00313560">
            <w:pPr>
              <w:rPr>
                <w:rFonts w:eastAsia="Arial" w:cs="Arial"/>
                <w:color w:val="000000"/>
              </w:rPr>
            </w:pPr>
            <w:r>
              <w:rPr>
                <w:color w:val="000000"/>
              </w:rPr>
              <w:t>el texto ha de ser “Se observarán las estrías más largas, sin incluir la estría del nervio central.”</w:t>
            </w:r>
          </w:p>
        </w:tc>
      </w:tr>
      <w:tr w:rsidR="00F44E48" w:rsidRPr="00360589" w14:paraId="49BDE9E6"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022EEFD5" w14:textId="77777777" w:rsidR="00F44E48" w:rsidRPr="00360589" w:rsidRDefault="00F44E48" w:rsidP="00313560">
            <w:pPr>
              <w:rPr>
                <w:rFonts w:cs="Arial"/>
              </w:rPr>
            </w:pPr>
            <w:r>
              <w:t>Ad. 35</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DB366D7" w14:textId="77777777" w:rsidR="00F44E48" w:rsidRPr="00360589" w:rsidRDefault="00F44E48" w:rsidP="00313560">
            <w:pPr>
              <w:rPr>
                <w:rFonts w:eastAsia="Arial" w:cs="Arial"/>
                <w:color w:val="000000"/>
              </w:rPr>
            </w:pPr>
            <w:r>
              <w:rPr>
                <w:color w:val="000000"/>
              </w:rPr>
              <w:t>el texto ha de ser “Se observarán las estrías más anchas, sin incluir la estría del nervio central.”</w:t>
            </w:r>
          </w:p>
          <w:p w14:paraId="467D233E" w14:textId="77777777" w:rsidR="00F44E48" w:rsidRPr="00360589" w:rsidRDefault="00F44E48" w:rsidP="00313560">
            <w:pPr>
              <w:rPr>
                <w:rFonts w:eastAsia="Arial" w:cs="Arial"/>
                <w:color w:val="000000"/>
              </w:rPr>
            </w:pPr>
            <w:r>
              <w:rPr>
                <w:color w:val="000000"/>
              </w:rPr>
              <w:t>- todos los tépalos, en todas las fotos, han de tener el mismo tamaño</w:t>
            </w:r>
          </w:p>
        </w:tc>
      </w:tr>
      <w:tr w:rsidR="00F44E48" w:rsidRPr="00360589" w14:paraId="43BEF3C1"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5C2F75F" w14:textId="77777777" w:rsidR="00F44E48" w:rsidRPr="00360589" w:rsidRDefault="00F44E48" w:rsidP="00313560">
            <w:pPr>
              <w:rPr>
                <w:rFonts w:cs="Arial"/>
              </w:rPr>
            </w:pPr>
            <w:r>
              <w:t>Ad. 41</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7398B0AE" w14:textId="77777777" w:rsidR="00F44E48" w:rsidRPr="00360589" w:rsidRDefault="00F44E48" w:rsidP="00313560">
            <w:pPr>
              <w:rPr>
                <w:rFonts w:eastAsia="Arial" w:cs="Arial"/>
                <w:color w:val="000000"/>
              </w:rPr>
            </w:pPr>
            <w:r>
              <w:rPr>
                <w:color w:val="000000"/>
              </w:rPr>
              <w:t>desplazar la ilustración actual del nivel 4 al nivel 5 y suprimir las columnas vacías de los niveles 2 y 4</w:t>
            </w:r>
          </w:p>
        </w:tc>
      </w:tr>
      <w:tr w:rsidR="00F44E48" w:rsidRPr="00360589" w14:paraId="57307613"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0F9A065D" w14:textId="77777777" w:rsidR="00F44E48" w:rsidRPr="00360589" w:rsidRDefault="00F44E48" w:rsidP="00313560">
            <w:pPr>
              <w:rPr>
                <w:rFonts w:cs="Arial"/>
              </w:rPr>
            </w:pPr>
            <w:r>
              <w:t>Ad. 42</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22F2C9B2" w14:textId="77777777" w:rsidR="00F44E48" w:rsidRPr="00360589" w:rsidRDefault="00F44E48" w:rsidP="00313560">
            <w:pPr>
              <w:rPr>
                <w:rFonts w:eastAsia="Arial" w:cs="Arial"/>
                <w:color w:val="000000"/>
              </w:rPr>
            </w:pPr>
            <w:r>
              <w:rPr>
                <w:color w:val="000000"/>
              </w:rPr>
              <w:t>suprimir la foto del nivel 1, suprimir la indicación de los niveles 1 y 9 y añadir la indicación de manchas en la foto del nivel 9</w:t>
            </w:r>
          </w:p>
        </w:tc>
      </w:tr>
    </w:tbl>
    <w:p w14:paraId="792E8A85" w14:textId="77777777" w:rsidR="00F44E48" w:rsidRPr="00360589" w:rsidRDefault="00F44E48" w:rsidP="00F44E48">
      <w:pPr>
        <w:rPr>
          <w:rFonts w:eastAsia="Arial" w:cs="Arial"/>
          <w:color w:val="000000"/>
          <w:u w:val="single"/>
        </w:rPr>
      </w:pPr>
    </w:p>
    <w:p w14:paraId="0985056F"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68BDE147" w14:textId="77777777" w:rsidTr="00313560">
        <w:trPr>
          <w:cantSplit/>
          <w:trHeight w:val="277"/>
          <w:jc w:val="center"/>
        </w:trPr>
        <w:tc>
          <w:tcPr>
            <w:tcW w:w="2894" w:type="dxa"/>
            <w:vMerge w:val="restart"/>
            <w:shd w:val="clear" w:color="auto" w:fill="D9D9D9"/>
            <w:vAlign w:val="center"/>
          </w:tcPr>
          <w:p w14:paraId="4F2E2334" w14:textId="77777777" w:rsidR="00F44E48" w:rsidRPr="00360589" w:rsidRDefault="00F44E48" w:rsidP="00313560">
            <w:pPr>
              <w:pStyle w:val="TitleofDoc"/>
              <w:keepNext/>
              <w:tabs>
                <w:tab w:val="left" w:pos="5245"/>
                <w:tab w:val="left" w:pos="7008"/>
              </w:tabs>
              <w:spacing w:before="0"/>
              <w:jc w:val="left"/>
              <w:rPr>
                <w:rFonts w:cs="Arial"/>
                <w:caps w:val="0"/>
              </w:rPr>
            </w:pPr>
            <w:r>
              <w:t xml:space="preserve">Acelga </w:t>
            </w:r>
            <w:r>
              <w:br/>
              <w:t>(</w:t>
            </w:r>
            <w:r>
              <w:rPr>
                <w:i/>
                <w:caps w:val="0"/>
              </w:rPr>
              <w:t>Beta vulgaris</w:t>
            </w:r>
            <w:r>
              <w:t xml:space="preserve"> L. ssp. </w:t>
            </w:r>
            <w:r>
              <w:rPr>
                <w:i/>
                <w:caps w:val="0"/>
              </w:rPr>
              <w:t>vulgaris</w:t>
            </w:r>
            <w:r>
              <w:t xml:space="preserve"> var. </w:t>
            </w:r>
            <w:r>
              <w:rPr>
                <w:i/>
                <w:caps w:val="0"/>
              </w:rPr>
              <w:t>flavescens</w:t>
            </w:r>
            <w:r>
              <w:t xml:space="preserve"> DC.)</w:t>
            </w:r>
          </w:p>
        </w:tc>
        <w:tc>
          <w:tcPr>
            <w:tcW w:w="2552" w:type="dxa"/>
            <w:shd w:val="clear" w:color="auto" w:fill="D9D9D9"/>
            <w:vAlign w:val="center"/>
          </w:tcPr>
          <w:p w14:paraId="38095E5A" w14:textId="77777777" w:rsidR="00F44E48" w:rsidRPr="00360589" w:rsidRDefault="00F44E48" w:rsidP="00313560">
            <w:pPr>
              <w:pStyle w:val="TitleofDoc"/>
              <w:keepNext/>
              <w:tabs>
                <w:tab w:val="left" w:pos="5245"/>
                <w:tab w:val="left" w:pos="7008"/>
              </w:tabs>
              <w:spacing w:before="0"/>
              <w:jc w:val="left"/>
              <w:rPr>
                <w:rFonts w:cs="Arial"/>
                <w:caps w:val="0"/>
              </w:rPr>
            </w:pPr>
            <w:r>
              <w:t>TG/106/5(proj.4)</w:t>
            </w:r>
          </w:p>
        </w:tc>
        <w:tc>
          <w:tcPr>
            <w:tcW w:w="2807" w:type="dxa"/>
            <w:shd w:val="clear" w:color="auto" w:fill="D9D9D9"/>
            <w:vAlign w:val="center"/>
          </w:tcPr>
          <w:p w14:paraId="5A758214" w14:textId="77777777" w:rsidR="00F44E48" w:rsidRPr="00360589" w:rsidRDefault="00F44E48" w:rsidP="00313560">
            <w:pPr>
              <w:keepNext/>
              <w:jc w:val="left"/>
              <w:rPr>
                <w:rFonts w:cs="Arial"/>
                <w:iCs/>
                <w:snapToGrid w:val="0"/>
                <w:color w:val="000000"/>
              </w:rPr>
            </w:pPr>
            <w:r>
              <w:t>Sra. Chrystelle Jouy (FR)</w:t>
            </w:r>
          </w:p>
        </w:tc>
        <w:tc>
          <w:tcPr>
            <w:tcW w:w="736" w:type="dxa"/>
            <w:vMerge w:val="restart"/>
            <w:shd w:val="clear" w:color="auto" w:fill="D9D9D9"/>
            <w:vAlign w:val="center"/>
          </w:tcPr>
          <w:p w14:paraId="690C1BDE" w14:textId="77777777" w:rsidR="00F44E48" w:rsidRPr="00360589" w:rsidRDefault="00F44E48" w:rsidP="00313560">
            <w:pPr>
              <w:keepNext/>
              <w:jc w:val="left"/>
              <w:rPr>
                <w:rFonts w:cs="Arial"/>
                <w:iCs/>
              </w:rPr>
            </w:pPr>
            <w:r>
              <w:t>TWV</w:t>
            </w:r>
          </w:p>
        </w:tc>
        <w:tc>
          <w:tcPr>
            <w:tcW w:w="993" w:type="dxa"/>
            <w:vMerge w:val="restart"/>
            <w:shd w:val="clear" w:color="auto" w:fill="D9D9D9"/>
            <w:vAlign w:val="center"/>
          </w:tcPr>
          <w:p w14:paraId="1096155A" w14:textId="77777777" w:rsidR="00F44E48" w:rsidRPr="00360589" w:rsidRDefault="00F44E48" w:rsidP="00313560">
            <w:pPr>
              <w:pStyle w:val="BodyText"/>
              <w:keepNext/>
              <w:jc w:val="left"/>
              <w:rPr>
                <w:rFonts w:cs="Arial"/>
                <w:iCs/>
                <w:snapToGrid w:val="0"/>
              </w:rPr>
            </w:pPr>
            <w:r>
              <w:t>*</w:t>
            </w:r>
          </w:p>
        </w:tc>
      </w:tr>
      <w:tr w:rsidR="00F44E48" w:rsidRPr="00963B6C" w14:paraId="3A9996D4" w14:textId="77777777" w:rsidTr="00313560">
        <w:trPr>
          <w:cantSplit/>
          <w:trHeight w:hRule="exact" w:val="791"/>
          <w:jc w:val="center"/>
        </w:trPr>
        <w:tc>
          <w:tcPr>
            <w:tcW w:w="2894" w:type="dxa"/>
            <w:vMerge/>
            <w:shd w:val="clear" w:color="auto" w:fill="D9D9D9"/>
            <w:vAlign w:val="center"/>
          </w:tcPr>
          <w:p w14:paraId="57785ADA"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3F4232EA" w14:textId="5E891A72"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18</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11</w:t>
            </w:r>
          </w:p>
        </w:tc>
        <w:tc>
          <w:tcPr>
            <w:tcW w:w="2807" w:type="dxa"/>
            <w:shd w:val="clear" w:color="auto" w:fill="D9D9D9"/>
            <w:vAlign w:val="center"/>
          </w:tcPr>
          <w:p w14:paraId="69A80D0D" w14:textId="41F0E220"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CZ, DE, ES, GB, JP, KR, NL, QZ, CLI, ESA y ISF)</w:t>
            </w:r>
          </w:p>
        </w:tc>
        <w:tc>
          <w:tcPr>
            <w:tcW w:w="736" w:type="dxa"/>
            <w:vMerge/>
            <w:shd w:val="clear" w:color="auto" w:fill="D9D9D9"/>
            <w:vAlign w:val="center"/>
          </w:tcPr>
          <w:p w14:paraId="6F09A7F4" w14:textId="77777777" w:rsidR="00F44E48" w:rsidRPr="00360589" w:rsidRDefault="00F44E48" w:rsidP="00313560">
            <w:pPr>
              <w:keepNext/>
              <w:jc w:val="left"/>
              <w:rPr>
                <w:rFonts w:cs="Arial"/>
                <w:iCs/>
              </w:rPr>
            </w:pPr>
          </w:p>
        </w:tc>
        <w:tc>
          <w:tcPr>
            <w:tcW w:w="993" w:type="dxa"/>
            <w:vMerge/>
            <w:shd w:val="clear" w:color="auto" w:fill="D9D9D9"/>
            <w:vAlign w:val="center"/>
          </w:tcPr>
          <w:p w14:paraId="607D1B9F" w14:textId="77777777" w:rsidR="00F44E48" w:rsidRPr="00360589" w:rsidRDefault="00F44E48" w:rsidP="00313560">
            <w:pPr>
              <w:pStyle w:val="BodyText"/>
              <w:keepNext/>
              <w:jc w:val="left"/>
              <w:rPr>
                <w:rFonts w:cs="Arial"/>
                <w:iCs/>
                <w:snapToGrid w:val="0"/>
              </w:rPr>
            </w:pPr>
          </w:p>
        </w:tc>
      </w:tr>
    </w:tbl>
    <w:p w14:paraId="313C045B" w14:textId="77777777" w:rsidR="00F44E48" w:rsidRPr="00360589" w:rsidRDefault="00F44E48" w:rsidP="00F44E48">
      <w:pPr>
        <w:keepNext/>
        <w:rPr>
          <w:rFonts w:eastAsia="Arial" w:cs="Arial"/>
          <w:color w:val="000000"/>
          <w:u w:val="single"/>
        </w:rPr>
      </w:pPr>
    </w:p>
    <w:p w14:paraId="667FD985" w14:textId="77777777" w:rsidR="00F44E48" w:rsidRPr="00360589" w:rsidRDefault="00F44E48" w:rsidP="00F44E48">
      <w:pPr>
        <w:ind w:firstLine="567"/>
        <w:rPr>
          <w:rFonts w:cs="Arial"/>
          <w:snapToGrid w:val="0"/>
        </w:rPr>
      </w:pPr>
      <w:r>
        <w:t>En su reunión celebrada en Ginebra en octubre de 2019, el TC-EDC examinó el documento </w:t>
      </w:r>
      <w:r>
        <w:rPr>
          <w:caps/>
        </w:rPr>
        <w:t>TG/106/5(</w:t>
      </w:r>
      <w:r>
        <w:t>proj</w:t>
      </w:r>
      <w:r>
        <w:rPr>
          <w:caps/>
        </w:rPr>
        <w:t>.4)</w:t>
      </w:r>
      <w:r>
        <w:t xml:space="preserve"> y formuló las recomendaciones expuestas en el cuadro siguiente:</w:t>
      </w:r>
    </w:p>
    <w:p w14:paraId="51C8A193"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546E0958" w14:textId="77777777" w:rsidTr="00313560">
        <w:trPr>
          <w:cantSplit/>
        </w:trPr>
        <w:tc>
          <w:tcPr>
            <w:tcW w:w="1573" w:type="dxa"/>
          </w:tcPr>
          <w:p w14:paraId="18EB7193" w14:textId="77777777" w:rsidR="00F44E48" w:rsidRPr="00360589" w:rsidRDefault="00F44E48" w:rsidP="00313560">
            <w:pPr>
              <w:keepNext/>
              <w:jc w:val="left"/>
              <w:rPr>
                <w:rFonts w:cs="Arial"/>
              </w:rPr>
            </w:pPr>
            <w:r>
              <w:t>Portada</w:t>
            </w:r>
          </w:p>
        </w:tc>
        <w:tc>
          <w:tcPr>
            <w:tcW w:w="8208" w:type="dxa"/>
          </w:tcPr>
          <w:p w14:paraId="1B70E0D5" w14:textId="77777777" w:rsidR="00F44E48" w:rsidRPr="00360589" w:rsidRDefault="00F44E48" w:rsidP="00313560">
            <w:pPr>
              <w:keepNext/>
              <w:rPr>
                <w:rFonts w:cs="Arial"/>
              </w:rPr>
            </w:pPr>
            <w:r>
              <w:t>el texto “Otros documentos conexos” debe reemplazarse por “TG/60 Remolacha de mesa”</w:t>
            </w:r>
          </w:p>
        </w:tc>
      </w:tr>
      <w:tr w:rsidR="00F44E48" w:rsidRPr="00360589" w14:paraId="0BAB2A45" w14:textId="77777777" w:rsidTr="00313560">
        <w:trPr>
          <w:cantSplit/>
        </w:trPr>
        <w:tc>
          <w:tcPr>
            <w:tcW w:w="1573" w:type="dxa"/>
          </w:tcPr>
          <w:p w14:paraId="1C695721" w14:textId="77777777" w:rsidR="00F44E48" w:rsidRPr="00360589" w:rsidRDefault="00F44E48" w:rsidP="00313560">
            <w:pPr>
              <w:keepNext/>
              <w:jc w:val="left"/>
              <w:rPr>
                <w:rFonts w:cs="Arial"/>
              </w:rPr>
            </w:pPr>
            <w:r>
              <w:t>2.2</w:t>
            </w:r>
          </w:p>
        </w:tc>
        <w:tc>
          <w:tcPr>
            <w:tcW w:w="8208" w:type="dxa"/>
          </w:tcPr>
          <w:p w14:paraId="10403E85" w14:textId="77777777" w:rsidR="00F44E48" w:rsidRPr="00360589" w:rsidRDefault="00F44E48" w:rsidP="00313560">
            <w:pPr>
              <w:keepNext/>
              <w:rPr>
                <w:rFonts w:cs="Arial"/>
              </w:rPr>
            </w:pPr>
            <w:r>
              <w:rPr>
                <w:color w:val="000000"/>
              </w:rPr>
              <w:t>el texto ha de ser “… en forma de semillas y glomérulos”</w:t>
            </w:r>
          </w:p>
        </w:tc>
      </w:tr>
      <w:tr w:rsidR="00F44E48" w:rsidRPr="00360589" w14:paraId="04C2F143" w14:textId="77777777" w:rsidTr="00313560">
        <w:trPr>
          <w:cantSplit/>
        </w:trPr>
        <w:tc>
          <w:tcPr>
            <w:tcW w:w="1573" w:type="dxa"/>
          </w:tcPr>
          <w:p w14:paraId="40814427" w14:textId="77777777" w:rsidR="00F44E48" w:rsidRPr="00360589" w:rsidRDefault="00F44E48" w:rsidP="00313560">
            <w:pPr>
              <w:jc w:val="left"/>
              <w:rPr>
                <w:rFonts w:cs="Arial"/>
              </w:rPr>
            </w:pPr>
            <w:r>
              <w:t>2.3</w:t>
            </w:r>
          </w:p>
        </w:tc>
        <w:tc>
          <w:tcPr>
            <w:tcW w:w="8208" w:type="dxa"/>
          </w:tcPr>
          <w:p w14:paraId="3A2050A7" w14:textId="77777777" w:rsidR="00F44E48" w:rsidRPr="00360589" w:rsidRDefault="00F44E48" w:rsidP="00313560">
            <w:pPr>
              <w:keepNext/>
              <w:rPr>
                <w:rFonts w:cs="Arial"/>
              </w:rPr>
            </w:pPr>
            <w:r>
              <w:t>el texto ha de ser “100 g de semilla o 6.000 glomérulos”</w:t>
            </w:r>
            <w:r>
              <w:rPr>
                <w:color w:val="000000"/>
              </w:rPr>
              <w:t> </w:t>
            </w:r>
          </w:p>
        </w:tc>
      </w:tr>
      <w:tr w:rsidR="00F44E48" w:rsidRPr="00360589" w14:paraId="2E02A02B" w14:textId="77777777" w:rsidTr="00313560">
        <w:trPr>
          <w:cantSplit/>
        </w:trPr>
        <w:tc>
          <w:tcPr>
            <w:tcW w:w="1573" w:type="dxa"/>
          </w:tcPr>
          <w:p w14:paraId="45AE3B9B" w14:textId="77777777" w:rsidR="00F44E48" w:rsidRPr="00360589" w:rsidRDefault="00F44E48" w:rsidP="00313560">
            <w:pPr>
              <w:keepNext/>
              <w:rPr>
                <w:rFonts w:eastAsia="Arial" w:cs="Arial"/>
                <w:color w:val="000000"/>
              </w:rPr>
            </w:pPr>
            <w:r>
              <w:rPr>
                <w:color w:val="000000"/>
              </w:rPr>
              <w:t>4.2.4</w:t>
            </w:r>
          </w:p>
        </w:tc>
        <w:tc>
          <w:tcPr>
            <w:tcW w:w="8208" w:type="dxa"/>
          </w:tcPr>
          <w:p w14:paraId="48317FDA" w14:textId="77777777" w:rsidR="00F44E48" w:rsidRPr="00360589" w:rsidRDefault="00F44E48" w:rsidP="00313560">
            <w:pPr>
              <w:keepNext/>
              <w:rPr>
                <w:rFonts w:eastAsia="Arial" w:cs="Arial"/>
                <w:color w:val="000000"/>
              </w:rPr>
            </w:pPr>
            <w:r>
              <w:rPr>
                <w:color w:val="000000"/>
              </w:rPr>
              <w:t>debe suprimirse</w:t>
            </w:r>
          </w:p>
        </w:tc>
      </w:tr>
      <w:tr w:rsidR="00F44E48" w:rsidRPr="00360589" w14:paraId="609FA67C" w14:textId="77777777" w:rsidTr="00313560">
        <w:trPr>
          <w:cantSplit/>
        </w:trPr>
        <w:tc>
          <w:tcPr>
            <w:tcW w:w="1573" w:type="dxa"/>
          </w:tcPr>
          <w:p w14:paraId="35C76086" w14:textId="77777777" w:rsidR="00F44E48" w:rsidRPr="00360589" w:rsidRDefault="00F44E48" w:rsidP="00313560">
            <w:pPr>
              <w:jc w:val="left"/>
              <w:rPr>
                <w:rFonts w:cs="Arial"/>
              </w:rPr>
            </w:pPr>
            <w:r>
              <w:t>Car. 8</w:t>
            </w:r>
          </w:p>
        </w:tc>
        <w:tc>
          <w:tcPr>
            <w:tcW w:w="8208" w:type="dxa"/>
          </w:tcPr>
          <w:p w14:paraId="3CCEB26C" w14:textId="77777777" w:rsidR="00F44E48" w:rsidRPr="00360589" w:rsidRDefault="00F44E48" w:rsidP="00313560">
            <w:pPr>
              <w:keepNext/>
              <w:rPr>
                <w:rFonts w:cs="Arial"/>
              </w:rPr>
            </w:pPr>
            <w:r>
              <w:t>el texto debe ser “</w:t>
            </w:r>
            <w:r>
              <w:rPr>
                <w:u w:val="single"/>
              </w:rPr>
              <w:t>Solo variedades con Limbo: color: verde</w:t>
            </w:r>
            <w:r>
              <w:t>: Limbo: intensidad del color superficial púrpura”</w:t>
            </w:r>
          </w:p>
        </w:tc>
      </w:tr>
      <w:tr w:rsidR="00F44E48" w:rsidRPr="00360589" w14:paraId="4FC6F0E8" w14:textId="77777777" w:rsidTr="00313560">
        <w:trPr>
          <w:cantSplit/>
        </w:trPr>
        <w:tc>
          <w:tcPr>
            <w:tcW w:w="1573" w:type="dxa"/>
          </w:tcPr>
          <w:p w14:paraId="67C2C74C" w14:textId="77777777" w:rsidR="00F44E48" w:rsidRPr="00360589" w:rsidRDefault="00F44E48" w:rsidP="00313560">
            <w:pPr>
              <w:jc w:val="left"/>
              <w:rPr>
                <w:rFonts w:cs="Arial"/>
              </w:rPr>
            </w:pPr>
            <w:r>
              <w:t>Car. 10</w:t>
            </w:r>
          </w:p>
        </w:tc>
        <w:tc>
          <w:tcPr>
            <w:tcW w:w="8208" w:type="dxa"/>
          </w:tcPr>
          <w:p w14:paraId="3664B029" w14:textId="77777777" w:rsidR="00F44E48" w:rsidRPr="00360589" w:rsidRDefault="00F44E48" w:rsidP="00313560">
            <w:pPr>
              <w:keepNext/>
              <w:rPr>
                <w:rFonts w:cs="Arial"/>
              </w:rPr>
            </w:pPr>
            <w:r>
              <w:t>el texto debe ser “</w:t>
            </w:r>
            <w:r>
              <w:rPr>
                <w:i/>
              </w:rPr>
              <w:t>Leaf blade: recurving of the margin</w:t>
            </w:r>
            <w:r>
              <w:t>” (Limbo: curvatura del borde) en la versión en inglés</w:t>
            </w:r>
          </w:p>
        </w:tc>
      </w:tr>
      <w:tr w:rsidR="00F44E48" w:rsidRPr="00360589" w14:paraId="442BDB27"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E14D038" w14:textId="77777777" w:rsidR="00F44E48" w:rsidRPr="00360589" w:rsidRDefault="00F44E48" w:rsidP="00313560">
            <w:pPr>
              <w:rPr>
                <w:rFonts w:cs="Arial"/>
              </w:rPr>
            </w:pPr>
            <w:r>
              <w:t>Car.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1F84C951" w14:textId="77777777" w:rsidR="00F44E48" w:rsidRPr="00360589" w:rsidRDefault="00F44E48" w:rsidP="00313560">
            <w:pPr>
              <w:rPr>
                <w:rFonts w:cs="Arial"/>
              </w:rPr>
            </w:pPr>
            <w:r>
              <w:t>el texto debe ser “Pecíolo: curvatura en sección transversal”</w:t>
            </w:r>
          </w:p>
        </w:tc>
      </w:tr>
      <w:tr w:rsidR="00F44E48" w:rsidRPr="00360589" w14:paraId="613EDD15" w14:textId="77777777"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61833FE2" w14:textId="77777777" w:rsidR="00F44E48" w:rsidRPr="00360589" w:rsidRDefault="00F44E48" w:rsidP="00313560">
            <w:pPr>
              <w:rPr>
                <w:rFonts w:cs="Arial"/>
              </w:rPr>
            </w:pPr>
            <w:r>
              <w:t>Ad. 1</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03369D58" w14:textId="77777777" w:rsidR="00F44E48" w:rsidRPr="00360589" w:rsidRDefault="00F44E48" w:rsidP="00313560">
            <w:pPr>
              <w:rPr>
                <w:rFonts w:cs="Arial"/>
              </w:rPr>
            </w:pPr>
            <w:r>
              <w:t>el texto ha de ser “Las observaciones deberán efectuarse tras la aparición de la segunda hoja verdadera.”</w:t>
            </w:r>
          </w:p>
        </w:tc>
      </w:tr>
      <w:tr w:rsidR="00F44E48" w:rsidRPr="00360589" w14:paraId="7E6D288E" w14:textId="77777777" w:rsidTr="00313560">
        <w:trPr>
          <w:cantSplit/>
        </w:trPr>
        <w:tc>
          <w:tcPr>
            <w:tcW w:w="1573" w:type="dxa"/>
          </w:tcPr>
          <w:p w14:paraId="43B45D9A" w14:textId="77777777" w:rsidR="00F44E48" w:rsidRPr="00360589" w:rsidRDefault="00F44E48" w:rsidP="00313560">
            <w:pPr>
              <w:jc w:val="left"/>
              <w:rPr>
                <w:rFonts w:cs="Arial"/>
              </w:rPr>
            </w:pPr>
            <w:r>
              <w:t>Ad. 8</w:t>
            </w:r>
          </w:p>
        </w:tc>
        <w:tc>
          <w:tcPr>
            <w:tcW w:w="8208" w:type="dxa"/>
          </w:tcPr>
          <w:p w14:paraId="7977A7CC" w14:textId="77777777" w:rsidR="00F44E48" w:rsidRPr="00360589" w:rsidRDefault="00F44E48" w:rsidP="00313560">
            <w:pPr>
              <w:rPr>
                <w:rFonts w:cs="Arial"/>
              </w:rPr>
            </w:pPr>
            <w:r>
              <w:t>reemplazar el texto actual por “El color superficial púrpura se desarrolla a modo de pátina con el tiempo.”</w:t>
            </w:r>
          </w:p>
        </w:tc>
      </w:tr>
      <w:tr w:rsidR="00F44E48" w:rsidRPr="00360589" w14:paraId="3A22D9A6" w14:textId="77777777" w:rsidTr="00313560">
        <w:trPr>
          <w:cantSplit/>
        </w:trPr>
        <w:tc>
          <w:tcPr>
            <w:tcW w:w="1573" w:type="dxa"/>
          </w:tcPr>
          <w:p w14:paraId="3CB9BBB5" w14:textId="77777777" w:rsidR="00F44E48" w:rsidRPr="00360589" w:rsidRDefault="00F44E48" w:rsidP="00313560">
            <w:pPr>
              <w:rPr>
                <w:rFonts w:cs="Arial"/>
              </w:rPr>
            </w:pPr>
            <w:r>
              <w:t>TQ 4.1.1</w:t>
            </w:r>
          </w:p>
        </w:tc>
        <w:tc>
          <w:tcPr>
            <w:tcW w:w="8208" w:type="dxa"/>
          </w:tcPr>
          <w:p w14:paraId="3C62ECCA" w14:textId="77777777" w:rsidR="00F44E48" w:rsidRPr="00360589" w:rsidRDefault="00F44E48" w:rsidP="00313560">
            <w:pPr>
              <w:rPr>
                <w:rFonts w:cs="Arial"/>
              </w:rPr>
            </w:pPr>
            <w:r>
              <w:t>suprimir “(sírvase mencionar la variedad o variedades parentales conocidas)” de “cruzamiento parcialmente desconocido”</w:t>
            </w:r>
          </w:p>
        </w:tc>
      </w:tr>
    </w:tbl>
    <w:p w14:paraId="66048E18" w14:textId="77777777" w:rsidR="00F44E48" w:rsidRPr="00360589" w:rsidRDefault="00F44E48" w:rsidP="00F44E48">
      <w:pPr>
        <w:rPr>
          <w:rFonts w:eastAsia="Arial" w:cs="Arial"/>
          <w:color w:val="000000"/>
          <w:u w:val="single"/>
        </w:rPr>
      </w:pPr>
    </w:p>
    <w:p w14:paraId="57CC11EC"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73674B68" w14:textId="77777777" w:rsidTr="00313560">
        <w:trPr>
          <w:cantSplit/>
          <w:trHeight w:val="277"/>
          <w:jc w:val="center"/>
        </w:trPr>
        <w:tc>
          <w:tcPr>
            <w:tcW w:w="2894" w:type="dxa"/>
            <w:vMerge w:val="restart"/>
            <w:shd w:val="clear" w:color="auto" w:fill="D9D9D9"/>
            <w:vAlign w:val="center"/>
          </w:tcPr>
          <w:p w14:paraId="4AD87774" w14:textId="77777777" w:rsidR="00F44E48" w:rsidRPr="00360589" w:rsidRDefault="00F44E48" w:rsidP="00313560">
            <w:pPr>
              <w:pStyle w:val="TitleofDoc"/>
              <w:keepNext/>
              <w:tabs>
                <w:tab w:val="left" w:pos="5245"/>
                <w:tab w:val="left" w:pos="7008"/>
              </w:tabs>
              <w:spacing w:before="0"/>
              <w:jc w:val="left"/>
              <w:rPr>
                <w:rFonts w:cs="Arial"/>
                <w:caps w:val="0"/>
              </w:rPr>
            </w:pPr>
            <w:r>
              <w:t xml:space="preserve">Anigozanthos </w:t>
            </w:r>
            <w:r>
              <w:br/>
              <w:t>(</w:t>
            </w:r>
            <w:r>
              <w:rPr>
                <w:i/>
                <w:caps w:val="0"/>
              </w:rPr>
              <w:t>Anigozanthos</w:t>
            </w:r>
            <w:r>
              <w:t xml:space="preserve"> Labill.; </w:t>
            </w:r>
            <w:r>
              <w:rPr>
                <w:i/>
                <w:caps w:val="0"/>
              </w:rPr>
              <w:t>Macropidia fuliginosa</w:t>
            </w:r>
            <w:r>
              <w:t xml:space="preserve"> (Hook.) Druce)</w:t>
            </w:r>
          </w:p>
        </w:tc>
        <w:tc>
          <w:tcPr>
            <w:tcW w:w="2552" w:type="dxa"/>
            <w:shd w:val="clear" w:color="auto" w:fill="D9D9D9"/>
            <w:vAlign w:val="center"/>
          </w:tcPr>
          <w:p w14:paraId="6D6B8C7B" w14:textId="77777777" w:rsidR="00F44E48" w:rsidRPr="00360589" w:rsidRDefault="00F44E48" w:rsidP="00313560">
            <w:pPr>
              <w:pStyle w:val="TitleofDoc"/>
              <w:keepNext/>
              <w:tabs>
                <w:tab w:val="left" w:pos="5245"/>
                <w:tab w:val="left" w:pos="7008"/>
              </w:tabs>
              <w:spacing w:before="0"/>
              <w:jc w:val="left"/>
              <w:rPr>
                <w:rFonts w:cs="Arial"/>
                <w:caps w:val="0"/>
              </w:rPr>
            </w:pPr>
            <w:r>
              <w:t>TG/175/4(proj.3)</w:t>
            </w:r>
          </w:p>
        </w:tc>
        <w:tc>
          <w:tcPr>
            <w:tcW w:w="2807" w:type="dxa"/>
            <w:shd w:val="clear" w:color="auto" w:fill="D9D9D9"/>
            <w:vAlign w:val="center"/>
          </w:tcPr>
          <w:p w14:paraId="51F947BD" w14:textId="77777777" w:rsidR="00F44E48" w:rsidRPr="00360589" w:rsidRDefault="00F44E48" w:rsidP="00313560">
            <w:pPr>
              <w:keepNext/>
              <w:jc w:val="left"/>
              <w:rPr>
                <w:rFonts w:cs="Arial"/>
                <w:iCs/>
                <w:snapToGrid w:val="0"/>
                <w:color w:val="000000"/>
              </w:rPr>
            </w:pPr>
            <w:r>
              <w:t>Sr. Nik Hulse (AU)</w:t>
            </w:r>
          </w:p>
        </w:tc>
        <w:tc>
          <w:tcPr>
            <w:tcW w:w="736" w:type="dxa"/>
            <w:vMerge w:val="restart"/>
            <w:shd w:val="clear" w:color="auto" w:fill="D9D9D9"/>
            <w:vAlign w:val="center"/>
          </w:tcPr>
          <w:p w14:paraId="6341FDA4" w14:textId="77777777" w:rsidR="00F44E48" w:rsidRPr="00360589" w:rsidRDefault="00F44E48" w:rsidP="00313560">
            <w:pPr>
              <w:keepNext/>
              <w:jc w:val="left"/>
              <w:rPr>
                <w:rFonts w:cs="Arial"/>
                <w:iCs/>
              </w:rPr>
            </w:pPr>
            <w:r>
              <w:t>TWO</w:t>
            </w:r>
          </w:p>
        </w:tc>
        <w:tc>
          <w:tcPr>
            <w:tcW w:w="993" w:type="dxa"/>
            <w:vMerge w:val="restart"/>
            <w:shd w:val="clear" w:color="auto" w:fill="D9D9D9"/>
            <w:vAlign w:val="center"/>
          </w:tcPr>
          <w:p w14:paraId="75AC7090" w14:textId="77777777" w:rsidR="00F44E48" w:rsidRPr="00360589" w:rsidRDefault="00F44E48" w:rsidP="00313560">
            <w:pPr>
              <w:pStyle w:val="BodyText"/>
              <w:keepNext/>
              <w:jc w:val="left"/>
              <w:rPr>
                <w:rFonts w:cs="Arial"/>
                <w:iCs/>
                <w:snapToGrid w:val="0"/>
              </w:rPr>
            </w:pPr>
            <w:r>
              <w:t>*</w:t>
            </w:r>
          </w:p>
        </w:tc>
      </w:tr>
      <w:tr w:rsidR="00F44E48" w:rsidRPr="00360589" w14:paraId="2F163DE8" w14:textId="77777777" w:rsidTr="00313560">
        <w:trPr>
          <w:cantSplit/>
          <w:trHeight w:hRule="exact" w:val="791"/>
          <w:jc w:val="center"/>
        </w:trPr>
        <w:tc>
          <w:tcPr>
            <w:tcW w:w="2894" w:type="dxa"/>
            <w:vMerge/>
            <w:shd w:val="clear" w:color="auto" w:fill="D9D9D9"/>
            <w:vAlign w:val="center"/>
          </w:tcPr>
          <w:p w14:paraId="5CC4C1CD"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034BBA68" w14:textId="67B0EDAE"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24</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11</w:t>
            </w:r>
          </w:p>
        </w:tc>
        <w:tc>
          <w:tcPr>
            <w:tcW w:w="2807" w:type="dxa"/>
            <w:shd w:val="clear" w:color="auto" w:fill="D9D9D9"/>
            <w:vAlign w:val="center"/>
          </w:tcPr>
          <w:p w14:paraId="0B3ACE99" w14:textId="1BD96BAC"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DE, GB, JP, KR, NZ y QZ)</w:t>
            </w:r>
          </w:p>
        </w:tc>
        <w:tc>
          <w:tcPr>
            <w:tcW w:w="736" w:type="dxa"/>
            <w:vMerge/>
            <w:shd w:val="clear" w:color="auto" w:fill="D9D9D9"/>
            <w:vAlign w:val="center"/>
          </w:tcPr>
          <w:p w14:paraId="6A147A81" w14:textId="77777777" w:rsidR="00F44E48" w:rsidRPr="00360589" w:rsidRDefault="00F44E48" w:rsidP="00313560">
            <w:pPr>
              <w:keepNext/>
              <w:jc w:val="left"/>
              <w:rPr>
                <w:rFonts w:cs="Arial"/>
                <w:iCs/>
              </w:rPr>
            </w:pPr>
          </w:p>
        </w:tc>
        <w:tc>
          <w:tcPr>
            <w:tcW w:w="993" w:type="dxa"/>
            <w:vMerge/>
            <w:shd w:val="clear" w:color="auto" w:fill="D9D9D9"/>
            <w:vAlign w:val="center"/>
          </w:tcPr>
          <w:p w14:paraId="2EAC9D2B" w14:textId="77777777" w:rsidR="00F44E48" w:rsidRPr="00360589" w:rsidRDefault="00F44E48" w:rsidP="00313560">
            <w:pPr>
              <w:pStyle w:val="BodyText"/>
              <w:keepNext/>
              <w:jc w:val="left"/>
              <w:rPr>
                <w:rFonts w:cs="Arial"/>
                <w:iCs/>
                <w:snapToGrid w:val="0"/>
              </w:rPr>
            </w:pPr>
          </w:p>
        </w:tc>
      </w:tr>
    </w:tbl>
    <w:p w14:paraId="0351CB78" w14:textId="77777777" w:rsidR="00F44E48" w:rsidRPr="00360589" w:rsidRDefault="00F44E48" w:rsidP="00F44E48">
      <w:pPr>
        <w:keepNext/>
        <w:rPr>
          <w:rFonts w:eastAsia="Arial" w:cs="Arial"/>
          <w:color w:val="000000"/>
          <w:u w:val="single"/>
        </w:rPr>
      </w:pPr>
    </w:p>
    <w:p w14:paraId="73F77A6E" w14:textId="77777777" w:rsidR="00F44E48" w:rsidRPr="00360589" w:rsidRDefault="00F44E48" w:rsidP="00F44E48">
      <w:pPr>
        <w:ind w:firstLine="567"/>
        <w:rPr>
          <w:rFonts w:cs="Arial"/>
          <w:snapToGrid w:val="0"/>
        </w:rPr>
      </w:pPr>
      <w:r>
        <w:t>En su reunión celebrada en Ginebra en octubre de 2019, el TC-EDC examinó el documento </w:t>
      </w:r>
      <w:r>
        <w:rPr>
          <w:caps/>
        </w:rPr>
        <w:t>TG/175/4(</w:t>
      </w:r>
      <w:r>
        <w:t>proj</w:t>
      </w:r>
      <w:r>
        <w:rPr>
          <w:caps/>
        </w:rPr>
        <w:t>.3)</w:t>
      </w:r>
      <w:r>
        <w:t xml:space="preserve"> y formuló las recomendaciones expuestas en el cuadro siguiente:</w:t>
      </w:r>
    </w:p>
    <w:p w14:paraId="7820C4DF"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59FD1595" w14:textId="77777777" w:rsidTr="00313560">
        <w:trPr>
          <w:cantSplit/>
        </w:trPr>
        <w:tc>
          <w:tcPr>
            <w:tcW w:w="1573" w:type="dxa"/>
          </w:tcPr>
          <w:p w14:paraId="1C2D99F9" w14:textId="77777777" w:rsidR="00F44E48" w:rsidRPr="00360589" w:rsidRDefault="00F44E48" w:rsidP="00313560">
            <w:pPr>
              <w:rPr>
                <w:rFonts w:eastAsia="Arial" w:cs="Arial"/>
              </w:rPr>
            </w:pPr>
            <w:r>
              <w:t>8.1 (a)</w:t>
            </w:r>
          </w:p>
        </w:tc>
        <w:tc>
          <w:tcPr>
            <w:tcW w:w="8208" w:type="dxa"/>
          </w:tcPr>
          <w:p w14:paraId="1C789BC8" w14:textId="77777777" w:rsidR="00F44E48" w:rsidRPr="00360589" w:rsidRDefault="00F44E48" w:rsidP="00313560">
            <w:pPr>
              <w:rPr>
                <w:rFonts w:eastAsia="Arial" w:cs="Arial"/>
              </w:rPr>
            </w:pPr>
            <w:r>
              <w:t>el texto debe ser: “Las observaciones deberán efectuarse en una hoja totalmente desplegada del tercio central de la roseta.”</w:t>
            </w:r>
          </w:p>
        </w:tc>
      </w:tr>
      <w:tr w:rsidR="00F44E48" w:rsidRPr="00360589" w14:paraId="5D914AD7" w14:textId="77777777" w:rsidTr="00313560">
        <w:trPr>
          <w:cantSplit/>
        </w:trPr>
        <w:tc>
          <w:tcPr>
            <w:tcW w:w="1573" w:type="dxa"/>
          </w:tcPr>
          <w:p w14:paraId="5D31CB5F" w14:textId="77777777" w:rsidR="00F44E48" w:rsidRPr="00360589" w:rsidRDefault="00F44E48" w:rsidP="00313560">
            <w:pPr>
              <w:rPr>
                <w:rFonts w:eastAsia="Arial" w:cs="Arial"/>
              </w:rPr>
            </w:pPr>
            <w:r>
              <w:t>Ad. 12</w:t>
            </w:r>
          </w:p>
        </w:tc>
        <w:tc>
          <w:tcPr>
            <w:tcW w:w="8208" w:type="dxa"/>
          </w:tcPr>
          <w:p w14:paraId="5A53D7F9" w14:textId="77777777" w:rsidR="00F44E48" w:rsidRPr="00360589" w:rsidRDefault="00F44E48" w:rsidP="00313560">
            <w:pPr>
              <w:rPr>
                <w:rFonts w:eastAsia="Arial" w:cs="Arial"/>
              </w:rPr>
            </w:pPr>
            <w:r>
              <w:t>el texto ha de ser “Ha de observarse la distancia desde la base del tubo del perianto hasta la base del lóbulo más alto del perianto.”</w:t>
            </w:r>
          </w:p>
        </w:tc>
      </w:tr>
      <w:tr w:rsidR="00F44E48" w:rsidRPr="00360589" w14:paraId="49DA2517" w14:textId="77777777" w:rsidTr="00313560">
        <w:trPr>
          <w:cantSplit/>
        </w:trPr>
        <w:tc>
          <w:tcPr>
            <w:tcW w:w="1573" w:type="dxa"/>
          </w:tcPr>
          <w:p w14:paraId="29F0FCB6" w14:textId="77777777" w:rsidR="00F44E48" w:rsidRPr="00360589" w:rsidRDefault="00F44E48" w:rsidP="00313560">
            <w:pPr>
              <w:rPr>
                <w:rFonts w:eastAsia="Arial" w:cs="Arial"/>
              </w:rPr>
            </w:pPr>
            <w:r>
              <w:t>Ad. 19</w:t>
            </w:r>
          </w:p>
        </w:tc>
        <w:tc>
          <w:tcPr>
            <w:tcW w:w="8208" w:type="dxa"/>
          </w:tcPr>
          <w:p w14:paraId="1D1BAD75" w14:textId="77777777" w:rsidR="00F44E48" w:rsidRPr="00360589" w:rsidRDefault="00F44E48" w:rsidP="00313560">
            <w:pPr>
              <w:rPr>
                <w:rFonts w:eastAsia="Arial" w:cs="Arial"/>
              </w:rPr>
            </w:pPr>
            <w:r>
              <w:t>el texto ha de ser “Ha de observarse el lóbulo más largo.”</w:t>
            </w:r>
          </w:p>
        </w:tc>
      </w:tr>
      <w:tr w:rsidR="00F44E48" w:rsidRPr="00360589" w14:paraId="7BCC1818" w14:textId="77777777" w:rsidTr="00313560">
        <w:trPr>
          <w:cantSplit/>
        </w:trPr>
        <w:tc>
          <w:tcPr>
            <w:tcW w:w="1573" w:type="dxa"/>
          </w:tcPr>
          <w:p w14:paraId="50CDB70D" w14:textId="77777777" w:rsidR="00F44E48" w:rsidRPr="00360589" w:rsidRDefault="00F44E48" w:rsidP="00313560">
            <w:pPr>
              <w:rPr>
                <w:rFonts w:eastAsia="Arial" w:cs="Arial"/>
              </w:rPr>
            </w:pPr>
            <w:r>
              <w:t>Ad. 24</w:t>
            </w:r>
          </w:p>
        </w:tc>
        <w:tc>
          <w:tcPr>
            <w:tcW w:w="8208" w:type="dxa"/>
          </w:tcPr>
          <w:p w14:paraId="7EF44370" w14:textId="77777777" w:rsidR="00F44E48" w:rsidRPr="00360589" w:rsidRDefault="00F44E48" w:rsidP="00313560">
            <w:pPr>
              <w:rPr>
                <w:rFonts w:eastAsia="Arial" w:cs="Arial"/>
              </w:rPr>
            </w:pPr>
            <w:r>
              <w:t>el texto debe ser “La época de inicio de floración es aquella en la que al menos 4 de las 10 plantas presentan como mínimo una flor abierta.”</w:t>
            </w:r>
          </w:p>
        </w:tc>
      </w:tr>
    </w:tbl>
    <w:p w14:paraId="5FC54D06" w14:textId="77777777" w:rsidR="00F44E48" w:rsidRPr="00360589" w:rsidRDefault="00F44E48" w:rsidP="00F44E48">
      <w:pPr>
        <w:rPr>
          <w:rFonts w:eastAsia="Arial" w:cs="Arial"/>
          <w:color w:val="000000"/>
          <w:u w:val="single"/>
        </w:rPr>
      </w:pPr>
    </w:p>
    <w:p w14:paraId="2F28C635"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16FE44EC" w14:textId="77777777" w:rsidTr="00313560">
        <w:trPr>
          <w:cantSplit/>
          <w:trHeight w:val="277"/>
          <w:jc w:val="center"/>
        </w:trPr>
        <w:tc>
          <w:tcPr>
            <w:tcW w:w="2894" w:type="dxa"/>
            <w:vMerge w:val="restart"/>
            <w:shd w:val="clear" w:color="auto" w:fill="D9D9D9"/>
            <w:vAlign w:val="center"/>
          </w:tcPr>
          <w:p w14:paraId="4A48AFBA" w14:textId="77777777" w:rsidR="00F44E48" w:rsidRPr="00360589" w:rsidRDefault="00F44E48" w:rsidP="00313560">
            <w:pPr>
              <w:pStyle w:val="TitleofDoc"/>
              <w:keepNext/>
              <w:tabs>
                <w:tab w:val="left" w:pos="5245"/>
                <w:tab w:val="left" w:pos="7008"/>
              </w:tabs>
              <w:spacing w:before="0"/>
              <w:jc w:val="left"/>
              <w:rPr>
                <w:rFonts w:cs="Arial"/>
                <w:caps w:val="0"/>
              </w:rPr>
            </w:pPr>
            <w:r>
              <w:lastRenderedPageBreak/>
              <w:t>Hinojo</w:t>
            </w:r>
            <w:r>
              <w:br/>
              <w:t>(</w:t>
            </w:r>
            <w:r>
              <w:rPr>
                <w:i/>
                <w:caps w:val="0"/>
              </w:rPr>
              <w:t>Foeniculum vulgare</w:t>
            </w:r>
            <w:r>
              <w:t xml:space="preserve"> Mill.)</w:t>
            </w:r>
          </w:p>
        </w:tc>
        <w:tc>
          <w:tcPr>
            <w:tcW w:w="2552" w:type="dxa"/>
            <w:shd w:val="clear" w:color="auto" w:fill="D9D9D9"/>
            <w:vAlign w:val="center"/>
          </w:tcPr>
          <w:p w14:paraId="618A4F8E" w14:textId="77777777" w:rsidR="00F44E48" w:rsidRPr="00360589" w:rsidRDefault="00F44E48" w:rsidP="00313560">
            <w:pPr>
              <w:pStyle w:val="TitleofDoc"/>
              <w:keepNext/>
              <w:tabs>
                <w:tab w:val="left" w:pos="5245"/>
                <w:tab w:val="left" w:pos="7008"/>
              </w:tabs>
              <w:spacing w:before="0"/>
              <w:jc w:val="left"/>
              <w:rPr>
                <w:rFonts w:cs="Arial"/>
                <w:caps w:val="0"/>
              </w:rPr>
            </w:pPr>
            <w:r>
              <w:t>TG/183/4(proj.3)</w:t>
            </w:r>
          </w:p>
        </w:tc>
        <w:tc>
          <w:tcPr>
            <w:tcW w:w="2807" w:type="dxa"/>
            <w:shd w:val="clear" w:color="auto" w:fill="D9D9D9"/>
            <w:vAlign w:val="center"/>
          </w:tcPr>
          <w:p w14:paraId="121AE463" w14:textId="77777777" w:rsidR="00F44E48" w:rsidRPr="00360589" w:rsidRDefault="00F44E48" w:rsidP="00313560">
            <w:pPr>
              <w:keepNext/>
              <w:jc w:val="left"/>
              <w:rPr>
                <w:rFonts w:cs="Arial"/>
                <w:iCs/>
                <w:snapToGrid w:val="0"/>
                <w:color w:val="000000"/>
              </w:rPr>
            </w:pPr>
            <w:r>
              <w:t>Sra. Marian van Leeuwen (NL)</w:t>
            </w:r>
          </w:p>
        </w:tc>
        <w:tc>
          <w:tcPr>
            <w:tcW w:w="736" w:type="dxa"/>
            <w:vMerge w:val="restart"/>
            <w:shd w:val="clear" w:color="auto" w:fill="D9D9D9"/>
            <w:vAlign w:val="center"/>
          </w:tcPr>
          <w:p w14:paraId="2CB86FB9" w14:textId="77777777" w:rsidR="00F44E48" w:rsidRPr="00360589" w:rsidRDefault="00F44E48" w:rsidP="00313560">
            <w:pPr>
              <w:keepNext/>
              <w:jc w:val="left"/>
              <w:rPr>
                <w:rFonts w:cs="Arial"/>
                <w:iCs/>
              </w:rPr>
            </w:pPr>
            <w:r>
              <w:t>TWV</w:t>
            </w:r>
          </w:p>
        </w:tc>
        <w:tc>
          <w:tcPr>
            <w:tcW w:w="993" w:type="dxa"/>
            <w:vMerge w:val="restart"/>
            <w:shd w:val="clear" w:color="auto" w:fill="D9D9D9"/>
            <w:vAlign w:val="center"/>
          </w:tcPr>
          <w:p w14:paraId="3AA2EA2B" w14:textId="77777777" w:rsidR="00F44E48" w:rsidRPr="00360589" w:rsidRDefault="00F44E48" w:rsidP="00313560">
            <w:pPr>
              <w:pStyle w:val="BodyText"/>
              <w:keepNext/>
              <w:jc w:val="left"/>
              <w:rPr>
                <w:rFonts w:cs="Arial"/>
                <w:iCs/>
                <w:snapToGrid w:val="0"/>
              </w:rPr>
            </w:pPr>
            <w:r>
              <w:t>*</w:t>
            </w:r>
          </w:p>
        </w:tc>
      </w:tr>
      <w:tr w:rsidR="00F44E48" w:rsidRPr="00360589" w14:paraId="00A8E72A" w14:textId="77777777" w:rsidTr="00313560">
        <w:trPr>
          <w:cantSplit/>
          <w:trHeight w:hRule="exact" w:val="791"/>
          <w:jc w:val="center"/>
        </w:trPr>
        <w:tc>
          <w:tcPr>
            <w:tcW w:w="2894" w:type="dxa"/>
            <w:vMerge/>
            <w:shd w:val="clear" w:color="auto" w:fill="D9D9D9"/>
            <w:vAlign w:val="center"/>
          </w:tcPr>
          <w:p w14:paraId="33A6C849"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205E54FD" w14:textId="38EDB22D"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26</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10</w:t>
            </w:r>
          </w:p>
        </w:tc>
        <w:tc>
          <w:tcPr>
            <w:tcW w:w="2807" w:type="dxa"/>
            <w:shd w:val="clear" w:color="auto" w:fill="D9D9D9"/>
            <w:vAlign w:val="center"/>
          </w:tcPr>
          <w:p w14:paraId="5DEF37CA" w14:textId="5534CF79"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CZ, DE, FR, IT, QZ, CLI, ESA y ISF)</w:t>
            </w:r>
          </w:p>
        </w:tc>
        <w:tc>
          <w:tcPr>
            <w:tcW w:w="736" w:type="dxa"/>
            <w:vMerge/>
            <w:shd w:val="clear" w:color="auto" w:fill="D9D9D9"/>
            <w:vAlign w:val="center"/>
          </w:tcPr>
          <w:p w14:paraId="3D3C1DF8" w14:textId="77777777" w:rsidR="00F44E48" w:rsidRPr="00360589" w:rsidRDefault="00F44E48" w:rsidP="00313560">
            <w:pPr>
              <w:keepNext/>
              <w:jc w:val="left"/>
              <w:rPr>
                <w:rFonts w:cs="Arial"/>
                <w:iCs/>
              </w:rPr>
            </w:pPr>
          </w:p>
        </w:tc>
        <w:tc>
          <w:tcPr>
            <w:tcW w:w="993" w:type="dxa"/>
            <w:vMerge/>
            <w:shd w:val="clear" w:color="auto" w:fill="D9D9D9"/>
            <w:vAlign w:val="center"/>
          </w:tcPr>
          <w:p w14:paraId="465687EA" w14:textId="77777777" w:rsidR="00F44E48" w:rsidRPr="00360589" w:rsidRDefault="00F44E48" w:rsidP="00313560">
            <w:pPr>
              <w:pStyle w:val="BodyText"/>
              <w:keepNext/>
              <w:jc w:val="left"/>
              <w:rPr>
                <w:rFonts w:cs="Arial"/>
                <w:iCs/>
                <w:snapToGrid w:val="0"/>
              </w:rPr>
            </w:pPr>
          </w:p>
        </w:tc>
      </w:tr>
    </w:tbl>
    <w:p w14:paraId="6AB8F0D9" w14:textId="77777777" w:rsidR="00F44E48" w:rsidRPr="00360589" w:rsidRDefault="00F44E48" w:rsidP="00F44E48">
      <w:pPr>
        <w:keepNext/>
        <w:rPr>
          <w:rFonts w:eastAsia="Arial" w:cs="Arial"/>
          <w:color w:val="000000"/>
          <w:u w:val="single"/>
        </w:rPr>
      </w:pPr>
    </w:p>
    <w:p w14:paraId="53FCB6AF" w14:textId="77777777" w:rsidR="00F44E48" w:rsidRPr="00360589" w:rsidRDefault="00F44E48" w:rsidP="00F44E48">
      <w:pPr>
        <w:ind w:firstLine="567"/>
        <w:rPr>
          <w:rFonts w:cs="Arial"/>
          <w:snapToGrid w:val="0"/>
        </w:rPr>
      </w:pPr>
      <w:r>
        <w:t>En su reunión celebrada en Ginebra en octubre de 2019, el TC-EDC examinó el documento </w:t>
      </w:r>
      <w:r>
        <w:rPr>
          <w:caps/>
        </w:rPr>
        <w:t>TG/183/4(</w:t>
      </w:r>
      <w:r>
        <w:t>proj</w:t>
      </w:r>
      <w:r>
        <w:rPr>
          <w:caps/>
        </w:rPr>
        <w:t>.3)</w:t>
      </w:r>
      <w:r>
        <w:t xml:space="preserve"> y formuló las recomendaciones expuestas en el cuadro siguiente:</w:t>
      </w:r>
    </w:p>
    <w:p w14:paraId="20F93490"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66892B2F" w14:textId="77777777" w:rsidTr="00313560">
        <w:trPr>
          <w:cantSplit/>
        </w:trPr>
        <w:tc>
          <w:tcPr>
            <w:tcW w:w="1573" w:type="dxa"/>
          </w:tcPr>
          <w:p w14:paraId="13623BC0" w14:textId="77777777" w:rsidR="00F44E48" w:rsidRPr="00360589" w:rsidRDefault="00F44E48" w:rsidP="00313560">
            <w:pPr>
              <w:keepNext/>
              <w:jc w:val="left"/>
              <w:rPr>
                <w:rFonts w:cs="Arial"/>
              </w:rPr>
            </w:pPr>
            <w:r>
              <w:t>3.1.2</w:t>
            </w:r>
          </w:p>
        </w:tc>
        <w:tc>
          <w:tcPr>
            <w:tcW w:w="8208" w:type="dxa"/>
          </w:tcPr>
          <w:p w14:paraId="3A9AFA82" w14:textId="77777777" w:rsidR="00F44E48" w:rsidRPr="00360589" w:rsidRDefault="00F44E48" w:rsidP="00313560">
            <w:pPr>
              <w:keepNext/>
              <w:rPr>
                <w:rFonts w:eastAsia="Arial" w:cs="Arial"/>
                <w:color w:val="000000"/>
                <w:highlight w:val="cyan"/>
              </w:rPr>
            </w:pPr>
            <w:r>
              <w:rPr>
                <w:color w:val="000000"/>
              </w:rPr>
              <w:t>se ha de suprimir (solo corresponde a las perennes)</w:t>
            </w:r>
            <w:r>
              <w:tab/>
            </w:r>
          </w:p>
        </w:tc>
      </w:tr>
      <w:tr w:rsidR="00F44E48" w:rsidRPr="00360589" w14:paraId="31C88216" w14:textId="77777777" w:rsidTr="00313560">
        <w:trPr>
          <w:cantSplit/>
        </w:trPr>
        <w:tc>
          <w:tcPr>
            <w:tcW w:w="1573" w:type="dxa"/>
          </w:tcPr>
          <w:p w14:paraId="374AA1BC" w14:textId="77777777" w:rsidR="00F44E48" w:rsidRPr="00360589" w:rsidRDefault="00F44E48" w:rsidP="00313560">
            <w:pPr>
              <w:keepNext/>
              <w:jc w:val="left"/>
              <w:rPr>
                <w:rFonts w:cs="Arial"/>
              </w:rPr>
            </w:pPr>
            <w:r>
              <w:t>Tabla de caracteres</w:t>
            </w:r>
          </w:p>
        </w:tc>
        <w:tc>
          <w:tcPr>
            <w:tcW w:w="8208" w:type="dxa"/>
          </w:tcPr>
          <w:p w14:paraId="452B8635" w14:textId="77777777" w:rsidR="00F44E48" w:rsidRPr="00360589" w:rsidRDefault="00F44E48" w:rsidP="00313560">
            <w:pPr>
              <w:keepNext/>
              <w:rPr>
                <w:rFonts w:cs="Arial"/>
              </w:rPr>
            </w:pPr>
            <w:r>
              <w:rPr>
                <w:color w:val="000000"/>
              </w:rPr>
              <w:t>el texto de los caracteres pertinentes debe ser “</w:t>
            </w:r>
            <w:r>
              <w:rPr>
                <w:color w:val="000000"/>
                <w:u w:val="single"/>
              </w:rPr>
              <w:t>Solo variedades con formación de cabeza: ausente</w:t>
            </w:r>
            <w:r>
              <w:rPr>
                <w:color w:val="000000"/>
              </w:rPr>
              <w:t>:” o “</w:t>
            </w:r>
            <w:r>
              <w:rPr>
                <w:color w:val="000000"/>
                <w:u w:val="single"/>
              </w:rPr>
              <w:t>Solo variedades con formación de cabeza: presente</w:t>
            </w:r>
            <w:r>
              <w:rPr>
                <w:color w:val="000000"/>
              </w:rPr>
              <w:t xml:space="preserve">:” </w:t>
            </w:r>
          </w:p>
        </w:tc>
      </w:tr>
      <w:tr w:rsidR="00F44E48" w:rsidRPr="00360589" w14:paraId="683FF179" w14:textId="77777777" w:rsidTr="00313560">
        <w:trPr>
          <w:cantSplit/>
        </w:trPr>
        <w:tc>
          <w:tcPr>
            <w:tcW w:w="1573" w:type="dxa"/>
          </w:tcPr>
          <w:p w14:paraId="74334FDE" w14:textId="77777777" w:rsidR="00F44E48" w:rsidRPr="00360589" w:rsidRDefault="00F44E48" w:rsidP="00313560">
            <w:pPr>
              <w:keepNext/>
              <w:rPr>
                <w:rFonts w:eastAsia="Arial" w:cs="Arial"/>
                <w:color w:val="000000"/>
              </w:rPr>
            </w:pPr>
            <w:r>
              <w:rPr>
                <w:color w:val="000000"/>
              </w:rPr>
              <w:t>Car. 3</w:t>
            </w:r>
          </w:p>
        </w:tc>
        <w:tc>
          <w:tcPr>
            <w:tcW w:w="8208" w:type="dxa"/>
          </w:tcPr>
          <w:p w14:paraId="6F8BFB98" w14:textId="77777777" w:rsidR="00F44E48" w:rsidRPr="00360589" w:rsidRDefault="00F44E48" w:rsidP="00313560">
            <w:pPr>
              <w:keepNext/>
              <w:rPr>
                <w:rFonts w:eastAsia="Arial" w:cs="Arial"/>
                <w:color w:val="000000"/>
              </w:rPr>
            </w:pPr>
            <w:r>
              <w:rPr>
                <w:color w:val="000000"/>
              </w:rPr>
              <w:t>suprimir (+)</w:t>
            </w:r>
          </w:p>
        </w:tc>
      </w:tr>
      <w:tr w:rsidR="00F44E48" w:rsidRPr="00360589" w14:paraId="178F2838" w14:textId="77777777" w:rsidTr="00313560">
        <w:trPr>
          <w:cantSplit/>
        </w:trPr>
        <w:tc>
          <w:tcPr>
            <w:tcW w:w="1573" w:type="dxa"/>
          </w:tcPr>
          <w:p w14:paraId="781FA783" w14:textId="77777777" w:rsidR="00F44E48" w:rsidRPr="00360589" w:rsidRDefault="00F44E48" w:rsidP="00313560">
            <w:pPr>
              <w:jc w:val="left"/>
              <w:rPr>
                <w:rFonts w:cs="Arial"/>
              </w:rPr>
            </w:pPr>
            <w:r>
              <w:t>Car. 6</w:t>
            </w:r>
          </w:p>
        </w:tc>
        <w:tc>
          <w:tcPr>
            <w:tcW w:w="8208" w:type="dxa"/>
          </w:tcPr>
          <w:p w14:paraId="716A56C1" w14:textId="526CDEBB" w:rsidR="00F44E48" w:rsidRPr="00360589" w:rsidRDefault="00F44E48" w:rsidP="00313560">
            <w:pPr>
              <w:keepNext/>
              <w:rPr>
                <w:rFonts w:cs="Arial"/>
              </w:rPr>
            </w:pPr>
            <w:r>
              <w:rPr>
                <w:color w:val="000000"/>
              </w:rPr>
              <w:t>el texto debe ser “</w:t>
            </w:r>
            <w:r>
              <w:rPr>
                <w:color w:val="000000"/>
                <w:u w:val="single"/>
              </w:rPr>
              <w:t xml:space="preserve">Solo variedades con </w:t>
            </w:r>
            <w:r w:rsidR="006766F4">
              <w:rPr>
                <w:color w:val="000000"/>
                <w:u w:val="single"/>
              </w:rPr>
              <w:t>f</w:t>
            </w:r>
            <w:r>
              <w:rPr>
                <w:color w:val="000000"/>
                <w:u w:val="single"/>
              </w:rPr>
              <w:t>ollaje: color: verde</w:t>
            </w:r>
            <w:r>
              <w:rPr>
                <w:color w:val="000000"/>
              </w:rPr>
              <w:t>: …”</w:t>
            </w:r>
          </w:p>
        </w:tc>
      </w:tr>
      <w:tr w:rsidR="00F44E48" w:rsidRPr="00360589" w14:paraId="63B8FB65"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6A06BACB" w14:textId="77777777" w:rsidR="00F44E48" w:rsidRPr="00360589" w:rsidRDefault="00F44E48" w:rsidP="00313560">
            <w:pPr>
              <w:rPr>
                <w:rFonts w:cs="Arial"/>
              </w:rPr>
            </w:pPr>
            <w:r>
              <w:t>Car. 16</w:t>
            </w:r>
          </w:p>
        </w:tc>
        <w:tc>
          <w:tcPr>
            <w:tcW w:w="8208" w:type="dxa"/>
            <w:tcBorders>
              <w:top w:val="single" w:sz="4" w:space="0" w:color="auto"/>
              <w:left w:val="single" w:sz="4" w:space="0" w:color="auto"/>
              <w:bottom w:val="single" w:sz="4" w:space="0" w:color="auto"/>
              <w:right w:val="single" w:sz="4" w:space="0" w:color="auto"/>
            </w:tcBorders>
          </w:tcPr>
          <w:p w14:paraId="1F38DE68" w14:textId="77777777" w:rsidR="00F44E48" w:rsidRPr="00360589" w:rsidRDefault="00F44E48" w:rsidP="00313560">
            <w:pPr>
              <w:rPr>
                <w:rFonts w:eastAsia="Arial" w:cs="Arial"/>
                <w:color w:val="000000"/>
              </w:rPr>
            </w:pPr>
            <w:r>
              <w:rPr>
                <w:color w:val="000000"/>
              </w:rPr>
              <w:t xml:space="preserve">el texto del nivel 3 debe ser “elíptica estrecha” </w:t>
            </w:r>
          </w:p>
        </w:tc>
      </w:tr>
      <w:tr w:rsidR="00F44E48" w:rsidRPr="00360589" w14:paraId="256638BD"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4A9133B3" w14:textId="77777777" w:rsidR="00F44E48" w:rsidRPr="00360589" w:rsidRDefault="00F44E48" w:rsidP="00313560">
            <w:pPr>
              <w:rPr>
                <w:rFonts w:cs="Arial"/>
              </w:rPr>
            </w:pPr>
            <w:r>
              <w:t>Car. 19</w:t>
            </w:r>
          </w:p>
        </w:tc>
        <w:tc>
          <w:tcPr>
            <w:tcW w:w="8208" w:type="dxa"/>
            <w:tcBorders>
              <w:top w:val="single" w:sz="4" w:space="0" w:color="auto"/>
              <w:left w:val="single" w:sz="4" w:space="0" w:color="auto"/>
              <w:bottom w:val="single" w:sz="4" w:space="0" w:color="auto"/>
              <w:right w:val="single" w:sz="4" w:space="0" w:color="auto"/>
            </w:tcBorders>
          </w:tcPr>
          <w:p w14:paraId="3F7923FB" w14:textId="77777777" w:rsidR="00F44E48" w:rsidRPr="00360589" w:rsidRDefault="00F44E48" w:rsidP="00313560">
            <w:pPr>
              <w:rPr>
                <w:rFonts w:eastAsia="Arial" w:cs="Arial"/>
                <w:color w:val="000000"/>
              </w:rPr>
            </w:pPr>
            <w:r>
              <w:rPr>
                <w:color w:val="000000"/>
              </w:rPr>
              <w:t>el texto debe ser “... Vaina: solapamiento”</w:t>
            </w:r>
          </w:p>
        </w:tc>
      </w:tr>
      <w:tr w:rsidR="00F44E48" w:rsidRPr="00360589" w14:paraId="73B39EB6"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5D9B7B5B" w14:textId="77777777" w:rsidR="00F44E48" w:rsidRPr="00360589" w:rsidRDefault="00F44E48" w:rsidP="00313560">
            <w:pPr>
              <w:rPr>
                <w:rFonts w:cs="Arial"/>
              </w:rPr>
            </w:pPr>
            <w:r>
              <w:t>Car. 20</w:t>
            </w:r>
          </w:p>
        </w:tc>
        <w:tc>
          <w:tcPr>
            <w:tcW w:w="8208" w:type="dxa"/>
            <w:tcBorders>
              <w:top w:val="single" w:sz="4" w:space="0" w:color="auto"/>
              <w:left w:val="single" w:sz="4" w:space="0" w:color="auto"/>
              <w:bottom w:val="single" w:sz="4" w:space="0" w:color="auto"/>
              <w:right w:val="single" w:sz="4" w:space="0" w:color="auto"/>
            </w:tcBorders>
          </w:tcPr>
          <w:p w14:paraId="30D843F3" w14:textId="0AC6547C" w:rsidR="00F44E48" w:rsidRPr="00360589" w:rsidRDefault="00F44E48" w:rsidP="00313560">
            <w:pPr>
              <w:rPr>
                <w:rFonts w:eastAsia="Arial" w:cs="Arial"/>
                <w:color w:val="000000"/>
              </w:rPr>
            </w:pPr>
            <w:r>
              <w:rPr>
                <w:color w:val="000000"/>
              </w:rPr>
              <w:t>se ha de añadir una explicación con el siguiente texto “Las observaciones deberán efectuarse en un ensayo especial de subida de la flor, en el que se form</w:t>
            </w:r>
            <w:r w:rsidR="006766F4">
              <w:rPr>
                <w:color w:val="000000"/>
              </w:rPr>
              <w:t>a</w:t>
            </w:r>
            <w:r>
              <w:rPr>
                <w:color w:val="000000"/>
              </w:rPr>
              <w:t xml:space="preserve"> el tallo floral.</w:t>
            </w:r>
            <w:r w:rsidR="002A0DA3">
              <w:rPr>
                <w:color w:val="000000"/>
              </w:rPr>
              <w:t xml:space="preserve"> </w:t>
            </w:r>
            <w:r>
              <w:rPr>
                <w:color w:val="000000"/>
              </w:rPr>
              <w:t>Para que comience la subida de la flor, las plantas deberán estar expuestas a una temperatura fría. Es posible establecer un ensayo adicional en condiciones de siembra temprana.”</w:t>
            </w:r>
          </w:p>
        </w:tc>
      </w:tr>
      <w:tr w:rsidR="00F44E48" w:rsidRPr="00360589" w14:paraId="49ED7CA9"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4CDC995D" w14:textId="77777777" w:rsidR="00F44E48" w:rsidRPr="00360589" w:rsidRDefault="00F44E48" w:rsidP="00313560">
            <w:pPr>
              <w:rPr>
                <w:rFonts w:cs="Arial"/>
              </w:rPr>
            </w:pPr>
            <w:r>
              <w:t>Car. 22</w:t>
            </w:r>
          </w:p>
        </w:tc>
        <w:tc>
          <w:tcPr>
            <w:tcW w:w="8208" w:type="dxa"/>
            <w:tcBorders>
              <w:top w:val="single" w:sz="4" w:space="0" w:color="auto"/>
              <w:left w:val="single" w:sz="4" w:space="0" w:color="auto"/>
              <w:bottom w:val="single" w:sz="4" w:space="0" w:color="auto"/>
              <w:right w:val="single" w:sz="4" w:space="0" w:color="auto"/>
            </w:tcBorders>
          </w:tcPr>
          <w:p w14:paraId="45F45855" w14:textId="77777777" w:rsidR="00F44E48" w:rsidRPr="00360589" w:rsidRDefault="00F44E48" w:rsidP="00313560">
            <w:pPr>
              <w:rPr>
                <w:rFonts w:eastAsia="Arial" w:cs="Arial"/>
                <w:color w:val="000000"/>
              </w:rPr>
            </w:pPr>
            <w:r>
              <w:rPr>
                <w:color w:val="000000"/>
              </w:rPr>
              <w:t>se ha de añadir una explicación con el siguiente texto “La época de inicio de floración es aquella en la que la umbela principal comienza a florecer en el 50% de las plantas.”</w:t>
            </w:r>
          </w:p>
        </w:tc>
      </w:tr>
      <w:tr w:rsidR="00F44E48" w:rsidRPr="00360589" w14:paraId="06214455"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36D439AF" w14:textId="77777777" w:rsidR="00F44E48" w:rsidRPr="00360589" w:rsidRDefault="00F44E48" w:rsidP="00313560">
            <w:pPr>
              <w:rPr>
                <w:rFonts w:cs="Arial"/>
              </w:rPr>
            </w:pPr>
            <w:r>
              <w:t>Ad. 3</w:t>
            </w:r>
          </w:p>
        </w:tc>
        <w:tc>
          <w:tcPr>
            <w:tcW w:w="8208" w:type="dxa"/>
            <w:tcBorders>
              <w:top w:val="single" w:sz="4" w:space="0" w:color="auto"/>
              <w:left w:val="single" w:sz="4" w:space="0" w:color="auto"/>
              <w:bottom w:val="single" w:sz="4" w:space="0" w:color="auto"/>
              <w:right w:val="single" w:sz="4" w:space="0" w:color="auto"/>
            </w:tcBorders>
          </w:tcPr>
          <w:p w14:paraId="06B5C3B2" w14:textId="77777777" w:rsidR="00F44E48" w:rsidRPr="00360589" w:rsidRDefault="00F44E48" w:rsidP="00313560">
            <w:pPr>
              <w:rPr>
                <w:rFonts w:eastAsia="Arial" w:cs="Arial"/>
                <w:color w:val="000000"/>
              </w:rPr>
            </w:pPr>
            <w:r>
              <w:rPr>
                <w:color w:val="000000"/>
              </w:rPr>
              <w:t>ha de suprimirse (véase (a))</w:t>
            </w:r>
          </w:p>
        </w:tc>
      </w:tr>
      <w:tr w:rsidR="00F44E48" w:rsidRPr="00360589" w14:paraId="4F0A92FD"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45471AFD" w14:textId="77777777" w:rsidR="00F44E48" w:rsidRPr="00360589" w:rsidRDefault="00F44E48" w:rsidP="00313560">
            <w:pPr>
              <w:rPr>
                <w:rFonts w:cs="Arial"/>
              </w:rPr>
            </w:pPr>
            <w:r>
              <w:t>Ad. 10</w:t>
            </w:r>
          </w:p>
        </w:tc>
        <w:tc>
          <w:tcPr>
            <w:tcW w:w="8208" w:type="dxa"/>
            <w:tcBorders>
              <w:top w:val="single" w:sz="4" w:space="0" w:color="auto"/>
              <w:left w:val="single" w:sz="4" w:space="0" w:color="auto"/>
              <w:bottom w:val="single" w:sz="4" w:space="0" w:color="auto"/>
              <w:right w:val="single" w:sz="4" w:space="0" w:color="auto"/>
            </w:tcBorders>
          </w:tcPr>
          <w:p w14:paraId="53E338E5" w14:textId="77777777" w:rsidR="00F44E48" w:rsidRPr="00360589" w:rsidRDefault="00F44E48" w:rsidP="00313560">
            <w:pPr>
              <w:rPr>
                <w:rFonts w:eastAsia="Arial" w:cs="Arial"/>
                <w:color w:val="000000"/>
              </w:rPr>
            </w:pPr>
            <w:r>
              <w:rPr>
                <w:color w:val="000000"/>
              </w:rPr>
              <w:t>debe suprimirse</w:t>
            </w:r>
          </w:p>
        </w:tc>
      </w:tr>
    </w:tbl>
    <w:p w14:paraId="63B5E008" w14:textId="77777777" w:rsidR="00F44E48" w:rsidRPr="00360589" w:rsidRDefault="00F44E48" w:rsidP="00F44E48">
      <w:pPr>
        <w:rPr>
          <w:rFonts w:eastAsia="Arial" w:cs="Arial"/>
          <w:color w:val="000000"/>
          <w:u w:val="single"/>
        </w:rPr>
      </w:pPr>
    </w:p>
    <w:p w14:paraId="536070DE" w14:textId="77777777"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14:paraId="4D491F64" w14:textId="77777777" w:rsidTr="00313560">
        <w:trPr>
          <w:cantSplit/>
          <w:trHeight w:val="277"/>
          <w:jc w:val="center"/>
        </w:trPr>
        <w:tc>
          <w:tcPr>
            <w:tcW w:w="2894" w:type="dxa"/>
            <w:vMerge w:val="restart"/>
            <w:shd w:val="clear" w:color="auto" w:fill="D9D9D9"/>
            <w:vAlign w:val="center"/>
          </w:tcPr>
          <w:p w14:paraId="35D6C5F2" w14:textId="77777777" w:rsidR="00F44E48" w:rsidRPr="00F44E48" w:rsidRDefault="00F44E48" w:rsidP="00313560">
            <w:pPr>
              <w:pStyle w:val="TitleofDoc"/>
              <w:keepNext/>
              <w:tabs>
                <w:tab w:val="left" w:pos="5245"/>
                <w:tab w:val="left" w:pos="7008"/>
              </w:tabs>
              <w:spacing w:before="0"/>
              <w:jc w:val="left"/>
              <w:rPr>
                <w:rFonts w:cs="Arial"/>
                <w:caps w:val="0"/>
              </w:rPr>
            </w:pPr>
            <w:r>
              <w:t>Verdolaga</w:t>
            </w:r>
            <w:r>
              <w:br/>
              <w:t>(</w:t>
            </w:r>
            <w:r>
              <w:rPr>
                <w:i/>
                <w:caps w:val="0"/>
              </w:rPr>
              <w:t>Portulaca grandiflora</w:t>
            </w:r>
            <w:r>
              <w:t xml:space="preserve"> Hook.; </w:t>
            </w:r>
            <w:r>
              <w:rPr>
                <w:i/>
                <w:caps w:val="0"/>
              </w:rPr>
              <w:t>Portulaca oleracea</w:t>
            </w:r>
            <w:r>
              <w:t xml:space="preserve"> L.; </w:t>
            </w:r>
            <w:r>
              <w:rPr>
                <w:i/>
                <w:caps w:val="0"/>
              </w:rPr>
              <w:t>Portulaca umbraticola</w:t>
            </w:r>
            <w:r>
              <w:t xml:space="preserve"> Kunth)</w:t>
            </w:r>
          </w:p>
        </w:tc>
        <w:tc>
          <w:tcPr>
            <w:tcW w:w="2552" w:type="dxa"/>
            <w:shd w:val="clear" w:color="auto" w:fill="D9D9D9"/>
            <w:vAlign w:val="center"/>
          </w:tcPr>
          <w:p w14:paraId="0B74B1D4" w14:textId="77777777" w:rsidR="00F44E48" w:rsidRPr="00360589" w:rsidRDefault="00F44E48" w:rsidP="00313560">
            <w:pPr>
              <w:pStyle w:val="TitleofDoc"/>
              <w:keepNext/>
              <w:tabs>
                <w:tab w:val="left" w:pos="5245"/>
                <w:tab w:val="left" w:pos="7008"/>
              </w:tabs>
              <w:spacing w:before="0"/>
              <w:jc w:val="left"/>
              <w:rPr>
                <w:rFonts w:cs="Arial"/>
                <w:caps w:val="0"/>
              </w:rPr>
            </w:pPr>
            <w:r>
              <w:t>TG/242/4(proj.2)</w:t>
            </w:r>
          </w:p>
        </w:tc>
        <w:tc>
          <w:tcPr>
            <w:tcW w:w="2807" w:type="dxa"/>
            <w:shd w:val="clear" w:color="auto" w:fill="D9D9D9"/>
            <w:vAlign w:val="center"/>
          </w:tcPr>
          <w:p w14:paraId="16D6CE7C" w14:textId="77777777" w:rsidR="00F44E48" w:rsidRPr="00360589" w:rsidRDefault="00F44E48" w:rsidP="00313560">
            <w:pPr>
              <w:keepNext/>
              <w:jc w:val="left"/>
              <w:rPr>
                <w:rFonts w:cs="Arial"/>
                <w:iCs/>
                <w:snapToGrid w:val="0"/>
                <w:color w:val="000000"/>
              </w:rPr>
            </w:pPr>
            <w:r>
              <w:t>Sra. Andrea Menne (DE)</w:t>
            </w:r>
          </w:p>
        </w:tc>
        <w:tc>
          <w:tcPr>
            <w:tcW w:w="736" w:type="dxa"/>
            <w:vMerge w:val="restart"/>
            <w:shd w:val="clear" w:color="auto" w:fill="D9D9D9"/>
            <w:vAlign w:val="center"/>
          </w:tcPr>
          <w:p w14:paraId="49BC34ED" w14:textId="77777777" w:rsidR="00F44E48" w:rsidRPr="00360589" w:rsidRDefault="00F44E48" w:rsidP="00313560">
            <w:pPr>
              <w:keepNext/>
              <w:jc w:val="left"/>
              <w:rPr>
                <w:rFonts w:cs="Arial"/>
                <w:iCs/>
              </w:rPr>
            </w:pPr>
            <w:r>
              <w:t>TWO</w:t>
            </w:r>
          </w:p>
        </w:tc>
        <w:tc>
          <w:tcPr>
            <w:tcW w:w="993" w:type="dxa"/>
            <w:vMerge w:val="restart"/>
            <w:shd w:val="clear" w:color="auto" w:fill="D9D9D9"/>
            <w:vAlign w:val="center"/>
          </w:tcPr>
          <w:p w14:paraId="544745AF" w14:textId="77777777" w:rsidR="00F44E48" w:rsidRPr="00360589" w:rsidRDefault="00F44E48" w:rsidP="00313560">
            <w:pPr>
              <w:pStyle w:val="BodyText"/>
              <w:keepNext/>
              <w:jc w:val="left"/>
              <w:rPr>
                <w:rFonts w:cs="Arial"/>
                <w:iCs/>
                <w:snapToGrid w:val="0"/>
              </w:rPr>
            </w:pPr>
          </w:p>
        </w:tc>
      </w:tr>
      <w:tr w:rsidR="00F44E48" w:rsidRPr="00360589" w14:paraId="52316C3F" w14:textId="77777777" w:rsidTr="00313560">
        <w:trPr>
          <w:cantSplit/>
          <w:trHeight w:hRule="exact" w:val="791"/>
          <w:jc w:val="center"/>
        </w:trPr>
        <w:tc>
          <w:tcPr>
            <w:tcW w:w="2894" w:type="dxa"/>
            <w:vMerge/>
            <w:shd w:val="clear" w:color="auto" w:fill="D9D9D9"/>
            <w:vAlign w:val="center"/>
          </w:tcPr>
          <w:p w14:paraId="094630D9" w14:textId="77777777"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64CCAF6D" w14:textId="017D8057" w:rsidR="00F44E48" w:rsidRPr="00360589" w:rsidRDefault="00F44E48" w:rsidP="00313560">
            <w:pPr>
              <w:pStyle w:val="BodyText"/>
              <w:keepNext/>
              <w:jc w:val="left"/>
              <w:rPr>
                <w:rFonts w:cs="Arial"/>
                <w:color w:val="000000"/>
              </w:rPr>
            </w:pPr>
            <w:r>
              <w:rPr>
                <w:color w:val="000000"/>
              </w:rPr>
              <w:t>N.º de caracteres:</w:t>
            </w:r>
            <w:r w:rsidR="002A0DA3">
              <w:rPr>
                <w:color w:val="000000"/>
              </w:rPr>
              <w:t xml:space="preserve"> </w:t>
            </w:r>
            <w:r>
              <w:rPr>
                <w:color w:val="000000"/>
              </w:rPr>
              <w:t>25</w:t>
            </w:r>
            <w:r>
              <w:rPr>
                <w:rFonts w:cs="Arial"/>
                <w:color w:val="000000"/>
              </w:rPr>
              <w:br/>
            </w:r>
            <w:r>
              <w:rPr>
                <w:color w:val="000000"/>
              </w:rPr>
              <w:t>N.º de (</w:t>
            </w:r>
            <w:r w:rsidRPr="00360589">
              <w:rPr>
                <w:rFonts w:cs="Arial"/>
                <w:color w:val="000000"/>
              </w:rPr>
              <w:sym w:font="Symbol" w:char="F02A"/>
            </w:r>
            <w:r>
              <w:rPr>
                <w:color w:val="000000"/>
              </w:rPr>
              <w:t>) caracteres:</w:t>
            </w:r>
            <w:r w:rsidR="002A0DA3">
              <w:rPr>
                <w:color w:val="000000"/>
              </w:rPr>
              <w:t xml:space="preserve"> </w:t>
            </w:r>
            <w:r>
              <w:rPr>
                <w:color w:val="000000"/>
              </w:rPr>
              <w:t>14</w:t>
            </w:r>
          </w:p>
        </w:tc>
        <w:tc>
          <w:tcPr>
            <w:tcW w:w="2807" w:type="dxa"/>
            <w:shd w:val="clear" w:color="auto" w:fill="D9D9D9"/>
            <w:vAlign w:val="center"/>
          </w:tcPr>
          <w:p w14:paraId="1B72C416" w14:textId="1AEB2480" w:rsidR="00F44E48" w:rsidRPr="00360589" w:rsidRDefault="00F44E48" w:rsidP="00313560">
            <w:pPr>
              <w:keepNext/>
              <w:jc w:val="left"/>
              <w:rPr>
                <w:rFonts w:cs="Arial"/>
                <w:iCs/>
                <w:snapToGrid w:val="0"/>
                <w:color w:val="000000"/>
              </w:rPr>
            </w:pPr>
            <w:r>
              <w:rPr>
                <w:snapToGrid w:val="0"/>
                <w:color w:val="000000"/>
              </w:rPr>
              <w:t>(expertos interesados:</w:t>
            </w:r>
            <w:r w:rsidR="002A0DA3">
              <w:rPr>
                <w:snapToGrid w:val="0"/>
                <w:color w:val="000000"/>
              </w:rPr>
              <w:t xml:space="preserve"> </w:t>
            </w:r>
            <w:r>
              <w:t>JP, MX, NL y QZ)</w:t>
            </w:r>
          </w:p>
        </w:tc>
        <w:tc>
          <w:tcPr>
            <w:tcW w:w="736" w:type="dxa"/>
            <w:vMerge/>
            <w:shd w:val="clear" w:color="auto" w:fill="D9D9D9"/>
            <w:vAlign w:val="center"/>
          </w:tcPr>
          <w:p w14:paraId="1CD95184" w14:textId="77777777" w:rsidR="00F44E48" w:rsidRPr="00360589" w:rsidRDefault="00F44E48" w:rsidP="00313560">
            <w:pPr>
              <w:keepNext/>
              <w:jc w:val="left"/>
              <w:rPr>
                <w:rFonts w:cs="Arial"/>
                <w:iCs/>
              </w:rPr>
            </w:pPr>
          </w:p>
        </w:tc>
        <w:tc>
          <w:tcPr>
            <w:tcW w:w="993" w:type="dxa"/>
            <w:vMerge/>
            <w:shd w:val="clear" w:color="auto" w:fill="D9D9D9"/>
            <w:vAlign w:val="center"/>
          </w:tcPr>
          <w:p w14:paraId="58190068" w14:textId="77777777" w:rsidR="00F44E48" w:rsidRPr="00360589" w:rsidRDefault="00F44E48" w:rsidP="00313560">
            <w:pPr>
              <w:pStyle w:val="BodyText"/>
              <w:keepNext/>
              <w:jc w:val="left"/>
              <w:rPr>
                <w:rFonts w:cs="Arial"/>
                <w:iCs/>
                <w:snapToGrid w:val="0"/>
              </w:rPr>
            </w:pPr>
          </w:p>
        </w:tc>
      </w:tr>
    </w:tbl>
    <w:p w14:paraId="4D129E41" w14:textId="77777777" w:rsidR="00F44E48" w:rsidRPr="00360589" w:rsidRDefault="00F44E48" w:rsidP="00F44E48">
      <w:pPr>
        <w:keepNext/>
        <w:rPr>
          <w:rFonts w:eastAsia="Arial" w:cs="Arial"/>
          <w:color w:val="000000"/>
          <w:u w:val="single"/>
        </w:rPr>
      </w:pPr>
    </w:p>
    <w:p w14:paraId="5E4DF6A2" w14:textId="77777777" w:rsidR="00F44E48" w:rsidRPr="00360589" w:rsidRDefault="00F44E48" w:rsidP="00F44E48">
      <w:pPr>
        <w:keepNext/>
        <w:ind w:firstLine="567"/>
        <w:rPr>
          <w:rFonts w:cs="Arial"/>
          <w:snapToGrid w:val="0"/>
        </w:rPr>
      </w:pPr>
      <w:r>
        <w:t>En su reunión celebrada en Ginebra en octubre de 2019, el TC-EDC examinó el documento </w:t>
      </w:r>
      <w:r>
        <w:rPr>
          <w:caps/>
        </w:rPr>
        <w:t>TG/242/4(</w:t>
      </w:r>
      <w:r>
        <w:t>proj</w:t>
      </w:r>
      <w:r>
        <w:rPr>
          <w:caps/>
        </w:rPr>
        <w:t>.2)</w:t>
      </w:r>
      <w:r>
        <w:t xml:space="preserve"> y formuló las recomendaciones expuestas en el cuadro siguiente:</w:t>
      </w:r>
    </w:p>
    <w:p w14:paraId="6FFB8894" w14:textId="77777777" w:rsidR="00F44E48" w:rsidRPr="00360589" w:rsidRDefault="00F44E48" w:rsidP="00F44E48">
      <w:pPr>
        <w:keepNext/>
        <w:ind w:firstLine="567"/>
        <w:rPr>
          <w:rFonts w:cs="Arial"/>
        </w:rPr>
      </w:pPr>
    </w:p>
    <w:p w14:paraId="1FB38CE7" w14:textId="139FF842" w:rsidR="00F44E48" w:rsidRPr="00360589" w:rsidRDefault="00F44E48" w:rsidP="00F44E48">
      <w:pPr>
        <w:keepNext/>
        <w:rPr>
          <w:rFonts w:cs="Arial"/>
        </w:rPr>
      </w:pPr>
      <w:r>
        <w:tab/>
        <w:t>El TC-EDC convino en que se necesitan aclaraciones de redacción (señaladas a continuación mediante</w:t>
      </w:r>
      <w:r w:rsidR="00093374">
        <w:t xml:space="preserve"> el símbolo </w:t>
      </w:r>
      <w:r>
        <w:t>“</w:t>
      </w:r>
      <w:r>
        <w:rPr>
          <w:snapToGrid w:val="0"/>
          <w:vertAlign w:val="superscript"/>
        </w:rPr>
        <w:t>#</w:t>
      </w:r>
      <w:r>
        <w:t xml:space="preserve">”) del proyecto de directrices de examen de </w:t>
      </w:r>
      <w:r>
        <w:rPr>
          <w:i/>
        </w:rPr>
        <w:t>Portulaca</w:t>
      </w:r>
      <w:r>
        <w:t xml:space="preserve"> (documento </w:t>
      </w:r>
      <w:r>
        <w:rPr>
          <w:caps/>
        </w:rPr>
        <w:t>TG/242/4(</w:t>
      </w:r>
      <w:r>
        <w:t>proj.2)) y convino en volver a examinar el proyecto de directrices de examen en la reunión que tiene previsto mantener en marzo de 2020.</w:t>
      </w:r>
      <w:r w:rsidR="002A0DA3">
        <w:t xml:space="preserve"> </w:t>
      </w:r>
    </w:p>
    <w:p w14:paraId="46314C90" w14:textId="77777777"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14:paraId="22DB5B00" w14:textId="77777777" w:rsidTr="00313560">
        <w:trPr>
          <w:cantSplit/>
        </w:trPr>
        <w:tc>
          <w:tcPr>
            <w:tcW w:w="1573" w:type="dxa"/>
          </w:tcPr>
          <w:p w14:paraId="6C531790" w14:textId="77777777" w:rsidR="00F44E48" w:rsidRPr="00360589" w:rsidRDefault="00F44E48" w:rsidP="00313560">
            <w:pPr>
              <w:keepNext/>
              <w:jc w:val="left"/>
              <w:rPr>
                <w:rFonts w:cs="Arial"/>
              </w:rPr>
            </w:pPr>
            <w:r>
              <w:t>Car. 12</w:t>
            </w:r>
          </w:p>
        </w:tc>
        <w:tc>
          <w:tcPr>
            <w:tcW w:w="8208" w:type="dxa"/>
          </w:tcPr>
          <w:p w14:paraId="4ABBD4B1" w14:textId="23991115" w:rsidR="00F44E48" w:rsidRPr="00360589" w:rsidRDefault="00697BC9" w:rsidP="00313560">
            <w:pPr>
              <w:keepNext/>
              <w:jc w:val="left"/>
              <w:rPr>
                <w:rFonts w:cs="Arial"/>
              </w:rPr>
            </w:pPr>
            <w:r>
              <w:t>s</w:t>
            </w:r>
            <w:r w:rsidR="00F44E48">
              <w:t>e ha de suprimir (b)</w:t>
            </w:r>
          </w:p>
        </w:tc>
      </w:tr>
      <w:tr w:rsidR="00F44E48" w:rsidRPr="00360589" w14:paraId="2894E913" w14:textId="77777777" w:rsidTr="00313560">
        <w:trPr>
          <w:cantSplit/>
        </w:trPr>
        <w:tc>
          <w:tcPr>
            <w:tcW w:w="1573" w:type="dxa"/>
          </w:tcPr>
          <w:p w14:paraId="543EDA87" w14:textId="77777777" w:rsidR="00F44E48" w:rsidRPr="00360589" w:rsidRDefault="00F44E48" w:rsidP="00313560">
            <w:pPr>
              <w:jc w:val="left"/>
              <w:rPr>
                <w:rFonts w:cs="Arial"/>
              </w:rPr>
            </w:pPr>
            <w:r>
              <w:rPr>
                <w:snapToGrid w:val="0"/>
                <w:vertAlign w:val="superscript"/>
              </w:rPr>
              <w:t>#</w:t>
            </w:r>
            <w:r>
              <w:t>Car. 9, 14 y 23</w:t>
            </w:r>
          </w:p>
        </w:tc>
        <w:tc>
          <w:tcPr>
            <w:tcW w:w="8208" w:type="dxa"/>
          </w:tcPr>
          <w:p w14:paraId="0A524A7B" w14:textId="77777777" w:rsidR="00F44E48" w:rsidRPr="00360589" w:rsidRDefault="00F44E48" w:rsidP="00313560">
            <w:pPr>
              <w:keepNext/>
              <w:rPr>
                <w:rFonts w:cs="Arial"/>
              </w:rPr>
            </w:pPr>
            <w:r>
              <w:t>se han de añadir variedades ejemplo para los caracteres 9, 14 y 23 (véase el documento TGP/7 (GN 28))</w:t>
            </w:r>
          </w:p>
          <w:p w14:paraId="12001792" w14:textId="77777777" w:rsidR="00F44E48" w:rsidRPr="00360589" w:rsidRDefault="00F44E48" w:rsidP="00313560">
            <w:pPr>
              <w:keepNext/>
              <w:rPr>
                <w:rFonts w:cs="Arial"/>
              </w:rPr>
            </w:pPr>
            <w:r>
              <w:t>(para los caracteres 9 y 14 pueden utilizase las que ilustran los niveles en los Ad. 9 y 14)</w:t>
            </w:r>
          </w:p>
        </w:tc>
      </w:tr>
      <w:tr w:rsidR="00F44E48" w:rsidRPr="00360589" w14:paraId="7A5E17D0"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73BE37BF" w14:textId="77777777" w:rsidR="00F44E48" w:rsidRPr="00360589" w:rsidRDefault="00F44E48" w:rsidP="00313560">
            <w:pPr>
              <w:rPr>
                <w:rFonts w:cs="Arial"/>
              </w:rPr>
            </w:pPr>
            <w:r>
              <w:t>Car. 24</w:t>
            </w:r>
          </w:p>
        </w:tc>
        <w:tc>
          <w:tcPr>
            <w:tcW w:w="8208" w:type="dxa"/>
            <w:tcBorders>
              <w:top w:val="single" w:sz="4" w:space="0" w:color="auto"/>
              <w:left w:val="single" w:sz="4" w:space="0" w:color="auto"/>
              <w:bottom w:val="single" w:sz="4" w:space="0" w:color="auto"/>
              <w:right w:val="single" w:sz="4" w:space="0" w:color="auto"/>
            </w:tcBorders>
          </w:tcPr>
          <w:p w14:paraId="636D7CEA" w14:textId="77777777" w:rsidR="00F44E48" w:rsidRPr="00360589" w:rsidRDefault="00F44E48" w:rsidP="00313560">
            <w:pPr>
              <w:rPr>
                <w:rFonts w:cs="Arial"/>
              </w:rPr>
            </w:pPr>
            <w:r>
              <w:t>“Únicamente variedades con...” puede suprimirse (es obvio que no es posible describir cosas inexistentes).</w:t>
            </w:r>
          </w:p>
        </w:tc>
      </w:tr>
      <w:tr w:rsidR="00F44E48" w:rsidRPr="00360589" w14:paraId="6EE72ECB"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06C47B9B" w14:textId="77777777" w:rsidR="00F44E48" w:rsidRPr="00360589" w:rsidRDefault="00F44E48" w:rsidP="00313560">
            <w:pPr>
              <w:rPr>
                <w:rFonts w:cs="Arial"/>
              </w:rPr>
            </w:pPr>
            <w:r>
              <w:t>8.1 (a)</w:t>
            </w:r>
          </w:p>
        </w:tc>
        <w:tc>
          <w:tcPr>
            <w:tcW w:w="8208" w:type="dxa"/>
            <w:tcBorders>
              <w:top w:val="single" w:sz="4" w:space="0" w:color="auto"/>
              <w:left w:val="single" w:sz="4" w:space="0" w:color="auto"/>
              <w:bottom w:val="single" w:sz="4" w:space="0" w:color="auto"/>
              <w:right w:val="single" w:sz="4" w:space="0" w:color="auto"/>
            </w:tcBorders>
          </w:tcPr>
          <w:p w14:paraId="3AC6924C" w14:textId="77777777" w:rsidR="00F44E48" w:rsidRPr="00360589" w:rsidRDefault="00F44E48" w:rsidP="00313560">
            <w:pPr>
              <w:rPr>
                <w:rFonts w:cs="Arial"/>
              </w:rPr>
            </w:pPr>
            <w:r>
              <w:t>el texto ha de ser: “Las observaciones deberán realizarse en el haz de hojas plenamente desarrolladas de la parte central de la planta.”</w:t>
            </w:r>
          </w:p>
        </w:tc>
      </w:tr>
      <w:tr w:rsidR="00F44E48" w:rsidRPr="00360589" w14:paraId="3B3C4602"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35FB2300" w14:textId="77777777" w:rsidR="00F44E48" w:rsidRPr="00360589" w:rsidRDefault="00F44E48" w:rsidP="00313560">
            <w:pPr>
              <w:rPr>
                <w:rFonts w:cs="Arial"/>
              </w:rPr>
            </w:pPr>
            <w:r>
              <w:t>8.1 (b)</w:t>
            </w:r>
          </w:p>
        </w:tc>
        <w:tc>
          <w:tcPr>
            <w:tcW w:w="8208" w:type="dxa"/>
            <w:tcBorders>
              <w:top w:val="single" w:sz="4" w:space="0" w:color="auto"/>
              <w:left w:val="single" w:sz="4" w:space="0" w:color="auto"/>
              <w:bottom w:val="single" w:sz="4" w:space="0" w:color="auto"/>
              <w:right w:val="single" w:sz="4" w:space="0" w:color="auto"/>
            </w:tcBorders>
          </w:tcPr>
          <w:p w14:paraId="7E7A7736" w14:textId="77777777" w:rsidR="00F44E48" w:rsidRPr="00360589" w:rsidRDefault="00F44E48" w:rsidP="00313560">
            <w:pPr>
              <w:rPr>
                <w:rFonts w:cs="Arial"/>
              </w:rPr>
            </w:pPr>
            <w:r>
              <w:t xml:space="preserve">el texto ha de ser: “Las observaciones deberán efectuarse en la cara interna de una flor totalmente abierta.” </w:t>
            </w:r>
          </w:p>
        </w:tc>
      </w:tr>
      <w:tr w:rsidR="00F44E48" w:rsidRPr="00360589" w14:paraId="062B5708"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12568A14" w14:textId="77777777" w:rsidR="00F44E48" w:rsidRPr="00360589" w:rsidRDefault="00F44E48" w:rsidP="00313560">
            <w:pPr>
              <w:rPr>
                <w:rFonts w:cs="Arial"/>
              </w:rPr>
            </w:pPr>
            <w:r>
              <w:t>8.1 (c)</w:t>
            </w:r>
          </w:p>
        </w:tc>
        <w:tc>
          <w:tcPr>
            <w:tcW w:w="8208" w:type="dxa"/>
            <w:tcBorders>
              <w:top w:val="single" w:sz="4" w:space="0" w:color="auto"/>
              <w:left w:val="single" w:sz="4" w:space="0" w:color="auto"/>
              <w:bottom w:val="single" w:sz="4" w:space="0" w:color="auto"/>
              <w:right w:val="single" w:sz="4" w:space="0" w:color="auto"/>
            </w:tcBorders>
          </w:tcPr>
          <w:p w14:paraId="1CFBE275" w14:textId="10676946" w:rsidR="00F44E48" w:rsidRPr="00360589" w:rsidRDefault="00F44E48" w:rsidP="00313560">
            <w:pPr>
              <w:rPr>
                <w:rFonts w:cs="Arial"/>
              </w:rPr>
            </w:pPr>
            <w:r>
              <w:t>el texto ha de ser: “Las observaciones deberán efectuarse en la cara interna.</w:t>
            </w:r>
            <w:r w:rsidR="00061D29">
              <w:t xml:space="preserve"> </w:t>
            </w:r>
            <w:r>
              <w:t>Salvo indicación en contrario, las observaciones del pétalo en las flores dobles deberán efectuarse en el verticilo más externo de pétalos.”</w:t>
            </w:r>
          </w:p>
        </w:tc>
      </w:tr>
      <w:tr w:rsidR="00F44E48" w:rsidRPr="00360589" w14:paraId="203F6458"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47B68E0B" w14:textId="77777777" w:rsidR="00F44E48" w:rsidRPr="00360589" w:rsidRDefault="00F44E48" w:rsidP="00313560">
            <w:pPr>
              <w:rPr>
                <w:rFonts w:cs="Arial"/>
              </w:rPr>
            </w:pPr>
            <w:r>
              <w:t>Ad. 19</w:t>
            </w:r>
          </w:p>
        </w:tc>
        <w:tc>
          <w:tcPr>
            <w:tcW w:w="8208" w:type="dxa"/>
            <w:tcBorders>
              <w:top w:val="single" w:sz="4" w:space="0" w:color="auto"/>
              <w:left w:val="single" w:sz="4" w:space="0" w:color="auto"/>
              <w:bottom w:val="single" w:sz="4" w:space="0" w:color="auto"/>
              <w:right w:val="single" w:sz="4" w:space="0" w:color="auto"/>
            </w:tcBorders>
          </w:tcPr>
          <w:p w14:paraId="4174286B" w14:textId="77777777" w:rsidR="00F44E48" w:rsidRPr="00360589" w:rsidRDefault="00F44E48" w:rsidP="00313560">
            <w:pPr>
              <w:rPr>
                <w:rFonts w:cs="Arial"/>
              </w:rPr>
            </w:pPr>
            <w:r>
              <w:t>“En variedades con…”</w:t>
            </w:r>
          </w:p>
        </w:tc>
      </w:tr>
      <w:tr w:rsidR="00F44E48" w:rsidRPr="00360589" w14:paraId="6673DFEB" w14:textId="77777777" w:rsidTr="00313560">
        <w:trPr>
          <w:cantSplit/>
        </w:trPr>
        <w:tc>
          <w:tcPr>
            <w:tcW w:w="1573" w:type="dxa"/>
            <w:tcBorders>
              <w:top w:val="single" w:sz="4" w:space="0" w:color="auto"/>
              <w:left w:val="single" w:sz="4" w:space="0" w:color="auto"/>
              <w:bottom w:val="single" w:sz="4" w:space="0" w:color="auto"/>
              <w:right w:val="single" w:sz="4" w:space="0" w:color="auto"/>
            </w:tcBorders>
          </w:tcPr>
          <w:p w14:paraId="3AF944C8" w14:textId="77777777" w:rsidR="00F44E48" w:rsidRPr="00360589" w:rsidRDefault="00F44E48" w:rsidP="00313560">
            <w:pPr>
              <w:rPr>
                <w:rFonts w:cs="Arial"/>
              </w:rPr>
            </w:pPr>
            <w:r>
              <w:t>TQ</w:t>
            </w:r>
          </w:p>
        </w:tc>
        <w:tc>
          <w:tcPr>
            <w:tcW w:w="8208" w:type="dxa"/>
            <w:tcBorders>
              <w:top w:val="single" w:sz="4" w:space="0" w:color="auto"/>
              <w:left w:val="single" w:sz="4" w:space="0" w:color="auto"/>
              <w:bottom w:val="single" w:sz="4" w:space="0" w:color="auto"/>
              <w:right w:val="single" w:sz="4" w:space="0" w:color="auto"/>
            </w:tcBorders>
          </w:tcPr>
          <w:p w14:paraId="07D08B12" w14:textId="77777777" w:rsidR="00F44E48" w:rsidRPr="00360589" w:rsidRDefault="00F44E48" w:rsidP="00313560">
            <w:pPr>
              <w:rPr>
                <w:rFonts w:cs="Arial"/>
              </w:rPr>
            </w:pPr>
            <w:r>
              <w:t>se han de añadir 1.4.1 y 1.4.2 con recuadros vacíos (p. ej. para indicar híbridos interespecíficos)</w:t>
            </w:r>
          </w:p>
        </w:tc>
      </w:tr>
    </w:tbl>
    <w:p w14:paraId="066224EC" w14:textId="77777777" w:rsidR="00F44E48" w:rsidRPr="00360589" w:rsidRDefault="00F44E48" w:rsidP="00F44E48">
      <w:pPr>
        <w:rPr>
          <w:rFonts w:cs="Arial"/>
        </w:rPr>
      </w:pPr>
    </w:p>
    <w:p w14:paraId="7E2F3072" w14:textId="77777777" w:rsidR="00F44E48" w:rsidRDefault="00F44E48" w:rsidP="00F44E48">
      <w:pPr>
        <w:jc w:val="left"/>
      </w:pPr>
    </w:p>
    <w:p w14:paraId="736286E3" w14:textId="77777777" w:rsidR="00F44E48" w:rsidRPr="00824357" w:rsidRDefault="00F44E48" w:rsidP="00F44E48">
      <w:pPr>
        <w:jc w:val="left"/>
      </w:pPr>
    </w:p>
    <w:p w14:paraId="25DDADE0" w14:textId="77777777" w:rsidR="00F44E48" w:rsidRPr="00314A74" w:rsidRDefault="00F44E48" w:rsidP="00F44E48">
      <w:pPr>
        <w:jc w:val="right"/>
        <w:rPr>
          <w:rFonts w:cs="Arial"/>
        </w:rPr>
      </w:pPr>
      <w:r>
        <w:t>[Fin del Anexo II y del documento]</w:t>
      </w:r>
    </w:p>
    <w:p w14:paraId="44642425" w14:textId="77777777" w:rsidR="00050E16" w:rsidRPr="00314A74" w:rsidRDefault="00050E16" w:rsidP="009B440E">
      <w:pPr>
        <w:jc w:val="left"/>
      </w:pPr>
    </w:p>
    <w:sectPr w:rsidR="00050E16" w:rsidRPr="00314A74" w:rsidSect="00F44E48">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758D9" w14:textId="77777777" w:rsidR="006F6CE8" w:rsidRDefault="006F6CE8" w:rsidP="006655D3">
      <w:r>
        <w:separator/>
      </w:r>
    </w:p>
    <w:p w14:paraId="0228442B" w14:textId="77777777" w:rsidR="006F6CE8" w:rsidRDefault="006F6CE8" w:rsidP="006655D3"/>
    <w:p w14:paraId="5DCBD619" w14:textId="77777777" w:rsidR="006F6CE8" w:rsidRDefault="006F6CE8" w:rsidP="006655D3"/>
  </w:endnote>
  <w:endnote w:type="continuationSeparator" w:id="0">
    <w:p w14:paraId="35D001E1" w14:textId="77777777" w:rsidR="006F6CE8" w:rsidRDefault="006F6CE8" w:rsidP="006655D3">
      <w:r>
        <w:separator/>
      </w:r>
    </w:p>
    <w:p w14:paraId="07E4F147" w14:textId="77777777" w:rsidR="006F6CE8" w:rsidRPr="00294751" w:rsidRDefault="006F6CE8">
      <w:pPr>
        <w:pStyle w:val="Footer"/>
        <w:spacing w:after="60"/>
        <w:rPr>
          <w:sz w:val="18"/>
          <w:lang w:val="fr-FR"/>
        </w:rPr>
      </w:pPr>
      <w:r w:rsidRPr="00294751">
        <w:rPr>
          <w:sz w:val="18"/>
          <w:lang w:val="fr-FR"/>
        </w:rPr>
        <w:t>[Suite de la note de la page précédente]</w:t>
      </w:r>
    </w:p>
    <w:p w14:paraId="7508F0C7" w14:textId="77777777" w:rsidR="006F6CE8" w:rsidRPr="00294751" w:rsidRDefault="006F6CE8" w:rsidP="006655D3">
      <w:pPr>
        <w:rPr>
          <w:lang w:val="fr-FR"/>
        </w:rPr>
      </w:pPr>
    </w:p>
    <w:p w14:paraId="730A0723" w14:textId="77777777" w:rsidR="006F6CE8" w:rsidRPr="00294751" w:rsidRDefault="006F6CE8" w:rsidP="006655D3">
      <w:pPr>
        <w:rPr>
          <w:lang w:val="fr-FR"/>
        </w:rPr>
      </w:pPr>
    </w:p>
  </w:endnote>
  <w:endnote w:type="continuationNotice" w:id="1">
    <w:p w14:paraId="1959CAC2" w14:textId="77777777" w:rsidR="006F6CE8" w:rsidRPr="00294751" w:rsidRDefault="006F6CE8" w:rsidP="006655D3">
      <w:pPr>
        <w:rPr>
          <w:lang w:val="fr-FR"/>
        </w:rPr>
      </w:pPr>
      <w:r w:rsidRPr="00294751">
        <w:rPr>
          <w:lang w:val="fr-FR"/>
        </w:rPr>
        <w:t>[Suite de la note page suivante]</w:t>
      </w:r>
    </w:p>
    <w:p w14:paraId="24C4366A" w14:textId="77777777" w:rsidR="006F6CE8" w:rsidRPr="00294751" w:rsidRDefault="006F6CE8" w:rsidP="006655D3">
      <w:pPr>
        <w:rPr>
          <w:lang w:val="fr-FR"/>
        </w:rPr>
      </w:pPr>
    </w:p>
    <w:p w14:paraId="1668545B" w14:textId="77777777" w:rsidR="006F6CE8" w:rsidRPr="00294751" w:rsidRDefault="006F6C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5C79" w14:textId="77777777" w:rsidR="006F6CE8" w:rsidRDefault="006F6CE8" w:rsidP="00313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A04D" w14:textId="77777777" w:rsidR="006F6CE8" w:rsidRDefault="006F6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69C0" w14:textId="77777777" w:rsidR="006F6CE8" w:rsidRDefault="006F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6F99" w14:textId="77777777" w:rsidR="006F6CE8" w:rsidRDefault="006F6CE8" w:rsidP="006655D3">
      <w:r>
        <w:separator/>
      </w:r>
    </w:p>
  </w:footnote>
  <w:footnote w:type="continuationSeparator" w:id="0">
    <w:p w14:paraId="6BE39F81" w14:textId="77777777" w:rsidR="006F6CE8" w:rsidRDefault="006F6CE8" w:rsidP="006655D3">
      <w:r>
        <w:separator/>
      </w:r>
    </w:p>
  </w:footnote>
  <w:footnote w:type="continuationNotice" w:id="1">
    <w:p w14:paraId="24CF1E34" w14:textId="77777777" w:rsidR="006F6CE8" w:rsidRPr="00AB530F" w:rsidRDefault="006F6CE8" w:rsidP="00AB530F">
      <w:pPr>
        <w:pStyle w:val="Footer"/>
      </w:pPr>
    </w:p>
  </w:footnote>
  <w:footnote w:id="2">
    <w:p w14:paraId="2028A643" w14:textId="77777777" w:rsidR="006F6CE8" w:rsidRDefault="006F6CE8" w:rsidP="00DA468B">
      <w:pPr>
        <w:pStyle w:val="FootnoteText"/>
      </w:pPr>
      <w:r>
        <w:rPr>
          <w:rStyle w:val="FootnoteReference"/>
        </w:rPr>
        <w:footnoteRef/>
      </w:r>
      <w:r>
        <w:t xml:space="preserve"> Día del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3A21" w14:textId="77777777" w:rsidR="006F6CE8" w:rsidRPr="007273D4" w:rsidRDefault="006F6CE8" w:rsidP="00313560">
    <w:pPr>
      <w:pStyle w:val="Header"/>
      <w:rPr>
        <w:rStyle w:val="PageNumber"/>
      </w:rPr>
    </w:pPr>
    <w:r>
      <w:rPr>
        <w:rStyle w:val="PageNumber"/>
      </w:rPr>
      <w:t xml:space="preserve">TC/55/25 </w:t>
    </w:r>
  </w:p>
  <w:p w14:paraId="0DE2D417" w14:textId="38643918" w:rsidR="006F6CE8" w:rsidRPr="007273D4" w:rsidRDefault="006F6CE8" w:rsidP="00313560">
    <w:pPr>
      <w:pStyle w:val="Header"/>
    </w:pPr>
    <w:r>
      <w:t xml:space="preserve">página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857E57">
      <w:rPr>
        <w:rStyle w:val="PageNumber"/>
        <w:noProof/>
      </w:rPr>
      <w:t>36</w:t>
    </w:r>
    <w:r w:rsidRPr="00C5280D">
      <w:rPr>
        <w:rStyle w:val="PageNumber"/>
      </w:rPr>
      <w:fldChar w:fldCharType="end"/>
    </w:r>
  </w:p>
  <w:p w14:paraId="51EF3080" w14:textId="77777777" w:rsidR="006F6CE8" w:rsidRPr="007273D4" w:rsidRDefault="006F6CE8" w:rsidP="003135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7661" w14:textId="77777777" w:rsidR="006F6CE8" w:rsidRPr="007273D4" w:rsidRDefault="006F6CE8" w:rsidP="00EB048E">
    <w:pPr>
      <w:pStyle w:val="Header"/>
      <w:rPr>
        <w:rStyle w:val="PageNumber"/>
      </w:rPr>
    </w:pPr>
    <w:r>
      <w:rPr>
        <w:rStyle w:val="PageNumber"/>
      </w:rPr>
      <w:t xml:space="preserve">TC/55/25 </w:t>
    </w:r>
  </w:p>
  <w:p w14:paraId="649E56CE" w14:textId="7885461A" w:rsidR="006F6CE8" w:rsidRPr="007273D4" w:rsidRDefault="006F6CE8" w:rsidP="00EB048E">
    <w:pPr>
      <w:pStyle w:val="Header"/>
    </w:pPr>
    <w:r>
      <w:t xml:space="preserve">página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857E57">
      <w:rPr>
        <w:rStyle w:val="PageNumber"/>
        <w:noProof/>
      </w:rPr>
      <w:t>35</w:t>
    </w:r>
    <w:r w:rsidRPr="00C5280D">
      <w:rPr>
        <w:rStyle w:val="PageNumber"/>
      </w:rPr>
      <w:fldChar w:fldCharType="end"/>
    </w:r>
  </w:p>
  <w:p w14:paraId="29750882" w14:textId="77777777" w:rsidR="006F6CE8" w:rsidRPr="007273D4" w:rsidRDefault="006F6CE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65AF" w14:textId="77777777" w:rsidR="006F6CE8" w:rsidRPr="00CC1E1E" w:rsidRDefault="006F6CE8" w:rsidP="00F03375">
    <w:pPr>
      <w:jc w:val="center"/>
      <w:rPr>
        <w:rFonts w:cs="Arial"/>
        <w:lang w:val="en-US"/>
      </w:rPr>
    </w:pPr>
    <w:r w:rsidRPr="00CC1E1E">
      <w:rPr>
        <w:lang w:val="en-US"/>
      </w:rPr>
      <w:t>TC/55/25</w:t>
    </w:r>
  </w:p>
  <w:p w14:paraId="03B6C53E" w14:textId="77777777" w:rsidR="006F6CE8" w:rsidRPr="00CC1E1E" w:rsidRDefault="006F6CE8" w:rsidP="00F03375">
    <w:pPr>
      <w:pStyle w:val="Header"/>
      <w:rPr>
        <w:lang w:val="en-US"/>
      </w:rPr>
    </w:pPr>
    <w:r w:rsidRPr="00CC1E1E">
      <w:rPr>
        <w:lang w:val="en-US"/>
      </w:rPr>
      <w:t>Annexe I / Annex I / Anlage I / Anexo I</w:t>
    </w:r>
  </w:p>
  <w:p w14:paraId="15B986C3" w14:textId="688DA91D" w:rsidR="006F6CE8" w:rsidRDefault="006F6CE8" w:rsidP="00F03375">
    <w:pPr>
      <w:jc w:val="center"/>
      <w:rPr>
        <w:rFonts w:cs="Arial"/>
      </w:rPr>
    </w:pPr>
    <w: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857E57">
      <w:rPr>
        <w:rStyle w:val="PageNumber"/>
        <w:rFonts w:cs="Arial"/>
        <w:noProof/>
      </w:rPr>
      <w:t>10</w:t>
    </w:r>
    <w:r w:rsidRPr="00816DBD">
      <w:rPr>
        <w:rStyle w:val="PageNumber"/>
        <w:rFonts w:cs="Arial"/>
      </w:rPr>
      <w:fldChar w:fldCharType="end"/>
    </w:r>
    <w:r>
      <w:rPr>
        <w:rStyle w:val="PageNumber"/>
      </w:rPr>
      <w:t xml:space="preserve"> </w:t>
    </w:r>
    <w:r>
      <w:t xml:space="preserve">/ Seite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857E57">
      <w:rPr>
        <w:rStyle w:val="PageNumber"/>
        <w:rFonts w:cs="Arial"/>
        <w:noProof/>
      </w:rPr>
      <w:t>10</w:t>
    </w:r>
    <w:r w:rsidRPr="00816DBD">
      <w:rPr>
        <w:rStyle w:val="PageNumber"/>
        <w:rFonts w:cs="Arial"/>
      </w:rPr>
      <w:fldChar w:fldCharType="end"/>
    </w:r>
    <w:r>
      <w:rPr>
        <w:rStyle w:val="PageNumber"/>
      </w:rPr>
      <w:t xml:space="preserve"> </w:t>
    </w:r>
    <w:r>
      <w:t xml:space="preserve">/ página </w:t>
    </w:r>
    <w:r w:rsidRPr="00816DBD">
      <w:rPr>
        <w:rFonts w:cs="Arial"/>
      </w:rPr>
      <w:fldChar w:fldCharType="begin"/>
    </w:r>
    <w:r w:rsidRPr="00816DBD">
      <w:rPr>
        <w:rFonts w:cs="Arial"/>
      </w:rPr>
      <w:instrText xml:space="preserve"> PAGE  \* MERGEFORMAT </w:instrText>
    </w:r>
    <w:r w:rsidRPr="00816DBD">
      <w:rPr>
        <w:rFonts w:cs="Arial"/>
      </w:rPr>
      <w:fldChar w:fldCharType="separate"/>
    </w:r>
    <w:r w:rsidR="00857E57">
      <w:rPr>
        <w:rFonts w:cs="Arial"/>
        <w:noProof/>
      </w:rPr>
      <w:t>10</w:t>
    </w:r>
    <w:r w:rsidRPr="00816DBD">
      <w:rPr>
        <w:rFonts w:cs="Arial"/>
      </w:rPr>
      <w:fldChar w:fldCharType="end"/>
    </w:r>
  </w:p>
  <w:p w14:paraId="097392E7" w14:textId="77777777" w:rsidR="006F6CE8" w:rsidRPr="007273D4" w:rsidRDefault="006F6CE8" w:rsidP="00F03375">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904C" w14:textId="77777777" w:rsidR="006F6CE8" w:rsidRPr="00CC1E1E" w:rsidRDefault="006F6CE8" w:rsidP="00F03375">
    <w:pPr>
      <w:jc w:val="center"/>
      <w:rPr>
        <w:rFonts w:cs="Arial"/>
        <w:lang w:val="en-US"/>
      </w:rPr>
    </w:pPr>
    <w:r w:rsidRPr="00CC1E1E">
      <w:rPr>
        <w:lang w:val="en-US"/>
      </w:rPr>
      <w:t>TC/55/25</w:t>
    </w:r>
  </w:p>
  <w:p w14:paraId="0C3E831D" w14:textId="77777777" w:rsidR="006F6CE8" w:rsidRPr="00CC1E1E" w:rsidRDefault="006F6CE8" w:rsidP="00F03375">
    <w:pPr>
      <w:pStyle w:val="Header"/>
      <w:rPr>
        <w:lang w:val="en-US"/>
      </w:rPr>
    </w:pPr>
    <w:r w:rsidRPr="00CC1E1E">
      <w:rPr>
        <w:lang w:val="en-US"/>
      </w:rPr>
      <w:t>Annexe I / Annex I / Anlage I / Anexo I</w:t>
    </w:r>
  </w:p>
  <w:p w14:paraId="5538984C" w14:textId="2E72EDA6" w:rsidR="006F6CE8" w:rsidRDefault="006F6CE8" w:rsidP="00F03375">
    <w:pPr>
      <w:jc w:val="center"/>
      <w:rPr>
        <w:rFonts w:cs="Arial"/>
      </w:rPr>
    </w:pPr>
    <w: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857E57">
      <w:rPr>
        <w:rStyle w:val="PageNumber"/>
        <w:rFonts w:cs="Arial"/>
        <w:noProof/>
      </w:rPr>
      <w:t>9</w:t>
    </w:r>
    <w:r w:rsidRPr="00816DBD">
      <w:rPr>
        <w:rStyle w:val="PageNumber"/>
        <w:rFonts w:cs="Arial"/>
      </w:rPr>
      <w:fldChar w:fldCharType="end"/>
    </w:r>
    <w:r>
      <w:rPr>
        <w:rStyle w:val="PageNumber"/>
      </w:rPr>
      <w:t xml:space="preserve"> </w:t>
    </w:r>
    <w:r>
      <w:t xml:space="preserve">/ Seite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857E57">
      <w:rPr>
        <w:rStyle w:val="PageNumber"/>
        <w:rFonts w:cs="Arial"/>
        <w:noProof/>
      </w:rPr>
      <w:t>9</w:t>
    </w:r>
    <w:r w:rsidRPr="00816DBD">
      <w:rPr>
        <w:rStyle w:val="PageNumber"/>
        <w:rFonts w:cs="Arial"/>
      </w:rPr>
      <w:fldChar w:fldCharType="end"/>
    </w:r>
    <w:r>
      <w:rPr>
        <w:rStyle w:val="PageNumber"/>
      </w:rPr>
      <w:t xml:space="preserve"> </w:t>
    </w:r>
    <w:r>
      <w:t xml:space="preserve">/ página </w:t>
    </w:r>
    <w:r w:rsidRPr="00816DBD">
      <w:rPr>
        <w:rFonts w:cs="Arial"/>
      </w:rPr>
      <w:fldChar w:fldCharType="begin"/>
    </w:r>
    <w:r w:rsidRPr="00816DBD">
      <w:rPr>
        <w:rFonts w:cs="Arial"/>
      </w:rPr>
      <w:instrText xml:space="preserve"> PAGE  \* MERGEFORMAT </w:instrText>
    </w:r>
    <w:r w:rsidRPr="00816DBD">
      <w:rPr>
        <w:rFonts w:cs="Arial"/>
      </w:rPr>
      <w:fldChar w:fldCharType="separate"/>
    </w:r>
    <w:r w:rsidR="00857E57">
      <w:rPr>
        <w:rFonts w:cs="Arial"/>
        <w:noProof/>
      </w:rPr>
      <w:t>9</w:t>
    </w:r>
    <w:r w:rsidRPr="00816DBD">
      <w:rPr>
        <w:rFonts w:cs="Arial"/>
      </w:rPr>
      <w:fldChar w:fldCharType="end"/>
    </w:r>
  </w:p>
  <w:p w14:paraId="77376E41" w14:textId="77777777" w:rsidR="006F6CE8" w:rsidRPr="007273D4" w:rsidRDefault="006F6CE8" w:rsidP="00F03375">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F5D0" w14:textId="77777777" w:rsidR="006F6CE8" w:rsidRPr="00CC1E1E" w:rsidRDefault="006F6CE8" w:rsidP="00F03375">
    <w:pPr>
      <w:pStyle w:val="Header"/>
      <w:rPr>
        <w:lang w:val="en-US"/>
      </w:rPr>
    </w:pPr>
    <w:r w:rsidRPr="00CC1E1E">
      <w:rPr>
        <w:lang w:val="en-US"/>
      </w:rPr>
      <w:t>TC/55/25</w:t>
    </w:r>
  </w:p>
  <w:p w14:paraId="73350B1F" w14:textId="77777777" w:rsidR="006F6CE8" w:rsidRPr="00CC1E1E" w:rsidRDefault="006F6CE8" w:rsidP="00F03375">
    <w:pPr>
      <w:pStyle w:val="Header"/>
      <w:rPr>
        <w:lang w:val="en-US"/>
      </w:rPr>
    </w:pPr>
  </w:p>
  <w:p w14:paraId="54F886F1" w14:textId="77777777" w:rsidR="006F6CE8" w:rsidRPr="00CC1E1E" w:rsidRDefault="006F6CE8" w:rsidP="00F03375">
    <w:pPr>
      <w:pStyle w:val="Header"/>
      <w:rPr>
        <w:lang w:val="en-US"/>
      </w:rPr>
    </w:pPr>
    <w:r w:rsidRPr="00CC1E1E">
      <w:rPr>
        <w:lang w:val="en-US"/>
      </w:rPr>
      <w:t>ANNEXE I / ANNEX I / ANLAGE I / ANEXO I</w:t>
    </w:r>
  </w:p>
  <w:p w14:paraId="5D5DADEE" w14:textId="77777777" w:rsidR="006F6CE8" w:rsidRPr="00CC1E1E" w:rsidRDefault="006F6CE8" w:rsidP="00F0337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63ED" w14:textId="77777777" w:rsidR="006F6CE8" w:rsidRDefault="006F6CE8" w:rsidP="00313560">
    <w:pPr>
      <w:pStyle w:val="Header"/>
      <w:rPr>
        <w:rStyle w:val="PageNumber"/>
      </w:rPr>
    </w:pPr>
    <w:r>
      <w:rPr>
        <w:rStyle w:val="PageNumber"/>
      </w:rPr>
      <w:t xml:space="preserve">TC/55/25 </w:t>
    </w:r>
  </w:p>
  <w:p w14:paraId="4B9F4DBE" w14:textId="392EEED6" w:rsidR="006F6CE8" w:rsidRPr="007273D4" w:rsidRDefault="006F6CE8" w:rsidP="00313560">
    <w:pPr>
      <w:pStyle w:val="Header"/>
    </w:pPr>
    <w:r>
      <w:t xml:space="preserve">Anexo II, página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857E57">
      <w:rPr>
        <w:rStyle w:val="PageNumber"/>
        <w:noProof/>
      </w:rPr>
      <w:t>2</w:t>
    </w:r>
    <w:r w:rsidRPr="00C5280D">
      <w:rPr>
        <w:rStyle w:val="PageNumber"/>
      </w:rPr>
      <w:fldChar w:fldCharType="end"/>
    </w:r>
  </w:p>
  <w:p w14:paraId="39765946" w14:textId="77777777" w:rsidR="006F6CE8" w:rsidRPr="007273D4" w:rsidRDefault="006F6CE8" w:rsidP="0031356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50D2" w14:textId="77777777" w:rsidR="006F6CE8" w:rsidRDefault="006F6CE8" w:rsidP="00EB048E">
    <w:pPr>
      <w:pStyle w:val="Header"/>
      <w:rPr>
        <w:rStyle w:val="PageNumber"/>
      </w:rPr>
    </w:pPr>
    <w:r>
      <w:rPr>
        <w:rStyle w:val="PageNumber"/>
      </w:rPr>
      <w:t xml:space="preserve">TC/55/25 </w:t>
    </w:r>
  </w:p>
  <w:p w14:paraId="12447337" w14:textId="441EB4B4" w:rsidR="006F6CE8" w:rsidRPr="007273D4" w:rsidRDefault="006F6CE8" w:rsidP="00EB048E">
    <w:pPr>
      <w:pStyle w:val="Header"/>
    </w:pPr>
    <w:r>
      <w:t xml:space="preserve">Anexo II, página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857E57">
      <w:rPr>
        <w:rStyle w:val="PageNumber"/>
        <w:noProof/>
      </w:rPr>
      <w:t>3</w:t>
    </w:r>
    <w:r w:rsidRPr="00C5280D">
      <w:rPr>
        <w:rStyle w:val="PageNumber"/>
      </w:rPr>
      <w:fldChar w:fldCharType="end"/>
    </w:r>
  </w:p>
  <w:p w14:paraId="6704C02C" w14:textId="77777777" w:rsidR="006F6CE8" w:rsidRPr="007273D4" w:rsidRDefault="006F6CE8"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D579" w14:textId="77777777" w:rsidR="006F6CE8" w:rsidRDefault="006F6CE8">
    <w:pPr>
      <w:pStyle w:val="Header"/>
    </w:pPr>
    <w:r>
      <w:t xml:space="preserve">TC/55/25 </w:t>
    </w:r>
  </w:p>
  <w:p w14:paraId="705A4D49" w14:textId="77777777" w:rsidR="006F6CE8" w:rsidRDefault="006F6CE8">
    <w:pPr>
      <w:pStyle w:val="Header"/>
    </w:pPr>
  </w:p>
  <w:p w14:paraId="5353CA8D" w14:textId="77777777" w:rsidR="006F6CE8" w:rsidRDefault="006F6CE8">
    <w:pPr>
      <w:pStyle w:val="Header"/>
    </w:pPr>
    <w:r>
      <w:t>ANEXO II</w:t>
    </w:r>
  </w:p>
  <w:p w14:paraId="508E65C1" w14:textId="77777777" w:rsidR="006F6CE8" w:rsidRPr="000C3495" w:rsidRDefault="006F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E7"/>
    <w:multiLevelType w:val="hybridMultilevel"/>
    <w:tmpl w:val="BDEA3952"/>
    <w:lvl w:ilvl="0" w:tplc="66FC4678">
      <w:start w:val="1"/>
      <w:numFmt w:val="decimal"/>
      <w:lvlText w:val="%1."/>
      <w:lvlJc w:val="left"/>
      <w:pPr>
        <w:tabs>
          <w:tab w:val="num" w:pos="1137"/>
        </w:tabs>
        <w:ind w:left="1137" w:hanging="570"/>
      </w:p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83318"/>
    <w:multiLevelType w:val="hybridMultilevel"/>
    <w:tmpl w:val="B72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3625"/>
    <w:multiLevelType w:val="hybridMultilevel"/>
    <w:tmpl w:val="DCFC472A"/>
    <w:lvl w:ilvl="0" w:tplc="45B471E6">
      <w:numFmt w:val="bullet"/>
      <w:lvlText w:val="-"/>
      <w:lvlJc w:val="left"/>
      <w:pPr>
        <w:ind w:left="720" w:hanging="360"/>
      </w:pPr>
      <w:rPr>
        <w:rFonts w:ascii="ArialMT" w:eastAsia="Cambria"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66DB3"/>
    <w:multiLevelType w:val="hybridMultilevel"/>
    <w:tmpl w:val="82BE4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124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5"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348"/>
    <w:multiLevelType w:val="hybridMultilevel"/>
    <w:tmpl w:val="1B2832DC"/>
    <w:lvl w:ilvl="0" w:tplc="25E2ADC0">
      <w:start w:val="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FBF35DC"/>
    <w:multiLevelType w:val="hybridMultilevel"/>
    <w:tmpl w:val="D56AF982"/>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3515"/>
    <w:multiLevelType w:val="hybridMultilevel"/>
    <w:tmpl w:val="39F845C4"/>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C7E68"/>
    <w:multiLevelType w:val="hybridMultilevel"/>
    <w:tmpl w:val="485C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5972C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3" w15:restartNumberingAfterBreak="0">
    <w:nsid w:val="65B10EA8"/>
    <w:multiLevelType w:val="hybridMultilevel"/>
    <w:tmpl w:val="EEB08F58"/>
    <w:lvl w:ilvl="0" w:tplc="D40A296E">
      <w:start w:val="1"/>
      <w:numFmt w:val="lowerLetter"/>
      <w:lvlText w:val="%1)"/>
      <w:lvlJc w:val="left"/>
      <w:pPr>
        <w:ind w:left="1494" w:hanging="360"/>
      </w:pPr>
      <w:rPr>
        <w:rFonts w:cs="Times New Roman"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4" w15:restartNumberingAfterBreak="0">
    <w:nsid w:val="699D0B31"/>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351998"/>
    <w:multiLevelType w:val="hybridMultilevel"/>
    <w:tmpl w:val="E9806D10"/>
    <w:lvl w:ilvl="0" w:tplc="57745882">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6"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7"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16206"/>
    <w:multiLevelType w:val="hybridMultilevel"/>
    <w:tmpl w:val="B3D6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6"/>
  </w:num>
  <w:num w:numId="3">
    <w:abstractNumId w:val="0"/>
  </w:num>
  <w:num w:numId="4">
    <w:abstractNumId w:val="4"/>
  </w:num>
  <w:num w:numId="5">
    <w:abstractNumId w:val="22"/>
  </w:num>
  <w:num w:numId="6">
    <w:abstractNumId w:val="24"/>
  </w:num>
  <w:num w:numId="7">
    <w:abstractNumId w:val="13"/>
  </w:num>
  <w:num w:numId="8">
    <w:abstractNumId w:val="8"/>
  </w:num>
  <w:num w:numId="9">
    <w:abstractNumId w:val="5"/>
  </w:num>
  <w:num w:numId="10">
    <w:abstractNumId w:val="14"/>
  </w:num>
  <w:num w:numId="11">
    <w:abstractNumId w:val="20"/>
  </w:num>
  <w:num w:numId="12">
    <w:abstractNumId w:val="17"/>
  </w:num>
  <w:num w:numId="13">
    <w:abstractNumId w:val="1"/>
  </w:num>
  <w:num w:numId="14">
    <w:abstractNumId w:val="2"/>
  </w:num>
  <w:num w:numId="15">
    <w:abstractNumId w:val="29"/>
  </w:num>
  <w:num w:numId="16">
    <w:abstractNumId w:val="15"/>
  </w:num>
  <w:num w:numId="17">
    <w:abstractNumId w:val="21"/>
  </w:num>
  <w:num w:numId="18">
    <w:abstractNumId w:val="11"/>
    <w:lvlOverride w:ilvl="0">
      <w:startOverride w:val="1"/>
    </w:lvlOverride>
  </w:num>
  <w:num w:numId="19">
    <w:abstractNumId w:val="7"/>
    <w:lvlOverride w:ilvl="0">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0"/>
  </w:num>
  <w:num w:numId="24">
    <w:abstractNumId w:val="16"/>
  </w:num>
  <w:num w:numId="25">
    <w:abstractNumId w:val="6"/>
  </w:num>
  <w:num w:numId="26">
    <w:abstractNumId w:val="18"/>
  </w:num>
  <w:num w:numId="27">
    <w:abstractNumId w:val="12"/>
  </w:num>
  <w:num w:numId="28">
    <w:abstractNumId w:val="28"/>
  </w:num>
  <w:num w:numId="29">
    <w:abstractNumId w:val="9"/>
  </w:num>
  <w:num w:numId="30">
    <w:abstractNumId w:val="25"/>
  </w:num>
  <w:num w:numId="3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CH"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pt-BR" w:vendorID="64" w:dllVersion="6" w:nlCheck="1" w:checkStyle="0"/>
  <w:activeWritingStyle w:appName="MSWord" w:lang="es-419"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fr-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A57"/>
    <w:rsid w:val="00010CF3"/>
    <w:rsid w:val="00011E27"/>
    <w:rsid w:val="000148BC"/>
    <w:rsid w:val="00016DFA"/>
    <w:rsid w:val="00021FC8"/>
    <w:rsid w:val="00024AB8"/>
    <w:rsid w:val="00030854"/>
    <w:rsid w:val="00030BAC"/>
    <w:rsid w:val="00034F3D"/>
    <w:rsid w:val="00036028"/>
    <w:rsid w:val="00044642"/>
    <w:rsid w:val="000446B9"/>
    <w:rsid w:val="00047E21"/>
    <w:rsid w:val="000503A3"/>
    <w:rsid w:val="00050E16"/>
    <w:rsid w:val="00052028"/>
    <w:rsid w:val="0005241D"/>
    <w:rsid w:val="0006112F"/>
    <w:rsid w:val="00061D29"/>
    <w:rsid w:val="00063ACE"/>
    <w:rsid w:val="000714B3"/>
    <w:rsid w:val="00077226"/>
    <w:rsid w:val="00085505"/>
    <w:rsid w:val="00086ACD"/>
    <w:rsid w:val="00086C47"/>
    <w:rsid w:val="00087A99"/>
    <w:rsid w:val="00093374"/>
    <w:rsid w:val="00093F1E"/>
    <w:rsid w:val="000A2721"/>
    <w:rsid w:val="000B161B"/>
    <w:rsid w:val="000B28D3"/>
    <w:rsid w:val="000B51E9"/>
    <w:rsid w:val="000C3495"/>
    <w:rsid w:val="000C4E25"/>
    <w:rsid w:val="000C7021"/>
    <w:rsid w:val="000D1484"/>
    <w:rsid w:val="000D2EA4"/>
    <w:rsid w:val="000D5FC9"/>
    <w:rsid w:val="000D6BBC"/>
    <w:rsid w:val="000D7780"/>
    <w:rsid w:val="000E40F5"/>
    <w:rsid w:val="000E636A"/>
    <w:rsid w:val="000F0F1B"/>
    <w:rsid w:val="000F2F11"/>
    <w:rsid w:val="000F5260"/>
    <w:rsid w:val="00105929"/>
    <w:rsid w:val="00110C36"/>
    <w:rsid w:val="001131D5"/>
    <w:rsid w:val="00117C58"/>
    <w:rsid w:val="00127374"/>
    <w:rsid w:val="001302FB"/>
    <w:rsid w:val="0013031C"/>
    <w:rsid w:val="001351F0"/>
    <w:rsid w:val="0013549E"/>
    <w:rsid w:val="00136035"/>
    <w:rsid w:val="00136DE9"/>
    <w:rsid w:val="00141DB8"/>
    <w:rsid w:val="00151432"/>
    <w:rsid w:val="001548C8"/>
    <w:rsid w:val="0016122C"/>
    <w:rsid w:val="00167340"/>
    <w:rsid w:val="00172084"/>
    <w:rsid w:val="0017474A"/>
    <w:rsid w:val="001758C6"/>
    <w:rsid w:val="00182B99"/>
    <w:rsid w:val="00183D24"/>
    <w:rsid w:val="0019252A"/>
    <w:rsid w:val="00195746"/>
    <w:rsid w:val="001A473A"/>
    <w:rsid w:val="001A7CB5"/>
    <w:rsid w:val="001B59D5"/>
    <w:rsid w:val="001C59C4"/>
    <w:rsid w:val="001D36AC"/>
    <w:rsid w:val="001D529F"/>
    <w:rsid w:val="001D569C"/>
    <w:rsid w:val="001D5C48"/>
    <w:rsid w:val="001D6241"/>
    <w:rsid w:val="001E6BD6"/>
    <w:rsid w:val="001F08C1"/>
    <w:rsid w:val="0021109A"/>
    <w:rsid w:val="0021332C"/>
    <w:rsid w:val="00213982"/>
    <w:rsid w:val="00216732"/>
    <w:rsid w:val="00222BFA"/>
    <w:rsid w:val="002230E4"/>
    <w:rsid w:val="0023263A"/>
    <w:rsid w:val="00236B46"/>
    <w:rsid w:val="00242143"/>
    <w:rsid w:val="0024416D"/>
    <w:rsid w:val="00250786"/>
    <w:rsid w:val="002518E1"/>
    <w:rsid w:val="00257D16"/>
    <w:rsid w:val="00263253"/>
    <w:rsid w:val="00271911"/>
    <w:rsid w:val="002800A0"/>
    <w:rsid w:val="002801B3"/>
    <w:rsid w:val="00281060"/>
    <w:rsid w:val="002849CE"/>
    <w:rsid w:val="00285EF8"/>
    <w:rsid w:val="002940E8"/>
    <w:rsid w:val="002944CB"/>
    <w:rsid w:val="00294751"/>
    <w:rsid w:val="002A021C"/>
    <w:rsid w:val="002A0553"/>
    <w:rsid w:val="002A0DA3"/>
    <w:rsid w:val="002A21C1"/>
    <w:rsid w:val="002A5FD3"/>
    <w:rsid w:val="002A6084"/>
    <w:rsid w:val="002A6E50"/>
    <w:rsid w:val="002B4298"/>
    <w:rsid w:val="002C256A"/>
    <w:rsid w:val="002C6676"/>
    <w:rsid w:val="002D75E7"/>
    <w:rsid w:val="002E14AD"/>
    <w:rsid w:val="002E21C7"/>
    <w:rsid w:val="002E31D4"/>
    <w:rsid w:val="002F1506"/>
    <w:rsid w:val="003032A8"/>
    <w:rsid w:val="00304827"/>
    <w:rsid w:val="00305A7F"/>
    <w:rsid w:val="00305C4E"/>
    <w:rsid w:val="003127D5"/>
    <w:rsid w:val="00313560"/>
    <w:rsid w:val="003149E1"/>
    <w:rsid w:val="00314A74"/>
    <w:rsid w:val="003152FE"/>
    <w:rsid w:val="00321B98"/>
    <w:rsid w:val="00321EDE"/>
    <w:rsid w:val="00325F97"/>
    <w:rsid w:val="00327436"/>
    <w:rsid w:val="003311C6"/>
    <w:rsid w:val="0034131D"/>
    <w:rsid w:val="003418E6"/>
    <w:rsid w:val="003430DA"/>
    <w:rsid w:val="00343F0D"/>
    <w:rsid w:val="00344BD6"/>
    <w:rsid w:val="00352B9A"/>
    <w:rsid w:val="0035528D"/>
    <w:rsid w:val="00361821"/>
    <w:rsid w:val="00361E9E"/>
    <w:rsid w:val="00365B6D"/>
    <w:rsid w:val="00367B73"/>
    <w:rsid w:val="0037359D"/>
    <w:rsid w:val="00382007"/>
    <w:rsid w:val="00392C27"/>
    <w:rsid w:val="003A013C"/>
    <w:rsid w:val="003A5012"/>
    <w:rsid w:val="003C3722"/>
    <w:rsid w:val="003C7FBE"/>
    <w:rsid w:val="003D227C"/>
    <w:rsid w:val="003D2B4D"/>
    <w:rsid w:val="003D41CD"/>
    <w:rsid w:val="003E4AB1"/>
    <w:rsid w:val="003E646B"/>
    <w:rsid w:val="003F1F9C"/>
    <w:rsid w:val="00412DC1"/>
    <w:rsid w:val="00417047"/>
    <w:rsid w:val="00442E21"/>
    <w:rsid w:val="00444A88"/>
    <w:rsid w:val="00444F95"/>
    <w:rsid w:val="00447F85"/>
    <w:rsid w:val="00452868"/>
    <w:rsid w:val="00453CC4"/>
    <w:rsid w:val="004542DB"/>
    <w:rsid w:val="00455D48"/>
    <w:rsid w:val="004661A0"/>
    <w:rsid w:val="004664CC"/>
    <w:rsid w:val="004708DF"/>
    <w:rsid w:val="00474DA4"/>
    <w:rsid w:val="00476B4D"/>
    <w:rsid w:val="004805FA"/>
    <w:rsid w:val="0048271B"/>
    <w:rsid w:val="00486628"/>
    <w:rsid w:val="004927D4"/>
    <w:rsid w:val="004930FA"/>
    <w:rsid w:val="004935D2"/>
    <w:rsid w:val="00493E6F"/>
    <w:rsid w:val="00496155"/>
    <w:rsid w:val="00496E85"/>
    <w:rsid w:val="004A018B"/>
    <w:rsid w:val="004A6CF8"/>
    <w:rsid w:val="004B1215"/>
    <w:rsid w:val="004B2C3A"/>
    <w:rsid w:val="004B3E56"/>
    <w:rsid w:val="004B577C"/>
    <w:rsid w:val="004B7498"/>
    <w:rsid w:val="004B7A69"/>
    <w:rsid w:val="004C1026"/>
    <w:rsid w:val="004C2045"/>
    <w:rsid w:val="004C77BE"/>
    <w:rsid w:val="004D047D"/>
    <w:rsid w:val="004D5F9C"/>
    <w:rsid w:val="004D7030"/>
    <w:rsid w:val="004E6B70"/>
    <w:rsid w:val="004F1E9E"/>
    <w:rsid w:val="004F305A"/>
    <w:rsid w:val="004F3CE4"/>
    <w:rsid w:val="004F7C4A"/>
    <w:rsid w:val="004F7E74"/>
    <w:rsid w:val="00506D2C"/>
    <w:rsid w:val="00512164"/>
    <w:rsid w:val="005130F6"/>
    <w:rsid w:val="00513417"/>
    <w:rsid w:val="005170BC"/>
    <w:rsid w:val="005178B3"/>
    <w:rsid w:val="00520297"/>
    <w:rsid w:val="005260AF"/>
    <w:rsid w:val="005324E4"/>
    <w:rsid w:val="0053305D"/>
    <w:rsid w:val="005338F9"/>
    <w:rsid w:val="00536FFD"/>
    <w:rsid w:val="0054281C"/>
    <w:rsid w:val="00544426"/>
    <w:rsid w:val="00544581"/>
    <w:rsid w:val="00547A4C"/>
    <w:rsid w:val="005525C3"/>
    <w:rsid w:val="0055268D"/>
    <w:rsid w:val="00566CD4"/>
    <w:rsid w:val="005760DA"/>
    <w:rsid w:val="00576BE4"/>
    <w:rsid w:val="00590AF1"/>
    <w:rsid w:val="00590D99"/>
    <w:rsid w:val="00596B90"/>
    <w:rsid w:val="005A2509"/>
    <w:rsid w:val="005A400A"/>
    <w:rsid w:val="005A7182"/>
    <w:rsid w:val="005A771F"/>
    <w:rsid w:val="005B46E9"/>
    <w:rsid w:val="005B4FE8"/>
    <w:rsid w:val="005D053B"/>
    <w:rsid w:val="005D0B13"/>
    <w:rsid w:val="005D2CBB"/>
    <w:rsid w:val="005D30B3"/>
    <w:rsid w:val="005E23BF"/>
    <w:rsid w:val="005E5A30"/>
    <w:rsid w:val="005E72DA"/>
    <w:rsid w:val="005F1109"/>
    <w:rsid w:val="005F7B92"/>
    <w:rsid w:val="00600D0F"/>
    <w:rsid w:val="0060117E"/>
    <w:rsid w:val="00603409"/>
    <w:rsid w:val="0060568F"/>
    <w:rsid w:val="00612379"/>
    <w:rsid w:val="006153B6"/>
    <w:rsid w:val="0061555F"/>
    <w:rsid w:val="00617646"/>
    <w:rsid w:val="00617E79"/>
    <w:rsid w:val="006221F7"/>
    <w:rsid w:val="006226E9"/>
    <w:rsid w:val="006227CD"/>
    <w:rsid w:val="0062522B"/>
    <w:rsid w:val="0062546B"/>
    <w:rsid w:val="0062665B"/>
    <w:rsid w:val="0063030A"/>
    <w:rsid w:val="00631090"/>
    <w:rsid w:val="0063221E"/>
    <w:rsid w:val="00636CA6"/>
    <w:rsid w:val="00641200"/>
    <w:rsid w:val="0064482F"/>
    <w:rsid w:val="00645CA8"/>
    <w:rsid w:val="00645DEF"/>
    <w:rsid w:val="00651CC3"/>
    <w:rsid w:val="006655D3"/>
    <w:rsid w:val="00667404"/>
    <w:rsid w:val="0067077B"/>
    <w:rsid w:val="0067452A"/>
    <w:rsid w:val="00676579"/>
    <w:rsid w:val="006766F4"/>
    <w:rsid w:val="006772A0"/>
    <w:rsid w:val="00683151"/>
    <w:rsid w:val="00687EB4"/>
    <w:rsid w:val="006909E1"/>
    <w:rsid w:val="0069221D"/>
    <w:rsid w:val="00695C56"/>
    <w:rsid w:val="00697BC9"/>
    <w:rsid w:val="006A0B56"/>
    <w:rsid w:val="006A1801"/>
    <w:rsid w:val="006A3AAD"/>
    <w:rsid w:val="006A4059"/>
    <w:rsid w:val="006A5CDE"/>
    <w:rsid w:val="006A61B0"/>
    <w:rsid w:val="006A644A"/>
    <w:rsid w:val="006B0F79"/>
    <w:rsid w:val="006B17D2"/>
    <w:rsid w:val="006B5D75"/>
    <w:rsid w:val="006C224E"/>
    <w:rsid w:val="006D7435"/>
    <w:rsid w:val="006D780A"/>
    <w:rsid w:val="006E115D"/>
    <w:rsid w:val="006E532C"/>
    <w:rsid w:val="006E63B3"/>
    <w:rsid w:val="006F6140"/>
    <w:rsid w:val="006F6CE8"/>
    <w:rsid w:val="00702DFC"/>
    <w:rsid w:val="00705162"/>
    <w:rsid w:val="00705261"/>
    <w:rsid w:val="0071271E"/>
    <w:rsid w:val="00722D49"/>
    <w:rsid w:val="00725951"/>
    <w:rsid w:val="007273D4"/>
    <w:rsid w:val="007306BA"/>
    <w:rsid w:val="0073189C"/>
    <w:rsid w:val="00732DEC"/>
    <w:rsid w:val="00735BD5"/>
    <w:rsid w:val="00742B0B"/>
    <w:rsid w:val="0074366D"/>
    <w:rsid w:val="00747729"/>
    <w:rsid w:val="00751613"/>
    <w:rsid w:val="007556F6"/>
    <w:rsid w:val="00760EEF"/>
    <w:rsid w:val="00760FCB"/>
    <w:rsid w:val="00761933"/>
    <w:rsid w:val="007707B1"/>
    <w:rsid w:val="00777EE5"/>
    <w:rsid w:val="00784836"/>
    <w:rsid w:val="0079023E"/>
    <w:rsid w:val="007935D0"/>
    <w:rsid w:val="00793E1E"/>
    <w:rsid w:val="007A002D"/>
    <w:rsid w:val="007A0EA4"/>
    <w:rsid w:val="007A2710"/>
    <w:rsid w:val="007A2854"/>
    <w:rsid w:val="007A2E68"/>
    <w:rsid w:val="007B0A81"/>
    <w:rsid w:val="007B41A4"/>
    <w:rsid w:val="007C1D92"/>
    <w:rsid w:val="007C4438"/>
    <w:rsid w:val="007C4CB9"/>
    <w:rsid w:val="007C5DC3"/>
    <w:rsid w:val="007D0B9D"/>
    <w:rsid w:val="007D0D8E"/>
    <w:rsid w:val="007D19B0"/>
    <w:rsid w:val="007D341D"/>
    <w:rsid w:val="007D54FF"/>
    <w:rsid w:val="007D5BDF"/>
    <w:rsid w:val="007E0452"/>
    <w:rsid w:val="007E1441"/>
    <w:rsid w:val="007F498F"/>
    <w:rsid w:val="008008A9"/>
    <w:rsid w:val="00801831"/>
    <w:rsid w:val="00802FAF"/>
    <w:rsid w:val="008039F0"/>
    <w:rsid w:val="008043AB"/>
    <w:rsid w:val="008065CA"/>
    <w:rsid w:val="0080679D"/>
    <w:rsid w:val="008108B0"/>
    <w:rsid w:val="00811B20"/>
    <w:rsid w:val="008171E5"/>
    <w:rsid w:val="008211B5"/>
    <w:rsid w:val="0082296E"/>
    <w:rsid w:val="00824099"/>
    <w:rsid w:val="00824357"/>
    <w:rsid w:val="00831952"/>
    <w:rsid w:val="008441C1"/>
    <w:rsid w:val="008457E3"/>
    <w:rsid w:val="00845986"/>
    <w:rsid w:val="00846D7C"/>
    <w:rsid w:val="00854810"/>
    <w:rsid w:val="00857E57"/>
    <w:rsid w:val="00866771"/>
    <w:rsid w:val="00867AC1"/>
    <w:rsid w:val="0087103C"/>
    <w:rsid w:val="0087174C"/>
    <w:rsid w:val="008731A4"/>
    <w:rsid w:val="00874482"/>
    <w:rsid w:val="00876CBC"/>
    <w:rsid w:val="008770A8"/>
    <w:rsid w:val="008821F5"/>
    <w:rsid w:val="00886FDE"/>
    <w:rsid w:val="008879A3"/>
    <w:rsid w:val="00890DF8"/>
    <w:rsid w:val="00894566"/>
    <w:rsid w:val="0089499E"/>
    <w:rsid w:val="00894F11"/>
    <w:rsid w:val="00895960"/>
    <w:rsid w:val="008A147D"/>
    <w:rsid w:val="008A31C9"/>
    <w:rsid w:val="008A743F"/>
    <w:rsid w:val="008B1295"/>
    <w:rsid w:val="008B5A95"/>
    <w:rsid w:val="008B6E60"/>
    <w:rsid w:val="008C0970"/>
    <w:rsid w:val="008C4FB8"/>
    <w:rsid w:val="008C7425"/>
    <w:rsid w:val="008C7DFD"/>
    <w:rsid w:val="008D0BC5"/>
    <w:rsid w:val="008D2CF7"/>
    <w:rsid w:val="008D7E86"/>
    <w:rsid w:val="008E11D0"/>
    <w:rsid w:val="008E2636"/>
    <w:rsid w:val="008E43BC"/>
    <w:rsid w:val="008E6A15"/>
    <w:rsid w:val="008E7C4F"/>
    <w:rsid w:val="008F2BEE"/>
    <w:rsid w:val="008F34CD"/>
    <w:rsid w:val="008F3D89"/>
    <w:rsid w:val="00900C26"/>
    <w:rsid w:val="00900C6F"/>
    <w:rsid w:val="0090197F"/>
    <w:rsid w:val="00903D97"/>
    <w:rsid w:val="00906933"/>
    <w:rsid w:val="00906DDC"/>
    <w:rsid w:val="00914083"/>
    <w:rsid w:val="00934E09"/>
    <w:rsid w:val="00936253"/>
    <w:rsid w:val="00940D46"/>
    <w:rsid w:val="00941CA4"/>
    <w:rsid w:val="00951513"/>
    <w:rsid w:val="00951D8E"/>
    <w:rsid w:val="00952DD4"/>
    <w:rsid w:val="0095477F"/>
    <w:rsid w:val="009563E9"/>
    <w:rsid w:val="009568C5"/>
    <w:rsid w:val="00957D7F"/>
    <w:rsid w:val="00963B6C"/>
    <w:rsid w:val="00965AE7"/>
    <w:rsid w:val="00970869"/>
    <w:rsid w:val="00970FED"/>
    <w:rsid w:val="00983ED6"/>
    <w:rsid w:val="0098567E"/>
    <w:rsid w:val="009860AE"/>
    <w:rsid w:val="00992D82"/>
    <w:rsid w:val="00993F91"/>
    <w:rsid w:val="00997029"/>
    <w:rsid w:val="009A7339"/>
    <w:rsid w:val="009B1D46"/>
    <w:rsid w:val="009B440E"/>
    <w:rsid w:val="009C0EE6"/>
    <w:rsid w:val="009C19D1"/>
    <w:rsid w:val="009C3950"/>
    <w:rsid w:val="009C7694"/>
    <w:rsid w:val="009D083B"/>
    <w:rsid w:val="009D690D"/>
    <w:rsid w:val="009E65B6"/>
    <w:rsid w:val="009F59DA"/>
    <w:rsid w:val="00A0132D"/>
    <w:rsid w:val="00A04A26"/>
    <w:rsid w:val="00A06DB3"/>
    <w:rsid w:val="00A10E53"/>
    <w:rsid w:val="00A15763"/>
    <w:rsid w:val="00A15C99"/>
    <w:rsid w:val="00A24C10"/>
    <w:rsid w:val="00A26CC1"/>
    <w:rsid w:val="00A27195"/>
    <w:rsid w:val="00A32AB3"/>
    <w:rsid w:val="00A34ADD"/>
    <w:rsid w:val="00A3688A"/>
    <w:rsid w:val="00A37316"/>
    <w:rsid w:val="00A37A44"/>
    <w:rsid w:val="00A37C2B"/>
    <w:rsid w:val="00A42AC3"/>
    <w:rsid w:val="00A430CF"/>
    <w:rsid w:val="00A450EA"/>
    <w:rsid w:val="00A50165"/>
    <w:rsid w:val="00A518CA"/>
    <w:rsid w:val="00A54309"/>
    <w:rsid w:val="00A60B68"/>
    <w:rsid w:val="00A734DC"/>
    <w:rsid w:val="00A77B44"/>
    <w:rsid w:val="00A826EA"/>
    <w:rsid w:val="00A874A7"/>
    <w:rsid w:val="00A92E60"/>
    <w:rsid w:val="00A945B3"/>
    <w:rsid w:val="00A96FDA"/>
    <w:rsid w:val="00AB2B93"/>
    <w:rsid w:val="00AB530F"/>
    <w:rsid w:val="00AB7E5B"/>
    <w:rsid w:val="00AC2491"/>
    <w:rsid w:val="00AC2883"/>
    <w:rsid w:val="00AC6B05"/>
    <w:rsid w:val="00AE0EF1"/>
    <w:rsid w:val="00AE2937"/>
    <w:rsid w:val="00AF2033"/>
    <w:rsid w:val="00B00727"/>
    <w:rsid w:val="00B0139E"/>
    <w:rsid w:val="00B0237A"/>
    <w:rsid w:val="00B07301"/>
    <w:rsid w:val="00B07849"/>
    <w:rsid w:val="00B106A5"/>
    <w:rsid w:val="00B11F3E"/>
    <w:rsid w:val="00B12E7C"/>
    <w:rsid w:val="00B12EF2"/>
    <w:rsid w:val="00B224DE"/>
    <w:rsid w:val="00B239D7"/>
    <w:rsid w:val="00B305CF"/>
    <w:rsid w:val="00B30C8D"/>
    <w:rsid w:val="00B324D4"/>
    <w:rsid w:val="00B41FA6"/>
    <w:rsid w:val="00B44E2F"/>
    <w:rsid w:val="00B46575"/>
    <w:rsid w:val="00B52C3D"/>
    <w:rsid w:val="00B55F72"/>
    <w:rsid w:val="00B56449"/>
    <w:rsid w:val="00B61777"/>
    <w:rsid w:val="00B63A22"/>
    <w:rsid w:val="00B65691"/>
    <w:rsid w:val="00B7313F"/>
    <w:rsid w:val="00B74056"/>
    <w:rsid w:val="00B741DB"/>
    <w:rsid w:val="00B75B65"/>
    <w:rsid w:val="00B824AA"/>
    <w:rsid w:val="00B84BBD"/>
    <w:rsid w:val="00B87DC1"/>
    <w:rsid w:val="00B91C9D"/>
    <w:rsid w:val="00B95D9D"/>
    <w:rsid w:val="00B9777D"/>
    <w:rsid w:val="00BA2CE7"/>
    <w:rsid w:val="00BA43FB"/>
    <w:rsid w:val="00BA62F5"/>
    <w:rsid w:val="00BB16D5"/>
    <w:rsid w:val="00BB6082"/>
    <w:rsid w:val="00BB7A5A"/>
    <w:rsid w:val="00BC127D"/>
    <w:rsid w:val="00BC1FE6"/>
    <w:rsid w:val="00BC65DD"/>
    <w:rsid w:val="00BC67BE"/>
    <w:rsid w:val="00BD13A5"/>
    <w:rsid w:val="00BD37C8"/>
    <w:rsid w:val="00BE212D"/>
    <w:rsid w:val="00BE7B3D"/>
    <w:rsid w:val="00BF11ED"/>
    <w:rsid w:val="00BF6DF2"/>
    <w:rsid w:val="00C061B6"/>
    <w:rsid w:val="00C125C6"/>
    <w:rsid w:val="00C13042"/>
    <w:rsid w:val="00C17608"/>
    <w:rsid w:val="00C2446C"/>
    <w:rsid w:val="00C246BF"/>
    <w:rsid w:val="00C259E6"/>
    <w:rsid w:val="00C31B9B"/>
    <w:rsid w:val="00C36AE5"/>
    <w:rsid w:val="00C40863"/>
    <w:rsid w:val="00C41F17"/>
    <w:rsid w:val="00C512D7"/>
    <w:rsid w:val="00C527FA"/>
    <w:rsid w:val="00C5280D"/>
    <w:rsid w:val="00C53EB3"/>
    <w:rsid w:val="00C57811"/>
    <w:rsid w:val="00C5791C"/>
    <w:rsid w:val="00C66290"/>
    <w:rsid w:val="00C67295"/>
    <w:rsid w:val="00C72B7A"/>
    <w:rsid w:val="00C739D6"/>
    <w:rsid w:val="00C7636B"/>
    <w:rsid w:val="00C818FF"/>
    <w:rsid w:val="00C8709B"/>
    <w:rsid w:val="00C973F2"/>
    <w:rsid w:val="00C97534"/>
    <w:rsid w:val="00CA304C"/>
    <w:rsid w:val="00CA774A"/>
    <w:rsid w:val="00CB4929"/>
    <w:rsid w:val="00CB6139"/>
    <w:rsid w:val="00CC11B0"/>
    <w:rsid w:val="00CC1E1E"/>
    <w:rsid w:val="00CC2338"/>
    <w:rsid w:val="00CC2841"/>
    <w:rsid w:val="00CE2720"/>
    <w:rsid w:val="00CF1330"/>
    <w:rsid w:val="00CF2BBD"/>
    <w:rsid w:val="00CF5C88"/>
    <w:rsid w:val="00CF7E36"/>
    <w:rsid w:val="00D0605E"/>
    <w:rsid w:val="00D123BD"/>
    <w:rsid w:val="00D1786A"/>
    <w:rsid w:val="00D23966"/>
    <w:rsid w:val="00D326F9"/>
    <w:rsid w:val="00D32BA2"/>
    <w:rsid w:val="00D3708D"/>
    <w:rsid w:val="00D40426"/>
    <w:rsid w:val="00D40690"/>
    <w:rsid w:val="00D43034"/>
    <w:rsid w:val="00D4450D"/>
    <w:rsid w:val="00D46B6C"/>
    <w:rsid w:val="00D4776C"/>
    <w:rsid w:val="00D53749"/>
    <w:rsid w:val="00D57C40"/>
    <w:rsid w:val="00D57C96"/>
    <w:rsid w:val="00D57D18"/>
    <w:rsid w:val="00D65459"/>
    <w:rsid w:val="00D70AB4"/>
    <w:rsid w:val="00D73730"/>
    <w:rsid w:val="00D82E16"/>
    <w:rsid w:val="00D85AB7"/>
    <w:rsid w:val="00D90B1C"/>
    <w:rsid w:val="00D91203"/>
    <w:rsid w:val="00D944BC"/>
    <w:rsid w:val="00D95174"/>
    <w:rsid w:val="00D9693A"/>
    <w:rsid w:val="00DA468B"/>
    <w:rsid w:val="00DA4973"/>
    <w:rsid w:val="00DA6661"/>
    <w:rsid w:val="00DA6F36"/>
    <w:rsid w:val="00DB596E"/>
    <w:rsid w:val="00DB7773"/>
    <w:rsid w:val="00DC00EA"/>
    <w:rsid w:val="00DC0ABE"/>
    <w:rsid w:val="00DC2010"/>
    <w:rsid w:val="00DC3802"/>
    <w:rsid w:val="00DC4B66"/>
    <w:rsid w:val="00DC7917"/>
    <w:rsid w:val="00DC79ED"/>
    <w:rsid w:val="00DD02D2"/>
    <w:rsid w:val="00DD5B6F"/>
    <w:rsid w:val="00DE0F3F"/>
    <w:rsid w:val="00DE5185"/>
    <w:rsid w:val="00DF67C6"/>
    <w:rsid w:val="00E02170"/>
    <w:rsid w:val="00E07D87"/>
    <w:rsid w:val="00E12514"/>
    <w:rsid w:val="00E20A0C"/>
    <w:rsid w:val="00E2109F"/>
    <w:rsid w:val="00E229EB"/>
    <w:rsid w:val="00E229F1"/>
    <w:rsid w:val="00E277EB"/>
    <w:rsid w:val="00E27831"/>
    <w:rsid w:val="00E3209F"/>
    <w:rsid w:val="00E323C6"/>
    <w:rsid w:val="00E32D12"/>
    <w:rsid w:val="00E32F7E"/>
    <w:rsid w:val="00E35F66"/>
    <w:rsid w:val="00E458ED"/>
    <w:rsid w:val="00E465C3"/>
    <w:rsid w:val="00E4789C"/>
    <w:rsid w:val="00E5267B"/>
    <w:rsid w:val="00E63C0E"/>
    <w:rsid w:val="00E651FD"/>
    <w:rsid w:val="00E72754"/>
    <w:rsid w:val="00E72D49"/>
    <w:rsid w:val="00E7476A"/>
    <w:rsid w:val="00E7593C"/>
    <w:rsid w:val="00E7678A"/>
    <w:rsid w:val="00E7693D"/>
    <w:rsid w:val="00E81359"/>
    <w:rsid w:val="00E83272"/>
    <w:rsid w:val="00E83F63"/>
    <w:rsid w:val="00E86647"/>
    <w:rsid w:val="00E935F1"/>
    <w:rsid w:val="00E94A81"/>
    <w:rsid w:val="00EA1FFB"/>
    <w:rsid w:val="00EB0373"/>
    <w:rsid w:val="00EB048E"/>
    <w:rsid w:val="00EB1742"/>
    <w:rsid w:val="00EB374A"/>
    <w:rsid w:val="00EB3D0C"/>
    <w:rsid w:val="00EB4E9C"/>
    <w:rsid w:val="00EC00E4"/>
    <w:rsid w:val="00ED2E7F"/>
    <w:rsid w:val="00EE1C91"/>
    <w:rsid w:val="00EE20FF"/>
    <w:rsid w:val="00EE34DF"/>
    <w:rsid w:val="00EE364C"/>
    <w:rsid w:val="00EE5381"/>
    <w:rsid w:val="00EE75A4"/>
    <w:rsid w:val="00EF2869"/>
    <w:rsid w:val="00EF2F89"/>
    <w:rsid w:val="00F00401"/>
    <w:rsid w:val="00F03375"/>
    <w:rsid w:val="00F03E98"/>
    <w:rsid w:val="00F112C9"/>
    <w:rsid w:val="00F1237A"/>
    <w:rsid w:val="00F15003"/>
    <w:rsid w:val="00F1528C"/>
    <w:rsid w:val="00F22CBD"/>
    <w:rsid w:val="00F272F1"/>
    <w:rsid w:val="00F43A03"/>
    <w:rsid w:val="00F43F33"/>
    <w:rsid w:val="00F44213"/>
    <w:rsid w:val="00F44E48"/>
    <w:rsid w:val="00F45372"/>
    <w:rsid w:val="00F46A5B"/>
    <w:rsid w:val="00F4740D"/>
    <w:rsid w:val="00F524E3"/>
    <w:rsid w:val="00F52E0E"/>
    <w:rsid w:val="00F5562F"/>
    <w:rsid w:val="00F560F7"/>
    <w:rsid w:val="00F6334D"/>
    <w:rsid w:val="00F66579"/>
    <w:rsid w:val="00F8031F"/>
    <w:rsid w:val="00F82F9A"/>
    <w:rsid w:val="00F875D7"/>
    <w:rsid w:val="00F879E9"/>
    <w:rsid w:val="00F90304"/>
    <w:rsid w:val="00F91D4C"/>
    <w:rsid w:val="00FA3EB1"/>
    <w:rsid w:val="00FA4028"/>
    <w:rsid w:val="00FA474A"/>
    <w:rsid w:val="00FA49AB"/>
    <w:rsid w:val="00FA6C63"/>
    <w:rsid w:val="00FB6BDA"/>
    <w:rsid w:val="00FC2380"/>
    <w:rsid w:val="00FC775A"/>
    <w:rsid w:val="00FD7E66"/>
    <w:rsid w:val="00FE0F84"/>
    <w:rsid w:val="00FE39C7"/>
    <w:rsid w:val="00FE4B1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A33250"/>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9563E9"/>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8C4FB8"/>
    <w:pPr>
      <w:keepNext/>
      <w:ind w:left="1134" w:hanging="567"/>
      <w:jc w:val="both"/>
      <w:outlineLvl w:val="4"/>
    </w:pPr>
    <w:rPr>
      <w:rFonts w:ascii="Arial" w:hAnsi="Arial"/>
      <w:i/>
      <w:spacing w:val="-2"/>
    </w:rPr>
  </w:style>
  <w:style w:type="paragraph" w:styleId="Heading6">
    <w:name w:val="heading 6"/>
    <w:basedOn w:val="Normal"/>
    <w:next w:val="Normal"/>
    <w:link w:val="Heading6Char"/>
    <w:qFormat/>
    <w:rsid w:val="00F44E48"/>
    <w:pPr>
      <w:outlineLvl w:val="5"/>
    </w:pPr>
  </w:style>
  <w:style w:type="paragraph" w:styleId="Heading7">
    <w:name w:val="heading 7"/>
    <w:basedOn w:val="Normal"/>
    <w:next w:val="Normal"/>
    <w:link w:val="Heading7Char"/>
    <w:qFormat/>
    <w:rsid w:val="00F44E48"/>
    <w:pPr>
      <w:spacing w:before="240" w:after="60"/>
      <w:outlineLvl w:val="6"/>
    </w:pPr>
    <w:rPr>
      <w:szCs w:val="24"/>
    </w:rPr>
  </w:style>
  <w:style w:type="paragraph" w:styleId="Heading8">
    <w:name w:val="heading 8"/>
    <w:basedOn w:val="Normal"/>
    <w:next w:val="Normal"/>
    <w:link w:val="Heading8Char"/>
    <w:qFormat/>
    <w:rsid w:val="00F44E48"/>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136DE9"/>
    <w:rPr>
      <w:rFonts w:ascii="Arial" w:hAnsi="Arial"/>
      <w:u w:val="single"/>
    </w:rPr>
  </w:style>
  <w:style w:type="character" w:customStyle="1" w:styleId="Heading4Char">
    <w:name w:val="Heading 4 Char"/>
    <w:link w:val="Heading4"/>
    <w:rsid w:val="000B28D3"/>
    <w:rPr>
      <w:rFonts w:ascii="Arial" w:hAnsi="Arial"/>
      <w:u w:val="single"/>
      <w:lang w:val="es-ES"/>
    </w:rPr>
  </w:style>
  <w:style w:type="character" w:customStyle="1" w:styleId="Heading3Char">
    <w:name w:val="Heading 3 Char"/>
    <w:basedOn w:val="DefaultParagraphFont"/>
    <w:link w:val="Heading3"/>
    <w:rsid w:val="009563E9"/>
    <w:rPr>
      <w:rFonts w:ascii="Arial" w:hAnsi="Arial"/>
      <w:i/>
    </w:rPr>
  </w:style>
  <w:style w:type="paragraph" w:styleId="ListParagraph">
    <w:name w:val="List Paragraph"/>
    <w:basedOn w:val="Normal"/>
    <w:uiPriority w:val="34"/>
    <w:qFormat/>
    <w:rsid w:val="002D75E7"/>
    <w:pPr>
      <w:ind w:left="720"/>
      <w:contextualSpacing/>
    </w:pPr>
  </w:style>
  <w:style w:type="character" w:customStyle="1" w:styleId="Heading1Char">
    <w:name w:val="Heading 1 Char"/>
    <w:basedOn w:val="DefaultParagraphFont"/>
    <w:link w:val="Heading1"/>
    <w:rsid w:val="004542DB"/>
    <w:rPr>
      <w:rFonts w:ascii="Arial" w:hAnsi="Arial"/>
      <w:caps/>
    </w:rPr>
  </w:style>
  <w:style w:type="character" w:customStyle="1" w:styleId="DecisionParagraphsChar">
    <w:name w:val="DecisionParagraphs Char"/>
    <w:basedOn w:val="DefaultParagraphFont"/>
    <w:link w:val="DecisionParagraphs"/>
    <w:rsid w:val="004542DB"/>
    <w:rPr>
      <w:rFonts w:ascii="Arial" w:hAnsi="Arial"/>
      <w:i/>
    </w:rPr>
  </w:style>
  <w:style w:type="paragraph" w:customStyle="1" w:styleId="Heading60">
    <w:name w:val="Heading6"/>
    <w:basedOn w:val="Normal"/>
    <w:link w:val="Heading6Char0"/>
    <w:qFormat/>
    <w:rsid w:val="0037359D"/>
    <w:pPr>
      <w:ind w:left="567" w:firstLine="567"/>
    </w:pPr>
    <w:rPr>
      <w:i/>
    </w:rPr>
  </w:style>
  <w:style w:type="table" w:styleId="TableGrid">
    <w:name w:val="Table Grid"/>
    <w:basedOn w:val="TableNormal"/>
    <w:rsid w:val="0037359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0">
    <w:name w:val="Heading6 Char"/>
    <w:basedOn w:val="DefaultParagraphFont"/>
    <w:link w:val="Heading60"/>
    <w:rsid w:val="0037359D"/>
    <w:rPr>
      <w:rFonts w:ascii="Arial" w:hAnsi="Arial"/>
      <w:i/>
      <w:lang w:eastAsia="es-ES"/>
    </w:rPr>
  </w:style>
  <w:style w:type="table" w:customStyle="1" w:styleId="TableGrid3">
    <w:name w:val="Table Grid3"/>
    <w:basedOn w:val="TableNormal"/>
    <w:next w:val="TableGrid"/>
    <w:rsid w:val="00A7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C7917"/>
    <w:rPr>
      <w:i/>
      <w:iCs/>
    </w:rPr>
  </w:style>
  <w:style w:type="paragraph" w:styleId="NormalWeb">
    <w:name w:val="Normal (Web)"/>
    <w:basedOn w:val="Normal"/>
    <w:unhideWhenUsed/>
    <w:rsid w:val="00DC7917"/>
    <w:pPr>
      <w:spacing w:before="100" w:beforeAutospacing="1" w:after="100" w:afterAutospacing="1"/>
      <w:jc w:val="left"/>
    </w:pPr>
    <w:rPr>
      <w:rFonts w:ascii="Times New Roman" w:eastAsiaTheme="minorEastAsia" w:hAnsi="Times New Roman"/>
      <w:sz w:val="24"/>
      <w:szCs w:val="24"/>
    </w:rPr>
  </w:style>
  <w:style w:type="character" w:customStyle="1" w:styleId="FootnoteTextChar">
    <w:name w:val="Footnote Text Char"/>
    <w:basedOn w:val="DefaultParagraphFont"/>
    <w:link w:val="FootnoteText"/>
    <w:rsid w:val="00DA468B"/>
    <w:rPr>
      <w:rFonts w:ascii="Arial" w:hAnsi="Arial"/>
      <w:sz w:val="16"/>
    </w:rPr>
  </w:style>
  <w:style w:type="character" w:customStyle="1" w:styleId="Heading6Char">
    <w:name w:val="Heading 6 Char"/>
    <w:basedOn w:val="DefaultParagraphFont"/>
    <w:link w:val="Heading6"/>
    <w:rsid w:val="00F44E48"/>
    <w:rPr>
      <w:rFonts w:ascii="Arial" w:hAnsi="Arial"/>
      <w:lang w:val="es-ES"/>
    </w:rPr>
  </w:style>
  <w:style w:type="character" w:customStyle="1" w:styleId="Heading7Char">
    <w:name w:val="Heading 7 Char"/>
    <w:basedOn w:val="DefaultParagraphFont"/>
    <w:link w:val="Heading7"/>
    <w:rsid w:val="00F44E48"/>
    <w:rPr>
      <w:rFonts w:ascii="Arial" w:hAnsi="Arial"/>
      <w:szCs w:val="24"/>
    </w:rPr>
  </w:style>
  <w:style w:type="character" w:customStyle="1" w:styleId="Heading8Char">
    <w:name w:val="Heading 8 Char"/>
    <w:basedOn w:val="DefaultParagraphFont"/>
    <w:link w:val="Heading8"/>
    <w:rsid w:val="00F44E48"/>
    <w:rPr>
      <w:rFonts w:ascii="Arial" w:hAnsi="Arial"/>
      <w:u w:val="single"/>
    </w:rPr>
  </w:style>
  <w:style w:type="paragraph" w:customStyle="1" w:styleId="pdflink">
    <w:name w:val="pdflink"/>
    <w:basedOn w:val="Normal"/>
    <w:next w:val="Normal"/>
    <w:rsid w:val="00F44E48"/>
    <w:rPr>
      <w:color w:val="800000"/>
      <w:u w:val="words"/>
    </w:rPr>
  </w:style>
  <w:style w:type="paragraph" w:customStyle="1" w:styleId="Draft">
    <w:name w:val="Draft"/>
    <w:basedOn w:val="Normal"/>
    <w:next w:val="preparedby"/>
    <w:rsid w:val="00F44E48"/>
    <w:pPr>
      <w:spacing w:before="720" w:after="480"/>
      <w:jc w:val="center"/>
    </w:pPr>
    <w:rPr>
      <w:caps/>
      <w:sz w:val="28"/>
    </w:rPr>
  </w:style>
  <w:style w:type="paragraph" w:customStyle="1" w:styleId="quote1">
    <w:name w:val="quote1"/>
    <w:basedOn w:val="Normal"/>
    <w:semiHidden/>
    <w:rsid w:val="00F44E48"/>
    <w:pPr>
      <w:ind w:left="567" w:right="565" w:firstLine="567"/>
    </w:pPr>
    <w:rPr>
      <w:snapToGrid w:val="0"/>
      <w:sz w:val="22"/>
      <w:szCs w:val="22"/>
    </w:rPr>
  </w:style>
  <w:style w:type="paragraph" w:customStyle="1" w:styleId="tqparabox">
    <w:name w:val="tqparabox"/>
    <w:basedOn w:val="Normal"/>
    <w:rsid w:val="00F44E4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F44E48"/>
    <w:pPr>
      <w:ind w:left="1200"/>
    </w:pPr>
  </w:style>
  <w:style w:type="paragraph" w:styleId="BodyTextIndent">
    <w:name w:val="Body Text Indent"/>
    <w:basedOn w:val="Normal"/>
    <w:link w:val="BodyTextIndentChar"/>
    <w:rsid w:val="00F44E48"/>
    <w:pPr>
      <w:ind w:left="567"/>
    </w:pPr>
  </w:style>
  <w:style w:type="character" w:customStyle="1" w:styleId="BodyTextIndentChar">
    <w:name w:val="Body Text Indent Char"/>
    <w:basedOn w:val="DefaultParagraphFont"/>
    <w:link w:val="BodyTextIndent"/>
    <w:rsid w:val="00F44E48"/>
    <w:rPr>
      <w:rFonts w:ascii="Arial" w:hAnsi="Arial"/>
      <w:lang w:val="es-ES"/>
    </w:rPr>
  </w:style>
  <w:style w:type="paragraph" w:customStyle="1" w:styleId="twpcheck">
    <w:name w:val="twpcheck"/>
    <w:basedOn w:val="Normal"/>
    <w:rsid w:val="00F44E48"/>
    <w:pPr>
      <w:spacing w:before="80" w:after="80"/>
      <w:jc w:val="left"/>
    </w:pPr>
    <w:rPr>
      <w:snapToGrid w:val="0"/>
      <w:sz w:val="16"/>
      <w:szCs w:val="16"/>
    </w:rPr>
  </w:style>
  <w:style w:type="paragraph" w:customStyle="1" w:styleId="DecisionInvitingPara">
    <w:name w:val="Decision Inviting Para."/>
    <w:basedOn w:val="Normal"/>
    <w:rsid w:val="00F44E48"/>
    <w:pPr>
      <w:ind w:left="4536"/>
    </w:pPr>
    <w:rPr>
      <w:i/>
    </w:rPr>
  </w:style>
  <w:style w:type="paragraph" w:customStyle="1" w:styleId="Enttepair">
    <w:name w:val="Entête_pair"/>
    <w:basedOn w:val="Normal"/>
    <w:next w:val="Normal"/>
    <w:rsid w:val="00F44E48"/>
    <w:pPr>
      <w:pBdr>
        <w:bottom w:val="single" w:sz="4" w:space="1" w:color="auto"/>
      </w:pBdr>
      <w:jc w:val="left"/>
    </w:pPr>
    <w:rPr>
      <w:szCs w:val="24"/>
    </w:rPr>
  </w:style>
  <w:style w:type="paragraph" w:customStyle="1" w:styleId="Entteimpair">
    <w:name w:val="Entête_impair"/>
    <w:basedOn w:val="Normal"/>
    <w:next w:val="Normal"/>
    <w:rsid w:val="00F44E48"/>
    <w:pPr>
      <w:pBdr>
        <w:bottom w:val="single" w:sz="4" w:space="1" w:color="auto"/>
      </w:pBdr>
      <w:jc w:val="right"/>
    </w:pPr>
  </w:style>
  <w:style w:type="paragraph" w:styleId="E-mailSignature">
    <w:name w:val="E-mail Signature"/>
    <w:basedOn w:val="Normal"/>
    <w:link w:val="E-mailSignatureChar"/>
    <w:semiHidden/>
    <w:rsid w:val="00F44E48"/>
  </w:style>
  <w:style w:type="character" w:customStyle="1" w:styleId="E-mailSignatureChar">
    <w:name w:val="E-mail Signature Char"/>
    <w:basedOn w:val="DefaultParagraphFont"/>
    <w:link w:val="E-mailSignature"/>
    <w:semiHidden/>
    <w:rsid w:val="00F44E48"/>
    <w:rPr>
      <w:rFonts w:ascii="Arial" w:hAnsi="Arial"/>
    </w:rPr>
  </w:style>
  <w:style w:type="paragraph" w:styleId="EnvelopeAddress">
    <w:name w:val="envelope address"/>
    <w:basedOn w:val="Normal"/>
    <w:semiHidden/>
    <w:rsid w:val="00F44E48"/>
    <w:pPr>
      <w:framePr w:w="7920" w:h="1980" w:hRule="exact" w:hSpace="180" w:wrap="auto" w:hAnchor="page" w:xAlign="center" w:yAlign="bottom"/>
      <w:ind w:left="2880"/>
    </w:pPr>
    <w:rPr>
      <w:szCs w:val="24"/>
    </w:rPr>
  </w:style>
  <w:style w:type="paragraph" w:styleId="EnvelopeReturn">
    <w:name w:val="envelope return"/>
    <w:basedOn w:val="Normal"/>
    <w:semiHidden/>
    <w:rsid w:val="00F44E48"/>
  </w:style>
  <w:style w:type="character" w:styleId="HTMLAcronym">
    <w:name w:val="HTML Acronym"/>
    <w:basedOn w:val="DefaultParagraphFont"/>
    <w:semiHidden/>
    <w:rsid w:val="00F44E48"/>
  </w:style>
  <w:style w:type="paragraph" w:styleId="HTMLAddress">
    <w:name w:val="HTML Address"/>
    <w:basedOn w:val="Normal"/>
    <w:link w:val="HTMLAddressChar"/>
    <w:semiHidden/>
    <w:rsid w:val="00F44E48"/>
    <w:rPr>
      <w:i/>
      <w:iCs/>
    </w:rPr>
  </w:style>
  <w:style w:type="character" w:customStyle="1" w:styleId="HTMLAddressChar">
    <w:name w:val="HTML Address Char"/>
    <w:basedOn w:val="DefaultParagraphFont"/>
    <w:link w:val="HTMLAddress"/>
    <w:semiHidden/>
    <w:rsid w:val="00F44E48"/>
    <w:rPr>
      <w:rFonts w:ascii="Arial" w:hAnsi="Arial"/>
      <w:i/>
      <w:iCs/>
    </w:rPr>
  </w:style>
  <w:style w:type="character" w:styleId="HTMLCite">
    <w:name w:val="HTML Cite"/>
    <w:basedOn w:val="DefaultParagraphFont"/>
    <w:semiHidden/>
    <w:rsid w:val="00F44E48"/>
    <w:rPr>
      <w:i/>
      <w:iCs/>
    </w:rPr>
  </w:style>
  <w:style w:type="character" w:styleId="HTMLCode">
    <w:name w:val="HTML Code"/>
    <w:basedOn w:val="DefaultParagraphFont"/>
    <w:semiHidden/>
    <w:rsid w:val="00F44E48"/>
    <w:rPr>
      <w:rFonts w:ascii="Courier New" w:hAnsi="Courier New" w:cs="Courier New"/>
      <w:sz w:val="20"/>
      <w:szCs w:val="20"/>
    </w:rPr>
  </w:style>
  <w:style w:type="character" w:styleId="HTMLDefinition">
    <w:name w:val="HTML Definition"/>
    <w:basedOn w:val="DefaultParagraphFont"/>
    <w:semiHidden/>
    <w:rsid w:val="00F44E48"/>
    <w:rPr>
      <w:i/>
      <w:iCs/>
    </w:rPr>
  </w:style>
  <w:style w:type="character" w:styleId="HTMLKeyboard">
    <w:name w:val="HTML Keyboard"/>
    <w:basedOn w:val="DefaultParagraphFont"/>
    <w:semiHidden/>
    <w:rsid w:val="00F44E48"/>
    <w:rPr>
      <w:rFonts w:ascii="Courier New" w:hAnsi="Courier New" w:cs="Courier New"/>
      <w:sz w:val="20"/>
      <w:szCs w:val="20"/>
    </w:rPr>
  </w:style>
  <w:style w:type="paragraph" w:styleId="HTMLPreformatted">
    <w:name w:val="HTML Preformatted"/>
    <w:basedOn w:val="Normal"/>
    <w:link w:val="HTMLPreformattedChar"/>
    <w:semiHidden/>
    <w:rsid w:val="00F44E48"/>
    <w:rPr>
      <w:rFonts w:ascii="Courier New" w:hAnsi="Courier New" w:cs="Courier New"/>
    </w:rPr>
  </w:style>
  <w:style w:type="character" w:customStyle="1" w:styleId="HTMLPreformattedChar">
    <w:name w:val="HTML Preformatted Char"/>
    <w:basedOn w:val="DefaultParagraphFont"/>
    <w:link w:val="HTMLPreformatted"/>
    <w:semiHidden/>
    <w:rsid w:val="00F44E48"/>
    <w:rPr>
      <w:rFonts w:ascii="Courier New" w:hAnsi="Courier New" w:cs="Courier New"/>
    </w:rPr>
  </w:style>
  <w:style w:type="character" w:styleId="HTMLSample">
    <w:name w:val="HTML Sample"/>
    <w:basedOn w:val="DefaultParagraphFont"/>
    <w:semiHidden/>
    <w:rsid w:val="00F44E48"/>
    <w:rPr>
      <w:rFonts w:ascii="Courier New" w:hAnsi="Courier New" w:cs="Courier New"/>
    </w:rPr>
  </w:style>
  <w:style w:type="character" w:styleId="HTMLTypewriter">
    <w:name w:val="HTML Typewriter"/>
    <w:basedOn w:val="DefaultParagraphFont"/>
    <w:semiHidden/>
    <w:rsid w:val="00F44E48"/>
    <w:rPr>
      <w:rFonts w:ascii="Courier New" w:hAnsi="Courier New" w:cs="Courier New"/>
      <w:sz w:val="20"/>
      <w:szCs w:val="20"/>
    </w:rPr>
  </w:style>
  <w:style w:type="character" w:styleId="HTMLVariable">
    <w:name w:val="HTML Variable"/>
    <w:basedOn w:val="DefaultParagraphFont"/>
    <w:semiHidden/>
    <w:rsid w:val="00F44E48"/>
    <w:rPr>
      <w:i/>
      <w:iCs/>
    </w:rPr>
  </w:style>
  <w:style w:type="character" w:styleId="LineNumber">
    <w:name w:val="line number"/>
    <w:basedOn w:val="DefaultParagraphFont"/>
    <w:semiHidden/>
    <w:rsid w:val="00F44E48"/>
  </w:style>
  <w:style w:type="paragraph" w:styleId="List">
    <w:name w:val="List"/>
    <w:basedOn w:val="Normal"/>
    <w:semiHidden/>
    <w:rsid w:val="00F44E48"/>
    <w:pPr>
      <w:ind w:left="360" w:hanging="360"/>
    </w:pPr>
  </w:style>
  <w:style w:type="paragraph" w:styleId="List2">
    <w:name w:val="List 2"/>
    <w:basedOn w:val="Normal"/>
    <w:semiHidden/>
    <w:rsid w:val="00F44E48"/>
    <w:pPr>
      <w:ind w:left="720" w:hanging="360"/>
    </w:pPr>
  </w:style>
  <w:style w:type="paragraph" w:styleId="List3">
    <w:name w:val="List 3"/>
    <w:basedOn w:val="Normal"/>
    <w:semiHidden/>
    <w:rsid w:val="00F44E48"/>
    <w:pPr>
      <w:ind w:left="1080" w:hanging="360"/>
    </w:pPr>
  </w:style>
  <w:style w:type="paragraph" w:styleId="List4">
    <w:name w:val="List 4"/>
    <w:basedOn w:val="Normal"/>
    <w:rsid w:val="00F44E48"/>
    <w:pPr>
      <w:ind w:left="1440" w:hanging="360"/>
    </w:pPr>
  </w:style>
  <w:style w:type="paragraph" w:styleId="List5">
    <w:name w:val="List 5"/>
    <w:basedOn w:val="Normal"/>
    <w:rsid w:val="00F44E48"/>
    <w:pPr>
      <w:ind w:left="1800" w:hanging="360"/>
    </w:pPr>
  </w:style>
  <w:style w:type="paragraph" w:styleId="ListBullet">
    <w:name w:val="List Bullet"/>
    <w:basedOn w:val="Normal"/>
    <w:autoRedefine/>
    <w:rsid w:val="00F44E48"/>
    <w:pPr>
      <w:tabs>
        <w:tab w:val="num" w:pos="360"/>
      </w:tabs>
      <w:ind w:left="360" w:hanging="360"/>
    </w:pPr>
    <w:rPr>
      <w:bCs/>
      <w:szCs w:val="24"/>
    </w:rPr>
  </w:style>
  <w:style w:type="paragraph" w:styleId="ListBullet2">
    <w:name w:val="List Bullet 2"/>
    <w:basedOn w:val="Normal"/>
    <w:semiHidden/>
    <w:rsid w:val="00F44E48"/>
    <w:pPr>
      <w:tabs>
        <w:tab w:val="num" w:pos="720"/>
      </w:tabs>
      <w:ind w:left="720" w:hanging="360"/>
    </w:pPr>
  </w:style>
  <w:style w:type="paragraph" w:styleId="ListBullet3">
    <w:name w:val="List Bullet 3"/>
    <w:basedOn w:val="Normal"/>
    <w:semiHidden/>
    <w:rsid w:val="00F44E48"/>
    <w:pPr>
      <w:tabs>
        <w:tab w:val="num" w:pos="1080"/>
      </w:tabs>
      <w:ind w:left="1080" w:hanging="360"/>
    </w:pPr>
  </w:style>
  <w:style w:type="paragraph" w:styleId="ListBullet4">
    <w:name w:val="List Bullet 4"/>
    <w:basedOn w:val="Normal"/>
    <w:semiHidden/>
    <w:rsid w:val="00F44E48"/>
    <w:pPr>
      <w:tabs>
        <w:tab w:val="num" w:pos="1440"/>
      </w:tabs>
      <w:ind w:left="1440" w:hanging="360"/>
    </w:pPr>
  </w:style>
  <w:style w:type="paragraph" w:styleId="ListBullet5">
    <w:name w:val="List Bullet 5"/>
    <w:basedOn w:val="Normal"/>
    <w:semiHidden/>
    <w:rsid w:val="00F44E48"/>
    <w:pPr>
      <w:tabs>
        <w:tab w:val="num" w:pos="1800"/>
      </w:tabs>
      <w:ind w:left="1800" w:hanging="360"/>
    </w:pPr>
  </w:style>
  <w:style w:type="paragraph" w:styleId="ListContinue">
    <w:name w:val="List Continue"/>
    <w:basedOn w:val="Normal"/>
    <w:semiHidden/>
    <w:rsid w:val="00F44E48"/>
    <w:pPr>
      <w:spacing w:after="120"/>
      <w:ind w:left="360"/>
    </w:pPr>
  </w:style>
  <w:style w:type="paragraph" w:styleId="ListContinue2">
    <w:name w:val="List Continue 2"/>
    <w:basedOn w:val="Normal"/>
    <w:semiHidden/>
    <w:rsid w:val="00F44E48"/>
    <w:pPr>
      <w:spacing w:after="120"/>
      <w:ind w:left="720"/>
    </w:pPr>
  </w:style>
  <w:style w:type="paragraph" w:styleId="ListContinue3">
    <w:name w:val="List Continue 3"/>
    <w:basedOn w:val="Normal"/>
    <w:semiHidden/>
    <w:rsid w:val="00F44E48"/>
    <w:pPr>
      <w:spacing w:after="120"/>
      <w:ind w:left="1080"/>
    </w:pPr>
  </w:style>
  <w:style w:type="paragraph" w:styleId="ListContinue4">
    <w:name w:val="List Continue 4"/>
    <w:basedOn w:val="Normal"/>
    <w:semiHidden/>
    <w:rsid w:val="00F44E48"/>
    <w:pPr>
      <w:spacing w:after="120"/>
      <w:ind w:left="1440"/>
    </w:pPr>
  </w:style>
  <w:style w:type="paragraph" w:styleId="ListContinue5">
    <w:name w:val="List Continue 5"/>
    <w:basedOn w:val="Normal"/>
    <w:semiHidden/>
    <w:rsid w:val="00F44E48"/>
    <w:pPr>
      <w:spacing w:after="120"/>
      <w:ind w:left="1800"/>
    </w:pPr>
  </w:style>
  <w:style w:type="paragraph" w:styleId="ListNumber">
    <w:name w:val="List Number"/>
    <w:basedOn w:val="Normal"/>
    <w:rsid w:val="00F44E48"/>
    <w:pPr>
      <w:tabs>
        <w:tab w:val="num" w:pos="360"/>
      </w:tabs>
      <w:ind w:left="360" w:hanging="360"/>
    </w:pPr>
  </w:style>
  <w:style w:type="paragraph" w:styleId="ListNumber2">
    <w:name w:val="List Number 2"/>
    <w:basedOn w:val="Normal"/>
    <w:semiHidden/>
    <w:rsid w:val="00F44E48"/>
    <w:pPr>
      <w:tabs>
        <w:tab w:val="num" w:pos="720"/>
      </w:tabs>
      <w:ind w:left="720" w:hanging="360"/>
    </w:pPr>
  </w:style>
  <w:style w:type="paragraph" w:styleId="ListNumber3">
    <w:name w:val="List Number 3"/>
    <w:basedOn w:val="Normal"/>
    <w:semiHidden/>
    <w:rsid w:val="00F44E48"/>
    <w:pPr>
      <w:tabs>
        <w:tab w:val="num" w:pos="1080"/>
      </w:tabs>
      <w:ind w:left="1080" w:hanging="360"/>
    </w:pPr>
  </w:style>
  <w:style w:type="paragraph" w:styleId="ListNumber4">
    <w:name w:val="List Number 4"/>
    <w:basedOn w:val="Normal"/>
    <w:semiHidden/>
    <w:rsid w:val="00F44E48"/>
    <w:pPr>
      <w:tabs>
        <w:tab w:val="num" w:pos="1440"/>
      </w:tabs>
      <w:ind w:left="1440" w:hanging="360"/>
    </w:pPr>
  </w:style>
  <w:style w:type="paragraph" w:styleId="ListNumber5">
    <w:name w:val="List Number 5"/>
    <w:basedOn w:val="Normal"/>
    <w:semiHidden/>
    <w:rsid w:val="00F44E48"/>
    <w:pPr>
      <w:tabs>
        <w:tab w:val="num" w:pos="1800"/>
      </w:tabs>
      <w:ind w:left="1800" w:hanging="360"/>
    </w:pPr>
  </w:style>
  <w:style w:type="paragraph" w:styleId="MessageHeader">
    <w:name w:val="Message Header"/>
    <w:basedOn w:val="Normal"/>
    <w:link w:val="MessageHeaderChar"/>
    <w:semiHidden/>
    <w:rsid w:val="00F44E4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F44E48"/>
    <w:rPr>
      <w:rFonts w:ascii="Arial" w:hAnsi="Arial"/>
      <w:szCs w:val="24"/>
      <w:shd w:val="pct20" w:color="auto" w:fill="auto"/>
    </w:rPr>
  </w:style>
  <w:style w:type="paragraph" w:styleId="NoteHeading">
    <w:name w:val="Note Heading"/>
    <w:basedOn w:val="Normal"/>
    <w:next w:val="Normal"/>
    <w:link w:val="NoteHeadingChar"/>
    <w:semiHidden/>
    <w:rsid w:val="00F44E48"/>
  </w:style>
  <w:style w:type="character" w:customStyle="1" w:styleId="NoteHeadingChar">
    <w:name w:val="Note Heading Char"/>
    <w:basedOn w:val="DefaultParagraphFont"/>
    <w:link w:val="NoteHeading"/>
    <w:semiHidden/>
    <w:rsid w:val="00F44E48"/>
    <w:rPr>
      <w:rFonts w:ascii="Arial" w:hAnsi="Arial"/>
    </w:rPr>
  </w:style>
  <w:style w:type="paragraph" w:styleId="Salutation">
    <w:name w:val="Salutation"/>
    <w:basedOn w:val="Normal"/>
    <w:next w:val="Normal"/>
    <w:link w:val="SalutationChar"/>
    <w:rsid w:val="00F44E48"/>
  </w:style>
  <w:style w:type="character" w:customStyle="1" w:styleId="SalutationChar">
    <w:name w:val="Salutation Char"/>
    <w:basedOn w:val="DefaultParagraphFont"/>
    <w:link w:val="Salutation"/>
    <w:rsid w:val="00F44E48"/>
    <w:rPr>
      <w:rFonts w:ascii="Arial" w:hAnsi="Arial"/>
    </w:rPr>
  </w:style>
  <w:style w:type="character" w:styleId="Strong">
    <w:name w:val="Strong"/>
    <w:basedOn w:val="DefaultParagraphFont"/>
    <w:qFormat/>
    <w:rsid w:val="00F44E48"/>
    <w:rPr>
      <w:b/>
      <w:bCs/>
    </w:rPr>
  </w:style>
  <w:style w:type="paragraph" w:styleId="Subtitle">
    <w:name w:val="Subtitle"/>
    <w:basedOn w:val="Normal"/>
    <w:link w:val="SubtitleChar"/>
    <w:qFormat/>
    <w:rsid w:val="00F44E48"/>
    <w:pPr>
      <w:spacing w:after="60"/>
      <w:jc w:val="center"/>
      <w:outlineLvl w:val="1"/>
    </w:pPr>
    <w:rPr>
      <w:szCs w:val="24"/>
    </w:rPr>
  </w:style>
  <w:style w:type="character" w:customStyle="1" w:styleId="SubtitleChar">
    <w:name w:val="Subtitle Char"/>
    <w:basedOn w:val="DefaultParagraphFont"/>
    <w:link w:val="Subtitle"/>
    <w:rsid w:val="00F44E48"/>
    <w:rPr>
      <w:rFonts w:ascii="Arial" w:hAnsi="Arial"/>
      <w:szCs w:val="24"/>
    </w:rPr>
  </w:style>
  <w:style w:type="table" w:styleId="Table3Deffects1">
    <w:name w:val="Table 3D effects 1"/>
    <w:basedOn w:val="TableNormal"/>
    <w:semiHidden/>
    <w:rsid w:val="00F44E4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44E4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44E4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44E4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44E4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44E4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44E4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44E4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44E4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44E4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44E4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44E4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44E4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44E4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44E4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44E4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44E4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44E4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44E4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44E4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44E4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44E4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44E4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44E4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44E4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44E4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44E4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44E4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44E4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44E4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44E4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44E4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44E4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44E4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44E4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44E4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44E4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44E4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44E4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F44E48"/>
    <w:pPr>
      <w:ind w:left="1440"/>
    </w:pPr>
  </w:style>
  <w:style w:type="paragraph" w:styleId="TOC8">
    <w:name w:val="toc 8"/>
    <w:basedOn w:val="Normal"/>
    <w:next w:val="Normal"/>
    <w:autoRedefine/>
    <w:semiHidden/>
    <w:rsid w:val="00F44E48"/>
    <w:pPr>
      <w:ind w:left="1680"/>
    </w:pPr>
  </w:style>
  <w:style w:type="paragraph" w:styleId="TOC9">
    <w:name w:val="toc 9"/>
    <w:basedOn w:val="Normal"/>
    <w:next w:val="Normal"/>
    <w:autoRedefine/>
    <w:semiHidden/>
    <w:rsid w:val="00F44E48"/>
    <w:pPr>
      <w:ind w:left="1920"/>
    </w:pPr>
  </w:style>
  <w:style w:type="character" w:styleId="FollowedHyperlink">
    <w:name w:val="FollowedHyperlink"/>
    <w:basedOn w:val="DefaultParagraphFont"/>
    <w:rsid w:val="00F44E48"/>
    <w:rPr>
      <w:color w:val="606420"/>
      <w:u w:val="single"/>
    </w:rPr>
  </w:style>
  <w:style w:type="paragraph" w:styleId="BlockText">
    <w:name w:val="Block Text"/>
    <w:basedOn w:val="Normal"/>
    <w:rsid w:val="00F44E48"/>
    <w:pPr>
      <w:ind w:left="567" w:right="566"/>
    </w:pPr>
    <w:rPr>
      <w:sz w:val="22"/>
    </w:rPr>
  </w:style>
  <w:style w:type="paragraph" w:styleId="Caption">
    <w:name w:val="caption"/>
    <w:basedOn w:val="Normal"/>
    <w:next w:val="Normal"/>
    <w:qFormat/>
    <w:rsid w:val="00F44E48"/>
    <w:pPr>
      <w:framePr w:w="11102" w:hSpace="181" w:wrap="around" w:vAnchor="page" w:hAnchor="page" w:x="438" w:y="15985" w:anchorLock="1"/>
      <w:jc w:val="center"/>
    </w:pPr>
    <w:rPr>
      <w:b/>
      <w:snapToGrid w:val="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semiHidden/>
    <w:rsid w:val="00F44E48"/>
    <w:rPr>
      <w:rFonts w:ascii="Arial" w:hAnsi="Arial"/>
      <w:sz w:val="22"/>
      <w:lang w:val="es-ES"/>
    </w:rPr>
  </w:style>
  <w:style w:type="paragraph" w:customStyle="1" w:styleId="Committee">
    <w:name w:val="Committee"/>
    <w:basedOn w:val="Title"/>
    <w:rsid w:val="00F44E48"/>
    <w:rPr>
      <w:caps w:val="0"/>
    </w:rPr>
  </w:style>
  <w:style w:type="paragraph" w:customStyle="1" w:styleId="n">
    <w:name w:val="n"/>
    <w:basedOn w:val="Header"/>
    <w:rsid w:val="00F44E48"/>
  </w:style>
  <w:style w:type="paragraph" w:customStyle="1" w:styleId="TitleofSection">
    <w:name w:val="Title of Section"/>
    <w:basedOn w:val="TitleofDoc"/>
    <w:rsid w:val="00F44E48"/>
    <w:pPr>
      <w:spacing w:before="120" w:after="120"/>
    </w:pPr>
    <w:rPr>
      <w:b/>
      <w:caps w:val="0"/>
    </w:rPr>
  </w:style>
  <w:style w:type="paragraph" w:customStyle="1" w:styleId="TOCAnnex">
    <w:name w:val="TOC Annex"/>
    <w:basedOn w:val="Normal"/>
    <w:rsid w:val="00F44E4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44E48"/>
    <w:pPr>
      <w:jc w:val="center"/>
    </w:pPr>
    <w:rPr>
      <w:b/>
      <w:caps/>
      <w:szCs w:val="24"/>
    </w:rPr>
  </w:style>
  <w:style w:type="paragraph" w:customStyle="1" w:styleId="Notetoarticle">
    <w:name w:val="Note to article"/>
    <w:basedOn w:val="Normal"/>
    <w:semiHidden/>
    <w:rsid w:val="00F44E48"/>
  </w:style>
  <w:style w:type="paragraph" w:styleId="PlainText">
    <w:name w:val="Plain Text"/>
    <w:basedOn w:val="Normal"/>
    <w:link w:val="PlainTextChar"/>
    <w:rsid w:val="00F44E48"/>
    <w:rPr>
      <w:rFonts w:ascii="Courier New" w:hAnsi="Courier New" w:cs="Courier New"/>
    </w:rPr>
  </w:style>
  <w:style w:type="character" w:customStyle="1" w:styleId="PlainTextChar">
    <w:name w:val="Plain Text Char"/>
    <w:basedOn w:val="DefaultParagraphFont"/>
    <w:link w:val="PlainText"/>
    <w:rsid w:val="00F44E48"/>
    <w:rPr>
      <w:rFonts w:ascii="Courier New" w:hAnsi="Courier New" w:cs="Courier New"/>
      <w:lang w:eastAsia="es-ES"/>
    </w:rPr>
  </w:style>
  <w:style w:type="character" w:customStyle="1" w:styleId="plcountryChar">
    <w:name w:val="plcountry Char"/>
    <w:basedOn w:val="DefaultParagraphFont"/>
    <w:link w:val="plcountry"/>
    <w:rsid w:val="00F44E48"/>
    <w:rPr>
      <w:rFonts w:ascii="Arial" w:hAnsi="Arial"/>
      <w:caps/>
      <w:noProof/>
      <w:snapToGrid w:val="0"/>
      <w:u w:val="single"/>
    </w:rPr>
  </w:style>
  <w:style w:type="character" w:customStyle="1" w:styleId="pldetailsChar">
    <w:name w:val="pldetails Char"/>
    <w:link w:val="pldetails"/>
    <w:locked/>
    <w:rsid w:val="00F44E48"/>
    <w:rPr>
      <w:rFonts w:ascii="Arial" w:hAnsi="Arial"/>
      <w:noProof/>
      <w:snapToGrid w:val="0"/>
    </w:rPr>
  </w:style>
  <w:style w:type="character" w:customStyle="1" w:styleId="BodyTextChar">
    <w:name w:val="Body Text Char"/>
    <w:basedOn w:val="DefaultParagraphFont"/>
    <w:link w:val="BodyText"/>
    <w:rsid w:val="00F44E48"/>
    <w:rPr>
      <w:rFonts w:ascii="Arial" w:hAnsi="Arial"/>
    </w:rPr>
  </w:style>
  <w:style w:type="paragraph" w:customStyle="1" w:styleId="Inf6Titre4">
    <w:name w:val="Inf6_Titre4"/>
    <w:basedOn w:val="Normal"/>
    <w:next w:val="Normal"/>
    <w:rsid w:val="00F44E48"/>
    <w:pPr>
      <w:spacing w:after="360"/>
      <w:jc w:val="center"/>
    </w:pPr>
    <w:rPr>
      <w:rFonts w:cs="Arial"/>
      <w:caps/>
    </w:rPr>
  </w:style>
  <w:style w:type="paragraph" w:customStyle="1" w:styleId="Inf6Titre1">
    <w:name w:val="Inf6_Titre1"/>
    <w:basedOn w:val="Heading1"/>
    <w:next w:val="Normal"/>
    <w:rsid w:val="00F44E48"/>
    <w:pPr>
      <w:ind w:firstLine="284"/>
      <w:jc w:val="center"/>
    </w:pPr>
    <w:rPr>
      <w:b/>
    </w:rPr>
  </w:style>
  <w:style w:type="paragraph" w:customStyle="1" w:styleId="Inf6Titre2">
    <w:name w:val="Inf6_Titre2"/>
    <w:basedOn w:val="Inf6Titre1"/>
    <w:next w:val="Normal"/>
    <w:rsid w:val="00F44E48"/>
    <w:pPr>
      <w:spacing w:after="360" w:line="360" w:lineRule="auto"/>
      <w:ind w:firstLine="0"/>
    </w:pPr>
    <w:rPr>
      <w:rFonts w:cs="Arial"/>
      <w:b w:val="0"/>
    </w:rPr>
  </w:style>
  <w:style w:type="paragraph" w:customStyle="1" w:styleId="Inf6Titre3">
    <w:name w:val="Inf6_Titre3"/>
    <w:basedOn w:val="Inf6Titre2"/>
    <w:next w:val="Normal"/>
    <w:rsid w:val="00F44E48"/>
    <w:pPr>
      <w:keepNext w:val="0"/>
      <w:spacing w:after="240" w:line="240" w:lineRule="auto"/>
    </w:pPr>
    <w:rPr>
      <w:b/>
      <w:caps w:val="0"/>
    </w:rPr>
  </w:style>
  <w:style w:type="character" w:customStyle="1" w:styleId="HeaderChar">
    <w:name w:val="Header Char"/>
    <w:basedOn w:val="DefaultParagraphFont"/>
    <w:link w:val="Header"/>
    <w:uiPriority w:val="99"/>
    <w:rsid w:val="00F44E48"/>
    <w:rPr>
      <w:rFonts w:ascii="Arial" w:hAnsi="Arial"/>
      <w:lang w:val="es-ES"/>
    </w:rPr>
  </w:style>
  <w:style w:type="character" w:customStyle="1" w:styleId="Fuentedeprrafopredeter1">
    <w:name w:val="Fuente de párrafo predeter.1"/>
    <w:rsid w:val="00F44E48"/>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3C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73F1-EB47-4491-934B-24CDE87F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26991</Words>
  <Characters>146683</Characters>
  <Application>Microsoft Office Word</Application>
  <DocSecurity>0</DocSecurity>
  <Lines>1222</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vt:lpstr>
      <vt:lpstr>TC/55/</vt:lpstr>
    </vt:vector>
  </TitlesOfParts>
  <Company>UPOV</Company>
  <LinksUpToDate>false</LinksUpToDate>
  <CharactersWithSpaces>173328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ROVERE Caroline</dc:creator>
  <cp:keywords>FOR OFFICIAL USE ONLY</cp:keywords>
  <cp:lastModifiedBy>MAY Jessica</cp:lastModifiedBy>
  <cp:revision>17</cp:revision>
  <cp:lastPrinted>2019-10-29T17:51:00Z</cp:lastPrinted>
  <dcterms:created xsi:type="dcterms:W3CDTF">2019-12-03T08:23:00Z</dcterms:created>
  <dcterms:modified xsi:type="dcterms:W3CDTF">2019-12-19T08:09:00Z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78b4693e-ebaa-4897-b034-94906d5df9f6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