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703C5" w:rsidTr="00EB4E9C">
        <w:tc>
          <w:tcPr>
            <w:tcW w:w="6522" w:type="dxa"/>
          </w:tcPr>
          <w:p w:rsidR="00DC3802" w:rsidRPr="005703C5" w:rsidRDefault="00DC3802" w:rsidP="004275FC">
            <w:pPr>
              <w:rPr>
                <w:dstrike/>
              </w:rPr>
            </w:pPr>
            <w:r w:rsidRPr="004275FC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275FC" w:rsidRDefault="002E5944" w:rsidP="00AC2883">
            <w:pPr>
              <w:pStyle w:val="Lettrine"/>
            </w:pPr>
            <w:r w:rsidRPr="004275FC">
              <w:t>S</w:t>
            </w:r>
          </w:p>
        </w:tc>
      </w:tr>
      <w:tr w:rsidR="00DC3802" w:rsidRPr="005703C5" w:rsidTr="00645CA8">
        <w:trPr>
          <w:trHeight w:val="219"/>
        </w:trPr>
        <w:tc>
          <w:tcPr>
            <w:tcW w:w="6522" w:type="dxa"/>
          </w:tcPr>
          <w:p w:rsidR="00DC3802" w:rsidRPr="005703C5" w:rsidRDefault="002E5944" w:rsidP="00BC0BD4">
            <w:pPr>
              <w:pStyle w:val="upove"/>
              <w:rPr>
                <w:dstrike/>
              </w:rPr>
            </w:pPr>
            <w:r w:rsidRPr="004275F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275FC" w:rsidRDefault="00DC3802" w:rsidP="00DA4973"/>
        </w:tc>
      </w:tr>
    </w:tbl>
    <w:p w:rsidR="00DC3802" w:rsidRPr="004275FC" w:rsidRDefault="00DC3802" w:rsidP="00DC3802"/>
    <w:p w:rsidR="00DA4973" w:rsidRPr="004275F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703C5" w:rsidTr="00EB4E9C">
        <w:tc>
          <w:tcPr>
            <w:tcW w:w="6512" w:type="dxa"/>
          </w:tcPr>
          <w:p w:rsidR="00EB4E9C" w:rsidRPr="004275FC" w:rsidRDefault="002E5944" w:rsidP="00AC2883">
            <w:pPr>
              <w:pStyle w:val="Sessiontc"/>
              <w:spacing w:line="240" w:lineRule="auto"/>
            </w:pPr>
            <w:r w:rsidRPr="004275FC">
              <w:t>Comité Técnico</w:t>
            </w:r>
          </w:p>
          <w:p w:rsidR="00EB4E9C" w:rsidRPr="005703C5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4275FC">
              <w:t xml:space="preserve">Quincuagésima </w:t>
            </w:r>
            <w:r w:rsidR="000B7BB9" w:rsidRPr="004275FC">
              <w:t>quin</w:t>
            </w:r>
            <w:r w:rsidR="005A1EC1" w:rsidRPr="004275FC">
              <w:t>ta</w:t>
            </w:r>
            <w:r w:rsidRPr="004275FC">
              <w:t xml:space="preserve"> sesión</w:t>
            </w:r>
            <w:r w:rsidR="00EB4E9C" w:rsidRPr="004275FC">
              <w:br/>
            </w:r>
            <w:r w:rsidRPr="004275FC">
              <w:t>Ginebra</w:t>
            </w:r>
            <w:r w:rsidR="00EB4E9C" w:rsidRPr="004275FC">
              <w:t xml:space="preserve">, </w:t>
            </w:r>
            <w:r w:rsidR="005A1EC1" w:rsidRPr="004275FC">
              <w:t>2</w:t>
            </w:r>
            <w:r w:rsidR="000B7BB9" w:rsidRPr="004275FC">
              <w:t>8</w:t>
            </w:r>
            <w:r w:rsidR="005A1EC1" w:rsidRPr="004275FC">
              <w:t xml:space="preserve"> y </w:t>
            </w:r>
            <w:r w:rsidR="000B7BB9" w:rsidRPr="004275FC">
              <w:t>29</w:t>
            </w:r>
            <w:r w:rsidR="005A1EC1" w:rsidRPr="004275FC">
              <w:t xml:space="preserve"> de octubre </w:t>
            </w:r>
            <w:r w:rsidRPr="004275FC">
              <w:t>de</w:t>
            </w:r>
            <w:r w:rsidR="00A706D3" w:rsidRPr="004275FC">
              <w:t xml:space="preserve"> </w:t>
            </w:r>
            <w:r w:rsidR="000B7BB9" w:rsidRPr="004275FC">
              <w:t>2019</w:t>
            </w:r>
          </w:p>
        </w:tc>
        <w:tc>
          <w:tcPr>
            <w:tcW w:w="3127" w:type="dxa"/>
          </w:tcPr>
          <w:p w:rsidR="00EB4E9C" w:rsidRPr="004275FC" w:rsidRDefault="000B7BB9" w:rsidP="003C7FBE">
            <w:pPr>
              <w:pStyle w:val="Doccode"/>
              <w:rPr>
                <w:lang w:val="es-ES"/>
              </w:rPr>
            </w:pPr>
            <w:r w:rsidRPr="004275FC">
              <w:rPr>
                <w:lang w:val="es-ES"/>
              </w:rPr>
              <w:t>TC/55</w:t>
            </w:r>
            <w:r w:rsidR="00EB4E9C" w:rsidRPr="004275FC">
              <w:rPr>
                <w:lang w:val="es-ES"/>
              </w:rPr>
              <w:t>/</w:t>
            </w:r>
            <w:r w:rsidR="00823E48">
              <w:rPr>
                <w:lang w:val="es-ES"/>
              </w:rPr>
              <w:t>17</w:t>
            </w:r>
          </w:p>
          <w:p w:rsidR="00EB4E9C" w:rsidRPr="004275FC" w:rsidRDefault="00EB4E9C" w:rsidP="003C7FBE">
            <w:pPr>
              <w:pStyle w:val="Docoriginal"/>
            </w:pPr>
            <w:r w:rsidRPr="004275FC">
              <w:t>Original:</w:t>
            </w:r>
            <w:r w:rsidR="00BE1930" w:rsidRPr="004275FC">
              <w:rPr>
                <w:b w:val="0"/>
                <w:spacing w:val="0"/>
              </w:rPr>
              <w:t xml:space="preserve"> </w:t>
            </w:r>
            <w:r w:rsidR="002E5944" w:rsidRPr="004275FC">
              <w:rPr>
                <w:b w:val="0"/>
                <w:spacing w:val="0"/>
              </w:rPr>
              <w:t>Inglés</w:t>
            </w:r>
          </w:p>
          <w:p w:rsidR="00EB4E9C" w:rsidRPr="004275FC" w:rsidRDefault="002E5944" w:rsidP="00F15E45">
            <w:pPr>
              <w:pStyle w:val="Docoriginal"/>
            </w:pPr>
            <w:r w:rsidRPr="00F15E45">
              <w:t>Fecha</w:t>
            </w:r>
            <w:r w:rsidR="00EB4E9C" w:rsidRPr="00F15E45">
              <w:t>:</w:t>
            </w:r>
            <w:r w:rsidR="00BE1930" w:rsidRPr="00F15E45">
              <w:rPr>
                <w:b w:val="0"/>
                <w:spacing w:val="0"/>
              </w:rPr>
              <w:t xml:space="preserve"> </w:t>
            </w:r>
            <w:r w:rsidR="00F15E45" w:rsidRPr="00F15E45">
              <w:rPr>
                <w:b w:val="0"/>
                <w:spacing w:val="0"/>
              </w:rPr>
              <w:t>20</w:t>
            </w:r>
            <w:r w:rsidR="003501DB" w:rsidRPr="00F15E45">
              <w:rPr>
                <w:b w:val="0"/>
                <w:spacing w:val="0"/>
              </w:rPr>
              <w:t xml:space="preserve"> de </w:t>
            </w:r>
            <w:r w:rsidR="00F15E45" w:rsidRPr="00F15E45">
              <w:rPr>
                <w:b w:val="0"/>
                <w:spacing w:val="0"/>
              </w:rPr>
              <w:t>septiembre</w:t>
            </w:r>
            <w:r w:rsidR="00EB4E9C" w:rsidRPr="00F15E45">
              <w:rPr>
                <w:b w:val="0"/>
                <w:spacing w:val="0"/>
              </w:rPr>
              <w:t xml:space="preserve"> </w:t>
            </w:r>
            <w:r w:rsidRPr="00F15E45">
              <w:rPr>
                <w:b w:val="0"/>
                <w:spacing w:val="0"/>
              </w:rPr>
              <w:t xml:space="preserve">de </w:t>
            </w:r>
            <w:r w:rsidR="005A1EC1" w:rsidRPr="00F15E45">
              <w:rPr>
                <w:b w:val="0"/>
                <w:spacing w:val="0"/>
              </w:rPr>
              <w:t>201</w:t>
            </w:r>
            <w:r w:rsidR="000B7BB9" w:rsidRPr="00F15E45">
              <w:rPr>
                <w:b w:val="0"/>
                <w:spacing w:val="0"/>
              </w:rPr>
              <w:t>9</w:t>
            </w:r>
          </w:p>
        </w:tc>
      </w:tr>
    </w:tbl>
    <w:p w:rsidR="007A362D" w:rsidRPr="00F038B1" w:rsidRDefault="001662FA" w:rsidP="00AF562A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AF562A">
        <w:t>CUESTIONES POR RESOLVER EN LO QUE RESPECTA A LAS DIRECTRICES DE EXAMEN SOMETIDAS A LA aprobación DEL COMITÉ TÉCNICO</w:t>
      </w:r>
      <w:r w:rsidR="00B36D43">
        <w:t>:</w:t>
      </w:r>
      <w:r w:rsidR="00BE1930" w:rsidRPr="00F038B1">
        <w:rPr>
          <w:lang w:val="es-ES"/>
        </w:rPr>
        <w:t xml:space="preserve"> </w:t>
      </w:r>
      <w:r w:rsidR="00AF562A" w:rsidRPr="00AF562A">
        <w:t>SANDÍA</w:t>
      </w:r>
    </w:p>
    <w:p w:rsidR="006A644A" w:rsidRPr="004275FC" w:rsidRDefault="000638A9" w:rsidP="006A644A">
      <w:pPr>
        <w:pStyle w:val="preparedby1"/>
        <w:jc w:val="left"/>
      </w:pPr>
      <w:r w:rsidRPr="004275FC">
        <w:t>Documento preparado por la Oficina de la Unión</w:t>
      </w:r>
    </w:p>
    <w:p w:rsidR="00050E16" w:rsidRPr="004275FC" w:rsidRDefault="000638A9" w:rsidP="006A644A">
      <w:pPr>
        <w:pStyle w:val="Disclaimer"/>
      </w:pPr>
      <w:r w:rsidRPr="004275FC">
        <w:t>Descargo de responsabilidad: el presente documento no constituye un documento de política u orientación de la UPOV</w:t>
      </w:r>
    </w:p>
    <w:p w:rsidR="007A362D" w:rsidRPr="00F038B1" w:rsidRDefault="00B04060" w:rsidP="007A362D">
      <w:pPr>
        <w:rPr>
          <w:snapToGrid w:val="0"/>
          <w:lang w:val="es-ES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A84A90" w:rsidRPr="00B36D43">
        <w:rPr>
          <w:snapToGrid w:val="0"/>
        </w:rPr>
        <w:t xml:space="preserve">En su reunión celebrada en Ginebra el 26 de marzo de 2019, el </w:t>
      </w:r>
      <w:r w:rsidR="00AF562A" w:rsidRPr="00B36D43">
        <w:rPr>
          <w:snapToGrid w:val="0"/>
        </w:rPr>
        <w:t xml:space="preserve">Comité </w:t>
      </w:r>
      <w:r w:rsidR="00A84A90" w:rsidRPr="00B36D43">
        <w:rPr>
          <w:snapToGrid w:val="0"/>
        </w:rPr>
        <w:t xml:space="preserve">de </w:t>
      </w:r>
      <w:r w:rsidR="00724474">
        <w:rPr>
          <w:snapToGrid w:val="0"/>
        </w:rPr>
        <w:t>Redacción Ampliado (TC </w:t>
      </w:r>
      <w:r w:rsidR="00AF562A" w:rsidRPr="00B36D43">
        <w:rPr>
          <w:snapToGrid w:val="0"/>
        </w:rPr>
        <w:t>EDC) examinó el documento TC-EDC/M</w:t>
      </w:r>
      <w:r w:rsidR="00A41FFA" w:rsidRPr="00B36D43">
        <w:rPr>
          <w:snapToGrid w:val="0"/>
        </w:rPr>
        <w:t>ar</w:t>
      </w:r>
      <w:r w:rsidR="00AF562A" w:rsidRPr="00B36D43">
        <w:rPr>
          <w:snapToGrid w:val="0"/>
        </w:rPr>
        <w:t>19/8 “</w:t>
      </w:r>
      <w:r w:rsidR="00A84A90" w:rsidRPr="00B36D43">
        <w:rPr>
          <w:snapToGrid w:val="0"/>
        </w:rPr>
        <w:t>Revisión parcial de las directrices de examen de la sandía</w:t>
      </w:r>
      <w:r w:rsidR="00AF562A" w:rsidRPr="00B36D43">
        <w:rPr>
          <w:snapToGrid w:val="0"/>
        </w:rPr>
        <w:t xml:space="preserve">” y </w:t>
      </w:r>
      <w:r w:rsidR="00A84A90" w:rsidRPr="00B36D43">
        <w:rPr>
          <w:snapToGrid w:val="0"/>
        </w:rPr>
        <w:t xml:space="preserve">acordó que el Grupo de Trabajo Técnico sobre Hortalizas (TWV) analice las cuestiones técnicas </w:t>
      </w:r>
      <w:r w:rsidR="00B36D43" w:rsidRPr="00B36D43">
        <w:rPr>
          <w:snapToGrid w:val="0"/>
        </w:rPr>
        <w:t xml:space="preserve">suscitadas </w:t>
      </w:r>
      <w:r w:rsidR="00A84A90" w:rsidRPr="00B36D43">
        <w:rPr>
          <w:snapToGrid w:val="0"/>
        </w:rPr>
        <w:t>en la</w:t>
      </w:r>
      <w:r w:rsidR="00AF562A" w:rsidRPr="00B36D43">
        <w:rPr>
          <w:snapToGrid w:val="0"/>
        </w:rPr>
        <w:t xml:space="preserve"> prop</w:t>
      </w:r>
      <w:r w:rsidR="00B36D43" w:rsidRPr="00B36D43">
        <w:rPr>
          <w:snapToGrid w:val="0"/>
        </w:rPr>
        <w:t>uesta de</w:t>
      </w:r>
      <w:r w:rsidR="00AF562A" w:rsidRPr="00B36D43">
        <w:rPr>
          <w:snapToGrid w:val="0"/>
        </w:rPr>
        <w:t xml:space="preserve"> revisión parcial </w:t>
      </w:r>
      <w:r w:rsidR="00A84A90" w:rsidRPr="00B36D43">
        <w:rPr>
          <w:snapToGrid w:val="0"/>
        </w:rPr>
        <w:t>de las directrices de examen de la sandía</w:t>
      </w:r>
      <w:r w:rsidR="00AF562A" w:rsidRPr="00B36D43">
        <w:rPr>
          <w:snapToGrid w:val="0"/>
        </w:rPr>
        <w:t>.</w:t>
      </w:r>
    </w:p>
    <w:p w:rsidR="007A362D" w:rsidRPr="00F038B1" w:rsidRDefault="007A362D" w:rsidP="007A362D">
      <w:pPr>
        <w:rPr>
          <w:snapToGrid w:val="0"/>
          <w:lang w:val="es-ES"/>
        </w:rPr>
      </w:pPr>
    </w:p>
    <w:p w:rsidR="007A362D" w:rsidRDefault="007B4BF9" w:rsidP="00724474">
      <w:pPr>
        <w:autoSpaceDE w:val="0"/>
        <w:autoSpaceDN w:val="0"/>
        <w:adjustRightInd w:val="0"/>
        <w:rPr>
          <w:snapToGrid w:val="0"/>
          <w:lang w:val="es-ES"/>
        </w:rPr>
      </w:pPr>
      <w:r>
        <w:rPr>
          <w:snapToGrid w:val="0"/>
        </w:rPr>
        <w:fldChar w:fldCharType="begin"/>
      </w:r>
      <w:r w:rsidR="007A362D" w:rsidRPr="00F038B1">
        <w:rPr>
          <w:snapToGrid w:val="0"/>
          <w:lang w:val="es-ES"/>
        </w:rPr>
        <w:instrText xml:space="preserve"> AUTONUM  </w:instrText>
      </w:r>
      <w:r>
        <w:rPr>
          <w:snapToGrid w:val="0"/>
        </w:rPr>
        <w:fldChar w:fldCharType="end"/>
      </w:r>
      <w:r w:rsidR="007A362D" w:rsidRPr="00F038B1">
        <w:rPr>
          <w:snapToGrid w:val="0"/>
          <w:lang w:val="es-ES"/>
        </w:rPr>
        <w:tab/>
      </w:r>
      <w:r w:rsidR="00B36D43" w:rsidRPr="00AE6F03">
        <w:t xml:space="preserve">En su quincuagésima tercera sesión, celebrada en Seúl (República de Corea) del 20 al 24 de mayo de 2019, el TWV </w:t>
      </w:r>
      <w:r w:rsidR="00B36D43" w:rsidRPr="00AE6F03">
        <w:rPr>
          <w:snapToGrid w:val="0"/>
        </w:rPr>
        <w:t>examinó el documento TWV/53/9</w:t>
      </w:r>
      <w:r w:rsidR="00B36D43" w:rsidRPr="00AE6F03">
        <w:t xml:space="preserve"> </w:t>
      </w:r>
      <w:r w:rsidR="00B36D43" w:rsidRPr="00AE6F03">
        <w:rPr>
          <w:snapToGrid w:val="0"/>
        </w:rPr>
        <w:t>“</w:t>
      </w:r>
      <w:r w:rsidR="00B36D43" w:rsidRPr="00F038B1">
        <w:rPr>
          <w:i/>
          <w:lang w:val="es-ES"/>
        </w:rPr>
        <w:t>Matters to be resolved concerning Test Guidelines adopted by the Technical Committee: Watermelon</w:t>
      </w:r>
      <w:r w:rsidR="00B36D43" w:rsidRPr="00AE6F03">
        <w:rPr>
          <w:snapToGrid w:val="0"/>
        </w:rPr>
        <w:t>”</w:t>
      </w:r>
      <w:r w:rsidR="00FF6D13" w:rsidRPr="00AE6F03">
        <w:rPr>
          <w:snapToGrid w:val="0"/>
        </w:rPr>
        <w:t>,</w:t>
      </w:r>
      <w:r w:rsidR="00A61590" w:rsidRPr="00AE6F03">
        <w:rPr>
          <w:snapToGrid w:val="0"/>
        </w:rPr>
        <w:t xml:space="preserve"> </w:t>
      </w:r>
      <w:r w:rsidR="00FF6D13" w:rsidRPr="00AE6F03">
        <w:rPr>
          <w:snapToGrid w:val="0"/>
        </w:rPr>
        <w:t>en el que figuran</w:t>
      </w:r>
      <w:r w:rsidR="00B36D43" w:rsidRPr="00AE6F03">
        <w:rPr>
          <w:snapToGrid w:val="0"/>
        </w:rPr>
        <w:t xml:space="preserve"> </w:t>
      </w:r>
      <w:r w:rsidR="00FF6D13" w:rsidRPr="00AE6F03">
        <w:t>las observaciones formuladas por el TC-EDC</w:t>
      </w:r>
      <w:r w:rsidR="00FF6D13" w:rsidRPr="00AE6F03">
        <w:rPr>
          <w:snapToGrid w:val="0"/>
        </w:rPr>
        <w:t xml:space="preserve"> acerca de la </w:t>
      </w:r>
      <w:r w:rsidR="00B36D43" w:rsidRPr="00AE6F03">
        <w:rPr>
          <w:snapToGrid w:val="0"/>
        </w:rPr>
        <w:t xml:space="preserve">revisión parcial de </w:t>
      </w:r>
      <w:r w:rsidR="00FF6D13" w:rsidRPr="00AE6F03">
        <w:rPr>
          <w:snapToGrid w:val="0"/>
        </w:rPr>
        <w:t>las directrices de examen de la sandía</w:t>
      </w:r>
      <w:r w:rsidR="00FF6D13" w:rsidRPr="00AE6F03">
        <w:t xml:space="preserve"> </w:t>
      </w:r>
      <w:r w:rsidR="00B36D43" w:rsidRPr="00AE6F03">
        <w:t xml:space="preserve">(véase </w:t>
      </w:r>
      <w:r w:rsidR="00613228" w:rsidRPr="00AE6F03">
        <w:t xml:space="preserve">el </w:t>
      </w:r>
      <w:r w:rsidR="00B36D43" w:rsidRPr="00AE6F03">
        <w:t>documento</w:t>
      </w:r>
      <w:r w:rsidR="00613228" w:rsidRPr="00AE6F03">
        <w:t xml:space="preserve"> </w:t>
      </w:r>
      <w:r w:rsidR="00724474">
        <w:rPr>
          <w:snapToGrid w:val="0"/>
        </w:rPr>
        <w:t>TC</w:t>
      </w:r>
      <w:r w:rsidR="00724474">
        <w:rPr>
          <w:snapToGrid w:val="0"/>
        </w:rPr>
        <w:noBreakHyphen/>
      </w:r>
      <w:r w:rsidR="00B36D43" w:rsidRPr="00AE6F03">
        <w:rPr>
          <w:snapToGrid w:val="0"/>
        </w:rPr>
        <w:t>EDC/</w:t>
      </w:r>
      <w:r w:rsidR="00613228" w:rsidRPr="00AE6F03">
        <w:rPr>
          <w:snapToGrid w:val="0"/>
        </w:rPr>
        <w:t>Mar19</w:t>
      </w:r>
      <w:r w:rsidR="00B36D43" w:rsidRPr="00AE6F03">
        <w:rPr>
          <w:snapToGrid w:val="0"/>
        </w:rPr>
        <w:t>/8</w:t>
      </w:r>
      <w:r w:rsidR="00B36D43" w:rsidRPr="00AE6F03">
        <w:rPr>
          <w:rFonts w:cs="Arial"/>
        </w:rPr>
        <w:t>)</w:t>
      </w:r>
      <w:r w:rsidR="00B36D43" w:rsidRPr="00AE6F03">
        <w:t>,</w:t>
      </w:r>
      <w:r w:rsidR="00B36D43" w:rsidRPr="00AE6F03">
        <w:rPr>
          <w:snapToGrid w:val="0"/>
        </w:rPr>
        <w:t xml:space="preserve"> inclu</w:t>
      </w:r>
      <w:r w:rsidR="00877ABF" w:rsidRPr="00AE6F03">
        <w:rPr>
          <w:snapToGrid w:val="0"/>
        </w:rPr>
        <w:t xml:space="preserve">idas las cuestiones </w:t>
      </w:r>
      <w:r w:rsidR="00B36D43" w:rsidRPr="00AE6F03">
        <w:rPr>
          <w:snapToGrid w:val="0"/>
        </w:rPr>
        <w:t>técnic</w:t>
      </w:r>
      <w:r w:rsidR="00877ABF" w:rsidRPr="00AE6F03">
        <w:rPr>
          <w:snapToGrid w:val="0"/>
        </w:rPr>
        <w:t>as</w:t>
      </w:r>
      <w:r w:rsidR="00B36D43" w:rsidRPr="00AE6F03">
        <w:rPr>
          <w:snapToGrid w:val="0"/>
        </w:rPr>
        <w:t xml:space="preserve">, </w:t>
      </w:r>
      <w:r w:rsidR="00877ABF" w:rsidRPr="00F15E45">
        <w:rPr>
          <w:snapToGrid w:val="0"/>
        </w:rPr>
        <w:t>que se</w:t>
      </w:r>
      <w:r w:rsidR="00B36D43" w:rsidRPr="00F15E45">
        <w:rPr>
          <w:snapToGrid w:val="0"/>
        </w:rPr>
        <w:t xml:space="preserve"> indica</w:t>
      </w:r>
      <w:r w:rsidR="00877ABF" w:rsidRPr="00F15E45">
        <w:rPr>
          <w:snapToGrid w:val="0"/>
        </w:rPr>
        <w:t xml:space="preserve">n mediante el símbolo </w:t>
      </w:r>
      <w:r w:rsidR="00B36D43" w:rsidRPr="00F15E45">
        <w:rPr>
          <w:snapToGrid w:val="0"/>
        </w:rPr>
        <w:t>“</w:t>
      </w:r>
      <w:r w:rsidR="00B36D43" w:rsidRPr="00F15E45">
        <w:rPr>
          <w:snapToGrid w:val="0"/>
          <w:vertAlign w:val="superscript"/>
        </w:rPr>
        <w:t>#</w:t>
      </w:r>
      <w:r w:rsidR="00B36D43" w:rsidRPr="00F15E45">
        <w:rPr>
          <w:snapToGrid w:val="0"/>
        </w:rPr>
        <w:t xml:space="preserve">”, y </w:t>
      </w:r>
      <w:r w:rsidR="00877ABF" w:rsidRPr="00F15E45">
        <w:rPr>
          <w:snapToGrid w:val="0"/>
        </w:rPr>
        <w:t>las</w:t>
      </w:r>
      <w:r w:rsidR="00B36D43" w:rsidRPr="00F15E45">
        <w:rPr>
          <w:snapToGrid w:val="0"/>
        </w:rPr>
        <w:t xml:space="preserve"> </w:t>
      </w:r>
      <w:r w:rsidR="00877ABF" w:rsidRPr="00F15E45">
        <w:rPr>
          <w:snapToGrid w:val="0"/>
        </w:rPr>
        <w:t xml:space="preserve">respuestas </w:t>
      </w:r>
      <w:r w:rsidR="00B36D43" w:rsidRPr="00F15E45">
        <w:rPr>
          <w:snapToGrid w:val="0"/>
        </w:rPr>
        <w:t>prop</w:t>
      </w:r>
      <w:r w:rsidR="00877ABF" w:rsidRPr="00F15E45">
        <w:rPr>
          <w:snapToGrid w:val="0"/>
        </w:rPr>
        <w:t>uestas</w:t>
      </w:r>
      <w:r w:rsidR="00B36D43" w:rsidRPr="00F15E45">
        <w:rPr>
          <w:snapToGrid w:val="0"/>
        </w:rPr>
        <w:t xml:space="preserve"> por </w:t>
      </w:r>
      <w:r w:rsidR="00877ABF" w:rsidRPr="00F15E45">
        <w:rPr>
          <w:snapToGrid w:val="0"/>
        </w:rPr>
        <w:t>la experta principal</w:t>
      </w:r>
      <w:r w:rsidR="00B36D43" w:rsidRPr="00F15E45">
        <w:rPr>
          <w:snapToGrid w:val="0"/>
        </w:rPr>
        <w:t>, Sra.</w:t>
      </w:r>
      <w:r w:rsidR="00877ABF" w:rsidRPr="00F15E45">
        <w:rPr>
          <w:snapToGrid w:val="0"/>
        </w:rPr>
        <w:t> Marian van </w:t>
      </w:r>
      <w:r w:rsidR="00B36D43" w:rsidRPr="00F15E45">
        <w:rPr>
          <w:snapToGrid w:val="0"/>
        </w:rPr>
        <w:t>Leeuwen (</w:t>
      </w:r>
      <w:r w:rsidR="00877ABF" w:rsidRPr="00F15E45">
        <w:rPr>
          <w:snapToGrid w:val="0"/>
        </w:rPr>
        <w:t>Países </w:t>
      </w:r>
      <w:r w:rsidR="00B36D43" w:rsidRPr="00F15E45">
        <w:rPr>
          <w:snapToGrid w:val="0"/>
        </w:rPr>
        <w:t xml:space="preserve">Bajos), y </w:t>
      </w:r>
      <w:r w:rsidR="00AE6F03" w:rsidRPr="00F15E45">
        <w:rPr>
          <w:snapToGrid w:val="0"/>
        </w:rPr>
        <w:t>decidió</w:t>
      </w:r>
      <w:r w:rsidR="00B36D43" w:rsidRPr="00F15E45">
        <w:rPr>
          <w:snapToGrid w:val="0"/>
        </w:rPr>
        <w:t xml:space="preserve"> </w:t>
      </w:r>
      <w:r w:rsidR="00AE6F03" w:rsidRPr="00F15E45">
        <w:rPr>
          <w:snapToGrid w:val="0"/>
        </w:rPr>
        <w:t xml:space="preserve">lo </w:t>
      </w:r>
      <w:r w:rsidR="00B36D43" w:rsidRPr="00F15E45">
        <w:rPr>
          <w:snapToGrid w:val="0"/>
        </w:rPr>
        <w:t xml:space="preserve">siguiente </w:t>
      </w:r>
      <w:r w:rsidR="00B36D43" w:rsidRPr="00F15E45">
        <w:t xml:space="preserve">(véase </w:t>
      </w:r>
      <w:r w:rsidR="00DB6FE3" w:rsidRPr="00F15E45">
        <w:t xml:space="preserve">el párrafo 83 del </w:t>
      </w:r>
      <w:r w:rsidR="00B36D43" w:rsidRPr="00F15E45">
        <w:t>documento TWV/53/14</w:t>
      </w:r>
      <w:r w:rsidR="00724474" w:rsidRPr="00F15E45">
        <w:t xml:space="preserve"> Rev</w:t>
      </w:r>
      <w:r w:rsidR="0007280E" w:rsidRPr="00F15E45">
        <w:t>.</w:t>
      </w:r>
      <w:r w:rsidR="00B36D43" w:rsidRPr="00F15E45">
        <w:t xml:space="preserve"> “</w:t>
      </w:r>
      <w:r w:rsidR="00724474" w:rsidRPr="00F15E45">
        <w:rPr>
          <w:i/>
        </w:rPr>
        <w:t>Revised</w:t>
      </w:r>
      <w:r w:rsidR="00724474" w:rsidRPr="00F15E45">
        <w:t xml:space="preserve"> </w:t>
      </w:r>
      <w:r w:rsidR="00DB6FE3" w:rsidRPr="00F15E45">
        <w:rPr>
          <w:rFonts w:eastAsia="MS Mincho" w:cs="Arial"/>
          <w:i/>
          <w:lang w:val="es-ES" w:eastAsia="ja-JP"/>
        </w:rPr>
        <w:t>Report</w:t>
      </w:r>
      <w:r w:rsidR="00DB6FE3" w:rsidRPr="00F15E45">
        <w:rPr>
          <w:rFonts w:eastAsia="MS Mincho" w:cs="Arial"/>
          <w:lang w:eastAsia="ja-JP"/>
        </w:rPr>
        <w:t>”</w:t>
      </w:r>
      <w:r w:rsidR="009D6F53">
        <w:t>)</w:t>
      </w:r>
    </w:p>
    <w:p w:rsidR="00146DB7" w:rsidRPr="00F038B1" w:rsidRDefault="00146DB7" w:rsidP="007A362D">
      <w:pPr>
        <w:rPr>
          <w:snapToGrid w:val="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6"/>
      </w:tblGrid>
      <w:tr w:rsidR="007A362D" w:rsidRPr="00991037" w:rsidTr="00BA0083">
        <w:trPr>
          <w:cantSplit/>
        </w:trPr>
        <w:tc>
          <w:tcPr>
            <w:tcW w:w="1573" w:type="dxa"/>
          </w:tcPr>
          <w:p w:rsidR="007A362D" w:rsidRPr="00991037" w:rsidRDefault="00AE6F03" w:rsidP="00B04060">
            <w:pPr>
              <w:keepNext/>
              <w:rPr>
                <w:rFonts w:cs="Arial"/>
              </w:rPr>
            </w:pPr>
            <w:bookmarkStart w:id="2" w:name="_Ref20221222"/>
            <w:r w:rsidRPr="003368F9">
              <w:rPr>
                <w:rStyle w:val="FootnoteReference"/>
              </w:rPr>
              <w:footnoteReference w:customMarkFollows="1" w:id="2"/>
              <w:sym w:font="Symbol" w:char="F023"/>
            </w:r>
            <w:bookmarkEnd w:id="2"/>
            <w:r w:rsidRPr="003368F9">
              <w:rPr>
                <w:rFonts w:cs="Arial"/>
              </w:rPr>
              <w:t>Car</w:t>
            </w:r>
            <w:r w:rsidR="003368F9" w:rsidRPr="003368F9">
              <w:rPr>
                <w:rFonts w:cs="Arial"/>
              </w:rPr>
              <w:t>.</w:t>
            </w:r>
            <w:r w:rsidRPr="003368F9">
              <w:rPr>
                <w:rFonts w:cs="Arial"/>
              </w:rPr>
              <w:t xml:space="preserve"> 34</w:t>
            </w:r>
          </w:p>
        </w:tc>
        <w:tc>
          <w:tcPr>
            <w:tcW w:w="8066" w:type="dxa"/>
          </w:tcPr>
          <w:p w:rsidR="007A362D" w:rsidRPr="00F038B1" w:rsidRDefault="00374C67" w:rsidP="00BA0083">
            <w:pPr>
              <w:keepNext/>
              <w:rPr>
                <w:rFonts w:cs="Arial"/>
                <w:lang w:val="es-ES"/>
              </w:rPr>
            </w:pPr>
            <w:r w:rsidRPr="00374C67">
              <w:rPr>
                <w:rFonts w:cs="Arial"/>
              </w:rPr>
              <w:t xml:space="preserve">ha de </w:t>
            </w:r>
            <w:r w:rsidR="003368F9" w:rsidRPr="00374C67">
              <w:rPr>
                <w:rFonts w:cs="Arial"/>
              </w:rPr>
              <w:t>supr</w:t>
            </w:r>
            <w:r w:rsidRPr="00374C67">
              <w:rPr>
                <w:rFonts w:cs="Arial"/>
              </w:rPr>
              <w:t>i</w:t>
            </w:r>
            <w:r w:rsidR="003368F9" w:rsidRPr="00374C67">
              <w:rPr>
                <w:rFonts w:cs="Arial"/>
              </w:rPr>
              <w:t>m</w:t>
            </w:r>
            <w:r w:rsidRPr="00374C67">
              <w:rPr>
                <w:rFonts w:cs="Arial"/>
              </w:rPr>
              <w:t>ir</w:t>
            </w:r>
            <w:r w:rsidR="003368F9" w:rsidRPr="00374C67">
              <w:rPr>
                <w:rFonts w:cs="Arial"/>
              </w:rPr>
              <w:t xml:space="preserve">se (al cambiar el texto del nivel 1 del carácter 35 a “ausente o muy pequeña”, este carácter </w:t>
            </w:r>
            <w:r w:rsidRPr="00374C67">
              <w:rPr>
                <w:rFonts w:cs="Arial"/>
              </w:rPr>
              <w:t>resulta</w:t>
            </w:r>
            <w:r w:rsidR="003368F9" w:rsidRPr="00374C67">
              <w:rPr>
                <w:rFonts w:cs="Arial"/>
              </w:rPr>
              <w:t xml:space="preserve"> inadecuado)</w:t>
            </w:r>
          </w:p>
          <w:p w:rsidR="007A362D" w:rsidRPr="00991037" w:rsidRDefault="007A362D" w:rsidP="00B04060">
            <w:pPr>
              <w:keepNext/>
              <w:rPr>
                <w:rFonts w:cs="Arial"/>
                <w:i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1662FA" w:rsidRPr="00374C67">
              <w:rPr>
                <w:rFonts w:cs="Arial"/>
                <w:i/>
              </w:rPr>
              <w:t>de acuerdo.</w:t>
            </w:r>
          </w:p>
        </w:tc>
      </w:tr>
      <w:tr w:rsidR="007A362D" w:rsidRPr="00991037" w:rsidTr="00BA0083">
        <w:trPr>
          <w:cantSplit/>
        </w:trPr>
        <w:tc>
          <w:tcPr>
            <w:tcW w:w="1573" w:type="dxa"/>
          </w:tcPr>
          <w:p w:rsidR="007A362D" w:rsidRPr="00991037" w:rsidRDefault="00374C67" w:rsidP="00B04060">
            <w:pPr>
              <w:rPr>
                <w:rFonts w:cs="Arial"/>
              </w:rPr>
            </w:pPr>
            <w:r w:rsidRPr="00374C67">
              <w:rPr>
                <w:rFonts w:cs="Arial"/>
              </w:rPr>
              <w:t>Car. 35</w:t>
            </w:r>
          </w:p>
        </w:tc>
        <w:tc>
          <w:tcPr>
            <w:tcW w:w="8066" w:type="dxa"/>
          </w:tcPr>
          <w:p w:rsidR="007A362D" w:rsidRPr="00F038B1" w:rsidRDefault="00374C67" w:rsidP="00BA0083">
            <w:pPr>
              <w:rPr>
                <w:rFonts w:cs="Arial"/>
                <w:lang w:val="es-ES"/>
              </w:rPr>
            </w:pPr>
            <w:r w:rsidRPr="00374C67">
              <w:rPr>
                <w:rFonts w:cs="Arial"/>
              </w:rPr>
              <w:t>suprimir “en relación con el del color de fondo” (por definición, el color de fondo ocupa toda la superficie)</w:t>
            </w:r>
          </w:p>
          <w:p w:rsidR="007A362D" w:rsidRPr="00991037" w:rsidRDefault="007A362D" w:rsidP="00B04060">
            <w:pPr>
              <w:rPr>
                <w:rFonts w:cs="Arial"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374C67" w:rsidRPr="00374C67">
              <w:rPr>
                <w:rFonts w:cs="Arial"/>
                <w:i/>
              </w:rPr>
              <w:t>de acuerdo.</w:t>
            </w:r>
          </w:p>
        </w:tc>
      </w:tr>
      <w:tr w:rsidR="007A362D" w:rsidRPr="00991037" w:rsidTr="00BA0083">
        <w:trPr>
          <w:cantSplit/>
        </w:trPr>
        <w:tc>
          <w:tcPr>
            <w:tcW w:w="1573" w:type="dxa"/>
          </w:tcPr>
          <w:p w:rsidR="007A362D" w:rsidRPr="00724474" w:rsidRDefault="005E7842" w:rsidP="00B04060">
            <w:pPr>
              <w:jc w:val="left"/>
              <w:rPr>
                <w:rFonts w:cs="Arial"/>
                <w:lang w:val="en-US"/>
              </w:rPr>
            </w:pPr>
            <w:r w:rsidRPr="005E7842">
              <w:rPr>
                <w:rFonts w:cs="Arial"/>
                <w:vertAlign w:val="superscript"/>
                <w:lang w:val="en-US"/>
              </w:rPr>
              <w:fldChar w:fldCharType="begin"/>
            </w:r>
            <w:r w:rsidRPr="005E7842">
              <w:rPr>
                <w:rFonts w:cs="Arial"/>
                <w:vertAlign w:val="superscript"/>
                <w:lang w:val="en-US"/>
              </w:rPr>
              <w:instrText xml:space="preserve"> NOTEREF _Ref20221222 \h </w:instrText>
            </w:r>
            <w:r w:rsidRPr="005E7842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5E7842">
              <w:rPr>
                <w:rFonts w:cs="Arial"/>
                <w:vertAlign w:val="superscript"/>
                <w:lang w:val="en-US"/>
              </w:rPr>
              <w:fldChar w:fldCharType="separate"/>
            </w:r>
            <w:r w:rsidR="00993E5E" w:rsidRPr="00993E5E">
              <w:rPr>
                <w:vertAlign w:val="superscript"/>
              </w:rPr>
              <w:sym w:font="Symbol" w:char="F023"/>
            </w:r>
            <w:r w:rsidRPr="005E7842">
              <w:rPr>
                <w:rFonts w:cs="Arial"/>
                <w:vertAlign w:val="superscript"/>
                <w:lang w:val="en-US"/>
              </w:rPr>
              <w:fldChar w:fldCharType="end"/>
            </w:r>
            <w:r w:rsidR="00374C67" w:rsidRPr="00724474">
              <w:rPr>
                <w:rFonts w:cs="Arial"/>
                <w:lang w:val="en-US"/>
              </w:rPr>
              <w:t>Car. 36</w:t>
            </w:r>
          </w:p>
        </w:tc>
        <w:tc>
          <w:tcPr>
            <w:tcW w:w="8066" w:type="dxa"/>
          </w:tcPr>
          <w:p w:rsidR="007A362D" w:rsidRPr="00F038B1" w:rsidRDefault="00374C67" w:rsidP="00BA0083">
            <w:pPr>
              <w:keepNext/>
              <w:rPr>
                <w:rFonts w:cs="Arial"/>
                <w:lang w:val="es-ES"/>
              </w:rPr>
            </w:pPr>
            <w:r w:rsidRPr="00374C67">
              <w:rPr>
                <w:rFonts w:cs="Arial"/>
              </w:rPr>
              <w:t>añadir una variedad ejemplo en el nivel “presentes” (p. ej., una del texto actual)</w:t>
            </w:r>
          </w:p>
          <w:p w:rsidR="007A362D" w:rsidRPr="00F038B1" w:rsidRDefault="00374C67" w:rsidP="00BA0083">
            <w:pPr>
              <w:keepNext/>
              <w:rPr>
                <w:rFonts w:cs="Arial"/>
                <w:i/>
                <w:lang w:val="es-ES"/>
              </w:rPr>
            </w:pPr>
            <w:r w:rsidRPr="00374C67">
              <w:rPr>
                <w:rFonts w:cs="Arial"/>
                <w:i/>
              </w:rPr>
              <w:t>Expert</w:t>
            </w:r>
            <w:r w:rsidR="00EA2EF8">
              <w:rPr>
                <w:rFonts w:cs="Arial"/>
                <w:i/>
              </w:rPr>
              <w:t>a</w:t>
            </w:r>
            <w:r w:rsidRPr="00374C67">
              <w:rPr>
                <w:rFonts w:cs="Arial"/>
                <w:i/>
              </w:rPr>
              <w:t xml:space="preserve"> principal:</w:t>
            </w:r>
            <w:r w:rsidR="00BE1930" w:rsidRPr="00F038B1">
              <w:rPr>
                <w:rFonts w:cs="Arial"/>
                <w:i/>
                <w:lang w:val="es-ES"/>
              </w:rPr>
              <w:t xml:space="preserve"> </w:t>
            </w:r>
            <w:r w:rsidRPr="00224D00">
              <w:rPr>
                <w:rFonts w:cs="Arial"/>
                <w:i/>
              </w:rPr>
              <w:t>añadir las variedades ejemplo “Bonanza” y “Frilly” en el nivel “presentes”</w:t>
            </w:r>
            <w:r w:rsidR="00224D00" w:rsidRPr="00224D00">
              <w:rPr>
                <w:rFonts w:cs="Arial"/>
                <w:i/>
              </w:rPr>
              <w:t>.</w:t>
            </w:r>
          </w:p>
          <w:p w:rsidR="007A362D" w:rsidRPr="00991037" w:rsidRDefault="007A362D" w:rsidP="00B04060">
            <w:pPr>
              <w:keepNext/>
              <w:rPr>
                <w:rFonts w:cs="Arial"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374C67" w:rsidRPr="00224D00">
              <w:rPr>
                <w:rFonts w:cs="Arial"/>
                <w:i/>
              </w:rPr>
              <w:t>de acuerdo.</w:t>
            </w:r>
          </w:p>
        </w:tc>
      </w:tr>
      <w:bookmarkStart w:id="3" w:name="_GoBack"/>
      <w:tr w:rsidR="007A362D" w:rsidRPr="00991037" w:rsidTr="00BA0083">
        <w:trPr>
          <w:cantSplit/>
        </w:trPr>
        <w:tc>
          <w:tcPr>
            <w:tcW w:w="1573" w:type="dxa"/>
          </w:tcPr>
          <w:p w:rsidR="007A362D" w:rsidRPr="00724474" w:rsidRDefault="005E7842" w:rsidP="00B04060">
            <w:pPr>
              <w:jc w:val="left"/>
              <w:rPr>
                <w:rFonts w:cs="Arial"/>
                <w:lang w:val="en-US"/>
              </w:rPr>
            </w:pPr>
            <w:r w:rsidRPr="005E7842">
              <w:rPr>
                <w:rFonts w:cs="Arial"/>
                <w:vertAlign w:val="superscript"/>
                <w:lang w:val="en-US"/>
              </w:rPr>
              <w:fldChar w:fldCharType="begin"/>
            </w:r>
            <w:r w:rsidRPr="005E7842">
              <w:rPr>
                <w:rFonts w:cs="Arial"/>
                <w:vertAlign w:val="superscript"/>
                <w:lang w:val="en-US"/>
              </w:rPr>
              <w:instrText xml:space="preserve"> NOTEREF _Ref20221222 \h </w:instrText>
            </w:r>
            <w:r w:rsidRPr="005E7842">
              <w:rPr>
                <w:rFonts w:cs="Arial"/>
                <w:vertAlign w:val="superscript"/>
                <w:lang w:val="en-US"/>
              </w:rPr>
            </w:r>
            <w:r>
              <w:rPr>
                <w:rFonts w:cs="Arial"/>
                <w:vertAlign w:val="superscript"/>
                <w:lang w:val="en-US"/>
              </w:rPr>
              <w:instrText xml:space="preserve"> \* MERGEFORMAT </w:instrText>
            </w:r>
            <w:r w:rsidRPr="005E7842">
              <w:rPr>
                <w:rFonts w:cs="Arial"/>
                <w:vertAlign w:val="superscript"/>
                <w:lang w:val="en-US"/>
              </w:rPr>
              <w:fldChar w:fldCharType="separate"/>
            </w:r>
            <w:r w:rsidR="00993E5E" w:rsidRPr="00993E5E">
              <w:rPr>
                <w:vertAlign w:val="superscript"/>
              </w:rPr>
              <w:sym w:font="Symbol" w:char="F023"/>
            </w:r>
            <w:r w:rsidRPr="005E7842">
              <w:rPr>
                <w:rFonts w:cs="Arial"/>
                <w:vertAlign w:val="superscript"/>
                <w:lang w:val="en-US"/>
              </w:rPr>
              <w:fldChar w:fldCharType="end"/>
            </w:r>
            <w:bookmarkEnd w:id="3"/>
            <w:r w:rsidR="00224D00" w:rsidRPr="00724474">
              <w:rPr>
                <w:rFonts w:cs="Arial"/>
                <w:lang w:val="en-US"/>
              </w:rPr>
              <w:t>Ad. 33</w:t>
            </w:r>
          </w:p>
        </w:tc>
        <w:tc>
          <w:tcPr>
            <w:tcW w:w="8066" w:type="dxa"/>
          </w:tcPr>
          <w:p w:rsidR="007A362D" w:rsidRPr="00F038B1" w:rsidRDefault="00224D00" w:rsidP="00BA0083">
            <w:pPr>
              <w:keepNext/>
              <w:rPr>
                <w:rFonts w:cs="Arial"/>
                <w:lang w:val="es-ES"/>
              </w:rPr>
            </w:pPr>
            <w:r w:rsidRPr="00EA2EF8">
              <w:rPr>
                <w:rFonts w:cs="Arial"/>
              </w:rPr>
              <w:t>suprimir las ilustraciones (ina</w:t>
            </w:r>
            <w:r w:rsidR="00EF1866" w:rsidRPr="00EA2EF8">
              <w:rPr>
                <w:rFonts w:cs="Arial"/>
              </w:rPr>
              <w:t>decuadas</w:t>
            </w:r>
            <w:r w:rsidRPr="00EA2EF8">
              <w:rPr>
                <w:rFonts w:cs="Arial"/>
              </w:rPr>
              <w:t xml:space="preserve"> </w:t>
            </w:r>
            <w:r w:rsidR="00EF1866" w:rsidRPr="00EA2EF8">
              <w:rPr>
                <w:rFonts w:cs="Arial"/>
              </w:rPr>
              <w:t>par</w:t>
            </w:r>
            <w:r w:rsidRPr="00EA2EF8">
              <w:rPr>
                <w:rFonts w:cs="Arial"/>
              </w:rPr>
              <w:t xml:space="preserve">a ilustrar </w:t>
            </w:r>
            <w:r w:rsidR="00EF1866" w:rsidRPr="00EA2EF8">
              <w:rPr>
                <w:rFonts w:cs="Arial"/>
              </w:rPr>
              <w:t xml:space="preserve">el </w:t>
            </w:r>
            <w:r w:rsidRPr="00EA2EF8">
              <w:rPr>
                <w:rFonts w:cs="Arial"/>
              </w:rPr>
              <w:t xml:space="preserve">color, véase </w:t>
            </w:r>
            <w:r w:rsidR="00EF1866" w:rsidRPr="00EA2EF8">
              <w:rPr>
                <w:rFonts w:cs="Arial"/>
              </w:rPr>
              <w:t xml:space="preserve">la GN 36 del documento </w:t>
            </w:r>
            <w:r w:rsidRPr="00EA2EF8">
              <w:rPr>
                <w:rFonts w:cs="Arial"/>
              </w:rPr>
              <w:t>TGP/7)</w:t>
            </w:r>
          </w:p>
          <w:p w:rsidR="007A362D" w:rsidRPr="00991037" w:rsidRDefault="007A362D" w:rsidP="00B04060">
            <w:pPr>
              <w:keepNext/>
              <w:rPr>
                <w:rFonts w:cs="Arial"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EA2EF8" w:rsidRPr="00EA2EF8">
              <w:rPr>
                <w:rFonts w:cs="Arial"/>
                <w:i/>
              </w:rPr>
              <w:t>de acuerdo.</w:t>
            </w:r>
          </w:p>
        </w:tc>
      </w:tr>
      <w:tr w:rsidR="007A362D" w:rsidRPr="00991037" w:rsidTr="00BA0083">
        <w:trPr>
          <w:cantSplit/>
        </w:trPr>
        <w:tc>
          <w:tcPr>
            <w:tcW w:w="1573" w:type="dxa"/>
          </w:tcPr>
          <w:p w:rsidR="007A362D" w:rsidRPr="00991037" w:rsidRDefault="00EA2EF8" w:rsidP="00B04060">
            <w:pPr>
              <w:jc w:val="left"/>
              <w:rPr>
                <w:rFonts w:cs="Arial"/>
              </w:rPr>
            </w:pPr>
            <w:r w:rsidRPr="00EA2EF8">
              <w:rPr>
                <w:rFonts w:cs="Arial"/>
              </w:rPr>
              <w:t>Ad. 34</w:t>
            </w:r>
          </w:p>
        </w:tc>
        <w:tc>
          <w:tcPr>
            <w:tcW w:w="8066" w:type="dxa"/>
          </w:tcPr>
          <w:p w:rsidR="007A362D" w:rsidRPr="00F038B1" w:rsidRDefault="007A362D" w:rsidP="00BA0083">
            <w:pPr>
              <w:keepNext/>
              <w:rPr>
                <w:rFonts w:cs="Arial"/>
                <w:lang w:val="es-ES"/>
              </w:rPr>
            </w:pPr>
            <w:r w:rsidRPr="00F038B1">
              <w:rPr>
                <w:rFonts w:cs="Arial"/>
                <w:lang w:val="es-ES"/>
              </w:rPr>
              <w:t xml:space="preserve">- </w:t>
            </w:r>
            <w:r w:rsidR="00EA2EF8" w:rsidRPr="00EA2EF8">
              <w:rPr>
                <w:rFonts w:cs="Arial"/>
              </w:rPr>
              <w:t>el texto debe ser “… Las observaciones deberán efectuarse excluyendo las variedades con color de fondo negro”.</w:t>
            </w:r>
          </w:p>
          <w:p w:rsidR="007A362D" w:rsidRPr="00F038B1" w:rsidRDefault="007A362D" w:rsidP="00BA0083">
            <w:pPr>
              <w:keepNext/>
              <w:rPr>
                <w:rFonts w:cs="Arial"/>
                <w:lang w:val="es-ES"/>
              </w:rPr>
            </w:pPr>
            <w:r w:rsidRPr="00F038B1">
              <w:rPr>
                <w:rFonts w:cs="Arial"/>
                <w:lang w:val="es-ES"/>
              </w:rPr>
              <w:t xml:space="preserve">- </w:t>
            </w:r>
            <w:r w:rsidR="00EA2EF8" w:rsidRPr="00EA2EF8">
              <w:rPr>
                <w:rFonts w:cs="Arial"/>
              </w:rPr>
              <w:t>suprimir “(izquierda)” a continuación de la fotografía 1</w:t>
            </w:r>
          </w:p>
          <w:p w:rsidR="007A362D" w:rsidRPr="00F038B1" w:rsidRDefault="00EA2EF8" w:rsidP="00BA0083">
            <w:pPr>
              <w:keepNext/>
              <w:rPr>
                <w:rFonts w:cs="Arial"/>
                <w:i/>
                <w:lang w:val="es-ES"/>
              </w:rPr>
            </w:pPr>
            <w:r w:rsidRPr="00EA2EF8">
              <w:rPr>
                <w:rFonts w:cs="Arial"/>
                <w:i/>
              </w:rPr>
              <w:t>Experta principal:</w:t>
            </w:r>
            <w:r w:rsidR="00BE1930" w:rsidRPr="00F038B1">
              <w:rPr>
                <w:rFonts w:cs="Arial"/>
                <w:i/>
                <w:lang w:val="es-ES"/>
              </w:rPr>
              <w:t xml:space="preserve"> </w:t>
            </w:r>
            <w:r w:rsidRPr="00EA2EF8">
              <w:rPr>
                <w:rFonts w:cs="Arial"/>
                <w:i/>
              </w:rPr>
              <w:t>de acuerdo con suprimir el carácter y la Ad. 34.</w:t>
            </w:r>
            <w:r w:rsidR="00BE1930" w:rsidRPr="00F038B1">
              <w:rPr>
                <w:rFonts w:cs="Arial"/>
                <w:i/>
                <w:lang w:val="es-ES"/>
              </w:rPr>
              <w:t xml:space="preserve"> </w:t>
            </w:r>
            <w:r w:rsidR="00E520B8" w:rsidRPr="00BE7548">
              <w:rPr>
                <w:rFonts w:cs="Arial"/>
                <w:i/>
              </w:rPr>
              <w:t>Por consiguiente</w:t>
            </w:r>
            <w:r w:rsidRPr="00BE7548">
              <w:rPr>
                <w:rFonts w:cs="Arial"/>
                <w:i/>
              </w:rPr>
              <w:t xml:space="preserve">, en la Ad. 35 </w:t>
            </w:r>
            <w:r w:rsidR="00E520B8" w:rsidRPr="00BE7548">
              <w:rPr>
                <w:rFonts w:cs="Arial"/>
                <w:i/>
              </w:rPr>
              <w:t>ha de</w:t>
            </w:r>
            <w:r w:rsidRPr="00BE7548">
              <w:rPr>
                <w:rFonts w:cs="Arial"/>
                <w:i/>
              </w:rPr>
              <w:t xml:space="preserve"> añadirse “… Las observaciones deberán efectuarse excluyendo las variedades con color de fondo negro” </w:t>
            </w:r>
            <w:r w:rsidR="00F42A67" w:rsidRPr="00BE7548">
              <w:rPr>
                <w:rFonts w:cs="Arial"/>
                <w:i/>
              </w:rPr>
              <w:t>a continuación de la</w:t>
            </w:r>
            <w:r w:rsidRPr="00BE7548">
              <w:rPr>
                <w:rFonts w:cs="Arial"/>
                <w:i/>
              </w:rPr>
              <w:t xml:space="preserve"> última frase.</w:t>
            </w:r>
            <w:r w:rsidR="007A362D" w:rsidRPr="00F038B1">
              <w:rPr>
                <w:rFonts w:cs="Arial"/>
                <w:i/>
                <w:lang w:val="es-ES"/>
              </w:rPr>
              <w:t xml:space="preserve"> </w:t>
            </w:r>
            <w:r w:rsidR="00BE7548" w:rsidRPr="00582912">
              <w:rPr>
                <w:rFonts w:cs="Arial"/>
                <w:i/>
              </w:rPr>
              <w:t>Asimismo, la fotografía del nivel 1 de la Ad. 34 ha de añadirse a la fotografía del nivel 1 de la Ad. 35</w:t>
            </w:r>
            <w:r w:rsidR="00582912" w:rsidRPr="00582912">
              <w:rPr>
                <w:rFonts w:cs="Arial"/>
                <w:i/>
              </w:rPr>
              <w:t>,</w:t>
            </w:r>
            <w:r w:rsidR="007A362D" w:rsidRPr="00F038B1">
              <w:rPr>
                <w:rFonts w:cs="Arial"/>
                <w:i/>
                <w:lang w:val="es-ES"/>
              </w:rPr>
              <w:t xml:space="preserve"> </w:t>
            </w:r>
            <w:r w:rsidR="00582912" w:rsidRPr="00582912">
              <w:rPr>
                <w:rFonts w:cs="Arial"/>
                <w:i/>
              </w:rPr>
              <w:t xml:space="preserve">de </w:t>
            </w:r>
            <w:r w:rsidR="000F1B0E" w:rsidRPr="00582912">
              <w:rPr>
                <w:rFonts w:cs="Arial"/>
                <w:i/>
              </w:rPr>
              <w:t>modo</w:t>
            </w:r>
            <w:r w:rsidR="00582912" w:rsidRPr="00582912">
              <w:rPr>
                <w:rFonts w:cs="Arial"/>
                <w:i/>
              </w:rPr>
              <w:t xml:space="preserve"> que </w:t>
            </w:r>
            <w:r w:rsidR="000F1B0E" w:rsidRPr="00582912">
              <w:rPr>
                <w:rFonts w:cs="Arial"/>
                <w:i/>
              </w:rPr>
              <w:t>ha</w:t>
            </w:r>
            <w:r w:rsidR="00582912" w:rsidRPr="00582912">
              <w:rPr>
                <w:rFonts w:cs="Arial"/>
                <w:i/>
              </w:rPr>
              <w:t>ya</w:t>
            </w:r>
            <w:r w:rsidR="000F1B0E" w:rsidRPr="00582912">
              <w:rPr>
                <w:rFonts w:cs="Arial"/>
                <w:i/>
              </w:rPr>
              <w:t xml:space="preserve"> dos fotografías ilustrando la nota 1 de la Ad. 35.</w:t>
            </w:r>
          </w:p>
          <w:p w:rsidR="007A362D" w:rsidRPr="00991037" w:rsidRDefault="007A362D" w:rsidP="00B04060">
            <w:pPr>
              <w:keepNext/>
              <w:rPr>
                <w:rFonts w:cs="Arial"/>
                <w:i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0F1B0E" w:rsidRPr="000F1B0E">
              <w:rPr>
                <w:rFonts w:cs="Arial"/>
                <w:i/>
              </w:rPr>
              <w:t>de acuerdo.</w:t>
            </w:r>
          </w:p>
        </w:tc>
      </w:tr>
      <w:tr w:rsidR="007A362D" w:rsidRPr="008C5149" w:rsidTr="00BA0083">
        <w:trPr>
          <w:cantSplit/>
        </w:trPr>
        <w:tc>
          <w:tcPr>
            <w:tcW w:w="1573" w:type="dxa"/>
          </w:tcPr>
          <w:p w:rsidR="007A362D" w:rsidRPr="00991037" w:rsidRDefault="000F1B0E" w:rsidP="00F038B1">
            <w:pPr>
              <w:keepNext/>
              <w:jc w:val="left"/>
              <w:rPr>
                <w:rFonts w:cs="Arial"/>
              </w:rPr>
            </w:pPr>
            <w:r w:rsidRPr="000F1B0E">
              <w:rPr>
                <w:rFonts w:cs="Arial"/>
              </w:rPr>
              <w:lastRenderedPageBreak/>
              <w:t>Ad. 36</w:t>
            </w:r>
          </w:p>
        </w:tc>
        <w:tc>
          <w:tcPr>
            <w:tcW w:w="8066" w:type="dxa"/>
          </w:tcPr>
          <w:p w:rsidR="007A362D" w:rsidRPr="00F038B1" w:rsidRDefault="007A362D" w:rsidP="00F038B1">
            <w:pPr>
              <w:keepNext/>
              <w:rPr>
                <w:rFonts w:cs="Arial"/>
                <w:lang w:val="es-ES"/>
              </w:rPr>
            </w:pPr>
            <w:r w:rsidRPr="00F038B1">
              <w:rPr>
                <w:rFonts w:cs="Arial"/>
                <w:lang w:val="es-ES"/>
              </w:rPr>
              <w:t xml:space="preserve">- </w:t>
            </w:r>
            <w:r w:rsidR="000F1B0E" w:rsidRPr="000F1B0E">
              <w:rPr>
                <w:rFonts w:cs="Arial"/>
              </w:rPr>
              <w:t>el texto debe ser “… Las observaciones deberán efectuarse excluyendo las variedades con color de fondo negro”.</w:t>
            </w:r>
          </w:p>
          <w:p w:rsidR="007A362D" w:rsidRPr="00F038B1" w:rsidRDefault="007A362D" w:rsidP="00F038B1">
            <w:pPr>
              <w:keepNext/>
              <w:rPr>
                <w:rFonts w:cs="Arial"/>
                <w:lang w:val="es-ES"/>
              </w:rPr>
            </w:pPr>
            <w:r w:rsidRPr="00F038B1">
              <w:rPr>
                <w:rFonts w:cs="Arial"/>
                <w:lang w:val="es-ES"/>
              </w:rPr>
              <w:t xml:space="preserve">- </w:t>
            </w:r>
            <w:r w:rsidR="000F1B0E" w:rsidRPr="000F1B0E">
              <w:rPr>
                <w:rFonts w:cs="Arial"/>
              </w:rPr>
              <w:t>suprimir “(izquierda)” a continuación de la fotografía 1</w:t>
            </w:r>
          </w:p>
          <w:p w:rsidR="007A362D" w:rsidRPr="008C5149" w:rsidRDefault="007A362D" w:rsidP="00F038B1">
            <w:pPr>
              <w:keepNext/>
              <w:rPr>
                <w:rFonts w:cs="Arial"/>
              </w:rPr>
            </w:pPr>
            <w:r w:rsidRPr="004275FC">
              <w:rPr>
                <w:rFonts w:cs="Arial"/>
                <w:i/>
              </w:rPr>
              <w:t>TWV:</w:t>
            </w:r>
            <w:r w:rsidR="00BE1930" w:rsidRPr="004275FC">
              <w:rPr>
                <w:rFonts w:cs="Arial"/>
                <w:i/>
              </w:rPr>
              <w:t xml:space="preserve"> </w:t>
            </w:r>
            <w:r w:rsidR="000F1B0E" w:rsidRPr="000F1B0E">
              <w:rPr>
                <w:rFonts w:cs="Arial"/>
                <w:i/>
              </w:rPr>
              <w:t>de acuerdo.</w:t>
            </w:r>
          </w:p>
        </w:tc>
      </w:tr>
    </w:tbl>
    <w:p w:rsidR="007A362D" w:rsidRPr="00C5280D" w:rsidRDefault="007A362D" w:rsidP="00F038B1">
      <w:pPr>
        <w:keepNext/>
        <w:rPr>
          <w:snapToGrid w:val="0"/>
        </w:rPr>
      </w:pPr>
    </w:p>
    <w:p w:rsidR="007A362D" w:rsidRDefault="007A362D" w:rsidP="007A362D">
      <w:pPr>
        <w:jc w:val="left"/>
      </w:pPr>
    </w:p>
    <w:p w:rsidR="00F038B1" w:rsidRDefault="00F038B1" w:rsidP="007A362D">
      <w:pPr>
        <w:jc w:val="left"/>
      </w:pPr>
    </w:p>
    <w:p w:rsidR="00050E16" w:rsidRPr="00C5280D" w:rsidRDefault="00050E16" w:rsidP="00F038B1">
      <w:pPr>
        <w:jc w:val="right"/>
      </w:pPr>
      <w:r w:rsidRPr="004275FC">
        <w:t>[</w:t>
      </w:r>
      <w:r w:rsidR="000638A9" w:rsidRPr="004275FC">
        <w:t>Fin del documento</w:t>
      </w:r>
      <w:r w:rsidRPr="004275FC">
        <w:t>]</w:t>
      </w: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A3" w:rsidRDefault="00CF2BA3" w:rsidP="006655D3">
      <w:r>
        <w:separator/>
      </w:r>
    </w:p>
    <w:p w:rsidR="00CF2BA3" w:rsidRDefault="00CF2BA3" w:rsidP="006655D3"/>
    <w:p w:rsidR="00CF2BA3" w:rsidRDefault="00CF2BA3" w:rsidP="006655D3"/>
  </w:endnote>
  <w:endnote w:type="continuationSeparator" w:id="0">
    <w:p w:rsidR="00CF2BA3" w:rsidRDefault="00CF2BA3" w:rsidP="006655D3">
      <w:r>
        <w:separator/>
      </w:r>
    </w:p>
    <w:p w:rsidR="00CF2BA3" w:rsidRPr="00294751" w:rsidRDefault="00CF2BA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F2BA3" w:rsidRPr="00294751" w:rsidRDefault="00CF2BA3" w:rsidP="006655D3">
      <w:pPr>
        <w:rPr>
          <w:lang w:val="fr-FR"/>
        </w:rPr>
      </w:pPr>
    </w:p>
    <w:p w:rsidR="00CF2BA3" w:rsidRPr="00294751" w:rsidRDefault="00CF2BA3" w:rsidP="006655D3">
      <w:pPr>
        <w:rPr>
          <w:lang w:val="fr-FR"/>
        </w:rPr>
      </w:pPr>
    </w:p>
  </w:endnote>
  <w:endnote w:type="continuationNotice" w:id="1">
    <w:p w:rsidR="00CF2BA3" w:rsidRPr="00294751" w:rsidRDefault="00CF2BA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F2BA3" w:rsidRPr="00294751" w:rsidRDefault="00CF2BA3" w:rsidP="006655D3">
      <w:pPr>
        <w:rPr>
          <w:lang w:val="fr-FR"/>
        </w:rPr>
      </w:pPr>
    </w:p>
    <w:p w:rsidR="00CF2BA3" w:rsidRPr="00294751" w:rsidRDefault="00CF2BA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53" w:rsidRDefault="009D6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53" w:rsidRDefault="009D6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53" w:rsidRDefault="009D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A3" w:rsidRDefault="00CF2BA3" w:rsidP="006655D3">
      <w:r>
        <w:separator/>
      </w:r>
    </w:p>
  </w:footnote>
  <w:footnote w:type="continuationSeparator" w:id="0">
    <w:p w:rsidR="00CF2BA3" w:rsidRDefault="00CF2BA3" w:rsidP="006655D3">
      <w:r>
        <w:separator/>
      </w:r>
    </w:p>
  </w:footnote>
  <w:footnote w:type="continuationNotice" w:id="1">
    <w:p w:rsidR="00CF2BA3" w:rsidRPr="00AB530F" w:rsidRDefault="00CF2BA3" w:rsidP="00AB530F">
      <w:pPr>
        <w:pStyle w:val="Footer"/>
      </w:pPr>
    </w:p>
  </w:footnote>
  <w:footnote w:id="2">
    <w:p w:rsidR="00AE6F03" w:rsidRPr="00F038B1" w:rsidRDefault="00AE6F03" w:rsidP="007A362D">
      <w:pPr>
        <w:pStyle w:val="FootnoteText"/>
        <w:rPr>
          <w:lang w:val="es-ES"/>
        </w:rPr>
      </w:pPr>
      <w:r w:rsidRPr="001150B9">
        <w:rPr>
          <w:rStyle w:val="FootnoteReference"/>
        </w:rPr>
        <w:sym w:font="Symbol" w:char="F023"/>
      </w:r>
      <w:r w:rsidRPr="00F038B1">
        <w:rPr>
          <w:lang w:val="es-ES"/>
        </w:rPr>
        <w:t xml:space="preserve"> </w:t>
      </w:r>
      <w:r w:rsidRPr="00F038B1">
        <w:rPr>
          <w:lang w:val="es-ES"/>
        </w:rPr>
        <w:tab/>
      </w:r>
      <w:r w:rsidR="00991676" w:rsidRPr="00991676">
        <w:rPr>
          <w:szCs w:val="16"/>
        </w:rPr>
        <w:t>Indica cuestiones técnicas por resolver.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53" w:rsidRDefault="009D6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B7BB9" w:rsidP="000A23DC">
    <w:pPr>
      <w:pStyle w:val="Header"/>
      <w:rPr>
        <w:rStyle w:val="PageNumber"/>
      </w:rPr>
    </w:pPr>
    <w:r>
      <w:rPr>
        <w:rStyle w:val="PageNumber"/>
      </w:rPr>
      <w:t>TC/55</w:t>
    </w:r>
    <w:r w:rsidR="00667404" w:rsidRPr="000A23DC">
      <w:rPr>
        <w:rStyle w:val="PageNumber"/>
      </w:rPr>
      <w:t>/</w:t>
    </w:r>
    <w:r w:rsidR="00F469FD">
      <w:rPr>
        <w:rStyle w:val="PageNumber"/>
      </w:rPr>
      <w:t>17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7B4BF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7B4BF9" w:rsidRPr="00202E38">
      <w:rPr>
        <w:rStyle w:val="PageNumber"/>
        <w:lang w:val="de-DE"/>
      </w:rPr>
      <w:fldChar w:fldCharType="separate"/>
    </w:r>
    <w:r w:rsidR="00993E5E">
      <w:rPr>
        <w:rStyle w:val="PageNumber"/>
        <w:noProof/>
        <w:lang w:val="de-DE"/>
      </w:rPr>
      <w:t>2</w:t>
    </w:r>
    <w:r w:rsidR="007B4BF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53" w:rsidRDefault="009D6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F2BA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69D5"/>
    <w:rsid w:val="000638A9"/>
    <w:rsid w:val="0007280E"/>
    <w:rsid w:val="00085505"/>
    <w:rsid w:val="000A23DC"/>
    <w:rsid w:val="000B7BB9"/>
    <w:rsid w:val="000C4E25"/>
    <w:rsid w:val="000C7021"/>
    <w:rsid w:val="000D6BBC"/>
    <w:rsid w:val="000D7780"/>
    <w:rsid w:val="000E636A"/>
    <w:rsid w:val="000F1B0E"/>
    <w:rsid w:val="000F2F11"/>
    <w:rsid w:val="00105929"/>
    <w:rsid w:val="00110C36"/>
    <w:rsid w:val="001131D5"/>
    <w:rsid w:val="00113F26"/>
    <w:rsid w:val="00141DB8"/>
    <w:rsid w:val="00146DB7"/>
    <w:rsid w:val="001662FA"/>
    <w:rsid w:val="00172084"/>
    <w:rsid w:val="0017474A"/>
    <w:rsid w:val="001758C6"/>
    <w:rsid w:val="00182B99"/>
    <w:rsid w:val="001F64BF"/>
    <w:rsid w:val="00202E38"/>
    <w:rsid w:val="0021332C"/>
    <w:rsid w:val="00213982"/>
    <w:rsid w:val="00224D00"/>
    <w:rsid w:val="002348F0"/>
    <w:rsid w:val="0024416D"/>
    <w:rsid w:val="002464A3"/>
    <w:rsid w:val="00271911"/>
    <w:rsid w:val="002800A0"/>
    <w:rsid w:val="002801B3"/>
    <w:rsid w:val="00281060"/>
    <w:rsid w:val="002873EC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368F9"/>
    <w:rsid w:val="00344BD6"/>
    <w:rsid w:val="003501DB"/>
    <w:rsid w:val="0035528D"/>
    <w:rsid w:val="00361821"/>
    <w:rsid w:val="00361E9E"/>
    <w:rsid w:val="00374C67"/>
    <w:rsid w:val="003B031A"/>
    <w:rsid w:val="003C7FBE"/>
    <w:rsid w:val="003D227C"/>
    <w:rsid w:val="003D2B4D"/>
    <w:rsid w:val="0040557F"/>
    <w:rsid w:val="004275FC"/>
    <w:rsid w:val="00444A88"/>
    <w:rsid w:val="00444FA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3C5"/>
    <w:rsid w:val="00576BE4"/>
    <w:rsid w:val="005826B0"/>
    <w:rsid w:val="00582912"/>
    <w:rsid w:val="005A1EC1"/>
    <w:rsid w:val="005A400A"/>
    <w:rsid w:val="005E7842"/>
    <w:rsid w:val="005F7B92"/>
    <w:rsid w:val="00612379"/>
    <w:rsid w:val="00613228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4474"/>
    <w:rsid w:val="00732DEC"/>
    <w:rsid w:val="00735BD5"/>
    <w:rsid w:val="00744AA5"/>
    <w:rsid w:val="00751613"/>
    <w:rsid w:val="0075321A"/>
    <w:rsid w:val="007556F6"/>
    <w:rsid w:val="00760EEF"/>
    <w:rsid w:val="00777EE5"/>
    <w:rsid w:val="00783722"/>
    <w:rsid w:val="00784836"/>
    <w:rsid w:val="0079023E"/>
    <w:rsid w:val="007A2854"/>
    <w:rsid w:val="007A362D"/>
    <w:rsid w:val="007B4BF9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3E48"/>
    <w:rsid w:val="00824099"/>
    <w:rsid w:val="00846D7C"/>
    <w:rsid w:val="00864C55"/>
    <w:rsid w:val="00867AC1"/>
    <w:rsid w:val="00877ABF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5542F"/>
    <w:rsid w:val="0096175D"/>
    <w:rsid w:val="00965AE7"/>
    <w:rsid w:val="00970FED"/>
    <w:rsid w:val="00991676"/>
    <w:rsid w:val="00992D82"/>
    <w:rsid w:val="00993E5E"/>
    <w:rsid w:val="00997029"/>
    <w:rsid w:val="009A0C41"/>
    <w:rsid w:val="009A7339"/>
    <w:rsid w:val="009B440E"/>
    <w:rsid w:val="009D690D"/>
    <w:rsid w:val="009D6F53"/>
    <w:rsid w:val="009E65B6"/>
    <w:rsid w:val="009F07A7"/>
    <w:rsid w:val="009F2778"/>
    <w:rsid w:val="00A24C10"/>
    <w:rsid w:val="00A41FFA"/>
    <w:rsid w:val="00A42AC3"/>
    <w:rsid w:val="00A430CF"/>
    <w:rsid w:val="00A54309"/>
    <w:rsid w:val="00A61590"/>
    <w:rsid w:val="00A706D3"/>
    <w:rsid w:val="00A84A90"/>
    <w:rsid w:val="00AB2B93"/>
    <w:rsid w:val="00AB530F"/>
    <w:rsid w:val="00AB7E5B"/>
    <w:rsid w:val="00AC2883"/>
    <w:rsid w:val="00AC6BEB"/>
    <w:rsid w:val="00AE0EF1"/>
    <w:rsid w:val="00AE2937"/>
    <w:rsid w:val="00AE6F03"/>
    <w:rsid w:val="00AF562A"/>
    <w:rsid w:val="00B04060"/>
    <w:rsid w:val="00B07301"/>
    <w:rsid w:val="00B11F3E"/>
    <w:rsid w:val="00B224DE"/>
    <w:rsid w:val="00B324D4"/>
    <w:rsid w:val="00B36D43"/>
    <w:rsid w:val="00B46575"/>
    <w:rsid w:val="00B61777"/>
    <w:rsid w:val="00B84BBD"/>
    <w:rsid w:val="00BA43FB"/>
    <w:rsid w:val="00BC0BD4"/>
    <w:rsid w:val="00BC127D"/>
    <w:rsid w:val="00BC1FE6"/>
    <w:rsid w:val="00BE1930"/>
    <w:rsid w:val="00BE754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1C7"/>
    <w:rsid w:val="00C973F2"/>
    <w:rsid w:val="00CA304C"/>
    <w:rsid w:val="00CA774A"/>
    <w:rsid w:val="00CC11B0"/>
    <w:rsid w:val="00CC2841"/>
    <w:rsid w:val="00CE49AB"/>
    <w:rsid w:val="00CF1330"/>
    <w:rsid w:val="00CF2BA3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6FE3"/>
    <w:rsid w:val="00DB7773"/>
    <w:rsid w:val="00DC00EA"/>
    <w:rsid w:val="00DC3802"/>
    <w:rsid w:val="00E07D87"/>
    <w:rsid w:val="00E32F7E"/>
    <w:rsid w:val="00E520B8"/>
    <w:rsid w:val="00E5267B"/>
    <w:rsid w:val="00E63C0E"/>
    <w:rsid w:val="00E72D49"/>
    <w:rsid w:val="00E7593C"/>
    <w:rsid w:val="00E7678A"/>
    <w:rsid w:val="00E935F1"/>
    <w:rsid w:val="00E94A81"/>
    <w:rsid w:val="00EA1FFB"/>
    <w:rsid w:val="00EA2EF8"/>
    <w:rsid w:val="00EB048E"/>
    <w:rsid w:val="00EB4E9C"/>
    <w:rsid w:val="00EC2265"/>
    <w:rsid w:val="00EE34DF"/>
    <w:rsid w:val="00EF1866"/>
    <w:rsid w:val="00EF2F89"/>
    <w:rsid w:val="00F038B1"/>
    <w:rsid w:val="00F03E98"/>
    <w:rsid w:val="00F1237A"/>
    <w:rsid w:val="00F15E45"/>
    <w:rsid w:val="00F22CBD"/>
    <w:rsid w:val="00F25EB0"/>
    <w:rsid w:val="00F272F1"/>
    <w:rsid w:val="00F27FCF"/>
    <w:rsid w:val="00F42A67"/>
    <w:rsid w:val="00F45372"/>
    <w:rsid w:val="00F469FD"/>
    <w:rsid w:val="00F560F7"/>
    <w:rsid w:val="00F6334D"/>
    <w:rsid w:val="00FA49AB"/>
    <w:rsid w:val="00FD0902"/>
    <w:rsid w:val="00FD3F87"/>
    <w:rsid w:val="00FE39C7"/>
    <w:rsid w:val="00FE49E7"/>
    <w:rsid w:val="00FF4D0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6727202-375E-4E1F-8E2C-1ED03573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7A362D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3FA1-F94C-4A61-8D85-16B9F298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TC/55/22</vt:lpstr>
    </vt:vector>
  </TitlesOfParts>
  <Company>UPOV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TC/55/22</dc:title>
  <dc:creator>CEVALLOS DUQUE Nilo</dc:creator>
  <cp:lastModifiedBy>Romy Oertel</cp:lastModifiedBy>
  <cp:revision>17</cp:revision>
  <cp:lastPrinted>2019-09-24T10:40:00Z</cp:lastPrinted>
  <dcterms:created xsi:type="dcterms:W3CDTF">2019-09-05T16:07:00Z</dcterms:created>
  <dcterms:modified xsi:type="dcterms:W3CDTF">2019-09-24T10:40:00Z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bf9582f0-2c4f-473e-afb2-66ef427359c9</vt:lpwstr>
  </property>
</Properties>
</file>