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>
              <w:rPr>
                <w:noProof/>
                <w:lang w:val="en-US" w:eastAsia="en-US" w:bidi="ar-SA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2E5944" w:rsidP="00AC2883">
            <w:pPr>
              <w:pStyle w:val="Sessiontc"/>
              <w:spacing w:line="240" w:lineRule="auto"/>
            </w:pPr>
            <w:r>
              <w:t>Comité Técnico</w:t>
            </w:r>
          </w:p>
          <w:p w:rsidR="00EB4E9C" w:rsidRPr="00DC3802" w:rsidRDefault="002E5944" w:rsidP="000B7BB9">
            <w:pPr>
              <w:pStyle w:val="Sessiontcplacedate"/>
              <w:rPr>
                <w:sz w:val="22"/>
              </w:rPr>
            </w:pPr>
            <w:r>
              <w:t>Quincuagésima quinta sesión</w:t>
            </w:r>
            <w:r>
              <w:br/>
              <w:t>Ginebra, 28 y 29 de octubre de 2019</w:t>
            </w:r>
          </w:p>
        </w:tc>
        <w:tc>
          <w:tcPr>
            <w:tcW w:w="3127" w:type="dxa"/>
          </w:tcPr>
          <w:p w:rsidR="00EB4E9C" w:rsidRPr="00A941F5" w:rsidRDefault="000B7BB9" w:rsidP="003C7FBE">
            <w:pPr>
              <w:pStyle w:val="Doccode"/>
            </w:pPr>
            <w:r>
              <w:t>TC/55/16</w:t>
            </w:r>
          </w:p>
          <w:p w:rsidR="00EB4E9C" w:rsidRPr="00614156" w:rsidRDefault="00EB4E9C" w:rsidP="003C7FBE">
            <w:pPr>
              <w:pStyle w:val="Docoriginal"/>
            </w:pPr>
            <w:r>
              <w:t>Original:</w:t>
            </w:r>
            <w:r>
              <w:rPr>
                <w:b w:val="0"/>
                <w:spacing w:val="0"/>
              </w:rPr>
              <w:t xml:space="preserve"> </w:t>
            </w:r>
            <w:proofErr w:type="gramStart"/>
            <w:r w:rsidRPr="00614156">
              <w:rPr>
                <w:b w:val="0"/>
                <w:spacing w:val="0"/>
              </w:rPr>
              <w:t>Inglés</w:t>
            </w:r>
            <w:proofErr w:type="gramEnd"/>
          </w:p>
          <w:p w:rsidR="00EB4E9C" w:rsidRPr="007C1D92" w:rsidRDefault="002E5944" w:rsidP="00614156">
            <w:pPr>
              <w:pStyle w:val="Docoriginal"/>
            </w:pPr>
            <w:r w:rsidRPr="00614156">
              <w:t>Fecha:</w:t>
            </w:r>
            <w:r w:rsidR="005D2424" w:rsidRPr="00614156">
              <w:rPr>
                <w:b w:val="0"/>
                <w:spacing w:val="0"/>
              </w:rPr>
              <w:t xml:space="preserve"> </w:t>
            </w:r>
            <w:r w:rsidR="00614156" w:rsidRPr="00614156">
              <w:rPr>
                <w:b w:val="0"/>
                <w:spacing w:val="0"/>
              </w:rPr>
              <w:t>16</w:t>
            </w:r>
            <w:r w:rsidRPr="00614156">
              <w:rPr>
                <w:b w:val="0"/>
                <w:spacing w:val="0"/>
              </w:rPr>
              <w:t xml:space="preserve"> de </w:t>
            </w:r>
            <w:r w:rsidR="00614156" w:rsidRPr="00614156">
              <w:rPr>
                <w:b w:val="0"/>
                <w:spacing w:val="0"/>
              </w:rPr>
              <w:t>septiembre</w:t>
            </w:r>
            <w:r w:rsidRPr="00614156">
              <w:rPr>
                <w:b w:val="0"/>
                <w:spacing w:val="0"/>
              </w:rPr>
              <w:t xml:space="preserve"> de 2019</w:t>
            </w:r>
            <w:bookmarkStart w:id="0" w:name="_GoBack"/>
            <w:bookmarkEnd w:id="0"/>
          </w:p>
        </w:tc>
      </w:tr>
    </w:tbl>
    <w:p w:rsidR="000D7780" w:rsidRPr="003B27D8" w:rsidRDefault="003B27D8" w:rsidP="006A644A">
      <w:pPr>
        <w:pStyle w:val="Titleofdoc0"/>
      </w:pPr>
      <w:bookmarkStart w:id="1" w:name="TitleOfDoc"/>
      <w:bookmarkEnd w:id="1"/>
      <w:r>
        <w:t>Revisión parcial de las directrices de examen del melón</w:t>
      </w:r>
    </w:p>
    <w:p w:rsidR="006A644A" w:rsidRPr="006A644A" w:rsidRDefault="000638A9" w:rsidP="006A644A">
      <w:pPr>
        <w:pStyle w:val="preparedby1"/>
        <w:jc w:val="left"/>
      </w:pPr>
      <w:bookmarkStart w:id="2" w:name="Prepared"/>
      <w:bookmarkEnd w:id="2"/>
      <w:r>
        <w:t>Documento preparado por la Oficina de la Unión</w:t>
      </w:r>
    </w:p>
    <w:p w:rsidR="00050E16" w:rsidRPr="006A644A" w:rsidRDefault="000638A9" w:rsidP="006A644A">
      <w:pPr>
        <w:pStyle w:val="Disclaimer"/>
      </w:pPr>
      <w:r>
        <w:t>Descargo de responsabilidad: el presente documento no constituye un documento de política u orientación de la UPOV</w:t>
      </w:r>
    </w:p>
    <w:p w:rsidR="003B27D8" w:rsidRPr="003B27D8" w:rsidRDefault="003B27D8" w:rsidP="008E1776">
      <w:pPr>
        <w:pStyle w:val="ListParagraph"/>
        <w:numPr>
          <w:ilvl w:val="0"/>
          <w:numId w:val="3"/>
        </w:numPr>
      </w:pPr>
      <w:r>
        <w:t>El presente documento tiene por objeto exponer una propuesta de revisión parcial de las directrices de examen del melón (documento TG/104/5 Rev.).</w:t>
      </w:r>
    </w:p>
    <w:p w:rsidR="003B27D8" w:rsidRPr="003B27D8" w:rsidRDefault="003B27D8" w:rsidP="003B27D8">
      <w:pPr>
        <w:tabs>
          <w:tab w:val="left" w:pos="567"/>
        </w:tabs>
        <w:rPr>
          <w:rFonts w:cs="Arial"/>
        </w:rPr>
      </w:pPr>
    </w:p>
    <w:p w:rsidR="003B27D8" w:rsidRPr="00123E8F" w:rsidRDefault="003B27D8" w:rsidP="008E1776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cs="Arial"/>
        </w:rPr>
      </w:pPr>
      <w:r>
        <w:t xml:space="preserve">En su quincuagésima tercera sesión, celebrada en Seúl (República de Corea), del 20 al 24 de mayo de 2019, el Grupo de </w:t>
      </w:r>
      <w:r w:rsidRPr="00123E8F">
        <w:t>Trabajo Técnico sobre Hortalizas (TWV) examinó una propuesta de revisión parcial de las directrices de examen del melón (</w:t>
      </w:r>
      <w:proofErr w:type="spellStart"/>
      <w:r w:rsidRPr="00123E8F">
        <w:rPr>
          <w:i/>
        </w:rPr>
        <w:t>Cucumis</w:t>
      </w:r>
      <w:proofErr w:type="spellEnd"/>
      <w:r w:rsidRPr="00123E8F">
        <w:rPr>
          <w:i/>
        </w:rPr>
        <w:t> </w:t>
      </w:r>
      <w:proofErr w:type="spellStart"/>
      <w:r w:rsidRPr="00123E8F">
        <w:rPr>
          <w:i/>
        </w:rPr>
        <w:t>melo</w:t>
      </w:r>
      <w:proofErr w:type="spellEnd"/>
      <w:r w:rsidRPr="00123E8F">
        <w:t> L.) sobre la base de los documentos TG/104/5 Rev. y</w:t>
      </w:r>
      <w:r w:rsidR="002757F8" w:rsidRPr="00123E8F">
        <w:t> </w:t>
      </w:r>
      <w:r w:rsidR="0090363F" w:rsidRPr="00123E8F">
        <w:t>TWV/53/5</w:t>
      </w:r>
      <w:r w:rsidRPr="00123E8F">
        <w:t xml:space="preserve"> “</w:t>
      </w:r>
      <w:proofErr w:type="spellStart"/>
      <w:r w:rsidRPr="00123E8F">
        <w:rPr>
          <w:i/>
        </w:rPr>
        <w:t>Partial</w:t>
      </w:r>
      <w:proofErr w:type="spellEnd"/>
      <w:r w:rsidRPr="00123E8F">
        <w:rPr>
          <w:i/>
        </w:rPr>
        <w:t xml:space="preserve"> </w:t>
      </w:r>
      <w:proofErr w:type="spellStart"/>
      <w:r w:rsidRPr="00123E8F">
        <w:rPr>
          <w:i/>
        </w:rPr>
        <w:t>Revision</w:t>
      </w:r>
      <w:proofErr w:type="spellEnd"/>
      <w:r w:rsidRPr="00123E8F">
        <w:rPr>
          <w:i/>
        </w:rPr>
        <w:t xml:space="preserve"> of </w:t>
      </w:r>
      <w:proofErr w:type="spellStart"/>
      <w:r w:rsidRPr="00123E8F">
        <w:rPr>
          <w:i/>
        </w:rPr>
        <w:t>the</w:t>
      </w:r>
      <w:proofErr w:type="spellEnd"/>
      <w:r w:rsidRPr="00123E8F">
        <w:rPr>
          <w:i/>
        </w:rPr>
        <w:t xml:space="preserve"> Test </w:t>
      </w:r>
      <w:proofErr w:type="spellStart"/>
      <w:r w:rsidRPr="00123E8F">
        <w:rPr>
          <w:i/>
        </w:rPr>
        <w:t>Guidelines</w:t>
      </w:r>
      <w:proofErr w:type="spellEnd"/>
      <w:r w:rsidRPr="00123E8F">
        <w:rPr>
          <w:i/>
        </w:rPr>
        <w:t xml:space="preserve"> </w:t>
      </w:r>
      <w:proofErr w:type="spellStart"/>
      <w:r w:rsidRPr="00123E8F">
        <w:rPr>
          <w:i/>
        </w:rPr>
        <w:t>for</w:t>
      </w:r>
      <w:proofErr w:type="spellEnd"/>
      <w:r w:rsidRPr="00123E8F">
        <w:rPr>
          <w:i/>
        </w:rPr>
        <w:t xml:space="preserve"> </w:t>
      </w:r>
      <w:r w:rsidR="00DE5B3D" w:rsidRPr="00123E8F">
        <w:rPr>
          <w:i/>
        </w:rPr>
        <w:t>melón”</w:t>
      </w:r>
      <w:r w:rsidRPr="00123E8F">
        <w:t xml:space="preserve"> y propuso efectuar una revisión del carácter 75 “Resistencia a la cepa E8 del virus del cribado del melón (MNSV)” (véase el párrafo 89 del documento TWV/53/14 </w:t>
      </w:r>
      <w:r w:rsidR="00681E36" w:rsidRPr="00123E8F">
        <w:t xml:space="preserve">Rev. </w:t>
      </w:r>
      <w:r w:rsidRPr="00123E8F">
        <w:t>“</w:t>
      </w:r>
      <w:proofErr w:type="spellStart"/>
      <w:r w:rsidR="00681E36" w:rsidRPr="00123E8F">
        <w:rPr>
          <w:i/>
        </w:rPr>
        <w:t>Revised</w:t>
      </w:r>
      <w:proofErr w:type="spellEnd"/>
      <w:r w:rsidR="00681E36" w:rsidRPr="00123E8F">
        <w:t xml:space="preserve"> </w:t>
      </w:r>
      <w:proofErr w:type="spellStart"/>
      <w:r w:rsidRPr="00123E8F">
        <w:rPr>
          <w:i/>
        </w:rPr>
        <w:t>Report</w:t>
      </w:r>
      <w:proofErr w:type="spellEnd"/>
      <w:r w:rsidRPr="00123E8F">
        <w:t>”):</w:t>
      </w:r>
    </w:p>
    <w:p w:rsidR="003B27D8" w:rsidRPr="00123E8F" w:rsidRDefault="003B27D8" w:rsidP="003B27D8"/>
    <w:p w:rsidR="008E1776" w:rsidRPr="00123E8F" w:rsidRDefault="00681E36" w:rsidP="008E1776">
      <w:pPr>
        <w:pStyle w:val="ListParagraph"/>
        <w:numPr>
          <w:ilvl w:val="0"/>
          <w:numId w:val="5"/>
        </w:numPr>
        <w:tabs>
          <w:tab w:val="left" w:pos="1134"/>
        </w:tabs>
      </w:pPr>
      <w:r w:rsidRPr="00123E8F">
        <w:t>Cambiar por</w:t>
      </w:r>
      <w:r w:rsidR="003B27D8" w:rsidRPr="00123E8F">
        <w:t xml:space="preserve"> la cepa 0 del MNSV;</w:t>
      </w:r>
    </w:p>
    <w:p w:rsidR="003B27D8" w:rsidRPr="00233163" w:rsidRDefault="003B27D8" w:rsidP="008E1776">
      <w:pPr>
        <w:pStyle w:val="ListParagraph"/>
        <w:numPr>
          <w:ilvl w:val="0"/>
          <w:numId w:val="5"/>
        </w:numPr>
        <w:tabs>
          <w:tab w:val="left" w:pos="1134"/>
        </w:tabs>
      </w:pPr>
      <w:r>
        <w:t>Revisión de la explicación Ad.</w:t>
      </w:r>
      <w:r w:rsidR="002757F8">
        <w:t> </w:t>
      </w:r>
      <w:r>
        <w:t>75 del Capítulo 8.2 “Explicaciones relativas a caracteres individuales”</w:t>
      </w:r>
    </w:p>
    <w:p w:rsidR="003B27D8" w:rsidRPr="003B27D8" w:rsidRDefault="003B27D8" w:rsidP="003B27D8">
      <w:pPr>
        <w:rPr>
          <w:highlight w:val="yellow"/>
        </w:rPr>
      </w:pPr>
    </w:p>
    <w:p w:rsidR="003B27D8" w:rsidRDefault="003B27D8" w:rsidP="008E1776">
      <w:pPr>
        <w:pStyle w:val="Default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</w:rPr>
        <w:t xml:space="preserve">Los cambios propuestos se indican a continuación como texto resaltado y </w:t>
      </w:r>
      <w:r>
        <w:rPr>
          <w:sz w:val="20"/>
          <w:highlight w:val="lightGray"/>
          <w:u w:val="single"/>
        </w:rPr>
        <w:t>subrayado</w:t>
      </w:r>
      <w:r>
        <w:rPr>
          <w:sz w:val="20"/>
        </w:rPr>
        <w:t xml:space="preserve"> (inserción) y </w:t>
      </w:r>
      <w:r>
        <w:rPr>
          <w:strike/>
          <w:sz w:val="20"/>
          <w:highlight w:val="lightGray"/>
        </w:rPr>
        <w:t>tachado</w:t>
      </w:r>
      <w:r>
        <w:rPr>
          <w:sz w:val="20"/>
        </w:rPr>
        <w:t xml:space="preserve"> (eliminación).</w:t>
      </w:r>
    </w:p>
    <w:p w:rsidR="003B27D8" w:rsidRDefault="003B27D8" w:rsidP="003B27D8">
      <w:pPr>
        <w:pStyle w:val="Default"/>
        <w:rPr>
          <w:sz w:val="20"/>
          <w:szCs w:val="20"/>
        </w:rPr>
      </w:pPr>
    </w:p>
    <w:p w:rsidR="003B27D8" w:rsidRPr="003B27D8" w:rsidRDefault="003B27D8" w:rsidP="003B27D8"/>
    <w:p w:rsidR="003B27D8" w:rsidRPr="003B27D8" w:rsidRDefault="003B27D8" w:rsidP="003B27D8">
      <w:pPr>
        <w:jc w:val="left"/>
        <w:rPr>
          <w:u w:val="single"/>
        </w:rPr>
      </w:pPr>
      <w:r>
        <w:br w:type="page"/>
      </w:r>
    </w:p>
    <w:p w:rsidR="003B27D8" w:rsidRDefault="003B27D8" w:rsidP="003B27D8">
      <w:pPr>
        <w:pStyle w:val="Heading2"/>
      </w:pPr>
      <w:proofErr w:type="spellStart"/>
      <w:r>
        <w:lastRenderedPageBreak/>
        <w:t>Priopuesta</w:t>
      </w:r>
      <w:proofErr w:type="spellEnd"/>
      <w:r>
        <w:t xml:space="preserve"> de </w:t>
      </w:r>
      <w:r w:rsidR="004C26BA">
        <w:t xml:space="preserve">cambiar </w:t>
      </w:r>
      <w:r w:rsidR="004C26BA" w:rsidRPr="00DE5B3D">
        <w:t>por</w:t>
      </w:r>
      <w:r w:rsidRPr="00DE5B3D">
        <w:t xml:space="preserve"> la cepa 0 del</w:t>
      </w:r>
      <w:r>
        <w:t> MNSV</w:t>
      </w:r>
    </w:p>
    <w:p w:rsidR="003B27D8" w:rsidRPr="003B27D8" w:rsidRDefault="003B27D8" w:rsidP="003B27D8">
      <w:pPr>
        <w:jc w:val="left"/>
        <w:rPr>
          <w:i/>
        </w:rPr>
      </w:pPr>
    </w:p>
    <w:p w:rsidR="003B27D8" w:rsidRDefault="003B27D8" w:rsidP="003B27D8">
      <w:pPr>
        <w:jc w:val="left"/>
        <w:rPr>
          <w:i/>
        </w:rPr>
      </w:pPr>
      <w:r>
        <w:rPr>
          <w:i/>
        </w:rPr>
        <w:t>Texto actual</w:t>
      </w:r>
    </w:p>
    <w:p w:rsidR="003B27D8" w:rsidRDefault="003B27D8" w:rsidP="003B27D8">
      <w:pPr>
        <w:jc w:val="left"/>
        <w:rPr>
          <w:i/>
        </w:rPr>
      </w:pPr>
    </w:p>
    <w:tbl>
      <w:tblPr>
        <w:tblW w:w="11058" w:type="dxa"/>
        <w:tblInd w:w="-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67"/>
      </w:tblGrid>
      <w:tr w:rsidR="003B27D8" w:rsidRPr="00065B20" w:rsidTr="00D823DB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3B27D8" w:rsidRPr="00F92DCD" w:rsidRDefault="003B27D8" w:rsidP="00D823DB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B27D8" w:rsidRPr="00F92DCD" w:rsidRDefault="003B27D8" w:rsidP="00D823DB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B27D8" w:rsidRPr="00F92DCD" w:rsidRDefault="003B27D8" w:rsidP="00D823D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B27D8" w:rsidRPr="00F92DCD" w:rsidRDefault="003B27D8" w:rsidP="00D823DB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/>
                <w:noProof w:val="0"/>
                <w:sz w:val="16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B27D8" w:rsidRPr="00F92DCD" w:rsidRDefault="003B27D8" w:rsidP="00D823DB">
            <w:pPr>
              <w:pStyle w:val="Normalt"/>
              <w:keepNext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B27D8" w:rsidRPr="00F92DCD" w:rsidRDefault="003B27D8" w:rsidP="00D823DB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br/>
            </w:r>
            <w:r>
              <w:rPr>
                <w:rFonts w:ascii="Arial" w:hAnsi="Arial"/>
                <w:noProof w:val="0"/>
                <w:sz w:val="16"/>
              </w:rPr>
              <w:t>español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3B27D8" w:rsidRPr="00F92DCD" w:rsidRDefault="003B27D8" w:rsidP="00D823DB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</w:rPr>
              <w:t>Example Varieties/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>
              <w:rPr>
                <w:rFonts w:ascii="Arial" w:hAnsi="Arial"/>
                <w:b w:val="0"/>
                <w:sz w:val="16"/>
              </w:rPr>
              <w:t>Exemples/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>
              <w:rPr>
                <w:rFonts w:ascii="Arial" w:hAnsi="Arial"/>
                <w:b w:val="0"/>
                <w:sz w:val="16"/>
              </w:rPr>
              <w:t>Beispielssorten/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>
              <w:rPr>
                <w:rFonts w:ascii="Arial" w:hAnsi="Arial"/>
                <w:b w:val="0"/>
                <w:sz w:val="16"/>
              </w:rPr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3B27D8" w:rsidRPr="00F92DCD" w:rsidRDefault="003B27D8" w:rsidP="00D823DB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>
              <w:rPr>
                <w:rFonts w:ascii="Arial" w:hAnsi="Arial"/>
                <w:b w:val="0"/>
                <w:sz w:val="16"/>
              </w:rPr>
              <w:t>Note/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>
              <w:rPr>
                <w:rFonts w:ascii="Arial" w:hAnsi="Arial"/>
                <w:b w:val="0"/>
                <w:sz w:val="16"/>
              </w:rPr>
              <w:t>Nota</w:t>
            </w:r>
          </w:p>
        </w:tc>
      </w:tr>
      <w:tr w:rsidR="003B27D8" w:rsidRPr="008C6AEA" w:rsidTr="00D823DB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3B27D8" w:rsidRPr="00965015" w:rsidRDefault="003B27D8" w:rsidP="00D823DB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75.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</w:rPr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3B27D8" w:rsidRPr="00965015" w:rsidRDefault="003B27D8" w:rsidP="00D823DB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VG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B27D8" w:rsidRPr="002757F8" w:rsidRDefault="003B27D8" w:rsidP="00D823DB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757F8">
              <w:rPr>
                <w:rFonts w:ascii="Arial" w:hAnsi="Arial"/>
                <w:b/>
                <w:sz w:val="16"/>
                <w:lang w:val="en-GB"/>
              </w:rPr>
              <w:t xml:space="preserve">Resistance to </w:t>
            </w:r>
            <w:r w:rsidRPr="002757F8">
              <w:rPr>
                <w:rFonts w:ascii="Arial" w:hAnsi="Arial"/>
                <w:b/>
                <w:i/>
                <w:sz w:val="16"/>
                <w:lang w:val="en-GB"/>
              </w:rPr>
              <w:t>Melon necrotic spot virus</w:t>
            </w:r>
            <w:r w:rsidRPr="002757F8">
              <w:rPr>
                <w:rFonts w:ascii="Arial" w:hAnsi="Arial"/>
                <w:b/>
                <w:sz w:val="16"/>
                <w:lang w:val="en-GB"/>
              </w:rPr>
              <w:t xml:space="preserve"> (MNSV)</w:t>
            </w:r>
            <w:r w:rsidRPr="002757F8">
              <w:rPr>
                <w:rFonts w:ascii="Arial" w:hAnsi="Arial" w:cs="Arial"/>
                <w:b/>
                <w:sz w:val="16"/>
                <w:szCs w:val="16"/>
                <w:lang w:val="en-GB"/>
              </w:rPr>
              <w:br/>
            </w:r>
            <w:r w:rsidRPr="002757F8">
              <w:rPr>
                <w:rFonts w:ascii="Arial" w:hAnsi="Arial"/>
                <w:b/>
                <w:sz w:val="16"/>
                <w:lang w:val="en-GB"/>
              </w:rPr>
              <w:t>E8 strain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B27D8" w:rsidRPr="00681E36" w:rsidRDefault="003B27D8" w:rsidP="00D823DB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681E36">
              <w:rPr>
                <w:rFonts w:ascii="Arial" w:hAnsi="Arial"/>
                <w:b/>
                <w:noProof w:val="0"/>
                <w:sz w:val="16"/>
                <w:lang w:val="fr-CH"/>
              </w:rPr>
              <w:t>Résistance au virus de la criblure du melon (MNSV)</w:t>
            </w:r>
            <w:r w:rsidRPr="00681E36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br/>
            </w:r>
            <w:r w:rsidRPr="00681E36">
              <w:rPr>
                <w:rFonts w:ascii="Arial" w:hAnsi="Arial"/>
                <w:b/>
                <w:noProof w:val="0"/>
                <w:sz w:val="16"/>
                <w:lang w:val="fr-CH"/>
              </w:rPr>
              <w:t>Souche E8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B27D8" w:rsidRPr="00681E36" w:rsidRDefault="003B27D8" w:rsidP="00D823DB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681E36">
              <w:rPr>
                <w:rFonts w:ascii="Arial" w:hAnsi="Arial"/>
                <w:b/>
                <w:sz w:val="16"/>
                <w:lang w:val="de-DE"/>
              </w:rPr>
              <w:t>Resistenz gegen Netzmelonen-nekrosefleckenvirus (MNSV)</w:t>
            </w:r>
            <w:r w:rsidRPr="00681E36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br/>
            </w:r>
            <w:r w:rsidRPr="00681E36">
              <w:rPr>
                <w:rFonts w:ascii="Arial" w:hAnsi="Arial"/>
                <w:b/>
                <w:sz w:val="16"/>
                <w:lang w:val="de-DE"/>
              </w:rPr>
              <w:t>Pathotyp E8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3B27D8" w:rsidRPr="00965015" w:rsidRDefault="003B27D8" w:rsidP="00D823DB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>
              <w:rPr>
                <w:rFonts w:ascii="Arial" w:hAnsi="Arial"/>
                <w:b/>
                <w:noProof w:val="0"/>
                <w:sz w:val="16"/>
              </w:rPr>
              <w:t>Resistencia al virus del cribado del melón (MNSV)</w:t>
            </w: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br/>
            </w:r>
            <w:r>
              <w:rPr>
                <w:rFonts w:ascii="Arial" w:hAnsi="Arial"/>
                <w:b/>
                <w:noProof w:val="0"/>
                <w:sz w:val="16"/>
              </w:rPr>
              <w:t>Raza E8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3B27D8" w:rsidRPr="00965015" w:rsidRDefault="003B27D8" w:rsidP="00D823DB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3B27D8" w:rsidRPr="00965015" w:rsidRDefault="003B27D8" w:rsidP="00D823DB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7D8" w:rsidRPr="00965015" w:rsidTr="00D823DB">
        <w:trPr>
          <w:trHeight w:val="50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B27D8" w:rsidRPr="00965015" w:rsidRDefault="003B27D8" w:rsidP="00D823DB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B27D8" w:rsidRPr="00965015" w:rsidRDefault="003B27D8" w:rsidP="00D823DB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B27D8" w:rsidRPr="00965015" w:rsidRDefault="003B27D8" w:rsidP="00D823D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B27D8" w:rsidRPr="00965015" w:rsidRDefault="003B27D8" w:rsidP="00D823DB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noProof w:val="0"/>
                <w:sz w:val="16"/>
              </w:rPr>
              <w:t>absente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B27D8" w:rsidRPr="00965015" w:rsidRDefault="003B27D8" w:rsidP="00D823D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B27D8" w:rsidRPr="00965015" w:rsidRDefault="003B27D8" w:rsidP="00D823DB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3B27D8" w:rsidRPr="00965015" w:rsidRDefault="003B27D8" w:rsidP="00D823D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Védrantais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B27D8" w:rsidRPr="00965015" w:rsidRDefault="003B27D8" w:rsidP="00D823D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</w:tr>
      <w:tr w:rsidR="003B27D8" w:rsidRPr="00965015" w:rsidTr="00D823DB">
        <w:trPr>
          <w:trHeight w:val="5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3B27D8" w:rsidRPr="00965015" w:rsidRDefault="003B27D8" w:rsidP="00D823D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3B27D8" w:rsidRPr="00965015" w:rsidRDefault="003B27D8" w:rsidP="00D823D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B27D8" w:rsidRPr="00965015" w:rsidRDefault="003B27D8" w:rsidP="00D823D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B27D8" w:rsidRPr="00965015" w:rsidRDefault="003B27D8" w:rsidP="00D823D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noProof w:val="0"/>
                <w:sz w:val="16"/>
              </w:rPr>
              <w:t>présente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B27D8" w:rsidRPr="00965015" w:rsidRDefault="003B27D8" w:rsidP="00D823D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B27D8" w:rsidRPr="00965015" w:rsidRDefault="003B27D8" w:rsidP="00D823D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3B27D8" w:rsidRPr="00965015" w:rsidRDefault="003B27D8" w:rsidP="00D823D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Cyro, Primal, Virgos,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</w:rPr>
              <w:t xml:space="preserve">Yellow Fun 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3B27D8" w:rsidRPr="00965015" w:rsidRDefault="003B27D8" w:rsidP="00D823D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</w:tr>
    </w:tbl>
    <w:p w:rsidR="003B27D8" w:rsidRPr="00233163" w:rsidRDefault="003B27D8" w:rsidP="003B27D8">
      <w:pPr>
        <w:jc w:val="left"/>
        <w:rPr>
          <w:i/>
        </w:rPr>
      </w:pPr>
    </w:p>
    <w:p w:rsidR="003B27D8" w:rsidRPr="00F92DCD" w:rsidRDefault="003B27D8" w:rsidP="003B27D8">
      <w:pPr>
        <w:jc w:val="left"/>
        <w:rPr>
          <w:i/>
        </w:rPr>
      </w:pPr>
    </w:p>
    <w:p w:rsidR="003B27D8" w:rsidRPr="00F92DCD" w:rsidRDefault="003B27D8" w:rsidP="003B27D8">
      <w:pPr>
        <w:jc w:val="left"/>
        <w:rPr>
          <w:i/>
        </w:rPr>
      </w:pPr>
      <w:r>
        <w:rPr>
          <w:i/>
        </w:rPr>
        <w:t>Nuevo texto propuesto</w:t>
      </w:r>
    </w:p>
    <w:p w:rsidR="003B27D8" w:rsidRPr="00F92DCD" w:rsidRDefault="003B27D8" w:rsidP="003B27D8">
      <w:pPr>
        <w:jc w:val="left"/>
        <w:rPr>
          <w:i/>
        </w:rPr>
      </w:pPr>
    </w:p>
    <w:tbl>
      <w:tblPr>
        <w:tblW w:w="11057" w:type="dxa"/>
        <w:tblInd w:w="-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76"/>
        <w:gridCol w:w="1805"/>
        <w:gridCol w:w="1862"/>
        <w:gridCol w:w="1974"/>
        <w:gridCol w:w="563"/>
      </w:tblGrid>
      <w:tr w:rsidR="003B27D8" w:rsidRPr="00065B20" w:rsidTr="00D823DB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3B27D8" w:rsidRPr="00F92DCD" w:rsidRDefault="003B27D8" w:rsidP="00D823DB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3B27D8" w:rsidRPr="00F92DCD" w:rsidRDefault="003B27D8" w:rsidP="00D823DB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3B27D8" w:rsidRPr="00F92DCD" w:rsidRDefault="003B27D8" w:rsidP="00D823D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</w:rPr>
              <w:t>English</w:t>
            </w:r>
          </w:p>
        </w:tc>
        <w:tc>
          <w:tcPr>
            <w:tcW w:w="1876" w:type="dxa"/>
            <w:tcBorders>
              <w:top w:val="single" w:sz="4" w:space="0" w:color="auto"/>
              <w:bottom w:val="nil"/>
            </w:tcBorders>
          </w:tcPr>
          <w:p w:rsidR="003B27D8" w:rsidRPr="00F92DCD" w:rsidRDefault="003B27D8" w:rsidP="00D823DB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br/>
            </w:r>
            <w:proofErr w:type="spellStart"/>
            <w:r>
              <w:rPr>
                <w:rFonts w:ascii="Arial" w:hAnsi="Arial"/>
                <w:noProof w:val="0"/>
                <w:sz w:val="16"/>
              </w:rPr>
              <w:t>français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bottom w:val="nil"/>
            </w:tcBorders>
          </w:tcPr>
          <w:p w:rsidR="003B27D8" w:rsidRPr="00F92DCD" w:rsidRDefault="003B27D8" w:rsidP="00D823DB">
            <w:pPr>
              <w:pStyle w:val="Normalt"/>
              <w:keepNext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</w:rPr>
              <w:t>deutsch</w:t>
            </w:r>
          </w:p>
        </w:tc>
        <w:tc>
          <w:tcPr>
            <w:tcW w:w="1862" w:type="dxa"/>
            <w:tcBorders>
              <w:top w:val="single" w:sz="4" w:space="0" w:color="auto"/>
              <w:bottom w:val="nil"/>
            </w:tcBorders>
          </w:tcPr>
          <w:p w:rsidR="003B27D8" w:rsidRPr="00F92DCD" w:rsidRDefault="003B27D8" w:rsidP="00D823DB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br/>
            </w:r>
            <w:r>
              <w:rPr>
                <w:rFonts w:ascii="Arial" w:hAnsi="Arial"/>
                <w:noProof w:val="0"/>
                <w:sz w:val="16"/>
              </w:rPr>
              <w:t>español</w:t>
            </w:r>
          </w:p>
        </w:tc>
        <w:tc>
          <w:tcPr>
            <w:tcW w:w="1974" w:type="dxa"/>
            <w:tcBorders>
              <w:top w:val="single" w:sz="4" w:space="0" w:color="auto"/>
              <w:bottom w:val="nil"/>
            </w:tcBorders>
          </w:tcPr>
          <w:p w:rsidR="003B27D8" w:rsidRPr="00F92DCD" w:rsidRDefault="003B27D8" w:rsidP="00D823DB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/>
                <w:b w:val="0"/>
                <w:sz w:val="16"/>
              </w:rPr>
              <w:t>Example Varieties/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>
              <w:rPr>
                <w:rFonts w:ascii="Arial" w:hAnsi="Arial"/>
                <w:b w:val="0"/>
                <w:sz w:val="16"/>
              </w:rPr>
              <w:t>Exemples/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>
              <w:rPr>
                <w:rFonts w:ascii="Arial" w:hAnsi="Arial"/>
                <w:b w:val="0"/>
                <w:sz w:val="16"/>
              </w:rPr>
              <w:t>Beispielssorten/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>
              <w:rPr>
                <w:rFonts w:ascii="Arial" w:hAnsi="Arial"/>
                <w:b w:val="0"/>
                <w:sz w:val="16"/>
              </w:rPr>
              <w:t>Variedades ejemplo</w:t>
            </w:r>
          </w:p>
        </w:tc>
        <w:tc>
          <w:tcPr>
            <w:tcW w:w="563" w:type="dxa"/>
            <w:tcBorders>
              <w:top w:val="single" w:sz="4" w:space="0" w:color="auto"/>
              <w:bottom w:val="nil"/>
              <w:right w:val="nil"/>
            </w:tcBorders>
          </w:tcPr>
          <w:p w:rsidR="003B27D8" w:rsidRPr="00F92DCD" w:rsidRDefault="003B27D8" w:rsidP="00D823DB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>
              <w:rPr>
                <w:rFonts w:ascii="Arial" w:hAnsi="Arial"/>
                <w:b w:val="0"/>
                <w:sz w:val="16"/>
              </w:rPr>
              <w:t>Note/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>
              <w:rPr>
                <w:rFonts w:ascii="Arial" w:hAnsi="Arial"/>
                <w:b w:val="0"/>
                <w:sz w:val="16"/>
              </w:rPr>
              <w:t>Nota</w:t>
            </w:r>
          </w:p>
        </w:tc>
      </w:tr>
      <w:tr w:rsidR="003B27D8" w:rsidRPr="00965015" w:rsidTr="00D823DB">
        <w:trPr>
          <w:trHeight w:val="50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3B27D8" w:rsidRPr="00965015" w:rsidRDefault="003B27D8" w:rsidP="00D823DB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75.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</w:rPr>
              <w:t>(+)</w:t>
            </w: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3B27D8" w:rsidRPr="00965015" w:rsidRDefault="003B27D8" w:rsidP="00D823DB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VG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</w:tcBorders>
          </w:tcPr>
          <w:p w:rsidR="003B27D8" w:rsidRPr="002757F8" w:rsidRDefault="003B27D8" w:rsidP="00D823DB">
            <w:pPr>
              <w:pStyle w:val="Normalt"/>
              <w:keepNext/>
              <w:rPr>
                <w:rFonts w:ascii="Arial" w:hAnsi="Arial" w:cs="Arial"/>
                <w:b/>
                <w:strike/>
                <w:sz w:val="16"/>
                <w:szCs w:val="16"/>
                <w:lang w:val="en-GB"/>
              </w:rPr>
            </w:pPr>
            <w:r w:rsidRPr="002757F8">
              <w:rPr>
                <w:rFonts w:ascii="Arial" w:hAnsi="Arial"/>
                <w:b/>
                <w:sz w:val="16"/>
                <w:lang w:val="en-GB"/>
              </w:rPr>
              <w:t xml:space="preserve">Resistance to </w:t>
            </w:r>
            <w:r w:rsidRPr="002757F8">
              <w:rPr>
                <w:rFonts w:ascii="Arial" w:hAnsi="Arial"/>
                <w:b/>
                <w:i/>
                <w:sz w:val="16"/>
                <w:lang w:val="en-GB"/>
              </w:rPr>
              <w:t>Melon necrotic spot virus</w:t>
            </w:r>
            <w:r w:rsidRPr="002757F8">
              <w:rPr>
                <w:rFonts w:ascii="Arial" w:hAnsi="Arial"/>
                <w:b/>
                <w:sz w:val="16"/>
                <w:lang w:val="en-GB"/>
              </w:rPr>
              <w:t xml:space="preserve"> </w:t>
            </w:r>
            <w:r w:rsidRPr="002757F8">
              <w:rPr>
                <w:rFonts w:ascii="Arial" w:hAnsi="Arial" w:cs="Arial"/>
                <w:b/>
                <w:sz w:val="16"/>
                <w:szCs w:val="16"/>
                <w:lang w:val="en-GB"/>
              </w:rPr>
              <w:br/>
            </w:r>
            <w:r w:rsidRPr="002757F8">
              <w:rPr>
                <w:rFonts w:ascii="Arial" w:hAnsi="Arial"/>
                <w:b/>
                <w:strike/>
                <w:sz w:val="16"/>
                <w:highlight w:val="lightGray"/>
                <w:lang w:val="en-GB"/>
              </w:rPr>
              <w:t>E8 strain</w:t>
            </w:r>
          </w:p>
          <w:p w:rsidR="003B27D8" w:rsidRPr="00965015" w:rsidRDefault="003B27D8" w:rsidP="00D823DB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DE5B3D">
              <w:rPr>
                <w:rFonts w:ascii="Arial" w:hAnsi="Arial"/>
                <w:b/>
                <w:sz w:val="16"/>
                <w:highlight w:val="lightGray"/>
                <w:u w:val="single"/>
              </w:rPr>
              <w:t>Strain 0 (MNSV</w:t>
            </w:r>
            <w:r>
              <w:rPr>
                <w:rFonts w:ascii="Arial" w:hAnsi="Arial"/>
                <w:b/>
                <w:sz w:val="16"/>
                <w:highlight w:val="lightGray"/>
                <w:u w:val="single"/>
              </w:rPr>
              <w:t>: 0)</w:t>
            </w:r>
          </w:p>
        </w:tc>
        <w:tc>
          <w:tcPr>
            <w:tcW w:w="1876" w:type="dxa"/>
            <w:tcBorders>
              <w:top w:val="single" w:sz="4" w:space="0" w:color="auto"/>
              <w:bottom w:val="nil"/>
            </w:tcBorders>
          </w:tcPr>
          <w:p w:rsidR="003B27D8" w:rsidRPr="00681E36" w:rsidRDefault="003B27D8" w:rsidP="00D823DB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681E36">
              <w:rPr>
                <w:rFonts w:ascii="Arial" w:hAnsi="Arial"/>
                <w:b/>
                <w:noProof w:val="0"/>
                <w:sz w:val="16"/>
                <w:lang w:val="fr-CH"/>
              </w:rPr>
              <w:t xml:space="preserve">Résistance au virus de la criblure du melon </w:t>
            </w:r>
            <w:r w:rsidRPr="00681E36">
              <w:rPr>
                <w:rFonts w:ascii="Arial" w:hAnsi="Arial"/>
                <w:b/>
                <w:strike/>
                <w:sz w:val="16"/>
                <w:highlight w:val="lightGray"/>
                <w:lang w:val="fr-CH"/>
              </w:rPr>
              <w:t>Souche E8</w:t>
            </w:r>
          </w:p>
          <w:p w:rsidR="003B27D8" w:rsidRPr="00965015" w:rsidRDefault="003B27D8" w:rsidP="00D823DB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DE5B3D">
              <w:rPr>
                <w:rFonts w:ascii="Arial" w:hAnsi="Arial"/>
                <w:b/>
                <w:sz w:val="16"/>
                <w:highlight w:val="lightGray"/>
                <w:u w:val="single"/>
              </w:rPr>
              <w:t>Souche 0 (MNSV: 0)</w:t>
            </w:r>
          </w:p>
        </w:tc>
        <w:tc>
          <w:tcPr>
            <w:tcW w:w="1805" w:type="dxa"/>
            <w:tcBorders>
              <w:top w:val="single" w:sz="4" w:space="0" w:color="auto"/>
              <w:bottom w:val="nil"/>
            </w:tcBorders>
          </w:tcPr>
          <w:p w:rsidR="003B27D8" w:rsidRPr="00681E36" w:rsidRDefault="003B27D8" w:rsidP="00D823DB">
            <w:pPr>
              <w:pStyle w:val="Normalt"/>
              <w:keepNext/>
              <w:rPr>
                <w:rFonts w:ascii="Arial" w:hAnsi="Arial" w:cs="Arial"/>
                <w:bCs/>
                <w:sz w:val="16"/>
                <w:szCs w:val="16"/>
                <w:lang w:val="de-DE"/>
              </w:rPr>
            </w:pPr>
            <w:r w:rsidRPr="00681E36">
              <w:rPr>
                <w:rFonts w:ascii="Arial" w:hAnsi="Arial"/>
                <w:b/>
                <w:sz w:val="16"/>
                <w:lang w:val="de-DE"/>
              </w:rPr>
              <w:t xml:space="preserve">Resistenz gegen Netzmelonen-nekrosefleckenvirus (MNSV) </w:t>
            </w:r>
            <w:r w:rsidRPr="00681E36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br/>
            </w:r>
            <w:r w:rsidRPr="00681E36">
              <w:rPr>
                <w:rFonts w:ascii="Arial" w:hAnsi="Arial"/>
                <w:b/>
                <w:strike/>
                <w:sz w:val="16"/>
                <w:highlight w:val="lightGray"/>
                <w:lang w:val="de-DE"/>
              </w:rPr>
              <w:t>Pathotyp E8</w:t>
            </w:r>
          </w:p>
          <w:p w:rsidR="003B27D8" w:rsidRPr="00965015" w:rsidRDefault="003B27D8" w:rsidP="00D823DB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DE5B3D">
              <w:rPr>
                <w:rFonts w:ascii="Arial" w:hAnsi="Arial"/>
                <w:b/>
                <w:sz w:val="16"/>
                <w:highlight w:val="lightGray"/>
                <w:u w:val="single"/>
              </w:rPr>
              <w:t>Pathotyp 0 (MNSV: 0)</w:t>
            </w:r>
          </w:p>
        </w:tc>
        <w:tc>
          <w:tcPr>
            <w:tcW w:w="1862" w:type="dxa"/>
            <w:tcBorders>
              <w:top w:val="single" w:sz="4" w:space="0" w:color="auto"/>
              <w:bottom w:val="nil"/>
            </w:tcBorders>
          </w:tcPr>
          <w:p w:rsidR="003B27D8" w:rsidRPr="008F5831" w:rsidRDefault="003B27D8" w:rsidP="00D823DB">
            <w:pPr>
              <w:pStyle w:val="Normalt"/>
              <w:keepNext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  <w:r>
              <w:rPr>
                <w:rFonts w:ascii="Arial" w:hAnsi="Arial"/>
                <w:b/>
                <w:noProof w:val="0"/>
                <w:sz w:val="16"/>
              </w:rPr>
              <w:t xml:space="preserve">Resistencia al virus del cribado del melón (MNSV) </w:t>
            </w:r>
            <w:r>
              <w:rPr>
                <w:rFonts w:ascii="Arial" w:hAnsi="Arial" w:cs="Arial"/>
                <w:b/>
                <w:noProof w:val="0"/>
                <w:sz w:val="16"/>
                <w:szCs w:val="16"/>
              </w:rPr>
              <w:br/>
            </w:r>
            <w:r>
              <w:rPr>
                <w:rFonts w:ascii="Arial" w:hAnsi="Arial"/>
                <w:b/>
                <w:strike/>
                <w:sz w:val="16"/>
                <w:highlight w:val="lightGray"/>
              </w:rPr>
              <w:t>Raza E8</w:t>
            </w:r>
          </w:p>
          <w:p w:rsidR="003B27D8" w:rsidRPr="00965015" w:rsidRDefault="003B27D8" w:rsidP="00D823DB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DE5B3D">
              <w:rPr>
                <w:rFonts w:ascii="Arial" w:hAnsi="Arial"/>
                <w:b/>
                <w:sz w:val="16"/>
                <w:highlight w:val="lightGray"/>
                <w:u w:val="single"/>
              </w:rPr>
              <w:t>Cepa 0 (MNSV: 0)</w:t>
            </w:r>
          </w:p>
        </w:tc>
        <w:tc>
          <w:tcPr>
            <w:tcW w:w="1974" w:type="dxa"/>
            <w:tcBorders>
              <w:top w:val="single" w:sz="4" w:space="0" w:color="auto"/>
              <w:bottom w:val="nil"/>
            </w:tcBorders>
          </w:tcPr>
          <w:p w:rsidR="003B27D8" w:rsidRPr="00965015" w:rsidRDefault="003B27D8" w:rsidP="00D823DB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nil"/>
              <w:right w:val="nil"/>
            </w:tcBorders>
          </w:tcPr>
          <w:p w:rsidR="003B27D8" w:rsidRPr="00965015" w:rsidRDefault="003B27D8" w:rsidP="00D823DB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27D8" w:rsidRPr="00965015" w:rsidTr="00D823DB">
        <w:trPr>
          <w:trHeight w:val="50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B27D8" w:rsidRPr="00965015" w:rsidRDefault="003B27D8" w:rsidP="00D823DB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</w:rPr>
              <w:t>QL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3B27D8" w:rsidRPr="00965015" w:rsidRDefault="003B27D8" w:rsidP="00D823DB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3B27D8" w:rsidRPr="00965015" w:rsidRDefault="003B27D8" w:rsidP="00D823D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absent</w:t>
            </w:r>
          </w:p>
        </w:tc>
        <w:tc>
          <w:tcPr>
            <w:tcW w:w="1876" w:type="dxa"/>
            <w:tcBorders>
              <w:top w:val="nil"/>
              <w:bottom w:val="nil"/>
            </w:tcBorders>
          </w:tcPr>
          <w:p w:rsidR="003B27D8" w:rsidRPr="00965015" w:rsidRDefault="003B27D8" w:rsidP="00D823DB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noProof w:val="0"/>
                <w:sz w:val="16"/>
              </w:rPr>
              <w:t>absente</w:t>
            </w:r>
            <w:proofErr w:type="spellEnd"/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3B27D8" w:rsidRPr="00965015" w:rsidRDefault="003B27D8" w:rsidP="00D823D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fehlend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3B27D8" w:rsidRPr="00965015" w:rsidRDefault="003B27D8" w:rsidP="00D823DB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ausente</w:t>
            </w:r>
          </w:p>
        </w:tc>
        <w:tc>
          <w:tcPr>
            <w:tcW w:w="1974" w:type="dxa"/>
            <w:tcBorders>
              <w:top w:val="nil"/>
              <w:bottom w:val="nil"/>
            </w:tcBorders>
          </w:tcPr>
          <w:p w:rsidR="003B27D8" w:rsidRPr="00965015" w:rsidRDefault="003B27D8" w:rsidP="00D823D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Védrantais</w:t>
            </w:r>
          </w:p>
        </w:tc>
        <w:tc>
          <w:tcPr>
            <w:tcW w:w="563" w:type="dxa"/>
            <w:tcBorders>
              <w:top w:val="nil"/>
              <w:bottom w:val="nil"/>
              <w:right w:val="nil"/>
            </w:tcBorders>
          </w:tcPr>
          <w:p w:rsidR="003B27D8" w:rsidRPr="00965015" w:rsidRDefault="003B27D8" w:rsidP="00D823D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</w:tr>
      <w:tr w:rsidR="003B27D8" w:rsidRPr="00965015" w:rsidTr="00D823DB">
        <w:trPr>
          <w:trHeight w:val="50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3B27D8" w:rsidRPr="00965015" w:rsidRDefault="003B27D8" w:rsidP="00D823D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3B27D8" w:rsidRPr="00965015" w:rsidRDefault="003B27D8" w:rsidP="00D823D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3B27D8" w:rsidRPr="00965015" w:rsidRDefault="003B27D8" w:rsidP="00D823D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present</w:t>
            </w:r>
          </w:p>
        </w:tc>
        <w:tc>
          <w:tcPr>
            <w:tcW w:w="1876" w:type="dxa"/>
            <w:tcBorders>
              <w:top w:val="nil"/>
              <w:bottom w:val="single" w:sz="4" w:space="0" w:color="auto"/>
            </w:tcBorders>
          </w:tcPr>
          <w:p w:rsidR="003B27D8" w:rsidRPr="00965015" w:rsidRDefault="003B27D8" w:rsidP="00D823D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noProof w:val="0"/>
                <w:sz w:val="16"/>
              </w:rPr>
              <w:t>présente</w:t>
            </w:r>
            <w:proofErr w:type="spellEnd"/>
          </w:p>
        </w:tc>
        <w:tc>
          <w:tcPr>
            <w:tcW w:w="1805" w:type="dxa"/>
            <w:tcBorders>
              <w:top w:val="nil"/>
              <w:bottom w:val="single" w:sz="4" w:space="0" w:color="auto"/>
            </w:tcBorders>
          </w:tcPr>
          <w:p w:rsidR="003B27D8" w:rsidRPr="00965015" w:rsidRDefault="003B27D8" w:rsidP="00D823D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vorhanden</w:t>
            </w:r>
          </w:p>
        </w:tc>
        <w:tc>
          <w:tcPr>
            <w:tcW w:w="1862" w:type="dxa"/>
            <w:tcBorders>
              <w:top w:val="nil"/>
              <w:bottom w:val="single" w:sz="4" w:space="0" w:color="auto"/>
            </w:tcBorders>
          </w:tcPr>
          <w:p w:rsidR="003B27D8" w:rsidRPr="00965015" w:rsidRDefault="003B27D8" w:rsidP="00D823DB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/>
                <w:noProof w:val="0"/>
                <w:sz w:val="16"/>
              </w:rPr>
              <w:t>presente</w:t>
            </w:r>
          </w:p>
        </w:tc>
        <w:tc>
          <w:tcPr>
            <w:tcW w:w="1974" w:type="dxa"/>
            <w:tcBorders>
              <w:top w:val="nil"/>
              <w:bottom w:val="single" w:sz="4" w:space="0" w:color="auto"/>
            </w:tcBorders>
          </w:tcPr>
          <w:p w:rsidR="003B27D8" w:rsidRPr="00965015" w:rsidRDefault="003B27D8" w:rsidP="00D823D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Cyro, Primal, Virgos,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/>
                <w:sz w:val="16"/>
              </w:rPr>
              <w:t xml:space="preserve">Yellow Fun </w:t>
            </w:r>
          </w:p>
        </w:tc>
        <w:tc>
          <w:tcPr>
            <w:tcW w:w="563" w:type="dxa"/>
            <w:tcBorders>
              <w:top w:val="nil"/>
              <w:bottom w:val="single" w:sz="4" w:space="0" w:color="auto"/>
              <w:right w:val="nil"/>
            </w:tcBorders>
          </w:tcPr>
          <w:p w:rsidR="003B27D8" w:rsidRPr="00965015" w:rsidRDefault="003B27D8" w:rsidP="00D823D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</w:tr>
    </w:tbl>
    <w:p w:rsidR="003B27D8" w:rsidRDefault="003B27D8" w:rsidP="003B27D8">
      <w:pPr>
        <w:jc w:val="left"/>
        <w:rPr>
          <w:i/>
        </w:rPr>
      </w:pPr>
    </w:p>
    <w:p w:rsidR="003B27D8" w:rsidRDefault="003B27D8" w:rsidP="003B27D8">
      <w:pPr>
        <w:jc w:val="left"/>
        <w:rPr>
          <w:u w:val="single"/>
        </w:rPr>
      </w:pPr>
      <w:r>
        <w:br w:type="page"/>
      </w:r>
    </w:p>
    <w:p w:rsidR="003B27D8" w:rsidRPr="00106263" w:rsidRDefault="003B27D8" w:rsidP="003B27D8">
      <w:pPr>
        <w:pStyle w:val="Heading2"/>
      </w:pPr>
      <w:r>
        <w:lastRenderedPageBreak/>
        <w:t>Propuesta de revisión de la explicación Ad.</w:t>
      </w:r>
      <w:r w:rsidR="002757F8">
        <w:t> </w:t>
      </w:r>
      <w:r>
        <w:t>75 del Capítulo 8.2 “Explicaciones relativas a caracteres individuales”</w:t>
      </w:r>
    </w:p>
    <w:p w:rsidR="003B27D8" w:rsidRPr="003B27D8" w:rsidRDefault="003B27D8" w:rsidP="003B27D8">
      <w:pPr>
        <w:jc w:val="left"/>
      </w:pPr>
    </w:p>
    <w:p w:rsidR="003B27D8" w:rsidRPr="003B27D8" w:rsidRDefault="003B27D8" w:rsidP="003B27D8">
      <w:pPr>
        <w:jc w:val="left"/>
        <w:rPr>
          <w:i/>
        </w:rPr>
      </w:pPr>
      <w:r>
        <w:rPr>
          <w:i/>
        </w:rPr>
        <w:t>Texto actual</w:t>
      </w:r>
    </w:p>
    <w:p w:rsidR="003B27D8" w:rsidRPr="003B27D8" w:rsidRDefault="003B27D8" w:rsidP="003B27D8">
      <w:pPr>
        <w:jc w:val="left"/>
        <w:rPr>
          <w:i/>
        </w:rPr>
      </w:pPr>
    </w:p>
    <w:p w:rsidR="003B27D8" w:rsidRPr="003B27D8" w:rsidRDefault="003B27D8" w:rsidP="003B27D8">
      <w:pPr>
        <w:rPr>
          <w:u w:val="single"/>
        </w:rPr>
      </w:pPr>
      <w:r>
        <w:rPr>
          <w:u w:val="single"/>
        </w:rPr>
        <w:t>Ad. 75:</w:t>
      </w:r>
      <w:r w:rsidR="005D2424">
        <w:rPr>
          <w:u w:val="single"/>
        </w:rPr>
        <w:t xml:space="preserve"> </w:t>
      </w:r>
      <w:r>
        <w:rPr>
          <w:u w:val="single"/>
        </w:rPr>
        <w:t>Resistencia a la cepa E8 del virus del cribado del melón (MNSV)</w:t>
      </w:r>
    </w:p>
    <w:p w:rsidR="003B27D8" w:rsidRPr="003B27D8" w:rsidRDefault="003B27D8" w:rsidP="003B27D8">
      <w:pPr>
        <w:rPr>
          <w:i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1.</w:t>
            </w:r>
          </w:p>
        </w:tc>
        <w:tc>
          <w:tcPr>
            <w:tcW w:w="3164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Agentes patógenos</w:t>
            </w:r>
          </w:p>
        </w:tc>
        <w:tc>
          <w:tcPr>
            <w:tcW w:w="5908" w:type="dxa"/>
          </w:tcPr>
          <w:p w:rsidR="003B27D8" w:rsidRPr="00DE5B3D" w:rsidRDefault="003B27D8" w:rsidP="00D92679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Virus del cribado del melón (MNSV)</w:t>
            </w: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2.</w:t>
            </w:r>
          </w:p>
        </w:tc>
        <w:tc>
          <w:tcPr>
            <w:tcW w:w="3164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Estado de cuarentena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-</w:t>
            </w: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3.</w:t>
            </w:r>
          </w:p>
        </w:tc>
        <w:tc>
          <w:tcPr>
            <w:tcW w:w="3164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Especies huéspedes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spacing w:before="20" w:after="20"/>
              <w:rPr>
                <w:rFonts w:cs="Arial"/>
                <w:sz w:val="17"/>
                <w:szCs w:val="17"/>
              </w:rPr>
            </w:pPr>
            <w:proofErr w:type="spellStart"/>
            <w:r w:rsidRPr="00DE5B3D">
              <w:rPr>
                <w:rFonts w:cs="Arial"/>
                <w:i/>
                <w:sz w:val="17"/>
                <w:szCs w:val="17"/>
              </w:rPr>
              <w:t>Cucumis</w:t>
            </w:r>
            <w:proofErr w:type="spellEnd"/>
            <w:r w:rsidRPr="00DE5B3D">
              <w:rPr>
                <w:rFonts w:cs="Arial"/>
                <w:i/>
                <w:sz w:val="17"/>
                <w:szCs w:val="17"/>
              </w:rPr>
              <w:t xml:space="preserve"> </w:t>
            </w:r>
            <w:proofErr w:type="spellStart"/>
            <w:r w:rsidRPr="00DE5B3D">
              <w:rPr>
                <w:rFonts w:cs="Arial"/>
                <w:i/>
                <w:sz w:val="17"/>
                <w:szCs w:val="17"/>
              </w:rPr>
              <w:t>melo</w:t>
            </w:r>
            <w:proofErr w:type="spellEnd"/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4.</w:t>
            </w:r>
          </w:p>
        </w:tc>
        <w:tc>
          <w:tcPr>
            <w:tcW w:w="3164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Fuente del inóculo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GEVES (FR)</w:t>
            </w:r>
            <w:r w:rsidRPr="00DE5B3D">
              <w:rPr>
                <w:rFonts w:cs="Arial"/>
                <w:sz w:val="17"/>
                <w:szCs w:val="17"/>
              </w:rPr>
              <w:tab/>
            </w: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5.</w:t>
            </w:r>
          </w:p>
        </w:tc>
        <w:tc>
          <w:tcPr>
            <w:tcW w:w="3164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Aislado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spacing w:before="20" w:after="20"/>
              <w:ind w:firstLine="33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Cepa E8</w:t>
            </w: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6.</w:t>
            </w:r>
          </w:p>
        </w:tc>
        <w:tc>
          <w:tcPr>
            <w:tcW w:w="3164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Establecimiento de la identidad del aislado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proofErr w:type="spellStart"/>
            <w:r w:rsidRPr="00DE5B3D">
              <w:rPr>
                <w:rFonts w:cs="Arial"/>
                <w:color w:val="000000"/>
                <w:sz w:val="17"/>
                <w:szCs w:val="17"/>
              </w:rPr>
              <w:t>Védrantais</w:t>
            </w:r>
            <w:proofErr w:type="spellEnd"/>
            <w:r w:rsidRPr="00DE5B3D">
              <w:rPr>
                <w:rFonts w:cs="Arial"/>
                <w:color w:val="000000"/>
                <w:sz w:val="17"/>
                <w:szCs w:val="17"/>
              </w:rPr>
              <w:t xml:space="preserve"> (susceptible)</w:t>
            </w:r>
            <w:r w:rsidRPr="00DE5B3D">
              <w:rPr>
                <w:rFonts w:eastAsia="Calibri" w:cs="Arial"/>
                <w:bCs/>
                <w:color w:val="000000"/>
                <w:sz w:val="17"/>
                <w:szCs w:val="17"/>
              </w:rPr>
              <w:br/>
            </w:r>
            <w:r w:rsidRPr="00DE5B3D">
              <w:rPr>
                <w:rFonts w:cs="Arial"/>
                <w:color w:val="000000"/>
                <w:sz w:val="17"/>
                <w:szCs w:val="17"/>
              </w:rPr>
              <w:t>PMR5, VA 435, Virgos (resistentes)</w:t>
            </w: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7.</w:t>
            </w:r>
          </w:p>
        </w:tc>
        <w:tc>
          <w:tcPr>
            <w:tcW w:w="3164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Establecimiento de la capacidad patógena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en plantas susceptibles</w:t>
            </w: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8.</w:t>
            </w:r>
          </w:p>
        </w:tc>
        <w:tc>
          <w:tcPr>
            <w:tcW w:w="3164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Multiplicación del inóculo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spacing w:before="20" w:after="20"/>
              <w:rPr>
                <w:rFonts w:cs="Arial"/>
                <w:sz w:val="17"/>
                <w:szCs w:val="17"/>
              </w:rPr>
            </w:pP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8.1</w:t>
            </w:r>
          </w:p>
        </w:tc>
        <w:tc>
          <w:tcPr>
            <w:tcW w:w="3164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Medio de multiplicación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planta viva</w:t>
            </w: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8.2</w:t>
            </w:r>
          </w:p>
        </w:tc>
        <w:tc>
          <w:tcPr>
            <w:tcW w:w="3164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Variedad para la multiplicación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multiplicación previa del virus en una variedad no marchita (</w:t>
            </w:r>
            <w:proofErr w:type="spellStart"/>
            <w:r w:rsidRPr="00DE5B3D">
              <w:rPr>
                <w:rFonts w:cs="Arial"/>
                <w:sz w:val="17"/>
                <w:szCs w:val="17"/>
              </w:rPr>
              <w:t>Védrantais</w:t>
            </w:r>
            <w:proofErr w:type="spellEnd"/>
            <w:r w:rsidRPr="00DE5B3D">
              <w:rPr>
                <w:rFonts w:cs="Arial"/>
                <w:sz w:val="17"/>
                <w:szCs w:val="17"/>
              </w:rPr>
              <w:t>) antes del examen</w:t>
            </w: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8.3</w:t>
            </w:r>
          </w:p>
        </w:tc>
        <w:tc>
          <w:tcPr>
            <w:tcW w:w="3164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Estado de desarrollo en el momento de la inoculación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10.3</w:t>
            </w: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8.4</w:t>
            </w:r>
          </w:p>
        </w:tc>
        <w:tc>
          <w:tcPr>
            <w:tcW w:w="3164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Medio de inoculación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-</w:t>
            </w: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8.5</w:t>
            </w:r>
          </w:p>
        </w:tc>
        <w:tc>
          <w:tcPr>
            <w:tcW w:w="3164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Método de inoculación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10.4</w:t>
            </w: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8.6</w:t>
            </w:r>
          </w:p>
        </w:tc>
        <w:tc>
          <w:tcPr>
            <w:tcW w:w="3164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Cosecha del inóculo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10.1</w:t>
            </w: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8.7</w:t>
            </w:r>
          </w:p>
        </w:tc>
        <w:tc>
          <w:tcPr>
            <w:tcW w:w="3164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Comprobación del inóculo cosechado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en hojas con síntomas</w:t>
            </w: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8.8</w:t>
            </w:r>
          </w:p>
        </w:tc>
        <w:tc>
          <w:tcPr>
            <w:tcW w:w="3164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Período de conservación/ viabilidad del inóculo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en variedades susceptibles</w:t>
            </w: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9.</w:t>
            </w:r>
          </w:p>
        </w:tc>
        <w:tc>
          <w:tcPr>
            <w:tcW w:w="3164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Formato del examen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spacing w:before="20" w:after="20"/>
              <w:rPr>
                <w:rFonts w:cs="Arial"/>
                <w:sz w:val="17"/>
                <w:szCs w:val="17"/>
              </w:rPr>
            </w:pP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9.1</w:t>
            </w:r>
          </w:p>
        </w:tc>
        <w:tc>
          <w:tcPr>
            <w:tcW w:w="3164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Número de plantas por genotipo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30 como mínimo</w:t>
            </w: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9.2</w:t>
            </w:r>
          </w:p>
        </w:tc>
        <w:tc>
          <w:tcPr>
            <w:tcW w:w="3164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Número de réplicas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por ejemplo, 3</w:t>
            </w: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9.3</w:t>
            </w:r>
          </w:p>
        </w:tc>
        <w:tc>
          <w:tcPr>
            <w:tcW w:w="3164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Variedades de control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proofErr w:type="spellStart"/>
            <w:r w:rsidRPr="00DE5B3D">
              <w:rPr>
                <w:rFonts w:cs="Arial"/>
                <w:color w:val="000000"/>
                <w:sz w:val="17"/>
                <w:szCs w:val="17"/>
              </w:rPr>
              <w:t>Védrantais</w:t>
            </w:r>
            <w:proofErr w:type="spellEnd"/>
            <w:r w:rsidRPr="00DE5B3D">
              <w:rPr>
                <w:rFonts w:cs="Arial"/>
                <w:color w:val="000000"/>
                <w:sz w:val="17"/>
                <w:szCs w:val="17"/>
              </w:rPr>
              <w:t xml:space="preserve"> (susceptible)</w:t>
            </w:r>
            <w:r w:rsidRPr="00DE5B3D">
              <w:rPr>
                <w:rFonts w:eastAsia="Calibri" w:cs="Arial"/>
                <w:bCs/>
                <w:color w:val="000000"/>
                <w:sz w:val="17"/>
                <w:szCs w:val="17"/>
              </w:rPr>
              <w:br/>
            </w:r>
            <w:proofErr w:type="spellStart"/>
            <w:r w:rsidRPr="00DE5B3D">
              <w:rPr>
                <w:rFonts w:cs="Arial"/>
                <w:color w:val="000000"/>
                <w:sz w:val="17"/>
                <w:szCs w:val="17"/>
              </w:rPr>
              <w:t>Cyro</w:t>
            </w:r>
            <w:proofErr w:type="spellEnd"/>
            <w:r w:rsidRPr="00DE5B3D">
              <w:rPr>
                <w:rFonts w:cs="Arial"/>
                <w:color w:val="000000"/>
                <w:sz w:val="17"/>
                <w:szCs w:val="17"/>
              </w:rPr>
              <w:t xml:space="preserve">, Primal, Virgos, </w:t>
            </w:r>
            <w:proofErr w:type="spellStart"/>
            <w:r w:rsidRPr="00DE5B3D">
              <w:rPr>
                <w:rFonts w:cs="Arial"/>
                <w:color w:val="000000"/>
                <w:sz w:val="17"/>
                <w:szCs w:val="17"/>
              </w:rPr>
              <w:t>Yellow</w:t>
            </w:r>
            <w:proofErr w:type="spellEnd"/>
            <w:r w:rsidRPr="00DE5B3D">
              <w:rPr>
                <w:rFonts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DE5B3D">
              <w:rPr>
                <w:rFonts w:cs="Arial"/>
                <w:color w:val="000000"/>
                <w:sz w:val="17"/>
                <w:szCs w:val="17"/>
              </w:rPr>
              <w:t>Fun</w:t>
            </w:r>
            <w:proofErr w:type="spellEnd"/>
            <w:r w:rsidRPr="00DE5B3D">
              <w:rPr>
                <w:rFonts w:cs="Arial"/>
                <w:color w:val="000000"/>
                <w:sz w:val="17"/>
                <w:szCs w:val="17"/>
              </w:rPr>
              <w:t xml:space="preserve"> (resistentes)</w:t>
            </w: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9.4</w:t>
            </w:r>
          </w:p>
        </w:tc>
        <w:tc>
          <w:tcPr>
            <w:tcW w:w="3164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Diseño del ensayo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spacing w:before="20" w:after="20"/>
              <w:rPr>
                <w:rFonts w:cs="Arial"/>
                <w:sz w:val="17"/>
                <w:szCs w:val="17"/>
                <w:highlight w:val="lightGray"/>
              </w:rPr>
            </w:pPr>
            <w:r w:rsidRPr="00DE5B3D">
              <w:rPr>
                <w:rFonts w:cs="Arial"/>
                <w:sz w:val="17"/>
                <w:szCs w:val="17"/>
              </w:rPr>
              <w:t>-</w:t>
            </w: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9.5</w:t>
            </w:r>
          </w:p>
        </w:tc>
        <w:tc>
          <w:tcPr>
            <w:tcW w:w="3164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Instalación del ensayo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cámara de cultivo</w:t>
            </w: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9.6</w:t>
            </w:r>
          </w:p>
        </w:tc>
        <w:tc>
          <w:tcPr>
            <w:tcW w:w="3164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Temperatura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25°C durante el día y 18°C durante la noche, o 22°C constantes</w:t>
            </w: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9.7</w:t>
            </w:r>
          </w:p>
        </w:tc>
        <w:tc>
          <w:tcPr>
            <w:tcW w:w="3164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Luz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12 horas por día</w:t>
            </w: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9.8</w:t>
            </w:r>
          </w:p>
        </w:tc>
        <w:tc>
          <w:tcPr>
            <w:tcW w:w="3164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Estación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 xml:space="preserve"> cualquier estación</w:t>
            </w: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9.9</w:t>
            </w:r>
          </w:p>
        </w:tc>
        <w:tc>
          <w:tcPr>
            <w:tcW w:w="3164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Medidas especiales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-</w:t>
            </w: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10.</w:t>
            </w:r>
          </w:p>
        </w:tc>
        <w:tc>
          <w:tcPr>
            <w:tcW w:w="3164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Inoculación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spacing w:before="20" w:after="20"/>
              <w:rPr>
                <w:rFonts w:cs="Arial"/>
                <w:sz w:val="17"/>
                <w:szCs w:val="17"/>
              </w:rPr>
            </w:pP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10.1</w:t>
            </w:r>
          </w:p>
        </w:tc>
        <w:tc>
          <w:tcPr>
            <w:tcW w:w="3164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Preparación del inóculo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hojas frescas homogeneizadas en PBS y carborundo</w:t>
            </w: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10.2</w:t>
            </w:r>
          </w:p>
        </w:tc>
        <w:tc>
          <w:tcPr>
            <w:tcW w:w="3164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Cuantificación del inóculo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-</w:t>
            </w: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10.3</w:t>
            </w:r>
          </w:p>
        </w:tc>
        <w:tc>
          <w:tcPr>
            <w:tcW w:w="3164" w:type="dxa"/>
          </w:tcPr>
          <w:p w:rsidR="003B27D8" w:rsidRPr="00DE5B3D" w:rsidRDefault="003B27D8" w:rsidP="00C7698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Estado de desarrollo en el momento de la inoculación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cotiledones expandidos o aparición de la primera hoja</w:t>
            </w: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10.4</w:t>
            </w:r>
          </w:p>
        </w:tc>
        <w:tc>
          <w:tcPr>
            <w:tcW w:w="3164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Método de inoculación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inoculación mecánica mediante el frotamiento de los cotiledones con inóculo</w:t>
            </w: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10.5</w:t>
            </w:r>
          </w:p>
        </w:tc>
        <w:tc>
          <w:tcPr>
            <w:tcW w:w="3164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Primera observación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-</w:t>
            </w: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10.6</w:t>
            </w:r>
          </w:p>
        </w:tc>
        <w:tc>
          <w:tcPr>
            <w:tcW w:w="3164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Segunda observación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spacing w:before="20" w:after="20"/>
              <w:ind w:firstLine="33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-</w:t>
            </w: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10.7</w:t>
            </w:r>
          </w:p>
        </w:tc>
        <w:tc>
          <w:tcPr>
            <w:tcW w:w="3164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Observaciones finales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de 8 a 15 días después de la inoculación</w:t>
            </w: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11.</w:t>
            </w:r>
          </w:p>
        </w:tc>
        <w:tc>
          <w:tcPr>
            <w:tcW w:w="3164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Observaciones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spacing w:before="20" w:after="20"/>
              <w:rPr>
                <w:rFonts w:cs="Arial"/>
                <w:sz w:val="17"/>
                <w:szCs w:val="17"/>
              </w:rPr>
            </w:pP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11.1</w:t>
            </w:r>
          </w:p>
        </w:tc>
        <w:tc>
          <w:tcPr>
            <w:tcW w:w="3164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Método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visual</w:t>
            </w: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11.2</w:t>
            </w:r>
          </w:p>
        </w:tc>
        <w:tc>
          <w:tcPr>
            <w:tcW w:w="3164" w:type="dxa"/>
          </w:tcPr>
          <w:p w:rsidR="003B27D8" w:rsidRPr="00DE5B3D" w:rsidRDefault="003B27D8" w:rsidP="00D823DB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Escala de observación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keepNext/>
              <w:spacing w:before="20" w:after="20"/>
              <w:rPr>
                <w:rFonts w:cs="Arial"/>
                <w:sz w:val="17"/>
                <w:szCs w:val="17"/>
              </w:rPr>
            </w:pP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="Calibri" w:cs="Arial"/>
                <w:bCs/>
                <w:sz w:val="17"/>
                <w:szCs w:val="17"/>
              </w:rPr>
            </w:pPr>
          </w:p>
        </w:tc>
        <w:tc>
          <w:tcPr>
            <w:tcW w:w="3164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  <w:color w:val="000000"/>
                <w:sz w:val="17"/>
                <w:szCs w:val="17"/>
              </w:rPr>
            </w:pPr>
            <w:r w:rsidRPr="00DE5B3D">
              <w:rPr>
                <w:rFonts w:cs="Arial"/>
                <w:color w:val="000000"/>
                <w:sz w:val="17"/>
                <w:szCs w:val="17"/>
              </w:rPr>
              <w:t>[1] ausente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spacing w:before="20" w:after="20"/>
              <w:rPr>
                <w:rFonts w:cs="Arial"/>
                <w:color w:val="000000"/>
                <w:sz w:val="17"/>
                <w:szCs w:val="17"/>
              </w:rPr>
            </w:pPr>
            <w:r w:rsidRPr="00DE5B3D">
              <w:rPr>
                <w:rFonts w:cs="Arial"/>
                <w:color w:val="000000"/>
                <w:sz w:val="17"/>
                <w:szCs w:val="17"/>
              </w:rPr>
              <w:t>lesiones necróticas en los órganos inoculados, posible reacción sistémica (según las condiciones y las variedades empleadas), posible muerte de la planta</w:t>
            </w: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="Calibri" w:cs="Arial"/>
                <w:bCs/>
                <w:sz w:val="17"/>
                <w:szCs w:val="17"/>
              </w:rPr>
            </w:pPr>
          </w:p>
        </w:tc>
        <w:tc>
          <w:tcPr>
            <w:tcW w:w="3164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  <w:color w:val="000000"/>
                <w:sz w:val="17"/>
                <w:szCs w:val="17"/>
              </w:rPr>
            </w:pPr>
            <w:r w:rsidRPr="00DE5B3D">
              <w:rPr>
                <w:rFonts w:cs="Arial"/>
                <w:color w:val="000000"/>
                <w:sz w:val="17"/>
                <w:szCs w:val="17"/>
              </w:rPr>
              <w:t xml:space="preserve">[9] presente 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spacing w:before="20" w:after="20"/>
              <w:rPr>
                <w:rFonts w:cs="Arial"/>
                <w:color w:val="000000"/>
                <w:sz w:val="17"/>
                <w:szCs w:val="17"/>
              </w:rPr>
            </w:pPr>
            <w:r w:rsidRPr="00DE5B3D">
              <w:rPr>
                <w:rFonts w:cs="Arial"/>
                <w:color w:val="000000"/>
                <w:sz w:val="17"/>
                <w:szCs w:val="17"/>
              </w:rPr>
              <w:t>sin lesiones</w:t>
            </w: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11.3</w:t>
            </w:r>
          </w:p>
        </w:tc>
        <w:tc>
          <w:tcPr>
            <w:tcW w:w="3164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Validación del ensayo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en variedades estándar</w:t>
            </w: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11.4</w:t>
            </w:r>
          </w:p>
        </w:tc>
        <w:tc>
          <w:tcPr>
            <w:tcW w:w="3164" w:type="dxa"/>
          </w:tcPr>
          <w:p w:rsidR="003B27D8" w:rsidRPr="00DE5B3D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Fueras de tipo</w:t>
            </w:r>
          </w:p>
        </w:tc>
        <w:tc>
          <w:tcPr>
            <w:tcW w:w="5908" w:type="dxa"/>
          </w:tcPr>
          <w:p w:rsidR="003B27D8" w:rsidRPr="00DE5B3D" w:rsidRDefault="003B27D8" w:rsidP="00D823DB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-</w:t>
            </w: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E5B3D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12.</w:t>
            </w:r>
          </w:p>
        </w:tc>
        <w:tc>
          <w:tcPr>
            <w:tcW w:w="3164" w:type="dxa"/>
          </w:tcPr>
          <w:p w:rsidR="003B27D8" w:rsidRPr="00DE5B3D" w:rsidRDefault="003B27D8" w:rsidP="00DE5B3D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Interpretación de los datos en función de los niveles de los caracteres de la UPOV</w:t>
            </w:r>
          </w:p>
        </w:tc>
        <w:tc>
          <w:tcPr>
            <w:tcW w:w="5908" w:type="dxa"/>
          </w:tcPr>
          <w:p w:rsidR="003B27D8" w:rsidRPr="00DE5B3D" w:rsidRDefault="003B27D8" w:rsidP="00DE5B3D">
            <w:pPr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QL</w:t>
            </w:r>
          </w:p>
        </w:tc>
      </w:tr>
      <w:tr w:rsidR="003B27D8" w:rsidRPr="00DE5B3D" w:rsidTr="00D823DB">
        <w:trPr>
          <w:cantSplit/>
        </w:trPr>
        <w:tc>
          <w:tcPr>
            <w:tcW w:w="675" w:type="dxa"/>
          </w:tcPr>
          <w:p w:rsidR="003B27D8" w:rsidRPr="00DE5B3D" w:rsidRDefault="003B27D8" w:rsidP="00DE5B3D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13.</w:t>
            </w:r>
          </w:p>
        </w:tc>
        <w:tc>
          <w:tcPr>
            <w:tcW w:w="3164" w:type="dxa"/>
          </w:tcPr>
          <w:p w:rsidR="003B27D8" w:rsidRPr="00DE5B3D" w:rsidRDefault="003B27D8" w:rsidP="00DE5B3D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Puntos de control esenciales</w:t>
            </w:r>
          </w:p>
        </w:tc>
        <w:tc>
          <w:tcPr>
            <w:tcW w:w="5908" w:type="dxa"/>
          </w:tcPr>
          <w:p w:rsidR="003B27D8" w:rsidRPr="00DE5B3D" w:rsidRDefault="003B27D8" w:rsidP="00DE5B3D">
            <w:pPr>
              <w:spacing w:before="20" w:after="20"/>
              <w:ind w:left="33"/>
              <w:rPr>
                <w:rFonts w:cs="Arial"/>
                <w:sz w:val="17"/>
                <w:szCs w:val="17"/>
              </w:rPr>
            </w:pPr>
            <w:r w:rsidRPr="00DE5B3D">
              <w:rPr>
                <w:rFonts w:cs="Arial"/>
                <w:sz w:val="17"/>
                <w:szCs w:val="17"/>
              </w:rPr>
              <w:t>-</w:t>
            </w:r>
          </w:p>
        </w:tc>
      </w:tr>
    </w:tbl>
    <w:p w:rsidR="003B27D8" w:rsidRDefault="003B27D8" w:rsidP="003B27D8">
      <w:pPr>
        <w:jc w:val="left"/>
        <w:rPr>
          <w:i/>
        </w:rPr>
      </w:pPr>
      <w:r>
        <w:rPr>
          <w:i/>
        </w:rPr>
        <w:lastRenderedPageBreak/>
        <w:t>Nuevo texto propuesto</w:t>
      </w:r>
    </w:p>
    <w:p w:rsidR="003B27D8" w:rsidRDefault="003B27D8" w:rsidP="003B27D8">
      <w:pPr>
        <w:jc w:val="left"/>
        <w:rPr>
          <w:i/>
        </w:rPr>
      </w:pPr>
    </w:p>
    <w:p w:rsidR="003B27D8" w:rsidRPr="003B27D8" w:rsidRDefault="003B27D8" w:rsidP="003B27D8">
      <w:pPr>
        <w:rPr>
          <w:strike/>
          <w:u w:val="single"/>
        </w:rPr>
      </w:pPr>
      <w:r>
        <w:rPr>
          <w:u w:val="single"/>
        </w:rPr>
        <w:t>Ad. 75:</w:t>
      </w:r>
      <w:r w:rsidR="005D2424">
        <w:rPr>
          <w:u w:val="single"/>
        </w:rPr>
        <w:t xml:space="preserve"> </w:t>
      </w:r>
      <w:r>
        <w:rPr>
          <w:u w:val="single"/>
        </w:rPr>
        <w:t xml:space="preserve">Resistencia a la </w:t>
      </w:r>
      <w:r>
        <w:rPr>
          <w:strike/>
          <w:highlight w:val="lightGray"/>
          <w:u w:val="single"/>
        </w:rPr>
        <w:t>cepa E8</w:t>
      </w:r>
      <w:r w:rsidR="005D2424" w:rsidRPr="00930E1E">
        <w:rPr>
          <w:highlight w:val="lightGray"/>
          <w:u w:val="single"/>
        </w:rPr>
        <w:t xml:space="preserve"> </w:t>
      </w:r>
      <w:r w:rsidRPr="00DE5B3D">
        <w:rPr>
          <w:highlight w:val="lightGray"/>
          <w:u w:val="single"/>
        </w:rPr>
        <w:t>cepa 0</w:t>
      </w:r>
      <w:r>
        <w:rPr>
          <w:u w:val="single"/>
        </w:rPr>
        <w:t xml:space="preserve"> del virus del cribado del melón </w:t>
      </w:r>
      <w:r w:rsidRPr="00F10134">
        <w:rPr>
          <w:highlight w:val="lightGray"/>
          <w:u w:val="single"/>
        </w:rPr>
        <w:t>(MNSV:</w:t>
      </w:r>
      <w:r>
        <w:rPr>
          <w:highlight w:val="lightGray"/>
          <w:u w:val="single"/>
        </w:rPr>
        <w:t xml:space="preserve"> 0)</w:t>
      </w:r>
    </w:p>
    <w:p w:rsidR="003B27D8" w:rsidRPr="003B27D8" w:rsidRDefault="003B27D8" w:rsidP="003B27D8">
      <w:pPr>
        <w:rPr>
          <w:i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1.</w:t>
            </w:r>
          </w:p>
        </w:tc>
        <w:tc>
          <w:tcPr>
            <w:tcW w:w="3164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Agentes patógenos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  <w:highlight w:val="lightGray"/>
                <w:u w:val="single"/>
              </w:rPr>
              <w:t>Cepa 0</w:t>
            </w:r>
            <w:r w:rsidRPr="00930E1E">
              <w:rPr>
                <w:sz w:val="18"/>
                <w:szCs w:val="18"/>
              </w:rPr>
              <w:t xml:space="preserve"> del </w:t>
            </w:r>
            <w:r w:rsidRPr="00930E1E">
              <w:rPr>
                <w:iCs/>
                <w:sz w:val="18"/>
                <w:szCs w:val="18"/>
              </w:rPr>
              <w:t>virus del cribado del melón</w:t>
            </w:r>
            <w:r w:rsidRPr="00930E1E">
              <w:rPr>
                <w:sz w:val="18"/>
                <w:szCs w:val="18"/>
              </w:rPr>
              <w:t xml:space="preserve"> </w:t>
            </w:r>
            <w:r w:rsidRPr="00930E1E">
              <w:rPr>
                <w:sz w:val="18"/>
                <w:szCs w:val="18"/>
                <w:u w:val="single"/>
              </w:rPr>
              <w:t>(</w:t>
            </w:r>
            <w:r w:rsidRPr="00930E1E">
              <w:rPr>
                <w:sz w:val="18"/>
                <w:szCs w:val="18"/>
                <w:highlight w:val="lightGray"/>
                <w:u w:val="single"/>
              </w:rPr>
              <w:t>MNSV: 0</w:t>
            </w:r>
            <w:r w:rsidRPr="00930E1E">
              <w:rPr>
                <w:sz w:val="18"/>
                <w:szCs w:val="18"/>
                <w:u w:val="single"/>
              </w:rPr>
              <w:t>)</w:t>
            </w: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2.</w:t>
            </w:r>
          </w:p>
        </w:tc>
        <w:tc>
          <w:tcPr>
            <w:tcW w:w="3164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Estado de cuarentena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-</w:t>
            </w: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3.</w:t>
            </w:r>
          </w:p>
        </w:tc>
        <w:tc>
          <w:tcPr>
            <w:tcW w:w="3164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Especies huéspedes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spacing w:before="20" w:after="20"/>
              <w:rPr>
                <w:rFonts w:cs="Arial"/>
                <w:sz w:val="18"/>
                <w:szCs w:val="18"/>
              </w:rPr>
            </w:pPr>
            <w:proofErr w:type="spellStart"/>
            <w:r w:rsidRPr="00930E1E">
              <w:rPr>
                <w:i/>
                <w:sz w:val="18"/>
                <w:szCs w:val="18"/>
              </w:rPr>
              <w:t>Cucumis</w:t>
            </w:r>
            <w:proofErr w:type="spellEnd"/>
            <w:r w:rsidRPr="00930E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930E1E">
              <w:rPr>
                <w:i/>
                <w:sz w:val="18"/>
                <w:szCs w:val="18"/>
              </w:rPr>
              <w:t>melo</w:t>
            </w:r>
            <w:proofErr w:type="spellEnd"/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4.</w:t>
            </w:r>
          </w:p>
        </w:tc>
        <w:tc>
          <w:tcPr>
            <w:tcW w:w="3164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Fuente del inóculo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spacing w:before="20" w:after="20"/>
              <w:rPr>
                <w:rFonts w:cs="Arial"/>
                <w:sz w:val="18"/>
                <w:szCs w:val="18"/>
                <w:u w:val="single"/>
              </w:rPr>
            </w:pPr>
            <w:r w:rsidRPr="00930E1E">
              <w:rPr>
                <w:sz w:val="18"/>
                <w:szCs w:val="18"/>
                <w:highlight w:val="lightGray"/>
                <w:u w:val="single"/>
              </w:rPr>
              <w:t>GEVES</w:t>
            </w:r>
            <w:r w:rsidRPr="00930E1E">
              <w:rPr>
                <w:rStyle w:val="FootnoteReference"/>
                <w:sz w:val="18"/>
                <w:szCs w:val="18"/>
                <w:highlight w:val="lightGray"/>
                <w:u w:val="single"/>
              </w:rPr>
              <w:footnoteReference w:id="2"/>
            </w:r>
            <w:r w:rsidRPr="00930E1E">
              <w:rPr>
                <w:sz w:val="18"/>
                <w:szCs w:val="18"/>
                <w:highlight w:val="lightGray"/>
                <w:u w:val="single"/>
              </w:rPr>
              <w:t xml:space="preserve"> (FR)</w:t>
            </w: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5.</w:t>
            </w:r>
          </w:p>
        </w:tc>
        <w:tc>
          <w:tcPr>
            <w:tcW w:w="3164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Aislado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spacing w:before="20" w:after="20"/>
              <w:rPr>
                <w:rFonts w:cs="Arial"/>
                <w:sz w:val="18"/>
                <w:szCs w:val="18"/>
                <w:highlight w:val="lightGray"/>
                <w:u w:val="single"/>
              </w:rPr>
            </w:pPr>
            <w:r w:rsidRPr="00930E1E">
              <w:rPr>
                <w:sz w:val="18"/>
                <w:szCs w:val="18"/>
                <w:highlight w:val="lightGray"/>
                <w:u w:val="single"/>
              </w:rPr>
              <w:t>E8</w:t>
            </w:r>
            <w:r w:rsidRPr="00930E1E">
              <w:rPr>
                <w:sz w:val="18"/>
                <w:szCs w:val="18"/>
                <w:highlight w:val="lightGray"/>
                <w:u w:val="single"/>
                <w:vertAlign w:val="subscript"/>
              </w:rPr>
              <w:t xml:space="preserve"> </w:t>
            </w: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6.</w:t>
            </w:r>
          </w:p>
        </w:tc>
        <w:tc>
          <w:tcPr>
            <w:tcW w:w="3164" w:type="dxa"/>
          </w:tcPr>
          <w:p w:rsidR="003B27D8" w:rsidRPr="00930E1E" w:rsidRDefault="003B27D8" w:rsidP="00C7698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Establecimiento de la identidad del aislado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930E1E">
              <w:rPr>
                <w:color w:val="000000"/>
                <w:sz w:val="18"/>
                <w:szCs w:val="18"/>
              </w:rPr>
              <w:t>Védrantais</w:t>
            </w:r>
            <w:proofErr w:type="spellEnd"/>
            <w:r w:rsidRPr="00930E1E">
              <w:rPr>
                <w:color w:val="000000"/>
                <w:sz w:val="18"/>
                <w:szCs w:val="18"/>
              </w:rPr>
              <w:t xml:space="preserve"> (susceptible)</w:t>
            </w:r>
            <w:r w:rsidRPr="00930E1E">
              <w:rPr>
                <w:rFonts w:eastAsia="Calibri"/>
                <w:bCs/>
                <w:color w:val="000000"/>
                <w:sz w:val="18"/>
                <w:szCs w:val="18"/>
              </w:rPr>
              <w:br/>
            </w:r>
            <w:r w:rsidRPr="00930E1E">
              <w:rPr>
                <w:color w:val="000000"/>
                <w:sz w:val="18"/>
                <w:szCs w:val="18"/>
              </w:rPr>
              <w:t>PMR5, VA 435, Virgos (resistentes)</w:t>
            </w: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7.</w:t>
            </w:r>
          </w:p>
        </w:tc>
        <w:tc>
          <w:tcPr>
            <w:tcW w:w="3164" w:type="dxa"/>
          </w:tcPr>
          <w:p w:rsidR="003B27D8" w:rsidRPr="00930E1E" w:rsidRDefault="003B27D8" w:rsidP="00C7698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Establecimiento de la capacidad patógena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en plantas susceptibles</w:t>
            </w: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8.</w:t>
            </w:r>
          </w:p>
        </w:tc>
        <w:tc>
          <w:tcPr>
            <w:tcW w:w="3164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Multiplicación del inóculo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8.1</w:t>
            </w:r>
          </w:p>
        </w:tc>
        <w:tc>
          <w:tcPr>
            <w:tcW w:w="3164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Medio de multiplicación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planta viva</w:t>
            </w: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8.2</w:t>
            </w:r>
          </w:p>
        </w:tc>
        <w:tc>
          <w:tcPr>
            <w:tcW w:w="3164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Variedad para la multiplicación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multiplicación previa del virus en una variedad no marchita (</w:t>
            </w:r>
            <w:proofErr w:type="spellStart"/>
            <w:r w:rsidRPr="00930E1E">
              <w:rPr>
                <w:sz w:val="18"/>
                <w:szCs w:val="18"/>
              </w:rPr>
              <w:t>Védrantais</w:t>
            </w:r>
            <w:proofErr w:type="spellEnd"/>
            <w:r w:rsidRPr="00930E1E">
              <w:rPr>
                <w:sz w:val="18"/>
                <w:szCs w:val="18"/>
              </w:rPr>
              <w:t>) antes del examen</w:t>
            </w: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8.3</w:t>
            </w:r>
          </w:p>
        </w:tc>
        <w:tc>
          <w:tcPr>
            <w:tcW w:w="3164" w:type="dxa"/>
          </w:tcPr>
          <w:p w:rsidR="003B27D8" w:rsidRPr="00930E1E" w:rsidRDefault="003B27D8" w:rsidP="00C7698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Estado de desarrollo en el momento de la inoculación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10.3</w:t>
            </w: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8.4</w:t>
            </w:r>
          </w:p>
        </w:tc>
        <w:tc>
          <w:tcPr>
            <w:tcW w:w="3164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Medio de inoculación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-</w:t>
            </w: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8.5</w:t>
            </w:r>
          </w:p>
        </w:tc>
        <w:tc>
          <w:tcPr>
            <w:tcW w:w="3164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Método de inoculación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10.4</w:t>
            </w: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8.6</w:t>
            </w:r>
          </w:p>
        </w:tc>
        <w:tc>
          <w:tcPr>
            <w:tcW w:w="3164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Cosecha del inóculo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10.1</w:t>
            </w: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8.7</w:t>
            </w:r>
          </w:p>
        </w:tc>
        <w:tc>
          <w:tcPr>
            <w:tcW w:w="3164" w:type="dxa"/>
          </w:tcPr>
          <w:p w:rsidR="003B27D8" w:rsidRPr="00930E1E" w:rsidRDefault="003B27D8" w:rsidP="00C7698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Comprobación del inóculo cosechado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en hojas con síntomas</w:t>
            </w: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8.8</w:t>
            </w:r>
          </w:p>
        </w:tc>
        <w:tc>
          <w:tcPr>
            <w:tcW w:w="3164" w:type="dxa"/>
          </w:tcPr>
          <w:p w:rsidR="003B27D8" w:rsidRPr="00930E1E" w:rsidRDefault="003B27D8" w:rsidP="00C7698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Período de conservación/ viabilidad del inóculo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en variedades susceptibles</w:t>
            </w: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9.</w:t>
            </w:r>
          </w:p>
        </w:tc>
        <w:tc>
          <w:tcPr>
            <w:tcW w:w="3164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Formato del examen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9.1</w:t>
            </w:r>
          </w:p>
        </w:tc>
        <w:tc>
          <w:tcPr>
            <w:tcW w:w="3164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Número de plantas por genotipo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30 como mínimo</w:t>
            </w: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9.2</w:t>
            </w:r>
          </w:p>
        </w:tc>
        <w:tc>
          <w:tcPr>
            <w:tcW w:w="3164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Número de réplicas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por ejemplo, 3</w:t>
            </w: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9.3</w:t>
            </w:r>
          </w:p>
        </w:tc>
        <w:tc>
          <w:tcPr>
            <w:tcW w:w="3164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Variedades de control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8"/>
                <w:szCs w:val="18"/>
              </w:rPr>
            </w:pPr>
            <w:proofErr w:type="spellStart"/>
            <w:r w:rsidRPr="00930E1E">
              <w:rPr>
                <w:color w:val="000000"/>
                <w:sz w:val="18"/>
                <w:szCs w:val="18"/>
              </w:rPr>
              <w:t>Védrantais</w:t>
            </w:r>
            <w:proofErr w:type="spellEnd"/>
            <w:r w:rsidRPr="00930E1E">
              <w:rPr>
                <w:color w:val="000000"/>
                <w:sz w:val="18"/>
                <w:szCs w:val="18"/>
              </w:rPr>
              <w:t xml:space="preserve"> (susceptible)</w:t>
            </w:r>
            <w:r w:rsidRPr="00930E1E">
              <w:rPr>
                <w:rFonts w:eastAsia="Calibri"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930E1E">
              <w:rPr>
                <w:color w:val="000000"/>
                <w:sz w:val="18"/>
                <w:szCs w:val="18"/>
              </w:rPr>
              <w:t>Cyro</w:t>
            </w:r>
            <w:proofErr w:type="spellEnd"/>
            <w:r w:rsidRPr="00930E1E">
              <w:rPr>
                <w:color w:val="000000"/>
                <w:sz w:val="18"/>
                <w:szCs w:val="18"/>
              </w:rPr>
              <w:t xml:space="preserve">, Primal, Virgos, </w:t>
            </w:r>
            <w:proofErr w:type="spellStart"/>
            <w:r w:rsidRPr="00930E1E">
              <w:rPr>
                <w:color w:val="000000"/>
                <w:sz w:val="18"/>
                <w:szCs w:val="18"/>
              </w:rPr>
              <w:t>Yellow</w:t>
            </w:r>
            <w:proofErr w:type="spellEnd"/>
            <w:r w:rsidRPr="00930E1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30E1E">
              <w:rPr>
                <w:color w:val="000000"/>
                <w:sz w:val="18"/>
                <w:szCs w:val="18"/>
              </w:rPr>
              <w:t>Fun</w:t>
            </w:r>
            <w:proofErr w:type="spellEnd"/>
            <w:r w:rsidRPr="00930E1E">
              <w:rPr>
                <w:color w:val="000000"/>
                <w:sz w:val="18"/>
                <w:szCs w:val="18"/>
              </w:rPr>
              <w:t>, (resistentes)</w:t>
            </w: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9.4</w:t>
            </w:r>
          </w:p>
        </w:tc>
        <w:tc>
          <w:tcPr>
            <w:tcW w:w="3164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Diseño del ensayo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spacing w:before="20" w:after="20"/>
              <w:rPr>
                <w:rFonts w:cs="Arial"/>
                <w:sz w:val="18"/>
                <w:szCs w:val="18"/>
                <w:u w:val="single"/>
              </w:rPr>
            </w:pPr>
            <w:r w:rsidRPr="00930E1E">
              <w:rPr>
                <w:color w:val="000000"/>
                <w:sz w:val="18"/>
                <w:szCs w:val="18"/>
                <w:highlight w:val="lightGray"/>
                <w:u w:val="single"/>
              </w:rPr>
              <w:t>añadir plantas sin inocular</w:t>
            </w: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9.5</w:t>
            </w:r>
          </w:p>
        </w:tc>
        <w:tc>
          <w:tcPr>
            <w:tcW w:w="3164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Instalación del ensayo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cámara de cultivo</w:t>
            </w: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9.6</w:t>
            </w:r>
          </w:p>
        </w:tc>
        <w:tc>
          <w:tcPr>
            <w:tcW w:w="3164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Temperatura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25°C durante el día y 18°C durante la noche, o 22°C constantes</w:t>
            </w: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9.7</w:t>
            </w:r>
          </w:p>
        </w:tc>
        <w:tc>
          <w:tcPr>
            <w:tcW w:w="3164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Luz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12 horas por día</w:t>
            </w: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9.8</w:t>
            </w:r>
          </w:p>
        </w:tc>
        <w:tc>
          <w:tcPr>
            <w:tcW w:w="3164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Estación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cualquier estación</w:t>
            </w: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9.9</w:t>
            </w:r>
          </w:p>
        </w:tc>
        <w:tc>
          <w:tcPr>
            <w:tcW w:w="3164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Medidas especiales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-</w:t>
            </w: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10.</w:t>
            </w:r>
          </w:p>
        </w:tc>
        <w:tc>
          <w:tcPr>
            <w:tcW w:w="3164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Inoculación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10.1</w:t>
            </w:r>
          </w:p>
        </w:tc>
        <w:tc>
          <w:tcPr>
            <w:tcW w:w="3164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Preparación del inóculo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hojas frescas homogeneizadas en PBS y carborundo</w:t>
            </w: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10.2</w:t>
            </w:r>
          </w:p>
        </w:tc>
        <w:tc>
          <w:tcPr>
            <w:tcW w:w="3164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Cuantificación del inóculo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-</w:t>
            </w: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10.3</w:t>
            </w:r>
          </w:p>
        </w:tc>
        <w:tc>
          <w:tcPr>
            <w:tcW w:w="3164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Estado de desarrollo en el momento de la inoculación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cotiledones expandidos o aparición de la primera hoja</w:t>
            </w: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10.4</w:t>
            </w:r>
          </w:p>
        </w:tc>
        <w:tc>
          <w:tcPr>
            <w:tcW w:w="3164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Método de inoculación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inoculación mecánica mediante el frotamiento de los cotiledones con inóculo</w:t>
            </w: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10.5</w:t>
            </w:r>
          </w:p>
        </w:tc>
        <w:tc>
          <w:tcPr>
            <w:tcW w:w="3164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Primera observación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-</w:t>
            </w: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10.6</w:t>
            </w:r>
          </w:p>
        </w:tc>
        <w:tc>
          <w:tcPr>
            <w:tcW w:w="3164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Segunda observación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-</w:t>
            </w: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10.7</w:t>
            </w:r>
          </w:p>
        </w:tc>
        <w:tc>
          <w:tcPr>
            <w:tcW w:w="3164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Observaciones finales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de 8 a 15 días después de la inoculación</w:t>
            </w: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11.</w:t>
            </w:r>
          </w:p>
        </w:tc>
        <w:tc>
          <w:tcPr>
            <w:tcW w:w="3164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Observaciones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11.1</w:t>
            </w:r>
          </w:p>
        </w:tc>
        <w:tc>
          <w:tcPr>
            <w:tcW w:w="3164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Método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visual</w:t>
            </w: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11.2</w:t>
            </w:r>
          </w:p>
        </w:tc>
        <w:tc>
          <w:tcPr>
            <w:tcW w:w="3164" w:type="dxa"/>
          </w:tcPr>
          <w:p w:rsidR="003B27D8" w:rsidRPr="00930E1E" w:rsidRDefault="003B27D8" w:rsidP="00D823DB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Escala de observación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164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  <w:color w:val="000000"/>
                <w:sz w:val="18"/>
                <w:szCs w:val="18"/>
              </w:rPr>
            </w:pPr>
            <w:r w:rsidRPr="00930E1E">
              <w:rPr>
                <w:color w:val="000000"/>
                <w:sz w:val="18"/>
                <w:szCs w:val="18"/>
              </w:rPr>
              <w:t>[1] ausente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930E1E">
              <w:rPr>
                <w:color w:val="000000"/>
                <w:sz w:val="18"/>
                <w:szCs w:val="18"/>
              </w:rPr>
              <w:t>lesiones necróticas en los órganos inoculados, posible reacción sistémica (según las condiciones y las variedades empleadas), posible muerte de la planta</w:t>
            </w: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="Calibri" w:cs="Arial"/>
                <w:bCs/>
                <w:sz w:val="18"/>
                <w:szCs w:val="18"/>
              </w:rPr>
            </w:pPr>
          </w:p>
        </w:tc>
        <w:tc>
          <w:tcPr>
            <w:tcW w:w="3164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  <w:color w:val="000000"/>
                <w:sz w:val="18"/>
                <w:szCs w:val="18"/>
              </w:rPr>
            </w:pPr>
            <w:r w:rsidRPr="00930E1E">
              <w:rPr>
                <w:color w:val="000000"/>
                <w:sz w:val="18"/>
                <w:szCs w:val="18"/>
              </w:rPr>
              <w:t xml:space="preserve">[9] presente 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spacing w:before="20" w:after="20"/>
              <w:rPr>
                <w:rFonts w:cs="Arial"/>
                <w:color w:val="000000"/>
                <w:sz w:val="18"/>
                <w:szCs w:val="18"/>
              </w:rPr>
            </w:pPr>
            <w:r w:rsidRPr="00930E1E">
              <w:rPr>
                <w:color w:val="000000"/>
                <w:sz w:val="18"/>
                <w:szCs w:val="18"/>
              </w:rPr>
              <w:t>sin lesiones</w:t>
            </w: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11.3</w:t>
            </w:r>
          </w:p>
        </w:tc>
        <w:tc>
          <w:tcPr>
            <w:tcW w:w="3164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Validación del ensayo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en variedades estándar</w:t>
            </w: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11.4</w:t>
            </w:r>
          </w:p>
        </w:tc>
        <w:tc>
          <w:tcPr>
            <w:tcW w:w="3164" w:type="dxa"/>
          </w:tcPr>
          <w:p w:rsidR="003B27D8" w:rsidRPr="00930E1E" w:rsidRDefault="003B27D8" w:rsidP="00D823DB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Fuera de tipo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-</w:t>
            </w: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keepNext/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lastRenderedPageBreak/>
              <w:t>12.</w:t>
            </w:r>
          </w:p>
        </w:tc>
        <w:tc>
          <w:tcPr>
            <w:tcW w:w="3164" w:type="dxa"/>
          </w:tcPr>
          <w:p w:rsidR="003B27D8" w:rsidRPr="00930E1E" w:rsidRDefault="003B27D8" w:rsidP="00D823DB">
            <w:pPr>
              <w:keepNext/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Interpretación de los datos en función de los niveles de los caracteres de la UPOV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keepNext/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QL</w:t>
            </w:r>
          </w:p>
        </w:tc>
      </w:tr>
      <w:tr w:rsidR="003B27D8" w:rsidRPr="00930E1E" w:rsidTr="00D823DB">
        <w:trPr>
          <w:cantSplit/>
        </w:trPr>
        <w:tc>
          <w:tcPr>
            <w:tcW w:w="675" w:type="dxa"/>
          </w:tcPr>
          <w:p w:rsidR="003B27D8" w:rsidRPr="00930E1E" w:rsidRDefault="003B27D8" w:rsidP="00D823DB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13.</w:t>
            </w:r>
          </w:p>
        </w:tc>
        <w:tc>
          <w:tcPr>
            <w:tcW w:w="3164" w:type="dxa"/>
          </w:tcPr>
          <w:p w:rsidR="003B27D8" w:rsidRPr="00930E1E" w:rsidRDefault="003B27D8" w:rsidP="00D823DB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sz w:val="18"/>
                <w:szCs w:val="18"/>
              </w:rPr>
            </w:pPr>
            <w:r w:rsidRPr="00930E1E">
              <w:rPr>
                <w:sz w:val="18"/>
                <w:szCs w:val="18"/>
              </w:rPr>
              <w:t>Puntos de control esenciales</w:t>
            </w:r>
          </w:p>
        </w:tc>
        <w:tc>
          <w:tcPr>
            <w:tcW w:w="5908" w:type="dxa"/>
          </w:tcPr>
          <w:p w:rsidR="003B27D8" w:rsidRPr="00930E1E" w:rsidRDefault="003B27D8" w:rsidP="00D823DB">
            <w:pPr>
              <w:keepNext/>
              <w:spacing w:before="20" w:after="20"/>
              <w:ind w:left="33"/>
              <w:rPr>
                <w:rFonts w:cs="Arial"/>
                <w:sz w:val="18"/>
                <w:szCs w:val="18"/>
                <w:u w:val="single"/>
              </w:rPr>
            </w:pPr>
            <w:r w:rsidRPr="00930E1E">
              <w:rPr>
                <w:sz w:val="18"/>
                <w:szCs w:val="18"/>
                <w:highlight w:val="lightGray"/>
                <w:u w:val="single"/>
              </w:rPr>
              <w:t>Para verificar la identidad de los patógenos, Virgos es resistente a la</w:t>
            </w:r>
            <w:r w:rsidR="00C76986" w:rsidRPr="00930E1E">
              <w:rPr>
                <w:sz w:val="18"/>
                <w:szCs w:val="18"/>
                <w:highlight w:val="lightGray"/>
                <w:u w:val="single"/>
              </w:rPr>
              <w:t> </w:t>
            </w:r>
            <w:r w:rsidRPr="00930E1E">
              <w:rPr>
                <w:sz w:val="18"/>
                <w:szCs w:val="18"/>
                <w:highlight w:val="lightGray"/>
                <w:u w:val="single"/>
              </w:rPr>
              <w:t>cepa 0 del MNSV y susceptible a la cepa 1 del MNSV.</w:t>
            </w:r>
          </w:p>
        </w:tc>
      </w:tr>
    </w:tbl>
    <w:p w:rsidR="003B27D8" w:rsidRPr="003B27D8" w:rsidRDefault="003B27D8" w:rsidP="003B27D8">
      <w:pPr>
        <w:jc w:val="right"/>
      </w:pPr>
    </w:p>
    <w:p w:rsidR="003B27D8" w:rsidRPr="003B27D8" w:rsidRDefault="003B27D8" w:rsidP="003B27D8">
      <w:pPr>
        <w:jc w:val="right"/>
      </w:pPr>
    </w:p>
    <w:p w:rsidR="00050E16" w:rsidRPr="00C5280D" w:rsidRDefault="003B27D8" w:rsidP="003B27D8">
      <w:pPr>
        <w:jc w:val="right"/>
      </w:pPr>
      <w:r>
        <w:t>[Fin del documento]</w:t>
      </w: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421" w:rsidRDefault="003D4421" w:rsidP="006655D3">
      <w:r>
        <w:separator/>
      </w:r>
    </w:p>
    <w:p w:rsidR="003D4421" w:rsidRDefault="003D4421" w:rsidP="006655D3"/>
    <w:p w:rsidR="003D4421" w:rsidRDefault="003D4421" w:rsidP="006655D3"/>
  </w:endnote>
  <w:endnote w:type="continuationSeparator" w:id="0">
    <w:p w:rsidR="003D4421" w:rsidRDefault="003D4421" w:rsidP="006655D3">
      <w:r>
        <w:separator/>
      </w:r>
    </w:p>
    <w:p w:rsidR="003D4421" w:rsidRPr="00294751" w:rsidRDefault="003D442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D4421" w:rsidRPr="00294751" w:rsidRDefault="003D4421" w:rsidP="006655D3">
      <w:pPr>
        <w:rPr>
          <w:lang w:val="fr-FR"/>
        </w:rPr>
      </w:pPr>
    </w:p>
    <w:p w:rsidR="003D4421" w:rsidRPr="00294751" w:rsidRDefault="003D4421" w:rsidP="006655D3">
      <w:pPr>
        <w:rPr>
          <w:lang w:val="fr-FR"/>
        </w:rPr>
      </w:pPr>
    </w:p>
  </w:endnote>
  <w:endnote w:type="continuationNotice" w:id="1">
    <w:p w:rsidR="003D4421" w:rsidRPr="00294751" w:rsidRDefault="003D442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D4421" w:rsidRPr="00294751" w:rsidRDefault="003D4421" w:rsidP="006655D3">
      <w:pPr>
        <w:rPr>
          <w:lang w:val="fr-FR"/>
        </w:rPr>
      </w:pPr>
    </w:p>
    <w:p w:rsidR="003D4421" w:rsidRPr="00294751" w:rsidRDefault="003D442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421" w:rsidRDefault="003D4421" w:rsidP="006655D3">
      <w:r>
        <w:separator/>
      </w:r>
    </w:p>
  </w:footnote>
  <w:footnote w:type="continuationSeparator" w:id="0">
    <w:p w:rsidR="003D4421" w:rsidRDefault="003D4421" w:rsidP="006655D3">
      <w:r>
        <w:separator/>
      </w:r>
    </w:p>
  </w:footnote>
  <w:footnote w:type="continuationNotice" w:id="1">
    <w:p w:rsidR="003D4421" w:rsidRPr="00AB530F" w:rsidRDefault="003D4421" w:rsidP="00AB530F">
      <w:pPr>
        <w:pStyle w:val="Footer"/>
      </w:pPr>
    </w:p>
  </w:footnote>
  <w:footnote w:id="2">
    <w:p w:rsidR="003B27D8" w:rsidRPr="00FC0A89" w:rsidRDefault="003B27D8" w:rsidP="003B27D8">
      <w:pPr>
        <w:pStyle w:val="FootnoteText"/>
      </w:pPr>
      <w:r>
        <w:rPr>
          <w:rStyle w:val="FootnoteReference"/>
          <w:highlight w:val="lightGray"/>
        </w:rPr>
        <w:footnoteRef/>
      </w:r>
      <w:r>
        <w:rPr>
          <w:highlight w:val="lightGray"/>
        </w:rPr>
        <w:t xml:space="preserve"> matref@geves.fr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0B7BB9" w:rsidP="000A23DC">
    <w:pPr>
      <w:pStyle w:val="Header"/>
      <w:rPr>
        <w:rStyle w:val="PageNumber"/>
      </w:rPr>
    </w:pPr>
    <w:r>
      <w:rPr>
        <w:rStyle w:val="PageNumber"/>
      </w:rPr>
      <w:t>TC/55/</w:t>
    </w:r>
    <w:r w:rsidR="00DE5B3D">
      <w:rPr>
        <w:rStyle w:val="PageNumber"/>
      </w:rPr>
      <w:t>16</w:t>
    </w:r>
  </w:p>
  <w:p w:rsidR="00182B99" w:rsidRPr="00202E38" w:rsidRDefault="008B3D8D" w:rsidP="008B3D8D">
    <w:pPr>
      <w:pStyle w:val="Header"/>
    </w:pPr>
    <w:r>
      <w:t xml:space="preserve">página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614156">
      <w:rPr>
        <w:rStyle w:val="PageNumber"/>
        <w:noProof/>
      </w:rPr>
      <w:t>5</w:t>
    </w:r>
    <w:r w:rsidR="00182B99" w:rsidRPr="00202E38">
      <w:rPr>
        <w:rStyle w:val="PageNumber"/>
      </w:rPr>
      <w:fldChar w:fldCharType="end"/>
    </w:r>
  </w:p>
  <w:p w:rsidR="00182B99" w:rsidRPr="00202E38" w:rsidRDefault="00182B99" w:rsidP="00C238F2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95BAF"/>
    <w:multiLevelType w:val="hybridMultilevel"/>
    <w:tmpl w:val="0D7A46C8"/>
    <w:lvl w:ilvl="0" w:tplc="8A5EB930">
      <w:start w:val="1"/>
      <w:numFmt w:val="lowerLetter"/>
      <w:lvlText w:val="%1)"/>
      <w:lvlJc w:val="left"/>
      <w:pPr>
        <w:ind w:left="1134" w:hanging="56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56E2B23"/>
    <w:multiLevelType w:val="hybridMultilevel"/>
    <w:tmpl w:val="36802BC2"/>
    <w:lvl w:ilvl="0" w:tplc="79BCC098">
      <w:start w:val="1"/>
      <w:numFmt w:val="decimal"/>
      <w:lvlText w:val="%1."/>
      <w:lvlJc w:val="left"/>
      <w:pPr>
        <w:ind w:left="567" w:hanging="567"/>
      </w:pPr>
      <w:rPr>
        <w:rFonts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14A66"/>
    <w:multiLevelType w:val="hybridMultilevel"/>
    <w:tmpl w:val="79A88EF4"/>
    <w:lvl w:ilvl="0" w:tplc="8AFE97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24423"/>
    <w:multiLevelType w:val="hybridMultilevel"/>
    <w:tmpl w:val="E4F63D42"/>
    <w:lvl w:ilvl="0" w:tplc="79BCC098">
      <w:start w:val="1"/>
      <w:numFmt w:val="decimal"/>
      <w:lvlText w:val="%1."/>
      <w:lvlJc w:val="left"/>
      <w:pPr>
        <w:ind w:left="567" w:hanging="567"/>
      </w:pPr>
      <w:rPr>
        <w:rFonts w:cs="Arial" w:hint="default"/>
      </w:rPr>
    </w:lvl>
    <w:lvl w:ilvl="1" w:tplc="7EDC231C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30ED9"/>
    <w:multiLevelType w:val="hybridMultilevel"/>
    <w:tmpl w:val="A864819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F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B7BB9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23E8F"/>
    <w:rsid w:val="00141DB8"/>
    <w:rsid w:val="00172084"/>
    <w:rsid w:val="0017474A"/>
    <w:rsid w:val="001758C6"/>
    <w:rsid w:val="00182B99"/>
    <w:rsid w:val="001D0B0F"/>
    <w:rsid w:val="001F64BF"/>
    <w:rsid w:val="00202E38"/>
    <w:rsid w:val="0021332C"/>
    <w:rsid w:val="00213982"/>
    <w:rsid w:val="0024416D"/>
    <w:rsid w:val="002464A3"/>
    <w:rsid w:val="00271911"/>
    <w:rsid w:val="002757F8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305A7F"/>
    <w:rsid w:val="003152FE"/>
    <w:rsid w:val="00327436"/>
    <w:rsid w:val="00344BD6"/>
    <w:rsid w:val="0035528D"/>
    <w:rsid w:val="00361821"/>
    <w:rsid w:val="00361E9E"/>
    <w:rsid w:val="003B031A"/>
    <w:rsid w:val="003B27D8"/>
    <w:rsid w:val="003C7FBE"/>
    <w:rsid w:val="003D227C"/>
    <w:rsid w:val="003D2B4D"/>
    <w:rsid w:val="003D4421"/>
    <w:rsid w:val="0040557F"/>
    <w:rsid w:val="00444A88"/>
    <w:rsid w:val="00474DA4"/>
    <w:rsid w:val="00476B4D"/>
    <w:rsid w:val="004805FA"/>
    <w:rsid w:val="004935D2"/>
    <w:rsid w:val="004B1215"/>
    <w:rsid w:val="004C26BA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1EC1"/>
    <w:rsid w:val="005A400A"/>
    <w:rsid w:val="005D2424"/>
    <w:rsid w:val="005F7B92"/>
    <w:rsid w:val="00612379"/>
    <w:rsid w:val="00614156"/>
    <w:rsid w:val="006153B6"/>
    <w:rsid w:val="0061555F"/>
    <w:rsid w:val="00636CA6"/>
    <w:rsid w:val="00637EDD"/>
    <w:rsid w:val="00641200"/>
    <w:rsid w:val="00645CA8"/>
    <w:rsid w:val="006655D3"/>
    <w:rsid w:val="00667404"/>
    <w:rsid w:val="00681E36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B3D8D"/>
    <w:rsid w:val="008C034D"/>
    <w:rsid w:val="008C0970"/>
    <w:rsid w:val="008D0BC5"/>
    <w:rsid w:val="008D2CF7"/>
    <w:rsid w:val="008E1776"/>
    <w:rsid w:val="00900C26"/>
    <w:rsid w:val="0090197F"/>
    <w:rsid w:val="0090363F"/>
    <w:rsid w:val="00906DDC"/>
    <w:rsid w:val="00930E1E"/>
    <w:rsid w:val="00934E09"/>
    <w:rsid w:val="00936253"/>
    <w:rsid w:val="00940D46"/>
    <w:rsid w:val="00952DD4"/>
    <w:rsid w:val="0096175D"/>
    <w:rsid w:val="00965AE7"/>
    <w:rsid w:val="00970FED"/>
    <w:rsid w:val="00975F7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941F5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38F2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6986"/>
    <w:rsid w:val="00C973F2"/>
    <w:rsid w:val="00CA304C"/>
    <w:rsid w:val="00CA774A"/>
    <w:rsid w:val="00CC11B0"/>
    <w:rsid w:val="00CC2841"/>
    <w:rsid w:val="00CE49AB"/>
    <w:rsid w:val="00CF1330"/>
    <w:rsid w:val="00CF7E36"/>
    <w:rsid w:val="00D3708D"/>
    <w:rsid w:val="00D40426"/>
    <w:rsid w:val="00D57C96"/>
    <w:rsid w:val="00D57D18"/>
    <w:rsid w:val="00D91203"/>
    <w:rsid w:val="00D92679"/>
    <w:rsid w:val="00D95174"/>
    <w:rsid w:val="00DA4973"/>
    <w:rsid w:val="00DA6F36"/>
    <w:rsid w:val="00DB596E"/>
    <w:rsid w:val="00DB71B9"/>
    <w:rsid w:val="00DB7773"/>
    <w:rsid w:val="00DC00EA"/>
    <w:rsid w:val="00DC3802"/>
    <w:rsid w:val="00DE5B3D"/>
    <w:rsid w:val="00E07D87"/>
    <w:rsid w:val="00E32F7E"/>
    <w:rsid w:val="00E5267B"/>
    <w:rsid w:val="00E63C0E"/>
    <w:rsid w:val="00E72D49"/>
    <w:rsid w:val="00E7593C"/>
    <w:rsid w:val="00E7678A"/>
    <w:rsid w:val="00E91A23"/>
    <w:rsid w:val="00E935F1"/>
    <w:rsid w:val="00E94A81"/>
    <w:rsid w:val="00EA1FFB"/>
    <w:rsid w:val="00EB048E"/>
    <w:rsid w:val="00EB4E9C"/>
    <w:rsid w:val="00EC2265"/>
    <w:rsid w:val="00EE34DF"/>
    <w:rsid w:val="00EF2F89"/>
    <w:rsid w:val="00F03E98"/>
    <w:rsid w:val="00F10134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B91626D"/>
  <w15:docId w15:val="{1DFEDEA2-C45F-4E4E-AC9E-96659637C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s-E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es-ES" w:eastAsia="es-ES" w:bidi="es-ES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es-ES" w:eastAsia="es-ES" w:bidi="es-E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E91A23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E91A23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E91A23"/>
    <w:rPr>
      <w:rFonts w:ascii="Arial" w:hAnsi="Arial"/>
      <w:i/>
    </w:rPr>
  </w:style>
  <w:style w:type="table" w:customStyle="1" w:styleId="TableGrid3">
    <w:name w:val="Table Grid3"/>
    <w:basedOn w:val="TableNormal"/>
    <w:next w:val="TableGrid"/>
    <w:rsid w:val="00E91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E91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E91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7D8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3B27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3B27D8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3B27D8"/>
    <w:pPr>
      <w:keepNext/>
    </w:pPr>
    <w:rPr>
      <w:b/>
    </w:rPr>
  </w:style>
  <w:style w:type="character" w:customStyle="1" w:styleId="FootnoteTextChar">
    <w:name w:val="Footnote Text Char"/>
    <w:link w:val="FootnoteText"/>
    <w:rsid w:val="003B27D8"/>
    <w:rPr>
      <w:rFonts w:ascii="Arial" w:hAnsi="Arial"/>
      <w:sz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1145</Words>
  <Characters>6362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TC/55/7</vt:lpstr>
      <vt:lpstr>TC/55/7</vt:lpstr>
    </vt:vector>
  </TitlesOfParts>
  <Company>UPOV</Company>
  <LinksUpToDate>false</LinksUpToDate>
  <CharactersWithSpaces>7493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TC/55/7</dc:title>
  <dc:creator>CEVALLOS DUQUE Nilo</dc:creator>
  <cp:lastModifiedBy>Romy Oertel</cp:lastModifiedBy>
  <cp:revision>16</cp:revision>
  <cp:lastPrinted>2016-11-22T15:41:00Z</cp:lastPrinted>
  <dcterms:created xsi:type="dcterms:W3CDTF">2019-09-02T06:34:00Z</dcterms:created>
  <dcterms:modified xsi:type="dcterms:W3CDTF">2019-09-25T09:58:00Z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a5148abd-4b6f-4af5-a946-4f6834bd1a6c</vt:lpwstr>
  </property>
</Properties>
</file>