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E1F5C" w14:paraId="5292BC31" w14:textId="77777777" w:rsidTr="00EB4E9C">
        <w:tc>
          <w:tcPr>
            <w:tcW w:w="6522" w:type="dxa"/>
          </w:tcPr>
          <w:p w14:paraId="7FE7A982" w14:textId="77777777" w:rsidR="00DC3802" w:rsidRPr="00FE1F5C" w:rsidRDefault="00DC3802" w:rsidP="00AC2883">
            <w:pPr>
              <w:rPr>
                <w:lang w:val="es-419"/>
              </w:rPr>
            </w:pPr>
            <w:r w:rsidRPr="00FE1F5C">
              <w:rPr>
                <w:noProof/>
                <w:lang w:val="en-US" w:eastAsia="en-US" w:bidi="ar-SA"/>
              </w:rPr>
              <w:drawing>
                <wp:inline distT="0" distB="0" distL="0" distR="0" wp14:anchorId="03AFC553" wp14:editId="0931BC0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55ED809" w14:textId="77777777" w:rsidR="00DC3802" w:rsidRPr="00FE1F5C" w:rsidRDefault="002E5944" w:rsidP="00AC2883">
            <w:pPr>
              <w:pStyle w:val="Lettrine"/>
              <w:rPr>
                <w:lang w:val="es-419"/>
              </w:rPr>
            </w:pPr>
            <w:r w:rsidRPr="00FE1F5C">
              <w:rPr>
                <w:lang w:val="es-419"/>
              </w:rPr>
              <w:t>S</w:t>
            </w:r>
          </w:p>
        </w:tc>
      </w:tr>
      <w:tr w:rsidR="00DC3802" w:rsidRPr="00FE1F5C" w14:paraId="3F0A4B45" w14:textId="77777777" w:rsidTr="00645CA8">
        <w:trPr>
          <w:trHeight w:val="219"/>
        </w:trPr>
        <w:tc>
          <w:tcPr>
            <w:tcW w:w="6522" w:type="dxa"/>
          </w:tcPr>
          <w:p w14:paraId="624A856E" w14:textId="77777777" w:rsidR="00DC3802" w:rsidRPr="00FE1F5C" w:rsidRDefault="002E5944" w:rsidP="00BC0BD4">
            <w:pPr>
              <w:pStyle w:val="upove"/>
              <w:rPr>
                <w:lang w:val="es-419"/>
              </w:rPr>
            </w:pPr>
            <w:r w:rsidRPr="00FE1F5C">
              <w:rPr>
                <w:lang w:val="es-419"/>
              </w:rPr>
              <w:t>Unión Internacional para la Protección de las Obtenciones Vegetales</w:t>
            </w:r>
          </w:p>
        </w:tc>
        <w:tc>
          <w:tcPr>
            <w:tcW w:w="3117" w:type="dxa"/>
          </w:tcPr>
          <w:p w14:paraId="5FEDC0CC" w14:textId="77777777" w:rsidR="00DC3802" w:rsidRPr="00FE1F5C" w:rsidRDefault="00DC3802" w:rsidP="00DA4973">
            <w:pPr>
              <w:rPr>
                <w:lang w:val="es-419"/>
              </w:rPr>
            </w:pPr>
          </w:p>
        </w:tc>
      </w:tr>
    </w:tbl>
    <w:p w14:paraId="08F664E5" w14:textId="77777777" w:rsidR="00DC3802" w:rsidRPr="00FE1F5C" w:rsidRDefault="00DC3802" w:rsidP="00DC3802">
      <w:pPr>
        <w:rPr>
          <w:lang w:val="es-419"/>
        </w:rPr>
      </w:pPr>
    </w:p>
    <w:p w14:paraId="6F895BF6" w14:textId="77777777" w:rsidR="00DA4973" w:rsidRPr="00FE1F5C"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E1F5C" w14:paraId="31F4365A" w14:textId="77777777" w:rsidTr="00EB4E9C">
        <w:tc>
          <w:tcPr>
            <w:tcW w:w="6512" w:type="dxa"/>
          </w:tcPr>
          <w:p w14:paraId="0399E41B" w14:textId="77777777" w:rsidR="00EB4E9C" w:rsidRPr="00FE1F5C" w:rsidRDefault="002E5944" w:rsidP="00AC2883">
            <w:pPr>
              <w:pStyle w:val="Sessiontc"/>
              <w:spacing w:line="240" w:lineRule="auto"/>
              <w:rPr>
                <w:lang w:val="es-419"/>
              </w:rPr>
            </w:pPr>
            <w:r w:rsidRPr="00FE1F5C">
              <w:rPr>
                <w:lang w:val="es-419"/>
              </w:rPr>
              <w:t>Comité Técnico</w:t>
            </w:r>
          </w:p>
          <w:p w14:paraId="41D09D7A" w14:textId="77777777" w:rsidR="00EB4E9C" w:rsidRPr="00FE1F5C" w:rsidRDefault="002E5944" w:rsidP="000B7BB9">
            <w:pPr>
              <w:pStyle w:val="Sessiontcplacedate"/>
              <w:rPr>
                <w:sz w:val="22"/>
                <w:lang w:val="es-419"/>
              </w:rPr>
            </w:pPr>
            <w:r w:rsidRPr="00FE1F5C">
              <w:rPr>
                <w:lang w:val="es-419"/>
              </w:rPr>
              <w:t>Quincuagésima quinta sesión</w:t>
            </w:r>
            <w:r w:rsidRPr="00FE1F5C">
              <w:rPr>
                <w:lang w:val="es-419"/>
              </w:rPr>
              <w:br/>
              <w:t>Ginebra, 28 y 29 de octubre de 2019</w:t>
            </w:r>
          </w:p>
        </w:tc>
        <w:tc>
          <w:tcPr>
            <w:tcW w:w="3127" w:type="dxa"/>
          </w:tcPr>
          <w:p w14:paraId="7B36179A" w14:textId="77777777" w:rsidR="00EB4E9C" w:rsidRPr="00FE1F5C" w:rsidRDefault="000B7BB9" w:rsidP="003C7FBE">
            <w:pPr>
              <w:pStyle w:val="Doccode"/>
              <w:rPr>
                <w:lang w:val="es-419"/>
              </w:rPr>
            </w:pPr>
            <w:r w:rsidRPr="00FE1F5C">
              <w:rPr>
                <w:lang w:val="es-419"/>
              </w:rPr>
              <w:t>TC/55/</w:t>
            </w:r>
            <w:r w:rsidR="006A3885" w:rsidRPr="00FE1F5C">
              <w:rPr>
                <w:lang w:val="es-419"/>
              </w:rPr>
              <w:t>15</w:t>
            </w:r>
          </w:p>
          <w:p w14:paraId="65345752" w14:textId="79B75DED" w:rsidR="00EB4E9C" w:rsidRPr="00FE1F5C" w:rsidRDefault="00EB4E9C" w:rsidP="003C7FBE">
            <w:pPr>
              <w:pStyle w:val="Docoriginal"/>
              <w:rPr>
                <w:lang w:val="es-419"/>
              </w:rPr>
            </w:pPr>
            <w:r w:rsidRPr="00FE1F5C">
              <w:rPr>
                <w:lang w:val="es-419"/>
              </w:rPr>
              <w:t>Original:</w:t>
            </w:r>
            <w:r w:rsidR="00AC43CD" w:rsidRPr="00FE1F5C">
              <w:rPr>
                <w:b w:val="0"/>
                <w:spacing w:val="0"/>
                <w:lang w:val="es-419"/>
              </w:rPr>
              <w:t xml:space="preserve"> </w:t>
            </w:r>
            <w:proofErr w:type="gramStart"/>
            <w:r w:rsidRPr="00FE1F5C">
              <w:rPr>
                <w:b w:val="0"/>
                <w:spacing w:val="0"/>
                <w:lang w:val="es-419"/>
              </w:rPr>
              <w:t>Inglés</w:t>
            </w:r>
            <w:proofErr w:type="gramEnd"/>
          </w:p>
          <w:p w14:paraId="2406BFAE" w14:textId="00EECBCC" w:rsidR="00EB4E9C" w:rsidRPr="00FE1F5C" w:rsidRDefault="002E5944" w:rsidP="000C3209">
            <w:pPr>
              <w:pStyle w:val="Docoriginal"/>
              <w:rPr>
                <w:lang w:val="es-419"/>
              </w:rPr>
            </w:pPr>
            <w:r w:rsidRPr="00FE1F5C">
              <w:rPr>
                <w:lang w:val="es-419"/>
              </w:rPr>
              <w:t>Fecha:</w:t>
            </w:r>
            <w:r w:rsidR="00AC43CD" w:rsidRPr="00FE1F5C">
              <w:rPr>
                <w:b w:val="0"/>
                <w:spacing w:val="0"/>
                <w:lang w:val="es-419"/>
              </w:rPr>
              <w:t xml:space="preserve"> </w:t>
            </w:r>
            <w:r w:rsidRPr="00FE1F5C">
              <w:rPr>
                <w:b w:val="0"/>
                <w:spacing w:val="0"/>
                <w:lang w:val="es-419"/>
              </w:rPr>
              <w:t>21 de agosto de 2019</w:t>
            </w:r>
          </w:p>
        </w:tc>
      </w:tr>
    </w:tbl>
    <w:p w14:paraId="00D5E0C2" w14:textId="3F4E321D" w:rsidR="000C3209" w:rsidRPr="00FE1F5C" w:rsidRDefault="000C3209" w:rsidP="00AB525F">
      <w:pPr>
        <w:pStyle w:val="Titleofdoc0"/>
        <w:rPr>
          <w:lang w:val="es-419"/>
        </w:rPr>
      </w:pPr>
      <w:bookmarkStart w:id="0" w:name="TitleOfDoc"/>
      <w:bookmarkStart w:id="1" w:name="Prepared"/>
      <w:bookmarkEnd w:id="0"/>
      <w:bookmarkEnd w:id="1"/>
      <w:r w:rsidRPr="00FE1F5C">
        <w:rPr>
          <w:lang w:val="es-419"/>
        </w:rPr>
        <w:t>Marcador ligado a un carácter con información incompleta sobre el nivel de expresión</w:t>
      </w:r>
    </w:p>
    <w:p w14:paraId="281C1F96" w14:textId="77777777" w:rsidR="006A644A" w:rsidRPr="00FE1F5C" w:rsidRDefault="000638A9" w:rsidP="006A644A">
      <w:pPr>
        <w:pStyle w:val="preparedby1"/>
        <w:jc w:val="left"/>
        <w:rPr>
          <w:lang w:val="es-419"/>
        </w:rPr>
      </w:pPr>
      <w:r w:rsidRPr="00FE1F5C">
        <w:rPr>
          <w:lang w:val="es-419"/>
        </w:rPr>
        <w:t>Documento preparado por la Oficina de la Unión</w:t>
      </w:r>
    </w:p>
    <w:p w14:paraId="59F47E4E" w14:textId="77777777" w:rsidR="00050E16" w:rsidRPr="00FE1F5C" w:rsidRDefault="000638A9" w:rsidP="006A644A">
      <w:pPr>
        <w:pStyle w:val="Disclaimer"/>
        <w:rPr>
          <w:lang w:val="es-419"/>
        </w:rPr>
      </w:pPr>
      <w:r w:rsidRPr="00FE1F5C">
        <w:rPr>
          <w:lang w:val="es-419"/>
        </w:rPr>
        <w:t>Descargo de responsabilidad: el presente documento no constituye un documento de política u orientación de la UPOV</w:t>
      </w:r>
    </w:p>
    <w:p w14:paraId="139E6040" w14:textId="77777777" w:rsidR="000C3209" w:rsidRPr="00FE1F5C" w:rsidRDefault="000C3209" w:rsidP="00AB525F">
      <w:pPr>
        <w:pStyle w:val="Heading1"/>
        <w:rPr>
          <w:snapToGrid w:val="0"/>
          <w:lang w:val="es-419"/>
        </w:rPr>
      </w:pPr>
      <w:bookmarkStart w:id="2" w:name="_Toc15668136"/>
      <w:bookmarkStart w:id="3" w:name="_Toc18315143"/>
      <w:r w:rsidRPr="00FE1F5C">
        <w:rPr>
          <w:snapToGrid w:val="0"/>
          <w:lang w:val="es-419"/>
        </w:rPr>
        <w:t>Resumen</w:t>
      </w:r>
      <w:bookmarkEnd w:id="2"/>
      <w:bookmarkEnd w:id="3"/>
    </w:p>
    <w:p w14:paraId="3DDF343E" w14:textId="77777777" w:rsidR="000C3209" w:rsidRPr="00FE1F5C" w:rsidRDefault="000C3209" w:rsidP="000C3209">
      <w:pPr>
        <w:rPr>
          <w:snapToGrid w:val="0"/>
          <w:lang w:val="es-419"/>
        </w:rPr>
      </w:pPr>
    </w:p>
    <w:p w14:paraId="36E402D2" w14:textId="476CDA88" w:rsidR="000C3209" w:rsidRPr="00FE1F5C" w:rsidRDefault="000C3209" w:rsidP="00464A9B">
      <w:pPr>
        <w:pStyle w:val="ListParagraph"/>
        <w:numPr>
          <w:ilvl w:val="0"/>
          <w:numId w:val="2"/>
        </w:numPr>
        <w:rPr>
          <w:snapToGrid w:val="0"/>
          <w:lang w:val="es-419"/>
        </w:rPr>
      </w:pPr>
      <w:r w:rsidRPr="00FE1F5C">
        <w:rPr>
          <w:lang w:val="es-419"/>
        </w:rPr>
        <w:t>Este documento tiene por objeto presentar una propuesta de revisión del documento TGP/15 “Orientación sobre el uso de marcadores bioquímicos y moleculares en el examen de la distinción, la homogeneidad y la estabilidad (DHE)” con miras a incluir un nuevo ejemplo del modelo 1) “Marcadores moleculares ligados a caracteres”.</w:t>
      </w:r>
    </w:p>
    <w:p w14:paraId="644CF306" w14:textId="77777777" w:rsidR="000C3209" w:rsidRPr="00FE1F5C" w:rsidRDefault="000C3209" w:rsidP="000C3209">
      <w:pPr>
        <w:rPr>
          <w:snapToGrid w:val="0"/>
          <w:lang w:val="es-419"/>
        </w:rPr>
      </w:pPr>
    </w:p>
    <w:p w14:paraId="77142AFB" w14:textId="54A18D7B" w:rsidR="000C3209" w:rsidRPr="00FE1F5C" w:rsidRDefault="000C3209" w:rsidP="00464A9B">
      <w:pPr>
        <w:pStyle w:val="ListParagraph"/>
        <w:numPr>
          <w:ilvl w:val="0"/>
          <w:numId w:val="2"/>
        </w:numPr>
        <w:rPr>
          <w:lang w:val="es-419"/>
        </w:rPr>
      </w:pPr>
      <w:r w:rsidRPr="00FE1F5C">
        <w:rPr>
          <w:lang w:val="es-419"/>
        </w:rPr>
        <w:t xml:space="preserve">Se invita al TC a examinar la propuesta de añadir un nuevo ejemplo al documento TGP/15 para ilustrar el caso en que </w:t>
      </w:r>
      <w:r w:rsidR="00CD7B32" w:rsidRPr="00FE1F5C">
        <w:rPr>
          <w:lang w:val="es-419"/>
        </w:rPr>
        <w:t>un marcador ligado</w:t>
      </w:r>
      <w:r w:rsidRPr="00FE1F5C">
        <w:rPr>
          <w:lang w:val="es-419"/>
        </w:rPr>
        <w:t xml:space="preserve"> a un carácter no proporciona información completa sobre el nivel de expresión de un carácter, expuesto en </w:t>
      </w:r>
      <w:r w:rsidRPr="00AB525F">
        <w:rPr>
          <w:lang w:val="es-419"/>
        </w:rPr>
        <w:t>el Anexo del</w:t>
      </w:r>
      <w:r w:rsidRPr="00FE1F5C">
        <w:rPr>
          <w:lang w:val="es-419"/>
        </w:rPr>
        <w:t xml:space="preserve"> presente documento, junto con las observaciones formuladas por el TWA, el TWC y el BMT.</w:t>
      </w:r>
    </w:p>
    <w:p w14:paraId="5BC1DE69" w14:textId="77777777" w:rsidR="000C3209" w:rsidRPr="00FE1F5C" w:rsidRDefault="000C3209" w:rsidP="000C3209">
      <w:pPr>
        <w:rPr>
          <w:snapToGrid w:val="0"/>
          <w:lang w:val="es-419"/>
        </w:rPr>
      </w:pPr>
    </w:p>
    <w:p w14:paraId="377E4C78" w14:textId="3D3ECDA1" w:rsidR="000C3209" w:rsidRPr="00FE1F5C" w:rsidRDefault="000C3209" w:rsidP="00464A9B">
      <w:pPr>
        <w:pStyle w:val="ListParagraph"/>
        <w:numPr>
          <w:ilvl w:val="0"/>
          <w:numId w:val="2"/>
        </w:numPr>
        <w:rPr>
          <w:lang w:val="es-419"/>
        </w:rPr>
      </w:pPr>
      <w:r w:rsidRPr="00FE1F5C">
        <w:rPr>
          <w:lang w:val="es-419"/>
        </w:rPr>
        <w:t>El presente documento se estructura del modo siguiente:</w:t>
      </w:r>
    </w:p>
    <w:p w14:paraId="796C0576" w14:textId="77777777" w:rsidR="009D0799" w:rsidRPr="00FE1F5C" w:rsidRDefault="009D0799" w:rsidP="000C3209">
      <w:pPr>
        <w:rPr>
          <w:rFonts w:cs="Arial"/>
          <w:lang w:val="es-419"/>
        </w:rPr>
      </w:pPr>
    </w:p>
    <w:p w14:paraId="071C343B" w14:textId="5117E937" w:rsidR="009D0799" w:rsidRPr="00FE1F5C" w:rsidRDefault="000C3209">
      <w:pPr>
        <w:pStyle w:val="TOC1"/>
        <w:rPr>
          <w:rFonts w:asciiTheme="minorHAnsi" w:eastAsiaTheme="minorEastAsia" w:hAnsiTheme="minorHAnsi" w:cstheme="minorBidi"/>
          <w:caps w:val="0"/>
          <w:noProof/>
          <w:sz w:val="22"/>
          <w:szCs w:val="22"/>
          <w:lang w:val="es-419" w:bidi="ar-SA"/>
        </w:rPr>
      </w:pPr>
      <w:r w:rsidRPr="00FE1F5C">
        <w:rPr>
          <w:rFonts w:cs="Arial"/>
          <w:snapToGrid w:val="0"/>
          <w:sz w:val="20"/>
          <w:lang w:val="es-419"/>
        </w:rPr>
        <w:fldChar w:fldCharType="begin"/>
      </w:r>
      <w:r w:rsidRPr="00FE1F5C">
        <w:rPr>
          <w:rFonts w:cs="Arial"/>
          <w:bCs/>
          <w:snapToGrid w:val="0"/>
          <w:lang w:val="es-419"/>
        </w:rPr>
        <w:instrText xml:space="preserve"> TOC \o "1-3" \h \z \u </w:instrText>
      </w:r>
      <w:r w:rsidRPr="00FE1F5C">
        <w:rPr>
          <w:rFonts w:cs="Arial"/>
          <w:snapToGrid w:val="0"/>
          <w:sz w:val="20"/>
          <w:lang w:val="es-419"/>
        </w:rPr>
        <w:fldChar w:fldCharType="separate"/>
      </w:r>
      <w:hyperlink w:anchor="_Toc18315143" w:history="1">
        <w:r w:rsidR="009D0799" w:rsidRPr="00FE1F5C">
          <w:rPr>
            <w:rStyle w:val="Hyperlink"/>
            <w:noProof/>
            <w:snapToGrid w:val="0"/>
            <w:lang w:val="es-419"/>
          </w:rPr>
          <w:t>Resumen</w:t>
        </w:r>
        <w:r w:rsidR="009D0799" w:rsidRPr="00FE1F5C">
          <w:rPr>
            <w:noProof/>
            <w:webHidden/>
            <w:lang w:val="es-419"/>
          </w:rPr>
          <w:tab/>
        </w:r>
        <w:r w:rsidR="009D0799" w:rsidRPr="00FE1F5C">
          <w:rPr>
            <w:noProof/>
            <w:webHidden/>
            <w:lang w:val="es-419"/>
          </w:rPr>
          <w:fldChar w:fldCharType="begin"/>
        </w:r>
        <w:r w:rsidR="009D0799" w:rsidRPr="00FE1F5C">
          <w:rPr>
            <w:noProof/>
            <w:webHidden/>
            <w:lang w:val="es-419"/>
          </w:rPr>
          <w:instrText xml:space="preserve"> PAGEREF _Toc18315143 \h </w:instrText>
        </w:r>
        <w:r w:rsidR="009D0799" w:rsidRPr="00FE1F5C">
          <w:rPr>
            <w:noProof/>
            <w:webHidden/>
            <w:lang w:val="es-419"/>
          </w:rPr>
        </w:r>
        <w:r w:rsidR="009D0799" w:rsidRPr="00FE1F5C">
          <w:rPr>
            <w:noProof/>
            <w:webHidden/>
            <w:lang w:val="es-419"/>
          </w:rPr>
          <w:fldChar w:fldCharType="separate"/>
        </w:r>
        <w:r w:rsidR="009D0799" w:rsidRPr="00FE1F5C">
          <w:rPr>
            <w:noProof/>
            <w:webHidden/>
            <w:lang w:val="es-419"/>
          </w:rPr>
          <w:t>1</w:t>
        </w:r>
        <w:r w:rsidR="009D0799" w:rsidRPr="00FE1F5C">
          <w:rPr>
            <w:noProof/>
            <w:webHidden/>
            <w:lang w:val="es-419"/>
          </w:rPr>
          <w:fldChar w:fldCharType="end"/>
        </w:r>
      </w:hyperlink>
    </w:p>
    <w:p w14:paraId="600C77F9" w14:textId="7F26DFC7" w:rsidR="009D0799" w:rsidRPr="00FE1F5C" w:rsidRDefault="00311FBA">
      <w:pPr>
        <w:pStyle w:val="TOC1"/>
        <w:rPr>
          <w:rFonts w:asciiTheme="minorHAnsi" w:eastAsiaTheme="minorEastAsia" w:hAnsiTheme="minorHAnsi" w:cstheme="minorBidi"/>
          <w:caps w:val="0"/>
          <w:noProof/>
          <w:sz w:val="22"/>
          <w:szCs w:val="22"/>
          <w:lang w:val="es-419" w:bidi="ar-SA"/>
        </w:rPr>
      </w:pPr>
      <w:hyperlink w:anchor="_Toc18315144" w:history="1">
        <w:r w:rsidR="009D0799" w:rsidRPr="00FE1F5C">
          <w:rPr>
            <w:rStyle w:val="Hyperlink"/>
            <w:noProof/>
            <w:lang w:val="es-419"/>
          </w:rPr>
          <w:t>ANTECEDENTES</w:t>
        </w:r>
        <w:r w:rsidR="009D0799" w:rsidRPr="00FE1F5C">
          <w:rPr>
            <w:noProof/>
            <w:webHidden/>
            <w:lang w:val="es-419"/>
          </w:rPr>
          <w:tab/>
        </w:r>
        <w:r w:rsidR="009D0799" w:rsidRPr="00FE1F5C">
          <w:rPr>
            <w:noProof/>
            <w:webHidden/>
            <w:lang w:val="es-419"/>
          </w:rPr>
          <w:fldChar w:fldCharType="begin"/>
        </w:r>
        <w:r w:rsidR="009D0799" w:rsidRPr="00FE1F5C">
          <w:rPr>
            <w:noProof/>
            <w:webHidden/>
            <w:lang w:val="es-419"/>
          </w:rPr>
          <w:instrText xml:space="preserve"> PAGEREF _Toc18315144 \h </w:instrText>
        </w:r>
        <w:r w:rsidR="009D0799" w:rsidRPr="00FE1F5C">
          <w:rPr>
            <w:noProof/>
            <w:webHidden/>
            <w:lang w:val="es-419"/>
          </w:rPr>
        </w:r>
        <w:r w:rsidR="009D0799" w:rsidRPr="00FE1F5C">
          <w:rPr>
            <w:noProof/>
            <w:webHidden/>
            <w:lang w:val="es-419"/>
          </w:rPr>
          <w:fldChar w:fldCharType="separate"/>
        </w:r>
        <w:r w:rsidR="009D0799" w:rsidRPr="00FE1F5C">
          <w:rPr>
            <w:noProof/>
            <w:webHidden/>
            <w:lang w:val="es-419"/>
          </w:rPr>
          <w:t>1</w:t>
        </w:r>
        <w:r w:rsidR="009D0799" w:rsidRPr="00FE1F5C">
          <w:rPr>
            <w:noProof/>
            <w:webHidden/>
            <w:lang w:val="es-419"/>
          </w:rPr>
          <w:fldChar w:fldCharType="end"/>
        </w:r>
      </w:hyperlink>
    </w:p>
    <w:p w14:paraId="596382AB" w14:textId="50D7B762" w:rsidR="009D0799" w:rsidRPr="00FE1F5C" w:rsidRDefault="00311FBA">
      <w:pPr>
        <w:pStyle w:val="TOC1"/>
        <w:rPr>
          <w:rFonts w:asciiTheme="minorHAnsi" w:eastAsiaTheme="minorEastAsia" w:hAnsiTheme="minorHAnsi" w:cstheme="minorBidi"/>
          <w:caps w:val="0"/>
          <w:noProof/>
          <w:sz w:val="22"/>
          <w:szCs w:val="22"/>
          <w:lang w:val="es-419" w:bidi="ar-SA"/>
        </w:rPr>
      </w:pPr>
      <w:hyperlink w:anchor="_Toc18315145" w:history="1">
        <w:r w:rsidR="009D0799" w:rsidRPr="00FE1F5C">
          <w:rPr>
            <w:rStyle w:val="Hyperlink"/>
            <w:noProof/>
            <w:lang w:val="es-419"/>
          </w:rPr>
          <w:t>Novedades acaecidas en los Grupos de Trabajo Técnico</w:t>
        </w:r>
        <w:r w:rsidR="009D0799" w:rsidRPr="00FE1F5C">
          <w:rPr>
            <w:noProof/>
            <w:webHidden/>
            <w:lang w:val="es-419"/>
          </w:rPr>
          <w:tab/>
        </w:r>
        <w:r w:rsidR="009D0799" w:rsidRPr="00FE1F5C">
          <w:rPr>
            <w:noProof/>
            <w:webHidden/>
            <w:lang w:val="es-419"/>
          </w:rPr>
          <w:fldChar w:fldCharType="begin"/>
        </w:r>
        <w:r w:rsidR="009D0799" w:rsidRPr="00FE1F5C">
          <w:rPr>
            <w:noProof/>
            <w:webHidden/>
            <w:lang w:val="es-419"/>
          </w:rPr>
          <w:instrText xml:space="preserve"> PAGEREF _Toc18315145 \h </w:instrText>
        </w:r>
        <w:r w:rsidR="009D0799" w:rsidRPr="00FE1F5C">
          <w:rPr>
            <w:noProof/>
            <w:webHidden/>
            <w:lang w:val="es-419"/>
          </w:rPr>
        </w:r>
        <w:r w:rsidR="009D0799" w:rsidRPr="00FE1F5C">
          <w:rPr>
            <w:noProof/>
            <w:webHidden/>
            <w:lang w:val="es-419"/>
          </w:rPr>
          <w:fldChar w:fldCharType="separate"/>
        </w:r>
        <w:r w:rsidR="009D0799" w:rsidRPr="00FE1F5C">
          <w:rPr>
            <w:noProof/>
            <w:webHidden/>
            <w:lang w:val="es-419"/>
          </w:rPr>
          <w:t>2</w:t>
        </w:r>
        <w:r w:rsidR="009D0799" w:rsidRPr="00FE1F5C">
          <w:rPr>
            <w:noProof/>
            <w:webHidden/>
            <w:lang w:val="es-419"/>
          </w:rPr>
          <w:fldChar w:fldCharType="end"/>
        </w:r>
      </w:hyperlink>
    </w:p>
    <w:p w14:paraId="5998B396" w14:textId="6C355AA1" w:rsidR="009D0799" w:rsidRPr="00FE1F5C" w:rsidRDefault="00311FBA">
      <w:pPr>
        <w:pStyle w:val="TOC1"/>
        <w:rPr>
          <w:rFonts w:asciiTheme="minorHAnsi" w:eastAsiaTheme="minorEastAsia" w:hAnsiTheme="minorHAnsi" w:cstheme="minorBidi"/>
          <w:caps w:val="0"/>
          <w:noProof/>
          <w:sz w:val="22"/>
          <w:szCs w:val="22"/>
          <w:lang w:val="es-419" w:bidi="ar-SA"/>
        </w:rPr>
      </w:pPr>
      <w:hyperlink w:anchor="_Toc18315146" w:history="1">
        <w:r w:rsidR="009D0799" w:rsidRPr="00FE1F5C">
          <w:rPr>
            <w:rStyle w:val="Hyperlink"/>
            <w:noProof/>
            <w:snapToGrid w:val="0"/>
            <w:lang w:val="es-419"/>
          </w:rPr>
          <w:t>Propuesta</w:t>
        </w:r>
        <w:r w:rsidR="009D0799" w:rsidRPr="00FE1F5C">
          <w:rPr>
            <w:noProof/>
            <w:webHidden/>
            <w:lang w:val="es-419"/>
          </w:rPr>
          <w:tab/>
        </w:r>
        <w:r w:rsidR="009D0799" w:rsidRPr="00FE1F5C">
          <w:rPr>
            <w:noProof/>
            <w:webHidden/>
            <w:lang w:val="es-419"/>
          </w:rPr>
          <w:fldChar w:fldCharType="begin"/>
        </w:r>
        <w:r w:rsidR="009D0799" w:rsidRPr="00FE1F5C">
          <w:rPr>
            <w:noProof/>
            <w:webHidden/>
            <w:lang w:val="es-419"/>
          </w:rPr>
          <w:instrText xml:space="preserve"> PAGEREF _Toc18315146 \h </w:instrText>
        </w:r>
        <w:r w:rsidR="009D0799" w:rsidRPr="00FE1F5C">
          <w:rPr>
            <w:noProof/>
            <w:webHidden/>
            <w:lang w:val="es-419"/>
          </w:rPr>
        </w:r>
        <w:r w:rsidR="009D0799" w:rsidRPr="00FE1F5C">
          <w:rPr>
            <w:noProof/>
            <w:webHidden/>
            <w:lang w:val="es-419"/>
          </w:rPr>
          <w:fldChar w:fldCharType="separate"/>
        </w:r>
        <w:r w:rsidR="009D0799" w:rsidRPr="00FE1F5C">
          <w:rPr>
            <w:noProof/>
            <w:webHidden/>
            <w:lang w:val="es-419"/>
          </w:rPr>
          <w:t>2</w:t>
        </w:r>
        <w:r w:rsidR="009D0799" w:rsidRPr="00FE1F5C">
          <w:rPr>
            <w:noProof/>
            <w:webHidden/>
            <w:lang w:val="es-419"/>
          </w:rPr>
          <w:fldChar w:fldCharType="end"/>
        </w:r>
      </w:hyperlink>
    </w:p>
    <w:p w14:paraId="034867C5" w14:textId="4D6A6E74" w:rsidR="000C3209" w:rsidRPr="00FE1F5C" w:rsidRDefault="000C3209" w:rsidP="009D0799">
      <w:pPr>
        <w:rPr>
          <w:rFonts w:asciiTheme="minorHAnsi" w:eastAsiaTheme="minorEastAsia" w:hAnsiTheme="minorHAnsi" w:cstheme="minorBidi"/>
          <w:noProof/>
          <w:sz w:val="22"/>
          <w:szCs w:val="22"/>
          <w:lang w:val="es-419"/>
        </w:rPr>
      </w:pPr>
      <w:r w:rsidRPr="00FE1F5C">
        <w:rPr>
          <w:rFonts w:cs="Arial"/>
          <w:bCs/>
          <w:snapToGrid w:val="0"/>
          <w:sz w:val="18"/>
          <w:lang w:val="es-419"/>
        </w:rPr>
        <w:fldChar w:fldCharType="end"/>
      </w:r>
      <w:r w:rsidRPr="00FE1F5C">
        <w:rPr>
          <w:snapToGrid w:val="0"/>
          <w:sz w:val="18"/>
          <w:szCs w:val="18"/>
          <w:lang w:val="es-419" w:eastAsia="en-US" w:bidi="ar-SA"/>
        </w:rPr>
        <w:t>ANEXO</w:t>
      </w:r>
      <w:r w:rsidRPr="00FE1F5C">
        <w:rPr>
          <w:snapToGrid w:val="0"/>
          <w:sz w:val="18"/>
          <w:szCs w:val="18"/>
          <w:lang w:val="es-419" w:eastAsia="en-US" w:bidi="ar-SA"/>
        </w:rPr>
        <w:tab/>
        <w:t>Marcador genético específico de la resistencia a enfermedades en el tomate</w:t>
      </w:r>
    </w:p>
    <w:p w14:paraId="0BC1B1AF" w14:textId="77777777" w:rsidR="000C3209" w:rsidRPr="00FE1F5C" w:rsidRDefault="000C3209" w:rsidP="000C3209">
      <w:pPr>
        <w:jc w:val="left"/>
        <w:rPr>
          <w:snapToGrid w:val="0"/>
          <w:sz w:val="18"/>
          <w:szCs w:val="18"/>
          <w:lang w:val="es-419"/>
        </w:rPr>
      </w:pPr>
    </w:p>
    <w:p w14:paraId="20CA3423" w14:textId="523DD9D7" w:rsidR="000C3209" w:rsidRPr="00FE1F5C" w:rsidRDefault="000C3209" w:rsidP="00464A9B">
      <w:pPr>
        <w:pStyle w:val="ListParagraph"/>
        <w:keepNext/>
        <w:numPr>
          <w:ilvl w:val="0"/>
          <w:numId w:val="2"/>
        </w:numPr>
        <w:rPr>
          <w:lang w:val="es-419"/>
        </w:rPr>
      </w:pPr>
      <w:bookmarkStart w:id="4" w:name="_Toc352678045"/>
      <w:bookmarkStart w:id="5" w:name="_Toc353797725"/>
      <w:bookmarkStart w:id="6" w:name="_Toc386185970"/>
      <w:bookmarkStart w:id="7" w:name="_Toc419124858"/>
      <w:bookmarkStart w:id="8" w:name="_Toc386185971"/>
      <w:bookmarkStart w:id="9" w:name="_Toc419124859"/>
      <w:r w:rsidRPr="00FE1F5C">
        <w:rPr>
          <w:lang w:val="es-419"/>
        </w:rPr>
        <w:t>En el presente documento se utilizan las abreviaturas siguientes:</w:t>
      </w:r>
    </w:p>
    <w:bookmarkEnd w:id="4"/>
    <w:bookmarkEnd w:id="5"/>
    <w:bookmarkEnd w:id="6"/>
    <w:bookmarkEnd w:id="7"/>
    <w:bookmarkEnd w:id="8"/>
    <w:bookmarkEnd w:id="9"/>
    <w:p w14:paraId="083ED79C" w14:textId="77777777" w:rsidR="000C3209" w:rsidRPr="00FE1F5C" w:rsidRDefault="000C3209" w:rsidP="000C3209">
      <w:pPr>
        <w:rPr>
          <w:lang w:val="es-419"/>
        </w:rPr>
      </w:pPr>
    </w:p>
    <w:p w14:paraId="6DE2290A" w14:textId="77777777" w:rsidR="000C3209" w:rsidRPr="00FE1F5C" w:rsidRDefault="000C3209" w:rsidP="000C3209">
      <w:pPr>
        <w:tabs>
          <w:tab w:val="left" w:pos="567"/>
        </w:tabs>
        <w:ind w:left="1701" w:hanging="1134"/>
        <w:rPr>
          <w:lang w:val="es-419"/>
        </w:rPr>
      </w:pPr>
      <w:r w:rsidRPr="00FE1F5C">
        <w:rPr>
          <w:lang w:val="es-419"/>
        </w:rPr>
        <w:t>BMT:</w:t>
      </w:r>
      <w:r w:rsidRPr="00FE1F5C">
        <w:rPr>
          <w:lang w:val="es-419"/>
        </w:rPr>
        <w:tab/>
        <w:t xml:space="preserve">Grupo de Trabajo sobre Técnicas Bioquímicas y Moleculares, y Perfiles de ADN en Particular </w:t>
      </w:r>
    </w:p>
    <w:p w14:paraId="184D5105" w14:textId="77777777" w:rsidR="000C3209" w:rsidRPr="00FE1F5C" w:rsidRDefault="000C3209" w:rsidP="000C3209">
      <w:pPr>
        <w:tabs>
          <w:tab w:val="left" w:pos="567"/>
        </w:tabs>
        <w:ind w:left="1701" w:hanging="1134"/>
        <w:rPr>
          <w:lang w:val="es-419"/>
        </w:rPr>
      </w:pPr>
      <w:r w:rsidRPr="00FE1F5C">
        <w:rPr>
          <w:lang w:val="es-419"/>
        </w:rPr>
        <w:t>TC:</w:t>
      </w:r>
      <w:r w:rsidRPr="00FE1F5C">
        <w:rPr>
          <w:lang w:val="es-419"/>
        </w:rPr>
        <w:tab/>
        <w:t>Comité Técnico</w:t>
      </w:r>
    </w:p>
    <w:p w14:paraId="6929E9BB" w14:textId="77777777" w:rsidR="000C3209" w:rsidRPr="00FE1F5C" w:rsidRDefault="000C3209" w:rsidP="000C3209">
      <w:pPr>
        <w:ind w:left="1701" w:hanging="1134"/>
        <w:rPr>
          <w:rFonts w:eastAsia="PMingLiU" w:cs="Arial"/>
          <w:lang w:val="es-419"/>
        </w:rPr>
      </w:pPr>
      <w:r w:rsidRPr="00FE1F5C">
        <w:rPr>
          <w:lang w:val="es-419"/>
        </w:rPr>
        <w:t>TWA</w:t>
      </w:r>
      <w:r w:rsidRPr="00FE1F5C">
        <w:rPr>
          <w:lang w:val="es-419"/>
        </w:rPr>
        <w:tab/>
        <w:t>Grupo de Trabajo Técnico sobre Plantas Agrícolas</w:t>
      </w:r>
    </w:p>
    <w:p w14:paraId="07F89EA0" w14:textId="77777777" w:rsidR="000C3209" w:rsidRPr="00FE1F5C" w:rsidRDefault="000C3209" w:rsidP="000C3209">
      <w:pPr>
        <w:ind w:left="1701" w:hanging="1134"/>
        <w:rPr>
          <w:rFonts w:eastAsia="PMingLiU" w:cs="Arial"/>
          <w:lang w:val="es-419"/>
        </w:rPr>
      </w:pPr>
      <w:r w:rsidRPr="00FE1F5C">
        <w:rPr>
          <w:lang w:val="es-419"/>
        </w:rPr>
        <w:t>TWC:</w:t>
      </w:r>
      <w:r w:rsidRPr="00FE1F5C">
        <w:rPr>
          <w:lang w:val="es-419"/>
        </w:rPr>
        <w:tab/>
        <w:t>Grupo de Trabajo Técnico sobre Automatización y Programas Informáticos</w:t>
      </w:r>
    </w:p>
    <w:p w14:paraId="67EA24FB" w14:textId="77777777" w:rsidR="000C3209" w:rsidRPr="00FE1F5C" w:rsidRDefault="000C3209" w:rsidP="000C3209">
      <w:pPr>
        <w:ind w:left="1701" w:hanging="1134"/>
        <w:rPr>
          <w:rFonts w:eastAsia="PMingLiU" w:cs="Arial"/>
          <w:lang w:val="es-419"/>
        </w:rPr>
      </w:pPr>
      <w:r w:rsidRPr="00FE1F5C">
        <w:rPr>
          <w:lang w:val="es-419"/>
        </w:rPr>
        <w:t>TWF:</w:t>
      </w:r>
      <w:r w:rsidRPr="00FE1F5C">
        <w:rPr>
          <w:lang w:val="es-419"/>
        </w:rPr>
        <w:tab/>
        <w:t>Grupo de Trabajo Técnico sobre Plantas Frutales</w:t>
      </w:r>
    </w:p>
    <w:p w14:paraId="1C99AE9E" w14:textId="77777777" w:rsidR="000C3209" w:rsidRPr="00FE1F5C" w:rsidRDefault="000C3209" w:rsidP="000C3209">
      <w:pPr>
        <w:ind w:left="1701" w:hanging="1134"/>
        <w:rPr>
          <w:rFonts w:eastAsia="PMingLiU" w:cs="Arial"/>
          <w:lang w:val="es-419"/>
        </w:rPr>
      </w:pPr>
      <w:r w:rsidRPr="00FE1F5C">
        <w:rPr>
          <w:lang w:val="es-419"/>
        </w:rPr>
        <w:t>TWO:</w:t>
      </w:r>
      <w:r w:rsidRPr="00FE1F5C">
        <w:rPr>
          <w:lang w:val="es-419"/>
        </w:rPr>
        <w:tab/>
        <w:t>Grupo de Trabajo Técnico sobre Plantas Ornamentales y Árboles Forestales</w:t>
      </w:r>
    </w:p>
    <w:p w14:paraId="4ECC996C" w14:textId="77777777" w:rsidR="000C3209" w:rsidRPr="00FE1F5C" w:rsidRDefault="000C3209" w:rsidP="000C3209">
      <w:pPr>
        <w:ind w:left="1701" w:hanging="1134"/>
        <w:rPr>
          <w:rFonts w:eastAsia="PMingLiU" w:cs="Arial"/>
          <w:lang w:val="es-419"/>
        </w:rPr>
      </w:pPr>
      <w:r w:rsidRPr="00FE1F5C">
        <w:rPr>
          <w:lang w:val="es-419"/>
        </w:rPr>
        <w:t>TWP:</w:t>
      </w:r>
      <w:r w:rsidRPr="00FE1F5C">
        <w:rPr>
          <w:lang w:val="es-419"/>
        </w:rPr>
        <w:tab/>
        <w:t>Grupos de Trabajo Técnico</w:t>
      </w:r>
    </w:p>
    <w:p w14:paraId="1A269CA7" w14:textId="77777777" w:rsidR="000C3209" w:rsidRPr="00FE1F5C" w:rsidRDefault="000C3209" w:rsidP="000C3209">
      <w:pPr>
        <w:ind w:left="1701" w:hanging="1134"/>
        <w:rPr>
          <w:rFonts w:eastAsia="PMingLiU" w:cs="Arial"/>
          <w:lang w:val="es-419"/>
        </w:rPr>
      </w:pPr>
      <w:r w:rsidRPr="00FE1F5C">
        <w:rPr>
          <w:lang w:val="es-419"/>
        </w:rPr>
        <w:t>TWV:</w:t>
      </w:r>
      <w:r w:rsidRPr="00FE1F5C">
        <w:rPr>
          <w:lang w:val="es-419"/>
        </w:rPr>
        <w:tab/>
        <w:t>Grupo de Trabajo Técnico sobre Hortalizas</w:t>
      </w:r>
    </w:p>
    <w:p w14:paraId="56547308" w14:textId="77777777" w:rsidR="000C3209" w:rsidRPr="00FE1F5C" w:rsidRDefault="000C3209" w:rsidP="000C3209">
      <w:pPr>
        <w:rPr>
          <w:rFonts w:cs="Arial"/>
          <w:lang w:val="es-419"/>
        </w:rPr>
      </w:pPr>
    </w:p>
    <w:p w14:paraId="00CDD4E0" w14:textId="77777777" w:rsidR="000C3209" w:rsidRPr="00FE1F5C" w:rsidRDefault="000C3209" w:rsidP="000C3209">
      <w:pPr>
        <w:rPr>
          <w:rFonts w:cs="Arial"/>
          <w:lang w:val="es-419"/>
        </w:rPr>
      </w:pPr>
    </w:p>
    <w:p w14:paraId="736C361E" w14:textId="77777777" w:rsidR="000C3209" w:rsidRPr="00FE1F5C" w:rsidRDefault="000C3209" w:rsidP="000C3209">
      <w:pPr>
        <w:keepNext/>
        <w:outlineLvl w:val="0"/>
        <w:rPr>
          <w:caps/>
          <w:lang w:val="es-419"/>
        </w:rPr>
      </w:pPr>
      <w:bookmarkStart w:id="10" w:name="_Toc15668137"/>
      <w:bookmarkStart w:id="11" w:name="_Toc18315144"/>
      <w:r w:rsidRPr="00FE1F5C">
        <w:rPr>
          <w:caps/>
          <w:lang w:val="es-419"/>
        </w:rPr>
        <w:t>ANTECEDENTES</w:t>
      </w:r>
      <w:bookmarkEnd w:id="10"/>
      <w:bookmarkEnd w:id="11"/>
    </w:p>
    <w:p w14:paraId="19650534" w14:textId="77777777" w:rsidR="000C3209" w:rsidRPr="00FE1F5C" w:rsidRDefault="000C3209" w:rsidP="000C3209">
      <w:pPr>
        <w:rPr>
          <w:rFonts w:cs="Arial"/>
          <w:lang w:val="es-419"/>
        </w:rPr>
      </w:pPr>
    </w:p>
    <w:p w14:paraId="538554E9" w14:textId="6AC43FA0" w:rsidR="000C3209" w:rsidRPr="00FE1F5C" w:rsidRDefault="000C3209" w:rsidP="00464A9B">
      <w:pPr>
        <w:pStyle w:val="ListParagraph"/>
        <w:numPr>
          <w:ilvl w:val="0"/>
          <w:numId w:val="2"/>
        </w:numPr>
        <w:rPr>
          <w:lang w:val="es-419"/>
        </w:rPr>
      </w:pPr>
      <w:r w:rsidRPr="00FE1F5C">
        <w:rPr>
          <w:lang w:val="es-419"/>
        </w:rPr>
        <w:t xml:space="preserve">En su quincuagésima cuarta sesión, celebrada en Ginebra los días 29 y 30 de octubre de 2018, el TC tomó nota de que el BMT, en su decimoséptima sesión, ha examinado el documento </w:t>
      </w:r>
      <w:proofErr w:type="spellStart"/>
      <w:r w:rsidRPr="00FE1F5C">
        <w:rPr>
          <w:lang w:val="es-419"/>
        </w:rPr>
        <w:t>BMT</w:t>
      </w:r>
      <w:proofErr w:type="spellEnd"/>
      <w:r w:rsidRPr="00FE1F5C">
        <w:rPr>
          <w:lang w:val="es-419"/>
        </w:rPr>
        <w:t>/17/21 “</w:t>
      </w:r>
      <w:r w:rsidRPr="00FE1F5C">
        <w:rPr>
          <w:i/>
          <w:lang w:val="es-419"/>
        </w:rPr>
        <w:t>Do</w:t>
      </w:r>
      <w:r w:rsidR="00441A72" w:rsidRPr="00FE1F5C">
        <w:rPr>
          <w:i/>
          <w:lang w:val="es-419"/>
        </w:rPr>
        <w:t> </w:t>
      </w:r>
      <w:proofErr w:type="spellStart"/>
      <w:r w:rsidRPr="00FE1F5C">
        <w:rPr>
          <w:i/>
          <w:lang w:val="es-419"/>
        </w:rPr>
        <w:t>resistance</w:t>
      </w:r>
      <w:proofErr w:type="spellEnd"/>
      <w:r w:rsidRPr="00FE1F5C">
        <w:rPr>
          <w:i/>
          <w:lang w:val="es-419"/>
        </w:rPr>
        <w:t xml:space="preserve"> </w:t>
      </w:r>
      <w:proofErr w:type="spellStart"/>
      <w:r w:rsidRPr="00FE1F5C">
        <w:rPr>
          <w:i/>
          <w:lang w:val="es-419"/>
        </w:rPr>
        <w:t>markers</w:t>
      </w:r>
      <w:proofErr w:type="spellEnd"/>
      <w:r w:rsidRPr="00FE1F5C">
        <w:rPr>
          <w:i/>
          <w:lang w:val="es-419"/>
        </w:rPr>
        <w:t xml:space="preserve"> </w:t>
      </w:r>
      <w:proofErr w:type="spellStart"/>
      <w:r w:rsidRPr="00FE1F5C">
        <w:rPr>
          <w:i/>
          <w:lang w:val="es-419"/>
        </w:rPr>
        <w:t>for</w:t>
      </w:r>
      <w:proofErr w:type="spellEnd"/>
      <w:r w:rsidRPr="00FE1F5C">
        <w:rPr>
          <w:i/>
          <w:lang w:val="es-419"/>
        </w:rPr>
        <w:t xml:space="preserve"> </w:t>
      </w:r>
      <w:proofErr w:type="spellStart"/>
      <w:r w:rsidRPr="00FE1F5C">
        <w:rPr>
          <w:i/>
          <w:lang w:val="es-419"/>
        </w:rPr>
        <w:t>tomato</w:t>
      </w:r>
      <w:proofErr w:type="spellEnd"/>
      <w:r w:rsidRPr="00FE1F5C">
        <w:rPr>
          <w:i/>
          <w:lang w:val="es-419"/>
        </w:rPr>
        <w:t xml:space="preserve"> </w:t>
      </w:r>
      <w:proofErr w:type="spellStart"/>
      <w:r w:rsidRPr="00FE1F5C">
        <w:rPr>
          <w:i/>
          <w:lang w:val="es-419"/>
        </w:rPr>
        <w:t>fulfil</w:t>
      </w:r>
      <w:proofErr w:type="spellEnd"/>
      <w:r w:rsidRPr="00FE1F5C">
        <w:rPr>
          <w:i/>
          <w:lang w:val="es-419"/>
        </w:rPr>
        <w:t xml:space="preserve"> </w:t>
      </w:r>
      <w:proofErr w:type="spellStart"/>
      <w:r w:rsidRPr="00FE1F5C">
        <w:rPr>
          <w:i/>
          <w:lang w:val="es-419"/>
        </w:rPr>
        <w:t>the</w:t>
      </w:r>
      <w:proofErr w:type="spellEnd"/>
      <w:r w:rsidRPr="00FE1F5C">
        <w:rPr>
          <w:i/>
          <w:lang w:val="es-419"/>
        </w:rPr>
        <w:t xml:space="preserve"> </w:t>
      </w:r>
      <w:proofErr w:type="spellStart"/>
      <w:r w:rsidRPr="00FE1F5C">
        <w:rPr>
          <w:i/>
          <w:lang w:val="es-419"/>
        </w:rPr>
        <w:t>requirements</w:t>
      </w:r>
      <w:proofErr w:type="spellEnd"/>
      <w:r w:rsidRPr="00FE1F5C">
        <w:rPr>
          <w:i/>
          <w:lang w:val="es-419"/>
        </w:rPr>
        <w:t xml:space="preserve"> of TGP/15</w:t>
      </w:r>
      <w:r w:rsidRPr="00FE1F5C">
        <w:rPr>
          <w:lang w:val="es-419"/>
        </w:rPr>
        <w:t>” (¿Cumplen los marcadores de resistencia del tomate las premisas del documento TGP/15?) y asisti</w:t>
      </w:r>
      <w:r w:rsidR="00441A72" w:rsidRPr="00FE1F5C">
        <w:rPr>
          <w:lang w:val="es-419"/>
        </w:rPr>
        <w:t>do</w:t>
      </w:r>
      <w:r w:rsidRPr="00FE1F5C">
        <w:rPr>
          <w:lang w:val="es-419"/>
        </w:rPr>
        <w:t xml:space="preserve"> a una ponencia de la Sra.</w:t>
      </w:r>
      <w:r w:rsidR="00441A72" w:rsidRPr="00FE1F5C">
        <w:rPr>
          <w:lang w:val="es-419"/>
        </w:rPr>
        <w:t> </w:t>
      </w:r>
      <w:r w:rsidRPr="00FE1F5C">
        <w:rPr>
          <w:lang w:val="es-419"/>
        </w:rPr>
        <w:t>Amanda van </w:t>
      </w:r>
      <w:proofErr w:type="spellStart"/>
      <w:r w:rsidRPr="00FE1F5C">
        <w:rPr>
          <w:lang w:val="es-419"/>
        </w:rPr>
        <w:t>Dijk</w:t>
      </w:r>
      <w:r w:rsidR="00441A72" w:rsidRPr="00FE1F5C">
        <w:rPr>
          <w:lang w:val="es-419"/>
        </w:rPr>
        <w:noBreakHyphen/>
      </w:r>
      <w:r w:rsidRPr="00FE1F5C">
        <w:rPr>
          <w:lang w:val="es-419"/>
        </w:rPr>
        <w:t>Veldhuizen</w:t>
      </w:r>
      <w:proofErr w:type="spellEnd"/>
      <w:r w:rsidRPr="00FE1F5C">
        <w:rPr>
          <w:lang w:val="es-419"/>
        </w:rPr>
        <w:t xml:space="preserve"> (Países Bajos).</w:t>
      </w:r>
      <w:r w:rsidR="00AC43CD" w:rsidRPr="00FE1F5C">
        <w:rPr>
          <w:lang w:val="es-419"/>
        </w:rPr>
        <w:t xml:space="preserve"> </w:t>
      </w:r>
      <w:r w:rsidRPr="00FE1F5C">
        <w:rPr>
          <w:lang w:val="es-419"/>
        </w:rPr>
        <w:t xml:space="preserve">La presentación se reproduce en el documento </w:t>
      </w:r>
      <w:proofErr w:type="spellStart"/>
      <w:r w:rsidRPr="00FE1F5C">
        <w:rPr>
          <w:lang w:val="es-419"/>
        </w:rPr>
        <w:t>BMT</w:t>
      </w:r>
      <w:proofErr w:type="spellEnd"/>
      <w:r w:rsidRPr="00FE1F5C">
        <w:rPr>
          <w:lang w:val="es-419"/>
        </w:rPr>
        <w:t xml:space="preserve">/17/21 </w:t>
      </w:r>
      <w:proofErr w:type="spellStart"/>
      <w:r w:rsidRPr="00FE1F5C">
        <w:rPr>
          <w:lang w:val="es-419"/>
        </w:rPr>
        <w:t>Add</w:t>
      </w:r>
      <w:proofErr w:type="spellEnd"/>
      <w:r w:rsidRPr="00FE1F5C">
        <w:rPr>
          <w:lang w:val="es-419"/>
        </w:rPr>
        <w:t>. (véanse los párrafos 274 y 275 del documento TC/54/31 “Informe").</w:t>
      </w:r>
    </w:p>
    <w:p w14:paraId="3D175140" w14:textId="77777777" w:rsidR="000C3209" w:rsidRPr="00FE1F5C" w:rsidRDefault="000C3209" w:rsidP="000C3209">
      <w:pPr>
        <w:rPr>
          <w:lang w:val="es-419"/>
        </w:rPr>
      </w:pPr>
    </w:p>
    <w:p w14:paraId="4294DF96" w14:textId="771799BE" w:rsidR="000C3209" w:rsidRPr="00FE1F5C" w:rsidRDefault="000C3209" w:rsidP="00464A9B">
      <w:pPr>
        <w:pStyle w:val="ListParagraph"/>
        <w:numPr>
          <w:ilvl w:val="0"/>
          <w:numId w:val="2"/>
        </w:numPr>
        <w:rPr>
          <w:lang w:val="es-419"/>
        </w:rPr>
      </w:pPr>
      <w:r w:rsidRPr="00FE1F5C">
        <w:rPr>
          <w:lang w:val="es-419"/>
        </w:rPr>
        <w:t xml:space="preserve">El TC suscribió la propuesta, formulada por el BMT, de añadir un nuevo ejemplo al documento TGP/15 para ilustrar el caso en que </w:t>
      </w:r>
      <w:r w:rsidR="00CD7B32" w:rsidRPr="00FE1F5C">
        <w:rPr>
          <w:lang w:val="es-419"/>
        </w:rPr>
        <w:t>un marcador ligado</w:t>
      </w:r>
      <w:r w:rsidRPr="00FE1F5C">
        <w:rPr>
          <w:lang w:val="es-419"/>
        </w:rPr>
        <w:t xml:space="preserve"> a un carácter no proporciona información completa sobre el </w:t>
      </w:r>
      <w:r w:rsidRPr="00FE1F5C">
        <w:rPr>
          <w:lang w:val="es-419"/>
        </w:rPr>
        <w:lastRenderedPageBreak/>
        <w:t>nivel de expresión de un carácter, conforme a la propuesta de los Países Bajos expuesta en el documento</w:t>
      </w:r>
      <w:r w:rsidR="00AC43CD" w:rsidRPr="00FE1F5C">
        <w:rPr>
          <w:lang w:val="es-419"/>
        </w:rPr>
        <w:t> </w:t>
      </w:r>
      <w:r w:rsidRPr="00FE1F5C">
        <w:rPr>
          <w:lang w:val="es-419"/>
        </w:rPr>
        <w:t>BMT/17/21.</w:t>
      </w:r>
      <w:r w:rsidR="00AC43CD" w:rsidRPr="00FE1F5C">
        <w:rPr>
          <w:lang w:val="es-419"/>
        </w:rPr>
        <w:t xml:space="preserve"> </w:t>
      </w:r>
      <w:r w:rsidRPr="00FE1F5C">
        <w:rPr>
          <w:lang w:val="es-419"/>
        </w:rPr>
        <w:t xml:space="preserve">El TC </w:t>
      </w:r>
      <w:r w:rsidR="008407A3" w:rsidRPr="00FE1F5C">
        <w:rPr>
          <w:lang w:val="es-419"/>
        </w:rPr>
        <w:t>convino en</w:t>
      </w:r>
      <w:r w:rsidRPr="00FE1F5C">
        <w:rPr>
          <w:lang w:val="es-419"/>
        </w:rPr>
        <w:t xml:space="preserve"> invitar a los expertos de los Países Bajos a elabor</w:t>
      </w:r>
      <w:r w:rsidR="008407A3" w:rsidRPr="00FE1F5C">
        <w:rPr>
          <w:lang w:val="es-419"/>
        </w:rPr>
        <w:t>ar</w:t>
      </w:r>
      <w:r w:rsidRPr="00FE1F5C">
        <w:rPr>
          <w:lang w:val="es-419"/>
        </w:rPr>
        <w:t xml:space="preserve"> una propuesta para presentarla a los TWP y al BMT y acordó que la propuesta resultante se presente al TC en su quincuagésima quinta sesión.</w:t>
      </w:r>
    </w:p>
    <w:p w14:paraId="64526770" w14:textId="2D99A0A8" w:rsidR="000C3209" w:rsidRDefault="000C3209" w:rsidP="000C3209">
      <w:pPr>
        <w:rPr>
          <w:lang w:val="es-419"/>
        </w:rPr>
      </w:pPr>
    </w:p>
    <w:p w14:paraId="79B50B12" w14:textId="77777777" w:rsidR="00B34C20" w:rsidRPr="00FE1F5C" w:rsidRDefault="00B34C20" w:rsidP="000C3209">
      <w:pPr>
        <w:rPr>
          <w:lang w:val="es-419"/>
        </w:rPr>
      </w:pPr>
    </w:p>
    <w:p w14:paraId="48572DBF" w14:textId="77777777" w:rsidR="000C3209" w:rsidRPr="00FE1F5C" w:rsidRDefault="000C3209" w:rsidP="000C3209">
      <w:pPr>
        <w:pStyle w:val="Heading1"/>
        <w:rPr>
          <w:lang w:val="es-419"/>
        </w:rPr>
      </w:pPr>
      <w:bookmarkStart w:id="12" w:name="_Toc15668138"/>
      <w:bookmarkStart w:id="13" w:name="_Toc18315145"/>
      <w:r w:rsidRPr="00FE1F5C">
        <w:rPr>
          <w:lang w:val="es-419"/>
        </w:rPr>
        <w:t>Novedades acaecidas en los Grupos de Trabajo Técnico</w:t>
      </w:r>
      <w:bookmarkEnd w:id="12"/>
      <w:bookmarkEnd w:id="13"/>
    </w:p>
    <w:p w14:paraId="5382CE1B" w14:textId="77777777" w:rsidR="000C3209" w:rsidRPr="00FE1F5C" w:rsidRDefault="000C3209" w:rsidP="000C3209">
      <w:pPr>
        <w:rPr>
          <w:lang w:val="es-419"/>
        </w:rPr>
      </w:pPr>
    </w:p>
    <w:p w14:paraId="5C29B3DB" w14:textId="07081F78" w:rsidR="000C3209" w:rsidRPr="00FE1F5C" w:rsidRDefault="000C3209" w:rsidP="00464A9B">
      <w:pPr>
        <w:pStyle w:val="ListParagraph"/>
        <w:numPr>
          <w:ilvl w:val="0"/>
          <w:numId w:val="2"/>
        </w:numPr>
        <w:rPr>
          <w:lang w:val="es-419"/>
        </w:rPr>
      </w:pPr>
      <w:r w:rsidRPr="00FE1F5C">
        <w:rPr>
          <w:lang w:val="es-419"/>
        </w:rPr>
        <w:t xml:space="preserve">El TWO, en su quincuagésima primera sesión, celebrada en </w:t>
      </w:r>
      <w:proofErr w:type="spellStart"/>
      <w:r w:rsidRPr="00FE1F5C">
        <w:rPr>
          <w:lang w:val="es-419"/>
        </w:rPr>
        <w:t>Christchurch</w:t>
      </w:r>
      <w:proofErr w:type="spellEnd"/>
      <w:r w:rsidRPr="00FE1F5C">
        <w:rPr>
          <w:lang w:val="es-419"/>
        </w:rPr>
        <w:t xml:space="preserve"> (Nueva Zelandia) del 18 al</w:t>
      </w:r>
      <w:r w:rsidR="00CE417B" w:rsidRPr="00FE1F5C">
        <w:rPr>
          <w:lang w:val="es-419"/>
        </w:rPr>
        <w:t> </w:t>
      </w:r>
      <w:r w:rsidRPr="00FE1F5C">
        <w:rPr>
          <w:lang w:val="es-419"/>
        </w:rPr>
        <w:t>22 de febrero de 2019, el TWV, en su quincuagésima tercera sesión, celebrada en Seúl (República de Corea) del 20 al 24 de mayo de 2019, y el TWF, en su quincuagésima sesión, celebrada en Budapest (Hungría) del 24 al 28 de junio de 2019, examinaron el documento </w:t>
      </w:r>
      <w:proofErr w:type="spellStart"/>
      <w:r w:rsidRPr="00FE1F5C">
        <w:rPr>
          <w:lang w:val="es-419"/>
        </w:rPr>
        <w:t>TWP</w:t>
      </w:r>
      <w:proofErr w:type="spellEnd"/>
      <w:r w:rsidRPr="00FE1F5C">
        <w:rPr>
          <w:lang w:val="es-419"/>
        </w:rPr>
        <w:t>/3/12 “</w:t>
      </w:r>
      <w:proofErr w:type="spellStart"/>
      <w:r w:rsidRPr="00FE1F5C">
        <w:rPr>
          <w:i/>
          <w:lang w:val="es-419"/>
        </w:rPr>
        <w:t>Characteristic-specific</w:t>
      </w:r>
      <w:proofErr w:type="spellEnd"/>
      <w:r w:rsidRPr="00FE1F5C">
        <w:rPr>
          <w:i/>
          <w:lang w:val="es-419"/>
        </w:rPr>
        <w:t xml:space="preserve"> </w:t>
      </w:r>
      <w:proofErr w:type="spellStart"/>
      <w:r w:rsidRPr="00FE1F5C">
        <w:rPr>
          <w:i/>
          <w:lang w:val="es-419"/>
        </w:rPr>
        <w:t>marker</w:t>
      </w:r>
      <w:proofErr w:type="spellEnd"/>
      <w:r w:rsidRPr="00FE1F5C">
        <w:rPr>
          <w:i/>
          <w:lang w:val="es-419"/>
        </w:rPr>
        <w:t xml:space="preserve"> </w:t>
      </w:r>
      <w:proofErr w:type="spellStart"/>
      <w:r w:rsidRPr="00FE1F5C">
        <w:rPr>
          <w:i/>
          <w:lang w:val="es-419"/>
        </w:rPr>
        <w:t>with</w:t>
      </w:r>
      <w:proofErr w:type="spellEnd"/>
      <w:r w:rsidRPr="00FE1F5C">
        <w:rPr>
          <w:i/>
          <w:lang w:val="es-419"/>
        </w:rPr>
        <w:t xml:space="preserve"> </w:t>
      </w:r>
      <w:proofErr w:type="spellStart"/>
      <w:r w:rsidRPr="00FE1F5C">
        <w:rPr>
          <w:i/>
          <w:lang w:val="es-419"/>
        </w:rPr>
        <w:t>incomplete</w:t>
      </w:r>
      <w:proofErr w:type="spellEnd"/>
      <w:r w:rsidRPr="00FE1F5C">
        <w:rPr>
          <w:i/>
          <w:lang w:val="es-419"/>
        </w:rPr>
        <w:t xml:space="preserve"> </w:t>
      </w:r>
      <w:proofErr w:type="spellStart"/>
      <w:r w:rsidRPr="00FE1F5C">
        <w:rPr>
          <w:i/>
          <w:lang w:val="es-419"/>
        </w:rPr>
        <w:t>information</w:t>
      </w:r>
      <w:proofErr w:type="spellEnd"/>
      <w:r w:rsidRPr="00FE1F5C">
        <w:rPr>
          <w:i/>
          <w:lang w:val="es-419"/>
        </w:rPr>
        <w:t xml:space="preserve"> </w:t>
      </w:r>
      <w:proofErr w:type="spellStart"/>
      <w:r w:rsidRPr="00FE1F5C">
        <w:rPr>
          <w:i/>
          <w:lang w:val="es-419"/>
        </w:rPr>
        <w:t>on</w:t>
      </w:r>
      <w:proofErr w:type="spellEnd"/>
      <w:r w:rsidRPr="00FE1F5C">
        <w:rPr>
          <w:i/>
          <w:lang w:val="es-419"/>
        </w:rPr>
        <w:t xml:space="preserve"> </w:t>
      </w:r>
      <w:proofErr w:type="spellStart"/>
      <w:r w:rsidRPr="00FE1F5C">
        <w:rPr>
          <w:i/>
          <w:lang w:val="es-419"/>
        </w:rPr>
        <w:t>state</w:t>
      </w:r>
      <w:proofErr w:type="spellEnd"/>
      <w:r w:rsidRPr="00FE1F5C">
        <w:rPr>
          <w:i/>
          <w:lang w:val="es-419"/>
        </w:rPr>
        <w:t xml:space="preserve"> of </w:t>
      </w:r>
      <w:proofErr w:type="spellStart"/>
      <w:r w:rsidRPr="00FE1F5C">
        <w:rPr>
          <w:i/>
          <w:lang w:val="es-419"/>
        </w:rPr>
        <w:t>expression</w:t>
      </w:r>
      <w:proofErr w:type="spellEnd"/>
      <w:r w:rsidRPr="00FE1F5C">
        <w:rPr>
          <w:lang w:val="es-419"/>
        </w:rPr>
        <w:t>” (Marcador ligado a un carácter con información incompleta sobre el nivel de expresión) (véanse los documentos </w:t>
      </w:r>
      <w:proofErr w:type="spellStart"/>
      <w:r w:rsidRPr="00FE1F5C">
        <w:rPr>
          <w:lang w:val="es-419"/>
        </w:rPr>
        <w:t>TWO</w:t>
      </w:r>
      <w:proofErr w:type="spellEnd"/>
      <w:r w:rsidRPr="00FE1F5C">
        <w:rPr>
          <w:lang w:val="es-419"/>
        </w:rPr>
        <w:t>/51/12 “</w:t>
      </w:r>
      <w:proofErr w:type="spellStart"/>
      <w:r w:rsidRPr="00FE1F5C">
        <w:rPr>
          <w:i/>
          <w:lang w:val="es-419"/>
        </w:rPr>
        <w:t>Report</w:t>
      </w:r>
      <w:proofErr w:type="spellEnd"/>
      <w:r w:rsidRPr="00FE1F5C">
        <w:rPr>
          <w:lang w:val="es-419"/>
        </w:rPr>
        <w:t xml:space="preserve">”, párrafos 33 a 35, </w:t>
      </w:r>
      <w:proofErr w:type="spellStart"/>
      <w:r w:rsidRPr="00FE1F5C">
        <w:rPr>
          <w:lang w:val="es-419"/>
        </w:rPr>
        <w:t>TWV</w:t>
      </w:r>
      <w:proofErr w:type="spellEnd"/>
      <w:r w:rsidRPr="00FE1F5C">
        <w:rPr>
          <w:lang w:val="es-419"/>
        </w:rPr>
        <w:t>/53/14</w:t>
      </w:r>
      <w:r w:rsidR="00BF324D" w:rsidRPr="00FE1F5C">
        <w:rPr>
          <w:lang w:val="es-419"/>
        </w:rPr>
        <w:t> </w:t>
      </w:r>
      <w:r w:rsidRPr="00FE1F5C">
        <w:rPr>
          <w:lang w:val="es-419"/>
        </w:rPr>
        <w:t>“</w:t>
      </w:r>
      <w:proofErr w:type="spellStart"/>
      <w:r w:rsidRPr="00FE1F5C">
        <w:rPr>
          <w:i/>
          <w:lang w:val="es-419"/>
        </w:rPr>
        <w:t>Report</w:t>
      </w:r>
      <w:proofErr w:type="spellEnd"/>
      <w:r w:rsidRPr="00FE1F5C">
        <w:rPr>
          <w:lang w:val="es-419"/>
        </w:rPr>
        <w:t xml:space="preserve">”, párrafos 28 a 30, y </w:t>
      </w:r>
      <w:proofErr w:type="spellStart"/>
      <w:r w:rsidRPr="00FE1F5C">
        <w:rPr>
          <w:lang w:val="es-419"/>
        </w:rPr>
        <w:t>TWF</w:t>
      </w:r>
      <w:proofErr w:type="spellEnd"/>
      <w:r w:rsidRPr="00FE1F5C">
        <w:rPr>
          <w:lang w:val="es-419"/>
        </w:rPr>
        <w:t>/50/13 “</w:t>
      </w:r>
      <w:proofErr w:type="spellStart"/>
      <w:r w:rsidRPr="00FE1F5C">
        <w:rPr>
          <w:i/>
          <w:lang w:val="es-419"/>
        </w:rPr>
        <w:t>Report</w:t>
      </w:r>
      <w:proofErr w:type="spellEnd"/>
      <w:r w:rsidRPr="00FE1F5C">
        <w:rPr>
          <w:lang w:val="es-419"/>
        </w:rPr>
        <w:t>”, párrafos 28 y 29).</w:t>
      </w:r>
    </w:p>
    <w:p w14:paraId="46E5AE6D" w14:textId="77777777" w:rsidR="000C3209" w:rsidRPr="00FE1F5C" w:rsidRDefault="000C3209" w:rsidP="000C3209">
      <w:pPr>
        <w:rPr>
          <w:lang w:val="es-419"/>
        </w:rPr>
      </w:pPr>
    </w:p>
    <w:p w14:paraId="74616B94" w14:textId="0831B0E8" w:rsidR="000C3209" w:rsidRPr="00FE1F5C" w:rsidRDefault="000C3209" w:rsidP="00464A9B">
      <w:pPr>
        <w:pStyle w:val="ListParagraph"/>
        <w:numPr>
          <w:ilvl w:val="0"/>
          <w:numId w:val="2"/>
        </w:numPr>
        <w:rPr>
          <w:lang w:val="es-419"/>
        </w:rPr>
      </w:pPr>
      <w:r w:rsidRPr="00FE1F5C">
        <w:rPr>
          <w:lang w:val="es-419"/>
        </w:rPr>
        <w:t xml:space="preserve">El TWO, el TWV y el TWF suscribieron la propuesta de ejemplo con vistas a su incorporación al documento TGP/15 a fin de ilustrar el caso en que </w:t>
      </w:r>
      <w:r w:rsidR="00CD7B32" w:rsidRPr="00FE1F5C">
        <w:rPr>
          <w:lang w:val="es-419"/>
        </w:rPr>
        <w:t>un marcador ligado</w:t>
      </w:r>
      <w:r w:rsidRPr="00FE1F5C">
        <w:rPr>
          <w:lang w:val="es-419"/>
        </w:rPr>
        <w:t xml:space="preserve"> a un carácter no proporciona información completa sobre el nivel de expresión de un carácter, expuesto en el Anexo del presente documento.</w:t>
      </w:r>
    </w:p>
    <w:p w14:paraId="586900C1" w14:textId="77777777" w:rsidR="000C3209" w:rsidRPr="00FE1F5C" w:rsidRDefault="000C3209" w:rsidP="000C3209">
      <w:pPr>
        <w:rPr>
          <w:lang w:val="es-419"/>
        </w:rPr>
      </w:pPr>
    </w:p>
    <w:p w14:paraId="4F4ECCD8" w14:textId="48857BEB" w:rsidR="000C3209" w:rsidRPr="00FE1F5C" w:rsidRDefault="000C3209" w:rsidP="00464A9B">
      <w:pPr>
        <w:pStyle w:val="ListParagraph"/>
        <w:numPr>
          <w:ilvl w:val="0"/>
          <w:numId w:val="2"/>
        </w:numPr>
        <w:rPr>
          <w:lang w:val="es-419"/>
        </w:rPr>
      </w:pPr>
      <w:r w:rsidRPr="00FE1F5C">
        <w:rPr>
          <w:lang w:val="es-419"/>
        </w:rPr>
        <w:t>El TWO tomó nota de que los caracteres de resistencia a las enfermedades no se utilizan habitualmente en las plantas ornamentales.</w:t>
      </w:r>
    </w:p>
    <w:p w14:paraId="1D15676B" w14:textId="77777777" w:rsidR="000C3209" w:rsidRPr="00FE1F5C" w:rsidRDefault="000C3209" w:rsidP="000C3209">
      <w:pPr>
        <w:rPr>
          <w:lang w:val="es-419"/>
        </w:rPr>
      </w:pPr>
    </w:p>
    <w:p w14:paraId="592D2B64" w14:textId="6863AE00" w:rsidR="000C3209" w:rsidRPr="00FE1F5C" w:rsidRDefault="000C3209" w:rsidP="00464A9B">
      <w:pPr>
        <w:pStyle w:val="ListParagraph"/>
        <w:numPr>
          <w:ilvl w:val="0"/>
          <w:numId w:val="2"/>
        </w:numPr>
        <w:rPr>
          <w:rFonts w:eastAsia="Calibri" w:cs="Arial"/>
          <w:sz w:val="18"/>
          <w:lang w:val="es-419"/>
        </w:rPr>
      </w:pPr>
      <w:r w:rsidRPr="00FE1F5C">
        <w:rPr>
          <w:lang w:val="es-419"/>
        </w:rPr>
        <w:t xml:space="preserve">El TWV convino en que ha de añadirse una nueva frase al documento TGP/15 para indicar que, en el caso </w:t>
      </w:r>
      <w:r w:rsidR="00926BF6" w:rsidRPr="00FE1F5C">
        <w:rPr>
          <w:lang w:val="es-419"/>
        </w:rPr>
        <w:t>de</w:t>
      </w:r>
      <w:r w:rsidRPr="00FE1F5C">
        <w:rPr>
          <w:lang w:val="es-419"/>
        </w:rPr>
        <w:t xml:space="preserve"> que el solicitante declare en el cuestionario técnico que la variedad es resistente pero el resultado del análisis del marcador sea negativo, se ha de efectuar o realizar un </w:t>
      </w:r>
      <w:proofErr w:type="spellStart"/>
      <w:r w:rsidRPr="00FE1F5C">
        <w:rPr>
          <w:lang w:val="es-419"/>
        </w:rPr>
        <w:t>bioanálisis</w:t>
      </w:r>
      <w:proofErr w:type="spellEnd"/>
      <w:r w:rsidRPr="00FE1F5C">
        <w:rPr>
          <w:lang w:val="es-419"/>
        </w:rPr>
        <w:t xml:space="preserve"> y este debe ser concluyente.</w:t>
      </w:r>
      <w:r w:rsidR="00AC43CD" w:rsidRPr="00FE1F5C">
        <w:rPr>
          <w:lang w:val="es-419"/>
        </w:rPr>
        <w:t xml:space="preserve"> </w:t>
      </w:r>
    </w:p>
    <w:p w14:paraId="34E68C05" w14:textId="77777777" w:rsidR="000C3209" w:rsidRPr="00FE1F5C" w:rsidRDefault="000C3209" w:rsidP="000C3209">
      <w:pPr>
        <w:rPr>
          <w:rFonts w:cs="Arial"/>
          <w:lang w:val="es-419"/>
        </w:rPr>
      </w:pPr>
    </w:p>
    <w:p w14:paraId="0B967CDA" w14:textId="455FDC97" w:rsidR="000C3209" w:rsidRPr="00FE1F5C" w:rsidRDefault="000C3209" w:rsidP="00464A9B">
      <w:pPr>
        <w:pStyle w:val="ListParagraph"/>
        <w:numPr>
          <w:ilvl w:val="0"/>
          <w:numId w:val="2"/>
        </w:numPr>
        <w:rPr>
          <w:rFonts w:cs="Arial"/>
          <w:lang w:val="es-419"/>
        </w:rPr>
      </w:pPr>
      <w:r w:rsidRPr="00FE1F5C">
        <w:rPr>
          <w:lang w:val="es-419"/>
        </w:rPr>
        <w:t>Las observaciones formuladas por el TWA, en su cuadragésima octava sesión, que se celebrará en Montevideo (Uruguay), del 16 al 20 de septiembre de 2019, el TWC, en su trigésima séptima sesión, que se celebrará en Hangzhou (China), del 14 al 16 de octubre de 2019, y el BMT, en su decimoctava sesión, que se celebrará en Hangzhou (China) del 16 al 18 de octubre de 2019, se exponen en una adición al presente documento.</w:t>
      </w:r>
    </w:p>
    <w:p w14:paraId="2740734A" w14:textId="77777777" w:rsidR="000C3209" w:rsidRPr="00FE1F5C" w:rsidRDefault="000C3209" w:rsidP="000C3209">
      <w:pPr>
        <w:rPr>
          <w:rFonts w:cs="Arial"/>
          <w:lang w:val="es-419"/>
        </w:rPr>
      </w:pPr>
    </w:p>
    <w:p w14:paraId="6E93AB48" w14:textId="77777777" w:rsidR="000C3209" w:rsidRPr="00FE1F5C" w:rsidRDefault="000C3209" w:rsidP="000C3209">
      <w:pPr>
        <w:rPr>
          <w:rFonts w:cs="Arial"/>
          <w:lang w:val="es-419"/>
        </w:rPr>
      </w:pPr>
    </w:p>
    <w:p w14:paraId="321EDB59" w14:textId="77777777" w:rsidR="000C3209" w:rsidRPr="00FE1F5C" w:rsidRDefault="000C3209" w:rsidP="000C3209">
      <w:pPr>
        <w:keepNext/>
        <w:outlineLvl w:val="0"/>
        <w:rPr>
          <w:caps/>
          <w:snapToGrid w:val="0"/>
          <w:lang w:val="es-419"/>
        </w:rPr>
      </w:pPr>
      <w:bookmarkStart w:id="14" w:name="_Toc15668139"/>
      <w:bookmarkStart w:id="15" w:name="_Toc18315146"/>
      <w:r w:rsidRPr="00FE1F5C">
        <w:rPr>
          <w:caps/>
          <w:snapToGrid w:val="0"/>
          <w:lang w:val="es-419"/>
        </w:rPr>
        <w:t>Propuesta</w:t>
      </w:r>
      <w:bookmarkEnd w:id="14"/>
      <w:bookmarkEnd w:id="15"/>
    </w:p>
    <w:p w14:paraId="64D1B847" w14:textId="77777777" w:rsidR="000C3209" w:rsidRPr="00FE1F5C" w:rsidRDefault="000C3209" w:rsidP="000C3209">
      <w:pPr>
        <w:jc w:val="left"/>
        <w:rPr>
          <w:snapToGrid w:val="0"/>
          <w:lang w:val="es-419"/>
        </w:rPr>
      </w:pPr>
    </w:p>
    <w:p w14:paraId="5C97588E" w14:textId="22F848B8" w:rsidR="000C3209" w:rsidRPr="00FE1F5C" w:rsidRDefault="000C3209" w:rsidP="00464A9B">
      <w:pPr>
        <w:pStyle w:val="ListParagraph"/>
        <w:numPr>
          <w:ilvl w:val="0"/>
          <w:numId w:val="2"/>
        </w:numPr>
        <w:rPr>
          <w:snapToGrid w:val="0"/>
          <w:lang w:val="es-419"/>
        </w:rPr>
      </w:pPr>
      <w:r w:rsidRPr="00FE1F5C">
        <w:rPr>
          <w:lang w:val="es-419"/>
        </w:rPr>
        <w:t xml:space="preserve">En el Anexo del presente documento se expone una propuesta de ejemplo, elaborada por expertos de los Países Bajos, con vistas a su incorporación al documento TGP/15, Modelo “Marcadores moleculares ligados a caracteres”, a fin de ilustrar el caso en que </w:t>
      </w:r>
      <w:r w:rsidR="00CD7B32" w:rsidRPr="00FE1F5C">
        <w:rPr>
          <w:lang w:val="es-419"/>
        </w:rPr>
        <w:t>un marcador ligado</w:t>
      </w:r>
      <w:r w:rsidRPr="00FE1F5C">
        <w:rPr>
          <w:lang w:val="es-419"/>
        </w:rPr>
        <w:t xml:space="preserve"> a un carácter no proporciona información completa sobre el nivel de expresión de un carácter.</w:t>
      </w:r>
    </w:p>
    <w:p w14:paraId="352D147B" w14:textId="77777777" w:rsidR="000C3209" w:rsidRPr="00FE1F5C" w:rsidRDefault="000C3209" w:rsidP="000C3209">
      <w:pPr>
        <w:rPr>
          <w:rFonts w:cs="Arial"/>
          <w:lang w:val="es-419"/>
        </w:rPr>
      </w:pPr>
    </w:p>
    <w:p w14:paraId="1D7784CF" w14:textId="65BA6795" w:rsidR="000C3209" w:rsidRPr="00311FBA" w:rsidRDefault="000C3209" w:rsidP="00464A9B">
      <w:pPr>
        <w:pStyle w:val="ListParagraph"/>
        <w:numPr>
          <w:ilvl w:val="0"/>
          <w:numId w:val="2"/>
        </w:numPr>
        <w:rPr>
          <w:lang w:val="es-419"/>
        </w:rPr>
      </w:pPr>
      <w:r w:rsidRPr="00FE1F5C">
        <w:rPr>
          <w:lang w:val="es-419"/>
        </w:rPr>
        <w:t xml:space="preserve">Se propone al TC que examine si la inclusión de la frase siguiente en el proyecto de orientación satisface la petición formulada por el TWV </w:t>
      </w:r>
      <w:r w:rsidRPr="00311FBA">
        <w:rPr>
          <w:lang w:val="es-419"/>
        </w:rPr>
        <w:t>en el párrafo 10:</w:t>
      </w:r>
    </w:p>
    <w:p w14:paraId="0D2EAFAD" w14:textId="77777777" w:rsidR="000C3209" w:rsidRPr="00FE1F5C" w:rsidRDefault="000C3209" w:rsidP="000C3209">
      <w:pPr>
        <w:autoSpaceDE w:val="0"/>
        <w:autoSpaceDN w:val="0"/>
        <w:adjustRightInd w:val="0"/>
        <w:rPr>
          <w:rFonts w:eastAsia="Calibri" w:cs="Arial"/>
          <w:lang w:val="es-419"/>
        </w:rPr>
      </w:pPr>
      <w:bookmarkStart w:id="16" w:name="_GoBack"/>
      <w:bookmarkEnd w:id="16"/>
    </w:p>
    <w:p w14:paraId="53163558" w14:textId="77777777" w:rsidR="000C3209" w:rsidRPr="00FE1F5C" w:rsidRDefault="000C3209" w:rsidP="000C3209">
      <w:pPr>
        <w:autoSpaceDE w:val="0"/>
        <w:autoSpaceDN w:val="0"/>
        <w:adjustRightInd w:val="0"/>
        <w:ind w:left="567" w:right="567"/>
        <w:rPr>
          <w:rFonts w:eastAsia="Calibri" w:cs="Arial"/>
          <w:sz w:val="18"/>
          <w:lang w:val="es-419"/>
        </w:rPr>
      </w:pPr>
      <w:r w:rsidRPr="00FE1F5C">
        <w:rPr>
          <w:sz w:val="18"/>
          <w:lang w:val="es-419"/>
        </w:rPr>
        <w:t>“6.</w:t>
      </w:r>
      <w:r w:rsidRPr="00FE1F5C">
        <w:rPr>
          <w:lang w:val="es-419"/>
        </w:rPr>
        <w:tab/>
      </w:r>
      <w:r w:rsidRPr="00FE1F5C">
        <w:rPr>
          <w:sz w:val="18"/>
          <w:lang w:val="es-419"/>
        </w:rPr>
        <w:t>Si se declara que una variedad es resistente a la cepa 0 del </w:t>
      </w:r>
      <w:proofErr w:type="spellStart"/>
      <w:r w:rsidRPr="00FE1F5C">
        <w:rPr>
          <w:sz w:val="18"/>
          <w:lang w:val="es-419"/>
        </w:rPr>
        <w:t>ToMV</w:t>
      </w:r>
      <w:proofErr w:type="spellEnd"/>
      <w:r w:rsidRPr="00FE1F5C">
        <w:rPr>
          <w:sz w:val="18"/>
          <w:lang w:val="es-419"/>
        </w:rPr>
        <w:t xml:space="preserve"> y el resultado del análisis del marcador de ADN es tm2/tm2 (homocigótico susceptible), se debe realizar un </w:t>
      </w:r>
      <w:proofErr w:type="spellStart"/>
      <w:r w:rsidRPr="00FE1F5C">
        <w:rPr>
          <w:sz w:val="18"/>
          <w:lang w:val="es-419"/>
        </w:rPr>
        <w:t>bioanálisis</w:t>
      </w:r>
      <w:proofErr w:type="spellEnd"/>
      <w:r w:rsidRPr="00FE1F5C">
        <w:rPr>
          <w:sz w:val="18"/>
          <w:lang w:val="es-419"/>
        </w:rPr>
        <w:t xml:space="preserve"> para determinar si la variedad es resistente, el cual se ha de basar en otro gen, por ejemplo, el Tm1.”</w:t>
      </w:r>
    </w:p>
    <w:p w14:paraId="16096556" w14:textId="77777777" w:rsidR="000C3209" w:rsidRPr="00FE1F5C" w:rsidRDefault="000C3209" w:rsidP="000C3209">
      <w:pPr>
        <w:jc w:val="left"/>
        <w:rPr>
          <w:snapToGrid w:val="0"/>
          <w:lang w:val="es-419"/>
        </w:rPr>
      </w:pPr>
    </w:p>
    <w:p w14:paraId="01814B18" w14:textId="52A7371A" w:rsidR="000C3209" w:rsidRPr="00FE1F5C" w:rsidRDefault="000C3209" w:rsidP="008F6233">
      <w:pPr>
        <w:pStyle w:val="DecisionParagraphs"/>
        <w:numPr>
          <w:ilvl w:val="0"/>
          <w:numId w:val="2"/>
        </w:numPr>
        <w:ind w:left="4820"/>
        <w:rPr>
          <w:lang w:val="es-419"/>
        </w:rPr>
      </w:pPr>
      <w:r w:rsidRPr="00FE1F5C">
        <w:rPr>
          <w:lang w:val="es-419"/>
        </w:rPr>
        <w:t xml:space="preserve">Se invita al TC a examinar la propuesta de añadir un nuevo ejemplo al documento TGP/15 para ilustrar el caso en que </w:t>
      </w:r>
      <w:r w:rsidR="00CD7B32" w:rsidRPr="00FE1F5C">
        <w:rPr>
          <w:lang w:val="es-419"/>
        </w:rPr>
        <w:t>un marcador ligado</w:t>
      </w:r>
      <w:r w:rsidRPr="00FE1F5C">
        <w:rPr>
          <w:lang w:val="es-419"/>
        </w:rPr>
        <w:t xml:space="preserve"> a un carácter no proporciona información completa sobre el nivel de expresión de un carácter, expuesto en el Anexo del presente documento, junto con las observaciones formuladas por el TWA, el TWC y el BMT. </w:t>
      </w:r>
    </w:p>
    <w:p w14:paraId="582A89B2" w14:textId="77777777" w:rsidR="000C3209" w:rsidRPr="00FE1F5C" w:rsidRDefault="000C3209" w:rsidP="008F6233">
      <w:pPr>
        <w:tabs>
          <w:tab w:val="left" w:pos="5954"/>
        </w:tabs>
        <w:rPr>
          <w:lang w:val="es-419"/>
        </w:rPr>
      </w:pPr>
    </w:p>
    <w:p w14:paraId="72F1516C" w14:textId="77777777" w:rsidR="000C3209" w:rsidRPr="00FE1F5C" w:rsidRDefault="000C3209" w:rsidP="000C3209">
      <w:pPr>
        <w:rPr>
          <w:lang w:val="es-419"/>
        </w:rPr>
      </w:pPr>
    </w:p>
    <w:p w14:paraId="2ECD86C9" w14:textId="77777777" w:rsidR="000C3209" w:rsidRPr="00FE1F5C" w:rsidRDefault="000C3209" w:rsidP="000C3209">
      <w:pPr>
        <w:rPr>
          <w:lang w:val="es-419"/>
        </w:rPr>
      </w:pPr>
    </w:p>
    <w:p w14:paraId="1DB88BE3" w14:textId="7EA2E779" w:rsidR="000C3209" w:rsidRPr="00FE1F5C" w:rsidRDefault="000C3209" w:rsidP="000C3209">
      <w:pPr>
        <w:jc w:val="right"/>
        <w:rPr>
          <w:snapToGrid w:val="0"/>
          <w:sz w:val="18"/>
          <w:szCs w:val="18"/>
          <w:lang w:val="es-419"/>
        </w:rPr>
      </w:pPr>
      <w:r w:rsidRPr="00FE1F5C">
        <w:rPr>
          <w:lang w:val="es-419"/>
        </w:rPr>
        <w:t>[Sigue el Anexo]</w:t>
      </w:r>
    </w:p>
    <w:p w14:paraId="4BDB4627" w14:textId="77777777" w:rsidR="000C3209" w:rsidRPr="00FE1F5C" w:rsidRDefault="000C3209" w:rsidP="000C3209">
      <w:pPr>
        <w:jc w:val="left"/>
        <w:rPr>
          <w:snapToGrid w:val="0"/>
          <w:sz w:val="18"/>
          <w:szCs w:val="18"/>
          <w:lang w:val="es-419"/>
        </w:rPr>
      </w:pPr>
    </w:p>
    <w:p w14:paraId="361F12F8" w14:textId="77777777" w:rsidR="000C3209" w:rsidRPr="00FE1F5C" w:rsidRDefault="000C3209" w:rsidP="000C3209">
      <w:pPr>
        <w:jc w:val="left"/>
        <w:rPr>
          <w:lang w:val="es-419"/>
        </w:rPr>
        <w:sectPr w:rsidR="000C3209" w:rsidRPr="00FE1F5C" w:rsidSect="00906DDC">
          <w:headerReference w:type="default" r:id="rId8"/>
          <w:pgSz w:w="11907" w:h="16840" w:code="9"/>
          <w:pgMar w:top="510" w:right="1134" w:bottom="1134" w:left="1134" w:header="510" w:footer="680" w:gutter="0"/>
          <w:cols w:space="720"/>
          <w:titlePg/>
        </w:sectPr>
      </w:pPr>
    </w:p>
    <w:p w14:paraId="46882F78" w14:textId="2DF622D9" w:rsidR="000C3209" w:rsidRPr="00FE1F5C" w:rsidRDefault="000C3209" w:rsidP="000C3209">
      <w:pPr>
        <w:rPr>
          <w:lang w:val="es-419"/>
        </w:rPr>
      </w:pPr>
    </w:p>
    <w:p w14:paraId="7191E85B" w14:textId="29ECD3B3" w:rsidR="000C3209" w:rsidRPr="00FE1F5C" w:rsidRDefault="000C3209" w:rsidP="000C3209">
      <w:pPr>
        <w:spacing w:after="160" w:line="259" w:lineRule="auto"/>
        <w:jc w:val="center"/>
        <w:rPr>
          <w:rFonts w:eastAsia="Calibri" w:cs="Arial"/>
          <w:lang w:val="es-419"/>
        </w:rPr>
      </w:pPr>
      <w:r w:rsidRPr="00FE1F5C">
        <w:rPr>
          <w:lang w:val="es-419"/>
        </w:rPr>
        <w:t>EJEMPLO 2</w:t>
      </w:r>
      <w:r w:rsidR="00AC43CD" w:rsidRPr="00FE1F5C">
        <w:rPr>
          <w:lang w:val="es-419"/>
        </w:rPr>
        <w:t xml:space="preserve">. </w:t>
      </w:r>
      <w:r w:rsidRPr="00FE1F5C">
        <w:rPr>
          <w:lang w:val="es-419"/>
        </w:rPr>
        <w:t xml:space="preserve">MARCADOR GENÉTICO ESPECÍFICO DE LA RESISTENCIA A ENFERMEDADES </w:t>
      </w:r>
      <w:r w:rsidR="008805C6" w:rsidRPr="00FE1F5C">
        <w:rPr>
          <w:lang w:val="es-419"/>
        </w:rPr>
        <w:br/>
      </w:r>
      <w:r w:rsidRPr="00FE1F5C">
        <w:rPr>
          <w:lang w:val="es-419"/>
        </w:rPr>
        <w:t>EN EL TOMATE</w:t>
      </w:r>
    </w:p>
    <w:p w14:paraId="058BDC21" w14:textId="77777777" w:rsidR="000C3209" w:rsidRPr="00FE1F5C" w:rsidRDefault="000C3209" w:rsidP="000C3209">
      <w:pPr>
        <w:spacing w:after="160" w:line="259" w:lineRule="auto"/>
        <w:jc w:val="center"/>
        <w:rPr>
          <w:rFonts w:eastAsia="Calibri" w:cs="Arial"/>
          <w:i/>
          <w:iCs/>
          <w:lang w:val="es-419"/>
        </w:rPr>
      </w:pPr>
      <w:r w:rsidRPr="00FE1F5C">
        <w:rPr>
          <w:i/>
          <w:lang w:val="es-419"/>
        </w:rPr>
        <w:t>elaborado por expertos de los Países Bajos</w:t>
      </w:r>
    </w:p>
    <w:p w14:paraId="61889535" w14:textId="77777777" w:rsidR="000C3209" w:rsidRPr="00FE1F5C" w:rsidRDefault="000C3209" w:rsidP="000C3209">
      <w:pPr>
        <w:autoSpaceDE w:val="0"/>
        <w:autoSpaceDN w:val="0"/>
        <w:adjustRightInd w:val="0"/>
        <w:rPr>
          <w:rFonts w:eastAsia="Calibri" w:cs="Arial"/>
          <w:lang w:val="es-419"/>
        </w:rPr>
      </w:pPr>
    </w:p>
    <w:p w14:paraId="4FD10D6F" w14:textId="77777777" w:rsidR="000C3209" w:rsidRPr="00FE1F5C" w:rsidRDefault="000C3209" w:rsidP="000C3209">
      <w:pPr>
        <w:autoSpaceDE w:val="0"/>
        <w:autoSpaceDN w:val="0"/>
        <w:adjustRightInd w:val="0"/>
        <w:rPr>
          <w:rFonts w:eastAsia="Calibri" w:cs="Arial"/>
          <w:lang w:val="es-419"/>
        </w:rPr>
      </w:pPr>
      <w:r w:rsidRPr="00FE1F5C">
        <w:rPr>
          <w:lang w:val="es-419"/>
        </w:rPr>
        <w:t>Ejemplo</w:t>
      </w:r>
    </w:p>
    <w:p w14:paraId="21FD4CD8" w14:textId="77777777" w:rsidR="000C3209" w:rsidRPr="00FE1F5C" w:rsidRDefault="000C3209" w:rsidP="000C3209">
      <w:pPr>
        <w:autoSpaceDE w:val="0"/>
        <w:autoSpaceDN w:val="0"/>
        <w:adjustRightInd w:val="0"/>
        <w:rPr>
          <w:rFonts w:eastAsia="Calibri" w:cs="Arial"/>
          <w:lang w:val="es-419"/>
        </w:rPr>
      </w:pPr>
    </w:p>
    <w:p w14:paraId="0D79B511" w14:textId="63D9D5C9"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La resistencia al virus del mosaico del tomate (</w:t>
      </w:r>
      <w:proofErr w:type="spellStart"/>
      <w:r w:rsidRPr="00FE1F5C">
        <w:rPr>
          <w:lang w:val="es-419"/>
        </w:rPr>
        <w:t>ToMV</w:t>
      </w:r>
      <w:proofErr w:type="spellEnd"/>
      <w:r w:rsidRPr="00FE1F5C">
        <w:rPr>
          <w:lang w:val="es-419"/>
        </w:rPr>
        <w:t>) es un carácter incluido en las directrices de examen del tomate.</w:t>
      </w:r>
    </w:p>
    <w:p w14:paraId="1124024E" w14:textId="77777777" w:rsidR="000C3209" w:rsidRPr="00FE1F5C" w:rsidRDefault="000C3209" w:rsidP="000C3209">
      <w:pPr>
        <w:autoSpaceDE w:val="0"/>
        <w:autoSpaceDN w:val="0"/>
        <w:adjustRightInd w:val="0"/>
        <w:rPr>
          <w:rFonts w:eastAsia="Calibri" w:cs="Arial"/>
          <w:lang w:val="es-419"/>
        </w:rPr>
      </w:pPr>
    </w:p>
    <w:p w14:paraId="2D79157F" w14:textId="36EB61CD"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La presencia de uno o más genes, tales como, el Tm1, el Tm2 y el Tm2</w:t>
      </w:r>
      <w:r w:rsidRPr="00FE1F5C">
        <w:rPr>
          <w:vertAlign w:val="superscript"/>
          <w:lang w:val="es-419"/>
        </w:rPr>
        <w:t>2</w:t>
      </w:r>
      <w:r w:rsidRPr="00FE1F5C">
        <w:rPr>
          <w:lang w:val="es-419"/>
        </w:rPr>
        <w:t xml:space="preserve">, confiere resistencia a la cepa 0 del </w:t>
      </w:r>
      <w:proofErr w:type="spellStart"/>
      <w:r w:rsidRPr="00FE1F5C">
        <w:rPr>
          <w:lang w:val="es-419"/>
        </w:rPr>
        <w:t>ToMV</w:t>
      </w:r>
      <w:proofErr w:type="spellEnd"/>
      <w:r w:rsidRPr="00FE1F5C">
        <w:rPr>
          <w:lang w:val="es-419"/>
        </w:rPr>
        <w:t>.</w:t>
      </w:r>
    </w:p>
    <w:p w14:paraId="193A7498" w14:textId="77777777" w:rsidR="000C3209" w:rsidRPr="00FE1F5C" w:rsidRDefault="000C3209" w:rsidP="000C3209">
      <w:pPr>
        <w:autoSpaceDE w:val="0"/>
        <w:autoSpaceDN w:val="0"/>
        <w:adjustRightInd w:val="0"/>
        <w:rPr>
          <w:rFonts w:eastAsia="Calibri" w:cs="Arial"/>
          <w:lang w:val="es-419"/>
        </w:rPr>
      </w:pPr>
    </w:p>
    <w:p w14:paraId="72979B52" w14:textId="7B65A4CF" w:rsidR="000C3209" w:rsidRPr="00FE1F5C" w:rsidRDefault="000C3209" w:rsidP="000C3209">
      <w:pPr>
        <w:autoSpaceDE w:val="0"/>
        <w:autoSpaceDN w:val="0"/>
        <w:adjustRightInd w:val="0"/>
        <w:rPr>
          <w:rFonts w:eastAsia="Calibri" w:cs="Arial"/>
          <w:lang w:val="es-419"/>
        </w:rPr>
      </w:pPr>
      <w:r w:rsidRPr="00FE1F5C">
        <w:rPr>
          <w:lang w:val="es-419"/>
        </w:rPr>
        <w:t>Cuadro 1.</w:t>
      </w:r>
      <w:r w:rsidR="00AC43CD" w:rsidRPr="00FE1F5C">
        <w:rPr>
          <w:lang w:val="es-419"/>
        </w:rPr>
        <w:t xml:space="preserve"> </w:t>
      </w:r>
      <w:r w:rsidRPr="00FE1F5C">
        <w:rPr>
          <w:lang w:val="es-419"/>
        </w:rPr>
        <w:t>Resumen esquemático de la resistencia al virus del mosaico del tomate y los alelos de resistencia:</w:t>
      </w:r>
    </w:p>
    <w:p w14:paraId="3D2E8A28" w14:textId="77777777" w:rsidR="000C3209" w:rsidRPr="00FE1F5C" w:rsidRDefault="000C3209" w:rsidP="000C3209">
      <w:pPr>
        <w:autoSpaceDE w:val="0"/>
        <w:autoSpaceDN w:val="0"/>
        <w:adjustRightInd w:val="0"/>
        <w:rPr>
          <w:rFonts w:eastAsia="Calibri" w:cs="Arial"/>
          <w:sz w:val="19"/>
          <w:szCs w:val="19"/>
          <w:lang w:val="es-419"/>
        </w:rPr>
      </w:pPr>
    </w:p>
    <w:tbl>
      <w:tblPr>
        <w:tblStyle w:val="TableGrid"/>
        <w:tblW w:w="9634" w:type="dxa"/>
        <w:tblLook w:val="04A0" w:firstRow="1" w:lastRow="0" w:firstColumn="1" w:lastColumn="0" w:noHBand="0" w:noVBand="1"/>
      </w:tblPr>
      <w:tblGrid>
        <w:gridCol w:w="2122"/>
        <w:gridCol w:w="1842"/>
        <w:gridCol w:w="1985"/>
        <w:gridCol w:w="1843"/>
        <w:gridCol w:w="1842"/>
      </w:tblGrid>
      <w:tr w:rsidR="000C3209" w:rsidRPr="00FE1F5C" w14:paraId="33E63BD0" w14:textId="77777777" w:rsidTr="009E5B62">
        <w:tc>
          <w:tcPr>
            <w:tcW w:w="2122" w:type="dxa"/>
            <w:vAlign w:val="center"/>
          </w:tcPr>
          <w:p w14:paraId="3D76F3A1"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Acervo génico</w:t>
            </w:r>
          </w:p>
        </w:tc>
        <w:tc>
          <w:tcPr>
            <w:tcW w:w="1842" w:type="dxa"/>
            <w:vAlign w:val="center"/>
          </w:tcPr>
          <w:p w14:paraId="176D2BD3"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tm2/tm2 </w:t>
            </w:r>
          </w:p>
          <w:p w14:paraId="52370A4E" w14:textId="77777777" w:rsidR="000C3209" w:rsidRPr="00FE1F5C" w:rsidRDefault="000C3209" w:rsidP="009E5B62">
            <w:pPr>
              <w:autoSpaceDE w:val="0"/>
              <w:autoSpaceDN w:val="0"/>
              <w:adjustRightInd w:val="0"/>
              <w:jc w:val="left"/>
              <w:rPr>
                <w:rFonts w:cs="Arial"/>
                <w:sz w:val="19"/>
                <w:szCs w:val="19"/>
                <w:lang w:val="es-419"/>
              </w:rPr>
            </w:pPr>
          </w:p>
          <w:p w14:paraId="24932535"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y </w:t>
            </w:r>
          </w:p>
          <w:p w14:paraId="3C07380C" w14:textId="77777777" w:rsidR="000C3209" w:rsidRPr="00FE1F5C" w:rsidRDefault="000C3209" w:rsidP="009E5B62">
            <w:pPr>
              <w:autoSpaceDE w:val="0"/>
              <w:autoSpaceDN w:val="0"/>
              <w:adjustRightInd w:val="0"/>
              <w:jc w:val="left"/>
              <w:rPr>
                <w:rFonts w:cs="Arial"/>
                <w:sz w:val="19"/>
                <w:szCs w:val="19"/>
                <w:lang w:val="es-419"/>
              </w:rPr>
            </w:pPr>
          </w:p>
          <w:p w14:paraId="7BFDFD5F"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tm1/tm1</w:t>
            </w:r>
          </w:p>
          <w:p w14:paraId="59EE1D9F" w14:textId="77777777" w:rsidR="000C3209" w:rsidRPr="00FE1F5C" w:rsidRDefault="000C3209" w:rsidP="009E5B62">
            <w:pPr>
              <w:autoSpaceDE w:val="0"/>
              <w:autoSpaceDN w:val="0"/>
              <w:adjustRightInd w:val="0"/>
              <w:jc w:val="left"/>
              <w:rPr>
                <w:rFonts w:cs="Arial"/>
                <w:sz w:val="19"/>
                <w:szCs w:val="19"/>
                <w:lang w:val="es-419"/>
              </w:rPr>
            </w:pPr>
          </w:p>
        </w:tc>
        <w:tc>
          <w:tcPr>
            <w:tcW w:w="1985" w:type="dxa"/>
            <w:vAlign w:val="center"/>
          </w:tcPr>
          <w:p w14:paraId="1EF33D32" w14:textId="77777777" w:rsidR="000C3209" w:rsidRPr="00FE1F5C" w:rsidRDefault="000C3209" w:rsidP="009E5B62">
            <w:pPr>
              <w:autoSpaceDE w:val="0"/>
              <w:autoSpaceDN w:val="0"/>
              <w:adjustRightInd w:val="0"/>
              <w:spacing w:before="60"/>
              <w:jc w:val="left"/>
              <w:rPr>
                <w:rFonts w:cs="Arial"/>
                <w:sz w:val="19"/>
                <w:szCs w:val="19"/>
                <w:lang w:val="es-419"/>
              </w:rPr>
            </w:pPr>
            <w:r w:rsidRPr="00FE1F5C">
              <w:rPr>
                <w:sz w:val="19"/>
                <w:lang w:val="es-419"/>
              </w:rPr>
              <w:t xml:space="preserve">Tm2/Tm2 o Tm2/tm2 </w:t>
            </w:r>
          </w:p>
          <w:p w14:paraId="747F783C" w14:textId="77777777" w:rsidR="000C3209" w:rsidRPr="00FE1F5C" w:rsidRDefault="000C3209" w:rsidP="009E5B62">
            <w:pPr>
              <w:autoSpaceDE w:val="0"/>
              <w:autoSpaceDN w:val="0"/>
              <w:adjustRightInd w:val="0"/>
              <w:jc w:val="left"/>
              <w:rPr>
                <w:rFonts w:cs="Arial"/>
                <w:sz w:val="19"/>
                <w:szCs w:val="19"/>
                <w:lang w:val="es-419"/>
              </w:rPr>
            </w:pPr>
          </w:p>
          <w:p w14:paraId="5934842A"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y </w:t>
            </w:r>
          </w:p>
          <w:p w14:paraId="4EBF2E87" w14:textId="77777777" w:rsidR="000C3209" w:rsidRPr="00FE1F5C" w:rsidRDefault="000C3209" w:rsidP="009E5B62">
            <w:pPr>
              <w:autoSpaceDE w:val="0"/>
              <w:autoSpaceDN w:val="0"/>
              <w:adjustRightInd w:val="0"/>
              <w:jc w:val="left"/>
              <w:rPr>
                <w:rFonts w:cs="Arial"/>
                <w:sz w:val="19"/>
                <w:szCs w:val="19"/>
                <w:lang w:val="es-419"/>
              </w:rPr>
            </w:pPr>
          </w:p>
          <w:p w14:paraId="1768C0C5" w14:textId="1F5D90E2" w:rsidR="000C3209" w:rsidRPr="00FE1F5C" w:rsidRDefault="000C3209" w:rsidP="009E5B62">
            <w:pPr>
              <w:autoSpaceDE w:val="0"/>
              <w:autoSpaceDN w:val="0"/>
              <w:adjustRightInd w:val="0"/>
              <w:spacing w:before="60"/>
              <w:jc w:val="left"/>
              <w:rPr>
                <w:rFonts w:cs="Arial"/>
                <w:sz w:val="19"/>
                <w:szCs w:val="19"/>
                <w:lang w:val="es-419"/>
              </w:rPr>
            </w:pPr>
            <w:r w:rsidRPr="00FE1F5C">
              <w:rPr>
                <w:sz w:val="19"/>
                <w:lang w:val="es-419"/>
              </w:rPr>
              <w:t xml:space="preserve">Tm1/Tm1 o Tm1/tm1 o </w:t>
            </w:r>
            <w:r w:rsidR="009456B6" w:rsidRPr="00FE1F5C">
              <w:rPr>
                <w:sz w:val="19"/>
                <w:lang w:val="es-419"/>
              </w:rPr>
              <w:br/>
            </w:r>
            <w:r w:rsidRPr="00FE1F5C">
              <w:rPr>
                <w:sz w:val="19"/>
                <w:lang w:val="es-419"/>
              </w:rPr>
              <w:t>tm1/tm1</w:t>
            </w:r>
          </w:p>
        </w:tc>
        <w:tc>
          <w:tcPr>
            <w:tcW w:w="1843" w:type="dxa"/>
            <w:vAlign w:val="center"/>
          </w:tcPr>
          <w:p w14:paraId="28B8033C" w14:textId="77777777" w:rsidR="000C3209" w:rsidRPr="00FE1F5C" w:rsidRDefault="000C3209" w:rsidP="009E5B62">
            <w:pPr>
              <w:autoSpaceDE w:val="0"/>
              <w:autoSpaceDN w:val="0"/>
              <w:adjustRightInd w:val="0"/>
              <w:jc w:val="left"/>
              <w:rPr>
                <w:rFonts w:cs="Arial"/>
                <w:sz w:val="19"/>
                <w:szCs w:val="19"/>
                <w:lang w:val="es-419"/>
              </w:rPr>
            </w:pPr>
          </w:p>
          <w:p w14:paraId="3660DB15" w14:textId="0C19D13F" w:rsidR="000C3209" w:rsidRPr="00FE1F5C" w:rsidRDefault="000C3209" w:rsidP="009E5B62">
            <w:pPr>
              <w:autoSpaceDE w:val="0"/>
              <w:autoSpaceDN w:val="0"/>
              <w:adjustRightInd w:val="0"/>
              <w:spacing w:before="60"/>
              <w:jc w:val="left"/>
              <w:rPr>
                <w:rFonts w:cs="Arial"/>
                <w:sz w:val="19"/>
                <w:szCs w:val="19"/>
                <w:lang w:val="es-419"/>
              </w:rPr>
            </w:pPr>
            <w:r w:rsidRPr="00FE1F5C">
              <w:rPr>
                <w:sz w:val="19"/>
                <w:lang w:val="es-419"/>
              </w:rPr>
              <w:t>Tm2</w:t>
            </w:r>
            <w:r w:rsidRPr="00FE1F5C">
              <w:rPr>
                <w:sz w:val="19"/>
                <w:vertAlign w:val="superscript"/>
                <w:lang w:val="es-419"/>
              </w:rPr>
              <w:t>2</w:t>
            </w:r>
            <w:r w:rsidRPr="00FE1F5C">
              <w:rPr>
                <w:sz w:val="19"/>
                <w:lang w:val="es-419"/>
              </w:rPr>
              <w:t>/Tm2</w:t>
            </w:r>
            <w:r w:rsidRPr="00FE1F5C">
              <w:rPr>
                <w:sz w:val="19"/>
                <w:vertAlign w:val="superscript"/>
                <w:lang w:val="es-419"/>
              </w:rPr>
              <w:t>2</w:t>
            </w:r>
            <w:r w:rsidRPr="00FE1F5C">
              <w:rPr>
                <w:sz w:val="19"/>
                <w:lang w:val="es-419"/>
              </w:rPr>
              <w:t xml:space="preserve"> o Tm2</w:t>
            </w:r>
            <w:r w:rsidRPr="00FE1F5C">
              <w:rPr>
                <w:sz w:val="19"/>
                <w:vertAlign w:val="superscript"/>
                <w:lang w:val="es-419"/>
              </w:rPr>
              <w:t>2</w:t>
            </w:r>
            <w:r w:rsidRPr="00FE1F5C">
              <w:rPr>
                <w:sz w:val="19"/>
                <w:lang w:val="es-419"/>
              </w:rPr>
              <w:t>/Tm2 o</w:t>
            </w:r>
            <w:r w:rsidR="009456B6" w:rsidRPr="00FE1F5C">
              <w:rPr>
                <w:sz w:val="19"/>
                <w:lang w:val="es-419"/>
              </w:rPr>
              <w:br/>
            </w:r>
            <w:r w:rsidRPr="00FE1F5C">
              <w:rPr>
                <w:sz w:val="19"/>
                <w:lang w:val="es-419"/>
              </w:rPr>
              <w:t>Tm2</w:t>
            </w:r>
            <w:r w:rsidRPr="00FE1F5C">
              <w:rPr>
                <w:sz w:val="19"/>
                <w:vertAlign w:val="superscript"/>
                <w:lang w:val="es-419"/>
              </w:rPr>
              <w:t>2</w:t>
            </w:r>
            <w:r w:rsidRPr="00FE1F5C">
              <w:rPr>
                <w:sz w:val="19"/>
                <w:lang w:val="es-419"/>
              </w:rPr>
              <w:t>/tm2</w:t>
            </w:r>
          </w:p>
          <w:p w14:paraId="3CC176A4" w14:textId="77777777" w:rsidR="000C3209" w:rsidRPr="00FE1F5C" w:rsidRDefault="000C3209" w:rsidP="009E5B62">
            <w:pPr>
              <w:autoSpaceDE w:val="0"/>
              <w:autoSpaceDN w:val="0"/>
              <w:adjustRightInd w:val="0"/>
              <w:jc w:val="left"/>
              <w:rPr>
                <w:rFonts w:cs="Arial"/>
                <w:sz w:val="19"/>
                <w:szCs w:val="19"/>
                <w:lang w:val="es-419"/>
              </w:rPr>
            </w:pPr>
          </w:p>
          <w:p w14:paraId="64F14C64"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y </w:t>
            </w:r>
          </w:p>
          <w:p w14:paraId="180C77DD" w14:textId="77777777" w:rsidR="000C3209" w:rsidRPr="00FE1F5C" w:rsidRDefault="000C3209" w:rsidP="009E5B62">
            <w:pPr>
              <w:autoSpaceDE w:val="0"/>
              <w:autoSpaceDN w:val="0"/>
              <w:adjustRightInd w:val="0"/>
              <w:jc w:val="left"/>
              <w:rPr>
                <w:rFonts w:cs="Arial"/>
                <w:sz w:val="19"/>
                <w:szCs w:val="19"/>
                <w:lang w:val="es-419"/>
              </w:rPr>
            </w:pPr>
          </w:p>
          <w:p w14:paraId="315F2377"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Tm1/Tm1 o Tm1/tm1 o </w:t>
            </w:r>
          </w:p>
          <w:p w14:paraId="29E05F54"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tm1/tm1</w:t>
            </w:r>
          </w:p>
          <w:p w14:paraId="1FB5DDDA" w14:textId="77777777" w:rsidR="000C3209" w:rsidRPr="00FE1F5C" w:rsidRDefault="000C3209" w:rsidP="009E5B62">
            <w:pPr>
              <w:autoSpaceDE w:val="0"/>
              <w:autoSpaceDN w:val="0"/>
              <w:adjustRightInd w:val="0"/>
              <w:jc w:val="left"/>
              <w:rPr>
                <w:rFonts w:cs="Arial"/>
                <w:sz w:val="19"/>
                <w:szCs w:val="19"/>
                <w:lang w:val="es-419"/>
              </w:rPr>
            </w:pPr>
          </w:p>
        </w:tc>
        <w:tc>
          <w:tcPr>
            <w:tcW w:w="1842" w:type="dxa"/>
            <w:vAlign w:val="center"/>
          </w:tcPr>
          <w:p w14:paraId="1F0CC0D9" w14:textId="0CCEED18" w:rsidR="000C3209" w:rsidRPr="00FE1F5C" w:rsidRDefault="000C3209" w:rsidP="009E5B62">
            <w:pPr>
              <w:autoSpaceDE w:val="0"/>
              <w:autoSpaceDN w:val="0"/>
              <w:adjustRightInd w:val="0"/>
              <w:jc w:val="left"/>
              <w:rPr>
                <w:rFonts w:cs="Arial"/>
                <w:sz w:val="19"/>
                <w:szCs w:val="19"/>
                <w:lang w:val="es-419"/>
              </w:rPr>
            </w:pPr>
            <w:bookmarkStart w:id="17" w:name="_Hlk18316022"/>
            <w:r w:rsidRPr="00FE1F5C">
              <w:rPr>
                <w:sz w:val="19"/>
                <w:lang w:val="es-419"/>
              </w:rPr>
              <w:t xml:space="preserve">tm2tm2 </w:t>
            </w:r>
          </w:p>
          <w:bookmarkEnd w:id="17"/>
          <w:p w14:paraId="474F17B4" w14:textId="77777777" w:rsidR="000C3209" w:rsidRPr="00FE1F5C" w:rsidRDefault="000C3209" w:rsidP="009E5B62">
            <w:pPr>
              <w:autoSpaceDE w:val="0"/>
              <w:autoSpaceDN w:val="0"/>
              <w:adjustRightInd w:val="0"/>
              <w:jc w:val="left"/>
              <w:rPr>
                <w:rFonts w:cs="Arial"/>
                <w:sz w:val="19"/>
                <w:szCs w:val="19"/>
                <w:lang w:val="es-419"/>
              </w:rPr>
            </w:pPr>
          </w:p>
          <w:p w14:paraId="404D2A2F"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y</w:t>
            </w:r>
          </w:p>
          <w:p w14:paraId="6B582616" w14:textId="77777777" w:rsidR="000C3209" w:rsidRPr="00FE1F5C" w:rsidRDefault="000C3209" w:rsidP="009E5B62">
            <w:pPr>
              <w:autoSpaceDE w:val="0"/>
              <w:autoSpaceDN w:val="0"/>
              <w:adjustRightInd w:val="0"/>
              <w:jc w:val="left"/>
              <w:rPr>
                <w:rFonts w:cs="Arial"/>
                <w:sz w:val="19"/>
                <w:szCs w:val="19"/>
                <w:lang w:val="es-419"/>
              </w:rPr>
            </w:pPr>
          </w:p>
          <w:p w14:paraId="2FBA121B"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Tm1/Tm1 o </w:t>
            </w:r>
          </w:p>
          <w:p w14:paraId="10554FE2"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 xml:space="preserve">Tm1/tm1 </w:t>
            </w:r>
          </w:p>
        </w:tc>
      </w:tr>
      <w:tr w:rsidR="000C3209" w:rsidRPr="00FE1F5C" w14:paraId="257028A1" w14:textId="77777777" w:rsidTr="009E5B62">
        <w:trPr>
          <w:trHeight w:val="606"/>
        </w:trPr>
        <w:tc>
          <w:tcPr>
            <w:tcW w:w="2122" w:type="dxa"/>
            <w:vAlign w:val="center"/>
          </w:tcPr>
          <w:p w14:paraId="22916292"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Marcador Tm2/2</w:t>
            </w:r>
            <w:r w:rsidRPr="00FE1F5C">
              <w:rPr>
                <w:sz w:val="19"/>
                <w:vertAlign w:val="superscript"/>
                <w:lang w:val="es-419"/>
              </w:rPr>
              <w:t>2</w:t>
            </w:r>
          </w:p>
        </w:tc>
        <w:tc>
          <w:tcPr>
            <w:tcW w:w="1842" w:type="dxa"/>
            <w:vAlign w:val="center"/>
          </w:tcPr>
          <w:p w14:paraId="3E7F43DF"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alelo susceptible</w:t>
            </w:r>
          </w:p>
        </w:tc>
        <w:tc>
          <w:tcPr>
            <w:tcW w:w="1985" w:type="dxa"/>
            <w:vAlign w:val="center"/>
          </w:tcPr>
          <w:p w14:paraId="335B8AC5"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alelo resistente</w:t>
            </w:r>
          </w:p>
        </w:tc>
        <w:tc>
          <w:tcPr>
            <w:tcW w:w="1843" w:type="dxa"/>
            <w:vAlign w:val="center"/>
          </w:tcPr>
          <w:p w14:paraId="59E7695A"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alelo resistente</w:t>
            </w:r>
          </w:p>
        </w:tc>
        <w:tc>
          <w:tcPr>
            <w:tcW w:w="1842" w:type="dxa"/>
            <w:vAlign w:val="center"/>
          </w:tcPr>
          <w:p w14:paraId="1DC18DF8"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alelo susceptible</w:t>
            </w:r>
          </w:p>
        </w:tc>
      </w:tr>
      <w:tr w:rsidR="000C3209" w:rsidRPr="00FE1F5C" w14:paraId="44C52B9E" w14:textId="77777777" w:rsidTr="009E5B62">
        <w:trPr>
          <w:trHeight w:val="558"/>
        </w:trPr>
        <w:tc>
          <w:tcPr>
            <w:tcW w:w="2122" w:type="dxa"/>
            <w:vAlign w:val="center"/>
          </w:tcPr>
          <w:p w14:paraId="5AD3718B" w14:textId="77777777" w:rsidR="000C3209" w:rsidRPr="00FE1F5C" w:rsidRDefault="000C3209" w:rsidP="009E5B62">
            <w:pPr>
              <w:autoSpaceDE w:val="0"/>
              <w:autoSpaceDN w:val="0"/>
              <w:adjustRightInd w:val="0"/>
              <w:spacing w:before="120" w:after="120"/>
              <w:jc w:val="left"/>
              <w:rPr>
                <w:rFonts w:cs="Arial"/>
                <w:sz w:val="19"/>
                <w:szCs w:val="19"/>
                <w:lang w:val="es-419"/>
              </w:rPr>
            </w:pPr>
            <w:r w:rsidRPr="00FE1F5C">
              <w:rPr>
                <w:sz w:val="19"/>
                <w:lang w:val="es-419"/>
              </w:rPr>
              <w:t>Resistencia a la cepa 0 del </w:t>
            </w:r>
            <w:proofErr w:type="spellStart"/>
            <w:r w:rsidRPr="00FE1F5C">
              <w:rPr>
                <w:sz w:val="19"/>
                <w:lang w:val="es-419"/>
              </w:rPr>
              <w:t>ToMV</w:t>
            </w:r>
            <w:proofErr w:type="spellEnd"/>
          </w:p>
        </w:tc>
        <w:tc>
          <w:tcPr>
            <w:tcW w:w="1842" w:type="dxa"/>
            <w:vAlign w:val="center"/>
          </w:tcPr>
          <w:p w14:paraId="7CB7BF27"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ausente</w:t>
            </w:r>
          </w:p>
        </w:tc>
        <w:tc>
          <w:tcPr>
            <w:tcW w:w="1985" w:type="dxa"/>
            <w:vAlign w:val="center"/>
          </w:tcPr>
          <w:p w14:paraId="302D3D52"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presente</w:t>
            </w:r>
          </w:p>
        </w:tc>
        <w:tc>
          <w:tcPr>
            <w:tcW w:w="1843" w:type="dxa"/>
            <w:vAlign w:val="center"/>
          </w:tcPr>
          <w:p w14:paraId="529639E5"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presente</w:t>
            </w:r>
          </w:p>
        </w:tc>
        <w:tc>
          <w:tcPr>
            <w:tcW w:w="1842" w:type="dxa"/>
            <w:vAlign w:val="center"/>
          </w:tcPr>
          <w:p w14:paraId="6837EE7D" w14:textId="77777777" w:rsidR="000C3209" w:rsidRPr="00FE1F5C" w:rsidRDefault="000C3209" w:rsidP="009E5B62">
            <w:pPr>
              <w:autoSpaceDE w:val="0"/>
              <w:autoSpaceDN w:val="0"/>
              <w:adjustRightInd w:val="0"/>
              <w:jc w:val="left"/>
              <w:rPr>
                <w:rFonts w:cs="Arial"/>
                <w:sz w:val="19"/>
                <w:szCs w:val="19"/>
                <w:lang w:val="es-419"/>
              </w:rPr>
            </w:pPr>
            <w:r w:rsidRPr="00FE1F5C">
              <w:rPr>
                <w:sz w:val="19"/>
                <w:lang w:val="es-419"/>
              </w:rPr>
              <w:t>presente</w:t>
            </w:r>
          </w:p>
        </w:tc>
      </w:tr>
    </w:tbl>
    <w:p w14:paraId="5B27300D" w14:textId="77777777" w:rsidR="000C3209" w:rsidRPr="00FE1F5C" w:rsidRDefault="000C3209" w:rsidP="000C3209">
      <w:pPr>
        <w:autoSpaceDE w:val="0"/>
        <w:autoSpaceDN w:val="0"/>
        <w:adjustRightInd w:val="0"/>
        <w:jc w:val="left"/>
        <w:rPr>
          <w:rFonts w:eastAsia="Calibri" w:cs="Arial"/>
          <w:sz w:val="19"/>
          <w:szCs w:val="19"/>
          <w:lang w:val="es-419"/>
        </w:rPr>
      </w:pPr>
    </w:p>
    <w:p w14:paraId="096B52E5" w14:textId="35FA9D63"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Existe un marcador que señala la presencia de los alelos de resistencia Tm2 y Tm2</w:t>
      </w:r>
      <w:r w:rsidRPr="00FE1F5C">
        <w:rPr>
          <w:vertAlign w:val="superscript"/>
          <w:lang w:val="es-419"/>
        </w:rPr>
        <w:t>2</w:t>
      </w:r>
      <w:r w:rsidRPr="00FE1F5C">
        <w:rPr>
          <w:lang w:val="es-419"/>
        </w:rPr>
        <w:t xml:space="preserve"> y del alelo susceptible tm2</w:t>
      </w:r>
      <w:r w:rsidR="00511597" w:rsidRPr="00FE1F5C">
        <w:rPr>
          <w:lang w:val="es-419"/>
        </w:rPr>
        <w:t xml:space="preserve">. Es </w:t>
      </w:r>
      <w:r w:rsidRPr="00FE1F5C">
        <w:rPr>
          <w:lang w:val="es-419"/>
        </w:rPr>
        <w:t>el marcador Tm2/2</w:t>
      </w:r>
      <w:r w:rsidRPr="00FE1F5C">
        <w:rPr>
          <w:vertAlign w:val="superscript"/>
          <w:lang w:val="es-419"/>
        </w:rPr>
        <w:t>2</w:t>
      </w:r>
      <w:r w:rsidRPr="00FE1F5C">
        <w:rPr>
          <w:lang w:val="es-419"/>
        </w:rPr>
        <w:t xml:space="preserve"> que está posicionado en la secuencia que codifica la proteína.</w:t>
      </w:r>
    </w:p>
    <w:p w14:paraId="7557CB71" w14:textId="77777777" w:rsidR="000C3209" w:rsidRPr="00FE1F5C" w:rsidRDefault="000C3209" w:rsidP="000C3209">
      <w:pPr>
        <w:autoSpaceDE w:val="0"/>
        <w:autoSpaceDN w:val="0"/>
        <w:adjustRightInd w:val="0"/>
        <w:rPr>
          <w:rFonts w:eastAsia="Calibri" w:cs="Arial"/>
          <w:lang w:val="es-419"/>
        </w:rPr>
      </w:pPr>
    </w:p>
    <w:p w14:paraId="4424AD5B" w14:textId="6A74ABC4"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Una variedad es resistente a la cepa 0 del </w:t>
      </w:r>
      <w:proofErr w:type="spellStart"/>
      <w:r w:rsidRPr="00FE1F5C">
        <w:rPr>
          <w:lang w:val="es-419"/>
        </w:rPr>
        <w:t>ToMV</w:t>
      </w:r>
      <w:proofErr w:type="spellEnd"/>
      <w:r w:rsidRPr="00FE1F5C">
        <w:rPr>
          <w:lang w:val="es-419"/>
        </w:rPr>
        <w:t xml:space="preserve"> si está presente el alelo de resistencia Tm2 o el alelo de resistencia Tm2</w:t>
      </w:r>
      <w:r w:rsidRPr="00FE1F5C">
        <w:rPr>
          <w:vertAlign w:val="superscript"/>
          <w:lang w:val="es-419"/>
        </w:rPr>
        <w:t>2</w:t>
      </w:r>
      <w:r w:rsidRPr="00FE1F5C">
        <w:rPr>
          <w:lang w:val="es-419"/>
        </w:rPr>
        <w:t>.</w:t>
      </w:r>
      <w:r w:rsidR="00AC43CD" w:rsidRPr="00FE1F5C">
        <w:rPr>
          <w:lang w:val="es-419"/>
        </w:rPr>
        <w:t xml:space="preserve"> </w:t>
      </w:r>
      <w:r w:rsidRPr="00FE1F5C">
        <w:rPr>
          <w:lang w:val="es-419"/>
        </w:rPr>
        <w:t xml:space="preserve">En este caso, el análisis del marcador de ADN puede reemplazar al </w:t>
      </w:r>
      <w:proofErr w:type="spellStart"/>
      <w:r w:rsidRPr="00FE1F5C">
        <w:rPr>
          <w:lang w:val="es-419"/>
        </w:rPr>
        <w:t>bioanálisis</w:t>
      </w:r>
      <w:proofErr w:type="spellEnd"/>
      <w:r w:rsidRPr="00FE1F5C">
        <w:rPr>
          <w:lang w:val="es-419"/>
        </w:rPr>
        <w:t xml:space="preserve"> tradicional para determinar la resistencia a la cepa 0 del </w:t>
      </w:r>
      <w:proofErr w:type="spellStart"/>
      <w:r w:rsidRPr="00FE1F5C">
        <w:rPr>
          <w:lang w:val="es-419"/>
        </w:rPr>
        <w:t>ToMV</w:t>
      </w:r>
      <w:proofErr w:type="spellEnd"/>
      <w:r w:rsidRPr="00FE1F5C">
        <w:rPr>
          <w:lang w:val="es-419"/>
        </w:rPr>
        <w:t>.</w:t>
      </w:r>
    </w:p>
    <w:p w14:paraId="4E1B46E9" w14:textId="77777777" w:rsidR="000C3209" w:rsidRPr="00FE1F5C" w:rsidRDefault="000C3209" w:rsidP="000C3209">
      <w:pPr>
        <w:autoSpaceDE w:val="0"/>
        <w:autoSpaceDN w:val="0"/>
        <w:adjustRightInd w:val="0"/>
        <w:rPr>
          <w:rFonts w:eastAsia="Calibri" w:cs="Arial"/>
          <w:lang w:val="es-419"/>
        </w:rPr>
      </w:pPr>
    </w:p>
    <w:p w14:paraId="077C4418" w14:textId="18EE5F03"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Una variedad portadora del alelo homocigótico tm2 es susceptible a la cepa 0 del </w:t>
      </w:r>
      <w:proofErr w:type="spellStart"/>
      <w:r w:rsidRPr="00FE1F5C">
        <w:rPr>
          <w:lang w:val="es-419"/>
        </w:rPr>
        <w:t>ToMV</w:t>
      </w:r>
      <w:proofErr w:type="spellEnd"/>
      <w:r w:rsidRPr="00FE1F5C">
        <w:rPr>
          <w:lang w:val="es-419"/>
        </w:rPr>
        <w:t>, excepto cuando sea el alelo Tm1 el que codifique la resistencia.</w:t>
      </w:r>
      <w:r w:rsidR="00AC43CD" w:rsidRPr="00FE1F5C">
        <w:rPr>
          <w:lang w:val="es-419"/>
        </w:rPr>
        <w:t xml:space="preserve"> </w:t>
      </w:r>
      <w:r w:rsidRPr="00FE1F5C">
        <w:rPr>
          <w:lang w:val="es-419"/>
        </w:rPr>
        <w:t>En este caso, no es posible determinar la resistencia a la cepa 0 del </w:t>
      </w:r>
      <w:proofErr w:type="spellStart"/>
      <w:r w:rsidRPr="00FE1F5C">
        <w:rPr>
          <w:lang w:val="es-419"/>
        </w:rPr>
        <w:t>ToMV</w:t>
      </w:r>
      <w:proofErr w:type="spellEnd"/>
      <w:r w:rsidRPr="00FE1F5C">
        <w:rPr>
          <w:lang w:val="es-419"/>
        </w:rPr>
        <w:t xml:space="preserve"> mediante el análisis del marcador de ADN, porque no existe un marcador fiable del gen Tm1.</w:t>
      </w:r>
      <w:r w:rsidR="00AC43CD" w:rsidRPr="00FE1F5C">
        <w:rPr>
          <w:lang w:val="es-419"/>
        </w:rPr>
        <w:t xml:space="preserve"> </w:t>
      </w:r>
    </w:p>
    <w:p w14:paraId="454D1254" w14:textId="77777777" w:rsidR="000C3209" w:rsidRPr="00FE1F5C" w:rsidRDefault="000C3209" w:rsidP="000C3209">
      <w:pPr>
        <w:autoSpaceDE w:val="0"/>
        <w:autoSpaceDN w:val="0"/>
        <w:adjustRightInd w:val="0"/>
        <w:rPr>
          <w:rFonts w:eastAsia="Calibri" w:cs="Arial"/>
          <w:lang w:val="es-419"/>
        </w:rPr>
      </w:pPr>
    </w:p>
    <w:p w14:paraId="38C4F08A" w14:textId="0BBFC3A5" w:rsidR="000C3209" w:rsidRPr="00FE1F5C" w:rsidRDefault="000C3209" w:rsidP="00141A60">
      <w:pPr>
        <w:pStyle w:val="ListParagraph"/>
        <w:numPr>
          <w:ilvl w:val="0"/>
          <w:numId w:val="5"/>
        </w:numPr>
        <w:autoSpaceDE w:val="0"/>
        <w:autoSpaceDN w:val="0"/>
        <w:adjustRightInd w:val="0"/>
        <w:rPr>
          <w:rFonts w:eastAsia="Calibri" w:cs="Arial"/>
          <w:lang w:val="es-419"/>
        </w:rPr>
      </w:pPr>
      <w:r w:rsidRPr="00FE1F5C">
        <w:rPr>
          <w:lang w:val="es-419"/>
        </w:rPr>
        <w:t>Si se declara que una variedad es resistente a la cepa 0 del </w:t>
      </w:r>
      <w:proofErr w:type="spellStart"/>
      <w:r w:rsidRPr="00FE1F5C">
        <w:rPr>
          <w:lang w:val="es-419"/>
        </w:rPr>
        <w:t>ToMV</w:t>
      </w:r>
      <w:proofErr w:type="spellEnd"/>
      <w:r w:rsidRPr="00FE1F5C">
        <w:rPr>
          <w:lang w:val="es-419"/>
        </w:rPr>
        <w:t xml:space="preserve"> y el resultado del análisis del marcador de ADN es tm2/tm2 (homocigótico susceptible), se debe realizar un </w:t>
      </w:r>
      <w:proofErr w:type="spellStart"/>
      <w:r w:rsidRPr="00FE1F5C">
        <w:rPr>
          <w:lang w:val="es-419"/>
        </w:rPr>
        <w:t>bioanálisis</w:t>
      </w:r>
      <w:proofErr w:type="spellEnd"/>
      <w:r w:rsidRPr="00FE1F5C">
        <w:rPr>
          <w:lang w:val="es-419"/>
        </w:rPr>
        <w:t xml:space="preserve"> para determinar si la variedad es resistente, el cual se ha de basar en otro gen, por ejemplo, el Tm1.</w:t>
      </w:r>
      <w:r w:rsidR="00AC43CD" w:rsidRPr="00FE1F5C">
        <w:rPr>
          <w:lang w:val="es-419"/>
        </w:rPr>
        <w:t xml:space="preserve"> </w:t>
      </w:r>
      <w:r w:rsidRPr="00FE1F5C">
        <w:rPr>
          <w:highlight w:val="lightGray"/>
          <w:u w:val="single"/>
          <w:lang w:val="es-419"/>
        </w:rPr>
        <w:t>Si se declara que una variedad es susceptible a la cepa 0 del </w:t>
      </w:r>
      <w:proofErr w:type="spellStart"/>
      <w:r w:rsidRPr="00FE1F5C">
        <w:rPr>
          <w:highlight w:val="lightGray"/>
          <w:u w:val="single"/>
          <w:lang w:val="es-419"/>
        </w:rPr>
        <w:t>ToMV</w:t>
      </w:r>
      <w:proofErr w:type="spellEnd"/>
      <w:r w:rsidRPr="00FE1F5C">
        <w:rPr>
          <w:highlight w:val="lightGray"/>
          <w:u w:val="single"/>
          <w:lang w:val="es-419"/>
        </w:rPr>
        <w:t xml:space="preserve">, se debe realizar un </w:t>
      </w:r>
      <w:proofErr w:type="spellStart"/>
      <w:r w:rsidRPr="00FE1F5C">
        <w:rPr>
          <w:highlight w:val="lightGray"/>
          <w:u w:val="single"/>
          <w:lang w:val="es-419"/>
        </w:rPr>
        <w:t>bioanálisis</w:t>
      </w:r>
      <w:proofErr w:type="spellEnd"/>
      <w:r w:rsidRPr="00FE1F5C">
        <w:rPr>
          <w:highlight w:val="lightGray"/>
          <w:u w:val="single"/>
          <w:lang w:val="es-419"/>
        </w:rPr>
        <w:t xml:space="preserve"> para determinar si la variedad es resistente,</w:t>
      </w:r>
      <w:r w:rsidRPr="00FE1F5C">
        <w:rPr>
          <w:lang w:val="es-419"/>
        </w:rPr>
        <w:t xml:space="preserve"> </w:t>
      </w:r>
    </w:p>
    <w:p w14:paraId="764CB7AB" w14:textId="77777777" w:rsidR="000C3209" w:rsidRPr="00FE1F5C" w:rsidRDefault="000C3209" w:rsidP="000C3209">
      <w:pPr>
        <w:autoSpaceDE w:val="0"/>
        <w:autoSpaceDN w:val="0"/>
        <w:adjustRightInd w:val="0"/>
        <w:rPr>
          <w:rFonts w:eastAsia="Calibri" w:cs="Arial"/>
          <w:lang w:val="es-419"/>
        </w:rPr>
      </w:pPr>
    </w:p>
    <w:p w14:paraId="782F1DA5" w14:textId="77777777" w:rsidR="000C3209" w:rsidRPr="00FE1F5C" w:rsidRDefault="000C3209" w:rsidP="000C3209">
      <w:pPr>
        <w:rPr>
          <w:lang w:val="es-419"/>
        </w:rPr>
      </w:pPr>
    </w:p>
    <w:p w14:paraId="42912CF7" w14:textId="77777777" w:rsidR="00050E16" w:rsidRPr="00FE1F5C" w:rsidRDefault="00050E16" w:rsidP="00050E16">
      <w:pPr>
        <w:rPr>
          <w:lang w:val="es-419"/>
        </w:rPr>
      </w:pPr>
    </w:p>
    <w:p w14:paraId="33634DE3" w14:textId="55568ED7" w:rsidR="00050E16" w:rsidRPr="00FE1F5C" w:rsidRDefault="00050E16" w:rsidP="00141A60">
      <w:pPr>
        <w:jc w:val="right"/>
        <w:rPr>
          <w:lang w:val="es-419"/>
        </w:rPr>
      </w:pPr>
      <w:r w:rsidRPr="00FE1F5C">
        <w:rPr>
          <w:lang w:val="es-419"/>
        </w:rPr>
        <w:t>[Fin del Anexo y del documento]</w:t>
      </w:r>
    </w:p>
    <w:sectPr w:rsidR="00050E16" w:rsidRPr="00FE1F5C" w:rsidSect="00906DDC">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FF5E6" w14:textId="77777777" w:rsidR="0091152A" w:rsidRDefault="0091152A" w:rsidP="006655D3">
      <w:r>
        <w:separator/>
      </w:r>
    </w:p>
    <w:p w14:paraId="66B95B75" w14:textId="77777777" w:rsidR="0091152A" w:rsidRDefault="0091152A" w:rsidP="006655D3"/>
    <w:p w14:paraId="6FF68EB6" w14:textId="77777777" w:rsidR="0091152A" w:rsidRDefault="0091152A" w:rsidP="006655D3"/>
  </w:endnote>
  <w:endnote w:type="continuationSeparator" w:id="0">
    <w:p w14:paraId="547BA842" w14:textId="77777777" w:rsidR="0091152A" w:rsidRDefault="0091152A" w:rsidP="006655D3">
      <w:r>
        <w:separator/>
      </w:r>
    </w:p>
    <w:p w14:paraId="26F2C18C" w14:textId="77777777" w:rsidR="0091152A" w:rsidRPr="00294751" w:rsidRDefault="0091152A">
      <w:pPr>
        <w:pStyle w:val="Footer"/>
        <w:spacing w:after="60"/>
        <w:rPr>
          <w:sz w:val="18"/>
          <w:lang w:val="fr-FR"/>
        </w:rPr>
      </w:pPr>
      <w:r w:rsidRPr="00294751">
        <w:rPr>
          <w:sz w:val="18"/>
          <w:lang w:val="fr-FR"/>
        </w:rPr>
        <w:t>[Suite de la note de la page précédente]</w:t>
      </w:r>
    </w:p>
    <w:p w14:paraId="49F7DBF8" w14:textId="77777777" w:rsidR="0091152A" w:rsidRPr="00294751" w:rsidRDefault="0091152A" w:rsidP="006655D3">
      <w:pPr>
        <w:rPr>
          <w:lang w:val="fr-FR"/>
        </w:rPr>
      </w:pPr>
    </w:p>
    <w:p w14:paraId="44BE9734" w14:textId="77777777" w:rsidR="0091152A" w:rsidRPr="00294751" w:rsidRDefault="0091152A" w:rsidP="006655D3">
      <w:pPr>
        <w:rPr>
          <w:lang w:val="fr-FR"/>
        </w:rPr>
      </w:pPr>
    </w:p>
  </w:endnote>
  <w:endnote w:type="continuationNotice" w:id="1">
    <w:p w14:paraId="5AEEF14B" w14:textId="77777777" w:rsidR="0091152A" w:rsidRPr="00294751" w:rsidRDefault="0091152A" w:rsidP="006655D3">
      <w:pPr>
        <w:rPr>
          <w:lang w:val="fr-FR"/>
        </w:rPr>
      </w:pPr>
      <w:r w:rsidRPr="00294751">
        <w:rPr>
          <w:lang w:val="fr-FR"/>
        </w:rPr>
        <w:t>[Suite de la note page suivante]</w:t>
      </w:r>
    </w:p>
    <w:p w14:paraId="1BABADD4" w14:textId="77777777" w:rsidR="0091152A" w:rsidRPr="00294751" w:rsidRDefault="0091152A" w:rsidP="006655D3">
      <w:pPr>
        <w:rPr>
          <w:lang w:val="fr-FR"/>
        </w:rPr>
      </w:pPr>
    </w:p>
    <w:p w14:paraId="243860DB" w14:textId="77777777" w:rsidR="0091152A" w:rsidRPr="00294751" w:rsidRDefault="0091152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10EDCE" w14:textId="77777777" w:rsidR="0091152A" w:rsidRDefault="0091152A" w:rsidP="006655D3">
      <w:r>
        <w:separator/>
      </w:r>
    </w:p>
  </w:footnote>
  <w:footnote w:type="continuationSeparator" w:id="0">
    <w:p w14:paraId="07F7FE68" w14:textId="77777777" w:rsidR="0091152A" w:rsidRDefault="0091152A" w:rsidP="006655D3">
      <w:r>
        <w:separator/>
      </w:r>
    </w:p>
  </w:footnote>
  <w:footnote w:type="continuationNotice" w:id="1">
    <w:p w14:paraId="7F8CBE5F" w14:textId="77777777" w:rsidR="0091152A" w:rsidRPr="00AB530F" w:rsidRDefault="0091152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89E08" w14:textId="77777777" w:rsidR="000C3209" w:rsidRPr="00C5280D" w:rsidRDefault="000C3209" w:rsidP="00EB048E">
    <w:pPr>
      <w:pStyle w:val="Header"/>
      <w:rPr>
        <w:rStyle w:val="PageNumber"/>
      </w:rPr>
    </w:pPr>
    <w:r>
      <w:t>TC/55/15</w:t>
    </w:r>
  </w:p>
  <w:p w14:paraId="29537CB6" w14:textId="221A82D9" w:rsidR="000C3209" w:rsidRPr="00C5280D" w:rsidRDefault="000C3209"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11FBA">
      <w:rPr>
        <w:rStyle w:val="PageNumber"/>
        <w:noProof/>
      </w:rPr>
      <w:t>2</w:t>
    </w:r>
    <w:r w:rsidRPr="00C5280D">
      <w:rPr>
        <w:rStyle w:val="PageNumber"/>
      </w:rPr>
      <w:fldChar w:fldCharType="end"/>
    </w:r>
  </w:p>
  <w:p w14:paraId="02E429DD" w14:textId="77777777" w:rsidR="000C3209" w:rsidRPr="00C5280D" w:rsidRDefault="000C320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5C4E" w14:textId="77777777" w:rsidR="00182B99" w:rsidRPr="000A23DC" w:rsidRDefault="000B7BB9" w:rsidP="000A23DC">
    <w:pPr>
      <w:pStyle w:val="Header"/>
      <w:rPr>
        <w:rStyle w:val="PageNumber"/>
      </w:rPr>
    </w:pPr>
    <w:r>
      <w:rPr>
        <w:rStyle w:val="PageNumber"/>
      </w:rPr>
      <w:t>TC/55/</w:t>
    </w:r>
  </w:p>
  <w:p w14:paraId="018FD0B5" w14:textId="77777777"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0A23DC">
      <w:rPr>
        <w:rStyle w:val="PageNumber"/>
        <w:noProof/>
      </w:rPr>
      <w:t>2</w:t>
    </w:r>
    <w:r w:rsidR="00182B99" w:rsidRPr="00202E38">
      <w:rPr>
        <w:rStyle w:val="PageNumber"/>
      </w:rPr>
      <w:fldChar w:fldCharType="end"/>
    </w:r>
  </w:p>
  <w:p w14:paraId="054652B6" w14:textId="77777777" w:rsidR="00182B99" w:rsidRPr="00202E38"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B9DBCE" w14:textId="77777777" w:rsidR="000C3209" w:rsidRDefault="000C3209">
    <w:pPr>
      <w:pStyle w:val="Header"/>
    </w:pPr>
    <w:r>
      <w:t>TC/55/15</w:t>
    </w:r>
  </w:p>
  <w:p w14:paraId="66323D55" w14:textId="77777777" w:rsidR="000C3209" w:rsidRDefault="000C3209">
    <w:pPr>
      <w:pStyle w:val="Header"/>
    </w:pPr>
  </w:p>
  <w:p w14:paraId="3067DB5E" w14:textId="77777777" w:rsidR="000C3209" w:rsidRDefault="000C3209">
    <w:pPr>
      <w:pStyle w:val="Header"/>
    </w:pPr>
    <w:r>
      <w:t>ANEXO</w:t>
    </w:r>
  </w:p>
  <w:p w14:paraId="1B5777CC" w14:textId="77777777" w:rsidR="000C3209" w:rsidRPr="000C3209" w:rsidRDefault="000C32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732"/>
    <w:multiLevelType w:val="hybridMultilevel"/>
    <w:tmpl w:val="1AD6D8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F231EB7"/>
    <w:multiLevelType w:val="hybridMultilevel"/>
    <w:tmpl w:val="2DD0E6B6"/>
    <w:lvl w:ilvl="0" w:tplc="03809C74">
      <w:start w:val="1"/>
      <w:numFmt w:val="decimal"/>
      <w:lvlText w:val="%1."/>
      <w:lvlJc w:val="left"/>
      <w:pPr>
        <w:ind w:left="4820" w:firstLine="0"/>
      </w:pPr>
      <w:rPr>
        <w:rFonts w:hint="default"/>
      </w:rPr>
    </w:lvl>
    <w:lvl w:ilvl="1" w:tplc="0C0A0019" w:tentative="1">
      <w:start w:val="1"/>
      <w:numFmt w:val="lowerLetter"/>
      <w:lvlText w:val="%2."/>
      <w:lvlJc w:val="left"/>
      <w:pPr>
        <w:ind w:left="6260" w:hanging="360"/>
      </w:pPr>
    </w:lvl>
    <w:lvl w:ilvl="2" w:tplc="0C0A001B" w:tentative="1">
      <w:start w:val="1"/>
      <w:numFmt w:val="lowerRoman"/>
      <w:lvlText w:val="%3."/>
      <w:lvlJc w:val="right"/>
      <w:pPr>
        <w:ind w:left="6980" w:hanging="180"/>
      </w:pPr>
    </w:lvl>
    <w:lvl w:ilvl="3" w:tplc="0C0A000F" w:tentative="1">
      <w:start w:val="1"/>
      <w:numFmt w:val="decimal"/>
      <w:lvlText w:val="%4."/>
      <w:lvlJc w:val="left"/>
      <w:pPr>
        <w:ind w:left="7700" w:hanging="360"/>
      </w:pPr>
    </w:lvl>
    <w:lvl w:ilvl="4" w:tplc="0C0A0019" w:tentative="1">
      <w:start w:val="1"/>
      <w:numFmt w:val="lowerLetter"/>
      <w:lvlText w:val="%5."/>
      <w:lvlJc w:val="left"/>
      <w:pPr>
        <w:ind w:left="8420" w:hanging="360"/>
      </w:pPr>
    </w:lvl>
    <w:lvl w:ilvl="5" w:tplc="0C0A001B" w:tentative="1">
      <w:start w:val="1"/>
      <w:numFmt w:val="lowerRoman"/>
      <w:lvlText w:val="%6."/>
      <w:lvlJc w:val="right"/>
      <w:pPr>
        <w:ind w:left="9140" w:hanging="180"/>
      </w:pPr>
    </w:lvl>
    <w:lvl w:ilvl="6" w:tplc="0C0A000F" w:tentative="1">
      <w:start w:val="1"/>
      <w:numFmt w:val="decimal"/>
      <w:lvlText w:val="%7."/>
      <w:lvlJc w:val="left"/>
      <w:pPr>
        <w:ind w:left="9860" w:hanging="360"/>
      </w:pPr>
    </w:lvl>
    <w:lvl w:ilvl="7" w:tplc="0C0A0019" w:tentative="1">
      <w:start w:val="1"/>
      <w:numFmt w:val="lowerLetter"/>
      <w:lvlText w:val="%8."/>
      <w:lvlJc w:val="left"/>
      <w:pPr>
        <w:ind w:left="10580" w:hanging="360"/>
      </w:pPr>
    </w:lvl>
    <w:lvl w:ilvl="8" w:tplc="0C0A001B" w:tentative="1">
      <w:start w:val="1"/>
      <w:numFmt w:val="lowerRoman"/>
      <w:lvlText w:val="%9."/>
      <w:lvlJc w:val="right"/>
      <w:pPr>
        <w:ind w:left="11300" w:hanging="180"/>
      </w:pPr>
    </w:lvl>
  </w:abstractNum>
  <w:abstractNum w:abstractNumId="2" w15:restartNumberingAfterBreak="0">
    <w:nsid w:val="36077BB7"/>
    <w:multiLevelType w:val="hybridMultilevel"/>
    <w:tmpl w:val="FE246C80"/>
    <w:lvl w:ilvl="0" w:tplc="03809C7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205BC1"/>
    <w:multiLevelType w:val="hybridMultilevel"/>
    <w:tmpl w:val="AD809ECE"/>
    <w:lvl w:ilvl="0" w:tplc="03809C74">
      <w:start w:val="1"/>
      <w:numFmt w:val="decimal"/>
      <w:lvlText w:val="%1."/>
      <w:lvlJc w:val="left"/>
      <w:pPr>
        <w:ind w:left="0" w:firstLine="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463104F"/>
    <w:multiLevelType w:val="hybridMultilevel"/>
    <w:tmpl w:val="BB903BA0"/>
    <w:lvl w:ilvl="0" w:tplc="96B2B3D0">
      <w:start w:val="1"/>
      <w:numFmt w:val="decimal"/>
      <w:lvlText w:val="%1."/>
      <w:lvlJc w:val="left"/>
      <w:pPr>
        <w:ind w:left="567" w:hanging="567"/>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6" w:nlCheck="1" w:checkStyle="0"/>
  <w:activeWritingStyle w:appName="MSWord" w:lang="fr-FR" w:vendorID="64" w:dllVersion="6" w:nlCheck="1" w:checkStyle="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ES" w:vendorID="64" w:dllVersion="131078" w:nlCheck="1" w:checkStyle="0"/>
  <w:activeWritingStyle w:appName="MSWord" w:lang="fr-FR" w:vendorID="64" w:dllVersion="131078" w:nlCheck="1" w:checkStyle="0"/>
  <w:activeWritingStyle w:appName="MSWord" w:lang="es-419"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99"/>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3209"/>
    <w:rsid w:val="000C4E25"/>
    <w:rsid w:val="000C7021"/>
    <w:rsid w:val="000D6BBC"/>
    <w:rsid w:val="000D7780"/>
    <w:rsid w:val="000E636A"/>
    <w:rsid w:val="000F2F11"/>
    <w:rsid w:val="00105929"/>
    <w:rsid w:val="00110C36"/>
    <w:rsid w:val="001131D5"/>
    <w:rsid w:val="00141A60"/>
    <w:rsid w:val="00141DB8"/>
    <w:rsid w:val="00172084"/>
    <w:rsid w:val="0017474A"/>
    <w:rsid w:val="001758C6"/>
    <w:rsid w:val="00182B99"/>
    <w:rsid w:val="001F64BF"/>
    <w:rsid w:val="00202E38"/>
    <w:rsid w:val="0021332C"/>
    <w:rsid w:val="00213982"/>
    <w:rsid w:val="00223DE2"/>
    <w:rsid w:val="0024416D"/>
    <w:rsid w:val="002464A3"/>
    <w:rsid w:val="00266124"/>
    <w:rsid w:val="00271911"/>
    <w:rsid w:val="002800A0"/>
    <w:rsid w:val="002801B3"/>
    <w:rsid w:val="00281060"/>
    <w:rsid w:val="002940E8"/>
    <w:rsid w:val="00294751"/>
    <w:rsid w:val="002A56B5"/>
    <w:rsid w:val="002A6E50"/>
    <w:rsid w:val="002B4298"/>
    <w:rsid w:val="002C256A"/>
    <w:rsid w:val="002E5944"/>
    <w:rsid w:val="002F5BA4"/>
    <w:rsid w:val="00305A7F"/>
    <w:rsid w:val="00311FBA"/>
    <w:rsid w:val="003152FE"/>
    <w:rsid w:val="00327436"/>
    <w:rsid w:val="00344BD6"/>
    <w:rsid w:val="0035528D"/>
    <w:rsid w:val="00361821"/>
    <w:rsid w:val="00361E9E"/>
    <w:rsid w:val="00374F63"/>
    <w:rsid w:val="003B031A"/>
    <w:rsid w:val="003C7FBE"/>
    <w:rsid w:val="003D227C"/>
    <w:rsid w:val="003D2B4D"/>
    <w:rsid w:val="0040557F"/>
    <w:rsid w:val="00441A72"/>
    <w:rsid w:val="00444A88"/>
    <w:rsid w:val="00464A9B"/>
    <w:rsid w:val="00474DA4"/>
    <w:rsid w:val="00476B4D"/>
    <w:rsid w:val="004805FA"/>
    <w:rsid w:val="004935D2"/>
    <w:rsid w:val="004B1215"/>
    <w:rsid w:val="004D047D"/>
    <w:rsid w:val="004F1E9E"/>
    <w:rsid w:val="004F305A"/>
    <w:rsid w:val="00511597"/>
    <w:rsid w:val="00512164"/>
    <w:rsid w:val="00520297"/>
    <w:rsid w:val="005338F9"/>
    <w:rsid w:val="0054281C"/>
    <w:rsid w:val="00544581"/>
    <w:rsid w:val="00545E42"/>
    <w:rsid w:val="0055268D"/>
    <w:rsid w:val="00576BE4"/>
    <w:rsid w:val="005A1EC1"/>
    <w:rsid w:val="005A400A"/>
    <w:rsid w:val="005E7285"/>
    <w:rsid w:val="005F7B92"/>
    <w:rsid w:val="00612379"/>
    <w:rsid w:val="006153B6"/>
    <w:rsid w:val="0061555F"/>
    <w:rsid w:val="00636CA6"/>
    <w:rsid w:val="00637EDD"/>
    <w:rsid w:val="00641200"/>
    <w:rsid w:val="00645CA8"/>
    <w:rsid w:val="006655D3"/>
    <w:rsid w:val="00667404"/>
    <w:rsid w:val="00687EB4"/>
    <w:rsid w:val="00695C56"/>
    <w:rsid w:val="006A3885"/>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49F0"/>
    <w:rsid w:val="0080679D"/>
    <w:rsid w:val="008108B0"/>
    <w:rsid w:val="00811B20"/>
    <w:rsid w:val="008211B5"/>
    <w:rsid w:val="0082296E"/>
    <w:rsid w:val="00824099"/>
    <w:rsid w:val="008407A3"/>
    <w:rsid w:val="00846D7C"/>
    <w:rsid w:val="00864C55"/>
    <w:rsid w:val="00867AC1"/>
    <w:rsid w:val="008805C6"/>
    <w:rsid w:val="00890DF8"/>
    <w:rsid w:val="008A743F"/>
    <w:rsid w:val="008B3D8D"/>
    <w:rsid w:val="008C0970"/>
    <w:rsid w:val="008C0D99"/>
    <w:rsid w:val="008D0BC5"/>
    <w:rsid w:val="008D2CF7"/>
    <w:rsid w:val="008F6233"/>
    <w:rsid w:val="00900C26"/>
    <w:rsid w:val="0090197F"/>
    <w:rsid w:val="00906DDC"/>
    <w:rsid w:val="0091152A"/>
    <w:rsid w:val="00926BF6"/>
    <w:rsid w:val="00934E09"/>
    <w:rsid w:val="00936253"/>
    <w:rsid w:val="00940D46"/>
    <w:rsid w:val="009456B6"/>
    <w:rsid w:val="00952DD4"/>
    <w:rsid w:val="0096175D"/>
    <w:rsid w:val="00965AE7"/>
    <w:rsid w:val="00970FED"/>
    <w:rsid w:val="00992D82"/>
    <w:rsid w:val="00997029"/>
    <w:rsid w:val="009A7339"/>
    <w:rsid w:val="009B440E"/>
    <w:rsid w:val="009D0799"/>
    <w:rsid w:val="009D690D"/>
    <w:rsid w:val="009E65B6"/>
    <w:rsid w:val="00A24C10"/>
    <w:rsid w:val="00A42AC3"/>
    <w:rsid w:val="00A430CF"/>
    <w:rsid w:val="00A54309"/>
    <w:rsid w:val="00A706D3"/>
    <w:rsid w:val="00AB2B93"/>
    <w:rsid w:val="00AB525F"/>
    <w:rsid w:val="00AB530F"/>
    <w:rsid w:val="00AB7E5B"/>
    <w:rsid w:val="00AC2883"/>
    <w:rsid w:val="00AC43CD"/>
    <w:rsid w:val="00AE0EF1"/>
    <w:rsid w:val="00AE2937"/>
    <w:rsid w:val="00B07301"/>
    <w:rsid w:val="00B11F3E"/>
    <w:rsid w:val="00B224DE"/>
    <w:rsid w:val="00B324D4"/>
    <w:rsid w:val="00B34C20"/>
    <w:rsid w:val="00B46575"/>
    <w:rsid w:val="00B61777"/>
    <w:rsid w:val="00B84BBD"/>
    <w:rsid w:val="00BA40B8"/>
    <w:rsid w:val="00BA43FB"/>
    <w:rsid w:val="00BC0BD4"/>
    <w:rsid w:val="00BC127D"/>
    <w:rsid w:val="00BC1FE6"/>
    <w:rsid w:val="00BF324D"/>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7B32"/>
    <w:rsid w:val="00CE417B"/>
    <w:rsid w:val="00CE49AB"/>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1F5C"/>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0AA02D3"/>
  <w15:docId w15:val="{C94367B0-B181-4AAF-A95B-08EE51B4D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AB525F"/>
    <w:pPr>
      <w:tabs>
        <w:tab w:val="right" w:leader="dot" w:pos="9639"/>
      </w:tabs>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uiPriority w:val="39"/>
    <w:rsid w:val="000C320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ListParagraph">
    <w:name w:val="List Paragraph"/>
    <w:basedOn w:val="Normal"/>
    <w:uiPriority w:val="34"/>
    <w:qFormat/>
    <w:rsid w:val="00464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1376</Words>
  <Characters>7080</Characters>
  <Application>Microsoft Office Word</Application>
  <DocSecurity>0</DocSecurity>
  <Lines>59</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TC/55/15</vt:lpstr>
      <vt:lpstr>TC/55/15</vt:lpstr>
    </vt:vector>
  </TitlesOfParts>
  <Company>UPOV</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TC/55/15</dc:title>
  <dc:creator>CEVALLOS DUQUE Nilo</dc:creator>
  <cp:lastModifiedBy>SANTOS Carla Marina</cp:lastModifiedBy>
  <cp:revision>5</cp:revision>
  <cp:lastPrinted>2016-11-22T15:41:00Z</cp:lastPrinted>
  <dcterms:created xsi:type="dcterms:W3CDTF">2019-09-04T12:33:00Z</dcterms:created>
  <dcterms:modified xsi:type="dcterms:W3CDTF">2019-09-06T17:57:00Z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eced353b-5609-49ac-9b41-3439b0a2fb95</vt:lpwstr>
  </property>
</Properties>
</file>