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063783" w:rsidTr="00EB4E9C">
        <w:tc>
          <w:tcPr>
            <w:tcW w:w="6522" w:type="dxa"/>
          </w:tcPr>
          <w:p w:rsidR="00DC3802" w:rsidRPr="00063783" w:rsidRDefault="00DC3802" w:rsidP="00AC2883">
            <w:pPr>
              <w:rPr>
                <w:lang w:val="es-419"/>
              </w:rPr>
            </w:pPr>
            <w:r w:rsidRPr="00063783">
              <w:rPr>
                <w:noProof/>
                <w:lang w:val="en-US" w:eastAsia="en-US" w:bidi="ar-SA"/>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063783" w:rsidRDefault="003F4EA5" w:rsidP="00AC2883">
            <w:pPr>
              <w:pStyle w:val="Lettrine"/>
              <w:rPr>
                <w:lang w:val="es-419"/>
              </w:rPr>
            </w:pPr>
            <w:r w:rsidRPr="00063783">
              <w:rPr>
                <w:lang w:val="es-419"/>
              </w:rPr>
              <w:t>S</w:t>
            </w:r>
          </w:p>
        </w:tc>
      </w:tr>
      <w:tr w:rsidR="00DC3802" w:rsidRPr="00063783" w:rsidTr="00645CA8">
        <w:trPr>
          <w:trHeight w:val="219"/>
        </w:trPr>
        <w:tc>
          <w:tcPr>
            <w:tcW w:w="6522" w:type="dxa"/>
          </w:tcPr>
          <w:p w:rsidR="00DC3802" w:rsidRPr="00063783" w:rsidRDefault="003F4EA5" w:rsidP="00AC2883">
            <w:pPr>
              <w:pStyle w:val="upove"/>
              <w:rPr>
                <w:lang w:val="es-419"/>
              </w:rPr>
            </w:pPr>
            <w:r w:rsidRPr="00063783">
              <w:rPr>
                <w:lang w:val="es-419"/>
              </w:rPr>
              <w:t>Unión Internacional para la Protección de las Obtenciones Vegetales</w:t>
            </w:r>
          </w:p>
        </w:tc>
        <w:tc>
          <w:tcPr>
            <w:tcW w:w="3117" w:type="dxa"/>
          </w:tcPr>
          <w:p w:rsidR="00DC3802" w:rsidRPr="00063783" w:rsidRDefault="00DC3802" w:rsidP="00DA4973">
            <w:pPr>
              <w:rPr>
                <w:lang w:val="es-419"/>
              </w:rPr>
            </w:pPr>
          </w:p>
        </w:tc>
      </w:tr>
    </w:tbl>
    <w:p w:rsidR="00DC3802" w:rsidRPr="00063783" w:rsidRDefault="00DC3802" w:rsidP="00DC3802">
      <w:pPr>
        <w:rPr>
          <w:lang w:val="es-419"/>
        </w:rPr>
      </w:pPr>
    </w:p>
    <w:p w:rsidR="00DA4973" w:rsidRPr="00063783" w:rsidRDefault="00DA4973" w:rsidP="00DC3802">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063783" w:rsidTr="00EB4E9C">
        <w:tc>
          <w:tcPr>
            <w:tcW w:w="6512" w:type="dxa"/>
          </w:tcPr>
          <w:p w:rsidR="003F4EA5" w:rsidRPr="00063783" w:rsidRDefault="003F4EA5" w:rsidP="003F4EA5">
            <w:pPr>
              <w:pStyle w:val="Sessiontc"/>
              <w:spacing w:line="240" w:lineRule="auto"/>
              <w:rPr>
                <w:lang w:val="es-419"/>
              </w:rPr>
            </w:pPr>
            <w:r w:rsidRPr="00063783">
              <w:rPr>
                <w:lang w:val="es-419"/>
              </w:rPr>
              <w:t>Comité Técnico</w:t>
            </w:r>
          </w:p>
          <w:p w:rsidR="00EB4E9C" w:rsidRPr="00063783" w:rsidRDefault="003F4EA5" w:rsidP="006D7435">
            <w:pPr>
              <w:pStyle w:val="Sessiontcplacedate"/>
              <w:rPr>
                <w:sz w:val="22"/>
                <w:lang w:val="es-419"/>
              </w:rPr>
            </w:pPr>
            <w:r w:rsidRPr="00063783">
              <w:rPr>
                <w:lang w:val="es-419"/>
              </w:rPr>
              <w:t>Quincuagésima quinta sesión</w:t>
            </w:r>
            <w:r w:rsidRPr="00063783">
              <w:rPr>
                <w:lang w:val="es-419"/>
              </w:rPr>
              <w:br/>
              <w:t>Ginebra, 28 y 29 de octubre de 2019</w:t>
            </w:r>
          </w:p>
        </w:tc>
        <w:tc>
          <w:tcPr>
            <w:tcW w:w="3127" w:type="dxa"/>
          </w:tcPr>
          <w:p w:rsidR="00EB4E9C" w:rsidRPr="00063783" w:rsidRDefault="006D7435" w:rsidP="003C7FBE">
            <w:pPr>
              <w:pStyle w:val="Doccode"/>
              <w:rPr>
                <w:lang w:val="es-419"/>
              </w:rPr>
            </w:pPr>
            <w:r w:rsidRPr="00063783">
              <w:rPr>
                <w:lang w:val="es-419"/>
              </w:rPr>
              <w:t>TC/55/12 Add.</w:t>
            </w:r>
          </w:p>
          <w:p w:rsidR="00EB4E9C" w:rsidRPr="00063783" w:rsidRDefault="00EB4E9C" w:rsidP="003C7FBE">
            <w:pPr>
              <w:pStyle w:val="Docoriginal"/>
              <w:rPr>
                <w:lang w:val="es-419"/>
              </w:rPr>
            </w:pPr>
            <w:r w:rsidRPr="00063783">
              <w:rPr>
                <w:lang w:val="es-419"/>
              </w:rPr>
              <w:t>Original:</w:t>
            </w:r>
            <w:r w:rsidRPr="00063783">
              <w:rPr>
                <w:b w:val="0"/>
                <w:spacing w:val="0"/>
                <w:lang w:val="es-419"/>
              </w:rPr>
              <w:t xml:space="preserve"> Inglés</w:t>
            </w:r>
          </w:p>
          <w:p w:rsidR="00EB4E9C" w:rsidRPr="00063783" w:rsidRDefault="003F4EA5" w:rsidP="003F4EA5">
            <w:pPr>
              <w:pStyle w:val="Docoriginal"/>
              <w:rPr>
                <w:lang w:val="es-419"/>
              </w:rPr>
            </w:pPr>
            <w:r w:rsidRPr="00063783">
              <w:rPr>
                <w:lang w:val="es-419"/>
              </w:rPr>
              <w:t>Fecha:</w:t>
            </w:r>
            <w:r w:rsidRPr="00063783">
              <w:rPr>
                <w:b w:val="0"/>
                <w:spacing w:val="0"/>
                <w:lang w:val="es-419"/>
              </w:rPr>
              <w:t xml:space="preserve"> </w:t>
            </w:r>
            <w:r w:rsidR="00845259" w:rsidRPr="00845259">
              <w:rPr>
                <w:b w:val="0"/>
                <w:spacing w:val="0"/>
                <w:lang w:val="es-419"/>
              </w:rPr>
              <w:t>3</w:t>
            </w:r>
            <w:r w:rsidRPr="00845259">
              <w:rPr>
                <w:b w:val="0"/>
                <w:spacing w:val="0"/>
                <w:lang w:val="es-419"/>
              </w:rPr>
              <w:t xml:space="preserve"> de octubre de2019</w:t>
            </w:r>
          </w:p>
        </w:tc>
      </w:tr>
    </w:tbl>
    <w:p w:rsidR="000D7780" w:rsidRPr="00063783" w:rsidRDefault="00915DF2" w:rsidP="006A644A">
      <w:pPr>
        <w:pStyle w:val="Titleofdoc0"/>
        <w:rPr>
          <w:lang w:val="es-419"/>
        </w:rPr>
      </w:pPr>
      <w:bookmarkStart w:id="0" w:name="TitleOfDoc"/>
      <w:bookmarkEnd w:id="0"/>
      <w:r w:rsidRPr="00063783">
        <w:rPr>
          <w:lang w:val="es-419"/>
        </w:rPr>
        <w:t>Adición al documento: Caracteres que solo se aplican a ciertas variedades</w:t>
      </w:r>
    </w:p>
    <w:p w:rsidR="003F4EA5" w:rsidRPr="00063783" w:rsidRDefault="003F4EA5" w:rsidP="003F4EA5">
      <w:pPr>
        <w:pStyle w:val="preparedby1"/>
        <w:jc w:val="left"/>
        <w:rPr>
          <w:lang w:val="es-419"/>
        </w:rPr>
      </w:pPr>
      <w:bookmarkStart w:id="1" w:name="Prepared"/>
      <w:bookmarkStart w:id="2" w:name="_Toc20839457"/>
      <w:bookmarkEnd w:id="1"/>
      <w:r w:rsidRPr="00063783">
        <w:rPr>
          <w:lang w:val="es-419"/>
        </w:rPr>
        <w:t>Documento preparado por la Oficina de la Unión</w:t>
      </w:r>
    </w:p>
    <w:p w:rsidR="003F4EA5" w:rsidRPr="00063783" w:rsidRDefault="003F4EA5" w:rsidP="003F4EA5">
      <w:pPr>
        <w:pStyle w:val="Disclaimer"/>
        <w:rPr>
          <w:lang w:val="es-419"/>
        </w:rPr>
      </w:pPr>
      <w:r w:rsidRPr="00063783">
        <w:rPr>
          <w:lang w:val="es-419"/>
        </w:rPr>
        <w:t>Descargo de responsabilidad: el presente documento no constituye un documento de política u orientación de la UPOV</w:t>
      </w:r>
    </w:p>
    <w:p w:rsidR="00025F28" w:rsidRPr="00063783" w:rsidRDefault="00025F28" w:rsidP="00025F28">
      <w:pPr>
        <w:pStyle w:val="Heading1"/>
        <w:rPr>
          <w:snapToGrid w:val="0"/>
          <w:lang w:val="es-419"/>
        </w:rPr>
      </w:pPr>
      <w:bookmarkStart w:id="3" w:name="_Toc21602696"/>
      <w:r w:rsidRPr="00063783">
        <w:rPr>
          <w:lang w:val="es-419"/>
        </w:rPr>
        <w:t>RESUMEN</w:t>
      </w:r>
      <w:bookmarkEnd w:id="2"/>
      <w:bookmarkEnd w:id="3"/>
    </w:p>
    <w:p w:rsidR="00025F28" w:rsidRPr="00063783" w:rsidRDefault="00025F28" w:rsidP="00025F28">
      <w:pPr>
        <w:rPr>
          <w:snapToGrid w:val="0"/>
          <w:lang w:val="es-419"/>
        </w:rPr>
      </w:pPr>
    </w:p>
    <w:p w:rsidR="00025F28" w:rsidRPr="00063783" w:rsidRDefault="001031C0" w:rsidP="003F4EA5">
      <w:pPr>
        <w:pStyle w:val="ListParagraph"/>
        <w:numPr>
          <w:ilvl w:val="0"/>
          <w:numId w:val="2"/>
        </w:numPr>
        <w:rPr>
          <w:snapToGrid w:val="0"/>
          <w:lang w:val="es-419"/>
        </w:rPr>
      </w:pPr>
      <w:r w:rsidRPr="00063783">
        <w:rPr>
          <w:lang w:val="es-419"/>
        </w:rPr>
        <w:t>Esta adición tiene por objeto informar acerca de las novedades que se han producido en la cuadragésima octava sesión del Grupo de Trabajo Técnico sobre Plantas Agrícolas (TWA) y presentar una propuesta revisada de modificación de la orientación que se ofrece actualmente en el documento TGP/7 “Elaboración de las Directrices de Examen”, a fin de permitir que se excluya la observación de un carácter sobre la base del nivel de expresión de un carácter cuantitativo o pseudocualitativo anterior.</w:t>
      </w:r>
    </w:p>
    <w:p w:rsidR="001031C0" w:rsidRPr="00063783" w:rsidRDefault="001031C0" w:rsidP="004B1215">
      <w:pPr>
        <w:rPr>
          <w:snapToGrid w:val="0"/>
          <w:lang w:val="es-419"/>
        </w:rPr>
      </w:pPr>
    </w:p>
    <w:p w:rsidR="00025F28" w:rsidRPr="00063783" w:rsidRDefault="00025F28" w:rsidP="003F4EA5">
      <w:pPr>
        <w:pStyle w:val="ListParagraph"/>
        <w:numPr>
          <w:ilvl w:val="0"/>
          <w:numId w:val="2"/>
        </w:numPr>
        <w:rPr>
          <w:rFonts w:cs="Arial"/>
          <w:bCs/>
          <w:snapToGrid w:val="0"/>
          <w:lang w:val="es-419"/>
        </w:rPr>
      </w:pPr>
      <w:r w:rsidRPr="00063783">
        <w:rPr>
          <w:lang w:val="es-419"/>
        </w:rPr>
        <w:t>Se invita al TC a examinar:</w:t>
      </w:r>
    </w:p>
    <w:p w:rsidR="00025F28" w:rsidRPr="00063783" w:rsidRDefault="00025F28" w:rsidP="00025F28">
      <w:pPr>
        <w:rPr>
          <w:rFonts w:cs="Arial"/>
          <w:bCs/>
          <w:snapToGrid w:val="0"/>
          <w:lang w:val="es-419"/>
        </w:rPr>
      </w:pPr>
    </w:p>
    <w:p w:rsidR="00025F28" w:rsidRPr="00845259" w:rsidRDefault="00B62C8C" w:rsidP="00B62C8C">
      <w:pPr>
        <w:tabs>
          <w:tab w:val="left" w:pos="1134"/>
        </w:tabs>
        <w:ind w:firstLine="567"/>
        <w:rPr>
          <w:rFonts w:cs="Arial"/>
          <w:bCs/>
          <w:snapToGrid w:val="0"/>
          <w:lang w:val="es-419"/>
        </w:rPr>
      </w:pPr>
      <w:r w:rsidRPr="00063783">
        <w:rPr>
          <w:lang w:val="es-419"/>
        </w:rPr>
        <w:t>a)</w:t>
      </w:r>
      <w:r w:rsidRPr="00063783">
        <w:rPr>
          <w:lang w:val="es-419"/>
        </w:rPr>
        <w:tab/>
      </w:r>
      <w:r w:rsidR="00025F28" w:rsidRPr="00063783">
        <w:rPr>
          <w:lang w:val="es-419"/>
        </w:rPr>
        <w:t xml:space="preserve">los ejemplos de caracteres cuantitativos y pseudocualitativos facilitados por los TWP, en sus sesiones de 2019, para mostrar cómo puede emplearse el enfoque </w:t>
      </w:r>
      <w:r w:rsidR="00025F28" w:rsidRPr="00845259">
        <w:rPr>
          <w:lang w:val="es-419"/>
        </w:rPr>
        <w:t xml:space="preserve">propuesto de manera que no plantee riesgos respecto de las decisiones sobre la distinción, según se expone en el </w:t>
      </w:r>
      <w:r w:rsidR="00025F28" w:rsidRPr="00845259">
        <w:rPr>
          <w:snapToGrid w:val="0"/>
          <w:lang w:val="es-419"/>
        </w:rPr>
        <w:t>párrafo 13</w:t>
      </w:r>
      <w:r w:rsidR="00025F28" w:rsidRPr="00845259">
        <w:rPr>
          <w:lang w:val="es-419"/>
        </w:rPr>
        <w:t xml:space="preserve"> de este documento; y</w:t>
      </w:r>
    </w:p>
    <w:p w:rsidR="00025F28" w:rsidRPr="00845259" w:rsidRDefault="00025F28" w:rsidP="00B62C8C">
      <w:pPr>
        <w:tabs>
          <w:tab w:val="left" w:pos="1134"/>
        </w:tabs>
        <w:ind w:firstLine="567"/>
        <w:rPr>
          <w:rFonts w:cs="Arial"/>
          <w:bCs/>
          <w:snapToGrid w:val="0"/>
          <w:lang w:val="es-419"/>
        </w:rPr>
      </w:pPr>
    </w:p>
    <w:p w:rsidR="00025F28" w:rsidRPr="00063783" w:rsidRDefault="00B62C8C" w:rsidP="00B62C8C">
      <w:pPr>
        <w:tabs>
          <w:tab w:val="left" w:pos="1134"/>
        </w:tabs>
        <w:ind w:firstLine="567"/>
        <w:rPr>
          <w:rFonts w:cs="Arial"/>
          <w:bCs/>
          <w:snapToGrid w:val="0"/>
          <w:lang w:val="es-419"/>
        </w:rPr>
      </w:pPr>
      <w:r w:rsidRPr="00845259">
        <w:rPr>
          <w:lang w:val="es-419"/>
        </w:rPr>
        <w:t>b)</w:t>
      </w:r>
      <w:r w:rsidRPr="00845259">
        <w:rPr>
          <w:lang w:val="es-419"/>
        </w:rPr>
        <w:tab/>
      </w:r>
      <w:r w:rsidR="00025F28" w:rsidRPr="00845259">
        <w:rPr>
          <w:lang w:val="es-419"/>
        </w:rPr>
        <w:t>la propuesta de modificación de la orientación del documento TGP/7, nota orientativa 18 (GN</w:t>
      </w:r>
      <w:r w:rsidRPr="00845259">
        <w:rPr>
          <w:lang w:val="es-419"/>
        </w:rPr>
        <w:t> </w:t>
      </w:r>
      <w:r w:rsidR="00025F28" w:rsidRPr="00845259">
        <w:rPr>
          <w:lang w:val="es-419"/>
        </w:rPr>
        <w:t xml:space="preserve">18), a fin de permitir la exclusión de un carácter de la observación sobre la base del nivel de expresión de un carácter pseudocualitativo o cuantitativo anterior, expuesta en el </w:t>
      </w:r>
      <w:r w:rsidR="00025F28" w:rsidRPr="00845259">
        <w:rPr>
          <w:snapToGrid w:val="0"/>
          <w:lang w:val="es-419"/>
        </w:rPr>
        <w:t>párrafo 14</w:t>
      </w:r>
      <w:r w:rsidR="00025F28" w:rsidRPr="00845259">
        <w:rPr>
          <w:lang w:val="es-419"/>
        </w:rPr>
        <w:t xml:space="preserve"> de este d</w:t>
      </w:r>
      <w:r w:rsidR="00025F28" w:rsidRPr="00063783">
        <w:rPr>
          <w:lang w:val="es-419"/>
        </w:rPr>
        <w:t>ocumento.</w:t>
      </w:r>
    </w:p>
    <w:p w:rsidR="00915DF2" w:rsidRPr="00063783" w:rsidRDefault="00915DF2" w:rsidP="004B1215">
      <w:pPr>
        <w:rPr>
          <w:snapToGrid w:val="0"/>
          <w:lang w:val="es-419"/>
        </w:rPr>
      </w:pPr>
    </w:p>
    <w:p w:rsidR="00000F72" w:rsidRPr="00063783" w:rsidRDefault="00000F72" w:rsidP="003F4EA5">
      <w:pPr>
        <w:pStyle w:val="ListParagraph"/>
        <w:numPr>
          <w:ilvl w:val="0"/>
          <w:numId w:val="2"/>
        </w:numPr>
        <w:jc w:val="left"/>
        <w:rPr>
          <w:rFonts w:cs="Arial"/>
          <w:color w:val="000000"/>
          <w:lang w:val="es-419"/>
        </w:rPr>
      </w:pPr>
      <w:r w:rsidRPr="00063783">
        <w:rPr>
          <w:color w:val="000000"/>
          <w:lang w:val="es-419"/>
        </w:rPr>
        <w:t>En el presente documento se utilizan las abreviaturas siguientes:</w:t>
      </w:r>
    </w:p>
    <w:p w:rsidR="00000F72" w:rsidRPr="00063783" w:rsidRDefault="00000F72" w:rsidP="00000F72">
      <w:pPr>
        <w:jc w:val="left"/>
        <w:rPr>
          <w:rFonts w:cs="Arial"/>
          <w:color w:val="000000"/>
          <w:lang w:val="es-419"/>
        </w:rPr>
      </w:pPr>
    </w:p>
    <w:p w:rsidR="00000F72" w:rsidRPr="00063783" w:rsidRDefault="00000F72" w:rsidP="0008623A">
      <w:pPr>
        <w:tabs>
          <w:tab w:val="left" w:pos="1134"/>
        </w:tabs>
        <w:jc w:val="left"/>
        <w:rPr>
          <w:rFonts w:cs="Arial"/>
          <w:color w:val="000000"/>
          <w:lang w:val="es-419"/>
        </w:rPr>
      </w:pPr>
      <w:r w:rsidRPr="00063783">
        <w:rPr>
          <w:color w:val="000000"/>
          <w:lang w:val="es-419"/>
        </w:rPr>
        <w:t>TC:</w:t>
      </w:r>
      <w:r w:rsidRPr="00063783">
        <w:rPr>
          <w:lang w:val="es-419"/>
        </w:rPr>
        <w:tab/>
      </w:r>
      <w:r w:rsidRPr="00063783">
        <w:rPr>
          <w:color w:val="000000"/>
          <w:lang w:val="es-419"/>
        </w:rPr>
        <w:t>Comité Técnico</w:t>
      </w:r>
    </w:p>
    <w:p w:rsidR="00000F72" w:rsidRPr="00063783" w:rsidRDefault="00000F72" w:rsidP="0008623A">
      <w:pPr>
        <w:tabs>
          <w:tab w:val="left" w:pos="1134"/>
        </w:tabs>
        <w:jc w:val="left"/>
        <w:rPr>
          <w:rFonts w:cs="Arial"/>
          <w:color w:val="000000"/>
          <w:lang w:val="es-419"/>
        </w:rPr>
      </w:pPr>
      <w:r w:rsidRPr="00063783">
        <w:rPr>
          <w:color w:val="000000"/>
          <w:lang w:val="es-419"/>
        </w:rPr>
        <w:t>TC-EDC:</w:t>
      </w:r>
      <w:r w:rsidRPr="00063783">
        <w:rPr>
          <w:lang w:val="es-419"/>
        </w:rPr>
        <w:tab/>
      </w:r>
      <w:r w:rsidRPr="00063783">
        <w:rPr>
          <w:color w:val="000000"/>
          <w:lang w:val="es-419"/>
        </w:rPr>
        <w:t>Comité de Redacción Ampliado</w:t>
      </w:r>
    </w:p>
    <w:p w:rsidR="00000F72" w:rsidRPr="00063783" w:rsidRDefault="00000F72" w:rsidP="0008623A">
      <w:pPr>
        <w:tabs>
          <w:tab w:val="left" w:pos="1134"/>
        </w:tabs>
        <w:jc w:val="left"/>
        <w:rPr>
          <w:rFonts w:cs="Arial"/>
          <w:color w:val="000000"/>
          <w:lang w:val="es-419"/>
        </w:rPr>
      </w:pPr>
      <w:r w:rsidRPr="00063783">
        <w:rPr>
          <w:color w:val="000000"/>
          <w:lang w:val="es-419"/>
        </w:rPr>
        <w:t>TWA</w:t>
      </w:r>
      <w:r w:rsidR="00B62C8C" w:rsidRPr="00063783">
        <w:rPr>
          <w:color w:val="000000"/>
          <w:lang w:val="es-419"/>
        </w:rPr>
        <w:t>:</w:t>
      </w:r>
      <w:r w:rsidR="0008623A" w:rsidRPr="00063783">
        <w:rPr>
          <w:color w:val="000000"/>
          <w:lang w:val="es-419"/>
        </w:rPr>
        <w:tab/>
      </w:r>
      <w:r w:rsidRPr="00063783">
        <w:rPr>
          <w:lang w:val="es-419"/>
        </w:rPr>
        <w:tab/>
      </w:r>
      <w:r w:rsidRPr="00063783">
        <w:rPr>
          <w:color w:val="000000"/>
          <w:lang w:val="es-419"/>
        </w:rPr>
        <w:t>Grupo de Trabajo Técnico sobre Plantas Agrícolas</w:t>
      </w:r>
    </w:p>
    <w:p w:rsidR="00000F72" w:rsidRPr="00063783" w:rsidRDefault="00000F72" w:rsidP="0008623A">
      <w:pPr>
        <w:tabs>
          <w:tab w:val="left" w:pos="1134"/>
        </w:tabs>
        <w:jc w:val="left"/>
        <w:rPr>
          <w:rFonts w:cs="Arial"/>
          <w:color w:val="000000"/>
          <w:lang w:val="es-419"/>
        </w:rPr>
      </w:pPr>
      <w:r w:rsidRPr="00063783">
        <w:rPr>
          <w:color w:val="000000"/>
          <w:lang w:val="es-419"/>
        </w:rPr>
        <w:t>TWC:</w:t>
      </w:r>
      <w:r w:rsidRPr="00063783">
        <w:rPr>
          <w:lang w:val="es-419"/>
        </w:rPr>
        <w:tab/>
      </w:r>
      <w:r w:rsidRPr="00063783">
        <w:rPr>
          <w:color w:val="000000"/>
          <w:lang w:val="es-419"/>
        </w:rPr>
        <w:t>Grupo de Trabajo Técnico sobre Automatización y Programas Informáticos</w:t>
      </w:r>
    </w:p>
    <w:p w:rsidR="00000F72" w:rsidRPr="00063783" w:rsidRDefault="00000F72" w:rsidP="0008623A">
      <w:pPr>
        <w:tabs>
          <w:tab w:val="left" w:pos="1134"/>
        </w:tabs>
        <w:jc w:val="left"/>
        <w:rPr>
          <w:rFonts w:cs="Arial"/>
          <w:color w:val="000000"/>
          <w:lang w:val="es-419"/>
        </w:rPr>
      </w:pPr>
      <w:r w:rsidRPr="00063783">
        <w:rPr>
          <w:color w:val="000000"/>
          <w:lang w:val="es-419"/>
        </w:rPr>
        <w:t>TWF:</w:t>
      </w:r>
      <w:r w:rsidRPr="00063783">
        <w:rPr>
          <w:lang w:val="es-419"/>
        </w:rPr>
        <w:tab/>
      </w:r>
      <w:r w:rsidRPr="00063783">
        <w:rPr>
          <w:color w:val="000000"/>
          <w:lang w:val="es-419"/>
        </w:rPr>
        <w:t xml:space="preserve">Grupo de Trabajo Técnico sobre Plantas Frutales </w:t>
      </w:r>
    </w:p>
    <w:p w:rsidR="00000F72" w:rsidRPr="00063783" w:rsidRDefault="00000F72" w:rsidP="0008623A">
      <w:pPr>
        <w:tabs>
          <w:tab w:val="left" w:pos="1134"/>
        </w:tabs>
        <w:jc w:val="left"/>
        <w:rPr>
          <w:rFonts w:cs="Arial"/>
          <w:color w:val="000000"/>
          <w:lang w:val="es-419"/>
        </w:rPr>
      </w:pPr>
      <w:r w:rsidRPr="00063783">
        <w:rPr>
          <w:color w:val="000000"/>
          <w:lang w:val="es-419"/>
        </w:rPr>
        <w:t>TWO:</w:t>
      </w:r>
      <w:r w:rsidRPr="00063783">
        <w:rPr>
          <w:lang w:val="es-419"/>
        </w:rPr>
        <w:tab/>
      </w:r>
      <w:r w:rsidRPr="00063783">
        <w:rPr>
          <w:color w:val="000000"/>
          <w:lang w:val="es-419"/>
        </w:rPr>
        <w:t xml:space="preserve">Grupo de Trabajo Técnico sobre Plantas Ornamentales y Árboles Forestales </w:t>
      </w:r>
    </w:p>
    <w:p w:rsidR="00000F72" w:rsidRPr="00063783" w:rsidRDefault="00000F72" w:rsidP="0008623A">
      <w:pPr>
        <w:tabs>
          <w:tab w:val="left" w:pos="1134"/>
        </w:tabs>
        <w:jc w:val="left"/>
        <w:rPr>
          <w:rFonts w:cs="Arial"/>
          <w:color w:val="000000"/>
          <w:lang w:val="es-419"/>
        </w:rPr>
      </w:pPr>
      <w:r w:rsidRPr="00063783">
        <w:rPr>
          <w:color w:val="000000"/>
          <w:lang w:val="es-419"/>
        </w:rPr>
        <w:t>TWV:</w:t>
      </w:r>
      <w:r w:rsidRPr="00063783">
        <w:rPr>
          <w:lang w:val="es-419"/>
        </w:rPr>
        <w:tab/>
      </w:r>
      <w:r w:rsidRPr="00063783">
        <w:rPr>
          <w:color w:val="000000"/>
          <w:lang w:val="es-419"/>
        </w:rPr>
        <w:t>Grupo de Trabajo Técnico sobre Hortalizas</w:t>
      </w:r>
    </w:p>
    <w:p w:rsidR="00000F72" w:rsidRPr="00063783" w:rsidRDefault="00000F72" w:rsidP="0008623A">
      <w:pPr>
        <w:tabs>
          <w:tab w:val="left" w:pos="1134"/>
        </w:tabs>
        <w:jc w:val="left"/>
        <w:rPr>
          <w:rFonts w:cs="Arial"/>
          <w:color w:val="000000"/>
          <w:lang w:val="es-419"/>
        </w:rPr>
      </w:pPr>
      <w:r w:rsidRPr="00063783">
        <w:rPr>
          <w:color w:val="000000"/>
          <w:lang w:val="es-419"/>
        </w:rPr>
        <w:t>TWP:</w:t>
      </w:r>
      <w:r w:rsidRPr="00063783">
        <w:rPr>
          <w:lang w:val="es-419"/>
        </w:rPr>
        <w:tab/>
      </w:r>
      <w:r w:rsidR="00B62C8C" w:rsidRPr="00063783">
        <w:rPr>
          <w:lang w:val="es-419"/>
        </w:rPr>
        <w:tab/>
      </w:r>
      <w:r w:rsidRPr="00063783">
        <w:rPr>
          <w:color w:val="000000"/>
          <w:lang w:val="es-419"/>
        </w:rPr>
        <w:t>Grupos de Trabajo Técnico</w:t>
      </w:r>
    </w:p>
    <w:p w:rsidR="00000F72" w:rsidRPr="00063783" w:rsidRDefault="00000F72" w:rsidP="00000F72">
      <w:pPr>
        <w:tabs>
          <w:tab w:val="left" w:pos="567"/>
          <w:tab w:val="left" w:pos="1134"/>
        </w:tabs>
        <w:rPr>
          <w:snapToGrid w:val="0"/>
          <w:highlight w:val="yellow"/>
          <w:lang w:val="es-419"/>
        </w:rPr>
      </w:pPr>
    </w:p>
    <w:p w:rsidR="00000F72" w:rsidRPr="00063783" w:rsidRDefault="00000F72" w:rsidP="003F4EA5">
      <w:pPr>
        <w:pStyle w:val="ListParagraph"/>
        <w:numPr>
          <w:ilvl w:val="0"/>
          <w:numId w:val="2"/>
        </w:numPr>
        <w:rPr>
          <w:lang w:val="es-419"/>
        </w:rPr>
      </w:pPr>
      <w:r w:rsidRPr="00063783">
        <w:rPr>
          <w:lang w:val="es-419"/>
        </w:rPr>
        <w:t>El presente documento se estructura del modo siguiente:</w:t>
      </w:r>
    </w:p>
    <w:p w:rsidR="00000F72" w:rsidRPr="00063783" w:rsidRDefault="00000F72" w:rsidP="00000F72">
      <w:pPr>
        <w:rPr>
          <w:lang w:val="es-419"/>
        </w:rPr>
      </w:pPr>
    </w:p>
    <w:p w:rsidR="00B62C8C" w:rsidRPr="00063783" w:rsidRDefault="00000F72">
      <w:pPr>
        <w:pStyle w:val="TOC1"/>
        <w:rPr>
          <w:rFonts w:asciiTheme="minorHAnsi" w:eastAsiaTheme="minorEastAsia" w:hAnsiTheme="minorHAnsi" w:cstheme="minorBidi"/>
          <w:caps w:val="0"/>
          <w:noProof/>
          <w:sz w:val="22"/>
          <w:szCs w:val="22"/>
          <w:lang w:val="es-419" w:bidi="ar-SA"/>
        </w:rPr>
      </w:pPr>
      <w:r w:rsidRPr="00063783">
        <w:rPr>
          <w:b/>
          <w:bCs/>
          <w:noProof/>
          <w:sz w:val="20"/>
          <w:highlight w:val="yellow"/>
          <w:lang w:val="es-419"/>
        </w:rPr>
        <w:fldChar w:fldCharType="begin"/>
      </w:r>
      <w:r w:rsidRPr="00063783">
        <w:rPr>
          <w:rFonts w:cs="Arial"/>
          <w:b/>
          <w:bCs/>
          <w:noProof/>
          <w:highlight w:val="yellow"/>
          <w:lang w:val="es-419"/>
        </w:rPr>
        <w:instrText xml:space="preserve"> TOC \o "1-3" \h \z \u </w:instrText>
      </w:r>
      <w:r w:rsidRPr="00063783">
        <w:rPr>
          <w:b/>
          <w:bCs/>
          <w:noProof/>
          <w:sz w:val="20"/>
          <w:highlight w:val="yellow"/>
          <w:lang w:val="es-419"/>
        </w:rPr>
        <w:fldChar w:fldCharType="separate"/>
      </w:r>
      <w:hyperlink w:anchor="_Toc21602696" w:history="1">
        <w:r w:rsidR="00B62C8C" w:rsidRPr="00063783">
          <w:rPr>
            <w:rStyle w:val="Hyperlink"/>
            <w:noProof/>
            <w:lang w:val="es-419"/>
          </w:rPr>
          <w:t>RESUMEN</w:t>
        </w:r>
        <w:r w:rsidR="00B62C8C" w:rsidRPr="00063783">
          <w:rPr>
            <w:noProof/>
            <w:webHidden/>
            <w:lang w:val="es-419"/>
          </w:rPr>
          <w:tab/>
        </w:r>
        <w:r w:rsidR="00B62C8C" w:rsidRPr="00063783">
          <w:rPr>
            <w:noProof/>
            <w:webHidden/>
            <w:lang w:val="es-419"/>
          </w:rPr>
          <w:fldChar w:fldCharType="begin"/>
        </w:r>
        <w:r w:rsidR="00B62C8C" w:rsidRPr="00063783">
          <w:rPr>
            <w:noProof/>
            <w:webHidden/>
            <w:lang w:val="es-419"/>
          </w:rPr>
          <w:instrText xml:space="preserve"> PAGEREF _Toc21602696 \h </w:instrText>
        </w:r>
        <w:r w:rsidR="00B62C8C" w:rsidRPr="00063783">
          <w:rPr>
            <w:noProof/>
            <w:webHidden/>
            <w:lang w:val="es-419"/>
          </w:rPr>
        </w:r>
        <w:r w:rsidR="00B62C8C" w:rsidRPr="00063783">
          <w:rPr>
            <w:noProof/>
            <w:webHidden/>
            <w:lang w:val="es-419"/>
          </w:rPr>
          <w:fldChar w:fldCharType="separate"/>
        </w:r>
        <w:r w:rsidR="00B62C8C" w:rsidRPr="00063783">
          <w:rPr>
            <w:noProof/>
            <w:webHidden/>
            <w:lang w:val="es-419"/>
          </w:rPr>
          <w:t>1</w:t>
        </w:r>
        <w:r w:rsidR="00B62C8C" w:rsidRPr="00063783">
          <w:rPr>
            <w:noProof/>
            <w:webHidden/>
            <w:lang w:val="es-419"/>
          </w:rPr>
          <w:fldChar w:fldCharType="end"/>
        </w:r>
      </w:hyperlink>
    </w:p>
    <w:p w:rsidR="00B62C8C" w:rsidRPr="00063783" w:rsidRDefault="00845259">
      <w:pPr>
        <w:pStyle w:val="TOC1"/>
        <w:rPr>
          <w:rFonts w:asciiTheme="minorHAnsi" w:eastAsiaTheme="minorEastAsia" w:hAnsiTheme="minorHAnsi" w:cstheme="minorBidi"/>
          <w:caps w:val="0"/>
          <w:noProof/>
          <w:sz w:val="22"/>
          <w:szCs w:val="22"/>
          <w:lang w:val="es-419" w:bidi="ar-SA"/>
        </w:rPr>
      </w:pPr>
      <w:hyperlink w:anchor="_Toc21602697" w:history="1">
        <w:r w:rsidR="00B62C8C" w:rsidRPr="00063783">
          <w:rPr>
            <w:rStyle w:val="Hyperlink"/>
            <w:noProof/>
            <w:lang w:val="es-419"/>
          </w:rPr>
          <w:t>Novedades acaecidas en el Grupo de Trabajo Técnico sobre Plantas Agrícolas</w:t>
        </w:r>
        <w:r w:rsidR="00B62C8C" w:rsidRPr="00063783">
          <w:rPr>
            <w:noProof/>
            <w:webHidden/>
            <w:lang w:val="es-419"/>
          </w:rPr>
          <w:tab/>
        </w:r>
        <w:r w:rsidR="00B62C8C" w:rsidRPr="00063783">
          <w:rPr>
            <w:noProof/>
            <w:webHidden/>
            <w:lang w:val="es-419"/>
          </w:rPr>
          <w:fldChar w:fldCharType="begin"/>
        </w:r>
        <w:r w:rsidR="00B62C8C" w:rsidRPr="00063783">
          <w:rPr>
            <w:noProof/>
            <w:webHidden/>
            <w:lang w:val="es-419"/>
          </w:rPr>
          <w:instrText xml:space="preserve"> PAGEREF _Toc21602697 \h </w:instrText>
        </w:r>
        <w:r w:rsidR="00B62C8C" w:rsidRPr="00063783">
          <w:rPr>
            <w:noProof/>
            <w:webHidden/>
            <w:lang w:val="es-419"/>
          </w:rPr>
        </w:r>
        <w:r w:rsidR="00B62C8C" w:rsidRPr="00063783">
          <w:rPr>
            <w:noProof/>
            <w:webHidden/>
            <w:lang w:val="es-419"/>
          </w:rPr>
          <w:fldChar w:fldCharType="separate"/>
        </w:r>
        <w:r w:rsidR="00B62C8C" w:rsidRPr="00063783">
          <w:rPr>
            <w:noProof/>
            <w:webHidden/>
            <w:lang w:val="es-419"/>
          </w:rPr>
          <w:t>1</w:t>
        </w:r>
        <w:r w:rsidR="00B62C8C" w:rsidRPr="00063783">
          <w:rPr>
            <w:noProof/>
            <w:webHidden/>
            <w:lang w:val="es-419"/>
          </w:rPr>
          <w:fldChar w:fldCharType="end"/>
        </w:r>
      </w:hyperlink>
    </w:p>
    <w:p w:rsidR="00B62C8C" w:rsidRPr="00063783" w:rsidRDefault="00845259">
      <w:pPr>
        <w:pStyle w:val="TOC1"/>
        <w:rPr>
          <w:rFonts w:asciiTheme="minorHAnsi" w:eastAsiaTheme="minorEastAsia" w:hAnsiTheme="minorHAnsi" w:cstheme="minorBidi"/>
          <w:caps w:val="0"/>
          <w:noProof/>
          <w:sz w:val="22"/>
          <w:szCs w:val="22"/>
          <w:lang w:val="es-419" w:bidi="ar-SA"/>
        </w:rPr>
      </w:pPr>
      <w:hyperlink w:anchor="_Toc21602698" w:history="1">
        <w:r w:rsidR="00B62C8C" w:rsidRPr="00063783">
          <w:rPr>
            <w:rStyle w:val="Hyperlink"/>
            <w:noProof/>
            <w:lang w:val="es-419"/>
          </w:rPr>
          <w:t>PROPUESTA</w:t>
        </w:r>
        <w:r w:rsidR="00B62C8C" w:rsidRPr="00063783">
          <w:rPr>
            <w:noProof/>
            <w:webHidden/>
            <w:lang w:val="es-419"/>
          </w:rPr>
          <w:tab/>
        </w:r>
        <w:r w:rsidR="00B62C8C" w:rsidRPr="00063783">
          <w:rPr>
            <w:noProof/>
            <w:webHidden/>
            <w:lang w:val="es-419"/>
          </w:rPr>
          <w:fldChar w:fldCharType="begin"/>
        </w:r>
        <w:r w:rsidR="00B62C8C" w:rsidRPr="00063783">
          <w:rPr>
            <w:noProof/>
            <w:webHidden/>
            <w:lang w:val="es-419"/>
          </w:rPr>
          <w:instrText xml:space="preserve"> PAGEREF _Toc21602698 \h </w:instrText>
        </w:r>
        <w:r w:rsidR="00B62C8C" w:rsidRPr="00063783">
          <w:rPr>
            <w:noProof/>
            <w:webHidden/>
            <w:lang w:val="es-419"/>
          </w:rPr>
        </w:r>
        <w:r w:rsidR="00B62C8C" w:rsidRPr="00063783">
          <w:rPr>
            <w:noProof/>
            <w:webHidden/>
            <w:lang w:val="es-419"/>
          </w:rPr>
          <w:fldChar w:fldCharType="separate"/>
        </w:r>
        <w:r w:rsidR="00B62C8C" w:rsidRPr="00063783">
          <w:rPr>
            <w:noProof/>
            <w:webHidden/>
            <w:lang w:val="es-419"/>
          </w:rPr>
          <w:t>2</w:t>
        </w:r>
        <w:r w:rsidR="00B62C8C" w:rsidRPr="00063783">
          <w:rPr>
            <w:noProof/>
            <w:webHidden/>
            <w:lang w:val="es-419"/>
          </w:rPr>
          <w:fldChar w:fldCharType="end"/>
        </w:r>
      </w:hyperlink>
    </w:p>
    <w:p w:rsidR="000D3722" w:rsidRPr="00063783" w:rsidRDefault="00000F72">
      <w:pPr>
        <w:pStyle w:val="TOC1"/>
        <w:rPr>
          <w:rFonts w:asciiTheme="minorHAnsi" w:eastAsiaTheme="minorEastAsia" w:hAnsiTheme="minorHAnsi" w:cstheme="minorBidi"/>
          <w:caps w:val="0"/>
          <w:noProof/>
          <w:sz w:val="22"/>
          <w:szCs w:val="22"/>
          <w:lang w:val="es-419"/>
        </w:rPr>
      </w:pPr>
      <w:r w:rsidRPr="00063783">
        <w:rPr>
          <w:szCs w:val="18"/>
          <w:highlight w:val="yellow"/>
          <w:lang w:val="es-419"/>
        </w:rPr>
        <w:fldChar w:fldCharType="end"/>
      </w:r>
    </w:p>
    <w:p w:rsidR="000D3722" w:rsidRPr="00063783" w:rsidRDefault="000D3722" w:rsidP="004B1215">
      <w:pPr>
        <w:rPr>
          <w:sz w:val="18"/>
          <w:szCs w:val="18"/>
          <w:lang w:val="es-419"/>
        </w:rPr>
      </w:pPr>
    </w:p>
    <w:p w:rsidR="00000F72" w:rsidRPr="00063783" w:rsidRDefault="00000F72" w:rsidP="00000F72">
      <w:pPr>
        <w:pStyle w:val="Heading1"/>
        <w:rPr>
          <w:snapToGrid w:val="0"/>
          <w:lang w:val="es-419"/>
        </w:rPr>
      </w:pPr>
      <w:bookmarkStart w:id="4" w:name="_Toc20839458"/>
      <w:bookmarkStart w:id="5" w:name="_Toc21602697"/>
      <w:r w:rsidRPr="00063783">
        <w:rPr>
          <w:lang w:val="es-419"/>
        </w:rPr>
        <w:t>Novedades acaecidas en el Grupo de Trabajo Técnico sobre Plantas Agrícolas</w:t>
      </w:r>
      <w:bookmarkEnd w:id="4"/>
      <w:bookmarkEnd w:id="5"/>
    </w:p>
    <w:p w:rsidR="00000F72" w:rsidRPr="00063783" w:rsidRDefault="00000F72" w:rsidP="004B1215">
      <w:pPr>
        <w:rPr>
          <w:snapToGrid w:val="0"/>
          <w:lang w:val="es-419"/>
        </w:rPr>
      </w:pPr>
    </w:p>
    <w:p w:rsidR="00915DF2" w:rsidRPr="00063783" w:rsidRDefault="0094406E" w:rsidP="003F4EA5">
      <w:pPr>
        <w:pStyle w:val="ListParagraph"/>
        <w:numPr>
          <w:ilvl w:val="0"/>
          <w:numId w:val="2"/>
        </w:numPr>
        <w:rPr>
          <w:lang w:val="es-419"/>
        </w:rPr>
      </w:pPr>
      <w:r w:rsidRPr="00063783">
        <w:rPr>
          <w:lang w:val="es-419"/>
        </w:rPr>
        <w:t>En su cuadragésima octava sesión, celebrada en Montevideo (Uruguay), del 16 al 20 de septiembre de</w:t>
      </w:r>
      <w:r w:rsidR="00B62C8C" w:rsidRPr="00063783">
        <w:rPr>
          <w:lang w:val="es-419"/>
        </w:rPr>
        <w:t> </w:t>
      </w:r>
      <w:r w:rsidRPr="00063783">
        <w:rPr>
          <w:lang w:val="es-419"/>
        </w:rPr>
        <w:t>2019, el TWA examinó el documento TWP/3/9 “</w:t>
      </w:r>
      <w:r w:rsidRPr="00063783">
        <w:rPr>
          <w:i/>
          <w:lang w:val="es-419"/>
        </w:rPr>
        <w:t>Characteristics which only apply to certain varieties</w:t>
      </w:r>
      <w:r w:rsidRPr="00063783">
        <w:rPr>
          <w:lang w:val="es-419"/>
        </w:rPr>
        <w:t>” (Caracteres que solo se aplican a ciertas variedades) (véanse los párrafos 10 a 17 del documento TWA/48/9 “</w:t>
      </w:r>
      <w:r w:rsidRPr="00063783">
        <w:rPr>
          <w:i/>
          <w:lang w:val="es-419"/>
        </w:rPr>
        <w:t>Report</w:t>
      </w:r>
      <w:r w:rsidRPr="00063783">
        <w:rPr>
          <w:lang w:val="es-419"/>
        </w:rPr>
        <w:t>” (Informe).</w:t>
      </w:r>
    </w:p>
    <w:p w:rsidR="00915DF2" w:rsidRPr="00063783" w:rsidRDefault="00915DF2" w:rsidP="00915DF2">
      <w:pPr>
        <w:rPr>
          <w:lang w:val="es-419"/>
        </w:rPr>
      </w:pPr>
    </w:p>
    <w:p w:rsidR="00915DF2" w:rsidRPr="00063783" w:rsidRDefault="00915DF2" w:rsidP="003F4EA5">
      <w:pPr>
        <w:pStyle w:val="ListParagraph"/>
        <w:numPr>
          <w:ilvl w:val="0"/>
          <w:numId w:val="2"/>
        </w:numPr>
        <w:rPr>
          <w:lang w:val="es-419"/>
        </w:rPr>
      </w:pPr>
      <w:r w:rsidRPr="00063783">
        <w:rPr>
          <w:lang w:val="es-419"/>
        </w:rPr>
        <w:lastRenderedPageBreak/>
        <w:t>El TWA examinó la petición de que se aporten ejemplos adecuados de un carácter cuantitativo y otro pseudocualitativo para mostrar cómo puede emplearse el enfoque propuesto de manera que no plantee riesgos respecto de las decisiones sobre la distinción.</w:t>
      </w:r>
    </w:p>
    <w:p w:rsidR="00915DF2" w:rsidRPr="00063783" w:rsidRDefault="00915DF2" w:rsidP="00915DF2">
      <w:pPr>
        <w:rPr>
          <w:lang w:val="es-419"/>
        </w:rPr>
      </w:pPr>
    </w:p>
    <w:p w:rsidR="00915DF2" w:rsidRPr="00063783" w:rsidRDefault="00915DF2" w:rsidP="003F4EA5">
      <w:pPr>
        <w:pStyle w:val="ListParagraph"/>
        <w:numPr>
          <w:ilvl w:val="0"/>
          <w:numId w:val="2"/>
        </w:numPr>
        <w:rPr>
          <w:snapToGrid w:val="0"/>
          <w:lang w:val="es-419"/>
        </w:rPr>
      </w:pPr>
      <w:r w:rsidRPr="00063783">
        <w:rPr>
          <w:lang w:val="es-419"/>
        </w:rPr>
        <w:t>El TWA convino con el TWO en que cuando una estructura se describe como “ausente o muy débil” en parte de una planta, es posible que sea difícil o impracticable observar otros caracteres en esa estructura.</w:t>
      </w:r>
      <w:r w:rsidR="008A6130" w:rsidRPr="00063783">
        <w:rPr>
          <w:lang w:val="es-419"/>
        </w:rPr>
        <w:t xml:space="preserve"> </w:t>
      </w:r>
      <w:r w:rsidRPr="00063783">
        <w:rPr>
          <w:lang w:val="es-419"/>
        </w:rPr>
        <w:t>El</w:t>
      </w:r>
      <w:r w:rsidR="00B62C8C" w:rsidRPr="00063783">
        <w:rPr>
          <w:lang w:val="es-419"/>
        </w:rPr>
        <w:t> </w:t>
      </w:r>
      <w:r w:rsidRPr="00063783">
        <w:rPr>
          <w:lang w:val="es-419"/>
        </w:rPr>
        <w:t>TWA convino en que el ejemplo siguiente proporcionado por el TWO es adecuado para mostrar cómo puede emplearse el enfoque propuesto de manera que no plantee riesgos respecto de las decisiones sobre la distinción:</w:t>
      </w:r>
    </w:p>
    <w:p w:rsidR="00915DF2" w:rsidRPr="00063783" w:rsidRDefault="00915DF2" w:rsidP="00915DF2">
      <w:pPr>
        <w:rPr>
          <w:snapToGrid w:val="0"/>
          <w:lang w:val="es-419"/>
        </w:rPr>
      </w:pPr>
    </w:p>
    <w:p w:rsidR="00915DF2" w:rsidRPr="00063783" w:rsidRDefault="00915DF2" w:rsidP="00915DF2">
      <w:pPr>
        <w:ind w:left="567"/>
        <w:rPr>
          <w:snapToGrid w:val="0"/>
          <w:lang w:val="es-419"/>
        </w:rPr>
      </w:pPr>
      <w:r w:rsidRPr="00063783">
        <w:rPr>
          <w:lang w:val="es-419"/>
        </w:rPr>
        <w:t>(QN) “Presencia de pelos: ausentes o muy débil”</w:t>
      </w:r>
    </w:p>
    <w:p w:rsidR="00915DF2" w:rsidRPr="00063783" w:rsidRDefault="00915DF2" w:rsidP="00915DF2">
      <w:pPr>
        <w:ind w:left="567"/>
        <w:rPr>
          <w:snapToGrid w:val="0"/>
          <w:lang w:val="es-419"/>
        </w:rPr>
      </w:pPr>
      <w:r w:rsidRPr="00063783">
        <w:rPr>
          <w:lang w:val="es-419"/>
        </w:rPr>
        <w:t>(PQ) “Pelo: color”</w:t>
      </w:r>
    </w:p>
    <w:p w:rsidR="00915DF2" w:rsidRPr="00063783" w:rsidRDefault="00915DF2" w:rsidP="00915DF2">
      <w:pPr>
        <w:rPr>
          <w:lang w:val="es-419"/>
        </w:rPr>
      </w:pPr>
    </w:p>
    <w:p w:rsidR="00915DF2" w:rsidRPr="00063783" w:rsidRDefault="00915DF2" w:rsidP="003F4EA5">
      <w:pPr>
        <w:pStyle w:val="ListParagraph"/>
        <w:numPr>
          <w:ilvl w:val="0"/>
          <w:numId w:val="2"/>
        </w:numPr>
        <w:rPr>
          <w:lang w:val="es-419"/>
        </w:rPr>
      </w:pPr>
      <w:r w:rsidRPr="00063783">
        <w:rPr>
          <w:lang w:val="es-419"/>
        </w:rPr>
        <w:t>El TWA tomo nota de que el ejemplo siguiente, facilitado por el TWF, se refiere a un carácter cualitativo y convino en que posiblemente no sea un ejemplo adecuado para mostrar cómo puede emplearse el enfoque propuesto sin información adicional sobre el carácter:</w:t>
      </w:r>
    </w:p>
    <w:p w:rsidR="00915DF2" w:rsidRPr="00063783" w:rsidRDefault="00915DF2" w:rsidP="00915DF2">
      <w:pPr>
        <w:rPr>
          <w:lang w:val="es-419"/>
        </w:rPr>
      </w:pPr>
    </w:p>
    <w:p w:rsidR="00915DF2" w:rsidRPr="00063783" w:rsidRDefault="00915DF2" w:rsidP="00915DF2">
      <w:pPr>
        <w:ind w:firstLine="567"/>
        <w:rPr>
          <w:lang w:val="es-419"/>
        </w:rPr>
      </w:pPr>
      <w:r w:rsidRPr="00063783">
        <w:rPr>
          <w:lang w:val="es-419"/>
        </w:rPr>
        <w:t>Carácter 17 (QN): “Hoja: tipo predominante: entera (1); trilobulada (2); pentalobulada (3)</w:t>
      </w:r>
      <w:r w:rsidR="00526A7B" w:rsidRPr="00063783">
        <w:rPr>
          <w:lang w:val="es-419"/>
        </w:rPr>
        <w:t>”</w:t>
      </w:r>
    </w:p>
    <w:p w:rsidR="00915DF2" w:rsidRPr="00063783" w:rsidRDefault="00915DF2" w:rsidP="00915DF2">
      <w:pPr>
        <w:ind w:firstLine="567"/>
        <w:rPr>
          <w:lang w:val="es-419"/>
        </w:rPr>
      </w:pPr>
      <w:r w:rsidRPr="00063783">
        <w:rPr>
          <w:lang w:val="es-419"/>
        </w:rPr>
        <w:t>Carácter 18: “</w:t>
      </w:r>
      <w:r w:rsidRPr="00063783">
        <w:rPr>
          <w:u w:val="single"/>
          <w:lang w:val="es-419"/>
        </w:rPr>
        <w:t>Solo variedades con tipo predominante de hoja: entera</w:t>
      </w:r>
      <w:r w:rsidRPr="00063783">
        <w:rPr>
          <w:lang w:val="es-419"/>
        </w:rPr>
        <w:t>: Hoja: forma…”</w:t>
      </w:r>
    </w:p>
    <w:p w:rsidR="00915DF2" w:rsidRPr="00063783" w:rsidRDefault="00915DF2" w:rsidP="00915DF2">
      <w:pPr>
        <w:rPr>
          <w:lang w:val="es-419"/>
        </w:rPr>
      </w:pPr>
    </w:p>
    <w:p w:rsidR="00915DF2" w:rsidRPr="00063783" w:rsidRDefault="00915DF2" w:rsidP="003F4EA5">
      <w:pPr>
        <w:pStyle w:val="ListParagraph"/>
        <w:numPr>
          <w:ilvl w:val="0"/>
          <w:numId w:val="2"/>
        </w:numPr>
        <w:rPr>
          <w:lang w:val="es-419"/>
        </w:rPr>
      </w:pPr>
      <w:r w:rsidRPr="00063783">
        <w:rPr>
          <w:lang w:val="es-419"/>
        </w:rPr>
        <w:t>El TWA examinó la petición de facilitar ejemplos adecuados de casos inadecuados para mostrar los riesgos de que decisiones sobre la distinción excluyan variedades de la observación de un carácter sobre la base del nivel de expresión de un carácter cuantitativo o pseudocualitativo anterior.</w:t>
      </w:r>
      <w:r w:rsidR="008A6130" w:rsidRPr="00063783">
        <w:rPr>
          <w:lang w:val="es-419"/>
        </w:rPr>
        <w:t xml:space="preserve"> </w:t>
      </w:r>
    </w:p>
    <w:p w:rsidR="00915DF2" w:rsidRPr="00063783" w:rsidRDefault="00915DF2" w:rsidP="00915DF2">
      <w:pPr>
        <w:rPr>
          <w:lang w:val="es-419"/>
        </w:rPr>
      </w:pPr>
    </w:p>
    <w:p w:rsidR="00915DF2" w:rsidRPr="00063783" w:rsidRDefault="00915DF2" w:rsidP="003F4EA5">
      <w:pPr>
        <w:pStyle w:val="ListParagraph"/>
        <w:numPr>
          <w:ilvl w:val="0"/>
          <w:numId w:val="2"/>
        </w:numPr>
        <w:rPr>
          <w:lang w:val="es-419"/>
        </w:rPr>
      </w:pPr>
      <w:r w:rsidRPr="00063783">
        <w:rPr>
          <w:lang w:val="es-419"/>
        </w:rPr>
        <w:t>El TWA convino en que el riesgo respecto de la distinción debido al enfoque propuesto es bajo, dado que una variedad no se considerará diferente de otra sobre la base de información faltante sobre un carácter y será necesario cultivar las variedades para comparaciones por pares.</w:t>
      </w:r>
    </w:p>
    <w:p w:rsidR="00915DF2" w:rsidRPr="00063783" w:rsidRDefault="00915DF2" w:rsidP="00915DF2">
      <w:pPr>
        <w:rPr>
          <w:lang w:val="es-419"/>
        </w:rPr>
      </w:pPr>
    </w:p>
    <w:p w:rsidR="00915DF2" w:rsidRPr="00063783" w:rsidRDefault="00915DF2" w:rsidP="003F4EA5">
      <w:pPr>
        <w:pStyle w:val="ListParagraph"/>
        <w:numPr>
          <w:ilvl w:val="0"/>
          <w:numId w:val="2"/>
        </w:numPr>
        <w:rPr>
          <w:lang w:val="es-419"/>
        </w:rPr>
      </w:pPr>
      <w:r w:rsidRPr="00063783">
        <w:rPr>
          <w:lang w:val="es-419"/>
        </w:rPr>
        <w:t>El TWA convino en que el enfoque propuesto puede aumentar la dificultad de excluir variedades de la comparación y aumentar el tamaño de los ensayos en cultivo y, sin embargo, en que es improbable que tenga un efecto considerable.</w:t>
      </w:r>
    </w:p>
    <w:p w:rsidR="00915DF2" w:rsidRPr="00063783" w:rsidRDefault="00915DF2" w:rsidP="00915DF2">
      <w:pPr>
        <w:rPr>
          <w:lang w:val="es-419"/>
        </w:rPr>
      </w:pPr>
    </w:p>
    <w:p w:rsidR="00915DF2" w:rsidRPr="00063783" w:rsidRDefault="00915DF2" w:rsidP="003F4EA5">
      <w:pPr>
        <w:pStyle w:val="ListParagraph"/>
        <w:numPr>
          <w:ilvl w:val="0"/>
          <w:numId w:val="2"/>
        </w:numPr>
        <w:rPr>
          <w:lang w:val="es-419"/>
        </w:rPr>
      </w:pPr>
      <w:r w:rsidRPr="00063783">
        <w:rPr>
          <w:lang w:val="es-419"/>
        </w:rPr>
        <w:t>El TWA convino en que el riesgo de que dos examinadores tomen decisiones diferentes existe, pero que la probabilidad de que el enfoque propuesto tenga repercusión en la decisión final sobre la distinción es</w:t>
      </w:r>
      <w:r w:rsidR="00B962CE" w:rsidRPr="00063783">
        <w:rPr>
          <w:lang w:val="es-419"/>
        </w:rPr>
        <w:t> </w:t>
      </w:r>
      <w:r w:rsidRPr="00063783">
        <w:rPr>
          <w:lang w:val="es-419"/>
        </w:rPr>
        <w:t>baja.</w:t>
      </w:r>
    </w:p>
    <w:p w:rsidR="00544581" w:rsidRPr="00063783" w:rsidRDefault="00544581">
      <w:pPr>
        <w:jc w:val="left"/>
        <w:rPr>
          <w:lang w:val="es-419"/>
        </w:rPr>
      </w:pPr>
    </w:p>
    <w:p w:rsidR="00DB31CC" w:rsidRPr="00063783" w:rsidRDefault="00DB31CC">
      <w:pPr>
        <w:jc w:val="left"/>
        <w:rPr>
          <w:lang w:val="es-419"/>
        </w:rPr>
      </w:pPr>
    </w:p>
    <w:p w:rsidR="0094406E" w:rsidRPr="00063783" w:rsidRDefault="0094406E" w:rsidP="0094406E">
      <w:pPr>
        <w:pStyle w:val="Heading1"/>
        <w:rPr>
          <w:lang w:val="es-419"/>
        </w:rPr>
      </w:pPr>
      <w:bookmarkStart w:id="6" w:name="_Toc20839459"/>
      <w:bookmarkStart w:id="7" w:name="_Toc21602698"/>
      <w:r w:rsidRPr="00063783">
        <w:rPr>
          <w:lang w:val="es-419"/>
        </w:rPr>
        <w:t>PROPUESTA</w:t>
      </w:r>
      <w:bookmarkEnd w:id="6"/>
      <w:bookmarkEnd w:id="7"/>
    </w:p>
    <w:p w:rsidR="0094406E" w:rsidRPr="00063783" w:rsidRDefault="0094406E" w:rsidP="0094406E">
      <w:pPr>
        <w:keepNext/>
        <w:rPr>
          <w:lang w:val="es-419"/>
        </w:rPr>
      </w:pPr>
    </w:p>
    <w:p w:rsidR="0094406E" w:rsidRPr="00063783" w:rsidRDefault="0094406E" w:rsidP="003F4EA5">
      <w:pPr>
        <w:pStyle w:val="ListParagraph"/>
        <w:numPr>
          <w:ilvl w:val="0"/>
          <w:numId w:val="2"/>
        </w:numPr>
        <w:rPr>
          <w:lang w:val="es-419"/>
        </w:rPr>
      </w:pPr>
      <w:r w:rsidRPr="00063783">
        <w:rPr>
          <w:lang w:val="es-419"/>
        </w:rPr>
        <w:t>Teniendo en cuenta las observaciones formuladas por los TWP en sus sesiones de 2019, se propone al TC que examine los siguientes caracteres como ejemplos de caracteres cuantitativos y pseudocualitativos para ilustrar cómo puede emplearse el enfoque de manera que no plantee riesgos respecto de la distinción:</w:t>
      </w:r>
    </w:p>
    <w:p w:rsidR="0094406E" w:rsidRPr="00063783" w:rsidRDefault="0094406E" w:rsidP="0094406E">
      <w:pPr>
        <w:rPr>
          <w:lang w:val="es-419"/>
        </w:rPr>
      </w:pPr>
    </w:p>
    <w:p w:rsidR="0094406E" w:rsidRPr="00063783" w:rsidRDefault="0094406E" w:rsidP="0094406E">
      <w:pPr>
        <w:keepNext/>
        <w:keepLines/>
        <w:ind w:left="1276" w:hanging="567"/>
        <w:rPr>
          <w:i/>
          <w:snapToGrid w:val="0"/>
          <w:lang w:val="es-419"/>
        </w:rPr>
      </w:pPr>
      <w:r w:rsidRPr="00063783">
        <w:rPr>
          <w:i/>
          <w:lang w:val="es-419"/>
        </w:rPr>
        <w:t>Directrices de examen de la dalia (TG/226/1):</w:t>
      </w:r>
    </w:p>
    <w:p w:rsidR="0094406E" w:rsidRPr="00063783" w:rsidRDefault="0094406E" w:rsidP="0094406E">
      <w:pPr>
        <w:keepNext/>
        <w:keepLines/>
        <w:ind w:left="1276" w:hanging="567"/>
        <w:rPr>
          <w:snapToGrid w:val="0"/>
          <w:lang w:val="es-419"/>
        </w:rPr>
      </w:pPr>
    </w:p>
    <w:p w:rsidR="0094406E" w:rsidRPr="00063783" w:rsidRDefault="0094406E" w:rsidP="0094406E">
      <w:pPr>
        <w:keepNext/>
        <w:keepLines/>
        <w:ind w:left="1276" w:hanging="567"/>
        <w:rPr>
          <w:snapToGrid w:val="0"/>
          <w:lang w:val="es-419"/>
        </w:rPr>
      </w:pPr>
      <w:r w:rsidRPr="00063783">
        <w:rPr>
          <w:lang w:val="es-419"/>
        </w:rPr>
        <w:t xml:space="preserve">Carácter (PQ) 21: </w:t>
      </w:r>
      <w:r w:rsidR="00B962CE" w:rsidRPr="00063783">
        <w:rPr>
          <w:lang w:val="es-419"/>
        </w:rPr>
        <w:t>“C</w:t>
      </w:r>
      <w:r w:rsidRPr="00063783">
        <w:rPr>
          <w:lang w:val="es-419"/>
        </w:rPr>
        <w:t>apítulo: tipo: sencillo (1); semidoble (2); doble tipo margarita (3); doble (4)</w:t>
      </w:r>
      <w:r w:rsidR="00B962CE" w:rsidRPr="00063783">
        <w:rPr>
          <w:lang w:val="es-419"/>
        </w:rPr>
        <w:t>”</w:t>
      </w:r>
    </w:p>
    <w:p w:rsidR="0094406E" w:rsidRPr="00063783" w:rsidRDefault="0094406E" w:rsidP="0094406E">
      <w:pPr>
        <w:keepNext/>
        <w:keepLines/>
        <w:ind w:left="1276" w:hanging="567"/>
        <w:rPr>
          <w:snapToGrid w:val="0"/>
          <w:lang w:val="es-419"/>
        </w:rPr>
      </w:pPr>
      <w:r w:rsidRPr="00063783">
        <w:rPr>
          <w:lang w:val="es-419"/>
        </w:rPr>
        <w:t xml:space="preserve">Carácter (QN) 26: </w:t>
      </w:r>
      <w:r w:rsidR="00B962CE" w:rsidRPr="00063783">
        <w:rPr>
          <w:lang w:val="es-419"/>
        </w:rPr>
        <w:t>“</w:t>
      </w:r>
      <w:r w:rsidRPr="00063783">
        <w:rPr>
          <w:u w:val="single"/>
          <w:lang w:val="es-419"/>
        </w:rPr>
        <w:t>Únicamente variedades con capítulo doble y doble tipo margarita</w:t>
      </w:r>
      <w:r w:rsidRPr="00063783">
        <w:rPr>
          <w:lang w:val="es-419"/>
        </w:rPr>
        <w:t>: capítulo: altura: corta (3); media (5); alta (7)</w:t>
      </w:r>
      <w:r w:rsidR="00B962CE" w:rsidRPr="00063783">
        <w:rPr>
          <w:lang w:val="es-419"/>
        </w:rPr>
        <w:t>”</w:t>
      </w:r>
    </w:p>
    <w:p w:rsidR="0094406E" w:rsidRPr="00063783" w:rsidRDefault="0094406E" w:rsidP="0094406E">
      <w:pPr>
        <w:ind w:left="1276" w:hanging="567"/>
        <w:rPr>
          <w:lang w:val="es-419"/>
        </w:rPr>
      </w:pPr>
    </w:p>
    <w:p w:rsidR="0094406E" w:rsidRPr="00063783" w:rsidRDefault="0094406E" w:rsidP="0094406E">
      <w:pPr>
        <w:keepNext/>
        <w:ind w:left="1276" w:hanging="567"/>
        <w:rPr>
          <w:i/>
          <w:lang w:val="es-419"/>
        </w:rPr>
      </w:pPr>
      <w:r w:rsidRPr="00063783">
        <w:rPr>
          <w:i/>
          <w:lang w:val="es-419"/>
        </w:rPr>
        <w:t>Directrices de examen de la achicoria de hoja (TG/154/4):</w:t>
      </w:r>
    </w:p>
    <w:p w:rsidR="0094406E" w:rsidRPr="00063783" w:rsidRDefault="0094406E" w:rsidP="0094406E">
      <w:pPr>
        <w:keepNext/>
        <w:ind w:left="1276" w:hanging="567"/>
        <w:rPr>
          <w:lang w:val="es-419"/>
        </w:rPr>
      </w:pPr>
    </w:p>
    <w:p w:rsidR="0094406E" w:rsidRPr="00063783" w:rsidRDefault="0094406E" w:rsidP="0094406E">
      <w:pPr>
        <w:keepNext/>
        <w:ind w:left="1276" w:hanging="567"/>
        <w:rPr>
          <w:lang w:val="es-419"/>
        </w:rPr>
      </w:pPr>
      <w:r w:rsidRPr="00063783">
        <w:rPr>
          <w:lang w:val="es-419"/>
        </w:rPr>
        <w:t>Carácter (PQ) 16: “Solo para variedades que forman repollo: ausente (1); cerrado (2); abierto (3)”</w:t>
      </w:r>
    </w:p>
    <w:p w:rsidR="0094406E" w:rsidRPr="00063783" w:rsidRDefault="0094406E" w:rsidP="0094406E">
      <w:pPr>
        <w:keepNext/>
        <w:ind w:left="1276" w:hanging="567"/>
        <w:rPr>
          <w:lang w:val="es-419"/>
        </w:rPr>
      </w:pPr>
      <w:r w:rsidRPr="00063783">
        <w:rPr>
          <w:lang w:val="es-419"/>
        </w:rPr>
        <w:t>Carácter (QN) 17: “</w:t>
      </w:r>
      <w:r w:rsidRPr="00063783">
        <w:rPr>
          <w:u w:val="single"/>
          <w:lang w:val="es-419"/>
        </w:rPr>
        <w:t>Solo para variedades que forman repollo:</w:t>
      </w:r>
      <w:r w:rsidRPr="00063783">
        <w:rPr>
          <w:lang w:val="es-419"/>
        </w:rPr>
        <w:t xml:space="preserve"> época de formación del repollo: muy temprana (1); temprana (3); media (5); tardía (7); muy tardía (9)”</w:t>
      </w:r>
    </w:p>
    <w:p w:rsidR="0094406E" w:rsidRPr="00063783" w:rsidRDefault="0094406E" w:rsidP="0094406E">
      <w:pPr>
        <w:ind w:left="1276" w:hanging="567"/>
        <w:rPr>
          <w:lang w:val="es-419"/>
        </w:rPr>
      </w:pPr>
    </w:p>
    <w:p w:rsidR="0094406E" w:rsidRPr="00063783" w:rsidRDefault="0094406E" w:rsidP="0094406E">
      <w:pPr>
        <w:ind w:left="1276" w:hanging="567"/>
        <w:rPr>
          <w:i/>
          <w:lang w:val="es-419"/>
        </w:rPr>
      </w:pPr>
      <w:r w:rsidRPr="00063783">
        <w:rPr>
          <w:i/>
          <w:lang w:val="es-419"/>
        </w:rPr>
        <w:t>Directrices de examen de la higuera (TG/265/1):</w:t>
      </w:r>
    </w:p>
    <w:p w:rsidR="0094406E" w:rsidRPr="00063783" w:rsidRDefault="0094406E" w:rsidP="0094406E">
      <w:pPr>
        <w:ind w:left="1276" w:hanging="567"/>
        <w:rPr>
          <w:lang w:val="es-419"/>
        </w:rPr>
      </w:pPr>
    </w:p>
    <w:p w:rsidR="0094406E" w:rsidRPr="00063783" w:rsidRDefault="0094406E" w:rsidP="0094406E">
      <w:pPr>
        <w:ind w:left="1276" w:hanging="567"/>
        <w:rPr>
          <w:lang w:val="es-419"/>
        </w:rPr>
      </w:pPr>
      <w:r w:rsidRPr="00063783">
        <w:rPr>
          <w:lang w:val="es-419"/>
        </w:rPr>
        <w:t>Carácter (QN) 17: “Hoja: tipo predominante: entera (1); trilobulada (2); pentalobulada (3)</w:t>
      </w:r>
      <w:r w:rsidR="00B962CE" w:rsidRPr="00063783">
        <w:rPr>
          <w:lang w:val="es-419"/>
        </w:rPr>
        <w:t>”</w:t>
      </w:r>
    </w:p>
    <w:p w:rsidR="0094406E" w:rsidRPr="00063783" w:rsidRDefault="0094406E" w:rsidP="0094406E">
      <w:pPr>
        <w:ind w:left="1276" w:hanging="567"/>
        <w:rPr>
          <w:lang w:val="es-419"/>
        </w:rPr>
      </w:pPr>
      <w:r w:rsidRPr="00063783">
        <w:rPr>
          <w:lang w:val="es-419"/>
        </w:rPr>
        <w:t>Carácter (PQ) 18: “</w:t>
      </w:r>
      <w:r w:rsidRPr="00063783">
        <w:rPr>
          <w:u w:val="single"/>
          <w:lang w:val="es-419"/>
        </w:rPr>
        <w:t>Solo variedades con tipo predominante de hoja: entera</w:t>
      </w:r>
      <w:r w:rsidRPr="00063783">
        <w:rPr>
          <w:lang w:val="es-419"/>
        </w:rPr>
        <w:t>: hoja: forma: cordiforme (1); triangular (2); lanceolada (3); elíptica (4)”</w:t>
      </w:r>
    </w:p>
    <w:p w:rsidR="0094406E" w:rsidRPr="00063783" w:rsidRDefault="0094406E" w:rsidP="0094406E">
      <w:pPr>
        <w:ind w:left="709"/>
        <w:rPr>
          <w:snapToGrid w:val="0"/>
          <w:lang w:val="es-419"/>
        </w:rPr>
      </w:pPr>
    </w:p>
    <w:p w:rsidR="00B962CE" w:rsidRPr="00063783" w:rsidRDefault="00B962CE" w:rsidP="0094406E">
      <w:pPr>
        <w:ind w:left="709"/>
        <w:rPr>
          <w:snapToGrid w:val="0"/>
          <w:lang w:val="es-419"/>
        </w:rPr>
      </w:pPr>
    </w:p>
    <w:p w:rsidR="00B962CE" w:rsidRPr="00063783" w:rsidRDefault="00B962CE" w:rsidP="0094406E">
      <w:pPr>
        <w:ind w:left="709"/>
        <w:rPr>
          <w:snapToGrid w:val="0"/>
          <w:lang w:val="es-419"/>
        </w:rPr>
      </w:pPr>
    </w:p>
    <w:p w:rsidR="0094406E" w:rsidRPr="00063783" w:rsidRDefault="0094406E" w:rsidP="0094406E">
      <w:pPr>
        <w:ind w:left="709"/>
        <w:rPr>
          <w:i/>
          <w:snapToGrid w:val="0"/>
          <w:lang w:val="es-419"/>
        </w:rPr>
      </w:pPr>
      <w:r w:rsidRPr="00063783">
        <w:rPr>
          <w:i/>
          <w:snapToGrid w:val="0"/>
          <w:lang w:val="es-419"/>
        </w:rPr>
        <w:lastRenderedPageBreak/>
        <w:t>Ejemplo hipotético:</w:t>
      </w:r>
    </w:p>
    <w:p w:rsidR="0094406E" w:rsidRPr="00063783" w:rsidRDefault="0094406E" w:rsidP="0094406E">
      <w:pPr>
        <w:ind w:left="709"/>
        <w:rPr>
          <w:snapToGrid w:val="0"/>
          <w:lang w:val="es-419"/>
        </w:rPr>
      </w:pPr>
    </w:p>
    <w:p w:rsidR="0094406E" w:rsidRPr="00063783" w:rsidRDefault="0094406E" w:rsidP="0094406E">
      <w:pPr>
        <w:ind w:left="709"/>
        <w:rPr>
          <w:snapToGrid w:val="0"/>
          <w:lang w:val="es-419"/>
        </w:rPr>
      </w:pPr>
      <w:r w:rsidRPr="00063783">
        <w:rPr>
          <w:lang w:val="es-419"/>
        </w:rPr>
        <w:t>(QN) “Presencia de pelos: ausentes o muy débil.”</w:t>
      </w:r>
    </w:p>
    <w:p w:rsidR="0094406E" w:rsidRPr="00063783" w:rsidRDefault="0094406E" w:rsidP="0094406E">
      <w:pPr>
        <w:ind w:left="709"/>
        <w:rPr>
          <w:snapToGrid w:val="0"/>
          <w:lang w:val="es-419"/>
        </w:rPr>
      </w:pPr>
      <w:r w:rsidRPr="00063783">
        <w:rPr>
          <w:lang w:val="es-419"/>
        </w:rPr>
        <w:t>(PQ) “Pelo: color”</w:t>
      </w:r>
    </w:p>
    <w:p w:rsidR="0094406E" w:rsidRPr="00063783" w:rsidRDefault="0094406E" w:rsidP="0094406E">
      <w:pPr>
        <w:rPr>
          <w:lang w:val="es-419"/>
        </w:rPr>
      </w:pPr>
    </w:p>
    <w:p w:rsidR="0094406E" w:rsidRPr="00063783" w:rsidRDefault="0094406E" w:rsidP="003F4EA5">
      <w:pPr>
        <w:pStyle w:val="ListParagraph"/>
        <w:keepLines/>
        <w:numPr>
          <w:ilvl w:val="0"/>
          <w:numId w:val="2"/>
        </w:numPr>
        <w:rPr>
          <w:lang w:val="es-419"/>
        </w:rPr>
      </w:pPr>
      <w:r w:rsidRPr="00063783">
        <w:rPr>
          <w:lang w:val="es-419"/>
        </w:rPr>
        <w:t>Teniendo en cuenta las observaciones formuladas por los TWP en sus sesiones de 2019, se propone al TC que examine la propuesta de modificación de la orientación del documento TGP/7, nota orientativa 18 (GN</w:t>
      </w:r>
      <w:r w:rsidR="002264EB" w:rsidRPr="00063783">
        <w:rPr>
          <w:lang w:val="es-419"/>
        </w:rPr>
        <w:t> </w:t>
      </w:r>
      <w:r w:rsidRPr="00063783">
        <w:rPr>
          <w:lang w:val="es-419"/>
        </w:rPr>
        <w:t xml:space="preserve">18), a fin de permitir la exclusión de un carácter de la observación sobre la base del nivel de expresión de un carácter pseudocualitativo o cuantitativo anterior de la manera siguiente (se indican </w:t>
      </w:r>
      <w:r w:rsidRPr="00063783">
        <w:rPr>
          <w:strike/>
          <w:snapToGrid w:val="0"/>
          <w:highlight w:val="lightGray"/>
          <w:lang w:val="es-419"/>
        </w:rPr>
        <w:t>sombreado y tachado</w:t>
      </w:r>
      <w:r w:rsidRPr="00063783">
        <w:rPr>
          <w:lang w:val="es-419"/>
        </w:rPr>
        <w:t xml:space="preserve"> el texto que se propone suprimir y </w:t>
      </w:r>
      <w:r w:rsidRPr="00063783">
        <w:rPr>
          <w:snapToGrid w:val="0"/>
          <w:highlight w:val="lightGray"/>
          <w:u w:val="single"/>
          <w:lang w:val="es-419"/>
        </w:rPr>
        <w:t>sombrado y subrayado</w:t>
      </w:r>
      <w:r w:rsidRPr="00063783">
        <w:rPr>
          <w:lang w:val="es-419"/>
        </w:rPr>
        <w:t xml:space="preserve"> el texto que se propone insertar):</w:t>
      </w:r>
    </w:p>
    <w:p w:rsidR="0094406E" w:rsidRPr="00063783" w:rsidRDefault="0094406E" w:rsidP="0094406E">
      <w:pPr>
        <w:rPr>
          <w:lang w:val="es-419"/>
        </w:rPr>
      </w:pPr>
    </w:p>
    <w:p w:rsidR="0094406E" w:rsidRPr="00063783" w:rsidRDefault="0094406E" w:rsidP="0094406E">
      <w:pPr>
        <w:ind w:left="567" w:right="565"/>
        <w:rPr>
          <w:rFonts w:cs="Arial"/>
          <w:bCs/>
          <w:i/>
          <w:snapToGrid w:val="0"/>
          <w:sz w:val="18"/>
          <w:lang w:val="es-419"/>
        </w:rPr>
      </w:pPr>
      <w:r w:rsidRPr="00063783">
        <w:rPr>
          <w:i/>
          <w:snapToGrid w:val="0"/>
          <w:sz w:val="18"/>
          <w:lang w:val="es-419"/>
        </w:rPr>
        <w:t>3. Caracteres que solo se aplican a ciertas variedades</w:t>
      </w:r>
    </w:p>
    <w:p w:rsidR="0094406E" w:rsidRPr="00063783" w:rsidRDefault="0094406E" w:rsidP="0094406E">
      <w:pPr>
        <w:ind w:left="567" w:right="565"/>
        <w:rPr>
          <w:rFonts w:cs="Arial"/>
          <w:bCs/>
          <w:snapToGrid w:val="0"/>
          <w:sz w:val="18"/>
          <w:lang w:val="es-419"/>
        </w:rPr>
      </w:pPr>
    </w:p>
    <w:p w:rsidR="0094406E" w:rsidRPr="00063783" w:rsidRDefault="0094406E" w:rsidP="0094406E">
      <w:pPr>
        <w:ind w:left="567" w:right="565"/>
        <w:rPr>
          <w:rFonts w:cs="Arial"/>
          <w:bCs/>
          <w:snapToGrid w:val="0"/>
          <w:sz w:val="18"/>
          <w:lang w:val="es-419"/>
        </w:rPr>
      </w:pPr>
      <w:r w:rsidRPr="00063783">
        <w:rPr>
          <w:snapToGrid w:val="0"/>
          <w:sz w:val="18"/>
          <w:lang w:val="es-419"/>
        </w:rPr>
        <w:t xml:space="preserve">En algunos casos, por el nivel de expresión de un carácter </w:t>
      </w:r>
      <w:r w:rsidRPr="00063783">
        <w:rPr>
          <w:strike/>
          <w:snapToGrid w:val="0"/>
          <w:sz w:val="18"/>
          <w:highlight w:val="lightGray"/>
          <w:lang w:val="es-419"/>
        </w:rPr>
        <w:t>cualitativo</w:t>
      </w:r>
      <w:r w:rsidRPr="00063783">
        <w:rPr>
          <w:snapToGrid w:val="0"/>
          <w:sz w:val="18"/>
          <w:lang w:val="es-419"/>
        </w:rPr>
        <w:t xml:space="preserve"> anterior puede determinarse que un carácter subsiguiente no es aplicable, por ejemplo, no será posible describir la forma de los lóbulos de la hoja en una variedad que no los tenga. </w:t>
      </w:r>
    </w:p>
    <w:p w:rsidR="0094406E" w:rsidRPr="00063783" w:rsidRDefault="0094406E" w:rsidP="0094406E">
      <w:pPr>
        <w:ind w:left="567" w:right="565"/>
        <w:rPr>
          <w:rFonts w:cs="Arial"/>
          <w:bCs/>
          <w:snapToGrid w:val="0"/>
          <w:sz w:val="18"/>
          <w:szCs w:val="18"/>
          <w:highlight w:val="lightGray"/>
          <w:u w:val="single"/>
          <w:lang w:val="es-419"/>
        </w:rPr>
      </w:pPr>
    </w:p>
    <w:p w:rsidR="0094406E" w:rsidRPr="00063783" w:rsidRDefault="0094406E" w:rsidP="0094406E">
      <w:pPr>
        <w:ind w:left="567" w:right="565"/>
        <w:rPr>
          <w:rFonts w:cs="Arial"/>
          <w:bCs/>
          <w:snapToGrid w:val="0"/>
          <w:sz w:val="18"/>
          <w:lang w:val="es-419"/>
        </w:rPr>
      </w:pPr>
      <w:r w:rsidRPr="00063783">
        <w:rPr>
          <w:snapToGrid w:val="0"/>
          <w:sz w:val="18"/>
          <w:lang w:val="es-419"/>
        </w:rPr>
        <w:t>En los casos en que ello no resulta evidente, o si los caracteres están separados en la tabla de caracteres, el título del carácter subsiguiente está precedido por una referencia subrayada a los tipos de variedades a los que se aplica, sobre la base del carácter precedente.</w:t>
      </w:r>
    </w:p>
    <w:p w:rsidR="0094406E" w:rsidRPr="00063783" w:rsidRDefault="0094406E" w:rsidP="0094406E">
      <w:pPr>
        <w:ind w:left="567" w:right="565"/>
        <w:rPr>
          <w:rFonts w:cs="Arial"/>
          <w:bCs/>
          <w:snapToGrid w:val="0"/>
          <w:sz w:val="18"/>
          <w:lang w:val="es-419"/>
        </w:rPr>
      </w:pPr>
    </w:p>
    <w:p w:rsidR="0094406E" w:rsidRPr="00063783" w:rsidRDefault="0094406E" w:rsidP="0094406E">
      <w:pPr>
        <w:ind w:left="567" w:right="565"/>
        <w:rPr>
          <w:rFonts w:cs="Arial"/>
          <w:bCs/>
          <w:snapToGrid w:val="0"/>
          <w:sz w:val="18"/>
          <w:szCs w:val="18"/>
          <w:highlight w:val="lightGray"/>
          <w:u w:val="single"/>
          <w:lang w:val="es-419"/>
        </w:rPr>
      </w:pPr>
      <w:r w:rsidRPr="00063783">
        <w:rPr>
          <w:sz w:val="18"/>
          <w:highlight w:val="lightGray"/>
          <w:u w:val="single"/>
          <w:lang w:val="es-419"/>
        </w:rPr>
        <w:t>Los siguientes ejemplos ilustran cómo puede emplearse el enfoque propuesto para los caracteres QL, PQ y QN de manera que no plantee riesgos respecto de las decisiones sobre la distinción</w:t>
      </w:r>
    </w:p>
    <w:p w:rsidR="0094406E" w:rsidRPr="00063783" w:rsidRDefault="0094406E" w:rsidP="0094406E">
      <w:pPr>
        <w:ind w:left="567" w:right="565"/>
        <w:rPr>
          <w:rFonts w:cs="Arial"/>
          <w:bCs/>
          <w:snapToGrid w:val="0"/>
          <w:sz w:val="18"/>
          <w:lang w:val="es-419"/>
        </w:rPr>
      </w:pPr>
    </w:p>
    <w:p w:rsidR="0094406E" w:rsidRPr="00063783" w:rsidRDefault="0094406E" w:rsidP="0094406E">
      <w:pPr>
        <w:ind w:left="1134" w:right="565"/>
        <w:rPr>
          <w:rFonts w:cs="Arial"/>
          <w:bCs/>
          <w:snapToGrid w:val="0"/>
          <w:sz w:val="18"/>
          <w:lang w:val="es-419"/>
        </w:rPr>
      </w:pPr>
      <w:r w:rsidRPr="00063783">
        <w:rPr>
          <w:snapToGrid w:val="0"/>
          <w:sz w:val="18"/>
          <w:highlight w:val="lightGray"/>
          <w:u w:val="single"/>
          <w:lang w:val="es-419"/>
        </w:rPr>
        <w:t>(QL)</w:t>
      </w:r>
      <w:r w:rsidRPr="00063783">
        <w:rPr>
          <w:lang w:val="es-419"/>
        </w:rPr>
        <w:t xml:space="preserve"> </w:t>
      </w:r>
      <w:r w:rsidRPr="00063783">
        <w:rPr>
          <w:snapToGrid w:val="0"/>
          <w:sz w:val="18"/>
          <w:u w:val="single"/>
          <w:lang w:val="es-419"/>
        </w:rPr>
        <w:t>Solo variedades con flor: tipo: simple</w:t>
      </w:r>
      <w:r w:rsidRPr="00063783">
        <w:rPr>
          <w:snapToGrid w:val="0"/>
          <w:sz w:val="18"/>
          <w:lang w:val="es-419"/>
        </w:rPr>
        <w:t>: Flor: forma</w:t>
      </w:r>
    </w:p>
    <w:p w:rsidR="0094406E" w:rsidRPr="00063783" w:rsidRDefault="0094406E" w:rsidP="0094406E">
      <w:pPr>
        <w:ind w:left="567" w:right="565"/>
        <w:rPr>
          <w:rFonts w:cs="Arial"/>
          <w:bCs/>
          <w:snapToGrid w:val="0"/>
          <w:sz w:val="18"/>
          <w:szCs w:val="18"/>
          <w:highlight w:val="lightGray"/>
          <w:u w:val="single"/>
          <w:lang w:val="es-419"/>
        </w:rPr>
      </w:pPr>
    </w:p>
    <w:p w:rsidR="0094406E" w:rsidRPr="00063783" w:rsidRDefault="0094406E" w:rsidP="0094406E">
      <w:pPr>
        <w:ind w:left="567" w:right="565" w:firstLine="567"/>
        <w:rPr>
          <w:rFonts w:cs="Arial"/>
          <w:bCs/>
          <w:snapToGrid w:val="0"/>
          <w:sz w:val="18"/>
          <w:szCs w:val="18"/>
          <w:u w:val="single"/>
          <w:lang w:val="es-419"/>
        </w:rPr>
      </w:pPr>
      <w:r w:rsidRPr="00063783">
        <w:rPr>
          <w:snapToGrid w:val="0"/>
          <w:sz w:val="18"/>
          <w:highlight w:val="lightGray"/>
          <w:u w:val="single"/>
          <w:lang w:val="es-419"/>
        </w:rPr>
        <w:t>[se ha de completar con ejemplos de caracteres QN y PQ]</w:t>
      </w:r>
    </w:p>
    <w:p w:rsidR="0094406E" w:rsidRPr="00063783" w:rsidRDefault="0094406E" w:rsidP="0094406E">
      <w:pPr>
        <w:ind w:left="567" w:right="565"/>
        <w:rPr>
          <w:rFonts w:cs="Arial"/>
          <w:bCs/>
          <w:snapToGrid w:val="0"/>
          <w:sz w:val="18"/>
          <w:szCs w:val="18"/>
          <w:highlight w:val="lightGray"/>
          <w:u w:val="single"/>
          <w:lang w:val="es-419"/>
        </w:rPr>
      </w:pPr>
    </w:p>
    <w:p w:rsidR="0094406E" w:rsidRPr="00063783" w:rsidRDefault="0094406E" w:rsidP="0094406E">
      <w:pPr>
        <w:ind w:left="567" w:right="565"/>
        <w:rPr>
          <w:rFonts w:cs="Arial"/>
          <w:bCs/>
          <w:snapToGrid w:val="0"/>
          <w:sz w:val="18"/>
          <w:u w:val="single"/>
          <w:lang w:val="es-419"/>
        </w:rPr>
      </w:pPr>
      <w:r w:rsidRPr="00063783">
        <w:rPr>
          <w:sz w:val="18"/>
          <w:highlight w:val="lightGray"/>
          <w:u w:val="single"/>
          <w:lang w:val="es-419"/>
        </w:rPr>
        <w:t>La exclusión de caracteres de la observación sobre la base de un carácter pseudocualitativo (PQ) o cuantitativo (QN) anterior deberá utilizarse con precaución, teniendo en cuenta las posibles implicaciones de cara al examen de la distinción.</w:t>
      </w:r>
    </w:p>
    <w:p w:rsidR="0094406E" w:rsidRPr="00063783" w:rsidRDefault="0094406E" w:rsidP="0094406E">
      <w:pPr>
        <w:rPr>
          <w:lang w:val="es-419"/>
        </w:rPr>
      </w:pPr>
    </w:p>
    <w:p w:rsidR="00102B4A" w:rsidRPr="00063783" w:rsidRDefault="00102B4A" w:rsidP="0094406E">
      <w:pPr>
        <w:rPr>
          <w:lang w:val="es-419"/>
        </w:rPr>
      </w:pPr>
    </w:p>
    <w:p w:rsidR="0094406E" w:rsidRPr="00063783" w:rsidRDefault="0094406E" w:rsidP="003F4EA5">
      <w:pPr>
        <w:pStyle w:val="DecisionParagraphs"/>
        <w:numPr>
          <w:ilvl w:val="0"/>
          <w:numId w:val="2"/>
        </w:numPr>
        <w:ind w:left="5387" w:hanging="567"/>
        <w:rPr>
          <w:snapToGrid w:val="0"/>
          <w:lang w:val="es-419"/>
        </w:rPr>
      </w:pPr>
      <w:r w:rsidRPr="00063783">
        <w:rPr>
          <w:lang w:val="es-419"/>
        </w:rPr>
        <w:t>Se invita al TC a examinar:</w:t>
      </w:r>
    </w:p>
    <w:p w:rsidR="0094406E" w:rsidRPr="00063783" w:rsidRDefault="0094406E" w:rsidP="0094406E">
      <w:pPr>
        <w:pStyle w:val="DecisionParagraphs"/>
        <w:rPr>
          <w:snapToGrid w:val="0"/>
          <w:lang w:val="es-419"/>
        </w:rPr>
      </w:pPr>
    </w:p>
    <w:p w:rsidR="0094406E" w:rsidRPr="00845259" w:rsidRDefault="002264EB" w:rsidP="002264EB">
      <w:pPr>
        <w:pStyle w:val="DecisionParagraphs"/>
        <w:tabs>
          <w:tab w:val="left" w:pos="5954"/>
        </w:tabs>
        <w:ind w:firstLine="567"/>
        <w:rPr>
          <w:snapToGrid w:val="0"/>
          <w:lang w:val="es-419"/>
        </w:rPr>
      </w:pPr>
      <w:r w:rsidRPr="00063783">
        <w:rPr>
          <w:lang w:val="es-419"/>
        </w:rPr>
        <w:t>a)</w:t>
      </w:r>
      <w:r w:rsidRPr="00063783">
        <w:rPr>
          <w:lang w:val="es-419"/>
        </w:rPr>
        <w:tab/>
      </w:r>
      <w:r w:rsidR="0094406E" w:rsidRPr="00063783">
        <w:rPr>
          <w:lang w:val="es-419"/>
        </w:rPr>
        <w:t xml:space="preserve">los ejemplos de caracteres cuantitativos y pseudocualitativos facilitados por los TWP, en sus sesiones de 2019, a fin de mostrar cómo puede emplearse el enfoque propuesto de manera que no plantee riesgos respecto de las decisiones sobre la distinción, expuestos en </w:t>
      </w:r>
      <w:r w:rsidR="0094406E" w:rsidRPr="00845259">
        <w:rPr>
          <w:lang w:val="es-419"/>
        </w:rPr>
        <w:t xml:space="preserve">el </w:t>
      </w:r>
      <w:r w:rsidR="0094406E" w:rsidRPr="00845259">
        <w:rPr>
          <w:snapToGrid w:val="0"/>
          <w:lang w:val="es-419"/>
        </w:rPr>
        <w:t>párrafo 13</w:t>
      </w:r>
      <w:r w:rsidR="0094406E" w:rsidRPr="00845259">
        <w:rPr>
          <w:lang w:val="es-419"/>
        </w:rPr>
        <w:t xml:space="preserve"> de este documento; y</w:t>
      </w:r>
    </w:p>
    <w:p w:rsidR="0094406E" w:rsidRPr="00845259" w:rsidRDefault="0094406E" w:rsidP="002264EB">
      <w:pPr>
        <w:pStyle w:val="DecisionParagraphs"/>
        <w:ind w:left="3740"/>
        <w:rPr>
          <w:snapToGrid w:val="0"/>
          <w:lang w:val="es-419"/>
        </w:rPr>
      </w:pPr>
    </w:p>
    <w:p w:rsidR="0094406E" w:rsidRPr="00063783" w:rsidRDefault="002264EB" w:rsidP="002264EB">
      <w:pPr>
        <w:pStyle w:val="DecisionParagraphs"/>
        <w:tabs>
          <w:tab w:val="left" w:pos="5954"/>
        </w:tabs>
        <w:ind w:firstLine="567"/>
        <w:rPr>
          <w:snapToGrid w:val="0"/>
          <w:lang w:val="es-419"/>
        </w:rPr>
      </w:pPr>
      <w:r w:rsidRPr="00845259">
        <w:rPr>
          <w:lang w:val="es-419"/>
        </w:rPr>
        <w:t>b)</w:t>
      </w:r>
      <w:r w:rsidRPr="00845259">
        <w:rPr>
          <w:lang w:val="es-419"/>
        </w:rPr>
        <w:tab/>
      </w:r>
      <w:r w:rsidR="0094406E" w:rsidRPr="00845259">
        <w:rPr>
          <w:lang w:val="es-419"/>
        </w:rPr>
        <w:t xml:space="preserve">la propuesta de modificación de la orientación del documento TGP/7, nota orientativa 18 (GN 18), a fin de permitir la exclusión de un carácter de la observación sobre la base del nivel de expresión de un carácter pseudocualitativo o cuantitativo anterior, expuesta en el </w:t>
      </w:r>
      <w:r w:rsidR="0094406E" w:rsidRPr="00845259">
        <w:rPr>
          <w:snapToGrid w:val="0"/>
          <w:lang w:val="es-419"/>
        </w:rPr>
        <w:t>párrafo 14</w:t>
      </w:r>
      <w:r w:rsidR="0094406E" w:rsidRPr="00845259">
        <w:rPr>
          <w:lang w:val="es-419"/>
        </w:rPr>
        <w:t xml:space="preserve"> de este</w:t>
      </w:r>
      <w:bookmarkStart w:id="8" w:name="_GoBack"/>
      <w:bookmarkEnd w:id="8"/>
      <w:r w:rsidR="0094406E" w:rsidRPr="00063783">
        <w:rPr>
          <w:lang w:val="es-419"/>
        </w:rPr>
        <w:t xml:space="preserve"> documento.</w:t>
      </w:r>
    </w:p>
    <w:p w:rsidR="0094406E" w:rsidRPr="00063783" w:rsidRDefault="0094406E" w:rsidP="0094406E">
      <w:pPr>
        <w:rPr>
          <w:lang w:val="es-419"/>
        </w:rPr>
      </w:pPr>
    </w:p>
    <w:p w:rsidR="00050E16" w:rsidRPr="00063783" w:rsidRDefault="00050E16" w:rsidP="00050E16">
      <w:pPr>
        <w:rPr>
          <w:lang w:val="es-419"/>
        </w:rPr>
      </w:pPr>
    </w:p>
    <w:p w:rsidR="00F32D33" w:rsidRPr="00063783" w:rsidRDefault="00F32D33" w:rsidP="00050E16">
      <w:pPr>
        <w:rPr>
          <w:lang w:val="es-419"/>
        </w:rPr>
      </w:pPr>
    </w:p>
    <w:p w:rsidR="00050E16" w:rsidRPr="00063783" w:rsidRDefault="00050E16" w:rsidP="003F4EA5">
      <w:pPr>
        <w:jc w:val="right"/>
        <w:rPr>
          <w:lang w:val="es-419"/>
        </w:rPr>
      </w:pPr>
      <w:r w:rsidRPr="00063783">
        <w:rPr>
          <w:lang w:val="es-419"/>
        </w:rPr>
        <w:t>[Fin del documento]</w:t>
      </w:r>
    </w:p>
    <w:sectPr w:rsidR="00050E16" w:rsidRPr="00063783"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9C8" w:rsidRDefault="006879C8" w:rsidP="006655D3">
      <w:r>
        <w:separator/>
      </w:r>
    </w:p>
    <w:p w:rsidR="006879C8" w:rsidRDefault="006879C8" w:rsidP="006655D3"/>
    <w:p w:rsidR="006879C8" w:rsidRDefault="006879C8" w:rsidP="006655D3"/>
  </w:endnote>
  <w:endnote w:type="continuationSeparator" w:id="0">
    <w:p w:rsidR="006879C8" w:rsidRDefault="006879C8" w:rsidP="006655D3">
      <w:r>
        <w:separator/>
      </w:r>
    </w:p>
    <w:p w:rsidR="006879C8" w:rsidRPr="00294751" w:rsidRDefault="006879C8">
      <w:pPr>
        <w:pStyle w:val="Footer"/>
        <w:spacing w:after="60"/>
        <w:rPr>
          <w:sz w:val="18"/>
          <w:lang w:val="fr-FR"/>
        </w:rPr>
      </w:pPr>
      <w:r w:rsidRPr="00294751">
        <w:rPr>
          <w:sz w:val="18"/>
          <w:lang w:val="fr-FR"/>
        </w:rPr>
        <w:t>[Suite de la note de la page précédente]</w:t>
      </w:r>
    </w:p>
    <w:p w:rsidR="006879C8" w:rsidRPr="00294751" w:rsidRDefault="006879C8" w:rsidP="006655D3">
      <w:pPr>
        <w:rPr>
          <w:lang w:val="fr-FR"/>
        </w:rPr>
      </w:pPr>
    </w:p>
    <w:p w:rsidR="006879C8" w:rsidRPr="00294751" w:rsidRDefault="006879C8" w:rsidP="006655D3">
      <w:pPr>
        <w:rPr>
          <w:lang w:val="fr-FR"/>
        </w:rPr>
      </w:pPr>
    </w:p>
  </w:endnote>
  <w:endnote w:type="continuationNotice" w:id="1">
    <w:p w:rsidR="006879C8" w:rsidRPr="00294751" w:rsidRDefault="006879C8" w:rsidP="006655D3">
      <w:pPr>
        <w:rPr>
          <w:lang w:val="fr-FR"/>
        </w:rPr>
      </w:pPr>
      <w:r w:rsidRPr="00294751">
        <w:rPr>
          <w:lang w:val="fr-FR"/>
        </w:rPr>
        <w:t>[Suite de la note page suivante]</w:t>
      </w:r>
    </w:p>
    <w:p w:rsidR="006879C8" w:rsidRPr="00294751" w:rsidRDefault="006879C8" w:rsidP="006655D3">
      <w:pPr>
        <w:rPr>
          <w:lang w:val="fr-FR"/>
        </w:rPr>
      </w:pPr>
    </w:p>
    <w:p w:rsidR="006879C8" w:rsidRPr="00294751" w:rsidRDefault="006879C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9C8" w:rsidRDefault="006879C8" w:rsidP="006655D3">
      <w:r>
        <w:separator/>
      </w:r>
    </w:p>
  </w:footnote>
  <w:footnote w:type="continuationSeparator" w:id="0">
    <w:p w:rsidR="006879C8" w:rsidRDefault="006879C8" w:rsidP="006655D3">
      <w:r>
        <w:separator/>
      </w:r>
    </w:p>
  </w:footnote>
  <w:footnote w:type="continuationNotice" w:id="1">
    <w:p w:rsidR="006879C8" w:rsidRPr="00AB530F" w:rsidRDefault="006879C8"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6D7435" w:rsidP="00EB048E">
    <w:pPr>
      <w:pStyle w:val="Header"/>
      <w:rPr>
        <w:rStyle w:val="PageNumber"/>
      </w:rPr>
    </w:pPr>
    <w:r>
      <w:rPr>
        <w:rStyle w:val="PageNumber"/>
      </w:rPr>
      <w:t>TC/55/12 Add.</w:t>
    </w:r>
  </w:p>
  <w:p w:rsidR="00182B99" w:rsidRPr="00C5280D" w:rsidRDefault="003F4EA5" w:rsidP="00EB048E">
    <w:pPr>
      <w:pStyle w:val="Header"/>
    </w:pPr>
    <w:r>
      <w:t xml:space="preserve">página </w:t>
    </w:r>
    <w:r w:rsidR="00182B99" w:rsidRPr="00C5280D">
      <w:rPr>
        <w:rStyle w:val="PageNumber"/>
      </w:rPr>
      <w:fldChar w:fldCharType="begin"/>
    </w:r>
    <w:r w:rsidR="00182B99" w:rsidRPr="00C5280D">
      <w:rPr>
        <w:rStyle w:val="PageNumber"/>
      </w:rPr>
      <w:instrText xml:space="preserve"> PAGE </w:instrText>
    </w:r>
    <w:r w:rsidR="00182B99" w:rsidRPr="00C5280D">
      <w:rPr>
        <w:rStyle w:val="PageNumber"/>
      </w:rPr>
      <w:fldChar w:fldCharType="separate"/>
    </w:r>
    <w:r w:rsidR="00845259">
      <w:rPr>
        <w:rStyle w:val="PageNumber"/>
        <w:noProof/>
      </w:rPr>
      <w:t>3</w:t>
    </w:r>
    <w:r w:rsidR="00182B99" w:rsidRPr="00C5280D">
      <w:rPr>
        <w:rStyle w:val="PageNumber"/>
      </w:rPr>
      <w:fldChar w:fldCharType="end"/>
    </w:r>
  </w:p>
  <w:p w:rsidR="00182B99" w:rsidRPr="00C5280D" w:rsidRDefault="00182B99" w:rsidP="003D7ADA">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858D4"/>
    <w:multiLevelType w:val="hybridMultilevel"/>
    <w:tmpl w:val="621EA03C"/>
    <w:lvl w:ilvl="0" w:tplc="0C0A0017">
      <w:start w:val="1"/>
      <w:numFmt w:val="lowerLetter"/>
      <w:lvlText w:val="%1)"/>
      <w:lvlJc w:val="left"/>
      <w:pPr>
        <w:ind w:left="720" w:hanging="360"/>
      </w:pPr>
    </w:lvl>
    <w:lvl w:ilvl="1" w:tplc="0C0A0017">
      <w:start w:val="1"/>
      <w:numFmt w:val="lowerLetter"/>
      <w:lvlText w:val="%2)"/>
      <w:lvlJc w:val="left"/>
      <w:pPr>
        <w:ind w:left="567" w:firstLine="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12B23E7"/>
    <w:multiLevelType w:val="hybridMultilevel"/>
    <w:tmpl w:val="03C298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0702C94"/>
    <w:multiLevelType w:val="hybridMultilevel"/>
    <w:tmpl w:val="D26877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0866898"/>
    <w:multiLevelType w:val="hybridMultilevel"/>
    <w:tmpl w:val="D95AD3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0155121"/>
    <w:multiLevelType w:val="hybridMultilevel"/>
    <w:tmpl w:val="33A470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D2E582F"/>
    <w:multiLevelType w:val="hybridMultilevel"/>
    <w:tmpl w:val="A36CD1D6"/>
    <w:lvl w:ilvl="0" w:tplc="0C0A0017">
      <w:start w:val="1"/>
      <w:numFmt w:val="lowerLetter"/>
      <w:lvlText w:val="%1)"/>
      <w:lvlJc w:val="left"/>
      <w:pPr>
        <w:ind w:left="5540" w:hanging="360"/>
      </w:pPr>
    </w:lvl>
    <w:lvl w:ilvl="1" w:tplc="0C0A0017">
      <w:start w:val="1"/>
      <w:numFmt w:val="lowerLetter"/>
      <w:lvlText w:val="%2)"/>
      <w:lvlJc w:val="left"/>
      <w:pPr>
        <w:ind w:left="6260" w:hanging="360"/>
      </w:pPr>
    </w:lvl>
    <w:lvl w:ilvl="2" w:tplc="0C0A001B" w:tentative="1">
      <w:start w:val="1"/>
      <w:numFmt w:val="lowerRoman"/>
      <w:lvlText w:val="%3."/>
      <w:lvlJc w:val="right"/>
      <w:pPr>
        <w:ind w:left="6980" w:hanging="180"/>
      </w:pPr>
    </w:lvl>
    <w:lvl w:ilvl="3" w:tplc="0C0A000F" w:tentative="1">
      <w:start w:val="1"/>
      <w:numFmt w:val="decimal"/>
      <w:lvlText w:val="%4."/>
      <w:lvlJc w:val="left"/>
      <w:pPr>
        <w:ind w:left="7700" w:hanging="360"/>
      </w:pPr>
    </w:lvl>
    <w:lvl w:ilvl="4" w:tplc="0C0A0019" w:tentative="1">
      <w:start w:val="1"/>
      <w:numFmt w:val="lowerLetter"/>
      <w:lvlText w:val="%5."/>
      <w:lvlJc w:val="left"/>
      <w:pPr>
        <w:ind w:left="8420" w:hanging="360"/>
      </w:pPr>
    </w:lvl>
    <w:lvl w:ilvl="5" w:tplc="0C0A001B" w:tentative="1">
      <w:start w:val="1"/>
      <w:numFmt w:val="lowerRoman"/>
      <w:lvlText w:val="%6."/>
      <w:lvlJc w:val="right"/>
      <w:pPr>
        <w:ind w:left="9140" w:hanging="180"/>
      </w:pPr>
    </w:lvl>
    <w:lvl w:ilvl="6" w:tplc="0C0A000F" w:tentative="1">
      <w:start w:val="1"/>
      <w:numFmt w:val="decimal"/>
      <w:lvlText w:val="%7."/>
      <w:lvlJc w:val="left"/>
      <w:pPr>
        <w:ind w:left="9860" w:hanging="360"/>
      </w:pPr>
    </w:lvl>
    <w:lvl w:ilvl="7" w:tplc="0C0A0019" w:tentative="1">
      <w:start w:val="1"/>
      <w:numFmt w:val="lowerLetter"/>
      <w:lvlText w:val="%8."/>
      <w:lvlJc w:val="left"/>
      <w:pPr>
        <w:ind w:left="10580" w:hanging="360"/>
      </w:pPr>
    </w:lvl>
    <w:lvl w:ilvl="8" w:tplc="0C0A001B" w:tentative="1">
      <w:start w:val="1"/>
      <w:numFmt w:val="lowerRoman"/>
      <w:lvlText w:val="%9."/>
      <w:lvlJc w:val="right"/>
      <w:pPr>
        <w:ind w:left="11300" w:hanging="180"/>
      </w:pPr>
    </w:lvl>
  </w:abstractNum>
  <w:abstractNum w:abstractNumId="6" w15:restartNumberingAfterBreak="0">
    <w:nsid w:val="6F6D0AB9"/>
    <w:multiLevelType w:val="hybridMultilevel"/>
    <w:tmpl w:val="9F0ACA38"/>
    <w:lvl w:ilvl="0" w:tplc="E4C27F5E">
      <w:start w:val="1"/>
      <w:numFmt w:val="decimal"/>
      <w:lvlText w:val="%1."/>
      <w:lvlJc w:val="left"/>
      <w:pPr>
        <w:ind w:left="0" w:firstLine="0"/>
      </w:pPr>
      <w:rPr>
        <w:rFonts w:hint="default"/>
      </w:rPr>
    </w:lvl>
    <w:lvl w:ilvl="1" w:tplc="260621AC">
      <w:start w:val="1"/>
      <w:numFmt w:val="lowerLetter"/>
      <w:lvlText w:val="(%2)"/>
      <w:lvlJc w:val="left"/>
      <w:pPr>
        <w:ind w:left="1650" w:hanging="57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170306E"/>
    <w:multiLevelType w:val="hybridMultilevel"/>
    <w:tmpl w:val="38F46ED0"/>
    <w:lvl w:ilvl="0" w:tplc="E4C27F5E">
      <w:start w:val="1"/>
      <w:numFmt w:val="decimal"/>
      <w:lvlText w:val="%1."/>
      <w:lvlJc w:val="left"/>
      <w:pPr>
        <w:ind w:left="0"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3E434FB"/>
    <w:multiLevelType w:val="hybridMultilevel"/>
    <w:tmpl w:val="82FC7FE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0"/>
  </w:num>
  <w:num w:numId="5">
    <w:abstractNumId w:val="2"/>
  </w:num>
  <w:num w:numId="6">
    <w:abstractNumId w:val="7"/>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DF2"/>
    <w:rsid w:val="00000F72"/>
    <w:rsid w:val="00010CF3"/>
    <w:rsid w:val="00011E27"/>
    <w:rsid w:val="000148BC"/>
    <w:rsid w:val="00024AB8"/>
    <w:rsid w:val="00025F28"/>
    <w:rsid w:val="00030854"/>
    <w:rsid w:val="00036028"/>
    <w:rsid w:val="00044642"/>
    <w:rsid w:val="000446B9"/>
    <w:rsid w:val="00047E21"/>
    <w:rsid w:val="00050E16"/>
    <w:rsid w:val="00063783"/>
    <w:rsid w:val="00085505"/>
    <w:rsid w:val="0008623A"/>
    <w:rsid w:val="000C4E25"/>
    <w:rsid w:val="000C7021"/>
    <w:rsid w:val="000D3722"/>
    <w:rsid w:val="000D6BBC"/>
    <w:rsid w:val="000D7780"/>
    <w:rsid w:val="000E636A"/>
    <w:rsid w:val="000F2F11"/>
    <w:rsid w:val="00102B4A"/>
    <w:rsid w:val="001031C0"/>
    <w:rsid w:val="00105929"/>
    <w:rsid w:val="00110C36"/>
    <w:rsid w:val="001131D5"/>
    <w:rsid w:val="00141DB8"/>
    <w:rsid w:val="00172084"/>
    <w:rsid w:val="0017474A"/>
    <w:rsid w:val="001758C6"/>
    <w:rsid w:val="00182B99"/>
    <w:rsid w:val="0021332C"/>
    <w:rsid w:val="00213982"/>
    <w:rsid w:val="002264EB"/>
    <w:rsid w:val="00227AC8"/>
    <w:rsid w:val="0024416D"/>
    <w:rsid w:val="00271911"/>
    <w:rsid w:val="002800A0"/>
    <w:rsid w:val="002801B3"/>
    <w:rsid w:val="00281060"/>
    <w:rsid w:val="002940E8"/>
    <w:rsid w:val="00294751"/>
    <w:rsid w:val="002A6E50"/>
    <w:rsid w:val="002B4298"/>
    <w:rsid w:val="002C256A"/>
    <w:rsid w:val="002C5ECD"/>
    <w:rsid w:val="002F23E7"/>
    <w:rsid w:val="00304827"/>
    <w:rsid w:val="00305A7F"/>
    <w:rsid w:val="003152FE"/>
    <w:rsid w:val="00327436"/>
    <w:rsid w:val="00344BD6"/>
    <w:rsid w:val="0035528D"/>
    <w:rsid w:val="00361821"/>
    <w:rsid w:val="00361E9E"/>
    <w:rsid w:val="003C7FBE"/>
    <w:rsid w:val="003D227C"/>
    <w:rsid w:val="003D2B4D"/>
    <w:rsid w:val="003D7ADA"/>
    <w:rsid w:val="003F4EA5"/>
    <w:rsid w:val="00444A88"/>
    <w:rsid w:val="00474DA4"/>
    <w:rsid w:val="00476B4D"/>
    <w:rsid w:val="004805FA"/>
    <w:rsid w:val="00487C2A"/>
    <w:rsid w:val="004935D2"/>
    <w:rsid w:val="004B1215"/>
    <w:rsid w:val="004D047D"/>
    <w:rsid w:val="004F1E9E"/>
    <w:rsid w:val="004F305A"/>
    <w:rsid w:val="00512164"/>
    <w:rsid w:val="00520297"/>
    <w:rsid w:val="00526A7B"/>
    <w:rsid w:val="005338F9"/>
    <w:rsid w:val="0054281C"/>
    <w:rsid w:val="00544581"/>
    <w:rsid w:val="0055268D"/>
    <w:rsid w:val="00576BE4"/>
    <w:rsid w:val="005A400A"/>
    <w:rsid w:val="005E1CF3"/>
    <w:rsid w:val="005F7B92"/>
    <w:rsid w:val="00612379"/>
    <w:rsid w:val="006153B6"/>
    <w:rsid w:val="0061555F"/>
    <w:rsid w:val="00636CA6"/>
    <w:rsid w:val="00641200"/>
    <w:rsid w:val="00645CA8"/>
    <w:rsid w:val="006655D3"/>
    <w:rsid w:val="00667404"/>
    <w:rsid w:val="006879C8"/>
    <w:rsid w:val="00687EB4"/>
    <w:rsid w:val="00695C56"/>
    <w:rsid w:val="006A5CDE"/>
    <w:rsid w:val="006A644A"/>
    <w:rsid w:val="006B17D2"/>
    <w:rsid w:val="006C224E"/>
    <w:rsid w:val="006D7435"/>
    <w:rsid w:val="006D780A"/>
    <w:rsid w:val="0071271E"/>
    <w:rsid w:val="00732DEC"/>
    <w:rsid w:val="00735BD5"/>
    <w:rsid w:val="00751613"/>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5259"/>
    <w:rsid w:val="00846D7C"/>
    <w:rsid w:val="00867AC1"/>
    <w:rsid w:val="00890DF8"/>
    <w:rsid w:val="008A6130"/>
    <w:rsid w:val="008A743F"/>
    <w:rsid w:val="008B6E60"/>
    <w:rsid w:val="008C0970"/>
    <w:rsid w:val="008D0BC5"/>
    <w:rsid w:val="008D2CF7"/>
    <w:rsid w:val="008D7E86"/>
    <w:rsid w:val="00900C26"/>
    <w:rsid w:val="0090197F"/>
    <w:rsid w:val="00906DDC"/>
    <w:rsid w:val="00915DF2"/>
    <w:rsid w:val="00926B80"/>
    <w:rsid w:val="00934E09"/>
    <w:rsid w:val="00936253"/>
    <w:rsid w:val="00940D46"/>
    <w:rsid w:val="0094406E"/>
    <w:rsid w:val="00952DD4"/>
    <w:rsid w:val="00965AE7"/>
    <w:rsid w:val="00970FED"/>
    <w:rsid w:val="00992D82"/>
    <w:rsid w:val="00997029"/>
    <w:rsid w:val="009A7339"/>
    <w:rsid w:val="009B440E"/>
    <w:rsid w:val="009D690D"/>
    <w:rsid w:val="009E65B6"/>
    <w:rsid w:val="00A24C10"/>
    <w:rsid w:val="00A37C2B"/>
    <w:rsid w:val="00A42AC3"/>
    <w:rsid w:val="00A430CF"/>
    <w:rsid w:val="00A54309"/>
    <w:rsid w:val="00AB2B93"/>
    <w:rsid w:val="00AB530F"/>
    <w:rsid w:val="00AB7E5B"/>
    <w:rsid w:val="00AC2883"/>
    <w:rsid w:val="00AE0EF1"/>
    <w:rsid w:val="00AE2937"/>
    <w:rsid w:val="00B07301"/>
    <w:rsid w:val="00B11F3E"/>
    <w:rsid w:val="00B224DE"/>
    <w:rsid w:val="00B324D4"/>
    <w:rsid w:val="00B46575"/>
    <w:rsid w:val="00B61777"/>
    <w:rsid w:val="00B62C8C"/>
    <w:rsid w:val="00B84BBD"/>
    <w:rsid w:val="00B962CE"/>
    <w:rsid w:val="00BA43FB"/>
    <w:rsid w:val="00BC127D"/>
    <w:rsid w:val="00BC1FE6"/>
    <w:rsid w:val="00C061B6"/>
    <w:rsid w:val="00C2446C"/>
    <w:rsid w:val="00C30E06"/>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20FB"/>
    <w:rsid w:val="00CF7E36"/>
    <w:rsid w:val="00D3708D"/>
    <w:rsid w:val="00D40426"/>
    <w:rsid w:val="00D57C96"/>
    <w:rsid w:val="00D57D18"/>
    <w:rsid w:val="00D72930"/>
    <w:rsid w:val="00D91203"/>
    <w:rsid w:val="00D95174"/>
    <w:rsid w:val="00DA4973"/>
    <w:rsid w:val="00DA6F36"/>
    <w:rsid w:val="00DB31CC"/>
    <w:rsid w:val="00DB596E"/>
    <w:rsid w:val="00DB7773"/>
    <w:rsid w:val="00DC00EA"/>
    <w:rsid w:val="00DC3802"/>
    <w:rsid w:val="00E07D87"/>
    <w:rsid w:val="00E32F7E"/>
    <w:rsid w:val="00E5267B"/>
    <w:rsid w:val="00E63C0E"/>
    <w:rsid w:val="00E72D49"/>
    <w:rsid w:val="00E7593C"/>
    <w:rsid w:val="00E7678A"/>
    <w:rsid w:val="00E935F1"/>
    <w:rsid w:val="00E94A81"/>
    <w:rsid w:val="00EA1FFB"/>
    <w:rsid w:val="00EB048E"/>
    <w:rsid w:val="00EB07F5"/>
    <w:rsid w:val="00EB4E9C"/>
    <w:rsid w:val="00EE34DF"/>
    <w:rsid w:val="00EF2F89"/>
    <w:rsid w:val="00F03E98"/>
    <w:rsid w:val="00F1237A"/>
    <w:rsid w:val="00F22CBD"/>
    <w:rsid w:val="00F272F1"/>
    <w:rsid w:val="00F32D33"/>
    <w:rsid w:val="00F45372"/>
    <w:rsid w:val="00F560F7"/>
    <w:rsid w:val="00F6334D"/>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57D9692"/>
  <w15:docId w15:val="{520272E0-A811-4D34-9346-B722C0CDE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s-ES" w:bidi="es-E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basedOn w:val="Normal"/>
    <w:next w:val="Normal"/>
    <w:autoRedefine/>
    <w:uiPriority w:val="39"/>
    <w:rsid w:val="00DB31CC"/>
    <w:pPr>
      <w:tabs>
        <w:tab w:val="right" w:leader="dot" w:pos="9639"/>
      </w:tabs>
      <w:spacing w:before="60"/>
      <w:ind w:right="1418"/>
      <w:contextualSpacing/>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3F4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1341</Words>
  <Characters>7313</Characters>
  <Application>Microsoft Office Word</Application>
  <DocSecurity>0</DocSecurity>
  <Lines>60</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TC/55</vt:lpstr>
      <vt:lpstr>TC/55</vt:lpstr>
    </vt:vector>
  </TitlesOfParts>
  <Company>UPOV</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dc:title>
  <dc:creator>REZENDE TAVEIRA Leontino</dc:creator>
  <cp:lastModifiedBy>MAY Jessica</cp:lastModifiedBy>
  <cp:revision>3</cp:revision>
  <cp:lastPrinted>2019-10-01T14:21:00Z</cp:lastPrinted>
  <dcterms:created xsi:type="dcterms:W3CDTF">2019-10-15T09:20:00Z</dcterms:created>
  <dcterms:modified xsi:type="dcterms:W3CDTF">2019-10-15T09:25:00Z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c50e39b4-f754-42a4-a7c6-28329ca516b2</vt:lpwstr>
  </property>
</Properties>
</file>