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1"/>
        <w:gridCol w:w="3116"/>
      </w:tblGrid>
      <w:tr w:rsidR="00DC3802" w:rsidRPr="00654CB4" w:rsidTr="00EB4E9C">
        <w:tc>
          <w:tcPr>
            <w:tcW w:w="6522" w:type="dxa"/>
          </w:tcPr>
          <w:p w:rsidR="00DC3802" w:rsidRPr="00654CB4" w:rsidRDefault="00DC3802" w:rsidP="00AC2883">
            <w:pPr>
              <w:rPr>
                <w:lang w:val="es-419"/>
              </w:rPr>
            </w:pPr>
            <w:r w:rsidRPr="00654CB4">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54CB4" w:rsidRDefault="002E5944" w:rsidP="00AC2883">
            <w:pPr>
              <w:pStyle w:val="Lettrine"/>
              <w:rPr>
                <w:lang w:val="es-419"/>
              </w:rPr>
            </w:pPr>
            <w:r w:rsidRPr="00654CB4">
              <w:rPr>
                <w:lang w:val="es-419"/>
              </w:rPr>
              <w:t>S</w:t>
            </w:r>
          </w:p>
        </w:tc>
      </w:tr>
      <w:tr w:rsidR="00DC3802" w:rsidRPr="00654CB4" w:rsidTr="00645CA8">
        <w:trPr>
          <w:trHeight w:val="219"/>
        </w:trPr>
        <w:tc>
          <w:tcPr>
            <w:tcW w:w="6522" w:type="dxa"/>
          </w:tcPr>
          <w:p w:rsidR="00DC3802" w:rsidRPr="00654CB4" w:rsidRDefault="002E5944" w:rsidP="00BC0BD4">
            <w:pPr>
              <w:pStyle w:val="upove"/>
              <w:rPr>
                <w:lang w:val="es-419"/>
              </w:rPr>
            </w:pPr>
            <w:r w:rsidRPr="00654CB4">
              <w:rPr>
                <w:lang w:val="es-419"/>
              </w:rPr>
              <w:t>Unión Internacional para la Protección de las Obtenciones Vegetales</w:t>
            </w:r>
          </w:p>
        </w:tc>
        <w:tc>
          <w:tcPr>
            <w:tcW w:w="3117" w:type="dxa"/>
          </w:tcPr>
          <w:p w:rsidR="00DC3802" w:rsidRPr="00654CB4" w:rsidRDefault="00DC3802" w:rsidP="00DA4973">
            <w:pPr>
              <w:rPr>
                <w:lang w:val="es-419"/>
              </w:rPr>
            </w:pPr>
          </w:p>
        </w:tc>
      </w:tr>
    </w:tbl>
    <w:p w:rsidR="00DC3802" w:rsidRPr="00654CB4" w:rsidRDefault="00DC3802" w:rsidP="00DC3802">
      <w:pPr>
        <w:rPr>
          <w:lang w:val="es-419"/>
        </w:rPr>
      </w:pPr>
    </w:p>
    <w:p w:rsidR="00DA4973" w:rsidRPr="00654CB4"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6"/>
      </w:tblGrid>
      <w:tr w:rsidR="00EB4E9C" w:rsidRPr="004054E4" w:rsidTr="00EB4E9C">
        <w:tc>
          <w:tcPr>
            <w:tcW w:w="6512" w:type="dxa"/>
          </w:tcPr>
          <w:p w:rsidR="00EB4E9C" w:rsidRPr="004054E4" w:rsidRDefault="002E5944" w:rsidP="00AC2883">
            <w:pPr>
              <w:pStyle w:val="Sessiontc"/>
              <w:spacing w:line="240" w:lineRule="auto"/>
              <w:rPr>
                <w:lang w:val="es-419"/>
              </w:rPr>
            </w:pPr>
            <w:r w:rsidRPr="004054E4">
              <w:rPr>
                <w:lang w:val="es-419"/>
              </w:rPr>
              <w:t>Comité Técnico</w:t>
            </w:r>
          </w:p>
          <w:p w:rsidR="00EB4E9C" w:rsidRPr="004054E4" w:rsidRDefault="002E5944" w:rsidP="000B7BB9">
            <w:pPr>
              <w:pStyle w:val="Sessiontcplacedate"/>
              <w:rPr>
                <w:sz w:val="22"/>
                <w:lang w:val="es-419"/>
              </w:rPr>
            </w:pPr>
            <w:r w:rsidRPr="004054E4">
              <w:rPr>
                <w:lang w:val="es-419"/>
              </w:rPr>
              <w:t>Quincuagésima quinta sesión</w:t>
            </w:r>
            <w:r w:rsidRPr="004054E4">
              <w:rPr>
                <w:lang w:val="es-419"/>
              </w:rPr>
              <w:br/>
              <w:t>Ginebra, 28 y 29 de octubre de 2019</w:t>
            </w:r>
          </w:p>
        </w:tc>
        <w:tc>
          <w:tcPr>
            <w:tcW w:w="3127" w:type="dxa"/>
          </w:tcPr>
          <w:p w:rsidR="00EB4E9C" w:rsidRPr="004054E4" w:rsidRDefault="000B7BB9" w:rsidP="003C7FBE">
            <w:pPr>
              <w:pStyle w:val="Doccode"/>
              <w:rPr>
                <w:lang w:val="es-419"/>
              </w:rPr>
            </w:pPr>
            <w:r w:rsidRPr="004054E4">
              <w:rPr>
                <w:lang w:val="es-419"/>
              </w:rPr>
              <w:t>TC/55/12</w:t>
            </w:r>
          </w:p>
          <w:p w:rsidR="00EB4E9C" w:rsidRPr="004054E4" w:rsidRDefault="00EB4E9C" w:rsidP="003C7FBE">
            <w:pPr>
              <w:pStyle w:val="Docoriginal"/>
              <w:rPr>
                <w:lang w:val="es-419"/>
              </w:rPr>
            </w:pPr>
            <w:r w:rsidRPr="004054E4">
              <w:rPr>
                <w:lang w:val="es-419"/>
              </w:rPr>
              <w:t>Original:</w:t>
            </w:r>
            <w:r w:rsidRPr="004054E4">
              <w:rPr>
                <w:b w:val="0"/>
                <w:spacing w:val="0"/>
                <w:lang w:val="es-419"/>
              </w:rPr>
              <w:t xml:space="preserve"> Inglés</w:t>
            </w:r>
          </w:p>
          <w:p w:rsidR="00EB4E9C" w:rsidRPr="004054E4" w:rsidRDefault="002E5944" w:rsidP="00AC076F">
            <w:pPr>
              <w:pStyle w:val="Docoriginal"/>
              <w:rPr>
                <w:lang w:val="es-419"/>
              </w:rPr>
            </w:pPr>
            <w:r w:rsidRPr="004054E4">
              <w:rPr>
                <w:lang w:val="es-419"/>
              </w:rPr>
              <w:t>Fecha:</w:t>
            </w:r>
            <w:r w:rsidR="00286F46" w:rsidRPr="004054E4">
              <w:rPr>
                <w:b w:val="0"/>
                <w:spacing w:val="0"/>
                <w:lang w:val="es-419"/>
              </w:rPr>
              <w:t xml:space="preserve"> </w:t>
            </w:r>
            <w:r w:rsidR="00AC076F">
              <w:rPr>
                <w:b w:val="0"/>
                <w:spacing w:val="0"/>
                <w:lang w:val="es-419"/>
              </w:rPr>
              <w:t>5</w:t>
            </w:r>
            <w:r w:rsidRPr="004054E4">
              <w:rPr>
                <w:b w:val="0"/>
                <w:spacing w:val="0"/>
                <w:lang w:val="es-419"/>
              </w:rPr>
              <w:t xml:space="preserve"> de </w:t>
            </w:r>
            <w:r w:rsidR="00AC076F">
              <w:rPr>
                <w:b w:val="0"/>
                <w:spacing w:val="0"/>
                <w:lang w:val="es-419"/>
              </w:rPr>
              <w:t xml:space="preserve">septiembre </w:t>
            </w:r>
            <w:r w:rsidRPr="004054E4">
              <w:rPr>
                <w:b w:val="0"/>
                <w:spacing w:val="0"/>
                <w:lang w:val="es-419"/>
              </w:rPr>
              <w:t>de 2019</w:t>
            </w:r>
          </w:p>
        </w:tc>
      </w:tr>
    </w:tbl>
    <w:p w:rsidR="00843BBF" w:rsidRPr="00654CB4" w:rsidRDefault="00843BBF" w:rsidP="00843BBF">
      <w:pPr>
        <w:pStyle w:val="Titleofdoc0"/>
        <w:rPr>
          <w:lang w:val="es-419"/>
        </w:rPr>
      </w:pPr>
      <w:bookmarkStart w:id="0" w:name="TitleOfDoc"/>
      <w:bookmarkStart w:id="1" w:name="Prepared"/>
      <w:bookmarkEnd w:id="0"/>
      <w:bookmarkEnd w:id="1"/>
      <w:r w:rsidRPr="004054E4">
        <w:rPr>
          <w:lang w:val="es-419"/>
        </w:rPr>
        <w:t>Caracteres que solo se aplican a ciertas variedades</w:t>
      </w:r>
    </w:p>
    <w:p w:rsidR="006A644A" w:rsidRPr="00654CB4" w:rsidRDefault="000638A9" w:rsidP="006A644A">
      <w:pPr>
        <w:pStyle w:val="preparedby1"/>
        <w:jc w:val="left"/>
        <w:rPr>
          <w:lang w:val="es-419"/>
        </w:rPr>
      </w:pPr>
      <w:r w:rsidRPr="00654CB4">
        <w:rPr>
          <w:lang w:val="es-419"/>
        </w:rPr>
        <w:t>Documento preparado por la Oficina de la Unión</w:t>
      </w:r>
    </w:p>
    <w:p w:rsidR="00050E16" w:rsidRPr="00654CB4" w:rsidRDefault="000638A9" w:rsidP="006A644A">
      <w:pPr>
        <w:pStyle w:val="Disclaimer"/>
        <w:rPr>
          <w:lang w:val="es-419"/>
        </w:rPr>
      </w:pPr>
      <w:r w:rsidRPr="00654CB4">
        <w:rPr>
          <w:lang w:val="es-419"/>
        </w:rPr>
        <w:t>Descargo de responsabilidad: el presente documento no constituye un documento de política u orientación de la UPOV</w:t>
      </w:r>
    </w:p>
    <w:p w:rsidR="00843BBF" w:rsidRPr="00654CB4" w:rsidRDefault="00843BBF" w:rsidP="00587E37">
      <w:pPr>
        <w:pStyle w:val="Heading1"/>
        <w:rPr>
          <w:snapToGrid w:val="0"/>
          <w:lang w:val="es-419"/>
        </w:rPr>
      </w:pPr>
      <w:bookmarkStart w:id="2" w:name="_Toc17121905"/>
      <w:bookmarkStart w:id="3" w:name="_Toc18666355"/>
      <w:r w:rsidRPr="00654CB4">
        <w:rPr>
          <w:lang w:val="es-419"/>
        </w:rPr>
        <w:t>RESUMEN</w:t>
      </w:r>
      <w:bookmarkEnd w:id="2"/>
      <w:bookmarkEnd w:id="3"/>
    </w:p>
    <w:p w:rsidR="00843BBF" w:rsidRPr="00654CB4" w:rsidRDefault="00843BBF" w:rsidP="00843BBF">
      <w:pPr>
        <w:rPr>
          <w:snapToGrid w:val="0"/>
          <w:lang w:val="es-419"/>
        </w:rPr>
      </w:pPr>
    </w:p>
    <w:p w:rsidR="00843BBF" w:rsidRPr="00654CB4" w:rsidRDefault="00843BBF" w:rsidP="00843BBF">
      <w:pPr>
        <w:rPr>
          <w:snapToGrid w:val="0"/>
          <w:lang w:val="es-419"/>
        </w:rPr>
      </w:pPr>
      <w:r w:rsidRPr="00654CB4">
        <w:rPr>
          <w:snapToGrid w:val="0"/>
          <w:lang w:val="es-419"/>
        </w:rPr>
        <w:fldChar w:fldCharType="begin"/>
      </w:r>
      <w:r w:rsidRPr="00654CB4">
        <w:rPr>
          <w:snapToGrid w:val="0"/>
          <w:lang w:val="es-419"/>
        </w:rPr>
        <w:instrText xml:space="preserve"> AUTONUM  </w:instrText>
      </w:r>
      <w:r w:rsidRPr="00654CB4">
        <w:rPr>
          <w:snapToGrid w:val="0"/>
          <w:lang w:val="es-419"/>
        </w:rPr>
        <w:fldChar w:fldCharType="end"/>
      </w:r>
      <w:r w:rsidRPr="00654CB4">
        <w:rPr>
          <w:lang w:val="es-419"/>
        </w:rPr>
        <w:tab/>
        <w:t>Este documento tiene por objeto presentar una propuesta de modificación de la orientación que se ofrece actualmente en el documento TGP/7 “Elaboración de las Directrices de Examen” a fin de permitir que se excluya la observación de un carácter sobre la base del nivel de expresión de un carácter pseudocualitativo o cuantitativo anterior.</w:t>
      </w:r>
    </w:p>
    <w:p w:rsidR="00843BBF" w:rsidRPr="00654CB4" w:rsidRDefault="00843BBF" w:rsidP="00843BBF">
      <w:pPr>
        <w:tabs>
          <w:tab w:val="left" w:pos="567"/>
          <w:tab w:val="left" w:pos="1134"/>
        </w:tabs>
        <w:rPr>
          <w:lang w:val="es-419"/>
        </w:rPr>
      </w:pPr>
    </w:p>
    <w:p w:rsidR="00843BBF" w:rsidRPr="004054E4" w:rsidRDefault="00843BBF" w:rsidP="00843BBF">
      <w:pPr>
        <w:rPr>
          <w:rFonts w:cs="Arial"/>
          <w:bCs/>
          <w:snapToGrid w:val="0"/>
          <w:lang w:val="es-419"/>
        </w:rPr>
      </w:pPr>
      <w:r w:rsidRPr="004054E4">
        <w:rPr>
          <w:rFonts w:cs="Arial"/>
          <w:bCs/>
          <w:snapToGrid w:val="0"/>
          <w:lang w:val="es-419"/>
        </w:rPr>
        <w:fldChar w:fldCharType="begin"/>
      </w:r>
      <w:r w:rsidRPr="004054E4">
        <w:rPr>
          <w:rFonts w:cs="Arial"/>
          <w:bCs/>
          <w:snapToGrid w:val="0"/>
          <w:lang w:val="es-419"/>
        </w:rPr>
        <w:instrText xml:space="preserve"> AUTONUM  </w:instrText>
      </w:r>
      <w:r w:rsidRPr="004054E4">
        <w:rPr>
          <w:rFonts w:cs="Arial"/>
          <w:bCs/>
          <w:snapToGrid w:val="0"/>
          <w:lang w:val="es-419"/>
        </w:rPr>
        <w:fldChar w:fldCharType="end"/>
      </w:r>
      <w:r w:rsidRPr="004054E4">
        <w:rPr>
          <w:lang w:val="es-419"/>
        </w:rPr>
        <w:tab/>
        <w:t>Se invita al TC a examinar:</w:t>
      </w:r>
    </w:p>
    <w:p w:rsidR="00843BBF" w:rsidRPr="004054E4" w:rsidRDefault="00843BBF" w:rsidP="00843BBF">
      <w:pPr>
        <w:rPr>
          <w:rFonts w:cs="Arial"/>
          <w:bCs/>
          <w:snapToGrid w:val="0"/>
          <w:lang w:val="es-419"/>
        </w:rPr>
      </w:pPr>
    </w:p>
    <w:p w:rsidR="00843BBF" w:rsidRPr="004054E4" w:rsidRDefault="00843BBF" w:rsidP="00843BBF">
      <w:pPr>
        <w:rPr>
          <w:rFonts w:cs="Arial"/>
          <w:bCs/>
          <w:snapToGrid w:val="0"/>
          <w:lang w:val="es-419"/>
        </w:rPr>
      </w:pPr>
      <w:r w:rsidRPr="004054E4">
        <w:rPr>
          <w:lang w:val="es-419"/>
        </w:rPr>
        <w:tab/>
        <w:t>a)</w:t>
      </w:r>
      <w:r w:rsidRPr="004054E4">
        <w:rPr>
          <w:lang w:val="es-419"/>
        </w:rPr>
        <w:tab/>
        <w:t xml:space="preserve">los ejemplos de caracteres cuantitativos y pseudocualitativos facilitados por los TWP, en sus sesiones de 2019, a fin de mostrar cómo puede emplearse el enfoque propuesto de manera que no plantee riesgos respecto de las decisiones sobre la distinción, expuestos en el </w:t>
      </w:r>
      <w:r w:rsidRPr="004054E4">
        <w:rPr>
          <w:snapToGrid w:val="0"/>
          <w:lang w:val="es-419"/>
        </w:rPr>
        <w:t>párrafo 20</w:t>
      </w:r>
      <w:r w:rsidRPr="004054E4">
        <w:rPr>
          <w:lang w:val="es-419"/>
        </w:rPr>
        <w:t xml:space="preserve"> de este documento; y</w:t>
      </w:r>
    </w:p>
    <w:p w:rsidR="00843BBF" w:rsidRPr="004054E4" w:rsidRDefault="00843BBF" w:rsidP="00843BBF">
      <w:pPr>
        <w:rPr>
          <w:rFonts w:cs="Arial"/>
          <w:bCs/>
          <w:snapToGrid w:val="0"/>
          <w:lang w:val="es-419"/>
        </w:rPr>
      </w:pPr>
    </w:p>
    <w:p w:rsidR="00843BBF" w:rsidRPr="004054E4" w:rsidRDefault="00843BBF" w:rsidP="00843BBF">
      <w:pPr>
        <w:rPr>
          <w:rFonts w:cs="Arial"/>
          <w:bCs/>
          <w:snapToGrid w:val="0"/>
          <w:lang w:val="es-419"/>
        </w:rPr>
      </w:pPr>
      <w:r w:rsidRPr="004054E4">
        <w:rPr>
          <w:lang w:val="es-419"/>
        </w:rPr>
        <w:tab/>
        <w:t>b)</w:t>
      </w:r>
      <w:r w:rsidRPr="004054E4">
        <w:rPr>
          <w:lang w:val="es-419"/>
        </w:rPr>
        <w:tab/>
        <w:t xml:space="preserve">la propuesta de modificación de la orientación que se ofrece en la nota orientativa 18 (GN 18) del documento TGP/7 a fin de permitir la exclusión de un carácter de la observación sobre la base del nivel de expresión de un carácter pseudocualitativo o cuantitativo anterior de la manera siguiente, expuesta en el </w:t>
      </w:r>
      <w:r w:rsidRPr="004054E4">
        <w:rPr>
          <w:snapToGrid w:val="0"/>
          <w:lang w:val="es-419"/>
        </w:rPr>
        <w:t>párrafo 21</w:t>
      </w:r>
      <w:r w:rsidRPr="004054E4">
        <w:rPr>
          <w:lang w:val="es-419"/>
        </w:rPr>
        <w:t xml:space="preserve"> de este documento.</w:t>
      </w:r>
    </w:p>
    <w:p w:rsidR="00843BBF" w:rsidRPr="004054E4" w:rsidRDefault="00843BBF" w:rsidP="00843BBF">
      <w:pPr>
        <w:rPr>
          <w:rFonts w:cs="Arial"/>
          <w:color w:val="000000"/>
          <w:lang w:val="es-419"/>
        </w:rPr>
      </w:pPr>
    </w:p>
    <w:p w:rsidR="00843BBF" w:rsidRPr="004054E4" w:rsidRDefault="00843BBF" w:rsidP="00843BBF">
      <w:pPr>
        <w:jc w:val="left"/>
        <w:rPr>
          <w:rFonts w:cs="Arial"/>
          <w:color w:val="000000"/>
          <w:lang w:val="es-419"/>
        </w:rPr>
      </w:pPr>
      <w:r w:rsidRPr="004054E4">
        <w:rPr>
          <w:rFonts w:cs="Arial"/>
          <w:color w:val="000000"/>
          <w:lang w:val="es-419"/>
        </w:rPr>
        <w:fldChar w:fldCharType="begin"/>
      </w:r>
      <w:r w:rsidRPr="004054E4">
        <w:rPr>
          <w:rFonts w:cs="Arial"/>
          <w:color w:val="000000"/>
          <w:lang w:val="es-419"/>
        </w:rPr>
        <w:instrText xml:space="preserve"> AUTONUM  </w:instrText>
      </w:r>
      <w:r w:rsidRPr="004054E4">
        <w:rPr>
          <w:rFonts w:cs="Arial"/>
          <w:color w:val="000000"/>
          <w:lang w:val="es-419"/>
        </w:rPr>
        <w:fldChar w:fldCharType="end"/>
      </w:r>
      <w:r w:rsidRPr="004054E4">
        <w:rPr>
          <w:lang w:val="es-419"/>
        </w:rPr>
        <w:tab/>
        <w:t>En el presente documento se utilizan las abreviaturas siguientes:</w:t>
      </w:r>
    </w:p>
    <w:p w:rsidR="00843BBF" w:rsidRPr="004054E4" w:rsidRDefault="00843BBF" w:rsidP="00843BBF">
      <w:pPr>
        <w:jc w:val="left"/>
        <w:rPr>
          <w:rFonts w:cs="Arial"/>
          <w:color w:val="000000"/>
          <w:lang w:val="es-419"/>
        </w:rPr>
      </w:pPr>
    </w:p>
    <w:p w:rsidR="00843BBF" w:rsidRPr="004054E4" w:rsidRDefault="00843BBF" w:rsidP="00843BBF">
      <w:pPr>
        <w:tabs>
          <w:tab w:val="left" w:pos="1134"/>
        </w:tabs>
        <w:jc w:val="left"/>
        <w:rPr>
          <w:rFonts w:cs="Arial"/>
          <w:color w:val="000000"/>
          <w:lang w:val="es-419"/>
        </w:rPr>
      </w:pPr>
      <w:r w:rsidRPr="004054E4">
        <w:rPr>
          <w:color w:val="000000"/>
          <w:lang w:val="es-419"/>
        </w:rPr>
        <w:t>TC:</w:t>
      </w:r>
      <w:r w:rsidR="0073246B" w:rsidRPr="004054E4">
        <w:rPr>
          <w:color w:val="000000"/>
          <w:lang w:val="es-419"/>
        </w:rPr>
        <w:t xml:space="preserve"> </w:t>
      </w:r>
      <w:r w:rsidRPr="004054E4">
        <w:rPr>
          <w:lang w:val="es-419"/>
        </w:rPr>
        <w:tab/>
      </w:r>
      <w:r w:rsidRPr="004054E4">
        <w:rPr>
          <w:color w:val="000000"/>
          <w:lang w:val="es-419"/>
        </w:rPr>
        <w:t>Comité Técnico</w:t>
      </w:r>
    </w:p>
    <w:p w:rsidR="00843BBF" w:rsidRPr="004054E4" w:rsidRDefault="00843BBF" w:rsidP="00843BBF">
      <w:pPr>
        <w:jc w:val="left"/>
        <w:rPr>
          <w:rFonts w:cs="Arial"/>
          <w:color w:val="000000"/>
          <w:lang w:val="es-419"/>
        </w:rPr>
      </w:pPr>
      <w:r w:rsidRPr="004054E4">
        <w:rPr>
          <w:color w:val="000000"/>
          <w:lang w:val="es-419"/>
        </w:rPr>
        <w:t>TC-EDC:</w:t>
      </w:r>
      <w:r w:rsidR="0073246B" w:rsidRPr="004054E4">
        <w:rPr>
          <w:color w:val="000000"/>
          <w:lang w:val="es-419"/>
        </w:rPr>
        <w:t xml:space="preserve"> </w:t>
      </w:r>
      <w:r w:rsidRPr="004054E4">
        <w:rPr>
          <w:lang w:val="es-419"/>
        </w:rPr>
        <w:tab/>
      </w:r>
      <w:r w:rsidRPr="004054E4">
        <w:rPr>
          <w:color w:val="000000"/>
          <w:lang w:val="es-419"/>
        </w:rPr>
        <w:t>Comité de Redacción Ampliado</w:t>
      </w:r>
    </w:p>
    <w:p w:rsidR="00843BBF" w:rsidRPr="004054E4" w:rsidRDefault="00843BBF" w:rsidP="00843BBF">
      <w:pPr>
        <w:jc w:val="left"/>
        <w:rPr>
          <w:rFonts w:cs="Arial"/>
          <w:color w:val="000000"/>
          <w:lang w:val="es-419"/>
        </w:rPr>
      </w:pPr>
      <w:r w:rsidRPr="004054E4">
        <w:rPr>
          <w:color w:val="000000"/>
          <w:lang w:val="es-419"/>
        </w:rPr>
        <w:t>TWA</w:t>
      </w:r>
      <w:r w:rsidR="002D3E4A" w:rsidRPr="004054E4">
        <w:rPr>
          <w:color w:val="000000"/>
          <w:lang w:val="es-419"/>
        </w:rPr>
        <w:t>:</w:t>
      </w:r>
      <w:r w:rsidR="002D3E4A" w:rsidRPr="004054E4">
        <w:rPr>
          <w:color w:val="000000"/>
          <w:lang w:val="es-419"/>
        </w:rPr>
        <w:tab/>
      </w:r>
      <w:r w:rsidR="0073246B" w:rsidRPr="004054E4">
        <w:rPr>
          <w:color w:val="000000"/>
          <w:lang w:val="es-419"/>
        </w:rPr>
        <w:t xml:space="preserve"> </w:t>
      </w:r>
      <w:r w:rsidRPr="004054E4">
        <w:rPr>
          <w:lang w:val="es-419"/>
        </w:rPr>
        <w:tab/>
      </w:r>
      <w:r w:rsidRPr="004054E4">
        <w:rPr>
          <w:color w:val="000000"/>
          <w:lang w:val="es-419"/>
        </w:rPr>
        <w:t>Grupo de Trabajo Técnico sobre Plantas Agrícolas</w:t>
      </w:r>
    </w:p>
    <w:p w:rsidR="00843BBF" w:rsidRPr="004054E4" w:rsidRDefault="00843BBF" w:rsidP="00843BBF">
      <w:pPr>
        <w:jc w:val="left"/>
        <w:rPr>
          <w:rFonts w:cs="Arial"/>
          <w:color w:val="000000"/>
          <w:lang w:val="es-419"/>
        </w:rPr>
      </w:pPr>
      <w:r w:rsidRPr="004054E4">
        <w:rPr>
          <w:color w:val="000000"/>
          <w:lang w:val="es-419"/>
        </w:rPr>
        <w:t>TWC:</w:t>
      </w:r>
      <w:r w:rsidR="0073246B" w:rsidRPr="004054E4">
        <w:rPr>
          <w:color w:val="000000"/>
          <w:lang w:val="es-419"/>
        </w:rPr>
        <w:tab/>
      </w:r>
      <w:r w:rsidRPr="004054E4">
        <w:rPr>
          <w:lang w:val="es-419"/>
        </w:rPr>
        <w:tab/>
      </w:r>
      <w:r w:rsidRPr="004054E4">
        <w:rPr>
          <w:color w:val="000000"/>
          <w:lang w:val="es-419"/>
        </w:rPr>
        <w:t>Grupo de Trabajo Técnico sobre Automatización y Programas Informáticos</w:t>
      </w:r>
    </w:p>
    <w:p w:rsidR="00843BBF" w:rsidRPr="004054E4" w:rsidRDefault="00843BBF" w:rsidP="00843BBF">
      <w:pPr>
        <w:jc w:val="left"/>
        <w:rPr>
          <w:rFonts w:cs="Arial"/>
          <w:color w:val="000000"/>
          <w:lang w:val="es-419"/>
        </w:rPr>
      </w:pPr>
      <w:r w:rsidRPr="004054E4">
        <w:rPr>
          <w:color w:val="000000"/>
          <w:lang w:val="es-419"/>
        </w:rPr>
        <w:t>TWF:</w:t>
      </w:r>
      <w:r w:rsidR="0073246B" w:rsidRPr="004054E4">
        <w:rPr>
          <w:color w:val="000000"/>
          <w:lang w:val="es-419"/>
        </w:rPr>
        <w:tab/>
      </w:r>
      <w:r w:rsidRPr="004054E4">
        <w:rPr>
          <w:lang w:val="es-419"/>
        </w:rPr>
        <w:tab/>
      </w:r>
      <w:r w:rsidRPr="004054E4">
        <w:rPr>
          <w:color w:val="000000"/>
          <w:lang w:val="es-419"/>
        </w:rPr>
        <w:t xml:space="preserve">Grupo de Trabajo Técnico sobre Plantas Frutales </w:t>
      </w:r>
    </w:p>
    <w:p w:rsidR="00843BBF" w:rsidRPr="004054E4" w:rsidRDefault="00843BBF" w:rsidP="00843BBF">
      <w:pPr>
        <w:jc w:val="left"/>
        <w:rPr>
          <w:rFonts w:cs="Arial"/>
          <w:color w:val="000000"/>
          <w:lang w:val="es-419"/>
        </w:rPr>
      </w:pPr>
      <w:r w:rsidRPr="004054E4">
        <w:rPr>
          <w:color w:val="000000"/>
          <w:lang w:val="es-419"/>
        </w:rPr>
        <w:t>TWO:</w:t>
      </w:r>
      <w:r w:rsidR="0073246B" w:rsidRPr="004054E4">
        <w:rPr>
          <w:color w:val="000000"/>
          <w:lang w:val="es-419"/>
        </w:rPr>
        <w:t xml:space="preserve"> </w:t>
      </w:r>
      <w:r w:rsidRPr="004054E4">
        <w:rPr>
          <w:lang w:val="es-419"/>
        </w:rPr>
        <w:tab/>
      </w:r>
      <w:r w:rsidRPr="004054E4">
        <w:rPr>
          <w:color w:val="000000"/>
          <w:lang w:val="es-419"/>
        </w:rPr>
        <w:t xml:space="preserve">Grupo de Trabajo Técnico sobre Plantas Ornamentales y Árboles Forestales </w:t>
      </w:r>
    </w:p>
    <w:p w:rsidR="00843BBF" w:rsidRPr="004054E4" w:rsidRDefault="00843BBF" w:rsidP="00843BBF">
      <w:pPr>
        <w:jc w:val="left"/>
        <w:rPr>
          <w:rFonts w:cs="Arial"/>
          <w:color w:val="000000"/>
          <w:lang w:val="es-419"/>
        </w:rPr>
      </w:pPr>
      <w:r w:rsidRPr="004054E4">
        <w:rPr>
          <w:color w:val="000000"/>
          <w:lang w:val="es-419"/>
        </w:rPr>
        <w:t>TWV</w:t>
      </w:r>
      <w:r w:rsidR="0073246B" w:rsidRPr="004054E4">
        <w:rPr>
          <w:color w:val="000000"/>
          <w:lang w:val="es-419"/>
        </w:rPr>
        <w:t>:</w:t>
      </w:r>
      <w:r w:rsidR="0073246B" w:rsidRPr="004054E4">
        <w:rPr>
          <w:color w:val="000000"/>
          <w:lang w:val="es-419"/>
        </w:rPr>
        <w:tab/>
      </w:r>
      <w:r w:rsidR="0073246B" w:rsidRPr="004054E4">
        <w:rPr>
          <w:color w:val="000000"/>
          <w:lang w:val="es-419"/>
        </w:rPr>
        <w:tab/>
      </w:r>
      <w:r w:rsidRPr="004054E4">
        <w:rPr>
          <w:color w:val="000000"/>
          <w:lang w:val="es-419"/>
        </w:rPr>
        <w:t>Grupo de Trabajo Técnico sobre Hortalizas</w:t>
      </w:r>
    </w:p>
    <w:p w:rsidR="00843BBF" w:rsidRPr="004054E4" w:rsidRDefault="00843BBF" w:rsidP="00843BBF">
      <w:pPr>
        <w:jc w:val="left"/>
        <w:rPr>
          <w:rFonts w:cs="Arial"/>
          <w:color w:val="000000"/>
          <w:lang w:val="es-419"/>
        </w:rPr>
      </w:pPr>
      <w:r w:rsidRPr="004054E4">
        <w:rPr>
          <w:color w:val="000000"/>
          <w:lang w:val="es-419"/>
        </w:rPr>
        <w:t>TWP:</w:t>
      </w:r>
      <w:r w:rsidR="002D3E4A" w:rsidRPr="004054E4">
        <w:rPr>
          <w:lang w:val="es-419"/>
        </w:rPr>
        <w:tab/>
      </w:r>
      <w:r w:rsidR="002D3E4A" w:rsidRPr="004054E4">
        <w:rPr>
          <w:lang w:val="es-419"/>
        </w:rPr>
        <w:tab/>
      </w:r>
      <w:r w:rsidRPr="004054E4">
        <w:rPr>
          <w:color w:val="000000"/>
          <w:lang w:val="es-419"/>
        </w:rPr>
        <w:t>Grupos de Trabajo Técnico</w:t>
      </w:r>
    </w:p>
    <w:p w:rsidR="00843BBF" w:rsidRPr="004054E4" w:rsidRDefault="00843BBF" w:rsidP="00843BBF">
      <w:pPr>
        <w:tabs>
          <w:tab w:val="left" w:pos="567"/>
          <w:tab w:val="left" w:pos="1134"/>
        </w:tabs>
        <w:rPr>
          <w:snapToGrid w:val="0"/>
          <w:lang w:val="es-419"/>
        </w:rPr>
      </w:pPr>
    </w:p>
    <w:p w:rsidR="00843BBF" w:rsidRPr="004054E4" w:rsidRDefault="00843BBF" w:rsidP="00843BBF">
      <w:pPr>
        <w:rPr>
          <w:lang w:val="es-419"/>
        </w:rPr>
      </w:pPr>
      <w:r w:rsidRPr="004054E4">
        <w:rPr>
          <w:lang w:val="es-419"/>
        </w:rPr>
        <w:fldChar w:fldCharType="begin"/>
      </w:r>
      <w:r w:rsidRPr="004054E4">
        <w:rPr>
          <w:lang w:val="es-419"/>
        </w:rPr>
        <w:instrText xml:space="preserve"> AUTONUM  </w:instrText>
      </w:r>
      <w:r w:rsidRPr="004054E4">
        <w:rPr>
          <w:lang w:val="es-419"/>
        </w:rPr>
        <w:fldChar w:fldCharType="end"/>
      </w:r>
      <w:r w:rsidRPr="004054E4">
        <w:rPr>
          <w:lang w:val="es-419"/>
        </w:rPr>
        <w:tab/>
        <w:t>El presente documento se estructura del modo siguiente:</w:t>
      </w:r>
    </w:p>
    <w:p w:rsidR="00843BBF" w:rsidRPr="004054E4" w:rsidRDefault="00843BBF" w:rsidP="00843BBF">
      <w:pPr>
        <w:rPr>
          <w:lang w:val="es-419"/>
        </w:rPr>
      </w:pPr>
    </w:p>
    <w:p w:rsidR="00654CB4" w:rsidRPr="004054E4" w:rsidRDefault="00843BBF" w:rsidP="00BE26A5">
      <w:pPr>
        <w:pStyle w:val="TOC1"/>
        <w:rPr>
          <w:rFonts w:asciiTheme="minorHAnsi" w:eastAsiaTheme="minorEastAsia" w:hAnsiTheme="minorHAnsi" w:cstheme="minorBidi"/>
          <w:noProof/>
          <w:lang w:val="es-419" w:eastAsia="en-GB" w:bidi="ar-SA"/>
        </w:rPr>
      </w:pPr>
      <w:r w:rsidRPr="004054E4">
        <w:rPr>
          <w:b/>
          <w:bCs/>
          <w:noProof/>
          <w:lang w:val="es-419"/>
        </w:rPr>
        <w:fldChar w:fldCharType="begin"/>
      </w:r>
      <w:r w:rsidRPr="004054E4">
        <w:rPr>
          <w:rFonts w:cs="Arial"/>
          <w:b/>
          <w:bCs/>
          <w:noProof/>
          <w:lang w:val="es-419"/>
        </w:rPr>
        <w:instrText xml:space="preserve"> TOC \o "1-3" \h \z \u </w:instrText>
      </w:r>
      <w:r w:rsidRPr="004054E4">
        <w:rPr>
          <w:b/>
          <w:bCs/>
          <w:noProof/>
          <w:lang w:val="es-419"/>
        </w:rPr>
        <w:fldChar w:fldCharType="separate"/>
      </w:r>
      <w:hyperlink w:anchor="_Toc18666355" w:history="1">
        <w:r w:rsidR="00654CB4" w:rsidRPr="004054E4">
          <w:rPr>
            <w:rStyle w:val="Hyperlink"/>
            <w:noProof/>
            <w:sz w:val="18"/>
            <w:szCs w:val="18"/>
            <w:lang w:val="es-419"/>
          </w:rPr>
          <w:t>RESUMEN</w:t>
        </w:r>
        <w:r w:rsidR="00654CB4" w:rsidRPr="004054E4">
          <w:rPr>
            <w:noProof/>
            <w:webHidden/>
            <w:lang w:val="es-419"/>
          </w:rPr>
          <w:tab/>
        </w:r>
        <w:r w:rsidR="00654CB4" w:rsidRPr="004054E4">
          <w:rPr>
            <w:noProof/>
            <w:webHidden/>
            <w:lang w:val="es-419"/>
          </w:rPr>
          <w:fldChar w:fldCharType="begin"/>
        </w:r>
        <w:r w:rsidR="00654CB4" w:rsidRPr="004054E4">
          <w:rPr>
            <w:noProof/>
            <w:webHidden/>
            <w:lang w:val="es-419"/>
          </w:rPr>
          <w:instrText xml:space="preserve"> PAGEREF _Toc18666355 \h </w:instrText>
        </w:r>
        <w:r w:rsidR="00654CB4" w:rsidRPr="004054E4">
          <w:rPr>
            <w:noProof/>
            <w:webHidden/>
            <w:lang w:val="es-419"/>
          </w:rPr>
        </w:r>
        <w:r w:rsidR="00654CB4" w:rsidRPr="004054E4">
          <w:rPr>
            <w:noProof/>
            <w:webHidden/>
            <w:lang w:val="es-419"/>
          </w:rPr>
          <w:fldChar w:fldCharType="separate"/>
        </w:r>
        <w:r w:rsidR="00654CB4" w:rsidRPr="004054E4">
          <w:rPr>
            <w:noProof/>
            <w:webHidden/>
            <w:lang w:val="es-419"/>
          </w:rPr>
          <w:t>1</w:t>
        </w:r>
        <w:r w:rsidR="00654CB4" w:rsidRPr="004054E4">
          <w:rPr>
            <w:noProof/>
            <w:webHidden/>
            <w:lang w:val="es-419"/>
          </w:rPr>
          <w:fldChar w:fldCharType="end"/>
        </w:r>
      </w:hyperlink>
    </w:p>
    <w:p w:rsidR="00654CB4" w:rsidRPr="004054E4" w:rsidRDefault="00AF1D7F" w:rsidP="00BE26A5">
      <w:pPr>
        <w:pStyle w:val="TOC1"/>
        <w:rPr>
          <w:rFonts w:asciiTheme="minorHAnsi" w:eastAsiaTheme="minorEastAsia" w:hAnsiTheme="minorHAnsi" w:cstheme="minorBidi"/>
          <w:noProof/>
          <w:lang w:val="es-419" w:eastAsia="en-GB" w:bidi="ar-SA"/>
        </w:rPr>
      </w:pPr>
      <w:hyperlink w:anchor="_Toc18666356" w:history="1">
        <w:r w:rsidR="00654CB4" w:rsidRPr="004054E4">
          <w:rPr>
            <w:rStyle w:val="Hyperlink"/>
            <w:noProof/>
            <w:snapToGrid w:val="0"/>
            <w:sz w:val="18"/>
            <w:szCs w:val="18"/>
            <w:lang w:val="es-419"/>
          </w:rPr>
          <w:t>ANTECEDENTES</w:t>
        </w:r>
        <w:r w:rsidR="00654CB4" w:rsidRPr="004054E4">
          <w:rPr>
            <w:noProof/>
            <w:webHidden/>
            <w:lang w:val="es-419"/>
          </w:rPr>
          <w:tab/>
        </w:r>
        <w:r w:rsidR="00654CB4" w:rsidRPr="004054E4">
          <w:rPr>
            <w:noProof/>
            <w:webHidden/>
            <w:lang w:val="es-419"/>
          </w:rPr>
          <w:fldChar w:fldCharType="begin"/>
        </w:r>
        <w:r w:rsidR="00654CB4" w:rsidRPr="004054E4">
          <w:rPr>
            <w:noProof/>
            <w:webHidden/>
            <w:lang w:val="es-419"/>
          </w:rPr>
          <w:instrText xml:space="preserve"> PAGEREF _Toc18666356 \h </w:instrText>
        </w:r>
        <w:r w:rsidR="00654CB4" w:rsidRPr="004054E4">
          <w:rPr>
            <w:noProof/>
            <w:webHidden/>
            <w:lang w:val="es-419"/>
          </w:rPr>
        </w:r>
        <w:r w:rsidR="00654CB4" w:rsidRPr="004054E4">
          <w:rPr>
            <w:noProof/>
            <w:webHidden/>
            <w:lang w:val="es-419"/>
          </w:rPr>
          <w:fldChar w:fldCharType="separate"/>
        </w:r>
        <w:r w:rsidR="00654CB4" w:rsidRPr="004054E4">
          <w:rPr>
            <w:noProof/>
            <w:webHidden/>
            <w:lang w:val="es-419"/>
          </w:rPr>
          <w:t>2</w:t>
        </w:r>
        <w:r w:rsidR="00654CB4" w:rsidRPr="004054E4">
          <w:rPr>
            <w:noProof/>
            <w:webHidden/>
            <w:lang w:val="es-419"/>
          </w:rPr>
          <w:fldChar w:fldCharType="end"/>
        </w:r>
      </w:hyperlink>
    </w:p>
    <w:p w:rsidR="00654CB4" w:rsidRPr="004054E4" w:rsidRDefault="00AF1D7F" w:rsidP="00BE26A5">
      <w:pPr>
        <w:pStyle w:val="TOC1"/>
        <w:rPr>
          <w:rFonts w:asciiTheme="minorHAnsi" w:eastAsiaTheme="minorEastAsia" w:hAnsiTheme="minorHAnsi" w:cstheme="minorBidi"/>
          <w:noProof/>
          <w:lang w:val="es-419" w:eastAsia="en-GB" w:bidi="ar-SA"/>
        </w:rPr>
      </w:pPr>
      <w:hyperlink w:anchor="_Toc18666357" w:history="1">
        <w:r w:rsidR="00654CB4" w:rsidRPr="004054E4">
          <w:rPr>
            <w:rStyle w:val="Hyperlink"/>
            <w:noProof/>
            <w:sz w:val="18"/>
            <w:szCs w:val="18"/>
            <w:lang w:val="es-419"/>
          </w:rPr>
          <w:t>Observaciones formuladas por los Grupos de Trabajo técnico en sus  sesiones de 2019</w:t>
        </w:r>
        <w:r w:rsidR="00654CB4" w:rsidRPr="004054E4">
          <w:rPr>
            <w:noProof/>
            <w:webHidden/>
            <w:lang w:val="es-419"/>
          </w:rPr>
          <w:tab/>
        </w:r>
        <w:r w:rsidR="00654CB4" w:rsidRPr="004054E4">
          <w:rPr>
            <w:noProof/>
            <w:webHidden/>
            <w:lang w:val="es-419"/>
          </w:rPr>
          <w:fldChar w:fldCharType="begin"/>
        </w:r>
        <w:r w:rsidR="00654CB4" w:rsidRPr="004054E4">
          <w:rPr>
            <w:noProof/>
            <w:webHidden/>
            <w:lang w:val="es-419"/>
          </w:rPr>
          <w:instrText xml:space="preserve"> PAGEREF _Toc18666357 \h </w:instrText>
        </w:r>
        <w:r w:rsidR="00654CB4" w:rsidRPr="004054E4">
          <w:rPr>
            <w:noProof/>
            <w:webHidden/>
            <w:lang w:val="es-419"/>
          </w:rPr>
        </w:r>
        <w:r w:rsidR="00654CB4" w:rsidRPr="004054E4">
          <w:rPr>
            <w:noProof/>
            <w:webHidden/>
            <w:lang w:val="es-419"/>
          </w:rPr>
          <w:fldChar w:fldCharType="separate"/>
        </w:r>
        <w:r w:rsidR="00654CB4" w:rsidRPr="004054E4">
          <w:rPr>
            <w:noProof/>
            <w:webHidden/>
            <w:lang w:val="es-419"/>
          </w:rPr>
          <w:t>3</w:t>
        </w:r>
        <w:r w:rsidR="00654CB4" w:rsidRPr="004054E4">
          <w:rPr>
            <w:noProof/>
            <w:webHidden/>
            <w:lang w:val="es-419"/>
          </w:rPr>
          <w:fldChar w:fldCharType="end"/>
        </w:r>
      </w:hyperlink>
    </w:p>
    <w:p w:rsidR="00654CB4" w:rsidRPr="004054E4" w:rsidRDefault="00AF1D7F" w:rsidP="00BE26A5">
      <w:pPr>
        <w:pStyle w:val="TOC1"/>
        <w:rPr>
          <w:rFonts w:asciiTheme="minorHAnsi" w:eastAsiaTheme="minorEastAsia" w:hAnsiTheme="minorHAnsi" w:cstheme="minorBidi"/>
          <w:noProof/>
          <w:lang w:val="es-419" w:eastAsia="en-GB" w:bidi="ar-SA"/>
        </w:rPr>
      </w:pPr>
      <w:hyperlink w:anchor="_Toc18666358" w:history="1">
        <w:r w:rsidR="00654CB4" w:rsidRPr="004054E4">
          <w:rPr>
            <w:rStyle w:val="Hyperlink"/>
            <w:noProof/>
            <w:sz w:val="18"/>
            <w:szCs w:val="18"/>
            <w:lang w:val="es-419"/>
          </w:rPr>
          <w:t>PROPUESTA</w:t>
        </w:r>
        <w:r w:rsidR="00654CB4" w:rsidRPr="004054E4">
          <w:rPr>
            <w:noProof/>
            <w:webHidden/>
            <w:lang w:val="es-419"/>
          </w:rPr>
          <w:tab/>
        </w:r>
        <w:r w:rsidR="00654CB4" w:rsidRPr="004054E4">
          <w:rPr>
            <w:noProof/>
            <w:webHidden/>
            <w:lang w:val="es-419"/>
          </w:rPr>
          <w:fldChar w:fldCharType="begin"/>
        </w:r>
        <w:r w:rsidR="00654CB4" w:rsidRPr="004054E4">
          <w:rPr>
            <w:noProof/>
            <w:webHidden/>
            <w:lang w:val="es-419"/>
          </w:rPr>
          <w:instrText xml:space="preserve"> PAGEREF _Toc18666358 \h </w:instrText>
        </w:r>
        <w:r w:rsidR="00654CB4" w:rsidRPr="004054E4">
          <w:rPr>
            <w:noProof/>
            <w:webHidden/>
            <w:lang w:val="es-419"/>
          </w:rPr>
        </w:r>
        <w:r w:rsidR="00654CB4" w:rsidRPr="004054E4">
          <w:rPr>
            <w:noProof/>
            <w:webHidden/>
            <w:lang w:val="es-419"/>
          </w:rPr>
          <w:fldChar w:fldCharType="separate"/>
        </w:r>
        <w:r w:rsidR="00654CB4" w:rsidRPr="004054E4">
          <w:rPr>
            <w:noProof/>
            <w:webHidden/>
            <w:lang w:val="es-419"/>
          </w:rPr>
          <w:t>4</w:t>
        </w:r>
        <w:r w:rsidR="00654CB4" w:rsidRPr="004054E4">
          <w:rPr>
            <w:noProof/>
            <w:webHidden/>
            <w:lang w:val="es-419"/>
          </w:rPr>
          <w:fldChar w:fldCharType="end"/>
        </w:r>
      </w:hyperlink>
    </w:p>
    <w:p w:rsidR="00843BBF" w:rsidRPr="004054E4" w:rsidRDefault="00843BBF" w:rsidP="00510446">
      <w:pPr>
        <w:rPr>
          <w:rFonts w:asciiTheme="minorHAnsi" w:eastAsiaTheme="minorEastAsia" w:hAnsiTheme="minorHAnsi" w:cstheme="minorBidi"/>
          <w:caps/>
          <w:noProof/>
          <w:sz w:val="18"/>
          <w:szCs w:val="18"/>
          <w:lang w:val="es-419"/>
        </w:rPr>
      </w:pPr>
      <w:r w:rsidRPr="004054E4">
        <w:rPr>
          <w:sz w:val="18"/>
          <w:szCs w:val="18"/>
          <w:lang w:val="es-419"/>
        </w:rPr>
        <w:fldChar w:fldCharType="end"/>
      </w:r>
      <w:r w:rsidRPr="004054E4">
        <w:rPr>
          <w:caps/>
          <w:sz w:val="18"/>
          <w:szCs w:val="18"/>
          <w:lang w:val="es-419"/>
        </w:rPr>
        <w:t>ANEXO</w:t>
      </w:r>
      <w:r w:rsidRPr="004054E4">
        <w:rPr>
          <w:sz w:val="18"/>
          <w:szCs w:val="18"/>
          <w:lang w:val="es-419"/>
        </w:rPr>
        <w:tab/>
        <w:t>EXTRACTO DEL DOCUMENTO TG/13/11 (LECHUGA)</w:t>
      </w:r>
    </w:p>
    <w:p w:rsidR="00843BBF" w:rsidRPr="004054E4" w:rsidRDefault="00843BBF" w:rsidP="00843BBF">
      <w:pPr>
        <w:rPr>
          <w:rFonts w:cs="Arial"/>
          <w:color w:val="000000"/>
          <w:sz w:val="18"/>
          <w:szCs w:val="18"/>
          <w:lang w:val="es-419"/>
        </w:rPr>
      </w:pPr>
    </w:p>
    <w:p w:rsidR="00843BBF" w:rsidRDefault="00843BBF" w:rsidP="00843BBF">
      <w:pPr>
        <w:rPr>
          <w:snapToGrid w:val="0"/>
          <w:lang w:val="es-419"/>
        </w:rPr>
      </w:pPr>
    </w:p>
    <w:p w:rsidR="00AC076F" w:rsidRPr="004054E4" w:rsidRDefault="00AC076F" w:rsidP="00843BBF">
      <w:pPr>
        <w:rPr>
          <w:snapToGrid w:val="0"/>
          <w:lang w:val="es-419"/>
        </w:rPr>
      </w:pPr>
    </w:p>
    <w:p w:rsidR="00843BBF" w:rsidRPr="004054E4" w:rsidRDefault="00843BBF" w:rsidP="00843BBF">
      <w:pPr>
        <w:keepNext/>
        <w:outlineLvl w:val="0"/>
        <w:rPr>
          <w:caps/>
          <w:snapToGrid w:val="0"/>
          <w:lang w:val="es-419"/>
        </w:rPr>
      </w:pPr>
      <w:bookmarkStart w:id="4" w:name="_Toc17121906"/>
      <w:bookmarkStart w:id="5" w:name="_Toc18666356"/>
      <w:r w:rsidRPr="004054E4">
        <w:rPr>
          <w:caps/>
          <w:snapToGrid w:val="0"/>
          <w:lang w:val="es-419"/>
        </w:rPr>
        <w:lastRenderedPageBreak/>
        <w:t>ANTECEDENTES</w:t>
      </w:r>
      <w:bookmarkEnd w:id="4"/>
      <w:bookmarkEnd w:id="5"/>
    </w:p>
    <w:p w:rsidR="00843BBF" w:rsidRPr="004054E4" w:rsidRDefault="00843BBF" w:rsidP="00843BBF">
      <w:pPr>
        <w:keepNext/>
        <w:rPr>
          <w:snapToGrid w:val="0"/>
          <w:lang w:val="es-419"/>
        </w:rPr>
      </w:pPr>
    </w:p>
    <w:p w:rsidR="00843BBF" w:rsidRPr="00654CB4" w:rsidRDefault="00843BBF" w:rsidP="00843BBF">
      <w:pPr>
        <w:keepNext/>
        <w:rPr>
          <w:rFonts w:cs="Arial"/>
          <w:lang w:val="es-419"/>
        </w:rPr>
      </w:pPr>
      <w:r w:rsidRPr="004054E4">
        <w:rPr>
          <w:rFonts w:cs="Arial"/>
          <w:lang w:val="es-419"/>
        </w:rPr>
        <w:fldChar w:fldCharType="begin"/>
      </w:r>
      <w:r w:rsidRPr="004054E4">
        <w:rPr>
          <w:rFonts w:cs="Arial"/>
          <w:lang w:val="es-419"/>
        </w:rPr>
        <w:instrText xml:space="preserve"> AUTONUM  </w:instrText>
      </w:r>
      <w:r w:rsidRPr="004054E4">
        <w:rPr>
          <w:rFonts w:cs="Arial"/>
          <w:lang w:val="es-419"/>
        </w:rPr>
        <w:fldChar w:fldCharType="end"/>
      </w:r>
      <w:r w:rsidRPr="004054E4">
        <w:rPr>
          <w:lang w:val="es-419"/>
        </w:rPr>
        <w:tab/>
        <w:t>En el documento TGP/7 se ofrece la orientación siguiente sobre los caracteres que solo se aplican a ciertas variedades:</w:t>
      </w:r>
    </w:p>
    <w:p w:rsidR="00843BBF" w:rsidRPr="00654CB4" w:rsidRDefault="00843BBF" w:rsidP="00843BBF">
      <w:pPr>
        <w:keepNext/>
        <w:rPr>
          <w:lang w:val="es-419"/>
        </w:rPr>
      </w:pPr>
    </w:p>
    <w:p w:rsidR="00843BBF" w:rsidRPr="00AC076F" w:rsidRDefault="00843BBF" w:rsidP="00AC076F">
      <w:pPr>
        <w:keepNext/>
        <w:tabs>
          <w:tab w:val="left" w:pos="1134"/>
        </w:tabs>
        <w:ind w:left="1418" w:right="567" w:hanging="851"/>
        <w:rPr>
          <w:sz w:val="18"/>
          <w:szCs w:val="18"/>
          <w:u w:val="single"/>
          <w:lang w:val="es-419"/>
        </w:rPr>
      </w:pPr>
      <w:r w:rsidRPr="00AC076F">
        <w:rPr>
          <w:sz w:val="18"/>
          <w:szCs w:val="18"/>
          <w:lang w:val="es-419"/>
        </w:rPr>
        <w:t>“</w:t>
      </w:r>
      <w:r w:rsidRPr="00AC076F">
        <w:rPr>
          <w:sz w:val="18"/>
          <w:szCs w:val="18"/>
          <w:u w:val="single"/>
          <w:lang w:val="es-419"/>
        </w:rPr>
        <w:t>GN 18</w:t>
      </w:r>
      <w:r w:rsidR="00AC076F">
        <w:rPr>
          <w:sz w:val="18"/>
          <w:szCs w:val="18"/>
          <w:lang w:val="es-419"/>
        </w:rPr>
        <w:tab/>
      </w:r>
      <w:r w:rsidRPr="00AC076F">
        <w:rPr>
          <w:sz w:val="18"/>
          <w:szCs w:val="18"/>
          <w:lang w:val="es-419"/>
        </w:rPr>
        <w:t>(</w:t>
      </w:r>
      <w:r w:rsidRPr="00AC076F">
        <w:rPr>
          <w:sz w:val="18"/>
          <w:szCs w:val="18"/>
          <w:u w:val="single"/>
          <w:lang w:val="es-419"/>
        </w:rPr>
        <w:t>Plantilla de los documentos TG</w:t>
      </w:r>
      <w:r w:rsidRPr="00AC076F">
        <w:rPr>
          <w:sz w:val="18"/>
          <w:szCs w:val="18"/>
          <w:lang w:val="es-419"/>
        </w:rPr>
        <w:t>:</w:t>
      </w:r>
      <w:r w:rsidR="0073246B" w:rsidRPr="00AC076F">
        <w:rPr>
          <w:sz w:val="18"/>
          <w:szCs w:val="18"/>
          <w:u w:val="single"/>
          <w:lang w:val="es-419"/>
        </w:rPr>
        <w:t xml:space="preserve"> </w:t>
      </w:r>
      <w:r w:rsidR="00510446" w:rsidRPr="00AC076F">
        <w:rPr>
          <w:sz w:val="18"/>
          <w:szCs w:val="18"/>
          <w:u w:val="single"/>
          <w:lang w:val="es-419"/>
        </w:rPr>
        <w:t>capítulo</w:t>
      </w:r>
      <w:r w:rsidRPr="00AC076F">
        <w:rPr>
          <w:sz w:val="18"/>
          <w:szCs w:val="18"/>
          <w:u w:val="single"/>
          <w:lang w:val="es-419"/>
        </w:rPr>
        <w:t> 7:</w:t>
      </w:r>
      <w:r w:rsidR="0073246B" w:rsidRPr="00AC076F">
        <w:rPr>
          <w:sz w:val="18"/>
          <w:szCs w:val="18"/>
          <w:u w:val="single"/>
          <w:lang w:val="es-419"/>
        </w:rPr>
        <w:t xml:space="preserve"> </w:t>
      </w:r>
      <w:r w:rsidRPr="00AC076F">
        <w:rPr>
          <w:sz w:val="18"/>
          <w:szCs w:val="18"/>
          <w:u w:val="single"/>
          <w:lang w:val="es-419"/>
        </w:rPr>
        <w:t>columna 3) – Presentación de caracteres: título de un carácter</w:t>
      </w:r>
    </w:p>
    <w:p w:rsidR="00843BBF" w:rsidRPr="00AC076F" w:rsidRDefault="00843BBF" w:rsidP="00843BBF">
      <w:pPr>
        <w:keepNext/>
        <w:tabs>
          <w:tab w:val="left" w:pos="1134"/>
        </w:tabs>
        <w:ind w:left="567" w:right="567"/>
        <w:rPr>
          <w:sz w:val="18"/>
          <w:szCs w:val="18"/>
          <w:lang w:val="es-419"/>
        </w:rPr>
      </w:pPr>
      <w:r w:rsidRPr="00AC076F">
        <w:rPr>
          <w:sz w:val="18"/>
          <w:szCs w:val="18"/>
          <w:lang w:val="es-419"/>
        </w:rPr>
        <w:t>[…]</w:t>
      </w:r>
    </w:p>
    <w:p w:rsidR="00843BBF" w:rsidRPr="00AC076F" w:rsidRDefault="00843BBF" w:rsidP="00843BBF">
      <w:pPr>
        <w:keepNext/>
        <w:tabs>
          <w:tab w:val="left" w:pos="1134"/>
        </w:tabs>
        <w:ind w:left="567" w:right="567"/>
        <w:rPr>
          <w:sz w:val="18"/>
          <w:szCs w:val="18"/>
          <w:lang w:val="es-419"/>
        </w:rPr>
      </w:pPr>
    </w:p>
    <w:p w:rsidR="00843BBF" w:rsidRPr="00AC076F" w:rsidRDefault="00843BBF" w:rsidP="00843BBF">
      <w:pPr>
        <w:keepNext/>
        <w:tabs>
          <w:tab w:val="left" w:pos="1134"/>
        </w:tabs>
        <w:ind w:left="567" w:right="567"/>
        <w:rPr>
          <w:i/>
          <w:sz w:val="18"/>
          <w:szCs w:val="18"/>
          <w:lang w:val="es-419"/>
        </w:rPr>
      </w:pPr>
      <w:r w:rsidRPr="00AC076F">
        <w:rPr>
          <w:i/>
          <w:sz w:val="18"/>
          <w:szCs w:val="18"/>
          <w:lang w:val="es-419"/>
        </w:rPr>
        <w:t>“3.</w:t>
      </w:r>
      <w:r w:rsidRPr="00AC076F">
        <w:rPr>
          <w:sz w:val="18"/>
          <w:szCs w:val="18"/>
          <w:lang w:val="es-419"/>
        </w:rPr>
        <w:tab/>
      </w:r>
      <w:r w:rsidRPr="00AC076F">
        <w:rPr>
          <w:i/>
          <w:sz w:val="18"/>
          <w:szCs w:val="18"/>
          <w:lang w:val="es-419"/>
        </w:rPr>
        <w:t xml:space="preserve">Caracteres que solo se aplican a ciertas variedades </w:t>
      </w:r>
    </w:p>
    <w:p w:rsidR="00843BBF" w:rsidRPr="00AC076F" w:rsidRDefault="00843BBF" w:rsidP="00843BBF">
      <w:pPr>
        <w:tabs>
          <w:tab w:val="left" w:pos="1134"/>
        </w:tabs>
        <w:ind w:left="567" w:right="567"/>
        <w:rPr>
          <w:sz w:val="18"/>
          <w:szCs w:val="18"/>
          <w:lang w:val="es-419"/>
        </w:rPr>
      </w:pPr>
    </w:p>
    <w:p w:rsidR="00843BBF" w:rsidRPr="00AC076F" w:rsidRDefault="00843BBF" w:rsidP="00AC076F">
      <w:pPr>
        <w:tabs>
          <w:tab w:val="left" w:pos="1134"/>
        </w:tabs>
        <w:ind w:left="567" w:right="567"/>
        <w:rPr>
          <w:spacing w:val="-2"/>
          <w:sz w:val="18"/>
          <w:szCs w:val="18"/>
          <w:lang w:val="es-419"/>
        </w:rPr>
      </w:pPr>
      <w:r w:rsidRPr="00AC076F">
        <w:rPr>
          <w:spacing w:val="-2"/>
          <w:sz w:val="18"/>
          <w:szCs w:val="18"/>
          <w:lang w:val="es-419"/>
        </w:rPr>
        <w:t>En algunos casos, por el nivel de expresión de un carácter cualitativo anterior puede determinarse que un carácter subsiguiente no es aplicable, por ejemplo, no será posible describir la forma de los lóbulos de la hoja en una variedad que no los tenga.</w:t>
      </w:r>
      <w:r w:rsidR="0073246B" w:rsidRPr="00AC076F">
        <w:rPr>
          <w:spacing w:val="-2"/>
          <w:sz w:val="18"/>
          <w:szCs w:val="18"/>
          <w:lang w:val="es-419"/>
        </w:rPr>
        <w:t xml:space="preserve"> </w:t>
      </w:r>
      <w:r w:rsidRPr="00AC076F">
        <w:rPr>
          <w:spacing w:val="-2"/>
          <w:sz w:val="18"/>
          <w:szCs w:val="18"/>
          <w:lang w:val="es-419"/>
        </w:rPr>
        <w:t>En los casos en que ello no resulta evidente, o si los caracteres están separados en la tabla de caracteres, el título del carácter subsiguiente está precedido por una referencia subrayada a los tipos de variedades a los que se aplica, sobre la base del carácter precedente, por ejemplo:</w:t>
      </w:r>
    </w:p>
    <w:p w:rsidR="00843BBF" w:rsidRPr="00AC076F" w:rsidRDefault="00843BBF" w:rsidP="00843BBF">
      <w:pPr>
        <w:tabs>
          <w:tab w:val="left" w:pos="1134"/>
        </w:tabs>
        <w:ind w:left="567" w:right="567"/>
        <w:rPr>
          <w:sz w:val="18"/>
          <w:szCs w:val="18"/>
          <w:lang w:val="es-419"/>
        </w:rPr>
      </w:pPr>
    </w:p>
    <w:p w:rsidR="00843BBF" w:rsidRPr="00AC076F" w:rsidRDefault="00843BBF" w:rsidP="00843BBF">
      <w:pPr>
        <w:tabs>
          <w:tab w:val="left" w:pos="1134"/>
        </w:tabs>
        <w:ind w:left="1134" w:right="567"/>
        <w:rPr>
          <w:sz w:val="18"/>
          <w:szCs w:val="18"/>
          <w:lang w:val="es-419"/>
        </w:rPr>
      </w:pPr>
      <w:r w:rsidRPr="00AC076F">
        <w:rPr>
          <w:sz w:val="18"/>
          <w:szCs w:val="18"/>
          <w:lang w:val="es-419"/>
        </w:rPr>
        <w:t>“‘</w:t>
      </w:r>
      <w:r w:rsidRPr="00AC076F">
        <w:rPr>
          <w:sz w:val="18"/>
          <w:szCs w:val="18"/>
          <w:u w:val="single"/>
          <w:lang w:val="es-419"/>
        </w:rPr>
        <w:t>Solo variedades con flor: tipo: simple</w:t>
      </w:r>
      <w:r w:rsidRPr="00AC076F">
        <w:rPr>
          <w:sz w:val="18"/>
          <w:szCs w:val="18"/>
          <w:lang w:val="es-419"/>
        </w:rPr>
        <w:t xml:space="preserve">: </w:t>
      </w:r>
      <w:r w:rsidR="00064688" w:rsidRPr="00AC076F">
        <w:rPr>
          <w:sz w:val="18"/>
          <w:szCs w:val="18"/>
          <w:lang w:val="es-419"/>
        </w:rPr>
        <w:t>F</w:t>
      </w:r>
      <w:r w:rsidRPr="00AC076F">
        <w:rPr>
          <w:sz w:val="18"/>
          <w:szCs w:val="18"/>
          <w:lang w:val="es-419"/>
        </w:rPr>
        <w:t>lor: forma’”</w:t>
      </w:r>
    </w:p>
    <w:p w:rsidR="00843BBF" w:rsidRPr="00654CB4" w:rsidRDefault="00843BBF" w:rsidP="00843BBF">
      <w:pPr>
        <w:rPr>
          <w:snapToGrid w:val="0"/>
          <w:lang w:val="es-419"/>
        </w:rPr>
      </w:pPr>
    </w:p>
    <w:p w:rsidR="00843BBF" w:rsidRPr="00654CB4" w:rsidRDefault="00843BBF" w:rsidP="00843BBF">
      <w:pPr>
        <w:rPr>
          <w:snapToGrid w:val="0"/>
          <w:lang w:val="es-419"/>
        </w:rPr>
      </w:pPr>
      <w:r w:rsidRPr="00654CB4">
        <w:rPr>
          <w:lang w:val="es-419"/>
        </w:rPr>
        <w:fldChar w:fldCharType="begin"/>
      </w:r>
      <w:r w:rsidRPr="00654CB4">
        <w:rPr>
          <w:lang w:val="es-419"/>
        </w:rPr>
        <w:instrText xml:space="preserve"> AUTONUM  </w:instrText>
      </w:r>
      <w:r w:rsidRPr="00654CB4">
        <w:rPr>
          <w:lang w:val="es-419"/>
        </w:rPr>
        <w:fldChar w:fldCharType="end"/>
      </w:r>
      <w:r w:rsidRPr="00654CB4">
        <w:rPr>
          <w:lang w:val="es-419"/>
        </w:rPr>
        <w:tab/>
        <w:t>En su quincuagésima tercera sesión, celebrada en Ginebra del 3 al 5 de abril de 2017, el TC consideró si procede modificar el párrafo 3 de la nota orientativa 18 “Caracteres que solo se aplican a ciertas variedades” del documento TGP/7, a fin de aclarar que no solo por el nivel de expresión de un carácter cualitativo anterior sino también, en algunos casos, por el nivel de expresión de un carácter pseudocualitativo o cuantitativo anterior puede determinarse que un carácter subsiguiente no es aplicable (véanse los párrafos 134 y 135 del documento TC/53/31 “Informe”).</w:t>
      </w:r>
    </w:p>
    <w:p w:rsidR="00843BBF" w:rsidRPr="00654CB4" w:rsidRDefault="00843BBF" w:rsidP="00843BBF">
      <w:pPr>
        <w:rPr>
          <w:snapToGrid w:val="0"/>
          <w:lang w:val="es-419"/>
        </w:rPr>
      </w:pPr>
    </w:p>
    <w:p w:rsidR="00843BBF" w:rsidRPr="00654CB4" w:rsidRDefault="00843BBF" w:rsidP="00843BBF">
      <w:pPr>
        <w:keepNext/>
        <w:keepLines/>
        <w:rPr>
          <w:lang w:val="es-419"/>
        </w:rPr>
      </w:pPr>
      <w:r w:rsidRPr="00654CB4">
        <w:rPr>
          <w:lang w:val="es-419"/>
        </w:rPr>
        <w:fldChar w:fldCharType="begin"/>
      </w:r>
      <w:r w:rsidRPr="00654CB4">
        <w:rPr>
          <w:lang w:val="es-419"/>
        </w:rPr>
        <w:instrText xml:space="preserve"> AUTONUM  </w:instrText>
      </w:r>
      <w:r w:rsidRPr="00654CB4">
        <w:rPr>
          <w:lang w:val="es-419"/>
        </w:rPr>
        <w:fldChar w:fldCharType="end"/>
      </w:r>
      <w:r w:rsidRPr="00654CB4">
        <w:rPr>
          <w:lang w:val="es-419"/>
        </w:rPr>
        <w:tab/>
        <w:t>En su quincuagésima cuarta sesión, celebrada en Ginebra los días 29 y 30 de octubre de 2018, el TC examinó el documento TC/54/15 “Caracteres que solo se aplican a ciertas variedades” (véanse los párrafos</w:t>
      </w:r>
      <w:r w:rsidR="006A70DA" w:rsidRPr="00654CB4">
        <w:rPr>
          <w:lang w:val="es-419"/>
        </w:rPr>
        <w:t> </w:t>
      </w:r>
      <w:r w:rsidRPr="00654CB4">
        <w:rPr>
          <w:lang w:val="es-419"/>
        </w:rPr>
        <w:t>213 a 216 del documento TC/54/31).</w:t>
      </w:r>
    </w:p>
    <w:p w:rsidR="00843BBF" w:rsidRPr="00654CB4" w:rsidRDefault="00843BBF" w:rsidP="00843BBF">
      <w:pPr>
        <w:rPr>
          <w:lang w:val="es-419"/>
        </w:rPr>
      </w:pPr>
    </w:p>
    <w:p w:rsidR="00843BBF" w:rsidRPr="00654CB4" w:rsidRDefault="00843BBF" w:rsidP="00843BBF">
      <w:pPr>
        <w:rPr>
          <w:lang w:val="es-419"/>
        </w:rPr>
      </w:pPr>
      <w:r w:rsidRPr="00654CB4">
        <w:rPr>
          <w:lang w:val="es-419"/>
        </w:rPr>
        <w:fldChar w:fldCharType="begin"/>
      </w:r>
      <w:r w:rsidRPr="00654CB4">
        <w:rPr>
          <w:lang w:val="es-419"/>
        </w:rPr>
        <w:instrText xml:space="preserve"> AUTONUM  </w:instrText>
      </w:r>
      <w:r w:rsidRPr="00654CB4">
        <w:rPr>
          <w:lang w:val="es-419"/>
        </w:rPr>
        <w:fldChar w:fldCharType="end"/>
      </w:r>
      <w:r w:rsidRPr="00654CB4">
        <w:rPr>
          <w:lang w:val="es-419"/>
        </w:rPr>
        <w:tab/>
        <w:t xml:space="preserve">En su quincuagésima cuarta sesión, el TC consideró la propuesta de modificación de la orientación que se ofrece en la nota orientativa 18 (GN 18) del documento TGP/7 a fin de permitir la exclusión de un carácter de la observación sobre la base del nivel de expresión de un carácter pseudocualitativo o cuantitativo anterior, de la manera siguiente </w:t>
      </w:r>
      <w:r w:rsidR="00D35D48" w:rsidRPr="00654CB4">
        <w:rPr>
          <w:lang w:val="es-419"/>
        </w:rPr>
        <w:t xml:space="preserve">(se indica </w:t>
      </w:r>
      <w:r w:rsidR="00D35D48" w:rsidRPr="00654CB4">
        <w:rPr>
          <w:strike/>
          <w:snapToGrid w:val="0"/>
          <w:highlight w:val="lightGray"/>
          <w:lang w:val="es-419"/>
        </w:rPr>
        <w:t xml:space="preserve">sombreado </w:t>
      </w:r>
      <w:r w:rsidR="00D35D48">
        <w:rPr>
          <w:strike/>
          <w:snapToGrid w:val="0"/>
          <w:highlight w:val="lightGray"/>
          <w:lang w:val="es-419"/>
        </w:rPr>
        <w:t xml:space="preserve">y </w:t>
      </w:r>
      <w:r w:rsidR="00D35D48" w:rsidRPr="00654CB4">
        <w:rPr>
          <w:strike/>
          <w:snapToGrid w:val="0"/>
          <w:highlight w:val="lightGray"/>
          <w:lang w:val="es-419"/>
        </w:rPr>
        <w:t>tachado</w:t>
      </w:r>
      <w:r w:rsidR="00D35D48">
        <w:rPr>
          <w:lang w:val="es-419"/>
        </w:rPr>
        <w:t xml:space="preserve"> e</w:t>
      </w:r>
      <w:r w:rsidR="00D35D48" w:rsidRPr="00654CB4">
        <w:rPr>
          <w:lang w:val="es-419"/>
        </w:rPr>
        <w:t>l texto que se propone suprimir</w:t>
      </w:r>
      <w:r w:rsidR="00AF1D7F">
        <w:rPr>
          <w:lang w:val="es-419"/>
        </w:rPr>
        <w:t xml:space="preserve"> y</w:t>
      </w:r>
      <w:r w:rsidR="00D35D48">
        <w:rPr>
          <w:lang w:val="es-419"/>
        </w:rPr>
        <w:t xml:space="preserve"> </w:t>
      </w:r>
      <w:r w:rsidR="00D35D48" w:rsidRPr="00D35D48">
        <w:rPr>
          <w:highlight w:val="lightGray"/>
          <w:u w:val="single"/>
          <w:lang w:val="es-419"/>
        </w:rPr>
        <w:t>sombreado y subrayado</w:t>
      </w:r>
      <w:r w:rsidR="00D35D48">
        <w:rPr>
          <w:lang w:val="es-419"/>
        </w:rPr>
        <w:t xml:space="preserve"> él que se propone añadir</w:t>
      </w:r>
      <w:r w:rsidR="00D35D48" w:rsidRPr="00654CB4">
        <w:rPr>
          <w:lang w:val="es-419"/>
        </w:rPr>
        <w:t>)</w:t>
      </w:r>
      <w:r w:rsidRPr="00654CB4">
        <w:rPr>
          <w:lang w:val="es-419"/>
        </w:rPr>
        <w:t>:</w:t>
      </w:r>
    </w:p>
    <w:p w:rsidR="00843BBF" w:rsidRPr="00654CB4" w:rsidRDefault="00843BBF" w:rsidP="00843BBF">
      <w:pPr>
        <w:rPr>
          <w:lang w:val="es-419"/>
        </w:rPr>
      </w:pPr>
    </w:p>
    <w:p w:rsidR="00843BBF" w:rsidRPr="00654CB4" w:rsidRDefault="00843BBF" w:rsidP="00843BBF">
      <w:pPr>
        <w:ind w:left="567" w:right="565"/>
        <w:rPr>
          <w:rFonts w:cs="Arial"/>
          <w:bCs/>
          <w:i/>
          <w:snapToGrid w:val="0"/>
          <w:sz w:val="18"/>
          <w:lang w:val="es-419"/>
        </w:rPr>
      </w:pPr>
      <w:r w:rsidRPr="00654CB4">
        <w:rPr>
          <w:i/>
          <w:snapToGrid w:val="0"/>
          <w:sz w:val="18"/>
          <w:lang w:val="es-419"/>
        </w:rPr>
        <w:t>“3. Caracteres que solo se aplican a ciertas variedades</w:t>
      </w:r>
    </w:p>
    <w:p w:rsidR="00843BBF" w:rsidRPr="00654CB4" w:rsidRDefault="00843BBF" w:rsidP="00843BBF">
      <w:pPr>
        <w:ind w:left="567" w:right="565"/>
        <w:rPr>
          <w:rFonts w:cs="Arial"/>
          <w:bCs/>
          <w:snapToGrid w:val="0"/>
          <w:sz w:val="18"/>
          <w:lang w:val="es-419"/>
        </w:rPr>
      </w:pPr>
    </w:p>
    <w:p w:rsidR="00843BBF" w:rsidRPr="00AC076F" w:rsidRDefault="00843BBF" w:rsidP="00843BBF">
      <w:pPr>
        <w:ind w:left="567" w:right="565"/>
        <w:rPr>
          <w:rFonts w:cs="Arial"/>
          <w:bCs/>
          <w:snapToGrid w:val="0"/>
          <w:spacing w:val="-2"/>
          <w:sz w:val="18"/>
          <w:lang w:val="es-419"/>
        </w:rPr>
      </w:pPr>
      <w:r w:rsidRPr="00AC076F">
        <w:rPr>
          <w:snapToGrid w:val="0"/>
          <w:spacing w:val="-2"/>
          <w:sz w:val="18"/>
          <w:lang w:val="es-419"/>
        </w:rPr>
        <w:t xml:space="preserve">En algunos casos, por el nivel de expresión de un carácter </w:t>
      </w:r>
      <w:r w:rsidRPr="00AC076F">
        <w:rPr>
          <w:strike/>
          <w:snapToGrid w:val="0"/>
          <w:spacing w:val="-2"/>
          <w:sz w:val="18"/>
          <w:highlight w:val="lightGray"/>
          <w:lang w:val="es-419"/>
        </w:rPr>
        <w:t>cualitativo</w:t>
      </w:r>
      <w:r w:rsidRPr="00AC076F">
        <w:rPr>
          <w:snapToGrid w:val="0"/>
          <w:spacing w:val="-2"/>
          <w:sz w:val="18"/>
          <w:lang w:val="es-419"/>
        </w:rPr>
        <w:t xml:space="preserve"> anterior puede determinarse que un carácter subsiguiente no es aplicable, por ejemplo, no será posible describir la forma de los lóbulos de la hoja en una variedad que no los tenga. En los casos en que ello no resulta evidente, o si los caracteres están separados en la tabla de caracteres, el título</w:t>
      </w:r>
      <w:bookmarkStart w:id="6" w:name="_GoBack"/>
      <w:bookmarkEnd w:id="6"/>
      <w:r w:rsidRPr="00AC076F">
        <w:rPr>
          <w:snapToGrid w:val="0"/>
          <w:spacing w:val="-2"/>
          <w:sz w:val="18"/>
          <w:lang w:val="es-419"/>
        </w:rPr>
        <w:t xml:space="preserve"> del carácter subsiguiente está precedido por una referencia subrayada a los tipos de variedades a los que se aplica, sobre la base del carácter precedente, por ejemplo: </w:t>
      </w:r>
    </w:p>
    <w:p w:rsidR="00843BBF" w:rsidRPr="00654CB4" w:rsidRDefault="00843BBF" w:rsidP="00843BBF">
      <w:pPr>
        <w:ind w:left="567" w:right="565"/>
        <w:rPr>
          <w:rFonts w:cs="Arial"/>
          <w:bCs/>
          <w:snapToGrid w:val="0"/>
          <w:sz w:val="18"/>
          <w:lang w:val="es-419"/>
        </w:rPr>
      </w:pPr>
    </w:p>
    <w:p w:rsidR="00843BBF" w:rsidRPr="00654CB4" w:rsidRDefault="00843BBF" w:rsidP="00843BBF">
      <w:pPr>
        <w:ind w:left="1134" w:right="565"/>
        <w:rPr>
          <w:rFonts w:cs="Arial"/>
          <w:bCs/>
          <w:snapToGrid w:val="0"/>
          <w:sz w:val="18"/>
          <w:lang w:val="es-419"/>
        </w:rPr>
      </w:pPr>
      <w:r w:rsidRPr="00654CB4">
        <w:rPr>
          <w:snapToGrid w:val="0"/>
          <w:sz w:val="18"/>
          <w:lang w:val="es-419"/>
        </w:rPr>
        <w:t>“</w:t>
      </w:r>
      <w:r w:rsidRPr="00654CB4">
        <w:rPr>
          <w:snapToGrid w:val="0"/>
          <w:sz w:val="18"/>
          <w:u w:val="single"/>
          <w:lang w:val="es-419"/>
        </w:rPr>
        <w:t>Solo variedades con flor: tipo: simple</w:t>
      </w:r>
      <w:r w:rsidRPr="00654CB4">
        <w:rPr>
          <w:snapToGrid w:val="0"/>
          <w:sz w:val="18"/>
          <w:lang w:val="es-419"/>
        </w:rPr>
        <w:t xml:space="preserve">: </w:t>
      </w:r>
      <w:r w:rsidR="00064688" w:rsidRPr="00654CB4">
        <w:rPr>
          <w:snapToGrid w:val="0"/>
          <w:sz w:val="18"/>
          <w:lang w:val="es-419"/>
        </w:rPr>
        <w:t>F</w:t>
      </w:r>
      <w:r w:rsidRPr="00654CB4">
        <w:rPr>
          <w:snapToGrid w:val="0"/>
          <w:sz w:val="18"/>
          <w:lang w:val="es-419"/>
        </w:rPr>
        <w:t>lor: forma”</w:t>
      </w:r>
    </w:p>
    <w:p w:rsidR="00843BBF" w:rsidRPr="00654CB4" w:rsidRDefault="00843BBF" w:rsidP="00843BBF">
      <w:pPr>
        <w:ind w:right="565"/>
        <w:rPr>
          <w:lang w:val="es-419"/>
        </w:rPr>
      </w:pPr>
    </w:p>
    <w:p w:rsidR="00843BBF" w:rsidRPr="00654CB4" w:rsidRDefault="00843BBF" w:rsidP="00843BBF">
      <w:pPr>
        <w:ind w:right="-2"/>
        <w:rPr>
          <w:lang w:val="es-419"/>
        </w:rPr>
      </w:pPr>
      <w:r w:rsidRPr="00654CB4">
        <w:rPr>
          <w:lang w:val="es-419"/>
        </w:rPr>
        <w:fldChar w:fldCharType="begin"/>
      </w:r>
      <w:r w:rsidRPr="00654CB4">
        <w:rPr>
          <w:lang w:val="es-419"/>
        </w:rPr>
        <w:instrText xml:space="preserve"> AUTONUM  </w:instrText>
      </w:r>
      <w:r w:rsidRPr="00654CB4">
        <w:rPr>
          <w:lang w:val="es-419"/>
        </w:rPr>
        <w:fldChar w:fldCharType="end"/>
      </w:r>
      <w:r w:rsidRPr="00654CB4">
        <w:rPr>
          <w:lang w:val="es-419"/>
        </w:rPr>
        <w:tab/>
        <w:t>El TC consideró la propuesta de que, junto con la modificación de la GN 18 del documento TGP/7, se incluya la siguiente advertencia acerca de las implicaciones de emplear ese enfoque:</w:t>
      </w:r>
    </w:p>
    <w:p w:rsidR="00843BBF" w:rsidRPr="00654CB4" w:rsidRDefault="00843BBF" w:rsidP="00843BBF">
      <w:pPr>
        <w:ind w:right="565"/>
        <w:rPr>
          <w:lang w:val="es-419"/>
        </w:rPr>
      </w:pPr>
    </w:p>
    <w:p w:rsidR="00843BBF" w:rsidRPr="00654CB4" w:rsidRDefault="00843BBF" w:rsidP="00843BBF">
      <w:pPr>
        <w:ind w:left="567" w:right="565"/>
        <w:rPr>
          <w:rFonts w:cs="Arial"/>
          <w:bCs/>
          <w:snapToGrid w:val="0"/>
          <w:sz w:val="18"/>
          <w:u w:val="single"/>
          <w:lang w:val="es-419"/>
        </w:rPr>
      </w:pPr>
      <w:r w:rsidRPr="00654CB4">
        <w:rPr>
          <w:sz w:val="18"/>
          <w:highlight w:val="lightGray"/>
          <w:u w:val="single"/>
          <w:lang w:val="es-419"/>
        </w:rPr>
        <w:t>“La exclusión de caracteres de la observación sobre la base de un carácter pseudocualitativo o cuantitativo anterior deberá utilizarse con precaución, teniendo en cuenta las posibles implicaciones de cara al examen de la distinción.</w:t>
      </w:r>
      <w:r w:rsidR="0073246B" w:rsidRPr="00654CB4">
        <w:rPr>
          <w:sz w:val="18"/>
          <w:highlight w:val="lightGray"/>
          <w:u w:val="single"/>
          <w:lang w:val="es-419"/>
        </w:rPr>
        <w:t xml:space="preserve"> </w:t>
      </w:r>
      <w:r w:rsidRPr="00654CB4">
        <w:rPr>
          <w:sz w:val="18"/>
          <w:highlight w:val="lightGray"/>
          <w:u w:val="single"/>
          <w:lang w:val="es-419"/>
        </w:rPr>
        <w:t>Puede emplearse un cuadro de agrupamiento para asegurar que se excluyen caracteres de la observación únicamente cuando existe una base sólida para ello.”</w:t>
      </w:r>
    </w:p>
    <w:p w:rsidR="00843BBF" w:rsidRPr="00654CB4" w:rsidRDefault="00843BBF" w:rsidP="00843BBF">
      <w:pPr>
        <w:ind w:left="567" w:right="565"/>
        <w:rPr>
          <w:rFonts w:cs="Arial"/>
          <w:bCs/>
          <w:snapToGrid w:val="0"/>
          <w:sz w:val="18"/>
          <w:u w:val="single"/>
          <w:lang w:val="es-419"/>
        </w:rPr>
      </w:pPr>
    </w:p>
    <w:p w:rsidR="00843BBF" w:rsidRDefault="00843BBF" w:rsidP="00843BBF">
      <w:pPr>
        <w:ind w:right="-2"/>
        <w:rPr>
          <w:lang w:val="es-419"/>
        </w:rPr>
      </w:pPr>
      <w:r w:rsidRPr="00654CB4">
        <w:rPr>
          <w:rFonts w:cs="Arial"/>
          <w:bCs/>
          <w:snapToGrid w:val="0"/>
          <w:lang w:val="es-419"/>
        </w:rPr>
        <w:fldChar w:fldCharType="begin"/>
      </w:r>
      <w:r w:rsidRPr="00654CB4">
        <w:rPr>
          <w:rFonts w:cs="Arial"/>
          <w:bCs/>
          <w:snapToGrid w:val="0"/>
          <w:lang w:val="es-419"/>
        </w:rPr>
        <w:instrText xml:space="preserve"> AUTONUM  </w:instrText>
      </w:r>
      <w:r w:rsidRPr="00654CB4">
        <w:rPr>
          <w:rFonts w:cs="Arial"/>
          <w:bCs/>
          <w:snapToGrid w:val="0"/>
          <w:lang w:val="es-419"/>
        </w:rPr>
        <w:fldChar w:fldCharType="end"/>
      </w:r>
      <w:r w:rsidRPr="00654CB4">
        <w:rPr>
          <w:lang w:val="es-419"/>
        </w:rPr>
        <w:tab/>
        <w:t>El TC convino en que el cuadro de agrupamiento es un ejemplo complejo (véase el Anexo de este documento).</w:t>
      </w:r>
      <w:r w:rsidR="0073246B" w:rsidRPr="00654CB4">
        <w:rPr>
          <w:lang w:val="es-419"/>
        </w:rPr>
        <w:t xml:space="preserve"> </w:t>
      </w:r>
      <w:r w:rsidRPr="00654CB4">
        <w:rPr>
          <w:lang w:val="es-419"/>
        </w:rPr>
        <w:t>El TC convino además en que es necesario que se aporten ejemplos adecuados de un carácter cuantitativo y de un carácter pseudocualitativo a fin de mostrar cómo puede emplearse el enfoque de manera que no plantee riesgos respecto de las decisiones sobre la distinción.</w:t>
      </w:r>
      <w:r w:rsidR="0073246B" w:rsidRPr="00654CB4">
        <w:rPr>
          <w:lang w:val="es-419"/>
        </w:rPr>
        <w:t xml:space="preserve"> </w:t>
      </w:r>
      <w:r w:rsidRPr="00654CB4">
        <w:rPr>
          <w:lang w:val="es-419"/>
        </w:rPr>
        <w:t>También sería necesario aportar ejemplos de casos inadecuados para poner de manifiesto los riesgos.</w:t>
      </w:r>
    </w:p>
    <w:p w:rsidR="00AC076F" w:rsidRDefault="00AC076F" w:rsidP="00843BBF">
      <w:pPr>
        <w:ind w:right="-2"/>
        <w:rPr>
          <w:lang w:val="es-419"/>
        </w:rPr>
      </w:pPr>
    </w:p>
    <w:p w:rsidR="00AC076F" w:rsidRDefault="00AC076F" w:rsidP="00843BBF">
      <w:pPr>
        <w:ind w:right="-2"/>
        <w:rPr>
          <w:lang w:val="es-419"/>
        </w:rPr>
      </w:pPr>
    </w:p>
    <w:p w:rsidR="00AC076F" w:rsidRPr="00654CB4" w:rsidRDefault="00AC076F" w:rsidP="00843BBF">
      <w:pPr>
        <w:ind w:right="-2"/>
        <w:rPr>
          <w:lang w:val="es-419"/>
        </w:rPr>
      </w:pPr>
    </w:p>
    <w:p w:rsidR="00843BBF" w:rsidRPr="00654CB4" w:rsidRDefault="00843BBF" w:rsidP="00587E37">
      <w:pPr>
        <w:pStyle w:val="Heading1"/>
        <w:rPr>
          <w:lang w:val="es-419"/>
        </w:rPr>
      </w:pPr>
      <w:bookmarkStart w:id="7" w:name="_Toc17121907"/>
      <w:bookmarkStart w:id="8" w:name="_Toc18666357"/>
      <w:r w:rsidRPr="00654CB4">
        <w:rPr>
          <w:lang w:val="es-419"/>
        </w:rPr>
        <w:lastRenderedPageBreak/>
        <w:t>Observaciones formuladas por los Grupos de Trabajo técnico en sus</w:t>
      </w:r>
      <w:r w:rsidR="00587E37" w:rsidRPr="00654CB4">
        <w:rPr>
          <w:lang w:val="es-419"/>
        </w:rPr>
        <w:t xml:space="preserve"> </w:t>
      </w:r>
      <w:r w:rsidR="00587E37" w:rsidRPr="00654CB4">
        <w:rPr>
          <w:lang w:val="es-419"/>
        </w:rPr>
        <w:br/>
      </w:r>
      <w:r w:rsidRPr="00654CB4">
        <w:rPr>
          <w:lang w:val="es-419"/>
        </w:rPr>
        <w:t>sesiones de 2019</w:t>
      </w:r>
      <w:bookmarkEnd w:id="7"/>
      <w:bookmarkEnd w:id="8"/>
    </w:p>
    <w:p w:rsidR="00843BBF" w:rsidRPr="00654CB4" w:rsidRDefault="00843BBF" w:rsidP="00843BBF">
      <w:pPr>
        <w:keepNext/>
        <w:keepLines/>
        <w:rPr>
          <w:lang w:val="es-419"/>
        </w:rPr>
      </w:pPr>
    </w:p>
    <w:p w:rsidR="00843BBF" w:rsidRPr="00654CB4" w:rsidRDefault="00843BBF" w:rsidP="00843BBF">
      <w:pPr>
        <w:keepNext/>
        <w:keepLines/>
        <w:rPr>
          <w:lang w:val="es-419"/>
        </w:rPr>
      </w:pPr>
      <w:r w:rsidRPr="00654CB4">
        <w:rPr>
          <w:lang w:val="es-419"/>
        </w:rPr>
        <w:fldChar w:fldCharType="begin"/>
      </w:r>
      <w:r w:rsidRPr="00654CB4">
        <w:rPr>
          <w:lang w:val="es-419"/>
        </w:rPr>
        <w:instrText xml:space="preserve"> AUTONUM  </w:instrText>
      </w:r>
      <w:r w:rsidRPr="00654CB4">
        <w:rPr>
          <w:lang w:val="es-419"/>
        </w:rPr>
        <w:fldChar w:fldCharType="end"/>
      </w:r>
      <w:r w:rsidRPr="00654CB4">
        <w:rPr>
          <w:lang w:val="es-419"/>
        </w:rPr>
        <w:tab/>
        <w:t>El TWO, en su quincuagésima primera sesión, celebrada en Christchurch (Nueva Zelandia) del 18 al</w:t>
      </w:r>
      <w:r w:rsidR="00587E37" w:rsidRPr="00654CB4">
        <w:rPr>
          <w:lang w:val="es-419"/>
        </w:rPr>
        <w:t> </w:t>
      </w:r>
      <w:r w:rsidRPr="00654CB4">
        <w:rPr>
          <w:lang w:val="es-419"/>
        </w:rPr>
        <w:t>22 de febrero de 2019, el TWV, en su quincuagésima tercera sesión, celebrada en Seúl (República de Corea) del 20 al 24 de mayo de 2019, y el TWF, en su quincuagésima sesión, celebrada en Budapest (Hungría) del 24 al 28 de junio de 2019, examinaron el documento TWP/3/9 “</w:t>
      </w:r>
      <w:r w:rsidRPr="00654CB4">
        <w:rPr>
          <w:i/>
          <w:lang w:val="es-419"/>
        </w:rPr>
        <w:t>Characteristics which only apply to certain varieties</w:t>
      </w:r>
      <w:r w:rsidRPr="00654CB4">
        <w:rPr>
          <w:lang w:val="es-419"/>
        </w:rPr>
        <w:t>” (Caracteres que solo se aplican a ciertas variedades) (véanse los documentos TWO/51/12 “</w:t>
      </w:r>
      <w:r w:rsidRPr="00654CB4">
        <w:rPr>
          <w:i/>
          <w:lang w:val="es-419"/>
        </w:rPr>
        <w:t>Report</w:t>
      </w:r>
      <w:r w:rsidRPr="00654CB4">
        <w:rPr>
          <w:lang w:val="es-419"/>
        </w:rPr>
        <w:t>”, párrafos 19 a 23, TWV/53/14 “</w:t>
      </w:r>
      <w:r w:rsidRPr="00654CB4">
        <w:rPr>
          <w:i/>
          <w:lang w:val="es-419"/>
        </w:rPr>
        <w:t>Report</w:t>
      </w:r>
      <w:r w:rsidRPr="00654CB4">
        <w:rPr>
          <w:lang w:val="es-419"/>
        </w:rPr>
        <w:t>”, párrafos 12 a 16, y TWF/50/13 “</w:t>
      </w:r>
      <w:r w:rsidRPr="00654CB4">
        <w:rPr>
          <w:i/>
          <w:lang w:val="es-419"/>
        </w:rPr>
        <w:t>Report</w:t>
      </w:r>
      <w:r w:rsidRPr="00654CB4">
        <w:rPr>
          <w:lang w:val="es-419"/>
        </w:rPr>
        <w:t>”, párrafos 11 y 13).</w:t>
      </w:r>
    </w:p>
    <w:p w:rsidR="00843BBF" w:rsidRPr="00654CB4" w:rsidRDefault="00843BBF" w:rsidP="00843BBF">
      <w:pPr>
        <w:rPr>
          <w:lang w:val="es-419"/>
        </w:rPr>
      </w:pPr>
    </w:p>
    <w:p w:rsidR="00843BBF" w:rsidRPr="00654CB4" w:rsidRDefault="00843BBF" w:rsidP="00843BBF">
      <w:pPr>
        <w:rPr>
          <w:snapToGrid w:val="0"/>
          <w:lang w:val="es-419"/>
        </w:rPr>
      </w:pPr>
      <w:r w:rsidRPr="00654CB4">
        <w:rPr>
          <w:lang w:val="es-419"/>
        </w:rPr>
        <w:fldChar w:fldCharType="begin"/>
      </w:r>
      <w:r w:rsidRPr="00654CB4">
        <w:rPr>
          <w:lang w:val="es-419"/>
        </w:rPr>
        <w:instrText xml:space="preserve"> AUTONUM  </w:instrText>
      </w:r>
      <w:r w:rsidRPr="00654CB4">
        <w:rPr>
          <w:lang w:val="es-419"/>
        </w:rPr>
        <w:fldChar w:fldCharType="end"/>
      </w:r>
      <w:r w:rsidRPr="00654CB4">
        <w:rPr>
          <w:lang w:val="es-419"/>
        </w:rPr>
        <w:tab/>
        <w:t>El TWO, el TWV y el TWF examinaron la petición de que se aporten ejemplos adecuados de caracteres cuantitativos y pseudocualitativos a fin de mostrar cómo puede emplearse el enfoque propuesto de manera que no plantee riesgos respecto de las decisiones sobre la distinción.</w:t>
      </w:r>
    </w:p>
    <w:p w:rsidR="00843BBF" w:rsidRPr="00654CB4" w:rsidRDefault="00843BBF" w:rsidP="00843BBF">
      <w:pPr>
        <w:rPr>
          <w:snapToGrid w:val="0"/>
          <w:lang w:val="es-419"/>
        </w:rPr>
      </w:pPr>
    </w:p>
    <w:p w:rsidR="00843BBF" w:rsidRPr="00AC076F" w:rsidRDefault="00843BBF" w:rsidP="00843BBF">
      <w:pPr>
        <w:rPr>
          <w:snapToGrid w:val="0"/>
          <w:spacing w:val="-2"/>
          <w:lang w:val="es-419"/>
        </w:rPr>
      </w:pPr>
      <w:r w:rsidRPr="00AC076F">
        <w:rPr>
          <w:spacing w:val="-2"/>
          <w:lang w:val="es-419"/>
        </w:rPr>
        <w:fldChar w:fldCharType="begin"/>
      </w:r>
      <w:r w:rsidRPr="00AC076F">
        <w:rPr>
          <w:spacing w:val="-2"/>
          <w:lang w:val="es-419"/>
        </w:rPr>
        <w:instrText xml:space="preserve"> AUTONUM  </w:instrText>
      </w:r>
      <w:r w:rsidRPr="00AC076F">
        <w:rPr>
          <w:spacing w:val="-2"/>
          <w:lang w:val="es-419"/>
        </w:rPr>
        <w:fldChar w:fldCharType="end"/>
      </w:r>
      <w:r w:rsidRPr="00AC076F">
        <w:rPr>
          <w:spacing w:val="-2"/>
          <w:lang w:val="es-419"/>
        </w:rPr>
        <w:tab/>
        <w:t>El TWO convino en que cuando una estructura se describe como “ausente o muy débil” en parte de una planta, es posible que sea difícil o impracticable observar otros caracteres en esa estructura.</w:t>
      </w:r>
      <w:r w:rsidR="0073246B" w:rsidRPr="00AC076F">
        <w:rPr>
          <w:spacing w:val="-2"/>
          <w:lang w:val="es-419"/>
        </w:rPr>
        <w:t xml:space="preserve"> </w:t>
      </w:r>
      <w:r w:rsidRPr="00AC076F">
        <w:rPr>
          <w:spacing w:val="-2"/>
          <w:lang w:val="es-419"/>
        </w:rPr>
        <w:t>Por ejemplo, sería impracticable observar “</w:t>
      </w:r>
      <w:r w:rsidR="00064688" w:rsidRPr="00AC076F">
        <w:rPr>
          <w:spacing w:val="-2"/>
          <w:lang w:val="es-419"/>
        </w:rPr>
        <w:t>P</w:t>
      </w:r>
      <w:r w:rsidRPr="00AC076F">
        <w:rPr>
          <w:spacing w:val="-2"/>
          <w:lang w:val="es-419"/>
        </w:rPr>
        <w:t>elo: color” en una parte de planta con “presencia de pelos: ausentes o muy débil”.</w:t>
      </w:r>
    </w:p>
    <w:p w:rsidR="00843BBF" w:rsidRPr="00654CB4" w:rsidRDefault="00843BBF" w:rsidP="00843BBF">
      <w:pPr>
        <w:rPr>
          <w:snapToGrid w:val="0"/>
          <w:lang w:val="es-419"/>
        </w:rPr>
      </w:pPr>
    </w:p>
    <w:p w:rsidR="00843BBF" w:rsidRPr="00654CB4" w:rsidRDefault="00843BBF" w:rsidP="00843BBF">
      <w:pPr>
        <w:rPr>
          <w:snapToGrid w:val="0"/>
          <w:lang w:val="es-419"/>
        </w:rPr>
      </w:pPr>
      <w:r w:rsidRPr="00654CB4">
        <w:rPr>
          <w:lang w:val="es-419"/>
        </w:rPr>
        <w:fldChar w:fldCharType="begin"/>
      </w:r>
      <w:r w:rsidRPr="00654CB4">
        <w:rPr>
          <w:lang w:val="es-419"/>
        </w:rPr>
        <w:instrText xml:space="preserve"> AUTONUM  </w:instrText>
      </w:r>
      <w:r w:rsidRPr="00654CB4">
        <w:rPr>
          <w:lang w:val="es-419"/>
        </w:rPr>
        <w:fldChar w:fldCharType="end"/>
      </w:r>
      <w:r w:rsidRPr="00654CB4">
        <w:rPr>
          <w:lang w:val="es-419"/>
        </w:rPr>
        <w:tab/>
        <w:t>El TWO convino en que el carácter pseudocualitativo (PQ) de las directrices de examen de la dalia (TG/226/1) expuesto a continuación es un ejemplo adecuado para mostrar cómo puede emplearse el enfoque propuesto de manera que no plantee riesgos respecto de las decisiones sobre la distinción.</w:t>
      </w:r>
    </w:p>
    <w:p w:rsidR="00843BBF" w:rsidRPr="00654CB4" w:rsidRDefault="00843BBF" w:rsidP="00843BBF">
      <w:pPr>
        <w:rPr>
          <w:snapToGrid w:val="0"/>
          <w:lang w:val="es-419"/>
        </w:rPr>
      </w:pPr>
    </w:p>
    <w:p w:rsidR="00843BBF" w:rsidRPr="00654CB4" w:rsidRDefault="00843BBF" w:rsidP="00843BBF">
      <w:pPr>
        <w:ind w:firstLine="567"/>
        <w:rPr>
          <w:snapToGrid w:val="0"/>
          <w:lang w:val="es-419"/>
        </w:rPr>
      </w:pPr>
      <w:r w:rsidRPr="00654CB4">
        <w:rPr>
          <w:lang w:val="es-419"/>
        </w:rPr>
        <w:t xml:space="preserve">Carácter (PQ) 21: </w:t>
      </w:r>
      <w:r w:rsidR="00510446" w:rsidRPr="00654CB4">
        <w:rPr>
          <w:lang w:val="es-419"/>
        </w:rPr>
        <w:t>Capítulo</w:t>
      </w:r>
      <w:r w:rsidRPr="00654CB4">
        <w:rPr>
          <w:lang w:val="es-419"/>
        </w:rPr>
        <w:t>: tipo: sencillo (1); semidoble (2); doble tipo margarita (3); doble (4)</w:t>
      </w:r>
    </w:p>
    <w:p w:rsidR="00843BBF" w:rsidRPr="00654CB4" w:rsidRDefault="00843BBF" w:rsidP="00843BBF">
      <w:pPr>
        <w:ind w:left="1134" w:hanging="567"/>
        <w:rPr>
          <w:snapToGrid w:val="0"/>
          <w:lang w:val="es-419"/>
        </w:rPr>
      </w:pPr>
      <w:r w:rsidRPr="00654CB4">
        <w:rPr>
          <w:lang w:val="es-419"/>
        </w:rPr>
        <w:t xml:space="preserve">Carácter cuantitativo (QN) 26: </w:t>
      </w:r>
      <w:r w:rsidRPr="00654CB4">
        <w:rPr>
          <w:u w:val="single"/>
          <w:lang w:val="es-419"/>
        </w:rPr>
        <w:t>Únicamente variedades con capítulo doble y doble tipo margarita</w:t>
      </w:r>
      <w:r w:rsidRPr="00654CB4">
        <w:rPr>
          <w:lang w:val="es-419"/>
        </w:rPr>
        <w:t xml:space="preserve">: </w:t>
      </w:r>
      <w:r w:rsidR="00064688" w:rsidRPr="00654CB4">
        <w:rPr>
          <w:lang w:val="es-419"/>
        </w:rPr>
        <w:t>C</w:t>
      </w:r>
      <w:r w:rsidR="00510446" w:rsidRPr="00654CB4">
        <w:rPr>
          <w:lang w:val="es-419"/>
        </w:rPr>
        <w:t>apítulo</w:t>
      </w:r>
      <w:r w:rsidRPr="00654CB4">
        <w:rPr>
          <w:lang w:val="es-419"/>
        </w:rPr>
        <w:t>: altura: corta (3); media (5); alta (7)</w:t>
      </w:r>
    </w:p>
    <w:p w:rsidR="00843BBF" w:rsidRPr="00654CB4" w:rsidRDefault="00843BBF" w:rsidP="00843BBF">
      <w:pPr>
        <w:rPr>
          <w:snapToGrid w:val="0"/>
          <w:lang w:val="es-419"/>
        </w:rPr>
      </w:pPr>
    </w:p>
    <w:p w:rsidR="00843BBF" w:rsidRPr="00654CB4" w:rsidRDefault="00843BBF" w:rsidP="00843BBF">
      <w:pPr>
        <w:rPr>
          <w:snapToGrid w:val="0"/>
          <w:lang w:val="es-419"/>
        </w:rPr>
      </w:pPr>
      <w:r w:rsidRPr="00654CB4">
        <w:rPr>
          <w:lang w:val="es-419"/>
        </w:rPr>
        <w:fldChar w:fldCharType="begin"/>
      </w:r>
      <w:r w:rsidRPr="00654CB4">
        <w:rPr>
          <w:lang w:val="es-419"/>
        </w:rPr>
        <w:instrText xml:space="preserve"> AUTONUM  </w:instrText>
      </w:r>
      <w:r w:rsidRPr="00654CB4">
        <w:rPr>
          <w:lang w:val="es-419"/>
        </w:rPr>
        <w:fldChar w:fldCharType="end"/>
      </w:r>
      <w:r w:rsidRPr="00654CB4">
        <w:rPr>
          <w:lang w:val="es-419"/>
        </w:rPr>
        <w:tab/>
        <w:t>El TWO convino en que es preferible que el título del carácter incorpore la exclusión y, si fuera necesario, puede facilitarse una explicación en las directrices de examen.</w:t>
      </w:r>
    </w:p>
    <w:p w:rsidR="00843BBF" w:rsidRPr="00654CB4" w:rsidRDefault="00843BBF" w:rsidP="00843BBF">
      <w:pPr>
        <w:rPr>
          <w:lang w:val="es-419"/>
        </w:rPr>
      </w:pPr>
    </w:p>
    <w:p w:rsidR="00843BBF" w:rsidRPr="00AC076F" w:rsidRDefault="00843BBF" w:rsidP="00843BBF">
      <w:pPr>
        <w:rPr>
          <w:spacing w:val="-2"/>
          <w:lang w:val="es-419"/>
        </w:rPr>
      </w:pPr>
      <w:r w:rsidRPr="00AC076F">
        <w:rPr>
          <w:spacing w:val="-2"/>
          <w:lang w:val="es-419"/>
        </w:rPr>
        <w:fldChar w:fldCharType="begin"/>
      </w:r>
      <w:r w:rsidRPr="00AC076F">
        <w:rPr>
          <w:spacing w:val="-2"/>
          <w:lang w:val="es-419"/>
        </w:rPr>
        <w:instrText xml:space="preserve"> AUTONUM  </w:instrText>
      </w:r>
      <w:r w:rsidRPr="00AC076F">
        <w:rPr>
          <w:spacing w:val="-2"/>
          <w:lang w:val="es-419"/>
        </w:rPr>
        <w:fldChar w:fldCharType="end"/>
      </w:r>
      <w:r w:rsidRPr="00AC076F">
        <w:rPr>
          <w:spacing w:val="-2"/>
          <w:lang w:val="es-419"/>
        </w:rPr>
        <w:tab/>
        <w:t>El TWV co</w:t>
      </w:r>
      <w:r w:rsidR="00DC35BA" w:rsidRPr="00AC076F">
        <w:rPr>
          <w:spacing w:val="-2"/>
          <w:lang w:val="es-419"/>
        </w:rPr>
        <w:t>incidió</w:t>
      </w:r>
      <w:r w:rsidRPr="00AC076F">
        <w:rPr>
          <w:spacing w:val="-2"/>
          <w:lang w:val="es-419"/>
        </w:rPr>
        <w:t xml:space="preserve"> en que cuando una estructura se describe como “ausente o débil” en parte de una planta, es posible que sea difícil observar otros caracteres en esa estructura. Por ejemplo, en las directrices de examen de la lechuga (TG 13/11), el carácter 3: “Planta: grado de solapamiento de la parte superior de las hojas, indicado como QN, con los grados de expresión (1) “ausente o débil, (2) medio, (3) fuerte</w:t>
      </w:r>
      <w:r w:rsidR="00DC35BA" w:rsidRPr="00AC076F">
        <w:rPr>
          <w:spacing w:val="-2"/>
          <w:lang w:val="es-419"/>
        </w:rPr>
        <w:t>”</w:t>
      </w:r>
      <w:r w:rsidRPr="00AC076F">
        <w:rPr>
          <w:spacing w:val="-2"/>
          <w:lang w:val="es-419"/>
        </w:rPr>
        <w:t>. Sin embargo, el TWV convino en que, junto con el cuadro facilitado en el capítulo 5.3 de las directrices de examen, reduce los riesgos de las decisiones sobre la distinción y, en consecuencia, propicia el uso de es</w:t>
      </w:r>
      <w:r w:rsidR="00BC3013" w:rsidRPr="00AC076F">
        <w:rPr>
          <w:spacing w:val="-2"/>
          <w:lang w:val="es-419"/>
        </w:rPr>
        <w:t>t</w:t>
      </w:r>
      <w:r w:rsidRPr="00AC076F">
        <w:rPr>
          <w:spacing w:val="-2"/>
          <w:lang w:val="es-419"/>
        </w:rPr>
        <w:t>os cuadros cuando son necesarios.</w:t>
      </w:r>
    </w:p>
    <w:p w:rsidR="00843BBF" w:rsidRPr="00654CB4" w:rsidRDefault="00843BBF" w:rsidP="00843BBF">
      <w:pPr>
        <w:rPr>
          <w:lang w:val="es-419"/>
        </w:rPr>
      </w:pPr>
    </w:p>
    <w:p w:rsidR="00843BBF" w:rsidRPr="00654CB4" w:rsidRDefault="00843BBF" w:rsidP="00843BBF">
      <w:pPr>
        <w:rPr>
          <w:lang w:val="es-419"/>
        </w:rPr>
      </w:pPr>
      <w:r w:rsidRPr="00654CB4">
        <w:rPr>
          <w:lang w:val="es-419"/>
        </w:rPr>
        <w:fldChar w:fldCharType="begin"/>
      </w:r>
      <w:r w:rsidRPr="00654CB4">
        <w:rPr>
          <w:lang w:val="es-419"/>
        </w:rPr>
        <w:instrText xml:space="preserve"> AUTONUM  </w:instrText>
      </w:r>
      <w:r w:rsidRPr="00654CB4">
        <w:rPr>
          <w:lang w:val="es-419"/>
        </w:rPr>
        <w:fldChar w:fldCharType="end"/>
      </w:r>
      <w:r w:rsidRPr="00654CB4">
        <w:rPr>
          <w:lang w:val="es-419"/>
        </w:rPr>
        <w:tab/>
        <w:t>El TWV convino en que el carácter pseudocualitativo (PQ) de las directrices de examen de la achicoria de hoja (TG/154/4) expuesto a continuación es un ejemplo adecuado para mostrar cómo puede emplearse el enfoque propuesto de manera que no plantee riesgos respecto de las decisiones sobre la distinción.</w:t>
      </w:r>
    </w:p>
    <w:p w:rsidR="00843BBF" w:rsidRPr="00654CB4" w:rsidRDefault="00843BBF" w:rsidP="00843BBF">
      <w:pPr>
        <w:rPr>
          <w:lang w:val="es-419"/>
        </w:rPr>
      </w:pPr>
    </w:p>
    <w:p w:rsidR="00843BBF" w:rsidRPr="00654CB4" w:rsidRDefault="00843BBF" w:rsidP="00843BBF">
      <w:pPr>
        <w:ind w:firstLine="567"/>
        <w:rPr>
          <w:lang w:val="es-419"/>
        </w:rPr>
      </w:pPr>
      <w:r w:rsidRPr="00654CB4">
        <w:rPr>
          <w:lang w:val="es-419"/>
        </w:rPr>
        <w:t>Carácter (PQ) 16: “Solo para variedades que forman repollo: ausente (1); cerrado (2); abierto (3)</w:t>
      </w:r>
      <w:r w:rsidR="0005189B" w:rsidRPr="00654CB4">
        <w:rPr>
          <w:lang w:val="es-419"/>
        </w:rPr>
        <w:t>”</w:t>
      </w:r>
    </w:p>
    <w:p w:rsidR="00843BBF" w:rsidRPr="00654CB4" w:rsidRDefault="00843BBF" w:rsidP="00843BBF">
      <w:pPr>
        <w:ind w:left="1134" w:hanging="567"/>
        <w:rPr>
          <w:lang w:val="es-419"/>
        </w:rPr>
      </w:pPr>
      <w:r w:rsidRPr="00654CB4">
        <w:rPr>
          <w:lang w:val="es-419"/>
        </w:rPr>
        <w:t>Carácter (QN) 17: “</w:t>
      </w:r>
      <w:r w:rsidRPr="00654CB4">
        <w:rPr>
          <w:u w:val="single"/>
          <w:lang w:val="es-419"/>
        </w:rPr>
        <w:t>Solo para variedades que forman repollo:</w:t>
      </w:r>
      <w:r w:rsidRPr="00654CB4">
        <w:rPr>
          <w:lang w:val="es-419"/>
        </w:rPr>
        <w:t xml:space="preserve"> </w:t>
      </w:r>
      <w:r w:rsidR="00064688" w:rsidRPr="00654CB4">
        <w:rPr>
          <w:lang w:val="es-419"/>
        </w:rPr>
        <w:t>É</w:t>
      </w:r>
      <w:r w:rsidRPr="00654CB4">
        <w:rPr>
          <w:lang w:val="es-419"/>
        </w:rPr>
        <w:t>poca de formación del repollo: muy</w:t>
      </w:r>
      <w:r w:rsidR="0005189B" w:rsidRPr="00654CB4">
        <w:rPr>
          <w:lang w:val="es-419"/>
        </w:rPr>
        <w:t> </w:t>
      </w:r>
      <w:r w:rsidRPr="00654CB4">
        <w:rPr>
          <w:lang w:val="es-419"/>
        </w:rPr>
        <w:t>temprana (1); temprana (3); media (5); tardía (7); muy tardía (9)”</w:t>
      </w:r>
    </w:p>
    <w:p w:rsidR="00843BBF" w:rsidRPr="00654CB4" w:rsidRDefault="00843BBF" w:rsidP="00843BBF">
      <w:pPr>
        <w:rPr>
          <w:lang w:val="es-419"/>
        </w:rPr>
      </w:pPr>
    </w:p>
    <w:p w:rsidR="00843BBF" w:rsidRPr="00654CB4" w:rsidRDefault="00843BBF" w:rsidP="00843BBF">
      <w:pPr>
        <w:rPr>
          <w:lang w:val="es-419"/>
        </w:rPr>
      </w:pPr>
      <w:r w:rsidRPr="00654CB4">
        <w:rPr>
          <w:lang w:val="es-419"/>
        </w:rPr>
        <w:fldChar w:fldCharType="begin"/>
      </w:r>
      <w:r w:rsidRPr="00654CB4">
        <w:rPr>
          <w:lang w:val="es-419"/>
        </w:rPr>
        <w:instrText xml:space="preserve"> AUTONUM  </w:instrText>
      </w:r>
      <w:r w:rsidRPr="00654CB4">
        <w:rPr>
          <w:lang w:val="es-419"/>
        </w:rPr>
        <w:fldChar w:fldCharType="end"/>
      </w:r>
      <w:r w:rsidRPr="00654CB4">
        <w:rPr>
          <w:lang w:val="es-419"/>
        </w:rPr>
        <w:tab/>
        <w:t>El TWF convino en que el carácter cuantitativo de las directrices de examen de la higuera (TG/265/1) expuesto a continuación es un ejemplo adecuado para mostrar cómo puede emplearse el enfoque propuesto de manera que no plantee riesgos respecto de las decisiones sobre la distinción.</w:t>
      </w:r>
    </w:p>
    <w:p w:rsidR="00843BBF" w:rsidRPr="00654CB4" w:rsidRDefault="00843BBF" w:rsidP="00843BBF">
      <w:pPr>
        <w:rPr>
          <w:lang w:val="es-419"/>
        </w:rPr>
      </w:pPr>
    </w:p>
    <w:p w:rsidR="00843BBF" w:rsidRPr="00654CB4" w:rsidRDefault="00843BBF" w:rsidP="00843BBF">
      <w:pPr>
        <w:ind w:firstLine="567"/>
        <w:rPr>
          <w:lang w:val="es-419"/>
        </w:rPr>
      </w:pPr>
      <w:r w:rsidRPr="00654CB4">
        <w:rPr>
          <w:lang w:val="es-419"/>
        </w:rPr>
        <w:t>Carácter (QN) 17: “Hoja: tipo predominante: entera (1); trilobulada (2); pentalobulada (3)</w:t>
      </w:r>
      <w:r w:rsidR="0005189B" w:rsidRPr="00654CB4">
        <w:rPr>
          <w:lang w:val="es-419"/>
        </w:rPr>
        <w:t>”</w:t>
      </w:r>
    </w:p>
    <w:p w:rsidR="00843BBF" w:rsidRPr="00654CB4" w:rsidRDefault="00843BBF" w:rsidP="00843BBF">
      <w:pPr>
        <w:ind w:left="1134" w:hanging="567"/>
        <w:rPr>
          <w:lang w:val="es-419"/>
        </w:rPr>
      </w:pPr>
      <w:r w:rsidRPr="00654CB4">
        <w:rPr>
          <w:lang w:val="es-419"/>
        </w:rPr>
        <w:t>Carácter (PQ) 18: “</w:t>
      </w:r>
      <w:r w:rsidRPr="00654CB4">
        <w:rPr>
          <w:u w:val="single"/>
          <w:lang w:val="es-419"/>
        </w:rPr>
        <w:t>Solo variedades con tipo predominante de hoja: entera</w:t>
      </w:r>
      <w:r w:rsidRPr="00654CB4">
        <w:rPr>
          <w:lang w:val="es-419"/>
        </w:rPr>
        <w:t xml:space="preserve">: </w:t>
      </w:r>
      <w:r w:rsidR="00064688" w:rsidRPr="00654CB4">
        <w:rPr>
          <w:lang w:val="es-419"/>
        </w:rPr>
        <w:t>H</w:t>
      </w:r>
      <w:r w:rsidRPr="00654CB4">
        <w:rPr>
          <w:lang w:val="es-419"/>
        </w:rPr>
        <w:t>oja: forma: cordiforme (1); triangular (2); lanceolada (3); elíptica (4)”</w:t>
      </w:r>
    </w:p>
    <w:p w:rsidR="00843BBF" w:rsidRPr="00654CB4" w:rsidRDefault="00843BBF" w:rsidP="00843BBF">
      <w:pPr>
        <w:rPr>
          <w:rFonts w:cs="Arial"/>
          <w:lang w:val="es-419"/>
        </w:rPr>
      </w:pPr>
    </w:p>
    <w:p w:rsidR="00843BBF" w:rsidRPr="00AC076F" w:rsidRDefault="00843BBF" w:rsidP="00843BBF">
      <w:pPr>
        <w:rPr>
          <w:spacing w:val="-2"/>
          <w:lang w:val="es-419"/>
        </w:rPr>
      </w:pPr>
      <w:r w:rsidRPr="00AC076F">
        <w:rPr>
          <w:spacing w:val="-2"/>
          <w:lang w:val="es-419"/>
        </w:rPr>
        <w:fldChar w:fldCharType="begin"/>
      </w:r>
      <w:r w:rsidRPr="00AC076F">
        <w:rPr>
          <w:spacing w:val="-2"/>
          <w:lang w:val="es-419"/>
        </w:rPr>
        <w:instrText xml:space="preserve"> AUTONUM  </w:instrText>
      </w:r>
      <w:r w:rsidRPr="00AC076F">
        <w:rPr>
          <w:spacing w:val="-2"/>
          <w:lang w:val="es-419"/>
        </w:rPr>
        <w:fldChar w:fldCharType="end"/>
      </w:r>
      <w:r w:rsidRPr="00AC076F">
        <w:rPr>
          <w:spacing w:val="-2"/>
          <w:lang w:val="es-419"/>
        </w:rPr>
        <w:tab/>
        <w:t>Las observaciones formuladas por el TWA, en su cuadragésima octava sesión, que se celebrará en Montevideo (Uruguay), del 16 al 20 de septiembre de 2019, y el TWC, en su trigésima séptima sesión, que se celebrará en Hangzhou (China), del 14 al 16 de octubre de 2019, se expondrán en una adición al presente documento.</w:t>
      </w:r>
    </w:p>
    <w:p w:rsidR="00843BBF" w:rsidRDefault="00843BBF" w:rsidP="00843BBF">
      <w:pPr>
        <w:rPr>
          <w:lang w:val="es-419"/>
        </w:rPr>
      </w:pPr>
    </w:p>
    <w:p w:rsidR="0005189B" w:rsidRPr="00654CB4" w:rsidRDefault="0005189B" w:rsidP="00843BBF">
      <w:pPr>
        <w:rPr>
          <w:lang w:val="es-419"/>
        </w:rPr>
      </w:pPr>
    </w:p>
    <w:p w:rsidR="00843BBF" w:rsidRPr="00654CB4" w:rsidRDefault="00843BBF" w:rsidP="00843BBF">
      <w:pPr>
        <w:rPr>
          <w:lang w:val="es-419"/>
        </w:rPr>
      </w:pPr>
    </w:p>
    <w:p w:rsidR="00843BBF" w:rsidRPr="00654CB4" w:rsidRDefault="00843BBF" w:rsidP="00587E37">
      <w:pPr>
        <w:pStyle w:val="Heading1"/>
        <w:rPr>
          <w:lang w:val="es-419"/>
        </w:rPr>
      </w:pPr>
      <w:bookmarkStart w:id="9" w:name="_Toc17121908"/>
      <w:bookmarkStart w:id="10" w:name="_Toc18666358"/>
      <w:r w:rsidRPr="00654CB4">
        <w:rPr>
          <w:lang w:val="es-419"/>
        </w:rPr>
        <w:lastRenderedPageBreak/>
        <w:t>PROPUESTA</w:t>
      </w:r>
      <w:bookmarkEnd w:id="9"/>
      <w:bookmarkEnd w:id="10"/>
    </w:p>
    <w:p w:rsidR="00843BBF" w:rsidRPr="00654CB4" w:rsidRDefault="00843BBF" w:rsidP="004054E4">
      <w:pPr>
        <w:keepNext/>
        <w:rPr>
          <w:lang w:val="es-419"/>
        </w:rPr>
      </w:pPr>
    </w:p>
    <w:p w:rsidR="00843BBF" w:rsidRPr="00654CB4" w:rsidRDefault="00843BBF" w:rsidP="00843BBF">
      <w:pPr>
        <w:rPr>
          <w:lang w:val="es-419"/>
        </w:rPr>
      </w:pPr>
      <w:r w:rsidRPr="00654CB4">
        <w:rPr>
          <w:lang w:val="es-419"/>
        </w:rPr>
        <w:fldChar w:fldCharType="begin"/>
      </w:r>
      <w:r w:rsidRPr="00654CB4">
        <w:rPr>
          <w:lang w:val="es-419"/>
        </w:rPr>
        <w:instrText xml:space="preserve"> AUTONUM  </w:instrText>
      </w:r>
      <w:r w:rsidRPr="00654CB4">
        <w:rPr>
          <w:lang w:val="es-419"/>
        </w:rPr>
        <w:fldChar w:fldCharType="end"/>
      </w:r>
      <w:r w:rsidRPr="00654CB4">
        <w:rPr>
          <w:lang w:val="es-419"/>
        </w:rPr>
        <w:tab/>
        <w:t>Teniendo en cuenta las observaciones formuladas por los TWP, en sus sesiones de 2019, se propone al TC que examine los caracteres siguientes como ejemplos adecuados de caracteres cuantitativos y pseudocualitativos a fin de ilustrar cómo puede emplearse el enfoque de manera que no plantee riesgos respecto de la distinción:</w:t>
      </w:r>
    </w:p>
    <w:p w:rsidR="00843BBF" w:rsidRPr="00654CB4" w:rsidRDefault="00843BBF" w:rsidP="00843BBF">
      <w:pPr>
        <w:ind w:left="1276" w:right="565" w:hanging="567"/>
        <w:rPr>
          <w:lang w:val="es-419"/>
        </w:rPr>
      </w:pPr>
    </w:p>
    <w:p w:rsidR="00843BBF" w:rsidRPr="00654CB4" w:rsidRDefault="00843BBF" w:rsidP="00843BBF">
      <w:pPr>
        <w:keepNext/>
        <w:keepLines/>
        <w:ind w:left="1276" w:hanging="567"/>
        <w:rPr>
          <w:i/>
          <w:snapToGrid w:val="0"/>
          <w:lang w:val="es-419"/>
        </w:rPr>
      </w:pPr>
      <w:r w:rsidRPr="00654CB4">
        <w:rPr>
          <w:i/>
          <w:lang w:val="es-419"/>
        </w:rPr>
        <w:t>Directrices de examen de la dalia (TG/226/1):</w:t>
      </w:r>
    </w:p>
    <w:p w:rsidR="00843BBF" w:rsidRPr="00654CB4" w:rsidRDefault="00843BBF" w:rsidP="00843BBF">
      <w:pPr>
        <w:keepNext/>
        <w:keepLines/>
        <w:ind w:left="1276" w:hanging="567"/>
        <w:rPr>
          <w:snapToGrid w:val="0"/>
          <w:lang w:val="es-419"/>
        </w:rPr>
      </w:pPr>
    </w:p>
    <w:p w:rsidR="00843BBF" w:rsidRPr="00654CB4" w:rsidRDefault="00843BBF" w:rsidP="00843BBF">
      <w:pPr>
        <w:keepNext/>
        <w:keepLines/>
        <w:ind w:left="1276" w:hanging="567"/>
        <w:rPr>
          <w:snapToGrid w:val="0"/>
          <w:lang w:val="es-419"/>
        </w:rPr>
      </w:pPr>
      <w:r w:rsidRPr="00654CB4">
        <w:rPr>
          <w:lang w:val="es-419"/>
        </w:rPr>
        <w:t xml:space="preserve">Carácter (PQ) 21: </w:t>
      </w:r>
      <w:r w:rsidR="00064688" w:rsidRPr="00654CB4">
        <w:rPr>
          <w:lang w:val="es-419"/>
        </w:rPr>
        <w:t>C</w:t>
      </w:r>
      <w:r w:rsidR="00510446" w:rsidRPr="00654CB4">
        <w:rPr>
          <w:lang w:val="es-419"/>
        </w:rPr>
        <w:t>apítulo</w:t>
      </w:r>
      <w:r w:rsidRPr="00654CB4">
        <w:rPr>
          <w:lang w:val="es-419"/>
        </w:rPr>
        <w:t>: tipo: sencillo (1); semidoble (2); doble tipo margarita (3); doble (4)</w:t>
      </w:r>
    </w:p>
    <w:p w:rsidR="00843BBF" w:rsidRPr="00654CB4" w:rsidRDefault="00843BBF" w:rsidP="00843BBF">
      <w:pPr>
        <w:keepNext/>
        <w:keepLines/>
        <w:ind w:left="1276" w:hanging="567"/>
        <w:rPr>
          <w:snapToGrid w:val="0"/>
          <w:lang w:val="es-419"/>
        </w:rPr>
      </w:pPr>
      <w:r w:rsidRPr="00654CB4">
        <w:rPr>
          <w:lang w:val="es-419"/>
        </w:rPr>
        <w:t xml:space="preserve">Carácter (QN) 26: </w:t>
      </w:r>
      <w:r w:rsidRPr="00654CB4">
        <w:rPr>
          <w:u w:val="single"/>
          <w:lang w:val="es-419"/>
        </w:rPr>
        <w:t>Únicamente variedades con capítulo doble y doble tipo margarita</w:t>
      </w:r>
      <w:r w:rsidRPr="00654CB4">
        <w:rPr>
          <w:lang w:val="es-419"/>
        </w:rPr>
        <w:t xml:space="preserve">: </w:t>
      </w:r>
      <w:r w:rsidR="00064688" w:rsidRPr="00654CB4">
        <w:rPr>
          <w:lang w:val="es-419"/>
        </w:rPr>
        <w:t>C</w:t>
      </w:r>
      <w:r w:rsidR="00510446" w:rsidRPr="00654CB4">
        <w:rPr>
          <w:lang w:val="es-419"/>
        </w:rPr>
        <w:t>apítulo</w:t>
      </w:r>
      <w:r w:rsidRPr="00654CB4">
        <w:rPr>
          <w:lang w:val="es-419"/>
        </w:rPr>
        <w:t>: altura: corta (3); media (5); alta (7)</w:t>
      </w:r>
    </w:p>
    <w:p w:rsidR="00843BBF" w:rsidRPr="00654CB4" w:rsidRDefault="00843BBF" w:rsidP="00843BBF">
      <w:pPr>
        <w:ind w:left="1276" w:hanging="567"/>
        <w:rPr>
          <w:lang w:val="es-419"/>
        </w:rPr>
      </w:pPr>
    </w:p>
    <w:p w:rsidR="00843BBF" w:rsidRPr="00654CB4" w:rsidRDefault="00843BBF" w:rsidP="00843BBF">
      <w:pPr>
        <w:keepNext/>
        <w:ind w:left="1276" w:hanging="567"/>
        <w:rPr>
          <w:i/>
          <w:lang w:val="es-419"/>
        </w:rPr>
      </w:pPr>
      <w:r w:rsidRPr="00654CB4">
        <w:rPr>
          <w:i/>
          <w:lang w:val="es-419"/>
        </w:rPr>
        <w:t>Directrices de examen de la achicoria de hoja (TG/154/4):</w:t>
      </w:r>
    </w:p>
    <w:p w:rsidR="00843BBF" w:rsidRPr="00654CB4" w:rsidRDefault="00843BBF" w:rsidP="00843BBF">
      <w:pPr>
        <w:keepNext/>
        <w:ind w:left="1276" w:hanging="567"/>
        <w:rPr>
          <w:lang w:val="es-419"/>
        </w:rPr>
      </w:pPr>
    </w:p>
    <w:p w:rsidR="00843BBF" w:rsidRPr="00654CB4" w:rsidRDefault="00843BBF" w:rsidP="00843BBF">
      <w:pPr>
        <w:keepNext/>
        <w:ind w:left="1276" w:hanging="567"/>
        <w:rPr>
          <w:lang w:val="es-419"/>
        </w:rPr>
      </w:pPr>
      <w:r w:rsidRPr="00654CB4">
        <w:rPr>
          <w:lang w:val="es-419"/>
        </w:rPr>
        <w:t>Carácter (PQ) 16: “Solo para variedades que forman repollo: ausente (1); cerrado (2); abierto (3)</w:t>
      </w:r>
      <w:r w:rsidR="000F6EFF" w:rsidRPr="00654CB4">
        <w:rPr>
          <w:lang w:val="es-419"/>
        </w:rPr>
        <w:t>”</w:t>
      </w:r>
    </w:p>
    <w:p w:rsidR="00843BBF" w:rsidRPr="00654CB4" w:rsidRDefault="00843BBF" w:rsidP="00843BBF">
      <w:pPr>
        <w:keepNext/>
        <w:ind w:left="1276" w:hanging="567"/>
        <w:rPr>
          <w:lang w:val="es-419"/>
        </w:rPr>
      </w:pPr>
      <w:r w:rsidRPr="00654CB4">
        <w:rPr>
          <w:lang w:val="es-419"/>
        </w:rPr>
        <w:t>Carácter (QN) 17:</w:t>
      </w:r>
      <w:r w:rsidR="0073246B" w:rsidRPr="00654CB4">
        <w:rPr>
          <w:lang w:val="es-419"/>
        </w:rPr>
        <w:t xml:space="preserve"> </w:t>
      </w:r>
      <w:r w:rsidRPr="00654CB4">
        <w:rPr>
          <w:lang w:val="es-419"/>
        </w:rPr>
        <w:t>“</w:t>
      </w:r>
      <w:r w:rsidRPr="00654CB4">
        <w:rPr>
          <w:u w:val="single"/>
          <w:lang w:val="es-419"/>
        </w:rPr>
        <w:t>Solo para variedades que forman repollo:</w:t>
      </w:r>
      <w:r w:rsidRPr="00654CB4">
        <w:rPr>
          <w:lang w:val="es-419"/>
        </w:rPr>
        <w:t xml:space="preserve"> época de formación del repollo: muy temprana (1); temprana (3); media (5); tardía (7); muy tardía (9)”</w:t>
      </w:r>
    </w:p>
    <w:p w:rsidR="00843BBF" w:rsidRPr="00654CB4" w:rsidRDefault="00843BBF" w:rsidP="00843BBF">
      <w:pPr>
        <w:ind w:left="1276" w:hanging="567"/>
        <w:rPr>
          <w:lang w:val="es-419"/>
        </w:rPr>
      </w:pPr>
    </w:p>
    <w:p w:rsidR="00843BBF" w:rsidRPr="00654CB4" w:rsidRDefault="00843BBF" w:rsidP="00843BBF">
      <w:pPr>
        <w:ind w:left="1276" w:hanging="567"/>
        <w:rPr>
          <w:i/>
          <w:lang w:val="es-419"/>
        </w:rPr>
      </w:pPr>
      <w:r w:rsidRPr="00654CB4">
        <w:rPr>
          <w:i/>
          <w:lang w:val="es-419"/>
        </w:rPr>
        <w:t>Directrices de examen de la higuera (TG/265/1):</w:t>
      </w:r>
    </w:p>
    <w:p w:rsidR="00843BBF" w:rsidRPr="00654CB4" w:rsidRDefault="00843BBF" w:rsidP="00843BBF">
      <w:pPr>
        <w:ind w:left="1276" w:hanging="567"/>
        <w:rPr>
          <w:lang w:val="es-419"/>
        </w:rPr>
      </w:pPr>
    </w:p>
    <w:p w:rsidR="00843BBF" w:rsidRPr="00654CB4" w:rsidRDefault="00843BBF" w:rsidP="00843BBF">
      <w:pPr>
        <w:ind w:left="1276" w:hanging="567"/>
        <w:rPr>
          <w:lang w:val="es-419"/>
        </w:rPr>
      </w:pPr>
      <w:r w:rsidRPr="00654CB4">
        <w:rPr>
          <w:lang w:val="es-419"/>
        </w:rPr>
        <w:t>Carácter (QN) 17: “Hoja: tipo predominante: entera (1); trilobulada (2); pentalobulada (3)</w:t>
      </w:r>
      <w:r w:rsidR="000F6EFF" w:rsidRPr="00654CB4">
        <w:rPr>
          <w:lang w:val="es-419"/>
        </w:rPr>
        <w:t>”</w:t>
      </w:r>
    </w:p>
    <w:p w:rsidR="00843BBF" w:rsidRPr="00654CB4" w:rsidRDefault="00843BBF" w:rsidP="00843BBF">
      <w:pPr>
        <w:ind w:left="1276" w:hanging="567"/>
        <w:rPr>
          <w:lang w:val="es-419"/>
        </w:rPr>
      </w:pPr>
      <w:r w:rsidRPr="00654CB4">
        <w:rPr>
          <w:lang w:val="es-419"/>
        </w:rPr>
        <w:t>Carácter (PQ) 18: “</w:t>
      </w:r>
      <w:r w:rsidRPr="00654CB4">
        <w:rPr>
          <w:u w:val="single"/>
          <w:lang w:val="es-419"/>
        </w:rPr>
        <w:t>Solo variedades con tipo predominante de hoja: entera</w:t>
      </w:r>
      <w:r w:rsidRPr="00654CB4">
        <w:rPr>
          <w:lang w:val="es-419"/>
        </w:rPr>
        <w:t xml:space="preserve">: </w:t>
      </w:r>
      <w:r w:rsidR="00064688" w:rsidRPr="00654CB4">
        <w:rPr>
          <w:lang w:val="es-419"/>
        </w:rPr>
        <w:t>H</w:t>
      </w:r>
      <w:r w:rsidRPr="00654CB4">
        <w:rPr>
          <w:lang w:val="es-419"/>
        </w:rPr>
        <w:t>oja: forma: cordiforme (1); triangular (2); lanceolada (3); elíptica (4)”</w:t>
      </w:r>
    </w:p>
    <w:p w:rsidR="00843BBF" w:rsidRPr="00654CB4" w:rsidRDefault="00843BBF" w:rsidP="00843BBF">
      <w:pPr>
        <w:rPr>
          <w:lang w:val="es-419"/>
        </w:rPr>
      </w:pPr>
    </w:p>
    <w:p w:rsidR="00843BBF" w:rsidRPr="00654CB4" w:rsidRDefault="00843BBF" w:rsidP="00843BBF">
      <w:pPr>
        <w:rPr>
          <w:lang w:val="es-419"/>
        </w:rPr>
      </w:pPr>
      <w:r w:rsidRPr="00654CB4">
        <w:rPr>
          <w:lang w:val="es-419"/>
        </w:rPr>
        <w:fldChar w:fldCharType="begin"/>
      </w:r>
      <w:r w:rsidRPr="00654CB4">
        <w:rPr>
          <w:lang w:val="es-419"/>
        </w:rPr>
        <w:instrText xml:space="preserve"> AUTONUM  </w:instrText>
      </w:r>
      <w:r w:rsidRPr="00654CB4">
        <w:rPr>
          <w:lang w:val="es-419"/>
        </w:rPr>
        <w:fldChar w:fldCharType="end"/>
      </w:r>
      <w:r w:rsidRPr="00654CB4">
        <w:rPr>
          <w:lang w:val="es-419"/>
        </w:rPr>
        <w:tab/>
        <w:t>Teniendo en cuenta las observaciones formuladas por los TWP en sus sesiones de 2019, se propone al TC que examine la propuesta de modificación de la orientación que se ofrece en la nota orientativa 18 (GN</w:t>
      </w:r>
      <w:r w:rsidR="000F6EFF" w:rsidRPr="00654CB4">
        <w:rPr>
          <w:lang w:val="es-419"/>
        </w:rPr>
        <w:t> </w:t>
      </w:r>
      <w:r w:rsidRPr="00654CB4">
        <w:rPr>
          <w:lang w:val="es-419"/>
        </w:rPr>
        <w:t xml:space="preserve">18) del documento TGP/7 a fin de permitir la exclusión de un carácter de la observación sobre la base del nivel de expresión de un carácter pseudocualitativo o cuantitativo anterior de la manera siguiente (se indica </w:t>
      </w:r>
      <w:r w:rsidR="00D35D48" w:rsidRPr="00654CB4">
        <w:rPr>
          <w:strike/>
          <w:snapToGrid w:val="0"/>
          <w:highlight w:val="lightGray"/>
          <w:lang w:val="es-419"/>
        </w:rPr>
        <w:t>sombreado</w:t>
      </w:r>
      <w:r w:rsidR="00D35D48" w:rsidRPr="00654CB4">
        <w:rPr>
          <w:strike/>
          <w:snapToGrid w:val="0"/>
          <w:highlight w:val="lightGray"/>
          <w:lang w:val="es-419"/>
        </w:rPr>
        <w:t xml:space="preserve"> </w:t>
      </w:r>
      <w:r w:rsidR="00D35D48">
        <w:rPr>
          <w:strike/>
          <w:snapToGrid w:val="0"/>
          <w:highlight w:val="lightGray"/>
          <w:lang w:val="es-419"/>
        </w:rPr>
        <w:t xml:space="preserve">y </w:t>
      </w:r>
      <w:r w:rsidRPr="00654CB4">
        <w:rPr>
          <w:strike/>
          <w:snapToGrid w:val="0"/>
          <w:highlight w:val="lightGray"/>
          <w:lang w:val="es-419"/>
        </w:rPr>
        <w:t>tachado</w:t>
      </w:r>
      <w:r w:rsidR="00D35D48">
        <w:rPr>
          <w:lang w:val="es-419"/>
        </w:rPr>
        <w:t xml:space="preserve"> e</w:t>
      </w:r>
      <w:r w:rsidRPr="00654CB4">
        <w:rPr>
          <w:lang w:val="es-419"/>
        </w:rPr>
        <w:t>l texto que se propone suprimir</w:t>
      </w:r>
      <w:r w:rsidR="00D35D48">
        <w:rPr>
          <w:lang w:val="es-419"/>
        </w:rPr>
        <w:t xml:space="preserve"> </w:t>
      </w:r>
      <w:r w:rsidR="00D35D48" w:rsidRPr="00D35D48">
        <w:rPr>
          <w:highlight w:val="lightGray"/>
          <w:u w:val="single"/>
          <w:lang w:val="es-419"/>
        </w:rPr>
        <w:t>sombreado y subrayado</w:t>
      </w:r>
      <w:r w:rsidR="00D35D48">
        <w:rPr>
          <w:lang w:val="es-419"/>
        </w:rPr>
        <w:t xml:space="preserve"> él que se propone añadir</w:t>
      </w:r>
      <w:r w:rsidRPr="00654CB4">
        <w:rPr>
          <w:lang w:val="es-419"/>
        </w:rPr>
        <w:t>):</w:t>
      </w:r>
    </w:p>
    <w:p w:rsidR="00843BBF" w:rsidRPr="00654CB4" w:rsidRDefault="00843BBF" w:rsidP="00843BBF">
      <w:pPr>
        <w:rPr>
          <w:lang w:val="es-419"/>
        </w:rPr>
      </w:pPr>
    </w:p>
    <w:p w:rsidR="00843BBF" w:rsidRPr="00654CB4" w:rsidRDefault="00843BBF" w:rsidP="00843BBF">
      <w:pPr>
        <w:ind w:left="567" w:right="565"/>
        <w:rPr>
          <w:rFonts w:cs="Arial"/>
          <w:bCs/>
          <w:i/>
          <w:snapToGrid w:val="0"/>
          <w:sz w:val="18"/>
          <w:lang w:val="es-419"/>
        </w:rPr>
      </w:pPr>
      <w:r w:rsidRPr="00654CB4">
        <w:rPr>
          <w:i/>
          <w:snapToGrid w:val="0"/>
          <w:sz w:val="18"/>
          <w:lang w:val="es-419"/>
        </w:rPr>
        <w:t>3. Caracteres que solo se aplican a ciertas variedades</w:t>
      </w:r>
    </w:p>
    <w:p w:rsidR="00843BBF" w:rsidRPr="00654CB4" w:rsidRDefault="00843BBF" w:rsidP="00843BBF">
      <w:pPr>
        <w:ind w:left="567" w:right="565"/>
        <w:rPr>
          <w:rFonts w:cs="Arial"/>
          <w:bCs/>
          <w:snapToGrid w:val="0"/>
          <w:sz w:val="18"/>
          <w:lang w:val="es-419"/>
        </w:rPr>
      </w:pPr>
    </w:p>
    <w:p w:rsidR="00843BBF" w:rsidRPr="00654CB4" w:rsidRDefault="00843BBF" w:rsidP="00843BBF">
      <w:pPr>
        <w:ind w:left="567" w:right="565"/>
        <w:rPr>
          <w:rFonts w:cs="Arial"/>
          <w:bCs/>
          <w:snapToGrid w:val="0"/>
          <w:sz w:val="18"/>
          <w:lang w:val="es-419"/>
        </w:rPr>
      </w:pPr>
      <w:r w:rsidRPr="00654CB4">
        <w:rPr>
          <w:snapToGrid w:val="0"/>
          <w:sz w:val="18"/>
          <w:lang w:val="es-419"/>
        </w:rPr>
        <w:t xml:space="preserve">En algunos casos, por el nivel de expresión de un carácter </w:t>
      </w:r>
      <w:r w:rsidRPr="00654CB4">
        <w:rPr>
          <w:strike/>
          <w:snapToGrid w:val="0"/>
          <w:sz w:val="18"/>
          <w:highlight w:val="lightGray"/>
          <w:lang w:val="es-419"/>
        </w:rPr>
        <w:t>cualitativo</w:t>
      </w:r>
      <w:r w:rsidRPr="00654CB4">
        <w:rPr>
          <w:snapToGrid w:val="0"/>
          <w:sz w:val="18"/>
          <w:lang w:val="es-419"/>
        </w:rPr>
        <w:t xml:space="preserve"> anterior puede determinarse que un carácter subsiguiente no es aplicable, por ejemplo, no será posible describir la forma de los lóbulos de la hoja en una variedad que no los tenga. </w:t>
      </w:r>
    </w:p>
    <w:p w:rsidR="00843BBF" w:rsidRDefault="00843BBF" w:rsidP="00843BBF">
      <w:pPr>
        <w:ind w:left="567" w:right="565"/>
        <w:rPr>
          <w:rFonts w:cs="Arial"/>
          <w:bCs/>
          <w:snapToGrid w:val="0"/>
          <w:sz w:val="18"/>
          <w:lang w:val="es-419"/>
        </w:rPr>
      </w:pPr>
    </w:p>
    <w:p w:rsidR="00AF1D7F" w:rsidRDefault="00AF1D7F" w:rsidP="00AF1D7F">
      <w:pPr>
        <w:ind w:left="567" w:right="565"/>
        <w:rPr>
          <w:snapToGrid w:val="0"/>
          <w:sz w:val="18"/>
          <w:lang w:val="es-419"/>
        </w:rPr>
      </w:pPr>
      <w:r w:rsidRPr="00654CB4">
        <w:rPr>
          <w:snapToGrid w:val="0"/>
          <w:sz w:val="18"/>
          <w:lang w:val="es-419"/>
        </w:rPr>
        <w:t>En los casos en que ello no resulta evidente, o si los caracteres están separados en la tabla de caracteres, el título del carácter subsiguiente está precedido por una referencia subrayada a los tipos de variedades a los que se aplica, sobre la base del carácter precedente</w:t>
      </w:r>
      <w:r>
        <w:rPr>
          <w:snapToGrid w:val="0"/>
          <w:sz w:val="18"/>
          <w:lang w:val="es-419"/>
        </w:rPr>
        <w:t>.</w:t>
      </w:r>
    </w:p>
    <w:p w:rsidR="00AF1D7F" w:rsidRDefault="00AF1D7F" w:rsidP="00AF1D7F">
      <w:pPr>
        <w:ind w:left="567" w:right="565"/>
        <w:rPr>
          <w:rFonts w:cs="Arial"/>
          <w:bCs/>
          <w:snapToGrid w:val="0"/>
          <w:sz w:val="18"/>
          <w:lang w:val="es-419"/>
        </w:rPr>
      </w:pPr>
    </w:p>
    <w:p w:rsidR="00AF1D7F" w:rsidRPr="00654CB4" w:rsidRDefault="00AF1D7F" w:rsidP="00AF1D7F">
      <w:pPr>
        <w:ind w:left="567" w:right="565"/>
        <w:rPr>
          <w:rFonts w:cs="Arial"/>
          <w:bCs/>
          <w:snapToGrid w:val="0"/>
          <w:sz w:val="18"/>
          <w:szCs w:val="18"/>
          <w:highlight w:val="lightGray"/>
          <w:u w:val="single"/>
          <w:lang w:val="es-419"/>
        </w:rPr>
      </w:pPr>
      <w:r w:rsidRPr="00654CB4">
        <w:rPr>
          <w:sz w:val="18"/>
          <w:highlight w:val="lightGray"/>
          <w:u w:val="single"/>
          <w:lang w:val="es-419"/>
        </w:rPr>
        <w:t xml:space="preserve">Los siguientes ejemplos ilustran cómo puede emplearse el enfoque propuesto para los caracteres </w:t>
      </w:r>
      <w:r>
        <w:rPr>
          <w:sz w:val="18"/>
          <w:highlight w:val="lightGray"/>
          <w:u w:val="single"/>
          <w:lang w:val="es-419"/>
        </w:rPr>
        <w:t xml:space="preserve">QL, </w:t>
      </w:r>
      <w:r w:rsidRPr="00654CB4">
        <w:rPr>
          <w:sz w:val="18"/>
          <w:highlight w:val="lightGray"/>
          <w:u w:val="single"/>
          <w:lang w:val="es-419"/>
        </w:rPr>
        <w:t>PQ y QN de manera que no plantee riesgos respecto de las decisiones sobre la distinción</w:t>
      </w:r>
    </w:p>
    <w:p w:rsidR="00AF1D7F" w:rsidRDefault="00AF1D7F" w:rsidP="00AF1D7F">
      <w:pPr>
        <w:ind w:left="567" w:right="565"/>
        <w:rPr>
          <w:rFonts w:cs="Arial"/>
          <w:bCs/>
          <w:snapToGrid w:val="0"/>
          <w:sz w:val="18"/>
          <w:szCs w:val="18"/>
          <w:highlight w:val="lightGray"/>
          <w:u w:val="single"/>
          <w:lang w:val="es-419"/>
        </w:rPr>
      </w:pPr>
    </w:p>
    <w:p w:rsidR="00AF1D7F" w:rsidRPr="00654CB4" w:rsidRDefault="00AF1D7F" w:rsidP="00AF1D7F">
      <w:pPr>
        <w:ind w:left="1134" w:right="565"/>
        <w:rPr>
          <w:rFonts w:cs="Arial"/>
          <w:bCs/>
          <w:snapToGrid w:val="0"/>
          <w:sz w:val="18"/>
          <w:lang w:val="es-419"/>
        </w:rPr>
      </w:pPr>
      <w:r w:rsidRPr="00AF1D7F">
        <w:rPr>
          <w:snapToGrid w:val="0"/>
          <w:sz w:val="18"/>
          <w:highlight w:val="lightGray"/>
          <w:u w:val="single"/>
          <w:lang w:val="es-419"/>
        </w:rPr>
        <w:t>(QL)</w:t>
      </w:r>
      <w:r>
        <w:rPr>
          <w:snapToGrid w:val="0"/>
          <w:sz w:val="18"/>
          <w:u w:val="single"/>
          <w:lang w:val="es-419"/>
        </w:rPr>
        <w:t xml:space="preserve"> </w:t>
      </w:r>
      <w:r w:rsidRPr="00654CB4">
        <w:rPr>
          <w:snapToGrid w:val="0"/>
          <w:sz w:val="18"/>
          <w:u w:val="single"/>
          <w:lang w:val="es-419"/>
        </w:rPr>
        <w:t>Solo variedades con tipo de flor: simple</w:t>
      </w:r>
      <w:r w:rsidRPr="00654CB4">
        <w:rPr>
          <w:snapToGrid w:val="0"/>
          <w:sz w:val="18"/>
          <w:lang w:val="es-419"/>
        </w:rPr>
        <w:t xml:space="preserve">: </w:t>
      </w:r>
      <w:r>
        <w:rPr>
          <w:snapToGrid w:val="0"/>
          <w:sz w:val="18"/>
          <w:lang w:val="es-419"/>
        </w:rPr>
        <w:t xml:space="preserve"> </w:t>
      </w:r>
      <w:r w:rsidRPr="00654CB4">
        <w:rPr>
          <w:snapToGrid w:val="0"/>
          <w:sz w:val="18"/>
          <w:lang w:val="es-419"/>
        </w:rPr>
        <w:t>Flor: forma</w:t>
      </w:r>
    </w:p>
    <w:p w:rsidR="00AF1D7F" w:rsidRPr="00654CB4" w:rsidRDefault="00AF1D7F" w:rsidP="00AF1D7F">
      <w:pPr>
        <w:ind w:left="567" w:right="565"/>
        <w:rPr>
          <w:rFonts w:cs="Arial"/>
          <w:bCs/>
          <w:snapToGrid w:val="0"/>
          <w:sz w:val="18"/>
          <w:szCs w:val="18"/>
          <w:highlight w:val="lightGray"/>
          <w:u w:val="single"/>
          <w:lang w:val="es-419"/>
        </w:rPr>
      </w:pPr>
    </w:p>
    <w:p w:rsidR="00AF1D7F" w:rsidRPr="00654CB4" w:rsidRDefault="00AF1D7F" w:rsidP="00AF1D7F">
      <w:pPr>
        <w:ind w:left="567" w:right="565" w:firstLine="567"/>
        <w:rPr>
          <w:rFonts w:cs="Arial"/>
          <w:bCs/>
          <w:snapToGrid w:val="0"/>
          <w:sz w:val="18"/>
          <w:szCs w:val="18"/>
          <w:u w:val="single"/>
          <w:lang w:val="es-419"/>
        </w:rPr>
      </w:pPr>
      <w:r w:rsidRPr="00654CB4">
        <w:rPr>
          <w:snapToGrid w:val="0"/>
          <w:sz w:val="18"/>
          <w:highlight w:val="lightGray"/>
          <w:u w:val="single"/>
          <w:lang w:val="es-419"/>
        </w:rPr>
        <w:t>[completar]</w:t>
      </w:r>
    </w:p>
    <w:p w:rsidR="00AF1D7F" w:rsidRPr="00654CB4" w:rsidRDefault="00AF1D7F" w:rsidP="00843BBF">
      <w:pPr>
        <w:ind w:left="567" w:right="565"/>
        <w:rPr>
          <w:rFonts w:cs="Arial"/>
          <w:bCs/>
          <w:snapToGrid w:val="0"/>
          <w:sz w:val="18"/>
          <w:lang w:val="es-419"/>
        </w:rPr>
      </w:pPr>
    </w:p>
    <w:p w:rsidR="00843BBF" w:rsidRPr="00654CB4" w:rsidRDefault="00843BBF" w:rsidP="00843BBF">
      <w:pPr>
        <w:ind w:left="567" w:right="565"/>
        <w:rPr>
          <w:rFonts w:cs="Arial"/>
          <w:bCs/>
          <w:snapToGrid w:val="0"/>
          <w:sz w:val="18"/>
          <w:szCs w:val="18"/>
          <w:highlight w:val="lightGray"/>
          <w:u w:val="single"/>
          <w:lang w:val="es-419"/>
        </w:rPr>
      </w:pPr>
      <w:r w:rsidRPr="00654CB4">
        <w:rPr>
          <w:snapToGrid w:val="0"/>
          <w:sz w:val="18"/>
          <w:highlight w:val="lightGray"/>
          <w:u w:val="single"/>
          <w:lang w:val="es-419"/>
        </w:rPr>
        <w:t xml:space="preserve">Los siguientes son ejemplos de casos de caracteres PQ y QN en que no </w:t>
      </w:r>
      <w:r w:rsidR="00654CB4" w:rsidRPr="00654CB4">
        <w:rPr>
          <w:snapToGrid w:val="0"/>
          <w:sz w:val="18"/>
          <w:highlight w:val="lightGray"/>
          <w:u w:val="single"/>
          <w:lang w:val="es-419"/>
        </w:rPr>
        <w:t>sería</w:t>
      </w:r>
      <w:r w:rsidRPr="00654CB4">
        <w:rPr>
          <w:snapToGrid w:val="0"/>
          <w:sz w:val="18"/>
          <w:highlight w:val="lightGray"/>
          <w:u w:val="single"/>
          <w:lang w:val="es-419"/>
        </w:rPr>
        <w:t xml:space="preserve"> adecuado excluir caracteres subsiguientes por los motivos explicados.</w:t>
      </w:r>
    </w:p>
    <w:p w:rsidR="00843BBF" w:rsidRPr="00654CB4" w:rsidRDefault="00843BBF" w:rsidP="00843BBF">
      <w:pPr>
        <w:ind w:left="567" w:right="565"/>
        <w:rPr>
          <w:rFonts w:cs="Arial"/>
          <w:bCs/>
          <w:snapToGrid w:val="0"/>
          <w:sz w:val="18"/>
          <w:szCs w:val="18"/>
          <w:highlight w:val="lightGray"/>
          <w:u w:val="single"/>
          <w:lang w:val="es-419"/>
        </w:rPr>
      </w:pPr>
    </w:p>
    <w:p w:rsidR="00843BBF" w:rsidRPr="00654CB4" w:rsidRDefault="00843BBF" w:rsidP="00843BBF">
      <w:pPr>
        <w:ind w:left="567" w:right="565" w:firstLine="567"/>
        <w:rPr>
          <w:rFonts w:cs="Arial"/>
          <w:bCs/>
          <w:snapToGrid w:val="0"/>
          <w:sz w:val="18"/>
          <w:szCs w:val="18"/>
          <w:highlight w:val="lightGray"/>
          <w:u w:val="single"/>
          <w:lang w:val="es-419"/>
        </w:rPr>
      </w:pPr>
      <w:r w:rsidRPr="00654CB4">
        <w:rPr>
          <w:snapToGrid w:val="0"/>
          <w:sz w:val="18"/>
          <w:highlight w:val="lightGray"/>
          <w:u w:val="single"/>
          <w:lang w:val="es-419"/>
        </w:rPr>
        <w:t>[completar]</w:t>
      </w:r>
    </w:p>
    <w:p w:rsidR="00843BBF" w:rsidRDefault="00843BBF" w:rsidP="00843BBF">
      <w:pPr>
        <w:ind w:left="567" w:right="565"/>
        <w:rPr>
          <w:rFonts w:cs="Arial"/>
          <w:bCs/>
          <w:snapToGrid w:val="0"/>
          <w:sz w:val="18"/>
          <w:szCs w:val="18"/>
          <w:highlight w:val="lightGray"/>
          <w:u w:val="single"/>
          <w:lang w:val="es-419"/>
        </w:rPr>
      </w:pPr>
    </w:p>
    <w:p w:rsidR="00AF1D7F" w:rsidRPr="00654CB4" w:rsidRDefault="00AF1D7F" w:rsidP="00AF1D7F">
      <w:pPr>
        <w:ind w:left="567" w:right="565"/>
        <w:rPr>
          <w:rFonts w:cs="Arial"/>
          <w:bCs/>
          <w:snapToGrid w:val="0"/>
          <w:sz w:val="18"/>
          <w:u w:val="single"/>
          <w:lang w:val="es-419"/>
        </w:rPr>
      </w:pPr>
      <w:r w:rsidRPr="00654CB4">
        <w:rPr>
          <w:sz w:val="18"/>
          <w:highlight w:val="lightGray"/>
          <w:u w:val="single"/>
          <w:lang w:val="es-419"/>
        </w:rPr>
        <w:t>La exclusión de caracteres de la observación sobre la base de un carácter pseudocualitativo (PQ) o cuantitativo (QN) anterior deberá utilizarse con precaución, teniendo en cuenta las posibles implicaciones de cara al examen de la distinción.</w:t>
      </w:r>
    </w:p>
    <w:p w:rsidR="00AF1D7F" w:rsidRPr="00654CB4" w:rsidRDefault="00AF1D7F" w:rsidP="00AF1D7F">
      <w:pPr>
        <w:ind w:left="567" w:right="565"/>
        <w:rPr>
          <w:rFonts w:cs="Arial"/>
          <w:bCs/>
          <w:snapToGrid w:val="0"/>
          <w:sz w:val="18"/>
          <w:lang w:val="es-419"/>
        </w:rPr>
      </w:pPr>
    </w:p>
    <w:p w:rsidR="00843BBF" w:rsidRPr="004054E4" w:rsidRDefault="00843BBF" w:rsidP="00843BBF">
      <w:pPr>
        <w:pStyle w:val="DecisionParagraphs"/>
        <w:rPr>
          <w:snapToGrid w:val="0"/>
          <w:lang w:val="es-419"/>
        </w:rPr>
      </w:pPr>
      <w:r w:rsidRPr="004054E4">
        <w:rPr>
          <w:snapToGrid w:val="0"/>
          <w:lang w:val="es-419"/>
        </w:rPr>
        <w:fldChar w:fldCharType="begin"/>
      </w:r>
      <w:r w:rsidRPr="004054E4">
        <w:rPr>
          <w:snapToGrid w:val="0"/>
          <w:lang w:val="es-419"/>
        </w:rPr>
        <w:instrText xml:space="preserve"> AUTONUM  </w:instrText>
      </w:r>
      <w:r w:rsidRPr="004054E4">
        <w:rPr>
          <w:snapToGrid w:val="0"/>
          <w:lang w:val="es-419"/>
        </w:rPr>
        <w:fldChar w:fldCharType="end"/>
      </w:r>
      <w:r w:rsidRPr="004054E4">
        <w:rPr>
          <w:lang w:val="es-419"/>
        </w:rPr>
        <w:tab/>
        <w:t>Se invita al TC a considerar:</w:t>
      </w:r>
    </w:p>
    <w:p w:rsidR="00843BBF" w:rsidRPr="004054E4" w:rsidRDefault="00843BBF" w:rsidP="00843BBF">
      <w:pPr>
        <w:pStyle w:val="DecisionParagraphs"/>
        <w:rPr>
          <w:snapToGrid w:val="0"/>
          <w:lang w:val="es-419"/>
        </w:rPr>
      </w:pPr>
    </w:p>
    <w:p w:rsidR="00843BBF" w:rsidRPr="00AC076F" w:rsidRDefault="00843BBF" w:rsidP="00843BBF">
      <w:pPr>
        <w:pStyle w:val="DecisionParagraphs"/>
        <w:tabs>
          <w:tab w:val="left" w:pos="5954"/>
        </w:tabs>
        <w:rPr>
          <w:snapToGrid w:val="0"/>
          <w:spacing w:val="-2"/>
          <w:lang w:val="es-419"/>
        </w:rPr>
      </w:pPr>
      <w:r w:rsidRPr="00AC076F">
        <w:rPr>
          <w:spacing w:val="-2"/>
          <w:lang w:val="es-419"/>
        </w:rPr>
        <w:tab/>
        <w:t>a)</w:t>
      </w:r>
      <w:r w:rsidRPr="00AC076F">
        <w:rPr>
          <w:spacing w:val="-2"/>
          <w:lang w:val="es-419"/>
        </w:rPr>
        <w:tab/>
        <w:t xml:space="preserve">los ejemplos de caracteres cuantitativos y pseudocualitativos facilitados por los TWP, en sus sesiones de 2019, a fin de mostrar cómo puede emplearse el enfoque propuesto de manera que no plantee riesgos respecto de las decisiones sobre la </w:t>
      </w:r>
      <w:r w:rsidRPr="00AC076F">
        <w:rPr>
          <w:spacing w:val="-2"/>
          <w:lang w:val="es-419"/>
        </w:rPr>
        <w:lastRenderedPageBreak/>
        <w:t xml:space="preserve">distinción, expuestos en el </w:t>
      </w:r>
      <w:r w:rsidRPr="00AC076F">
        <w:rPr>
          <w:snapToGrid w:val="0"/>
          <w:spacing w:val="-2"/>
          <w:lang w:val="es-419"/>
        </w:rPr>
        <w:t>párrafo 20</w:t>
      </w:r>
      <w:r w:rsidRPr="00AC076F">
        <w:rPr>
          <w:spacing w:val="-2"/>
          <w:lang w:val="es-419"/>
        </w:rPr>
        <w:t xml:space="preserve"> de este documento; y</w:t>
      </w:r>
    </w:p>
    <w:p w:rsidR="00843BBF" w:rsidRPr="004054E4" w:rsidRDefault="00843BBF" w:rsidP="00843BBF">
      <w:pPr>
        <w:pStyle w:val="DecisionParagraphs"/>
        <w:rPr>
          <w:snapToGrid w:val="0"/>
          <w:lang w:val="es-419"/>
        </w:rPr>
      </w:pPr>
    </w:p>
    <w:p w:rsidR="00843BBF" w:rsidRPr="00BE26A5" w:rsidRDefault="00843BBF" w:rsidP="00843BBF">
      <w:pPr>
        <w:pStyle w:val="DecisionParagraphs"/>
        <w:keepNext/>
        <w:keepLines/>
        <w:tabs>
          <w:tab w:val="left" w:pos="5954"/>
        </w:tabs>
        <w:rPr>
          <w:snapToGrid w:val="0"/>
          <w:spacing w:val="-2"/>
          <w:lang w:val="es-419"/>
        </w:rPr>
      </w:pPr>
      <w:r w:rsidRPr="00BE26A5">
        <w:rPr>
          <w:spacing w:val="-2"/>
          <w:lang w:val="es-419"/>
        </w:rPr>
        <w:tab/>
        <w:t>b)</w:t>
      </w:r>
      <w:r w:rsidRPr="00BE26A5">
        <w:rPr>
          <w:spacing w:val="-2"/>
          <w:lang w:val="es-419"/>
        </w:rPr>
        <w:tab/>
        <w:t>la propuesta de modificación de la orientación que se ofrece en la nota orientativa 18 (GN</w:t>
      </w:r>
      <w:r w:rsidR="000F6EFF" w:rsidRPr="00BE26A5">
        <w:rPr>
          <w:spacing w:val="-2"/>
          <w:lang w:val="es-419"/>
        </w:rPr>
        <w:t> </w:t>
      </w:r>
      <w:r w:rsidRPr="00BE26A5">
        <w:rPr>
          <w:spacing w:val="-2"/>
          <w:lang w:val="es-419"/>
        </w:rPr>
        <w:t xml:space="preserve">18) del documento TGP/7 a fin de permitir la exclusión de un carácter de la observación sobre la base del nivel de expresión de un carácter pseudocualitativo o cuantitativo anterior de la manera siguiente, expuesta en el </w:t>
      </w:r>
      <w:r w:rsidRPr="00BE26A5">
        <w:rPr>
          <w:snapToGrid w:val="0"/>
          <w:spacing w:val="-2"/>
          <w:lang w:val="es-419"/>
        </w:rPr>
        <w:t>párrafo 21</w:t>
      </w:r>
      <w:r w:rsidRPr="00BE26A5">
        <w:rPr>
          <w:spacing w:val="-2"/>
          <w:lang w:val="es-419"/>
        </w:rPr>
        <w:t xml:space="preserve"> de este documento.</w:t>
      </w:r>
    </w:p>
    <w:p w:rsidR="00843BBF" w:rsidRPr="004054E4" w:rsidRDefault="00843BBF" w:rsidP="00843BBF">
      <w:pPr>
        <w:rPr>
          <w:lang w:val="es-419"/>
        </w:rPr>
      </w:pPr>
    </w:p>
    <w:p w:rsidR="00843BBF" w:rsidRPr="004054E4" w:rsidRDefault="00843BBF" w:rsidP="00843BBF">
      <w:pPr>
        <w:rPr>
          <w:lang w:val="es-419"/>
        </w:rPr>
      </w:pPr>
    </w:p>
    <w:p w:rsidR="00843BBF" w:rsidRPr="004054E4" w:rsidRDefault="00843BBF" w:rsidP="00843BBF">
      <w:pPr>
        <w:rPr>
          <w:lang w:val="es-419"/>
        </w:rPr>
      </w:pPr>
    </w:p>
    <w:p w:rsidR="00843BBF" w:rsidRPr="00654CB4" w:rsidRDefault="00843BBF" w:rsidP="00843BBF">
      <w:pPr>
        <w:jc w:val="right"/>
        <w:rPr>
          <w:lang w:val="es-419"/>
        </w:rPr>
      </w:pPr>
      <w:r w:rsidRPr="004054E4">
        <w:rPr>
          <w:lang w:val="es-419"/>
        </w:rPr>
        <w:t>[Sigue</w:t>
      </w:r>
      <w:r w:rsidRPr="00654CB4">
        <w:rPr>
          <w:lang w:val="es-419"/>
        </w:rPr>
        <w:t xml:space="preserve"> el Anexo]</w:t>
      </w:r>
    </w:p>
    <w:p w:rsidR="00843BBF" w:rsidRPr="00654CB4" w:rsidRDefault="00843BBF" w:rsidP="00843BBF">
      <w:pPr>
        <w:rPr>
          <w:lang w:val="es-419"/>
        </w:rPr>
        <w:sectPr w:rsidR="00843BBF" w:rsidRPr="00654CB4" w:rsidSect="00C3315C">
          <w:headerReference w:type="default" r:id="rId7"/>
          <w:footerReference w:type="default" r:id="rId8"/>
          <w:pgSz w:w="11905" w:h="16837"/>
          <w:pgMar w:top="510" w:right="1134" w:bottom="1134" w:left="1134" w:header="510" w:footer="1133" w:gutter="0"/>
          <w:cols w:space="720"/>
          <w:titlePg/>
          <w:docGrid w:linePitch="272"/>
        </w:sectPr>
      </w:pPr>
    </w:p>
    <w:p w:rsidR="00843BBF" w:rsidRPr="00654CB4" w:rsidRDefault="00843BBF" w:rsidP="009200EE">
      <w:pPr>
        <w:jc w:val="center"/>
        <w:rPr>
          <w:caps/>
          <w:lang w:val="es-419"/>
        </w:rPr>
      </w:pPr>
      <w:r w:rsidRPr="00654CB4">
        <w:rPr>
          <w:caps/>
          <w:lang w:val="es-419"/>
        </w:rPr>
        <w:lastRenderedPageBreak/>
        <w:t>EXTRACTO DEL DOCUMENTO TG/13/11 (LECHUGA)</w:t>
      </w:r>
    </w:p>
    <w:p w:rsidR="00843BBF" w:rsidRPr="00654CB4" w:rsidRDefault="00843BBF" w:rsidP="00843BBF">
      <w:pPr>
        <w:rPr>
          <w:lang w:val="es-419"/>
        </w:rPr>
      </w:pPr>
    </w:p>
    <w:tbl>
      <w:tblPr>
        <w:tblW w:w="14848" w:type="dxa"/>
        <w:tblInd w:w="58" w:type="dxa"/>
        <w:tblCellMar>
          <w:left w:w="70" w:type="dxa"/>
          <w:right w:w="70" w:type="dxa"/>
        </w:tblCellMar>
        <w:tblLook w:val="04A0" w:firstRow="1" w:lastRow="0" w:firstColumn="1" w:lastColumn="0" w:noHBand="0" w:noVBand="1"/>
      </w:tblPr>
      <w:tblGrid>
        <w:gridCol w:w="1751"/>
        <w:gridCol w:w="1955"/>
        <w:gridCol w:w="1579"/>
        <w:gridCol w:w="1751"/>
        <w:gridCol w:w="1751"/>
        <w:gridCol w:w="1751"/>
        <w:gridCol w:w="1751"/>
        <w:gridCol w:w="2559"/>
      </w:tblGrid>
      <w:tr w:rsidR="000B522B" w:rsidRPr="00654CB4" w:rsidTr="0043055D">
        <w:trPr>
          <w:trHeight w:val="947"/>
        </w:trPr>
        <w:tc>
          <w:tcPr>
            <w:tcW w:w="1751" w:type="dxa"/>
            <w:tcBorders>
              <w:top w:val="single" w:sz="12" w:space="0" w:color="auto"/>
              <w:left w:val="single" w:sz="12" w:space="0" w:color="auto"/>
              <w:bottom w:val="double" w:sz="6" w:space="0" w:color="auto"/>
              <w:right w:val="single" w:sz="4" w:space="0" w:color="auto"/>
            </w:tcBorders>
            <w:shd w:val="clear" w:color="auto" w:fill="auto"/>
            <w:vAlign w:val="center"/>
          </w:tcPr>
          <w:p w:rsidR="000B522B" w:rsidRPr="00654CB4" w:rsidRDefault="000B522B" w:rsidP="0043055D">
            <w:pPr>
              <w:rPr>
                <w:rFonts w:cs="Arial"/>
                <w:b/>
                <w:bCs/>
                <w:sz w:val="16"/>
                <w:szCs w:val="16"/>
                <w:lang w:val="es-419"/>
              </w:rPr>
            </w:pPr>
            <w:r w:rsidRPr="00654CB4">
              <w:rPr>
                <w:b/>
                <w:sz w:val="16"/>
                <w:lang w:val="es-419"/>
              </w:rPr>
              <w:t>Tipo</w:t>
            </w:r>
          </w:p>
        </w:tc>
        <w:tc>
          <w:tcPr>
            <w:tcW w:w="1955" w:type="dxa"/>
            <w:tcBorders>
              <w:top w:val="single" w:sz="12" w:space="0" w:color="auto"/>
              <w:left w:val="nil"/>
              <w:bottom w:val="double" w:sz="6" w:space="0" w:color="auto"/>
              <w:right w:val="nil"/>
            </w:tcBorders>
            <w:shd w:val="clear" w:color="auto" w:fill="auto"/>
            <w:vAlign w:val="center"/>
          </w:tcPr>
          <w:p w:rsidR="000B522B" w:rsidRPr="00654CB4" w:rsidRDefault="000B522B" w:rsidP="0043055D">
            <w:pPr>
              <w:rPr>
                <w:rFonts w:cs="Arial"/>
                <w:b/>
                <w:bCs/>
                <w:sz w:val="16"/>
                <w:szCs w:val="16"/>
                <w:lang w:val="es-419"/>
              </w:rPr>
            </w:pPr>
            <w:r w:rsidRPr="00654CB4">
              <w:rPr>
                <w:b/>
                <w:sz w:val="16"/>
                <w:lang w:val="es-419"/>
              </w:rPr>
              <w:t>Variedades ejemplo</w:t>
            </w:r>
          </w:p>
        </w:tc>
        <w:tc>
          <w:tcPr>
            <w:tcW w:w="1579" w:type="dxa"/>
            <w:tcBorders>
              <w:top w:val="single" w:sz="12" w:space="0" w:color="auto"/>
              <w:left w:val="double" w:sz="6" w:space="0" w:color="auto"/>
              <w:bottom w:val="double" w:sz="6" w:space="0" w:color="auto"/>
              <w:right w:val="single" w:sz="4" w:space="0" w:color="auto"/>
            </w:tcBorders>
            <w:shd w:val="clear" w:color="auto" w:fill="auto"/>
            <w:vAlign w:val="center"/>
          </w:tcPr>
          <w:p w:rsidR="000B522B" w:rsidRPr="00654CB4" w:rsidRDefault="000B522B" w:rsidP="0043055D">
            <w:pPr>
              <w:rPr>
                <w:rFonts w:cs="Arial"/>
                <w:b/>
                <w:bCs/>
                <w:sz w:val="16"/>
                <w:szCs w:val="16"/>
                <w:lang w:val="es-419"/>
              </w:rPr>
            </w:pPr>
            <w:r w:rsidRPr="00654CB4">
              <w:rPr>
                <w:b/>
                <w:sz w:val="16"/>
                <w:lang w:val="es-419"/>
              </w:rPr>
              <w:t>Planta:</w:t>
            </w:r>
            <w:r w:rsidR="0073246B" w:rsidRPr="00654CB4">
              <w:rPr>
                <w:b/>
                <w:sz w:val="16"/>
                <w:lang w:val="es-419"/>
              </w:rPr>
              <w:t xml:space="preserve"> </w:t>
            </w:r>
            <w:r w:rsidR="00B905E5" w:rsidRPr="00654CB4">
              <w:rPr>
                <w:b/>
                <w:sz w:val="16"/>
                <w:lang w:val="es-419"/>
              </w:rPr>
              <w:t>g</w:t>
            </w:r>
            <w:r w:rsidRPr="00654CB4">
              <w:rPr>
                <w:b/>
                <w:sz w:val="16"/>
                <w:lang w:val="es-419"/>
              </w:rPr>
              <w:t>rado de solapamiento de la parte superior de las hojas (car. 3)</w:t>
            </w:r>
          </w:p>
        </w:tc>
        <w:tc>
          <w:tcPr>
            <w:tcW w:w="1751" w:type="dxa"/>
            <w:tcBorders>
              <w:top w:val="single" w:sz="12" w:space="0" w:color="auto"/>
              <w:left w:val="nil"/>
              <w:bottom w:val="double" w:sz="6" w:space="0" w:color="auto"/>
              <w:right w:val="single" w:sz="4" w:space="0" w:color="auto"/>
            </w:tcBorders>
            <w:shd w:val="clear" w:color="auto" w:fill="auto"/>
            <w:vAlign w:val="center"/>
          </w:tcPr>
          <w:p w:rsidR="000B522B" w:rsidRPr="00654CB4" w:rsidRDefault="000B522B" w:rsidP="0043055D">
            <w:pPr>
              <w:rPr>
                <w:rFonts w:cs="Arial"/>
                <w:b/>
                <w:bCs/>
                <w:sz w:val="16"/>
                <w:szCs w:val="16"/>
                <w:lang w:val="es-419"/>
              </w:rPr>
            </w:pPr>
            <w:r w:rsidRPr="00654CB4">
              <w:rPr>
                <w:b/>
                <w:sz w:val="16"/>
                <w:lang w:val="es-419"/>
              </w:rPr>
              <w:t>Hoja:</w:t>
            </w:r>
            <w:r w:rsidR="0073246B" w:rsidRPr="00654CB4">
              <w:rPr>
                <w:b/>
                <w:sz w:val="16"/>
                <w:lang w:val="es-419"/>
              </w:rPr>
              <w:t xml:space="preserve"> </w:t>
            </w:r>
            <w:r w:rsidRPr="00654CB4">
              <w:rPr>
                <w:b/>
                <w:sz w:val="16"/>
                <w:lang w:val="es-419"/>
              </w:rPr>
              <w:t>número de divisiones (car. 6)</w:t>
            </w:r>
          </w:p>
        </w:tc>
        <w:tc>
          <w:tcPr>
            <w:tcW w:w="1751" w:type="dxa"/>
            <w:tcBorders>
              <w:top w:val="single" w:sz="12" w:space="0" w:color="auto"/>
              <w:left w:val="nil"/>
              <w:bottom w:val="double" w:sz="6" w:space="0" w:color="auto"/>
              <w:right w:val="single" w:sz="4" w:space="0" w:color="auto"/>
            </w:tcBorders>
            <w:shd w:val="clear" w:color="auto" w:fill="auto"/>
            <w:vAlign w:val="center"/>
          </w:tcPr>
          <w:p w:rsidR="000B522B" w:rsidRPr="00654CB4" w:rsidRDefault="000B522B" w:rsidP="0043055D">
            <w:pPr>
              <w:rPr>
                <w:rFonts w:cs="Arial"/>
                <w:b/>
                <w:bCs/>
                <w:sz w:val="16"/>
                <w:szCs w:val="16"/>
                <w:lang w:val="es-419"/>
              </w:rPr>
            </w:pPr>
            <w:r w:rsidRPr="00654CB4">
              <w:rPr>
                <w:b/>
                <w:sz w:val="16"/>
                <w:lang w:val="es-419"/>
              </w:rPr>
              <w:t>Hoja:</w:t>
            </w:r>
            <w:r w:rsidR="0073246B" w:rsidRPr="00654CB4">
              <w:rPr>
                <w:b/>
                <w:sz w:val="16"/>
                <w:lang w:val="es-419"/>
              </w:rPr>
              <w:t xml:space="preserve"> </w:t>
            </w:r>
            <w:r w:rsidRPr="00654CB4">
              <w:rPr>
                <w:b/>
                <w:sz w:val="16"/>
                <w:lang w:val="es-419"/>
              </w:rPr>
              <w:t>grosor (car. 17)</w:t>
            </w:r>
          </w:p>
        </w:tc>
        <w:tc>
          <w:tcPr>
            <w:tcW w:w="1751" w:type="dxa"/>
            <w:tcBorders>
              <w:top w:val="single" w:sz="12" w:space="0" w:color="auto"/>
              <w:left w:val="nil"/>
              <w:bottom w:val="double" w:sz="6" w:space="0" w:color="auto"/>
              <w:right w:val="single" w:sz="4" w:space="0" w:color="auto"/>
            </w:tcBorders>
            <w:shd w:val="clear" w:color="auto" w:fill="auto"/>
            <w:vAlign w:val="center"/>
          </w:tcPr>
          <w:p w:rsidR="000B522B" w:rsidRPr="00654CB4" w:rsidRDefault="000B522B" w:rsidP="0043055D">
            <w:pPr>
              <w:rPr>
                <w:rFonts w:cs="Arial"/>
                <w:b/>
                <w:bCs/>
                <w:sz w:val="16"/>
                <w:szCs w:val="16"/>
                <w:lang w:val="es-419"/>
              </w:rPr>
            </w:pPr>
            <w:r w:rsidRPr="00654CB4">
              <w:rPr>
                <w:b/>
                <w:sz w:val="16"/>
                <w:lang w:val="es-419"/>
              </w:rPr>
              <w:t>Hoja:</w:t>
            </w:r>
            <w:r w:rsidR="0073246B" w:rsidRPr="00654CB4">
              <w:rPr>
                <w:b/>
                <w:sz w:val="16"/>
                <w:lang w:val="es-419"/>
              </w:rPr>
              <w:t xml:space="preserve"> </w:t>
            </w:r>
            <w:r w:rsidRPr="00654CB4">
              <w:rPr>
                <w:b/>
                <w:sz w:val="16"/>
                <w:lang w:val="es-419"/>
              </w:rPr>
              <w:t>ondulación del borde (car. 20)</w:t>
            </w:r>
          </w:p>
        </w:tc>
        <w:tc>
          <w:tcPr>
            <w:tcW w:w="1751" w:type="dxa"/>
            <w:tcBorders>
              <w:top w:val="single" w:sz="12" w:space="0" w:color="auto"/>
              <w:left w:val="nil"/>
              <w:bottom w:val="double" w:sz="6" w:space="0" w:color="auto"/>
              <w:right w:val="single" w:sz="4" w:space="0" w:color="auto"/>
            </w:tcBorders>
            <w:shd w:val="clear" w:color="auto" w:fill="auto"/>
            <w:vAlign w:val="center"/>
          </w:tcPr>
          <w:p w:rsidR="000B522B" w:rsidRPr="00654CB4" w:rsidRDefault="000B522B" w:rsidP="0043055D">
            <w:pPr>
              <w:rPr>
                <w:rFonts w:cs="Arial"/>
                <w:b/>
                <w:bCs/>
                <w:sz w:val="16"/>
                <w:szCs w:val="16"/>
                <w:lang w:val="es-419"/>
              </w:rPr>
            </w:pPr>
            <w:r w:rsidRPr="00654CB4">
              <w:rPr>
                <w:b/>
                <w:sz w:val="16"/>
                <w:lang w:val="es-419"/>
              </w:rPr>
              <w:t>Hoja:</w:t>
            </w:r>
            <w:r w:rsidR="0073246B" w:rsidRPr="00654CB4">
              <w:rPr>
                <w:b/>
                <w:sz w:val="16"/>
                <w:lang w:val="es-419"/>
              </w:rPr>
              <w:t xml:space="preserve"> </w:t>
            </w:r>
            <w:r w:rsidRPr="00654CB4">
              <w:rPr>
                <w:b/>
                <w:sz w:val="16"/>
                <w:lang w:val="es-419"/>
              </w:rPr>
              <w:t xml:space="preserve">nervadura </w:t>
            </w:r>
            <w:r w:rsidRPr="00654CB4">
              <w:rPr>
                <w:rFonts w:cs="Arial"/>
                <w:b/>
                <w:bCs/>
                <w:sz w:val="16"/>
                <w:szCs w:val="16"/>
                <w:lang w:val="es-419"/>
              </w:rPr>
              <w:br/>
            </w:r>
            <w:r w:rsidRPr="00654CB4">
              <w:rPr>
                <w:b/>
                <w:sz w:val="16"/>
                <w:lang w:val="es-419"/>
              </w:rPr>
              <w:t>(car. 25)</w:t>
            </w:r>
          </w:p>
        </w:tc>
        <w:tc>
          <w:tcPr>
            <w:tcW w:w="2559" w:type="dxa"/>
            <w:tcBorders>
              <w:top w:val="single" w:sz="12" w:space="0" w:color="auto"/>
              <w:left w:val="nil"/>
              <w:bottom w:val="double" w:sz="6" w:space="0" w:color="auto"/>
              <w:right w:val="single" w:sz="12" w:space="0" w:color="auto"/>
            </w:tcBorders>
            <w:shd w:val="clear" w:color="auto" w:fill="auto"/>
            <w:vAlign w:val="center"/>
          </w:tcPr>
          <w:p w:rsidR="000B522B" w:rsidRPr="00654CB4" w:rsidRDefault="000B522B" w:rsidP="00AC076F">
            <w:pPr>
              <w:jc w:val="left"/>
              <w:rPr>
                <w:rFonts w:cs="Arial"/>
                <w:b/>
                <w:bCs/>
                <w:sz w:val="16"/>
                <w:szCs w:val="16"/>
                <w:lang w:val="es-419"/>
              </w:rPr>
            </w:pPr>
            <w:r w:rsidRPr="00654CB4">
              <w:rPr>
                <w:b/>
                <w:sz w:val="16"/>
                <w:u w:val="single"/>
                <w:lang w:val="es-419"/>
              </w:rPr>
              <w:t>Solo variedades con grado de solapamiento de la parte superior de las hojas medio o fuerte</w:t>
            </w:r>
            <w:r w:rsidRPr="00654CB4">
              <w:rPr>
                <w:b/>
                <w:sz w:val="16"/>
                <w:lang w:val="es-419"/>
              </w:rPr>
              <w:t>:</w:t>
            </w:r>
            <w:r w:rsidR="0073246B" w:rsidRPr="00654CB4">
              <w:rPr>
                <w:b/>
                <w:sz w:val="16"/>
                <w:lang w:val="es-419"/>
              </w:rPr>
              <w:t xml:space="preserve"> </w:t>
            </w:r>
            <w:r w:rsidRPr="00654CB4">
              <w:rPr>
                <w:b/>
                <w:sz w:val="16"/>
                <w:lang w:val="es-419"/>
              </w:rPr>
              <w:t>Cogollo:</w:t>
            </w:r>
            <w:r w:rsidR="0073246B" w:rsidRPr="00654CB4">
              <w:rPr>
                <w:b/>
                <w:sz w:val="16"/>
                <w:lang w:val="es-419"/>
              </w:rPr>
              <w:t xml:space="preserve"> </w:t>
            </w:r>
            <w:r w:rsidRPr="00654CB4">
              <w:rPr>
                <w:b/>
                <w:sz w:val="16"/>
                <w:lang w:val="es-419"/>
              </w:rPr>
              <w:t>forma en sección longitudinal (car. 27)</w:t>
            </w:r>
          </w:p>
        </w:tc>
      </w:tr>
      <w:tr w:rsidR="000B522B" w:rsidRPr="00654CB4" w:rsidTr="0043055D">
        <w:trPr>
          <w:trHeight w:val="493"/>
        </w:trPr>
        <w:tc>
          <w:tcPr>
            <w:tcW w:w="1751" w:type="dxa"/>
            <w:tcBorders>
              <w:top w:val="nil"/>
              <w:left w:val="single" w:sz="12"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Tipo mantecoso</w:t>
            </w:r>
          </w:p>
        </w:tc>
        <w:tc>
          <w:tcPr>
            <w:tcW w:w="1955" w:type="dxa"/>
            <w:tcBorders>
              <w:top w:val="nil"/>
              <w:left w:val="nil"/>
              <w:bottom w:val="single" w:sz="4" w:space="0" w:color="auto"/>
              <w:right w:val="nil"/>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Clarion, Maikönig, Sartre</w:t>
            </w:r>
          </w:p>
        </w:tc>
        <w:tc>
          <w:tcPr>
            <w:tcW w:w="1579" w:type="dxa"/>
            <w:tcBorders>
              <w:top w:val="nil"/>
              <w:left w:val="double" w:sz="6"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medio a fuerte</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ausentes o muy bajo</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delgada a gruesa</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a débil</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no flabeliforme</w:t>
            </w:r>
          </w:p>
        </w:tc>
        <w:tc>
          <w:tcPr>
            <w:tcW w:w="2559" w:type="dxa"/>
            <w:tcBorders>
              <w:top w:val="nil"/>
              <w:left w:val="nil"/>
              <w:bottom w:val="single" w:sz="4" w:space="0" w:color="auto"/>
              <w:right w:val="single" w:sz="12"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circular o achatada estrecha</w:t>
            </w:r>
          </w:p>
        </w:tc>
      </w:tr>
      <w:tr w:rsidR="000B522B" w:rsidRPr="00654CB4" w:rsidTr="0043055D">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Tipo Novita</w:t>
            </w:r>
          </w:p>
        </w:tc>
        <w:tc>
          <w:tcPr>
            <w:tcW w:w="1955" w:type="dxa"/>
            <w:tcBorders>
              <w:top w:val="nil"/>
              <w:left w:val="nil"/>
              <w:bottom w:val="single" w:sz="4" w:space="0" w:color="auto"/>
              <w:right w:val="nil"/>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Norvick</w:t>
            </w:r>
          </w:p>
        </w:tc>
        <w:tc>
          <w:tcPr>
            <w:tcW w:w="1579" w:type="dxa"/>
            <w:tcBorders>
              <w:top w:val="nil"/>
              <w:left w:val="double" w:sz="6"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o débil</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ausentes o muy bajo</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delgada a media</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muy débil a media</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flabeliforme</w:t>
            </w:r>
          </w:p>
        </w:tc>
        <w:tc>
          <w:tcPr>
            <w:tcW w:w="2559" w:type="dxa"/>
            <w:tcBorders>
              <w:top w:val="nil"/>
              <w:left w:val="nil"/>
              <w:bottom w:val="single" w:sz="4" w:space="0" w:color="auto"/>
              <w:right w:val="single" w:sz="12"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w:t>
            </w:r>
          </w:p>
        </w:tc>
      </w:tr>
      <w:tr w:rsidR="000B522B" w:rsidRPr="00654CB4" w:rsidTr="0043055D">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Tipo Iceberg</w:t>
            </w:r>
          </w:p>
        </w:tc>
        <w:tc>
          <w:tcPr>
            <w:tcW w:w="1955" w:type="dxa"/>
            <w:tcBorders>
              <w:top w:val="nil"/>
              <w:left w:val="nil"/>
              <w:bottom w:val="single" w:sz="4" w:space="0" w:color="auto"/>
              <w:right w:val="nil"/>
            </w:tcBorders>
            <w:shd w:val="clear" w:color="auto" w:fill="auto"/>
            <w:vAlign w:val="center"/>
          </w:tcPr>
          <w:p w:rsidR="000B522B" w:rsidRPr="004054E4" w:rsidRDefault="000B522B" w:rsidP="00AC076F">
            <w:pPr>
              <w:jc w:val="left"/>
              <w:rPr>
                <w:rFonts w:cs="Arial"/>
                <w:sz w:val="16"/>
                <w:szCs w:val="16"/>
                <w:lang w:val="en-US"/>
              </w:rPr>
            </w:pPr>
            <w:r w:rsidRPr="004054E4">
              <w:rPr>
                <w:sz w:val="16"/>
                <w:lang w:val="en-US"/>
              </w:rPr>
              <w:t>Great Lakes 659, Roxette, Saladin, Vanguard 75</w:t>
            </w:r>
          </w:p>
        </w:tc>
        <w:tc>
          <w:tcPr>
            <w:tcW w:w="1579" w:type="dxa"/>
            <w:tcBorders>
              <w:top w:val="nil"/>
              <w:left w:val="double" w:sz="6"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fuerte</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ausentes o muy bajo</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gruesa</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a media</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flabeliforme</w:t>
            </w:r>
          </w:p>
        </w:tc>
        <w:tc>
          <w:tcPr>
            <w:tcW w:w="2559" w:type="dxa"/>
            <w:tcBorders>
              <w:top w:val="nil"/>
              <w:left w:val="nil"/>
              <w:bottom w:val="single" w:sz="4" w:space="0" w:color="auto"/>
              <w:right w:val="single" w:sz="12"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circular o achatada estrecha</w:t>
            </w:r>
          </w:p>
        </w:tc>
      </w:tr>
      <w:tr w:rsidR="000B522B" w:rsidRPr="00654CB4" w:rsidTr="0043055D">
        <w:trPr>
          <w:trHeight w:val="473"/>
        </w:trPr>
        <w:tc>
          <w:tcPr>
            <w:tcW w:w="1751" w:type="dxa"/>
            <w:tcBorders>
              <w:top w:val="nil"/>
              <w:left w:val="single" w:sz="12"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Tipo Batavia</w:t>
            </w:r>
          </w:p>
        </w:tc>
        <w:tc>
          <w:tcPr>
            <w:tcW w:w="1955" w:type="dxa"/>
            <w:tcBorders>
              <w:top w:val="nil"/>
              <w:left w:val="nil"/>
              <w:bottom w:val="single" w:sz="4" w:space="0" w:color="auto"/>
              <w:right w:val="nil"/>
            </w:tcBorders>
            <w:shd w:val="clear" w:color="auto" w:fill="auto"/>
            <w:vAlign w:val="center"/>
          </w:tcPr>
          <w:p w:rsidR="000B522B" w:rsidRPr="004054E4" w:rsidRDefault="000B522B" w:rsidP="00AC076F">
            <w:pPr>
              <w:jc w:val="left"/>
              <w:rPr>
                <w:rFonts w:cs="Arial"/>
                <w:sz w:val="16"/>
                <w:szCs w:val="16"/>
                <w:lang w:val="en-US"/>
              </w:rPr>
            </w:pPr>
            <w:r w:rsidRPr="004054E4">
              <w:rPr>
                <w:sz w:val="16"/>
                <w:lang w:val="en-US"/>
              </w:rPr>
              <w:t>Aquarel, Curtis, Funnice, Felucca, Grand Rapids, Masaida, Visyon</w:t>
            </w:r>
          </w:p>
        </w:tc>
        <w:tc>
          <w:tcPr>
            <w:tcW w:w="1579" w:type="dxa"/>
            <w:tcBorders>
              <w:top w:val="nil"/>
              <w:left w:val="double" w:sz="6"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o débil a fuerte</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ausentes o muy bajo</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media a gruesa</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débil a muy fuerte</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flabeliforme</w:t>
            </w:r>
          </w:p>
        </w:tc>
        <w:tc>
          <w:tcPr>
            <w:tcW w:w="2559" w:type="dxa"/>
            <w:tcBorders>
              <w:top w:val="nil"/>
              <w:left w:val="nil"/>
              <w:bottom w:val="single" w:sz="4" w:space="0" w:color="auto"/>
              <w:right w:val="single" w:sz="12"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elíptica ancha, circular o achatada estrecha</w:t>
            </w:r>
          </w:p>
        </w:tc>
      </w:tr>
      <w:tr w:rsidR="000B522B" w:rsidRPr="00654CB4" w:rsidTr="0043055D">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Tipo Frisée d'Amérique</w:t>
            </w:r>
          </w:p>
        </w:tc>
        <w:tc>
          <w:tcPr>
            <w:tcW w:w="1955" w:type="dxa"/>
            <w:tcBorders>
              <w:top w:val="single" w:sz="4" w:space="0" w:color="auto"/>
              <w:left w:val="nil"/>
              <w:bottom w:val="single" w:sz="4" w:space="0" w:color="auto"/>
              <w:right w:val="nil"/>
            </w:tcBorders>
            <w:shd w:val="clear" w:color="auto" w:fill="auto"/>
            <w:vAlign w:val="center"/>
          </w:tcPr>
          <w:p w:rsidR="000B522B" w:rsidRPr="004054E4" w:rsidRDefault="000B522B" w:rsidP="00AC076F">
            <w:pPr>
              <w:jc w:val="left"/>
              <w:rPr>
                <w:rFonts w:cs="Arial"/>
                <w:sz w:val="16"/>
                <w:szCs w:val="16"/>
                <w:lang w:val="fr-FR"/>
              </w:rPr>
            </w:pPr>
            <w:r w:rsidRPr="004054E4">
              <w:rPr>
                <w:sz w:val="16"/>
                <w:lang w:val="fr-FR"/>
              </w:rPr>
              <w:t>Bijou, Blonde à couper améliorée</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o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ausentes o muy bajo</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delgada</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a fuerte</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flabeliforme, no flabeliforme o semiflabeliforme</w:t>
            </w:r>
          </w:p>
        </w:tc>
        <w:tc>
          <w:tcPr>
            <w:tcW w:w="2559" w:type="dxa"/>
            <w:tcBorders>
              <w:top w:val="single" w:sz="4" w:space="0" w:color="auto"/>
              <w:left w:val="nil"/>
              <w:bottom w:val="single" w:sz="4" w:space="0" w:color="auto"/>
              <w:right w:val="single" w:sz="12"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w:t>
            </w:r>
          </w:p>
        </w:tc>
      </w:tr>
      <w:tr w:rsidR="000B522B" w:rsidRPr="00654CB4" w:rsidTr="0043055D">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Tipo Lollo</w:t>
            </w:r>
          </w:p>
        </w:tc>
        <w:tc>
          <w:tcPr>
            <w:tcW w:w="1955" w:type="dxa"/>
            <w:tcBorders>
              <w:top w:val="single" w:sz="4" w:space="0" w:color="auto"/>
              <w:left w:val="nil"/>
              <w:bottom w:val="single" w:sz="4" w:space="0" w:color="auto"/>
              <w:right w:val="nil"/>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Lollo rossa, Revolution</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o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ausentes o muy bajo</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delgada</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 xml:space="preserve">fuerte a muy fuerte </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flabeliforme</w:t>
            </w:r>
          </w:p>
        </w:tc>
        <w:tc>
          <w:tcPr>
            <w:tcW w:w="2559" w:type="dxa"/>
            <w:tcBorders>
              <w:top w:val="single" w:sz="4" w:space="0" w:color="auto"/>
              <w:left w:val="nil"/>
              <w:bottom w:val="single" w:sz="4" w:space="0" w:color="auto"/>
              <w:right w:val="single" w:sz="12"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w:t>
            </w:r>
          </w:p>
        </w:tc>
      </w:tr>
      <w:tr w:rsidR="000B522B" w:rsidRPr="00654CB4" w:rsidTr="0043055D">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Tipo Oakleaf</w:t>
            </w:r>
          </w:p>
        </w:tc>
        <w:tc>
          <w:tcPr>
            <w:tcW w:w="1955" w:type="dxa"/>
            <w:tcBorders>
              <w:top w:val="single" w:sz="4" w:space="0" w:color="auto"/>
              <w:left w:val="nil"/>
              <w:bottom w:val="single" w:sz="4" w:space="0" w:color="auto"/>
              <w:right w:val="nil"/>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Catalogna, Kipling, Muraï, Salad Bowl</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o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bajo a alto</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delgada</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a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flabeliforme, no flabeliforme o semiflabeliforme</w:t>
            </w:r>
          </w:p>
        </w:tc>
        <w:tc>
          <w:tcPr>
            <w:tcW w:w="2559" w:type="dxa"/>
            <w:tcBorders>
              <w:top w:val="single" w:sz="4" w:space="0" w:color="auto"/>
              <w:left w:val="nil"/>
              <w:bottom w:val="single" w:sz="4" w:space="0" w:color="auto"/>
              <w:right w:val="single" w:sz="12"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w:t>
            </w:r>
          </w:p>
        </w:tc>
      </w:tr>
      <w:tr w:rsidR="000B522B" w:rsidRPr="00654CB4" w:rsidTr="0043055D">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Tipo de hoja multidividida</w:t>
            </w:r>
          </w:p>
        </w:tc>
        <w:tc>
          <w:tcPr>
            <w:tcW w:w="1955" w:type="dxa"/>
            <w:tcBorders>
              <w:top w:val="single" w:sz="4" w:space="0" w:color="auto"/>
              <w:left w:val="nil"/>
              <w:bottom w:val="single" w:sz="4" w:space="0" w:color="auto"/>
              <w:right w:val="nil"/>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Curletta, Duplex, Jadigon, Rodagio</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o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medio a muy alto</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delgada</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débil a muy fuerte</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flabeliforme</w:t>
            </w:r>
          </w:p>
        </w:tc>
        <w:tc>
          <w:tcPr>
            <w:tcW w:w="2559" w:type="dxa"/>
            <w:tcBorders>
              <w:top w:val="single" w:sz="4" w:space="0" w:color="auto"/>
              <w:left w:val="nil"/>
              <w:bottom w:val="single" w:sz="4" w:space="0" w:color="auto"/>
              <w:right w:val="single" w:sz="12"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w:t>
            </w:r>
          </w:p>
        </w:tc>
      </w:tr>
      <w:tr w:rsidR="000B522B" w:rsidRPr="00654CB4" w:rsidTr="0043055D">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Tipo Frillice</w:t>
            </w:r>
          </w:p>
        </w:tc>
        <w:tc>
          <w:tcPr>
            <w:tcW w:w="1955" w:type="dxa"/>
            <w:tcBorders>
              <w:top w:val="single" w:sz="4" w:space="0" w:color="auto"/>
              <w:left w:val="nil"/>
              <w:bottom w:val="single" w:sz="4" w:space="0" w:color="auto"/>
              <w:right w:val="nil"/>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Frilett</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o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ausentes o muy bajo</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gruesa</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débil a fuerte</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flabeliforme</w:t>
            </w:r>
          </w:p>
        </w:tc>
        <w:tc>
          <w:tcPr>
            <w:tcW w:w="2559" w:type="dxa"/>
            <w:tcBorders>
              <w:top w:val="single" w:sz="4" w:space="0" w:color="auto"/>
              <w:left w:val="nil"/>
              <w:bottom w:val="single" w:sz="4" w:space="0" w:color="auto"/>
              <w:right w:val="single" w:sz="12"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w:t>
            </w:r>
          </w:p>
        </w:tc>
      </w:tr>
      <w:tr w:rsidR="000B522B" w:rsidRPr="00654CB4" w:rsidTr="0043055D">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Tipo Cos</w:t>
            </w:r>
          </w:p>
        </w:tc>
        <w:tc>
          <w:tcPr>
            <w:tcW w:w="1955" w:type="dxa"/>
            <w:tcBorders>
              <w:top w:val="single" w:sz="4" w:space="0" w:color="auto"/>
              <w:left w:val="nil"/>
              <w:bottom w:val="single" w:sz="4" w:space="0" w:color="auto"/>
              <w:right w:val="nil"/>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 xml:space="preserve">Actarus, </w:t>
            </w:r>
            <w:r w:rsidRPr="00654CB4">
              <w:rPr>
                <w:rFonts w:cs="Arial"/>
                <w:sz w:val="16"/>
                <w:szCs w:val="16"/>
                <w:lang w:val="es-419"/>
              </w:rPr>
              <w:br/>
            </w:r>
            <w:r w:rsidRPr="00654CB4">
              <w:rPr>
                <w:sz w:val="16"/>
                <w:lang w:val="es-419"/>
              </w:rPr>
              <w:t>Blonde maraîchère, Pinokkio</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 xml:space="preserve">ausente o débil a medio </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ausentes o muy bajo</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media a gruesa</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a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no flabeliforme</w:t>
            </w:r>
          </w:p>
        </w:tc>
        <w:tc>
          <w:tcPr>
            <w:tcW w:w="2559" w:type="dxa"/>
            <w:tcBorders>
              <w:top w:val="single" w:sz="4" w:space="0" w:color="auto"/>
              <w:left w:val="nil"/>
              <w:bottom w:val="single" w:sz="4" w:space="0" w:color="auto"/>
              <w:right w:val="single" w:sz="12"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elíptica estrecha</w:t>
            </w:r>
          </w:p>
        </w:tc>
      </w:tr>
      <w:tr w:rsidR="000B522B" w:rsidRPr="00654CB4" w:rsidTr="0043055D">
        <w:trPr>
          <w:trHeight w:val="614"/>
        </w:trPr>
        <w:tc>
          <w:tcPr>
            <w:tcW w:w="1751" w:type="dxa"/>
            <w:tcBorders>
              <w:top w:val="nil"/>
              <w:left w:val="single" w:sz="12"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Tipo “de cogollo”</w:t>
            </w:r>
          </w:p>
        </w:tc>
        <w:tc>
          <w:tcPr>
            <w:tcW w:w="1955" w:type="dxa"/>
            <w:tcBorders>
              <w:top w:val="nil"/>
              <w:left w:val="nil"/>
              <w:bottom w:val="single" w:sz="4" w:space="0" w:color="auto"/>
              <w:right w:val="nil"/>
            </w:tcBorders>
            <w:shd w:val="clear" w:color="auto" w:fill="auto"/>
            <w:vAlign w:val="center"/>
          </w:tcPr>
          <w:p w:rsidR="000B522B" w:rsidRPr="004054E4" w:rsidRDefault="000B522B" w:rsidP="00AC076F">
            <w:pPr>
              <w:jc w:val="left"/>
              <w:rPr>
                <w:rFonts w:cs="Arial"/>
                <w:sz w:val="16"/>
                <w:szCs w:val="16"/>
                <w:lang w:val="fr-FR"/>
              </w:rPr>
            </w:pPr>
            <w:r w:rsidRPr="004054E4">
              <w:rPr>
                <w:sz w:val="16"/>
                <w:lang w:val="fr-FR"/>
              </w:rPr>
              <w:t>Craquerelle du Midi, Sucrine, Xanadu</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o débil a medio</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ausentes o muy bajo</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media a gruesa</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a débil</w:t>
            </w:r>
          </w:p>
        </w:tc>
        <w:tc>
          <w:tcPr>
            <w:tcW w:w="1751" w:type="dxa"/>
            <w:tcBorders>
              <w:top w:val="nil"/>
              <w:left w:val="nil"/>
              <w:bottom w:val="single" w:sz="4"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no flabeliforme</w:t>
            </w:r>
          </w:p>
        </w:tc>
        <w:tc>
          <w:tcPr>
            <w:tcW w:w="2559" w:type="dxa"/>
            <w:tcBorders>
              <w:top w:val="nil"/>
              <w:left w:val="nil"/>
              <w:bottom w:val="single" w:sz="4" w:space="0" w:color="auto"/>
              <w:right w:val="single" w:sz="12"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elíptica ancha, circular o achatada estrecha</w:t>
            </w:r>
          </w:p>
        </w:tc>
      </w:tr>
      <w:tr w:rsidR="000B522B" w:rsidRPr="00654CB4" w:rsidTr="0043055D">
        <w:trPr>
          <w:trHeight w:val="442"/>
        </w:trPr>
        <w:tc>
          <w:tcPr>
            <w:tcW w:w="1751" w:type="dxa"/>
            <w:tcBorders>
              <w:top w:val="nil"/>
              <w:left w:val="single" w:sz="12" w:space="0" w:color="auto"/>
              <w:bottom w:val="single" w:sz="12"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Tipo “de tallo”</w:t>
            </w:r>
          </w:p>
        </w:tc>
        <w:tc>
          <w:tcPr>
            <w:tcW w:w="1955" w:type="dxa"/>
            <w:tcBorders>
              <w:top w:val="nil"/>
              <w:left w:val="nil"/>
              <w:bottom w:val="single" w:sz="12" w:space="0" w:color="auto"/>
              <w:right w:val="nil"/>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Celtuce, Guasihong</w:t>
            </w:r>
          </w:p>
        </w:tc>
        <w:tc>
          <w:tcPr>
            <w:tcW w:w="1579" w:type="dxa"/>
            <w:tcBorders>
              <w:top w:val="nil"/>
              <w:left w:val="double" w:sz="6" w:space="0" w:color="auto"/>
              <w:bottom w:val="single" w:sz="12"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o débil</w:t>
            </w:r>
          </w:p>
        </w:tc>
        <w:tc>
          <w:tcPr>
            <w:tcW w:w="1751" w:type="dxa"/>
            <w:tcBorders>
              <w:top w:val="nil"/>
              <w:left w:val="nil"/>
              <w:bottom w:val="single" w:sz="12"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ausentes o muy bajo</w:t>
            </w:r>
          </w:p>
        </w:tc>
        <w:tc>
          <w:tcPr>
            <w:tcW w:w="1751" w:type="dxa"/>
            <w:tcBorders>
              <w:top w:val="nil"/>
              <w:left w:val="nil"/>
              <w:bottom w:val="single" w:sz="12"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delgada a media</w:t>
            </w:r>
          </w:p>
        </w:tc>
        <w:tc>
          <w:tcPr>
            <w:tcW w:w="1751" w:type="dxa"/>
            <w:tcBorders>
              <w:top w:val="nil"/>
              <w:left w:val="nil"/>
              <w:bottom w:val="single" w:sz="12"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ausente a débil</w:t>
            </w:r>
          </w:p>
        </w:tc>
        <w:tc>
          <w:tcPr>
            <w:tcW w:w="1751" w:type="dxa"/>
            <w:tcBorders>
              <w:top w:val="nil"/>
              <w:left w:val="nil"/>
              <w:bottom w:val="single" w:sz="12" w:space="0" w:color="auto"/>
              <w:right w:val="single" w:sz="4"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no flabeliforme</w:t>
            </w:r>
          </w:p>
        </w:tc>
        <w:tc>
          <w:tcPr>
            <w:tcW w:w="2559" w:type="dxa"/>
            <w:tcBorders>
              <w:top w:val="nil"/>
              <w:left w:val="nil"/>
              <w:bottom w:val="single" w:sz="12" w:space="0" w:color="auto"/>
              <w:right w:val="single" w:sz="12" w:space="0" w:color="auto"/>
            </w:tcBorders>
            <w:shd w:val="clear" w:color="auto" w:fill="auto"/>
            <w:vAlign w:val="center"/>
          </w:tcPr>
          <w:p w:rsidR="000B522B" w:rsidRPr="00654CB4" w:rsidRDefault="000B522B" w:rsidP="00AC076F">
            <w:pPr>
              <w:jc w:val="left"/>
              <w:rPr>
                <w:rFonts w:cs="Arial"/>
                <w:sz w:val="16"/>
                <w:szCs w:val="16"/>
                <w:lang w:val="es-419"/>
              </w:rPr>
            </w:pPr>
            <w:r w:rsidRPr="00654CB4">
              <w:rPr>
                <w:sz w:val="16"/>
                <w:lang w:val="es-419"/>
              </w:rPr>
              <w:t>-</w:t>
            </w:r>
          </w:p>
        </w:tc>
      </w:tr>
    </w:tbl>
    <w:p w:rsidR="00544581" w:rsidRPr="00654CB4" w:rsidRDefault="00544581">
      <w:pPr>
        <w:jc w:val="left"/>
        <w:rPr>
          <w:lang w:val="es-419"/>
        </w:rPr>
      </w:pPr>
    </w:p>
    <w:p w:rsidR="00050E16" w:rsidRPr="00654CB4" w:rsidRDefault="00050E16" w:rsidP="00050E16">
      <w:pPr>
        <w:rPr>
          <w:lang w:val="es-419"/>
        </w:rPr>
      </w:pPr>
    </w:p>
    <w:p w:rsidR="009B440E" w:rsidRPr="00654CB4" w:rsidRDefault="00050E16" w:rsidP="00050E16">
      <w:pPr>
        <w:jc w:val="right"/>
        <w:rPr>
          <w:lang w:val="es-419"/>
        </w:rPr>
      </w:pPr>
      <w:r w:rsidRPr="00654CB4">
        <w:rPr>
          <w:lang w:val="es-419"/>
        </w:rPr>
        <w:t>[Fin del Anexo y del documento]</w:t>
      </w:r>
    </w:p>
    <w:p w:rsidR="00050E16" w:rsidRPr="00654CB4" w:rsidRDefault="00050E16" w:rsidP="009B440E">
      <w:pPr>
        <w:jc w:val="left"/>
        <w:rPr>
          <w:lang w:val="es-419"/>
        </w:rPr>
      </w:pPr>
    </w:p>
    <w:sectPr w:rsidR="00050E16" w:rsidRPr="00654CB4" w:rsidSect="00843BBF">
      <w:headerReference w:type="default" r:id="rId9"/>
      <w:headerReference w:type="first" r:id="rId10"/>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770" w:rsidRDefault="00721770" w:rsidP="006655D3">
      <w:r>
        <w:separator/>
      </w:r>
    </w:p>
    <w:p w:rsidR="00721770" w:rsidRDefault="00721770" w:rsidP="006655D3"/>
    <w:p w:rsidR="00721770" w:rsidRDefault="00721770" w:rsidP="006655D3"/>
  </w:endnote>
  <w:endnote w:type="continuationSeparator" w:id="0">
    <w:p w:rsidR="00721770" w:rsidRDefault="00721770" w:rsidP="006655D3">
      <w:r>
        <w:separator/>
      </w:r>
    </w:p>
    <w:p w:rsidR="00721770" w:rsidRPr="00294751" w:rsidRDefault="00721770">
      <w:pPr>
        <w:pStyle w:val="Footer"/>
        <w:spacing w:after="60"/>
        <w:rPr>
          <w:sz w:val="18"/>
          <w:lang w:val="fr-FR"/>
        </w:rPr>
      </w:pPr>
      <w:r w:rsidRPr="00294751">
        <w:rPr>
          <w:sz w:val="18"/>
          <w:lang w:val="fr-FR"/>
        </w:rPr>
        <w:t>[Suite de la note de la page précédente]</w:t>
      </w:r>
    </w:p>
    <w:p w:rsidR="00721770" w:rsidRPr="00294751" w:rsidRDefault="00721770" w:rsidP="006655D3">
      <w:pPr>
        <w:rPr>
          <w:lang w:val="fr-FR"/>
        </w:rPr>
      </w:pPr>
    </w:p>
    <w:p w:rsidR="00721770" w:rsidRPr="00294751" w:rsidRDefault="00721770" w:rsidP="006655D3">
      <w:pPr>
        <w:rPr>
          <w:lang w:val="fr-FR"/>
        </w:rPr>
      </w:pPr>
    </w:p>
  </w:endnote>
  <w:endnote w:type="continuationNotice" w:id="1">
    <w:p w:rsidR="00721770" w:rsidRPr="00294751" w:rsidRDefault="00721770" w:rsidP="006655D3">
      <w:pPr>
        <w:rPr>
          <w:lang w:val="fr-FR"/>
        </w:rPr>
      </w:pPr>
      <w:r w:rsidRPr="00294751">
        <w:rPr>
          <w:lang w:val="fr-FR"/>
        </w:rPr>
        <w:t>[Suite de la note page suivante]</w:t>
      </w:r>
    </w:p>
    <w:p w:rsidR="00721770" w:rsidRPr="00294751" w:rsidRDefault="00721770" w:rsidP="006655D3">
      <w:pPr>
        <w:rPr>
          <w:lang w:val="fr-FR"/>
        </w:rPr>
      </w:pPr>
    </w:p>
    <w:p w:rsidR="00721770" w:rsidRPr="00294751" w:rsidRDefault="0072177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843BBF">
      <w:tc>
        <w:tcPr>
          <w:tcW w:w="10837" w:type="dxa"/>
        </w:tcPr>
        <w:p w:rsidR="00843BBF" w:rsidRDefault="00843BB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770" w:rsidRDefault="00721770" w:rsidP="006655D3">
      <w:r>
        <w:separator/>
      </w:r>
    </w:p>
  </w:footnote>
  <w:footnote w:type="continuationSeparator" w:id="0">
    <w:p w:rsidR="00721770" w:rsidRDefault="00721770" w:rsidP="006655D3">
      <w:r>
        <w:separator/>
      </w:r>
    </w:p>
  </w:footnote>
  <w:footnote w:type="continuationNotice" w:id="1">
    <w:p w:rsidR="00721770" w:rsidRPr="00AB530F" w:rsidRDefault="0072177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BF" w:rsidRDefault="00843BBF">
    <w:pPr>
      <w:pStyle w:val="Header"/>
    </w:pPr>
    <w:r>
      <w:t>TC/55/12</w:t>
    </w:r>
  </w:p>
  <w:p w:rsidR="00843BBF" w:rsidRPr="00697707" w:rsidRDefault="00843BBF" w:rsidP="00691994">
    <w:pPr>
      <w:pStyle w:val="Header"/>
    </w:pPr>
    <w:r>
      <w:t xml:space="preserve">página </w:t>
    </w:r>
    <w:r w:rsidRPr="00697707">
      <w:fldChar w:fldCharType="begin"/>
    </w:r>
    <w:r w:rsidRPr="00063469">
      <w:instrText xml:space="preserve"> PAGE </w:instrText>
    </w:r>
    <w:r w:rsidRPr="00697707">
      <w:fldChar w:fldCharType="separate"/>
    </w:r>
    <w:r w:rsidR="00AF1D7F">
      <w:rPr>
        <w:noProof/>
      </w:rPr>
      <w:t>3</w:t>
    </w:r>
    <w:r w:rsidRPr="00697707">
      <w:fldChar w:fldCharType="end"/>
    </w:r>
  </w:p>
  <w:p w:rsidR="00843BBF" w:rsidRPr="00697707" w:rsidRDefault="00843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0B7BB9" w:rsidP="000A23DC">
    <w:pPr>
      <w:pStyle w:val="Header"/>
      <w:rPr>
        <w:rStyle w:val="PageNumber"/>
      </w:rPr>
    </w:pPr>
    <w:r>
      <w:rPr>
        <w:rStyle w:val="PageNumber"/>
      </w:rPr>
      <w:t>TC/55/</w:t>
    </w:r>
  </w:p>
  <w:p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843BBF">
      <w:rPr>
        <w:rStyle w:val="PageNumber"/>
        <w:noProof/>
      </w:rPr>
      <w:t>7</w:t>
    </w:r>
    <w:r w:rsidR="00182B99" w:rsidRPr="00202E38">
      <w:rPr>
        <w:rStyle w:val="PageNumber"/>
      </w:rPr>
      <w:fldChar w:fldCharType="end"/>
    </w:r>
  </w:p>
  <w:p w:rsidR="00182B99" w:rsidRPr="00202E38"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BF" w:rsidRDefault="00843BBF">
    <w:pPr>
      <w:pStyle w:val="Header"/>
    </w:pPr>
    <w:r>
      <w:t>TC/55/12</w:t>
    </w:r>
  </w:p>
  <w:p w:rsidR="00843BBF" w:rsidRDefault="00843BBF">
    <w:pPr>
      <w:pStyle w:val="Header"/>
    </w:pPr>
  </w:p>
  <w:p w:rsidR="00843BBF" w:rsidRDefault="00843BBF">
    <w:pPr>
      <w:pStyle w:val="Header"/>
    </w:pPr>
    <w:r>
      <w:t>ANEXO</w:t>
    </w:r>
  </w:p>
  <w:p w:rsidR="00843BBF" w:rsidRPr="00843BBF" w:rsidRDefault="00843B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7D"/>
    <w:rsid w:val="00003137"/>
    <w:rsid w:val="00010CF3"/>
    <w:rsid w:val="00011E27"/>
    <w:rsid w:val="000148BC"/>
    <w:rsid w:val="00024AB8"/>
    <w:rsid w:val="00030854"/>
    <w:rsid w:val="00036028"/>
    <w:rsid w:val="00044642"/>
    <w:rsid w:val="000446B9"/>
    <w:rsid w:val="00047E21"/>
    <w:rsid w:val="00050E16"/>
    <w:rsid w:val="0005189B"/>
    <w:rsid w:val="000638A9"/>
    <w:rsid w:val="00064688"/>
    <w:rsid w:val="00085505"/>
    <w:rsid w:val="000A23DC"/>
    <w:rsid w:val="000B522B"/>
    <w:rsid w:val="000B7BB9"/>
    <w:rsid w:val="000C4E25"/>
    <w:rsid w:val="000C7021"/>
    <w:rsid w:val="000D6BBC"/>
    <w:rsid w:val="000D7780"/>
    <w:rsid w:val="000E636A"/>
    <w:rsid w:val="000F2F11"/>
    <w:rsid w:val="000F6EFF"/>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86F46"/>
    <w:rsid w:val="002940E8"/>
    <w:rsid w:val="00294751"/>
    <w:rsid w:val="002A6E50"/>
    <w:rsid w:val="002B4298"/>
    <w:rsid w:val="002C256A"/>
    <w:rsid w:val="002D3E4A"/>
    <w:rsid w:val="002E5944"/>
    <w:rsid w:val="00305A7F"/>
    <w:rsid w:val="003152FE"/>
    <w:rsid w:val="00327436"/>
    <w:rsid w:val="00344BD6"/>
    <w:rsid w:val="0035528D"/>
    <w:rsid w:val="00361821"/>
    <w:rsid w:val="00361E9E"/>
    <w:rsid w:val="003B031A"/>
    <w:rsid w:val="003C3C55"/>
    <w:rsid w:val="003C7FBE"/>
    <w:rsid w:val="003D227C"/>
    <w:rsid w:val="003D2B4D"/>
    <w:rsid w:val="004054E4"/>
    <w:rsid w:val="0040557F"/>
    <w:rsid w:val="00444A88"/>
    <w:rsid w:val="00474DA4"/>
    <w:rsid w:val="00476B4D"/>
    <w:rsid w:val="004805FA"/>
    <w:rsid w:val="004935D2"/>
    <w:rsid w:val="004B1215"/>
    <w:rsid w:val="004D047D"/>
    <w:rsid w:val="004F1E9E"/>
    <w:rsid w:val="004F305A"/>
    <w:rsid w:val="00510446"/>
    <w:rsid w:val="00512164"/>
    <w:rsid w:val="00520297"/>
    <w:rsid w:val="005338F9"/>
    <w:rsid w:val="0054281C"/>
    <w:rsid w:val="00544581"/>
    <w:rsid w:val="00545E42"/>
    <w:rsid w:val="0055268D"/>
    <w:rsid w:val="00576BE4"/>
    <w:rsid w:val="00587E37"/>
    <w:rsid w:val="005A1EC1"/>
    <w:rsid w:val="005A400A"/>
    <w:rsid w:val="005F7B92"/>
    <w:rsid w:val="00612379"/>
    <w:rsid w:val="006153B6"/>
    <w:rsid w:val="0061555F"/>
    <w:rsid w:val="00636CA6"/>
    <w:rsid w:val="00637EDD"/>
    <w:rsid w:val="00641200"/>
    <w:rsid w:val="00645CA8"/>
    <w:rsid w:val="00654CB4"/>
    <w:rsid w:val="006655D3"/>
    <w:rsid w:val="00667404"/>
    <w:rsid w:val="00687EB4"/>
    <w:rsid w:val="00695C56"/>
    <w:rsid w:val="006A5CDE"/>
    <w:rsid w:val="006A644A"/>
    <w:rsid w:val="006A70DA"/>
    <w:rsid w:val="006B17D2"/>
    <w:rsid w:val="006C224E"/>
    <w:rsid w:val="006D780A"/>
    <w:rsid w:val="0071271E"/>
    <w:rsid w:val="00721770"/>
    <w:rsid w:val="0073246B"/>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3BBF"/>
    <w:rsid w:val="00846D7C"/>
    <w:rsid w:val="00864C55"/>
    <w:rsid w:val="00867AC1"/>
    <w:rsid w:val="00890DF8"/>
    <w:rsid w:val="008A743F"/>
    <w:rsid w:val="008B3D8D"/>
    <w:rsid w:val="008C0970"/>
    <w:rsid w:val="008D0BC5"/>
    <w:rsid w:val="008D2CF7"/>
    <w:rsid w:val="00900C26"/>
    <w:rsid w:val="0090197F"/>
    <w:rsid w:val="00906DDC"/>
    <w:rsid w:val="009200EE"/>
    <w:rsid w:val="00934E09"/>
    <w:rsid w:val="00936253"/>
    <w:rsid w:val="00940D46"/>
    <w:rsid w:val="00944059"/>
    <w:rsid w:val="00952DD4"/>
    <w:rsid w:val="0096175D"/>
    <w:rsid w:val="00965AE7"/>
    <w:rsid w:val="00970FED"/>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076F"/>
    <w:rsid w:val="00AC2883"/>
    <w:rsid w:val="00AE0EF1"/>
    <w:rsid w:val="00AE2937"/>
    <w:rsid w:val="00AF1D7F"/>
    <w:rsid w:val="00AF7D8A"/>
    <w:rsid w:val="00B07301"/>
    <w:rsid w:val="00B11F3E"/>
    <w:rsid w:val="00B224DE"/>
    <w:rsid w:val="00B324D4"/>
    <w:rsid w:val="00B46575"/>
    <w:rsid w:val="00B61777"/>
    <w:rsid w:val="00B768A1"/>
    <w:rsid w:val="00B84BBD"/>
    <w:rsid w:val="00B905E5"/>
    <w:rsid w:val="00BA43FB"/>
    <w:rsid w:val="00BC0BD4"/>
    <w:rsid w:val="00BC127D"/>
    <w:rsid w:val="00BC1FE6"/>
    <w:rsid w:val="00BC3013"/>
    <w:rsid w:val="00BE26A5"/>
    <w:rsid w:val="00C061B6"/>
    <w:rsid w:val="00C2446C"/>
    <w:rsid w:val="00C36AE5"/>
    <w:rsid w:val="00C41F17"/>
    <w:rsid w:val="00C527FA"/>
    <w:rsid w:val="00C5280D"/>
    <w:rsid w:val="00C53EB3"/>
    <w:rsid w:val="00C5791C"/>
    <w:rsid w:val="00C66290"/>
    <w:rsid w:val="00C72B7A"/>
    <w:rsid w:val="00C973F2"/>
    <w:rsid w:val="00CA304C"/>
    <w:rsid w:val="00CA774A"/>
    <w:rsid w:val="00CB6E29"/>
    <w:rsid w:val="00CC11B0"/>
    <w:rsid w:val="00CC2841"/>
    <w:rsid w:val="00CE49AB"/>
    <w:rsid w:val="00CF1330"/>
    <w:rsid w:val="00CF7E36"/>
    <w:rsid w:val="00D35D48"/>
    <w:rsid w:val="00D3708D"/>
    <w:rsid w:val="00D40426"/>
    <w:rsid w:val="00D57C96"/>
    <w:rsid w:val="00D57D18"/>
    <w:rsid w:val="00D91203"/>
    <w:rsid w:val="00D95174"/>
    <w:rsid w:val="00DA4973"/>
    <w:rsid w:val="00DA6F36"/>
    <w:rsid w:val="00DB596E"/>
    <w:rsid w:val="00DB7773"/>
    <w:rsid w:val="00DC00EA"/>
    <w:rsid w:val="00DC35BA"/>
    <w:rsid w:val="00DC3802"/>
    <w:rsid w:val="00E07D87"/>
    <w:rsid w:val="00E32F7E"/>
    <w:rsid w:val="00E4567D"/>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66433F"/>
  <w15:docId w15:val="{53F20A2B-F38F-4702-B0FF-F9F34CE9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587E37"/>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BE26A5"/>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843BBF"/>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2586</Words>
  <Characters>14044</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TC/55/12</vt:lpstr>
      <vt:lpstr>TC/55/12</vt:lpstr>
    </vt:vector>
  </TitlesOfParts>
  <Company>UPOV</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TC/55/12</dc:title>
  <dc:creator>CEVALLOS DUQUE Nilo</dc:creator>
  <cp:lastModifiedBy>BESSE Ariane</cp:lastModifiedBy>
  <cp:revision>8</cp:revision>
  <cp:lastPrinted>2016-11-22T15:41:00Z</cp:lastPrinted>
  <dcterms:created xsi:type="dcterms:W3CDTF">2019-09-06T10:45:00Z</dcterms:created>
  <dcterms:modified xsi:type="dcterms:W3CDTF">2019-09-06T16:48:00Z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68e8b498-01b6-437e-a5d0-a6959ab8ea15</vt:lpwstr>
  </property>
</Properties>
</file>