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FA6A39B" w14:textId="77777777" w:rsidTr="00EB4E9C">
        <w:tc>
          <w:tcPr>
            <w:tcW w:w="6522" w:type="dxa"/>
          </w:tcPr>
          <w:p w14:paraId="4B2E3EEE" w14:textId="77777777" w:rsidR="00DC3802" w:rsidRPr="00AC2883" w:rsidRDefault="00DC3802" w:rsidP="00AC2883">
            <w:r>
              <w:rPr>
                <w:noProof/>
                <w:lang w:val="en-US" w:eastAsia="en-US" w:bidi="ar-SA"/>
              </w:rPr>
              <w:drawing>
                <wp:inline distT="0" distB="0" distL="0" distR="0" wp14:anchorId="1782E6DF" wp14:editId="13DFBA5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8312008" w14:textId="77777777" w:rsidR="00DC3802" w:rsidRPr="007C1D92" w:rsidRDefault="00630D2B" w:rsidP="00AC2883">
            <w:pPr>
              <w:pStyle w:val="Lettrine"/>
            </w:pPr>
            <w:r>
              <w:t>S</w:t>
            </w:r>
          </w:p>
        </w:tc>
      </w:tr>
      <w:tr w:rsidR="00DC3802" w:rsidRPr="00630D2B" w14:paraId="6E729A97" w14:textId="77777777" w:rsidTr="00645CA8">
        <w:trPr>
          <w:trHeight w:val="219"/>
        </w:trPr>
        <w:tc>
          <w:tcPr>
            <w:tcW w:w="6522" w:type="dxa"/>
          </w:tcPr>
          <w:p w14:paraId="56DF3CD6" w14:textId="77777777" w:rsidR="00DC3802" w:rsidRPr="00630D2B" w:rsidRDefault="00630D2B" w:rsidP="00AC2883">
            <w:pPr>
              <w:pStyle w:val="upove"/>
            </w:pPr>
            <w:r>
              <w:t>Unión Internacional para la Protección de las Obtenciones Vegetales</w:t>
            </w:r>
          </w:p>
        </w:tc>
        <w:tc>
          <w:tcPr>
            <w:tcW w:w="3117" w:type="dxa"/>
          </w:tcPr>
          <w:p w14:paraId="4D2DBB2D" w14:textId="77777777" w:rsidR="00DC3802" w:rsidRPr="00630D2B" w:rsidRDefault="00DC3802" w:rsidP="00DA4973"/>
        </w:tc>
      </w:tr>
    </w:tbl>
    <w:p w14:paraId="3DA18C9D" w14:textId="77777777" w:rsidR="00DC3802" w:rsidRPr="00630D2B" w:rsidRDefault="00DC3802" w:rsidP="00DC3802"/>
    <w:p w14:paraId="799C4351" w14:textId="77777777" w:rsidR="00DA4973" w:rsidRPr="00630D2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30D2B" w14:paraId="7BE913C0" w14:textId="77777777" w:rsidTr="00EB4E9C">
        <w:tc>
          <w:tcPr>
            <w:tcW w:w="6512" w:type="dxa"/>
          </w:tcPr>
          <w:p w14:paraId="7ACF63EC" w14:textId="77777777" w:rsidR="00630D2B" w:rsidRPr="00AC2883" w:rsidRDefault="00630D2B" w:rsidP="00630D2B">
            <w:pPr>
              <w:pStyle w:val="Sessiontc"/>
              <w:spacing w:line="240" w:lineRule="auto"/>
            </w:pPr>
            <w:r>
              <w:t>Comité Técnico</w:t>
            </w:r>
          </w:p>
          <w:p w14:paraId="01394B5A" w14:textId="77777777" w:rsidR="00EB4E9C" w:rsidRPr="00630D2B" w:rsidRDefault="00630D2B" w:rsidP="00630D2B">
            <w:pPr>
              <w:pStyle w:val="Sessiontcplacedate"/>
              <w:rPr>
                <w:sz w:val="22"/>
              </w:rPr>
            </w:pPr>
            <w:r>
              <w:t>Quincuagésima quinta sesión</w:t>
            </w:r>
            <w:r>
              <w:br/>
              <w:t>Ginebra, 28 y 29 de octubre de 2019</w:t>
            </w:r>
          </w:p>
        </w:tc>
        <w:tc>
          <w:tcPr>
            <w:tcW w:w="3127" w:type="dxa"/>
          </w:tcPr>
          <w:p w14:paraId="0E0C5D7E" w14:textId="77777777" w:rsidR="00EB4E9C" w:rsidRPr="003C7FBE" w:rsidRDefault="006D7435" w:rsidP="003C7FBE">
            <w:pPr>
              <w:pStyle w:val="Doccode"/>
            </w:pPr>
            <w:r>
              <w:t>TC/55/10 Add.</w:t>
            </w:r>
          </w:p>
          <w:p w14:paraId="0B6B5B2F" w14:textId="77777777" w:rsidR="00630D2B" w:rsidRPr="00630D2B" w:rsidRDefault="00630D2B" w:rsidP="00630D2B">
            <w:pPr>
              <w:pStyle w:val="Docoriginal"/>
            </w:pPr>
            <w:r>
              <w:t>Original:</w:t>
            </w:r>
            <w:r>
              <w:rPr>
                <w:b w:val="0"/>
                <w:spacing w:val="0"/>
              </w:rPr>
              <w:t xml:space="preserve"> Inglés</w:t>
            </w:r>
          </w:p>
          <w:p w14:paraId="3095BFBA" w14:textId="41E3A5FC" w:rsidR="00EB4E9C" w:rsidRPr="00630D2B" w:rsidRDefault="00630D2B" w:rsidP="00055858">
            <w:pPr>
              <w:pStyle w:val="Docoriginal"/>
            </w:pPr>
            <w:r>
              <w:t>Fecha:</w:t>
            </w:r>
            <w:r>
              <w:rPr>
                <w:b w:val="0"/>
                <w:spacing w:val="0"/>
              </w:rPr>
              <w:t xml:space="preserve"> </w:t>
            </w:r>
            <w:r w:rsidRPr="00055858">
              <w:rPr>
                <w:b w:val="0"/>
                <w:spacing w:val="0"/>
              </w:rPr>
              <w:t>2</w:t>
            </w:r>
            <w:r w:rsidR="00055858" w:rsidRPr="00055858">
              <w:rPr>
                <w:b w:val="0"/>
                <w:spacing w:val="0"/>
              </w:rPr>
              <w:t>1</w:t>
            </w:r>
            <w:r w:rsidRPr="00055858">
              <w:rPr>
                <w:b w:val="0"/>
                <w:spacing w:val="0"/>
              </w:rPr>
              <w:t xml:space="preserve"> de octubre de 2019</w:t>
            </w:r>
          </w:p>
        </w:tc>
      </w:tr>
    </w:tbl>
    <w:p w14:paraId="37A7B8C1" w14:textId="77777777" w:rsidR="000D7780" w:rsidRPr="006A644A" w:rsidRDefault="00C12286" w:rsidP="006A644A">
      <w:pPr>
        <w:pStyle w:val="Titleofdoc0"/>
      </w:pPr>
      <w:bookmarkStart w:id="0" w:name="TitleOfDoc"/>
      <w:bookmarkEnd w:id="0"/>
      <w:r>
        <w:t>Adición al documento: Cooperación internacional en materia de examen</w:t>
      </w:r>
    </w:p>
    <w:p w14:paraId="38679A0F" w14:textId="77777777" w:rsidR="00630D2B" w:rsidRPr="00630D2B" w:rsidRDefault="00630D2B" w:rsidP="00630D2B">
      <w:pPr>
        <w:pStyle w:val="preparedby1"/>
        <w:jc w:val="left"/>
      </w:pPr>
      <w:bookmarkStart w:id="1" w:name="Prepared"/>
      <w:bookmarkEnd w:id="1"/>
      <w:r>
        <w:t>Documento preparado por la Oficina de la Unión</w:t>
      </w:r>
    </w:p>
    <w:p w14:paraId="798DF209" w14:textId="77777777" w:rsidR="00630D2B" w:rsidRPr="00630D2B" w:rsidRDefault="00630D2B" w:rsidP="00630D2B">
      <w:pPr>
        <w:pStyle w:val="Disclaimer"/>
      </w:pPr>
      <w:r>
        <w:t>Descargo de responsabilidad: el presente documento no constituye un documento de política u orientación de la UPOV</w:t>
      </w:r>
    </w:p>
    <w:p w14:paraId="558B3323" w14:textId="77777777" w:rsidR="00C12286" w:rsidRDefault="00C12286" w:rsidP="00C12286">
      <w:r w:rsidRPr="00C050DC">
        <w:fldChar w:fldCharType="begin"/>
      </w:r>
      <w:r w:rsidRPr="00C050DC">
        <w:instrText xml:space="preserve"> AUTONUM  </w:instrText>
      </w:r>
      <w:r w:rsidRPr="00C050DC">
        <w:fldChar w:fldCharType="end"/>
      </w:r>
      <w:r>
        <w:tab/>
        <w:t>Esta adición tiene por objeto informar acerca de las novedades que se han producido en la trigésima séptima sesión del Grupo de Trabajo Técnico sobre Automatización y Programas Informáticos (TWC) en relación con la cooperación internacional en materia de examen de la distinción, la homogeneidad y la estabilidad (DHE).</w:t>
      </w:r>
    </w:p>
    <w:p w14:paraId="5835A6E5" w14:textId="77777777" w:rsidR="00C12286" w:rsidRDefault="00C12286" w:rsidP="00C12286"/>
    <w:p w14:paraId="1D508F96" w14:textId="77777777" w:rsidR="00C12286" w:rsidRPr="000E7351" w:rsidRDefault="00C12286" w:rsidP="00C12286">
      <w:pPr>
        <w:rPr>
          <w:rFonts w:cs="Arial"/>
          <w:color w:val="000000" w:themeColor="text1"/>
        </w:rPr>
      </w:pPr>
      <w:r w:rsidRPr="000E7351">
        <w:rPr>
          <w:rFonts w:cs="Arial"/>
          <w:color w:val="000000" w:themeColor="text1"/>
        </w:rPr>
        <w:fldChar w:fldCharType="begin"/>
      </w:r>
      <w:r w:rsidRPr="000E7351">
        <w:rPr>
          <w:rFonts w:cs="Arial"/>
          <w:color w:val="000000" w:themeColor="text1"/>
        </w:rPr>
        <w:instrText xml:space="preserve"> AUTONUM  </w:instrText>
      </w:r>
      <w:r w:rsidRPr="000E7351">
        <w:rPr>
          <w:rFonts w:cs="Arial"/>
          <w:color w:val="000000" w:themeColor="text1"/>
        </w:rPr>
        <w:fldChar w:fldCharType="end"/>
      </w:r>
      <w:r>
        <w:tab/>
      </w:r>
      <w:r>
        <w:rPr>
          <w:color w:val="000000" w:themeColor="text1"/>
        </w:rPr>
        <w:t>El TWC examinó el documento TWP/3/14 “</w:t>
      </w:r>
      <w:r>
        <w:rPr>
          <w:i/>
          <w:color w:val="000000" w:themeColor="text1"/>
        </w:rPr>
        <w:t>Cooperation in examination</w:t>
      </w:r>
      <w:r>
        <w:rPr>
          <w:color w:val="000000" w:themeColor="text1"/>
        </w:rPr>
        <w:t>” (Cooperación en materia de examen)</w:t>
      </w:r>
      <w:r>
        <w:t xml:space="preserve"> (véanse los párrafos 94 a 100 del documento TWC/37/12 “</w:t>
      </w:r>
      <w:r>
        <w:rPr>
          <w:i/>
        </w:rPr>
        <w:t>Report</w:t>
      </w:r>
      <w:r>
        <w:t>” (Informe)</w:t>
      </w:r>
    </w:p>
    <w:p w14:paraId="36A132A7" w14:textId="77777777" w:rsidR="00C12286" w:rsidRPr="000E7351" w:rsidRDefault="00C12286" w:rsidP="00C12286"/>
    <w:p w14:paraId="6120FD3E" w14:textId="77777777" w:rsidR="00C12286" w:rsidRPr="000E7351" w:rsidRDefault="00C12286" w:rsidP="00C12286">
      <w:r w:rsidRPr="000E7351">
        <w:fldChar w:fldCharType="begin"/>
      </w:r>
      <w:r w:rsidRPr="000E7351">
        <w:instrText xml:space="preserve"> AUTONUM  </w:instrText>
      </w:r>
      <w:r w:rsidRPr="000E7351">
        <w:fldChar w:fldCharType="end"/>
      </w:r>
      <w:r>
        <w:tab/>
        <w:t>El TWC tomó nota de los resultados del sondeo de la situación actual de los miembros de la Unión en lo relativo a la cooperación en materia de examen, expuestos en el Anexo del documento TWP/3/14.</w:t>
      </w:r>
    </w:p>
    <w:p w14:paraId="49A025CA" w14:textId="77777777" w:rsidR="00C12286" w:rsidRPr="000E7351" w:rsidRDefault="00C12286" w:rsidP="00C12286"/>
    <w:p w14:paraId="1FD6904D" w14:textId="77777777" w:rsidR="00C12286" w:rsidRPr="000E7351" w:rsidRDefault="00C12286" w:rsidP="00C12286">
      <w:r w:rsidRPr="000E7351">
        <w:fldChar w:fldCharType="begin"/>
      </w:r>
      <w:r w:rsidRPr="000E7351">
        <w:instrText xml:space="preserve"> AUTONUM  </w:instrText>
      </w:r>
      <w:r w:rsidRPr="000E7351">
        <w:fldChar w:fldCharType="end"/>
      </w:r>
      <w:r>
        <w:tab/>
        <w:t>El TWC tomó nota de que la Oficina de la UPOV invitará a los representantes en el Consejo a designar personas de enlace para la cooperación internacional en materia de examen DHE y de que la información recibida se publicará en el sitio web de la UPOV.</w:t>
      </w:r>
    </w:p>
    <w:p w14:paraId="056A8C41" w14:textId="77777777" w:rsidR="00C12286" w:rsidRPr="000E7351" w:rsidRDefault="00C12286" w:rsidP="00C12286"/>
    <w:p w14:paraId="63934884" w14:textId="77777777" w:rsidR="00C12286" w:rsidRPr="000E7351" w:rsidRDefault="00C12286" w:rsidP="00C12286">
      <w:r w:rsidRPr="000E7351">
        <w:fldChar w:fldCharType="begin"/>
      </w:r>
      <w:r w:rsidRPr="000E7351">
        <w:instrText xml:space="preserve"> AUTONUM  </w:instrText>
      </w:r>
      <w:r w:rsidRPr="000E7351">
        <w:fldChar w:fldCharType="end"/>
      </w:r>
      <w:r>
        <w:tab/>
        <w:t>El TWC tomó nota de que la cuestión de la cooperación internacional en materia de examen DHE se presentará como una introducción al punto del orden del día “Cooperación en materia de examen” durante el programa ordinario de los TWP, para explicar las posibilidades existentes de cooperación entre los miembros de la UPOV.</w:t>
      </w:r>
    </w:p>
    <w:p w14:paraId="2451E4EB" w14:textId="77777777" w:rsidR="00C12286" w:rsidRPr="000E7351" w:rsidRDefault="00C12286" w:rsidP="00C12286"/>
    <w:p w14:paraId="74C7D399" w14:textId="77777777" w:rsidR="00C12286" w:rsidRDefault="00C12286" w:rsidP="00C12286">
      <w:r w:rsidRPr="000E7351">
        <w:fldChar w:fldCharType="begin"/>
      </w:r>
      <w:r w:rsidRPr="000E7351">
        <w:instrText xml:space="preserve"> AUTONUM  </w:instrText>
      </w:r>
      <w:r w:rsidRPr="000E7351">
        <w:fldChar w:fldCharType="end"/>
      </w:r>
      <w:r>
        <w:tab/>
        <w:t>El TWC formó grupos de debate para examinar las cuestiones técnicas que impiden la cooperación en materia de examen DHE y la manera de solventar las cuestiones técnicas planteadas.</w:t>
      </w:r>
    </w:p>
    <w:p w14:paraId="310D98AF" w14:textId="77777777" w:rsidR="00C12286" w:rsidRPr="00D25332" w:rsidRDefault="00C12286" w:rsidP="00C12286"/>
    <w:p w14:paraId="71A72E0A" w14:textId="431EF529" w:rsidR="00C12286" w:rsidRPr="008C5149" w:rsidRDefault="00C12286" w:rsidP="00C12286">
      <w:r w:rsidRPr="00D25332">
        <w:fldChar w:fldCharType="begin"/>
      </w:r>
      <w:r w:rsidRPr="00D25332">
        <w:instrText xml:space="preserve"> AUTONUM  </w:instrText>
      </w:r>
      <w:r w:rsidRPr="00D25332">
        <w:fldChar w:fldCharType="end"/>
      </w:r>
      <w:r>
        <w:tab/>
        <w:t>El TWC tomó nota de las siguientes cuestiones técnicas planteadas por los participantes en los grupos de debate:</w:t>
      </w:r>
      <w:r w:rsidR="00D45F62">
        <w:t xml:space="preserve"> </w:t>
      </w:r>
    </w:p>
    <w:p w14:paraId="359E25E0" w14:textId="77777777" w:rsidR="00C12286" w:rsidRPr="00202CF5" w:rsidRDefault="00C12286" w:rsidP="00C12286">
      <w:pPr>
        <w:rPr>
          <w:rFonts w:eastAsiaTheme="minorEastAsia"/>
          <w:sz w:val="18"/>
        </w:rPr>
      </w:pPr>
    </w:p>
    <w:tbl>
      <w:tblPr>
        <w:tblW w:w="8897"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7"/>
      </w:tblGrid>
      <w:tr w:rsidR="00C12286" w:rsidRPr="008C5149" w14:paraId="54E574ED" w14:textId="77777777" w:rsidTr="005F38E0">
        <w:tc>
          <w:tcPr>
            <w:tcW w:w="8897" w:type="dxa"/>
            <w:shd w:val="clear" w:color="auto" w:fill="auto"/>
          </w:tcPr>
          <w:p w14:paraId="0F1FE01D" w14:textId="77777777" w:rsidR="00C12286" w:rsidRPr="002F2AE8" w:rsidRDefault="00C12286" w:rsidP="005F38E0">
            <w:pPr>
              <w:jc w:val="left"/>
              <w:rPr>
                <w:sz w:val="18"/>
                <w:highlight w:val="yellow"/>
              </w:rPr>
            </w:pPr>
            <w:r>
              <w:rPr>
                <w:sz w:val="18"/>
              </w:rPr>
              <w:t>Diferente composición y tamaño de la colección de variedades.</w:t>
            </w:r>
            <w:r>
              <w:t xml:space="preserve"> </w:t>
            </w:r>
          </w:p>
        </w:tc>
      </w:tr>
      <w:tr w:rsidR="00C12286" w:rsidRPr="008C5149" w14:paraId="46ACCB38" w14:textId="77777777" w:rsidTr="005F38E0">
        <w:tc>
          <w:tcPr>
            <w:tcW w:w="8897" w:type="dxa"/>
            <w:shd w:val="clear" w:color="auto" w:fill="auto"/>
          </w:tcPr>
          <w:p w14:paraId="01C39160" w14:textId="77777777" w:rsidR="00C12286" w:rsidRPr="002F2AE8" w:rsidRDefault="00C12286" w:rsidP="005F38E0">
            <w:pPr>
              <w:jc w:val="left"/>
              <w:rPr>
                <w:sz w:val="18"/>
                <w:highlight w:val="yellow"/>
              </w:rPr>
            </w:pPr>
            <w:r>
              <w:rPr>
                <w:sz w:val="18"/>
              </w:rPr>
              <w:t>Diferentes protocolos para los marcadores moleculares</w:t>
            </w:r>
          </w:p>
        </w:tc>
      </w:tr>
      <w:tr w:rsidR="00C12286" w:rsidRPr="008C5149" w14:paraId="1CBAE610" w14:textId="77777777" w:rsidTr="005F38E0">
        <w:tc>
          <w:tcPr>
            <w:tcW w:w="8897" w:type="dxa"/>
            <w:shd w:val="clear" w:color="auto" w:fill="auto"/>
          </w:tcPr>
          <w:p w14:paraId="6DFCF7CA" w14:textId="77777777" w:rsidR="00C12286" w:rsidRPr="002F2AE8" w:rsidRDefault="00C12286" w:rsidP="005F38E0">
            <w:pPr>
              <w:jc w:val="left"/>
              <w:rPr>
                <w:sz w:val="18"/>
                <w:highlight w:val="yellow"/>
              </w:rPr>
            </w:pPr>
            <w:r>
              <w:rPr>
                <w:sz w:val="18"/>
              </w:rPr>
              <w:t>Diferentes criterios para determinar la distinción</w:t>
            </w:r>
          </w:p>
        </w:tc>
      </w:tr>
      <w:tr w:rsidR="00C12286" w:rsidRPr="008C5149" w14:paraId="54A53339" w14:textId="77777777" w:rsidTr="005F38E0">
        <w:tc>
          <w:tcPr>
            <w:tcW w:w="8897" w:type="dxa"/>
            <w:shd w:val="clear" w:color="auto" w:fill="auto"/>
          </w:tcPr>
          <w:p w14:paraId="4918BA05" w14:textId="77777777" w:rsidR="00C12286" w:rsidRPr="002F2AE8" w:rsidRDefault="00C12286" w:rsidP="005F38E0">
            <w:pPr>
              <w:jc w:val="left"/>
              <w:rPr>
                <w:sz w:val="18"/>
                <w:highlight w:val="yellow"/>
              </w:rPr>
            </w:pPr>
            <w:r>
              <w:rPr>
                <w:sz w:val="18"/>
              </w:rPr>
              <w:t xml:space="preserve">Diferentes directrices nacionales de examen </w:t>
            </w:r>
          </w:p>
        </w:tc>
      </w:tr>
      <w:tr w:rsidR="00C12286" w:rsidRPr="008C5149" w14:paraId="18DEA2BD" w14:textId="77777777" w:rsidTr="005F38E0">
        <w:tc>
          <w:tcPr>
            <w:tcW w:w="8897" w:type="dxa"/>
            <w:shd w:val="clear" w:color="auto" w:fill="auto"/>
          </w:tcPr>
          <w:p w14:paraId="60AAF0A4" w14:textId="77777777" w:rsidR="00C12286" w:rsidRPr="002F2AE8" w:rsidRDefault="00C12286" w:rsidP="005F38E0">
            <w:pPr>
              <w:jc w:val="left"/>
              <w:rPr>
                <w:sz w:val="18"/>
                <w:highlight w:val="yellow"/>
              </w:rPr>
            </w:pPr>
            <w:r>
              <w:rPr>
                <w:sz w:val="18"/>
              </w:rPr>
              <w:t>Barreras lingüísticas</w:t>
            </w:r>
          </w:p>
        </w:tc>
      </w:tr>
      <w:tr w:rsidR="00C12286" w:rsidRPr="008C5149" w14:paraId="5632831F" w14:textId="77777777" w:rsidTr="005F38E0">
        <w:tc>
          <w:tcPr>
            <w:tcW w:w="8897" w:type="dxa"/>
            <w:shd w:val="clear" w:color="auto" w:fill="auto"/>
          </w:tcPr>
          <w:p w14:paraId="3015FA5D" w14:textId="77777777" w:rsidR="00C12286" w:rsidRPr="002F2AE8" w:rsidRDefault="00C12286" w:rsidP="005F38E0">
            <w:pPr>
              <w:jc w:val="left"/>
              <w:rPr>
                <w:sz w:val="18"/>
                <w:highlight w:val="yellow"/>
              </w:rPr>
            </w:pPr>
            <w:r>
              <w:rPr>
                <w:sz w:val="18"/>
              </w:rPr>
              <w:t>Formalidades fitosanitarias</w:t>
            </w:r>
          </w:p>
        </w:tc>
      </w:tr>
      <w:tr w:rsidR="00C12286" w:rsidRPr="008C5149" w14:paraId="40E49B41" w14:textId="77777777" w:rsidTr="005F38E0">
        <w:tc>
          <w:tcPr>
            <w:tcW w:w="8897" w:type="dxa"/>
            <w:shd w:val="clear" w:color="auto" w:fill="auto"/>
          </w:tcPr>
          <w:p w14:paraId="6ADD2516" w14:textId="77777777" w:rsidR="00C12286" w:rsidRPr="002F2AE8" w:rsidRDefault="00C12286" w:rsidP="005F38E0">
            <w:pPr>
              <w:jc w:val="left"/>
              <w:rPr>
                <w:sz w:val="18"/>
                <w:highlight w:val="yellow"/>
              </w:rPr>
            </w:pPr>
            <w:r>
              <w:rPr>
                <w:sz w:val="18"/>
              </w:rPr>
              <w:t>Dificultades en los procedimientos administrativos</w:t>
            </w:r>
          </w:p>
        </w:tc>
      </w:tr>
    </w:tbl>
    <w:p w14:paraId="1D24D393" w14:textId="751D7E8C" w:rsidR="00055858" w:rsidRDefault="00055858" w:rsidP="00C12286"/>
    <w:p w14:paraId="078CB17B" w14:textId="77777777" w:rsidR="00055858" w:rsidRDefault="00055858">
      <w:pPr>
        <w:jc w:val="left"/>
      </w:pPr>
      <w:r>
        <w:br w:type="page"/>
      </w:r>
    </w:p>
    <w:p w14:paraId="28D56268" w14:textId="28F334FE" w:rsidR="00D45F62" w:rsidRDefault="00C12286" w:rsidP="00C12286">
      <w:r w:rsidRPr="00D25332">
        <w:lastRenderedPageBreak/>
        <w:fldChar w:fldCharType="begin"/>
      </w:r>
      <w:r w:rsidRPr="00D25332">
        <w:instrText xml:space="preserve"> AUTONUM  </w:instrText>
      </w:r>
      <w:r w:rsidRPr="00D25332">
        <w:fldChar w:fldCharType="end"/>
      </w:r>
      <w:r>
        <w:tab/>
        <w:t>El TWC tomó nota de las siguientes propuestas formuladas por los participantes en los grupos de debate para solventar las cuestiones técnicas planteadas:</w:t>
      </w:r>
    </w:p>
    <w:p w14:paraId="19889CC7" w14:textId="77777777" w:rsidR="00C12286" w:rsidRPr="008C5149" w:rsidRDefault="00C12286" w:rsidP="00C12286">
      <w:pPr>
        <w:rPr>
          <w:rFonts w:eastAsiaTheme="minorEastAsia"/>
          <w:u w:val="single"/>
        </w:rPr>
      </w:pPr>
    </w:p>
    <w:p w14:paraId="1D2CE582" w14:textId="77777777" w:rsidR="00C12286" w:rsidRPr="00202CF5" w:rsidRDefault="00C12286" w:rsidP="00C12286">
      <w:pPr>
        <w:ind w:left="567"/>
        <w:outlineLvl w:val="3"/>
        <w:rPr>
          <w:rFonts w:eastAsiaTheme="minorEastAsia"/>
          <w:sz w:val="18"/>
          <w:u w:val="single"/>
        </w:rPr>
      </w:pPr>
    </w:p>
    <w:tbl>
      <w:tblPr>
        <w:tblW w:w="8897"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97"/>
      </w:tblGrid>
      <w:tr w:rsidR="00C12286" w:rsidRPr="008C5149" w14:paraId="26591E6A" w14:textId="77777777" w:rsidTr="005F38E0">
        <w:tc>
          <w:tcPr>
            <w:tcW w:w="8897" w:type="dxa"/>
          </w:tcPr>
          <w:p w14:paraId="5E6D68C4" w14:textId="77777777" w:rsidR="00C12286" w:rsidRPr="002F2AE8" w:rsidRDefault="00C12286" w:rsidP="005F38E0">
            <w:pPr>
              <w:jc w:val="left"/>
              <w:rPr>
                <w:sz w:val="18"/>
                <w:highlight w:val="yellow"/>
              </w:rPr>
            </w:pPr>
            <w:r>
              <w:rPr>
                <w:sz w:val="18"/>
              </w:rPr>
              <w:t>Concepción de la estructura general de las bases de datos</w:t>
            </w:r>
          </w:p>
        </w:tc>
      </w:tr>
      <w:tr w:rsidR="00C12286" w:rsidRPr="008C5149" w14:paraId="0182A2A8" w14:textId="77777777" w:rsidTr="005F38E0">
        <w:tc>
          <w:tcPr>
            <w:tcW w:w="8897" w:type="dxa"/>
          </w:tcPr>
          <w:p w14:paraId="43F0A1F9" w14:textId="77777777" w:rsidR="00C12286" w:rsidRPr="002F2AE8" w:rsidRDefault="00C12286" w:rsidP="005F38E0">
            <w:pPr>
              <w:jc w:val="left"/>
              <w:rPr>
                <w:sz w:val="18"/>
                <w:highlight w:val="yellow"/>
              </w:rPr>
            </w:pPr>
            <w:r>
              <w:rPr>
                <w:sz w:val="18"/>
              </w:rPr>
              <w:t xml:space="preserve">Directrices para crear bases de datos </w:t>
            </w:r>
          </w:p>
        </w:tc>
      </w:tr>
      <w:tr w:rsidR="00C12286" w:rsidRPr="008C5149" w14:paraId="13935E54" w14:textId="77777777" w:rsidTr="005F38E0">
        <w:tc>
          <w:tcPr>
            <w:tcW w:w="8897" w:type="dxa"/>
          </w:tcPr>
          <w:p w14:paraId="0BA6A84E" w14:textId="77777777" w:rsidR="00C12286" w:rsidRPr="002F2AE8" w:rsidRDefault="00C12286" w:rsidP="005F38E0">
            <w:pPr>
              <w:jc w:val="left"/>
              <w:rPr>
                <w:sz w:val="18"/>
                <w:highlight w:val="yellow"/>
              </w:rPr>
            </w:pPr>
            <w:r>
              <w:rPr>
                <w:sz w:val="18"/>
              </w:rPr>
              <w:t>Datos validados de los perfiles de SNP de variedades de diferentes cultivos</w:t>
            </w:r>
          </w:p>
        </w:tc>
      </w:tr>
      <w:tr w:rsidR="00C12286" w:rsidRPr="008C5149" w14:paraId="03938B05" w14:textId="77777777" w:rsidTr="005F38E0">
        <w:tc>
          <w:tcPr>
            <w:tcW w:w="8897" w:type="dxa"/>
          </w:tcPr>
          <w:p w14:paraId="17967F04" w14:textId="77777777" w:rsidR="00C12286" w:rsidRPr="002F2AE8" w:rsidRDefault="00C12286" w:rsidP="005F38E0">
            <w:pPr>
              <w:jc w:val="left"/>
              <w:rPr>
                <w:sz w:val="18"/>
                <w:highlight w:val="yellow"/>
              </w:rPr>
            </w:pPr>
            <w:r>
              <w:rPr>
                <w:sz w:val="18"/>
              </w:rPr>
              <w:t>Desarrollo de una plataforma de armonización de conjuntos de SNP y programas informáticos</w:t>
            </w:r>
          </w:p>
        </w:tc>
      </w:tr>
      <w:tr w:rsidR="00C12286" w:rsidRPr="008C5149" w14:paraId="5F3AAC37" w14:textId="77777777" w:rsidTr="005F38E0">
        <w:tc>
          <w:tcPr>
            <w:tcW w:w="8897" w:type="dxa"/>
          </w:tcPr>
          <w:p w14:paraId="4E48F062" w14:textId="77777777" w:rsidR="00C12286" w:rsidRPr="002F2AE8" w:rsidRDefault="00C12286" w:rsidP="005F38E0">
            <w:pPr>
              <w:jc w:val="left"/>
              <w:rPr>
                <w:sz w:val="18"/>
              </w:rPr>
            </w:pPr>
            <w:r>
              <w:rPr>
                <w:sz w:val="18"/>
              </w:rPr>
              <w:t>Intercambio de información sobre maquinaria y equipos para el examen DHE</w:t>
            </w:r>
          </w:p>
        </w:tc>
      </w:tr>
      <w:tr w:rsidR="00C12286" w:rsidRPr="008C5149" w14:paraId="7E9D01D4" w14:textId="77777777" w:rsidTr="005F38E0">
        <w:tc>
          <w:tcPr>
            <w:tcW w:w="8897" w:type="dxa"/>
          </w:tcPr>
          <w:p w14:paraId="68ED9C95" w14:textId="77777777" w:rsidR="00C12286" w:rsidRPr="002F2AE8" w:rsidRDefault="00C12286" w:rsidP="005F38E0">
            <w:pPr>
              <w:jc w:val="left"/>
              <w:rPr>
                <w:sz w:val="18"/>
                <w:highlight w:val="yellow"/>
              </w:rPr>
            </w:pPr>
          </w:p>
        </w:tc>
      </w:tr>
      <w:tr w:rsidR="00C12286" w:rsidRPr="008C5149" w14:paraId="2E43D694" w14:textId="77777777" w:rsidTr="005F38E0">
        <w:tc>
          <w:tcPr>
            <w:tcW w:w="8897" w:type="dxa"/>
          </w:tcPr>
          <w:p w14:paraId="685C0BF6" w14:textId="77777777" w:rsidR="00C12286" w:rsidRPr="002F2AE8" w:rsidRDefault="00C12286" w:rsidP="005F38E0">
            <w:pPr>
              <w:jc w:val="left"/>
              <w:rPr>
                <w:sz w:val="18"/>
                <w:highlight w:val="yellow"/>
              </w:rPr>
            </w:pPr>
            <w:r>
              <w:rPr>
                <w:sz w:val="18"/>
                <w:u w:val="single"/>
              </w:rPr>
              <w:t>Medios electrónicos</w:t>
            </w:r>
          </w:p>
        </w:tc>
      </w:tr>
      <w:tr w:rsidR="00C12286" w:rsidRPr="008C5149" w14:paraId="37E16E41" w14:textId="77777777" w:rsidTr="005F38E0">
        <w:tc>
          <w:tcPr>
            <w:tcW w:w="8897" w:type="dxa"/>
          </w:tcPr>
          <w:p w14:paraId="7B8BA90E" w14:textId="77777777" w:rsidR="00C12286" w:rsidRPr="002F2AE8" w:rsidRDefault="00C12286" w:rsidP="005F38E0">
            <w:pPr>
              <w:jc w:val="left"/>
              <w:rPr>
                <w:sz w:val="18"/>
                <w:highlight w:val="yellow"/>
              </w:rPr>
            </w:pPr>
            <w:r>
              <w:rPr>
                <w:sz w:val="18"/>
              </w:rPr>
              <w:t>Plataforma armonizada en XML</w:t>
            </w:r>
          </w:p>
        </w:tc>
      </w:tr>
      <w:tr w:rsidR="00C12286" w:rsidRPr="008C5149" w14:paraId="2C79B23F" w14:textId="77777777" w:rsidTr="005F38E0">
        <w:tc>
          <w:tcPr>
            <w:tcW w:w="8897" w:type="dxa"/>
          </w:tcPr>
          <w:p w14:paraId="5E4F8A4E" w14:textId="77777777" w:rsidR="00C12286" w:rsidRPr="002F2AE8" w:rsidRDefault="00C12286" w:rsidP="005F38E0">
            <w:pPr>
              <w:jc w:val="left"/>
              <w:rPr>
                <w:sz w:val="18"/>
                <w:highlight w:val="yellow"/>
              </w:rPr>
            </w:pPr>
            <w:r>
              <w:rPr>
                <w:sz w:val="18"/>
              </w:rPr>
              <w:t>Conjunto de datos de cultivos en la “nube”</w:t>
            </w:r>
          </w:p>
        </w:tc>
      </w:tr>
      <w:tr w:rsidR="00C12286" w:rsidRPr="008C5149" w14:paraId="50547659" w14:textId="77777777" w:rsidTr="005F38E0">
        <w:tc>
          <w:tcPr>
            <w:tcW w:w="8897" w:type="dxa"/>
          </w:tcPr>
          <w:p w14:paraId="53B7E18B" w14:textId="77777777" w:rsidR="00C12286" w:rsidRPr="002F2AE8" w:rsidRDefault="00C12286" w:rsidP="005F38E0">
            <w:pPr>
              <w:jc w:val="left"/>
              <w:rPr>
                <w:sz w:val="18"/>
                <w:highlight w:val="yellow"/>
              </w:rPr>
            </w:pPr>
            <w:r>
              <w:rPr>
                <w:sz w:val="18"/>
              </w:rPr>
              <w:t>Creación y utilización conjunta de medios electrónicos</w:t>
            </w:r>
          </w:p>
        </w:tc>
      </w:tr>
      <w:tr w:rsidR="00C12286" w:rsidRPr="008C5149" w14:paraId="50F41F53" w14:textId="77777777" w:rsidTr="005F38E0">
        <w:tc>
          <w:tcPr>
            <w:tcW w:w="8897" w:type="dxa"/>
          </w:tcPr>
          <w:p w14:paraId="534D20E7" w14:textId="77777777" w:rsidR="00C12286" w:rsidRPr="001F4240" w:rsidRDefault="00C12286" w:rsidP="005F38E0">
            <w:pPr>
              <w:jc w:val="left"/>
              <w:rPr>
                <w:sz w:val="18"/>
              </w:rPr>
            </w:pPr>
            <w:r>
              <w:rPr>
                <w:sz w:val="18"/>
              </w:rPr>
              <w:t>“Pasaporte genético” de variedades para su identificación y para la defensa de los derechos de obtentor</w:t>
            </w:r>
          </w:p>
        </w:tc>
      </w:tr>
    </w:tbl>
    <w:p w14:paraId="40629216" w14:textId="27AB8308" w:rsidR="00202CF5" w:rsidRPr="00055858" w:rsidRDefault="00202CF5">
      <w:pPr>
        <w:jc w:val="right"/>
      </w:pPr>
    </w:p>
    <w:p w14:paraId="79CEA10B" w14:textId="6D57AEA4" w:rsidR="00D45F62" w:rsidRDefault="00D45F62">
      <w:pPr>
        <w:jc w:val="right"/>
      </w:pPr>
    </w:p>
    <w:p w14:paraId="57D3C8E2" w14:textId="77777777" w:rsidR="00055858" w:rsidRPr="00055858" w:rsidRDefault="00055858">
      <w:pPr>
        <w:jc w:val="right"/>
      </w:pPr>
      <w:bookmarkStart w:id="2" w:name="_GoBack"/>
      <w:bookmarkEnd w:id="2"/>
    </w:p>
    <w:p w14:paraId="208B3527" w14:textId="77777777" w:rsidR="009C557E" w:rsidRPr="00C5280D" w:rsidRDefault="009C557E">
      <w:pPr>
        <w:jc w:val="right"/>
      </w:pPr>
      <w:r>
        <w:t>[Fin del documento]</w:t>
      </w:r>
    </w:p>
    <w:sectPr w:rsidR="009C557E" w:rsidRPr="00C5280D" w:rsidSect="00C62895">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CA156" w14:textId="77777777" w:rsidR="00545735" w:rsidRDefault="00545735" w:rsidP="006655D3">
      <w:r>
        <w:separator/>
      </w:r>
    </w:p>
    <w:p w14:paraId="7BC64E62" w14:textId="77777777" w:rsidR="00545735" w:rsidRDefault="00545735" w:rsidP="006655D3"/>
    <w:p w14:paraId="01BA0642" w14:textId="77777777" w:rsidR="00545735" w:rsidRDefault="00545735" w:rsidP="006655D3"/>
  </w:endnote>
  <w:endnote w:type="continuationSeparator" w:id="0">
    <w:p w14:paraId="77878CD4" w14:textId="77777777" w:rsidR="00545735" w:rsidRDefault="00545735" w:rsidP="006655D3">
      <w:r>
        <w:separator/>
      </w:r>
    </w:p>
    <w:p w14:paraId="2632AABC" w14:textId="77777777" w:rsidR="00545735" w:rsidRPr="00294751" w:rsidRDefault="00545735">
      <w:pPr>
        <w:pStyle w:val="Footer"/>
        <w:spacing w:after="60"/>
        <w:rPr>
          <w:sz w:val="18"/>
          <w:lang w:val="fr-FR"/>
        </w:rPr>
      </w:pPr>
      <w:r w:rsidRPr="00294751">
        <w:rPr>
          <w:sz w:val="18"/>
          <w:lang w:val="fr-FR"/>
        </w:rPr>
        <w:t>[Suite de la note de la page précédente]</w:t>
      </w:r>
    </w:p>
    <w:p w14:paraId="00CCC2BF" w14:textId="77777777" w:rsidR="00545735" w:rsidRPr="00294751" w:rsidRDefault="00545735" w:rsidP="006655D3">
      <w:pPr>
        <w:rPr>
          <w:lang w:val="fr-FR"/>
        </w:rPr>
      </w:pPr>
    </w:p>
    <w:p w14:paraId="4A57C1B3" w14:textId="77777777" w:rsidR="00545735" w:rsidRPr="00294751" w:rsidRDefault="00545735" w:rsidP="006655D3">
      <w:pPr>
        <w:rPr>
          <w:lang w:val="fr-FR"/>
        </w:rPr>
      </w:pPr>
    </w:p>
  </w:endnote>
  <w:endnote w:type="continuationNotice" w:id="1">
    <w:p w14:paraId="01EAF927" w14:textId="77777777" w:rsidR="00545735" w:rsidRPr="00294751" w:rsidRDefault="00545735" w:rsidP="006655D3">
      <w:pPr>
        <w:rPr>
          <w:lang w:val="fr-FR"/>
        </w:rPr>
      </w:pPr>
      <w:r w:rsidRPr="00294751">
        <w:rPr>
          <w:lang w:val="fr-FR"/>
        </w:rPr>
        <w:t>[Suite de la note page suivante]</w:t>
      </w:r>
    </w:p>
    <w:p w14:paraId="2E6501EB" w14:textId="77777777" w:rsidR="00545735" w:rsidRPr="00294751" w:rsidRDefault="00545735" w:rsidP="006655D3">
      <w:pPr>
        <w:rPr>
          <w:lang w:val="fr-FR"/>
        </w:rPr>
      </w:pPr>
    </w:p>
    <w:p w14:paraId="7407696A" w14:textId="77777777" w:rsidR="00545735" w:rsidRPr="00294751" w:rsidRDefault="0054573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8216B" w14:textId="77777777" w:rsidR="00545735" w:rsidRDefault="00545735" w:rsidP="006655D3">
      <w:r>
        <w:separator/>
      </w:r>
    </w:p>
  </w:footnote>
  <w:footnote w:type="continuationSeparator" w:id="0">
    <w:p w14:paraId="78036793" w14:textId="77777777" w:rsidR="00545735" w:rsidRDefault="00545735" w:rsidP="006655D3">
      <w:r>
        <w:separator/>
      </w:r>
    </w:p>
  </w:footnote>
  <w:footnote w:type="continuationNotice" w:id="1">
    <w:p w14:paraId="3D73DA87" w14:textId="77777777" w:rsidR="00545735" w:rsidRPr="00AB530F" w:rsidRDefault="0054573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1A61" w14:textId="72EC62E3" w:rsidR="003C0DE3" w:rsidRPr="00C5280D" w:rsidRDefault="003C0DE3" w:rsidP="009C557E">
    <w:pPr>
      <w:pStyle w:val="Header"/>
      <w:rPr>
        <w:rStyle w:val="PageNumber"/>
      </w:rPr>
    </w:pPr>
    <w:r>
      <w:rPr>
        <w:rStyle w:val="PageNumber"/>
      </w:rPr>
      <w:t>TC/55/10</w:t>
    </w:r>
    <w:r w:rsidR="00055858">
      <w:rPr>
        <w:rStyle w:val="PageNumber"/>
      </w:rPr>
      <w:t xml:space="preserve"> </w:t>
    </w:r>
    <w:proofErr w:type="spellStart"/>
    <w:r w:rsidR="00055858">
      <w:rPr>
        <w:rStyle w:val="PageNumber"/>
      </w:rPr>
      <w:t>Add</w:t>
    </w:r>
    <w:proofErr w:type="spellEnd"/>
    <w:r w:rsidR="00055858">
      <w:rPr>
        <w:rStyle w:val="PageNumber"/>
      </w:rPr>
      <w:t>.</w:t>
    </w:r>
  </w:p>
  <w:p w14:paraId="0032B756" w14:textId="0FC93016" w:rsidR="003C0DE3" w:rsidRDefault="00630D2B" w:rsidP="009C557E">
    <w:pPr>
      <w:jc w:val="center"/>
      <w:rPr>
        <w:rStyle w:val="PageNumber"/>
      </w:rPr>
    </w:pPr>
    <w:r>
      <w:t xml:space="preserve">Anexo, página </w:t>
    </w:r>
    <w:r w:rsidR="003C0DE3" w:rsidRPr="00C5280D">
      <w:rPr>
        <w:rStyle w:val="PageNumber"/>
      </w:rPr>
      <w:fldChar w:fldCharType="begin"/>
    </w:r>
    <w:r w:rsidR="003C0DE3" w:rsidRPr="00C5280D">
      <w:rPr>
        <w:rStyle w:val="PageNumber"/>
      </w:rPr>
      <w:instrText xml:space="preserve"> PAGE </w:instrText>
    </w:r>
    <w:r w:rsidR="003C0DE3" w:rsidRPr="00C5280D">
      <w:rPr>
        <w:rStyle w:val="PageNumber"/>
      </w:rPr>
      <w:fldChar w:fldCharType="separate"/>
    </w:r>
    <w:r w:rsidR="00055858">
      <w:rPr>
        <w:rStyle w:val="PageNumber"/>
        <w:noProof/>
      </w:rPr>
      <w:t>2</w:t>
    </w:r>
    <w:r w:rsidR="003C0DE3" w:rsidRPr="00C5280D">
      <w:rPr>
        <w:rStyle w:val="PageNumber"/>
      </w:rPr>
      <w:fldChar w:fldCharType="end"/>
    </w:r>
  </w:p>
  <w:p w14:paraId="34B00548" w14:textId="77777777" w:rsidR="003C0DE3" w:rsidRPr="00C5280D" w:rsidRDefault="003C0DE3" w:rsidP="009C557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7350D"/>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F4AD7"/>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71D43502"/>
    <w:multiLevelType w:val="hybridMultilevel"/>
    <w:tmpl w:val="403CCCF6"/>
    <w:lvl w:ilvl="0" w:tplc="5F3E60FC">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14"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7"/>
  </w:num>
  <w:num w:numId="5">
    <w:abstractNumId w:val="1"/>
  </w:num>
  <w:num w:numId="6">
    <w:abstractNumId w:val="4"/>
  </w:num>
  <w:num w:numId="7">
    <w:abstractNumId w:val="15"/>
  </w:num>
  <w:num w:numId="8">
    <w:abstractNumId w:val="2"/>
  </w:num>
  <w:num w:numId="9">
    <w:abstractNumId w:val="11"/>
  </w:num>
  <w:num w:numId="10">
    <w:abstractNumId w:val="12"/>
  </w:num>
  <w:num w:numId="11">
    <w:abstractNumId w:val="6"/>
  </w:num>
  <w:num w:numId="12">
    <w:abstractNumId w:val="13"/>
  </w:num>
  <w:num w:numId="13">
    <w:abstractNumId w:val="5"/>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fr-FR" w:vendorID="64" w:dllVersion="6" w:nlCheck="1" w:checkStyle="0"/>
  <w:activeWritingStyle w:appName="MSWord" w:lang="es-419" w:vendorID="64" w:dllVersion="6" w:nlCheck="1" w:checkStyle="0"/>
  <w:activeWritingStyle w:appName="MSWord" w:lang="es-ES" w:vendorID="64" w:dllVersion="4096"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3CD1"/>
    <w:rsid w:val="00010CF3"/>
    <w:rsid w:val="00011E27"/>
    <w:rsid w:val="000148BC"/>
    <w:rsid w:val="00015871"/>
    <w:rsid w:val="00023A65"/>
    <w:rsid w:val="00024AB8"/>
    <w:rsid w:val="00027E9F"/>
    <w:rsid w:val="00030854"/>
    <w:rsid w:val="00036028"/>
    <w:rsid w:val="00044642"/>
    <w:rsid w:val="000446B9"/>
    <w:rsid w:val="00046EB9"/>
    <w:rsid w:val="00047E21"/>
    <w:rsid w:val="00050E16"/>
    <w:rsid w:val="00055076"/>
    <w:rsid w:val="00055858"/>
    <w:rsid w:val="00085505"/>
    <w:rsid w:val="00087629"/>
    <w:rsid w:val="000A1136"/>
    <w:rsid w:val="000C1318"/>
    <w:rsid w:val="000C4E25"/>
    <w:rsid w:val="000C7021"/>
    <w:rsid w:val="000D6BBC"/>
    <w:rsid w:val="000D6E6E"/>
    <w:rsid w:val="000D7780"/>
    <w:rsid w:val="000E1E09"/>
    <w:rsid w:val="000E636A"/>
    <w:rsid w:val="000F2F11"/>
    <w:rsid w:val="00105929"/>
    <w:rsid w:val="00110C36"/>
    <w:rsid w:val="00112823"/>
    <w:rsid w:val="001131D5"/>
    <w:rsid w:val="00113698"/>
    <w:rsid w:val="00137BF0"/>
    <w:rsid w:val="00141DB8"/>
    <w:rsid w:val="00143E18"/>
    <w:rsid w:val="00145E52"/>
    <w:rsid w:val="0014691F"/>
    <w:rsid w:val="001544CB"/>
    <w:rsid w:val="00162CCA"/>
    <w:rsid w:val="00166F81"/>
    <w:rsid w:val="00170EEE"/>
    <w:rsid w:val="00172084"/>
    <w:rsid w:val="0017474A"/>
    <w:rsid w:val="001758C6"/>
    <w:rsid w:val="0017637F"/>
    <w:rsid w:val="00182B99"/>
    <w:rsid w:val="001A3CBC"/>
    <w:rsid w:val="001A473A"/>
    <w:rsid w:val="001C4B05"/>
    <w:rsid w:val="001D36AC"/>
    <w:rsid w:val="001E77A0"/>
    <w:rsid w:val="00202CF5"/>
    <w:rsid w:val="00212640"/>
    <w:rsid w:val="0021332C"/>
    <w:rsid w:val="00213982"/>
    <w:rsid w:val="002231F9"/>
    <w:rsid w:val="0023250E"/>
    <w:rsid w:val="0024416D"/>
    <w:rsid w:val="0026433B"/>
    <w:rsid w:val="00271911"/>
    <w:rsid w:val="002800A0"/>
    <w:rsid w:val="002801B3"/>
    <w:rsid w:val="00281060"/>
    <w:rsid w:val="00286A63"/>
    <w:rsid w:val="002940E8"/>
    <w:rsid w:val="00294751"/>
    <w:rsid w:val="002A6E50"/>
    <w:rsid w:val="002B4298"/>
    <w:rsid w:val="002C256A"/>
    <w:rsid w:val="002D6C3F"/>
    <w:rsid w:val="002E65D3"/>
    <w:rsid w:val="002F0CA6"/>
    <w:rsid w:val="00304827"/>
    <w:rsid w:val="00305A7F"/>
    <w:rsid w:val="003152FE"/>
    <w:rsid w:val="00315FD2"/>
    <w:rsid w:val="00321EDE"/>
    <w:rsid w:val="00327436"/>
    <w:rsid w:val="00337AD6"/>
    <w:rsid w:val="00344BD6"/>
    <w:rsid w:val="003477E7"/>
    <w:rsid w:val="00352B86"/>
    <w:rsid w:val="0035528D"/>
    <w:rsid w:val="00361821"/>
    <w:rsid w:val="00361E9E"/>
    <w:rsid w:val="00362D9E"/>
    <w:rsid w:val="00377974"/>
    <w:rsid w:val="00382007"/>
    <w:rsid w:val="003A0954"/>
    <w:rsid w:val="003A1FBC"/>
    <w:rsid w:val="003A2A79"/>
    <w:rsid w:val="003C0DE3"/>
    <w:rsid w:val="003C2562"/>
    <w:rsid w:val="003C7FBE"/>
    <w:rsid w:val="003D227C"/>
    <w:rsid w:val="003D2B4D"/>
    <w:rsid w:val="003D41CD"/>
    <w:rsid w:val="003E646B"/>
    <w:rsid w:val="003F1C87"/>
    <w:rsid w:val="004038FD"/>
    <w:rsid w:val="00436D46"/>
    <w:rsid w:val="00444A88"/>
    <w:rsid w:val="004461FE"/>
    <w:rsid w:val="00474DA4"/>
    <w:rsid w:val="00476B4D"/>
    <w:rsid w:val="004805FA"/>
    <w:rsid w:val="004935D2"/>
    <w:rsid w:val="004A2ACC"/>
    <w:rsid w:val="004B1215"/>
    <w:rsid w:val="004C372C"/>
    <w:rsid w:val="004C70E8"/>
    <w:rsid w:val="004D047D"/>
    <w:rsid w:val="004F1E9E"/>
    <w:rsid w:val="004F305A"/>
    <w:rsid w:val="004F783E"/>
    <w:rsid w:val="0050047B"/>
    <w:rsid w:val="005102F2"/>
    <w:rsid w:val="00512164"/>
    <w:rsid w:val="0051290F"/>
    <w:rsid w:val="00516D8F"/>
    <w:rsid w:val="00520297"/>
    <w:rsid w:val="005338F9"/>
    <w:rsid w:val="00536FFD"/>
    <w:rsid w:val="0054281C"/>
    <w:rsid w:val="00544581"/>
    <w:rsid w:val="00545735"/>
    <w:rsid w:val="0055268D"/>
    <w:rsid w:val="00556789"/>
    <w:rsid w:val="00576BE4"/>
    <w:rsid w:val="00594D00"/>
    <w:rsid w:val="005A400A"/>
    <w:rsid w:val="005B12CE"/>
    <w:rsid w:val="005B46E9"/>
    <w:rsid w:val="005B6397"/>
    <w:rsid w:val="005D07E5"/>
    <w:rsid w:val="005E0E44"/>
    <w:rsid w:val="005F7B92"/>
    <w:rsid w:val="00602142"/>
    <w:rsid w:val="00612379"/>
    <w:rsid w:val="006153B6"/>
    <w:rsid w:val="0061555F"/>
    <w:rsid w:val="00630D2B"/>
    <w:rsid w:val="00636CA6"/>
    <w:rsid w:val="00640302"/>
    <w:rsid w:val="00641200"/>
    <w:rsid w:val="00645CA8"/>
    <w:rsid w:val="0066009D"/>
    <w:rsid w:val="006655D3"/>
    <w:rsid w:val="00667404"/>
    <w:rsid w:val="006839B2"/>
    <w:rsid w:val="00687EB4"/>
    <w:rsid w:val="00695C56"/>
    <w:rsid w:val="006A5CDE"/>
    <w:rsid w:val="006A644A"/>
    <w:rsid w:val="006B17D2"/>
    <w:rsid w:val="006B6C36"/>
    <w:rsid w:val="006C224E"/>
    <w:rsid w:val="006D7435"/>
    <w:rsid w:val="006D780A"/>
    <w:rsid w:val="006E75CA"/>
    <w:rsid w:val="006F342F"/>
    <w:rsid w:val="006F41B1"/>
    <w:rsid w:val="007058B1"/>
    <w:rsid w:val="0071271E"/>
    <w:rsid w:val="00732DEC"/>
    <w:rsid w:val="00735BD5"/>
    <w:rsid w:val="0074723D"/>
    <w:rsid w:val="00751613"/>
    <w:rsid w:val="007556F6"/>
    <w:rsid w:val="00760E16"/>
    <w:rsid w:val="00760EEF"/>
    <w:rsid w:val="00767FA6"/>
    <w:rsid w:val="00777EE5"/>
    <w:rsid w:val="00780F3E"/>
    <w:rsid w:val="00784836"/>
    <w:rsid w:val="0079023E"/>
    <w:rsid w:val="0079092B"/>
    <w:rsid w:val="00791DE0"/>
    <w:rsid w:val="0079308D"/>
    <w:rsid w:val="007A2854"/>
    <w:rsid w:val="007B0006"/>
    <w:rsid w:val="007B23B6"/>
    <w:rsid w:val="007C1D92"/>
    <w:rsid w:val="007C4CB9"/>
    <w:rsid w:val="007D0B9D"/>
    <w:rsid w:val="007D19B0"/>
    <w:rsid w:val="007F498F"/>
    <w:rsid w:val="0080679D"/>
    <w:rsid w:val="00806F8C"/>
    <w:rsid w:val="008108B0"/>
    <w:rsid w:val="00811B20"/>
    <w:rsid w:val="008211B5"/>
    <w:rsid w:val="0082296E"/>
    <w:rsid w:val="00824099"/>
    <w:rsid w:val="00834FE9"/>
    <w:rsid w:val="00846D7C"/>
    <w:rsid w:val="0086764E"/>
    <w:rsid w:val="00867AC1"/>
    <w:rsid w:val="00874A75"/>
    <w:rsid w:val="00890DF8"/>
    <w:rsid w:val="008A1B90"/>
    <w:rsid w:val="008A31C9"/>
    <w:rsid w:val="008A743F"/>
    <w:rsid w:val="008B6E60"/>
    <w:rsid w:val="008C0970"/>
    <w:rsid w:val="008D0BC5"/>
    <w:rsid w:val="008D1A9C"/>
    <w:rsid w:val="008D2CF7"/>
    <w:rsid w:val="008D7E86"/>
    <w:rsid w:val="00900C26"/>
    <w:rsid w:val="00900C6F"/>
    <w:rsid w:val="0090197F"/>
    <w:rsid w:val="00901C48"/>
    <w:rsid w:val="00906DCD"/>
    <w:rsid w:val="00906DDC"/>
    <w:rsid w:val="00911A87"/>
    <w:rsid w:val="009257ED"/>
    <w:rsid w:val="00934E09"/>
    <w:rsid w:val="00936253"/>
    <w:rsid w:val="00940D46"/>
    <w:rsid w:val="009517FE"/>
    <w:rsid w:val="00952DD4"/>
    <w:rsid w:val="00956034"/>
    <w:rsid w:val="009653A9"/>
    <w:rsid w:val="00965AE7"/>
    <w:rsid w:val="00970FED"/>
    <w:rsid w:val="00983ED6"/>
    <w:rsid w:val="00992D82"/>
    <w:rsid w:val="00997029"/>
    <w:rsid w:val="009978B1"/>
    <w:rsid w:val="009A7339"/>
    <w:rsid w:val="009B3832"/>
    <w:rsid w:val="009B440E"/>
    <w:rsid w:val="009C557E"/>
    <w:rsid w:val="009D0654"/>
    <w:rsid w:val="009D184E"/>
    <w:rsid w:val="009D2D43"/>
    <w:rsid w:val="009D690D"/>
    <w:rsid w:val="009E5C9C"/>
    <w:rsid w:val="009E65B6"/>
    <w:rsid w:val="009F1151"/>
    <w:rsid w:val="00A04A26"/>
    <w:rsid w:val="00A16370"/>
    <w:rsid w:val="00A24868"/>
    <w:rsid w:val="00A24C10"/>
    <w:rsid w:val="00A260D1"/>
    <w:rsid w:val="00A37C2B"/>
    <w:rsid w:val="00A42AC3"/>
    <w:rsid w:val="00A430CF"/>
    <w:rsid w:val="00A54309"/>
    <w:rsid w:val="00A6133C"/>
    <w:rsid w:val="00A668CE"/>
    <w:rsid w:val="00AB2B93"/>
    <w:rsid w:val="00AB530F"/>
    <w:rsid w:val="00AB7E5B"/>
    <w:rsid w:val="00AC22F5"/>
    <w:rsid w:val="00AC2883"/>
    <w:rsid w:val="00AC3067"/>
    <w:rsid w:val="00AD439B"/>
    <w:rsid w:val="00AE0EF1"/>
    <w:rsid w:val="00AE2937"/>
    <w:rsid w:val="00B07301"/>
    <w:rsid w:val="00B07716"/>
    <w:rsid w:val="00B11F3E"/>
    <w:rsid w:val="00B1367A"/>
    <w:rsid w:val="00B1541D"/>
    <w:rsid w:val="00B224DE"/>
    <w:rsid w:val="00B324D4"/>
    <w:rsid w:val="00B41F21"/>
    <w:rsid w:val="00B4227A"/>
    <w:rsid w:val="00B42407"/>
    <w:rsid w:val="00B46575"/>
    <w:rsid w:val="00B61777"/>
    <w:rsid w:val="00B836B4"/>
    <w:rsid w:val="00B84BBD"/>
    <w:rsid w:val="00B91C9D"/>
    <w:rsid w:val="00BA43FB"/>
    <w:rsid w:val="00BC127D"/>
    <w:rsid w:val="00BC1FE6"/>
    <w:rsid w:val="00BC351E"/>
    <w:rsid w:val="00BD43B4"/>
    <w:rsid w:val="00C061B6"/>
    <w:rsid w:val="00C12286"/>
    <w:rsid w:val="00C2446C"/>
    <w:rsid w:val="00C36AE5"/>
    <w:rsid w:val="00C41F17"/>
    <w:rsid w:val="00C527FA"/>
    <w:rsid w:val="00C5280D"/>
    <w:rsid w:val="00C53EB3"/>
    <w:rsid w:val="00C5791C"/>
    <w:rsid w:val="00C62895"/>
    <w:rsid w:val="00C64C8A"/>
    <w:rsid w:val="00C66290"/>
    <w:rsid w:val="00C72B7A"/>
    <w:rsid w:val="00C86F1A"/>
    <w:rsid w:val="00C9128C"/>
    <w:rsid w:val="00C973F2"/>
    <w:rsid w:val="00CA1D0C"/>
    <w:rsid w:val="00CA304C"/>
    <w:rsid w:val="00CA774A"/>
    <w:rsid w:val="00CC11B0"/>
    <w:rsid w:val="00CC2841"/>
    <w:rsid w:val="00CD14C0"/>
    <w:rsid w:val="00CF1330"/>
    <w:rsid w:val="00CF3C82"/>
    <w:rsid w:val="00CF7E36"/>
    <w:rsid w:val="00D15984"/>
    <w:rsid w:val="00D17C07"/>
    <w:rsid w:val="00D326F9"/>
    <w:rsid w:val="00D35638"/>
    <w:rsid w:val="00D3708D"/>
    <w:rsid w:val="00D40426"/>
    <w:rsid w:val="00D42DAE"/>
    <w:rsid w:val="00D4334E"/>
    <w:rsid w:val="00D45F62"/>
    <w:rsid w:val="00D471BC"/>
    <w:rsid w:val="00D475B2"/>
    <w:rsid w:val="00D57C96"/>
    <w:rsid w:val="00D57D18"/>
    <w:rsid w:val="00D712E8"/>
    <w:rsid w:val="00D74C84"/>
    <w:rsid w:val="00D8399D"/>
    <w:rsid w:val="00D8465D"/>
    <w:rsid w:val="00D91203"/>
    <w:rsid w:val="00D95174"/>
    <w:rsid w:val="00DA4973"/>
    <w:rsid w:val="00DA6F36"/>
    <w:rsid w:val="00DB2351"/>
    <w:rsid w:val="00DB4ED1"/>
    <w:rsid w:val="00DB5777"/>
    <w:rsid w:val="00DB596E"/>
    <w:rsid w:val="00DB7773"/>
    <w:rsid w:val="00DC00EA"/>
    <w:rsid w:val="00DC3802"/>
    <w:rsid w:val="00DF2967"/>
    <w:rsid w:val="00DF67C6"/>
    <w:rsid w:val="00E0232A"/>
    <w:rsid w:val="00E07D87"/>
    <w:rsid w:val="00E1049F"/>
    <w:rsid w:val="00E2109F"/>
    <w:rsid w:val="00E22E11"/>
    <w:rsid w:val="00E24685"/>
    <w:rsid w:val="00E32F7E"/>
    <w:rsid w:val="00E37564"/>
    <w:rsid w:val="00E5267B"/>
    <w:rsid w:val="00E57588"/>
    <w:rsid w:val="00E57C3A"/>
    <w:rsid w:val="00E63C0E"/>
    <w:rsid w:val="00E72D49"/>
    <w:rsid w:val="00E7593C"/>
    <w:rsid w:val="00E75B0D"/>
    <w:rsid w:val="00E7678A"/>
    <w:rsid w:val="00E935F1"/>
    <w:rsid w:val="00E94A81"/>
    <w:rsid w:val="00EA1FFB"/>
    <w:rsid w:val="00EB00D0"/>
    <w:rsid w:val="00EB048E"/>
    <w:rsid w:val="00EB4E9C"/>
    <w:rsid w:val="00EE34DF"/>
    <w:rsid w:val="00EF2F89"/>
    <w:rsid w:val="00F002C9"/>
    <w:rsid w:val="00F03E98"/>
    <w:rsid w:val="00F1237A"/>
    <w:rsid w:val="00F22CBD"/>
    <w:rsid w:val="00F272F1"/>
    <w:rsid w:val="00F45372"/>
    <w:rsid w:val="00F560F7"/>
    <w:rsid w:val="00F6334D"/>
    <w:rsid w:val="00F86AF0"/>
    <w:rsid w:val="00F87269"/>
    <w:rsid w:val="00F97EC7"/>
    <w:rsid w:val="00FA49AB"/>
    <w:rsid w:val="00FB3E8A"/>
    <w:rsid w:val="00FB6BDA"/>
    <w:rsid w:val="00FC3A72"/>
    <w:rsid w:val="00FD69A2"/>
    <w:rsid w:val="00FE39C7"/>
    <w:rsid w:val="00FF00E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B791D2"/>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DB4ED1"/>
    <w:pPr>
      <w:tabs>
        <w:tab w:val="right" w:leader="dot" w:pos="9639"/>
      </w:tabs>
      <w:ind w:left="568" w:right="851" w:hanging="284"/>
      <w:contextualSpacing/>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DB4ED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67A"/>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05507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6517">
      <w:bodyDiv w:val="1"/>
      <w:marLeft w:val="0"/>
      <w:marRight w:val="0"/>
      <w:marTop w:val="0"/>
      <w:marBottom w:val="0"/>
      <w:divBdr>
        <w:top w:val="none" w:sz="0" w:space="0" w:color="auto"/>
        <w:left w:val="none" w:sz="0" w:space="0" w:color="auto"/>
        <w:bottom w:val="none" w:sz="0" w:space="0" w:color="auto"/>
        <w:right w:val="none" w:sz="0" w:space="0" w:color="auto"/>
      </w:divBdr>
    </w:div>
    <w:div w:id="105124679">
      <w:bodyDiv w:val="1"/>
      <w:marLeft w:val="0"/>
      <w:marRight w:val="0"/>
      <w:marTop w:val="0"/>
      <w:marBottom w:val="0"/>
      <w:divBdr>
        <w:top w:val="none" w:sz="0" w:space="0" w:color="auto"/>
        <w:left w:val="none" w:sz="0" w:space="0" w:color="auto"/>
        <w:bottom w:val="none" w:sz="0" w:space="0" w:color="auto"/>
        <w:right w:val="none" w:sz="0" w:space="0" w:color="auto"/>
      </w:divBdr>
    </w:div>
    <w:div w:id="290524130">
      <w:bodyDiv w:val="1"/>
      <w:marLeft w:val="0"/>
      <w:marRight w:val="0"/>
      <w:marTop w:val="0"/>
      <w:marBottom w:val="0"/>
      <w:divBdr>
        <w:top w:val="none" w:sz="0" w:space="0" w:color="auto"/>
        <w:left w:val="none" w:sz="0" w:space="0" w:color="auto"/>
        <w:bottom w:val="none" w:sz="0" w:space="0" w:color="auto"/>
        <w:right w:val="none" w:sz="0" w:space="0" w:color="auto"/>
      </w:divBdr>
    </w:div>
    <w:div w:id="491987116">
      <w:bodyDiv w:val="1"/>
      <w:marLeft w:val="0"/>
      <w:marRight w:val="0"/>
      <w:marTop w:val="0"/>
      <w:marBottom w:val="0"/>
      <w:divBdr>
        <w:top w:val="none" w:sz="0" w:space="0" w:color="auto"/>
        <w:left w:val="none" w:sz="0" w:space="0" w:color="auto"/>
        <w:bottom w:val="none" w:sz="0" w:space="0" w:color="auto"/>
        <w:right w:val="none" w:sz="0" w:space="0" w:color="auto"/>
      </w:divBdr>
    </w:div>
    <w:div w:id="562184101">
      <w:bodyDiv w:val="1"/>
      <w:marLeft w:val="0"/>
      <w:marRight w:val="0"/>
      <w:marTop w:val="0"/>
      <w:marBottom w:val="0"/>
      <w:divBdr>
        <w:top w:val="none" w:sz="0" w:space="0" w:color="auto"/>
        <w:left w:val="none" w:sz="0" w:space="0" w:color="auto"/>
        <w:bottom w:val="none" w:sz="0" w:space="0" w:color="auto"/>
        <w:right w:val="none" w:sz="0" w:space="0" w:color="auto"/>
      </w:divBdr>
    </w:div>
    <w:div w:id="576744005">
      <w:bodyDiv w:val="1"/>
      <w:marLeft w:val="0"/>
      <w:marRight w:val="0"/>
      <w:marTop w:val="0"/>
      <w:marBottom w:val="0"/>
      <w:divBdr>
        <w:top w:val="none" w:sz="0" w:space="0" w:color="auto"/>
        <w:left w:val="none" w:sz="0" w:space="0" w:color="auto"/>
        <w:bottom w:val="none" w:sz="0" w:space="0" w:color="auto"/>
        <w:right w:val="none" w:sz="0" w:space="0" w:color="auto"/>
      </w:divBdr>
    </w:div>
    <w:div w:id="589504329">
      <w:bodyDiv w:val="1"/>
      <w:marLeft w:val="0"/>
      <w:marRight w:val="0"/>
      <w:marTop w:val="0"/>
      <w:marBottom w:val="0"/>
      <w:divBdr>
        <w:top w:val="none" w:sz="0" w:space="0" w:color="auto"/>
        <w:left w:val="none" w:sz="0" w:space="0" w:color="auto"/>
        <w:bottom w:val="none" w:sz="0" w:space="0" w:color="auto"/>
        <w:right w:val="none" w:sz="0" w:space="0" w:color="auto"/>
      </w:divBdr>
    </w:div>
    <w:div w:id="624166345">
      <w:bodyDiv w:val="1"/>
      <w:marLeft w:val="0"/>
      <w:marRight w:val="0"/>
      <w:marTop w:val="0"/>
      <w:marBottom w:val="0"/>
      <w:divBdr>
        <w:top w:val="none" w:sz="0" w:space="0" w:color="auto"/>
        <w:left w:val="none" w:sz="0" w:space="0" w:color="auto"/>
        <w:bottom w:val="none" w:sz="0" w:space="0" w:color="auto"/>
        <w:right w:val="none" w:sz="0" w:space="0" w:color="auto"/>
      </w:divBdr>
    </w:div>
    <w:div w:id="652836559">
      <w:bodyDiv w:val="1"/>
      <w:marLeft w:val="0"/>
      <w:marRight w:val="0"/>
      <w:marTop w:val="0"/>
      <w:marBottom w:val="0"/>
      <w:divBdr>
        <w:top w:val="none" w:sz="0" w:space="0" w:color="auto"/>
        <w:left w:val="none" w:sz="0" w:space="0" w:color="auto"/>
        <w:bottom w:val="none" w:sz="0" w:space="0" w:color="auto"/>
        <w:right w:val="none" w:sz="0" w:space="0" w:color="auto"/>
      </w:divBdr>
    </w:div>
    <w:div w:id="763958397">
      <w:bodyDiv w:val="1"/>
      <w:marLeft w:val="0"/>
      <w:marRight w:val="0"/>
      <w:marTop w:val="0"/>
      <w:marBottom w:val="0"/>
      <w:divBdr>
        <w:top w:val="none" w:sz="0" w:space="0" w:color="auto"/>
        <w:left w:val="none" w:sz="0" w:space="0" w:color="auto"/>
        <w:bottom w:val="none" w:sz="0" w:space="0" w:color="auto"/>
        <w:right w:val="none" w:sz="0" w:space="0" w:color="auto"/>
      </w:divBdr>
    </w:div>
    <w:div w:id="796027069">
      <w:bodyDiv w:val="1"/>
      <w:marLeft w:val="0"/>
      <w:marRight w:val="0"/>
      <w:marTop w:val="0"/>
      <w:marBottom w:val="0"/>
      <w:divBdr>
        <w:top w:val="none" w:sz="0" w:space="0" w:color="auto"/>
        <w:left w:val="none" w:sz="0" w:space="0" w:color="auto"/>
        <w:bottom w:val="none" w:sz="0" w:space="0" w:color="auto"/>
        <w:right w:val="none" w:sz="0" w:space="0" w:color="auto"/>
      </w:divBdr>
    </w:div>
    <w:div w:id="956715351">
      <w:bodyDiv w:val="1"/>
      <w:marLeft w:val="0"/>
      <w:marRight w:val="0"/>
      <w:marTop w:val="0"/>
      <w:marBottom w:val="0"/>
      <w:divBdr>
        <w:top w:val="none" w:sz="0" w:space="0" w:color="auto"/>
        <w:left w:val="none" w:sz="0" w:space="0" w:color="auto"/>
        <w:bottom w:val="none" w:sz="0" w:space="0" w:color="auto"/>
        <w:right w:val="none" w:sz="0" w:space="0" w:color="auto"/>
      </w:divBdr>
    </w:div>
    <w:div w:id="1022441226">
      <w:bodyDiv w:val="1"/>
      <w:marLeft w:val="0"/>
      <w:marRight w:val="0"/>
      <w:marTop w:val="0"/>
      <w:marBottom w:val="0"/>
      <w:divBdr>
        <w:top w:val="none" w:sz="0" w:space="0" w:color="auto"/>
        <w:left w:val="none" w:sz="0" w:space="0" w:color="auto"/>
        <w:bottom w:val="none" w:sz="0" w:space="0" w:color="auto"/>
        <w:right w:val="none" w:sz="0" w:space="0" w:color="auto"/>
      </w:divBdr>
    </w:div>
    <w:div w:id="1025444649">
      <w:bodyDiv w:val="1"/>
      <w:marLeft w:val="0"/>
      <w:marRight w:val="0"/>
      <w:marTop w:val="0"/>
      <w:marBottom w:val="0"/>
      <w:divBdr>
        <w:top w:val="none" w:sz="0" w:space="0" w:color="auto"/>
        <w:left w:val="none" w:sz="0" w:space="0" w:color="auto"/>
        <w:bottom w:val="none" w:sz="0" w:space="0" w:color="auto"/>
        <w:right w:val="none" w:sz="0" w:space="0" w:color="auto"/>
      </w:divBdr>
    </w:div>
    <w:div w:id="1348479760">
      <w:bodyDiv w:val="1"/>
      <w:marLeft w:val="0"/>
      <w:marRight w:val="0"/>
      <w:marTop w:val="0"/>
      <w:marBottom w:val="0"/>
      <w:divBdr>
        <w:top w:val="none" w:sz="0" w:space="0" w:color="auto"/>
        <w:left w:val="none" w:sz="0" w:space="0" w:color="auto"/>
        <w:bottom w:val="none" w:sz="0" w:space="0" w:color="auto"/>
        <w:right w:val="none" w:sz="0" w:space="0" w:color="auto"/>
      </w:divBdr>
    </w:div>
    <w:div w:id="1600599537">
      <w:bodyDiv w:val="1"/>
      <w:marLeft w:val="0"/>
      <w:marRight w:val="0"/>
      <w:marTop w:val="0"/>
      <w:marBottom w:val="0"/>
      <w:divBdr>
        <w:top w:val="none" w:sz="0" w:space="0" w:color="auto"/>
        <w:left w:val="none" w:sz="0" w:space="0" w:color="auto"/>
        <w:bottom w:val="none" w:sz="0" w:space="0" w:color="auto"/>
        <w:right w:val="none" w:sz="0" w:space="0" w:color="auto"/>
      </w:divBdr>
    </w:div>
    <w:div w:id="1734231506">
      <w:bodyDiv w:val="1"/>
      <w:marLeft w:val="0"/>
      <w:marRight w:val="0"/>
      <w:marTop w:val="0"/>
      <w:marBottom w:val="0"/>
      <w:divBdr>
        <w:top w:val="none" w:sz="0" w:space="0" w:color="auto"/>
        <w:left w:val="none" w:sz="0" w:space="0" w:color="auto"/>
        <w:bottom w:val="none" w:sz="0" w:space="0" w:color="auto"/>
        <w:right w:val="none" w:sz="0" w:space="0" w:color="auto"/>
      </w:divBdr>
    </w:div>
    <w:div w:id="1743327515">
      <w:bodyDiv w:val="1"/>
      <w:marLeft w:val="0"/>
      <w:marRight w:val="0"/>
      <w:marTop w:val="0"/>
      <w:marBottom w:val="0"/>
      <w:divBdr>
        <w:top w:val="none" w:sz="0" w:space="0" w:color="auto"/>
        <w:left w:val="none" w:sz="0" w:space="0" w:color="auto"/>
        <w:bottom w:val="none" w:sz="0" w:space="0" w:color="auto"/>
        <w:right w:val="none" w:sz="0" w:space="0" w:color="auto"/>
      </w:divBdr>
    </w:div>
    <w:div w:id="1848907883">
      <w:bodyDiv w:val="1"/>
      <w:marLeft w:val="0"/>
      <w:marRight w:val="0"/>
      <w:marTop w:val="0"/>
      <w:marBottom w:val="0"/>
      <w:divBdr>
        <w:top w:val="none" w:sz="0" w:space="0" w:color="auto"/>
        <w:left w:val="none" w:sz="0" w:space="0" w:color="auto"/>
        <w:bottom w:val="none" w:sz="0" w:space="0" w:color="auto"/>
        <w:right w:val="none" w:sz="0" w:space="0" w:color="auto"/>
      </w:divBdr>
    </w:div>
    <w:div w:id="2020037628">
      <w:bodyDiv w:val="1"/>
      <w:marLeft w:val="0"/>
      <w:marRight w:val="0"/>
      <w:marTop w:val="0"/>
      <w:marBottom w:val="0"/>
      <w:divBdr>
        <w:top w:val="none" w:sz="0" w:space="0" w:color="auto"/>
        <w:left w:val="none" w:sz="0" w:space="0" w:color="auto"/>
        <w:bottom w:val="none" w:sz="0" w:space="0" w:color="auto"/>
        <w:right w:val="none" w:sz="0" w:space="0" w:color="auto"/>
      </w:divBdr>
    </w:div>
    <w:div w:id="2070222674">
      <w:bodyDiv w:val="1"/>
      <w:marLeft w:val="0"/>
      <w:marRight w:val="0"/>
      <w:marTop w:val="0"/>
      <w:marBottom w:val="0"/>
      <w:divBdr>
        <w:top w:val="none" w:sz="0" w:space="0" w:color="auto"/>
        <w:left w:val="none" w:sz="0" w:space="0" w:color="auto"/>
        <w:bottom w:val="none" w:sz="0" w:space="0" w:color="auto"/>
        <w:right w:val="none" w:sz="0" w:space="0" w:color="auto"/>
      </w:divBdr>
    </w:div>
    <w:div w:id="207272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3AD8C-5EBA-4C3B-B0C4-FCB2FB7A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TC/55/10</vt:lpstr>
    </vt:vector>
  </TitlesOfParts>
  <Company>UPOV</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TC/55/10</dc:title>
  <dc:creator>SANCHEZ VIZCAINO GOMEZ Rosa Maria</dc:creator>
  <cp:lastModifiedBy>MAY Jessica</cp:lastModifiedBy>
  <cp:revision>3</cp:revision>
  <cp:lastPrinted>2019-10-10T11:57:00Z</cp:lastPrinted>
  <dcterms:created xsi:type="dcterms:W3CDTF">2019-11-11T11:15:00Z</dcterms:created>
  <dcterms:modified xsi:type="dcterms:W3CDTF">2019-11-11T11:17:00Z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cfce4aab-1142-4c83-a959-a6abf8c21341</vt:lpwstr>
  </property>
</Properties>
</file>