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D38DB" w:rsidTr="00EB4E9C">
        <w:tc>
          <w:tcPr>
            <w:tcW w:w="6522" w:type="dxa"/>
          </w:tcPr>
          <w:p w:rsidR="00DC3802" w:rsidRPr="00BD38DB" w:rsidRDefault="00DC3802" w:rsidP="00AC2883">
            <w:r w:rsidRPr="00BD38DB">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BD38DB" w:rsidRDefault="002E5944" w:rsidP="00AC2883">
            <w:pPr>
              <w:pStyle w:val="Lettrine"/>
            </w:pPr>
            <w:r w:rsidRPr="00BD38DB">
              <w:t>S</w:t>
            </w:r>
          </w:p>
        </w:tc>
      </w:tr>
      <w:tr w:rsidR="00DC3802" w:rsidRPr="00BD38DB" w:rsidTr="00645CA8">
        <w:trPr>
          <w:trHeight w:val="219"/>
        </w:trPr>
        <w:tc>
          <w:tcPr>
            <w:tcW w:w="6522" w:type="dxa"/>
          </w:tcPr>
          <w:p w:rsidR="00DC3802" w:rsidRPr="00BD38DB" w:rsidRDefault="002E5944" w:rsidP="00BC0BD4">
            <w:pPr>
              <w:pStyle w:val="upove"/>
            </w:pPr>
            <w:r w:rsidRPr="00BD38DB">
              <w:t>Unión Internacional para la Protección de las Obtenciones Vegetales</w:t>
            </w:r>
          </w:p>
        </w:tc>
        <w:tc>
          <w:tcPr>
            <w:tcW w:w="3117" w:type="dxa"/>
          </w:tcPr>
          <w:p w:rsidR="00DC3802" w:rsidRPr="00BD38DB" w:rsidRDefault="00DC3802" w:rsidP="00DA4973"/>
        </w:tc>
      </w:tr>
    </w:tbl>
    <w:p w:rsidR="00DC3802" w:rsidRPr="00BD38DB" w:rsidRDefault="00DC3802" w:rsidP="00DC3802"/>
    <w:p w:rsidR="00DA4973" w:rsidRPr="00BD38D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BD38DB" w:rsidTr="00EB4E9C">
        <w:tc>
          <w:tcPr>
            <w:tcW w:w="6512" w:type="dxa"/>
          </w:tcPr>
          <w:p w:rsidR="00EB4E9C" w:rsidRPr="00BD38DB" w:rsidRDefault="002E5944" w:rsidP="00AC2883">
            <w:pPr>
              <w:pStyle w:val="Sessiontc"/>
              <w:spacing w:line="240" w:lineRule="auto"/>
            </w:pPr>
            <w:r w:rsidRPr="00BD38DB">
              <w:t>Comité Técnico</w:t>
            </w:r>
          </w:p>
          <w:p w:rsidR="00EB4E9C" w:rsidRPr="00BD38DB" w:rsidRDefault="002E5944" w:rsidP="005A1EC1">
            <w:pPr>
              <w:pStyle w:val="Sessiontcplacedate"/>
              <w:rPr>
                <w:sz w:val="22"/>
              </w:rPr>
            </w:pPr>
            <w:r w:rsidRPr="00BD38DB">
              <w:t xml:space="preserve">Quincuagésima </w:t>
            </w:r>
            <w:r w:rsidR="005A1EC1" w:rsidRPr="00BD38DB">
              <w:t>cuarta</w:t>
            </w:r>
            <w:r w:rsidRPr="00BD38DB">
              <w:t xml:space="preserve"> sesión</w:t>
            </w:r>
            <w:r w:rsidR="00EB4E9C" w:rsidRPr="00BD38DB">
              <w:br/>
            </w:r>
            <w:r w:rsidRPr="00BD38DB">
              <w:t>Ginebra</w:t>
            </w:r>
            <w:r w:rsidR="00DA2765" w:rsidRPr="00BD38DB">
              <w:t>, 2</w:t>
            </w:r>
            <w:r w:rsidR="005A1EC1" w:rsidRPr="00BD38DB">
              <w:t>9 y</w:t>
            </w:r>
            <w:r w:rsidR="00DA2765" w:rsidRPr="00BD38DB">
              <w:t> 3</w:t>
            </w:r>
            <w:r w:rsidR="005A1EC1" w:rsidRPr="00BD38DB">
              <w:t xml:space="preserve">0 de octubre </w:t>
            </w:r>
            <w:r w:rsidRPr="00BD38DB">
              <w:t>de</w:t>
            </w:r>
            <w:r w:rsidR="00DA2765" w:rsidRPr="00BD38DB">
              <w:t> 2</w:t>
            </w:r>
            <w:r w:rsidR="005A1EC1" w:rsidRPr="00BD38DB">
              <w:t>018</w:t>
            </w:r>
          </w:p>
        </w:tc>
        <w:tc>
          <w:tcPr>
            <w:tcW w:w="3127" w:type="dxa"/>
          </w:tcPr>
          <w:p w:rsidR="00EB4E9C" w:rsidRPr="00BD38DB" w:rsidRDefault="005A1EC1" w:rsidP="003C7FBE">
            <w:pPr>
              <w:pStyle w:val="Doccode"/>
              <w:rPr>
                <w:lang w:val="es-ES"/>
              </w:rPr>
            </w:pPr>
            <w:r w:rsidRPr="00BD38DB">
              <w:rPr>
                <w:lang w:val="es-ES"/>
              </w:rPr>
              <w:t>TC/54</w:t>
            </w:r>
            <w:r w:rsidR="00EB4E9C" w:rsidRPr="00BD38DB">
              <w:rPr>
                <w:lang w:val="es-ES"/>
              </w:rPr>
              <w:t>/</w:t>
            </w:r>
            <w:r w:rsidR="00B57F3F" w:rsidRPr="00BD38DB">
              <w:rPr>
                <w:lang w:val="es-ES"/>
              </w:rPr>
              <w:t>30</w:t>
            </w:r>
          </w:p>
          <w:p w:rsidR="00EB4E9C" w:rsidRPr="00BD38DB" w:rsidRDefault="00EB4E9C" w:rsidP="003C7FBE">
            <w:pPr>
              <w:pStyle w:val="Docoriginal"/>
            </w:pPr>
            <w:r w:rsidRPr="00BD38DB">
              <w:t>Original:</w:t>
            </w:r>
            <w:r w:rsidRPr="00BD38DB">
              <w:rPr>
                <w:b w:val="0"/>
                <w:spacing w:val="0"/>
              </w:rPr>
              <w:t xml:space="preserve"> </w:t>
            </w:r>
            <w:r w:rsidR="002E5944" w:rsidRPr="00BD38DB">
              <w:rPr>
                <w:b w:val="0"/>
                <w:spacing w:val="0"/>
              </w:rPr>
              <w:t>Inglés</w:t>
            </w:r>
          </w:p>
          <w:p w:rsidR="00EB4E9C" w:rsidRPr="00BD38DB" w:rsidRDefault="002E5944" w:rsidP="004D1688">
            <w:pPr>
              <w:pStyle w:val="Docoriginal"/>
            </w:pPr>
            <w:r w:rsidRPr="00BD38DB">
              <w:t>Fecha</w:t>
            </w:r>
            <w:r w:rsidR="00EB4E9C" w:rsidRPr="00BD38DB">
              <w:t>:</w:t>
            </w:r>
            <w:r w:rsidR="00DA2765" w:rsidRPr="00BD38DB">
              <w:rPr>
                <w:b w:val="0"/>
                <w:spacing w:val="0"/>
              </w:rPr>
              <w:t> </w:t>
            </w:r>
            <w:r w:rsidR="00DA2765" w:rsidRPr="004D1688">
              <w:rPr>
                <w:b w:val="0"/>
                <w:spacing w:val="0"/>
              </w:rPr>
              <w:t>2</w:t>
            </w:r>
            <w:r w:rsidR="004D1688" w:rsidRPr="004D1688">
              <w:rPr>
                <w:b w:val="0"/>
                <w:spacing w:val="0"/>
              </w:rPr>
              <w:t>7</w:t>
            </w:r>
            <w:r w:rsidR="00B57F3F" w:rsidRPr="004D1688">
              <w:rPr>
                <w:b w:val="0"/>
                <w:spacing w:val="0"/>
              </w:rPr>
              <w:t xml:space="preserve"> de agosto</w:t>
            </w:r>
            <w:r w:rsidR="00EB4E9C" w:rsidRPr="004D1688">
              <w:rPr>
                <w:b w:val="0"/>
                <w:spacing w:val="0"/>
              </w:rPr>
              <w:t xml:space="preserve"> </w:t>
            </w:r>
            <w:r w:rsidRPr="004D1688">
              <w:rPr>
                <w:b w:val="0"/>
                <w:spacing w:val="0"/>
              </w:rPr>
              <w:t>de</w:t>
            </w:r>
            <w:r w:rsidR="00DA2765" w:rsidRPr="00BD38DB">
              <w:rPr>
                <w:b w:val="0"/>
                <w:spacing w:val="0"/>
              </w:rPr>
              <w:t> 2</w:t>
            </w:r>
            <w:r w:rsidR="005A1EC1" w:rsidRPr="00BD38DB">
              <w:rPr>
                <w:b w:val="0"/>
                <w:spacing w:val="0"/>
              </w:rPr>
              <w:t>018</w:t>
            </w:r>
          </w:p>
        </w:tc>
      </w:tr>
    </w:tbl>
    <w:p w:rsidR="00995DFA" w:rsidRPr="00E17B21" w:rsidRDefault="00D13BC7" w:rsidP="000A08E4">
      <w:pPr>
        <w:pStyle w:val="Titleofdoc0"/>
        <w:rPr>
          <w:b w:val="0"/>
        </w:rPr>
      </w:pPr>
      <w:bookmarkStart w:id="0" w:name="TitleOfDoc"/>
      <w:bookmarkStart w:id="1" w:name="Prepared"/>
      <w:bookmarkEnd w:id="0"/>
      <w:bookmarkEnd w:id="1"/>
      <w:r w:rsidRPr="00BD38DB">
        <w:rPr>
          <w:rFonts w:cs="Arial"/>
        </w:rPr>
        <w:t>MÉTODOS ESTADÍSTICOS APLICADOS A CARACTERES OBSERVADOS VISUALMENTE</w:t>
      </w:r>
    </w:p>
    <w:p w:rsidR="006A644A" w:rsidRPr="00BD38DB" w:rsidRDefault="000638A9" w:rsidP="006A644A">
      <w:pPr>
        <w:pStyle w:val="preparedby1"/>
        <w:jc w:val="left"/>
      </w:pPr>
      <w:r w:rsidRPr="00BD38DB">
        <w:t>Documento preparado por la Oficina de la Unión</w:t>
      </w:r>
    </w:p>
    <w:p w:rsidR="00050E16" w:rsidRPr="00BD38DB" w:rsidRDefault="000638A9" w:rsidP="006A644A">
      <w:pPr>
        <w:pStyle w:val="Disclaimer"/>
      </w:pPr>
      <w:r w:rsidRPr="00BD38DB">
        <w:t>Descargo de responsabilidad: el presente documento no constituye un documento de política u orientación de la UPOV</w:t>
      </w:r>
    </w:p>
    <w:p w:rsidR="00995DFA" w:rsidRPr="00E17B21" w:rsidRDefault="00D13BC7" w:rsidP="00995DFA">
      <w:pPr>
        <w:pStyle w:val="Heading1"/>
        <w:rPr>
          <w:lang w:val="es-ES_tradnl" w:eastAsia="ja-JP"/>
        </w:rPr>
      </w:pPr>
      <w:bookmarkStart w:id="2" w:name="_Toc524699988"/>
      <w:r w:rsidRPr="00BD38DB">
        <w:rPr>
          <w:lang w:val="es-ES_tradnl" w:eastAsia="ja-JP"/>
        </w:rPr>
        <w:t>RESUMEN</w:t>
      </w:r>
      <w:bookmarkEnd w:id="2"/>
    </w:p>
    <w:p w:rsidR="00995DFA" w:rsidRPr="00E17B21" w:rsidRDefault="00995DFA" w:rsidP="00995DFA">
      <w:pPr>
        <w:rPr>
          <w:lang w:eastAsia="ja-JP"/>
        </w:rPr>
      </w:pPr>
    </w:p>
    <w:p w:rsidR="00995DFA" w:rsidRPr="00E17B21" w:rsidRDefault="00AE6C55" w:rsidP="00995DFA">
      <w:pPr>
        <w:rPr>
          <w:rFonts w:cs="Arial"/>
          <w:lang w:eastAsia="ja-JP"/>
        </w:rPr>
      </w:pPr>
      <w:r w:rsidRPr="00BD38DB">
        <w:fldChar w:fldCharType="begin"/>
      </w:r>
      <w:r w:rsidR="00995DFA" w:rsidRPr="00E17B21">
        <w:instrText xml:space="preserve"> AUTONUM  </w:instrText>
      </w:r>
      <w:r w:rsidRPr="00BD38DB">
        <w:fldChar w:fldCharType="end"/>
      </w:r>
      <w:r w:rsidR="00995DFA" w:rsidRPr="00E17B21">
        <w:tab/>
      </w:r>
      <w:r w:rsidR="00D13BC7" w:rsidRPr="00BD38DB">
        <w:rPr>
          <w:rFonts w:cs="Arial"/>
          <w:lang w:eastAsia="ja-JP"/>
        </w:rPr>
        <w:t>El presente documento tiene por objeto informar acerca de las novedades relativas a los “Métodos estadísticos aplicados a caracteres observados visualmente”.</w:t>
      </w:r>
    </w:p>
    <w:p w:rsidR="00995DFA" w:rsidRPr="00E17B21" w:rsidRDefault="00995DFA" w:rsidP="00995DFA">
      <w:pPr>
        <w:rPr>
          <w:rFonts w:eastAsiaTheme="minorEastAsia"/>
          <w:lang w:eastAsia="ja-JP"/>
        </w:rPr>
      </w:pPr>
    </w:p>
    <w:p w:rsidR="00995DFA" w:rsidRPr="00E17B21" w:rsidRDefault="00AE6C55" w:rsidP="00995DFA">
      <w:pPr>
        <w:tabs>
          <w:tab w:val="left" w:pos="567"/>
          <w:tab w:val="left" w:pos="1134"/>
          <w:tab w:val="left" w:pos="5400"/>
        </w:tabs>
        <w:rPr>
          <w:rFonts w:eastAsiaTheme="minorEastAsia"/>
          <w:iCs/>
          <w:spacing w:val="-4"/>
          <w:lang w:eastAsia="ja-JP"/>
        </w:rPr>
      </w:pPr>
      <w:r w:rsidRPr="00BD38DB">
        <w:rPr>
          <w:rFonts w:eastAsiaTheme="minorEastAsia"/>
        </w:rPr>
        <w:fldChar w:fldCharType="begin"/>
      </w:r>
      <w:r w:rsidR="00995DFA" w:rsidRPr="00E17B21">
        <w:rPr>
          <w:rFonts w:eastAsiaTheme="minorEastAsia"/>
        </w:rPr>
        <w:instrText xml:space="preserve"> AUTONUM  </w:instrText>
      </w:r>
      <w:r w:rsidRPr="00BD38DB">
        <w:rPr>
          <w:rFonts w:eastAsiaTheme="minorEastAsia"/>
        </w:rPr>
        <w:fldChar w:fldCharType="end"/>
      </w:r>
      <w:r w:rsidR="00995DFA" w:rsidRPr="00E17B21">
        <w:rPr>
          <w:rFonts w:eastAsiaTheme="minorEastAsia"/>
        </w:rPr>
        <w:tab/>
      </w:r>
      <w:r w:rsidR="00D13BC7" w:rsidRPr="00BD38DB">
        <w:rPr>
          <w:rFonts w:eastAsiaTheme="minorEastAsia"/>
        </w:rPr>
        <w:t>Se invita al TC a:</w:t>
      </w:r>
    </w:p>
    <w:p w:rsidR="00995DFA" w:rsidRPr="00E17B21" w:rsidRDefault="00995DFA" w:rsidP="00995DFA">
      <w:pPr>
        <w:tabs>
          <w:tab w:val="left" w:pos="567"/>
          <w:tab w:val="left" w:pos="1134"/>
          <w:tab w:val="left" w:pos="5387"/>
        </w:tabs>
        <w:rPr>
          <w:highlight w:val="yellow"/>
          <w:lang w:eastAsia="ja-JP"/>
        </w:rPr>
      </w:pPr>
    </w:p>
    <w:p w:rsidR="00995DFA" w:rsidRPr="00E17B21" w:rsidRDefault="00995DFA" w:rsidP="00995DFA">
      <w:pPr>
        <w:tabs>
          <w:tab w:val="left" w:pos="567"/>
          <w:tab w:val="left" w:pos="1134"/>
          <w:tab w:val="left" w:pos="5387"/>
        </w:tabs>
        <w:rPr>
          <w:lang w:eastAsia="ja-JP"/>
        </w:rPr>
      </w:pPr>
      <w:r w:rsidRPr="00E17B21">
        <w:rPr>
          <w:lang w:eastAsia="ja-JP"/>
        </w:rPr>
        <w:tab/>
      </w:r>
      <w:r w:rsidR="00D13BC7" w:rsidRPr="00BD38DB">
        <w:rPr>
          <w:lang w:eastAsia="ja-JP"/>
        </w:rPr>
        <w:t>a)</w:t>
      </w:r>
      <w:r w:rsidRPr="00E17B21">
        <w:rPr>
          <w:lang w:eastAsia="ja-JP"/>
        </w:rPr>
        <w:tab/>
      </w:r>
      <w:r w:rsidR="000A08E4" w:rsidRPr="00BD38DB">
        <w:rPr>
          <w:lang w:eastAsia="ja-JP"/>
        </w:rPr>
        <w:t xml:space="preserve">recordar que convino </w:t>
      </w:r>
      <w:r w:rsidR="00D13BC7" w:rsidRPr="00BD38DB">
        <w:rPr>
          <w:lang w:eastAsia="ja-JP"/>
        </w:rPr>
        <w:t>en la necesidad de considerar una nomenclatura y un proyecto de orientación adecuados para el método elaborado por expertos de Dinamarca y Polonia</w:t>
      </w:r>
      <w:r w:rsidR="00DA2765" w:rsidRPr="00BD38DB">
        <w:rPr>
          <w:lang w:eastAsia="ja-JP"/>
        </w:rPr>
        <w:t xml:space="preserve">, </w:t>
      </w:r>
      <w:r w:rsidR="00D13BC7" w:rsidRPr="00BD38DB">
        <w:rPr>
          <w:lang w:eastAsia="ja-JP"/>
        </w:rPr>
        <w:t>una vez que se hubiese adquirido más experiencia y el programa informático estuviese disponible para facilitar su aplicación en el examen DHE.</w:t>
      </w:r>
    </w:p>
    <w:p w:rsidR="00995DFA" w:rsidRPr="00E17B21" w:rsidRDefault="00995DFA" w:rsidP="00995DFA">
      <w:pPr>
        <w:tabs>
          <w:tab w:val="left" w:pos="567"/>
          <w:tab w:val="left" w:pos="1134"/>
          <w:tab w:val="left" w:pos="5387"/>
        </w:tabs>
        <w:rPr>
          <w:lang w:eastAsia="ja-JP"/>
        </w:rPr>
      </w:pPr>
      <w:r w:rsidRPr="00E17B21">
        <w:rPr>
          <w:lang w:eastAsia="ja-JP"/>
        </w:rPr>
        <w:tab/>
      </w:r>
    </w:p>
    <w:p w:rsidR="00995DFA" w:rsidRPr="0095600D" w:rsidRDefault="00995DFA" w:rsidP="00995DFA">
      <w:pPr>
        <w:tabs>
          <w:tab w:val="left" w:pos="567"/>
          <w:tab w:val="left" w:pos="1134"/>
          <w:tab w:val="left" w:pos="5387"/>
        </w:tabs>
        <w:rPr>
          <w:lang w:eastAsia="ja-JP"/>
        </w:rPr>
      </w:pPr>
      <w:r w:rsidRPr="00E17B21">
        <w:rPr>
          <w:lang w:eastAsia="ja-JP"/>
        </w:rPr>
        <w:tab/>
      </w:r>
      <w:r w:rsidR="00D13BC7" w:rsidRPr="00BD38DB">
        <w:rPr>
          <w:lang w:eastAsia="ja-JP"/>
        </w:rPr>
        <w:t>b)</w:t>
      </w:r>
      <w:r w:rsidRPr="00E17B21">
        <w:rPr>
          <w:lang w:eastAsia="ja-JP"/>
        </w:rPr>
        <w:tab/>
      </w:r>
      <w:r w:rsidR="00D13BC7" w:rsidRPr="00BD38DB">
        <w:rPr>
          <w:rFonts w:eastAsiaTheme="minorEastAsia"/>
        </w:rPr>
        <w:t>tomar nota de que</w:t>
      </w:r>
      <w:r w:rsidR="00DA2765" w:rsidRPr="00BD38DB">
        <w:rPr>
          <w:rFonts w:eastAsiaTheme="minorEastAsia"/>
        </w:rPr>
        <w:t xml:space="preserve">, </w:t>
      </w:r>
      <w:r w:rsidR="00D13BC7" w:rsidRPr="00BD38DB">
        <w:rPr>
          <w:lang w:eastAsia="ja-JP"/>
        </w:rPr>
        <w:t>en su trigésima sexta sesión</w:t>
      </w:r>
      <w:r w:rsidR="00DA2765" w:rsidRPr="00BD38DB">
        <w:rPr>
          <w:lang w:eastAsia="ja-JP"/>
        </w:rPr>
        <w:t xml:space="preserve">, </w:t>
      </w:r>
      <w:r w:rsidR="00D13BC7" w:rsidRPr="00BD38DB">
        <w:rPr>
          <w:lang w:eastAsia="ja-JP"/>
        </w:rPr>
        <w:t>el TWC no recibió ningún documento para ser examinado en el marco de este punto del orden del día</w:t>
      </w:r>
      <w:r w:rsidR="00DA2765" w:rsidRPr="00BD38DB">
        <w:rPr>
          <w:lang w:eastAsia="ja-JP"/>
        </w:rPr>
        <w:t xml:space="preserve">, </w:t>
      </w:r>
      <w:r w:rsidR="00D13BC7" w:rsidRPr="00BD38DB">
        <w:rPr>
          <w:lang w:eastAsia="ja-JP"/>
        </w:rPr>
        <w:t xml:space="preserve">según se expone en el </w:t>
      </w:r>
      <w:r w:rsidR="00D13BC7" w:rsidRPr="0095600D">
        <w:rPr>
          <w:lang w:eastAsia="ja-JP"/>
        </w:rPr>
        <w:t>párrafo 14; y</w:t>
      </w:r>
    </w:p>
    <w:p w:rsidR="00995DFA" w:rsidRPr="0095600D" w:rsidRDefault="00995DFA" w:rsidP="00995DFA">
      <w:pPr>
        <w:tabs>
          <w:tab w:val="left" w:pos="567"/>
          <w:tab w:val="left" w:pos="1134"/>
          <w:tab w:val="left" w:pos="5387"/>
        </w:tabs>
        <w:rPr>
          <w:lang w:eastAsia="ja-JP"/>
        </w:rPr>
      </w:pPr>
    </w:p>
    <w:p w:rsidR="00607FFE" w:rsidRDefault="00995DFA" w:rsidP="00995DFA">
      <w:pPr>
        <w:tabs>
          <w:tab w:val="left" w:pos="567"/>
          <w:tab w:val="left" w:pos="1134"/>
          <w:tab w:val="left" w:pos="5387"/>
        </w:tabs>
        <w:rPr>
          <w:lang w:eastAsia="ja-JP"/>
        </w:rPr>
      </w:pPr>
      <w:r w:rsidRPr="0095600D">
        <w:rPr>
          <w:lang w:eastAsia="ja-JP"/>
        </w:rPr>
        <w:tab/>
      </w:r>
      <w:r w:rsidR="00B84BA5" w:rsidRPr="0095600D">
        <w:rPr>
          <w:lang w:eastAsia="ja-JP"/>
        </w:rPr>
        <w:t>c)</w:t>
      </w:r>
      <w:r w:rsidRPr="0095600D">
        <w:rPr>
          <w:lang w:eastAsia="ja-JP"/>
        </w:rPr>
        <w:tab/>
      </w:r>
      <w:r w:rsidR="00B84BA5" w:rsidRPr="0095600D">
        <w:rPr>
          <w:rFonts w:eastAsiaTheme="minorEastAsia"/>
        </w:rPr>
        <w:t>tomar nota de que</w:t>
      </w:r>
      <w:r w:rsidR="00B84BA5" w:rsidRPr="0095600D">
        <w:rPr>
          <w:lang w:eastAsia="ja-JP"/>
        </w:rPr>
        <w:t xml:space="preserve"> el TWC </w:t>
      </w:r>
      <w:r w:rsidR="000F6CC1" w:rsidRPr="0095600D">
        <w:rPr>
          <w:lang w:eastAsia="ja-JP"/>
        </w:rPr>
        <w:t xml:space="preserve">acordó incluir un punto del orden del día sobre </w:t>
      </w:r>
      <w:r w:rsidR="00B84BA5" w:rsidRPr="0095600D">
        <w:rPr>
          <w:lang w:eastAsia="ja-JP"/>
        </w:rPr>
        <w:t xml:space="preserve">este asunto </w:t>
      </w:r>
      <w:r w:rsidR="004F0089" w:rsidRPr="0095600D">
        <w:rPr>
          <w:lang w:eastAsia="ja-JP"/>
        </w:rPr>
        <w:t>a fin de</w:t>
      </w:r>
      <w:r w:rsidR="00B84BA5" w:rsidRPr="0095600D">
        <w:rPr>
          <w:lang w:eastAsia="ja-JP"/>
        </w:rPr>
        <w:t xml:space="preserve"> examinarlo en su trigésima séptima sesión</w:t>
      </w:r>
      <w:r w:rsidR="00DA2765" w:rsidRPr="0095600D">
        <w:rPr>
          <w:lang w:eastAsia="ja-JP"/>
        </w:rPr>
        <w:t xml:space="preserve">, </w:t>
      </w:r>
      <w:r w:rsidR="00B84BA5" w:rsidRPr="0095600D">
        <w:rPr>
          <w:lang w:eastAsia="ja-JP"/>
        </w:rPr>
        <w:t>según se expone en el párrafo</w:t>
      </w:r>
      <w:r w:rsidR="00DA2765" w:rsidRPr="0095600D">
        <w:rPr>
          <w:lang w:eastAsia="ja-JP"/>
        </w:rPr>
        <w:t> 1</w:t>
      </w:r>
      <w:r w:rsidR="00B84BA5" w:rsidRPr="0095600D">
        <w:rPr>
          <w:lang w:eastAsia="ja-JP"/>
        </w:rPr>
        <w:t>5.</w:t>
      </w:r>
    </w:p>
    <w:p w:rsidR="00995DFA" w:rsidRPr="00E17B21" w:rsidRDefault="00995DFA" w:rsidP="00995DFA">
      <w:pPr>
        <w:rPr>
          <w:lang w:eastAsia="ja-JP"/>
        </w:rPr>
      </w:pPr>
    </w:p>
    <w:p w:rsidR="00995DFA" w:rsidRPr="00E17B21" w:rsidRDefault="00AE6C55" w:rsidP="00995DFA">
      <w:pPr>
        <w:rPr>
          <w:rFonts w:cs="Arial"/>
          <w:color w:val="000000"/>
        </w:rPr>
      </w:pPr>
      <w:r w:rsidRPr="00BD38DB">
        <w:fldChar w:fldCharType="begin"/>
      </w:r>
      <w:r w:rsidR="00995DFA" w:rsidRPr="00E17B21">
        <w:instrText xml:space="preserve"> AUTONUM  </w:instrText>
      </w:r>
      <w:r w:rsidRPr="00BD38DB">
        <w:fldChar w:fldCharType="end"/>
      </w:r>
      <w:r w:rsidR="00995DFA" w:rsidRPr="00E17B21">
        <w:tab/>
      </w:r>
      <w:r w:rsidR="004F0089" w:rsidRPr="00BD38DB">
        <w:rPr>
          <w:rFonts w:cs="Arial"/>
          <w:color w:val="000000"/>
        </w:rPr>
        <w:t>En el presente documento se utilizan las abreviaturas siguientes:</w:t>
      </w:r>
    </w:p>
    <w:p w:rsidR="00995DFA" w:rsidRPr="00E17B21" w:rsidRDefault="00995DFA" w:rsidP="00995DFA">
      <w:pPr>
        <w:rPr>
          <w:rFonts w:cs="Arial"/>
        </w:rPr>
      </w:pPr>
      <w:r w:rsidRPr="00E17B21">
        <w:rPr>
          <w:rFonts w:cs="Arial"/>
        </w:rPr>
        <w:tab/>
      </w:r>
      <w:r w:rsidR="004F0089" w:rsidRPr="00BD38DB">
        <w:rPr>
          <w:rFonts w:cs="Arial"/>
        </w:rPr>
        <w:t>TC:</w:t>
      </w:r>
      <w:r w:rsidRPr="00E17B21">
        <w:rPr>
          <w:rFonts w:cs="Arial"/>
        </w:rPr>
        <w:tab/>
      </w:r>
      <w:r w:rsidRPr="00E17B21">
        <w:rPr>
          <w:rFonts w:cs="Arial"/>
        </w:rPr>
        <w:tab/>
      </w:r>
      <w:r w:rsidR="004F0089" w:rsidRPr="00BD38DB">
        <w:rPr>
          <w:rFonts w:cs="Arial"/>
        </w:rPr>
        <w:t>Comité Técnico</w:t>
      </w:r>
    </w:p>
    <w:p w:rsidR="00995DFA" w:rsidRPr="00E17B21" w:rsidRDefault="00995DFA" w:rsidP="00995DFA">
      <w:pPr>
        <w:rPr>
          <w:rFonts w:eastAsia="PMingLiU" w:cs="Arial"/>
          <w:szCs w:val="24"/>
        </w:rPr>
      </w:pPr>
      <w:r w:rsidRPr="00E17B21">
        <w:rPr>
          <w:rFonts w:eastAsia="PMingLiU" w:cs="Arial"/>
          <w:szCs w:val="24"/>
        </w:rPr>
        <w:tab/>
      </w:r>
      <w:r w:rsidR="004F0089" w:rsidRPr="00BD38DB">
        <w:rPr>
          <w:rFonts w:eastAsia="PMingLiU" w:cs="Arial"/>
          <w:szCs w:val="24"/>
        </w:rPr>
        <w:t>TWC:</w:t>
      </w:r>
      <w:r w:rsidRPr="00E17B21">
        <w:rPr>
          <w:rFonts w:eastAsia="PMingLiU" w:cs="Arial"/>
          <w:szCs w:val="24"/>
        </w:rPr>
        <w:tab/>
      </w:r>
      <w:r w:rsidRPr="00E17B21">
        <w:rPr>
          <w:rFonts w:eastAsia="PMingLiU" w:cs="Arial"/>
          <w:szCs w:val="24"/>
        </w:rPr>
        <w:tab/>
      </w:r>
      <w:r w:rsidR="004F0089" w:rsidRPr="00BD38DB">
        <w:rPr>
          <w:rFonts w:eastAsia="PMingLiU" w:cs="Arial"/>
          <w:szCs w:val="24"/>
        </w:rPr>
        <w:t>Grupo de Trabajo Técnico sobre Automatización y Programas Informáticos</w:t>
      </w:r>
    </w:p>
    <w:p w:rsidR="00995DFA" w:rsidRPr="00E17B21" w:rsidRDefault="00995DFA" w:rsidP="00995DFA"/>
    <w:p w:rsidR="00995DFA" w:rsidRPr="00E17B21" w:rsidRDefault="00AE6C55" w:rsidP="00995DFA">
      <w:pPr>
        <w:keepNext/>
      </w:pPr>
      <w:r w:rsidRPr="00BD38DB">
        <w:fldChar w:fldCharType="begin"/>
      </w:r>
      <w:r w:rsidR="00995DFA" w:rsidRPr="00E17B21">
        <w:instrText xml:space="preserve"> AUTONUM  </w:instrText>
      </w:r>
      <w:r w:rsidRPr="00BD38DB">
        <w:fldChar w:fldCharType="end"/>
      </w:r>
      <w:r w:rsidR="00995DFA" w:rsidRPr="00E17B21">
        <w:tab/>
      </w:r>
      <w:r w:rsidR="004F0089" w:rsidRPr="00BD38DB">
        <w:t>El presente documento se estructura del modo siguiente:</w:t>
      </w:r>
    </w:p>
    <w:sdt>
      <w:sdtPr>
        <w:rPr>
          <w:smallCaps/>
        </w:rPr>
        <w:id w:val="-1800911247"/>
        <w:docPartObj>
          <w:docPartGallery w:val="Table of Contents"/>
          <w:docPartUnique/>
        </w:docPartObj>
      </w:sdtPr>
      <w:sdtEndPr>
        <w:rPr>
          <w:b/>
          <w:bCs/>
          <w:smallCaps w:val="0"/>
          <w:noProof/>
        </w:rPr>
      </w:sdtEndPr>
      <w:sdtContent>
        <w:p w:rsidR="00995DFA" w:rsidRPr="00BD63DE" w:rsidRDefault="00BD63DE" w:rsidP="00995DFA">
          <w:pPr>
            <w:keepNext/>
            <w:rPr>
              <w:rFonts w:cs="Arial"/>
              <w:b/>
            </w:rPr>
          </w:pPr>
          <w:r w:rsidRPr="00BD63DE">
            <w:rPr>
              <w:smallCaps/>
            </w:rPr>
            <w:t xml:space="preserve"> </w:t>
          </w:r>
        </w:p>
        <w:p w:rsidR="00BD63DE" w:rsidRDefault="00AE6C55">
          <w:pPr>
            <w:pStyle w:val="TOC1"/>
            <w:rPr>
              <w:rFonts w:asciiTheme="minorHAnsi" w:eastAsiaTheme="minorEastAsia" w:hAnsiTheme="minorHAnsi" w:cstheme="minorBidi"/>
              <w:caps w:val="0"/>
              <w:noProof/>
              <w:sz w:val="22"/>
              <w:szCs w:val="22"/>
              <w:lang w:val="en-US"/>
            </w:rPr>
          </w:pPr>
          <w:r w:rsidRPr="0095600D">
            <w:rPr>
              <w:rFonts w:eastAsiaTheme="minorEastAsia" w:cs="Arial"/>
              <w:lang w:val="en-US" w:eastAsia="ja-JP"/>
            </w:rPr>
            <w:fldChar w:fldCharType="begin"/>
          </w:r>
          <w:r w:rsidR="00995DFA" w:rsidRPr="0095600D">
            <w:instrText xml:space="preserve"> TOC \o "1-3" \h \z \u </w:instrText>
          </w:r>
          <w:r w:rsidRPr="0095600D">
            <w:rPr>
              <w:rFonts w:eastAsiaTheme="minorEastAsia" w:cs="Arial"/>
              <w:lang w:val="en-US" w:eastAsia="ja-JP"/>
            </w:rPr>
            <w:fldChar w:fldCharType="separate"/>
          </w:r>
          <w:hyperlink w:anchor="_Toc524699988" w:history="1">
            <w:r w:rsidR="00BD63DE" w:rsidRPr="00A714E8">
              <w:rPr>
                <w:rStyle w:val="Hyperlink"/>
                <w:noProof/>
                <w:lang w:eastAsia="ja-JP"/>
              </w:rPr>
              <w:t>RESUMEN</w:t>
            </w:r>
            <w:r w:rsidR="00BD63DE">
              <w:rPr>
                <w:noProof/>
                <w:webHidden/>
              </w:rPr>
              <w:tab/>
            </w:r>
            <w:r w:rsidR="00BD63DE">
              <w:rPr>
                <w:noProof/>
                <w:webHidden/>
              </w:rPr>
              <w:fldChar w:fldCharType="begin"/>
            </w:r>
            <w:r w:rsidR="00BD63DE">
              <w:rPr>
                <w:noProof/>
                <w:webHidden/>
              </w:rPr>
              <w:instrText xml:space="preserve"> PAGEREF _Toc524699988 \h </w:instrText>
            </w:r>
            <w:r w:rsidR="00BD63DE">
              <w:rPr>
                <w:noProof/>
                <w:webHidden/>
              </w:rPr>
            </w:r>
            <w:r w:rsidR="00BD63DE">
              <w:rPr>
                <w:noProof/>
                <w:webHidden/>
              </w:rPr>
              <w:fldChar w:fldCharType="separate"/>
            </w:r>
            <w:r w:rsidR="002A17DA">
              <w:rPr>
                <w:noProof/>
                <w:webHidden/>
              </w:rPr>
              <w:t>1</w:t>
            </w:r>
            <w:r w:rsidR="00BD63DE">
              <w:rPr>
                <w:noProof/>
                <w:webHidden/>
              </w:rPr>
              <w:fldChar w:fldCharType="end"/>
            </w:r>
          </w:hyperlink>
        </w:p>
        <w:p w:rsidR="00BD63DE" w:rsidRDefault="00BD63DE">
          <w:pPr>
            <w:pStyle w:val="TOC1"/>
            <w:rPr>
              <w:rFonts w:asciiTheme="minorHAnsi" w:eastAsiaTheme="minorEastAsia" w:hAnsiTheme="minorHAnsi" w:cstheme="minorBidi"/>
              <w:caps w:val="0"/>
              <w:noProof/>
              <w:sz w:val="22"/>
              <w:szCs w:val="22"/>
              <w:lang w:val="en-US"/>
            </w:rPr>
          </w:pPr>
          <w:hyperlink w:anchor="_Toc524699989" w:history="1">
            <w:r w:rsidRPr="00A714E8">
              <w:rPr>
                <w:rStyle w:val="Hyperlink"/>
                <w:noProof/>
              </w:rPr>
              <w:t>ANTECEDENTES</w:t>
            </w:r>
            <w:r>
              <w:rPr>
                <w:noProof/>
                <w:webHidden/>
              </w:rPr>
              <w:tab/>
            </w:r>
            <w:r>
              <w:rPr>
                <w:noProof/>
                <w:webHidden/>
              </w:rPr>
              <w:fldChar w:fldCharType="begin"/>
            </w:r>
            <w:r>
              <w:rPr>
                <w:noProof/>
                <w:webHidden/>
              </w:rPr>
              <w:instrText xml:space="preserve"> PAGEREF _Toc524699989 \h </w:instrText>
            </w:r>
            <w:r>
              <w:rPr>
                <w:noProof/>
                <w:webHidden/>
              </w:rPr>
            </w:r>
            <w:r>
              <w:rPr>
                <w:noProof/>
                <w:webHidden/>
              </w:rPr>
              <w:fldChar w:fldCharType="separate"/>
            </w:r>
            <w:r w:rsidR="002A17DA">
              <w:rPr>
                <w:noProof/>
                <w:webHidden/>
              </w:rPr>
              <w:t>1</w:t>
            </w:r>
            <w:r>
              <w:rPr>
                <w:noProof/>
                <w:webHidden/>
              </w:rPr>
              <w:fldChar w:fldCharType="end"/>
            </w:r>
          </w:hyperlink>
        </w:p>
        <w:p w:rsidR="00BD63DE" w:rsidRDefault="00BD63DE">
          <w:pPr>
            <w:pStyle w:val="TOC1"/>
            <w:rPr>
              <w:rFonts w:asciiTheme="minorHAnsi" w:eastAsiaTheme="minorEastAsia" w:hAnsiTheme="minorHAnsi" w:cstheme="minorBidi"/>
              <w:caps w:val="0"/>
              <w:noProof/>
              <w:sz w:val="22"/>
              <w:szCs w:val="22"/>
              <w:lang w:val="en-US"/>
            </w:rPr>
          </w:pPr>
          <w:hyperlink w:anchor="_Toc524699990" w:history="1">
            <w:r w:rsidRPr="00A714E8">
              <w:rPr>
                <w:rStyle w:val="Hyperlink"/>
                <w:noProof/>
              </w:rPr>
              <w:t>NOVEDADES ACAECIDAS EN 2017</w:t>
            </w:r>
            <w:r>
              <w:rPr>
                <w:noProof/>
                <w:webHidden/>
              </w:rPr>
              <w:tab/>
            </w:r>
            <w:r>
              <w:rPr>
                <w:noProof/>
                <w:webHidden/>
              </w:rPr>
              <w:fldChar w:fldCharType="begin"/>
            </w:r>
            <w:r>
              <w:rPr>
                <w:noProof/>
                <w:webHidden/>
              </w:rPr>
              <w:instrText xml:space="preserve"> PAGEREF _Toc524699990 \h </w:instrText>
            </w:r>
            <w:r>
              <w:rPr>
                <w:noProof/>
                <w:webHidden/>
              </w:rPr>
            </w:r>
            <w:r>
              <w:rPr>
                <w:noProof/>
                <w:webHidden/>
              </w:rPr>
              <w:fldChar w:fldCharType="separate"/>
            </w:r>
            <w:r w:rsidR="002A17DA">
              <w:rPr>
                <w:noProof/>
                <w:webHidden/>
              </w:rPr>
              <w:t>2</w:t>
            </w:r>
            <w:r>
              <w:rPr>
                <w:noProof/>
                <w:webHidden/>
              </w:rPr>
              <w:fldChar w:fldCharType="end"/>
            </w:r>
          </w:hyperlink>
        </w:p>
        <w:p w:rsidR="00BD63DE" w:rsidRDefault="00BD63DE">
          <w:pPr>
            <w:pStyle w:val="TOC2"/>
            <w:rPr>
              <w:rFonts w:asciiTheme="minorHAnsi" w:eastAsiaTheme="minorEastAsia" w:hAnsiTheme="minorHAnsi" w:cstheme="minorBidi"/>
              <w:noProof/>
              <w:sz w:val="22"/>
              <w:szCs w:val="22"/>
              <w:lang w:val="en-US"/>
            </w:rPr>
          </w:pPr>
          <w:hyperlink w:anchor="_Toc524699991" w:history="1">
            <w:r w:rsidRPr="00A714E8">
              <w:rPr>
                <w:rStyle w:val="Hyperlink"/>
                <w:noProof/>
                <w:snapToGrid w:val="0"/>
                <w:lang w:eastAsia="ja-JP"/>
              </w:rPr>
              <w:t>Comité Técnico</w:t>
            </w:r>
            <w:r>
              <w:rPr>
                <w:noProof/>
                <w:webHidden/>
              </w:rPr>
              <w:tab/>
            </w:r>
            <w:r>
              <w:rPr>
                <w:noProof/>
                <w:webHidden/>
              </w:rPr>
              <w:fldChar w:fldCharType="begin"/>
            </w:r>
            <w:r>
              <w:rPr>
                <w:noProof/>
                <w:webHidden/>
              </w:rPr>
              <w:instrText xml:space="preserve"> PAGEREF _Toc524699991 \h </w:instrText>
            </w:r>
            <w:r>
              <w:rPr>
                <w:noProof/>
                <w:webHidden/>
              </w:rPr>
            </w:r>
            <w:r>
              <w:rPr>
                <w:noProof/>
                <w:webHidden/>
              </w:rPr>
              <w:fldChar w:fldCharType="separate"/>
            </w:r>
            <w:r w:rsidR="002A17DA">
              <w:rPr>
                <w:noProof/>
                <w:webHidden/>
              </w:rPr>
              <w:t>2</w:t>
            </w:r>
            <w:r>
              <w:rPr>
                <w:noProof/>
                <w:webHidden/>
              </w:rPr>
              <w:fldChar w:fldCharType="end"/>
            </w:r>
          </w:hyperlink>
        </w:p>
        <w:p w:rsidR="00BD63DE" w:rsidRDefault="00BD63DE">
          <w:pPr>
            <w:pStyle w:val="TOC2"/>
            <w:rPr>
              <w:rFonts w:asciiTheme="minorHAnsi" w:eastAsiaTheme="minorEastAsia" w:hAnsiTheme="minorHAnsi" w:cstheme="minorBidi"/>
              <w:noProof/>
              <w:sz w:val="22"/>
              <w:szCs w:val="22"/>
              <w:lang w:val="en-US"/>
            </w:rPr>
          </w:pPr>
          <w:hyperlink w:anchor="_Toc524699992" w:history="1">
            <w:r w:rsidRPr="00A714E8">
              <w:rPr>
                <w:rStyle w:val="Hyperlink"/>
                <w:noProof/>
                <w:snapToGrid w:val="0"/>
                <w:lang w:eastAsia="ja-JP"/>
              </w:rPr>
              <w:t>Grupo de Trabajo Técnico sobre Automatización y Programas Informáticos</w:t>
            </w:r>
            <w:r>
              <w:rPr>
                <w:noProof/>
                <w:webHidden/>
              </w:rPr>
              <w:tab/>
            </w:r>
            <w:r>
              <w:rPr>
                <w:noProof/>
                <w:webHidden/>
              </w:rPr>
              <w:fldChar w:fldCharType="begin"/>
            </w:r>
            <w:r>
              <w:rPr>
                <w:noProof/>
                <w:webHidden/>
              </w:rPr>
              <w:instrText xml:space="preserve"> PAGEREF _Toc524699992 \h </w:instrText>
            </w:r>
            <w:r>
              <w:rPr>
                <w:noProof/>
                <w:webHidden/>
              </w:rPr>
            </w:r>
            <w:r>
              <w:rPr>
                <w:noProof/>
                <w:webHidden/>
              </w:rPr>
              <w:fldChar w:fldCharType="separate"/>
            </w:r>
            <w:r w:rsidR="002A17DA">
              <w:rPr>
                <w:noProof/>
                <w:webHidden/>
              </w:rPr>
              <w:t>2</w:t>
            </w:r>
            <w:r>
              <w:rPr>
                <w:noProof/>
                <w:webHidden/>
              </w:rPr>
              <w:fldChar w:fldCharType="end"/>
            </w:r>
          </w:hyperlink>
        </w:p>
        <w:p w:rsidR="00BD63DE" w:rsidRDefault="00BD63DE">
          <w:pPr>
            <w:pStyle w:val="TOC1"/>
            <w:rPr>
              <w:rFonts w:asciiTheme="minorHAnsi" w:eastAsiaTheme="minorEastAsia" w:hAnsiTheme="minorHAnsi" w:cstheme="minorBidi"/>
              <w:caps w:val="0"/>
              <w:noProof/>
              <w:sz w:val="22"/>
              <w:szCs w:val="22"/>
              <w:lang w:val="en-US"/>
            </w:rPr>
          </w:pPr>
          <w:hyperlink w:anchor="_Toc524699993" w:history="1">
            <w:r w:rsidRPr="00A714E8">
              <w:rPr>
                <w:rStyle w:val="Hyperlink"/>
                <w:noProof/>
              </w:rPr>
              <w:t>NOVEDADES ACAECIDAS EN 2018</w:t>
            </w:r>
            <w:r>
              <w:rPr>
                <w:noProof/>
                <w:webHidden/>
              </w:rPr>
              <w:tab/>
            </w:r>
            <w:r>
              <w:rPr>
                <w:noProof/>
                <w:webHidden/>
              </w:rPr>
              <w:fldChar w:fldCharType="begin"/>
            </w:r>
            <w:r>
              <w:rPr>
                <w:noProof/>
                <w:webHidden/>
              </w:rPr>
              <w:instrText xml:space="preserve"> PAGEREF _Toc524699993 \h </w:instrText>
            </w:r>
            <w:r>
              <w:rPr>
                <w:noProof/>
                <w:webHidden/>
              </w:rPr>
            </w:r>
            <w:r>
              <w:rPr>
                <w:noProof/>
                <w:webHidden/>
              </w:rPr>
              <w:fldChar w:fldCharType="separate"/>
            </w:r>
            <w:r w:rsidR="002A17DA">
              <w:rPr>
                <w:noProof/>
                <w:webHidden/>
              </w:rPr>
              <w:t>2</w:t>
            </w:r>
            <w:r>
              <w:rPr>
                <w:noProof/>
                <w:webHidden/>
              </w:rPr>
              <w:fldChar w:fldCharType="end"/>
            </w:r>
          </w:hyperlink>
        </w:p>
        <w:p w:rsidR="00995DFA" w:rsidRPr="00BD63DE" w:rsidRDefault="00AE6C55" w:rsidP="00995DFA">
          <w:pPr>
            <w:rPr>
              <w:b/>
              <w:bCs/>
              <w:noProof/>
            </w:rPr>
          </w:pPr>
          <w:r w:rsidRPr="0095600D">
            <w:rPr>
              <w:b/>
              <w:bCs/>
              <w:noProof/>
              <w:sz w:val="16"/>
            </w:rPr>
            <w:fldChar w:fldCharType="end"/>
          </w:r>
          <w:r w:rsidR="00BD63DE" w:rsidRPr="00BD63DE">
            <w:rPr>
              <w:b/>
              <w:bCs/>
              <w:noProof/>
            </w:rPr>
            <w:t xml:space="preserve"> </w:t>
          </w:r>
        </w:p>
      </w:sdtContent>
    </w:sdt>
    <w:p w:rsidR="00995DFA" w:rsidRDefault="00995DFA" w:rsidP="00995DFA">
      <w:pPr>
        <w:jc w:val="left"/>
      </w:pPr>
    </w:p>
    <w:p w:rsidR="00BD63DE" w:rsidRPr="00BD38DB" w:rsidRDefault="00BD63DE" w:rsidP="00995DFA">
      <w:pPr>
        <w:jc w:val="left"/>
      </w:pPr>
    </w:p>
    <w:p w:rsidR="00995DFA" w:rsidRPr="00E17B21" w:rsidRDefault="004F0089" w:rsidP="00995DFA">
      <w:pPr>
        <w:pStyle w:val="Heading1"/>
        <w:rPr>
          <w:lang w:val="es-ES_tradnl" w:eastAsia="ja-JP"/>
        </w:rPr>
      </w:pPr>
      <w:bookmarkStart w:id="3" w:name="_Toc524699989"/>
      <w:r w:rsidRPr="00BD38DB">
        <w:rPr>
          <w:lang w:val="es-ES_tradnl"/>
        </w:rPr>
        <w:t>ANTECEDENTES</w:t>
      </w:r>
      <w:bookmarkEnd w:id="3"/>
    </w:p>
    <w:p w:rsidR="00995DFA" w:rsidRPr="00E17B21" w:rsidRDefault="00995DFA" w:rsidP="00995DFA">
      <w:pPr>
        <w:keepNext/>
        <w:rPr>
          <w:caps/>
          <w:lang w:eastAsia="ja-JP"/>
        </w:rPr>
      </w:pPr>
    </w:p>
    <w:p w:rsidR="00995DFA" w:rsidRPr="00E17B21" w:rsidRDefault="00AE6C55" w:rsidP="00995DFA">
      <w:pPr>
        <w:keepNext/>
        <w:rPr>
          <w:snapToGrid w:val="0"/>
          <w:color w:val="000000"/>
          <w:lang w:eastAsia="ja-JP"/>
        </w:rPr>
      </w:pPr>
      <w:r w:rsidRPr="00BD38DB">
        <w:fldChar w:fldCharType="begin"/>
      </w:r>
      <w:r w:rsidR="00995DFA" w:rsidRPr="00E17B21">
        <w:instrText xml:space="preserve"> AUTONUM  </w:instrText>
      </w:r>
      <w:r w:rsidRPr="00BD38DB">
        <w:fldChar w:fldCharType="end"/>
      </w:r>
      <w:r w:rsidR="00995DFA" w:rsidRPr="00E17B21">
        <w:tab/>
      </w:r>
      <w:r w:rsidR="004F0089" w:rsidRPr="00BD38DB">
        <w:rPr>
          <w:szCs w:val="24"/>
        </w:rPr>
        <w:t xml:space="preserve">Los antecedentes de este asunto figuran en el documento </w:t>
      </w:r>
      <w:r w:rsidR="004F0089" w:rsidRPr="00BD38DB">
        <w:rPr>
          <w:snapToGrid w:val="0"/>
          <w:color w:val="000000"/>
        </w:rPr>
        <w:t>T</w:t>
      </w:r>
      <w:r w:rsidR="004F0089" w:rsidRPr="00BD38DB">
        <w:rPr>
          <w:rFonts w:hint="eastAsia"/>
          <w:snapToGrid w:val="0"/>
          <w:color w:val="000000"/>
          <w:lang w:eastAsia="ja-JP"/>
        </w:rPr>
        <w:t>C</w:t>
      </w:r>
      <w:r w:rsidR="004F0089" w:rsidRPr="00BD38DB">
        <w:rPr>
          <w:snapToGrid w:val="0"/>
          <w:color w:val="000000"/>
        </w:rPr>
        <w:t>/5</w:t>
      </w:r>
      <w:r w:rsidR="004F0089" w:rsidRPr="00BD38DB">
        <w:rPr>
          <w:rFonts w:hint="eastAsia"/>
          <w:snapToGrid w:val="0"/>
          <w:color w:val="000000"/>
          <w:lang w:eastAsia="ja-JP"/>
        </w:rPr>
        <w:t>3</w:t>
      </w:r>
      <w:r w:rsidR="004F0089" w:rsidRPr="00BD38DB">
        <w:rPr>
          <w:snapToGrid w:val="0"/>
          <w:color w:val="000000"/>
        </w:rPr>
        <w:t>/</w:t>
      </w:r>
      <w:r w:rsidR="004F0089" w:rsidRPr="00BD38DB">
        <w:rPr>
          <w:snapToGrid w:val="0"/>
          <w:color w:val="000000"/>
          <w:lang w:eastAsia="ja-JP"/>
        </w:rPr>
        <w:t xml:space="preserve">24 </w:t>
      </w:r>
      <w:r w:rsidR="004F0089" w:rsidRPr="00BD38DB">
        <w:rPr>
          <w:szCs w:val="24"/>
        </w:rPr>
        <w:t>“Métodos estadísticos aplicados a caracteres observados visualmente”.</w:t>
      </w:r>
    </w:p>
    <w:p w:rsidR="00995DFA" w:rsidRPr="00E17B21" w:rsidRDefault="00995DFA" w:rsidP="00995DFA">
      <w:pPr>
        <w:rPr>
          <w:snapToGrid w:val="0"/>
          <w:color w:val="000000"/>
          <w:lang w:eastAsia="ja-JP"/>
        </w:rPr>
      </w:pPr>
    </w:p>
    <w:p w:rsidR="00995DFA" w:rsidRDefault="00995DFA" w:rsidP="00995DFA">
      <w:pPr>
        <w:rPr>
          <w:snapToGrid w:val="0"/>
          <w:color w:val="000000"/>
          <w:lang w:eastAsia="ja-JP"/>
        </w:rPr>
      </w:pPr>
    </w:p>
    <w:p w:rsidR="00BD63DE" w:rsidRPr="00E17B21" w:rsidRDefault="00BD63DE" w:rsidP="00995DFA">
      <w:pPr>
        <w:rPr>
          <w:snapToGrid w:val="0"/>
          <w:color w:val="000000"/>
          <w:lang w:eastAsia="ja-JP"/>
        </w:rPr>
      </w:pPr>
    </w:p>
    <w:p w:rsidR="00995DFA" w:rsidRPr="00E17B21" w:rsidRDefault="004F0089" w:rsidP="00995DFA">
      <w:pPr>
        <w:pStyle w:val="Heading1"/>
        <w:rPr>
          <w:snapToGrid w:val="0"/>
          <w:color w:val="000000"/>
          <w:lang w:val="es-ES_tradnl" w:eastAsia="ja-JP"/>
        </w:rPr>
      </w:pPr>
      <w:bookmarkStart w:id="4" w:name="_Toc524699990"/>
      <w:r w:rsidRPr="00BD38DB">
        <w:rPr>
          <w:lang w:val="es-ES_tradnl"/>
        </w:rPr>
        <w:lastRenderedPageBreak/>
        <w:t>NOVEDADES ACAECIDAS EN</w:t>
      </w:r>
      <w:r w:rsidR="00DA2765" w:rsidRPr="00BD38DB">
        <w:rPr>
          <w:lang w:val="es-ES_tradnl"/>
        </w:rPr>
        <w:t> 2</w:t>
      </w:r>
      <w:r w:rsidRPr="00BD38DB">
        <w:rPr>
          <w:lang w:val="es-ES_tradnl"/>
        </w:rPr>
        <w:t>017</w:t>
      </w:r>
      <w:bookmarkEnd w:id="4"/>
    </w:p>
    <w:p w:rsidR="00995DFA" w:rsidRPr="00E17B21" w:rsidRDefault="00995DFA" w:rsidP="00995DFA">
      <w:pPr>
        <w:keepNext/>
        <w:rPr>
          <w:snapToGrid w:val="0"/>
          <w:color w:val="000000"/>
          <w:lang w:eastAsia="ja-JP"/>
        </w:rPr>
      </w:pPr>
    </w:p>
    <w:p w:rsidR="00995DFA" w:rsidRPr="00E17B21" w:rsidRDefault="004F0089" w:rsidP="00995DFA">
      <w:pPr>
        <w:pStyle w:val="Heading2"/>
        <w:rPr>
          <w:rFonts w:eastAsiaTheme="minorEastAsia"/>
          <w:snapToGrid w:val="0"/>
          <w:lang w:val="es-ES_tradnl" w:eastAsia="ja-JP"/>
        </w:rPr>
      </w:pPr>
      <w:bookmarkStart w:id="5" w:name="_Toc524699991"/>
      <w:r w:rsidRPr="00BD38DB">
        <w:rPr>
          <w:rFonts w:eastAsiaTheme="minorEastAsia"/>
          <w:snapToGrid w:val="0"/>
          <w:lang w:val="es-ES_tradnl" w:eastAsia="ja-JP"/>
        </w:rPr>
        <w:t>Comité Técnico</w:t>
      </w:r>
      <w:bookmarkEnd w:id="5"/>
    </w:p>
    <w:p w:rsidR="00995DFA" w:rsidRPr="00E17B21" w:rsidRDefault="00995DFA" w:rsidP="00CA61FE">
      <w:pPr>
        <w:keepNext/>
        <w:ind w:left="567" w:hanging="567"/>
        <w:rPr>
          <w:rFonts w:cs="Arial"/>
          <w:snapToGrid w:val="0"/>
        </w:rPr>
      </w:pPr>
    </w:p>
    <w:p w:rsidR="00995DFA" w:rsidRPr="00E17B21" w:rsidRDefault="00AE6C55" w:rsidP="00995DFA">
      <w:pPr>
        <w:rPr>
          <w:snapToGrid w:val="0"/>
        </w:rPr>
      </w:pPr>
      <w:r w:rsidRPr="00BD38DB">
        <w:fldChar w:fldCharType="begin"/>
      </w:r>
      <w:r w:rsidR="00995DFA" w:rsidRPr="00E17B21">
        <w:instrText xml:space="preserve"> AUTONUM  </w:instrText>
      </w:r>
      <w:r w:rsidRPr="00BD38DB">
        <w:fldChar w:fldCharType="end"/>
      </w:r>
      <w:r w:rsidR="00995DFA" w:rsidRPr="00E17B21">
        <w:tab/>
      </w:r>
      <w:r w:rsidR="004F0089" w:rsidRPr="00BD38DB">
        <w:rPr>
          <w:snapToGrid w:val="0"/>
        </w:rPr>
        <w:t>En su quincuagésima tercera sesión</w:t>
      </w:r>
      <w:r w:rsidR="00DA2765" w:rsidRPr="00BD38DB">
        <w:rPr>
          <w:snapToGrid w:val="0"/>
        </w:rPr>
        <w:t xml:space="preserve">, </w:t>
      </w:r>
      <w:r w:rsidR="004F0089" w:rsidRPr="00BD38DB">
        <w:rPr>
          <w:snapToGrid w:val="0"/>
        </w:rPr>
        <w:t>celebrada en Ginebra del</w:t>
      </w:r>
      <w:r w:rsidR="00DA2765" w:rsidRPr="00BD38DB">
        <w:rPr>
          <w:snapToGrid w:val="0"/>
        </w:rPr>
        <w:t> 3</w:t>
      </w:r>
      <w:r w:rsidR="004F0089" w:rsidRPr="00BD38DB">
        <w:rPr>
          <w:snapToGrid w:val="0"/>
        </w:rPr>
        <w:t xml:space="preserve"> al</w:t>
      </w:r>
      <w:r w:rsidR="00DA2765" w:rsidRPr="00BD38DB">
        <w:rPr>
          <w:snapToGrid w:val="0"/>
        </w:rPr>
        <w:t> 5</w:t>
      </w:r>
      <w:r w:rsidR="004F0089" w:rsidRPr="00BD38DB">
        <w:rPr>
          <w:snapToGrid w:val="0"/>
        </w:rPr>
        <w:t xml:space="preserve"> de abril de</w:t>
      </w:r>
      <w:r w:rsidR="00DA2765" w:rsidRPr="00BD38DB">
        <w:rPr>
          <w:snapToGrid w:val="0"/>
        </w:rPr>
        <w:t> 2</w:t>
      </w:r>
      <w:r w:rsidR="004F0089" w:rsidRPr="00BD38DB">
        <w:rPr>
          <w:snapToGrid w:val="0"/>
        </w:rPr>
        <w:t>017</w:t>
      </w:r>
      <w:r w:rsidR="00DA2765" w:rsidRPr="00BD38DB">
        <w:rPr>
          <w:snapToGrid w:val="0"/>
        </w:rPr>
        <w:t xml:space="preserve">, </w:t>
      </w:r>
      <w:r w:rsidR="004F0089" w:rsidRPr="00BD38DB">
        <w:rPr>
          <w:snapToGrid w:val="0"/>
        </w:rPr>
        <w:t>el TC examinó el documento TC/53/24 “Métodos estadísticos aplicados a caracteres observados visualmente”</w:t>
      </w:r>
      <w:r w:rsidR="004F0089" w:rsidRPr="00BD38DB">
        <w:rPr>
          <w:rFonts w:hint="eastAsia"/>
          <w:lang w:eastAsia="ja-JP"/>
        </w:rPr>
        <w:t xml:space="preserve"> </w:t>
      </w:r>
      <w:r w:rsidR="004F0089" w:rsidRPr="00BD38DB">
        <w:rPr>
          <w:snapToGrid w:val="0"/>
        </w:rPr>
        <w:t>(véanse los párrafos</w:t>
      </w:r>
      <w:r w:rsidR="00DA2765" w:rsidRPr="00BD38DB">
        <w:rPr>
          <w:snapToGrid w:val="0"/>
        </w:rPr>
        <w:t> 1</w:t>
      </w:r>
      <w:r w:rsidR="004F0089" w:rsidRPr="00BD38DB">
        <w:rPr>
          <w:snapToGrid w:val="0"/>
        </w:rPr>
        <w:t>93 a</w:t>
      </w:r>
      <w:r w:rsidR="00DA2765" w:rsidRPr="00BD38DB">
        <w:rPr>
          <w:snapToGrid w:val="0"/>
        </w:rPr>
        <w:t> 1</w:t>
      </w:r>
      <w:r w:rsidR="004F0089" w:rsidRPr="00BD38DB">
        <w:rPr>
          <w:snapToGrid w:val="0"/>
        </w:rPr>
        <w:t>96 del documento TC/53/31</w:t>
      </w:r>
      <w:r w:rsidR="004F0089" w:rsidRPr="00BD38DB">
        <w:rPr>
          <w:rFonts w:hint="eastAsia"/>
          <w:lang w:eastAsia="ja-JP"/>
        </w:rPr>
        <w:t xml:space="preserve"> </w:t>
      </w:r>
      <w:r w:rsidR="004F0089" w:rsidRPr="00BD38DB">
        <w:rPr>
          <w:lang w:eastAsia="ja-JP"/>
        </w:rPr>
        <w:t>“Informe”</w:t>
      </w:r>
      <w:r w:rsidR="004F0089" w:rsidRPr="00BD38DB">
        <w:rPr>
          <w:snapToGrid w:val="0"/>
        </w:rPr>
        <w:t>).</w:t>
      </w:r>
    </w:p>
    <w:p w:rsidR="00995DFA" w:rsidRPr="00E17B21" w:rsidRDefault="00995DFA" w:rsidP="00995DFA">
      <w:pPr>
        <w:rPr>
          <w:snapToGrid w:val="0"/>
        </w:rPr>
      </w:pPr>
    </w:p>
    <w:p w:rsidR="00995DFA" w:rsidRPr="00E17B21" w:rsidRDefault="00AE6C55" w:rsidP="00995DFA">
      <w:pPr>
        <w:rPr>
          <w:snapToGrid w:val="0"/>
          <w:lang w:eastAsia="ja-JP"/>
        </w:rPr>
      </w:pPr>
      <w:r w:rsidRPr="00BD38DB">
        <w:fldChar w:fldCharType="begin"/>
      </w:r>
      <w:r w:rsidR="00995DFA" w:rsidRPr="00E17B21">
        <w:instrText xml:space="preserve"> AUTONUM  </w:instrText>
      </w:r>
      <w:r w:rsidRPr="00BD38DB">
        <w:fldChar w:fldCharType="end"/>
      </w:r>
      <w:r w:rsidR="00995DFA" w:rsidRPr="00E17B21">
        <w:tab/>
      </w:r>
      <w:r w:rsidR="00402B30" w:rsidRPr="00BD38DB">
        <w:t>El TC tomó nota de que un experto de Francia presen</w:t>
      </w:r>
      <w:r w:rsidR="00BD63DE">
        <w:t>taría una ponencia al TWC en su </w:t>
      </w:r>
      <w:r w:rsidR="00402B30" w:rsidRPr="00BD38DB">
        <w:t>trigésima</w:t>
      </w:r>
      <w:r w:rsidR="00BD63DE">
        <w:t> </w:t>
      </w:r>
      <w:r w:rsidR="00402B30" w:rsidRPr="00BD38DB">
        <w:t>quinta reunión</w:t>
      </w:r>
      <w:r w:rsidR="00DA2765" w:rsidRPr="00BD38DB">
        <w:t xml:space="preserve">, </w:t>
      </w:r>
      <w:r w:rsidR="00402B30" w:rsidRPr="00BD38DB">
        <w:t>celebrada en</w:t>
      </w:r>
      <w:r w:rsidR="00DA2765" w:rsidRPr="00BD38DB">
        <w:t> 2</w:t>
      </w:r>
      <w:r w:rsidR="00402B30" w:rsidRPr="00BD38DB">
        <w:t>017</w:t>
      </w:r>
      <w:r w:rsidR="00DA2765" w:rsidRPr="00BD38DB">
        <w:t xml:space="preserve">, </w:t>
      </w:r>
      <w:r w:rsidR="00402B30" w:rsidRPr="00BD38DB">
        <w:t>sobre el estudio de desarrollo de programas informáticos para la aplicación del método elaborado por expertos de Dinamarca y Polonia.</w:t>
      </w:r>
    </w:p>
    <w:p w:rsidR="00995DFA" w:rsidRPr="00E17B21" w:rsidRDefault="00995DFA" w:rsidP="00995DFA">
      <w:pPr>
        <w:rPr>
          <w:lang w:eastAsia="ja-JP"/>
        </w:rPr>
      </w:pPr>
    </w:p>
    <w:p w:rsidR="00995DFA" w:rsidRPr="00E17B21" w:rsidRDefault="00AE6C55" w:rsidP="00995DFA">
      <w:pPr>
        <w:rPr>
          <w:lang w:eastAsia="ja-JP"/>
        </w:rPr>
      </w:pPr>
      <w:r w:rsidRPr="00BD38DB">
        <w:fldChar w:fldCharType="begin"/>
      </w:r>
      <w:r w:rsidR="00995DFA" w:rsidRPr="00E17B21">
        <w:instrText xml:space="preserve"> AUTONUM  </w:instrText>
      </w:r>
      <w:r w:rsidRPr="00BD38DB">
        <w:fldChar w:fldCharType="end"/>
      </w:r>
      <w:r w:rsidR="00995DFA" w:rsidRPr="00E17B21">
        <w:tab/>
      </w:r>
      <w:r w:rsidR="00402B30" w:rsidRPr="00BD38DB">
        <w:t>El TC convino en la necesidad de considerar una nomenclatura y un proyecto de orientación adecuados para el método elaborado por expertos de Dinamarca y Polonia</w:t>
      </w:r>
      <w:r w:rsidR="00DA2765" w:rsidRPr="00BD38DB">
        <w:t xml:space="preserve">, </w:t>
      </w:r>
      <w:r w:rsidR="00402B30" w:rsidRPr="00BD38DB">
        <w:t>una vez que se hubiese adquirido más experiencia y el programa informático estuviese disponible para facil</w:t>
      </w:r>
      <w:r w:rsidR="000A08E4" w:rsidRPr="00BD38DB">
        <w:t>itar su aplicación en el examen </w:t>
      </w:r>
      <w:r w:rsidR="00402B30" w:rsidRPr="00BD38DB">
        <w:t>DHE.</w:t>
      </w:r>
    </w:p>
    <w:p w:rsidR="00995DFA" w:rsidRPr="00E17B21" w:rsidRDefault="00995DFA" w:rsidP="00995DFA">
      <w:pPr>
        <w:rPr>
          <w:lang w:eastAsia="ja-JP"/>
        </w:rPr>
      </w:pPr>
    </w:p>
    <w:p w:rsidR="00995DFA" w:rsidRPr="00E17B21" w:rsidRDefault="00AE6C55" w:rsidP="00995DFA">
      <w:pPr>
        <w:rPr>
          <w:lang w:eastAsia="ja-JP"/>
        </w:rPr>
      </w:pPr>
      <w:r w:rsidRPr="00BD38DB">
        <w:fldChar w:fldCharType="begin"/>
      </w:r>
      <w:r w:rsidR="00995DFA" w:rsidRPr="00E17B21">
        <w:instrText xml:space="preserve"> AUTONUM  </w:instrText>
      </w:r>
      <w:r w:rsidRPr="00BD38DB">
        <w:fldChar w:fldCharType="end"/>
      </w:r>
      <w:r w:rsidR="00995DFA" w:rsidRPr="00E17B21">
        <w:tab/>
      </w:r>
      <w:r w:rsidR="00402B30" w:rsidRPr="00BD38DB">
        <w:t>El TC tomó nota de que China había presentado una ponencia en la trigésima cuarta reunión del TWC para describir los métodos estadísticos utilizados en el conjunto de programas informáticos DUSTC para el análisis de la distinción y la homogeneidad.</w:t>
      </w:r>
    </w:p>
    <w:p w:rsidR="00995DFA" w:rsidRDefault="00995DFA" w:rsidP="00BD63DE">
      <w:pPr>
        <w:rPr>
          <w:snapToGrid w:val="0"/>
          <w:lang w:eastAsia="ja-JP"/>
        </w:rPr>
      </w:pPr>
    </w:p>
    <w:p w:rsidR="00BD63DE" w:rsidRPr="00E17B21" w:rsidRDefault="00BD63DE" w:rsidP="00BD63DE">
      <w:pPr>
        <w:rPr>
          <w:snapToGrid w:val="0"/>
          <w:lang w:eastAsia="ja-JP"/>
        </w:rPr>
      </w:pPr>
    </w:p>
    <w:p w:rsidR="00995DFA" w:rsidRPr="00E17B21" w:rsidRDefault="00402B30" w:rsidP="00995DFA">
      <w:pPr>
        <w:pStyle w:val="Heading2"/>
        <w:rPr>
          <w:rFonts w:eastAsiaTheme="minorEastAsia"/>
          <w:snapToGrid w:val="0"/>
          <w:lang w:val="es-ES_tradnl" w:eastAsia="ja-JP"/>
        </w:rPr>
      </w:pPr>
      <w:bookmarkStart w:id="6" w:name="_Toc524699992"/>
      <w:r w:rsidRPr="00BD38DB">
        <w:rPr>
          <w:rFonts w:eastAsiaTheme="minorEastAsia"/>
          <w:snapToGrid w:val="0"/>
          <w:lang w:val="es-ES_tradnl" w:eastAsia="ja-JP"/>
        </w:rPr>
        <w:t>Grupo de Trabajo Técnico sobre Automatización y Programas Informáticos</w:t>
      </w:r>
      <w:bookmarkEnd w:id="6"/>
    </w:p>
    <w:p w:rsidR="00995DFA" w:rsidRPr="00E17B21" w:rsidRDefault="00995DFA" w:rsidP="00995DFA">
      <w:pPr>
        <w:ind w:left="567" w:hanging="567"/>
        <w:rPr>
          <w:rFonts w:cs="Arial"/>
          <w:snapToGrid w:val="0"/>
        </w:rPr>
      </w:pPr>
    </w:p>
    <w:p w:rsidR="00607FFE" w:rsidRDefault="00AE6C55" w:rsidP="00995DFA">
      <w:r w:rsidRPr="00BD38DB">
        <w:fldChar w:fldCharType="begin"/>
      </w:r>
      <w:r w:rsidR="00995DFA" w:rsidRPr="00E17B21">
        <w:instrText xml:space="preserve"> AUTONUM  </w:instrText>
      </w:r>
      <w:r w:rsidRPr="00BD38DB">
        <w:fldChar w:fldCharType="end"/>
      </w:r>
      <w:r w:rsidR="00995DFA" w:rsidRPr="00E17B21">
        <w:tab/>
      </w:r>
      <w:r w:rsidR="00402B30" w:rsidRPr="00BD38DB">
        <w:t>En su trigésima quinta sesión</w:t>
      </w:r>
      <w:r w:rsidR="00DA2765" w:rsidRPr="00BD38DB">
        <w:t xml:space="preserve">, </w:t>
      </w:r>
      <w:r w:rsidR="00402B30" w:rsidRPr="00BD38DB">
        <w:t>celebrada en Buenos Aires (Argentina) del</w:t>
      </w:r>
      <w:r w:rsidR="00DA2765" w:rsidRPr="00BD38DB">
        <w:t> 1</w:t>
      </w:r>
      <w:r w:rsidR="00402B30" w:rsidRPr="00BD38DB">
        <w:t>4 al</w:t>
      </w:r>
      <w:r w:rsidR="00DA2765" w:rsidRPr="00BD38DB">
        <w:t> 1</w:t>
      </w:r>
      <w:r w:rsidR="00402B30" w:rsidRPr="00BD38DB">
        <w:t>7 de noviembre de</w:t>
      </w:r>
      <w:r w:rsidR="00DA2765" w:rsidRPr="00BD38DB">
        <w:t> 2</w:t>
      </w:r>
      <w:r w:rsidR="00402B30" w:rsidRPr="00BD38DB">
        <w:t>017</w:t>
      </w:r>
      <w:r w:rsidR="00DA2765" w:rsidRPr="00BD38DB">
        <w:t xml:space="preserve">, </w:t>
      </w:r>
      <w:r w:rsidR="00402B30" w:rsidRPr="00BD38DB">
        <w:t>el TWC examinó el documento TWP/1/23 “</w:t>
      </w:r>
      <w:proofErr w:type="spellStart"/>
      <w:r w:rsidR="00005412" w:rsidRPr="00E17B21">
        <w:rPr>
          <w:i/>
        </w:rPr>
        <w:t>Statistical</w:t>
      </w:r>
      <w:proofErr w:type="spellEnd"/>
      <w:r w:rsidR="00005412" w:rsidRPr="00E17B21">
        <w:rPr>
          <w:i/>
        </w:rPr>
        <w:t xml:space="preserve"> </w:t>
      </w:r>
      <w:proofErr w:type="spellStart"/>
      <w:r w:rsidR="00005412" w:rsidRPr="00E17B21">
        <w:rPr>
          <w:i/>
        </w:rPr>
        <w:t>methods</w:t>
      </w:r>
      <w:proofErr w:type="spellEnd"/>
      <w:r w:rsidR="00005412" w:rsidRPr="00E17B21">
        <w:rPr>
          <w:i/>
        </w:rPr>
        <w:t xml:space="preserve"> </w:t>
      </w:r>
      <w:proofErr w:type="spellStart"/>
      <w:r w:rsidR="00005412" w:rsidRPr="00E17B21">
        <w:rPr>
          <w:i/>
        </w:rPr>
        <w:t>for</w:t>
      </w:r>
      <w:proofErr w:type="spellEnd"/>
      <w:r w:rsidR="00005412" w:rsidRPr="00E17B21">
        <w:rPr>
          <w:i/>
        </w:rPr>
        <w:t xml:space="preserve"> </w:t>
      </w:r>
      <w:proofErr w:type="spellStart"/>
      <w:r w:rsidR="00005412" w:rsidRPr="00E17B21">
        <w:rPr>
          <w:i/>
        </w:rPr>
        <w:t>visually</w:t>
      </w:r>
      <w:proofErr w:type="spellEnd"/>
      <w:r w:rsidR="00005412" w:rsidRPr="00E17B21">
        <w:rPr>
          <w:i/>
        </w:rPr>
        <w:t xml:space="preserve"> </w:t>
      </w:r>
      <w:proofErr w:type="spellStart"/>
      <w:r w:rsidR="00005412" w:rsidRPr="00E17B21">
        <w:rPr>
          <w:i/>
        </w:rPr>
        <w:t>observed</w:t>
      </w:r>
      <w:proofErr w:type="spellEnd"/>
      <w:r w:rsidR="00005412" w:rsidRPr="00E17B21">
        <w:rPr>
          <w:i/>
        </w:rPr>
        <w:t xml:space="preserve"> </w:t>
      </w:r>
      <w:proofErr w:type="spellStart"/>
      <w:r w:rsidR="00005412" w:rsidRPr="00E17B21">
        <w:rPr>
          <w:i/>
        </w:rPr>
        <w:t>characteristics</w:t>
      </w:r>
      <w:proofErr w:type="spellEnd"/>
      <w:r w:rsidR="00402B30" w:rsidRPr="00BD38DB">
        <w:t>”</w:t>
      </w:r>
      <w:r w:rsidR="00402B30" w:rsidRPr="00BD38DB">
        <w:rPr>
          <w:rFonts w:hint="eastAsia"/>
          <w:lang w:eastAsia="ja-JP"/>
        </w:rPr>
        <w:t xml:space="preserve"> </w:t>
      </w:r>
      <w:r w:rsidR="00005412" w:rsidRPr="00BD38DB">
        <w:t>(Métodos estadísticos aplicados a caracteres observados visualmente)</w:t>
      </w:r>
      <w:r w:rsidR="00005412" w:rsidRPr="00BD38DB">
        <w:rPr>
          <w:rFonts w:hint="eastAsia"/>
          <w:lang w:eastAsia="ja-JP"/>
        </w:rPr>
        <w:t xml:space="preserve"> </w:t>
      </w:r>
      <w:r w:rsidR="00402B30" w:rsidRPr="00BD38DB">
        <w:rPr>
          <w:rFonts w:hint="eastAsia"/>
          <w:lang w:eastAsia="ja-JP"/>
        </w:rPr>
        <w:t>(</w:t>
      </w:r>
      <w:r w:rsidR="00005412" w:rsidRPr="00BD38DB">
        <w:t>véanse los párrafos</w:t>
      </w:r>
      <w:r w:rsidR="00DA2765" w:rsidRPr="00BD38DB">
        <w:t> 7</w:t>
      </w:r>
      <w:r w:rsidR="00005412" w:rsidRPr="00BD38DB">
        <w:t>7 a</w:t>
      </w:r>
      <w:r w:rsidR="00DA2765" w:rsidRPr="00BD38DB">
        <w:t> 8</w:t>
      </w:r>
      <w:r w:rsidR="00005412" w:rsidRPr="00BD38DB">
        <w:t xml:space="preserve">0 del documento </w:t>
      </w:r>
      <w:r w:rsidR="00402B30" w:rsidRPr="00BD38DB">
        <w:rPr>
          <w:rFonts w:hint="eastAsia"/>
          <w:lang w:eastAsia="ja-JP"/>
        </w:rPr>
        <w:t>T</w:t>
      </w:r>
      <w:r w:rsidR="00402B30" w:rsidRPr="00BD38DB">
        <w:rPr>
          <w:lang w:eastAsia="ja-JP"/>
        </w:rPr>
        <w:t>W</w:t>
      </w:r>
      <w:r w:rsidR="00402B30" w:rsidRPr="00BD38DB">
        <w:rPr>
          <w:rFonts w:hint="eastAsia"/>
          <w:lang w:eastAsia="ja-JP"/>
        </w:rPr>
        <w:t>C/</w:t>
      </w:r>
      <w:r w:rsidR="00402B30" w:rsidRPr="00BD38DB">
        <w:rPr>
          <w:lang w:eastAsia="ja-JP"/>
        </w:rPr>
        <w:t>35</w:t>
      </w:r>
      <w:r w:rsidR="00402B30" w:rsidRPr="00BD38DB">
        <w:rPr>
          <w:rFonts w:hint="eastAsia"/>
          <w:lang w:eastAsia="ja-JP"/>
        </w:rPr>
        <w:t>/</w:t>
      </w:r>
      <w:r w:rsidR="00402B30" w:rsidRPr="00BD38DB">
        <w:rPr>
          <w:lang w:eastAsia="ja-JP"/>
        </w:rPr>
        <w:t>21</w:t>
      </w:r>
      <w:r w:rsidR="00402B30" w:rsidRPr="00BD38DB">
        <w:rPr>
          <w:rFonts w:hint="eastAsia"/>
          <w:lang w:eastAsia="ja-JP"/>
        </w:rPr>
        <w:t xml:space="preserve"> </w:t>
      </w:r>
      <w:r w:rsidR="00402B30" w:rsidRPr="00BD38DB">
        <w:rPr>
          <w:lang w:eastAsia="ja-JP"/>
        </w:rPr>
        <w:t>“</w:t>
      </w:r>
      <w:proofErr w:type="spellStart"/>
      <w:r w:rsidR="00402B30" w:rsidRPr="00E17B21">
        <w:rPr>
          <w:i/>
          <w:lang w:eastAsia="ja-JP"/>
        </w:rPr>
        <w:t>Report</w:t>
      </w:r>
      <w:proofErr w:type="spellEnd"/>
      <w:r w:rsidR="00402B30" w:rsidRPr="00BD38DB">
        <w:rPr>
          <w:lang w:eastAsia="ja-JP"/>
        </w:rPr>
        <w:t>”</w:t>
      </w:r>
      <w:r w:rsidR="00005412" w:rsidRPr="00BD38DB">
        <w:rPr>
          <w:lang w:eastAsia="ja-JP"/>
        </w:rPr>
        <w:t xml:space="preserve"> (Informe)</w:t>
      </w:r>
      <w:r w:rsidR="00402B30" w:rsidRPr="00BD38DB">
        <w:rPr>
          <w:rFonts w:hint="eastAsia"/>
          <w:lang w:eastAsia="ja-JP"/>
        </w:rPr>
        <w:t>)</w:t>
      </w:r>
      <w:r w:rsidR="00402B30" w:rsidRPr="00BD38DB">
        <w:t>.</w:t>
      </w:r>
    </w:p>
    <w:p w:rsidR="00995DFA" w:rsidRPr="00E17B21" w:rsidRDefault="00995DFA" w:rsidP="00995DFA"/>
    <w:p w:rsidR="00995DFA" w:rsidRPr="00E17B21" w:rsidRDefault="00AE6C55" w:rsidP="00995DFA">
      <w:pPr>
        <w:keepLines/>
      </w:pPr>
      <w:r w:rsidRPr="00BD38DB">
        <w:fldChar w:fldCharType="begin"/>
      </w:r>
      <w:r w:rsidR="00995DFA" w:rsidRPr="00E17B21">
        <w:instrText xml:space="preserve"> AUTONUM  </w:instrText>
      </w:r>
      <w:r w:rsidRPr="00BD38DB">
        <w:fldChar w:fldCharType="end"/>
      </w:r>
      <w:r w:rsidR="00995DFA" w:rsidRPr="00E17B21">
        <w:tab/>
      </w:r>
      <w:r w:rsidR="007E5C7B" w:rsidRPr="00BD38DB">
        <w:t xml:space="preserve">El TWC tomó nota de que </w:t>
      </w:r>
      <w:r w:rsidR="00571BA2" w:rsidRPr="00BD38DB">
        <w:t>el TC</w:t>
      </w:r>
      <w:r w:rsidR="00DA2765" w:rsidRPr="00BD38DB">
        <w:t xml:space="preserve">, </w:t>
      </w:r>
      <w:r w:rsidR="007E5C7B" w:rsidRPr="00BD38DB">
        <w:t>en su quincuagésima tercera sesión</w:t>
      </w:r>
      <w:r w:rsidR="00DA2765" w:rsidRPr="00BD38DB">
        <w:t xml:space="preserve">, </w:t>
      </w:r>
      <w:r w:rsidR="007E5C7B" w:rsidRPr="00BD38DB">
        <w:t xml:space="preserve">había </w:t>
      </w:r>
      <w:r w:rsidR="00571BA2" w:rsidRPr="00BD38DB">
        <w:t>conv</w:t>
      </w:r>
      <w:r w:rsidR="007E5C7B" w:rsidRPr="00BD38DB">
        <w:t xml:space="preserve">enido </w:t>
      </w:r>
      <w:r w:rsidR="00571BA2" w:rsidRPr="00BD38DB">
        <w:t>en la necesidad de considerar una nomenclatura y un proyecto de orientación adecuados para el método elaborado por expertos de Dinamarca y Polonia</w:t>
      </w:r>
      <w:r w:rsidR="00DA2765" w:rsidRPr="00BD38DB">
        <w:t xml:space="preserve">, </w:t>
      </w:r>
      <w:r w:rsidR="00571BA2" w:rsidRPr="00BD38DB">
        <w:t>una vez que se hubiese adquirido más experiencia y el programa informático estuviese disponible para facilitar su aplicación en el examen DHE.</w:t>
      </w:r>
    </w:p>
    <w:p w:rsidR="00995DFA" w:rsidRPr="00E17B21" w:rsidRDefault="00995DFA" w:rsidP="00995DFA">
      <w:pPr>
        <w:rPr>
          <w:rFonts w:eastAsia="MS Mincho"/>
        </w:rPr>
      </w:pPr>
    </w:p>
    <w:p w:rsidR="00607FFE" w:rsidRDefault="00AE6C55" w:rsidP="00995DFA">
      <w:r w:rsidRPr="00BD38DB">
        <w:rPr>
          <w:snapToGrid w:val="0"/>
        </w:rPr>
        <w:fldChar w:fldCharType="begin"/>
      </w:r>
      <w:r w:rsidR="00995DFA" w:rsidRPr="00E17B21">
        <w:rPr>
          <w:snapToGrid w:val="0"/>
        </w:rPr>
        <w:instrText xml:space="preserve"> AUTONUM  </w:instrText>
      </w:r>
      <w:r w:rsidRPr="00BD38DB">
        <w:rPr>
          <w:snapToGrid w:val="0"/>
        </w:rPr>
        <w:fldChar w:fldCharType="end"/>
      </w:r>
      <w:r w:rsidR="00995DFA" w:rsidRPr="00E17B21">
        <w:rPr>
          <w:snapToGrid w:val="0"/>
        </w:rPr>
        <w:tab/>
      </w:r>
      <w:r w:rsidR="00F41A0F" w:rsidRPr="00BD38DB">
        <w:rPr>
          <w:snapToGrid w:val="0"/>
        </w:rPr>
        <w:t xml:space="preserve">El TWC </w:t>
      </w:r>
      <w:r w:rsidR="00CA6FF5" w:rsidRPr="00BD38DB">
        <w:rPr>
          <w:snapToGrid w:val="0"/>
        </w:rPr>
        <w:t xml:space="preserve">tomó nota </w:t>
      </w:r>
      <w:r w:rsidR="00F41A0F" w:rsidRPr="00BD38DB">
        <w:rPr>
          <w:snapToGrid w:val="0"/>
        </w:rPr>
        <w:t xml:space="preserve">del informe de </w:t>
      </w:r>
      <w:r w:rsidR="00CA6FF5" w:rsidRPr="00BD38DB">
        <w:rPr>
          <w:snapToGrid w:val="0"/>
        </w:rPr>
        <w:t xml:space="preserve">un experto de Francia </w:t>
      </w:r>
      <w:r w:rsidR="00F41A0F" w:rsidRPr="00BD38DB">
        <w:rPr>
          <w:snapToGrid w:val="0"/>
        </w:rPr>
        <w:t>según el cual los programas informáticos para la aplicación del método elaborado por expertos de Dinamarca y Polonia solo podr</w:t>
      </w:r>
      <w:r w:rsidR="00635170" w:rsidRPr="00BD38DB">
        <w:rPr>
          <w:snapToGrid w:val="0"/>
        </w:rPr>
        <w:t>á</w:t>
      </w:r>
      <w:r w:rsidR="00F41A0F" w:rsidRPr="00BD38DB">
        <w:rPr>
          <w:snapToGrid w:val="0"/>
        </w:rPr>
        <w:t xml:space="preserve">n desarrollarse </w:t>
      </w:r>
      <w:r w:rsidR="00635170" w:rsidRPr="00BD38DB">
        <w:rPr>
          <w:snapToGrid w:val="0"/>
        </w:rPr>
        <w:t>cuando</w:t>
      </w:r>
      <w:r w:rsidR="00F41A0F" w:rsidRPr="00BD38DB">
        <w:rPr>
          <w:snapToGrid w:val="0"/>
        </w:rPr>
        <w:t xml:space="preserve"> </w:t>
      </w:r>
      <w:r w:rsidR="00635170" w:rsidRPr="00BD38DB">
        <w:rPr>
          <w:snapToGrid w:val="0"/>
        </w:rPr>
        <w:t xml:space="preserve">haya </w:t>
      </w:r>
      <w:r w:rsidR="00F41A0F" w:rsidRPr="00BD38DB">
        <w:rPr>
          <w:snapToGrid w:val="0"/>
        </w:rPr>
        <w:t>concluid</w:t>
      </w:r>
      <w:r w:rsidR="00635170" w:rsidRPr="00BD38DB">
        <w:rPr>
          <w:snapToGrid w:val="0"/>
        </w:rPr>
        <w:t>o</w:t>
      </w:r>
      <w:r w:rsidR="00F41A0F" w:rsidRPr="00BD38DB">
        <w:rPr>
          <w:snapToGrid w:val="0"/>
        </w:rPr>
        <w:t xml:space="preserve"> la elaboración del </w:t>
      </w:r>
      <w:r w:rsidR="00F41A0F" w:rsidRPr="00BD38DB">
        <w:t>método estadístico</w:t>
      </w:r>
      <w:r w:rsidR="00CA6FF5" w:rsidRPr="00BD38DB">
        <w:rPr>
          <w:snapToGrid w:val="0"/>
        </w:rPr>
        <w:t>.</w:t>
      </w:r>
    </w:p>
    <w:p w:rsidR="00995DFA" w:rsidRPr="00E17B21" w:rsidRDefault="00995DFA" w:rsidP="00995DFA">
      <w:pPr>
        <w:rPr>
          <w:rFonts w:eastAsia="MS Mincho"/>
        </w:rPr>
      </w:pPr>
    </w:p>
    <w:p w:rsidR="00995DFA" w:rsidRPr="00E17B21" w:rsidRDefault="00AE6C55" w:rsidP="00995DFA">
      <w:r w:rsidRPr="00BD38DB">
        <w:fldChar w:fldCharType="begin"/>
      </w:r>
      <w:r w:rsidR="00995DFA" w:rsidRPr="00E17B21">
        <w:instrText xml:space="preserve"> AUTONUM  </w:instrText>
      </w:r>
      <w:r w:rsidRPr="00BD38DB">
        <w:fldChar w:fldCharType="end"/>
      </w:r>
      <w:r w:rsidR="00995DFA" w:rsidRPr="00E17B21">
        <w:tab/>
      </w:r>
      <w:r w:rsidR="00635170" w:rsidRPr="00BD38DB">
        <w:t xml:space="preserve">El TWC acordó invitar a </w:t>
      </w:r>
      <w:r w:rsidR="00277517" w:rsidRPr="00BD38DB">
        <w:t xml:space="preserve">los </w:t>
      </w:r>
      <w:r w:rsidR="00635170" w:rsidRPr="00BD38DB">
        <w:t xml:space="preserve">expertos de Francia y el Reino Unido a que continúen elaborando el método e invitó a aportar ejemplos de </w:t>
      </w:r>
      <w:r w:rsidR="00277517" w:rsidRPr="00BD38DB">
        <w:t xml:space="preserve">la </w:t>
      </w:r>
      <w:r w:rsidR="00635170" w:rsidRPr="00BD38DB">
        <w:t>aplicación del método a caracteres adecuados de otros cultivos</w:t>
      </w:r>
      <w:r w:rsidR="00DA2765" w:rsidRPr="00BD38DB">
        <w:t xml:space="preserve">, </w:t>
      </w:r>
      <w:r w:rsidR="00277517" w:rsidRPr="00BD38DB">
        <w:t>a fin de que se</w:t>
      </w:r>
      <w:r w:rsidR="00635170" w:rsidRPr="00BD38DB">
        <w:t xml:space="preserve"> expon</w:t>
      </w:r>
      <w:r w:rsidR="00277517" w:rsidRPr="00BD38DB">
        <w:t>gan</w:t>
      </w:r>
      <w:r w:rsidR="00635170" w:rsidRPr="00BD38DB">
        <w:t xml:space="preserve"> en su trigésima sexta sesión.</w:t>
      </w:r>
    </w:p>
    <w:p w:rsidR="00995DFA" w:rsidRDefault="00995DFA" w:rsidP="00995DFA">
      <w:pPr>
        <w:rPr>
          <w:snapToGrid w:val="0"/>
          <w:color w:val="000000"/>
          <w:lang w:eastAsia="ja-JP"/>
        </w:rPr>
      </w:pPr>
    </w:p>
    <w:p w:rsidR="00BD63DE" w:rsidRPr="00E17B21" w:rsidRDefault="00BD63DE" w:rsidP="00995DFA">
      <w:pPr>
        <w:rPr>
          <w:snapToGrid w:val="0"/>
          <w:color w:val="000000"/>
          <w:lang w:eastAsia="ja-JP"/>
        </w:rPr>
      </w:pPr>
    </w:p>
    <w:p w:rsidR="00995DFA" w:rsidRPr="00E17B21" w:rsidRDefault="00995DFA" w:rsidP="00995DFA">
      <w:pPr>
        <w:rPr>
          <w:snapToGrid w:val="0"/>
          <w:color w:val="000000"/>
          <w:lang w:eastAsia="ja-JP"/>
        </w:rPr>
      </w:pPr>
    </w:p>
    <w:p w:rsidR="00995DFA" w:rsidRPr="00E17B21" w:rsidRDefault="00277517" w:rsidP="00995DFA">
      <w:pPr>
        <w:pStyle w:val="Heading1"/>
        <w:rPr>
          <w:snapToGrid w:val="0"/>
          <w:color w:val="000000"/>
          <w:lang w:val="es-ES_tradnl" w:eastAsia="ja-JP"/>
        </w:rPr>
      </w:pPr>
      <w:bookmarkStart w:id="7" w:name="_Toc524699993"/>
      <w:r w:rsidRPr="00BD38DB">
        <w:rPr>
          <w:lang w:val="es-ES_tradnl"/>
        </w:rPr>
        <w:t>NOVEDADES ACAECIDAS EN</w:t>
      </w:r>
      <w:r w:rsidR="00DA2765" w:rsidRPr="00BD38DB">
        <w:rPr>
          <w:lang w:val="es-ES_tradnl"/>
        </w:rPr>
        <w:t> 2</w:t>
      </w:r>
      <w:r w:rsidRPr="00BD38DB">
        <w:rPr>
          <w:lang w:val="es-ES_tradnl"/>
        </w:rPr>
        <w:t>018</w:t>
      </w:r>
      <w:bookmarkEnd w:id="7"/>
    </w:p>
    <w:p w:rsidR="00995DFA" w:rsidRPr="00E17B21" w:rsidRDefault="00995DFA" w:rsidP="00995DFA"/>
    <w:p w:rsidR="00607FFE" w:rsidRDefault="00AE6C55" w:rsidP="00995DFA">
      <w:r w:rsidRPr="00BD38DB">
        <w:fldChar w:fldCharType="begin"/>
      </w:r>
      <w:r w:rsidR="00995DFA" w:rsidRPr="00E17B21">
        <w:instrText xml:space="preserve"> AUTONUM  </w:instrText>
      </w:r>
      <w:r w:rsidRPr="00BD38DB">
        <w:fldChar w:fldCharType="end"/>
      </w:r>
      <w:r w:rsidR="00995DFA" w:rsidRPr="00E17B21">
        <w:tab/>
      </w:r>
      <w:r w:rsidR="00277517" w:rsidRPr="00BD38DB">
        <w:t>En su trigésima sexta sesión</w:t>
      </w:r>
      <w:r w:rsidR="00DA2765" w:rsidRPr="00BD38DB">
        <w:t xml:space="preserve">, </w:t>
      </w:r>
      <w:r w:rsidR="00E33CFF" w:rsidRPr="00BD38DB">
        <w:t>celebrada en Hanover (Alemania) del</w:t>
      </w:r>
      <w:r w:rsidR="00DA2765" w:rsidRPr="00BD38DB">
        <w:t> 2</w:t>
      </w:r>
      <w:r w:rsidR="00E33CFF" w:rsidRPr="00BD38DB">
        <w:t xml:space="preserve"> al</w:t>
      </w:r>
      <w:r w:rsidR="00DA2765" w:rsidRPr="00BD38DB">
        <w:t> 6</w:t>
      </w:r>
      <w:r w:rsidR="00E33CFF" w:rsidRPr="00BD38DB">
        <w:t xml:space="preserve"> de julio de</w:t>
      </w:r>
      <w:r w:rsidR="00DA2765" w:rsidRPr="00BD38DB">
        <w:t> 2</w:t>
      </w:r>
      <w:r w:rsidR="00E33CFF" w:rsidRPr="00BD38DB">
        <w:t>018</w:t>
      </w:r>
      <w:r w:rsidR="00DA2765" w:rsidRPr="00BD38DB">
        <w:t xml:space="preserve">, </w:t>
      </w:r>
      <w:r w:rsidR="00277517" w:rsidRPr="00BD38DB">
        <w:t>el TWC no recibió ningún documento para ser examinado en el marco de este punto del orden del día</w:t>
      </w:r>
      <w:r w:rsidR="00E33CFF" w:rsidRPr="00BD38DB">
        <w:t>.</w:t>
      </w:r>
    </w:p>
    <w:p w:rsidR="00995DFA" w:rsidRPr="00E17B21" w:rsidRDefault="00995DFA" w:rsidP="00995DFA">
      <w:pPr>
        <w:keepNext/>
        <w:keepLines/>
        <w:rPr>
          <w:rFonts w:eastAsiaTheme="minorEastAsia"/>
          <w:color w:val="000000"/>
          <w:lang w:eastAsia="ja-JP"/>
        </w:rPr>
      </w:pPr>
    </w:p>
    <w:p w:rsidR="00607FFE" w:rsidRDefault="00AE6C55" w:rsidP="00995DFA">
      <w:r w:rsidRPr="00BD38DB">
        <w:fldChar w:fldCharType="begin"/>
      </w:r>
      <w:r w:rsidR="00995DFA" w:rsidRPr="00E17B21">
        <w:instrText xml:space="preserve"> AUTONUM  </w:instrText>
      </w:r>
      <w:r w:rsidRPr="00BD38DB">
        <w:fldChar w:fldCharType="end"/>
      </w:r>
      <w:r w:rsidR="00995DFA" w:rsidRPr="00E17B21">
        <w:tab/>
      </w:r>
      <w:r w:rsidR="00992D65" w:rsidRPr="00BD38DB">
        <w:t xml:space="preserve">El TWC acordó incluir </w:t>
      </w:r>
      <w:r w:rsidR="009A4C32" w:rsidRPr="00BD38DB">
        <w:t xml:space="preserve">un punto del orden del día sobre métodos estadísticos aplicados a caracteres observados visualmente para examinarlo </w:t>
      </w:r>
      <w:r w:rsidR="00992D65" w:rsidRPr="00BD38DB">
        <w:t>en su trigésima séptima sesión</w:t>
      </w:r>
      <w:r w:rsidR="00DA2765" w:rsidRPr="00BD38DB">
        <w:t xml:space="preserve">, </w:t>
      </w:r>
      <w:r w:rsidR="00992D65" w:rsidRPr="00BD38DB">
        <w:t xml:space="preserve">que se celebrará en Hangzhou (China) </w:t>
      </w:r>
      <w:r w:rsidR="009A4C32" w:rsidRPr="00BD38DB">
        <w:t>del</w:t>
      </w:r>
      <w:r w:rsidR="00DA2765" w:rsidRPr="00BD38DB">
        <w:t> 1</w:t>
      </w:r>
      <w:r w:rsidR="009A4C32" w:rsidRPr="00BD38DB">
        <w:t>4 al</w:t>
      </w:r>
      <w:r w:rsidR="00DA2765" w:rsidRPr="00BD38DB">
        <w:t> 1</w:t>
      </w:r>
      <w:r w:rsidR="009A4C32" w:rsidRPr="00BD38DB">
        <w:t>6 de octubre de</w:t>
      </w:r>
      <w:r w:rsidR="00DA2765" w:rsidRPr="00BD38DB">
        <w:t> 2</w:t>
      </w:r>
      <w:r w:rsidR="00992D65" w:rsidRPr="00BD38DB">
        <w:t xml:space="preserve">019 </w:t>
      </w:r>
      <w:r w:rsidR="00992D65" w:rsidRPr="00BD38DB">
        <w:rPr>
          <w:rFonts w:hint="eastAsia"/>
          <w:lang w:eastAsia="ja-JP"/>
        </w:rPr>
        <w:t>(</w:t>
      </w:r>
      <w:r w:rsidR="009A4C32" w:rsidRPr="00BD38DB">
        <w:t>véanse los párrafos</w:t>
      </w:r>
      <w:r w:rsidR="00DA2765" w:rsidRPr="00BD38DB">
        <w:t> </w:t>
      </w:r>
      <w:r w:rsidR="00DA2765" w:rsidRPr="00BD38DB">
        <w:rPr>
          <w:lang w:eastAsia="ja-JP"/>
        </w:rPr>
        <w:t>1</w:t>
      </w:r>
      <w:r w:rsidR="009A4C32" w:rsidRPr="00BD38DB">
        <w:rPr>
          <w:lang w:eastAsia="ja-JP"/>
        </w:rPr>
        <w:t>06</w:t>
      </w:r>
      <w:r w:rsidR="009A4C32" w:rsidRPr="00BD38DB">
        <w:rPr>
          <w:rFonts w:hint="eastAsia"/>
          <w:lang w:eastAsia="ja-JP"/>
        </w:rPr>
        <w:t xml:space="preserve"> </w:t>
      </w:r>
      <w:r w:rsidR="009A4C32" w:rsidRPr="00BD38DB">
        <w:rPr>
          <w:lang w:eastAsia="ja-JP"/>
        </w:rPr>
        <w:t>y</w:t>
      </w:r>
      <w:r w:rsidR="00DA2765" w:rsidRPr="00BD38DB">
        <w:rPr>
          <w:lang w:eastAsia="ja-JP"/>
        </w:rPr>
        <w:t> 1</w:t>
      </w:r>
      <w:r w:rsidR="009A4C32" w:rsidRPr="00BD38DB">
        <w:rPr>
          <w:lang w:eastAsia="ja-JP"/>
        </w:rPr>
        <w:t xml:space="preserve">07 del </w:t>
      </w:r>
      <w:r w:rsidR="00992D65" w:rsidRPr="00BD38DB">
        <w:rPr>
          <w:lang w:eastAsia="ja-JP"/>
        </w:rPr>
        <w:t>documento</w:t>
      </w:r>
      <w:r w:rsidR="009A4C32" w:rsidRPr="00BD38DB">
        <w:rPr>
          <w:lang w:eastAsia="ja-JP"/>
        </w:rPr>
        <w:t xml:space="preserve"> </w:t>
      </w:r>
      <w:r w:rsidR="00992D65" w:rsidRPr="00BD38DB">
        <w:rPr>
          <w:rFonts w:hint="eastAsia"/>
          <w:lang w:eastAsia="ja-JP"/>
        </w:rPr>
        <w:t>T</w:t>
      </w:r>
      <w:r w:rsidR="00992D65" w:rsidRPr="00BD38DB">
        <w:rPr>
          <w:lang w:eastAsia="ja-JP"/>
        </w:rPr>
        <w:t>W</w:t>
      </w:r>
      <w:r w:rsidR="00992D65" w:rsidRPr="00BD38DB">
        <w:rPr>
          <w:rFonts w:hint="eastAsia"/>
          <w:lang w:eastAsia="ja-JP"/>
        </w:rPr>
        <w:t>C/</w:t>
      </w:r>
      <w:r w:rsidR="00992D65" w:rsidRPr="00BD38DB">
        <w:rPr>
          <w:lang w:eastAsia="ja-JP"/>
        </w:rPr>
        <w:t>36</w:t>
      </w:r>
      <w:r w:rsidR="00992D65" w:rsidRPr="00BD38DB">
        <w:rPr>
          <w:rFonts w:hint="eastAsia"/>
          <w:lang w:eastAsia="ja-JP"/>
        </w:rPr>
        <w:t>/</w:t>
      </w:r>
      <w:r w:rsidR="00992D65" w:rsidRPr="00BD38DB">
        <w:rPr>
          <w:lang w:eastAsia="ja-JP"/>
        </w:rPr>
        <w:t>15</w:t>
      </w:r>
      <w:r w:rsidR="00992D65" w:rsidRPr="00BD38DB">
        <w:rPr>
          <w:rFonts w:hint="eastAsia"/>
          <w:lang w:eastAsia="ja-JP"/>
        </w:rPr>
        <w:t xml:space="preserve"> </w:t>
      </w:r>
      <w:r w:rsidR="00992D65" w:rsidRPr="00BD38DB">
        <w:t>“</w:t>
      </w:r>
      <w:proofErr w:type="spellStart"/>
      <w:r w:rsidR="00992D65" w:rsidRPr="00E17B21">
        <w:rPr>
          <w:i/>
        </w:rPr>
        <w:t>Report</w:t>
      </w:r>
      <w:proofErr w:type="spellEnd"/>
      <w:r w:rsidR="00992D65" w:rsidRPr="00BD38DB">
        <w:t>” (Informe)).</w:t>
      </w:r>
    </w:p>
    <w:p w:rsidR="00995DFA" w:rsidRPr="00E17B21" w:rsidRDefault="00995DFA" w:rsidP="00BD63DE">
      <w:pPr>
        <w:rPr>
          <w:rFonts w:eastAsiaTheme="minorEastAsia"/>
          <w:lang w:eastAsia="ja-JP"/>
        </w:rPr>
      </w:pPr>
    </w:p>
    <w:p w:rsidR="00995DFA" w:rsidRPr="00E17B21" w:rsidRDefault="00AE6C55" w:rsidP="00995DFA">
      <w:pPr>
        <w:pStyle w:val="DecisionParagraphs"/>
        <w:rPr>
          <w:rFonts w:eastAsiaTheme="minorEastAsia"/>
        </w:rPr>
      </w:pPr>
      <w:r w:rsidRPr="00BD38DB">
        <w:rPr>
          <w:rFonts w:eastAsiaTheme="minorEastAsia"/>
        </w:rPr>
        <w:fldChar w:fldCharType="begin"/>
      </w:r>
      <w:r w:rsidR="00995DFA" w:rsidRPr="00E17B21">
        <w:rPr>
          <w:rFonts w:eastAsiaTheme="minorEastAsia"/>
        </w:rPr>
        <w:instrText xml:space="preserve"> AUTONUM  </w:instrText>
      </w:r>
      <w:r w:rsidRPr="00BD38DB">
        <w:rPr>
          <w:rFonts w:eastAsiaTheme="minorEastAsia"/>
        </w:rPr>
        <w:fldChar w:fldCharType="end"/>
      </w:r>
      <w:r w:rsidR="00995DFA" w:rsidRPr="00E17B21">
        <w:rPr>
          <w:rFonts w:eastAsiaTheme="minorEastAsia"/>
        </w:rPr>
        <w:tab/>
      </w:r>
      <w:r w:rsidR="009A4C32" w:rsidRPr="00BD38DB">
        <w:rPr>
          <w:rFonts w:eastAsiaTheme="minorEastAsia"/>
        </w:rPr>
        <w:t>Se invita al TC a:</w:t>
      </w:r>
    </w:p>
    <w:p w:rsidR="00995DFA" w:rsidRPr="00E17B21" w:rsidRDefault="00995DFA" w:rsidP="00995DFA">
      <w:pPr>
        <w:pStyle w:val="DecisionParagraphs"/>
        <w:rPr>
          <w:i w:val="0"/>
          <w:lang w:eastAsia="ja-JP"/>
        </w:rPr>
      </w:pPr>
    </w:p>
    <w:p w:rsidR="00995DFA" w:rsidRPr="00E17B21" w:rsidRDefault="00995DFA" w:rsidP="00995DFA">
      <w:pPr>
        <w:pStyle w:val="DecisionParagraphs"/>
        <w:tabs>
          <w:tab w:val="left" w:pos="5954"/>
        </w:tabs>
        <w:rPr>
          <w:lang w:eastAsia="ja-JP"/>
        </w:rPr>
      </w:pPr>
      <w:r w:rsidRPr="00E17B21">
        <w:rPr>
          <w:lang w:eastAsia="ja-JP"/>
        </w:rPr>
        <w:tab/>
      </w:r>
      <w:r w:rsidR="009A4C32" w:rsidRPr="00BD38DB">
        <w:rPr>
          <w:lang w:eastAsia="ja-JP"/>
        </w:rPr>
        <w:t>a)</w:t>
      </w:r>
      <w:r w:rsidRPr="00E17B21">
        <w:rPr>
          <w:lang w:eastAsia="ja-JP"/>
        </w:rPr>
        <w:tab/>
      </w:r>
      <w:r w:rsidR="000A08E4" w:rsidRPr="00BD38DB">
        <w:rPr>
          <w:lang w:eastAsia="ja-JP"/>
        </w:rPr>
        <w:t xml:space="preserve">recordar que convino </w:t>
      </w:r>
      <w:r w:rsidR="009A4C32" w:rsidRPr="00BD38DB">
        <w:rPr>
          <w:lang w:eastAsia="ja-JP"/>
        </w:rPr>
        <w:t>en la necesidad de considerar una nomenclatura y un proyecto de orientación adecuados para el método elaborado por expertos de Dinamarca y Polonia</w:t>
      </w:r>
      <w:r w:rsidR="00DA2765" w:rsidRPr="00BD38DB">
        <w:rPr>
          <w:lang w:eastAsia="ja-JP"/>
        </w:rPr>
        <w:t xml:space="preserve">, </w:t>
      </w:r>
      <w:r w:rsidR="009A4C32" w:rsidRPr="00BD38DB">
        <w:rPr>
          <w:lang w:eastAsia="ja-JP"/>
        </w:rPr>
        <w:t>una vez que se hubiese adquirido más experiencia y el programa informático estuviese disponible para facilitar su aplicación en el examen DHE;</w:t>
      </w:r>
    </w:p>
    <w:p w:rsidR="00995DFA" w:rsidRPr="00E17B21" w:rsidRDefault="00995DFA" w:rsidP="00995DFA">
      <w:pPr>
        <w:pStyle w:val="DecisionParagraphs"/>
        <w:tabs>
          <w:tab w:val="left" w:pos="5954"/>
        </w:tabs>
        <w:rPr>
          <w:lang w:eastAsia="ja-JP"/>
        </w:rPr>
      </w:pPr>
    </w:p>
    <w:p w:rsidR="00995DFA" w:rsidRPr="0095600D" w:rsidRDefault="00995DFA" w:rsidP="0095600D">
      <w:pPr>
        <w:pStyle w:val="DecisionParagraphs"/>
        <w:keepLines/>
        <w:tabs>
          <w:tab w:val="left" w:pos="5954"/>
        </w:tabs>
        <w:rPr>
          <w:rFonts w:eastAsia="MS Mincho"/>
        </w:rPr>
      </w:pPr>
      <w:r w:rsidRPr="00E17B21">
        <w:rPr>
          <w:lang w:eastAsia="ja-JP"/>
        </w:rPr>
        <w:lastRenderedPageBreak/>
        <w:tab/>
      </w:r>
      <w:r w:rsidR="009A4C32" w:rsidRPr="00BD38DB">
        <w:rPr>
          <w:lang w:eastAsia="ja-JP"/>
        </w:rPr>
        <w:t>b)</w:t>
      </w:r>
      <w:r w:rsidRPr="00E17B21">
        <w:rPr>
          <w:lang w:eastAsia="ja-JP"/>
        </w:rPr>
        <w:tab/>
      </w:r>
      <w:r w:rsidR="009A4C32" w:rsidRPr="00BD38DB">
        <w:rPr>
          <w:lang w:eastAsia="ja-JP"/>
        </w:rPr>
        <w:t>tomar nota de que</w:t>
      </w:r>
      <w:r w:rsidR="00DA2765" w:rsidRPr="00BD38DB">
        <w:rPr>
          <w:lang w:eastAsia="ja-JP"/>
        </w:rPr>
        <w:t xml:space="preserve">, </w:t>
      </w:r>
      <w:r w:rsidR="00BD63DE">
        <w:rPr>
          <w:lang w:eastAsia="ja-JP"/>
        </w:rPr>
        <w:t>en su trigésima </w:t>
      </w:r>
      <w:r w:rsidR="009A4C32" w:rsidRPr="00BD38DB">
        <w:rPr>
          <w:lang w:eastAsia="ja-JP"/>
        </w:rPr>
        <w:t>sexta sesión</w:t>
      </w:r>
      <w:r w:rsidR="00DA2765" w:rsidRPr="00BD38DB">
        <w:rPr>
          <w:lang w:eastAsia="ja-JP"/>
        </w:rPr>
        <w:t xml:space="preserve">, </w:t>
      </w:r>
      <w:r w:rsidR="009A4C32" w:rsidRPr="00BD38DB">
        <w:rPr>
          <w:lang w:eastAsia="ja-JP"/>
        </w:rPr>
        <w:t>el TWC no recibió ningún documento para ser examinado en el marco de este punto del orden del día</w:t>
      </w:r>
      <w:r w:rsidR="00DA2765" w:rsidRPr="00BD38DB">
        <w:rPr>
          <w:lang w:eastAsia="ja-JP"/>
        </w:rPr>
        <w:t xml:space="preserve">, </w:t>
      </w:r>
      <w:r w:rsidR="009A4C32" w:rsidRPr="00BD38DB">
        <w:rPr>
          <w:lang w:eastAsia="ja-JP"/>
        </w:rPr>
        <w:t xml:space="preserve">según se expone en el </w:t>
      </w:r>
      <w:r w:rsidR="009A4C32" w:rsidRPr="0095600D">
        <w:rPr>
          <w:lang w:eastAsia="ja-JP"/>
        </w:rPr>
        <w:t>párrafo 14; y</w:t>
      </w:r>
    </w:p>
    <w:p w:rsidR="00995DFA" w:rsidRPr="0095600D" w:rsidRDefault="00995DFA" w:rsidP="00995DFA">
      <w:pPr>
        <w:pStyle w:val="DecisionParagraphs"/>
        <w:rPr>
          <w:lang w:eastAsia="ja-JP"/>
        </w:rPr>
      </w:pPr>
    </w:p>
    <w:p w:rsidR="00607FFE" w:rsidRDefault="00995DFA" w:rsidP="00995DFA">
      <w:pPr>
        <w:pStyle w:val="DecisionParagraphs"/>
        <w:tabs>
          <w:tab w:val="left" w:pos="5954"/>
        </w:tabs>
        <w:rPr>
          <w:rFonts w:eastAsia="MS Mincho"/>
        </w:rPr>
      </w:pPr>
      <w:r w:rsidRPr="0095600D">
        <w:rPr>
          <w:lang w:eastAsia="ja-JP"/>
        </w:rPr>
        <w:tab/>
      </w:r>
      <w:r w:rsidR="009A4C32" w:rsidRPr="0095600D">
        <w:rPr>
          <w:lang w:eastAsia="ja-JP"/>
        </w:rPr>
        <w:t>c)</w:t>
      </w:r>
      <w:r w:rsidRPr="0095600D">
        <w:rPr>
          <w:lang w:eastAsia="ja-JP"/>
        </w:rPr>
        <w:tab/>
      </w:r>
      <w:r w:rsidR="009A4C32" w:rsidRPr="0095600D">
        <w:rPr>
          <w:lang w:eastAsia="ja-JP"/>
        </w:rPr>
        <w:t xml:space="preserve">tomar nota de que el TWC </w:t>
      </w:r>
      <w:r w:rsidR="000F6CC1" w:rsidRPr="0095600D">
        <w:rPr>
          <w:lang w:eastAsia="ja-JP"/>
        </w:rPr>
        <w:t xml:space="preserve">acordó incluir un punto del orden del día sobre </w:t>
      </w:r>
      <w:r w:rsidR="009A4C32" w:rsidRPr="0095600D">
        <w:rPr>
          <w:lang w:eastAsia="ja-JP"/>
        </w:rPr>
        <w:t>este asunto a fin de examinarlo en su trigésima séptima sesión</w:t>
      </w:r>
      <w:r w:rsidR="00DA2765" w:rsidRPr="0095600D">
        <w:rPr>
          <w:lang w:eastAsia="ja-JP"/>
        </w:rPr>
        <w:t xml:space="preserve">, </w:t>
      </w:r>
      <w:r w:rsidR="009A4C32" w:rsidRPr="0095600D">
        <w:rPr>
          <w:lang w:eastAsia="ja-JP"/>
        </w:rPr>
        <w:t>según se expone en el párrafo</w:t>
      </w:r>
      <w:r w:rsidR="00DA2765" w:rsidRPr="0095600D">
        <w:rPr>
          <w:lang w:eastAsia="ja-JP"/>
        </w:rPr>
        <w:t> 1</w:t>
      </w:r>
      <w:r w:rsidR="009A4C32" w:rsidRPr="0095600D">
        <w:rPr>
          <w:lang w:eastAsia="ja-JP"/>
        </w:rPr>
        <w:t>5.</w:t>
      </w:r>
    </w:p>
    <w:p w:rsidR="00995DFA" w:rsidRPr="00E17B21" w:rsidRDefault="00995DFA" w:rsidP="00995DFA">
      <w:pPr>
        <w:rPr>
          <w:i/>
        </w:rPr>
      </w:pPr>
    </w:p>
    <w:p w:rsidR="00995DFA" w:rsidRPr="00E17B21" w:rsidRDefault="00995DFA" w:rsidP="00995DFA">
      <w:pPr>
        <w:jc w:val="left"/>
      </w:pPr>
      <w:bookmarkStart w:id="8" w:name="_GoBack"/>
      <w:bookmarkEnd w:id="8"/>
    </w:p>
    <w:p w:rsidR="00050E16" w:rsidRPr="00774C77" w:rsidRDefault="009A4C32" w:rsidP="00774C77">
      <w:pPr>
        <w:jc w:val="right"/>
        <w:rPr>
          <w:snapToGrid w:val="0"/>
        </w:rPr>
      </w:pPr>
      <w:r w:rsidRPr="00BD38DB">
        <w:rPr>
          <w:lang w:eastAsia="ja-JP"/>
        </w:rPr>
        <w:t>[Fin del documento]</w:t>
      </w:r>
    </w:p>
    <w:sectPr w:rsidR="00050E16" w:rsidRPr="00774C77" w:rsidSect="00995DFA">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8E4" w:rsidRDefault="000A08E4" w:rsidP="006655D3">
      <w:r>
        <w:separator/>
      </w:r>
    </w:p>
    <w:p w:rsidR="000A08E4" w:rsidRDefault="000A08E4" w:rsidP="006655D3"/>
    <w:p w:rsidR="000A08E4" w:rsidRDefault="000A08E4" w:rsidP="006655D3"/>
  </w:endnote>
  <w:endnote w:type="continuationSeparator" w:id="0">
    <w:p w:rsidR="000A08E4" w:rsidRDefault="000A08E4" w:rsidP="006655D3">
      <w:r>
        <w:separator/>
      </w:r>
    </w:p>
    <w:p w:rsidR="000A08E4" w:rsidRPr="00294751" w:rsidRDefault="000A08E4">
      <w:pPr>
        <w:pStyle w:val="Footer"/>
        <w:spacing w:after="60"/>
        <w:rPr>
          <w:sz w:val="18"/>
          <w:lang w:val="fr-FR"/>
        </w:rPr>
      </w:pPr>
      <w:r w:rsidRPr="00294751">
        <w:rPr>
          <w:sz w:val="18"/>
          <w:lang w:val="fr-FR"/>
        </w:rPr>
        <w:t>[Suite de la note de la page précédente]</w:t>
      </w:r>
    </w:p>
    <w:p w:rsidR="000A08E4" w:rsidRPr="00294751" w:rsidRDefault="000A08E4" w:rsidP="006655D3">
      <w:pPr>
        <w:rPr>
          <w:lang w:val="fr-FR"/>
        </w:rPr>
      </w:pPr>
    </w:p>
    <w:p w:rsidR="000A08E4" w:rsidRPr="00294751" w:rsidRDefault="000A08E4" w:rsidP="006655D3">
      <w:pPr>
        <w:rPr>
          <w:lang w:val="fr-FR"/>
        </w:rPr>
      </w:pPr>
    </w:p>
  </w:endnote>
  <w:endnote w:type="continuationNotice" w:id="1">
    <w:p w:rsidR="000A08E4" w:rsidRPr="00294751" w:rsidRDefault="000A08E4" w:rsidP="006655D3">
      <w:pPr>
        <w:rPr>
          <w:lang w:val="fr-FR"/>
        </w:rPr>
      </w:pPr>
      <w:r w:rsidRPr="00294751">
        <w:rPr>
          <w:lang w:val="fr-FR"/>
        </w:rPr>
        <w:t>[Suite de la note page suivante]</w:t>
      </w:r>
    </w:p>
    <w:p w:rsidR="000A08E4" w:rsidRPr="00294751" w:rsidRDefault="000A08E4" w:rsidP="006655D3">
      <w:pPr>
        <w:rPr>
          <w:lang w:val="fr-FR"/>
        </w:rPr>
      </w:pPr>
    </w:p>
    <w:p w:rsidR="000A08E4" w:rsidRPr="00294751" w:rsidRDefault="000A08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8E4" w:rsidRDefault="000A08E4" w:rsidP="006655D3">
      <w:r>
        <w:separator/>
      </w:r>
    </w:p>
  </w:footnote>
  <w:footnote w:type="continuationSeparator" w:id="0">
    <w:p w:rsidR="000A08E4" w:rsidRDefault="000A08E4" w:rsidP="006655D3">
      <w:r>
        <w:separator/>
      </w:r>
    </w:p>
  </w:footnote>
  <w:footnote w:type="continuationNotice" w:id="1">
    <w:p w:rsidR="000A08E4" w:rsidRPr="00AB530F" w:rsidRDefault="000A08E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8E4" w:rsidRPr="000A23DC" w:rsidRDefault="000A08E4" w:rsidP="000A23DC">
    <w:pPr>
      <w:pStyle w:val="Header"/>
      <w:rPr>
        <w:rStyle w:val="PageNumber"/>
      </w:rPr>
    </w:pPr>
    <w:r>
      <w:rPr>
        <w:rStyle w:val="PageNumber"/>
      </w:rPr>
      <w:t>TC/54</w:t>
    </w:r>
    <w:r w:rsidRPr="000A23DC">
      <w:rPr>
        <w:rStyle w:val="PageNumber"/>
      </w:rPr>
      <w:t>/</w:t>
    </w:r>
    <w:r>
      <w:rPr>
        <w:rStyle w:val="PageNumber"/>
      </w:rPr>
      <w:t>30</w:t>
    </w:r>
  </w:p>
  <w:p w:rsidR="000A08E4" w:rsidRPr="00DA2765" w:rsidRDefault="000A08E4" w:rsidP="008B3D8D">
    <w:pPr>
      <w:pStyle w:val="Header"/>
    </w:pPr>
    <w:r w:rsidRPr="00DA2765">
      <w:t xml:space="preserve">página </w:t>
    </w:r>
    <w:r w:rsidR="00AE6C55" w:rsidRPr="00DA2765">
      <w:rPr>
        <w:rStyle w:val="PageNumber"/>
      </w:rPr>
      <w:fldChar w:fldCharType="begin"/>
    </w:r>
    <w:r w:rsidRPr="00DA2765">
      <w:rPr>
        <w:rStyle w:val="PageNumber"/>
      </w:rPr>
      <w:instrText xml:space="preserve"> PAGE </w:instrText>
    </w:r>
    <w:r w:rsidR="00AE6C55" w:rsidRPr="00DA2765">
      <w:rPr>
        <w:rStyle w:val="PageNumber"/>
      </w:rPr>
      <w:fldChar w:fldCharType="separate"/>
    </w:r>
    <w:r w:rsidR="002A17DA">
      <w:rPr>
        <w:rStyle w:val="PageNumber"/>
        <w:noProof/>
      </w:rPr>
      <w:t>3</w:t>
    </w:r>
    <w:r w:rsidR="00AE6C55" w:rsidRPr="00DA2765">
      <w:rPr>
        <w:rStyle w:val="PageNumber"/>
      </w:rPr>
      <w:fldChar w:fldCharType="end"/>
    </w:r>
  </w:p>
  <w:p w:rsidR="000A08E4" w:rsidRPr="00202E38" w:rsidRDefault="000A08E4" w:rsidP="006655D3">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66ED6"/>
    <w:multiLevelType w:val="hybridMultilevel"/>
    <w:tmpl w:val="E5AC7AB2"/>
    <w:lvl w:ilvl="0" w:tplc="224AF9D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D9"/>
    <w:rsid w:val="00005412"/>
    <w:rsid w:val="00010CF3"/>
    <w:rsid w:val="00011E27"/>
    <w:rsid w:val="000148BC"/>
    <w:rsid w:val="00024AB8"/>
    <w:rsid w:val="00030854"/>
    <w:rsid w:val="00036028"/>
    <w:rsid w:val="00044642"/>
    <w:rsid w:val="000446B9"/>
    <w:rsid w:val="00047E21"/>
    <w:rsid w:val="00050E16"/>
    <w:rsid w:val="000638A9"/>
    <w:rsid w:val="00085505"/>
    <w:rsid w:val="000A08E4"/>
    <w:rsid w:val="000A23DC"/>
    <w:rsid w:val="000C4E25"/>
    <w:rsid w:val="000C7021"/>
    <w:rsid w:val="000D6BBC"/>
    <w:rsid w:val="000D7780"/>
    <w:rsid w:val="000E636A"/>
    <w:rsid w:val="000F2F11"/>
    <w:rsid w:val="000F6CC1"/>
    <w:rsid w:val="00105929"/>
    <w:rsid w:val="00110C36"/>
    <w:rsid w:val="001131D5"/>
    <w:rsid w:val="00141DB8"/>
    <w:rsid w:val="00153B6C"/>
    <w:rsid w:val="00172084"/>
    <w:rsid w:val="0017474A"/>
    <w:rsid w:val="001758C6"/>
    <w:rsid w:val="00182B99"/>
    <w:rsid w:val="001C57B5"/>
    <w:rsid w:val="001F56DF"/>
    <w:rsid w:val="001F64BF"/>
    <w:rsid w:val="00202E38"/>
    <w:rsid w:val="0021332C"/>
    <w:rsid w:val="00213982"/>
    <w:rsid w:val="0024416D"/>
    <w:rsid w:val="002464A3"/>
    <w:rsid w:val="00271911"/>
    <w:rsid w:val="00277517"/>
    <w:rsid w:val="002800A0"/>
    <w:rsid w:val="002801B3"/>
    <w:rsid w:val="00281060"/>
    <w:rsid w:val="002940E8"/>
    <w:rsid w:val="00294751"/>
    <w:rsid w:val="002A0985"/>
    <w:rsid w:val="002A17DA"/>
    <w:rsid w:val="002A6E50"/>
    <w:rsid w:val="002B4298"/>
    <w:rsid w:val="002C256A"/>
    <w:rsid w:val="002E5944"/>
    <w:rsid w:val="00305A7F"/>
    <w:rsid w:val="003152FE"/>
    <w:rsid w:val="00327436"/>
    <w:rsid w:val="00344BD6"/>
    <w:rsid w:val="00350DD6"/>
    <w:rsid w:val="0035528D"/>
    <w:rsid w:val="00361821"/>
    <w:rsid w:val="00361E9E"/>
    <w:rsid w:val="003B031A"/>
    <w:rsid w:val="003C7FBE"/>
    <w:rsid w:val="003D227C"/>
    <w:rsid w:val="003D2B4D"/>
    <w:rsid w:val="003E18BC"/>
    <w:rsid w:val="00402B30"/>
    <w:rsid w:val="0040557F"/>
    <w:rsid w:val="00444A88"/>
    <w:rsid w:val="00474DA4"/>
    <w:rsid w:val="00476B4D"/>
    <w:rsid w:val="004805FA"/>
    <w:rsid w:val="004935D2"/>
    <w:rsid w:val="00496A66"/>
    <w:rsid w:val="004B1215"/>
    <w:rsid w:val="004D047D"/>
    <w:rsid w:val="004D1688"/>
    <w:rsid w:val="004F0089"/>
    <w:rsid w:val="004F1E9E"/>
    <w:rsid w:val="004F305A"/>
    <w:rsid w:val="004F39DE"/>
    <w:rsid w:val="00512164"/>
    <w:rsid w:val="005149B9"/>
    <w:rsid w:val="00520297"/>
    <w:rsid w:val="005338F9"/>
    <w:rsid w:val="00537216"/>
    <w:rsid w:val="0054281C"/>
    <w:rsid w:val="00544581"/>
    <w:rsid w:val="00545E42"/>
    <w:rsid w:val="0055268D"/>
    <w:rsid w:val="0056039D"/>
    <w:rsid w:val="00571BA2"/>
    <w:rsid w:val="00576BE4"/>
    <w:rsid w:val="005A1EC1"/>
    <w:rsid w:val="005A400A"/>
    <w:rsid w:val="005F7B92"/>
    <w:rsid w:val="00607FFE"/>
    <w:rsid w:val="00611E27"/>
    <w:rsid w:val="00612379"/>
    <w:rsid w:val="006153B6"/>
    <w:rsid w:val="0061555F"/>
    <w:rsid w:val="00635170"/>
    <w:rsid w:val="00636CA6"/>
    <w:rsid w:val="00637EDD"/>
    <w:rsid w:val="00641200"/>
    <w:rsid w:val="00645CA8"/>
    <w:rsid w:val="0065458E"/>
    <w:rsid w:val="006655D3"/>
    <w:rsid w:val="00667404"/>
    <w:rsid w:val="00687EB4"/>
    <w:rsid w:val="00695C56"/>
    <w:rsid w:val="006A5CDE"/>
    <w:rsid w:val="006A644A"/>
    <w:rsid w:val="006B17D2"/>
    <w:rsid w:val="006C224E"/>
    <w:rsid w:val="006D780A"/>
    <w:rsid w:val="0071271E"/>
    <w:rsid w:val="00732DEC"/>
    <w:rsid w:val="00735BD5"/>
    <w:rsid w:val="00751613"/>
    <w:rsid w:val="007556F6"/>
    <w:rsid w:val="00760EEF"/>
    <w:rsid w:val="00774C77"/>
    <w:rsid w:val="00777EE5"/>
    <w:rsid w:val="00783722"/>
    <w:rsid w:val="00784836"/>
    <w:rsid w:val="0079023E"/>
    <w:rsid w:val="007A2854"/>
    <w:rsid w:val="007C1D92"/>
    <w:rsid w:val="007C4CB9"/>
    <w:rsid w:val="007D0B9D"/>
    <w:rsid w:val="007D19B0"/>
    <w:rsid w:val="007E5C7B"/>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25501"/>
    <w:rsid w:val="00934E09"/>
    <w:rsid w:val="00936253"/>
    <w:rsid w:val="00940D46"/>
    <w:rsid w:val="00952DD4"/>
    <w:rsid w:val="0095600D"/>
    <w:rsid w:val="0096175D"/>
    <w:rsid w:val="00965AE7"/>
    <w:rsid w:val="00970FED"/>
    <w:rsid w:val="00992D65"/>
    <w:rsid w:val="00992D82"/>
    <w:rsid w:val="00995DFA"/>
    <w:rsid w:val="00997029"/>
    <w:rsid w:val="009A4C32"/>
    <w:rsid w:val="009A7339"/>
    <w:rsid w:val="009B440E"/>
    <w:rsid w:val="009D690D"/>
    <w:rsid w:val="009D7CCC"/>
    <w:rsid w:val="009E65B6"/>
    <w:rsid w:val="00A24C10"/>
    <w:rsid w:val="00A42AC3"/>
    <w:rsid w:val="00A430CF"/>
    <w:rsid w:val="00A54309"/>
    <w:rsid w:val="00A706D3"/>
    <w:rsid w:val="00AB2B93"/>
    <w:rsid w:val="00AB530F"/>
    <w:rsid w:val="00AB7E5B"/>
    <w:rsid w:val="00AC2883"/>
    <w:rsid w:val="00AE0EF1"/>
    <w:rsid w:val="00AE2937"/>
    <w:rsid w:val="00AE6C55"/>
    <w:rsid w:val="00B07301"/>
    <w:rsid w:val="00B11F3E"/>
    <w:rsid w:val="00B224DE"/>
    <w:rsid w:val="00B324D4"/>
    <w:rsid w:val="00B46575"/>
    <w:rsid w:val="00B57F3F"/>
    <w:rsid w:val="00B61777"/>
    <w:rsid w:val="00B84BA5"/>
    <w:rsid w:val="00B84BBD"/>
    <w:rsid w:val="00BA1B54"/>
    <w:rsid w:val="00BA43FB"/>
    <w:rsid w:val="00BC0BD4"/>
    <w:rsid w:val="00BC127D"/>
    <w:rsid w:val="00BC1FE6"/>
    <w:rsid w:val="00BD38DB"/>
    <w:rsid w:val="00BD63DE"/>
    <w:rsid w:val="00BD7229"/>
    <w:rsid w:val="00C061B6"/>
    <w:rsid w:val="00C2446C"/>
    <w:rsid w:val="00C36AE5"/>
    <w:rsid w:val="00C41F17"/>
    <w:rsid w:val="00C527FA"/>
    <w:rsid w:val="00C5280D"/>
    <w:rsid w:val="00C53EB3"/>
    <w:rsid w:val="00C5791C"/>
    <w:rsid w:val="00C66290"/>
    <w:rsid w:val="00C72B7A"/>
    <w:rsid w:val="00C973F2"/>
    <w:rsid w:val="00CA304C"/>
    <w:rsid w:val="00CA61FE"/>
    <w:rsid w:val="00CA6FF5"/>
    <w:rsid w:val="00CA774A"/>
    <w:rsid w:val="00CC11B0"/>
    <w:rsid w:val="00CC2841"/>
    <w:rsid w:val="00CE49AB"/>
    <w:rsid w:val="00CF1330"/>
    <w:rsid w:val="00CF7E36"/>
    <w:rsid w:val="00D13BC7"/>
    <w:rsid w:val="00D3708D"/>
    <w:rsid w:val="00D40426"/>
    <w:rsid w:val="00D57C96"/>
    <w:rsid w:val="00D57D18"/>
    <w:rsid w:val="00D74BA6"/>
    <w:rsid w:val="00D91203"/>
    <w:rsid w:val="00D95174"/>
    <w:rsid w:val="00DA2765"/>
    <w:rsid w:val="00DA4973"/>
    <w:rsid w:val="00DA6F36"/>
    <w:rsid w:val="00DB596E"/>
    <w:rsid w:val="00DB7773"/>
    <w:rsid w:val="00DC00EA"/>
    <w:rsid w:val="00DC3802"/>
    <w:rsid w:val="00DD33F8"/>
    <w:rsid w:val="00E07D87"/>
    <w:rsid w:val="00E17B21"/>
    <w:rsid w:val="00E32F7E"/>
    <w:rsid w:val="00E33CFF"/>
    <w:rsid w:val="00E36DE4"/>
    <w:rsid w:val="00E5267B"/>
    <w:rsid w:val="00E63C0E"/>
    <w:rsid w:val="00E72D49"/>
    <w:rsid w:val="00E7593C"/>
    <w:rsid w:val="00E7678A"/>
    <w:rsid w:val="00E935F1"/>
    <w:rsid w:val="00E94A81"/>
    <w:rsid w:val="00EA1FFB"/>
    <w:rsid w:val="00EB048E"/>
    <w:rsid w:val="00EB4E9C"/>
    <w:rsid w:val="00EC2265"/>
    <w:rsid w:val="00EE34DF"/>
    <w:rsid w:val="00EF2F89"/>
    <w:rsid w:val="00F03E98"/>
    <w:rsid w:val="00F1237A"/>
    <w:rsid w:val="00F22CBD"/>
    <w:rsid w:val="00F272F1"/>
    <w:rsid w:val="00F41A0F"/>
    <w:rsid w:val="00F45372"/>
    <w:rsid w:val="00F560F7"/>
    <w:rsid w:val="00F6334D"/>
    <w:rsid w:val="00F838D9"/>
    <w:rsid w:val="00FA49AB"/>
    <w:rsid w:val="00FB3DB5"/>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59C8D06"/>
  <w15:docId w15:val="{30167708-7898-493C-A501-084B78BEC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BD63DE"/>
    <w:pPr>
      <w:tabs>
        <w:tab w:val="right" w:leader="dot" w:pos="9639"/>
      </w:tabs>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BD63DE"/>
    <w:pPr>
      <w:tabs>
        <w:tab w:val="right" w:leader="dot" w:pos="9639"/>
      </w:tabs>
      <w:spacing w:before="60"/>
      <w:ind w:right="1418"/>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F56DF"/>
    <w:pPr>
      <w:spacing w:after="200" w:line="276" w:lineRule="auto"/>
      <w:ind w:left="720"/>
      <w:contextualSpacing/>
      <w:jc w:val="left"/>
    </w:pPr>
    <w:rPr>
      <w:rFonts w:asciiTheme="minorHAnsi" w:eastAsiaTheme="minorEastAsia" w:hAnsiTheme="minorHAnsi" w:cstheme="minorBidi"/>
      <w:sz w:val="22"/>
      <w:szCs w:val="22"/>
      <w:lang w:val="en-US"/>
    </w:rPr>
  </w:style>
  <w:style w:type="character" w:styleId="CommentReference">
    <w:name w:val="annotation reference"/>
    <w:basedOn w:val="DefaultParagraphFont"/>
    <w:rsid w:val="00DD33F8"/>
    <w:rPr>
      <w:sz w:val="16"/>
      <w:szCs w:val="16"/>
    </w:rPr>
  </w:style>
  <w:style w:type="paragraph" w:styleId="CommentText">
    <w:name w:val="annotation text"/>
    <w:basedOn w:val="Normal"/>
    <w:link w:val="CommentTextChar"/>
    <w:rsid w:val="00DD33F8"/>
    <w:rPr>
      <w:lang w:val="en-US"/>
    </w:rPr>
  </w:style>
  <w:style w:type="character" w:customStyle="1" w:styleId="CommentTextChar">
    <w:name w:val="Comment Text Char"/>
    <w:basedOn w:val="DefaultParagraphFont"/>
    <w:link w:val="CommentText"/>
    <w:rsid w:val="00DD33F8"/>
    <w:rPr>
      <w:rFonts w:ascii="Arial" w:hAnsi="Arial"/>
    </w:rPr>
  </w:style>
  <w:style w:type="character" w:customStyle="1" w:styleId="Heading1Char">
    <w:name w:val="Heading 1 Char"/>
    <w:basedOn w:val="DefaultParagraphFont"/>
    <w:link w:val="Heading1"/>
    <w:rsid w:val="00995DFA"/>
    <w:rPr>
      <w:rFonts w:ascii="Arial" w:hAnsi="Arial"/>
      <w:caps/>
    </w:rPr>
  </w:style>
  <w:style w:type="character" w:customStyle="1" w:styleId="Heading2Char">
    <w:name w:val="Heading 2 Char"/>
    <w:basedOn w:val="DefaultParagraphFont"/>
    <w:link w:val="Heading2"/>
    <w:rsid w:val="00995DFA"/>
    <w:rPr>
      <w:rFonts w:ascii="Arial" w:hAnsi="Arial"/>
      <w:u w:val="single"/>
    </w:rPr>
  </w:style>
  <w:style w:type="character" w:customStyle="1" w:styleId="DecisionParagraphsChar">
    <w:name w:val="DecisionParagraphs Char"/>
    <w:basedOn w:val="DefaultParagraphFont"/>
    <w:link w:val="DecisionParagraphs"/>
    <w:rsid w:val="00995DFA"/>
    <w:rPr>
      <w:rFonts w:ascii="Arial" w:hAnsi="Arial"/>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899</Words>
  <Characters>5278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CEVALLOS DUQUE Nilo</dc:creator>
  <cp:lastModifiedBy>SANTOS Carla Marina</cp:lastModifiedBy>
  <cp:revision>6</cp:revision>
  <cp:lastPrinted>2018-09-14T12:54:00Z</cp:lastPrinted>
  <dcterms:created xsi:type="dcterms:W3CDTF">2018-09-13T12:04:00Z</dcterms:created>
  <dcterms:modified xsi:type="dcterms:W3CDTF">2018-09-14T12:54:00Z</dcterms:modified>
</cp:coreProperties>
</file>