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83F40" w:rsidTr="00EB4E9C">
        <w:tc>
          <w:tcPr>
            <w:tcW w:w="6522" w:type="dxa"/>
          </w:tcPr>
          <w:p w:rsidR="00DC3802" w:rsidRPr="00A83F40" w:rsidRDefault="00DC3802" w:rsidP="00AC2883">
            <w:pPr>
              <w:rPr>
                <w:dstrike/>
              </w:rPr>
            </w:pPr>
            <w:r w:rsidRPr="00604C20">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604C20" w:rsidRDefault="002E5944" w:rsidP="00AC2883">
            <w:pPr>
              <w:pStyle w:val="Lettrine"/>
            </w:pPr>
            <w:r w:rsidRPr="00604C20">
              <w:t>S</w:t>
            </w:r>
          </w:p>
        </w:tc>
      </w:tr>
      <w:tr w:rsidR="00DC3802" w:rsidRPr="00A83F40" w:rsidTr="00645CA8">
        <w:trPr>
          <w:trHeight w:val="219"/>
        </w:trPr>
        <w:tc>
          <w:tcPr>
            <w:tcW w:w="6522" w:type="dxa"/>
          </w:tcPr>
          <w:p w:rsidR="00DC3802" w:rsidRPr="00A83F40" w:rsidRDefault="002E5944" w:rsidP="00BC0BD4">
            <w:pPr>
              <w:pStyle w:val="upove"/>
              <w:rPr>
                <w:dstrike/>
              </w:rPr>
            </w:pPr>
            <w:r w:rsidRPr="00604C20">
              <w:t>Unión Internacional para la Protección de las Obtenciones Vegetales</w:t>
            </w:r>
          </w:p>
        </w:tc>
        <w:tc>
          <w:tcPr>
            <w:tcW w:w="3117" w:type="dxa"/>
          </w:tcPr>
          <w:p w:rsidR="00DC3802" w:rsidRPr="00604C20" w:rsidRDefault="00DC3802" w:rsidP="00DA4973"/>
        </w:tc>
      </w:tr>
    </w:tbl>
    <w:p w:rsidR="00DC3802" w:rsidRPr="00604C20" w:rsidRDefault="00DC3802" w:rsidP="00DC3802"/>
    <w:p w:rsidR="00DA4973" w:rsidRPr="00604C20"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A83F40" w:rsidTr="00EB4E9C">
        <w:tc>
          <w:tcPr>
            <w:tcW w:w="6512" w:type="dxa"/>
          </w:tcPr>
          <w:p w:rsidR="00EB4E9C" w:rsidRPr="00604C20" w:rsidRDefault="002E5944" w:rsidP="00AC2883">
            <w:pPr>
              <w:pStyle w:val="Sessiontc"/>
              <w:spacing w:line="240" w:lineRule="auto"/>
            </w:pPr>
            <w:r w:rsidRPr="00604C20">
              <w:t>Comité Técnico</w:t>
            </w:r>
          </w:p>
          <w:p w:rsidR="00EB4E9C" w:rsidRPr="00A83F40" w:rsidRDefault="002E5944" w:rsidP="005A1EC1">
            <w:pPr>
              <w:pStyle w:val="Sessiontcplacedate"/>
              <w:rPr>
                <w:dstrike/>
                <w:sz w:val="22"/>
              </w:rPr>
            </w:pPr>
            <w:r w:rsidRPr="00604C20">
              <w:t xml:space="preserve">Quincuagésima </w:t>
            </w:r>
            <w:r w:rsidR="005A1EC1" w:rsidRPr="00604C20">
              <w:t>cuarta</w:t>
            </w:r>
            <w:r w:rsidRPr="00604C20">
              <w:t xml:space="preserve"> sesión</w:t>
            </w:r>
            <w:r w:rsidR="00EB4E9C" w:rsidRPr="00604C20">
              <w:br/>
            </w:r>
            <w:r w:rsidRPr="00604C20">
              <w:t>Ginebra</w:t>
            </w:r>
            <w:r w:rsidR="00611282" w:rsidRPr="00604C20">
              <w:t>, 2</w:t>
            </w:r>
            <w:r w:rsidR="005A1EC1" w:rsidRPr="00604C20">
              <w:t>9 y</w:t>
            </w:r>
            <w:r w:rsidR="00611282" w:rsidRPr="00604C20">
              <w:t> 3</w:t>
            </w:r>
            <w:r w:rsidR="005A1EC1" w:rsidRPr="00604C20">
              <w:t xml:space="preserve">0 de octubre </w:t>
            </w:r>
            <w:r w:rsidRPr="00604C20">
              <w:t>de</w:t>
            </w:r>
            <w:r w:rsidR="00611282" w:rsidRPr="00604C20">
              <w:t> 2</w:t>
            </w:r>
            <w:r w:rsidR="005A1EC1" w:rsidRPr="00604C20">
              <w:t>018</w:t>
            </w:r>
          </w:p>
        </w:tc>
        <w:tc>
          <w:tcPr>
            <w:tcW w:w="3127" w:type="dxa"/>
          </w:tcPr>
          <w:p w:rsidR="00EB4E9C" w:rsidRPr="00604C20" w:rsidRDefault="005A1EC1" w:rsidP="003C7FBE">
            <w:pPr>
              <w:pStyle w:val="Doccode"/>
              <w:rPr>
                <w:lang w:val="es-ES"/>
              </w:rPr>
            </w:pPr>
            <w:r w:rsidRPr="00604C20">
              <w:rPr>
                <w:lang w:val="es-ES"/>
              </w:rPr>
              <w:t>TC/54</w:t>
            </w:r>
            <w:r w:rsidR="00EB4E9C" w:rsidRPr="00604C20">
              <w:rPr>
                <w:lang w:val="es-ES"/>
              </w:rPr>
              <w:t>/</w:t>
            </w:r>
            <w:r w:rsidR="00C64B27" w:rsidRPr="00604C20">
              <w:rPr>
                <w:lang w:val="es-ES"/>
              </w:rPr>
              <w:t>29</w:t>
            </w:r>
          </w:p>
          <w:p w:rsidR="00EB4E9C" w:rsidRPr="00604C20" w:rsidRDefault="00EB4E9C" w:rsidP="003C7FBE">
            <w:pPr>
              <w:pStyle w:val="Docoriginal"/>
            </w:pPr>
            <w:r w:rsidRPr="00604C20">
              <w:t>Original:</w:t>
            </w:r>
            <w:r w:rsidRPr="00604C20">
              <w:rPr>
                <w:b w:val="0"/>
                <w:spacing w:val="0"/>
              </w:rPr>
              <w:t xml:space="preserve"> </w:t>
            </w:r>
            <w:r w:rsidR="002E5944" w:rsidRPr="00604C20">
              <w:rPr>
                <w:b w:val="0"/>
                <w:spacing w:val="0"/>
              </w:rPr>
              <w:t>Inglés</w:t>
            </w:r>
          </w:p>
          <w:p w:rsidR="00EB4E9C" w:rsidRPr="00604C20" w:rsidRDefault="002E5944" w:rsidP="006B7E4A">
            <w:pPr>
              <w:pStyle w:val="Docoriginal"/>
            </w:pPr>
            <w:r w:rsidRPr="00604C20">
              <w:t>Fecha</w:t>
            </w:r>
            <w:r w:rsidR="00EB4E9C" w:rsidRPr="00604C20">
              <w:t>:</w:t>
            </w:r>
            <w:r w:rsidR="004B692C" w:rsidRPr="00604C20">
              <w:rPr>
                <w:b w:val="0"/>
                <w:spacing w:val="0"/>
              </w:rPr>
              <w:t xml:space="preserve"> </w:t>
            </w:r>
            <w:r w:rsidR="00611282" w:rsidRPr="006B7E4A">
              <w:rPr>
                <w:b w:val="0"/>
                <w:spacing w:val="0"/>
              </w:rPr>
              <w:t>2</w:t>
            </w:r>
            <w:r w:rsidR="006B7E4A" w:rsidRPr="006B7E4A">
              <w:rPr>
                <w:b w:val="0"/>
                <w:spacing w:val="0"/>
              </w:rPr>
              <w:t>7</w:t>
            </w:r>
            <w:r w:rsidR="00B57F3F" w:rsidRPr="006B7E4A">
              <w:rPr>
                <w:b w:val="0"/>
                <w:spacing w:val="0"/>
              </w:rPr>
              <w:t xml:space="preserve"> de agosto</w:t>
            </w:r>
            <w:r w:rsidR="00EB4E9C" w:rsidRPr="006B7E4A">
              <w:rPr>
                <w:b w:val="0"/>
                <w:spacing w:val="0"/>
              </w:rPr>
              <w:t xml:space="preserve"> </w:t>
            </w:r>
            <w:r w:rsidRPr="006B7E4A">
              <w:rPr>
                <w:b w:val="0"/>
                <w:spacing w:val="0"/>
              </w:rPr>
              <w:t>de</w:t>
            </w:r>
            <w:r w:rsidR="00611282" w:rsidRPr="006B7E4A">
              <w:rPr>
                <w:b w:val="0"/>
                <w:spacing w:val="0"/>
              </w:rPr>
              <w:t> 2</w:t>
            </w:r>
            <w:r w:rsidR="005A1EC1" w:rsidRPr="006B7E4A">
              <w:rPr>
                <w:b w:val="0"/>
                <w:spacing w:val="0"/>
              </w:rPr>
              <w:t>018</w:t>
            </w:r>
          </w:p>
        </w:tc>
      </w:tr>
    </w:tbl>
    <w:p w:rsidR="004B122E" w:rsidRPr="004B122E" w:rsidRDefault="00730BA8" w:rsidP="004B122E">
      <w:pPr>
        <w:pStyle w:val="Titleofdoc0"/>
      </w:pPr>
      <w:bookmarkStart w:id="0" w:name="TitleOfDoc"/>
      <w:bookmarkStart w:id="1" w:name="Prepared"/>
      <w:bookmarkEnd w:id="0"/>
      <w:bookmarkEnd w:id="1"/>
      <w:r w:rsidRPr="004B122E">
        <w:t>DETERMINACIÓN DE UMBRALES CALCULADOS PARA EXCLUIR LAS VARIEDADES NOTORIAMENTE CONOCIDAS DEL SEGUNDO CICLO DE CULTIVO CUANDO SE EMPLEA EL COYD</w:t>
      </w:r>
    </w:p>
    <w:p w:rsidR="006A644A" w:rsidRPr="00604C20" w:rsidRDefault="000638A9" w:rsidP="004B122E">
      <w:pPr>
        <w:pStyle w:val="preparedby1"/>
        <w:jc w:val="both"/>
      </w:pPr>
      <w:r w:rsidRPr="00604C20">
        <w:t>Documento preparado por la Oficina de la Unión</w:t>
      </w:r>
    </w:p>
    <w:p w:rsidR="00050E16" w:rsidRPr="00604C20" w:rsidRDefault="000638A9" w:rsidP="006A644A">
      <w:pPr>
        <w:pStyle w:val="Disclaimer"/>
      </w:pPr>
      <w:r w:rsidRPr="00604C20">
        <w:t>Descargo de responsabilidad: el presente documento no constituye un documento de política u orientación de la UPOV</w:t>
      </w:r>
    </w:p>
    <w:p w:rsidR="00C64B27" w:rsidRPr="004034A4" w:rsidRDefault="00730BA8" w:rsidP="00C64B27">
      <w:pPr>
        <w:pStyle w:val="Heading1"/>
        <w:rPr>
          <w:lang w:val="es-ES_tradnl" w:eastAsia="ja-JP"/>
        </w:rPr>
      </w:pPr>
      <w:bookmarkStart w:id="2" w:name="_Toc524538385"/>
      <w:r w:rsidRPr="000849B6">
        <w:rPr>
          <w:lang w:val="es-ES_tradnl" w:eastAsia="ja-JP"/>
        </w:rPr>
        <w:t>RESUMEN</w:t>
      </w:r>
      <w:bookmarkEnd w:id="2"/>
    </w:p>
    <w:p w:rsidR="00C64B27" w:rsidRPr="004034A4" w:rsidRDefault="00C64B27" w:rsidP="00C64B27"/>
    <w:p w:rsidR="00C64B27" w:rsidRPr="004034A4" w:rsidRDefault="00BB55FF" w:rsidP="00C64B27">
      <w:r w:rsidRPr="00CB3A47">
        <w:fldChar w:fldCharType="begin"/>
      </w:r>
      <w:r w:rsidR="00C64B27" w:rsidRPr="004034A4">
        <w:instrText xml:space="preserve"> AUTONUM  </w:instrText>
      </w:r>
      <w:r w:rsidRPr="00CB3A47">
        <w:fldChar w:fldCharType="end"/>
      </w:r>
      <w:r w:rsidR="00C64B27" w:rsidRPr="004034A4">
        <w:tab/>
      </w:r>
      <w:r w:rsidR="00730BA8" w:rsidRPr="000849B6">
        <w:t>El presente documento tiene por finalidad informar sobre las novedades que se han producido en relación con la determinación de umbrales calculados para excluir las variedades notoriamente conocidas del segundo ciclo de cultivo cuando se emplea el COYD</w:t>
      </w:r>
      <w:r w:rsidR="009F55E7" w:rsidRPr="000849B6">
        <w:t>.</w:t>
      </w:r>
    </w:p>
    <w:p w:rsidR="00C64B27" w:rsidRPr="004034A4" w:rsidRDefault="00C64B27" w:rsidP="00C64B27">
      <w:pPr>
        <w:tabs>
          <w:tab w:val="left" w:pos="567"/>
          <w:tab w:val="left" w:pos="1134"/>
          <w:tab w:val="left" w:pos="5387"/>
        </w:tabs>
        <w:rPr>
          <w:lang w:eastAsia="ja-JP"/>
        </w:rPr>
      </w:pPr>
    </w:p>
    <w:p w:rsidR="00C64B27" w:rsidRPr="004034A4" w:rsidRDefault="00BB55FF" w:rsidP="00C64B27">
      <w:pPr>
        <w:tabs>
          <w:tab w:val="left" w:pos="567"/>
          <w:tab w:val="left" w:pos="1134"/>
          <w:tab w:val="left" w:pos="5387"/>
        </w:tabs>
        <w:rPr>
          <w:lang w:eastAsia="ja-JP"/>
        </w:rPr>
      </w:pPr>
      <w:r w:rsidRPr="00697EA4">
        <w:rPr>
          <w:lang w:eastAsia="ja-JP"/>
        </w:rPr>
        <w:fldChar w:fldCharType="begin"/>
      </w:r>
      <w:r w:rsidR="00C64B27" w:rsidRPr="004034A4">
        <w:rPr>
          <w:lang w:eastAsia="ja-JP"/>
        </w:rPr>
        <w:instrText xml:space="preserve"> AUTONUM  </w:instrText>
      </w:r>
      <w:r w:rsidRPr="00697EA4">
        <w:rPr>
          <w:lang w:eastAsia="ja-JP"/>
        </w:rPr>
        <w:fldChar w:fldCharType="end"/>
      </w:r>
      <w:r w:rsidR="00C64B27" w:rsidRPr="004034A4">
        <w:rPr>
          <w:lang w:eastAsia="ja-JP"/>
        </w:rPr>
        <w:tab/>
      </w:r>
      <w:r w:rsidR="009F55E7" w:rsidRPr="000849B6">
        <w:rPr>
          <w:lang w:eastAsia="ja-JP"/>
        </w:rPr>
        <w:t>Se invita al TC a tomar nota de que el TWC</w:t>
      </w:r>
      <w:r w:rsidR="00611282">
        <w:rPr>
          <w:lang w:eastAsia="ja-JP"/>
        </w:rPr>
        <w:t xml:space="preserve">, </w:t>
      </w:r>
      <w:r w:rsidR="009F55E7" w:rsidRPr="000849B6">
        <w:rPr>
          <w:lang w:eastAsia="ja-JP"/>
        </w:rPr>
        <w:t>en su trigésima quinta sesión</w:t>
      </w:r>
      <w:r w:rsidR="00611282">
        <w:rPr>
          <w:lang w:eastAsia="ja-JP"/>
        </w:rPr>
        <w:t xml:space="preserve">, </w:t>
      </w:r>
      <w:r w:rsidR="009F55E7" w:rsidRPr="000849B6">
        <w:rPr>
          <w:lang w:eastAsia="ja-JP"/>
        </w:rPr>
        <w:t>tomó nota de:</w:t>
      </w:r>
    </w:p>
    <w:p w:rsidR="00C64B27" w:rsidRPr="004034A4" w:rsidRDefault="00C64B27" w:rsidP="00C64B27">
      <w:pPr>
        <w:tabs>
          <w:tab w:val="left" w:pos="567"/>
          <w:tab w:val="left" w:pos="1134"/>
          <w:tab w:val="left" w:pos="5387"/>
        </w:tabs>
        <w:rPr>
          <w:highlight w:val="yellow"/>
          <w:lang w:eastAsia="ja-JP"/>
        </w:rPr>
      </w:pPr>
    </w:p>
    <w:p w:rsidR="00C64B27" w:rsidRPr="004034A4" w:rsidRDefault="00C64B27" w:rsidP="00C64B27">
      <w:pPr>
        <w:tabs>
          <w:tab w:val="left" w:pos="567"/>
          <w:tab w:val="left" w:pos="1134"/>
          <w:tab w:val="left" w:pos="5387"/>
        </w:tabs>
        <w:rPr>
          <w:lang w:eastAsia="ja-JP"/>
        </w:rPr>
      </w:pPr>
      <w:r w:rsidRPr="004034A4">
        <w:rPr>
          <w:lang w:eastAsia="ja-JP"/>
        </w:rPr>
        <w:tab/>
      </w:r>
      <w:r w:rsidR="009F55E7" w:rsidRPr="000849B6">
        <w:rPr>
          <w:lang w:eastAsia="ja-JP"/>
        </w:rPr>
        <w:t>a)</w:t>
      </w:r>
      <w:r w:rsidRPr="004034A4">
        <w:rPr>
          <w:lang w:eastAsia="ja-JP"/>
        </w:rPr>
        <w:tab/>
      </w:r>
      <w:r w:rsidR="009F55E7" w:rsidRPr="00B60FA8">
        <w:rPr>
          <w:lang w:eastAsia="ja-JP"/>
        </w:rPr>
        <w:t xml:space="preserve">las últimas novedades y las indicaciones </w:t>
      </w:r>
      <w:r w:rsidR="00833F9E" w:rsidRPr="00B60FA8">
        <w:rPr>
          <w:lang w:eastAsia="ja-JP"/>
        </w:rPr>
        <w:t xml:space="preserve">relativas a </w:t>
      </w:r>
      <w:r w:rsidR="000849B6" w:rsidRPr="00B60FA8">
        <w:rPr>
          <w:lang w:eastAsia="ja-JP"/>
        </w:rPr>
        <w:t xml:space="preserve">la determinación de umbrales del COYD para excluir </w:t>
      </w:r>
      <w:r w:rsidR="00833F9E" w:rsidRPr="00B60FA8">
        <w:rPr>
          <w:lang w:eastAsia="ja-JP"/>
        </w:rPr>
        <w:t xml:space="preserve">las </w:t>
      </w:r>
      <w:r w:rsidR="009F55E7" w:rsidRPr="00B60FA8">
        <w:rPr>
          <w:lang w:eastAsia="ja-JP"/>
        </w:rPr>
        <w:t xml:space="preserve">variedades notoriamente conocidas </w:t>
      </w:r>
      <w:r w:rsidR="00833F9E" w:rsidRPr="00B60FA8">
        <w:rPr>
          <w:lang w:eastAsia="ja-JP"/>
        </w:rPr>
        <w:t>del segundo</w:t>
      </w:r>
      <w:r w:rsidR="009F55E7" w:rsidRPr="00B60FA8">
        <w:rPr>
          <w:lang w:eastAsia="ja-JP"/>
        </w:rPr>
        <w:t xml:space="preserve"> ciclo de cultivo </w:t>
      </w:r>
      <w:r w:rsidR="000849B6" w:rsidRPr="00B60FA8">
        <w:rPr>
          <w:lang w:eastAsia="ja-JP"/>
        </w:rPr>
        <w:t xml:space="preserve">a partir de conjuntos </w:t>
      </w:r>
      <w:r w:rsidR="00303583" w:rsidRPr="00B60FA8">
        <w:rPr>
          <w:lang w:eastAsia="ja-JP"/>
        </w:rPr>
        <w:t xml:space="preserve">de datos </w:t>
      </w:r>
      <w:r w:rsidR="009F55E7" w:rsidRPr="00B60FA8">
        <w:rPr>
          <w:lang w:eastAsia="ja-JP"/>
        </w:rPr>
        <w:t xml:space="preserve">de </w:t>
      </w:r>
      <w:proofErr w:type="spellStart"/>
      <w:r w:rsidR="009F55E7" w:rsidRPr="00B60FA8">
        <w:rPr>
          <w:lang w:eastAsia="ja-JP"/>
        </w:rPr>
        <w:t>festuca</w:t>
      </w:r>
      <w:proofErr w:type="spellEnd"/>
      <w:r w:rsidR="009F55E7" w:rsidRPr="00B60FA8">
        <w:rPr>
          <w:lang w:eastAsia="ja-JP"/>
        </w:rPr>
        <w:t xml:space="preserve"> pratense</w:t>
      </w:r>
      <w:r w:rsidR="00611282">
        <w:rPr>
          <w:lang w:eastAsia="ja-JP"/>
        </w:rPr>
        <w:t xml:space="preserve">, </w:t>
      </w:r>
      <w:r w:rsidR="009F55E7" w:rsidRPr="00B60FA8">
        <w:rPr>
          <w:lang w:eastAsia="ja-JP"/>
        </w:rPr>
        <w:t>trébol rojo</w:t>
      </w:r>
      <w:r w:rsidR="00611282">
        <w:rPr>
          <w:lang w:eastAsia="ja-JP"/>
        </w:rPr>
        <w:t xml:space="preserve">, </w:t>
      </w:r>
      <w:r w:rsidR="009F55E7" w:rsidRPr="00B60FA8">
        <w:rPr>
          <w:lang w:eastAsia="ja-JP"/>
        </w:rPr>
        <w:t>fleo</w:t>
      </w:r>
      <w:r w:rsidR="00611282">
        <w:rPr>
          <w:lang w:eastAsia="ja-JP"/>
        </w:rPr>
        <w:t xml:space="preserve">, </w:t>
      </w:r>
      <w:proofErr w:type="spellStart"/>
      <w:r w:rsidR="00B60FA8" w:rsidRPr="00B60FA8">
        <w:rPr>
          <w:lang w:eastAsia="ja-JP"/>
        </w:rPr>
        <w:t>raygrás</w:t>
      </w:r>
      <w:proofErr w:type="spellEnd"/>
      <w:r w:rsidR="00B60FA8" w:rsidRPr="00B60FA8">
        <w:rPr>
          <w:lang w:eastAsia="ja-JP"/>
        </w:rPr>
        <w:t xml:space="preserve"> inglés</w:t>
      </w:r>
      <w:r w:rsidR="00611282">
        <w:rPr>
          <w:lang w:eastAsia="ja-JP"/>
        </w:rPr>
        <w:t xml:space="preserve">, </w:t>
      </w:r>
      <w:r w:rsidR="00B60FA8" w:rsidRPr="00B60FA8">
        <w:rPr>
          <w:lang w:eastAsia="ja-JP"/>
        </w:rPr>
        <w:t xml:space="preserve">variedades </w:t>
      </w:r>
      <w:proofErr w:type="spellStart"/>
      <w:r w:rsidR="00B60FA8" w:rsidRPr="00B60FA8">
        <w:rPr>
          <w:lang w:eastAsia="ja-JP"/>
        </w:rPr>
        <w:t>semiáfilas</w:t>
      </w:r>
      <w:proofErr w:type="spellEnd"/>
      <w:r w:rsidR="00B60FA8" w:rsidRPr="00B60FA8">
        <w:rPr>
          <w:lang w:eastAsia="ja-JP"/>
        </w:rPr>
        <w:t xml:space="preserve"> de guisante/arveja</w:t>
      </w:r>
      <w:r w:rsidR="009F55E7" w:rsidRPr="00B60FA8">
        <w:rPr>
          <w:lang w:eastAsia="ja-JP"/>
        </w:rPr>
        <w:t xml:space="preserve"> y </w:t>
      </w:r>
      <w:r w:rsidR="00B60FA8" w:rsidRPr="00B60FA8">
        <w:rPr>
          <w:lang w:eastAsia="ja-JP"/>
        </w:rPr>
        <w:t>variedades convencionales de guisante/arveja</w:t>
      </w:r>
      <w:r w:rsidR="00611282">
        <w:rPr>
          <w:lang w:eastAsia="ja-JP"/>
        </w:rPr>
        <w:t xml:space="preserve">, </w:t>
      </w:r>
      <w:r w:rsidR="00833F9E" w:rsidRPr="00B60FA8">
        <w:rPr>
          <w:lang w:eastAsia="ja-JP"/>
        </w:rPr>
        <w:t>según se expone en los</w:t>
      </w:r>
      <w:r w:rsidR="009F55E7" w:rsidRPr="00B60FA8">
        <w:rPr>
          <w:lang w:eastAsia="ja-JP"/>
        </w:rPr>
        <w:t xml:space="preserve"> </w:t>
      </w:r>
      <w:r w:rsidR="00B60FA8" w:rsidRPr="00CE6AF3">
        <w:rPr>
          <w:lang w:eastAsia="ja-JP"/>
        </w:rPr>
        <w:t>párrafos</w:t>
      </w:r>
      <w:r w:rsidR="00611282" w:rsidRPr="00CE6AF3">
        <w:rPr>
          <w:lang w:eastAsia="ja-JP"/>
        </w:rPr>
        <w:t> 9</w:t>
      </w:r>
      <w:r w:rsidR="009F55E7" w:rsidRPr="00CE6AF3">
        <w:rPr>
          <w:lang w:eastAsia="ja-JP"/>
        </w:rPr>
        <w:t xml:space="preserve"> y</w:t>
      </w:r>
      <w:r w:rsidR="00611282" w:rsidRPr="00CE6AF3">
        <w:rPr>
          <w:lang w:eastAsia="ja-JP"/>
        </w:rPr>
        <w:t> 1</w:t>
      </w:r>
      <w:r w:rsidR="009F55E7" w:rsidRPr="00CE6AF3">
        <w:rPr>
          <w:lang w:eastAsia="ja-JP"/>
        </w:rPr>
        <w:t>0 y</w:t>
      </w:r>
      <w:r w:rsidR="009F55E7" w:rsidRPr="00B60FA8">
        <w:rPr>
          <w:lang w:eastAsia="ja-JP"/>
        </w:rPr>
        <w:t xml:space="preserve"> </w:t>
      </w:r>
      <w:r w:rsidR="00833F9E" w:rsidRPr="00B60FA8">
        <w:rPr>
          <w:lang w:eastAsia="ja-JP"/>
        </w:rPr>
        <w:t xml:space="preserve">en </w:t>
      </w:r>
      <w:r w:rsidR="009F55E7" w:rsidRPr="00B60FA8">
        <w:rPr>
          <w:lang w:eastAsia="ja-JP"/>
        </w:rPr>
        <w:t xml:space="preserve">el </w:t>
      </w:r>
      <w:r w:rsidR="00833F9E" w:rsidRPr="00B60FA8">
        <w:rPr>
          <w:lang w:eastAsia="ja-JP"/>
        </w:rPr>
        <w:t xml:space="preserve">Anexo </w:t>
      </w:r>
      <w:r w:rsidR="009F55E7" w:rsidRPr="00B60FA8">
        <w:rPr>
          <w:lang w:eastAsia="ja-JP"/>
        </w:rPr>
        <w:t>del presente documento;</w:t>
      </w:r>
      <w:r w:rsidRPr="004034A4">
        <w:rPr>
          <w:lang w:eastAsia="ja-JP"/>
        </w:rPr>
        <w:t xml:space="preserve">  </w:t>
      </w:r>
    </w:p>
    <w:p w:rsidR="00C64B27" w:rsidRPr="004034A4" w:rsidRDefault="00C64B27" w:rsidP="00C64B27">
      <w:pPr>
        <w:tabs>
          <w:tab w:val="left" w:pos="567"/>
          <w:tab w:val="left" w:pos="1134"/>
          <w:tab w:val="left" w:pos="5387"/>
        </w:tabs>
        <w:rPr>
          <w:lang w:eastAsia="ja-JP"/>
        </w:rPr>
      </w:pPr>
    </w:p>
    <w:p w:rsidR="00C64B27" w:rsidRPr="004034A4" w:rsidRDefault="00C64B27" w:rsidP="00C64B27">
      <w:pPr>
        <w:tabs>
          <w:tab w:val="left" w:pos="567"/>
          <w:tab w:val="left" w:pos="1134"/>
          <w:tab w:val="left" w:pos="5387"/>
        </w:tabs>
        <w:rPr>
          <w:lang w:eastAsia="ja-JP"/>
        </w:rPr>
      </w:pPr>
      <w:r w:rsidRPr="004034A4">
        <w:rPr>
          <w:lang w:eastAsia="ja-JP"/>
        </w:rPr>
        <w:tab/>
      </w:r>
      <w:r w:rsidR="003B0509" w:rsidRPr="00B60FA8">
        <w:rPr>
          <w:lang w:eastAsia="ja-JP"/>
        </w:rPr>
        <w:t>b)</w:t>
      </w:r>
      <w:r w:rsidRPr="004034A4">
        <w:rPr>
          <w:lang w:eastAsia="ja-JP"/>
        </w:rPr>
        <w:tab/>
      </w:r>
      <w:r w:rsidR="00EF2420" w:rsidRPr="00611282">
        <w:rPr>
          <w:lang w:eastAsia="ja-JP"/>
        </w:rPr>
        <w:t>el</w:t>
      </w:r>
      <w:r w:rsidR="003B0509" w:rsidRPr="00611282">
        <w:rPr>
          <w:lang w:eastAsia="ja-JP"/>
        </w:rPr>
        <w:t xml:space="preserve"> </w:t>
      </w:r>
      <w:r w:rsidR="00C14326" w:rsidRPr="00611282">
        <w:rPr>
          <w:lang w:eastAsia="ja-JP"/>
        </w:rPr>
        <w:t xml:space="preserve">método es más adecuado para cultivos </w:t>
      </w:r>
      <w:r w:rsidR="00B60FA8" w:rsidRPr="00611282">
        <w:rPr>
          <w:lang w:eastAsia="ja-JP"/>
        </w:rPr>
        <w:t xml:space="preserve">con un gran número de variedades </w:t>
      </w:r>
      <w:r w:rsidR="003B0509" w:rsidRPr="00611282">
        <w:rPr>
          <w:lang w:eastAsia="ja-JP"/>
        </w:rPr>
        <w:t xml:space="preserve">notoriamente conocidas y </w:t>
      </w:r>
      <w:r w:rsidR="00671589" w:rsidRPr="00611282">
        <w:rPr>
          <w:lang w:eastAsia="ja-JP"/>
        </w:rPr>
        <w:t>ensayos de grandes dimensiones en curso</w:t>
      </w:r>
      <w:r w:rsidR="003B0509" w:rsidRPr="00611282">
        <w:rPr>
          <w:lang w:eastAsia="ja-JP"/>
        </w:rPr>
        <w:t>; y</w:t>
      </w:r>
    </w:p>
    <w:p w:rsidR="00C64B27" w:rsidRPr="004034A4" w:rsidRDefault="00C64B27" w:rsidP="00C64B27">
      <w:pPr>
        <w:tabs>
          <w:tab w:val="left" w:pos="567"/>
          <w:tab w:val="left" w:pos="1134"/>
          <w:tab w:val="left" w:pos="5387"/>
        </w:tabs>
        <w:rPr>
          <w:lang w:eastAsia="ja-JP"/>
        </w:rPr>
      </w:pPr>
    </w:p>
    <w:p w:rsidR="00C64B27" w:rsidRPr="004034A4" w:rsidRDefault="00C64B27" w:rsidP="00C64B27">
      <w:pPr>
        <w:tabs>
          <w:tab w:val="left" w:pos="567"/>
          <w:tab w:val="left" w:pos="1134"/>
          <w:tab w:val="left" w:pos="5387"/>
        </w:tabs>
        <w:rPr>
          <w:lang w:eastAsia="ja-JP"/>
        </w:rPr>
      </w:pPr>
      <w:r w:rsidRPr="004034A4">
        <w:rPr>
          <w:lang w:eastAsia="ja-JP"/>
        </w:rPr>
        <w:tab/>
      </w:r>
      <w:r w:rsidR="00EF2420" w:rsidRPr="00611282">
        <w:rPr>
          <w:lang w:eastAsia="ja-JP"/>
        </w:rPr>
        <w:t>c)</w:t>
      </w:r>
      <w:r w:rsidRPr="004034A4">
        <w:rPr>
          <w:lang w:eastAsia="ja-JP"/>
        </w:rPr>
        <w:tab/>
      </w:r>
      <w:r w:rsidR="00EF2420" w:rsidRPr="00611282">
        <w:rPr>
          <w:lang w:eastAsia="ja-JP"/>
        </w:rPr>
        <w:t xml:space="preserve">los planes del Reino Unido </w:t>
      </w:r>
      <w:r w:rsidR="009438DF" w:rsidRPr="00611282">
        <w:rPr>
          <w:lang w:eastAsia="ja-JP"/>
        </w:rPr>
        <w:t xml:space="preserve">de probar el </w:t>
      </w:r>
      <w:r w:rsidR="00EF2420" w:rsidRPr="00611282">
        <w:rPr>
          <w:lang w:eastAsia="ja-JP"/>
        </w:rPr>
        <w:t xml:space="preserve">método </w:t>
      </w:r>
      <w:r w:rsidR="009438DF" w:rsidRPr="00611282">
        <w:rPr>
          <w:lang w:eastAsia="ja-JP"/>
        </w:rPr>
        <w:t>e</w:t>
      </w:r>
      <w:r w:rsidR="00EF2420" w:rsidRPr="00611282">
        <w:rPr>
          <w:lang w:eastAsia="ja-JP"/>
        </w:rPr>
        <w:t>n dos grande</w:t>
      </w:r>
      <w:r w:rsidR="009438DF" w:rsidRPr="00611282">
        <w:rPr>
          <w:lang w:eastAsia="ja-JP"/>
        </w:rPr>
        <w:t>s</w:t>
      </w:r>
      <w:r w:rsidR="00EF2420" w:rsidRPr="00611282">
        <w:rPr>
          <w:lang w:eastAsia="ja-JP"/>
        </w:rPr>
        <w:t xml:space="preserve"> conjunto</w:t>
      </w:r>
      <w:r w:rsidR="009438DF" w:rsidRPr="00611282">
        <w:rPr>
          <w:lang w:eastAsia="ja-JP"/>
        </w:rPr>
        <w:t>s</w:t>
      </w:r>
      <w:r w:rsidR="00EF2420" w:rsidRPr="00611282">
        <w:rPr>
          <w:lang w:eastAsia="ja-JP"/>
        </w:rPr>
        <w:t xml:space="preserve"> de datos de colza</w:t>
      </w:r>
      <w:r w:rsidR="00D82D1E">
        <w:rPr>
          <w:lang w:eastAsia="ja-JP"/>
        </w:rPr>
        <w:t> </w:t>
      </w:r>
      <w:r w:rsidR="009438DF" w:rsidRPr="00611282">
        <w:rPr>
          <w:lang w:eastAsia="ja-JP"/>
        </w:rPr>
        <w:t>oleaginosa</w:t>
      </w:r>
      <w:r w:rsidR="00EF2420" w:rsidRPr="00611282">
        <w:rPr>
          <w:lang w:eastAsia="ja-JP"/>
        </w:rPr>
        <w:t>.</w:t>
      </w:r>
      <w:r w:rsidRPr="004034A4">
        <w:rPr>
          <w:lang w:eastAsia="ja-JP"/>
        </w:rPr>
        <w:t xml:space="preserve"> </w:t>
      </w:r>
    </w:p>
    <w:p w:rsidR="00C64B27" w:rsidRPr="004034A4" w:rsidRDefault="00C64B27" w:rsidP="00C64B27">
      <w:pPr>
        <w:rPr>
          <w:noProof/>
          <w:snapToGrid w:val="0"/>
        </w:rPr>
      </w:pPr>
    </w:p>
    <w:p w:rsidR="00C64B27" w:rsidRPr="004034A4" w:rsidRDefault="00BB55FF" w:rsidP="00C64B27">
      <w:pPr>
        <w:keepNext/>
      </w:pPr>
      <w:r w:rsidRPr="00CB3A47">
        <w:fldChar w:fldCharType="begin"/>
      </w:r>
      <w:r w:rsidR="00C64B27" w:rsidRPr="004034A4">
        <w:instrText xml:space="preserve"> AUTONUM  </w:instrText>
      </w:r>
      <w:r w:rsidRPr="00CB3A47">
        <w:fldChar w:fldCharType="end"/>
      </w:r>
      <w:r w:rsidR="00C64B27" w:rsidRPr="004034A4">
        <w:tab/>
      </w:r>
      <w:r w:rsidR="009438DF" w:rsidRPr="00611282">
        <w:t>El presente documento se estructura del modo siguiente:</w:t>
      </w:r>
    </w:p>
    <w:sdt>
      <w:sdtPr>
        <w:rPr>
          <w:rFonts w:ascii="Courier New" w:hAnsi="Courier New" w:cs="Courier New"/>
          <w:smallCaps/>
          <w:noProof/>
          <w:vanish/>
          <w:color w:val="800080"/>
          <w:sz w:val="18"/>
          <w:vertAlign w:val="subscript"/>
          <w:lang w:eastAsia="es-ES_tradnl"/>
        </w:rPr>
        <w:id w:val="-1800911247"/>
        <w:docPartObj>
          <w:docPartGallery w:val="Table of Contents"/>
          <w:docPartUnique/>
        </w:docPartObj>
      </w:sdtPr>
      <w:sdtEndPr>
        <w:rPr>
          <w:b/>
          <w:bCs/>
          <w:smallCaps w:val="0"/>
        </w:rPr>
      </w:sdtEndPr>
      <w:sdtContent>
        <w:p w:rsidR="00C64B27" w:rsidRPr="00CB3A47" w:rsidRDefault="00C64B27" w:rsidP="00C64B27">
          <w:pPr>
            <w:keepNext/>
            <w:rPr>
              <w:rFonts w:cs="Arial"/>
              <w:b/>
            </w:rPr>
          </w:pPr>
        </w:p>
        <w:p w:rsidR="007030C4" w:rsidRDefault="00BB55FF" w:rsidP="00CE6AF3">
          <w:pPr>
            <w:pStyle w:val="TOC1"/>
            <w:rPr>
              <w:rFonts w:asciiTheme="minorHAnsi" w:eastAsiaTheme="minorEastAsia" w:hAnsiTheme="minorHAnsi" w:cstheme="minorBidi"/>
              <w:caps/>
              <w:noProof/>
              <w:sz w:val="22"/>
              <w:szCs w:val="22"/>
              <w:lang w:eastAsia="es-ES_tradnl"/>
            </w:rPr>
          </w:pPr>
          <w:r w:rsidRPr="00CB3A47">
            <w:rPr>
              <w:rFonts w:eastAsiaTheme="minorEastAsia" w:cs="Arial"/>
              <w:caps/>
              <w:sz w:val="20"/>
              <w:lang w:val="en-US" w:eastAsia="ja-JP"/>
            </w:rPr>
            <w:fldChar w:fldCharType="begin"/>
          </w:r>
          <w:r w:rsidR="00C64B27" w:rsidRPr="00CB3A47">
            <w:instrText xml:space="preserve"> TOC \o "1-3" \h \z \u </w:instrText>
          </w:r>
          <w:r w:rsidRPr="00CB3A47">
            <w:rPr>
              <w:rFonts w:eastAsiaTheme="minorEastAsia" w:cs="Arial"/>
              <w:caps/>
              <w:sz w:val="20"/>
              <w:lang w:val="en-US" w:eastAsia="ja-JP"/>
            </w:rPr>
            <w:fldChar w:fldCharType="separate"/>
          </w:r>
          <w:hyperlink w:anchor="_Toc524538385" w:history="1">
            <w:r w:rsidR="007030C4" w:rsidRPr="00B63D57">
              <w:rPr>
                <w:rStyle w:val="Hyperlink"/>
                <w:noProof/>
                <w:lang w:eastAsia="ja-JP"/>
              </w:rPr>
              <w:t>RESUMEN</w:t>
            </w:r>
            <w:r w:rsidR="007030C4">
              <w:rPr>
                <w:noProof/>
                <w:webHidden/>
              </w:rPr>
              <w:tab/>
            </w:r>
            <w:r w:rsidR="007030C4">
              <w:rPr>
                <w:noProof/>
                <w:webHidden/>
              </w:rPr>
              <w:fldChar w:fldCharType="begin"/>
            </w:r>
            <w:r w:rsidR="007030C4">
              <w:rPr>
                <w:noProof/>
                <w:webHidden/>
              </w:rPr>
              <w:instrText xml:space="preserve"> PAGEREF _Toc524538385 \h </w:instrText>
            </w:r>
            <w:r w:rsidR="007030C4">
              <w:rPr>
                <w:noProof/>
                <w:webHidden/>
              </w:rPr>
            </w:r>
            <w:r w:rsidR="007030C4">
              <w:rPr>
                <w:noProof/>
                <w:webHidden/>
              </w:rPr>
              <w:fldChar w:fldCharType="separate"/>
            </w:r>
            <w:r w:rsidR="007030C4">
              <w:rPr>
                <w:noProof/>
                <w:webHidden/>
              </w:rPr>
              <w:t>1</w:t>
            </w:r>
            <w:r w:rsidR="007030C4">
              <w:rPr>
                <w:noProof/>
                <w:webHidden/>
              </w:rPr>
              <w:fldChar w:fldCharType="end"/>
            </w:r>
          </w:hyperlink>
        </w:p>
        <w:p w:rsidR="007030C4" w:rsidRDefault="00350791" w:rsidP="00CE6AF3">
          <w:pPr>
            <w:pStyle w:val="TOC1"/>
            <w:rPr>
              <w:rFonts w:asciiTheme="minorHAnsi" w:eastAsiaTheme="minorEastAsia" w:hAnsiTheme="minorHAnsi" w:cstheme="minorBidi"/>
              <w:caps/>
              <w:noProof/>
              <w:sz w:val="22"/>
              <w:szCs w:val="22"/>
              <w:lang w:eastAsia="es-ES_tradnl"/>
            </w:rPr>
          </w:pPr>
          <w:hyperlink w:anchor="_Toc524538386" w:history="1">
            <w:r w:rsidR="007030C4" w:rsidRPr="00B63D57">
              <w:rPr>
                <w:rStyle w:val="Hyperlink"/>
                <w:noProof/>
                <w:lang w:eastAsia="ja-JP"/>
              </w:rPr>
              <w:t>ANTECEDENTES</w:t>
            </w:r>
            <w:r w:rsidR="007030C4">
              <w:rPr>
                <w:noProof/>
                <w:webHidden/>
              </w:rPr>
              <w:tab/>
            </w:r>
            <w:r w:rsidR="007030C4">
              <w:rPr>
                <w:noProof/>
                <w:webHidden/>
              </w:rPr>
              <w:fldChar w:fldCharType="begin"/>
            </w:r>
            <w:r w:rsidR="007030C4">
              <w:rPr>
                <w:noProof/>
                <w:webHidden/>
              </w:rPr>
              <w:instrText xml:space="preserve"> PAGEREF _Toc524538386 \h </w:instrText>
            </w:r>
            <w:r w:rsidR="007030C4">
              <w:rPr>
                <w:noProof/>
                <w:webHidden/>
              </w:rPr>
            </w:r>
            <w:r w:rsidR="007030C4">
              <w:rPr>
                <w:noProof/>
                <w:webHidden/>
              </w:rPr>
              <w:fldChar w:fldCharType="separate"/>
            </w:r>
            <w:r w:rsidR="007030C4">
              <w:rPr>
                <w:noProof/>
                <w:webHidden/>
              </w:rPr>
              <w:t>1</w:t>
            </w:r>
            <w:r w:rsidR="007030C4">
              <w:rPr>
                <w:noProof/>
                <w:webHidden/>
              </w:rPr>
              <w:fldChar w:fldCharType="end"/>
            </w:r>
          </w:hyperlink>
        </w:p>
        <w:p w:rsidR="007030C4" w:rsidRDefault="00350791" w:rsidP="00CE6AF3">
          <w:pPr>
            <w:pStyle w:val="TOC1"/>
            <w:rPr>
              <w:rFonts w:asciiTheme="minorHAnsi" w:eastAsiaTheme="minorEastAsia" w:hAnsiTheme="minorHAnsi" w:cstheme="minorBidi"/>
              <w:caps/>
              <w:noProof/>
              <w:sz w:val="22"/>
              <w:szCs w:val="22"/>
              <w:lang w:eastAsia="es-ES_tradnl"/>
            </w:rPr>
          </w:pPr>
          <w:hyperlink w:anchor="_Toc524538387" w:history="1">
            <w:r w:rsidR="007030C4" w:rsidRPr="00B63D57">
              <w:rPr>
                <w:rStyle w:val="Hyperlink"/>
                <w:noProof/>
                <w:lang w:eastAsia="ja-JP"/>
              </w:rPr>
              <w:t>NOVEDADES ACAECIDAS EN 2017</w:t>
            </w:r>
            <w:r w:rsidR="007030C4">
              <w:rPr>
                <w:noProof/>
                <w:webHidden/>
              </w:rPr>
              <w:tab/>
            </w:r>
            <w:r w:rsidR="007030C4">
              <w:rPr>
                <w:noProof/>
                <w:webHidden/>
              </w:rPr>
              <w:fldChar w:fldCharType="begin"/>
            </w:r>
            <w:r w:rsidR="007030C4">
              <w:rPr>
                <w:noProof/>
                <w:webHidden/>
              </w:rPr>
              <w:instrText xml:space="preserve"> PAGEREF _Toc524538387 \h </w:instrText>
            </w:r>
            <w:r w:rsidR="007030C4">
              <w:rPr>
                <w:noProof/>
                <w:webHidden/>
              </w:rPr>
            </w:r>
            <w:r w:rsidR="007030C4">
              <w:rPr>
                <w:noProof/>
                <w:webHidden/>
              </w:rPr>
              <w:fldChar w:fldCharType="separate"/>
            </w:r>
            <w:r w:rsidR="007030C4">
              <w:rPr>
                <w:noProof/>
                <w:webHidden/>
              </w:rPr>
              <w:t>2</w:t>
            </w:r>
            <w:r w:rsidR="007030C4">
              <w:rPr>
                <w:noProof/>
                <w:webHidden/>
              </w:rPr>
              <w:fldChar w:fldCharType="end"/>
            </w:r>
          </w:hyperlink>
        </w:p>
        <w:p w:rsidR="007030C4" w:rsidRDefault="00350791" w:rsidP="00711540">
          <w:pPr>
            <w:pStyle w:val="TOC2"/>
            <w:rPr>
              <w:rFonts w:asciiTheme="minorHAnsi" w:eastAsiaTheme="minorEastAsia" w:hAnsiTheme="minorHAnsi" w:cstheme="minorBidi"/>
              <w:smallCaps/>
              <w:noProof/>
              <w:sz w:val="22"/>
              <w:szCs w:val="22"/>
              <w:lang w:eastAsia="es-ES_tradnl"/>
            </w:rPr>
          </w:pPr>
          <w:hyperlink w:anchor="_Toc524538388" w:history="1">
            <w:r w:rsidR="007030C4" w:rsidRPr="00B63D57">
              <w:rPr>
                <w:rStyle w:val="Hyperlink"/>
                <w:noProof/>
                <w:snapToGrid w:val="0"/>
                <w:lang w:eastAsia="ja-JP"/>
              </w:rPr>
              <w:t>Comité Técnico</w:t>
            </w:r>
            <w:r w:rsidR="007030C4">
              <w:rPr>
                <w:noProof/>
                <w:webHidden/>
              </w:rPr>
              <w:tab/>
            </w:r>
            <w:r w:rsidR="007030C4">
              <w:rPr>
                <w:noProof/>
                <w:webHidden/>
              </w:rPr>
              <w:fldChar w:fldCharType="begin"/>
            </w:r>
            <w:r w:rsidR="007030C4">
              <w:rPr>
                <w:noProof/>
                <w:webHidden/>
              </w:rPr>
              <w:instrText xml:space="preserve"> PAGEREF _Toc524538388 \h </w:instrText>
            </w:r>
            <w:r w:rsidR="007030C4">
              <w:rPr>
                <w:noProof/>
                <w:webHidden/>
              </w:rPr>
            </w:r>
            <w:r w:rsidR="007030C4">
              <w:rPr>
                <w:noProof/>
                <w:webHidden/>
              </w:rPr>
              <w:fldChar w:fldCharType="separate"/>
            </w:r>
            <w:r w:rsidR="007030C4">
              <w:rPr>
                <w:noProof/>
                <w:webHidden/>
              </w:rPr>
              <w:t>2</w:t>
            </w:r>
            <w:r w:rsidR="007030C4">
              <w:rPr>
                <w:noProof/>
                <w:webHidden/>
              </w:rPr>
              <w:fldChar w:fldCharType="end"/>
            </w:r>
          </w:hyperlink>
        </w:p>
        <w:p w:rsidR="007030C4" w:rsidRDefault="00350791" w:rsidP="00711540">
          <w:pPr>
            <w:pStyle w:val="TOC2"/>
            <w:rPr>
              <w:rFonts w:asciiTheme="minorHAnsi" w:eastAsiaTheme="minorEastAsia" w:hAnsiTheme="minorHAnsi" w:cstheme="minorBidi"/>
              <w:smallCaps/>
              <w:noProof/>
              <w:sz w:val="22"/>
              <w:szCs w:val="22"/>
              <w:lang w:eastAsia="es-ES_tradnl"/>
            </w:rPr>
          </w:pPr>
          <w:hyperlink w:anchor="_Toc524538389" w:history="1">
            <w:r w:rsidR="007030C4" w:rsidRPr="00B63D57">
              <w:rPr>
                <w:rStyle w:val="Hyperlink"/>
                <w:noProof/>
                <w:snapToGrid w:val="0"/>
                <w:lang w:eastAsia="ja-JP"/>
              </w:rPr>
              <w:t>Grupo de Trabajo Técnico sobre Automatización y Programas Informáticos</w:t>
            </w:r>
            <w:r w:rsidR="007030C4">
              <w:rPr>
                <w:noProof/>
                <w:webHidden/>
              </w:rPr>
              <w:tab/>
            </w:r>
            <w:r w:rsidR="007030C4">
              <w:rPr>
                <w:noProof/>
                <w:webHidden/>
              </w:rPr>
              <w:fldChar w:fldCharType="begin"/>
            </w:r>
            <w:r w:rsidR="007030C4">
              <w:rPr>
                <w:noProof/>
                <w:webHidden/>
              </w:rPr>
              <w:instrText xml:space="preserve"> PAGEREF _Toc524538389 \h </w:instrText>
            </w:r>
            <w:r w:rsidR="007030C4">
              <w:rPr>
                <w:noProof/>
                <w:webHidden/>
              </w:rPr>
            </w:r>
            <w:r w:rsidR="007030C4">
              <w:rPr>
                <w:noProof/>
                <w:webHidden/>
              </w:rPr>
              <w:fldChar w:fldCharType="separate"/>
            </w:r>
            <w:r w:rsidR="007030C4">
              <w:rPr>
                <w:noProof/>
                <w:webHidden/>
              </w:rPr>
              <w:t>2</w:t>
            </w:r>
            <w:r w:rsidR="007030C4">
              <w:rPr>
                <w:noProof/>
                <w:webHidden/>
              </w:rPr>
              <w:fldChar w:fldCharType="end"/>
            </w:r>
          </w:hyperlink>
        </w:p>
        <w:p w:rsidR="007030C4" w:rsidRDefault="00350791" w:rsidP="00CE6AF3">
          <w:pPr>
            <w:pStyle w:val="TOC1"/>
            <w:rPr>
              <w:rFonts w:asciiTheme="minorHAnsi" w:eastAsiaTheme="minorEastAsia" w:hAnsiTheme="minorHAnsi" w:cstheme="minorBidi"/>
              <w:caps/>
              <w:noProof/>
              <w:sz w:val="22"/>
              <w:szCs w:val="22"/>
              <w:lang w:eastAsia="es-ES_tradnl"/>
            </w:rPr>
          </w:pPr>
          <w:hyperlink w:anchor="_Toc524538390" w:history="1">
            <w:r w:rsidR="007030C4" w:rsidRPr="00B63D57">
              <w:rPr>
                <w:rStyle w:val="Hyperlink"/>
                <w:noProof/>
                <w:lang w:eastAsia="ja-JP"/>
              </w:rPr>
              <w:t>NOVEDADES ACAECIDAS EN 2018</w:t>
            </w:r>
            <w:r w:rsidR="007030C4">
              <w:rPr>
                <w:noProof/>
                <w:webHidden/>
              </w:rPr>
              <w:tab/>
            </w:r>
            <w:r w:rsidR="007030C4">
              <w:rPr>
                <w:noProof/>
                <w:webHidden/>
              </w:rPr>
              <w:fldChar w:fldCharType="begin"/>
            </w:r>
            <w:r w:rsidR="007030C4">
              <w:rPr>
                <w:noProof/>
                <w:webHidden/>
              </w:rPr>
              <w:instrText xml:space="preserve"> PAGEREF _Toc524538390 \h </w:instrText>
            </w:r>
            <w:r w:rsidR="007030C4">
              <w:rPr>
                <w:noProof/>
                <w:webHidden/>
              </w:rPr>
            </w:r>
            <w:r w:rsidR="007030C4">
              <w:rPr>
                <w:noProof/>
                <w:webHidden/>
              </w:rPr>
              <w:fldChar w:fldCharType="separate"/>
            </w:r>
            <w:r w:rsidR="007030C4">
              <w:rPr>
                <w:noProof/>
                <w:webHidden/>
              </w:rPr>
              <w:t>2</w:t>
            </w:r>
            <w:r w:rsidR="007030C4">
              <w:rPr>
                <w:noProof/>
                <w:webHidden/>
              </w:rPr>
              <w:fldChar w:fldCharType="end"/>
            </w:r>
          </w:hyperlink>
        </w:p>
        <w:p w:rsidR="00C64B27" w:rsidRPr="00CB3A47" w:rsidRDefault="00BB55FF" w:rsidP="00C64B27">
          <w:pPr>
            <w:rPr>
              <w:noProof/>
              <w:snapToGrid w:val="0"/>
            </w:rPr>
          </w:pPr>
          <w:r w:rsidRPr="00CB3A47">
            <w:rPr>
              <w:b/>
              <w:bCs/>
              <w:noProof/>
              <w:sz w:val="18"/>
            </w:rPr>
            <w:fldChar w:fldCharType="end"/>
          </w:r>
        </w:p>
      </w:sdtContent>
    </w:sdt>
    <w:p w:rsidR="00C64B27" w:rsidRPr="004034A4" w:rsidRDefault="00CA3F28" w:rsidP="00C64B27">
      <w:pPr>
        <w:keepNext/>
        <w:ind w:left="1134" w:hanging="1134"/>
        <w:rPr>
          <w:sz w:val="18"/>
          <w:szCs w:val="18"/>
        </w:rPr>
      </w:pPr>
      <w:r w:rsidRPr="00611282">
        <w:rPr>
          <w:sz w:val="18"/>
          <w:szCs w:val="18"/>
        </w:rPr>
        <w:t>ANEXO</w:t>
      </w:r>
      <w:r w:rsidR="00C64B27" w:rsidRPr="004034A4">
        <w:rPr>
          <w:sz w:val="18"/>
          <w:szCs w:val="18"/>
        </w:rPr>
        <w:tab/>
      </w:r>
      <w:r w:rsidR="00611282" w:rsidRPr="00611282">
        <w:rPr>
          <w:sz w:val="18"/>
          <w:szCs w:val="18"/>
        </w:rPr>
        <w:t>DETERMINACIÓN DE UMBRALES PARA EXCLUIR LAS VARIEDADES NOTORIAMENTE CONOCIDAS DEL SEGUNDO CICLO DE CULTIVO CUANDO SE EMPLEA EL COYD</w:t>
      </w:r>
      <w:r w:rsidR="00C64B27" w:rsidRPr="004034A4">
        <w:rPr>
          <w:sz w:val="18"/>
          <w:szCs w:val="18"/>
        </w:rPr>
        <w:t xml:space="preserve"> </w:t>
      </w:r>
    </w:p>
    <w:p w:rsidR="00C64B27" w:rsidRPr="004034A4" w:rsidRDefault="00C64B27" w:rsidP="00C64B27">
      <w:pPr>
        <w:keepNext/>
      </w:pPr>
    </w:p>
    <w:p w:rsidR="00C64B27" w:rsidRPr="004034A4" w:rsidRDefault="00BB55FF" w:rsidP="00C64B27">
      <w:pPr>
        <w:keepNext/>
        <w:rPr>
          <w:rFonts w:cs="Arial"/>
          <w:color w:val="000000"/>
        </w:rPr>
      </w:pPr>
      <w:r w:rsidRPr="00CB3A47">
        <w:fldChar w:fldCharType="begin"/>
      </w:r>
      <w:r w:rsidR="00C64B27" w:rsidRPr="004034A4">
        <w:instrText xml:space="preserve"> AUTONUM  </w:instrText>
      </w:r>
      <w:r w:rsidRPr="00CB3A47">
        <w:fldChar w:fldCharType="end"/>
      </w:r>
      <w:r w:rsidR="00C64B27" w:rsidRPr="004034A4">
        <w:tab/>
      </w:r>
      <w:r w:rsidR="00CF34FE" w:rsidRPr="00611282">
        <w:rPr>
          <w:rFonts w:cs="Arial"/>
          <w:color w:val="000000"/>
        </w:rPr>
        <w:t>En el presente documento se utilizan las abreviaturas siguientes:</w:t>
      </w:r>
    </w:p>
    <w:p w:rsidR="00C64B27" w:rsidRPr="004034A4" w:rsidRDefault="00C64B27" w:rsidP="00C64B27">
      <w:pPr>
        <w:keepNext/>
        <w:rPr>
          <w:rFonts w:cs="Arial"/>
          <w:color w:val="000000"/>
        </w:rPr>
      </w:pPr>
    </w:p>
    <w:p w:rsidR="00C64B27" w:rsidRPr="004034A4" w:rsidRDefault="00C64B27" w:rsidP="00C64B27">
      <w:pPr>
        <w:keepNext/>
        <w:rPr>
          <w:rFonts w:cs="Arial"/>
        </w:rPr>
      </w:pPr>
      <w:r w:rsidRPr="004034A4">
        <w:rPr>
          <w:rFonts w:cs="Arial"/>
        </w:rPr>
        <w:tab/>
      </w:r>
      <w:r w:rsidR="00CF34FE" w:rsidRPr="00611282">
        <w:rPr>
          <w:rFonts w:cs="Arial"/>
        </w:rPr>
        <w:t>TC:</w:t>
      </w:r>
      <w:r w:rsidRPr="004034A4">
        <w:rPr>
          <w:rFonts w:cs="Arial"/>
        </w:rPr>
        <w:tab/>
      </w:r>
      <w:r w:rsidRPr="004034A4">
        <w:rPr>
          <w:rFonts w:cs="Arial"/>
        </w:rPr>
        <w:tab/>
      </w:r>
      <w:r w:rsidR="00CF34FE" w:rsidRPr="00611282">
        <w:rPr>
          <w:rFonts w:cs="Arial"/>
        </w:rPr>
        <w:t>Comité Técnico</w:t>
      </w:r>
    </w:p>
    <w:p w:rsidR="00C64B27" w:rsidRPr="004034A4" w:rsidRDefault="00C64B27" w:rsidP="00C64B27">
      <w:pPr>
        <w:keepNext/>
        <w:rPr>
          <w:rFonts w:eastAsia="PMingLiU" w:cs="Arial"/>
          <w:szCs w:val="24"/>
        </w:rPr>
      </w:pPr>
      <w:r w:rsidRPr="004034A4">
        <w:rPr>
          <w:rFonts w:eastAsia="PMingLiU" w:cs="Arial"/>
          <w:szCs w:val="24"/>
        </w:rPr>
        <w:tab/>
      </w:r>
      <w:r w:rsidR="00CF34FE" w:rsidRPr="00611282">
        <w:rPr>
          <w:rFonts w:eastAsia="PMingLiU" w:cs="Arial"/>
          <w:szCs w:val="24"/>
        </w:rPr>
        <w:t>TWC:</w:t>
      </w:r>
      <w:r w:rsidRPr="004034A4">
        <w:rPr>
          <w:rFonts w:eastAsia="PMingLiU" w:cs="Arial"/>
          <w:szCs w:val="24"/>
        </w:rPr>
        <w:tab/>
      </w:r>
      <w:r w:rsidRPr="004034A4">
        <w:rPr>
          <w:rFonts w:eastAsia="PMingLiU" w:cs="Arial"/>
          <w:szCs w:val="24"/>
        </w:rPr>
        <w:tab/>
      </w:r>
      <w:r w:rsidR="00CF34FE" w:rsidRPr="00611282">
        <w:rPr>
          <w:rFonts w:eastAsia="PMingLiU" w:cs="Arial"/>
          <w:szCs w:val="24"/>
        </w:rPr>
        <w:t>Grupo de Trabajo Técnico sobre Automatización y Programas Informáticos</w:t>
      </w:r>
    </w:p>
    <w:p w:rsidR="00C64B27" w:rsidRPr="004034A4" w:rsidRDefault="00C64B27" w:rsidP="00C64B27"/>
    <w:p w:rsidR="00D52DB9" w:rsidRDefault="00D52DB9" w:rsidP="00C64B27">
      <w:r>
        <w:br w:type="page"/>
      </w:r>
    </w:p>
    <w:p w:rsidR="00C64B27" w:rsidRPr="004034A4" w:rsidRDefault="00CF34FE" w:rsidP="00C64B27">
      <w:pPr>
        <w:pStyle w:val="Heading1"/>
        <w:rPr>
          <w:lang w:val="es-ES_tradnl" w:eastAsia="ja-JP"/>
        </w:rPr>
      </w:pPr>
      <w:bookmarkStart w:id="3" w:name="_Toc524538386"/>
      <w:r w:rsidRPr="00611282">
        <w:rPr>
          <w:lang w:val="es-ES_tradnl" w:eastAsia="ja-JP"/>
        </w:rPr>
        <w:lastRenderedPageBreak/>
        <w:t>ANTECEDENTES</w:t>
      </w:r>
      <w:bookmarkEnd w:id="3"/>
    </w:p>
    <w:p w:rsidR="00C64B27" w:rsidRPr="004034A4" w:rsidRDefault="00C64B27" w:rsidP="00C64B27">
      <w:pPr>
        <w:tabs>
          <w:tab w:val="left" w:pos="567"/>
        </w:tabs>
        <w:autoSpaceDE w:val="0"/>
        <w:autoSpaceDN w:val="0"/>
        <w:adjustRightInd w:val="0"/>
        <w:rPr>
          <w:lang w:eastAsia="ja-JP"/>
        </w:rPr>
      </w:pPr>
    </w:p>
    <w:p w:rsidR="00C64B27" w:rsidRPr="004034A4" w:rsidRDefault="00BB55FF" w:rsidP="00C64B27">
      <w:pPr>
        <w:keepNext/>
        <w:rPr>
          <w:rFonts w:eastAsiaTheme="minorEastAsia"/>
          <w:lang w:eastAsia="ja-JP"/>
        </w:rPr>
      </w:pPr>
      <w:r>
        <w:fldChar w:fldCharType="begin"/>
      </w:r>
      <w:r w:rsidR="00C64B27" w:rsidRPr="004034A4">
        <w:instrText xml:space="preserve"> AUTONUM  </w:instrText>
      </w:r>
      <w:r>
        <w:fldChar w:fldCharType="end"/>
      </w:r>
      <w:r w:rsidR="00C64B27" w:rsidRPr="004034A4">
        <w:tab/>
      </w:r>
      <w:r w:rsidR="00CF34FE" w:rsidRPr="001E4869">
        <w:rPr>
          <w:rFonts w:eastAsiaTheme="minorEastAsia"/>
          <w:lang w:eastAsia="ja-JP"/>
        </w:rPr>
        <w:t xml:space="preserve">Los antecedentes de este asunto figuran en los </w:t>
      </w:r>
      <w:r w:rsidR="00CF34FE" w:rsidRPr="001E4869">
        <w:rPr>
          <w:lang w:eastAsia="ja-JP"/>
        </w:rPr>
        <w:t>párrafos</w:t>
      </w:r>
      <w:r w:rsidR="00611282" w:rsidRPr="001E4869">
        <w:rPr>
          <w:lang w:eastAsia="ja-JP"/>
        </w:rPr>
        <w:t> 9</w:t>
      </w:r>
      <w:r w:rsidR="00CF34FE" w:rsidRPr="001E4869">
        <w:rPr>
          <w:lang w:eastAsia="ja-JP"/>
        </w:rPr>
        <w:t xml:space="preserve"> a</w:t>
      </w:r>
      <w:r w:rsidR="00611282" w:rsidRPr="001E4869">
        <w:rPr>
          <w:lang w:eastAsia="ja-JP"/>
        </w:rPr>
        <w:t> 1</w:t>
      </w:r>
      <w:r w:rsidR="00CF34FE" w:rsidRPr="001E4869">
        <w:rPr>
          <w:lang w:eastAsia="ja-JP"/>
        </w:rPr>
        <w:t>3 d</w:t>
      </w:r>
      <w:r w:rsidR="00CF34FE" w:rsidRPr="001E4869">
        <w:rPr>
          <w:rFonts w:eastAsiaTheme="minorEastAsia"/>
          <w:lang w:eastAsia="ja-JP"/>
        </w:rPr>
        <w:t>el documento TC</w:t>
      </w:r>
      <w:r w:rsidR="00CF34FE" w:rsidRPr="001E4869">
        <w:rPr>
          <w:rFonts w:hint="eastAsia"/>
          <w:lang w:eastAsia="ja-JP"/>
        </w:rPr>
        <w:t>/</w:t>
      </w:r>
      <w:r w:rsidR="00CF34FE" w:rsidRPr="001E4869">
        <w:rPr>
          <w:lang w:eastAsia="ja-JP"/>
        </w:rPr>
        <w:t>53</w:t>
      </w:r>
      <w:r w:rsidR="00CF34FE" w:rsidRPr="001E4869">
        <w:rPr>
          <w:rFonts w:hint="eastAsia"/>
          <w:lang w:eastAsia="ja-JP"/>
        </w:rPr>
        <w:t>/</w:t>
      </w:r>
      <w:r w:rsidR="00CF34FE" w:rsidRPr="001E4869">
        <w:rPr>
          <w:lang w:eastAsia="ja-JP"/>
        </w:rPr>
        <w:t>23</w:t>
      </w:r>
      <w:r w:rsidR="00CF34FE" w:rsidRPr="001E4869">
        <w:rPr>
          <w:rFonts w:hint="eastAsia"/>
          <w:lang w:eastAsia="ja-JP"/>
        </w:rPr>
        <w:t xml:space="preserve"> </w:t>
      </w:r>
      <w:r w:rsidR="00CF34FE" w:rsidRPr="001E4869">
        <w:rPr>
          <w:lang w:eastAsia="ja-JP"/>
        </w:rPr>
        <w:t>“</w:t>
      </w:r>
      <w:r w:rsidR="00CF34FE" w:rsidRPr="001E4869">
        <w:rPr>
          <w:rFonts w:eastAsiaTheme="minorEastAsia"/>
          <w:lang w:eastAsia="ja-JP"/>
        </w:rPr>
        <w:t>Determinación de umbrales calculados para excluir las variedades notoriamente conocidas del segundo ciclo de cultivo cuando se emplea el COYD</w:t>
      </w:r>
      <w:r w:rsidR="00CF34FE" w:rsidRPr="001E4869">
        <w:rPr>
          <w:lang w:eastAsia="ja-JP"/>
        </w:rPr>
        <w:t>” y</w:t>
      </w:r>
      <w:r w:rsidR="00CF34FE" w:rsidRPr="001E4869">
        <w:rPr>
          <w:rFonts w:eastAsiaTheme="minorEastAsia" w:hint="eastAsia"/>
          <w:lang w:eastAsia="ja-JP"/>
        </w:rPr>
        <w:t xml:space="preserve"> </w:t>
      </w:r>
      <w:r w:rsidR="00CF34FE" w:rsidRPr="001E4869">
        <w:rPr>
          <w:rFonts w:eastAsiaTheme="minorEastAsia"/>
          <w:lang w:eastAsia="ja-JP"/>
        </w:rPr>
        <w:t>en el documento TC</w:t>
      </w:r>
      <w:r w:rsidR="00CF34FE" w:rsidRPr="001E4869">
        <w:rPr>
          <w:rFonts w:hint="eastAsia"/>
          <w:lang w:eastAsia="ja-JP"/>
        </w:rPr>
        <w:t>/</w:t>
      </w:r>
      <w:r w:rsidR="00CF34FE" w:rsidRPr="001E4869">
        <w:rPr>
          <w:lang w:eastAsia="ja-JP"/>
        </w:rPr>
        <w:t>53</w:t>
      </w:r>
      <w:r w:rsidR="00CF34FE" w:rsidRPr="001E4869">
        <w:rPr>
          <w:rFonts w:hint="eastAsia"/>
          <w:lang w:eastAsia="ja-JP"/>
        </w:rPr>
        <w:t>/</w:t>
      </w:r>
      <w:r w:rsidR="00CF34FE" w:rsidRPr="001E4869">
        <w:rPr>
          <w:lang w:eastAsia="ja-JP"/>
        </w:rPr>
        <w:t>23 </w:t>
      </w:r>
      <w:proofErr w:type="spellStart"/>
      <w:r w:rsidR="00CF34FE" w:rsidRPr="001E4869">
        <w:rPr>
          <w:lang w:eastAsia="ja-JP"/>
        </w:rPr>
        <w:t>Add</w:t>
      </w:r>
      <w:proofErr w:type="spellEnd"/>
      <w:r w:rsidR="00CF34FE" w:rsidRPr="001E4869">
        <w:rPr>
          <w:lang w:eastAsia="ja-JP"/>
        </w:rPr>
        <w:t>. “</w:t>
      </w:r>
      <w:proofErr w:type="spellStart"/>
      <w:r w:rsidR="00CF34FE" w:rsidRPr="004034A4">
        <w:rPr>
          <w:rFonts w:eastAsiaTheme="minorEastAsia"/>
          <w:i/>
          <w:lang w:eastAsia="ja-JP"/>
        </w:rPr>
        <w:t>Addendum</w:t>
      </w:r>
      <w:proofErr w:type="spellEnd"/>
      <w:r w:rsidR="00CF34FE" w:rsidRPr="004034A4">
        <w:rPr>
          <w:rFonts w:eastAsiaTheme="minorEastAsia"/>
          <w:i/>
          <w:lang w:eastAsia="ja-JP"/>
        </w:rPr>
        <w:t xml:space="preserve"> to </w:t>
      </w:r>
      <w:proofErr w:type="spellStart"/>
      <w:r w:rsidR="00CF34FE" w:rsidRPr="004034A4">
        <w:rPr>
          <w:rFonts w:eastAsiaTheme="minorEastAsia"/>
          <w:i/>
          <w:lang w:eastAsia="ja-JP"/>
        </w:rPr>
        <w:t>document</w:t>
      </w:r>
      <w:proofErr w:type="spellEnd"/>
      <w:r w:rsidR="00CF34FE" w:rsidRPr="004034A4">
        <w:rPr>
          <w:rFonts w:eastAsiaTheme="minorEastAsia"/>
          <w:i/>
          <w:lang w:eastAsia="ja-JP"/>
        </w:rPr>
        <w:t xml:space="preserve"> </w:t>
      </w:r>
      <w:r w:rsidR="00CF34FE" w:rsidRPr="004034A4">
        <w:rPr>
          <w:i/>
          <w:lang w:eastAsia="ja-JP"/>
        </w:rPr>
        <w:t>TC/53/23</w:t>
      </w:r>
      <w:r w:rsidR="00CF34FE" w:rsidRPr="001E4869">
        <w:rPr>
          <w:lang w:eastAsia="ja-JP"/>
        </w:rPr>
        <w:t>” (Adición al documento TC/53/23)</w:t>
      </w:r>
      <w:r w:rsidR="00CF34FE" w:rsidRPr="001E4869">
        <w:rPr>
          <w:rFonts w:eastAsiaTheme="minorEastAsia" w:hint="eastAsia"/>
          <w:lang w:eastAsia="ja-JP"/>
        </w:rPr>
        <w:t>.</w:t>
      </w:r>
    </w:p>
    <w:p w:rsidR="00C64B27" w:rsidRPr="004034A4" w:rsidRDefault="00C64B27" w:rsidP="00C64B27">
      <w:pPr>
        <w:tabs>
          <w:tab w:val="left" w:pos="567"/>
        </w:tabs>
        <w:autoSpaceDE w:val="0"/>
        <w:autoSpaceDN w:val="0"/>
        <w:adjustRightInd w:val="0"/>
        <w:rPr>
          <w:lang w:eastAsia="ja-JP"/>
        </w:rPr>
      </w:pPr>
    </w:p>
    <w:p w:rsidR="00C64B27" w:rsidRPr="004034A4" w:rsidRDefault="00C64B27" w:rsidP="00C64B27">
      <w:pPr>
        <w:tabs>
          <w:tab w:val="left" w:pos="567"/>
        </w:tabs>
        <w:autoSpaceDE w:val="0"/>
        <w:autoSpaceDN w:val="0"/>
        <w:adjustRightInd w:val="0"/>
        <w:rPr>
          <w:lang w:eastAsia="ja-JP"/>
        </w:rPr>
      </w:pPr>
    </w:p>
    <w:p w:rsidR="00C64B27" w:rsidRPr="004034A4" w:rsidRDefault="00CF34FE" w:rsidP="00C64B27">
      <w:pPr>
        <w:pStyle w:val="Heading1"/>
        <w:rPr>
          <w:lang w:val="es-ES_tradnl" w:eastAsia="ja-JP"/>
        </w:rPr>
      </w:pPr>
      <w:bookmarkStart w:id="4" w:name="_Toc524538387"/>
      <w:r w:rsidRPr="001E4869">
        <w:rPr>
          <w:lang w:val="es-ES_tradnl" w:eastAsia="ja-JP"/>
        </w:rPr>
        <w:t>NOVEDADES ACAECIDAS EN</w:t>
      </w:r>
      <w:r w:rsidR="00611282" w:rsidRPr="001E4869">
        <w:rPr>
          <w:lang w:val="es-ES_tradnl" w:eastAsia="ja-JP"/>
        </w:rPr>
        <w:t> 2</w:t>
      </w:r>
      <w:r w:rsidRPr="001E4869">
        <w:rPr>
          <w:lang w:val="es-ES_tradnl" w:eastAsia="ja-JP"/>
        </w:rPr>
        <w:t>017</w:t>
      </w:r>
      <w:bookmarkEnd w:id="4"/>
    </w:p>
    <w:p w:rsidR="00C64B27" w:rsidRPr="004034A4" w:rsidRDefault="00C64B27" w:rsidP="00C64B27">
      <w:pPr>
        <w:keepNext/>
        <w:rPr>
          <w:snapToGrid w:val="0"/>
          <w:color w:val="000000"/>
          <w:lang w:eastAsia="ja-JP"/>
        </w:rPr>
      </w:pPr>
    </w:p>
    <w:p w:rsidR="00C64B27" w:rsidRPr="004034A4" w:rsidRDefault="00CF34FE" w:rsidP="00C64B27">
      <w:pPr>
        <w:pStyle w:val="Heading2"/>
        <w:rPr>
          <w:rFonts w:eastAsiaTheme="minorEastAsia"/>
          <w:snapToGrid w:val="0"/>
          <w:lang w:val="es-ES_tradnl" w:eastAsia="ja-JP"/>
        </w:rPr>
      </w:pPr>
      <w:bookmarkStart w:id="5" w:name="_Toc524538388"/>
      <w:r w:rsidRPr="001E4869">
        <w:rPr>
          <w:rFonts w:eastAsiaTheme="minorEastAsia"/>
          <w:snapToGrid w:val="0"/>
          <w:lang w:val="es-ES_tradnl" w:eastAsia="ja-JP"/>
        </w:rPr>
        <w:t>Comité Técnico</w:t>
      </w:r>
      <w:bookmarkEnd w:id="5"/>
    </w:p>
    <w:p w:rsidR="00C64B27" w:rsidRPr="004034A4" w:rsidRDefault="00C64B27" w:rsidP="00C64B27">
      <w:pPr>
        <w:ind w:left="567" w:hanging="567"/>
        <w:rPr>
          <w:rFonts w:cs="Arial"/>
          <w:snapToGrid w:val="0"/>
        </w:rPr>
      </w:pPr>
    </w:p>
    <w:p w:rsidR="00C64B27" w:rsidRPr="004034A4" w:rsidRDefault="00BB55FF" w:rsidP="00C64B27">
      <w:pPr>
        <w:rPr>
          <w:snapToGrid w:val="0"/>
        </w:rPr>
      </w:pPr>
      <w:r w:rsidRPr="00E85BE6">
        <w:fldChar w:fldCharType="begin"/>
      </w:r>
      <w:r w:rsidR="00C64B27" w:rsidRPr="004034A4">
        <w:instrText xml:space="preserve"> AUTONUM  </w:instrText>
      </w:r>
      <w:r w:rsidRPr="00E85BE6">
        <w:fldChar w:fldCharType="end"/>
      </w:r>
      <w:r w:rsidR="00C64B27" w:rsidRPr="004034A4">
        <w:tab/>
      </w:r>
      <w:r w:rsidR="00CF34FE" w:rsidRPr="001E4869">
        <w:rPr>
          <w:snapToGrid w:val="0"/>
        </w:rPr>
        <w:t>En su quincuagésima tercera sesión</w:t>
      </w:r>
      <w:r w:rsidR="00611282" w:rsidRPr="001E4869">
        <w:rPr>
          <w:snapToGrid w:val="0"/>
        </w:rPr>
        <w:t xml:space="preserve">, </w:t>
      </w:r>
      <w:r w:rsidR="00CF34FE" w:rsidRPr="001E4869">
        <w:rPr>
          <w:snapToGrid w:val="0"/>
        </w:rPr>
        <w:t>celebrada en Ginebra del</w:t>
      </w:r>
      <w:r w:rsidR="00611282" w:rsidRPr="001E4869">
        <w:rPr>
          <w:snapToGrid w:val="0"/>
        </w:rPr>
        <w:t> 3</w:t>
      </w:r>
      <w:r w:rsidR="00CF34FE" w:rsidRPr="001E4869">
        <w:rPr>
          <w:snapToGrid w:val="0"/>
        </w:rPr>
        <w:t xml:space="preserve"> al</w:t>
      </w:r>
      <w:r w:rsidR="00611282" w:rsidRPr="001E4869">
        <w:rPr>
          <w:snapToGrid w:val="0"/>
        </w:rPr>
        <w:t> 5</w:t>
      </w:r>
      <w:r w:rsidR="00CF34FE" w:rsidRPr="001E4869">
        <w:rPr>
          <w:snapToGrid w:val="0"/>
        </w:rPr>
        <w:t xml:space="preserve"> de abril de</w:t>
      </w:r>
      <w:r w:rsidR="00611282" w:rsidRPr="001E4869">
        <w:rPr>
          <w:snapToGrid w:val="0"/>
        </w:rPr>
        <w:t> </w:t>
      </w:r>
      <w:r w:rsidR="00611282" w:rsidRPr="00430E92">
        <w:rPr>
          <w:snapToGrid w:val="0"/>
        </w:rPr>
        <w:t>2</w:t>
      </w:r>
      <w:r w:rsidR="00CF34FE" w:rsidRPr="00430E92">
        <w:rPr>
          <w:snapToGrid w:val="0"/>
        </w:rPr>
        <w:t>01</w:t>
      </w:r>
      <w:r w:rsidR="00430E92" w:rsidRPr="00430E92">
        <w:rPr>
          <w:snapToGrid w:val="0"/>
        </w:rPr>
        <w:t>5</w:t>
      </w:r>
      <w:r w:rsidR="00611282" w:rsidRPr="001E4869">
        <w:rPr>
          <w:snapToGrid w:val="0"/>
        </w:rPr>
        <w:t xml:space="preserve">, </w:t>
      </w:r>
      <w:r w:rsidR="00CF34FE" w:rsidRPr="001E4869">
        <w:rPr>
          <w:snapToGrid w:val="0"/>
        </w:rPr>
        <w:t>el TC examinó el documento TC/53/23 “Determinación de umbrales calculados para excluir las variedades notoriamente conocidas del segundo ciclo de cultivo cuando se emplea el COYD” (véanse los párrafos</w:t>
      </w:r>
      <w:r w:rsidR="00611282" w:rsidRPr="001E4869">
        <w:rPr>
          <w:snapToGrid w:val="0"/>
        </w:rPr>
        <w:t> 1</w:t>
      </w:r>
      <w:r w:rsidR="00CF34FE" w:rsidRPr="001E4869">
        <w:rPr>
          <w:snapToGrid w:val="0"/>
        </w:rPr>
        <w:t xml:space="preserve">90 </w:t>
      </w:r>
      <w:r w:rsidR="00FB1E99" w:rsidRPr="001E4869">
        <w:rPr>
          <w:snapToGrid w:val="0"/>
        </w:rPr>
        <w:t>a</w:t>
      </w:r>
      <w:r w:rsidR="00611282" w:rsidRPr="001E4869">
        <w:rPr>
          <w:snapToGrid w:val="0"/>
        </w:rPr>
        <w:t> 1</w:t>
      </w:r>
      <w:r w:rsidR="00CF34FE" w:rsidRPr="001E4869">
        <w:rPr>
          <w:snapToGrid w:val="0"/>
        </w:rPr>
        <w:t>92 del documento TC/53/31</w:t>
      </w:r>
      <w:r w:rsidR="00FB1E99" w:rsidRPr="001E4869">
        <w:rPr>
          <w:snapToGrid w:val="0"/>
        </w:rPr>
        <w:t xml:space="preserve"> “Informe”</w:t>
      </w:r>
      <w:r w:rsidR="00CF34FE" w:rsidRPr="001E4869">
        <w:rPr>
          <w:snapToGrid w:val="0"/>
        </w:rPr>
        <w:t>).</w:t>
      </w:r>
    </w:p>
    <w:p w:rsidR="00C64B27" w:rsidRPr="004034A4" w:rsidRDefault="00C64B27" w:rsidP="00C64B27">
      <w:pPr>
        <w:rPr>
          <w:lang w:eastAsia="ja-JP"/>
        </w:rPr>
      </w:pPr>
    </w:p>
    <w:p w:rsidR="00C64B27" w:rsidRPr="004034A4" w:rsidRDefault="00BB55FF" w:rsidP="00C64B27">
      <w:pPr>
        <w:rPr>
          <w:lang w:eastAsia="ja-JP"/>
        </w:rPr>
      </w:pPr>
      <w:r w:rsidRPr="00D51062">
        <w:rPr>
          <w:lang w:eastAsia="ja-JP"/>
        </w:rPr>
        <w:fldChar w:fldCharType="begin"/>
      </w:r>
      <w:r w:rsidR="00C64B27" w:rsidRPr="004034A4">
        <w:rPr>
          <w:lang w:eastAsia="ja-JP"/>
        </w:rPr>
        <w:instrText xml:space="preserve"> AUTONUM  </w:instrText>
      </w:r>
      <w:r w:rsidRPr="00D51062">
        <w:rPr>
          <w:lang w:eastAsia="ja-JP"/>
        </w:rPr>
        <w:fldChar w:fldCharType="end"/>
      </w:r>
      <w:r w:rsidR="00C64B27" w:rsidRPr="004034A4">
        <w:rPr>
          <w:lang w:eastAsia="ja-JP"/>
        </w:rPr>
        <w:tab/>
      </w:r>
      <w:r w:rsidR="00FB1E99" w:rsidRPr="001E4869">
        <w:rPr>
          <w:lang w:eastAsia="ja-JP"/>
        </w:rPr>
        <w:t>El TC asistió a una ponencia de los expertos del Reino Unido sobre la exclusión de las variedades notoriamente conocidas del segundo ciclo de cultivo cuando se utiliza el COYD</w:t>
      </w:r>
      <w:r w:rsidR="00611282" w:rsidRPr="001E4869">
        <w:rPr>
          <w:lang w:eastAsia="ja-JP"/>
        </w:rPr>
        <w:t xml:space="preserve">, </w:t>
      </w:r>
      <w:r w:rsidR="00FB1E99" w:rsidRPr="001E4869">
        <w:rPr>
          <w:lang w:eastAsia="ja-JP"/>
        </w:rPr>
        <w:t>que se reproduce en el documento TC/53/23 </w:t>
      </w:r>
      <w:proofErr w:type="spellStart"/>
      <w:r w:rsidR="00FB1E99" w:rsidRPr="001E4869">
        <w:rPr>
          <w:lang w:eastAsia="ja-JP"/>
        </w:rPr>
        <w:t>Add</w:t>
      </w:r>
      <w:proofErr w:type="spellEnd"/>
      <w:r w:rsidR="00FB1E99" w:rsidRPr="001E4869">
        <w:rPr>
          <w:lang w:eastAsia="ja-JP"/>
        </w:rPr>
        <w:t>.</w:t>
      </w:r>
      <w:r w:rsidR="00C64B27" w:rsidRPr="004034A4">
        <w:rPr>
          <w:lang w:eastAsia="ja-JP"/>
        </w:rPr>
        <w:t xml:space="preserve"> </w:t>
      </w:r>
    </w:p>
    <w:p w:rsidR="00C64B27" w:rsidRPr="004034A4" w:rsidRDefault="00C64B27" w:rsidP="00C64B27">
      <w:pPr>
        <w:rPr>
          <w:lang w:eastAsia="ja-JP"/>
        </w:rPr>
      </w:pPr>
    </w:p>
    <w:p w:rsidR="00C64B27" w:rsidRPr="004034A4" w:rsidRDefault="00BB55FF" w:rsidP="00C64B27">
      <w:pPr>
        <w:rPr>
          <w:lang w:eastAsia="ja-JP"/>
        </w:rPr>
      </w:pPr>
      <w:r w:rsidRPr="00D51062">
        <w:rPr>
          <w:lang w:eastAsia="ja-JP"/>
        </w:rPr>
        <w:fldChar w:fldCharType="begin"/>
      </w:r>
      <w:r w:rsidR="00C64B27" w:rsidRPr="004034A4">
        <w:rPr>
          <w:lang w:eastAsia="ja-JP"/>
        </w:rPr>
        <w:instrText xml:space="preserve"> AUTONUM  </w:instrText>
      </w:r>
      <w:r w:rsidRPr="00D51062">
        <w:rPr>
          <w:lang w:eastAsia="ja-JP"/>
        </w:rPr>
        <w:fldChar w:fldCharType="end"/>
      </w:r>
      <w:r w:rsidR="00C64B27" w:rsidRPr="004034A4">
        <w:rPr>
          <w:lang w:eastAsia="ja-JP"/>
        </w:rPr>
        <w:tab/>
      </w:r>
      <w:r w:rsidR="00FB1E99" w:rsidRPr="001E4869">
        <w:rPr>
          <w:lang w:eastAsia="ja-JP"/>
        </w:rPr>
        <w:t>El TC tomó nota de que</w:t>
      </w:r>
      <w:r w:rsidR="00611282" w:rsidRPr="001E4869">
        <w:rPr>
          <w:lang w:eastAsia="ja-JP"/>
        </w:rPr>
        <w:t xml:space="preserve">, </w:t>
      </w:r>
      <w:r w:rsidR="00FB1E99" w:rsidRPr="001E4869">
        <w:rPr>
          <w:lang w:eastAsia="ja-JP"/>
        </w:rPr>
        <w:t>en su trigésima quinta reunión</w:t>
      </w:r>
      <w:r w:rsidR="00611282" w:rsidRPr="001E4869">
        <w:rPr>
          <w:lang w:eastAsia="ja-JP"/>
        </w:rPr>
        <w:t xml:space="preserve">, </w:t>
      </w:r>
      <w:r w:rsidR="00FB1E99" w:rsidRPr="001E4869">
        <w:rPr>
          <w:lang w:eastAsia="ja-JP"/>
        </w:rPr>
        <w:t>se notificarían al TWC los nuevos avances producidos en relación con la determinación de umbrales calculados para excluir las variedades notoriamente conocidas del segundo ciclo de cultivo cuando se emplea el COYD.</w:t>
      </w:r>
    </w:p>
    <w:p w:rsidR="00C64B27" w:rsidRPr="004034A4" w:rsidRDefault="00C64B27" w:rsidP="00C64B27">
      <w:pPr>
        <w:keepNext/>
        <w:rPr>
          <w:snapToGrid w:val="0"/>
          <w:color w:val="000000"/>
          <w:lang w:eastAsia="ja-JP"/>
        </w:rPr>
      </w:pPr>
    </w:p>
    <w:p w:rsidR="00C64B27" w:rsidRPr="004034A4" w:rsidRDefault="007B5B6B" w:rsidP="00C64B27">
      <w:pPr>
        <w:pStyle w:val="Heading2"/>
        <w:rPr>
          <w:rFonts w:eastAsiaTheme="minorEastAsia"/>
          <w:snapToGrid w:val="0"/>
          <w:lang w:val="es-ES_tradnl" w:eastAsia="ja-JP"/>
        </w:rPr>
      </w:pPr>
      <w:bookmarkStart w:id="6" w:name="_Toc524538389"/>
      <w:r w:rsidRPr="001E4869">
        <w:rPr>
          <w:rFonts w:eastAsiaTheme="minorEastAsia"/>
          <w:snapToGrid w:val="0"/>
          <w:lang w:val="es-ES_tradnl" w:eastAsia="ja-JP"/>
        </w:rPr>
        <w:t>Grupo de Trabajo Técnico sobre Automatización y Programas Informáticos</w:t>
      </w:r>
      <w:bookmarkEnd w:id="6"/>
    </w:p>
    <w:p w:rsidR="00C64B27" w:rsidRPr="004034A4" w:rsidRDefault="00C64B27" w:rsidP="00C64B27">
      <w:pPr>
        <w:keepNext/>
        <w:keepLines/>
        <w:outlineLvl w:val="0"/>
        <w:rPr>
          <w:caps/>
          <w:lang w:eastAsia="ja-JP"/>
        </w:rPr>
      </w:pPr>
    </w:p>
    <w:p w:rsidR="00C64B27" w:rsidRPr="004034A4" w:rsidRDefault="00BB55FF" w:rsidP="00C64B27">
      <w:pPr>
        <w:keepNext/>
        <w:keepLines/>
      </w:pPr>
      <w:r w:rsidRPr="005948AF">
        <w:fldChar w:fldCharType="begin"/>
      </w:r>
      <w:r w:rsidR="00C64B27" w:rsidRPr="004034A4">
        <w:instrText xml:space="preserve"> AUTONUM  </w:instrText>
      </w:r>
      <w:r w:rsidRPr="005948AF">
        <w:fldChar w:fldCharType="end"/>
      </w:r>
      <w:r w:rsidR="00C64B27" w:rsidRPr="004034A4">
        <w:tab/>
      </w:r>
      <w:r w:rsidR="007B5B6B" w:rsidRPr="001E4869">
        <w:t>En su trigésima quinta sesión</w:t>
      </w:r>
      <w:r w:rsidR="00611282" w:rsidRPr="001E4869">
        <w:t xml:space="preserve">, </w:t>
      </w:r>
      <w:r w:rsidR="007B5B6B" w:rsidRPr="001E4869">
        <w:t>celebrada en Buenos Aires (Argentina) del</w:t>
      </w:r>
      <w:r w:rsidR="00611282" w:rsidRPr="001E4869">
        <w:t> 1</w:t>
      </w:r>
      <w:r w:rsidR="007B5B6B" w:rsidRPr="001E4869">
        <w:t>4 al</w:t>
      </w:r>
      <w:r w:rsidR="00611282" w:rsidRPr="001E4869">
        <w:t> 1</w:t>
      </w:r>
      <w:r w:rsidR="007B5B6B" w:rsidRPr="001E4869">
        <w:t>7 de noviembre de</w:t>
      </w:r>
      <w:r w:rsidR="00611282" w:rsidRPr="001E4869">
        <w:t> 2</w:t>
      </w:r>
      <w:r w:rsidR="007B5B6B" w:rsidRPr="001E4869">
        <w:t>017</w:t>
      </w:r>
      <w:r w:rsidR="00611282" w:rsidRPr="001E4869">
        <w:t xml:space="preserve">, </w:t>
      </w:r>
      <w:r w:rsidR="007B5B6B" w:rsidRPr="001E4869">
        <w:t>el TWC examinó los documentos TWP/1/22 “</w:t>
      </w:r>
      <w:proofErr w:type="spellStart"/>
      <w:r w:rsidR="0053188E" w:rsidRPr="004034A4">
        <w:rPr>
          <w:i/>
        </w:rPr>
        <w:t>Development</w:t>
      </w:r>
      <w:proofErr w:type="spellEnd"/>
      <w:r w:rsidR="0053188E" w:rsidRPr="004034A4">
        <w:rPr>
          <w:i/>
        </w:rPr>
        <w:t xml:space="preserve"> of </w:t>
      </w:r>
      <w:proofErr w:type="spellStart"/>
      <w:r w:rsidR="0053188E" w:rsidRPr="004034A4">
        <w:rPr>
          <w:i/>
        </w:rPr>
        <w:t>calculated</w:t>
      </w:r>
      <w:proofErr w:type="spellEnd"/>
      <w:r w:rsidR="0053188E" w:rsidRPr="004034A4">
        <w:rPr>
          <w:i/>
        </w:rPr>
        <w:t xml:space="preserve"> </w:t>
      </w:r>
      <w:proofErr w:type="spellStart"/>
      <w:r w:rsidR="0053188E" w:rsidRPr="004034A4">
        <w:rPr>
          <w:i/>
        </w:rPr>
        <w:t>thresholds</w:t>
      </w:r>
      <w:proofErr w:type="spellEnd"/>
      <w:r w:rsidR="0053188E" w:rsidRPr="004034A4">
        <w:rPr>
          <w:i/>
        </w:rPr>
        <w:t xml:space="preserve"> </w:t>
      </w:r>
      <w:proofErr w:type="spellStart"/>
      <w:r w:rsidR="0053188E" w:rsidRPr="004034A4">
        <w:rPr>
          <w:i/>
        </w:rPr>
        <w:t>for</w:t>
      </w:r>
      <w:proofErr w:type="spellEnd"/>
      <w:r w:rsidR="0053188E" w:rsidRPr="004034A4">
        <w:rPr>
          <w:i/>
        </w:rPr>
        <w:t xml:space="preserve"> </w:t>
      </w:r>
      <w:proofErr w:type="spellStart"/>
      <w:r w:rsidR="0053188E" w:rsidRPr="004034A4">
        <w:rPr>
          <w:i/>
        </w:rPr>
        <w:t>excluding</w:t>
      </w:r>
      <w:proofErr w:type="spellEnd"/>
      <w:r w:rsidR="0053188E" w:rsidRPr="004034A4">
        <w:rPr>
          <w:i/>
        </w:rPr>
        <w:t xml:space="preserve"> </w:t>
      </w:r>
      <w:proofErr w:type="spellStart"/>
      <w:r w:rsidR="0053188E" w:rsidRPr="004034A4">
        <w:rPr>
          <w:i/>
        </w:rPr>
        <w:t>varieties</w:t>
      </w:r>
      <w:proofErr w:type="spellEnd"/>
      <w:r w:rsidR="0053188E" w:rsidRPr="004034A4">
        <w:rPr>
          <w:i/>
        </w:rPr>
        <w:t xml:space="preserve"> of </w:t>
      </w:r>
      <w:proofErr w:type="spellStart"/>
      <w:r w:rsidR="0053188E" w:rsidRPr="004034A4">
        <w:rPr>
          <w:i/>
        </w:rPr>
        <w:t>common</w:t>
      </w:r>
      <w:proofErr w:type="spellEnd"/>
      <w:r w:rsidR="0053188E" w:rsidRPr="004034A4">
        <w:rPr>
          <w:i/>
        </w:rPr>
        <w:t xml:space="preserve"> </w:t>
      </w:r>
      <w:proofErr w:type="spellStart"/>
      <w:r w:rsidR="0053188E" w:rsidRPr="004034A4">
        <w:rPr>
          <w:i/>
        </w:rPr>
        <w:t>knowledge</w:t>
      </w:r>
      <w:proofErr w:type="spellEnd"/>
      <w:r w:rsidR="0053188E" w:rsidRPr="004034A4">
        <w:rPr>
          <w:i/>
        </w:rPr>
        <w:t xml:space="preserve"> </w:t>
      </w:r>
      <w:proofErr w:type="spellStart"/>
      <w:r w:rsidR="0053188E" w:rsidRPr="004034A4">
        <w:rPr>
          <w:i/>
        </w:rPr>
        <w:t>from</w:t>
      </w:r>
      <w:proofErr w:type="spellEnd"/>
      <w:r w:rsidR="0053188E" w:rsidRPr="004034A4">
        <w:rPr>
          <w:i/>
        </w:rPr>
        <w:t xml:space="preserve"> </w:t>
      </w:r>
      <w:proofErr w:type="spellStart"/>
      <w:r w:rsidR="0053188E" w:rsidRPr="004034A4">
        <w:rPr>
          <w:i/>
        </w:rPr>
        <w:t>the</w:t>
      </w:r>
      <w:proofErr w:type="spellEnd"/>
      <w:r w:rsidR="0053188E" w:rsidRPr="004034A4">
        <w:rPr>
          <w:i/>
        </w:rPr>
        <w:t xml:space="preserve"> </w:t>
      </w:r>
      <w:proofErr w:type="spellStart"/>
      <w:r w:rsidR="0053188E" w:rsidRPr="004034A4">
        <w:rPr>
          <w:i/>
        </w:rPr>
        <w:t>second</w:t>
      </w:r>
      <w:proofErr w:type="spellEnd"/>
      <w:r w:rsidR="0053188E" w:rsidRPr="004034A4">
        <w:rPr>
          <w:i/>
        </w:rPr>
        <w:t xml:space="preserve"> </w:t>
      </w:r>
      <w:proofErr w:type="spellStart"/>
      <w:r w:rsidR="0053188E" w:rsidRPr="004034A4">
        <w:rPr>
          <w:i/>
        </w:rPr>
        <w:t>growing</w:t>
      </w:r>
      <w:proofErr w:type="spellEnd"/>
      <w:r w:rsidR="0053188E" w:rsidRPr="004034A4">
        <w:rPr>
          <w:i/>
        </w:rPr>
        <w:t xml:space="preserve"> </w:t>
      </w:r>
      <w:proofErr w:type="spellStart"/>
      <w:r w:rsidR="0053188E" w:rsidRPr="004034A4">
        <w:rPr>
          <w:i/>
        </w:rPr>
        <w:t>cycle</w:t>
      </w:r>
      <w:proofErr w:type="spellEnd"/>
      <w:r w:rsidR="0053188E" w:rsidRPr="004034A4">
        <w:rPr>
          <w:i/>
        </w:rPr>
        <w:t xml:space="preserve"> </w:t>
      </w:r>
      <w:proofErr w:type="spellStart"/>
      <w:r w:rsidR="0053188E" w:rsidRPr="004034A4">
        <w:rPr>
          <w:i/>
        </w:rPr>
        <w:t>when</w:t>
      </w:r>
      <w:proofErr w:type="spellEnd"/>
      <w:r w:rsidR="0053188E" w:rsidRPr="004034A4">
        <w:rPr>
          <w:i/>
        </w:rPr>
        <w:t xml:space="preserve"> COYD </w:t>
      </w:r>
      <w:proofErr w:type="spellStart"/>
      <w:r w:rsidR="0053188E" w:rsidRPr="004034A4">
        <w:rPr>
          <w:i/>
        </w:rPr>
        <w:t>is</w:t>
      </w:r>
      <w:proofErr w:type="spellEnd"/>
      <w:r w:rsidR="0053188E" w:rsidRPr="004034A4">
        <w:rPr>
          <w:i/>
        </w:rPr>
        <w:t xml:space="preserve"> </w:t>
      </w:r>
      <w:proofErr w:type="spellStart"/>
      <w:r w:rsidR="0053188E" w:rsidRPr="004034A4">
        <w:rPr>
          <w:i/>
        </w:rPr>
        <w:t>used</w:t>
      </w:r>
      <w:proofErr w:type="spellEnd"/>
      <w:r w:rsidR="007B5B6B" w:rsidRPr="001E4869">
        <w:rPr>
          <w:snapToGrid w:val="0"/>
        </w:rPr>
        <w:t xml:space="preserve">” </w:t>
      </w:r>
      <w:r w:rsidR="0053188E" w:rsidRPr="001E4869">
        <w:rPr>
          <w:snapToGrid w:val="0"/>
        </w:rPr>
        <w:t>(</w:t>
      </w:r>
      <w:r w:rsidR="0053188E" w:rsidRPr="001E4869">
        <w:t>Determinación de umbrales calculados para excluir las variedades notoriamente conocidas del segundo ciclo de cultivo cuando se emplea el COYD</w:t>
      </w:r>
      <w:r w:rsidR="0053188E" w:rsidRPr="001E4869">
        <w:rPr>
          <w:snapToGrid w:val="0"/>
        </w:rPr>
        <w:t xml:space="preserve">) </w:t>
      </w:r>
      <w:r w:rsidR="007B5B6B" w:rsidRPr="001E4869">
        <w:t>y TWC/35/13 “</w:t>
      </w:r>
      <w:proofErr w:type="spellStart"/>
      <w:r w:rsidR="0053188E" w:rsidRPr="004034A4">
        <w:rPr>
          <w:i/>
        </w:rPr>
        <w:t>Thresholds</w:t>
      </w:r>
      <w:proofErr w:type="spellEnd"/>
      <w:r w:rsidR="0053188E" w:rsidRPr="004034A4">
        <w:rPr>
          <w:i/>
        </w:rPr>
        <w:t xml:space="preserve"> </w:t>
      </w:r>
      <w:proofErr w:type="spellStart"/>
      <w:r w:rsidR="0053188E" w:rsidRPr="004034A4">
        <w:rPr>
          <w:i/>
        </w:rPr>
        <w:t>for</w:t>
      </w:r>
      <w:proofErr w:type="spellEnd"/>
      <w:r w:rsidR="0053188E" w:rsidRPr="004034A4">
        <w:rPr>
          <w:i/>
        </w:rPr>
        <w:t xml:space="preserve"> </w:t>
      </w:r>
      <w:proofErr w:type="spellStart"/>
      <w:r w:rsidR="0053188E" w:rsidRPr="004034A4">
        <w:rPr>
          <w:i/>
        </w:rPr>
        <w:t>Excluding</w:t>
      </w:r>
      <w:proofErr w:type="spellEnd"/>
      <w:r w:rsidR="0053188E" w:rsidRPr="004034A4">
        <w:rPr>
          <w:i/>
        </w:rPr>
        <w:t xml:space="preserve"> </w:t>
      </w:r>
      <w:proofErr w:type="spellStart"/>
      <w:r w:rsidR="0053188E" w:rsidRPr="004034A4">
        <w:rPr>
          <w:i/>
        </w:rPr>
        <w:t>Varieties</w:t>
      </w:r>
      <w:proofErr w:type="spellEnd"/>
      <w:r w:rsidR="0053188E" w:rsidRPr="004034A4">
        <w:rPr>
          <w:i/>
        </w:rPr>
        <w:t xml:space="preserve"> of </w:t>
      </w:r>
      <w:proofErr w:type="spellStart"/>
      <w:r w:rsidR="0053188E" w:rsidRPr="004034A4">
        <w:rPr>
          <w:i/>
        </w:rPr>
        <w:t>Common</w:t>
      </w:r>
      <w:proofErr w:type="spellEnd"/>
      <w:r w:rsidR="0053188E" w:rsidRPr="004034A4">
        <w:rPr>
          <w:i/>
        </w:rPr>
        <w:t xml:space="preserve"> </w:t>
      </w:r>
      <w:proofErr w:type="spellStart"/>
      <w:r w:rsidR="0053188E" w:rsidRPr="004034A4">
        <w:rPr>
          <w:i/>
        </w:rPr>
        <w:t>Knowledge</w:t>
      </w:r>
      <w:proofErr w:type="spellEnd"/>
      <w:r w:rsidR="0053188E" w:rsidRPr="004034A4">
        <w:rPr>
          <w:i/>
        </w:rPr>
        <w:t xml:space="preserve"> </w:t>
      </w:r>
      <w:proofErr w:type="spellStart"/>
      <w:r w:rsidR="0053188E" w:rsidRPr="004034A4">
        <w:rPr>
          <w:i/>
        </w:rPr>
        <w:t>from</w:t>
      </w:r>
      <w:proofErr w:type="spellEnd"/>
      <w:r w:rsidR="0053188E" w:rsidRPr="004034A4">
        <w:rPr>
          <w:i/>
        </w:rPr>
        <w:t xml:space="preserve"> </w:t>
      </w:r>
      <w:proofErr w:type="spellStart"/>
      <w:r w:rsidR="0053188E" w:rsidRPr="004034A4">
        <w:rPr>
          <w:i/>
        </w:rPr>
        <w:t>the</w:t>
      </w:r>
      <w:proofErr w:type="spellEnd"/>
      <w:r w:rsidR="0053188E" w:rsidRPr="004034A4">
        <w:rPr>
          <w:i/>
        </w:rPr>
        <w:t xml:space="preserve"> </w:t>
      </w:r>
      <w:proofErr w:type="spellStart"/>
      <w:r w:rsidR="0053188E" w:rsidRPr="004034A4">
        <w:rPr>
          <w:i/>
        </w:rPr>
        <w:t>Second</w:t>
      </w:r>
      <w:proofErr w:type="spellEnd"/>
      <w:r w:rsidR="0053188E" w:rsidRPr="004034A4">
        <w:rPr>
          <w:i/>
        </w:rPr>
        <w:t xml:space="preserve"> </w:t>
      </w:r>
      <w:proofErr w:type="spellStart"/>
      <w:r w:rsidR="0053188E" w:rsidRPr="004034A4">
        <w:rPr>
          <w:i/>
        </w:rPr>
        <w:t>Growing</w:t>
      </w:r>
      <w:proofErr w:type="spellEnd"/>
      <w:r w:rsidR="0053188E" w:rsidRPr="004034A4">
        <w:rPr>
          <w:i/>
        </w:rPr>
        <w:t xml:space="preserve"> </w:t>
      </w:r>
      <w:proofErr w:type="spellStart"/>
      <w:r w:rsidR="0053188E" w:rsidRPr="004034A4">
        <w:rPr>
          <w:i/>
        </w:rPr>
        <w:t>Cycle</w:t>
      </w:r>
      <w:proofErr w:type="spellEnd"/>
      <w:r w:rsidR="0053188E" w:rsidRPr="004034A4">
        <w:rPr>
          <w:i/>
        </w:rPr>
        <w:t xml:space="preserve"> </w:t>
      </w:r>
      <w:proofErr w:type="spellStart"/>
      <w:r w:rsidR="0053188E" w:rsidRPr="004034A4">
        <w:rPr>
          <w:i/>
        </w:rPr>
        <w:t>when</w:t>
      </w:r>
      <w:proofErr w:type="spellEnd"/>
      <w:r w:rsidR="0053188E" w:rsidRPr="004034A4">
        <w:rPr>
          <w:i/>
        </w:rPr>
        <w:t xml:space="preserve"> COYD </w:t>
      </w:r>
      <w:proofErr w:type="spellStart"/>
      <w:r w:rsidR="0053188E" w:rsidRPr="004034A4">
        <w:rPr>
          <w:i/>
        </w:rPr>
        <w:t>is</w:t>
      </w:r>
      <w:proofErr w:type="spellEnd"/>
      <w:r w:rsidR="0053188E" w:rsidRPr="004034A4">
        <w:rPr>
          <w:i/>
        </w:rPr>
        <w:t xml:space="preserve"> </w:t>
      </w:r>
      <w:proofErr w:type="spellStart"/>
      <w:r w:rsidR="0053188E" w:rsidRPr="004034A4">
        <w:rPr>
          <w:i/>
        </w:rPr>
        <w:t>used</w:t>
      </w:r>
      <w:proofErr w:type="spellEnd"/>
      <w:r w:rsidR="007B5B6B" w:rsidRPr="001E4869">
        <w:rPr>
          <w:snapToGrid w:val="0"/>
        </w:rPr>
        <w:t xml:space="preserve">” </w:t>
      </w:r>
      <w:r w:rsidR="0053188E" w:rsidRPr="001E4869">
        <w:rPr>
          <w:snapToGrid w:val="0"/>
        </w:rPr>
        <w:t>(</w:t>
      </w:r>
      <w:r w:rsidR="00D05AFE" w:rsidRPr="001E4869">
        <w:rPr>
          <w:snapToGrid w:val="0"/>
        </w:rPr>
        <w:t xml:space="preserve">Determinación de </w:t>
      </w:r>
      <w:r w:rsidR="00D05AFE" w:rsidRPr="001E4869">
        <w:t xml:space="preserve">umbrales </w:t>
      </w:r>
      <w:r w:rsidR="0053188E" w:rsidRPr="001E4869">
        <w:t>para excluir las variedades notoriamente conocidas del segundo ciclo de cultivo cuando se emplea el COYD</w:t>
      </w:r>
      <w:r w:rsidR="0053188E" w:rsidRPr="001E4869">
        <w:rPr>
          <w:snapToGrid w:val="0"/>
        </w:rPr>
        <w:t>)</w:t>
      </w:r>
      <w:r w:rsidR="00611282" w:rsidRPr="001E4869">
        <w:rPr>
          <w:snapToGrid w:val="0"/>
        </w:rPr>
        <w:t xml:space="preserve"> </w:t>
      </w:r>
      <w:r w:rsidR="007B5B6B" w:rsidRPr="001E4869">
        <w:rPr>
          <w:snapToGrid w:val="0"/>
        </w:rPr>
        <w:t xml:space="preserve">y </w:t>
      </w:r>
      <w:r w:rsidR="007B5B6B" w:rsidRPr="001E4869">
        <w:t>asistió a una ponencia</w:t>
      </w:r>
      <w:r w:rsidR="00111A2D" w:rsidRPr="001E4869">
        <w:t xml:space="preserve"> de</w:t>
      </w:r>
      <w:r w:rsidR="007B5B6B" w:rsidRPr="001E4869">
        <w:t xml:space="preserve"> un experto del Reino Unido</w:t>
      </w:r>
      <w:r w:rsidR="00611282" w:rsidRPr="001E4869">
        <w:t xml:space="preserve">, </w:t>
      </w:r>
      <w:r w:rsidR="00721AC7" w:rsidRPr="001E4869">
        <w:t xml:space="preserve">de la cual figura una copia </w:t>
      </w:r>
      <w:r w:rsidR="007B5B6B" w:rsidRPr="001E4869">
        <w:t xml:space="preserve">en el </w:t>
      </w:r>
      <w:r w:rsidR="007B5DFA" w:rsidRPr="001E4869">
        <w:t xml:space="preserve">Anexo </w:t>
      </w:r>
      <w:r w:rsidR="007B5B6B" w:rsidRPr="001E4869">
        <w:t>del presente documento</w:t>
      </w:r>
      <w:r w:rsidR="007B5B6B" w:rsidRPr="001E4869">
        <w:rPr>
          <w:rStyle w:val="Hyperlink"/>
          <w:u w:val="none"/>
        </w:rPr>
        <w:t xml:space="preserve"> </w:t>
      </w:r>
      <w:r w:rsidR="007B5B6B" w:rsidRPr="001E4869">
        <w:rPr>
          <w:rFonts w:eastAsia="MS Mincho" w:cs="Arial" w:hint="eastAsia"/>
          <w:lang w:eastAsia="ja-JP"/>
        </w:rPr>
        <w:t>(</w:t>
      </w:r>
      <w:r w:rsidR="007B5B6B" w:rsidRPr="001E4869">
        <w:rPr>
          <w:rFonts w:eastAsia="MS Mincho" w:cs="Arial"/>
          <w:lang w:eastAsia="ja-JP"/>
        </w:rPr>
        <w:t>véa</w:t>
      </w:r>
      <w:r w:rsidR="007B5DFA" w:rsidRPr="001E4869">
        <w:rPr>
          <w:rFonts w:eastAsia="MS Mincho" w:cs="Arial"/>
          <w:lang w:eastAsia="ja-JP"/>
        </w:rPr>
        <w:t>n</w:t>
      </w:r>
      <w:r w:rsidR="007B5B6B" w:rsidRPr="001E4869">
        <w:rPr>
          <w:rFonts w:eastAsia="MS Mincho" w:cs="Arial"/>
          <w:lang w:eastAsia="ja-JP"/>
        </w:rPr>
        <w:t>se</w:t>
      </w:r>
      <w:r w:rsidR="007B5B6B" w:rsidRPr="001E4869">
        <w:rPr>
          <w:rFonts w:eastAsia="MS Mincho" w:cs="Arial" w:hint="eastAsia"/>
          <w:lang w:eastAsia="ja-JP"/>
        </w:rPr>
        <w:t xml:space="preserve"> </w:t>
      </w:r>
      <w:r w:rsidR="007B5DFA" w:rsidRPr="001E4869">
        <w:rPr>
          <w:rFonts w:eastAsia="MS Mincho" w:cs="Arial"/>
          <w:lang w:eastAsia="ja-JP"/>
        </w:rPr>
        <w:t>los párrafos</w:t>
      </w:r>
      <w:r w:rsidR="00611282" w:rsidRPr="001E4869">
        <w:rPr>
          <w:rFonts w:eastAsia="MS Mincho" w:cs="Arial"/>
          <w:lang w:eastAsia="ja-JP"/>
        </w:rPr>
        <w:t> 7</w:t>
      </w:r>
      <w:r w:rsidR="007B5DFA" w:rsidRPr="001E4869">
        <w:rPr>
          <w:rFonts w:eastAsia="MS Mincho" w:cs="Arial"/>
          <w:lang w:eastAsia="ja-JP"/>
        </w:rPr>
        <w:t>3 a</w:t>
      </w:r>
      <w:r w:rsidR="00611282" w:rsidRPr="001E4869">
        <w:rPr>
          <w:rFonts w:eastAsia="MS Mincho" w:cs="Arial"/>
          <w:lang w:eastAsia="ja-JP"/>
        </w:rPr>
        <w:t> 7</w:t>
      </w:r>
      <w:r w:rsidR="007B5DFA" w:rsidRPr="001E4869">
        <w:rPr>
          <w:rFonts w:eastAsia="MS Mincho" w:cs="Arial"/>
          <w:lang w:eastAsia="ja-JP"/>
        </w:rPr>
        <w:t xml:space="preserve">6 del </w:t>
      </w:r>
      <w:r w:rsidR="007B5B6B" w:rsidRPr="001E4869">
        <w:rPr>
          <w:rFonts w:eastAsia="MS Mincho" w:cs="Arial"/>
          <w:lang w:eastAsia="ja-JP"/>
        </w:rPr>
        <w:t>documento</w:t>
      </w:r>
      <w:r w:rsidR="007B5B6B" w:rsidRPr="001E4869">
        <w:rPr>
          <w:rFonts w:eastAsia="MS Mincho" w:cs="Arial" w:hint="eastAsia"/>
          <w:lang w:eastAsia="ja-JP"/>
        </w:rPr>
        <w:t xml:space="preserve"> TW</w:t>
      </w:r>
      <w:r w:rsidR="007B5B6B" w:rsidRPr="001E4869">
        <w:rPr>
          <w:rFonts w:eastAsia="MS Mincho" w:cs="Arial"/>
          <w:lang w:eastAsia="ja-JP"/>
        </w:rPr>
        <w:t>C</w:t>
      </w:r>
      <w:r w:rsidR="007B5B6B" w:rsidRPr="001E4869">
        <w:rPr>
          <w:rFonts w:eastAsia="MS Mincho" w:cs="Arial" w:hint="eastAsia"/>
          <w:lang w:eastAsia="ja-JP"/>
        </w:rPr>
        <w:t>/</w:t>
      </w:r>
      <w:r w:rsidR="007B5B6B" w:rsidRPr="001E4869">
        <w:rPr>
          <w:rFonts w:eastAsia="MS Mincho" w:cs="Arial"/>
          <w:lang w:eastAsia="ja-JP"/>
        </w:rPr>
        <w:t>35</w:t>
      </w:r>
      <w:r w:rsidR="007B5B6B" w:rsidRPr="001E4869">
        <w:rPr>
          <w:rFonts w:eastAsia="MS Mincho" w:cs="Arial" w:hint="eastAsia"/>
          <w:lang w:eastAsia="ja-JP"/>
        </w:rPr>
        <w:t>/</w:t>
      </w:r>
      <w:r w:rsidR="007B5B6B" w:rsidRPr="001E4869">
        <w:rPr>
          <w:rFonts w:eastAsia="MS Mincho" w:cs="Arial"/>
          <w:lang w:eastAsia="ja-JP"/>
        </w:rPr>
        <w:t>21</w:t>
      </w:r>
      <w:r w:rsidR="007B5B6B" w:rsidRPr="001E4869">
        <w:rPr>
          <w:rFonts w:eastAsia="MS Mincho" w:cs="Arial" w:hint="eastAsia"/>
          <w:lang w:eastAsia="ja-JP"/>
        </w:rPr>
        <w:t xml:space="preserve"> </w:t>
      </w:r>
      <w:r w:rsidR="007B5B6B" w:rsidRPr="001E4869">
        <w:rPr>
          <w:rFonts w:eastAsia="MS Mincho" w:cs="Arial"/>
          <w:lang w:eastAsia="ja-JP"/>
        </w:rPr>
        <w:t>“</w:t>
      </w:r>
      <w:proofErr w:type="spellStart"/>
      <w:r w:rsidR="007B5DFA" w:rsidRPr="004034A4">
        <w:rPr>
          <w:rFonts w:eastAsia="MS Mincho" w:cs="Arial"/>
          <w:i/>
          <w:lang w:eastAsia="ja-JP"/>
        </w:rPr>
        <w:t>Report</w:t>
      </w:r>
      <w:proofErr w:type="spellEnd"/>
      <w:r w:rsidR="007B5B6B" w:rsidRPr="001E4869">
        <w:rPr>
          <w:rFonts w:eastAsia="MS Mincho" w:cs="Arial"/>
          <w:lang w:eastAsia="ja-JP"/>
        </w:rPr>
        <w:t>”</w:t>
      </w:r>
      <w:r w:rsidR="007B5DFA" w:rsidRPr="001E4869">
        <w:rPr>
          <w:rFonts w:eastAsia="MS Mincho" w:cs="Arial"/>
          <w:lang w:eastAsia="ja-JP"/>
        </w:rPr>
        <w:t xml:space="preserve"> (Informe)</w:t>
      </w:r>
      <w:r w:rsidR="007B5B6B" w:rsidRPr="001E4869">
        <w:rPr>
          <w:rFonts w:eastAsia="MS Mincho" w:cs="Arial" w:hint="eastAsia"/>
          <w:lang w:eastAsia="ja-JP"/>
        </w:rPr>
        <w:t>)</w:t>
      </w:r>
      <w:r w:rsidR="007B5B6B" w:rsidRPr="001E4869">
        <w:t>.</w:t>
      </w:r>
    </w:p>
    <w:p w:rsidR="00C64B27" w:rsidRPr="004034A4" w:rsidRDefault="00C64B27" w:rsidP="00C64B27">
      <w:pPr>
        <w:rPr>
          <w:rFonts w:eastAsia="MS Mincho"/>
        </w:rPr>
      </w:pPr>
    </w:p>
    <w:p w:rsidR="00C64B27" w:rsidRPr="004034A4" w:rsidRDefault="00BB55FF" w:rsidP="00C64B27">
      <w:r w:rsidRPr="005948AF">
        <w:rPr>
          <w:snapToGrid w:val="0"/>
        </w:rPr>
        <w:fldChar w:fldCharType="begin"/>
      </w:r>
      <w:r w:rsidR="00C64B27" w:rsidRPr="004034A4">
        <w:rPr>
          <w:snapToGrid w:val="0"/>
        </w:rPr>
        <w:instrText xml:space="preserve"> AUTONUM  </w:instrText>
      </w:r>
      <w:r w:rsidRPr="005948AF">
        <w:rPr>
          <w:snapToGrid w:val="0"/>
        </w:rPr>
        <w:fldChar w:fldCharType="end"/>
      </w:r>
      <w:r w:rsidR="00C64B27" w:rsidRPr="004034A4">
        <w:rPr>
          <w:snapToGrid w:val="0"/>
        </w:rPr>
        <w:tab/>
      </w:r>
      <w:r w:rsidR="00821B7B" w:rsidRPr="001E4869">
        <w:rPr>
          <w:snapToGrid w:val="0"/>
        </w:rPr>
        <w:t xml:space="preserve">El TWC </w:t>
      </w:r>
      <w:r w:rsidR="005F57DC" w:rsidRPr="001E4869">
        <w:t>tomó nota de</w:t>
      </w:r>
      <w:r w:rsidR="00821B7B" w:rsidRPr="001E4869">
        <w:t xml:space="preserve"> </w:t>
      </w:r>
      <w:r w:rsidR="005F57DC" w:rsidRPr="001E4869">
        <w:t xml:space="preserve">las últimas novedades y las indicaciones relativas a </w:t>
      </w:r>
      <w:r w:rsidR="000849B6" w:rsidRPr="001E4869">
        <w:t xml:space="preserve">la determinación de umbrales del COYD para excluir </w:t>
      </w:r>
      <w:r w:rsidR="005F57DC" w:rsidRPr="001E4869">
        <w:t xml:space="preserve">las variedades notoriamente conocidas del segundo ciclo de cultivo </w:t>
      </w:r>
      <w:r w:rsidR="000849B6" w:rsidRPr="001E4869">
        <w:t xml:space="preserve">a partir de conjuntos </w:t>
      </w:r>
      <w:r w:rsidR="005F57DC" w:rsidRPr="001E4869">
        <w:t xml:space="preserve">de datos de </w:t>
      </w:r>
      <w:proofErr w:type="spellStart"/>
      <w:r w:rsidR="005F57DC" w:rsidRPr="001E4869">
        <w:t>festuca</w:t>
      </w:r>
      <w:proofErr w:type="spellEnd"/>
      <w:r w:rsidR="005F57DC" w:rsidRPr="001E4869">
        <w:t xml:space="preserve"> pratense</w:t>
      </w:r>
      <w:r w:rsidR="00611282" w:rsidRPr="001E4869">
        <w:t xml:space="preserve">, </w:t>
      </w:r>
      <w:r w:rsidR="005F57DC" w:rsidRPr="001E4869">
        <w:t>trébol rojo</w:t>
      </w:r>
      <w:r w:rsidR="00611282" w:rsidRPr="001E4869">
        <w:t xml:space="preserve">, </w:t>
      </w:r>
      <w:r w:rsidR="005F57DC" w:rsidRPr="001E4869">
        <w:t>fleo</w:t>
      </w:r>
      <w:r w:rsidR="00611282" w:rsidRPr="001E4869">
        <w:t xml:space="preserve">, </w:t>
      </w:r>
      <w:proofErr w:type="spellStart"/>
      <w:r w:rsidR="00B60FA8" w:rsidRPr="001E4869">
        <w:t>raygrás</w:t>
      </w:r>
      <w:proofErr w:type="spellEnd"/>
      <w:r w:rsidR="00B60FA8" w:rsidRPr="001E4869">
        <w:t xml:space="preserve"> inglés</w:t>
      </w:r>
      <w:r w:rsidR="00611282" w:rsidRPr="001E4869">
        <w:t xml:space="preserve">, </w:t>
      </w:r>
      <w:r w:rsidR="00B60FA8" w:rsidRPr="001E4869">
        <w:t xml:space="preserve">variedades </w:t>
      </w:r>
      <w:proofErr w:type="spellStart"/>
      <w:r w:rsidR="00B60FA8" w:rsidRPr="001E4869">
        <w:t>semiáfilas</w:t>
      </w:r>
      <w:proofErr w:type="spellEnd"/>
      <w:r w:rsidR="00B60FA8" w:rsidRPr="001E4869">
        <w:t xml:space="preserve"> de guisante/arveja</w:t>
      </w:r>
      <w:r w:rsidR="005F57DC" w:rsidRPr="001E4869">
        <w:t xml:space="preserve"> y </w:t>
      </w:r>
      <w:r w:rsidR="00B60FA8" w:rsidRPr="001E4869">
        <w:t>variedades convencionales de guisante/arveja</w:t>
      </w:r>
      <w:r w:rsidR="005F57DC" w:rsidRPr="001E4869">
        <w:t>.</w:t>
      </w:r>
    </w:p>
    <w:p w:rsidR="00C64B27" w:rsidRPr="004034A4" w:rsidRDefault="00C64B27" w:rsidP="00C64B27"/>
    <w:p w:rsidR="00C64B27" w:rsidRPr="004034A4" w:rsidRDefault="00BB55FF" w:rsidP="00C64B27">
      <w:pPr>
        <w:rPr>
          <w:rFonts w:eastAsia="MS Mincho"/>
        </w:rPr>
      </w:pPr>
      <w:r w:rsidRPr="005948AF">
        <w:rPr>
          <w:rFonts w:eastAsia="MS Mincho"/>
        </w:rPr>
        <w:fldChar w:fldCharType="begin"/>
      </w:r>
      <w:r w:rsidR="00C64B27" w:rsidRPr="004034A4">
        <w:rPr>
          <w:rFonts w:eastAsia="MS Mincho"/>
        </w:rPr>
        <w:instrText xml:space="preserve"> AUTONUM  </w:instrText>
      </w:r>
      <w:r w:rsidRPr="005948AF">
        <w:rPr>
          <w:rFonts w:eastAsia="MS Mincho"/>
        </w:rPr>
        <w:fldChar w:fldCharType="end"/>
      </w:r>
      <w:r w:rsidR="00C64B27" w:rsidRPr="004034A4">
        <w:rPr>
          <w:rFonts w:eastAsia="MS Mincho"/>
        </w:rPr>
        <w:tab/>
      </w:r>
      <w:r w:rsidR="005F57DC" w:rsidRPr="00153ECE">
        <w:rPr>
          <w:rFonts w:eastAsia="MS Mincho"/>
        </w:rPr>
        <w:t xml:space="preserve">El TWC tomó nota de que el </w:t>
      </w:r>
      <w:r w:rsidR="00C14326" w:rsidRPr="00153ECE">
        <w:rPr>
          <w:rFonts w:eastAsia="MS Mincho"/>
        </w:rPr>
        <w:t xml:space="preserve">método es más adecuado para cultivos </w:t>
      </w:r>
      <w:r w:rsidR="00B60FA8" w:rsidRPr="00153ECE">
        <w:rPr>
          <w:rFonts w:eastAsia="MS Mincho"/>
        </w:rPr>
        <w:t xml:space="preserve">con un gran número de variedades </w:t>
      </w:r>
      <w:r w:rsidR="005F57DC" w:rsidRPr="00153ECE">
        <w:rPr>
          <w:rFonts w:eastAsia="MS Mincho"/>
        </w:rPr>
        <w:t xml:space="preserve">notoriamente conocidas y </w:t>
      </w:r>
      <w:r w:rsidR="00671589" w:rsidRPr="00153ECE">
        <w:rPr>
          <w:lang w:eastAsia="ja-JP"/>
        </w:rPr>
        <w:t>ensayos de grandes dimensiones en curso</w:t>
      </w:r>
      <w:r w:rsidR="005F57DC" w:rsidRPr="00153ECE">
        <w:rPr>
          <w:rFonts w:eastAsia="MS Mincho"/>
        </w:rPr>
        <w:t>.</w:t>
      </w:r>
      <w:r w:rsidR="00C64B27" w:rsidRPr="004034A4">
        <w:rPr>
          <w:rFonts w:eastAsia="MS Mincho"/>
        </w:rPr>
        <w:t xml:space="preserve"> </w:t>
      </w:r>
      <w:r w:rsidR="005F57DC" w:rsidRPr="00153ECE">
        <w:rPr>
          <w:rFonts w:eastAsia="MS Mincho"/>
        </w:rPr>
        <w:t>El TWC tomó nota de los planes del Reino Unido de probar el método en dos grandes conjuntos de datos de colza oleaginosa.</w:t>
      </w:r>
    </w:p>
    <w:p w:rsidR="00C64B27" w:rsidRPr="004034A4" w:rsidRDefault="00C64B27" w:rsidP="00C64B27">
      <w:pPr>
        <w:rPr>
          <w:rFonts w:eastAsia="MS Mincho"/>
        </w:rPr>
      </w:pPr>
    </w:p>
    <w:p w:rsidR="00C64B27" w:rsidRPr="004034A4" w:rsidRDefault="00BB55FF" w:rsidP="00C64B27">
      <w:pPr>
        <w:rPr>
          <w:rFonts w:eastAsia="MS Mincho"/>
        </w:rPr>
      </w:pPr>
      <w:r w:rsidRPr="005948AF">
        <w:rPr>
          <w:rFonts w:eastAsia="MS Mincho"/>
        </w:rPr>
        <w:fldChar w:fldCharType="begin"/>
      </w:r>
      <w:r w:rsidR="00C64B27" w:rsidRPr="004034A4">
        <w:rPr>
          <w:rFonts w:eastAsia="MS Mincho"/>
        </w:rPr>
        <w:instrText xml:space="preserve"> AUTONUM  </w:instrText>
      </w:r>
      <w:r w:rsidRPr="005948AF">
        <w:rPr>
          <w:rFonts w:eastAsia="MS Mincho"/>
        </w:rPr>
        <w:fldChar w:fldCharType="end"/>
      </w:r>
      <w:r w:rsidR="00C64B27" w:rsidRPr="004034A4">
        <w:rPr>
          <w:rFonts w:eastAsia="MS Mincho"/>
        </w:rPr>
        <w:tab/>
      </w:r>
      <w:r w:rsidR="005963DE" w:rsidRPr="00B949AC">
        <w:rPr>
          <w:rFonts w:eastAsia="MS Mincho"/>
        </w:rPr>
        <w:t xml:space="preserve">El TWC tomó nota de que </w:t>
      </w:r>
      <w:r w:rsidR="00153ECE" w:rsidRPr="00B949AC">
        <w:rPr>
          <w:rFonts w:eastAsia="MS Mincho"/>
        </w:rPr>
        <w:t xml:space="preserve">el código </w:t>
      </w:r>
      <w:r w:rsidR="005963DE" w:rsidRPr="00B949AC">
        <w:rPr>
          <w:rFonts w:eastAsia="MS Mincho"/>
        </w:rPr>
        <w:t xml:space="preserve">se ha </w:t>
      </w:r>
      <w:r w:rsidR="00CE0BA3" w:rsidRPr="00B949AC">
        <w:rPr>
          <w:rFonts w:eastAsia="MS Mincho"/>
        </w:rPr>
        <w:t>elabor</w:t>
      </w:r>
      <w:r w:rsidR="005963DE" w:rsidRPr="00B949AC">
        <w:rPr>
          <w:rFonts w:eastAsia="MS Mincho"/>
        </w:rPr>
        <w:t xml:space="preserve">ado con el programa informático “R” y de que podría vincularse al programa GAIA </w:t>
      </w:r>
      <w:r w:rsidR="00B949AC" w:rsidRPr="00B949AC">
        <w:rPr>
          <w:rFonts w:eastAsia="MS Mincho"/>
        </w:rPr>
        <w:t xml:space="preserve">con miras a </w:t>
      </w:r>
      <w:r w:rsidR="00E54ED4" w:rsidRPr="00B949AC">
        <w:rPr>
          <w:rFonts w:eastAsia="MS Mincho"/>
        </w:rPr>
        <w:t xml:space="preserve">la </w:t>
      </w:r>
      <w:r w:rsidR="005963DE" w:rsidRPr="00B949AC">
        <w:rPr>
          <w:rFonts w:eastAsia="MS Mincho"/>
        </w:rPr>
        <w:t>determin</w:t>
      </w:r>
      <w:r w:rsidR="00E54ED4" w:rsidRPr="00B949AC">
        <w:rPr>
          <w:rFonts w:eastAsia="MS Mincho"/>
        </w:rPr>
        <w:t xml:space="preserve">ación de los </w:t>
      </w:r>
      <w:r w:rsidR="005963DE" w:rsidRPr="00B949AC">
        <w:rPr>
          <w:rFonts w:eastAsia="MS Mincho"/>
        </w:rPr>
        <w:t xml:space="preserve">umbrales </w:t>
      </w:r>
      <w:r w:rsidR="00E54ED4" w:rsidRPr="00B949AC">
        <w:rPr>
          <w:rFonts w:eastAsia="MS Mincho"/>
        </w:rPr>
        <w:t xml:space="preserve">para excluir las variedades notoriamente conocidas del segundo ciclo de cultivo cuando se emplea el </w:t>
      </w:r>
      <w:r w:rsidR="005963DE" w:rsidRPr="00B949AC">
        <w:rPr>
          <w:rFonts w:eastAsia="MS Mincho"/>
        </w:rPr>
        <w:t>COYD.</w:t>
      </w:r>
    </w:p>
    <w:p w:rsidR="00C64B27" w:rsidRPr="004034A4" w:rsidRDefault="00C64B27" w:rsidP="00C64B27">
      <w:pPr>
        <w:tabs>
          <w:tab w:val="left" w:pos="567"/>
        </w:tabs>
        <w:autoSpaceDE w:val="0"/>
        <w:autoSpaceDN w:val="0"/>
        <w:adjustRightInd w:val="0"/>
        <w:rPr>
          <w:lang w:eastAsia="ja-JP"/>
        </w:rPr>
      </w:pPr>
    </w:p>
    <w:p w:rsidR="00C64B27" w:rsidRPr="004034A4" w:rsidRDefault="00C64B27" w:rsidP="00C64B27">
      <w:pPr>
        <w:tabs>
          <w:tab w:val="left" w:pos="567"/>
        </w:tabs>
        <w:autoSpaceDE w:val="0"/>
        <w:autoSpaceDN w:val="0"/>
        <w:adjustRightInd w:val="0"/>
        <w:rPr>
          <w:lang w:eastAsia="ja-JP"/>
        </w:rPr>
      </w:pPr>
    </w:p>
    <w:p w:rsidR="00C64B27" w:rsidRPr="004034A4" w:rsidRDefault="00E54ED4" w:rsidP="00C64B27">
      <w:pPr>
        <w:pStyle w:val="Heading1"/>
        <w:rPr>
          <w:lang w:val="es-ES_tradnl" w:eastAsia="ja-JP"/>
        </w:rPr>
      </w:pPr>
      <w:bookmarkStart w:id="7" w:name="_Toc524538390"/>
      <w:r w:rsidRPr="00B949AC">
        <w:rPr>
          <w:lang w:val="es-ES_tradnl" w:eastAsia="ja-JP"/>
        </w:rPr>
        <w:t>NOVEDADES ACAECIDAS EN</w:t>
      </w:r>
      <w:r w:rsidR="00611282" w:rsidRPr="00B949AC">
        <w:rPr>
          <w:lang w:val="es-ES_tradnl" w:eastAsia="ja-JP"/>
        </w:rPr>
        <w:t> 2</w:t>
      </w:r>
      <w:r w:rsidRPr="00B949AC">
        <w:rPr>
          <w:lang w:val="es-ES_tradnl" w:eastAsia="ja-JP"/>
        </w:rPr>
        <w:t>018</w:t>
      </w:r>
      <w:bookmarkEnd w:id="7"/>
    </w:p>
    <w:p w:rsidR="00C64B27" w:rsidRPr="004034A4" w:rsidRDefault="00C64B27" w:rsidP="00C64B27"/>
    <w:p w:rsidR="00C64B27" w:rsidRPr="004034A4" w:rsidRDefault="00BB55FF" w:rsidP="00C64B27">
      <w:r w:rsidRPr="005948AF">
        <w:fldChar w:fldCharType="begin"/>
      </w:r>
      <w:r w:rsidR="00C64B27" w:rsidRPr="004034A4">
        <w:instrText xml:space="preserve"> AUTONUM  </w:instrText>
      </w:r>
      <w:r w:rsidRPr="005948AF">
        <w:fldChar w:fldCharType="end"/>
      </w:r>
      <w:r w:rsidR="00C64B27" w:rsidRPr="004034A4">
        <w:tab/>
      </w:r>
      <w:r w:rsidR="00E54ED4" w:rsidRPr="00B949AC">
        <w:t>En su trigésima sexta sesión</w:t>
      </w:r>
      <w:r w:rsidR="00611282" w:rsidRPr="00B949AC">
        <w:t xml:space="preserve">, </w:t>
      </w:r>
      <w:r w:rsidR="00E54ED4" w:rsidRPr="00B949AC">
        <w:t>celebrada en Hanover (Alemania) del</w:t>
      </w:r>
      <w:r w:rsidR="00611282" w:rsidRPr="00B949AC">
        <w:t> 2</w:t>
      </w:r>
      <w:r w:rsidR="00E54ED4" w:rsidRPr="00B949AC">
        <w:t xml:space="preserve"> al</w:t>
      </w:r>
      <w:r w:rsidR="00611282" w:rsidRPr="00B949AC">
        <w:t> 6</w:t>
      </w:r>
      <w:r w:rsidR="00E54ED4" w:rsidRPr="00B949AC">
        <w:t xml:space="preserve"> de julio de</w:t>
      </w:r>
      <w:r w:rsidR="00611282" w:rsidRPr="00B949AC">
        <w:t> 2</w:t>
      </w:r>
      <w:r w:rsidR="00E54ED4" w:rsidRPr="00B949AC">
        <w:t>018</w:t>
      </w:r>
      <w:r w:rsidR="00611282" w:rsidRPr="00B949AC">
        <w:t xml:space="preserve">, </w:t>
      </w:r>
      <w:r w:rsidR="00E54ED4" w:rsidRPr="00B949AC">
        <w:t xml:space="preserve">el TWC no recibió ningún documento </w:t>
      </w:r>
      <w:r w:rsidR="00EB566D" w:rsidRPr="00B949AC">
        <w:t>sobre este asunto</w:t>
      </w:r>
      <w:r w:rsidR="00E54ED4" w:rsidRPr="00B949AC">
        <w:t>.</w:t>
      </w:r>
      <w:r w:rsidR="00C64B27" w:rsidRPr="004034A4">
        <w:t xml:space="preserve"> </w:t>
      </w:r>
    </w:p>
    <w:p w:rsidR="00C64B27" w:rsidRPr="004034A4" w:rsidRDefault="00C64B27" w:rsidP="00C64B27">
      <w:pPr>
        <w:rPr>
          <w:rFonts w:eastAsia="MS Mincho"/>
        </w:rPr>
      </w:pPr>
    </w:p>
    <w:p w:rsidR="00C64B27" w:rsidRPr="004034A4" w:rsidRDefault="00BB55FF" w:rsidP="00C64B27">
      <w:r w:rsidRPr="005948AF">
        <w:rPr>
          <w:rFonts w:eastAsia="MS Mincho"/>
        </w:rPr>
        <w:fldChar w:fldCharType="begin"/>
      </w:r>
      <w:r w:rsidR="00C64B27" w:rsidRPr="004034A4">
        <w:rPr>
          <w:rFonts w:eastAsia="MS Mincho"/>
        </w:rPr>
        <w:instrText xml:space="preserve"> AUTONUM  </w:instrText>
      </w:r>
      <w:r w:rsidRPr="005948AF">
        <w:rPr>
          <w:rFonts w:eastAsia="MS Mincho"/>
        </w:rPr>
        <w:fldChar w:fldCharType="end"/>
      </w:r>
      <w:r w:rsidR="00C64B27" w:rsidRPr="004034A4">
        <w:rPr>
          <w:rFonts w:eastAsia="MS Mincho"/>
        </w:rPr>
        <w:tab/>
      </w:r>
      <w:r w:rsidR="00EB566D" w:rsidRPr="00B949AC">
        <w:rPr>
          <w:rFonts w:eastAsia="MS Mincho"/>
        </w:rPr>
        <w:t>El</w:t>
      </w:r>
      <w:r w:rsidR="00611282" w:rsidRPr="00B949AC">
        <w:rPr>
          <w:rFonts w:eastAsia="MS Mincho"/>
        </w:rPr>
        <w:t> 2</w:t>
      </w:r>
      <w:r w:rsidR="00EB566D" w:rsidRPr="00B949AC">
        <w:rPr>
          <w:rFonts w:eastAsia="MS Mincho"/>
        </w:rPr>
        <w:t>4 de julio de</w:t>
      </w:r>
      <w:r w:rsidR="00611282" w:rsidRPr="00B949AC">
        <w:rPr>
          <w:rFonts w:eastAsia="MS Mincho"/>
        </w:rPr>
        <w:t> 2</w:t>
      </w:r>
      <w:r w:rsidR="00EB566D" w:rsidRPr="00B949AC">
        <w:rPr>
          <w:rFonts w:eastAsia="MS Mincho"/>
        </w:rPr>
        <w:t>018</w:t>
      </w:r>
      <w:r w:rsidR="00611282" w:rsidRPr="00B949AC">
        <w:rPr>
          <w:rFonts w:eastAsia="MS Mincho"/>
        </w:rPr>
        <w:t xml:space="preserve"> </w:t>
      </w:r>
      <w:r w:rsidR="00B949AC" w:rsidRPr="00B949AC">
        <w:rPr>
          <w:rFonts w:eastAsia="MS Mincho"/>
        </w:rPr>
        <w:t xml:space="preserve">se notificó a </w:t>
      </w:r>
      <w:r w:rsidR="00EB566D" w:rsidRPr="00B949AC">
        <w:rPr>
          <w:rFonts w:eastAsia="MS Mincho"/>
        </w:rPr>
        <w:t xml:space="preserve">la Oficina de la Unión </w:t>
      </w:r>
      <w:r w:rsidR="00B949AC" w:rsidRPr="00B949AC">
        <w:rPr>
          <w:rFonts w:eastAsia="MS Mincho"/>
        </w:rPr>
        <w:t>que</w:t>
      </w:r>
      <w:r w:rsidR="00EB566D" w:rsidRPr="00B949AC">
        <w:rPr>
          <w:rFonts w:eastAsia="MS Mincho"/>
        </w:rPr>
        <w:t xml:space="preserve"> el experto del Reino Unido espera </w:t>
      </w:r>
      <w:r w:rsidR="0053061B" w:rsidRPr="00B949AC">
        <w:rPr>
          <w:rFonts w:eastAsia="MS Mincho"/>
        </w:rPr>
        <w:t>poder</w:t>
      </w:r>
      <w:r w:rsidR="00EB566D" w:rsidRPr="00B949AC">
        <w:rPr>
          <w:rFonts w:eastAsia="MS Mincho"/>
        </w:rPr>
        <w:t xml:space="preserve"> inform</w:t>
      </w:r>
      <w:r w:rsidR="0053061B" w:rsidRPr="00B949AC">
        <w:rPr>
          <w:rFonts w:eastAsia="MS Mincho"/>
        </w:rPr>
        <w:t xml:space="preserve">ar de los avances en la </w:t>
      </w:r>
      <w:r w:rsidR="00EB566D" w:rsidRPr="00B949AC">
        <w:rPr>
          <w:rFonts w:eastAsia="MS Mincho"/>
        </w:rPr>
        <w:t>trigésima</w:t>
      </w:r>
      <w:r w:rsidR="0053061B" w:rsidRPr="00B949AC">
        <w:rPr>
          <w:rFonts w:eastAsia="MS Mincho"/>
        </w:rPr>
        <w:t xml:space="preserve"> séptima </w:t>
      </w:r>
      <w:r w:rsidR="00EB566D" w:rsidRPr="00B949AC">
        <w:rPr>
          <w:rFonts w:eastAsia="MS Mincho"/>
        </w:rPr>
        <w:t xml:space="preserve">sesión </w:t>
      </w:r>
      <w:r w:rsidR="0053061B" w:rsidRPr="00B949AC">
        <w:rPr>
          <w:rFonts w:eastAsia="MS Mincho"/>
        </w:rPr>
        <w:t>d</w:t>
      </w:r>
      <w:r w:rsidR="00EB566D" w:rsidRPr="00B949AC">
        <w:rPr>
          <w:rFonts w:eastAsia="MS Mincho"/>
        </w:rPr>
        <w:t>el TWC</w:t>
      </w:r>
      <w:r w:rsidR="00611282" w:rsidRPr="00B949AC">
        <w:rPr>
          <w:rFonts w:eastAsia="MS Mincho"/>
        </w:rPr>
        <w:t xml:space="preserve">, </w:t>
      </w:r>
      <w:r w:rsidR="00EB566D" w:rsidRPr="00B949AC">
        <w:rPr>
          <w:rFonts w:eastAsia="MS Mincho"/>
        </w:rPr>
        <w:t xml:space="preserve">que se celebrará en </w:t>
      </w:r>
      <w:r w:rsidR="0053061B" w:rsidRPr="00B949AC">
        <w:rPr>
          <w:rFonts w:eastAsia="MS Mincho"/>
        </w:rPr>
        <w:t>Hangzhou (China) del</w:t>
      </w:r>
      <w:r w:rsidR="00611282" w:rsidRPr="00B949AC">
        <w:rPr>
          <w:rFonts w:eastAsia="MS Mincho"/>
        </w:rPr>
        <w:t> 1</w:t>
      </w:r>
      <w:r w:rsidR="0053061B" w:rsidRPr="00B949AC">
        <w:rPr>
          <w:rFonts w:eastAsia="MS Mincho"/>
        </w:rPr>
        <w:t>4 al</w:t>
      </w:r>
      <w:r w:rsidR="00611282" w:rsidRPr="00B949AC">
        <w:rPr>
          <w:rFonts w:eastAsia="MS Mincho"/>
        </w:rPr>
        <w:t> 1</w:t>
      </w:r>
      <w:r w:rsidR="0053061B" w:rsidRPr="00B949AC">
        <w:rPr>
          <w:rFonts w:eastAsia="MS Mincho"/>
        </w:rPr>
        <w:t>6 de octubre de</w:t>
      </w:r>
      <w:r w:rsidR="00611282" w:rsidRPr="00B949AC">
        <w:rPr>
          <w:rFonts w:eastAsia="MS Mincho"/>
        </w:rPr>
        <w:t> 2</w:t>
      </w:r>
      <w:r w:rsidR="0053061B" w:rsidRPr="00B949AC">
        <w:rPr>
          <w:rFonts w:eastAsia="MS Mincho"/>
        </w:rPr>
        <w:t>019</w:t>
      </w:r>
      <w:r w:rsidR="00EB566D" w:rsidRPr="00B949AC">
        <w:rPr>
          <w:rFonts w:eastAsia="MS Mincho"/>
        </w:rPr>
        <w:t>.</w:t>
      </w:r>
      <w:r w:rsidR="00C64B27" w:rsidRPr="004034A4">
        <w:rPr>
          <w:rFonts w:eastAsia="MS Mincho"/>
        </w:rPr>
        <w:t xml:space="preserve"> </w:t>
      </w:r>
    </w:p>
    <w:p w:rsidR="00D82D1E" w:rsidRDefault="00D82D1E" w:rsidP="00C64B27">
      <w:pPr>
        <w:rPr>
          <w:lang w:eastAsia="ja-JP"/>
        </w:rPr>
      </w:pPr>
      <w:r>
        <w:rPr>
          <w:lang w:eastAsia="ja-JP"/>
        </w:rPr>
        <w:br w:type="page"/>
      </w:r>
    </w:p>
    <w:p w:rsidR="00C64B27" w:rsidRPr="004034A4" w:rsidRDefault="00BB55FF" w:rsidP="00C64B27">
      <w:pPr>
        <w:tabs>
          <w:tab w:val="left" w:pos="5387"/>
          <w:tab w:val="left" w:pos="5954"/>
        </w:tabs>
        <w:ind w:left="4820"/>
        <w:rPr>
          <w:i/>
          <w:lang w:eastAsia="ja-JP"/>
        </w:rPr>
      </w:pPr>
      <w:r w:rsidRPr="00CB3A47">
        <w:rPr>
          <w:i/>
          <w:lang w:eastAsia="ja-JP"/>
        </w:rPr>
        <w:lastRenderedPageBreak/>
        <w:fldChar w:fldCharType="begin"/>
      </w:r>
      <w:r w:rsidR="00C64B27" w:rsidRPr="004034A4">
        <w:rPr>
          <w:i/>
          <w:lang w:eastAsia="ja-JP"/>
        </w:rPr>
        <w:instrText xml:space="preserve"> AUTONUM  </w:instrText>
      </w:r>
      <w:r w:rsidRPr="00CB3A47">
        <w:rPr>
          <w:i/>
          <w:lang w:eastAsia="ja-JP"/>
        </w:rPr>
        <w:fldChar w:fldCharType="end"/>
      </w:r>
      <w:r w:rsidR="00C64B27" w:rsidRPr="004034A4">
        <w:rPr>
          <w:i/>
          <w:lang w:eastAsia="ja-JP"/>
        </w:rPr>
        <w:tab/>
      </w:r>
      <w:r w:rsidR="00D05AFE" w:rsidRPr="00B949AC">
        <w:rPr>
          <w:i/>
          <w:lang w:eastAsia="ja-JP"/>
        </w:rPr>
        <w:t>Se invita al TC a tomar nota de que el TWC</w:t>
      </w:r>
      <w:r w:rsidR="00611282" w:rsidRPr="00B949AC">
        <w:rPr>
          <w:i/>
          <w:lang w:eastAsia="ja-JP"/>
        </w:rPr>
        <w:t xml:space="preserve">, </w:t>
      </w:r>
      <w:r w:rsidR="00D05AFE" w:rsidRPr="00B949AC">
        <w:rPr>
          <w:i/>
          <w:lang w:eastAsia="ja-JP"/>
        </w:rPr>
        <w:t>en su trigésima quinta sesión</w:t>
      </w:r>
      <w:r w:rsidR="00611282" w:rsidRPr="00B949AC">
        <w:rPr>
          <w:i/>
          <w:lang w:eastAsia="ja-JP"/>
        </w:rPr>
        <w:t xml:space="preserve">, </w:t>
      </w:r>
      <w:r w:rsidR="00D05AFE" w:rsidRPr="00B949AC">
        <w:rPr>
          <w:i/>
          <w:lang w:eastAsia="ja-JP"/>
        </w:rPr>
        <w:t>tomó nota de:</w:t>
      </w:r>
    </w:p>
    <w:p w:rsidR="00C64B27" w:rsidRPr="004034A4" w:rsidRDefault="00C64B27" w:rsidP="00C64B27">
      <w:pPr>
        <w:tabs>
          <w:tab w:val="left" w:pos="5387"/>
          <w:tab w:val="left" w:pos="5954"/>
        </w:tabs>
        <w:ind w:left="4820"/>
        <w:rPr>
          <w:i/>
          <w:lang w:eastAsia="ja-JP"/>
        </w:rPr>
      </w:pPr>
    </w:p>
    <w:p w:rsidR="00C64B27" w:rsidRPr="004034A4" w:rsidRDefault="00C64B27" w:rsidP="00C64B27">
      <w:pPr>
        <w:pStyle w:val="DecisionParagraphs"/>
        <w:tabs>
          <w:tab w:val="left" w:pos="5954"/>
        </w:tabs>
        <w:rPr>
          <w:lang w:eastAsia="ja-JP"/>
        </w:rPr>
      </w:pPr>
      <w:r w:rsidRPr="004034A4">
        <w:rPr>
          <w:lang w:eastAsia="ja-JP"/>
        </w:rPr>
        <w:tab/>
      </w:r>
      <w:r w:rsidR="00D05AFE" w:rsidRPr="00B949AC">
        <w:rPr>
          <w:lang w:eastAsia="ja-JP"/>
        </w:rPr>
        <w:t>a)</w:t>
      </w:r>
      <w:r w:rsidRPr="004034A4">
        <w:rPr>
          <w:lang w:eastAsia="ja-JP"/>
        </w:rPr>
        <w:tab/>
      </w:r>
      <w:r w:rsidR="00B949AC" w:rsidRPr="00B949AC">
        <w:t xml:space="preserve">las últimas novedades y las indicaciones relativas a la determinación de umbrales del COYD para excluir las variedades notoriamente conocidas del segundo ciclo de cultivo a partir de conjuntos de datos de </w:t>
      </w:r>
      <w:proofErr w:type="spellStart"/>
      <w:r w:rsidR="00B949AC" w:rsidRPr="00B949AC">
        <w:t>festuca</w:t>
      </w:r>
      <w:proofErr w:type="spellEnd"/>
      <w:r w:rsidR="00B949AC" w:rsidRPr="00B949AC">
        <w:t xml:space="preserve"> pratense, trébol rojo, fleo, </w:t>
      </w:r>
      <w:proofErr w:type="spellStart"/>
      <w:r w:rsidR="00B949AC" w:rsidRPr="00B949AC">
        <w:t>raygrás</w:t>
      </w:r>
      <w:proofErr w:type="spellEnd"/>
      <w:r w:rsidR="00B949AC" w:rsidRPr="00B949AC">
        <w:t xml:space="preserve"> inglés, variedades </w:t>
      </w:r>
      <w:proofErr w:type="spellStart"/>
      <w:r w:rsidR="00B949AC" w:rsidRPr="00B949AC">
        <w:t>semiáfilas</w:t>
      </w:r>
      <w:proofErr w:type="spellEnd"/>
      <w:r w:rsidR="00B949AC" w:rsidRPr="00B949AC">
        <w:t xml:space="preserve"> de guisante/arveja y variedades convencionales de guisante/arveja, según se expone en los </w:t>
      </w:r>
      <w:r w:rsidR="00B949AC" w:rsidRPr="00D82D1E">
        <w:t>párrafos 9 y 10 y</w:t>
      </w:r>
      <w:r w:rsidR="00B949AC" w:rsidRPr="00B949AC">
        <w:t xml:space="preserve"> en el Anexo del presente documento;</w:t>
      </w:r>
      <w:r w:rsidRPr="004034A4">
        <w:rPr>
          <w:lang w:eastAsia="ja-JP"/>
        </w:rPr>
        <w:t xml:space="preserve">  </w:t>
      </w:r>
    </w:p>
    <w:p w:rsidR="00C64B27" w:rsidRPr="004034A4" w:rsidRDefault="00C64B27" w:rsidP="00C64B27">
      <w:pPr>
        <w:pStyle w:val="DecisionParagraphs"/>
        <w:jc w:val="center"/>
        <w:rPr>
          <w:lang w:eastAsia="ja-JP"/>
        </w:rPr>
      </w:pPr>
    </w:p>
    <w:p w:rsidR="00C64B27" w:rsidRPr="004034A4" w:rsidRDefault="00C64B27" w:rsidP="00C64B27">
      <w:pPr>
        <w:pStyle w:val="DecisionParagraphs"/>
        <w:tabs>
          <w:tab w:val="left" w:pos="5954"/>
        </w:tabs>
        <w:rPr>
          <w:rFonts w:eastAsia="MS Mincho"/>
        </w:rPr>
      </w:pPr>
      <w:r w:rsidRPr="004034A4">
        <w:rPr>
          <w:lang w:eastAsia="ja-JP"/>
        </w:rPr>
        <w:tab/>
      </w:r>
      <w:r w:rsidR="00D05AFE" w:rsidRPr="00B949AC">
        <w:rPr>
          <w:lang w:eastAsia="ja-JP"/>
        </w:rPr>
        <w:t>b)</w:t>
      </w:r>
      <w:r w:rsidRPr="004034A4">
        <w:rPr>
          <w:lang w:eastAsia="ja-JP"/>
        </w:rPr>
        <w:tab/>
      </w:r>
      <w:r w:rsidR="00B949AC" w:rsidRPr="00C962BE">
        <w:rPr>
          <w:rFonts w:eastAsia="MS Mincho"/>
        </w:rPr>
        <w:t>el método es más adecuado para cultivos con un gran número de variedades notoriamente conocidas y ensayos de grandes dimensiones en curso; y</w:t>
      </w:r>
    </w:p>
    <w:p w:rsidR="00C64B27" w:rsidRPr="004034A4" w:rsidRDefault="00C64B27" w:rsidP="00C64B27">
      <w:pPr>
        <w:pStyle w:val="DecisionParagraphs"/>
        <w:rPr>
          <w:lang w:eastAsia="ja-JP"/>
        </w:rPr>
      </w:pPr>
    </w:p>
    <w:p w:rsidR="00C64B27" w:rsidRPr="004034A4" w:rsidRDefault="00C64B27" w:rsidP="00C64B27">
      <w:pPr>
        <w:pStyle w:val="DecisionParagraphs"/>
        <w:tabs>
          <w:tab w:val="left" w:pos="5954"/>
        </w:tabs>
        <w:rPr>
          <w:lang w:eastAsia="ja-JP"/>
        </w:rPr>
      </w:pPr>
      <w:r w:rsidRPr="004034A4">
        <w:rPr>
          <w:lang w:eastAsia="ja-JP"/>
        </w:rPr>
        <w:tab/>
      </w:r>
      <w:r w:rsidR="00D05AFE" w:rsidRPr="00C962BE">
        <w:rPr>
          <w:lang w:eastAsia="ja-JP"/>
        </w:rPr>
        <w:t>c)</w:t>
      </w:r>
      <w:r w:rsidRPr="004034A4">
        <w:rPr>
          <w:lang w:eastAsia="ja-JP"/>
        </w:rPr>
        <w:tab/>
      </w:r>
      <w:r w:rsidR="00D05AFE" w:rsidRPr="00C962BE">
        <w:rPr>
          <w:rFonts w:eastAsia="MS Mincho"/>
        </w:rPr>
        <w:t>los planes del Reino Unido de probar el método en dos gran</w:t>
      </w:r>
      <w:r w:rsidR="00D82D1E">
        <w:rPr>
          <w:rFonts w:eastAsia="MS Mincho"/>
        </w:rPr>
        <w:t>des conjuntos de datos de colza </w:t>
      </w:r>
      <w:r w:rsidR="00D05AFE" w:rsidRPr="00C962BE">
        <w:rPr>
          <w:rFonts w:eastAsia="MS Mincho"/>
        </w:rPr>
        <w:t>oleaginosa.</w:t>
      </w:r>
      <w:r w:rsidRPr="004034A4">
        <w:rPr>
          <w:rFonts w:eastAsia="MS Mincho"/>
        </w:rPr>
        <w:t xml:space="preserve"> </w:t>
      </w:r>
    </w:p>
    <w:p w:rsidR="00C64B27" w:rsidRPr="004034A4" w:rsidRDefault="00C64B27" w:rsidP="00C64B27"/>
    <w:p w:rsidR="00C64B27" w:rsidRPr="004034A4" w:rsidRDefault="00C64B27" w:rsidP="00C64B27"/>
    <w:p w:rsidR="00C64B27" w:rsidRPr="004034A4" w:rsidRDefault="00C64B27" w:rsidP="00C64B27"/>
    <w:p w:rsidR="00C64B27" w:rsidRPr="004034A4" w:rsidRDefault="00D05AFE" w:rsidP="00C64B27">
      <w:pPr>
        <w:jc w:val="right"/>
      </w:pPr>
      <w:r w:rsidRPr="00C962BE">
        <w:t>[Sigue el Anexo]</w:t>
      </w:r>
    </w:p>
    <w:p w:rsidR="00C64B27" w:rsidRPr="004034A4" w:rsidRDefault="00C64B27" w:rsidP="00C64B27">
      <w:pPr>
        <w:jc w:val="right"/>
        <w:sectPr w:rsidR="00C64B27" w:rsidRPr="004034A4" w:rsidSect="00EB566D">
          <w:headerReference w:type="default" r:id="rId8"/>
          <w:pgSz w:w="11907" w:h="16840" w:code="9"/>
          <w:pgMar w:top="510" w:right="1134" w:bottom="1134" w:left="1134" w:header="510" w:footer="680" w:gutter="0"/>
          <w:cols w:space="720"/>
          <w:titlePg/>
        </w:sectPr>
      </w:pPr>
    </w:p>
    <w:p w:rsidR="00C64B27" w:rsidRPr="004034A4" w:rsidRDefault="00C64B27" w:rsidP="00C64B27">
      <w:pPr>
        <w:jc w:val="center"/>
      </w:pPr>
    </w:p>
    <w:p w:rsidR="00C64B27" w:rsidRPr="004034A4" w:rsidRDefault="00D05AFE" w:rsidP="00C64B27">
      <w:pPr>
        <w:jc w:val="center"/>
      </w:pPr>
      <w:r w:rsidRPr="00C962BE">
        <w:rPr>
          <w:snapToGrid w:val="0"/>
        </w:rPr>
        <w:t>DETERMINACIÓN DE UMBRALES PARA EXCLUIR LAS VARIEDADES NOTORIAMENTE CONOCIDAS DEL SEGUNDO CICLO DE CULTIVO CUANDO SE EMPLEA EL COYD</w:t>
      </w:r>
    </w:p>
    <w:p w:rsidR="00C64B27" w:rsidRPr="004034A4" w:rsidRDefault="00C64B27" w:rsidP="00C64B27">
      <w:pPr>
        <w:jc w:val="center"/>
      </w:pPr>
    </w:p>
    <w:p w:rsidR="00C64B27" w:rsidRPr="004034A4" w:rsidRDefault="00CF743D" w:rsidP="00C962BE">
      <w:pPr>
        <w:spacing w:line="360" w:lineRule="auto"/>
        <w:jc w:val="center"/>
      </w:pPr>
      <w:r w:rsidRPr="00C962BE">
        <w:t>Ponencia elaborada por expertos del Reino Unido</w:t>
      </w:r>
    </w:p>
    <w:p w:rsidR="00C64B27" w:rsidRPr="004034A4" w:rsidRDefault="00C64B27" w:rsidP="00C64B27">
      <w:pPr>
        <w:jc w:val="center"/>
      </w:pPr>
    </w:p>
    <w:p w:rsidR="00C64B27" w:rsidRDefault="00012161" w:rsidP="00C64B27">
      <w:pPr>
        <w:jc w:val="center"/>
      </w:pPr>
      <w:r>
        <w:rPr>
          <w:noProof/>
          <w:lang w:val="en-US"/>
        </w:rPr>
        <w:drawing>
          <wp:inline distT="0" distB="0" distL="0" distR="0">
            <wp:extent cx="4667274" cy="3456000"/>
            <wp:effectExtent l="19050" t="19050" r="19026" b="11100"/>
            <wp:docPr id="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4667274"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012161" w:rsidP="00C64B27">
      <w:pPr>
        <w:jc w:val="center"/>
      </w:pPr>
      <w:r>
        <w:rPr>
          <w:noProof/>
          <w:lang w:val="en-US"/>
        </w:rPr>
        <w:drawing>
          <wp:inline distT="0" distB="0" distL="0" distR="0">
            <wp:extent cx="4609800" cy="3456000"/>
            <wp:effectExtent l="19050" t="19050" r="19350" b="1110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012161" w:rsidP="00C64B27">
      <w:pPr>
        <w:jc w:val="center"/>
      </w:pPr>
      <w:r>
        <w:rPr>
          <w:noProof/>
          <w:lang w:val="en-US"/>
        </w:rPr>
        <w:lastRenderedPageBreak/>
        <w:drawing>
          <wp:inline distT="0" distB="0" distL="0" distR="0">
            <wp:extent cx="4609800" cy="3456000"/>
            <wp:effectExtent l="19050" t="19050" r="19350" b="1110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0731CD" w:rsidP="00C64B27">
      <w:pPr>
        <w:jc w:val="center"/>
      </w:pPr>
      <w:r>
        <w:rPr>
          <w:noProof/>
          <w:lang w:val="en-US"/>
        </w:rPr>
        <w:drawing>
          <wp:inline distT="0" distB="0" distL="0" distR="0">
            <wp:extent cx="4609800" cy="3456000"/>
            <wp:effectExtent l="19050" t="19050" r="19350" b="11100"/>
            <wp:docPr id="2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5B671B" w:rsidP="00C64B27">
      <w:pPr>
        <w:jc w:val="center"/>
      </w:pPr>
      <w:r>
        <w:rPr>
          <w:noProof/>
          <w:lang w:val="en-US"/>
        </w:rPr>
        <w:lastRenderedPageBreak/>
        <w:drawing>
          <wp:inline distT="0" distB="0" distL="0" distR="0">
            <wp:extent cx="4609800" cy="3456000"/>
            <wp:effectExtent l="19050" t="19050" r="19350" b="11100"/>
            <wp:docPr id="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3B330F" w:rsidP="00C64B27">
      <w:pPr>
        <w:jc w:val="center"/>
      </w:pPr>
      <w:r>
        <w:rPr>
          <w:noProof/>
          <w:lang w:val="en-US"/>
        </w:rPr>
        <w:drawing>
          <wp:inline distT="0" distB="0" distL="0" distR="0">
            <wp:extent cx="4609800" cy="3456000"/>
            <wp:effectExtent l="19050" t="19050" r="19350" b="11100"/>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1546EE" w:rsidP="00C64B27">
      <w:pPr>
        <w:jc w:val="center"/>
      </w:pPr>
      <w:r>
        <w:rPr>
          <w:noProof/>
          <w:lang w:val="en-US"/>
        </w:rPr>
        <w:lastRenderedPageBreak/>
        <w:drawing>
          <wp:inline distT="0" distB="0" distL="0" distR="0">
            <wp:extent cx="4609800" cy="3456000"/>
            <wp:effectExtent l="19050" t="19050" r="19350" b="11100"/>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56786E" w:rsidP="00C64B27">
      <w:pPr>
        <w:jc w:val="center"/>
      </w:pPr>
      <w:r>
        <w:rPr>
          <w:noProof/>
          <w:lang w:val="en-US"/>
        </w:rPr>
        <w:drawing>
          <wp:inline distT="0" distB="0" distL="0" distR="0">
            <wp:extent cx="4598726" cy="3456000"/>
            <wp:effectExtent l="19050" t="19050" r="11374" b="11100"/>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srcRect/>
                    <a:stretch>
                      <a:fillRect/>
                    </a:stretch>
                  </pic:blipFill>
                  <pic:spPr bwMode="auto">
                    <a:xfrm>
                      <a:off x="0" y="0"/>
                      <a:ext cx="4598726"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492637" w:rsidP="00C64B27">
      <w:pPr>
        <w:jc w:val="center"/>
      </w:pPr>
      <w:r>
        <w:rPr>
          <w:noProof/>
          <w:lang w:val="en-US"/>
        </w:rPr>
        <w:lastRenderedPageBreak/>
        <w:drawing>
          <wp:inline distT="0" distB="0" distL="0" distR="0">
            <wp:extent cx="4609800" cy="3456000"/>
            <wp:effectExtent l="19050" t="19050" r="19350" b="11100"/>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9274DA" w:rsidP="00C64B27">
      <w:pPr>
        <w:jc w:val="center"/>
      </w:pPr>
      <w:r>
        <w:rPr>
          <w:noProof/>
          <w:lang w:val="en-US"/>
        </w:rPr>
        <w:drawing>
          <wp:inline distT="0" distB="0" distL="0" distR="0">
            <wp:extent cx="4651716" cy="3456000"/>
            <wp:effectExtent l="19050" t="19050" r="15534" b="11100"/>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651716"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9274DA" w:rsidP="00C64B27">
      <w:pPr>
        <w:jc w:val="center"/>
      </w:pPr>
      <w:r>
        <w:rPr>
          <w:noProof/>
          <w:lang w:val="en-US"/>
        </w:rPr>
        <w:lastRenderedPageBreak/>
        <w:drawing>
          <wp:inline distT="0" distB="0" distL="0" distR="0">
            <wp:extent cx="4609800" cy="3456000"/>
            <wp:effectExtent l="19050" t="19050" r="19350" b="11100"/>
            <wp:docPr id="36"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5F77A8" w:rsidP="00C64B27">
      <w:pPr>
        <w:jc w:val="center"/>
      </w:pPr>
      <w:r>
        <w:rPr>
          <w:noProof/>
          <w:lang w:val="en-US"/>
        </w:rPr>
        <w:drawing>
          <wp:inline distT="0" distB="0" distL="0" distR="0">
            <wp:extent cx="4609800" cy="3456000"/>
            <wp:effectExtent l="19050" t="19050" r="19350" b="11100"/>
            <wp:docPr id="3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BB418C" w:rsidP="00C64B27">
      <w:pPr>
        <w:jc w:val="center"/>
      </w:pPr>
      <w:r>
        <w:rPr>
          <w:noProof/>
          <w:lang w:val="en-US"/>
        </w:rPr>
        <w:lastRenderedPageBreak/>
        <w:drawing>
          <wp:inline distT="0" distB="0" distL="0" distR="0">
            <wp:extent cx="4609800" cy="3456000"/>
            <wp:effectExtent l="19050" t="19050" r="19350" b="11100"/>
            <wp:docPr id="38"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022DC7" w:rsidP="00C64B27">
      <w:pPr>
        <w:jc w:val="center"/>
      </w:pPr>
      <w:r>
        <w:rPr>
          <w:noProof/>
          <w:lang w:val="en-US"/>
        </w:rPr>
        <w:drawing>
          <wp:inline distT="0" distB="0" distL="0" distR="0">
            <wp:extent cx="4605773" cy="3456000"/>
            <wp:effectExtent l="19050" t="19050" r="23377" b="11100"/>
            <wp:docPr id="39"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4605773"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7812DB" w:rsidP="00C64B27">
      <w:pPr>
        <w:jc w:val="center"/>
      </w:pPr>
      <w:r>
        <w:rPr>
          <w:noProof/>
          <w:lang w:val="en-US"/>
        </w:rPr>
        <w:lastRenderedPageBreak/>
        <w:drawing>
          <wp:inline distT="0" distB="0" distL="0" distR="0">
            <wp:extent cx="4609800" cy="3456000"/>
            <wp:effectExtent l="19050" t="19050" r="19350" b="11100"/>
            <wp:docPr id="4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7812DB" w:rsidP="00C64B27">
      <w:pPr>
        <w:jc w:val="center"/>
      </w:pPr>
      <w:r>
        <w:rPr>
          <w:noProof/>
          <w:lang w:val="en-US"/>
        </w:rPr>
        <w:drawing>
          <wp:inline distT="0" distB="0" distL="0" distR="0">
            <wp:extent cx="4611722" cy="3456000"/>
            <wp:effectExtent l="19050" t="19050" r="17428" b="11100"/>
            <wp:docPr id="41"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cstate="print"/>
                    <a:srcRect/>
                    <a:stretch>
                      <a:fillRect/>
                    </a:stretch>
                  </pic:blipFill>
                  <pic:spPr bwMode="auto">
                    <a:xfrm>
                      <a:off x="0" y="0"/>
                      <a:ext cx="4611722"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7812DB" w:rsidP="00C64B27">
      <w:pPr>
        <w:jc w:val="center"/>
      </w:pPr>
      <w:bookmarkStart w:id="12" w:name="_GoBack"/>
      <w:bookmarkEnd w:id="12"/>
      <w:r>
        <w:rPr>
          <w:noProof/>
          <w:lang w:val="en-US"/>
        </w:rPr>
        <w:lastRenderedPageBreak/>
        <w:drawing>
          <wp:inline distT="0" distB="0" distL="0" distR="0">
            <wp:extent cx="4609800" cy="3456000"/>
            <wp:effectExtent l="19050" t="19050" r="19350" b="11100"/>
            <wp:docPr id="4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C64B27">
      <w:pPr>
        <w:jc w:val="center"/>
      </w:pPr>
    </w:p>
    <w:p w:rsidR="00C64B27" w:rsidRDefault="00C64B27" w:rsidP="00C64B27">
      <w:pPr>
        <w:jc w:val="center"/>
      </w:pPr>
    </w:p>
    <w:p w:rsidR="00C64B27" w:rsidRDefault="00C64B27" w:rsidP="00C64B27">
      <w:pPr>
        <w:jc w:val="center"/>
      </w:pPr>
    </w:p>
    <w:p w:rsidR="00C64B27" w:rsidRDefault="007812DB" w:rsidP="00C64B27">
      <w:pPr>
        <w:jc w:val="center"/>
      </w:pPr>
      <w:r>
        <w:rPr>
          <w:noProof/>
          <w:lang w:val="en-US"/>
        </w:rPr>
        <w:drawing>
          <wp:inline distT="0" distB="0" distL="0" distR="0">
            <wp:extent cx="4609800" cy="3456000"/>
            <wp:effectExtent l="19050" t="19050" r="19350" b="11100"/>
            <wp:docPr id="43"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cstate="print"/>
                    <a:srcRect/>
                    <a:stretch>
                      <a:fillRect/>
                    </a:stretch>
                  </pic:blipFill>
                  <pic:spPr bwMode="auto">
                    <a:xfrm>
                      <a:off x="0" y="0"/>
                      <a:ext cx="4609800" cy="3456000"/>
                    </a:xfrm>
                    <a:prstGeom prst="rect">
                      <a:avLst/>
                    </a:prstGeom>
                    <a:noFill/>
                    <a:ln>
                      <a:solidFill>
                        <a:schemeClr val="tx1"/>
                      </a:solidFill>
                    </a:ln>
                  </pic:spPr>
                </pic:pic>
              </a:graphicData>
            </a:graphic>
          </wp:inline>
        </w:drawing>
      </w:r>
    </w:p>
    <w:p w:rsidR="00C64B27" w:rsidRDefault="00C64B27" w:rsidP="00912901"/>
    <w:p w:rsidR="00C64B27" w:rsidRDefault="00C64B27" w:rsidP="00912901"/>
    <w:p w:rsidR="00C64B27" w:rsidRDefault="00C64B27" w:rsidP="00C64B27"/>
    <w:p w:rsidR="00050E16" w:rsidRPr="004034A4" w:rsidRDefault="00CF743D" w:rsidP="00912901">
      <w:pPr>
        <w:jc w:val="right"/>
      </w:pPr>
      <w:r w:rsidRPr="00C962BE">
        <w:rPr>
          <w:iCs/>
          <w:spacing w:val="-4"/>
          <w:lang w:eastAsia="ja-JP"/>
        </w:rPr>
        <w:t>[Fin del Anexo y del documento]</w:t>
      </w:r>
    </w:p>
    <w:sectPr w:rsidR="00050E16" w:rsidRPr="004034A4" w:rsidSect="00C64B27">
      <w:headerReference w:type="default" r:id="rId27"/>
      <w:headerReference w:type="first" r:id="rId2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9AC" w:rsidRDefault="00B949AC" w:rsidP="006655D3">
      <w:r>
        <w:separator/>
      </w:r>
    </w:p>
    <w:p w:rsidR="00B949AC" w:rsidRDefault="00B949AC" w:rsidP="006655D3"/>
    <w:p w:rsidR="00B949AC" w:rsidRDefault="00B949AC" w:rsidP="006655D3"/>
  </w:endnote>
  <w:endnote w:type="continuationSeparator" w:id="0">
    <w:p w:rsidR="00B949AC" w:rsidRDefault="00B949AC" w:rsidP="006655D3">
      <w:r>
        <w:separator/>
      </w:r>
    </w:p>
    <w:p w:rsidR="00B949AC" w:rsidRPr="00294751" w:rsidRDefault="00B949AC">
      <w:pPr>
        <w:pStyle w:val="Footer"/>
        <w:spacing w:after="60"/>
        <w:rPr>
          <w:sz w:val="18"/>
          <w:lang w:val="fr-FR"/>
        </w:rPr>
      </w:pPr>
      <w:r w:rsidRPr="00294751">
        <w:rPr>
          <w:sz w:val="18"/>
          <w:lang w:val="fr-FR"/>
        </w:rPr>
        <w:t>[Suite de la note de la page précédente]</w:t>
      </w:r>
    </w:p>
    <w:p w:rsidR="00B949AC" w:rsidRPr="00294751" w:rsidRDefault="00B949AC" w:rsidP="006655D3">
      <w:pPr>
        <w:rPr>
          <w:lang w:val="fr-FR"/>
        </w:rPr>
      </w:pPr>
    </w:p>
    <w:p w:rsidR="00B949AC" w:rsidRPr="00294751" w:rsidRDefault="00B949AC" w:rsidP="006655D3">
      <w:pPr>
        <w:rPr>
          <w:lang w:val="fr-FR"/>
        </w:rPr>
      </w:pPr>
    </w:p>
  </w:endnote>
  <w:endnote w:type="continuationNotice" w:id="1">
    <w:p w:rsidR="00B949AC" w:rsidRPr="00294751" w:rsidRDefault="00B949AC" w:rsidP="006655D3">
      <w:pPr>
        <w:rPr>
          <w:lang w:val="fr-FR"/>
        </w:rPr>
      </w:pPr>
      <w:r w:rsidRPr="00294751">
        <w:rPr>
          <w:lang w:val="fr-FR"/>
        </w:rPr>
        <w:t>[Suite de la note page suivante]</w:t>
      </w:r>
    </w:p>
    <w:p w:rsidR="00B949AC" w:rsidRPr="00294751" w:rsidRDefault="00B949AC" w:rsidP="006655D3">
      <w:pPr>
        <w:rPr>
          <w:lang w:val="fr-FR"/>
        </w:rPr>
      </w:pPr>
    </w:p>
    <w:p w:rsidR="00B949AC" w:rsidRPr="00294751" w:rsidRDefault="00B949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9AC" w:rsidRDefault="00B949AC" w:rsidP="006655D3">
      <w:r>
        <w:separator/>
      </w:r>
    </w:p>
  </w:footnote>
  <w:footnote w:type="continuationSeparator" w:id="0">
    <w:p w:rsidR="00B949AC" w:rsidRDefault="00B949AC" w:rsidP="006655D3">
      <w:r>
        <w:separator/>
      </w:r>
    </w:p>
  </w:footnote>
  <w:footnote w:type="continuationNotice" w:id="1">
    <w:p w:rsidR="00B949AC" w:rsidRPr="00AB530F" w:rsidRDefault="00B949A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AC" w:rsidRPr="00C5280D" w:rsidRDefault="00B949AC" w:rsidP="00EB566D">
    <w:pPr>
      <w:pStyle w:val="Header"/>
      <w:rPr>
        <w:rStyle w:val="PageNumber"/>
        <w:lang w:val="en-US"/>
      </w:rPr>
    </w:pPr>
    <w:r>
      <w:rPr>
        <w:rStyle w:val="PageNumber"/>
        <w:lang w:val="en-US"/>
      </w:rPr>
      <w:t>TC/54/29</w:t>
    </w:r>
  </w:p>
  <w:p w:rsidR="00B949AC" w:rsidRPr="00B9639A" w:rsidRDefault="00B949AC" w:rsidP="00EB048E">
    <w:pPr>
      <w:pStyle w:val="Header"/>
    </w:pPr>
    <w:r w:rsidRPr="00B9639A">
      <w:t xml:space="preserve">página </w:t>
    </w:r>
    <w:bookmarkStart w:id="8" w:name="_Toc410822398"/>
    <w:bookmarkStart w:id="9" w:name="_Toc410822802"/>
    <w:r w:rsidR="00BB55FF" w:rsidRPr="00B9639A">
      <w:fldChar w:fldCharType="begin"/>
    </w:r>
    <w:r w:rsidRPr="00B9639A">
      <w:instrText xml:space="preserve"> PAGE   \* MERGEFORMAT </w:instrText>
    </w:r>
    <w:r w:rsidR="00BB55FF" w:rsidRPr="00B9639A">
      <w:fldChar w:fldCharType="separate"/>
    </w:r>
    <w:r w:rsidR="00350791">
      <w:rPr>
        <w:noProof/>
      </w:rPr>
      <w:t>3</w:t>
    </w:r>
    <w:r w:rsidR="00BB55FF" w:rsidRPr="00B9639A">
      <w:rPr>
        <w:noProof/>
      </w:rPr>
      <w:fldChar w:fldCharType="end"/>
    </w:r>
  </w:p>
  <w:p w:rsidR="00B949AC" w:rsidRPr="00C5280D" w:rsidRDefault="00B949AC" w:rsidP="006655D3">
    <w:bookmarkStart w:id="10" w:name="_Toc441145847"/>
    <w:bookmarkStart w:id="11" w:name="_Toc374716168"/>
    <w:bookmarkEnd w:id="8"/>
    <w:bookmarkEnd w:id="9"/>
    <w:bookmarkEnd w:id="10"/>
    <w:bookmarkEnd w:id="11"/>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AC" w:rsidRDefault="00B949AC" w:rsidP="00C64B27">
    <w:pPr>
      <w:pStyle w:val="Header"/>
    </w:pPr>
    <w:r>
      <w:t>TC/54/29</w:t>
    </w:r>
  </w:p>
  <w:p w:rsidR="00B949AC" w:rsidRPr="00B9639A" w:rsidRDefault="00B949AC" w:rsidP="008B3D8D">
    <w:pPr>
      <w:pStyle w:val="Header"/>
    </w:pPr>
    <w:r w:rsidRPr="00B9639A">
      <w:t xml:space="preserve">Anexo, página </w:t>
    </w:r>
    <w:r w:rsidR="00BB55FF" w:rsidRPr="00B9639A">
      <w:rPr>
        <w:rStyle w:val="PageNumber"/>
      </w:rPr>
      <w:fldChar w:fldCharType="begin"/>
    </w:r>
    <w:r w:rsidRPr="00B9639A">
      <w:rPr>
        <w:rStyle w:val="PageNumber"/>
      </w:rPr>
      <w:instrText xml:space="preserve"> PAGE </w:instrText>
    </w:r>
    <w:r w:rsidR="00BB55FF" w:rsidRPr="00B9639A">
      <w:rPr>
        <w:rStyle w:val="PageNumber"/>
      </w:rPr>
      <w:fldChar w:fldCharType="separate"/>
    </w:r>
    <w:r w:rsidR="00350791">
      <w:rPr>
        <w:rStyle w:val="PageNumber"/>
        <w:noProof/>
      </w:rPr>
      <w:t>9</w:t>
    </w:r>
    <w:r w:rsidR="00BB55FF" w:rsidRPr="00B9639A">
      <w:rPr>
        <w:rStyle w:val="PageNumber"/>
      </w:rPr>
      <w:fldChar w:fldCharType="end"/>
    </w:r>
  </w:p>
  <w:p w:rsidR="00B949AC" w:rsidRPr="00202E38" w:rsidRDefault="00B949AC" w:rsidP="006655D3">
    <w:pPr>
      <w:rPr>
        <w:lang w:val="de-DE"/>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9AC" w:rsidRDefault="00B949AC">
    <w:pPr>
      <w:pStyle w:val="Header"/>
    </w:pPr>
    <w:r>
      <w:t>TC/54/29</w:t>
    </w:r>
  </w:p>
  <w:p w:rsidR="00B949AC" w:rsidRDefault="00B949AC">
    <w:pPr>
      <w:pStyle w:val="Header"/>
    </w:pPr>
  </w:p>
  <w:p w:rsidR="00B949AC" w:rsidRDefault="00B949AC">
    <w:pPr>
      <w:pStyle w:val="Header"/>
    </w:pPr>
    <w:r>
      <w:t>ANEXO</w:t>
    </w:r>
  </w:p>
  <w:p w:rsidR="00B949AC" w:rsidRDefault="00B949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WtBookmark" w:val="00009"/>
  </w:docVars>
  <w:rsids>
    <w:rsidRoot w:val="00F838D9"/>
    <w:rsid w:val="00010CF3"/>
    <w:rsid w:val="00011E27"/>
    <w:rsid w:val="00012161"/>
    <w:rsid w:val="000148BC"/>
    <w:rsid w:val="00022DC7"/>
    <w:rsid w:val="00024AB8"/>
    <w:rsid w:val="00030854"/>
    <w:rsid w:val="00036028"/>
    <w:rsid w:val="00044642"/>
    <w:rsid w:val="000446B9"/>
    <w:rsid w:val="00047E21"/>
    <w:rsid w:val="00050E16"/>
    <w:rsid w:val="000638A9"/>
    <w:rsid w:val="000731CD"/>
    <w:rsid w:val="000849B6"/>
    <w:rsid w:val="00085505"/>
    <w:rsid w:val="000A23DC"/>
    <w:rsid w:val="000C4E25"/>
    <w:rsid w:val="000C7021"/>
    <w:rsid w:val="000D6BBC"/>
    <w:rsid w:val="000D7780"/>
    <w:rsid w:val="000E636A"/>
    <w:rsid w:val="000F2F11"/>
    <w:rsid w:val="00105929"/>
    <w:rsid w:val="00110C36"/>
    <w:rsid w:val="00111A2D"/>
    <w:rsid w:val="001131D5"/>
    <w:rsid w:val="00114B8E"/>
    <w:rsid w:val="00141DB8"/>
    <w:rsid w:val="00153B6C"/>
    <w:rsid w:val="00153ECE"/>
    <w:rsid w:val="001546EE"/>
    <w:rsid w:val="00172084"/>
    <w:rsid w:val="0017474A"/>
    <w:rsid w:val="001758C6"/>
    <w:rsid w:val="00182B99"/>
    <w:rsid w:val="001A3AE1"/>
    <w:rsid w:val="001E4869"/>
    <w:rsid w:val="001F56DF"/>
    <w:rsid w:val="001F64BF"/>
    <w:rsid w:val="00202E38"/>
    <w:rsid w:val="0021332C"/>
    <w:rsid w:val="00213982"/>
    <w:rsid w:val="0024416D"/>
    <w:rsid w:val="002464A3"/>
    <w:rsid w:val="00271911"/>
    <w:rsid w:val="002800A0"/>
    <w:rsid w:val="002801B3"/>
    <w:rsid w:val="00281060"/>
    <w:rsid w:val="002940E8"/>
    <w:rsid w:val="00294751"/>
    <w:rsid w:val="002A6E50"/>
    <w:rsid w:val="002B4298"/>
    <w:rsid w:val="002C256A"/>
    <w:rsid w:val="002E5944"/>
    <w:rsid w:val="002F5CAB"/>
    <w:rsid w:val="00303583"/>
    <w:rsid w:val="00305A7F"/>
    <w:rsid w:val="003152FE"/>
    <w:rsid w:val="00327436"/>
    <w:rsid w:val="00344BD6"/>
    <w:rsid w:val="00346E14"/>
    <w:rsid w:val="00350791"/>
    <w:rsid w:val="0035528D"/>
    <w:rsid w:val="00361821"/>
    <w:rsid w:val="00361E9E"/>
    <w:rsid w:val="00363EE1"/>
    <w:rsid w:val="00376276"/>
    <w:rsid w:val="003B031A"/>
    <w:rsid w:val="003B0509"/>
    <w:rsid w:val="003B330F"/>
    <w:rsid w:val="003C7FBE"/>
    <w:rsid w:val="003D227C"/>
    <w:rsid w:val="003D2B4D"/>
    <w:rsid w:val="004034A4"/>
    <w:rsid w:val="0040557F"/>
    <w:rsid w:val="00417B76"/>
    <w:rsid w:val="00430E92"/>
    <w:rsid w:val="00444A88"/>
    <w:rsid w:val="00474DA4"/>
    <w:rsid w:val="00476B4D"/>
    <w:rsid w:val="004805FA"/>
    <w:rsid w:val="00492637"/>
    <w:rsid w:val="004935D2"/>
    <w:rsid w:val="004B1215"/>
    <w:rsid w:val="004B122E"/>
    <w:rsid w:val="004B692C"/>
    <w:rsid w:val="004D047D"/>
    <w:rsid w:val="004F1E9E"/>
    <w:rsid w:val="004F305A"/>
    <w:rsid w:val="00512164"/>
    <w:rsid w:val="00520297"/>
    <w:rsid w:val="0053061B"/>
    <w:rsid w:val="0053188E"/>
    <w:rsid w:val="005338F9"/>
    <w:rsid w:val="0054281C"/>
    <w:rsid w:val="00544581"/>
    <w:rsid w:val="00545E42"/>
    <w:rsid w:val="0055268D"/>
    <w:rsid w:val="0056786E"/>
    <w:rsid w:val="00576BE4"/>
    <w:rsid w:val="005963DE"/>
    <w:rsid w:val="005A1EC1"/>
    <w:rsid w:val="005A400A"/>
    <w:rsid w:val="005B671B"/>
    <w:rsid w:val="005F57DC"/>
    <w:rsid w:val="005F77A8"/>
    <w:rsid w:val="005F7B92"/>
    <w:rsid w:val="00604C20"/>
    <w:rsid w:val="00611282"/>
    <w:rsid w:val="00611E27"/>
    <w:rsid w:val="00612379"/>
    <w:rsid w:val="006153B6"/>
    <w:rsid w:val="0061555F"/>
    <w:rsid w:val="00636CA6"/>
    <w:rsid w:val="00637EDD"/>
    <w:rsid w:val="0064039B"/>
    <w:rsid w:val="00641200"/>
    <w:rsid w:val="00645CA8"/>
    <w:rsid w:val="006655D3"/>
    <w:rsid w:val="00667404"/>
    <w:rsid w:val="00671589"/>
    <w:rsid w:val="00687EB4"/>
    <w:rsid w:val="00695C56"/>
    <w:rsid w:val="006A5CDE"/>
    <w:rsid w:val="006A644A"/>
    <w:rsid w:val="006B17D2"/>
    <w:rsid w:val="006B7E4A"/>
    <w:rsid w:val="006C126C"/>
    <w:rsid w:val="006C224E"/>
    <w:rsid w:val="006D780A"/>
    <w:rsid w:val="007030C4"/>
    <w:rsid w:val="00711540"/>
    <w:rsid w:val="0071271E"/>
    <w:rsid w:val="00721AC7"/>
    <w:rsid w:val="00730BA8"/>
    <w:rsid w:val="00732DEC"/>
    <w:rsid w:val="00735BD5"/>
    <w:rsid w:val="00742302"/>
    <w:rsid w:val="00751613"/>
    <w:rsid w:val="007556F6"/>
    <w:rsid w:val="00760EEF"/>
    <w:rsid w:val="00777EE5"/>
    <w:rsid w:val="007812DB"/>
    <w:rsid w:val="00783722"/>
    <w:rsid w:val="00784836"/>
    <w:rsid w:val="0079023E"/>
    <w:rsid w:val="007A2854"/>
    <w:rsid w:val="007B5B6B"/>
    <w:rsid w:val="007B5DFA"/>
    <w:rsid w:val="007C1D92"/>
    <w:rsid w:val="007C4CB9"/>
    <w:rsid w:val="007D0B9D"/>
    <w:rsid w:val="007D19B0"/>
    <w:rsid w:val="007F498F"/>
    <w:rsid w:val="0080679D"/>
    <w:rsid w:val="008108B0"/>
    <w:rsid w:val="00811B20"/>
    <w:rsid w:val="008211B5"/>
    <w:rsid w:val="00821B7B"/>
    <w:rsid w:val="0082296E"/>
    <w:rsid w:val="00824099"/>
    <w:rsid w:val="00833F9E"/>
    <w:rsid w:val="00846D7C"/>
    <w:rsid w:val="00864C55"/>
    <w:rsid w:val="00867AC1"/>
    <w:rsid w:val="00890DF8"/>
    <w:rsid w:val="008A743F"/>
    <w:rsid w:val="008B3D8D"/>
    <w:rsid w:val="008C0970"/>
    <w:rsid w:val="008D0BC5"/>
    <w:rsid w:val="008D2CF7"/>
    <w:rsid w:val="008F07C7"/>
    <w:rsid w:val="00900C26"/>
    <w:rsid w:val="0090197F"/>
    <w:rsid w:val="00906DDC"/>
    <w:rsid w:val="00912901"/>
    <w:rsid w:val="009274DA"/>
    <w:rsid w:val="00934E09"/>
    <w:rsid w:val="00936253"/>
    <w:rsid w:val="00940D46"/>
    <w:rsid w:val="009438DF"/>
    <w:rsid w:val="00952DD4"/>
    <w:rsid w:val="0096175D"/>
    <w:rsid w:val="00965AE7"/>
    <w:rsid w:val="00970FED"/>
    <w:rsid w:val="00992D82"/>
    <w:rsid w:val="00995DFA"/>
    <w:rsid w:val="00997029"/>
    <w:rsid w:val="009A7339"/>
    <w:rsid w:val="009B3720"/>
    <w:rsid w:val="009B440E"/>
    <w:rsid w:val="009D690D"/>
    <w:rsid w:val="009E65B6"/>
    <w:rsid w:val="009F55E7"/>
    <w:rsid w:val="00A24C10"/>
    <w:rsid w:val="00A42AC3"/>
    <w:rsid w:val="00A430CF"/>
    <w:rsid w:val="00A54309"/>
    <w:rsid w:val="00A706D3"/>
    <w:rsid w:val="00A83F40"/>
    <w:rsid w:val="00AB2B93"/>
    <w:rsid w:val="00AB530F"/>
    <w:rsid w:val="00AB7E5B"/>
    <w:rsid w:val="00AC2883"/>
    <w:rsid w:val="00AE0EF1"/>
    <w:rsid w:val="00AE2937"/>
    <w:rsid w:val="00B07301"/>
    <w:rsid w:val="00B10D68"/>
    <w:rsid w:val="00B11F3E"/>
    <w:rsid w:val="00B224DE"/>
    <w:rsid w:val="00B324D4"/>
    <w:rsid w:val="00B46575"/>
    <w:rsid w:val="00B57F3F"/>
    <w:rsid w:val="00B60FA8"/>
    <w:rsid w:val="00B61777"/>
    <w:rsid w:val="00B84BBD"/>
    <w:rsid w:val="00B949AC"/>
    <w:rsid w:val="00B9639A"/>
    <w:rsid w:val="00BA1B54"/>
    <w:rsid w:val="00BA43FB"/>
    <w:rsid w:val="00BB418C"/>
    <w:rsid w:val="00BB55FF"/>
    <w:rsid w:val="00BC0BD4"/>
    <w:rsid w:val="00BC127D"/>
    <w:rsid w:val="00BC1FE6"/>
    <w:rsid w:val="00BC64CE"/>
    <w:rsid w:val="00C061B6"/>
    <w:rsid w:val="00C14326"/>
    <w:rsid w:val="00C22BFA"/>
    <w:rsid w:val="00C2446C"/>
    <w:rsid w:val="00C36AE5"/>
    <w:rsid w:val="00C41F17"/>
    <w:rsid w:val="00C527FA"/>
    <w:rsid w:val="00C5280D"/>
    <w:rsid w:val="00C53EB3"/>
    <w:rsid w:val="00C5791C"/>
    <w:rsid w:val="00C64B27"/>
    <w:rsid w:val="00C66290"/>
    <w:rsid w:val="00C72B7A"/>
    <w:rsid w:val="00C962BE"/>
    <w:rsid w:val="00C973F2"/>
    <w:rsid w:val="00CA304C"/>
    <w:rsid w:val="00CA3F28"/>
    <w:rsid w:val="00CA774A"/>
    <w:rsid w:val="00CC11B0"/>
    <w:rsid w:val="00CC2841"/>
    <w:rsid w:val="00CE0BA3"/>
    <w:rsid w:val="00CE49AB"/>
    <w:rsid w:val="00CE6AF3"/>
    <w:rsid w:val="00CF1330"/>
    <w:rsid w:val="00CF34FE"/>
    <w:rsid w:val="00CF743D"/>
    <w:rsid w:val="00CF7E36"/>
    <w:rsid w:val="00D05AFE"/>
    <w:rsid w:val="00D3708D"/>
    <w:rsid w:val="00D40426"/>
    <w:rsid w:val="00D47499"/>
    <w:rsid w:val="00D52DB9"/>
    <w:rsid w:val="00D57C96"/>
    <w:rsid w:val="00D57D18"/>
    <w:rsid w:val="00D62913"/>
    <w:rsid w:val="00D82D1E"/>
    <w:rsid w:val="00D91203"/>
    <w:rsid w:val="00D95174"/>
    <w:rsid w:val="00DA4973"/>
    <w:rsid w:val="00DA6F36"/>
    <w:rsid w:val="00DB596E"/>
    <w:rsid w:val="00DB7773"/>
    <w:rsid w:val="00DC00EA"/>
    <w:rsid w:val="00DC3802"/>
    <w:rsid w:val="00DD33F8"/>
    <w:rsid w:val="00E07D87"/>
    <w:rsid w:val="00E32F7E"/>
    <w:rsid w:val="00E5267B"/>
    <w:rsid w:val="00E54ED4"/>
    <w:rsid w:val="00E63C0E"/>
    <w:rsid w:val="00E72D49"/>
    <w:rsid w:val="00E7593C"/>
    <w:rsid w:val="00E7678A"/>
    <w:rsid w:val="00E771B3"/>
    <w:rsid w:val="00E935F1"/>
    <w:rsid w:val="00E94A81"/>
    <w:rsid w:val="00EA1FFB"/>
    <w:rsid w:val="00EB048E"/>
    <w:rsid w:val="00EB4E9C"/>
    <w:rsid w:val="00EB566D"/>
    <w:rsid w:val="00EC2265"/>
    <w:rsid w:val="00EE34DF"/>
    <w:rsid w:val="00EF2420"/>
    <w:rsid w:val="00EF2F89"/>
    <w:rsid w:val="00F03E98"/>
    <w:rsid w:val="00F1237A"/>
    <w:rsid w:val="00F22CBD"/>
    <w:rsid w:val="00F272F1"/>
    <w:rsid w:val="00F45372"/>
    <w:rsid w:val="00F560F7"/>
    <w:rsid w:val="00F6334D"/>
    <w:rsid w:val="00F838D9"/>
    <w:rsid w:val="00FA49AB"/>
    <w:rsid w:val="00FB1E99"/>
    <w:rsid w:val="00FD3F87"/>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826CB86B-ADDE-49F9-9983-2A136C435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lang w:val="es-ES_tradn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lang w:val="es-ES_tradn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lang w:val="es-ES_tradnl"/>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lang w:val="es-ES_tradnl"/>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qFormat/>
    <w:rsid w:val="00711540"/>
    <w:pPr>
      <w:tabs>
        <w:tab w:val="right" w:leader="dot" w:pos="9639"/>
      </w:tabs>
      <w:spacing w:after="60"/>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qFormat/>
    <w:rsid w:val="00CE6AF3"/>
    <w:pPr>
      <w:tabs>
        <w:tab w:val="right" w:leader="dot" w:pos="9639"/>
      </w:tabs>
      <w:spacing w:before="60"/>
      <w:ind w:right="1418"/>
      <w:jc w:val="center"/>
    </w:pPr>
    <w:rPr>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F56DF"/>
    <w:pPr>
      <w:spacing w:after="200" w:line="276" w:lineRule="auto"/>
      <w:ind w:left="720"/>
      <w:contextualSpacing/>
      <w:jc w:val="left"/>
    </w:pPr>
    <w:rPr>
      <w:rFonts w:asciiTheme="minorHAnsi" w:eastAsiaTheme="minorEastAsia" w:hAnsiTheme="minorHAnsi" w:cstheme="minorBidi"/>
      <w:sz w:val="22"/>
      <w:szCs w:val="22"/>
      <w:lang w:val="en-US"/>
    </w:rPr>
  </w:style>
  <w:style w:type="character" w:styleId="CommentReference">
    <w:name w:val="annotation reference"/>
    <w:basedOn w:val="DefaultParagraphFont"/>
    <w:rsid w:val="00DD33F8"/>
    <w:rPr>
      <w:sz w:val="16"/>
      <w:szCs w:val="16"/>
    </w:rPr>
  </w:style>
  <w:style w:type="paragraph" w:styleId="CommentText">
    <w:name w:val="annotation text"/>
    <w:basedOn w:val="Normal"/>
    <w:link w:val="CommentTextChar"/>
    <w:rsid w:val="00DD33F8"/>
    <w:rPr>
      <w:lang w:val="en-US"/>
    </w:rPr>
  </w:style>
  <w:style w:type="character" w:customStyle="1" w:styleId="CommentTextChar">
    <w:name w:val="Comment Text Char"/>
    <w:basedOn w:val="DefaultParagraphFont"/>
    <w:link w:val="CommentText"/>
    <w:rsid w:val="00DD33F8"/>
    <w:rPr>
      <w:rFonts w:ascii="Arial" w:hAnsi="Arial"/>
    </w:rPr>
  </w:style>
  <w:style w:type="character" w:customStyle="1" w:styleId="Heading1Char">
    <w:name w:val="Heading 1 Char"/>
    <w:basedOn w:val="DefaultParagraphFont"/>
    <w:link w:val="Heading1"/>
    <w:rsid w:val="00995DFA"/>
    <w:rPr>
      <w:rFonts w:ascii="Arial" w:hAnsi="Arial"/>
      <w:caps/>
    </w:rPr>
  </w:style>
  <w:style w:type="character" w:customStyle="1" w:styleId="Heading2Char">
    <w:name w:val="Heading 2 Char"/>
    <w:basedOn w:val="DefaultParagraphFont"/>
    <w:link w:val="Heading2"/>
    <w:rsid w:val="00995DFA"/>
    <w:rPr>
      <w:rFonts w:ascii="Arial" w:hAnsi="Arial"/>
      <w:u w:val="single"/>
    </w:rPr>
  </w:style>
  <w:style w:type="character" w:customStyle="1" w:styleId="DecisionParagraphsChar">
    <w:name w:val="DecisionParagraphs Char"/>
    <w:basedOn w:val="DefaultParagraphFont"/>
    <w:link w:val="DecisionParagraphs"/>
    <w:rsid w:val="00995DFA"/>
    <w:rPr>
      <w:rFonts w:ascii="Arial" w:hAnsi="Arial"/>
      <w:i/>
      <w:lang w:val="es-ES_tradnl"/>
    </w:rPr>
  </w:style>
  <w:style w:type="character" w:customStyle="1" w:styleId="HeaderChar">
    <w:name w:val="Header Char"/>
    <w:basedOn w:val="DefaultParagraphFont"/>
    <w:link w:val="Header"/>
    <w:rsid w:val="00C64B27"/>
    <w:rPr>
      <w:rFonts w:ascii="Arial" w:hAnsi="Arial"/>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header" Target="header3.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1058</Words>
  <Characters>6232</Characters>
  <Application>Microsoft Office Word</Application>
  <DocSecurity>0</DocSecurity>
  <Lines>259</Lines>
  <Paragraphs>66</Paragraphs>
  <ScaleCrop>false</ScaleCrop>
  <HeadingPairs>
    <vt:vector size="2" baseType="variant">
      <vt:variant>
        <vt:lpstr>Title</vt:lpstr>
      </vt:variant>
      <vt:variant>
        <vt:i4>1</vt:i4>
      </vt:variant>
    </vt:vector>
  </HeadingPairs>
  <TitlesOfParts>
    <vt:vector size="1" baseType="lpstr">
      <vt:lpstr>TC/53</vt:lpstr>
    </vt:vector>
  </TitlesOfParts>
  <Company>UPOV</Company>
  <LinksUpToDate>false</LinksUpToDate>
  <CharactersWithSpaces>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CEVALLOS DUQUE Nilo</dc:creator>
  <cp:lastModifiedBy>MAY Jessica</cp:lastModifiedBy>
  <cp:revision>11</cp:revision>
  <cp:lastPrinted>2016-11-22T15:41:00Z</cp:lastPrinted>
  <dcterms:created xsi:type="dcterms:W3CDTF">2018-09-13T11:58:00Z</dcterms:created>
  <dcterms:modified xsi:type="dcterms:W3CDTF">2018-10-11T09:39:00Z</dcterms:modified>
</cp:coreProperties>
</file>