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54B57" w14:paraId="5874D92F" w14:textId="77777777" w:rsidTr="00EB4E9C">
        <w:tc>
          <w:tcPr>
            <w:tcW w:w="6522" w:type="dxa"/>
          </w:tcPr>
          <w:p w14:paraId="6093AB72" w14:textId="77777777" w:rsidR="00DC3802" w:rsidRPr="00754B57" w:rsidRDefault="00DC3802" w:rsidP="00AC2883">
            <w:pPr>
              <w:rPr>
                <w:dstrike/>
              </w:rPr>
            </w:pPr>
            <w:r w:rsidRPr="00CF35CF">
              <w:rPr>
                <w:noProof/>
                <w:lang w:val="en-US"/>
              </w:rPr>
              <w:drawing>
                <wp:inline distT="0" distB="0" distL="0" distR="0" wp14:anchorId="7EB71CCF" wp14:editId="51D92CF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C2527CE" w14:textId="77777777" w:rsidR="00DC3802" w:rsidRPr="00CF35CF" w:rsidRDefault="002E5944" w:rsidP="00AC2883">
            <w:pPr>
              <w:pStyle w:val="Lettrine"/>
            </w:pPr>
            <w:r w:rsidRPr="00CF35CF">
              <w:t>S</w:t>
            </w:r>
          </w:p>
        </w:tc>
      </w:tr>
      <w:tr w:rsidR="00DC3802" w:rsidRPr="00754B57" w14:paraId="582FF997" w14:textId="77777777" w:rsidTr="00645CA8">
        <w:trPr>
          <w:trHeight w:val="219"/>
        </w:trPr>
        <w:tc>
          <w:tcPr>
            <w:tcW w:w="6522" w:type="dxa"/>
          </w:tcPr>
          <w:p w14:paraId="15BCC7A1" w14:textId="77777777" w:rsidR="00DC3802" w:rsidRPr="00754B57" w:rsidRDefault="002E5944" w:rsidP="00BC0BD4">
            <w:pPr>
              <w:pStyle w:val="upove"/>
              <w:rPr>
                <w:dstrike/>
              </w:rPr>
            </w:pPr>
            <w:r w:rsidRPr="00CF35CF">
              <w:t>Unión Internacional para la Protección de las Obtenciones Vegetales</w:t>
            </w:r>
          </w:p>
        </w:tc>
        <w:tc>
          <w:tcPr>
            <w:tcW w:w="3117" w:type="dxa"/>
          </w:tcPr>
          <w:p w14:paraId="06432004" w14:textId="77777777" w:rsidR="00DC3802" w:rsidRPr="00CF35CF" w:rsidRDefault="00DC3802" w:rsidP="00DA4973"/>
        </w:tc>
      </w:tr>
    </w:tbl>
    <w:p w14:paraId="43870247" w14:textId="77777777" w:rsidR="00DC3802" w:rsidRPr="00CF35CF" w:rsidRDefault="00DC3802" w:rsidP="00DC3802"/>
    <w:p w14:paraId="2D6F3144" w14:textId="77777777" w:rsidR="00DA4973" w:rsidRPr="00CF35C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54B57" w14:paraId="1A2F09AE" w14:textId="77777777" w:rsidTr="00EB4E9C">
        <w:tc>
          <w:tcPr>
            <w:tcW w:w="6512" w:type="dxa"/>
          </w:tcPr>
          <w:p w14:paraId="1DC1BE85" w14:textId="77777777" w:rsidR="00EB4E9C" w:rsidRPr="00CF35CF" w:rsidRDefault="002E5944" w:rsidP="00AC2883">
            <w:pPr>
              <w:pStyle w:val="Sessiontc"/>
              <w:spacing w:line="240" w:lineRule="auto"/>
            </w:pPr>
            <w:r w:rsidRPr="00CF35CF">
              <w:t>Comité Técnico</w:t>
            </w:r>
          </w:p>
          <w:p w14:paraId="2CB6AC5D" w14:textId="77777777" w:rsidR="00EB4E9C" w:rsidRPr="00754B57" w:rsidRDefault="002E5944" w:rsidP="005A1EC1">
            <w:pPr>
              <w:pStyle w:val="Sessiontcplacedate"/>
              <w:rPr>
                <w:dstrike/>
                <w:sz w:val="22"/>
              </w:rPr>
            </w:pPr>
            <w:r w:rsidRPr="00CF35CF">
              <w:t xml:space="preserve">Quincuagésima </w:t>
            </w:r>
            <w:r w:rsidR="005A1EC1" w:rsidRPr="00CF35CF">
              <w:t>cuarta</w:t>
            </w:r>
            <w:r w:rsidRPr="00CF35CF">
              <w:t xml:space="preserve"> sesión</w:t>
            </w:r>
            <w:r w:rsidR="00EB4E9C" w:rsidRPr="00CF35CF">
              <w:br/>
            </w:r>
            <w:r w:rsidRPr="00CF35CF">
              <w:t>Ginebra</w:t>
            </w:r>
            <w:r w:rsidR="00EB38B8" w:rsidRPr="00CF35CF">
              <w:t>, 2</w:t>
            </w:r>
            <w:r w:rsidR="005A1EC1" w:rsidRPr="00CF35CF">
              <w:t>9 y</w:t>
            </w:r>
            <w:r w:rsidR="00EB38B8" w:rsidRPr="00CF35CF">
              <w:t> 3</w:t>
            </w:r>
            <w:r w:rsidR="005A1EC1" w:rsidRPr="00CF35CF">
              <w:t xml:space="preserve">0 de octubre </w:t>
            </w:r>
            <w:r w:rsidRPr="00CF35CF">
              <w:t>de</w:t>
            </w:r>
            <w:r w:rsidR="00EB38B8" w:rsidRPr="00CF35CF">
              <w:t> 2</w:t>
            </w:r>
            <w:r w:rsidR="005A1EC1" w:rsidRPr="00CF35CF">
              <w:t>018</w:t>
            </w:r>
          </w:p>
        </w:tc>
        <w:tc>
          <w:tcPr>
            <w:tcW w:w="3127" w:type="dxa"/>
          </w:tcPr>
          <w:p w14:paraId="76FF4087" w14:textId="77777777" w:rsidR="00EB4E9C" w:rsidRPr="00CF35CF" w:rsidRDefault="005A1EC1" w:rsidP="003C7FBE">
            <w:pPr>
              <w:pStyle w:val="Doccode"/>
              <w:rPr>
                <w:lang w:val="es-ES"/>
              </w:rPr>
            </w:pPr>
            <w:r w:rsidRPr="00CF35CF">
              <w:rPr>
                <w:lang w:val="es-ES"/>
              </w:rPr>
              <w:t>TC/54</w:t>
            </w:r>
            <w:r w:rsidR="00EB4E9C" w:rsidRPr="00CF35CF">
              <w:rPr>
                <w:lang w:val="es-ES"/>
              </w:rPr>
              <w:t>/</w:t>
            </w:r>
            <w:r w:rsidR="00153B6C" w:rsidRPr="00CF35CF">
              <w:rPr>
                <w:lang w:val="es-ES"/>
              </w:rPr>
              <w:t>28</w:t>
            </w:r>
          </w:p>
          <w:p w14:paraId="395B6597" w14:textId="77777777" w:rsidR="00EB4E9C" w:rsidRPr="00CF35CF" w:rsidRDefault="00EB4E9C" w:rsidP="003C7FBE">
            <w:pPr>
              <w:pStyle w:val="Docoriginal"/>
            </w:pPr>
            <w:r w:rsidRPr="00CF35CF">
              <w:t>Original:</w:t>
            </w:r>
            <w:r w:rsidRPr="00CF35CF">
              <w:rPr>
                <w:b w:val="0"/>
                <w:spacing w:val="0"/>
              </w:rPr>
              <w:t xml:space="preserve"> </w:t>
            </w:r>
            <w:r w:rsidR="002E5944" w:rsidRPr="00CF35CF">
              <w:rPr>
                <w:b w:val="0"/>
                <w:spacing w:val="0"/>
              </w:rPr>
              <w:t>Inglés</w:t>
            </w:r>
          </w:p>
          <w:p w14:paraId="02553716" w14:textId="1EBD2396" w:rsidR="00EB4E9C" w:rsidRPr="00CF35CF" w:rsidRDefault="002E5944" w:rsidP="00A66C79">
            <w:pPr>
              <w:pStyle w:val="Docoriginal"/>
            </w:pPr>
            <w:r w:rsidRPr="00CF35CF">
              <w:t>Fecha</w:t>
            </w:r>
            <w:r w:rsidR="00EB4E9C" w:rsidRPr="00A66C79">
              <w:t>:</w:t>
            </w:r>
            <w:r w:rsidR="00153B6C" w:rsidRPr="00A66C79">
              <w:rPr>
                <w:b w:val="0"/>
                <w:spacing w:val="0"/>
              </w:rPr>
              <w:t xml:space="preserve"> </w:t>
            </w:r>
            <w:r w:rsidR="00224A4B" w:rsidRPr="00A66C79">
              <w:rPr>
                <w:b w:val="0"/>
                <w:spacing w:val="0"/>
              </w:rPr>
              <w:t>2</w:t>
            </w:r>
            <w:r w:rsidR="00A66C79" w:rsidRPr="00A66C79">
              <w:rPr>
                <w:b w:val="0"/>
                <w:spacing w:val="0"/>
              </w:rPr>
              <w:t>3</w:t>
            </w:r>
            <w:r w:rsidR="00224A4B" w:rsidRPr="00A66C79">
              <w:rPr>
                <w:b w:val="0"/>
                <w:spacing w:val="0"/>
              </w:rPr>
              <w:t xml:space="preserve"> de agosto</w:t>
            </w:r>
            <w:r w:rsidR="00EB4E9C" w:rsidRPr="00A66C79">
              <w:rPr>
                <w:b w:val="0"/>
                <w:spacing w:val="0"/>
              </w:rPr>
              <w:t xml:space="preserve"> </w:t>
            </w:r>
            <w:r w:rsidRPr="00A66C79">
              <w:rPr>
                <w:b w:val="0"/>
                <w:spacing w:val="0"/>
              </w:rPr>
              <w:t>de</w:t>
            </w:r>
            <w:r w:rsidR="00EB38B8" w:rsidRPr="00CF35CF">
              <w:rPr>
                <w:b w:val="0"/>
                <w:spacing w:val="0"/>
              </w:rPr>
              <w:t> 2</w:t>
            </w:r>
            <w:r w:rsidR="005A1EC1" w:rsidRPr="00CF35CF">
              <w:rPr>
                <w:b w:val="0"/>
                <w:spacing w:val="0"/>
              </w:rPr>
              <w:t>018</w:t>
            </w:r>
          </w:p>
        </w:tc>
      </w:tr>
    </w:tbl>
    <w:p w14:paraId="19932504" w14:textId="77777777" w:rsidR="00153B6C" w:rsidRPr="008B1B3A" w:rsidRDefault="00BD5808" w:rsidP="001B37E7">
      <w:pPr>
        <w:pStyle w:val="Titleofdoc0"/>
      </w:pPr>
      <w:bookmarkStart w:id="0" w:name="TitleOfDoc"/>
      <w:bookmarkStart w:id="1" w:name="Prepared"/>
      <w:bookmarkEnd w:id="0"/>
      <w:bookmarkEnd w:id="1"/>
      <w:r w:rsidRPr="00120FF8">
        <w:t>ASUNTOS RELATIVOS A LAS DESCRIPCIONES DE VARIEDADES</w:t>
      </w:r>
    </w:p>
    <w:p w14:paraId="3CFFDBE7" w14:textId="77777777" w:rsidR="006A644A" w:rsidRPr="00CF35CF" w:rsidRDefault="000638A9" w:rsidP="006A644A">
      <w:pPr>
        <w:pStyle w:val="preparedby1"/>
        <w:jc w:val="left"/>
      </w:pPr>
      <w:r w:rsidRPr="00CF35CF">
        <w:t>Documento preparado por la Oficina de la Unión</w:t>
      </w:r>
    </w:p>
    <w:p w14:paraId="3EA3F167" w14:textId="77777777" w:rsidR="00050E16" w:rsidRPr="00CF35CF" w:rsidRDefault="000638A9" w:rsidP="006A644A">
      <w:pPr>
        <w:pStyle w:val="Disclaimer"/>
      </w:pPr>
      <w:r w:rsidRPr="00CF35CF">
        <w:t>Descargo de responsabilidad: el presente documento no constituye un documento de política u orientación de la UPOV</w:t>
      </w:r>
    </w:p>
    <w:p w14:paraId="3270D702" w14:textId="77777777" w:rsidR="001F56DF" w:rsidRPr="003A2D30" w:rsidRDefault="00BD5808" w:rsidP="001F56DF">
      <w:pPr>
        <w:keepNext/>
        <w:outlineLvl w:val="0"/>
        <w:rPr>
          <w:caps/>
          <w:lang w:val="es-ES"/>
        </w:rPr>
      </w:pPr>
      <w:bookmarkStart w:id="2" w:name="_Toc418531189"/>
      <w:r w:rsidRPr="00120FF8">
        <w:rPr>
          <w:caps/>
        </w:rPr>
        <w:t>RESUMEN</w:t>
      </w:r>
    </w:p>
    <w:p w14:paraId="2DF5325B" w14:textId="77777777" w:rsidR="001F56DF" w:rsidRPr="003A2D30" w:rsidRDefault="001F56DF" w:rsidP="001F56DF">
      <w:pPr>
        <w:rPr>
          <w:lang w:val="es-ES"/>
        </w:rPr>
      </w:pPr>
    </w:p>
    <w:p w14:paraId="3299A39A" w14:textId="77777777" w:rsidR="001F56DF" w:rsidRPr="003A2D30" w:rsidRDefault="002674C2" w:rsidP="001F56DF">
      <w:pPr>
        <w:rPr>
          <w:snapToGrid w:val="0"/>
          <w:lang w:val="es-ES"/>
        </w:rPr>
      </w:pPr>
      <w:r w:rsidRPr="008B1B3A">
        <w:rPr>
          <w:snapToGrid w:val="0"/>
        </w:rPr>
        <w:fldChar w:fldCharType="begin"/>
      </w:r>
      <w:r w:rsidR="001F56DF" w:rsidRPr="003A2D30">
        <w:rPr>
          <w:snapToGrid w:val="0"/>
          <w:lang w:val="es-ES"/>
        </w:rPr>
        <w:instrText xml:space="preserve"> AUTONUM  </w:instrText>
      </w:r>
      <w:r w:rsidRPr="008B1B3A">
        <w:rPr>
          <w:snapToGrid w:val="0"/>
        </w:rPr>
        <w:fldChar w:fldCharType="end"/>
      </w:r>
      <w:r w:rsidR="001F56DF" w:rsidRPr="003A2D30">
        <w:rPr>
          <w:snapToGrid w:val="0"/>
          <w:lang w:val="es-ES"/>
        </w:rPr>
        <w:tab/>
      </w:r>
      <w:r w:rsidR="00BD5808" w:rsidRPr="00120FF8">
        <w:rPr>
          <w:snapToGrid w:val="0"/>
        </w:rPr>
        <w:t>El presente documento tiene por objeto examinar un proyecto de orientación sobre la función y la situación de la descripción de la variedad elaborada en el momento en que se concede el derecho de obtentor y la función de</w:t>
      </w:r>
      <w:r w:rsidR="00CB07BC" w:rsidRPr="00120FF8">
        <w:rPr>
          <w:snapToGrid w:val="0"/>
        </w:rPr>
        <w:t>l</w:t>
      </w:r>
      <w:r w:rsidR="00BD5808" w:rsidRPr="00120FF8">
        <w:rPr>
          <w:snapToGrid w:val="0"/>
        </w:rPr>
        <w:t xml:space="preserve"> material vegetal </w:t>
      </w:r>
      <w:r w:rsidR="00CB07BC" w:rsidRPr="00120FF8">
        <w:rPr>
          <w:snapToGrid w:val="0"/>
        </w:rPr>
        <w:t xml:space="preserve">utilizado como base para el </w:t>
      </w:r>
      <w:r w:rsidR="00BD5808" w:rsidRPr="00120FF8">
        <w:rPr>
          <w:snapToGrid w:val="0"/>
        </w:rPr>
        <w:t>examen DHE.</w:t>
      </w:r>
    </w:p>
    <w:p w14:paraId="4B261CEB" w14:textId="77777777" w:rsidR="001F56DF" w:rsidRPr="003A2D30" w:rsidRDefault="001F56DF" w:rsidP="001F56DF">
      <w:pPr>
        <w:rPr>
          <w:snapToGrid w:val="0"/>
          <w:lang w:val="es-ES"/>
        </w:rPr>
      </w:pPr>
    </w:p>
    <w:p w14:paraId="10303246" w14:textId="77777777" w:rsidR="001F56DF" w:rsidRPr="003A2D30" w:rsidRDefault="002674C2" w:rsidP="001F56DF">
      <w:pPr>
        <w:tabs>
          <w:tab w:val="left" w:pos="567"/>
          <w:tab w:val="left" w:pos="5387"/>
          <w:tab w:val="left" w:pos="5954"/>
          <w:tab w:val="left" w:pos="6521"/>
        </w:tabs>
        <w:rPr>
          <w:rFonts w:eastAsia="SimSun"/>
          <w:lang w:val="es-ES"/>
        </w:rPr>
      </w:pPr>
      <w:r w:rsidRPr="008B1B3A">
        <w:fldChar w:fldCharType="begin"/>
      </w:r>
      <w:r w:rsidR="001F56DF" w:rsidRPr="003A2D30">
        <w:rPr>
          <w:lang w:val="es-ES"/>
        </w:rPr>
        <w:instrText xml:space="preserve"> AUTONUM  </w:instrText>
      </w:r>
      <w:r w:rsidRPr="008B1B3A">
        <w:fldChar w:fldCharType="end"/>
      </w:r>
      <w:r w:rsidR="001F56DF" w:rsidRPr="003A2D30">
        <w:rPr>
          <w:lang w:val="es-ES"/>
        </w:rPr>
        <w:tab/>
      </w:r>
      <w:r w:rsidR="00CB07BC" w:rsidRPr="00120FF8">
        <w:t xml:space="preserve">Se invita al TC a examinar el proyecto de orientación que figura en el Anexo del presente documento </w:t>
      </w:r>
      <w:r w:rsidR="00C92C7A" w:rsidRPr="00120FF8">
        <w:t xml:space="preserve">como punto de partida de la revisión </w:t>
      </w:r>
      <w:r w:rsidR="00697A46" w:rsidRPr="00120FF8">
        <w:t>de la sección</w:t>
      </w:r>
      <w:r w:rsidR="00EB38B8" w:rsidRPr="00120FF8">
        <w:t> 6</w:t>
      </w:r>
      <w:r w:rsidR="00697A46" w:rsidRPr="00120FF8">
        <w:t xml:space="preserve"> “Informe de la UPOV sobre el examen técnico y formulario UPOV para la descripción de variedades” </w:t>
      </w:r>
      <w:r w:rsidR="00C92C7A" w:rsidRPr="00120FF8">
        <w:t xml:space="preserve">del documento </w:t>
      </w:r>
      <w:r w:rsidR="00CB07BC" w:rsidRPr="00120FF8">
        <w:t>TGP/5.</w:t>
      </w:r>
    </w:p>
    <w:p w14:paraId="2405652C" w14:textId="77777777" w:rsidR="001F56DF" w:rsidRPr="003A2D30" w:rsidRDefault="001F56DF" w:rsidP="001F56DF">
      <w:pPr>
        <w:tabs>
          <w:tab w:val="left" w:pos="567"/>
        </w:tabs>
        <w:rPr>
          <w:rFonts w:cs="Arial"/>
          <w:lang w:val="es-ES"/>
        </w:rPr>
      </w:pPr>
    </w:p>
    <w:p w14:paraId="7E07163B" w14:textId="77777777" w:rsidR="001F56DF" w:rsidRPr="003A2D30" w:rsidRDefault="002674C2" w:rsidP="001F56DF">
      <w:pPr>
        <w:rPr>
          <w:rFonts w:cs="Arial"/>
          <w:lang w:val="es-ES"/>
        </w:rPr>
      </w:pPr>
      <w:r w:rsidRPr="008B1B3A">
        <w:rPr>
          <w:rFonts w:cs="Arial"/>
        </w:rPr>
        <w:fldChar w:fldCharType="begin"/>
      </w:r>
      <w:r w:rsidR="001F56DF" w:rsidRPr="003A2D30">
        <w:rPr>
          <w:rFonts w:cs="Arial"/>
          <w:lang w:val="es-ES"/>
        </w:rPr>
        <w:instrText xml:space="preserve"> AUTONUM  </w:instrText>
      </w:r>
      <w:r w:rsidRPr="008B1B3A">
        <w:rPr>
          <w:rFonts w:cs="Arial"/>
        </w:rPr>
        <w:fldChar w:fldCharType="end"/>
      </w:r>
      <w:r w:rsidR="001F56DF" w:rsidRPr="003A2D30">
        <w:rPr>
          <w:rFonts w:cs="Arial"/>
          <w:lang w:val="es-ES"/>
        </w:rPr>
        <w:tab/>
      </w:r>
      <w:r w:rsidR="00697A46" w:rsidRPr="00120FF8">
        <w:rPr>
          <w:rFonts w:cs="Arial"/>
        </w:rPr>
        <w:t>En el presente documento se utilizan las abreviaturas siguientes:</w:t>
      </w:r>
    </w:p>
    <w:p w14:paraId="70ECE00C" w14:textId="77777777" w:rsidR="001F56DF" w:rsidRPr="003A2D30" w:rsidRDefault="001F56DF" w:rsidP="001F56DF">
      <w:pPr>
        <w:ind w:left="1701" w:hanging="1134"/>
        <w:rPr>
          <w:rFonts w:cs="Arial"/>
          <w:lang w:val="es-ES"/>
        </w:rPr>
      </w:pPr>
    </w:p>
    <w:p w14:paraId="4A5C2E0F" w14:textId="77777777" w:rsidR="001F56DF" w:rsidRPr="003A2D30" w:rsidRDefault="001F56DF" w:rsidP="001F56DF">
      <w:pPr>
        <w:ind w:left="1701" w:hanging="1134"/>
        <w:rPr>
          <w:rFonts w:cs="Arial"/>
          <w:lang w:val="es-ES"/>
        </w:rPr>
      </w:pPr>
      <w:r w:rsidRPr="003A2D30">
        <w:rPr>
          <w:rFonts w:cs="Arial"/>
          <w:lang w:val="es-ES"/>
        </w:rPr>
        <w:t>CAJ</w:t>
      </w:r>
      <w:r w:rsidR="00EB38B8" w:rsidRPr="003A2D30">
        <w:rPr>
          <w:rFonts w:cs="Arial"/>
          <w:lang w:val="es-ES"/>
        </w:rPr>
        <w:t xml:space="preserve">:  </w:t>
      </w:r>
      <w:r w:rsidRPr="003A2D30">
        <w:rPr>
          <w:rFonts w:cs="Arial"/>
          <w:lang w:val="es-ES"/>
        </w:rPr>
        <w:tab/>
      </w:r>
      <w:r w:rsidR="00697A46" w:rsidRPr="00120FF8">
        <w:rPr>
          <w:rFonts w:cs="Arial"/>
        </w:rPr>
        <w:t>Comité Administrativo y Jurídico</w:t>
      </w:r>
      <w:r w:rsidRPr="003A2D30">
        <w:rPr>
          <w:rFonts w:cs="Arial"/>
          <w:lang w:val="es-ES"/>
        </w:rPr>
        <w:t xml:space="preserve"> </w:t>
      </w:r>
    </w:p>
    <w:p w14:paraId="4D5FDF79" w14:textId="77777777" w:rsidR="001F56DF" w:rsidRPr="003A2D30" w:rsidRDefault="001F56DF" w:rsidP="001F56DF">
      <w:pPr>
        <w:ind w:left="1701" w:hanging="1134"/>
        <w:rPr>
          <w:rFonts w:cs="Arial"/>
          <w:lang w:val="es-ES"/>
        </w:rPr>
      </w:pPr>
      <w:r w:rsidRPr="003A2D30">
        <w:rPr>
          <w:rFonts w:cs="Arial"/>
          <w:lang w:val="es-ES"/>
        </w:rPr>
        <w:t>CAJ-AG</w:t>
      </w:r>
      <w:r w:rsidRPr="003A2D30">
        <w:rPr>
          <w:rFonts w:cs="Arial"/>
          <w:lang w:val="es-ES"/>
        </w:rPr>
        <w:tab/>
      </w:r>
      <w:r w:rsidR="00697A46" w:rsidRPr="00120FF8">
        <w:rPr>
          <w:rFonts w:cs="Arial"/>
        </w:rPr>
        <w:t>Grupo Asesor del Comité Administrativo y Jurídico</w:t>
      </w:r>
    </w:p>
    <w:p w14:paraId="720CFF9E" w14:textId="77777777" w:rsidR="001F56DF" w:rsidRPr="003A2D30" w:rsidRDefault="001F56DF" w:rsidP="001F56DF">
      <w:pPr>
        <w:ind w:left="1701" w:hanging="1134"/>
        <w:rPr>
          <w:rFonts w:cs="Arial"/>
          <w:lang w:val="es-ES"/>
        </w:rPr>
      </w:pPr>
      <w:r w:rsidRPr="003A2D30">
        <w:rPr>
          <w:rFonts w:cs="Arial"/>
          <w:lang w:val="es-ES"/>
        </w:rPr>
        <w:t>TC</w:t>
      </w:r>
      <w:r w:rsidR="00EB38B8" w:rsidRPr="003A2D30">
        <w:rPr>
          <w:rFonts w:cs="Arial"/>
          <w:lang w:val="es-ES"/>
        </w:rPr>
        <w:t xml:space="preserve">:  </w:t>
      </w:r>
      <w:r w:rsidRPr="003A2D30">
        <w:rPr>
          <w:rFonts w:cs="Arial"/>
          <w:lang w:val="es-ES"/>
        </w:rPr>
        <w:tab/>
      </w:r>
      <w:r w:rsidR="00697A46" w:rsidRPr="00120FF8">
        <w:rPr>
          <w:rFonts w:cs="Arial"/>
        </w:rPr>
        <w:t>Comité Técnico</w:t>
      </w:r>
    </w:p>
    <w:p w14:paraId="77B7485B" w14:textId="7DD4075C" w:rsidR="001F56DF" w:rsidRDefault="001F56DF" w:rsidP="001F56DF">
      <w:pPr>
        <w:tabs>
          <w:tab w:val="left" w:pos="567"/>
          <w:tab w:val="left" w:pos="1134"/>
          <w:tab w:val="left" w:pos="12333"/>
        </w:tabs>
        <w:rPr>
          <w:rFonts w:eastAsia="SimSun"/>
          <w:lang w:val="es-ES"/>
        </w:rPr>
      </w:pPr>
    </w:p>
    <w:p w14:paraId="4A2B4351" w14:textId="77777777" w:rsidR="009710DE" w:rsidRPr="003A2D30" w:rsidRDefault="009710DE" w:rsidP="001F56DF">
      <w:pPr>
        <w:tabs>
          <w:tab w:val="left" w:pos="567"/>
          <w:tab w:val="left" w:pos="1134"/>
          <w:tab w:val="left" w:pos="12333"/>
        </w:tabs>
        <w:rPr>
          <w:rFonts w:eastAsia="SimSun"/>
          <w:lang w:val="es-ES"/>
        </w:rPr>
      </w:pPr>
    </w:p>
    <w:p w14:paraId="4D5FC3EB" w14:textId="77777777" w:rsidR="001F56DF" w:rsidRPr="003A2D30" w:rsidRDefault="001F56DF" w:rsidP="001F56DF">
      <w:pPr>
        <w:keepNext/>
        <w:outlineLvl w:val="0"/>
        <w:rPr>
          <w:lang w:val="es-ES"/>
        </w:rPr>
      </w:pPr>
      <w:bookmarkStart w:id="3" w:name="_Toc418531190"/>
      <w:bookmarkEnd w:id="2"/>
    </w:p>
    <w:p w14:paraId="6DEBE7C2" w14:textId="77777777" w:rsidR="001F56DF" w:rsidRPr="003A2D30" w:rsidRDefault="00697A46" w:rsidP="001F56DF">
      <w:pPr>
        <w:keepNext/>
        <w:outlineLvl w:val="0"/>
        <w:rPr>
          <w:caps/>
          <w:lang w:val="es-ES"/>
        </w:rPr>
      </w:pPr>
      <w:r w:rsidRPr="00120FF8">
        <w:rPr>
          <w:caps/>
        </w:rPr>
        <w:t>ANTECEDENTES</w:t>
      </w:r>
    </w:p>
    <w:p w14:paraId="0E26F211" w14:textId="77777777" w:rsidR="001F56DF" w:rsidRPr="003A2D30" w:rsidRDefault="001F56DF" w:rsidP="001F56DF">
      <w:pPr>
        <w:rPr>
          <w:lang w:val="es-ES"/>
        </w:rPr>
      </w:pPr>
    </w:p>
    <w:bookmarkStart w:id="4" w:name="_Toc440377316"/>
    <w:bookmarkEnd w:id="3"/>
    <w:p w14:paraId="072141EF" w14:textId="77777777" w:rsidR="001F56DF" w:rsidRPr="003A2D30" w:rsidRDefault="002674C2" w:rsidP="001F56DF">
      <w:pPr>
        <w:rPr>
          <w:lang w:val="es-ES"/>
        </w:rPr>
      </w:pPr>
      <w:r w:rsidRPr="008B1B3A">
        <w:rPr>
          <w:rFonts w:cs="Arial"/>
        </w:rPr>
        <w:fldChar w:fldCharType="begin"/>
      </w:r>
      <w:r w:rsidR="001F56DF" w:rsidRPr="003A2D30">
        <w:rPr>
          <w:rFonts w:cs="Arial"/>
          <w:lang w:val="es-ES"/>
        </w:rPr>
        <w:instrText xml:space="preserve"> AUTONUM  </w:instrText>
      </w:r>
      <w:r w:rsidRPr="008B1B3A">
        <w:rPr>
          <w:rFonts w:cs="Arial"/>
        </w:rPr>
        <w:fldChar w:fldCharType="end"/>
      </w:r>
      <w:r w:rsidR="001F56DF" w:rsidRPr="003A2D30">
        <w:rPr>
          <w:rFonts w:cs="Arial"/>
          <w:lang w:val="es-ES"/>
        </w:rPr>
        <w:tab/>
      </w:r>
      <w:r w:rsidR="00697A46" w:rsidRPr="00120FF8">
        <w:rPr>
          <w:szCs w:val="24"/>
        </w:rPr>
        <w:t xml:space="preserve">Los antecedentes de esta cuestión figuran en el documento </w:t>
      </w:r>
      <w:r w:rsidR="00697A46" w:rsidRPr="00120FF8">
        <w:t xml:space="preserve">TC/53/22 </w:t>
      </w:r>
      <w:r w:rsidR="00697A46" w:rsidRPr="00120FF8">
        <w:rPr>
          <w:szCs w:val="24"/>
        </w:rPr>
        <w:t>“</w:t>
      </w:r>
      <w:r w:rsidR="00697A46" w:rsidRPr="00120FF8">
        <w:t>Asuntos relativos a las descripciones de variedades</w:t>
      </w:r>
      <w:r w:rsidR="00697A46" w:rsidRPr="00120FF8">
        <w:rPr>
          <w:szCs w:val="24"/>
        </w:rPr>
        <w:t>”.</w:t>
      </w:r>
    </w:p>
    <w:p w14:paraId="21EB1371" w14:textId="77777777" w:rsidR="001F56DF" w:rsidRPr="003A2D30" w:rsidRDefault="001F56DF" w:rsidP="001F56DF">
      <w:pPr>
        <w:rPr>
          <w:lang w:val="es-ES"/>
        </w:rPr>
      </w:pPr>
    </w:p>
    <w:bookmarkEnd w:id="4"/>
    <w:p w14:paraId="52559092" w14:textId="77777777" w:rsidR="001F56DF" w:rsidRPr="003A2D30" w:rsidRDefault="002674C2" w:rsidP="001F56DF">
      <w:pPr>
        <w:rPr>
          <w:snapToGrid w:val="0"/>
          <w:lang w:val="es-ES"/>
        </w:rPr>
      </w:pPr>
      <w:r w:rsidRPr="00D51062">
        <w:fldChar w:fldCharType="begin"/>
      </w:r>
      <w:r w:rsidR="001F56DF" w:rsidRPr="003A2D30">
        <w:rPr>
          <w:lang w:val="es-ES"/>
        </w:rPr>
        <w:instrText xml:space="preserve"> AUTONUM  </w:instrText>
      </w:r>
      <w:r w:rsidRPr="00D51062">
        <w:fldChar w:fldCharType="end"/>
      </w:r>
      <w:r w:rsidR="001F56DF" w:rsidRPr="003A2D30">
        <w:rPr>
          <w:lang w:val="es-ES"/>
        </w:rPr>
        <w:tab/>
      </w:r>
      <w:r w:rsidR="00697A46" w:rsidRPr="00120FF8">
        <w:rPr>
          <w:snapToGrid w:val="0"/>
        </w:rPr>
        <w:t>En su quincuagésima tercera sesión</w:t>
      </w:r>
      <w:r w:rsidR="00EB38B8" w:rsidRPr="00120FF8">
        <w:rPr>
          <w:snapToGrid w:val="0"/>
        </w:rPr>
        <w:t xml:space="preserve">, </w:t>
      </w:r>
      <w:r w:rsidR="00697A46" w:rsidRPr="00120FF8">
        <w:rPr>
          <w:snapToGrid w:val="0"/>
        </w:rPr>
        <w:t xml:space="preserve">celebrada en Ginebra </w:t>
      </w:r>
      <w:r w:rsidR="004F72D9" w:rsidRPr="00120FF8">
        <w:rPr>
          <w:snapToGrid w:val="0"/>
        </w:rPr>
        <w:t>del</w:t>
      </w:r>
      <w:r w:rsidR="00EB38B8" w:rsidRPr="00120FF8">
        <w:rPr>
          <w:snapToGrid w:val="0"/>
        </w:rPr>
        <w:t> 3</w:t>
      </w:r>
      <w:r w:rsidR="004F72D9" w:rsidRPr="00120FF8">
        <w:rPr>
          <w:snapToGrid w:val="0"/>
        </w:rPr>
        <w:t xml:space="preserve"> al</w:t>
      </w:r>
      <w:r w:rsidR="00EB38B8" w:rsidRPr="00120FF8">
        <w:rPr>
          <w:snapToGrid w:val="0"/>
        </w:rPr>
        <w:t> 5</w:t>
      </w:r>
      <w:r w:rsidR="004F72D9" w:rsidRPr="00120FF8">
        <w:rPr>
          <w:snapToGrid w:val="0"/>
        </w:rPr>
        <w:t xml:space="preserve"> de abril de</w:t>
      </w:r>
      <w:r w:rsidR="00EB38B8" w:rsidRPr="00120FF8">
        <w:rPr>
          <w:snapToGrid w:val="0"/>
        </w:rPr>
        <w:t> 2</w:t>
      </w:r>
      <w:r w:rsidR="00697A46" w:rsidRPr="00120FF8">
        <w:rPr>
          <w:snapToGrid w:val="0"/>
        </w:rPr>
        <w:t>017</w:t>
      </w:r>
      <w:r w:rsidR="00EB38B8" w:rsidRPr="00120FF8">
        <w:rPr>
          <w:snapToGrid w:val="0"/>
        </w:rPr>
        <w:t xml:space="preserve">, </w:t>
      </w:r>
      <w:r w:rsidR="00697A46" w:rsidRPr="00120FF8">
        <w:rPr>
          <w:snapToGrid w:val="0"/>
        </w:rPr>
        <w:t>el TC examinó el documento</w:t>
      </w:r>
      <w:r w:rsidR="004F72D9" w:rsidRPr="00120FF8">
        <w:rPr>
          <w:snapToGrid w:val="0"/>
        </w:rPr>
        <w:t xml:space="preserve"> </w:t>
      </w:r>
      <w:r w:rsidR="00697A46" w:rsidRPr="00120FF8">
        <w:rPr>
          <w:snapToGrid w:val="0"/>
        </w:rPr>
        <w:t>TC/53/22 (véa</w:t>
      </w:r>
      <w:r w:rsidR="004F72D9" w:rsidRPr="00120FF8">
        <w:rPr>
          <w:snapToGrid w:val="0"/>
        </w:rPr>
        <w:t>n</w:t>
      </w:r>
      <w:r w:rsidR="00697A46" w:rsidRPr="00120FF8">
        <w:rPr>
          <w:snapToGrid w:val="0"/>
        </w:rPr>
        <w:t xml:space="preserve">se </w:t>
      </w:r>
      <w:r w:rsidR="004F72D9" w:rsidRPr="00120FF8">
        <w:rPr>
          <w:snapToGrid w:val="0"/>
        </w:rPr>
        <w:t>los párrafos</w:t>
      </w:r>
      <w:r w:rsidR="00EB38B8" w:rsidRPr="00120FF8">
        <w:rPr>
          <w:snapToGrid w:val="0"/>
        </w:rPr>
        <w:t> 1</w:t>
      </w:r>
      <w:r w:rsidR="004F72D9" w:rsidRPr="00120FF8">
        <w:rPr>
          <w:snapToGrid w:val="0"/>
        </w:rPr>
        <w:t>88 y</w:t>
      </w:r>
      <w:r w:rsidR="00EB38B8" w:rsidRPr="00120FF8">
        <w:rPr>
          <w:snapToGrid w:val="0"/>
        </w:rPr>
        <w:t> 1</w:t>
      </w:r>
      <w:r w:rsidR="004F72D9" w:rsidRPr="00120FF8">
        <w:rPr>
          <w:snapToGrid w:val="0"/>
        </w:rPr>
        <w:t xml:space="preserve">89 del </w:t>
      </w:r>
      <w:r w:rsidR="00697A46" w:rsidRPr="00120FF8">
        <w:rPr>
          <w:snapToGrid w:val="0"/>
        </w:rPr>
        <w:t>documento TC/53/31).</w:t>
      </w:r>
    </w:p>
    <w:p w14:paraId="3798058F" w14:textId="77777777" w:rsidR="001F56DF" w:rsidRPr="003A2D30" w:rsidRDefault="001F56DF" w:rsidP="001F56DF">
      <w:pPr>
        <w:rPr>
          <w:rFonts w:cs="Arial"/>
          <w:lang w:val="es-ES"/>
        </w:rPr>
      </w:pPr>
    </w:p>
    <w:p w14:paraId="5E1A1497" w14:textId="77777777" w:rsidR="001F56DF" w:rsidRPr="003A2D30" w:rsidRDefault="002674C2" w:rsidP="001F56DF">
      <w:pPr>
        <w:rPr>
          <w:rFonts w:cs="Arial"/>
          <w:lang w:val="es-ES"/>
        </w:rPr>
      </w:pPr>
      <w:r w:rsidRPr="008B1B3A">
        <w:rPr>
          <w:rFonts w:cs="Arial"/>
        </w:rPr>
        <w:fldChar w:fldCharType="begin"/>
      </w:r>
      <w:r w:rsidR="001F56DF" w:rsidRPr="003A2D30">
        <w:rPr>
          <w:rFonts w:cs="Arial"/>
          <w:lang w:val="es-ES"/>
        </w:rPr>
        <w:instrText xml:space="preserve"> AUTONUM  </w:instrText>
      </w:r>
      <w:r w:rsidRPr="008B1B3A">
        <w:rPr>
          <w:rFonts w:cs="Arial"/>
        </w:rPr>
        <w:fldChar w:fldCharType="end"/>
      </w:r>
      <w:r w:rsidR="001F56DF" w:rsidRPr="003A2D30">
        <w:rPr>
          <w:rFonts w:cs="Arial"/>
          <w:lang w:val="es-ES"/>
        </w:rPr>
        <w:tab/>
      </w:r>
      <w:r w:rsidR="00256928" w:rsidRPr="00120FF8">
        <w:rPr>
          <w:rFonts w:cs="Arial"/>
        </w:rPr>
        <w:t>El TC consideró si es necesario redactar una nueva orientación sobre el papel de la descripción de las variedades y el material vegetal</w:t>
      </w:r>
      <w:r w:rsidR="00EB38B8" w:rsidRPr="00120FF8">
        <w:rPr>
          <w:rFonts w:cs="Arial"/>
        </w:rPr>
        <w:t xml:space="preserve">, </w:t>
      </w:r>
      <w:r w:rsidR="00256928" w:rsidRPr="00120FF8">
        <w:rPr>
          <w:rFonts w:cs="Arial"/>
        </w:rPr>
        <w:t>teniendo en cuenta: a) la finalidad de la descripción de la variedad elaborada en el momento en que se concede el derecho de obtentor</w:t>
      </w:r>
      <w:r w:rsidR="00256928" w:rsidRPr="00120FF8">
        <w:t>;</w:t>
      </w:r>
      <w:r w:rsidR="001F56DF" w:rsidRPr="003A2D30">
        <w:rPr>
          <w:lang w:val="es-ES"/>
        </w:rPr>
        <w:t xml:space="preserve"> </w:t>
      </w:r>
      <w:r w:rsidR="00256928" w:rsidRPr="00120FF8">
        <w:t>b) la situación de la descripción original de la variedad con respecto a la comprobación de que el material vegetal corresponde a una variedad protegida a efectos de la defensa del derecho de obtentor;</w:t>
      </w:r>
      <w:r w:rsidR="001F56DF" w:rsidRPr="003A2D30">
        <w:rPr>
          <w:lang w:val="es-ES"/>
        </w:rPr>
        <w:t xml:space="preserve"> </w:t>
      </w:r>
      <w:r w:rsidR="00256928" w:rsidRPr="00120FF8">
        <w:t>y c) las siguientes conclusiones facilitadas por el experto de la Unión Europea en el Anexo II</w:t>
      </w:r>
      <w:r w:rsidR="00EB38B8" w:rsidRPr="00120FF8">
        <w:t xml:space="preserve">, </w:t>
      </w:r>
      <w:r w:rsidR="00256928" w:rsidRPr="00120FF8">
        <w:t>diapositiva 19</w:t>
      </w:r>
      <w:r w:rsidR="00EB38B8" w:rsidRPr="00120FF8">
        <w:t xml:space="preserve">, </w:t>
      </w:r>
      <w:r w:rsidR="00256928" w:rsidRPr="00120FF8">
        <w:t>del documento TWV/50/14 Add.:</w:t>
      </w:r>
    </w:p>
    <w:p w14:paraId="2994D64C" w14:textId="77777777" w:rsidR="001F56DF" w:rsidRPr="003A2D30" w:rsidRDefault="001F56DF" w:rsidP="001F56DF">
      <w:pPr>
        <w:rPr>
          <w:lang w:val="es-ES"/>
        </w:rPr>
      </w:pPr>
    </w:p>
    <w:p w14:paraId="4DEDFB99" w14:textId="77777777" w:rsidR="001F56DF" w:rsidRPr="003A2D30" w:rsidRDefault="00256928" w:rsidP="001F56DF">
      <w:pPr>
        <w:numPr>
          <w:ilvl w:val="0"/>
          <w:numId w:val="1"/>
        </w:numPr>
        <w:contextualSpacing/>
        <w:rPr>
          <w:lang w:val="es-ES"/>
        </w:rPr>
      </w:pPr>
      <w:r w:rsidRPr="00120FF8">
        <w:t>Las notas de las variedades similares provendrán del mismo ensayo de cultivo que las de la variedad candidata</w:t>
      </w:r>
    </w:p>
    <w:p w14:paraId="3DD9FC31" w14:textId="77777777" w:rsidR="001F56DF" w:rsidRPr="003A2D30" w:rsidRDefault="00256928" w:rsidP="001F56DF">
      <w:pPr>
        <w:numPr>
          <w:ilvl w:val="0"/>
          <w:numId w:val="1"/>
        </w:numPr>
        <w:contextualSpacing/>
        <w:rPr>
          <w:lang w:val="es-ES"/>
        </w:rPr>
      </w:pPr>
      <w:r w:rsidRPr="00120FF8">
        <w:t>Informar a las partes interesadas de las modificaciones de la descripción oficial de la variedad</w:t>
      </w:r>
    </w:p>
    <w:p w14:paraId="6EACB4F2" w14:textId="77777777" w:rsidR="001F56DF" w:rsidRPr="003A2D30" w:rsidRDefault="00256928" w:rsidP="001F56DF">
      <w:pPr>
        <w:numPr>
          <w:ilvl w:val="0"/>
          <w:numId w:val="1"/>
        </w:numPr>
        <w:contextualSpacing/>
        <w:rPr>
          <w:lang w:val="es-ES"/>
        </w:rPr>
      </w:pPr>
      <w:r w:rsidRPr="00120FF8">
        <w:t>Acuerdo sobre los datos proporcionados a las bases de datos compartidas</w:t>
      </w:r>
    </w:p>
    <w:p w14:paraId="72A69D40" w14:textId="77777777" w:rsidR="001F56DF" w:rsidRPr="003A2D30" w:rsidRDefault="001F56DF" w:rsidP="001F56DF">
      <w:pPr>
        <w:rPr>
          <w:snapToGrid w:val="0"/>
          <w:lang w:val="es-ES"/>
        </w:rPr>
      </w:pPr>
    </w:p>
    <w:p w14:paraId="7CEB8B78" w14:textId="77777777" w:rsidR="001F56DF" w:rsidRPr="003A2D30" w:rsidRDefault="002674C2" w:rsidP="009710DE">
      <w:pPr>
        <w:keepNext/>
        <w:keepLines/>
        <w:rPr>
          <w:lang w:val="es-ES"/>
        </w:rPr>
      </w:pPr>
      <w:r w:rsidRPr="00D51062">
        <w:fldChar w:fldCharType="begin"/>
      </w:r>
      <w:r w:rsidR="001F56DF" w:rsidRPr="003A2D30">
        <w:rPr>
          <w:lang w:val="es-ES"/>
        </w:rPr>
        <w:instrText xml:space="preserve"> AUTONUM  </w:instrText>
      </w:r>
      <w:r w:rsidRPr="00D51062">
        <w:fldChar w:fldCharType="end"/>
      </w:r>
      <w:r w:rsidR="001F56DF" w:rsidRPr="003A2D30">
        <w:rPr>
          <w:lang w:val="es-ES"/>
        </w:rPr>
        <w:tab/>
      </w:r>
      <w:r w:rsidR="00256928" w:rsidRPr="00120FF8">
        <w:t>El TC tomó nota de la existencia de diferentes elementos que pueden reforzar la identificación del material vegetal</w:t>
      </w:r>
      <w:r w:rsidR="00EB38B8" w:rsidRPr="00120FF8">
        <w:t xml:space="preserve">, </w:t>
      </w:r>
      <w:r w:rsidR="00256928" w:rsidRPr="00120FF8">
        <w:t>tales como la descripción original y otras descripciones oficiales de variedades</w:t>
      </w:r>
      <w:r w:rsidR="00EB38B8" w:rsidRPr="00120FF8">
        <w:t xml:space="preserve">, </w:t>
      </w:r>
      <w:r w:rsidR="00256928" w:rsidRPr="00120FF8">
        <w:t>sin excluir los marcadores moleculares.</w:t>
      </w:r>
      <w:r w:rsidR="001F56DF" w:rsidRPr="003A2D30">
        <w:rPr>
          <w:lang w:val="es-ES"/>
        </w:rPr>
        <w:t xml:space="preserve">  </w:t>
      </w:r>
      <w:r w:rsidR="00256928" w:rsidRPr="00120FF8">
        <w:t>El TC convino en invitar a la Unión Europea a elaborar más orientaciones sobre el papel de la descripción de las variedades y el papel del material vegetal empleado para el examen DHE</w:t>
      </w:r>
      <w:r w:rsidR="00EB38B8" w:rsidRPr="00120FF8">
        <w:t xml:space="preserve">, </w:t>
      </w:r>
      <w:r w:rsidR="00256928" w:rsidRPr="00120FF8">
        <w:t>pero incorporando el texto sin modificar del Anexo del documento TC/53/22 y también teniendo en cuenta los siguientes aspectos:</w:t>
      </w:r>
    </w:p>
    <w:p w14:paraId="73527819" w14:textId="77777777" w:rsidR="001F56DF" w:rsidRPr="003A2D30" w:rsidRDefault="001F56DF" w:rsidP="009710DE">
      <w:pPr>
        <w:keepNext/>
        <w:keepLines/>
        <w:rPr>
          <w:lang w:val="es-ES"/>
        </w:rPr>
      </w:pPr>
    </w:p>
    <w:p w14:paraId="3DD63A83" w14:textId="77777777" w:rsidR="001F56DF" w:rsidRPr="003A2D30" w:rsidRDefault="00256928" w:rsidP="009710DE">
      <w:pPr>
        <w:keepNext/>
        <w:keepLines/>
        <w:tabs>
          <w:tab w:val="left" w:pos="1134"/>
        </w:tabs>
        <w:ind w:left="1134" w:hanging="567"/>
        <w:rPr>
          <w:lang w:val="es-ES"/>
        </w:rPr>
      </w:pPr>
      <w:r w:rsidRPr="00120FF8">
        <w:lastRenderedPageBreak/>
        <w:t>a)</w:t>
      </w:r>
      <w:r w:rsidR="001F56DF" w:rsidRPr="003A2D30">
        <w:rPr>
          <w:lang w:val="es-ES"/>
        </w:rPr>
        <w:tab/>
      </w:r>
      <w:r w:rsidRPr="00120FF8">
        <w:t>la finalidad de la descripción de la variedad elaborada en el momento en que se concede el derecho de obtentor;</w:t>
      </w:r>
      <w:r w:rsidR="001F56DF" w:rsidRPr="003A2D30">
        <w:rPr>
          <w:lang w:val="es-ES"/>
        </w:rPr>
        <w:t xml:space="preserve"> </w:t>
      </w:r>
    </w:p>
    <w:p w14:paraId="5E8F8EED" w14:textId="77777777" w:rsidR="001F56DF" w:rsidRPr="003A2D30" w:rsidRDefault="00256928" w:rsidP="009710DE">
      <w:pPr>
        <w:keepNext/>
        <w:keepLines/>
        <w:tabs>
          <w:tab w:val="left" w:pos="1134"/>
        </w:tabs>
        <w:ind w:left="1134" w:hanging="567"/>
        <w:rPr>
          <w:lang w:val="es-ES"/>
        </w:rPr>
      </w:pPr>
      <w:r w:rsidRPr="00120FF8">
        <w:t>b)</w:t>
      </w:r>
      <w:r w:rsidR="001F56DF" w:rsidRPr="003A2D30">
        <w:rPr>
          <w:lang w:val="es-ES"/>
        </w:rPr>
        <w:tab/>
      </w:r>
      <w:r w:rsidRPr="00120FF8">
        <w:t>la situación de la descripción original de la variedad con respecto a la comprobación de que el material vegetal corresponde a una variedad protegida a efectos de la defensa del derecho de obtentor;</w:t>
      </w:r>
      <w:r w:rsidR="001F56DF" w:rsidRPr="003A2D30">
        <w:rPr>
          <w:lang w:val="es-ES"/>
        </w:rPr>
        <w:t xml:space="preserve"> </w:t>
      </w:r>
      <w:r w:rsidRPr="00120FF8">
        <w:t>y</w:t>
      </w:r>
      <w:r w:rsidR="001F56DF" w:rsidRPr="003A2D30">
        <w:rPr>
          <w:lang w:val="es-ES"/>
        </w:rPr>
        <w:t xml:space="preserve"> </w:t>
      </w:r>
    </w:p>
    <w:p w14:paraId="446B040C" w14:textId="77777777" w:rsidR="001F56DF" w:rsidRPr="003A2D30" w:rsidRDefault="00256928" w:rsidP="009710DE">
      <w:pPr>
        <w:keepNext/>
        <w:keepLines/>
        <w:tabs>
          <w:tab w:val="left" w:pos="1134"/>
        </w:tabs>
        <w:ind w:left="1134" w:hanging="567"/>
        <w:rPr>
          <w:rFonts w:cs="Arial"/>
          <w:lang w:val="es-ES"/>
        </w:rPr>
      </w:pPr>
      <w:r w:rsidRPr="00120FF8">
        <w:t>c)</w:t>
      </w:r>
      <w:r w:rsidR="001F56DF" w:rsidRPr="003A2D30">
        <w:rPr>
          <w:lang w:val="es-ES"/>
        </w:rPr>
        <w:tab/>
      </w:r>
      <w:r w:rsidRPr="00120FF8">
        <w:t>las siguientes conclusiones facilitadas por el experto de la Unión Europea en el Anexo II</w:t>
      </w:r>
      <w:r w:rsidR="00EB38B8" w:rsidRPr="00120FF8">
        <w:t xml:space="preserve">, </w:t>
      </w:r>
      <w:r w:rsidRPr="00120FF8">
        <w:t>diapositiva 19</w:t>
      </w:r>
      <w:r w:rsidR="00EB38B8" w:rsidRPr="00120FF8">
        <w:t xml:space="preserve">, </w:t>
      </w:r>
      <w:r w:rsidRPr="00120FF8">
        <w:t>del documento TWV/50/14 Add.:</w:t>
      </w:r>
    </w:p>
    <w:p w14:paraId="5887140E" w14:textId="77777777" w:rsidR="001F56DF" w:rsidRPr="003A2D30" w:rsidRDefault="00256928" w:rsidP="009710DE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1701" w:hanging="567"/>
        <w:jc w:val="both"/>
        <w:rPr>
          <w:rFonts w:ascii="Arial" w:hAnsi="Arial" w:cs="Arial"/>
          <w:sz w:val="20"/>
          <w:lang w:val="es-ES"/>
        </w:rPr>
      </w:pPr>
      <w:r w:rsidRPr="00120FF8">
        <w:rPr>
          <w:rFonts w:ascii="Arial" w:hAnsi="Arial" w:cs="Arial"/>
          <w:sz w:val="20"/>
          <w:lang w:val="es-ES_tradnl"/>
        </w:rPr>
        <w:t>Las notas de las variedades similares provendrán del mismo ensayo de cultivo que las de la variedad candidata</w:t>
      </w:r>
    </w:p>
    <w:p w14:paraId="511932CE" w14:textId="77777777" w:rsidR="001F56DF" w:rsidRPr="003A2D30" w:rsidRDefault="00256928" w:rsidP="009710DE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1701" w:hanging="567"/>
        <w:jc w:val="both"/>
        <w:rPr>
          <w:rFonts w:ascii="Arial" w:hAnsi="Arial" w:cs="Arial"/>
          <w:sz w:val="20"/>
          <w:lang w:val="es-ES"/>
        </w:rPr>
      </w:pPr>
      <w:r w:rsidRPr="00120FF8">
        <w:rPr>
          <w:rFonts w:ascii="Arial" w:hAnsi="Arial" w:cs="Arial"/>
          <w:sz w:val="20"/>
          <w:lang w:val="es-ES_tradnl"/>
        </w:rPr>
        <w:t>Informar a las partes interesadas de las modificaciones de la descripción oficial de la variedad</w:t>
      </w:r>
    </w:p>
    <w:p w14:paraId="4EBEDAE2" w14:textId="77777777" w:rsidR="001F56DF" w:rsidRPr="003A2D30" w:rsidRDefault="00256928" w:rsidP="009710DE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1701" w:hanging="567"/>
        <w:jc w:val="both"/>
        <w:rPr>
          <w:rFonts w:ascii="Arial" w:hAnsi="Arial" w:cs="Arial"/>
          <w:sz w:val="20"/>
          <w:lang w:val="es-ES"/>
        </w:rPr>
      </w:pPr>
      <w:r w:rsidRPr="00120FF8">
        <w:rPr>
          <w:rFonts w:ascii="Arial" w:hAnsi="Arial" w:cs="Arial"/>
          <w:sz w:val="20"/>
          <w:lang w:val="es-ES_tradnl"/>
        </w:rPr>
        <w:t>Acuerdo sobre los datos proporcionados a las bases de datos compartidas</w:t>
      </w:r>
    </w:p>
    <w:p w14:paraId="0ADFE5F9" w14:textId="2ED5BA43" w:rsidR="001F56DF" w:rsidRDefault="001F56DF" w:rsidP="001F56DF">
      <w:pPr>
        <w:rPr>
          <w:rFonts w:cs="Arial"/>
          <w:lang w:val="es-ES"/>
        </w:rPr>
      </w:pPr>
    </w:p>
    <w:p w14:paraId="58575895" w14:textId="2C98E98C" w:rsidR="009710DE" w:rsidRDefault="009710DE" w:rsidP="001F56DF">
      <w:pPr>
        <w:rPr>
          <w:rFonts w:cs="Arial"/>
          <w:lang w:val="es-ES"/>
        </w:rPr>
      </w:pPr>
    </w:p>
    <w:p w14:paraId="014475BB" w14:textId="77777777" w:rsidR="009710DE" w:rsidRPr="003A2D30" w:rsidRDefault="009710DE" w:rsidP="001F56DF">
      <w:pPr>
        <w:rPr>
          <w:rFonts w:cs="Arial"/>
          <w:lang w:val="es-ES"/>
        </w:rPr>
      </w:pPr>
    </w:p>
    <w:p w14:paraId="4A863B14" w14:textId="77777777" w:rsidR="001F56DF" w:rsidRPr="003A2D30" w:rsidRDefault="00256928" w:rsidP="001F56DF">
      <w:pPr>
        <w:pStyle w:val="Heading1"/>
        <w:rPr>
          <w:lang w:val="es-ES"/>
        </w:rPr>
      </w:pPr>
      <w:r w:rsidRPr="00120FF8">
        <w:rPr>
          <w:lang w:val="es-ES_tradnl"/>
        </w:rPr>
        <w:t>PROPUESTA</w:t>
      </w:r>
    </w:p>
    <w:p w14:paraId="1A953BE5" w14:textId="77777777" w:rsidR="001F56DF" w:rsidRPr="003A2D30" w:rsidRDefault="001F56DF" w:rsidP="001F56DF">
      <w:pPr>
        <w:rPr>
          <w:rFonts w:cs="Arial"/>
          <w:lang w:val="es-ES"/>
        </w:rPr>
      </w:pPr>
    </w:p>
    <w:p w14:paraId="6A277A8F" w14:textId="77777777" w:rsidR="001F56DF" w:rsidRPr="003A2D30" w:rsidRDefault="002674C2" w:rsidP="001F56DF">
      <w:pPr>
        <w:rPr>
          <w:rFonts w:cs="Arial"/>
          <w:lang w:val="es-ES"/>
        </w:rPr>
      </w:pPr>
      <w:r>
        <w:fldChar w:fldCharType="begin"/>
      </w:r>
      <w:r w:rsidR="001F56DF" w:rsidRPr="003A2D30">
        <w:rPr>
          <w:lang w:val="es-ES"/>
        </w:rPr>
        <w:instrText xml:space="preserve"> AUTONUM  </w:instrText>
      </w:r>
      <w:r>
        <w:fldChar w:fldCharType="end"/>
      </w:r>
      <w:r w:rsidR="001F56DF" w:rsidRPr="003A2D30">
        <w:rPr>
          <w:lang w:val="es-ES"/>
        </w:rPr>
        <w:tab/>
      </w:r>
      <w:r w:rsidR="009711DD" w:rsidRPr="00120FF8">
        <w:t>Atendiendo a la invitación del TC</w:t>
      </w:r>
      <w:r w:rsidR="00EB38B8" w:rsidRPr="00120FF8">
        <w:t xml:space="preserve">, </w:t>
      </w:r>
      <w:r w:rsidR="009711DD" w:rsidRPr="00120FF8">
        <w:t xml:space="preserve">la </w:t>
      </w:r>
      <w:r w:rsidR="009711DD" w:rsidRPr="00120FF8">
        <w:rPr>
          <w:rFonts w:eastAsia="SimSun"/>
        </w:rPr>
        <w:t xml:space="preserve">Unión Europea ha </w:t>
      </w:r>
      <w:r w:rsidR="00AE67E5" w:rsidRPr="00120FF8">
        <w:rPr>
          <w:rFonts w:eastAsia="SimSun"/>
        </w:rPr>
        <w:t>elabor</w:t>
      </w:r>
      <w:r w:rsidR="009711DD" w:rsidRPr="00120FF8">
        <w:rPr>
          <w:rFonts w:eastAsia="SimSun"/>
        </w:rPr>
        <w:t>ado un proyecto de orientación</w:t>
      </w:r>
      <w:r w:rsidR="00EB38B8" w:rsidRPr="00120FF8">
        <w:t xml:space="preserve">, </w:t>
      </w:r>
      <w:r w:rsidR="005B65D1" w:rsidRPr="00120FF8">
        <w:t>que figura en el Anexo del presente documento</w:t>
      </w:r>
      <w:r w:rsidR="00EB38B8" w:rsidRPr="00120FF8">
        <w:t xml:space="preserve">, </w:t>
      </w:r>
      <w:r w:rsidR="009711DD" w:rsidRPr="00120FF8">
        <w:rPr>
          <w:rFonts w:eastAsia="SimSun"/>
        </w:rPr>
        <w:t xml:space="preserve">sobre </w:t>
      </w:r>
      <w:r w:rsidR="009711DD" w:rsidRPr="00120FF8">
        <w:t>la finalidad de la descripción de la variedad elaborada en el momento en que se concede el derecho de obtentor y la situación de la descripción original de la variedad con respecto a la comprobación de que el material vegetal corresponde a una variedad protegida a efectos de la defensa del derecho de obtentor.</w:t>
      </w:r>
    </w:p>
    <w:p w14:paraId="0795ACE6" w14:textId="77777777" w:rsidR="001F56DF" w:rsidRPr="003A2D30" w:rsidRDefault="001F56DF" w:rsidP="001F56DF">
      <w:pPr>
        <w:rPr>
          <w:rFonts w:cs="Arial"/>
          <w:lang w:val="es-ES"/>
        </w:rPr>
      </w:pPr>
    </w:p>
    <w:p w14:paraId="1416AB14" w14:textId="77777777" w:rsidR="001F56DF" w:rsidRPr="003A2D30" w:rsidRDefault="002674C2" w:rsidP="001F56DF">
      <w:pPr>
        <w:rPr>
          <w:rFonts w:cs="Arial"/>
          <w:lang w:val="es-ES"/>
        </w:rPr>
      </w:pPr>
      <w:r>
        <w:rPr>
          <w:rFonts w:cs="Arial"/>
        </w:rPr>
        <w:fldChar w:fldCharType="begin"/>
      </w:r>
      <w:r w:rsidR="001F56DF" w:rsidRPr="003A2D30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="001F56DF" w:rsidRPr="003A2D30">
        <w:rPr>
          <w:rFonts w:cs="Arial"/>
          <w:lang w:val="es-ES"/>
        </w:rPr>
        <w:tab/>
      </w:r>
      <w:r w:rsidR="00C67B05" w:rsidRPr="00120FF8">
        <w:rPr>
          <w:rFonts w:cs="Arial"/>
        </w:rPr>
        <w:t xml:space="preserve">Se propone que el </w:t>
      </w:r>
      <w:r w:rsidR="00AE67E5" w:rsidRPr="00120FF8">
        <w:rPr>
          <w:rFonts w:cs="Arial"/>
        </w:rPr>
        <w:t>TC examin</w:t>
      </w:r>
      <w:r w:rsidR="00C67B05" w:rsidRPr="00120FF8">
        <w:rPr>
          <w:rFonts w:cs="Arial"/>
        </w:rPr>
        <w:t>e</w:t>
      </w:r>
      <w:r w:rsidR="00AE67E5" w:rsidRPr="00120FF8">
        <w:rPr>
          <w:rFonts w:cs="Arial"/>
        </w:rPr>
        <w:t xml:space="preserve"> el proyecto de orientación que figura en el Anexo del presente documento como punto de partida de la revisión de la sección</w:t>
      </w:r>
      <w:r w:rsidR="00EB38B8" w:rsidRPr="00120FF8">
        <w:rPr>
          <w:rFonts w:cs="Arial"/>
        </w:rPr>
        <w:t> 6</w:t>
      </w:r>
      <w:r w:rsidR="00AE67E5" w:rsidRPr="00120FF8">
        <w:rPr>
          <w:rFonts w:cs="Arial"/>
        </w:rPr>
        <w:t xml:space="preserve"> “Informe de la UPOV sobre el examen técnico y formulario UPOV para la descripción de variedades” del documento TGP/5.</w:t>
      </w:r>
      <w:r w:rsidR="001F56DF" w:rsidRPr="003A2D30">
        <w:rPr>
          <w:rFonts w:cs="Arial"/>
          <w:lang w:val="es-ES"/>
        </w:rPr>
        <w:t xml:space="preserve"> </w:t>
      </w:r>
    </w:p>
    <w:p w14:paraId="44ADE898" w14:textId="77777777" w:rsidR="001F56DF" w:rsidRPr="003A2D30" w:rsidRDefault="001F56DF" w:rsidP="001F56DF">
      <w:pPr>
        <w:rPr>
          <w:rFonts w:cs="Arial"/>
          <w:i/>
          <w:lang w:val="es-ES"/>
        </w:rPr>
      </w:pPr>
    </w:p>
    <w:p w14:paraId="5EC0F040" w14:textId="77777777" w:rsidR="001F56DF" w:rsidRPr="003A2D30" w:rsidRDefault="002674C2" w:rsidP="001F56DF">
      <w:pPr>
        <w:tabs>
          <w:tab w:val="left" w:pos="5387"/>
        </w:tabs>
        <w:ind w:left="4820"/>
        <w:rPr>
          <w:rFonts w:cs="Arial"/>
          <w:i/>
          <w:lang w:val="es-ES"/>
        </w:rPr>
      </w:pPr>
      <w:r w:rsidRPr="00A013CC">
        <w:rPr>
          <w:rFonts w:cs="Arial"/>
          <w:i/>
        </w:rPr>
        <w:fldChar w:fldCharType="begin"/>
      </w:r>
      <w:r w:rsidR="001F56DF" w:rsidRPr="003A2D30">
        <w:rPr>
          <w:rFonts w:cs="Arial"/>
          <w:i/>
          <w:lang w:val="es-ES"/>
        </w:rPr>
        <w:instrText xml:space="preserve"> AUTONUM  </w:instrText>
      </w:r>
      <w:r w:rsidRPr="00A013CC">
        <w:rPr>
          <w:rFonts w:cs="Arial"/>
          <w:i/>
        </w:rPr>
        <w:fldChar w:fldCharType="end"/>
      </w:r>
      <w:r w:rsidR="001F56DF" w:rsidRPr="003A2D30">
        <w:rPr>
          <w:rFonts w:cs="Arial"/>
          <w:i/>
          <w:lang w:val="es-ES"/>
        </w:rPr>
        <w:tab/>
      </w:r>
      <w:r w:rsidR="00460ED6" w:rsidRPr="00120FF8">
        <w:rPr>
          <w:rFonts w:cs="Arial"/>
          <w:i/>
        </w:rPr>
        <w:t>Se invita al TC a examinar el proyecto de orientación que figura en el Anexo del presente documento como punto de partida de la revisión de la sección</w:t>
      </w:r>
      <w:r w:rsidR="00EB38B8" w:rsidRPr="00120FF8">
        <w:rPr>
          <w:rFonts w:cs="Arial"/>
          <w:i/>
        </w:rPr>
        <w:t> 6</w:t>
      </w:r>
      <w:r w:rsidR="00460ED6" w:rsidRPr="00120FF8">
        <w:rPr>
          <w:rFonts w:cs="Arial"/>
          <w:i/>
        </w:rPr>
        <w:t xml:space="preserve"> “Informe de la UPOV sobre el examen técnico y formulario UPOV para la descripción de variedades” del documento TGP/5.</w:t>
      </w:r>
    </w:p>
    <w:p w14:paraId="2ACDA9B5" w14:textId="77777777" w:rsidR="001F56DF" w:rsidRPr="003A2D30" w:rsidRDefault="001F56DF" w:rsidP="001F56DF">
      <w:pPr>
        <w:tabs>
          <w:tab w:val="left" w:pos="5387"/>
        </w:tabs>
        <w:ind w:left="4820"/>
        <w:rPr>
          <w:rFonts w:cs="Arial"/>
          <w:lang w:val="es-ES"/>
        </w:rPr>
      </w:pPr>
    </w:p>
    <w:p w14:paraId="6E00945B" w14:textId="77777777" w:rsidR="001F56DF" w:rsidRPr="003A2D30" w:rsidRDefault="001F56DF" w:rsidP="001F56DF">
      <w:pPr>
        <w:tabs>
          <w:tab w:val="left" w:pos="5387"/>
        </w:tabs>
        <w:ind w:left="4820"/>
        <w:jc w:val="left"/>
        <w:rPr>
          <w:rFonts w:cs="Arial"/>
          <w:lang w:val="es-ES"/>
        </w:rPr>
      </w:pPr>
    </w:p>
    <w:p w14:paraId="2748605F" w14:textId="77777777" w:rsidR="001F56DF" w:rsidRPr="00CF35CF" w:rsidRDefault="001F56DF" w:rsidP="001F56DF">
      <w:pPr>
        <w:tabs>
          <w:tab w:val="left" w:pos="5387"/>
        </w:tabs>
        <w:ind w:left="4820"/>
        <w:jc w:val="right"/>
        <w:rPr>
          <w:rFonts w:cs="Arial"/>
        </w:rPr>
      </w:pPr>
      <w:r w:rsidRPr="00CF35CF">
        <w:rPr>
          <w:rFonts w:cs="Arial"/>
        </w:rPr>
        <w:t xml:space="preserve">[Sigue el </w:t>
      </w:r>
      <w:r w:rsidR="002115AB" w:rsidRPr="00CF35CF">
        <w:rPr>
          <w:rFonts w:cs="Arial"/>
        </w:rPr>
        <w:t>Anexo</w:t>
      </w:r>
      <w:r w:rsidRPr="00CF35CF">
        <w:rPr>
          <w:rFonts w:cs="Arial"/>
        </w:rPr>
        <w:t>]</w:t>
      </w:r>
    </w:p>
    <w:p w14:paraId="1EA5D2FD" w14:textId="77777777" w:rsidR="00050E16" w:rsidRDefault="00050E16" w:rsidP="00050E16"/>
    <w:p w14:paraId="5A9BE968" w14:textId="77777777" w:rsidR="00BA1B54" w:rsidRDefault="00BA1B54">
      <w:pPr>
        <w:jc w:val="left"/>
        <w:sectPr w:rsidR="00BA1B54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475B7BA7" w14:textId="77777777" w:rsidR="00DD33F8" w:rsidRPr="003A2D30" w:rsidRDefault="00785E84" w:rsidP="00DD33F8">
      <w:pPr>
        <w:jc w:val="center"/>
        <w:rPr>
          <w:lang w:val="es-ES"/>
        </w:rPr>
      </w:pPr>
      <w:r w:rsidRPr="00120FF8">
        <w:lastRenderedPageBreak/>
        <w:t>FINALIDAD DE LA DESCRIPCIÓN DE LA VARIEDAD ELABORADA EN EL MOMENTO EN QUE SE CONCEDE EL DERECHO DE OBTENTOR Y SITUACIÓN DE LA DESCRIPCIÓN ORIGINAL DE LA VARIEDAD EN LO REFERENTE A LA COMPROBACIÓN DE QUE EL MATERIAL VEGETAL CORRESPONDE A UNA VARIEDAD PROTEGIDA A LOS EFECTOS DE LA DEFENSA DEL DERECHO DE OBTENTOR</w:t>
      </w:r>
    </w:p>
    <w:p w14:paraId="1BA38E03" w14:textId="77777777" w:rsidR="00DD33F8" w:rsidRPr="003A2D30" w:rsidRDefault="00DD33F8" w:rsidP="00DD33F8">
      <w:pPr>
        <w:rPr>
          <w:lang w:val="es-ES"/>
        </w:rPr>
      </w:pPr>
    </w:p>
    <w:p w14:paraId="6C8BC27C" w14:textId="77777777" w:rsidR="00DD33F8" w:rsidRPr="003A2D30" w:rsidRDefault="00785E84" w:rsidP="00DD33F8">
      <w:pPr>
        <w:rPr>
          <w:lang w:val="es-ES"/>
        </w:rPr>
      </w:pPr>
      <w:r w:rsidRPr="00120FF8">
        <w:t>En su septuagésima primera sesión</w:t>
      </w:r>
      <w:r w:rsidR="00EB38B8" w:rsidRPr="00120FF8">
        <w:t xml:space="preserve">, </w:t>
      </w:r>
      <w:r w:rsidRPr="00120FF8">
        <w:t>el CAJ respaldó la conclusión extraída por el CAJ-AG en su novena sesión</w:t>
      </w:r>
      <w:r w:rsidR="00EB38B8" w:rsidRPr="00120FF8">
        <w:t xml:space="preserve">, </w:t>
      </w:r>
      <w:r w:rsidRPr="00120FF8">
        <w:t>sobre:</w:t>
      </w:r>
    </w:p>
    <w:p w14:paraId="48B0EE21" w14:textId="77777777" w:rsidR="00DD33F8" w:rsidRPr="003A2D30" w:rsidRDefault="00DD33F8" w:rsidP="00DD33F8">
      <w:pPr>
        <w:rPr>
          <w:lang w:val="es-ES"/>
        </w:rPr>
      </w:pPr>
    </w:p>
    <w:p w14:paraId="46AC5529" w14:textId="77777777" w:rsidR="00DD33F8" w:rsidRPr="003A2D30" w:rsidRDefault="00DD33F8" w:rsidP="00DD33F8">
      <w:pPr>
        <w:rPr>
          <w:lang w:val="es-ES"/>
        </w:rPr>
      </w:pPr>
      <w:r w:rsidRPr="003A2D30">
        <w:rPr>
          <w:lang w:val="es-ES"/>
        </w:rPr>
        <w:tab/>
      </w:r>
      <w:r w:rsidR="00785E84" w:rsidRPr="00120FF8">
        <w:t>i)</w:t>
      </w:r>
      <w:r w:rsidRPr="003A2D30">
        <w:rPr>
          <w:lang w:val="es-ES"/>
        </w:rPr>
        <w:tab/>
      </w:r>
      <w:r w:rsidR="00785E84" w:rsidRPr="00120FF8">
        <w:t>la(s) finalidad(es) de la descripción de la variedad elaborada en el momento en que se concede el derecho de obtentor (descripción original de la variedad)</w:t>
      </w:r>
      <w:r w:rsidR="00EB38B8" w:rsidRPr="00120FF8">
        <w:t xml:space="preserve">, </w:t>
      </w:r>
      <w:r w:rsidR="00785E84" w:rsidRPr="00120FF8">
        <w:t>conforme se indica a continuación:</w:t>
      </w:r>
    </w:p>
    <w:p w14:paraId="5C4BD252" w14:textId="77777777" w:rsidR="00DD33F8" w:rsidRPr="003A2D30" w:rsidRDefault="00DD33F8" w:rsidP="00DD33F8">
      <w:pPr>
        <w:rPr>
          <w:lang w:val="es-ES"/>
        </w:rPr>
      </w:pPr>
    </w:p>
    <w:p w14:paraId="63D0781E" w14:textId="77777777" w:rsidR="00DD33F8" w:rsidRPr="003A2D30" w:rsidRDefault="00785E84" w:rsidP="00DD33F8">
      <w:pPr>
        <w:rPr>
          <w:lang w:val="es-ES"/>
        </w:rPr>
      </w:pPr>
      <w:r w:rsidRPr="00120FF8">
        <w:t>El CAJ-AG convino en que</w:t>
      </w:r>
      <w:r w:rsidR="00EB38B8" w:rsidRPr="00120FF8">
        <w:t xml:space="preserve">, </w:t>
      </w:r>
      <w:r w:rsidRPr="00120FF8">
        <w:t>de conformidad con la sección</w:t>
      </w:r>
      <w:r w:rsidR="00EB38B8" w:rsidRPr="00120FF8">
        <w:t> 6</w:t>
      </w:r>
      <w:r w:rsidRPr="00120FF8">
        <w:t xml:space="preserve"> “Informe de la UPOV sobre el examen técnico y sobre la descripción de variedades” del documento TGP/5 “Experiencia y cooperación en el examen DHE”</w:t>
      </w:r>
      <w:r w:rsidR="00EB38B8" w:rsidRPr="00120FF8">
        <w:t xml:space="preserve">, </w:t>
      </w:r>
      <w:r w:rsidRPr="00120FF8">
        <w:t xml:space="preserve">las finalidades de la descripción de la variedad que se elaboró cuando se concedió el derecho de obtentor (descripción original de la variedad) pueden resumirse </w:t>
      </w:r>
      <w:r w:rsidR="00120FF8" w:rsidRPr="00120FF8">
        <w:t>como</w:t>
      </w:r>
      <w:r w:rsidRPr="00120FF8">
        <w:t>:</w:t>
      </w:r>
    </w:p>
    <w:p w14:paraId="4F9CF90E" w14:textId="77777777" w:rsidR="00DD33F8" w:rsidRPr="003A2D30" w:rsidRDefault="00DD33F8" w:rsidP="00DD33F8">
      <w:pPr>
        <w:ind w:left="567" w:right="567"/>
        <w:rPr>
          <w:lang w:val="es-ES"/>
        </w:rPr>
      </w:pPr>
    </w:p>
    <w:p w14:paraId="540B65FA" w14:textId="77777777" w:rsidR="00DD33F8" w:rsidRPr="003A2D30" w:rsidRDefault="00785E84" w:rsidP="00DD33F8">
      <w:pPr>
        <w:keepNext/>
        <w:ind w:left="1134" w:right="567"/>
        <w:rPr>
          <w:lang w:val="es-ES"/>
        </w:rPr>
      </w:pPr>
      <w:r w:rsidRPr="00120FF8">
        <w:t>a)</w:t>
      </w:r>
      <w:r w:rsidR="00DD33F8" w:rsidRPr="003A2D30">
        <w:rPr>
          <w:lang w:val="es-ES"/>
        </w:rPr>
        <w:tab/>
      </w:r>
      <w:r w:rsidRPr="00120FF8">
        <w:t>describir los caracteres de la variedad</w:t>
      </w:r>
      <w:r w:rsidR="00EB38B8" w:rsidRPr="00120FF8">
        <w:t xml:space="preserve">, </w:t>
      </w:r>
      <w:r w:rsidRPr="00120FF8">
        <w:t>e</w:t>
      </w:r>
    </w:p>
    <w:p w14:paraId="54540422" w14:textId="77777777" w:rsidR="00DD33F8" w:rsidRPr="003A2D30" w:rsidRDefault="00785E84" w:rsidP="00DD33F8">
      <w:pPr>
        <w:ind w:left="1134" w:right="567"/>
        <w:rPr>
          <w:lang w:val="es-ES"/>
        </w:rPr>
      </w:pPr>
      <w:r w:rsidRPr="00120FF8">
        <w:t>b)</w:t>
      </w:r>
      <w:r w:rsidR="00DD33F8" w:rsidRPr="003A2D30">
        <w:rPr>
          <w:lang w:val="es-ES"/>
        </w:rPr>
        <w:tab/>
      </w:r>
      <w:r w:rsidRPr="00120FF8">
        <w:t>identificar y enumerar las variedades similares y las diferencias con respecto a esas variedades;</w:t>
      </w:r>
      <w:r w:rsidR="00DD33F8" w:rsidRPr="003A2D30">
        <w:rPr>
          <w:lang w:val="es-ES"/>
        </w:rPr>
        <w:t xml:space="preserve"> </w:t>
      </w:r>
    </w:p>
    <w:p w14:paraId="362F5DCD" w14:textId="77777777" w:rsidR="00DD33F8" w:rsidRPr="003A2D30" w:rsidRDefault="00785E84" w:rsidP="00DD33F8">
      <w:pPr>
        <w:ind w:left="2835" w:right="567" w:hanging="1134"/>
        <w:rPr>
          <w:lang w:val="es-ES"/>
        </w:rPr>
      </w:pPr>
      <w:r w:rsidRPr="00120FF8">
        <w:t>junto con la siguiente información basada en a) y b):</w:t>
      </w:r>
    </w:p>
    <w:p w14:paraId="522E45F5" w14:textId="77777777" w:rsidR="00DD33F8" w:rsidRPr="003A2D30" w:rsidRDefault="00DD33F8" w:rsidP="00DD33F8">
      <w:pPr>
        <w:ind w:left="1701" w:right="567"/>
        <w:rPr>
          <w:lang w:val="es-ES"/>
        </w:rPr>
      </w:pPr>
      <w:r w:rsidRPr="003A2D30">
        <w:rPr>
          <w:rFonts w:cs="Arial"/>
          <w:lang w:val="es-ES"/>
        </w:rPr>
        <w:t>▪</w:t>
      </w:r>
      <w:r w:rsidRPr="003A2D30">
        <w:rPr>
          <w:lang w:val="es-ES"/>
        </w:rPr>
        <w:tab/>
      </w:r>
      <w:r w:rsidR="001B0202" w:rsidRPr="00AD2A9C">
        <w:t xml:space="preserve">Fecha y número de documento de las </w:t>
      </w:r>
      <w:r w:rsidR="00AD2A9C" w:rsidRPr="00AD2A9C">
        <w:t>directrices de examen de la </w:t>
      </w:r>
      <w:r w:rsidR="001B0202" w:rsidRPr="00AD2A9C">
        <w:t>UPOV;</w:t>
      </w:r>
    </w:p>
    <w:p w14:paraId="543EA297" w14:textId="77777777" w:rsidR="00DD33F8" w:rsidRPr="003A2D30" w:rsidRDefault="00DD33F8" w:rsidP="00DD33F8">
      <w:pPr>
        <w:ind w:left="1701" w:right="567"/>
        <w:rPr>
          <w:lang w:val="es-ES"/>
        </w:rPr>
      </w:pPr>
      <w:r w:rsidRPr="003A2D30">
        <w:rPr>
          <w:rFonts w:cs="Arial"/>
          <w:lang w:val="es-ES"/>
        </w:rPr>
        <w:t>▪</w:t>
      </w:r>
      <w:r w:rsidRPr="003A2D30">
        <w:rPr>
          <w:lang w:val="es-ES"/>
        </w:rPr>
        <w:tab/>
      </w:r>
      <w:r w:rsidR="001B0202" w:rsidRPr="00AD2A9C">
        <w:t>Fecha y/o número de documento de las directrices de examen de la autoridad informante;</w:t>
      </w:r>
    </w:p>
    <w:p w14:paraId="01F06BDA" w14:textId="77777777" w:rsidR="00DD33F8" w:rsidRPr="003A2D30" w:rsidRDefault="00DD33F8" w:rsidP="00DD33F8">
      <w:pPr>
        <w:ind w:left="1701" w:right="567"/>
        <w:rPr>
          <w:lang w:val="es-ES"/>
        </w:rPr>
      </w:pPr>
      <w:r w:rsidRPr="003A2D30">
        <w:rPr>
          <w:rFonts w:cs="Arial"/>
          <w:lang w:val="es-ES"/>
        </w:rPr>
        <w:t>▪</w:t>
      </w:r>
      <w:r w:rsidRPr="003A2D30">
        <w:rPr>
          <w:lang w:val="es-ES"/>
        </w:rPr>
        <w:tab/>
      </w:r>
      <w:r w:rsidR="001B0202" w:rsidRPr="00AD2A9C">
        <w:t>Autoridad informante;</w:t>
      </w:r>
    </w:p>
    <w:p w14:paraId="7F663A5F" w14:textId="77777777" w:rsidR="00DD33F8" w:rsidRPr="003A2D30" w:rsidRDefault="00DD33F8" w:rsidP="00DD33F8">
      <w:pPr>
        <w:ind w:left="1701" w:right="567"/>
        <w:rPr>
          <w:lang w:val="es-ES"/>
        </w:rPr>
      </w:pPr>
      <w:r w:rsidRPr="003A2D30">
        <w:rPr>
          <w:rFonts w:cs="Arial"/>
          <w:lang w:val="es-ES"/>
        </w:rPr>
        <w:t>▪</w:t>
      </w:r>
      <w:r w:rsidRPr="003A2D30">
        <w:rPr>
          <w:lang w:val="es-ES"/>
        </w:rPr>
        <w:tab/>
      </w:r>
      <w:r w:rsidR="001B0202" w:rsidRPr="00AD2A9C">
        <w:t>Estación(es) y lugar(es) del examen;</w:t>
      </w:r>
    </w:p>
    <w:p w14:paraId="0FDA46DA" w14:textId="77777777" w:rsidR="00DD33F8" w:rsidRPr="003A2D30" w:rsidRDefault="00DD33F8" w:rsidP="00DD33F8">
      <w:pPr>
        <w:ind w:left="1701" w:right="567"/>
        <w:rPr>
          <w:lang w:val="es-ES"/>
        </w:rPr>
      </w:pPr>
      <w:r w:rsidRPr="003A2D30">
        <w:rPr>
          <w:rFonts w:cs="Arial"/>
          <w:lang w:val="es-ES"/>
        </w:rPr>
        <w:t>▪</w:t>
      </w:r>
      <w:r w:rsidRPr="003A2D30">
        <w:rPr>
          <w:lang w:val="es-ES"/>
        </w:rPr>
        <w:tab/>
      </w:r>
      <w:r w:rsidR="001B0202" w:rsidRPr="00AD2A9C">
        <w:t>Período de realización del examen;</w:t>
      </w:r>
    </w:p>
    <w:p w14:paraId="43DCD8CF" w14:textId="77777777" w:rsidR="00DD33F8" w:rsidRPr="003A2D30" w:rsidRDefault="00DD33F8" w:rsidP="00DD33F8">
      <w:pPr>
        <w:ind w:left="1701" w:right="567"/>
        <w:rPr>
          <w:lang w:val="es-ES"/>
        </w:rPr>
      </w:pPr>
      <w:r w:rsidRPr="003A2D30">
        <w:rPr>
          <w:rFonts w:cs="Arial"/>
          <w:lang w:val="es-ES"/>
        </w:rPr>
        <w:t>▪</w:t>
      </w:r>
      <w:r w:rsidRPr="003A2D30">
        <w:rPr>
          <w:lang w:val="es-ES"/>
        </w:rPr>
        <w:tab/>
      </w:r>
      <w:r w:rsidR="001B0202" w:rsidRPr="00AD2A9C">
        <w:t>Fecha y lugar de emisión del documento;</w:t>
      </w:r>
    </w:p>
    <w:p w14:paraId="0A765F36" w14:textId="77777777" w:rsidR="00DD33F8" w:rsidRPr="003A2D30" w:rsidRDefault="00DD33F8" w:rsidP="00DD33F8">
      <w:pPr>
        <w:ind w:left="1701" w:right="567"/>
        <w:rPr>
          <w:lang w:val="es-ES"/>
        </w:rPr>
      </w:pPr>
      <w:r w:rsidRPr="003A2D30">
        <w:rPr>
          <w:rFonts w:cs="Arial"/>
          <w:lang w:val="es-ES"/>
        </w:rPr>
        <w:t>▪</w:t>
      </w:r>
      <w:r w:rsidRPr="003A2D30">
        <w:rPr>
          <w:lang w:val="es-ES"/>
        </w:rPr>
        <w:tab/>
      </w:r>
      <w:r w:rsidR="001B0202" w:rsidRPr="00AD2A9C">
        <w:t>Grupo:</w:t>
      </w:r>
      <w:r w:rsidRPr="003A2D30">
        <w:rPr>
          <w:lang w:val="es-ES"/>
        </w:rPr>
        <w:t xml:space="preserve"> </w:t>
      </w:r>
      <w:r w:rsidR="001B0202" w:rsidRPr="00AD2A9C">
        <w:t>(Cuadro:</w:t>
      </w:r>
      <w:r w:rsidRPr="003A2D30">
        <w:rPr>
          <w:lang w:val="es-ES"/>
        </w:rPr>
        <w:t xml:space="preserve"> </w:t>
      </w:r>
      <w:r w:rsidR="001B0202" w:rsidRPr="00AD2A9C">
        <w:t>Caracteres;</w:t>
      </w:r>
      <w:r w:rsidRPr="003A2D30">
        <w:rPr>
          <w:lang w:val="es-ES"/>
        </w:rPr>
        <w:t xml:space="preserve"> </w:t>
      </w:r>
      <w:r w:rsidR="001B0202" w:rsidRPr="00AD2A9C">
        <w:t>Niveles de expresión;</w:t>
      </w:r>
      <w:r w:rsidRPr="003A2D30">
        <w:rPr>
          <w:lang w:val="es-ES"/>
        </w:rPr>
        <w:t xml:space="preserve"> </w:t>
      </w:r>
      <w:r w:rsidR="001B0202" w:rsidRPr="00AD2A9C">
        <w:t>Nota;</w:t>
      </w:r>
      <w:r w:rsidRPr="003A2D30">
        <w:rPr>
          <w:lang w:val="es-ES"/>
        </w:rPr>
        <w:t xml:space="preserve"> </w:t>
      </w:r>
      <w:r w:rsidR="001B0202" w:rsidRPr="00AD2A9C">
        <w:t>Observaciones);</w:t>
      </w:r>
    </w:p>
    <w:p w14:paraId="7A2F3E34" w14:textId="77777777" w:rsidR="00DD33F8" w:rsidRPr="003A2D30" w:rsidRDefault="00DD33F8" w:rsidP="00DD33F8">
      <w:pPr>
        <w:ind w:left="1701" w:right="567"/>
        <w:rPr>
          <w:lang w:val="es-ES"/>
        </w:rPr>
      </w:pPr>
      <w:r w:rsidRPr="003A2D30">
        <w:rPr>
          <w:rFonts w:cs="Arial"/>
          <w:lang w:val="es-ES"/>
        </w:rPr>
        <w:t>▪</w:t>
      </w:r>
      <w:r w:rsidRPr="003A2D30">
        <w:rPr>
          <w:lang w:val="es-ES"/>
        </w:rPr>
        <w:tab/>
      </w:r>
      <w:r w:rsidR="001B0202" w:rsidRPr="00AD2A9C">
        <w:t>Información adicional:</w:t>
      </w:r>
    </w:p>
    <w:p w14:paraId="01725BD0" w14:textId="77777777" w:rsidR="00DD33F8" w:rsidRPr="003A2D30" w:rsidRDefault="00DD33F8" w:rsidP="00DD33F8">
      <w:pPr>
        <w:tabs>
          <w:tab w:val="left" w:pos="2268"/>
          <w:tab w:val="left" w:pos="2835"/>
        </w:tabs>
        <w:ind w:left="1701" w:right="567"/>
        <w:rPr>
          <w:lang w:val="es-ES"/>
        </w:rPr>
      </w:pPr>
      <w:r w:rsidRPr="003A2D30">
        <w:rPr>
          <w:lang w:val="es-ES"/>
        </w:rPr>
        <w:tab/>
      </w:r>
      <w:r w:rsidR="001B0202" w:rsidRPr="00AD2A9C">
        <w:t>a)</w:t>
      </w:r>
      <w:r w:rsidRPr="003A2D30">
        <w:rPr>
          <w:lang w:val="es-ES"/>
        </w:rPr>
        <w:tab/>
      </w:r>
      <w:r w:rsidR="001B0202" w:rsidRPr="00AD2A9C">
        <w:t>datos adicionales</w:t>
      </w:r>
    </w:p>
    <w:p w14:paraId="1B38E50D" w14:textId="77777777" w:rsidR="00DD33F8" w:rsidRPr="003A2D30" w:rsidRDefault="00DD33F8" w:rsidP="00DD33F8">
      <w:pPr>
        <w:tabs>
          <w:tab w:val="left" w:pos="2268"/>
          <w:tab w:val="left" w:pos="2835"/>
        </w:tabs>
        <w:ind w:left="1701" w:right="567"/>
        <w:rPr>
          <w:lang w:val="es-ES"/>
        </w:rPr>
      </w:pPr>
      <w:r w:rsidRPr="003A2D30">
        <w:rPr>
          <w:lang w:val="es-ES"/>
        </w:rPr>
        <w:tab/>
      </w:r>
      <w:r w:rsidR="001B0202" w:rsidRPr="00AD2A9C">
        <w:t>b)</w:t>
      </w:r>
      <w:r w:rsidRPr="003A2D30">
        <w:rPr>
          <w:lang w:val="es-ES"/>
        </w:rPr>
        <w:tab/>
      </w:r>
      <w:r w:rsidR="001B0202" w:rsidRPr="00AD2A9C">
        <w:t>fotografía (si procede)</w:t>
      </w:r>
    </w:p>
    <w:p w14:paraId="70B7D6D3" w14:textId="77777777" w:rsidR="00DD33F8" w:rsidRPr="003A2D30" w:rsidRDefault="00DD33F8" w:rsidP="00DD33F8">
      <w:pPr>
        <w:tabs>
          <w:tab w:val="left" w:pos="2268"/>
          <w:tab w:val="left" w:pos="2835"/>
        </w:tabs>
        <w:ind w:left="1701" w:right="567"/>
        <w:rPr>
          <w:lang w:val="es-ES"/>
        </w:rPr>
      </w:pPr>
      <w:r w:rsidRPr="003A2D30">
        <w:rPr>
          <w:lang w:val="es-ES"/>
        </w:rPr>
        <w:tab/>
      </w:r>
      <w:r w:rsidR="001B0202" w:rsidRPr="00AD2A9C">
        <w:t>c)</w:t>
      </w:r>
      <w:r w:rsidRPr="003A2D30">
        <w:rPr>
          <w:lang w:val="es-ES"/>
        </w:rPr>
        <w:tab/>
      </w:r>
      <w:r w:rsidR="001B0202" w:rsidRPr="00AD2A9C">
        <w:t xml:space="preserve">versión de la </w:t>
      </w:r>
      <w:r w:rsidR="00AD2A9C" w:rsidRPr="00AD2A9C">
        <w:t xml:space="preserve">carta de colores </w:t>
      </w:r>
      <w:r w:rsidR="001B0202" w:rsidRPr="00AD2A9C">
        <w:t>RHS empleada (cuando proceda)</w:t>
      </w:r>
    </w:p>
    <w:p w14:paraId="57B93D59" w14:textId="77777777" w:rsidR="00DD33F8" w:rsidRPr="008B1B3A" w:rsidRDefault="00DD33F8" w:rsidP="00DD33F8">
      <w:pPr>
        <w:tabs>
          <w:tab w:val="left" w:pos="2268"/>
          <w:tab w:val="left" w:pos="2835"/>
        </w:tabs>
        <w:ind w:left="1701" w:right="567"/>
      </w:pPr>
      <w:r w:rsidRPr="003A2D30">
        <w:rPr>
          <w:lang w:val="es-ES"/>
        </w:rPr>
        <w:tab/>
      </w:r>
      <w:r w:rsidR="001B0202" w:rsidRPr="00AD2A9C">
        <w:t>d)</w:t>
      </w:r>
      <w:r w:rsidRPr="008B1B3A">
        <w:tab/>
      </w:r>
      <w:r w:rsidR="001B0202" w:rsidRPr="00AD2A9C">
        <w:t>observaciones.</w:t>
      </w:r>
    </w:p>
    <w:p w14:paraId="787355B9" w14:textId="77777777" w:rsidR="00DD33F8" w:rsidRPr="008B1B3A" w:rsidRDefault="00DD33F8" w:rsidP="00DD33F8"/>
    <w:p w14:paraId="7BAC849A" w14:textId="77777777" w:rsidR="00DD33F8" w:rsidRPr="003A2D30" w:rsidRDefault="001B0202" w:rsidP="00DD33F8">
      <w:pPr>
        <w:ind w:left="567"/>
        <w:rPr>
          <w:lang w:val="es-ES"/>
        </w:rPr>
      </w:pPr>
      <w:r w:rsidRPr="00AD2A9C">
        <w:t>y</w:t>
      </w:r>
    </w:p>
    <w:p w14:paraId="24680574" w14:textId="77777777" w:rsidR="00DD33F8" w:rsidRPr="003A2D30" w:rsidRDefault="00DD33F8" w:rsidP="00DD33F8">
      <w:pPr>
        <w:rPr>
          <w:lang w:val="es-ES"/>
        </w:rPr>
      </w:pPr>
    </w:p>
    <w:p w14:paraId="45A5F035" w14:textId="77777777" w:rsidR="00DD33F8" w:rsidRPr="003A2D30" w:rsidRDefault="00DD33F8" w:rsidP="00DD33F8">
      <w:pPr>
        <w:rPr>
          <w:lang w:val="es-ES"/>
        </w:rPr>
      </w:pPr>
      <w:r w:rsidRPr="003A2D30">
        <w:rPr>
          <w:lang w:val="es-ES"/>
        </w:rPr>
        <w:tab/>
      </w:r>
      <w:r w:rsidR="001B0202" w:rsidRPr="00AD2A9C">
        <w:t>ii)</w:t>
      </w:r>
      <w:r w:rsidRPr="003A2D30">
        <w:rPr>
          <w:lang w:val="es-ES"/>
        </w:rPr>
        <w:tab/>
      </w:r>
      <w:r w:rsidR="001B0202" w:rsidRPr="00AD2A9C">
        <w:t>la situación de la descripción original de la variedad con respecto a la comprobación del material vegetal de una variedad protegida a efectos de la defensa del derecho de obtentor</w:t>
      </w:r>
      <w:r w:rsidR="00EB38B8" w:rsidRPr="00AD2A9C">
        <w:t xml:space="preserve">, </w:t>
      </w:r>
      <w:r w:rsidR="001B0202" w:rsidRPr="00AD2A9C">
        <w:t>conforme se indica a continuación:</w:t>
      </w:r>
    </w:p>
    <w:p w14:paraId="09FCFC85" w14:textId="77777777" w:rsidR="00DD33F8" w:rsidRPr="003A2D30" w:rsidRDefault="00DD33F8" w:rsidP="00DD33F8">
      <w:pPr>
        <w:rPr>
          <w:lang w:val="es-ES"/>
        </w:rPr>
      </w:pPr>
    </w:p>
    <w:p w14:paraId="497036EF" w14:textId="77777777" w:rsidR="00DD33F8" w:rsidRPr="003A2D30" w:rsidRDefault="001B0202" w:rsidP="00DD33F8">
      <w:pPr>
        <w:rPr>
          <w:snapToGrid w:val="0"/>
          <w:spacing w:val="-2"/>
          <w:szCs w:val="18"/>
          <w:lang w:val="es-ES"/>
        </w:rPr>
      </w:pPr>
      <w:r w:rsidRPr="00AD2A9C">
        <w:rPr>
          <w:snapToGrid w:val="0"/>
          <w:spacing w:val="-2"/>
          <w:szCs w:val="18"/>
        </w:rPr>
        <w:t>El CAJ-AG examinó la situación de la descripción original de la variedad con respecto a la comprobación del material vegetal de una variedad protegida a efectos de la defensa del derecho de obtentor y señaló que en las orientaciones de la UPOV relativas a la observancia de los derechos de los obtentores que figuran en el documento UPOV/EXN/ENF/1 “Notas explicativas sobre la defensa de los derechos del obtentor con arreglo al Convenio de la UPOV” se ofrece la siguiente explicación:</w:t>
      </w:r>
      <w:r w:rsidR="00DD33F8" w:rsidRPr="003A2D30">
        <w:rPr>
          <w:snapToGrid w:val="0"/>
          <w:spacing w:val="-2"/>
          <w:szCs w:val="18"/>
          <w:lang w:val="es-ES"/>
        </w:rPr>
        <w:t xml:space="preserve"> </w:t>
      </w:r>
    </w:p>
    <w:p w14:paraId="70F846A3" w14:textId="77777777" w:rsidR="00DD33F8" w:rsidRPr="003A2D30" w:rsidRDefault="00DD33F8" w:rsidP="00DD33F8">
      <w:pPr>
        <w:contextualSpacing/>
        <w:rPr>
          <w:snapToGrid w:val="0"/>
          <w:szCs w:val="18"/>
          <w:lang w:val="es-ES"/>
        </w:rPr>
      </w:pPr>
    </w:p>
    <w:p w14:paraId="7FBAD6EB" w14:textId="77777777" w:rsidR="00DD33F8" w:rsidRPr="003A2D30" w:rsidRDefault="00AD2A9C" w:rsidP="00DD33F8">
      <w:pPr>
        <w:ind w:left="567" w:right="567"/>
        <w:contextualSpacing/>
        <w:rPr>
          <w:rFonts w:cs="Arial"/>
          <w:snapToGrid w:val="0"/>
          <w:szCs w:val="18"/>
          <w:lang w:val="es-ES"/>
        </w:rPr>
      </w:pPr>
      <w:r w:rsidRPr="00AD2A9C">
        <w:rPr>
          <w:rFonts w:cs="Arial"/>
          <w:snapToGrid w:val="0"/>
          <w:szCs w:val="18"/>
        </w:rPr>
        <w:t>“SECCIÓN </w:t>
      </w:r>
      <w:r w:rsidR="001B0202" w:rsidRPr="00AD2A9C">
        <w:rPr>
          <w:rFonts w:cs="Arial"/>
          <w:snapToGrid w:val="0"/>
          <w:szCs w:val="18"/>
        </w:rPr>
        <w:t>II:</w:t>
      </w:r>
      <w:r w:rsidR="00DD33F8" w:rsidRPr="003A2D30">
        <w:rPr>
          <w:rFonts w:cs="Arial"/>
          <w:snapToGrid w:val="0"/>
          <w:szCs w:val="18"/>
          <w:lang w:val="es-ES"/>
        </w:rPr>
        <w:t xml:space="preserve"> </w:t>
      </w:r>
      <w:r w:rsidR="001B0202" w:rsidRPr="00AD2A9C">
        <w:rPr>
          <w:rFonts w:cs="Arial"/>
          <w:snapToGrid w:val="0"/>
          <w:szCs w:val="18"/>
        </w:rPr>
        <w:t>Algunas medidas posibles para la defensa de los derechos de obtentor</w:t>
      </w:r>
      <w:r w:rsidR="00DD33F8" w:rsidRPr="003A2D30">
        <w:rPr>
          <w:rFonts w:cs="Arial"/>
          <w:snapToGrid w:val="0"/>
          <w:szCs w:val="18"/>
          <w:lang w:val="es-ES"/>
        </w:rPr>
        <w:t xml:space="preserve"> </w:t>
      </w:r>
    </w:p>
    <w:p w14:paraId="3DD3F161" w14:textId="77777777" w:rsidR="00DD33F8" w:rsidRPr="003A2D30" w:rsidRDefault="00DD33F8" w:rsidP="00DD33F8">
      <w:pPr>
        <w:ind w:left="567" w:right="567"/>
        <w:contextualSpacing/>
        <w:rPr>
          <w:rFonts w:cs="Arial"/>
          <w:snapToGrid w:val="0"/>
          <w:szCs w:val="18"/>
          <w:lang w:val="es-ES"/>
        </w:rPr>
      </w:pPr>
    </w:p>
    <w:p w14:paraId="06DFE165" w14:textId="77777777" w:rsidR="00DD33F8" w:rsidRPr="003A2D30" w:rsidRDefault="001B0202" w:rsidP="00DD33F8">
      <w:pPr>
        <w:ind w:left="567" w:right="567"/>
        <w:contextualSpacing/>
        <w:rPr>
          <w:rFonts w:cs="Arial"/>
          <w:snapToGrid w:val="0"/>
          <w:szCs w:val="18"/>
          <w:lang w:val="es-ES"/>
        </w:rPr>
      </w:pPr>
      <w:r w:rsidRPr="00AD2A9C">
        <w:rPr>
          <w:rFonts w:cs="Arial"/>
          <w:snapToGrid w:val="0"/>
          <w:szCs w:val="18"/>
        </w:rPr>
        <w:t>Si bien el Convenio de la UPOV exige a los miembros de la Unión que prevean los recursos legales apropiados que permitan defender eficazmente los derechos de obtentor</w:t>
      </w:r>
      <w:r w:rsidR="00EB38B8" w:rsidRPr="00AD2A9C">
        <w:rPr>
          <w:rFonts w:cs="Arial"/>
          <w:snapToGrid w:val="0"/>
          <w:szCs w:val="18"/>
        </w:rPr>
        <w:t xml:space="preserve">, </w:t>
      </w:r>
      <w:r w:rsidRPr="00AD2A9C">
        <w:rPr>
          <w:rFonts w:cs="Arial"/>
          <w:snapToGrid w:val="0"/>
          <w:szCs w:val="18"/>
        </w:rPr>
        <w:t>corresponde a los obtentores la defensa de sus derechos.”</w:t>
      </w:r>
    </w:p>
    <w:p w14:paraId="55D69A49" w14:textId="77777777" w:rsidR="00DD33F8" w:rsidRPr="003A2D30" w:rsidRDefault="00DD33F8" w:rsidP="00DD33F8">
      <w:pPr>
        <w:contextualSpacing/>
        <w:rPr>
          <w:rFonts w:cs="Arial"/>
          <w:snapToGrid w:val="0"/>
          <w:szCs w:val="18"/>
          <w:lang w:val="es-ES"/>
        </w:rPr>
      </w:pPr>
    </w:p>
    <w:p w14:paraId="24E9BE02" w14:textId="77777777" w:rsidR="00DD33F8" w:rsidRPr="003A2D30" w:rsidRDefault="00521CFB" w:rsidP="00DD33F8">
      <w:pPr>
        <w:rPr>
          <w:rFonts w:cs="Arial"/>
          <w:snapToGrid w:val="0"/>
          <w:szCs w:val="18"/>
          <w:lang w:val="es-ES"/>
        </w:rPr>
      </w:pPr>
      <w:r w:rsidRPr="00AD2A9C">
        <w:rPr>
          <w:rFonts w:cs="Arial"/>
          <w:snapToGrid w:val="0"/>
          <w:szCs w:val="18"/>
        </w:rPr>
        <w:t>El CAJ-AG convino en que</w:t>
      </w:r>
      <w:r w:rsidR="00EB38B8" w:rsidRPr="00AD2A9C">
        <w:rPr>
          <w:rFonts w:cs="Arial"/>
          <w:snapToGrid w:val="0"/>
          <w:szCs w:val="18"/>
        </w:rPr>
        <w:t xml:space="preserve">, </w:t>
      </w:r>
      <w:r w:rsidRPr="00AD2A9C">
        <w:rPr>
          <w:rFonts w:cs="Arial"/>
          <w:snapToGrid w:val="0"/>
          <w:szCs w:val="18"/>
        </w:rPr>
        <w:t>en relación con el uso de la descripción original de la variedad</w:t>
      </w:r>
      <w:r w:rsidR="00EB38B8" w:rsidRPr="00AD2A9C">
        <w:rPr>
          <w:rFonts w:cs="Arial"/>
          <w:snapToGrid w:val="0"/>
          <w:szCs w:val="18"/>
        </w:rPr>
        <w:t xml:space="preserve">, </w:t>
      </w:r>
      <w:r w:rsidRPr="00AD2A9C">
        <w:rPr>
          <w:rFonts w:cs="Arial"/>
          <w:snapToGrid w:val="0"/>
          <w:szCs w:val="18"/>
        </w:rPr>
        <w:t>debía recordarse que la descripción de los caracteres de la variedad y la base para la distinción respecto de la variedad más similar están vinculadas a las circunstancias del examen DHE</w:t>
      </w:r>
      <w:r w:rsidR="00EB38B8" w:rsidRPr="00AD2A9C">
        <w:rPr>
          <w:rFonts w:cs="Arial"/>
          <w:snapToGrid w:val="0"/>
          <w:szCs w:val="18"/>
        </w:rPr>
        <w:t xml:space="preserve">, </w:t>
      </w:r>
      <w:r w:rsidRPr="00AD2A9C">
        <w:rPr>
          <w:rFonts w:cs="Arial"/>
          <w:snapToGrid w:val="0"/>
          <w:szCs w:val="18"/>
        </w:rPr>
        <w:t>a saber:</w:t>
      </w:r>
    </w:p>
    <w:p w14:paraId="362B2440" w14:textId="77777777" w:rsidR="00DD33F8" w:rsidRPr="003A2D30" w:rsidRDefault="00DD33F8" w:rsidP="00D72E40">
      <w:pPr>
        <w:keepNext/>
        <w:ind w:left="567" w:right="567"/>
        <w:rPr>
          <w:rFonts w:cs="Arial"/>
          <w:snapToGrid w:val="0"/>
          <w:szCs w:val="18"/>
          <w:lang w:val="es-ES"/>
        </w:rPr>
      </w:pPr>
    </w:p>
    <w:p w14:paraId="301A76B4" w14:textId="77777777" w:rsidR="00DD33F8" w:rsidRPr="003A2D30" w:rsidRDefault="00CA47FA" w:rsidP="00AD2A9C">
      <w:pPr>
        <w:keepNext/>
        <w:numPr>
          <w:ilvl w:val="2"/>
          <w:numId w:val="2"/>
        </w:numPr>
        <w:tabs>
          <w:tab w:val="left" w:pos="1134"/>
          <w:tab w:val="left" w:pos="1701"/>
        </w:tabs>
        <w:spacing w:line="280" w:lineRule="auto"/>
        <w:ind w:left="1134" w:right="567"/>
        <w:contextualSpacing/>
        <w:rPr>
          <w:rFonts w:cs="Arial"/>
          <w:szCs w:val="18"/>
          <w:lang w:val="es-ES"/>
        </w:rPr>
      </w:pPr>
      <w:r w:rsidRPr="00AD2A9C">
        <w:rPr>
          <w:rFonts w:cs="Arial"/>
          <w:szCs w:val="18"/>
        </w:rPr>
        <w:t xml:space="preserve">Fecha y número de documento de las </w:t>
      </w:r>
      <w:r w:rsidR="00AD2A9C" w:rsidRPr="00AD2A9C">
        <w:rPr>
          <w:rFonts w:cs="Arial"/>
          <w:szCs w:val="18"/>
        </w:rPr>
        <w:t xml:space="preserve">directrices de examen </w:t>
      </w:r>
      <w:r w:rsidRPr="00AD2A9C">
        <w:rPr>
          <w:rFonts w:cs="Arial"/>
          <w:szCs w:val="18"/>
        </w:rPr>
        <w:t>de la UPOV;</w:t>
      </w:r>
    </w:p>
    <w:p w14:paraId="0248ADDD" w14:textId="77777777" w:rsidR="00DD33F8" w:rsidRPr="003A2D30" w:rsidRDefault="00CA47FA" w:rsidP="000D34EC">
      <w:pPr>
        <w:keepNext/>
        <w:numPr>
          <w:ilvl w:val="2"/>
          <w:numId w:val="2"/>
        </w:numPr>
        <w:tabs>
          <w:tab w:val="left" w:pos="1134"/>
          <w:tab w:val="left" w:pos="1701"/>
          <w:tab w:val="left" w:pos="5103"/>
        </w:tabs>
        <w:spacing w:line="281" w:lineRule="auto"/>
        <w:ind w:left="1134" w:right="567" w:hanging="357"/>
        <w:contextualSpacing/>
        <w:rPr>
          <w:rFonts w:cs="Arial"/>
          <w:szCs w:val="18"/>
          <w:lang w:val="es-ES"/>
        </w:rPr>
      </w:pPr>
      <w:r w:rsidRPr="00AD2A9C">
        <w:rPr>
          <w:rFonts w:cs="Arial"/>
          <w:szCs w:val="18"/>
        </w:rPr>
        <w:t>Fecha y/o número de documento de las directrices de examen de la autoridad informante;</w:t>
      </w:r>
    </w:p>
    <w:p w14:paraId="39429BED" w14:textId="77777777" w:rsidR="00DD33F8" w:rsidRPr="008B1B3A" w:rsidRDefault="00CA47FA" w:rsidP="00AD2A9C">
      <w:pPr>
        <w:numPr>
          <w:ilvl w:val="2"/>
          <w:numId w:val="2"/>
        </w:numPr>
        <w:tabs>
          <w:tab w:val="left" w:pos="1134"/>
          <w:tab w:val="left" w:pos="1701"/>
          <w:tab w:val="left" w:pos="5103"/>
        </w:tabs>
        <w:spacing w:line="280" w:lineRule="auto"/>
        <w:ind w:left="1134" w:right="567"/>
        <w:contextualSpacing/>
        <w:rPr>
          <w:rFonts w:cs="Arial"/>
          <w:szCs w:val="18"/>
        </w:rPr>
      </w:pPr>
      <w:r w:rsidRPr="00AD2A9C">
        <w:rPr>
          <w:rFonts w:cs="Arial"/>
          <w:szCs w:val="18"/>
        </w:rPr>
        <w:t>Autoridad informante;</w:t>
      </w:r>
    </w:p>
    <w:p w14:paraId="4B64A61F" w14:textId="77777777" w:rsidR="00DD33F8" w:rsidRPr="003A2D30" w:rsidRDefault="00CA47FA" w:rsidP="00AD2A9C">
      <w:pPr>
        <w:numPr>
          <w:ilvl w:val="2"/>
          <w:numId w:val="2"/>
        </w:numPr>
        <w:tabs>
          <w:tab w:val="left" w:pos="1134"/>
          <w:tab w:val="left" w:pos="1701"/>
          <w:tab w:val="left" w:pos="5103"/>
        </w:tabs>
        <w:spacing w:line="280" w:lineRule="auto"/>
        <w:ind w:left="1134" w:right="567"/>
        <w:contextualSpacing/>
        <w:rPr>
          <w:rFonts w:cs="Arial"/>
          <w:szCs w:val="18"/>
          <w:lang w:val="es-ES"/>
        </w:rPr>
      </w:pPr>
      <w:r w:rsidRPr="00AD2A9C">
        <w:rPr>
          <w:rFonts w:cs="Arial"/>
          <w:szCs w:val="18"/>
        </w:rPr>
        <w:t>Estación(es) y lugar(es) del examen;</w:t>
      </w:r>
    </w:p>
    <w:p w14:paraId="6F45C7A1" w14:textId="77777777" w:rsidR="00DD33F8" w:rsidRPr="008B1B3A" w:rsidRDefault="00CA47FA" w:rsidP="00AD2A9C">
      <w:pPr>
        <w:numPr>
          <w:ilvl w:val="2"/>
          <w:numId w:val="2"/>
        </w:numPr>
        <w:tabs>
          <w:tab w:val="left" w:pos="1134"/>
          <w:tab w:val="left" w:pos="1701"/>
          <w:tab w:val="left" w:pos="5103"/>
        </w:tabs>
        <w:spacing w:line="280" w:lineRule="auto"/>
        <w:ind w:left="1134" w:right="567"/>
        <w:contextualSpacing/>
        <w:rPr>
          <w:rFonts w:cs="Arial"/>
          <w:szCs w:val="18"/>
        </w:rPr>
      </w:pPr>
      <w:r w:rsidRPr="00AD2A9C">
        <w:rPr>
          <w:rFonts w:cs="Arial"/>
          <w:szCs w:val="18"/>
        </w:rPr>
        <w:t>Período de realización del examen;</w:t>
      </w:r>
    </w:p>
    <w:p w14:paraId="6308598E" w14:textId="77777777" w:rsidR="00DD33F8" w:rsidRPr="003A2D30" w:rsidRDefault="00CA47FA" w:rsidP="00AD2A9C">
      <w:pPr>
        <w:numPr>
          <w:ilvl w:val="2"/>
          <w:numId w:val="2"/>
        </w:numPr>
        <w:tabs>
          <w:tab w:val="left" w:pos="1134"/>
          <w:tab w:val="left" w:pos="1701"/>
          <w:tab w:val="left" w:pos="5103"/>
        </w:tabs>
        <w:spacing w:line="280" w:lineRule="auto"/>
        <w:ind w:left="1134" w:right="567"/>
        <w:contextualSpacing/>
        <w:rPr>
          <w:rFonts w:cs="Arial"/>
          <w:szCs w:val="18"/>
          <w:lang w:val="es-ES"/>
        </w:rPr>
      </w:pPr>
      <w:r w:rsidRPr="00AD2A9C">
        <w:rPr>
          <w:rFonts w:cs="Arial"/>
          <w:szCs w:val="18"/>
        </w:rPr>
        <w:t>Fecha y lugar de emisión del documento;</w:t>
      </w:r>
    </w:p>
    <w:p w14:paraId="52609658" w14:textId="77777777" w:rsidR="00DD33F8" w:rsidRPr="003A2D30" w:rsidRDefault="00CA47FA" w:rsidP="00AD2A9C">
      <w:pPr>
        <w:numPr>
          <w:ilvl w:val="2"/>
          <w:numId w:val="2"/>
        </w:numPr>
        <w:tabs>
          <w:tab w:val="left" w:pos="1134"/>
          <w:tab w:val="left" w:pos="1701"/>
        </w:tabs>
        <w:spacing w:line="280" w:lineRule="auto"/>
        <w:ind w:left="1134" w:right="567"/>
        <w:contextualSpacing/>
        <w:rPr>
          <w:rFonts w:cs="Arial"/>
          <w:szCs w:val="18"/>
          <w:lang w:val="es-ES"/>
        </w:rPr>
      </w:pPr>
      <w:r w:rsidRPr="00AD2A9C">
        <w:rPr>
          <w:rFonts w:cs="Arial"/>
          <w:szCs w:val="18"/>
        </w:rPr>
        <w:t>Grupo:</w:t>
      </w:r>
      <w:r w:rsidR="00DD33F8" w:rsidRPr="003A2D30">
        <w:rPr>
          <w:rFonts w:cs="Arial"/>
          <w:szCs w:val="18"/>
          <w:lang w:val="es-ES"/>
        </w:rPr>
        <w:t xml:space="preserve"> </w:t>
      </w:r>
      <w:r w:rsidRPr="00AD2A9C">
        <w:rPr>
          <w:rFonts w:cs="Arial"/>
          <w:szCs w:val="18"/>
        </w:rPr>
        <w:t>(Cuadro:</w:t>
      </w:r>
      <w:r w:rsidR="00DD33F8" w:rsidRPr="003A2D30">
        <w:rPr>
          <w:rFonts w:cs="Arial"/>
          <w:szCs w:val="18"/>
          <w:lang w:val="es-ES"/>
        </w:rPr>
        <w:t xml:space="preserve"> </w:t>
      </w:r>
      <w:r w:rsidRPr="00AD2A9C">
        <w:rPr>
          <w:rFonts w:cs="Arial"/>
          <w:szCs w:val="18"/>
        </w:rPr>
        <w:t>Caracteres;</w:t>
      </w:r>
      <w:r w:rsidR="00DD33F8" w:rsidRPr="003A2D30">
        <w:rPr>
          <w:rFonts w:cs="Arial"/>
          <w:szCs w:val="18"/>
          <w:lang w:val="es-ES"/>
        </w:rPr>
        <w:t xml:space="preserve"> </w:t>
      </w:r>
      <w:r w:rsidRPr="00AD2A9C">
        <w:rPr>
          <w:rFonts w:cs="Arial"/>
          <w:szCs w:val="18"/>
        </w:rPr>
        <w:t>Niveles de expresión;</w:t>
      </w:r>
      <w:r w:rsidR="00DD33F8" w:rsidRPr="003A2D30">
        <w:rPr>
          <w:rFonts w:cs="Arial"/>
          <w:szCs w:val="18"/>
          <w:lang w:val="es-ES"/>
        </w:rPr>
        <w:t xml:space="preserve"> </w:t>
      </w:r>
      <w:r w:rsidRPr="00AD2A9C">
        <w:rPr>
          <w:rFonts w:cs="Arial"/>
          <w:szCs w:val="18"/>
        </w:rPr>
        <w:t>Nota;</w:t>
      </w:r>
      <w:r w:rsidR="00DD33F8" w:rsidRPr="003A2D30">
        <w:rPr>
          <w:rFonts w:cs="Arial"/>
          <w:szCs w:val="18"/>
          <w:lang w:val="es-ES"/>
        </w:rPr>
        <w:t xml:space="preserve"> </w:t>
      </w:r>
      <w:r w:rsidRPr="00AD2A9C">
        <w:rPr>
          <w:rFonts w:cs="Arial"/>
          <w:szCs w:val="18"/>
        </w:rPr>
        <w:t>Observaciones).</w:t>
      </w:r>
    </w:p>
    <w:p w14:paraId="5E748E2D" w14:textId="77777777" w:rsidR="00DD33F8" w:rsidRPr="008B1B3A" w:rsidRDefault="00CA47FA" w:rsidP="00AD2A9C">
      <w:pPr>
        <w:keepNext/>
        <w:numPr>
          <w:ilvl w:val="2"/>
          <w:numId w:val="2"/>
        </w:numPr>
        <w:tabs>
          <w:tab w:val="left" w:pos="1134"/>
          <w:tab w:val="left" w:pos="1701"/>
        </w:tabs>
        <w:spacing w:line="280" w:lineRule="auto"/>
        <w:ind w:left="1134" w:right="567"/>
        <w:contextualSpacing/>
        <w:rPr>
          <w:rFonts w:cs="Arial"/>
          <w:szCs w:val="18"/>
        </w:rPr>
      </w:pPr>
      <w:r w:rsidRPr="00AD2A9C">
        <w:rPr>
          <w:rFonts w:cs="Arial"/>
          <w:szCs w:val="18"/>
        </w:rPr>
        <w:t>Información adicional:</w:t>
      </w:r>
    </w:p>
    <w:p w14:paraId="387F36E1" w14:textId="77777777" w:rsidR="00DD33F8" w:rsidRPr="008B1B3A" w:rsidRDefault="00DD33F8" w:rsidP="00AD2A9C">
      <w:pPr>
        <w:keepNext/>
        <w:tabs>
          <w:tab w:val="left" w:pos="1134"/>
          <w:tab w:val="left" w:pos="1701"/>
          <w:tab w:val="left" w:pos="2268"/>
          <w:tab w:val="left" w:pos="2835"/>
        </w:tabs>
        <w:spacing w:line="280" w:lineRule="auto"/>
        <w:ind w:left="1134" w:right="567"/>
        <w:rPr>
          <w:rFonts w:cs="Arial"/>
          <w:szCs w:val="18"/>
        </w:rPr>
      </w:pPr>
      <w:r w:rsidRPr="008B1B3A">
        <w:rPr>
          <w:rFonts w:cs="Arial"/>
          <w:szCs w:val="18"/>
        </w:rPr>
        <w:tab/>
      </w:r>
      <w:r w:rsidR="00CA47FA" w:rsidRPr="00AD2A9C">
        <w:rPr>
          <w:rFonts w:cs="Arial"/>
          <w:szCs w:val="18"/>
        </w:rPr>
        <w:t>a)</w:t>
      </w:r>
      <w:r w:rsidRPr="008B1B3A">
        <w:rPr>
          <w:rFonts w:cs="Arial"/>
          <w:szCs w:val="18"/>
        </w:rPr>
        <w:tab/>
      </w:r>
      <w:r w:rsidR="00CA47FA" w:rsidRPr="00AD2A9C">
        <w:rPr>
          <w:rFonts w:cs="Arial"/>
          <w:szCs w:val="18"/>
        </w:rPr>
        <w:t>datos adicionales</w:t>
      </w:r>
    </w:p>
    <w:p w14:paraId="03692A1D" w14:textId="77777777" w:rsidR="00DD33F8" w:rsidRPr="008B1B3A" w:rsidRDefault="00DD33F8" w:rsidP="00AD2A9C">
      <w:pPr>
        <w:keepNext/>
        <w:tabs>
          <w:tab w:val="left" w:pos="1134"/>
          <w:tab w:val="left" w:pos="1701"/>
          <w:tab w:val="left" w:pos="2268"/>
          <w:tab w:val="left" w:pos="2835"/>
        </w:tabs>
        <w:spacing w:line="280" w:lineRule="auto"/>
        <w:ind w:left="1134" w:right="567"/>
        <w:rPr>
          <w:rFonts w:cs="Arial"/>
          <w:color w:val="000000"/>
          <w:szCs w:val="18"/>
        </w:rPr>
      </w:pPr>
      <w:r w:rsidRPr="008B1B3A">
        <w:rPr>
          <w:rFonts w:cs="Arial"/>
          <w:szCs w:val="18"/>
        </w:rPr>
        <w:tab/>
      </w:r>
      <w:r w:rsidR="00CA47FA" w:rsidRPr="00AD2A9C">
        <w:rPr>
          <w:rFonts w:cs="Arial"/>
          <w:color w:val="000000"/>
          <w:szCs w:val="18"/>
        </w:rPr>
        <w:t>b)</w:t>
      </w:r>
      <w:r w:rsidRPr="008B1B3A">
        <w:rPr>
          <w:rFonts w:cs="Arial"/>
          <w:color w:val="000000"/>
          <w:szCs w:val="18"/>
        </w:rPr>
        <w:tab/>
      </w:r>
      <w:r w:rsidR="00CA47FA" w:rsidRPr="00AD2A9C">
        <w:rPr>
          <w:rFonts w:cs="Arial"/>
          <w:color w:val="000000"/>
          <w:szCs w:val="18"/>
        </w:rPr>
        <w:t>fotografía (si procede)</w:t>
      </w:r>
    </w:p>
    <w:p w14:paraId="74813BE0" w14:textId="77777777" w:rsidR="00DD33F8" w:rsidRPr="003A2D30" w:rsidRDefault="00DD33F8" w:rsidP="00AD2A9C">
      <w:pPr>
        <w:keepNext/>
        <w:tabs>
          <w:tab w:val="left" w:pos="1134"/>
          <w:tab w:val="left" w:pos="1701"/>
          <w:tab w:val="left" w:pos="2268"/>
          <w:tab w:val="left" w:pos="2835"/>
        </w:tabs>
        <w:spacing w:line="280" w:lineRule="auto"/>
        <w:ind w:left="1134" w:right="567"/>
        <w:rPr>
          <w:rFonts w:cs="Arial"/>
          <w:color w:val="000000"/>
          <w:szCs w:val="18"/>
          <w:lang w:val="es-ES"/>
        </w:rPr>
      </w:pPr>
      <w:r w:rsidRPr="003A2D30">
        <w:rPr>
          <w:rFonts w:cs="Arial"/>
          <w:szCs w:val="18"/>
          <w:lang w:val="es-ES"/>
        </w:rPr>
        <w:tab/>
      </w:r>
      <w:r w:rsidR="00CA47FA" w:rsidRPr="00AD2A9C">
        <w:rPr>
          <w:rFonts w:cs="Arial"/>
          <w:color w:val="000000"/>
          <w:szCs w:val="18"/>
        </w:rPr>
        <w:t>c)</w:t>
      </w:r>
      <w:r w:rsidRPr="003A2D30">
        <w:rPr>
          <w:rFonts w:cs="Arial"/>
          <w:color w:val="000000"/>
          <w:szCs w:val="18"/>
          <w:lang w:val="es-ES"/>
        </w:rPr>
        <w:tab/>
      </w:r>
      <w:r w:rsidR="00CA47FA" w:rsidRPr="00AD2A9C">
        <w:rPr>
          <w:rFonts w:cs="Arial"/>
          <w:color w:val="000000"/>
          <w:szCs w:val="18"/>
        </w:rPr>
        <w:t xml:space="preserve">versión de la </w:t>
      </w:r>
      <w:r w:rsidR="00AD2A9C" w:rsidRPr="00AD2A9C">
        <w:rPr>
          <w:rFonts w:cs="Arial"/>
          <w:color w:val="000000"/>
          <w:szCs w:val="18"/>
        </w:rPr>
        <w:t xml:space="preserve">carta de colores </w:t>
      </w:r>
      <w:r w:rsidR="00CA47FA" w:rsidRPr="00AD2A9C">
        <w:rPr>
          <w:rFonts w:cs="Arial"/>
          <w:color w:val="000000"/>
          <w:szCs w:val="18"/>
        </w:rPr>
        <w:t>RHS empleada (cuando proceda)</w:t>
      </w:r>
    </w:p>
    <w:p w14:paraId="1CE2FA10" w14:textId="77777777" w:rsidR="00DD33F8" w:rsidRPr="003A2D30" w:rsidRDefault="00DD33F8" w:rsidP="00AD2A9C">
      <w:pPr>
        <w:keepNext/>
        <w:tabs>
          <w:tab w:val="left" w:pos="284"/>
          <w:tab w:val="left" w:pos="1134"/>
          <w:tab w:val="left" w:pos="1701"/>
          <w:tab w:val="left" w:pos="2268"/>
          <w:tab w:val="left" w:pos="2835"/>
        </w:tabs>
        <w:spacing w:line="280" w:lineRule="auto"/>
        <w:ind w:left="1134" w:right="567"/>
        <w:rPr>
          <w:rFonts w:cs="Arial"/>
          <w:szCs w:val="18"/>
          <w:lang w:val="es-ES"/>
        </w:rPr>
      </w:pPr>
      <w:r w:rsidRPr="003A2D30">
        <w:rPr>
          <w:rFonts w:cs="Arial"/>
          <w:szCs w:val="18"/>
          <w:lang w:val="es-ES"/>
        </w:rPr>
        <w:tab/>
      </w:r>
      <w:r w:rsidR="00CA47FA" w:rsidRPr="00AD2A9C">
        <w:rPr>
          <w:rFonts w:cs="Arial"/>
          <w:szCs w:val="18"/>
        </w:rPr>
        <w:t>d)</w:t>
      </w:r>
      <w:r w:rsidRPr="003A2D30">
        <w:rPr>
          <w:rFonts w:cs="Arial"/>
          <w:szCs w:val="18"/>
          <w:lang w:val="es-ES"/>
        </w:rPr>
        <w:tab/>
      </w:r>
      <w:r w:rsidR="00CA47FA" w:rsidRPr="00AD2A9C">
        <w:rPr>
          <w:rFonts w:cs="Arial"/>
          <w:szCs w:val="18"/>
        </w:rPr>
        <w:t>observaciones</w:t>
      </w:r>
    </w:p>
    <w:p w14:paraId="73FB4896" w14:textId="6534C377" w:rsidR="00DD33F8" w:rsidRDefault="00DD33F8" w:rsidP="009710DE">
      <w:pPr>
        <w:rPr>
          <w:lang w:val="es-ES"/>
        </w:rPr>
      </w:pPr>
    </w:p>
    <w:p w14:paraId="4C8774C9" w14:textId="2881AD99" w:rsidR="009710DE" w:rsidRDefault="009710DE" w:rsidP="009710DE">
      <w:pPr>
        <w:rPr>
          <w:lang w:val="es-ES"/>
        </w:rPr>
      </w:pPr>
    </w:p>
    <w:p w14:paraId="11ED8DEB" w14:textId="77777777" w:rsidR="009710DE" w:rsidRPr="003A2D30" w:rsidRDefault="009710DE" w:rsidP="00DD33F8">
      <w:pPr>
        <w:rPr>
          <w:lang w:val="es-ES"/>
        </w:rPr>
      </w:pPr>
    </w:p>
    <w:p w14:paraId="0A1C9CDB" w14:textId="77777777" w:rsidR="00DD33F8" w:rsidRPr="003A2D30" w:rsidRDefault="006B1E43" w:rsidP="00DD33F8">
      <w:pPr>
        <w:rPr>
          <w:caps/>
          <w:lang w:val="es-ES"/>
        </w:rPr>
      </w:pPr>
      <w:r w:rsidRPr="00AD2A9C">
        <w:rPr>
          <w:caps/>
        </w:rPr>
        <w:t>CONCLUSIONES DE LA UNIÓN EUROPEA</w:t>
      </w:r>
      <w:r w:rsidR="00DD33F8" w:rsidRPr="003A2D30">
        <w:rPr>
          <w:caps/>
          <w:lang w:val="es-ES"/>
        </w:rPr>
        <w:t xml:space="preserve"> </w:t>
      </w:r>
    </w:p>
    <w:p w14:paraId="06BA2281" w14:textId="77777777" w:rsidR="00DD33F8" w:rsidRPr="003A2D30" w:rsidRDefault="00DD33F8" w:rsidP="00DD33F8">
      <w:pPr>
        <w:rPr>
          <w:lang w:val="es-ES"/>
        </w:rPr>
      </w:pPr>
    </w:p>
    <w:p w14:paraId="2DCA5108" w14:textId="77777777" w:rsidR="00DD33F8" w:rsidRPr="003A2D30" w:rsidRDefault="006B1E43" w:rsidP="00DD33F8">
      <w:pPr>
        <w:rPr>
          <w:lang w:val="es-ES"/>
        </w:rPr>
      </w:pPr>
      <w:r w:rsidRPr="00AD2A9C">
        <w:t>El TC convino en invitar a la Unión Europea a que recopile más orientaciones sobre el papel de la descripción de las variedades y el papel del material vegetal utilizado como base para el examen DHE.</w:t>
      </w:r>
      <w:r w:rsidR="00DD33F8" w:rsidRPr="003A2D30">
        <w:rPr>
          <w:lang w:val="es-ES"/>
        </w:rPr>
        <w:t xml:space="preserve"> </w:t>
      </w:r>
      <w:r w:rsidRPr="00AD2A9C">
        <w:t>En particular</w:t>
      </w:r>
      <w:r w:rsidR="00EB38B8" w:rsidRPr="00AD2A9C">
        <w:t xml:space="preserve">, </w:t>
      </w:r>
      <w:r w:rsidRPr="00AD2A9C">
        <w:t>se solicitó que se facilit</w:t>
      </w:r>
      <w:r w:rsidR="00F774DF" w:rsidRPr="00AD2A9C">
        <w:t>e</w:t>
      </w:r>
      <w:r w:rsidRPr="00AD2A9C">
        <w:t xml:space="preserve">n las conclusiones extraídas por la Unión Europea de un sondeo </w:t>
      </w:r>
      <w:r w:rsidR="00584337" w:rsidRPr="00AD2A9C">
        <w:t>llevado a cabo</w:t>
      </w:r>
      <w:r w:rsidRPr="00AD2A9C">
        <w:t xml:space="preserve"> entre las oficinas de examen </w:t>
      </w:r>
      <w:r w:rsidR="00584337" w:rsidRPr="00AD2A9C">
        <w:t>que operan en nombre de la OCVV</w:t>
      </w:r>
      <w:r w:rsidRPr="00AD2A9C">
        <w:t>.</w:t>
      </w:r>
      <w:r w:rsidR="00DD33F8" w:rsidRPr="003A2D30">
        <w:rPr>
          <w:lang w:val="es-ES"/>
        </w:rPr>
        <w:t xml:space="preserve"> </w:t>
      </w:r>
    </w:p>
    <w:p w14:paraId="45937327" w14:textId="77777777" w:rsidR="00DD33F8" w:rsidRPr="003A2D30" w:rsidRDefault="00DD33F8" w:rsidP="00DD33F8">
      <w:pPr>
        <w:rPr>
          <w:rFonts w:cs="Arial"/>
          <w:lang w:val="es-ES"/>
        </w:rPr>
      </w:pPr>
    </w:p>
    <w:p w14:paraId="44B57170" w14:textId="77777777" w:rsidR="00DD33F8" w:rsidRPr="003A2D30" w:rsidRDefault="00FE00B1" w:rsidP="00DD33F8">
      <w:pPr>
        <w:numPr>
          <w:ilvl w:val="0"/>
          <w:numId w:val="3"/>
        </w:numPr>
        <w:tabs>
          <w:tab w:val="left" w:pos="567"/>
        </w:tabs>
        <w:ind w:left="709"/>
        <w:rPr>
          <w:lang w:val="es-ES"/>
        </w:rPr>
      </w:pPr>
      <w:r w:rsidRPr="00AD2A9C">
        <w:t>Notas de las variedades similares en las descripciones oficiales de variedades</w:t>
      </w:r>
      <w:r w:rsidR="00DD33F8" w:rsidRPr="003A2D30">
        <w:rPr>
          <w:lang w:val="es-ES"/>
        </w:rPr>
        <w:t xml:space="preserve"> </w:t>
      </w:r>
    </w:p>
    <w:p w14:paraId="7FCDC075" w14:textId="77777777" w:rsidR="00DD33F8" w:rsidRPr="003A2D30" w:rsidRDefault="00DD33F8" w:rsidP="00DD33F8">
      <w:pPr>
        <w:ind w:left="1080"/>
        <w:rPr>
          <w:lang w:val="es-ES"/>
        </w:rPr>
      </w:pPr>
    </w:p>
    <w:p w14:paraId="135D427D" w14:textId="77777777" w:rsidR="00DD33F8" w:rsidRPr="003A2D30" w:rsidRDefault="00FE00B1" w:rsidP="00DD33F8">
      <w:pPr>
        <w:rPr>
          <w:lang w:val="es-ES"/>
        </w:rPr>
      </w:pPr>
      <w:r w:rsidRPr="00791A6A">
        <w:t>En dicho sondeo</w:t>
      </w:r>
      <w:r w:rsidR="00EB38B8" w:rsidRPr="00791A6A">
        <w:t xml:space="preserve">, </w:t>
      </w:r>
      <w:r w:rsidRPr="00791A6A">
        <w:t>alrededor del</w:t>
      </w:r>
      <w:r w:rsidR="00EB38B8" w:rsidRPr="00791A6A">
        <w:t> 5</w:t>
      </w:r>
      <w:r w:rsidRPr="00791A6A">
        <w:t xml:space="preserve">0% de las oficinas de examen de la OCVV indicaron que las notas </w:t>
      </w:r>
      <w:r w:rsidR="00791A6A" w:rsidRPr="00791A6A">
        <w:t>que describen</w:t>
      </w:r>
      <w:r w:rsidRPr="00791A6A">
        <w:t xml:space="preserve"> el nivel de expresión de las variedades similares </w:t>
      </w:r>
      <w:r w:rsidR="00791A6A" w:rsidRPr="00791A6A">
        <w:t>mencion</w:t>
      </w:r>
      <w:r w:rsidR="00AD2A9C" w:rsidRPr="00791A6A">
        <w:t xml:space="preserve">adas </w:t>
      </w:r>
      <w:r w:rsidRPr="00791A6A">
        <w:t xml:space="preserve">en </w:t>
      </w:r>
      <w:r w:rsidR="000117A3" w:rsidRPr="00791A6A">
        <w:t xml:space="preserve">la </w:t>
      </w:r>
      <w:r w:rsidRPr="00791A6A">
        <w:t xml:space="preserve">descripción de </w:t>
      </w:r>
      <w:r w:rsidR="000117A3" w:rsidRPr="00791A6A">
        <w:t xml:space="preserve">la variedad </w:t>
      </w:r>
      <w:r w:rsidRPr="00791A6A">
        <w:t>candidata</w:t>
      </w:r>
      <w:r w:rsidR="000117A3" w:rsidRPr="00791A6A">
        <w:t xml:space="preserve"> se toman de la </w:t>
      </w:r>
      <w:r w:rsidRPr="00791A6A">
        <w:t xml:space="preserve">descripción </w:t>
      </w:r>
      <w:r w:rsidR="000117A3" w:rsidRPr="00791A6A">
        <w:t xml:space="preserve">oficial </w:t>
      </w:r>
      <w:r w:rsidRPr="00791A6A">
        <w:t>de la variedad.</w:t>
      </w:r>
      <w:r w:rsidR="00DD33F8" w:rsidRPr="003A2D30">
        <w:rPr>
          <w:lang w:val="es-ES"/>
        </w:rPr>
        <w:t xml:space="preserve"> </w:t>
      </w:r>
      <w:r w:rsidR="005626F9" w:rsidRPr="00791A6A">
        <w:t>El otro</w:t>
      </w:r>
      <w:r w:rsidR="00EB38B8" w:rsidRPr="00791A6A">
        <w:t> 5</w:t>
      </w:r>
      <w:r w:rsidR="005626F9" w:rsidRPr="00791A6A">
        <w:t>0% de las oficinas de examen indicaron que todas las notas describen la variedad de referencia tal como se observa cuando se cultiva en paralelo junto con la candidata.</w:t>
      </w:r>
      <w:r w:rsidR="00DD33F8" w:rsidRPr="003A2D30">
        <w:rPr>
          <w:lang w:val="es-ES"/>
        </w:rPr>
        <w:t xml:space="preserve"> </w:t>
      </w:r>
    </w:p>
    <w:p w14:paraId="7BCC8428" w14:textId="77777777" w:rsidR="00DD33F8" w:rsidRPr="003A2D30" w:rsidRDefault="00DD33F8" w:rsidP="00DD33F8">
      <w:pPr>
        <w:rPr>
          <w:lang w:val="es-ES"/>
        </w:rPr>
      </w:pPr>
    </w:p>
    <w:p w14:paraId="6FF6EF0F" w14:textId="77777777" w:rsidR="00DD33F8" w:rsidRPr="003A2D30" w:rsidRDefault="00A126FB" w:rsidP="00DD33F8">
      <w:pPr>
        <w:rPr>
          <w:lang w:val="es-ES"/>
        </w:rPr>
      </w:pPr>
      <w:r w:rsidRPr="00791A6A">
        <w:t xml:space="preserve">Se concluyó que </w:t>
      </w:r>
      <w:r w:rsidR="00791A6A" w:rsidRPr="00791A6A">
        <w:t>la mención de</w:t>
      </w:r>
      <w:r w:rsidR="00AF746F" w:rsidRPr="00791A6A">
        <w:t xml:space="preserve"> variedades similares en la descripción no tiene por finalidad</w:t>
      </w:r>
      <w:r w:rsidR="00ED70DF" w:rsidRPr="00791A6A">
        <w:t xml:space="preserve"> </w:t>
      </w:r>
      <w:r w:rsidR="00A00678" w:rsidRPr="00791A6A">
        <w:t>confirm</w:t>
      </w:r>
      <w:r w:rsidR="00AF746F" w:rsidRPr="00791A6A">
        <w:t xml:space="preserve">ar la existencia </w:t>
      </w:r>
      <w:r w:rsidR="00C4267D" w:rsidRPr="00791A6A">
        <w:t>de la variedad de referencia</w:t>
      </w:r>
      <w:r w:rsidR="00DE2734" w:rsidRPr="00791A6A">
        <w:t xml:space="preserve"> sin cambios</w:t>
      </w:r>
      <w:r w:rsidR="00EB38B8" w:rsidRPr="00791A6A">
        <w:t xml:space="preserve">, </w:t>
      </w:r>
      <w:r w:rsidR="00C4267D" w:rsidRPr="00791A6A">
        <w:t>sino</w:t>
      </w:r>
      <w:r w:rsidR="00ED70DF" w:rsidRPr="00791A6A">
        <w:t xml:space="preserve"> corrobora</w:t>
      </w:r>
      <w:r w:rsidR="00C4267D" w:rsidRPr="00791A6A">
        <w:t>r</w:t>
      </w:r>
      <w:r w:rsidR="00ED70DF" w:rsidRPr="00791A6A">
        <w:t xml:space="preserve"> </w:t>
      </w:r>
      <w:r w:rsidR="009D5279" w:rsidRPr="00791A6A">
        <w:t>la</w:t>
      </w:r>
      <w:r w:rsidR="00ED70DF" w:rsidRPr="00791A6A">
        <w:t xml:space="preserve"> </w:t>
      </w:r>
      <w:r w:rsidR="009D5279" w:rsidRPr="00791A6A">
        <w:t xml:space="preserve">declaración de </w:t>
      </w:r>
      <w:r w:rsidR="00ED70DF" w:rsidRPr="00791A6A">
        <w:t xml:space="preserve">distinción </w:t>
      </w:r>
      <w:r w:rsidR="009D5279" w:rsidRPr="00791A6A">
        <w:t>que se efectúa</w:t>
      </w:r>
      <w:r w:rsidR="00ED70DF" w:rsidRPr="00791A6A">
        <w:t xml:space="preserve"> en </w:t>
      </w:r>
      <w:r w:rsidR="009D5279" w:rsidRPr="00791A6A">
        <w:t>el</w:t>
      </w:r>
      <w:r w:rsidR="00ED70DF" w:rsidRPr="00791A6A">
        <w:t xml:space="preserve"> </w:t>
      </w:r>
      <w:r w:rsidR="009D5279" w:rsidRPr="00791A6A">
        <w:t>informe de examen</w:t>
      </w:r>
      <w:r w:rsidR="00ED70DF" w:rsidRPr="00791A6A">
        <w:t>.</w:t>
      </w:r>
      <w:r w:rsidR="00DD33F8" w:rsidRPr="003A2D30">
        <w:rPr>
          <w:lang w:val="es-ES"/>
        </w:rPr>
        <w:t xml:space="preserve"> </w:t>
      </w:r>
      <w:r w:rsidR="007C6517" w:rsidRPr="00791A6A">
        <w:t xml:space="preserve">Por </w:t>
      </w:r>
      <w:r w:rsidR="00D617B1" w:rsidRPr="00791A6A">
        <w:t>tanto</w:t>
      </w:r>
      <w:r w:rsidR="00EB38B8" w:rsidRPr="00791A6A">
        <w:t xml:space="preserve">, </w:t>
      </w:r>
      <w:r w:rsidR="007C6517" w:rsidRPr="00791A6A">
        <w:t>las notas que describen las variedades similares deberán reflejar la expresión de los caracteres pertinentes tal como se observa en el ensayo en cultivo de la variedad candidata.</w:t>
      </w:r>
      <w:r w:rsidR="00DD33F8" w:rsidRPr="003A2D30">
        <w:rPr>
          <w:lang w:val="es-ES"/>
        </w:rPr>
        <w:t xml:space="preserve"> </w:t>
      </w:r>
    </w:p>
    <w:p w14:paraId="6F3E0E74" w14:textId="77777777" w:rsidR="00DD33F8" w:rsidRPr="003A2D30" w:rsidRDefault="00DD33F8" w:rsidP="00DD33F8">
      <w:pPr>
        <w:rPr>
          <w:lang w:val="es-ES"/>
        </w:rPr>
      </w:pPr>
    </w:p>
    <w:p w14:paraId="3ABD69A8" w14:textId="77777777" w:rsidR="00DD33F8" w:rsidRPr="003A2D30" w:rsidRDefault="007C6517" w:rsidP="00DD33F8">
      <w:pPr>
        <w:numPr>
          <w:ilvl w:val="0"/>
          <w:numId w:val="3"/>
        </w:numPr>
        <w:tabs>
          <w:tab w:val="left" w:pos="567"/>
        </w:tabs>
        <w:ind w:left="709"/>
        <w:rPr>
          <w:rFonts w:cs="Tahoma"/>
          <w:szCs w:val="18"/>
          <w:lang w:val="es-ES" w:eastAsia="fr-FR"/>
        </w:rPr>
      </w:pPr>
      <w:r w:rsidRPr="00791A6A">
        <w:rPr>
          <w:rFonts w:cs="Tahoma"/>
          <w:szCs w:val="18"/>
          <w:lang w:eastAsia="fr-FR"/>
        </w:rPr>
        <w:t xml:space="preserve">Modificación de las </w:t>
      </w:r>
      <w:r w:rsidR="007A5B31" w:rsidRPr="00791A6A">
        <w:rPr>
          <w:rFonts w:cs="Tahoma"/>
          <w:szCs w:val="18"/>
          <w:lang w:eastAsia="fr-FR"/>
        </w:rPr>
        <w:t>descripciones de variedades</w:t>
      </w:r>
    </w:p>
    <w:p w14:paraId="0F8B3311" w14:textId="77777777" w:rsidR="00DD33F8" w:rsidRPr="003A2D30" w:rsidRDefault="00DD33F8" w:rsidP="00DD33F8">
      <w:pPr>
        <w:ind w:left="1080"/>
        <w:rPr>
          <w:rFonts w:cs="Tahoma"/>
          <w:szCs w:val="18"/>
          <w:lang w:val="es-ES" w:eastAsia="fr-FR"/>
        </w:rPr>
      </w:pPr>
    </w:p>
    <w:p w14:paraId="6A32CF44" w14:textId="77777777" w:rsidR="00DD33F8" w:rsidRPr="003A2D30" w:rsidRDefault="007C6517" w:rsidP="00DD33F8">
      <w:pPr>
        <w:rPr>
          <w:rFonts w:cs="Tahoma"/>
          <w:szCs w:val="18"/>
          <w:lang w:val="es-ES" w:eastAsia="fr-FR"/>
        </w:rPr>
      </w:pPr>
      <w:r w:rsidRPr="00791A6A">
        <w:rPr>
          <w:rFonts w:cs="Tahoma"/>
          <w:szCs w:val="18"/>
          <w:lang w:eastAsia="fr-FR"/>
        </w:rPr>
        <w:t>En la sección</w:t>
      </w:r>
      <w:r w:rsidR="00EB38B8" w:rsidRPr="00791A6A">
        <w:rPr>
          <w:rFonts w:cs="Tahoma"/>
          <w:szCs w:val="18"/>
          <w:lang w:eastAsia="fr-FR"/>
        </w:rPr>
        <w:t> 3</w:t>
      </w:r>
      <w:r w:rsidRPr="00791A6A">
        <w:rPr>
          <w:rFonts w:cs="Tahoma"/>
          <w:szCs w:val="18"/>
          <w:lang w:eastAsia="fr-FR"/>
        </w:rPr>
        <w:t>.1.1 del documento TGP/4 “Constitución y mantenimiento de las colecciones de variedades” se explica lo siguiente: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Pr="00791A6A">
        <w:rPr>
          <w:rFonts w:cs="Tahoma"/>
          <w:szCs w:val="18"/>
          <w:lang w:eastAsia="fr-FR"/>
        </w:rPr>
        <w:t>“</w:t>
      </w:r>
      <w:r w:rsidRPr="00791A6A">
        <w:rPr>
          <w:rFonts w:cs="Tahoma"/>
          <w:i/>
          <w:szCs w:val="18"/>
          <w:lang w:eastAsia="fr-FR"/>
        </w:rPr>
        <w:t>En relación con las descripciones basadas en las directrices de examen de la UPOV pertinentes</w:t>
      </w:r>
      <w:r w:rsidR="00EB38B8" w:rsidRPr="00791A6A">
        <w:rPr>
          <w:rFonts w:cs="Tahoma"/>
          <w:i/>
          <w:szCs w:val="18"/>
          <w:lang w:eastAsia="fr-FR"/>
        </w:rPr>
        <w:t xml:space="preserve">, </w:t>
      </w:r>
      <w:r w:rsidRPr="00791A6A">
        <w:rPr>
          <w:rFonts w:cs="Tahoma"/>
          <w:i/>
          <w:szCs w:val="18"/>
          <w:lang w:eastAsia="fr-FR"/>
        </w:rPr>
        <w:t>cabe observar que estas directrices de examen podrán revisarse (véase el documento TGP/7)</w:t>
      </w:r>
      <w:r w:rsidR="00EB38B8" w:rsidRPr="00791A6A">
        <w:rPr>
          <w:rFonts w:cs="Tahoma"/>
          <w:i/>
          <w:szCs w:val="18"/>
          <w:lang w:eastAsia="fr-FR"/>
        </w:rPr>
        <w:t xml:space="preserve">, </w:t>
      </w:r>
      <w:r w:rsidRPr="00791A6A">
        <w:rPr>
          <w:rFonts w:cs="Tahoma"/>
          <w:i/>
          <w:szCs w:val="18"/>
          <w:lang w:eastAsia="fr-FR"/>
        </w:rPr>
        <w:t>lo que podría traducirse en la adopción de algunos nuevos caracteres y la supresión de otros en la tabla de caracteres.</w:t>
      </w:r>
      <w:r w:rsidR="00DD33F8" w:rsidRPr="003A2D30">
        <w:rPr>
          <w:rFonts w:cs="Tahoma"/>
          <w:i/>
          <w:szCs w:val="18"/>
          <w:lang w:val="es-ES" w:eastAsia="fr-FR"/>
        </w:rPr>
        <w:t xml:space="preserve"> </w:t>
      </w:r>
      <w:r w:rsidRPr="00791A6A">
        <w:rPr>
          <w:rFonts w:cs="Tahoma"/>
          <w:i/>
          <w:szCs w:val="18"/>
          <w:lang w:eastAsia="fr-FR"/>
        </w:rPr>
        <w:t>Además</w:t>
      </w:r>
      <w:r w:rsidR="00EB38B8" w:rsidRPr="00791A6A">
        <w:rPr>
          <w:rFonts w:cs="Tahoma"/>
          <w:i/>
          <w:szCs w:val="18"/>
          <w:lang w:eastAsia="fr-FR"/>
        </w:rPr>
        <w:t xml:space="preserve">, </w:t>
      </w:r>
      <w:r w:rsidRPr="00791A6A">
        <w:rPr>
          <w:rFonts w:cs="Tahoma"/>
          <w:i/>
          <w:szCs w:val="18"/>
          <w:lang w:eastAsia="fr-FR"/>
        </w:rPr>
        <w:t>tal vez se modifique la expresión de un carácter.</w:t>
      </w:r>
      <w:r w:rsidR="00DD33F8" w:rsidRPr="003A2D30">
        <w:rPr>
          <w:rFonts w:cs="Tahoma"/>
          <w:i/>
          <w:szCs w:val="18"/>
          <w:lang w:val="es-ES" w:eastAsia="fr-FR"/>
        </w:rPr>
        <w:t xml:space="preserve"> </w:t>
      </w:r>
      <w:r w:rsidR="00D617B1" w:rsidRPr="00791A6A">
        <w:rPr>
          <w:rFonts w:cs="Tahoma"/>
          <w:i/>
          <w:szCs w:val="18"/>
          <w:lang w:eastAsia="fr-FR"/>
        </w:rPr>
        <w:t>Por consiguiente</w:t>
      </w:r>
      <w:r w:rsidR="00EB38B8" w:rsidRPr="00791A6A">
        <w:rPr>
          <w:rFonts w:cs="Tahoma"/>
          <w:i/>
          <w:szCs w:val="18"/>
          <w:lang w:eastAsia="fr-FR"/>
        </w:rPr>
        <w:t xml:space="preserve">, </w:t>
      </w:r>
      <w:r w:rsidR="00D617B1" w:rsidRPr="00791A6A">
        <w:rPr>
          <w:rFonts w:cs="Tahoma"/>
          <w:i/>
          <w:szCs w:val="18"/>
          <w:lang w:eastAsia="fr-FR"/>
        </w:rPr>
        <w:t>es posible que las descripciones relativas a la misma especie o grupo de especies preparadas utilizando distintas versiones de las directrices de examen no sean totalmente compatibles.</w:t>
      </w:r>
      <w:r w:rsidR="00DD33F8" w:rsidRPr="003A2D30">
        <w:rPr>
          <w:rFonts w:cs="Tahoma"/>
          <w:i/>
          <w:szCs w:val="18"/>
          <w:lang w:val="es-ES" w:eastAsia="fr-FR"/>
        </w:rPr>
        <w:t xml:space="preserve"> </w:t>
      </w:r>
      <w:r w:rsidR="00C921EF" w:rsidRPr="00791A6A">
        <w:rPr>
          <w:rFonts w:cs="Tahoma"/>
          <w:i/>
          <w:szCs w:val="18"/>
          <w:lang w:eastAsia="fr-FR"/>
        </w:rPr>
        <w:t>En este caso las descripciones deberán armonizarse en la medida de lo posible.</w:t>
      </w:r>
      <w:r w:rsidR="00C921EF" w:rsidRPr="00791A6A">
        <w:rPr>
          <w:rFonts w:cs="Tahoma"/>
          <w:szCs w:val="18"/>
          <w:lang w:eastAsia="fr-FR"/>
        </w:rPr>
        <w:t>”</w:t>
      </w:r>
      <w:r w:rsidR="00DD33F8" w:rsidRPr="003A2D30">
        <w:rPr>
          <w:rFonts w:cs="Tahoma"/>
          <w:szCs w:val="18"/>
          <w:lang w:val="es-ES" w:eastAsia="fr-FR"/>
        </w:rPr>
        <w:t xml:space="preserve">  </w:t>
      </w:r>
    </w:p>
    <w:p w14:paraId="3A465778" w14:textId="77777777" w:rsidR="00DD33F8" w:rsidRPr="003A2D30" w:rsidRDefault="00DD33F8" w:rsidP="00DD33F8">
      <w:pPr>
        <w:rPr>
          <w:rFonts w:cs="Tahoma"/>
          <w:szCs w:val="18"/>
          <w:lang w:val="es-ES" w:eastAsia="fr-FR"/>
        </w:rPr>
      </w:pPr>
    </w:p>
    <w:p w14:paraId="3796626C" w14:textId="77777777" w:rsidR="00DD33F8" w:rsidRPr="003A2D30" w:rsidRDefault="004541A8" w:rsidP="00DD33F8">
      <w:pPr>
        <w:rPr>
          <w:rFonts w:cs="Tahoma"/>
          <w:szCs w:val="18"/>
          <w:lang w:val="es-ES" w:eastAsia="fr-FR"/>
        </w:rPr>
      </w:pPr>
      <w:r w:rsidRPr="00791A6A">
        <w:rPr>
          <w:rFonts w:cs="Tahoma"/>
          <w:szCs w:val="18"/>
          <w:lang w:eastAsia="fr-FR"/>
        </w:rPr>
        <w:t xml:space="preserve">La </w:t>
      </w:r>
      <w:r w:rsidR="00C921EF" w:rsidRPr="00791A6A">
        <w:rPr>
          <w:rFonts w:cs="Tahoma"/>
          <w:szCs w:val="18"/>
          <w:lang w:eastAsia="fr-FR"/>
        </w:rPr>
        <w:t xml:space="preserve">legislación </w:t>
      </w:r>
      <w:r w:rsidR="00813616" w:rsidRPr="00791A6A">
        <w:rPr>
          <w:rFonts w:cs="Tahoma"/>
          <w:szCs w:val="18"/>
          <w:lang w:eastAsia="fr-FR"/>
        </w:rPr>
        <w:t xml:space="preserve">de la Unión Europea sobre protección de las </w:t>
      </w:r>
      <w:r w:rsidR="00C921EF" w:rsidRPr="00791A6A">
        <w:rPr>
          <w:rFonts w:cs="Tahoma"/>
          <w:szCs w:val="18"/>
          <w:lang w:eastAsia="fr-FR"/>
        </w:rPr>
        <w:t>variedad</w:t>
      </w:r>
      <w:r w:rsidR="00813616" w:rsidRPr="00791A6A">
        <w:rPr>
          <w:rFonts w:cs="Tahoma"/>
          <w:szCs w:val="18"/>
          <w:lang w:eastAsia="fr-FR"/>
        </w:rPr>
        <w:t>es</w:t>
      </w:r>
      <w:r w:rsidR="00C921EF" w:rsidRPr="00791A6A">
        <w:rPr>
          <w:rFonts w:cs="Tahoma"/>
          <w:szCs w:val="18"/>
          <w:lang w:eastAsia="fr-FR"/>
        </w:rPr>
        <w:t xml:space="preserve"> vegetal</w:t>
      </w:r>
      <w:r w:rsidR="00813616" w:rsidRPr="00791A6A">
        <w:rPr>
          <w:rFonts w:cs="Tahoma"/>
          <w:szCs w:val="18"/>
          <w:lang w:eastAsia="fr-FR"/>
        </w:rPr>
        <w:t>es</w:t>
      </w:r>
      <w:r w:rsidR="00C921EF" w:rsidRPr="00791A6A">
        <w:rPr>
          <w:rFonts w:cs="Tahoma"/>
          <w:szCs w:val="18"/>
          <w:lang w:eastAsia="fr-FR"/>
        </w:rPr>
        <w:t xml:space="preserve"> </w:t>
      </w:r>
      <w:r w:rsidR="00A409E5" w:rsidRPr="00791A6A">
        <w:rPr>
          <w:rFonts w:cs="Tahoma"/>
          <w:szCs w:val="18"/>
          <w:lang w:eastAsia="fr-FR"/>
        </w:rPr>
        <w:t>contempla la</w:t>
      </w:r>
      <w:r w:rsidR="00C921EF" w:rsidRPr="00791A6A">
        <w:rPr>
          <w:rFonts w:cs="Tahoma"/>
          <w:szCs w:val="18"/>
          <w:lang w:eastAsia="fr-FR"/>
        </w:rPr>
        <w:t xml:space="preserve"> posibilidad </w:t>
      </w:r>
      <w:r w:rsidR="00A409E5" w:rsidRPr="00791A6A">
        <w:rPr>
          <w:rFonts w:cs="Tahoma"/>
          <w:szCs w:val="18"/>
          <w:lang w:eastAsia="fr-FR"/>
        </w:rPr>
        <w:t xml:space="preserve">de </w:t>
      </w:r>
      <w:r w:rsidR="00C921EF" w:rsidRPr="00791A6A">
        <w:rPr>
          <w:rFonts w:cs="Tahoma"/>
          <w:szCs w:val="18"/>
          <w:lang w:eastAsia="fr-FR"/>
        </w:rPr>
        <w:t>adapt</w:t>
      </w:r>
      <w:r w:rsidR="00A409E5" w:rsidRPr="00791A6A">
        <w:rPr>
          <w:rFonts w:cs="Tahoma"/>
          <w:szCs w:val="18"/>
          <w:lang w:eastAsia="fr-FR"/>
        </w:rPr>
        <w:t>ar</w:t>
      </w:r>
      <w:r w:rsidR="00C921EF" w:rsidRPr="00791A6A">
        <w:rPr>
          <w:rFonts w:cs="Tahoma"/>
          <w:szCs w:val="18"/>
          <w:lang w:eastAsia="fr-FR"/>
        </w:rPr>
        <w:t xml:space="preserve"> </w:t>
      </w:r>
      <w:r w:rsidR="00A409E5" w:rsidRPr="00791A6A">
        <w:rPr>
          <w:rFonts w:cs="Tahoma"/>
          <w:szCs w:val="18"/>
          <w:lang w:eastAsia="fr-FR"/>
        </w:rPr>
        <w:t xml:space="preserve">la </w:t>
      </w:r>
      <w:r w:rsidR="00C921EF" w:rsidRPr="00791A6A">
        <w:rPr>
          <w:rFonts w:cs="Tahoma"/>
          <w:szCs w:val="18"/>
          <w:lang w:eastAsia="fr-FR"/>
        </w:rPr>
        <w:t xml:space="preserve">descripción oficial de la variedad </w:t>
      </w:r>
      <w:r w:rsidR="00A409E5" w:rsidRPr="00791A6A">
        <w:rPr>
          <w:rFonts w:cs="Tahoma"/>
          <w:szCs w:val="18"/>
          <w:lang w:eastAsia="fr-FR"/>
        </w:rPr>
        <w:t>a los</w:t>
      </w:r>
      <w:r w:rsidR="00C921EF" w:rsidRPr="00791A6A">
        <w:rPr>
          <w:rFonts w:cs="Tahoma"/>
          <w:szCs w:val="18"/>
          <w:lang w:eastAsia="fr-FR"/>
        </w:rPr>
        <w:t xml:space="preserve"> </w:t>
      </w:r>
      <w:r w:rsidR="00A409E5" w:rsidRPr="00791A6A">
        <w:rPr>
          <w:rFonts w:cs="Tahoma"/>
          <w:szCs w:val="18"/>
          <w:lang w:eastAsia="fr-FR"/>
        </w:rPr>
        <w:t xml:space="preserve">principios </w:t>
      </w:r>
      <w:r w:rsidR="00C921EF" w:rsidRPr="00791A6A">
        <w:rPr>
          <w:rFonts w:cs="Tahoma"/>
          <w:szCs w:val="18"/>
          <w:lang w:eastAsia="fr-FR"/>
        </w:rPr>
        <w:t>actual</w:t>
      </w:r>
      <w:r w:rsidR="00A409E5" w:rsidRPr="00791A6A">
        <w:rPr>
          <w:rFonts w:cs="Tahoma"/>
          <w:szCs w:val="18"/>
          <w:lang w:eastAsia="fr-FR"/>
        </w:rPr>
        <w:t>es</w:t>
      </w:r>
      <w:r w:rsidR="00C921EF" w:rsidRPr="00791A6A">
        <w:rPr>
          <w:rFonts w:cs="Tahoma"/>
          <w:szCs w:val="18"/>
          <w:lang w:eastAsia="fr-FR"/>
        </w:rPr>
        <w:t xml:space="preserve"> </w:t>
      </w:r>
      <w:r w:rsidR="00A409E5" w:rsidRPr="00791A6A">
        <w:rPr>
          <w:rFonts w:cs="Tahoma"/>
          <w:szCs w:val="18"/>
          <w:lang w:eastAsia="fr-FR"/>
        </w:rPr>
        <w:t>a fin de que la</w:t>
      </w:r>
      <w:r w:rsidR="00C921EF" w:rsidRPr="00791A6A">
        <w:rPr>
          <w:rFonts w:cs="Tahoma"/>
          <w:szCs w:val="18"/>
          <w:lang w:eastAsia="fr-FR"/>
        </w:rPr>
        <w:t xml:space="preserve"> descripción de </w:t>
      </w:r>
      <w:r w:rsidR="00A409E5" w:rsidRPr="00791A6A">
        <w:rPr>
          <w:rFonts w:cs="Tahoma"/>
          <w:szCs w:val="18"/>
          <w:lang w:eastAsia="fr-FR"/>
        </w:rPr>
        <w:t>un</w:t>
      </w:r>
      <w:r w:rsidR="00C921EF" w:rsidRPr="00791A6A">
        <w:rPr>
          <w:rFonts w:cs="Tahoma"/>
          <w:szCs w:val="18"/>
          <w:lang w:eastAsia="fr-FR"/>
        </w:rPr>
        <w:t xml:space="preserve">a variedad </w:t>
      </w:r>
      <w:r w:rsidR="00A409E5" w:rsidRPr="00791A6A">
        <w:rPr>
          <w:rFonts w:cs="Tahoma"/>
          <w:szCs w:val="18"/>
          <w:lang w:eastAsia="fr-FR"/>
        </w:rPr>
        <w:t xml:space="preserve">a la que se concedió el derecho de obtentor </w:t>
      </w:r>
      <w:r w:rsidR="00C921EF" w:rsidRPr="00791A6A">
        <w:rPr>
          <w:rFonts w:cs="Tahoma"/>
          <w:szCs w:val="18"/>
          <w:lang w:eastAsia="fr-FR"/>
        </w:rPr>
        <w:t xml:space="preserve">en </w:t>
      </w:r>
      <w:r w:rsidR="00A409E5" w:rsidRPr="00791A6A">
        <w:rPr>
          <w:rFonts w:cs="Tahoma"/>
          <w:szCs w:val="18"/>
          <w:lang w:eastAsia="fr-FR"/>
        </w:rPr>
        <w:t xml:space="preserve">el </w:t>
      </w:r>
      <w:r w:rsidR="00C921EF" w:rsidRPr="00791A6A">
        <w:rPr>
          <w:rFonts w:cs="Tahoma"/>
          <w:szCs w:val="18"/>
          <w:lang w:eastAsia="fr-FR"/>
        </w:rPr>
        <w:t>pas</w:t>
      </w:r>
      <w:r w:rsidR="00A409E5" w:rsidRPr="00791A6A">
        <w:rPr>
          <w:rFonts w:cs="Tahoma"/>
          <w:szCs w:val="18"/>
          <w:lang w:eastAsia="fr-FR"/>
        </w:rPr>
        <w:t>ado</w:t>
      </w:r>
      <w:r w:rsidR="00C921EF" w:rsidRPr="00791A6A">
        <w:rPr>
          <w:rFonts w:cs="Tahoma"/>
          <w:szCs w:val="18"/>
          <w:lang w:eastAsia="fr-FR"/>
        </w:rPr>
        <w:t xml:space="preserve"> </w:t>
      </w:r>
      <w:r w:rsidR="00A409E5" w:rsidRPr="00791A6A">
        <w:rPr>
          <w:rFonts w:cs="Tahoma"/>
          <w:szCs w:val="18"/>
          <w:lang w:eastAsia="fr-FR"/>
        </w:rPr>
        <w:t xml:space="preserve">sea </w:t>
      </w:r>
      <w:r w:rsidR="00C921EF" w:rsidRPr="00791A6A">
        <w:rPr>
          <w:rFonts w:cs="Tahoma"/>
          <w:szCs w:val="18"/>
          <w:lang w:eastAsia="fr-FR"/>
        </w:rPr>
        <w:t xml:space="preserve">comparable con </w:t>
      </w:r>
      <w:r w:rsidR="00A409E5" w:rsidRPr="00791A6A">
        <w:rPr>
          <w:rFonts w:cs="Tahoma"/>
          <w:szCs w:val="18"/>
          <w:lang w:eastAsia="fr-FR"/>
        </w:rPr>
        <w:t xml:space="preserve">las </w:t>
      </w:r>
      <w:r w:rsidR="00C921EF" w:rsidRPr="00791A6A">
        <w:rPr>
          <w:rFonts w:cs="Tahoma"/>
          <w:szCs w:val="18"/>
          <w:lang w:eastAsia="fr-FR"/>
        </w:rPr>
        <w:t xml:space="preserve">descripciones de </w:t>
      </w:r>
      <w:r w:rsidR="00A409E5" w:rsidRPr="00791A6A">
        <w:rPr>
          <w:rFonts w:cs="Tahoma"/>
          <w:szCs w:val="18"/>
          <w:lang w:eastAsia="fr-FR"/>
        </w:rPr>
        <w:t>otras</w:t>
      </w:r>
      <w:r w:rsidR="00C921EF" w:rsidRPr="00791A6A">
        <w:rPr>
          <w:rFonts w:cs="Tahoma"/>
          <w:szCs w:val="18"/>
          <w:lang w:eastAsia="fr-FR"/>
        </w:rPr>
        <w:t xml:space="preserve"> variedades.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="000F251A" w:rsidRPr="00791A6A">
        <w:rPr>
          <w:rFonts w:cs="Tahoma"/>
          <w:szCs w:val="18"/>
          <w:lang w:eastAsia="fr-FR"/>
        </w:rPr>
        <w:t>Dado que tales modificaciones poseen carácter oficial</w:t>
      </w:r>
      <w:r w:rsidR="00EB38B8" w:rsidRPr="00791A6A">
        <w:rPr>
          <w:rFonts w:cs="Tahoma"/>
          <w:szCs w:val="18"/>
          <w:lang w:eastAsia="fr-FR"/>
        </w:rPr>
        <w:t xml:space="preserve">, </w:t>
      </w:r>
      <w:r w:rsidR="000F251A" w:rsidRPr="00791A6A">
        <w:rPr>
          <w:rFonts w:cs="Tahoma"/>
          <w:szCs w:val="18"/>
          <w:lang w:eastAsia="fr-FR"/>
        </w:rPr>
        <w:t xml:space="preserve">todas las partes interesadas deben </w:t>
      </w:r>
      <w:r w:rsidR="00CB7090" w:rsidRPr="00791A6A">
        <w:rPr>
          <w:rFonts w:cs="Tahoma"/>
          <w:szCs w:val="18"/>
          <w:lang w:eastAsia="fr-FR"/>
        </w:rPr>
        <w:t xml:space="preserve">saber </w:t>
      </w:r>
      <w:r w:rsidR="000F251A" w:rsidRPr="00791A6A">
        <w:rPr>
          <w:rFonts w:cs="Tahoma"/>
          <w:szCs w:val="18"/>
          <w:lang w:eastAsia="fr-FR"/>
        </w:rPr>
        <w:t>que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="000F251A" w:rsidRPr="00791A6A">
        <w:rPr>
          <w:rFonts w:cs="Tahoma"/>
          <w:szCs w:val="18"/>
          <w:lang w:eastAsia="fr-FR"/>
        </w:rPr>
        <w:t>el titular del derecho recibe un documento</w:t>
      </w:r>
      <w:r w:rsidR="002458BD" w:rsidRPr="00791A6A">
        <w:rPr>
          <w:rFonts w:cs="Tahoma"/>
          <w:szCs w:val="18"/>
          <w:lang w:eastAsia="fr-FR"/>
        </w:rPr>
        <w:t xml:space="preserve"> y</w:t>
      </w:r>
      <w:r w:rsidR="00B16160" w:rsidRPr="00791A6A">
        <w:rPr>
          <w:rFonts w:cs="Tahoma"/>
          <w:szCs w:val="18"/>
          <w:lang w:eastAsia="fr-FR"/>
        </w:rPr>
        <w:t xml:space="preserve"> que</w:t>
      </w:r>
      <w:r w:rsidR="00475066" w:rsidRPr="00791A6A">
        <w:rPr>
          <w:rFonts w:cs="Tahoma"/>
          <w:szCs w:val="18"/>
          <w:lang w:eastAsia="fr-FR"/>
        </w:rPr>
        <w:t>,</w:t>
      </w:r>
      <w:r w:rsidR="00EB38B8" w:rsidRPr="00791A6A">
        <w:rPr>
          <w:rFonts w:cs="Tahoma"/>
          <w:szCs w:val="18"/>
          <w:lang w:eastAsia="fr-FR"/>
        </w:rPr>
        <w:t xml:space="preserve"> </w:t>
      </w:r>
      <w:r w:rsidR="00475066" w:rsidRPr="00791A6A">
        <w:rPr>
          <w:rFonts w:cs="Tahoma"/>
          <w:szCs w:val="18"/>
          <w:lang w:eastAsia="fr-FR"/>
        </w:rPr>
        <w:t xml:space="preserve">del mismo modo en que se informó de la descripción oficial inicial de la variedad, </w:t>
      </w:r>
      <w:r w:rsidR="000F251A" w:rsidRPr="00791A6A">
        <w:rPr>
          <w:rFonts w:cs="Tahoma"/>
          <w:szCs w:val="18"/>
          <w:lang w:eastAsia="fr-FR"/>
        </w:rPr>
        <w:t>se informa a las administraciones de derechos de obtentor y al público en general de la</w:t>
      </w:r>
      <w:r w:rsidR="00475066" w:rsidRPr="00791A6A">
        <w:rPr>
          <w:rFonts w:cs="Tahoma"/>
          <w:szCs w:val="18"/>
          <w:lang w:eastAsia="fr-FR"/>
        </w:rPr>
        <w:t>s</w:t>
      </w:r>
      <w:r w:rsidR="000F251A" w:rsidRPr="00791A6A">
        <w:rPr>
          <w:rFonts w:cs="Tahoma"/>
          <w:szCs w:val="18"/>
          <w:lang w:eastAsia="fr-FR"/>
        </w:rPr>
        <w:t xml:space="preserve"> </w:t>
      </w:r>
      <w:r w:rsidR="00475066" w:rsidRPr="00791A6A">
        <w:rPr>
          <w:rFonts w:cs="Tahoma"/>
          <w:szCs w:val="18"/>
          <w:lang w:eastAsia="fr-FR"/>
        </w:rPr>
        <w:t>descripciones oficiales de variedades que han sido modificadas</w:t>
      </w:r>
      <w:r w:rsidR="000F251A" w:rsidRPr="00791A6A">
        <w:rPr>
          <w:rFonts w:cs="Tahoma"/>
          <w:szCs w:val="18"/>
          <w:lang w:eastAsia="fr-FR"/>
        </w:rPr>
        <w:t>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="00B16160" w:rsidRPr="00791A6A">
        <w:rPr>
          <w:rFonts w:cs="Tahoma"/>
          <w:szCs w:val="18"/>
          <w:lang w:eastAsia="fr-FR"/>
        </w:rPr>
        <w:t>Por lo que respecta a</w:t>
      </w:r>
      <w:r w:rsidR="00A03240" w:rsidRPr="00791A6A">
        <w:rPr>
          <w:rFonts w:cs="Tahoma"/>
          <w:szCs w:val="18"/>
          <w:lang w:eastAsia="fr-FR"/>
        </w:rPr>
        <w:t xml:space="preserve"> la OCVV</w:t>
      </w:r>
      <w:r w:rsidR="00EB38B8" w:rsidRPr="00791A6A">
        <w:rPr>
          <w:rFonts w:cs="Tahoma"/>
          <w:szCs w:val="18"/>
          <w:lang w:eastAsia="fr-FR"/>
        </w:rPr>
        <w:t xml:space="preserve">, </w:t>
      </w:r>
      <w:r w:rsidR="00A03240" w:rsidRPr="00791A6A">
        <w:rPr>
          <w:rFonts w:cs="Tahoma"/>
          <w:szCs w:val="18"/>
          <w:lang w:eastAsia="fr-FR"/>
        </w:rPr>
        <w:t>esto implica</w:t>
      </w:r>
      <w:r w:rsidR="0064547A" w:rsidRPr="00791A6A">
        <w:rPr>
          <w:rFonts w:cs="Tahoma"/>
          <w:szCs w:val="18"/>
          <w:lang w:eastAsia="fr-FR"/>
        </w:rPr>
        <w:t xml:space="preserve"> </w:t>
      </w:r>
      <w:r w:rsidR="00A03240" w:rsidRPr="00791A6A">
        <w:rPr>
          <w:rFonts w:cs="Tahoma"/>
          <w:szCs w:val="18"/>
          <w:lang w:eastAsia="fr-FR"/>
        </w:rPr>
        <w:t xml:space="preserve">una </w:t>
      </w:r>
      <w:r w:rsidR="0064547A" w:rsidRPr="00791A6A">
        <w:rPr>
          <w:rFonts w:cs="Tahoma"/>
          <w:szCs w:val="18"/>
          <w:lang w:eastAsia="fr-FR"/>
        </w:rPr>
        <w:t xml:space="preserve">publicación en </w:t>
      </w:r>
      <w:r w:rsidR="00A03240" w:rsidRPr="00791A6A">
        <w:rPr>
          <w:rFonts w:cs="Tahoma"/>
          <w:szCs w:val="18"/>
          <w:lang w:eastAsia="fr-FR"/>
        </w:rPr>
        <w:t>el</w:t>
      </w:r>
      <w:r w:rsidR="0064547A" w:rsidRPr="00791A6A">
        <w:rPr>
          <w:rFonts w:cs="Tahoma"/>
          <w:szCs w:val="18"/>
          <w:lang w:eastAsia="fr-FR"/>
        </w:rPr>
        <w:t xml:space="preserve"> Boletín Oficial y acceso público al documento previa petición.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="00A03240" w:rsidRPr="00651536">
        <w:rPr>
          <w:rFonts w:cs="Tahoma"/>
          <w:szCs w:val="18"/>
          <w:lang w:eastAsia="fr-FR"/>
        </w:rPr>
        <w:t>No obstante</w:t>
      </w:r>
      <w:r w:rsidR="00EB38B8" w:rsidRPr="00651536">
        <w:rPr>
          <w:rFonts w:cs="Tahoma"/>
          <w:szCs w:val="18"/>
          <w:lang w:eastAsia="fr-FR"/>
        </w:rPr>
        <w:t xml:space="preserve">, </w:t>
      </w:r>
      <w:r w:rsidR="00A03240" w:rsidRPr="00651536">
        <w:rPr>
          <w:rFonts w:cs="Tahoma"/>
          <w:szCs w:val="18"/>
          <w:lang w:eastAsia="fr-FR"/>
        </w:rPr>
        <w:t>en la práctica</w:t>
      </w:r>
      <w:r w:rsidR="00EB38B8" w:rsidRPr="00651536">
        <w:rPr>
          <w:rFonts w:cs="Tahoma"/>
          <w:szCs w:val="18"/>
          <w:lang w:eastAsia="fr-FR"/>
        </w:rPr>
        <w:t xml:space="preserve">, </w:t>
      </w:r>
      <w:r w:rsidR="0069198E" w:rsidRPr="00651536">
        <w:rPr>
          <w:rFonts w:cs="Tahoma"/>
          <w:szCs w:val="18"/>
          <w:lang w:eastAsia="fr-FR"/>
        </w:rPr>
        <w:t xml:space="preserve">rara vez ha hecho uso </w:t>
      </w:r>
      <w:r w:rsidR="00A03240" w:rsidRPr="00651536">
        <w:rPr>
          <w:rFonts w:cs="Tahoma"/>
          <w:szCs w:val="18"/>
          <w:lang w:eastAsia="fr-FR"/>
        </w:rPr>
        <w:t xml:space="preserve">la OCVV de esta </w:t>
      </w:r>
      <w:r w:rsidR="009C7EFF" w:rsidRPr="00651536">
        <w:rPr>
          <w:rFonts w:cs="Tahoma"/>
          <w:szCs w:val="18"/>
          <w:lang w:eastAsia="fr-FR"/>
        </w:rPr>
        <w:t xml:space="preserve">posibilidad </w:t>
      </w:r>
      <w:r w:rsidR="00A03240" w:rsidRPr="00651536">
        <w:rPr>
          <w:rFonts w:cs="Tahoma"/>
          <w:szCs w:val="18"/>
          <w:lang w:eastAsia="fr-FR"/>
        </w:rPr>
        <w:t xml:space="preserve">que brinda la </w:t>
      </w:r>
      <w:r w:rsidR="009C7EFF" w:rsidRPr="00651536">
        <w:rPr>
          <w:rFonts w:cs="Tahoma"/>
          <w:szCs w:val="18"/>
          <w:lang w:eastAsia="fr-FR"/>
        </w:rPr>
        <w:t>legislación</w:t>
      </w:r>
      <w:r w:rsidR="00A03240" w:rsidRPr="00651536">
        <w:rPr>
          <w:rFonts w:cs="Tahoma"/>
          <w:szCs w:val="18"/>
          <w:lang w:eastAsia="fr-FR"/>
        </w:rPr>
        <w:t>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</w:p>
    <w:p w14:paraId="1F4A9C2F" w14:textId="77777777" w:rsidR="00DD33F8" w:rsidRPr="003A2D30" w:rsidRDefault="00DD33F8" w:rsidP="00DD33F8">
      <w:pPr>
        <w:rPr>
          <w:rFonts w:cs="Tahoma"/>
          <w:szCs w:val="18"/>
          <w:lang w:val="es-ES" w:eastAsia="fr-FR"/>
        </w:rPr>
      </w:pPr>
    </w:p>
    <w:p w14:paraId="0C566D7A" w14:textId="77777777" w:rsidR="00DD33F8" w:rsidRPr="003A2D30" w:rsidRDefault="00573DEE" w:rsidP="00DD33F8">
      <w:pPr>
        <w:rPr>
          <w:rFonts w:cs="Tahoma"/>
          <w:szCs w:val="18"/>
          <w:lang w:val="es-ES" w:eastAsia="fr-FR"/>
        </w:rPr>
      </w:pPr>
      <w:r w:rsidRPr="00651536">
        <w:rPr>
          <w:rFonts w:cs="Tahoma"/>
          <w:szCs w:val="18"/>
          <w:lang w:eastAsia="fr-FR"/>
        </w:rPr>
        <w:t>Con independencia de las modificaciones que experimenten las descripciones oficiales de las variedades</w:t>
      </w:r>
      <w:r w:rsidR="00EB38B8" w:rsidRPr="00651536">
        <w:rPr>
          <w:rFonts w:cs="Tahoma"/>
          <w:szCs w:val="18"/>
          <w:lang w:eastAsia="fr-FR"/>
        </w:rPr>
        <w:t xml:space="preserve">, </w:t>
      </w:r>
      <w:r w:rsidRPr="00651536">
        <w:rPr>
          <w:rFonts w:cs="Tahoma"/>
          <w:szCs w:val="18"/>
          <w:lang w:eastAsia="fr-FR"/>
        </w:rPr>
        <w:t>las oficinas de examen actualizan periódicamente sus datos descriptivos de manera que reflejen la evolución de las directrices de examen.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Pr="00651536">
        <w:rPr>
          <w:rFonts w:cs="Tahoma"/>
          <w:szCs w:val="18"/>
          <w:lang w:eastAsia="fr-FR"/>
        </w:rPr>
        <w:t xml:space="preserve">Estas actualizaciones </w:t>
      </w:r>
      <w:r w:rsidR="008A72A0" w:rsidRPr="00651536">
        <w:rPr>
          <w:rFonts w:cs="Tahoma"/>
          <w:szCs w:val="18"/>
          <w:lang w:eastAsia="fr-FR"/>
        </w:rPr>
        <w:t>tienen un propósito meramente operativo</w:t>
      </w:r>
      <w:r w:rsidRPr="00651536">
        <w:rPr>
          <w:rFonts w:cs="Tahoma"/>
          <w:szCs w:val="18"/>
          <w:lang w:eastAsia="fr-FR"/>
        </w:rPr>
        <w:t xml:space="preserve"> y no </w:t>
      </w:r>
      <w:r w:rsidR="00FB4B5B" w:rsidRPr="00651536">
        <w:rPr>
          <w:rFonts w:cs="Tahoma"/>
          <w:szCs w:val="18"/>
          <w:lang w:eastAsia="fr-FR"/>
        </w:rPr>
        <w:t>repercuten en</w:t>
      </w:r>
      <w:r w:rsidRPr="00651536">
        <w:rPr>
          <w:rFonts w:cs="Tahoma"/>
          <w:szCs w:val="18"/>
          <w:lang w:eastAsia="fr-FR"/>
        </w:rPr>
        <w:t xml:space="preserve"> la descripción oficial de la variedad.</w:t>
      </w:r>
      <w:r w:rsidR="00DD33F8" w:rsidRPr="003A2D30">
        <w:rPr>
          <w:rFonts w:cs="Tahoma"/>
          <w:szCs w:val="18"/>
          <w:lang w:val="es-ES" w:eastAsia="fr-FR"/>
        </w:rPr>
        <w:t xml:space="preserve">  </w:t>
      </w:r>
    </w:p>
    <w:p w14:paraId="6AB28FD9" w14:textId="77777777" w:rsidR="00DD33F8" w:rsidRPr="003A2D30" w:rsidRDefault="00DD33F8" w:rsidP="00DD33F8">
      <w:pPr>
        <w:ind w:left="1080"/>
        <w:rPr>
          <w:rFonts w:cs="Tahoma"/>
          <w:szCs w:val="18"/>
          <w:lang w:val="es-ES" w:eastAsia="fr-FR"/>
        </w:rPr>
      </w:pPr>
    </w:p>
    <w:p w14:paraId="5F457051" w14:textId="77777777" w:rsidR="00DD33F8" w:rsidRPr="003A2D30" w:rsidRDefault="0049332C" w:rsidP="000D34EC">
      <w:pPr>
        <w:keepNext/>
        <w:numPr>
          <w:ilvl w:val="0"/>
          <w:numId w:val="3"/>
        </w:numPr>
        <w:tabs>
          <w:tab w:val="left" w:pos="567"/>
        </w:tabs>
        <w:ind w:left="709"/>
        <w:rPr>
          <w:rFonts w:cs="Tahoma"/>
          <w:szCs w:val="18"/>
          <w:lang w:val="es-ES" w:eastAsia="fr-FR"/>
        </w:rPr>
      </w:pPr>
      <w:r w:rsidRPr="00651536">
        <w:rPr>
          <w:rFonts w:cs="Tahoma"/>
          <w:szCs w:val="18"/>
          <w:lang w:eastAsia="fr-FR"/>
        </w:rPr>
        <w:t>Descripciones de variedades en bases de datos compartidas</w:t>
      </w:r>
    </w:p>
    <w:p w14:paraId="05F2B044" w14:textId="77777777" w:rsidR="00DD33F8" w:rsidRPr="003A2D30" w:rsidRDefault="00DD33F8" w:rsidP="000D34EC">
      <w:pPr>
        <w:keepNext/>
        <w:ind w:left="1080"/>
        <w:rPr>
          <w:rFonts w:cs="Tahoma"/>
          <w:szCs w:val="18"/>
          <w:lang w:val="es-ES" w:eastAsia="fr-FR"/>
        </w:rPr>
      </w:pPr>
    </w:p>
    <w:p w14:paraId="4A60D634" w14:textId="77777777" w:rsidR="00DD33F8" w:rsidRPr="003A2D30" w:rsidRDefault="00FF17D7" w:rsidP="00DD33F8">
      <w:pPr>
        <w:rPr>
          <w:rFonts w:cs="Tahoma"/>
          <w:szCs w:val="18"/>
          <w:lang w:val="es-ES" w:eastAsia="fr-FR"/>
        </w:rPr>
      </w:pPr>
      <w:r w:rsidRPr="00E75803">
        <w:rPr>
          <w:rFonts w:cs="Tahoma"/>
          <w:szCs w:val="18"/>
          <w:lang w:eastAsia="fr-FR"/>
        </w:rPr>
        <w:t xml:space="preserve">Las bases de datos compartidas tienen por </w:t>
      </w:r>
      <w:r w:rsidR="00651536" w:rsidRPr="00E75803">
        <w:rPr>
          <w:rFonts w:cs="Tahoma"/>
          <w:szCs w:val="18"/>
          <w:lang w:eastAsia="fr-FR"/>
        </w:rPr>
        <w:t xml:space="preserve">objeto </w:t>
      </w:r>
      <w:r w:rsidR="00E75803" w:rsidRPr="00E75803">
        <w:rPr>
          <w:rFonts w:cs="Tahoma"/>
          <w:szCs w:val="18"/>
          <w:lang w:eastAsia="fr-FR"/>
        </w:rPr>
        <w:t>suministr</w:t>
      </w:r>
      <w:r w:rsidR="0049332C" w:rsidRPr="00E75803">
        <w:rPr>
          <w:rFonts w:cs="Tahoma"/>
          <w:szCs w:val="18"/>
          <w:lang w:eastAsia="fr-FR"/>
        </w:rPr>
        <w:t xml:space="preserve">ar </w:t>
      </w:r>
      <w:r w:rsidRPr="00E75803">
        <w:rPr>
          <w:rFonts w:cs="Tahoma"/>
          <w:szCs w:val="18"/>
          <w:lang w:eastAsia="fr-FR"/>
        </w:rPr>
        <w:t>información sobre las variedades a los examinadores para que puedan</w:t>
      </w:r>
      <w:r w:rsidR="0049332C" w:rsidRPr="00E75803">
        <w:rPr>
          <w:rFonts w:cs="Tahoma"/>
          <w:szCs w:val="18"/>
          <w:lang w:eastAsia="fr-FR"/>
        </w:rPr>
        <w:t xml:space="preserve"> </w:t>
      </w:r>
      <w:r w:rsidR="0082022E" w:rsidRPr="00E75803">
        <w:rPr>
          <w:rFonts w:cs="Tahoma"/>
          <w:szCs w:val="18"/>
          <w:lang w:eastAsia="fr-FR"/>
        </w:rPr>
        <w:t>seleccionar</w:t>
      </w:r>
      <w:r w:rsidRPr="00E75803">
        <w:rPr>
          <w:rFonts w:cs="Tahoma"/>
          <w:szCs w:val="18"/>
          <w:lang w:eastAsia="fr-FR"/>
        </w:rPr>
        <w:t xml:space="preserve"> eficientemente las variedades de referencia </w:t>
      </w:r>
      <w:r w:rsidR="0049332C" w:rsidRPr="00E75803">
        <w:rPr>
          <w:rFonts w:cs="Tahoma"/>
          <w:szCs w:val="18"/>
          <w:lang w:eastAsia="fr-FR"/>
        </w:rPr>
        <w:t>pertinente</w:t>
      </w:r>
      <w:r w:rsidRPr="00E75803">
        <w:rPr>
          <w:rFonts w:cs="Tahoma"/>
          <w:szCs w:val="18"/>
          <w:lang w:eastAsia="fr-FR"/>
        </w:rPr>
        <w:t>s</w:t>
      </w:r>
      <w:r w:rsidR="0049332C" w:rsidRPr="00E75803">
        <w:rPr>
          <w:rFonts w:cs="Tahoma"/>
          <w:szCs w:val="18"/>
          <w:lang w:eastAsia="fr-FR"/>
        </w:rPr>
        <w:t>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="007D7367" w:rsidRPr="00E75803">
        <w:rPr>
          <w:rFonts w:cs="Tahoma"/>
          <w:szCs w:val="18"/>
          <w:lang w:eastAsia="fr-FR"/>
        </w:rPr>
        <w:t xml:space="preserve">Si </w:t>
      </w:r>
      <w:r w:rsidR="007678B6" w:rsidRPr="00E75803">
        <w:rPr>
          <w:rFonts w:cs="Tahoma"/>
          <w:szCs w:val="18"/>
          <w:lang w:eastAsia="fr-FR"/>
        </w:rPr>
        <w:t xml:space="preserve">un </w:t>
      </w:r>
      <w:r w:rsidRPr="00E75803">
        <w:rPr>
          <w:rFonts w:cs="Tahoma"/>
          <w:szCs w:val="18"/>
          <w:lang w:eastAsia="fr-FR"/>
        </w:rPr>
        <w:t>examin</w:t>
      </w:r>
      <w:r w:rsidR="007D7367" w:rsidRPr="00E75803">
        <w:rPr>
          <w:rFonts w:cs="Tahoma"/>
          <w:szCs w:val="18"/>
          <w:lang w:eastAsia="fr-FR"/>
        </w:rPr>
        <w:t>ador</w:t>
      </w:r>
      <w:r w:rsidRPr="00E75803">
        <w:rPr>
          <w:rFonts w:cs="Tahoma"/>
          <w:szCs w:val="18"/>
          <w:lang w:eastAsia="fr-FR"/>
        </w:rPr>
        <w:t xml:space="preserve"> no </w:t>
      </w:r>
      <w:r w:rsidR="007D7367" w:rsidRPr="00E75803">
        <w:rPr>
          <w:rFonts w:cs="Tahoma"/>
          <w:szCs w:val="18"/>
          <w:lang w:eastAsia="fr-FR"/>
        </w:rPr>
        <w:t>ha cultivado aún la</w:t>
      </w:r>
      <w:r w:rsidRPr="00E75803">
        <w:rPr>
          <w:rFonts w:cs="Tahoma"/>
          <w:szCs w:val="18"/>
          <w:lang w:eastAsia="fr-FR"/>
        </w:rPr>
        <w:t xml:space="preserve"> variedad de referencia en cuestión</w:t>
      </w:r>
      <w:r w:rsidR="00EB38B8" w:rsidRPr="00E75803">
        <w:rPr>
          <w:rFonts w:cs="Tahoma"/>
          <w:szCs w:val="18"/>
          <w:lang w:eastAsia="fr-FR"/>
        </w:rPr>
        <w:t xml:space="preserve">, </w:t>
      </w:r>
      <w:r w:rsidR="007D7367" w:rsidRPr="00E75803">
        <w:rPr>
          <w:rFonts w:cs="Tahoma"/>
          <w:szCs w:val="18"/>
          <w:lang w:eastAsia="fr-FR"/>
        </w:rPr>
        <w:t xml:space="preserve">puede resultarle muy útil disponer de </w:t>
      </w:r>
      <w:r w:rsidRPr="00E75803">
        <w:rPr>
          <w:rFonts w:cs="Tahoma"/>
          <w:szCs w:val="18"/>
          <w:lang w:eastAsia="fr-FR"/>
        </w:rPr>
        <w:t xml:space="preserve">información </w:t>
      </w:r>
      <w:r w:rsidR="007D7367" w:rsidRPr="00E75803">
        <w:rPr>
          <w:rFonts w:cs="Tahoma"/>
          <w:szCs w:val="18"/>
          <w:lang w:eastAsia="fr-FR"/>
        </w:rPr>
        <w:t>de</w:t>
      </w:r>
      <w:r w:rsidRPr="00E75803">
        <w:rPr>
          <w:rFonts w:cs="Tahoma"/>
          <w:szCs w:val="18"/>
          <w:lang w:eastAsia="fr-FR"/>
        </w:rPr>
        <w:t xml:space="preserve"> otr</w:t>
      </w:r>
      <w:r w:rsidR="007D7367" w:rsidRPr="00E75803">
        <w:rPr>
          <w:rFonts w:cs="Tahoma"/>
          <w:szCs w:val="18"/>
          <w:lang w:eastAsia="fr-FR"/>
        </w:rPr>
        <w:t>as</w:t>
      </w:r>
      <w:r w:rsidRPr="00E75803">
        <w:rPr>
          <w:rFonts w:cs="Tahoma"/>
          <w:szCs w:val="18"/>
          <w:lang w:eastAsia="fr-FR"/>
        </w:rPr>
        <w:t xml:space="preserve"> </w:t>
      </w:r>
      <w:r w:rsidR="007D7367" w:rsidRPr="00E75803">
        <w:rPr>
          <w:rFonts w:cs="Tahoma"/>
          <w:szCs w:val="18"/>
          <w:lang w:eastAsia="fr-FR"/>
        </w:rPr>
        <w:t>fuentes of</w:t>
      </w:r>
      <w:r w:rsidRPr="00E75803">
        <w:rPr>
          <w:rFonts w:cs="Tahoma"/>
          <w:szCs w:val="18"/>
          <w:lang w:eastAsia="fr-FR"/>
        </w:rPr>
        <w:t>icial</w:t>
      </w:r>
      <w:r w:rsidR="007D7367" w:rsidRPr="00E75803">
        <w:rPr>
          <w:rFonts w:cs="Tahoma"/>
          <w:szCs w:val="18"/>
          <w:lang w:eastAsia="fr-FR"/>
        </w:rPr>
        <w:t>es</w:t>
      </w:r>
      <w:r w:rsidRPr="00E75803">
        <w:rPr>
          <w:rFonts w:cs="Tahoma"/>
          <w:szCs w:val="18"/>
          <w:lang w:eastAsia="fr-FR"/>
        </w:rPr>
        <w:t>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</w:p>
    <w:p w14:paraId="000656E5" w14:textId="77777777" w:rsidR="00DD33F8" w:rsidRPr="003A2D30" w:rsidRDefault="00DD33F8" w:rsidP="00DD33F8">
      <w:pPr>
        <w:rPr>
          <w:rFonts w:cs="Tahoma"/>
          <w:szCs w:val="18"/>
          <w:lang w:val="es-ES" w:eastAsia="fr-FR"/>
        </w:rPr>
      </w:pPr>
    </w:p>
    <w:p w14:paraId="0E40460B" w14:textId="77777777" w:rsidR="00DD33F8" w:rsidRPr="003A2D30" w:rsidRDefault="007D7367" w:rsidP="00DD33F8">
      <w:pPr>
        <w:rPr>
          <w:rFonts w:cs="Tahoma"/>
          <w:szCs w:val="18"/>
          <w:lang w:val="es-ES" w:eastAsia="fr-FR"/>
        </w:rPr>
      </w:pPr>
      <w:r w:rsidRPr="00E75803">
        <w:rPr>
          <w:rFonts w:cs="Tahoma"/>
          <w:szCs w:val="18"/>
          <w:lang w:eastAsia="fr-FR"/>
        </w:rPr>
        <w:t xml:space="preserve">El sondeo llevado a cabo por la OCVV entre sus oficinas de examen </w:t>
      </w:r>
      <w:r w:rsidR="007678B6" w:rsidRPr="00E75803">
        <w:rPr>
          <w:rFonts w:cs="Tahoma"/>
          <w:szCs w:val="18"/>
          <w:lang w:eastAsia="fr-FR"/>
        </w:rPr>
        <w:t>reveló</w:t>
      </w:r>
      <w:r w:rsidRPr="00E75803">
        <w:rPr>
          <w:rFonts w:cs="Tahoma"/>
          <w:szCs w:val="18"/>
          <w:lang w:eastAsia="fr-FR"/>
        </w:rPr>
        <w:t xml:space="preserve"> </w:t>
      </w:r>
      <w:r w:rsidR="007678B6" w:rsidRPr="00E75803">
        <w:rPr>
          <w:rFonts w:cs="Tahoma"/>
          <w:szCs w:val="18"/>
          <w:lang w:eastAsia="fr-FR"/>
        </w:rPr>
        <w:t>diferencias de</w:t>
      </w:r>
      <w:r w:rsidRPr="00E75803">
        <w:rPr>
          <w:rFonts w:cs="Tahoma"/>
          <w:szCs w:val="18"/>
          <w:lang w:eastAsia="fr-FR"/>
        </w:rPr>
        <w:t xml:space="preserve"> enfoque.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="00CB156A" w:rsidRPr="00E75803">
        <w:rPr>
          <w:rFonts w:cs="Tahoma"/>
          <w:szCs w:val="18"/>
          <w:lang w:eastAsia="fr-FR"/>
        </w:rPr>
        <w:t>Algunas</w:t>
      </w:r>
      <w:r w:rsidRPr="00E75803">
        <w:rPr>
          <w:rFonts w:cs="Tahoma"/>
          <w:szCs w:val="18"/>
          <w:lang w:eastAsia="fr-FR"/>
        </w:rPr>
        <w:t xml:space="preserve"> </w:t>
      </w:r>
      <w:r w:rsidR="00CB156A" w:rsidRPr="00E75803">
        <w:rPr>
          <w:rFonts w:cs="Tahoma"/>
          <w:szCs w:val="18"/>
          <w:lang w:eastAsia="fr-FR"/>
        </w:rPr>
        <w:t xml:space="preserve">oficinas de examen </w:t>
      </w:r>
      <w:r w:rsidR="00E75803" w:rsidRPr="00E75803">
        <w:rPr>
          <w:rFonts w:cs="Tahoma"/>
          <w:szCs w:val="18"/>
          <w:lang w:eastAsia="fr-FR"/>
        </w:rPr>
        <w:t xml:space="preserve">proporcionan únicamente </w:t>
      </w:r>
      <w:r w:rsidR="00CB156A" w:rsidRPr="00E75803">
        <w:rPr>
          <w:rFonts w:cs="Tahoma"/>
          <w:szCs w:val="18"/>
          <w:lang w:eastAsia="fr-FR"/>
        </w:rPr>
        <w:t>descripciones o</w:t>
      </w:r>
      <w:r w:rsidRPr="00E75803">
        <w:rPr>
          <w:rFonts w:cs="Tahoma"/>
          <w:szCs w:val="18"/>
          <w:lang w:eastAsia="fr-FR"/>
        </w:rPr>
        <w:t>ficial</w:t>
      </w:r>
      <w:r w:rsidR="00CB156A" w:rsidRPr="00E75803">
        <w:rPr>
          <w:rFonts w:cs="Tahoma"/>
          <w:szCs w:val="18"/>
          <w:lang w:eastAsia="fr-FR"/>
        </w:rPr>
        <w:t>es</w:t>
      </w:r>
      <w:r w:rsidRPr="00E75803">
        <w:rPr>
          <w:rFonts w:cs="Tahoma"/>
          <w:szCs w:val="18"/>
          <w:lang w:eastAsia="fr-FR"/>
        </w:rPr>
        <w:t xml:space="preserve"> de variedades</w:t>
      </w:r>
      <w:r w:rsidR="00EB38B8" w:rsidRPr="00E75803">
        <w:rPr>
          <w:rFonts w:cs="Tahoma"/>
          <w:szCs w:val="18"/>
          <w:lang w:eastAsia="fr-FR"/>
        </w:rPr>
        <w:t xml:space="preserve">, </w:t>
      </w:r>
      <w:r w:rsidR="00CB156A" w:rsidRPr="00E75803">
        <w:rPr>
          <w:rFonts w:cs="Tahoma"/>
          <w:szCs w:val="18"/>
          <w:lang w:eastAsia="fr-FR"/>
        </w:rPr>
        <w:t>mientras que</w:t>
      </w:r>
      <w:r w:rsidRPr="00E75803">
        <w:rPr>
          <w:rFonts w:cs="Tahoma"/>
          <w:szCs w:val="18"/>
          <w:lang w:eastAsia="fr-FR"/>
        </w:rPr>
        <w:t xml:space="preserve"> ot</w:t>
      </w:r>
      <w:r w:rsidR="00CB156A" w:rsidRPr="00E75803">
        <w:rPr>
          <w:rFonts w:cs="Tahoma"/>
          <w:szCs w:val="18"/>
          <w:lang w:eastAsia="fr-FR"/>
        </w:rPr>
        <w:t>ras</w:t>
      </w:r>
      <w:r w:rsidRPr="00E75803">
        <w:rPr>
          <w:rFonts w:cs="Tahoma"/>
          <w:szCs w:val="18"/>
          <w:lang w:eastAsia="fr-FR"/>
        </w:rPr>
        <w:t xml:space="preserve"> </w:t>
      </w:r>
      <w:r w:rsidR="00E75803" w:rsidRPr="00E75803">
        <w:rPr>
          <w:rFonts w:cs="Tahoma"/>
          <w:szCs w:val="18"/>
          <w:lang w:eastAsia="fr-FR"/>
        </w:rPr>
        <w:t xml:space="preserve">facilitan </w:t>
      </w:r>
      <w:r w:rsidRPr="00E75803">
        <w:rPr>
          <w:rFonts w:cs="Tahoma"/>
          <w:szCs w:val="18"/>
          <w:lang w:eastAsia="fr-FR"/>
        </w:rPr>
        <w:t xml:space="preserve">todos </w:t>
      </w:r>
      <w:r w:rsidR="00CB156A" w:rsidRPr="00E75803">
        <w:rPr>
          <w:rFonts w:cs="Tahoma"/>
          <w:szCs w:val="18"/>
          <w:lang w:eastAsia="fr-FR"/>
        </w:rPr>
        <w:t>los datos descriptivos</w:t>
      </w:r>
      <w:r w:rsidRPr="00E75803">
        <w:rPr>
          <w:rFonts w:cs="Tahoma"/>
          <w:szCs w:val="18"/>
          <w:lang w:eastAsia="fr-FR"/>
        </w:rPr>
        <w:t xml:space="preserve"> </w:t>
      </w:r>
      <w:r w:rsidR="00CB156A" w:rsidRPr="00E75803">
        <w:rPr>
          <w:rFonts w:cs="Tahoma"/>
          <w:szCs w:val="18"/>
          <w:lang w:eastAsia="fr-FR"/>
        </w:rPr>
        <w:t>recopilados</w:t>
      </w:r>
      <w:r w:rsidRPr="00E75803">
        <w:rPr>
          <w:rFonts w:cs="Tahoma"/>
          <w:szCs w:val="18"/>
          <w:lang w:eastAsia="fr-FR"/>
        </w:rPr>
        <w:t xml:space="preserve"> </w:t>
      </w:r>
      <w:r w:rsidR="00CB156A" w:rsidRPr="00E75803">
        <w:rPr>
          <w:rFonts w:cs="Tahoma"/>
          <w:szCs w:val="18"/>
          <w:lang w:eastAsia="fr-FR"/>
        </w:rPr>
        <w:t>durante</w:t>
      </w:r>
      <w:r w:rsidRPr="00E75803">
        <w:rPr>
          <w:rFonts w:cs="Tahoma"/>
          <w:szCs w:val="18"/>
          <w:lang w:eastAsia="fr-FR"/>
        </w:rPr>
        <w:t xml:space="preserve"> vari</w:t>
      </w:r>
      <w:r w:rsidR="00C55C74" w:rsidRPr="00E75803">
        <w:rPr>
          <w:rFonts w:cs="Tahoma"/>
          <w:szCs w:val="18"/>
          <w:lang w:eastAsia="fr-FR"/>
        </w:rPr>
        <w:t>o</w:t>
      </w:r>
      <w:r w:rsidRPr="00E75803">
        <w:rPr>
          <w:rFonts w:cs="Tahoma"/>
          <w:szCs w:val="18"/>
          <w:lang w:eastAsia="fr-FR"/>
        </w:rPr>
        <w:t xml:space="preserve">s </w:t>
      </w:r>
      <w:r w:rsidR="00C55C74" w:rsidRPr="00E75803">
        <w:rPr>
          <w:rFonts w:cs="Tahoma"/>
          <w:szCs w:val="18"/>
          <w:lang w:eastAsia="fr-FR"/>
        </w:rPr>
        <w:t>ciclos</w:t>
      </w:r>
      <w:r w:rsidR="00CB156A" w:rsidRPr="00E75803">
        <w:rPr>
          <w:rFonts w:cs="Tahoma"/>
          <w:szCs w:val="18"/>
          <w:lang w:eastAsia="fr-FR"/>
        </w:rPr>
        <w:t xml:space="preserve"> de cultivo</w:t>
      </w:r>
      <w:r w:rsidR="00EB38B8" w:rsidRPr="00E75803">
        <w:rPr>
          <w:rFonts w:cs="Tahoma"/>
          <w:szCs w:val="18"/>
          <w:lang w:eastAsia="fr-FR"/>
        </w:rPr>
        <w:t xml:space="preserve">, </w:t>
      </w:r>
      <w:r w:rsidR="00C55C74" w:rsidRPr="00E75803">
        <w:rPr>
          <w:rFonts w:cs="Tahoma"/>
          <w:szCs w:val="18"/>
          <w:lang w:eastAsia="fr-FR"/>
        </w:rPr>
        <w:t xml:space="preserve">que </w:t>
      </w:r>
      <w:r w:rsidR="004D5C00" w:rsidRPr="00E75803">
        <w:rPr>
          <w:rFonts w:cs="Tahoma"/>
          <w:szCs w:val="18"/>
          <w:lang w:eastAsia="fr-FR"/>
        </w:rPr>
        <w:t>en ocasiones</w:t>
      </w:r>
      <w:r w:rsidRPr="00E75803">
        <w:rPr>
          <w:rFonts w:cs="Tahoma"/>
          <w:szCs w:val="18"/>
          <w:lang w:eastAsia="fr-FR"/>
        </w:rPr>
        <w:t xml:space="preserve"> inclu</w:t>
      </w:r>
      <w:r w:rsidR="004D5C00" w:rsidRPr="00E75803">
        <w:rPr>
          <w:rFonts w:cs="Tahoma"/>
          <w:szCs w:val="18"/>
          <w:lang w:eastAsia="fr-FR"/>
        </w:rPr>
        <w:t>yen</w:t>
      </w:r>
      <w:r w:rsidRPr="00E75803">
        <w:rPr>
          <w:rFonts w:cs="Tahoma"/>
          <w:szCs w:val="18"/>
          <w:lang w:eastAsia="fr-FR"/>
        </w:rPr>
        <w:t xml:space="preserve"> datos </w:t>
      </w:r>
      <w:r w:rsidR="00C55C74" w:rsidRPr="00E75803">
        <w:rPr>
          <w:rFonts w:cs="Tahoma"/>
          <w:szCs w:val="18"/>
          <w:lang w:eastAsia="fr-FR"/>
        </w:rPr>
        <w:t xml:space="preserve">obtenidos </w:t>
      </w:r>
      <w:r w:rsidRPr="00E75803">
        <w:rPr>
          <w:rFonts w:cs="Tahoma"/>
          <w:szCs w:val="18"/>
          <w:lang w:eastAsia="fr-FR"/>
        </w:rPr>
        <w:t xml:space="preserve">tras </w:t>
      </w:r>
      <w:r w:rsidR="00C55C74" w:rsidRPr="00E75803">
        <w:rPr>
          <w:rFonts w:cs="Tahoma"/>
          <w:szCs w:val="18"/>
          <w:lang w:eastAsia="fr-FR"/>
        </w:rPr>
        <w:t xml:space="preserve">la concesión </w:t>
      </w:r>
      <w:r w:rsidRPr="00E75803">
        <w:rPr>
          <w:rFonts w:cs="Tahoma"/>
          <w:szCs w:val="18"/>
          <w:lang w:eastAsia="fr-FR"/>
        </w:rPr>
        <w:t>de</w:t>
      </w:r>
      <w:r w:rsidR="00C55C74" w:rsidRPr="00E75803">
        <w:rPr>
          <w:rFonts w:cs="Tahoma"/>
          <w:szCs w:val="18"/>
          <w:lang w:eastAsia="fr-FR"/>
        </w:rPr>
        <w:t>l</w:t>
      </w:r>
      <w:r w:rsidRPr="00E75803">
        <w:rPr>
          <w:rFonts w:cs="Tahoma"/>
          <w:szCs w:val="18"/>
          <w:lang w:eastAsia="fr-FR"/>
        </w:rPr>
        <w:t xml:space="preserve"> </w:t>
      </w:r>
      <w:r w:rsidR="00C55C74" w:rsidRPr="00E75803">
        <w:rPr>
          <w:rFonts w:cs="Arial"/>
          <w:color w:val="000000"/>
        </w:rPr>
        <w:t>derecho de obtentor</w:t>
      </w:r>
      <w:r w:rsidRPr="00E75803">
        <w:rPr>
          <w:rFonts w:cs="Tahoma"/>
          <w:szCs w:val="18"/>
          <w:lang w:eastAsia="fr-FR"/>
        </w:rPr>
        <w:t>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="0050358A" w:rsidRPr="00E75803">
        <w:rPr>
          <w:rFonts w:cs="Tahoma"/>
          <w:szCs w:val="18"/>
          <w:lang w:eastAsia="fr-FR"/>
        </w:rPr>
        <w:t>Conservar</w:t>
      </w:r>
      <w:r w:rsidR="00C55C74" w:rsidRPr="00E75803">
        <w:rPr>
          <w:rFonts w:cs="Tahoma"/>
          <w:szCs w:val="18"/>
          <w:lang w:eastAsia="fr-FR"/>
        </w:rPr>
        <w:t xml:space="preserve"> la </w:t>
      </w:r>
      <w:r w:rsidR="0050358A" w:rsidRPr="00E75803">
        <w:rPr>
          <w:rFonts w:cs="Tahoma"/>
          <w:szCs w:val="18"/>
          <w:lang w:eastAsia="fr-FR"/>
        </w:rPr>
        <w:t xml:space="preserve">descripción </w:t>
      </w:r>
      <w:r w:rsidR="00C55C74" w:rsidRPr="00E75803">
        <w:rPr>
          <w:rFonts w:cs="Tahoma"/>
          <w:szCs w:val="18"/>
          <w:lang w:eastAsia="fr-FR"/>
        </w:rPr>
        <w:t xml:space="preserve">oficial de </w:t>
      </w:r>
      <w:r w:rsidR="0050358A" w:rsidRPr="00E75803">
        <w:rPr>
          <w:rFonts w:cs="Tahoma"/>
          <w:szCs w:val="18"/>
          <w:lang w:eastAsia="fr-FR"/>
        </w:rPr>
        <w:t>una variedad</w:t>
      </w:r>
      <w:r w:rsidR="00C55C74" w:rsidRPr="00E75803">
        <w:rPr>
          <w:rFonts w:cs="Tahoma"/>
          <w:szCs w:val="18"/>
          <w:lang w:eastAsia="fr-FR"/>
        </w:rPr>
        <w:t xml:space="preserve"> puede </w:t>
      </w:r>
      <w:r w:rsidR="0050358A" w:rsidRPr="00E75803">
        <w:rPr>
          <w:rFonts w:cs="Tahoma"/>
          <w:szCs w:val="18"/>
          <w:lang w:eastAsia="fr-FR"/>
        </w:rPr>
        <w:t>parec</w:t>
      </w:r>
      <w:r w:rsidR="00C55C74" w:rsidRPr="00E75803">
        <w:rPr>
          <w:rFonts w:cs="Tahoma"/>
          <w:szCs w:val="18"/>
          <w:lang w:eastAsia="fr-FR"/>
        </w:rPr>
        <w:t xml:space="preserve">er </w:t>
      </w:r>
      <w:r w:rsidR="0050358A" w:rsidRPr="00E75803">
        <w:rPr>
          <w:rFonts w:cs="Tahoma"/>
          <w:szCs w:val="18"/>
          <w:lang w:eastAsia="fr-FR"/>
        </w:rPr>
        <w:t>una solución sencilla</w:t>
      </w:r>
      <w:r w:rsidR="00C55C74" w:rsidRPr="00E75803">
        <w:rPr>
          <w:rFonts w:cs="Tahoma"/>
          <w:szCs w:val="18"/>
          <w:lang w:eastAsia="fr-FR"/>
        </w:rPr>
        <w:t>;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="001A3560" w:rsidRPr="00E75803">
        <w:rPr>
          <w:rFonts w:cs="Tahoma"/>
          <w:szCs w:val="18"/>
          <w:lang w:eastAsia="fr-FR"/>
        </w:rPr>
        <w:t>no obstante</w:t>
      </w:r>
      <w:r w:rsidR="00EB38B8" w:rsidRPr="00E75803">
        <w:rPr>
          <w:rFonts w:cs="Tahoma"/>
          <w:szCs w:val="18"/>
          <w:lang w:eastAsia="fr-FR"/>
        </w:rPr>
        <w:t xml:space="preserve">, </w:t>
      </w:r>
      <w:r w:rsidR="00C55C74" w:rsidRPr="00E75803">
        <w:rPr>
          <w:rFonts w:cs="Tahoma"/>
          <w:szCs w:val="18"/>
          <w:lang w:eastAsia="fr-FR"/>
        </w:rPr>
        <w:t xml:space="preserve">la variedad en cuestión </w:t>
      </w:r>
      <w:r w:rsidR="00D75E2D" w:rsidRPr="00E75803">
        <w:rPr>
          <w:rFonts w:cs="Tahoma"/>
          <w:szCs w:val="18"/>
          <w:lang w:eastAsia="fr-FR"/>
        </w:rPr>
        <w:t>fue descrita</w:t>
      </w:r>
      <w:r w:rsidR="00C55C74" w:rsidRPr="00E75803">
        <w:rPr>
          <w:rFonts w:cs="Tahoma"/>
          <w:szCs w:val="18"/>
          <w:lang w:eastAsia="fr-FR"/>
        </w:rPr>
        <w:t xml:space="preserve"> en un año </w:t>
      </w:r>
      <w:r w:rsidR="00227DB1" w:rsidRPr="00E75803">
        <w:rPr>
          <w:rFonts w:cs="Tahoma"/>
          <w:szCs w:val="18"/>
          <w:lang w:eastAsia="fr-FR"/>
        </w:rPr>
        <w:t>concreto</w:t>
      </w:r>
      <w:r w:rsidR="00D75E2D" w:rsidRPr="00E75803">
        <w:rPr>
          <w:rFonts w:cs="Tahoma"/>
          <w:szCs w:val="18"/>
          <w:lang w:eastAsia="fr-FR"/>
        </w:rPr>
        <w:t xml:space="preserve"> </w:t>
      </w:r>
      <w:r w:rsidR="00063379" w:rsidRPr="00E75803">
        <w:rPr>
          <w:rFonts w:cs="Tahoma"/>
          <w:szCs w:val="18"/>
          <w:lang w:eastAsia="fr-FR"/>
        </w:rPr>
        <w:t xml:space="preserve">y </w:t>
      </w:r>
      <w:r w:rsidR="00C55C74" w:rsidRPr="00E75803">
        <w:rPr>
          <w:rFonts w:cs="Tahoma"/>
          <w:szCs w:val="18"/>
          <w:lang w:eastAsia="fr-FR"/>
        </w:rPr>
        <w:t>en unas condiciones ambientales</w:t>
      </w:r>
      <w:r w:rsidR="00063379" w:rsidRPr="00E75803">
        <w:rPr>
          <w:rFonts w:cs="Tahoma"/>
          <w:szCs w:val="18"/>
          <w:lang w:eastAsia="fr-FR"/>
        </w:rPr>
        <w:t xml:space="preserve"> </w:t>
      </w:r>
      <w:r w:rsidR="00A04EFD" w:rsidRPr="00E75803">
        <w:rPr>
          <w:rFonts w:cs="Tahoma"/>
          <w:szCs w:val="18"/>
          <w:lang w:eastAsia="fr-FR"/>
        </w:rPr>
        <w:t>específicas</w:t>
      </w:r>
      <w:r w:rsidR="00EB38B8" w:rsidRPr="00E75803">
        <w:rPr>
          <w:rFonts w:cs="Tahoma"/>
          <w:szCs w:val="18"/>
          <w:lang w:eastAsia="fr-FR"/>
        </w:rPr>
        <w:t xml:space="preserve">, </w:t>
      </w:r>
      <w:r w:rsidR="00C55C74" w:rsidRPr="00E75803">
        <w:rPr>
          <w:rFonts w:cs="Tahoma"/>
          <w:szCs w:val="18"/>
          <w:lang w:eastAsia="fr-FR"/>
        </w:rPr>
        <w:t xml:space="preserve">por lo que </w:t>
      </w:r>
      <w:r w:rsidR="0078732D" w:rsidRPr="00E75803">
        <w:rPr>
          <w:rFonts w:cs="Tahoma"/>
          <w:szCs w:val="18"/>
          <w:lang w:eastAsia="fr-FR"/>
        </w:rPr>
        <w:t xml:space="preserve">es posible que </w:t>
      </w:r>
      <w:r w:rsidR="001935DB" w:rsidRPr="00E75803">
        <w:rPr>
          <w:rFonts w:cs="Tahoma"/>
          <w:szCs w:val="18"/>
          <w:lang w:eastAsia="fr-FR"/>
        </w:rPr>
        <w:t>es</w:t>
      </w:r>
      <w:r w:rsidR="00C55C74" w:rsidRPr="00E75803">
        <w:rPr>
          <w:rFonts w:cs="Tahoma"/>
          <w:szCs w:val="18"/>
          <w:lang w:eastAsia="fr-FR"/>
        </w:rPr>
        <w:t>a descripción no se</w:t>
      </w:r>
      <w:r w:rsidR="0078732D" w:rsidRPr="00E75803">
        <w:rPr>
          <w:rFonts w:cs="Tahoma"/>
          <w:szCs w:val="18"/>
          <w:lang w:eastAsia="fr-FR"/>
        </w:rPr>
        <w:t>a</w:t>
      </w:r>
      <w:r w:rsidR="00C55C74" w:rsidRPr="00E75803">
        <w:rPr>
          <w:rFonts w:cs="Tahoma"/>
          <w:szCs w:val="18"/>
          <w:lang w:eastAsia="fr-FR"/>
        </w:rPr>
        <w:t xml:space="preserve"> </w:t>
      </w:r>
      <w:r w:rsidR="001935DB" w:rsidRPr="00E75803">
        <w:rPr>
          <w:rFonts w:cs="Tahoma"/>
          <w:szCs w:val="18"/>
          <w:lang w:eastAsia="fr-FR"/>
        </w:rPr>
        <w:t xml:space="preserve">verdaderamente </w:t>
      </w:r>
      <w:r w:rsidR="00C55C74" w:rsidRPr="00E75803">
        <w:rPr>
          <w:rFonts w:cs="Tahoma"/>
          <w:szCs w:val="18"/>
          <w:lang w:eastAsia="fr-FR"/>
        </w:rPr>
        <w:t>representativa para otros lugares.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="00063379" w:rsidRPr="00E75803">
        <w:rPr>
          <w:rFonts w:cs="Tahoma"/>
          <w:szCs w:val="18"/>
          <w:lang w:eastAsia="fr-FR"/>
        </w:rPr>
        <w:t>La mayor parte de los examinadores de otras</w:t>
      </w:r>
      <w:r w:rsidR="00C55C74" w:rsidRPr="00E75803">
        <w:rPr>
          <w:rFonts w:cs="Tahoma"/>
          <w:szCs w:val="18"/>
          <w:lang w:eastAsia="fr-FR"/>
        </w:rPr>
        <w:t xml:space="preserve"> </w:t>
      </w:r>
      <w:r w:rsidR="00063379" w:rsidRPr="00E75803">
        <w:rPr>
          <w:rFonts w:cs="Tahoma"/>
          <w:szCs w:val="18"/>
          <w:lang w:eastAsia="fr-FR"/>
        </w:rPr>
        <w:t xml:space="preserve">administraciones de derechos de obtentor </w:t>
      </w:r>
      <w:r w:rsidR="00C55C74" w:rsidRPr="00E75803">
        <w:rPr>
          <w:rFonts w:cs="Tahoma"/>
          <w:szCs w:val="18"/>
          <w:lang w:eastAsia="fr-FR"/>
        </w:rPr>
        <w:t xml:space="preserve">no </w:t>
      </w:r>
      <w:r w:rsidR="00063379" w:rsidRPr="00E75803">
        <w:rPr>
          <w:rFonts w:cs="Tahoma"/>
          <w:szCs w:val="18"/>
          <w:lang w:eastAsia="fr-FR"/>
        </w:rPr>
        <w:t>conocen las</w:t>
      </w:r>
      <w:r w:rsidR="00C55C74" w:rsidRPr="00E75803">
        <w:rPr>
          <w:rFonts w:cs="Tahoma"/>
          <w:szCs w:val="18"/>
          <w:lang w:eastAsia="fr-FR"/>
        </w:rPr>
        <w:t xml:space="preserve"> condi</w:t>
      </w:r>
      <w:r w:rsidR="00063379" w:rsidRPr="00E75803">
        <w:rPr>
          <w:rFonts w:cs="Tahoma"/>
          <w:szCs w:val="18"/>
          <w:lang w:eastAsia="fr-FR"/>
        </w:rPr>
        <w:t>c</w:t>
      </w:r>
      <w:r w:rsidR="00C55C74" w:rsidRPr="00E75803">
        <w:rPr>
          <w:rFonts w:cs="Tahoma"/>
          <w:szCs w:val="18"/>
          <w:lang w:eastAsia="fr-FR"/>
        </w:rPr>
        <w:t>ion</w:t>
      </w:r>
      <w:r w:rsidR="00063379" w:rsidRPr="00E75803">
        <w:rPr>
          <w:rFonts w:cs="Tahoma"/>
          <w:szCs w:val="18"/>
          <w:lang w:eastAsia="fr-FR"/>
        </w:rPr>
        <w:t>e</w:t>
      </w:r>
      <w:r w:rsidR="00C55C74" w:rsidRPr="00E75803">
        <w:rPr>
          <w:rFonts w:cs="Tahoma"/>
          <w:szCs w:val="18"/>
          <w:lang w:eastAsia="fr-FR"/>
        </w:rPr>
        <w:t xml:space="preserve">s </w:t>
      </w:r>
      <w:r w:rsidR="009064BF" w:rsidRPr="00E75803">
        <w:rPr>
          <w:rFonts w:cs="Tahoma"/>
          <w:szCs w:val="18"/>
          <w:lang w:eastAsia="fr-FR"/>
        </w:rPr>
        <w:t xml:space="preserve">ambientales </w:t>
      </w:r>
      <w:r w:rsidR="0050358A" w:rsidRPr="00E75803">
        <w:rPr>
          <w:rFonts w:cs="Tahoma"/>
          <w:szCs w:val="18"/>
          <w:lang w:eastAsia="fr-FR"/>
        </w:rPr>
        <w:t>en</w:t>
      </w:r>
      <w:r w:rsidR="00063379" w:rsidRPr="00E75803">
        <w:rPr>
          <w:rFonts w:cs="Tahoma"/>
          <w:szCs w:val="18"/>
          <w:lang w:eastAsia="fr-FR"/>
        </w:rPr>
        <w:t xml:space="preserve"> que </w:t>
      </w:r>
      <w:r w:rsidR="0050358A" w:rsidRPr="00E75803">
        <w:rPr>
          <w:rFonts w:cs="Tahoma"/>
          <w:szCs w:val="18"/>
          <w:lang w:eastAsia="fr-FR"/>
        </w:rPr>
        <w:t>se elaboró</w:t>
      </w:r>
      <w:r w:rsidR="00063379" w:rsidRPr="00E75803">
        <w:rPr>
          <w:rFonts w:cs="Tahoma"/>
          <w:szCs w:val="18"/>
          <w:lang w:eastAsia="fr-FR"/>
        </w:rPr>
        <w:t xml:space="preserve"> la</w:t>
      </w:r>
      <w:r w:rsidR="00C55C74" w:rsidRPr="00E75803">
        <w:rPr>
          <w:rFonts w:cs="Tahoma"/>
          <w:szCs w:val="18"/>
          <w:lang w:eastAsia="fr-FR"/>
        </w:rPr>
        <w:t xml:space="preserve"> descripción de </w:t>
      </w:r>
      <w:r w:rsidR="00063379" w:rsidRPr="00E75803">
        <w:rPr>
          <w:rFonts w:cs="Tahoma"/>
          <w:szCs w:val="18"/>
          <w:lang w:eastAsia="fr-FR"/>
        </w:rPr>
        <w:t xml:space="preserve">una </w:t>
      </w:r>
      <w:r w:rsidR="0050358A" w:rsidRPr="00E75803">
        <w:rPr>
          <w:rFonts w:cs="Tahoma"/>
          <w:szCs w:val="18"/>
          <w:lang w:eastAsia="fr-FR"/>
        </w:rPr>
        <w:t>variedad determinada</w:t>
      </w:r>
      <w:r w:rsidR="00EB38B8" w:rsidRPr="00E75803">
        <w:rPr>
          <w:rFonts w:cs="Tahoma"/>
          <w:szCs w:val="18"/>
          <w:lang w:eastAsia="fr-FR"/>
        </w:rPr>
        <w:t xml:space="preserve">, </w:t>
      </w:r>
      <w:r w:rsidR="00063379" w:rsidRPr="00E75803">
        <w:rPr>
          <w:rFonts w:cs="Tahoma"/>
          <w:szCs w:val="18"/>
          <w:lang w:eastAsia="fr-FR"/>
        </w:rPr>
        <w:t>lo que</w:t>
      </w:r>
      <w:r w:rsidR="00C55C74" w:rsidRPr="00E75803">
        <w:rPr>
          <w:rFonts w:cs="Tahoma"/>
          <w:szCs w:val="18"/>
          <w:lang w:eastAsia="fr-FR"/>
        </w:rPr>
        <w:t xml:space="preserve"> </w:t>
      </w:r>
      <w:r w:rsidR="00063379" w:rsidRPr="00E75803">
        <w:rPr>
          <w:rFonts w:cs="Tahoma"/>
          <w:szCs w:val="18"/>
          <w:lang w:eastAsia="fr-FR"/>
        </w:rPr>
        <w:t>puede induci</w:t>
      </w:r>
      <w:r w:rsidR="001935DB" w:rsidRPr="00E75803">
        <w:rPr>
          <w:rFonts w:cs="Tahoma"/>
          <w:szCs w:val="18"/>
          <w:lang w:eastAsia="fr-FR"/>
        </w:rPr>
        <w:t>rl</w:t>
      </w:r>
      <w:r w:rsidR="00063379" w:rsidRPr="00E75803">
        <w:rPr>
          <w:rFonts w:cs="Tahoma"/>
          <w:szCs w:val="18"/>
          <w:lang w:eastAsia="fr-FR"/>
        </w:rPr>
        <w:t>os a error</w:t>
      </w:r>
      <w:r w:rsidR="00C55C74" w:rsidRPr="00E75803">
        <w:rPr>
          <w:rFonts w:cs="Tahoma"/>
          <w:szCs w:val="18"/>
          <w:lang w:eastAsia="fr-FR"/>
        </w:rPr>
        <w:t>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  <w:r w:rsidR="001A3560" w:rsidRPr="00E75803">
        <w:rPr>
          <w:rFonts w:cs="Tahoma"/>
          <w:szCs w:val="18"/>
          <w:lang w:eastAsia="fr-FR"/>
        </w:rPr>
        <w:t>Sin embargo</w:t>
      </w:r>
      <w:r w:rsidR="00EB38B8" w:rsidRPr="00E75803">
        <w:rPr>
          <w:rFonts w:cs="Tahoma"/>
          <w:szCs w:val="18"/>
          <w:lang w:eastAsia="fr-FR"/>
        </w:rPr>
        <w:t xml:space="preserve">, </w:t>
      </w:r>
      <w:r w:rsidR="00EF030F" w:rsidRPr="00E75803">
        <w:rPr>
          <w:rFonts w:cs="Tahoma"/>
          <w:szCs w:val="18"/>
          <w:lang w:eastAsia="fr-FR"/>
        </w:rPr>
        <w:t>si en la</w:t>
      </w:r>
      <w:r w:rsidR="00063379" w:rsidRPr="00E75803">
        <w:rPr>
          <w:rFonts w:cs="Tahoma"/>
          <w:szCs w:val="18"/>
          <w:lang w:eastAsia="fr-FR"/>
        </w:rPr>
        <w:t xml:space="preserve"> base de datos </w:t>
      </w:r>
      <w:r w:rsidR="00EF030F" w:rsidRPr="00E75803">
        <w:rPr>
          <w:rFonts w:cs="Tahoma"/>
          <w:szCs w:val="18"/>
          <w:lang w:eastAsia="fr-FR"/>
        </w:rPr>
        <w:t xml:space="preserve">se introducen periódicamente </w:t>
      </w:r>
      <w:r w:rsidR="00063379" w:rsidRPr="00E75803">
        <w:rPr>
          <w:rFonts w:cs="Tahoma"/>
          <w:szCs w:val="18"/>
          <w:lang w:eastAsia="fr-FR"/>
        </w:rPr>
        <w:t xml:space="preserve">datos </w:t>
      </w:r>
      <w:r w:rsidR="00EF030F" w:rsidRPr="00E75803">
        <w:rPr>
          <w:rFonts w:cs="Tahoma"/>
          <w:szCs w:val="18"/>
          <w:lang w:eastAsia="fr-FR"/>
        </w:rPr>
        <w:t>de un</w:t>
      </w:r>
      <w:r w:rsidR="00063379" w:rsidRPr="00E75803">
        <w:rPr>
          <w:rFonts w:cs="Tahoma"/>
          <w:szCs w:val="18"/>
          <w:lang w:eastAsia="fr-FR"/>
        </w:rPr>
        <w:t xml:space="preserve">a </w:t>
      </w:r>
      <w:r w:rsidR="0050358A" w:rsidRPr="00E75803">
        <w:rPr>
          <w:rFonts w:cs="Tahoma"/>
          <w:szCs w:val="18"/>
          <w:lang w:eastAsia="fr-FR"/>
        </w:rPr>
        <w:t>variedad</w:t>
      </w:r>
      <w:r w:rsidR="00EB38B8" w:rsidRPr="00E75803">
        <w:rPr>
          <w:rFonts w:cs="Tahoma"/>
          <w:szCs w:val="18"/>
          <w:lang w:eastAsia="fr-FR"/>
        </w:rPr>
        <w:t xml:space="preserve">, </w:t>
      </w:r>
      <w:r w:rsidR="00EF030F" w:rsidRPr="00E75803">
        <w:rPr>
          <w:rFonts w:cs="Tahoma"/>
          <w:szCs w:val="18"/>
          <w:lang w:eastAsia="fr-FR"/>
        </w:rPr>
        <w:t xml:space="preserve">los datos descriptivos recopilados a lo largo de </w:t>
      </w:r>
      <w:r w:rsidR="00063379" w:rsidRPr="00E75803">
        <w:rPr>
          <w:rFonts w:cs="Tahoma"/>
          <w:szCs w:val="18"/>
          <w:lang w:eastAsia="fr-FR"/>
        </w:rPr>
        <w:t xml:space="preserve">varios años </w:t>
      </w:r>
      <w:r w:rsidR="00EF030F" w:rsidRPr="00E75803">
        <w:rPr>
          <w:rFonts w:cs="Tahoma"/>
          <w:szCs w:val="18"/>
          <w:lang w:eastAsia="fr-FR"/>
        </w:rPr>
        <w:t>aporta</w:t>
      </w:r>
      <w:r w:rsidR="00396E77" w:rsidRPr="00E75803">
        <w:rPr>
          <w:rFonts w:cs="Tahoma"/>
          <w:szCs w:val="18"/>
          <w:lang w:eastAsia="fr-FR"/>
        </w:rPr>
        <w:t>rá</w:t>
      </w:r>
      <w:r w:rsidR="00EF030F" w:rsidRPr="00E75803">
        <w:rPr>
          <w:rFonts w:cs="Tahoma"/>
          <w:szCs w:val="18"/>
          <w:lang w:eastAsia="fr-FR"/>
        </w:rPr>
        <w:t xml:space="preserve">n una </w:t>
      </w:r>
      <w:r w:rsidR="00063379" w:rsidRPr="00E75803">
        <w:rPr>
          <w:rFonts w:cs="Tahoma"/>
          <w:szCs w:val="18"/>
          <w:lang w:eastAsia="fr-FR"/>
        </w:rPr>
        <w:t>val</w:t>
      </w:r>
      <w:r w:rsidR="00EF030F" w:rsidRPr="00E75803">
        <w:rPr>
          <w:rFonts w:cs="Tahoma"/>
          <w:szCs w:val="18"/>
          <w:lang w:eastAsia="fr-FR"/>
        </w:rPr>
        <w:t>iosa</w:t>
      </w:r>
      <w:r w:rsidR="00063379" w:rsidRPr="00E75803">
        <w:rPr>
          <w:rFonts w:cs="Tahoma"/>
          <w:szCs w:val="18"/>
          <w:lang w:eastAsia="fr-FR"/>
        </w:rPr>
        <w:t xml:space="preserve"> información </w:t>
      </w:r>
      <w:r w:rsidR="00EF030F" w:rsidRPr="00E75803">
        <w:rPr>
          <w:rFonts w:cs="Tahoma"/>
          <w:szCs w:val="18"/>
          <w:lang w:eastAsia="fr-FR"/>
        </w:rPr>
        <w:t xml:space="preserve">sobre la gama de variaciones que </w:t>
      </w:r>
      <w:r w:rsidR="001A3560" w:rsidRPr="00E75803">
        <w:rPr>
          <w:rFonts w:cs="Tahoma"/>
          <w:szCs w:val="18"/>
          <w:lang w:eastAsia="fr-FR"/>
        </w:rPr>
        <w:t xml:space="preserve">puede presentar </w:t>
      </w:r>
      <w:r w:rsidR="00BC6CCE" w:rsidRPr="00E75803">
        <w:rPr>
          <w:rFonts w:cs="Tahoma"/>
          <w:szCs w:val="18"/>
          <w:lang w:eastAsia="fr-FR"/>
        </w:rPr>
        <w:t>esa variedad</w:t>
      </w:r>
      <w:r w:rsidR="00063379" w:rsidRPr="00E75803">
        <w:rPr>
          <w:rFonts w:cs="Tahoma"/>
          <w:szCs w:val="18"/>
          <w:lang w:eastAsia="fr-FR"/>
        </w:rPr>
        <w:t>.</w:t>
      </w:r>
    </w:p>
    <w:p w14:paraId="52CBC5F9" w14:textId="77777777" w:rsidR="00DD33F8" w:rsidRPr="003A2D30" w:rsidRDefault="00DD33F8" w:rsidP="00DD33F8">
      <w:pPr>
        <w:rPr>
          <w:rFonts w:cs="Tahoma"/>
          <w:szCs w:val="18"/>
          <w:lang w:val="es-ES" w:eastAsia="fr-FR"/>
        </w:rPr>
      </w:pPr>
    </w:p>
    <w:p w14:paraId="6E76CEDE" w14:textId="77777777" w:rsidR="00DD33F8" w:rsidRPr="003A2D30" w:rsidRDefault="005267DB" w:rsidP="00DD33F8">
      <w:pPr>
        <w:rPr>
          <w:rFonts w:cs="Tahoma"/>
          <w:szCs w:val="18"/>
          <w:lang w:val="es-ES" w:eastAsia="fr-FR"/>
        </w:rPr>
      </w:pPr>
      <w:r w:rsidRPr="00BA5844">
        <w:rPr>
          <w:rFonts w:cs="Tahoma"/>
          <w:szCs w:val="18"/>
          <w:lang w:eastAsia="fr-FR"/>
        </w:rPr>
        <w:t>Por consiguiente</w:t>
      </w:r>
      <w:r w:rsidR="00EB38B8" w:rsidRPr="00BA5844">
        <w:rPr>
          <w:rFonts w:cs="Tahoma"/>
          <w:szCs w:val="18"/>
          <w:lang w:eastAsia="fr-FR"/>
        </w:rPr>
        <w:t xml:space="preserve">, </w:t>
      </w:r>
      <w:r w:rsidRPr="00BA5844">
        <w:rPr>
          <w:rFonts w:cs="Tahoma"/>
          <w:szCs w:val="18"/>
          <w:lang w:eastAsia="fr-FR"/>
        </w:rPr>
        <w:t xml:space="preserve">se </w:t>
      </w:r>
      <w:r w:rsidR="00897205" w:rsidRPr="00BA5844">
        <w:rPr>
          <w:rFonts w:cs="Tahoma"/>
          <w:szCs w:val="18"/>
          <w:lang w:eastAsia="fr-FR"/>
        </w:rPr>
        <w:t>conclu</w:t>
      </w:r>
      <w:r w:rsidRPr="00BA5844">
        <w:rPr>
          <w:rFonts w:cs="Tahoma"/>
          <w:szCs w:val="18"/>
          <w:lang w:eastAsia="fr-FR"/>
        </w:rPr>
        <w:t>yó que una</w:t>
      </w:r>
      <w:r w:rsidR="00897205" w:rsidRPr="00BA5844">
        <w:rPr>
          <w:rFonts w:cs="Tahoma"/>
          <w:szCs w:val="18"/>
          <w:lang w:eastAsia="fr-FR"/>
        </w:rPr>
        <w:t xml:space="preserve"> base de datos </w:t>
      </w:r>
      <w:r w:rsidRPr="00BA5844">
        <w:rPr>
          <w:rFonts w:cs="Tahoma"/>
          <w:szCs w:val="18"/>
          <w:lang w:eastAsia="fr-FR"/>
        </w:rPr>
        <w:t xml:space="preserve">compartida </w:t>
      </w:r>
      <w:r w:rsidR="00396E77" w:rsidRPr="00BA5844">
        <w:rPr>
          <w:rFonts w:cs="Tahoma"/>
          <w:szCs w:val="18"/>
          <w:lang w:eastAsia="fr-FR"/>
        </w:rPr>
        <w:t xml:space="preserve">solo </w:t>
      </w:r>
      <w:r w:rsidRPr="00BA5844">
        <w:rPr>
          <w:rFonts w:cs="Tahoma"/>
          <w:szCs w:val="18"/>
          <w:lang w:eastAsia="fr-FR"/>
        </w:rPr>
        <w:t>p</w:t>
      </w:r>
      <w:r w:rsidR="00396E77" w:rsidRPr="00BA5844">
        <w:rPr>
          <w:rFonts w:cs="Tahoma"/>
          <w:szCs w:val="18"/>
          <w:lang w:eastAsia="fr-FR"/>
        </w:rPr>
        <w:t>odrá</w:t>
      </w:r>
      <w:r w:rsidRPr="00BA5844">
        <w:rPr>
          <w:rFonts w:cs="Tahoma"/>
          <w:szCs w:val="18"/>
          <w:lang w:eastAsia="fr-FR"/>
        </w:rPr>
        <w:t xml:space="preserve"> cumplir su </w:t>
      </w:r>
      <w:r w:rsidR="007D1847" w:rsidRPr="00BA5844">
        <w:rPr>
          <w:rFonts w:cs="Tahoma"/>
          <w:szCs w:val="18"/>
          <w:lang w:eastAsia="fr-FR"/>
        </w:rPr>
        <w:t>finalidad</w:t>
      </w:r>
      <w:r w:rsidRPr="00BA5844">
        <w:rPr>
          <w:rFonts w:cs="Tahoma"/>
          <w:szCs w:val="18"/>
          <w:lang w:eastAsia="fr-FR"/>
        </w:rPr>
        <w:t xml:space="preserve"> (</w:t>
      </w:r>
      <w:r w:rsidR="00E75803" w:rsidRPr="00BA5844">
        <w:rPr>
          <w:rFonts w:cs="Tahoma"/>
          <w:szCs w:val="18"/>
          <w:lang w:eastAsia="fr-FR"/>
        </w:rPr>
        <w:t>facilitar</w:t>
      </w:r>
      <w:r w:rsidRPr="00BA5844">
        <w:rPr>
          <w:rFonts w:cs="Tahoma"/>
          <w:szCs w:val="18"/>
          <w:lang w:eastAsia="fr-FR"/>
        </w:rPr>
        <w:t xml:space="preserve"> la</w:t>
      </w:r>
      <w:r w:rsidR="00897205" w:rsidRPr="00BA5844">
        <w:rPr>
          <w:rFonts w:cs="Tahoma"/>
          <w:szCs w:val="18"/>
          <w:lang w:eastAsia="fr-FR"/>
        </w:rPr>
        <w:t xml:space="preserve"> </w:t>
      </w:r>
      <w:r w:rsidRPr="00BA5844">
        <w:rPr>
          <w:rFonts w:cs="Tahoma"/>
          <w:szCs w:val="18"/>
          <w:lang w:eastAsia="fr-FR"/>
        </w:rPr>
        <w:t xml:space="preserve">selección </w:t>
      </w:r>
      <w:r w:rsidR="00897205" w:rsidRPr="00BA5844">
        <w:rPr>
          <w:rFonts w:cs="Tahoma"/>
          <w:szCs w:val="18"/>
          <w:lang w:eastAsia="fr-FR"/>
        </w:rPr>
        <w:t xml:space="preserve">eficiente de </w:t>
      </w:r>
      <w:r w:rsidRPr="00BA5844">
        <w:rPr>
          <w:rFonts w:cs="Tahoma"/>
          <w:szCs w:val="18"/>
          <w:lang w:eastAsia="fr-FR"/>
        </w:rPr>
        <w:t xml:space="preserve">variedades de referencia </w:t>
      </w:r>
      <w:r w:rsidR="00897205" w:rsidRPr="00BA5844">
        <w:rPr>
          <w:rFonts w:cs="Tahoma"/>
          <w:szCs w:val="18"/>
          <w:lang w:eastAsia="fr-FR"/>
        </w:rPr>
        <w:t>pertinente</w:t>
      </w:r>
      <w:r w:rsidRPr="00BA5844">
        <w:rPr>
          <w:rFonts w:cs="Tahoma"/>
          <w:szCs w:val="18"/>
          <w:lang w:eastAsia="fr-FR"/>
        </w:rPr>
        <w:t xml:space="preserve">s) </w:t>
      </w:r>
      <w:r w:rsidR="00396E77" w:rsidRPr="00BA5844">
        <w:rPr>
          <w:rFonts w:cs="Tahoma"/>
          <w:szCs w:val="18"/>
          <w:lang w:eastAsia="fr-FR"/>
        </w:rPr>
        <w:t>si</w:t>
      </w:r>
      <w:r w:rsidRPr="00BA5844">
        <w:rPr>
          <w:rFonts w:cs="Tahoma"/>
          <w:szCs w:val="18"/>
          <w:lang w:eastAsia="fr-FR"/>
        </w:rPr>
        <w:t xml:space="preserve"> el </w:t>
      </w:r>
      <w:r w:rsidR="00897205" w:rsidRPr="00BA5844">
        <w:rPr>
          <w:rFonts w:cs="Tahoma"/>
          <w:szCs w:val="18"/>
          <w:lang w:eastAsia="fr-FR"/>
        </w:rPr>
        <w:t>conten</w:t>
      </w:r>
      <w:r w:rsidRPr="00BA5844">
        <w:rPr>
          <w:rFonts w:cs="Tahoma"/>
          <w:szCs w:val="18"/>
          <w:lang w:eastAsia="fr-FR"/>
        </w:rPr>
        <w:t>ido</w:t>
      </w:r>
      <w:r w:rsidR="00897205" w:rsidRPr="00BA5844">
        <w:rPr>
          <w:rFonts w:cs="Tahoma"/>
          <w:szCs w:val="18"/>
          <w:lang w:eastAsia="fr-FR"/>
        </w:rPr>
        <w:t xml:space="preserve"> </w:t>
      </w:r>
      <w:r w:rsidR="00396E77" w:rsidRPr="00BA5844">
        <w:rPr>
          <w:rFonts w:cs="Tahoma"/>
          <w:szCs w:val="18"/>
          <w:lang w:eastAsia="fr-FR"/>
        </w:rPr>
        <w:t xml:space="preserve">que se </w:t>
      </w:r>
      <w:r w:rsidR="00E75803" w:rsidRPr="00BA5844">
        <w:rPr>
          <w:rFonts w:cs="Tahoma"/>
          <w:szCs w:val="18"/>
          <w:lang w:eastAsia="fr-FR"/>
        </w:rPr>
        <w:t xml:space="preserve">suministra </w:t>
      </w:r>
      <w:r w:rsidR="00897205" w:rsidRPr="00BA5844">
        <w:rPr>
          <w:rFonts w:cs="Tahoma"/>
          <w:szCs w:val="18"/>
          <w:lang w:eastAsia="fr-FR"/>
        </w:rPr>
        <w:t xml:space="preserve">(los datos) </w:t>
      </w:r>
      <w:r w:rsidR="00396E77" w:rsidRPr="00BA5844">
        <w:rPr>
          <w:rFonts w:cs="Tahoma"/>
          <w:szCs w:val="18"/>
          <w:lang w:eastAsia="fr-FR"/>
        </w:rPr>
        <w:t>ha sido</w:t>
      </w:r>
      <w:r w:rsidR="00897205" w:rsidRPr="00BA5844">
        <w:rPr>
          <w:rFonts w:cs="Tahoma"/>
          <w:szCs w:val="18"/>
          <w:lang w:eastAsia="fr-FR"/>
        </w:rPr>
        <w:t xml:space="preserve"> </w:t>
      </w:r>
      <w:r w:rsidR="00FB5BE1" w:rsidRPr="00BA5844">
        <w:rPr>
          <w:rFonts w:cs="Tahoma"/>
          <w:szCs w:val="18"/>
          <w:lang w:eastAsia="fr-FR"/>
        </w:rPr>
        <w:t xml:space="preserve">definido </w:t>
      </w:r>
      <w:r w:rsidR="00897205" w:rsidRPr="00BA5844">
        <w:rPr>
          <w:rFonts w:cs="Tahoma"/>
          <w:szCs w:val="18"/>
          <w:lang w:eastAsia="fr-FR"/>
        </w:rPr>
        <w:t xml:space="preserve">con claridad y </w:t>
      </w:r>
      <w:r w:rsidR="00FB5BE1" w:rsidRPr="00BA5844">
        <w:rPr>
          <w:rFonts w:cs="Tahoma"/>
          <w:szCs w:val="18"/>
          <w:lang w:eastAsia="fr-FR"/>
        </w:rPr>
        <w:t xml:space="preserve">acordado </w:t>
      </w:r>
      <w:r w:rsidR="00B85FDB" w:rsidRPr="00BA5844">
        <w:rPr>
          <w:rFonts w:cs="Tahoma"/>
          <w:szCs w:val="18"/>
          <w:lang w:eastAsia="fr-FR"/>
        </w:rPr>
        <w:t>entre los</w:t>
      </w:r>
      <w:r w:rsidR="00897205" w:rsidRPr="00BA5844">
        <w:rPr>
          <w:rFonts w:cs="Tahoma"/>
          <w:szCs w:val="18"/>
          <w:lang w:eastAsia="fr-FR"/>
        </w:rPr>
        <w:t xml:space="preserve"> usuarios </w:t>
      </w:r>
      <w:r w:rsidR="00396E77" w:rsidRPr="00BA5844">
        <w:rPr>
          <w:rFonts w:cs="Tahoma"/>
          <w:szCs w:val="18"/>
          <w:lang w:eastAsia="fr-FR"/>
        </w:rPr>
        <w:t xml:space="preserve">de la base de datos </w:t>
      </w:r>
      <w:r w:rsidR="00897205" w:rsidRPr="00BA5844">
        <w:rPr>
          <w:rFonts w:cs="Tahoma"/>
          <w:szCs w:val="18"/>
          <w:lang w:eastAsia="fr-FR"/>
        </w:rPr>
        <w:t>y</w:t>
      </w:r>
      <w:r w:rsidR="00396E77" w:rsidRPr="00BA5844">
        <w:rPr>
          <w:rFonts w:cs="Tahoma"/>
          <w:szCs w:val="18"/>
          <w:lang w:eastAsia="fr-FR"/>
        </w:rPr>
        <w:t xml:space="preserve"> si</w:t>
      </w:r>
      <w:r w:rsidR="00EB38B8" w:rsidRPr="00BA5844">
        <w:rPr>
          <w:rFonts w:cs="Tahoma"/>
          <w:szCs w:val="18"/>
          <w:lang w:eastAsia="fr-FR"/>
        </w:rPr>
        <w:t xml:space="preserve">, </w:t>
      </w:r>
      <w:r w:rsidR="00B85FDB" w:rsidRPr="00BA5844">
        <w:rPr>
          <w:rFonts w:cs="Tahoma"/>
          <w:szCs w:val="18"/>
          <w:lang w:eastAsia="fr-FR"/>
        </w:rPr>
        <w:t>además</w:t>
      </w:r>
      <w:r w:rsidR="00EB38B8" w:rsidRPr="00BA5844">
        <w:rPr>
          <w:rFonts w:cs="Tahoma"/>
          <w:szCs w:val="18"/>
          <w:lang w:eastAsia="fr-FR"/>
        </w:rPr>
        <w:t xml:space="preserve">, </w:t>
      </w:r>
      <w:r w:rsidR="00897205" w:rsidRPr="00BA5844">
        <w:rPr>
          <w:rFonts w:cs="Tahoma"/>
          <w:szCs w:val="18"/>
          <w:lang w:eastAsia="fr-FR"/>
        </w:rPr>
        <w:t xml:space="preserve">todos </w:t>
      </w:r>
      <w:r w:rsidR="00BA5844" w:rsidRPr="00BA5844">
        <w:rPr>
          <w:rFonts w:cs="Tahoma"/>
          <w:szCs w:val="18"/>
          <w:lang w:eastAsia="fr-FR"/>
        </w:rPr>
        <w:t>ellos</w:t>
      </w:r>
      <w:r w:rsidR="006D5671" w:rsidRPr="00BA5844">
        <w:rPr>
          <w:rFonts w:cs="Tahoma"/>
          <w:szCs w:val="18"/>
          <w:lang w:eastAsia="fr-FR"/>
        </w:rPr>
        <w:t xml:space="preserve"> </w:t>
      </w:r>
      <w:r w:rsidR="00B85FDB" w:rsidRPr="00BA5844">
        <w:rPr>
          <w:rFonts w:cs="Tahoma"/>
          <w:szCs w:val="18"/>
          <w:lang w:eastAsia="fr-FR"/>
        </w:rPr>
        <w:t>s</w:t>
      </w:r>
      <w:r w:rsidR="00396E77" w:rsidRPr="00BA5844">
        <w:rPr>
          <w:rFonts w:cs="Tahoma"/>
          <w:szCs w:val="18"/>
          <w:lang w:eastAsia="fr-FR"/>
        </w:rPr>
        <w:t>o</w:t>
      </w:r>
      <w:r w:rsidR="00B85FDB" w:rsidRPr="00BA5844">
        <w:rPr>
          <w:rFonts w:cs="Tahoma"/>
          <w:szCs w:val="18"/>
          <w:lang w:eastAsia="fr-FR"/>
        </w:rPr>
        <w:t xml:space="preserve">n conscientes </w:t>
      </w:r>
      <w:r w:rsidR="00897205" w:rsidRPr="00BA5844">
        <w:rPr>
          <w:rFonts w:cs="Tahoma"/>
          <w:szCs w:val="18"/>
          <w:lang w:eastAsia="fr-FR"/>
        </w:rPr>
        <w:t xml:space="preserve">de </w:t>
      </w:r>
      <w:r w:rsidR="00B85FDB" w:rsidRPr="00BA5844">
        <w:rPr>
          <w:rFonts w:cs="Tahoma"/>
          <w:szCs w:val="18"/>
          <w:lang w:eastAsia="fr-FR"/>
        </w:rPr>
        <w:t xml:space="preserve">las </w:t>
      </w:r>
      <w:r w:rsidR="00897205" w:rsidRPr="00BA5844">
        <w:rPr>
          <w:rFonts w:cs="Tahoma"/>
          <w:szCs w:val="18"/>
          <w:lang w:eastAsia="fr-FR"/>
        </w:rPr>
        <w:t>precau</w:t>
      </w:r>
      <w:r w:rsidR="00B85FDB" w:rsidRPr="00BA5844">
        <w:rPr>
          <w:rFonts w:cs="Tahoma"/>
          <w:szCs w:val="18"/>
          <w:lang w:eastAsia="fr-FR"/>
        </w:rPr>
        <w:t xml:space="preserve">ciones que han de adoptar </w:t>
      </w:r>
      <w:r w:rsidR="00897205" w:rsidRPr="00BA5844">
        <w:rPr>
          <w:rFonts w:cs="Tahoma"/>
          <w:szCs w:val="18"/>
          <w:lang w:eastAsia="fr-FR"/>
        </w:rPr>
        <w:t xml:space="preserve">con </w:t>
      </w:r>
      <w:r w:rsidR="00B85FDB" w:rsidRPr="00BA5844">
        <w:rPr>
          <w:rFonts w:cs="Tahoma"/>
          <w:szCs w:val="18"/>
          <w:lang w:eastAsia="fr-FR"/>
        </w:rPr>
        <w:t xml:space="preserve">respecto a la </w:t>
      </w:r>
      <w:r w:rsidR="00396E77" w:rsidRPr="00BA5844">
        <w:rPr>
          <w:rFonts w:cs="Tahoma"/>
          <w:szCs w:val="18"/>
          <w:lang w:eastAsia="fr-FR"/>
        </w:rPr>
        <w:t xml:space="preserve">comparabilidad </w:t>
      </w:r>
      <w:r w:rsidR="00897205" w:rsidRPr="00BA5844">
        <w:rPr>
          <w:rFonts w:cs="Tahoma"/>
          <w:szCs w:val="18"/>
          <w:lang w:eastAsia="fr-FR"/>
        </w:rPr>
        <w:t>de los datos.</w:t>
      </w:r>
      <w:r w:rsidR="00DD33F8" w:rsidRPr="003A2D30">
        <w:rPr>
          <w:rFonts w:cs="Tahoma"/>
          <w:szCs w:val="18"/>
          <w:lang w:val="es-ES" w:eastAsia="fr-FR"/>
        </w:rPr>
        <w:t xml:space="preserve"> </w:t>
      </w:r>
    </w:p>
    <w:p w14:paraId="5EEB1A79" w14:textId="77777777" w:rsidR="00DD33F8" w:rsidRPr="003A2D30" w:rsidRDefault="00DD33F8" w:rsidP="00DD33F8">
      <w:pPr>
        <w:rPr>
          <w:rFonts w:cs="Tahoma"/>
          <w:szCs w:val="18"/>
          <w:lang w:val="es-ES" w:eastAsia="fr-FR"/>
        </w:rPr>
      </w:pPr>
    </w:p>
    <w:p w14:paraId="128B4254" w14:textId="77777777" w:rsidR="00DD33F8" w:rsidRPr="003A2D30" w:rsidRDefault="00DD33F8" w:rsidP="00DD33F8">
      <w:pPr>
        <w:rPr>
          <w:lang w:val="es-ES"/>
        </w:rPr>
      </w:pPr>
      <w:bookmarkStart w:id="5" w:name="_GoBack"/>
      <w:bookmarkEnd w:id="5"/>
    </w:p>
    <w:p w14:paraId="037C54C8" w14:textId="77777777" w:rsidR="00DD33F8" w:rsidRPr="00CF35CF" w:rsidRDefault="00DD33F8" w:rsidP="00DD33F8">
      <w:pPr>
        <w:jc w:val="right"/>
      </w:pPr>
      <w:r w:rsidRPr="00CF35CF">
        <w:t xml:space="preserve">[Fin del </w:t>
      </w:r>
      <w:r w:rsidR="002115AB" w:rsidRPr="00CF35CF">
        <w:t xml:space="preserve">Anexo </w:t>
      </w:r>
      <w:r w:rsidRPr="00CF35CF">
        <w:t>y de</w:t>
      </w:r>
      <w:r w:rsidR="002115AB" w:rsidRPr="00CF35CF">
        <w:t>l</w:t>
      </w:r>
      <w:r w:rsidRPr="00CF35CF">
        <w:t xml:space="preserve"> documento]</w:t>
      </w:r>
    </w:p>
    <w:p w14:paraId="53CD1BFA" w14:textId="77777777" w:rsidR="00050E16" w:rsidRPr="003A2D30" w:rsidRDefault="00050E16" w:rsidP="009B440E">
      <w:pPr>
        <w:jc w:val="left"/>
        <w:rPr>
          <w:lang w:val="es-ES"/>
        </w:rPr>
      </w:pPr>
    </w:p>
    <w:sectPr w:rsidR="00050E16" w:rsidRPr="003A2D30" w:rsidSect="00BA1B54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592FF" w14:textId="77777777" w:rsidR="00E75803" w:rsidRDefault="00E75803" w:rsidP="006655D3">
      <w:r>
        <w:separator/>
      </w:r>
    </w:p>
    <w:p w14:paraId="096527E4" w14:textId="77777777" w:rsidR="00E75803" w:rsidRDefault="00E75803" w:rsidP="006655D3"/>
    <w:p w14:paraId="08B814FF" w14:textId="77777777" w:rsidR="00E75803" w:rsidRDefault="00E75803" w:rsidP="006655D3"/>
  </w:endnote>
  <w:endnote w:type="continuationSeparator" w:id="0">
    <w:p w14:paraId="374CF80F" w14:textId="77777777" w:rsidR="00E75803" w:rsidRDefault="00E75803" w:rsidP="006655D3">
      <w:r>
        <w:separator/>
      </w:r>
    </w:p>
    <w:p w14:paraId="1ED539C2" w14:textId="77777777" w:rsidR="00E75803" w:rsidRPr="00294751" w:rsidRDefault="00E7580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51586F0" w14:textId="77777777" w:rsidR="00E75803" w:rsidRPr="00294751" w:rsidRDefault="00E75803" w:rsidP="006655D3">
      <w:pPr>
        <w:rPr>
          <w:lang w:val="fr-FR"/>
        </w:rPr>
      </w:pPr>
    </w:p>
    <w:p w14:paraId="55E69F9F" w14:textId="77777777" w:rsidR="00E75803" w:rsidRPr="00294751" w:rsidRDefault="00E75803" w:rsidP="006655D3">
      <w:pPr>
        <w:rPr>
          <w:lang w:val="fr-FR"/>
        </w:rPr>
      </w:pPr>
    </w:p>
  </w:endnote>
  <w:endnote w:type="continuationNotice" w:id="1">
    <w:p w14:paraId="3E7B228D" w14:textId="77777777" w:rsidR="00E75803" w:rsidRPr="00294751" w:rsidRDefault="00E7580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4E94AB9" w14:textId="77777777" w:rsidR="00E75803" w:rsidRPr="00294751" w:rsidRDefault="00E75803" w:rsidP="006655D3">
      <w:pPr>
        <w:rPr>
          <w:lang w:val="fr-FR"/>
        </w:rPr>
      </w:pPr>
    </w:p>
    <w:p w14:paraId="54E46A55" w14:textId="77777777" w:rsidR="00E75803" w:rsidRPr="00294751" w:rsidRDefault="00E7580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22EA6" w14:textId="77777777" w:rsidR="00E75803" w:rsidRDefault="00E75803" w:rsidP="006655D3">
      <w:r>
        <w:separator/>
      </w:r>
    </w:p>
  </w:footnote>
  <w:footnote w:type="continuationSeparator" w:id="0">
    <w:p w14:paraId="2F26E9E2" w14:textId="77777777" w:rsidR="00E75803" w:rsidRDefault="00E75803" w:rsidP="006655D3">
      <w:r>
        <w:separator/>
      </w:r>
    </w:p>
  </w:footnote>
  <w:footnote w:type="continuationNotice" w:id="1">
    <w:p w14:paraId="7CE32963" w14:textId="77777777" w:rsidR="00E75803" w:rsidRPr="00AB530F" w:rsidRDefault="00E7580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D28EF" w14:textId="77777777" w:rsidR="00E75803" w:rsidRPr="000A23DC" w:rsidRDefault="00E75803" w:rsidP="000A23DC">
    <w:pPr>
      <w:pStyle w:val="Header"/>
      <w:rPr>
        <w:rStyle w:val="PageNumber"/>
      </w:rPr>
    </w:pPr>
    <w:r>
      <w:rPr>
        <w:rStyle w:val="PageNumber"/>
      </w:rPr>
      <w:t>TC/54</w:t>
    </w:r>
    <w:r w:rsidRPr="000A23DC">
      <w:rPr>
        <w:rStyle w:val="PageNumber"/>
      </w:rPr>
      <w:t>/</w:t>
    </w:r>
    <w:r>
      <w:rPr>
        <w:rStyle w:val="PageNumber"/>
      </w:rPr>
      <w:t>28</w:t>
    </w:r>
  </w:p>
  <w:p w14:paraId="2B5817D7" w14:textId="10EC72D1" w:rsidR="00E75803" w:rsidRPr="00202E38" w:rsidRDefault="00E75803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9710DE">
      <w:rPr>
        <w:rStyle w:val="PageNumber"/>
        <w:noProof/>
        <w:lang w:val="de-DE"/>
      </w:rPr>
      <w:t>2</w:t>
    </w:r>
    <w:r w:rsidRPr="00202E38">
      <w:rPr>
        <w:rStyle w:val="PageNumber"/>
        <w:lang w:val="de-DE"/>
      </w:rPr>
      <w:fldChar w:fldCharType="end"/>
    </w:r>
  </w:p>
  <w:p w14:paraId="6D9763BA" w14:textId="77777777" w:rsidR="00E75803" w:rsidRPr="00202E38" w:rsidRDefault="00E75803" w:rsidP="006655D3">
    <w:pPr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0E068" w14:textId="77777777" w:rsidR="00E75803" w:rsidRPr="000A23DC" w:rsidRDefault="00E75803" w:rsidP="000A23DC">
    <w:pPr>
      <w:pStyle w:val="Header"/>
      <w:rPr>
        <w:rStyle w:val="PageNumber"/>
      </w:rPr>
    </w:pPr>
    <w:r>
      <w:rPr>
        <w:rStyle w:val="PageNumber"/>
      </w:rPr>
      <w:t>TC/54</w:t>
    </w:r>
    <w:r w:rsidRPr="000A23DC">
      <w:rPr>
        <w:rStyle w:val="PageNumber"/>
      </w:rPr>
      <w:t>/</w:t>
    </w:r>
    <w:r>
      <w:rPr>
        <w:rStyle w:val="PageNumber"/>
      </w:rPr>
      <w:t>28</w:t>
    </w:r>
  </w:p>
  <w:p w14:paraId="550DC342" w14:textId="69A7BF99" w:rsidR="00E75803" w:rsidRPr="00202E38" w:rsidRDefault="00E75803" w:rsidP="008B3D8D">
    <w:pPr>
      <w:pStyle w:val="Header"/>
      <w:rPr>
        <w:lang w:val="de-DE"/>
      </w:rPr>
    </w:pPr>
    <w:r>
      <w:t xml:space="preserve">Anexo, </w:t>
    </w: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9710DE">
      <w:rPr>
        <w:rStyle w:val="PageNumber"/>
        <w:noProof/>
        <w:lang w:val="de-DE"/>
      </w:rPr>
      <w:t>3</w:t>
    </w:r>
    <w:r w:rsidRPr="00202E38">
      <w:rPr>
        <w:rStyle w:val="PageNumber"/>
        <w:lang w:val="de-DE"/>
      </w:rPr>
      <w:fldChar w:fldCharType="end"/>
    </w:r>
  </w:p>
  <w:p w14:paraId="0C088DC7" w14:textId="77777777" w:rsidR="00E75803" w:rsidRPr="00202E38" w:rsidRDefault="00E75803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D040" w14:textId="77777777" w:rsidR="00E75803" w:rsidRPr="000A23DC" w:rsidRDefault="00E75803" w:rsidP="00BA1B54">
    <w:pPr>
      <w:pStyle w:val="Header"/>
      <w:rPr>
        <w:rStyle w:val="PageNumber"/>
      </w:rPr>
    </w:pPr>
    <w:r>
      <w:rPr>
        <w:rStyle w:val="PageNumber"/>
      </w:rPr>
      <w:t>TC/54</w:t>
    </w:r>
    <w:r w:rsidRPr="000A23DC">
      <w:rPr>
        <w:rStyle w:val="PageNumber"/>
      </w:rPr>
      <w:t>/</w:t>
    </w:r>
    <w:r>
      <w:rPr>
        <w:rStyle w:val="PageNumber"/>
      </w:rPr>
      <w:t>28</w:t>
    </w:r>
  </w:p>
  <w:p w14:paraId="04D8F8A0" w14:textId="77777777" w:rsidR="00E75803" w:rsidRDefault="00E75803">
    <w:pPr>
      <w:pStyle w:val="Header"/>
    </w:pPr>
  </w:p>
  <w:p w14:paraId="12C6CFA5" w14:textId="77777777" w:rsidR="00E75803" w:rsidRDefault="00E75803">
    <w:pPr>
      <w:pStyle w:val="Header"/>
    </w:pPr>
    <w:r>
      <w:t>ANEXO</w:t>
    </w:r>
  </w:p>
  <w:p w14:paraId="7018A549" w14:textId="126B1CC7" w:rsidR="00E75803" w:rsidRDefault="00E75803">
    <w:pPr>
      <w:pStyle w:val="Header"/>
    </w:pPr>
  </w:p>
  <w:p w14:paraId="323BC241" w14:textId="77777777" w:rsidR="009710DE" w:rsidRDefault="00971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638F6"/>
    <w:multiLevelType w:val="hybridMultilevel"/>
    <w:tmpl w:val="0194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66ED6"/>
    <w:multiLevelType w:val="hybridMultilevel"/>
    <w:tmpl w:val="D79C14E6"/>
    <w:lvl w:ilvl="0" w:tplc="4538E780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4B81"/>
    <w:multiLevelType w:val="hybridMultilevel"/>
    <w:tmpl w:val="EB4C88FC"/>
    <w:lvl w:ilvl="0" w:tplc="01C2BD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24"/>
  </w:docVars>
  <w:rsids>
    <w:rsidRoot w:val="00F838D9"/>
    <w:rsid w:val="000041FF"/>
    <w:rsid w:val="00010CF3"/>
    <w:rsid w:val="000117A3"/>
    <w:rsid w:val="00011E27"/>
    <w:rsid w:val="000148BC"/>
    <w:rsid w:val="00024AB8"/>
    <w:rsid w:val="00026F93"/>
    <w:rsid w:val="00030854"/>
    <w:rsid w:val="0003478F"/>
    <w:rsid w:val="00036028"/>
    <w:rsid w:val="00044642"/>
    <w:rsid w:val="000446B9"/>
    <w:rsid w:val="00045B13"/>
    <w:rsid w:val="00047E21"/>
    <w:rsid w:val="00050E16"/>
    <w:rsid w:val="00063379"/>
    <w:rsid w:val="000638A9"/>
    <w:rsid w:val="000820CD"/>
    <w:rsid w:val="00085505"/>
    <w:rsid w:val="000A23DC"/>
    <w:rsid w:val="000C4E25"/>
    <w:rsid w:val="000C7021"/>
    <w:rsid w:val="000D34EC"/>
    <w:rsid w:val="000D6BBC"/>
    <w:rsid w:val="000D7780"/>
    <w:rsid w:val="000E636A"/>
    <w:rsid w:val="000F251A"/>
    <w:rsid w:val="000F2F11"/>
    <w:rsid w:val="000F3073"/>
    <w:rsid w:val="000F36ED"/>
    <w:rsid w:val="00105929"/>
    <w:rsid w:val="00110C36"/>
    <w:rsid w:val="001131D5"/>
    <w:rsid w:val="00120FF8"/>
    <w:rsid w:val="00141DB8"/>
    <w:rsid w:val="00146EEE"/>
    <w:rsid w:val="00153B6C"/>
    <w:rsid w:val="00172084"/>
    <w:rsid w:val="0017474A"/>
    <w:rsid w:val="001758C6"/>
    <w:rsid w:val="00182B99"/>
    <w:rsid w:val="00186444"/>
    <w:rsid w:val="001935DB"/>
    <w:rsid w:val="001A3560"/>
    <w:rsid w:val="001B0202"/>
    <w:rsid w:val="001B37E7"/>
    <w:rsid w:val="001C0F56"/>
    <w:rsid w:val="001F56DF"/>
    <w:rsid w:val="001F64BF"/>
    <w:rsid w:val="00202E38"/>
    <w:rsid w:val="002115AB"/>
    <w:rsid w:val="0021332C"/>
    <w:rsid w:val="00213982"/>
    <w:rsid w:val="00224A4B"/>
    <w:rsid w:val="00227DB1"/>
    <w:rsid w:val="0024416D"/>
    <w:rsid w:val="002458BD"/>
    <w:rsid w:val="002464A3"/>
    <w:rsid w:val="00256928"/>
    <w:rsid w:val="00260080"/>
    <w:rsid w:val="002674C2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81275"/>
    <w:rsid w:val="00393EB3"/>
    <w:rsid w:val="00396E77"/>
    <w:rsid w:val="003A2D30"/>
    <w:rsid w:val="003B031A"/>
    <w:rsid w:val="003C7FBE"/>
    <w:rsid w:val="003D227C"/>
    <w:rsid w:val="003D2B4D"/>
    <w:rsid w:val="003F10D2"/>
    <w:rsid w:val="0040557F"/>
    <w:rsid w:val="00444A88"/>
    <w:rsid w:val="00453072"/>
    <w:rsid w:val="004541A8"/>
    <w:rsid w:val="00460ED6"/>
    <w:rsid w:val="00474DA4"/>
    <w:rsid w:val="00475066"/>
    <w:rsid w:val="00476B4D"/>
    <w:rsid w:val="004805FA"/>
    <w:rsid w:val="0049332C"/>
    <w:rsid w:val="004935D2"/>
    <w:rsid w:val="004B1215"/>
    <w:rsid w:val="004B3F3F"/>
    <w:rsid w:val="004D047D"/>
    <w:rsid w:val="004D5C00"/>
    <w:rsid w:val="004F1E9E"/>
    <w:rsid w:val="004F305A"/>
    <w:rsid w:val="004F72D9"/>
    <w:rsid w:val="0050358A"/>
    <w:rsid w:val="00512164"/>
    <w:rsid w:val="00515ACF"/>
    <w:rsid w:val="00520297"/>
    <w:rsid w:val="00521CFB"/>
    <w:rsid w:val="005267DB"/>
    <w:rsid w:val="005338F9"/>
    <w:rsid w:val="0054281C"/>
    <w:rsid w:val="00543598"/>
    <w:rsid w:val="00544581"/>
    <w:rsid w:val="00545E42"/>
    <w:rsid w:val="0055268D"/>
    <w:rsid w:val="005626F9"/>
    <w:rsid w:val="00573DEE"/>
    <w:rsid w:val="00576BE4"/>
    <w:rsid w:val="00584337"/>
    <w:rsid w:val="005A1EC1"/>
    <w:rsid w:val="005A400A"/>
    <w:rsid w:val="005B65D1"/>
    <w:rsid w:val="005F72E4"/>
    <w:rsid w:val="005F7B92"/>
    <w:rsid w:val="00611FF7"/>
    <w:rsid w:val="00612379"/>
    <w:rsid w:val="006153B6"/>
    <w:rsid w:val="0061555F"/>
    <w:rsid w:val="00621D78"/>
    <w:rsid w:val="00636CA6"/>
    <w:rsid w:val="00637EDD"/>
    <w:rsid w:val="00641200"/>
    <w:rsid w:val="0064547A"/>
    <w:rsid w:val="00645CA8"/>
    <w:rsid w:val="00651536"/>
    <w:rsid w:val="006655D3"/>
    <w:rsid w:val="00667404"/>
    <w:rsid w:val="0067074B"/>
    <w:rsid w:val="00687EB4"/>
    <w:rsid w:val="0069198E"/>
    <w:rsid w:val="00695C56"/>
    <w:rsid w:val="00697A46"/>
    <w:rsid w:val="006A5CDE"/>
    <w:rsid w:val="006A644A"/>
    <w:rsid w:val="006B17D2"/>
    <w:rsid w:val="006B1E43"/>
    <w:rsid w:val="006C224E"/>
    <w:rsid w:val="006D54AD"/>
    <w:rsid w:val="006D5671"/>
    <w:rsid w:val="006D780A"/>
    <w:rsid w:val="007043ED"/>
    <w:rsid w:val="0071271E"/>
    <w:rsid w:val="00732DEC"/>
    <w:rsid w:val="00735BD5"/>
    <w:rsid w:val="00751613"/>
    <w:rsid w:val="00754B57"/>
    <w:rsid w:val="007556F6"/>
    <w:rsid w:val="00760EEF"/>
    <w:rsid w:val="007678B6"/>
    <w:rsid w:val="00777EE5"/>
    <w:rsid w:val="00783722"/>
    <w:rsid w:val="00784836"/>
    <w:rsid w:val="00785E84"/>
    <w:rsid w:val="0078732D"/>
    <w:rsid w:val="0079023E"/>
    <w:rsid w:val="00791A6A"/>
    <w:rsid w:val="007A2854"/>
    <w:rsid w:val="007A5B31"/>
    <w:rsid w:val="007C1D92"/>
    <w:rsid w:val="007C4CB9"/>
    <w:rsid w:val="007C6517"/>
    <w:rsid w:val="007D0B9D"/>
    <w:rsid w:val="007D0DBA"/>
    <w:rsid w:val="007D1847"/>
    <w:rsid w:val="007D19B0"/>
    <w:rsid w:val="007D7367"/>
    <w:rsid w:val="007F498F"/>
    <w:rsid w:val="0080679D"/>
    <w:rsid w:val="008108B0"/>
    <w:rsid w:val="00811B20"/>
    <w:rsid w:val="00813616"/>
    <w:rsid w:val="0081661D"/>
    <w:rsid w:val="0082022E"/>
    <w:rsid w:val="008211B5"/>
    <w:rsid w:val="0082296E"/>
    <w:rsid w:val="00824099"/>
    <w:rsid w:val="00846D7C"/>
    <w:rsid w:val="00864C55"/>
    <w:rsid w:val="00867AC1"/>
    <w:rsid w:val="00890DF8"/>
    <w:rsid w:val="00897205"/>
    <w:rsid w:val="008A72A0"/>
    <w:rsid w:val="008A743F"/>
    <w:rsid w:val="008B3D8D"/>
    <w:rsid w:val="008C0970"/>
    <w:rsid w:val="008D0BC5"/>
    <w:rsid w:val="008D16C1"/>
    <w:rsid w:val="008D2CF7"/>
    <w:rsid w:val="008D7181"/>
    <w:rsid w:val="00900C26"/>
    <w:rsid w:val="0090197F"/>
    <w:rsid w:val="009064BF"/>
    <w:rsid w:val="00906DDC"/>
    <w:rsid w:val="0093293C"/>
    <w:rsid w:val="00934E09"/>
    <w:rsid w:val="00936253"/>
    <w:rsid w:val="00940D46"/>
    <w:rsid w:val="00952DD4"/>
    <w:rsid w:val="0096175D"/>
    <w:rsid w:val="00965AE7"/>
    <w:rsid w:val="00970FED"/>
    <w:rsid w:val="009710DE"/>
    <w:rsid w:val="009711DD"/>
    <w:rsid w:val="00973F42"/>
    <w:rsid w:val="00992D82"/>
    <w:rsid w:val="00997029"/>
    <w:rsid w:val="009A7339"/>
    <w:rsid w:val="009B440E"/>
    <w:rsid w:val="009C7EFF"/>
    <w:rsid w:val="009D5279"/>
    <w:rsid w:val="009D690D"/>
    <w:rsid w:val="009E65B6"/>
    <w:rsid w:val="00A00678"/>
    <w:rsid w:val="00A03240"/>
    <w:rsid w:val="00A04EFD"/>
    <w:rsid w:val="00A126FB"/>
    <w:rsid w:val="00A24C10"/>
    <w:rsid w:val="00A409E5"/>
    <w:rsid w:val="00A42AC3"/>
    <w:rsid w:val="00A430CF"/>
    <w:rsid w:val="00A54309"/>
    <w:rsid w:val="00A66C79"/>
    <w:rsid w:val="00A706D3"/>
    <w:rsid w:val="00A837E6"/>
    <w:rsid w:val="00AB2B93"/>
    <w:rsid w:val="00AB530F"/>
    <w:rsid w:val="00AB7E5B"/>
    <w:rsid w:val="00AC2883"/>
    <w:rsid w:val="00AD2A9C"/>
    <w:rsid w:val="00AE0EF1"/>
    <w:rsid w:val="00AE1B2E"/>
    <w:rsid w:val="00AE2937"/>
    <w:rsid w:val="00AE67E5"/>
    <w:rsid w:val="00AF746F"/>
    <w:rsid w:val="00B07301"/>
    <w:rsid w:val="00B07E7C"/>
    <w:rsid w:val="00B11F3E"/>
    <w:rsid w:val="00B16160"/>
    <w:rsid w:val="00B16212"/>
    <w:rsid w:val="00B224DE"/>
    <w:rsid w:val="00B324D4"/>
    <w:rsid w:val="00B34714"/>
    <w:rsid w:val="00B46575"/>
    <w:rsid w:val="00B61777"/>
    <w:rsid w:val="00B84BBD"/>
    <w:rsid w:val="00B85FDB"/>
    <w:rsid w:val="00B96B53"/>
    <w:rsid w:val="00BA1B54"/>
    <w:rsid w:val="00BA43FB"/>
    <w:rsid w:val="00BA5844"/>
    <w:rsid w:val="00BC0BD4"/>
    <w:rsid w:val="00BC127D"/>
    <w:rsid w:val="00BC1FE6"/>
    <w:rsid w:val="00BC6743"/>
    <w:rsid w:val="00BC6CCE"/>
    <w:rsid w:val="00BD5808"/>
    <w:rsid w:val="00C061B6"/>
    <w:rsid w:val="00C2446C"/>
    <w:rsid w:val="00C36AE5"/>
    <w:rsid w:val="00C41F17"/>
    <w:rsid w:val="00C4267D"/>
    <w:rsid w:val="00C527FA"/>
    <w:rsid w:val="00C5280D"/>
    <w:rsid w:val="00C53EB3"/>
    <w:rsid w:val="00C55C74"/>
    <w:rsid w:val="00C5791C"/>
    <w:rsid w:val="00C66290"/>
    <w:rsid w:val="00C67B05"/>
    <w:rsid w:val="00C72B7A"/>
    <w:rsid w:val="00C921EF"/>
    <w:rsid w:val="00C92C7A"/>
    <w:rsid w:val="00C973F2"/>
    <w:rsid w:val="00CA304C"/>
    <w:rsid w:val="00CA47FA"/>
    <w:rsid w:val="00CA774A"/>
    <w:rsid w:val="00CB07BC"/>
    <w:rsid w:val="00CB156A"/>
    <w:rsid w:val="00CB7090"/>
    <w:rsid w:val="00CC11B0"/>
    <w:rsid w:val="00CC2841"/>
    <w:rsid w:val="00CE49AB"/>
    <w:rsid w:val="00CF1330"/>
    <w:rsid w:val="00CF35CF"/>
    <w:rsid w:val="00CF7E36"/>
    <w:rsid w:val="00D3708D"/>
    <w:rsid w:val="00D40426"/>
    <w:rsid w:val="00D57C96"/>
    <w:rsid w:val="00D57D18"/>
    <w:rsid w:val="00D617B1"/>
    <w:rsid w:val="00D72E40"/>
    <w:rsid w:val="00D75E2D"/>
    <w:rsid w:val="00D91203"/>
    <w:rsid w:val="00D95174"/>
    <w:rsid w:val="00DA4973"/>
    <w:rsid w:val="00DA499C"/>
    <w:rsid w:val="00DA6F36"/>
    <w:rsid w:val="00DB596E"/>
    <w:rsid w:val="00DB7773"/>
    <w:rsid w:val="00DC00EA"/>
    <w:rsid w:val="00DC3802"/>
    <w:rsid w:val="00DD33F8"/>
    <w:rsid w:val="00DE2734"/>
    <w:rsid w:val="00E07D87"/>
    <w:rsid w:val="00E32F7E"/>
    <w:rsid w:val="00E5267B"/>
    <w:rsid w:val="00E63C0E"/>
    <w:rsid w:val="00E72D49"/>
    <w:rsid w:val="00E75803"/>
    <w:rsid w:val="00E7593C"/>
    <w:rsid w:val="00E7678A"/>
    <w:rsid w:val="00E935F1"/>
    <w:rsid w:val="00E94A81"/>
    <w:rsid w:val="00EA1FFB"/>
    <w:rsid w:val="00EB048E"/>
    <w:rsid w:val="00EB38B8"/>
    <w:rsid w:val="00EB4E9C"/>
    <w:rsid w:val="00EC2265"/>
    <w:rsid w:val="00ED70DF"/>
    <w:rsid w:val="00EE34DF"/>
    <w:rsid w:val="00EF030F"/>
    <w:rsid w:val="00EF2F89"/>
    <w:rsid w:val="00F03E98"/>
    <w:rsid w:val="00F1237A"/>
    <w:rsid w:val="00F22CBD"/>
    <w:rsid w:val="00F272F1"/>
    <w:rsid w:val="00F45372"/>
    <w:rsid w:val="00F560F7"/>
    <w:rsid w:val="00F6334D"/>
    <w:rsid w:val="00F774DF"/>
    <w:rsid w:val="00F838D9"/>
    <w:rsid w:val="00FA49AB"/>
    <w:rsid w:val="00FB4B5B"/>
    <w:rsid w:val="00FB5BE1"/>
    <w:rsid w:val="00FD3F87"/>
    <w:rsid w:val="00FD7201"/>
    <w:rsid w:val="00FE00B1"/>
    <w:rsid w:val="00FE39C7"/>
    <w:rsid w:val="00FF135D"/>
    <w:rsid w:val="00FF17D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4FA4BCC"/>
  <w15:docId w15:val="{13B9AE95-7679-4189-AB73-18B5A9CA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F56DF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rsid w:val="00DD33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3F8"/>
    <w:rPr>
      <w:lang w:val="en-US"/>
    </w:rPr>
  </w:style>
  <w:style w:type="character" w:customStyle="1" w:styleId="CommentTextChar">
    <w:name w:val="Comment Text Char"/>
    <w:basedOn w:val="DefaultParagraphFont"/>
    <w:link w:val="CommentText"/>
    <w:rsid w:val="00DD33F8"/>
    <w:rPr>
      <w:rFonts w:ascii="Arial" w:hAnsi="Arial"/>
    </w:rPr>
  </w:style>
  <w:style w:type="paragraph" w:styleId="Revision">
    <w:name w:val="Revision"/>
    <w:hidden/>
    <w:uiPriority w:val="99"/>
    <w:semiHidden/>
    <w:rsid w:val="008D7181"/>
    <w:rPr>
      <w:rFonts w:ascii="Arial" w:hAnsi="Arial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10DE"/>
    <w:rPr>
      <w:b/>
      <w:bCs/>
      <w:lang w:val="es-ES_tradnl"/>
    </w:rPr>
  </w:style>
  <w:style w:type="character" w:customStyle="1" w:styleId="CommentSubjectChar">
    <w:name w:val="Comment Subject Char"/>
    <w:basedOn w:val="CommentTextChar"/>
    <w:link w:val="CommentSubject"/>
    <w:semiHidden/>
    <w:rsid w:val="009710DE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2234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CEVALLOS DUQUE Nilo</dc:creator>
  <cp:lastModifiedBy>SANTOS Carla Marina</cp:lastModifiedBy>
  <cp:revision>6</cp:revision>
  <cp:lastPrinted>2018-09-14T12:36:00Z</cp:lastPrinted>
  <dcterms:created xsi:type="dcterms:W3CDTF">2018-09-13T12:46:00Z</dcterms:created>
  <dcterms:modified xsi:type="dcterms:W3CDTF">2018-09-14T12:36:00Z</dcterms:modified>
</cp:coreProperties>
</file>