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eastAsia="es-ES_tradnl"/>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A81205" w:rsidRDefault="005A1EC1" w:rsidP="003C7FBE">
            <w:pPr>
              <w:pStyle w:val="Doccode"/>
              <w:rPr>
                <w:lang w:val="es-ES_tradnl"/>
              </w:rPr>
            </w:pPr>
            <w:r w:rsidRPr="00A81205">
              <w:rPr>
                <w:lang w:val="es-ES_tradnl"/>
              </w:rPr>
              <w:t>TC/54/25</w:t>
            </w:r>
          </w:p>
          <w:p w:rsidR="00EB4E9C" w:rsidRPr="003C7FBE" w:rsidRDefault="00EB4E9C" w:rsidP="003C7FBE">
            <w:pPr>
              <w:pStyle w:val="Docoriginal"/>
            </w:pPr>
            <w:r>
              <w:t>Original:</w:t>
            </w:r>
            <w:r>
              <w:rPr>
                <w:b w:val="0"/>
                <w:spacing w:val="0"/>
              </w:rPr>
              <w:t xml:space="preserve"> Inglés</w:t>
            </w:r>
          </w:p>
          <w:p w:rsidR="00EB4E9C" w:rsidRPr="007C1D92" w:rsidRDefault="002E5944" w:rsidP="007C30F9">
            <w:pPr>
              <w:pStyle w:val="Docoriginal"/>
            </w:pPr>
            <w:r>
              <w:t>Fecha:</w:t>
            </w:r>
            <w:r>
              <w:rPr>
                <w:b w:val="0"/>
                <w:spacing w:val="0"/>
              </w:rPr>
              <w:t xml:space="preserve"> </w:t>
            </w:r>
            <w:r w:rsidR="007C30F9" w:rsidRPr="00661C39">
              <w:rPr>
                <w:b w:val="0"/>
                <w:spacing w:val="0"/>
              </w:rPr>
              <w:t>24</w:t>
            </w:r>
            <w:r w:rsidRPr="00661C39">
              <w:rPr>
                <w:b w:val="0"/>
                <w:spacing w:val="0"/>
              </w:rPr>
              <w:t xml:space="preserve"> de julio</w:t>
            </w:r>
            <w:r>
              <w:rPr>
                <w:b w:val="0"/>
                <w:spacing w:val="0"/>
              </w:rPr>
              <w:t xml:space="preserve"> de 2018</w:t>
            </w:r>
          </w:p>
        </w:tc>
      </w:tr>
    </w:tbl>
    <w:p w:rsidR="000D7780" w:rsidRPr="006A644A" w:rsidRDefault="000C339B" w:rsidP="006A644A">
      <w:pPr>
        <w:pStyle w:val="Titleofdoc0"/>
      </w:pPr>
      <w:bookmarkStart w:id="1" w:name="TitleOfDoc"/>
      <w:bookmarkEnd w:id="1"/>
      <w:r>
        <w:t>Cooperación en materia de examen</w:t>
      </w:r>
    </w:p>
    <w:p w:rsidR="006A644A" w:rsidRPr="006A644A" w:rsidRDefault="000638A9" w:rsidP="006A644A">
      <w:pPr>
        <w:pStyle w:val="preparedby1"/>
        <w:jc w:val="left"/>
      </w:pPr>
      <w:bookmarkStart w:id="2" w:name="Prepared"/>
      <w:bookmarkEnd w:id="2"/>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0C339B" w:rsidRPr="00A81205" w:rsidRDefault="000C339B" w:rsidP="000C339B">
      <w:pPr>
        <w:pStyle w:val="Heading1"/>
        <w:rPr>
          <w:snapToGrid w:val="0"/>
          <w:lang w:val="es-ES_tradnl"/>
        </w:rPr>
      </w:pPr>
      <w:r w:rsidRPr="00A81205">
        <w:rPr>
          <w:lang w:val="es-ES_tradnl"/>
        </w:rPr>
        <w:t>RESUMEN</w:t>
      </w:r>
    </w:p>
    <w:p w:rsidR="000C339B" w:rsidRPr="000C339B"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El propósito de este documento es presentar los resultados de un sondeo de la situación actual de los miembros de la Unión en lo relativo a la cooperación en materia de examen, como punto de partida para el debate sobre las posibilidades de facilitar la cooperación.</w:t>
      </w:r>
    </w:p>
    <w:p w:rsidR="000C339B" w:rsidRPr="000C339B" w:rsidRDefault="000C339B" w:rsidP="000C339B">
      <w:pPr>
        <w:rPr>
          <w:snapToGrid w:val="0"/>
        </w:rPr>
      </w:pPr>
    </w:p>
    <w:p w:rsidR="000C339B" w:rsidRPr="000C339B" w:rsidRDefault="0045486F" w:rsidP="000C339B">
      <w:pPr>
        <w:rPr>
          <w:snapToGrid w:val="0"/>
        </w:rPr>
      </w:pPr>
      <w:r w:rsidRPr="007D6160">
        <w:rPr>
          <w:snapToGrid w:val="0"/>
        </w:rPr>
        <w:fldChar w:fldCharType="begin"/>
      </w:r>
      <w:r w:rsidR="000C339B" w:rsidRPr="000C339B">
        <w:rPr>
          <w:snapToGrid w:val="0"/>
        </w:rPr>
        <w:instrText xml:space="preserve"> AUTONUM  </w:instrText>
      </w:r>
      <w:r w:rsidRPr="007D6160">
        <w:rPr>
          <w:snapToGrid w:val="0"/>
        </w:rPr>
        <w:fldChar w:fldCharType="end"/>
      </w:r>
      <w:r w:rsidR="000C339B">
        <w:tab/>
        <w:t>Se invita al TC a examinar los resultados del sondeo de la situaci</w:t>
      </w:r>
      <w:r w:rsidR="00E67D88">
        <w:t>ón actual de los miembros de la </w:t>
      </w:r>
      <w:r w:rsidR="000C339B">
        <w:t>Unión en lo relativo a la cooperación en materia de examen, expuestos en el Anexo del presente documento.</w:t>
      </w:r>
    </w:p>
    <w:p w:rsidR="000C339B" w:rsidRPr="000C339B" w:rsidRDefault="000C339B" w:rsidP="000C339B">
      <w:pPr>
        <w:rPr>
          <w:snapToGrid w:val="0"/>
        </w:rPr>
      </w:pPr>
    </w:p>
    <w:p w:rsidR="000C339B" w:rsidRPr="00BF2E4C" w:rsidRDefault="000C339B" w:rsidP="000C339B">
      <w:pPr>
        <w:pStyle w:val="Heading1"/>
        <w:rPr>
          <w:snapToGrid w:val="0"/>
          <w:lang w:val="es-ES_tradnl"/>
        </w:rPr>
      </w:pPr>
      <w:r w:rsidRPr="00BF2E4C">
        <w:rPr>
          <w:lang w:val="es-ES_tradnl"/>
        </w:rPr>
        <w:t>ANTECEDENTES</w:t>
      </w:r>
    </w:p>
    <w:p w:rsidR="000C339B" w:rsidRPr="000C339B"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 xml:space="preserve">En su quincuagésima segunda sesión, celebrada en Ginebra del 14 al 16 de marzo de 2016, como resultado del “debate sobre los parámetros de calidad en el examen DHE” </w:t>
      </w:r>
      <w:r w:rsidR="00E67D88">
        <w:t>(punto 3 del orden del día), el </w:t>
      </w:r>
      <w:r w:rsidR="000C339B">
        <w:t>Comité Técnico (TC) señaló que puede haber obstáculos para la cooperación en materia de examen, en particular en lo que concierne al intercambio de informes de exámenes DHE, y acordó continuar analizando la situación.</w:t>
      </w:r>
      <w:r w:rsidR="0058413A">
        <w:t xml:space="preserve"> </w:t>
      </w:r>
      <w:r w:rsidR="000C339B">
        <w:t>El TC convino en que sería útil, como punto de partida para el debate, que la Oficina de la</w:t>
      </w:r>
      <w:r w:rsidR="00E67D88">
        <w:t> </w:t>
      </w:r>
      <w:r w:rsidR="000C339B">
        <w:t>Unión realizara un sondeo sobre la situación actual de los miembros de la Unión e informara de los resultados al TC en su quincuagésima tercera sesión (véase el documento TC/52/29 Rev. “Informe revisado”, párrafo 207).</w:t>
      </w:r>
    </w:p>
    <w:p w:rsidR="000C339B" w:rsidRPr="000C339B" w:rsidRDefault="000C339B" w:rsidP="000C339B">
      <w:pPr>
        <w:rPr>
          <w:snapToGrid w:val="0"/>
        </w:rPr>
      </w:pPr>
    </w:p>
    <w:p w:rsidR="000C339B" w:rsidRPr="00A81205" w:rsidRDefault="000C339B" w:rsidP="000C339B">
      <w:pPr>
        <w:pStyle w:val="Heading1"/>
        <w:rPr>
          <w:snapToGrid w:val="0"/>
          <w:lang w:val="es-ES_tradnl"/>
        </w:rPr>
      </w:pPr>
      <w:r w:rsidRPr="00A81205">
        <w:rPr>
          <w:lang w:val="es-ES_tradnl"/>
        </w:rPr>
        <w:t>Encuesta sobre cooperación</w:t>
      </w:r>
    </w:p>
    <w:p w:rsidR="000C339B" w:rsidRPr="000C339B"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El 18 de noviembre</w:t>
      </w:r>
      <w:r w:rsidR="00661C39">
        <w:t xml:space="preserve"> de 2016</w:t>
      </w:r>
      <w:r w:rsidR="000C339B">
        <w:t>, se envió la Circular E-16/276 “Sondeo UPOV: Cooperación en materia de examen DHE” a las personas designadas de los miembros de la Unión ante el Consejo y el TC.</w:t>
      </w:r>
      <w:r w:rsidR="0058413A">
        <w:t xml:space="preserve"> </w:t>
      </w:r>
    </w:p>
    <w:p w:rsidR="000C339B" w:rsidRPr="000C339B"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En su quincuagésima tercera sesión, celebrada en Ginebra del 3 al 5 de abril de 2017, el TC examinó el documento TC/53/20 y el informe verbal de la Oficina de la Unión en que se destacan los siguientes resultados del sondeo (véanse los párrafos 146 a 151 del documento TC/53/31 “Informe”):</w:t>
      </w:r>
    </w:p>
    <w:p w:rsidR="000C339B" w:rsidRPr="000C339B" w:rsidRDefault="000C339B" w:rsidP="000C339B">
      <w:pPr>
        <w:rPr>
          <w:snapToGrid w:val="0"/>
        </w:rPr>
      </w:pPr>
    </w:p>
    <w:p w:rsidR="000C339B" w:rsidRPr="000C339B" w:rsidRDefault="00E67D88" w:rsidP="000C339B">
      <w:pPr>
        <w:numPr>
          <w:ilvl w:val="0"/>
          <w:numId w:val="13"/>
        </w:numPr>
        <w:tabs>
          <w:tab w:val="clear" w:pos="720"/>
          <w:tab w:val="num" w:pos="567"/>
        </w:tabs>
        <w:spacing w:after="120"/>
        <w:ind w:left="568" w:hanging="284"/>
        <w:rPr>
          <w:snapToGrid w:val="0"/>
        </w:rPr>
      </w:pPr>
      <w:r>
        <w:t>E</w:t>
      </w:r>
      <w:r w:rsidR="000C339B">
        <w:t>l 93% de los encuestados estaba muy seguro o bastante seguro de las opciones de las que dispone para cooperar (aunque se puntualizó que solo había respondi</w:t>
      </w:r>
      <w:r w:rsidR="00DB1DE8">
        <w:t>do el 38% de los miembros de la </w:t>
      </w:r>
      <w:r w:rsidR="000C339B">
        <w:t>UPOV)</w:t>
      </w:r>
      <w:r>
        <w:t>.</w:t>
      </w:r>
    </w:p>
    <w:p w:rsidR="000C339B" w:rsidRPr="000C339B" w:rsidRDefault="000C339B" w:rsidP="000C339B">
      <w:pPr>
        <w:numPr>
          <w:ilvl w:val="0"/>
          <w:numId w:val="13"/>
        </w:numPr>
        <w:tabs>
          <w:tab w:val="clear" w:pos="720"/>
          <w:tab w:val="num" w:pos="567"/>
        </w:tabs>
        <w:spacing w:after="120"/>
        <w:ind w:left="568" w:hanging="284"/>
        <w:rPr>
          <w:snapToGrid w:val="0"/>
        </w:rPr>
      </w:pPr>
      <w:r>
        <w:t>El 50% de los encuestados indicaron que el informe DHE sirve de base para la decisión relativa al examen DHE, sin necesidad de más información.</w:t>
      </w:r>
    </w:p>
    <w:p w:rsidR="000C339B" w:rsidRPr="000C339B" w:rsidRDefault="000C339B" w:rsidP="000C339B">
      <w:pPr>
        <w:numPr>
          <w:ilvl w:val="0"/>
          <w:numId w:val="13"/>
        </w:numPr>
        <w:tabs>
          <w:tab w:val="clear" w:pos="720"/>
          <w:tab w:val="num" w:pos="567"/>
        </w:tabs>
        <w:spacing w:after="120"/>
        <w:ind w:left="568" w:hanging="284"/>
        <w:rPr>
          <w:snapToGrid w:val="0"/>
        </w:rPr>
      </w:pPr>
      <w:r>
        <w:t>El 30% de los encuestados consideró que medidas prácticas adicionales podrían facilitar el uso de informes DHE existentes</w:t>
      </w:r>
      <w:r w:rsidR="00E67D88">
        <w:t>.</w:t>
      </w:r>
    </w:p>
    <w:p w:rsidR="000C339B" w:rsidRPr="000C339B" w:rsidRDefault="000C339B" w:rsidP="000C339B">
      <w:pPr>
        <w:numPr>
          <w:ilvl w:val="0"/>
          <w:numId w:val="13"/>
        </w:numPr>
        <w:tabs>
          <w:tab w:val="clear" w:pos="720"/>
          <w:tab w:val="num" w:pos="567"/>
        </w:tabs>
        <w:ind w:left="568" w:hanging="284"/>
        <w:rPr>
          <w:snapToGrid w:val="0"/>
        </w:rPr>
      </w:pPr>
      <w:r>
        <w:t>El 29% de los encuestados calificó de “nada fácil” la cooperación en el examen DHE</w:t>
      </w:r>
      <w:r w:rsidR="00E67D88">
        <w:t>.</w:t>
      </w:r>
    </w:p>
    <w:p w:rsidR="000C339B" w:rsidRPr="000C339B" w:rsidRDefault="000C339B" w:rsidP="000C339B">
      <w:pPr>
        <w:ind w:left="567"/>
        <w:rPr>
          <w:snapToGrid w:val="0"/>
        </w:rPr>
      </w:pPr>
    </w:p>
    <w:p w:rsidR="000C339B" w:rsidRPr="000C339B" w:rsidRDefault="0045486F" w:rsidP="000C339B">
      <w:pPr>
        <w:rPr>
          <w:snapToGrid w:val="0"/>
        </w:rPr>
      </w:pPr>
      <w:r w:rsidRPr="007D6160">
        <w:rPr>
          <w:snapToGrid w:val="0"/>
        </w:rPr>
        <w:fldChar w:fldCharType="begin"/>
      </w:r>
      <w:r w:rsidR="000C339B" w:rsidRPr="000C339B">
        <w:rPr>
          <w:snapToGrid w:val="0"/>
        </w:rPr>
        <w:instrText xml:space="preserve"> AUTONUM  </w:instrText>
      </w:r>
      <w:r w:rsidRPr="007D6160">
        <w:rPr>
          <w:snapToGrid w:val="0"/>
        </w:rPr>
        <w:fldChar w:fldCharType="end"/>
      </w:r>
      <w:r w:rsidR="000C339B">
        <w:tab/>
        <w:t xml:space="preserve">La Oficina de la Unión informó que el Grupo de Trabajo sobre un Posible Sistema Internacional de Cooperación (WG-ISC) había comprendido que </w:t>
      </w:r>
      <w:r w:rsidR="00DB1DE8">
        <w:t>la aceptación de</w:t>
      </w:r>
      <w:r w:rsidR="000C339B">
        <w:t xml:space="preserve"> los informes DHE de cualquier</w:t>
      </w:r>
      <w:r w:rsidR="00DB1DE8">
        <w:t xml:space="preserve"> miembro</w:t>
      </w:r>
      <w:r w:rsidR="000C339B">
        <w:t xml:space="preserve"> de la Unión es una cuestión a considerar.</w:t>
      </w:r>
    </w:p>
    <w:p w:rsidR="000C339B" w:rsidRPr="000C339B" w:rsidRDefault="000C339B" w:rsidP="000C339B">
      <w:pPr>
        <w:rPr>
          <w:snapToGrid w:val="0"/>
        </w:rPr>
      </w:pPr>
    </w:p>
    <w:p w:rsidR="000C339B" w:rsidRDefault="0045486F" w:rsidP="000C339B">
      <w:r w:rsidRPr="007D6160">
        <w:rPr>
          <w:snapToGrid w:val="0"/>
        </w:rPr>
        <w:lastRenderedPageBreak/>
        <w:fldChar w:fldCharType="begin"/>
      </w:r>
      <w:r w:rsidR="000C339B" w:rsidRPr="000C339B">
        <w:rPr>
          <w:snapToGrid w:val="0"/>
        </w:rPr>
        <w:instrText xml:space="preserve"> AUTONUM  </w:instrText>
      </w:r>
      <w:r w:rsidRPr="007D6160">
        <w:rPr>
          <w:snapToGrid w:val="0"/>
        </w:rPr>
        <w:fldChar w:fldCharType="end"/>
      </w:r>
      <w:r w:rsidR="000C339B">
        <w:tab/>
        <w:t>El TC tomó nota de que había importantes aspectos políticos relativo</w:t>
      </w:r>
      <w:r w:rsidR="00E67D88">
        <w:t>s a la cooperación en el examen </w:t>
      </w:r>
      <w:r w:rsidR="000C339B">
        <w:t>DHE y convino en que se han de comunicar al WG-ISC los resultados del sondeo junto con una explicación de las di</w:t>
      </w:r>
      <w:r w:rsidR="00E67D88">
        <w:t>ficultades, si así se solicita.</w:t>
      </w:r>
    </w:p>
    <w:p w:rsidR="00E67D88" w:rsidRPr="000C339B" w:rsidRDefault="00E67D88" w:rsidP="000C339B">
      <w:pPr>
        <w:rPr>
          <w:snapToGrid w:val="0"/>
        </w:rPr>
      </w:pPr>
    </w:p>
    <w:p w:rsidR="000C339B" w:rsidRPr="000C339B" w:rsidRDefault="0045486F" w:rsidP="000C339B">
      <w:pPr>
        <w:rPr>
          <w:snapToGrid w:val="0"/>
        </w:rPr>
      </w:pPr>
      <w:r w:rsidRPr="007D6160">
        <w:rPr>
          <w:snapToGrid w:val="0"/>
        </w:rPr>
        <w:fldChar w:fldCharType="begin"/>
      </w:r>
      <w:r w:rsidR="000C339B" w:rsidRPr="000C339B">
        <w:rPr>
          <w:snapToGrid w:val="0"/>
        </w:rPr>
        <w:instrText xml:space="preserve"> AUTONUM  </w:instrText>
      </w:r>
      <w:r w:rsidRPr="007D6160">
        <w:rPr>
          <w:snapToGrid w:val="0"/>
        </w:rPr>
        <w:fldChar w:fldCharType="end"/>
      </w:r>
      <w:r w:rsidR="000C339B">
        <w:tab/>
        <w:t>El TC convino en que se debe distribuir una nueva encuesta a fin de aumentar el número de miembros de la Unión que facilitan información.</w:t>
      </w:r>
      <w:r w:rsidR="0058413A">
        <w:t xml:space="preserve"> </w:t>
      </w:r>
      <w:r w:rsidR="000C339B">
        <w:t>El TC convino en que la nueva encuesta debe basarse en las preguntas de la encuesta anterior, pero que es preciso acortarla fusionando algunas de las preguntas, teniendo en cuenta la información obtenida de la primera encuesta.</w:t>
      </w:r>
      <w:r w:rsidR="0058413A">
        <w:t xml:space="preserve"> </w:t>
      </w:r>
      <w:r w:rsidR="000C339B">
        <w:t>El TC convino en que los resultados del nuevo sondeo se presenten al TC en su sesión de 2018.</w:t>
      </w:r>
    </w:p>
    <w:p w:rsidR="000C339B" w:rsidRPr="000C339B" w:rsidRDefault="000C339B" w:rsidP="000C339B">
      <w:pPr>
        <w:rPr>
          <w:snapToGrid w:val="0"/>
        </w:rPr>
      </w:pPr>
    </w:p>
    <w:p w:rsidR="000C339B" w:rsidRPr="000C339B" w:rsidRDefault="0045486F" w:rsidP="000C339B">
      <w:pPr>
        <w:rPr>
          <w:snapToGrid w:val="0"/>
        </w:rPr>
      </w:pPr>
      <w:r>
        <w:rPr>
          <w:snapToGrid w:val="0"/>
        </w:rPr>
        <w:fldChar w:fldCharType="begin"/>
      </w:r>
      <w:r w:rsidR="000C339B" w:rsidRPr="000C339B">
        <w:rPr>
          <w:snapToGrid w:val="0"/>
        </w:rPr>
        <w:instrText xml:space="preserve"> AUTONUM  </w:instrText>
      </w:r>
      <w:r>
        <w:rPr>
          <w:snapToGrid w:val="0"/>
        </w:rPr>
        <w:fldChar w:fldCharType="end"/>
      </w:r>
      <w:r w:rsidR="000C339B">
        <w:tab/>
        <w:t>El </w:t>
      </w:r>
      <w:r w:rsidR="003A6A57">
        <w:t>24</w:t>
      </w:r>
      <w:r w:rsidR="000C339B">
        <w:t xml:space="preserve"> de </w:t>
      </w:r>
      <w:r w:rsidR="003A6A57">
        <w:t>octubre</w:t>
      </w:r>
      <w:r w:rsidR="000C339B">
        <w:t xml:space="preserve"> de 201</w:t>
      </w:r>
      <w:r w:rsidR="003A6A57">
        <w:t>7</w:t>
      </w:r>
      <w:r w:rsidR="000C339B">
        <w:t xml:space="preserve">, la Oficina de la Unión presentó una ponencia sobre “Los acuerdos de cooperación vigentes en materia de examen DHE y los resultados de la encuesta del TC sobre cooperación en materia de examen DHE”, durante la tercera reunión del Grupo de Trabajo sobre un Posible Sistema Internacional de Cooperación (UPOV/WG-ISC/3), que </w:t>
      </w:r>
      <w:r w:rsidR="00240718">
        <w:t>está disponible</w:t>
      </w:r>
      <w:r w:rsidR="000C339B">
        <w:t xml:space="preserve"> en el sitio web (véase el párrafo 5 del documento UPOV/WG-ISC/3/3 “</w:t>
      </w:r>
      <w:r w:rsidR="000C339B">
        <w:rPr>
          <w:i/>
        </w:rPr>
        <w:t>Report</w:t>
      </w:r>
      <w:r w:rsidR="000C339B">
        <w:t>” (Informe).</w:t>
      </w:r>
    </w:p>
    <w:p w:rsidR="000C339B" w:rsidRPr="000C339B" w:rsidRDefault="000C339B" w:rsidP="000C339B">
      <w:pPr>
        <w:rPr>
          <w:snapToGrid w:val="0"/>
        </w:rPr>
      </w:pPr>
    </w:p>
    <w:p w:rsidR="000C339B" w:rsidRPr="000C339B" w:rsidRDefault="0045486F" w:rsidP="000C339B">
      <w:pPr>
        <w:rPr>
          <w:snapToGrid w:val="0"/>
        </w:rPr>
      </w:pPr>
      <w:r w:rsidRPr="007D6160">
        <w:rPr>
          <w:snapToGrid w:val="0"/>
        </w:rPr>
        <w:fldChar w:fldCharType="begin"/>
      </w:r>
      <w:r w:rsidR="000C339B" w:rsidRPr="000C339B">
        <w:rPr>
          <w:snapToGrid w:val="0"/>
        </w:rPr>
        <w:instrText xml:space="preserve"> AUTONUM  </w:instrText>
      </w:r>
      <w:r w:rsidRPr="007D6160">
        <w:rPr>
          <w:snapToGrid w:val="0"/>
        </w:rPr>
        <w:fldChar w:fldCharType="end"/>
      </w:r>
      <w:r w:rsidR="000C339B">
        <w:tab/>
        <w:t>El TC también combino en que por medio del nuevo cuestionario se deben estudiar las causas de las dificultades para establecer una cooperación.</w:t>
      </w:r>
    </w:p>
    <w:p w:rsidR="000C339B" w:rsidRPr="000C339B"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El TC tomó nota del informe del Japón relativo a sus nuevos procedimientos administrativos para facilitar el intercambio de informes de examen DHE entre el Japón y otros miembros de la UPOV, como consecuencia de los cuales los informes de examen DHE se proporciona</w:t>
      </w:r>
      <w:r w:rsidR="00E67D88">
        <w:t>rán gratis a los miembros de la </w:t>
      </w:r>
      <w:r w:rsidR="000C339B">
        <w:t>UPOV con los que este país haya firmado un memorando de cooperación.</w:t>
      </w:r>
    </w:p>
    <w:p w:rsidR="000C339B" w:rsidRPr="000C339B"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El 10 de agosto de 2017 se envió la Circular E-17/137 “Sondeo UPOV: Cooperación en materia de examen DHE” a las personas designadas de los miembros de la Unión ante el Consejo y el TC.</w:t>
      </w:r>
      <w:r w:rsidR="0058413A">
        <w:t xml:space="preserve"> </w:t>
      </w:r>
    </w:p>
    <w:p w:rsidR="000C339B" w:rsidRPr="000C339B" w:rsidRDefault="000C339B" w:rsidP="000C339B">
      <w:pPr>
        <w:rPr>
          <w:snapToGrid w:val="0"/>
        </w:rPr>
      </w:pPr>
    </w:p>
    <w:p w:rsidR="000C339B" w:rsidRPr="00A81205" w:rsidRDefault="000C339B" w:rsidP="000C339B">
      <w:pPr>
        <w:pStyle w:val="Heading2"/>
        <w:rPr>
          <w:snapToGrid w:val="0"/>
          <w:lang w:val="es-ES_tradnl"/>
        </w:rPr>
      </w:pPr>
      <w:r w:rsidRPr="00A81205">
        <w:rPr>
          <w:lang w:val="es-ES_tradnl"/>
        </w:rPr>
        <w:t>Resultados del sondeo</w:t>
      </w:r>
    </w:p>
    <w:p w:rsidR="000C339B" w:rsidRPr="000C339B"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Se recibieron respuestas completas a la Circular E-17/137 de 55 miembros de la Unión, en concreto:</w:t>
      </w:r>
      <w:r w:rsidR="0058413A">
        <w:t xml:space="preserve"> </w:t>
      </w:r>
    </w:p>
    <w:p w:rsidR="000C339B" w:rsidRPr="000C339B" w:rsidRDefault="000C339B" w:rsidP="000C339B">
      <w:pPr>
        <w:rPr>
          <w:snapToGrid w:val="0"/>
        </w:rPr>
      </w:pPr>
    </w:p>
    <w:tbl>
      <w:tblPr>
        <w:tblStyle w:val="TableGrid"/>
        <w:tblW w:w="9855" w:type="dxa"/>
        <w:jc w:val="center"/>
        <w:tblInd w:w="432" w:type="dxa"/>
        <w:tblLook w:val="04A0" w:firstRow="1" w:lastRow="0" w:firstColumn="1" w:lastColumn="0" w:noHBand="0" w:noVBand="1"/>
      </w:tblPr>
      <w:tblGrid>
        <w:gridCol w:w="3510"/>
        <w:gridCol w:w="3119"/>
        <w:gridCol w:w="3226"/>
      </w:tblGrid>
      <w:tr w:rsidR="005831EC" w:rsidRPr="009107E8" w:rsidTr="000F21D1">
        <w:trPr>
          <w:trHeight w:val="170"/>
          <w:jc w:val="center"/>
        </w:trPr>
        <w:tc>
          <w:tcPr>
            <w:tcW w:w="3510" w:type="dxa"/>
            <w:vAlign w:val="center"/>
          </w:tcPr>
          <w:p w:rsidR="005831EC" w:rsidRPr="009107E8" w:rsidRDefault="005831EC" w:rsidP="00DB1DE8">
            <w:pPr>
              <w:rPr>
                <w:snapToGrid w:val="0"/>
              </w:rPr>
            </w:pPr>
            <w:r>
              <w:t>Alemania</w:t>
            </w:r>
          </w:p>
        </w:tc>
        <w:tc>
          <w:tcPr>
            <w:tcW w:w="3119" w:type="dxa"/>
            <w:vAlign w:val="center"/>
          </w:tcPr>
          <w:p w:rsidR="005831EC" w:rsidRPr="009107E8" w:rsidRDefault="005831EC" w:rsidP="00616CFA">
            <w:pPr>
              <w:rPr>
                <w:snapToGrid w:val="0"/>
              </w:rPr>
            </w:pPr>
            <w:r>
              <w:t>España</w:t>
            </w:r>
          </w:p>
        </w:tc>
        <w:tc>
          <w:tcPr>
            <w:tcW w:w="3226" w:type="dxa"/>
            <w:vAlign w:val="center"/>
          </w:tcPr>
          <w:p w:rsidR="005831EC" w:rsidRPr="009107E8" w:rsidRDefault="005831EC" w:rsidP="00616CFA">
            <w:pPr>
              <w:rPr>
                <w:snapToGrid w:val="0"/>
              </w:rPr>
            </w:pPr>
            <w:r>
              <w:t>Perú</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Argentina</w:t>
            </w:r>
          </w:p>
        </w:tc>
        <w:tc>
          <w:tcPr>
            <w:tcW w:w="3119" w:type="dxa"/>
            <w:vAlign w:val="center"/>
          </w:tcPr>
          <w:p w:rsidR="005831EC" w:rsidRPr="009107E8" w:rsidRDefault="005831EC" w:rsidP="00DB1DE8">
            <w:pPr>
              <w:rPr>
                <w:snapToGrid w:val="0"/>
              </w:rPr>
            </w:pPr>
            <w:r>
              <w:t>Francia</w:t>
            </w:r>
          </w:p>
        </w:tc>
        <w:tc>
          <w:tcPr>
            <w:tcW w:w="3226" w:type="dxa"/>
            <w:vAlign w:val="center"/>
          </w:tcPr>
          <w:p w:rsidR="005831EC" w:rsidRPr="009107E8" w:rsidRDefault="005831EC" w:rsidP="00616CFA">
            <w:pPr>
              <w:rPr>
                <w:snapToGrid w:val="0"/>
              </w:rPr>
            </w:pPr>
            <w:r>
              <w:t>Polonia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Australia</w:t>
            </w:r>
          </w:p>
        </w:tc>
        <w:tc>
          <w:tcPr>
            <w:tcW w:w="3119" w:type="dxa"/>
            <w:vAlign w:val="center"/>
          </w:tcPr>
          <w:p w:rsidR="005831EC" w:rsidRPr="009107E8" w:rsidRDefault="005831EC" w:rsidP="00DB1DE8">
            <w:pPr>
              <w:rPr>
                <w:snapToGrid w:val="0"/>
              </w:rPr>
            </w:pPr>
            <w:r>
              <w:t>Finlandia</w:t>
            </w:r>
          </w:p>
        </w:tc>
        <w:tc>
          <w:tcPr>
            <w:tcW w:w="3226" w:type="dxa"/>
            <w:vAlign w:val="center"/>
          </w:tcPr>
          <w:p w:rsidR="005831EC" w:rsidRPr="009107E8" w:rsidRDefault="005831EC" w:rsidP="00616CFA">
            <w:pPr>
              <w:rPr>
                <w:snapToGrid w:val="0"/>
              </w:rPr>
            </w:pPr>
            <w:r>
              <w:t>Portugal</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Austria</w:t>
            </w:r>
          </w:p>
        </w:tc>
        <w:tc>
          <w:tcPr>
            <w:tcW w:w="3119" w:type="dxa"/>
            <w:vAlign w:val="center"/>
          </w:tcPr>
          <w:p w:rsidR="005831EC" w:rsidRPr="009107E8" w:rsidRDefault="005831EC" w:rsidP="00DB1DE8">
            <w:pPr>
              <w:rPr>
                <w:snapToGrid w:val="0"/>
              </w:rPr>
            </w:pPr>
            <w:r>
              <w:t>Hungría</w:t>
            </w:r>
          </w:p>
        </w:tc>
        <w:tc>
          <w:tcPr>
            <w:tcW w:w="3226" w:type="dxa"/>
            <w:vAlign w:val="center"/>
          </w:tcPr>
          <w:p w:rsidR="005831EC" w:rsidRPr="009107E8" w:rsidRDefault="005831EC" w:rsidP="00616CFA">
            <w:pPr>
              <w:rPr>
                <w:snapToGrid w:val="0"/>
              </w:rPr>
            </w:pPr>
            <w:r>
              <w:t>Reino Unido</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Belarús</w:t>
            </w:r>
          </w:p>
        </w:tc>
        <w:tc>
          <w:tcPr>
            <w:tcW w:w="3119" w:type="dxa"/>
            <w:vAlign w:val="center"/>
          </w:tcPr>
          <w:p w:rsidR="005831EC" w:rsidRPr="009107E8" w:rsidRDefault="005831EC" w:rsidP="00DB1DE8">
            <w:pPr>
              <w:rPr>
                <w:snapToGrid w:val="0"/>
              </w:rPr>
            </w:pPr>
            <w:r>
              <w:t>Japón</w:t>
            </w:r>
          </w:p>
        </w:tc>
        <w:tc>
          <w:tcPr>
            <w:tcW w:w="3226" w:type="dxa"/>
            <w:vAlign w:val="center"/>
          </w:tcPr>
          <w:p w:rsidR="005831EC" w:rsidRPr="009107E8" w:rsidRDefault="005831EC" w:rsidP="00616CFA">
            <w:pPr>
              <w:rPr>
                <w:snapToGrid w:val="0"/>
              </w:rPr>
            </w:pPr>
            <w:r>
              <w:t>República de Corea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Bolivia (Estado Plurinacional de)</w:t>
            </w:r>
          </w:p>
        </w:tc>
        <w:tc>
          <w:tcPr>
            <w:tcW w:w="3119" w:type="dxa"/>
            <w:vAlign w:val="center"/>
          </w:tcPr>
          <w:p w:rsidR="005831EC" w:rsidRPr="009107E8" w:rsidRDefault="005831EC" w:rsidP="00DB1DE8">
            <w:pPr>
              <w:rPr>
                <w:snapToGrid w:val="0"/>
              </w:rPr>
            </w:pPr>
            <w:r>
              <w:t>Jordania</w:t>
            </w:r>
          </w:p>
        </w:tc>
        <w:tc>
          <w:tcPr>
            <w:tcW w:w="3226" w:type="dxa"/>
            <w:vAlign w:val="center"/>
          </w:tcPr>
          <w:p w:rsidR="005831EC" w:rsidRPr="009107E8" w:rsidRDefault="005831EC" w:rsidP="00616CFA">
            <w:pPr>
              <w:rPr>
                <w:snapToGrid w:val="0"/>
              </w:rPr>
            </w:pPr>
            <w:r>
              <w:t>República de Moldova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Brasil</w:t>
            </w:r>
          </w:p>
        </w:tc>
        <w:tc>
          <w:tcPr>
            <w:tcW w:w="3119" w:type="dxa"/>
            <w:vAlign w:val="center"/>
          </w:tcPr>
          <w:p w:rsidR="005831EC" w:rsidRPr="009107E8" w:rsidRDefault="005831EC" w:rsidP="00616CFA">
            <w:pPr>
              <w:rPr>
                <w:snapToGrid w:val="0"/>
              </w:rPr>
            </w:pPr>
            <w:r>
              <w:t>Kenya</w:t>
            </w:r>
          </w:p>
        </w:tc>
        <w:tc>
          <w:tcPr>
            <w:tcW w:w="3226" w:type="dxa"/>
            <w:vAlign w:val="center"/>
          </w:tcPr>
          <w:p w:rsidR="005831EC" w:rsidRPr="009107E8" w:rsidRDefault="005831EC" w:rsidP="00616CFA">
            <w:pPr>
              <w:rPr>
                <w:snapToGrid w:val="0"/>
              </w:rPr>
            </w:pPr>
            <w:r>
              <w:t>República Unida de Tanzanía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Bulgaria</w:t>
            </w:r>
          </w:p>
        </w:tc>
        <w:tc>
          <w:tcPr>
            <w:tcW w:w="3119" w:type="dxa"/>
            <w:vAlign w:val="center"/>
          </w:tcPr>
          <w:p w:rsidR="005831EC" w:rsidRPr="009107E8" w:rsidRDefault="005831EC" w:rsidP="00616CFA">
            <w:pPr>
              <w:rPr>
                <w:snapToGrid w:val="0"/>
              </w:rPr>
            </w:pPr>
            <w:r>
              <w:t>Israel</w:t>
            </w:r>
          </w:p>
        </w:tc>
        <w:tc>
          <w:tcPr>
            <w:tcW w:w="3226" w:type="dxa"/>
            <w:vAlign w:val="center"/>
          </w:tcPr>
          <w:p w:rsidR="005831EC" w:rsidRPr="009107E8" w:rsidRDefault="005831EC" w:rsidP="00616CFA">
            <w:pPr>
              <w:rPr>
                <w:snapToGrid w:val="0"/>
              </w:rPr>
            </w:pPr>
            <w:r>
              <w:t>Rumania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Canadá</w:t>
            </w:r>
          </w:p>
        </w:tc>
        <w:tc>
          <w:tcPr>
            <w:tcW w:w="3119" w:type="dxa"/>
            <w:vAlign w:val="center"/>
          </w:tcPr>
          <w:p w:rsidR="005831EC" w:rsidRPr="009107E8" w:rsidRDefault="005831EC" w:rsidP="00616CFA">
            <w:pPr>
              <w:rPr>
                <w:snapToGrid w:val="0"/>
              </w:rPr>
            </w:pPr>
            <w:r>
              <w:t>Italia</w:t>
            </w:r>
          </w:p>
        </w:tc>
        <w:tc>
          <w:tcPr>
            <w:tcW w:w="3226" w:type="dxa"/>
            <w:vAlign w:val="center"/>
          </w:tcPr>
          <w:p w:rsidR="005831EC" w:rsidRPr="009107E8" w:rsidRDefault="005831EC" w:rsidP="00616CFA">
            <w:pPr>
              <w:rPr>
                <w:snapToGrid w:val="0"/>
              </w:rPr>
            </w:pPr>
            <w:r>
              <w:t>Serbia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Chile</w:t>
            </w:r>
          </w:p>
        </w:tc>
        <w:tc>
          <w:tcPr>
            <w:tcW w:w="3119" w:type="dxa"/>
            <w:vAlign w:val="center"/>
          </w:tcPr>
          <w:p w:rsidR="005831EC" w:rsidRPr="009107E8" w:rsidRDefault="005831EC" w:rsidP="00DB1DE8">
            <w:pPr>
              <w:rPr>
                <w:snapToGrid w:val="0"/>
              </w:rPr>
            </w:pPr>
            <w:r>
              <w:t>Letonia</w:t>
            </w:r>
          </w:p>
        </w:tc>
        <w:tc>
          <w:tcPr>
            <w:tcW w:w="3226" w:type="dxa"/>
            <w:vAlign w:val="center"/>
          </w:tcPr>
          <w:p w:rsidR="005831EC" w:rsidRPr="009107E8" w:rsidRDefault="005831EC" w:rsidP="00616CFA">
            <w:pPr>
              <w:rPr>
                <w:snapToGrid w:val="0"/>
              </w:rPr>
            </w:pPr>
            <w:r>
              <w:t>Sudáfrica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China</w:t>
            </w:r>
          </w:p>
        </w:tc>
        <w:tc>
          <w:tcPr>
            <w:tcW w:w="3119" w:type="dxa"/>
            <w:vAlign w:val="center"/>
          </w:tcPr>
          <w:p w:rsidR="005831EC" w:rsidRPr="009107E8" w:rsidRDefault="005831EC" w:rsidP="00616CFA">
            <w:pPr>
              <w:rPr>
                <w:snapToGrid w:val="0"/>
              </w:rPr>
            </w:pPr>
            <w:r>
              <w:t>Lituania</w:t>
            </w:r>
          </w:p>
        </w:tc>
        <w:tc>
          <w:tcPr>
            <w:tcW w:w="3226" w:type="dxa"/>
            <w:vAlign w:val="center"/>
          </w:tcPr>
          <w:p w:rsidR="005831EC" w:rsidRPr="009107E8" w:rsidRDefault="005831EC" w:rsidP="00616CFA">
            <w:pPr>
              <w:rPr>
                <w:snapToGrid w:val="0"/>
              </w:rPr>
            </w:pPr>
            <w:r>
              <w:t>Suecia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Colombia</w:t>
            </w:r>
          </w:p>
        </w:tc>
        <w:tc>
          <w:tcPr>
            <w:tcW w:w="3119" w:type="dxa"/>
            <w:vAlign w:val="center"/>
          </w:tcPr>
          <w:p w:rsidR="005831EC" w:rsidRPr="009107E8" w:rsidRDefault="005831EC" w:rsidP="00616CFA">
            <w:pPr>
              <w:rPr>
                <w:snapToGrid w:val="0"/>
              </w:rPr>
            </w:pPr>
            <w:r>
              <w:t>Marruecos</w:t>
            </w:r>
          </w:p>
        </w:tc>
        <w:tc>
          <w:tcPr>
            <w:tcW w:w="3226" w:type="dxa"/>
            <w:vAlign w:val="center"/>
          </w:tcPr>
          <w:p w:rsidR="005831EC" w:rsidRPr="009107E8" w:rsidRDefault="005831EC" w:rsidP="00616CFA">
            <w:pPr>
              <w:rPr>
                <w:snapToGrid w:val="0"/>
              </w:rPr>
            </w:pPr>
            <w:r>
              <w:t>Suiza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Costa Rica</w:t>
            </w:r>
          </w:p>
        </w:tc>
        <w:tc>
          <w:tcPr>
            <w:tcW w:w="3119" w:type="dxa"/>
            <w:vAlign w:val="center"/>
          </w:tcPr>
          <w:p w:rsidR="005831EC" w:rsidRPr="009107E8" w:rsidRDefault="005831EC" w:rsidP="00616CFA">
            <w:pPr>
              <w:rPr>
                <w:snapToGrid w:val="0"/>
              </w:rPr>
            </w:pPr>
            <w:r>
              <w:t>México</w:t>
            </w:r>
          </w:p>
        </w:tc>
        <w:tc>
          <w:tcPr>
            <w:tcW w:w="3226" w:type="dxa"/>
            <w:vAlign w:val="center"/>
          </w:tcPr>
          <w:p w:rsidR="005831EC" w:rsidRPr="009107E8" w:rsidRDefault="005831EC" w:rsidP="00616CFA">
            <w:pPr>
              <w:rPr>
                <w:snapToGrid w:val="0"/>
              </w:rPr>
            </w:pPr>
            <w:r>
              <w:t>Trinidad y Tabago</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Dinamarca</w:t>
            </w:r>
          </w:p>
        </w:tc>
        <w:tc>
          <w:tcPr>
            <w:tcW w:w="3119" w:type="dxa"/>
            <w:vAlign w:val="center"/>
          </w:tcPr>
          <w:p w:rsidR="005831EC" w:rsidRPr="009107E8" w:rsidRDefault="005831EC" w:rsidP="00616CFA">
            <w:pPr>
              <w:rPr>
                <w:snapToGrid w:val="0"/>
              </w:rPr>
            </w:pPr>
            <w:r>
              <w:t>Noruega</w:t>
            </w:r>
          </w:p>
        </w:tc>
        <w:tc>
          <w:tcPr>
            <w:tcW w:w="3226" w:type="dxa"/>
            <w:vAlign w:val="center"/>
          </w:tcPr>
          <w:p w:rsidR="005831EC" w:rsidRPr="009107E8" w:rsidRDefault="005831EC" w:rsidP="00616CFA">
            <w:pPr>
              <w:rPr>
                <w:snapToGrid w:val="0"/>
              </w:rPr>
            </w:pPr>
            <w:r>
              <w:t>Túnez</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Ecuador</w:t>
            </w:r>
          </w:p>
        </w:tc>
        <w:tc>
          <w:tcPr>
            <w:tcW w:w="3119" w:type="dxa"/>
            <w:vAlign w:val="center"/>
          </w:tcPr>
          <w:p w:rsidR="005831EC" w:rsidRPr="009107E8" w:rsidRDefault="005831EC" w:rsidP="00DB1DE8">
            <w:pPr>
              <w:rPr>
                <w:snapToGrid w:val="0"/>
              </w:rPr>
            </w:pPr>
            <w:r>
              <w:t>Nueva Zelandia</w:t>
            </w:r>
          </w:p>
        </w:tc>
        <w:tc>
          <w:tcPr>
            <w:tcW w:w="3226" w:type="dxa"/>
            <w:vAlign w:val="center"/>
          </w:tcPr>
          <w:p w:rsidR="005831EC" w:rsidRPr="009107E8" w:rsidRDefault="005831EC" w:rsidP="00616CFA">
            <w:pPr>
              <w:rPr>
                <w:snapToGrid w:val="0"/>
              </w:rPr>
            </w:pPr>
            <w:r>
              <w:t>Turquía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Eslovaquia</w:t>
            </w:r>
          </w:p>
        </w:tc>
        <w:tc>
          <w:tcPr>
            <w:tcW w:w="3119" w:type="dxa"/>
            <w:vAlign w:val="center"/>
          </w:tcPr>
          <w:p w:rsidR="005831EC" w:rsidRPr="009107E8" w:rsidRDefault="005831EC" w:rsidP="00616CFA">
            <w:pPr>
              <w:rPr>
                <w:snapToGrid w:val="0"/>
              </w:rPr>
            </w:pPr>
            <w:r>
              <w:t>Organización Africana de la Propiedad Intelectual</w:t>
            </w:r>
          </w:p>
        </w:tc>
        <w:tc>
          <w:tcPr>
            <w:tcW w:w="3226" w:type="dxa"/>
            <w:vAlign w:val="center"/>
          </w:tcPr>
          <w:p w:rsidR="005831EC" w:rsidRPr="009107E8" w:rsidRDefault="005831EC" w:rsidP="00616CFA">
            <w:pPr>
              <w:rPr>
                <w:snapToGrid w:val="0"/>
              </w:rPr>
            </w:pPr>
            <w:r>
              <w:t>Unión Europea</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Eslovenia</w:t>
            </w:r>
          </w:p>
        </w:tc>
        <w:tc>
          <w:tcPr>
            <w:tcW w:w="3119" w:type="dxa"/>
            <w:vAlign w:val="center"/>
          </w:tcPr>
          <w:p w:rsidR="005831EC" w:rsidRPr="009107E8" w:rsidRDefault="005831EC" w:rsidP="00616CFA">
            <w:pPr>
              <w:rPr>
                <w:snapToGrid w:val="0"/>
              </w:rPr>
            </w:pPr>
            <w:r>
              <w:t>Países Bajos</w:t>
            </w:r>
          </w:p>
        </w:tc>
        <w:tc>
          <w:tcPr>
            <w:tcW w:w="3226" w:type="dxa"/>
            <w:vAlign w:val="center"/>
          </w:tcPr>
          <w:p w:rsidR="005831EC" w:rsidRPr="009107E8" w:rsidRDefault="005831EC" w:rsidP="00616CFA">
            <w:pPr>
              <w:rPr>
                <w:snapToGrid w:val="0"/>
              </w:rPr>
            </w:pPr>
            <w:r>
              <w:t>Uruguay</w:t>
            </w:r>
          </w:p>
        </w:tc>
      </w:tr>
      <w:tr w:rsidR="005831EC" w:rsidRPr="009107E8" w:rsidTr="000F21D1">
        <w:trPr>
          <w:trHeight w:val="170"/>
          <w:jc w:val="center"/>
        </w:trPr>
        <w:tc>
          <w:tcPr>
            <w:tcW w:w="3510" w:type="dxa"/>
            <w:vAlign w:val="center"/>
          </w:tcPr>
          <w:p w:rsidR="005831EC" w:rsidRPr="009107E8" w:rsidRDefault="005831EC" w:rsidP="00DB1DE8">
            <w:pPr>
              <w:rPr>
                <w:snapToGrid w:val="0"/>
              </w:rPr>
            </w:pPr>
            <w:r>
              <w:t>Estados Unidos de América</w:t>
            </w:r>
          </w:p>
        </w:tc>
        <w:tc>
          <w:tcPr>
            <w:tcW w:w="3119" w:type="dxa"/>
            <w:vAlign w:val="center"/>
          </w:tcPr>
          <w:p w:rsidR="005831EC" w:rsidRPr="009107E8" w:rsidRDefault="005831EC" w:rsidP="00616CFA">
            <w:pPr>
              <w:rPr>
                <w:snapToGrid w:val="0"/>
              </w:rPr>
            </w:pPr>
            <w:r>
              <w:t>Panamá</w:t>
            </w:r>
          </w:p>
        </w:tc>
        <w:tc>
          <w:tcPr>
            <w:tcW w:w="3226" w:type="dxa"/>
            <w:vAlign w:val="center"/>
          </w:tcPr>
          <w:p w:rsidR="005831EC" w:rsidRPr="009107E8" w:rsidRDefault="005831EC" w:rsidP="00616CFA">
            <w:pPr>
              <w:rPr>
                <w:snapToGrid w:val="0"/>
              </w:rPr>
            </w:pPr>
            <w:r>
              <w:t>Viet Nam</w:t>
            </w:r>
          </w:p>
        </w:tc>
      </w:tr>
      <w:tr w:rsidR="005831EC" w:rsidRPr="009107E8" w:rsidTr="000F21D1">
        <w:trPr>
          <w:trHeight w:val="170"/>
          <w:jc w:val="center"/>
        </w:trPr>
        <w:tc>
          <w:tcPr>
            <w:tcW w:w="3510" w:type="dxa"/>
            <w:vAlign w:val="center"/>
          </w:tcPr>
          <w:p w:rsidR="005831EC" w:rsidRPr="009107E8" w:rsidRDefault="005831EC" w:rsidP="005831EC">
            <w:pPr>
              <w:rPr>
                <w:snapToGrid w:val="0"/>
              </w:rPr>
            </w:pPr>
            <w:r>
              <w:t xml:space="preserve">Estonia </w:t>
            </w:r>
          </w:p>
        </w:tc>
        <w:tc>
          <w:tcPr>
            <w:tcW w:w="3119" w:type="dxa"/>
            <w:vAlign w:val="center"/>
          </w:tcPr>
          <w:p w:rsidR="005831EC" w:rsidRPr="009107E8" w:rsidRDefault="005831EC" w:rsidP="00616CFA">
            <w:pPr>
              <w:rPr>
                <w:snapToGrid w:val="0"/>
              </w:rPr>
            </w:pPr>
          </w:p>
        </w:tc>
        <w:tc>
          <w:tcPr>
            <w:tcW w:w="3226" w:type="dxa"/>
            <w:vAlign w:val="center"/>
          </w:tcPr>
          <w:p w:rsidR="005831EC" w:rsidRPr="009107E8" w:rsidRDefault="005831EC" w:rsidP="00616CFA">
            <w:pPr>
              <w:rPr>
                <w:snapToGrid w:val="0"/>
              </w:rPr>
            </w:pPr>
          </w:p>
        </w:tc>
      </w:tr>
    </w:tbl>
    <w:p w:rsidR="000C339B" w:rsidRPr="00E678B8" w:rsidRDefault="000C339B" w:rsidP="000C339B">
      <w:pPr>
        <w:rPr>
          <w:snapToGrid w:val="0"/>
        </w:rPr>
      </w:pPr>
    </w:p>
    <w:p w:rsidR="000C339B" w:rsidRPr="000C339B" w:rsidRDefault="0045486F" w:rsidP="000C339B">
      <w:pPr>
        <w:rPr>
          <w:snapToGrid w:val="0"/>
        </w:rPr>
      </w:pPr>
      <w:r w:rsidRPr="00E678B8">
        <w:rPr>
          <w:snapToGrid w:val="0"/>
        </w:rPr>
        <w:fldChar w:fldCharType="begin"/>
      </w:r>
      <w:r w:rsidR="000C339B" w:rsidRPr="000C339B">
        <w:rPr>
          <w:snapToGrid w:val="0"/>
        </w:rPr>
        <w:instrText xml:space="preserve"> AUTONUM  </w:instrText>
      </w:r>
      <w:r w:rsidRPr="00E678B8">
        <w:rPr>
          <w:snapToGrid w:val="0"/>
        </w:rPr>
        <w:fldChar w:fldCharType="end"/>
      </w:r>
      <w:r w:rsidR="000C339B">
        <w:tab/>
        <w:t>Las respuestas a la encuesta se presentan en el anexo del presente documento.</w:t>
      </w:r>
    </w:p>
    <w:p w:rsidR="000C339B" w:rsidRPr="000C339B" w:rsidRDefault="000C339B" w:rsidP="000C339B">
      <w:pPr>
        <w:rPr>
          <w:snapToGrid w:val="0"/>
        </w:rPr>
      </w:pPr>
    </w:p>
    <w:p w:rsidR="000C339B" w:rsidRPr="000C339B" w:rsidRDefault="0045486F" w:rsidP="000C339B">
      <w:pPr>
        <w:tabs>
          <w:tab w:val="left" w:pos="4820"/>
          <w:tab w:val="left" w:pos="5387"/>
        </w:tabs>
        <w:ind w:left="4820"/>
        <w:rPr>
          <w:i/>
          <w:snapToGrid w:val="0"/>
        </w:rPr>
      </w:pPr>
      <w:r w:rsidRPr="00E678B8">
        <w:rPr>
          <w:i/>
          <w:snapToGrid w:val="0"/>
        </w:rPr>
        <w:fldChar w:fldCharType="begin"/>
      </w:r>
      <w:r w:rsidR="000C339B" w:rsidRPr="000C339B">
        <w:rPr>
          <w:i/>
          <w:snapToGrid w:val="0"/>
        </w:rPr>
        <w:instrText xml:space="preserve"> AUTONUM  </w:instrText>
      </w:r>
      <w:r w:rsidRPr="00E678B8">
        <w:rPr>
          <w:snapToGrid w:val="0"/>
        </w:rPr>
        <w:fldChar w:fldCharType="end"/>
      </w:r>
      <w:r w:rsidR="000C339B">
        <w:tab/>
      </w:r>
      <w:r w:rsidR="000C339B">
        <w:rPr>
          <w:i/>
          <w:snapToGrid w:val="0"/>
        </w:rPr>
        <w:t>Se invita al TC a examinar los resultados del sondeo de la situaci</w:t>
      </w:r>
      <w:r w:rsidR="00E67D88">
        <w:rPr>
          <w:i/>
          <w:snapToGrid w:val="0"/>
        </w:rPr>
        <w:t>ón actual de los miembros de la </w:t>
      </w:r>
      <w:r w:rsidR="000C339B">
        <w:rPr>
          <w:i/>
          <w:snapToGrid w:val="0"/>
        </w:rPr>
        <w:t>Unión en lo relativo a la cooperación en materia de examen, expuestos en el anexo del presente documento.</w:t>
      </w:r>
    </w:p>
    <w:p w:rsidR="000C339B" w:rsidRPr="000C339B" w:rsidRDefault="000C339B" w:rsidP="000C339B">
      <w:pPr>
        <w:rPr>
          <w:i/>
          <w:snapToGrid w:val="0"/>
        </w:rPr>
      </w:pPr>
    </w:p>
    <w:p w:rsidR="000C339B" w:rsidRPr="000C339B" w:rsidRDefault="000C339B" w:rsidP="000C339B">
      <w:pPr>
        <w:rPr>
          <w:snapToGrid w:val="0"/>
        </w:rPr>
      </w:pPr>
    </w:p>
    <w:p w:rsidR="000C339B" w:rsidRPr="000C339B" w:rsidRDefault="000C339B" w:rsidP="000C339B">
      <w:pPr>
        <w:jc w:val="right"/>
        <w:rPr>
          <w:snapToGrid w:val="0"/>
        </w:rPr>
      </w:pPr>
      <w:r>
        <w:t xml:space="preserve"> [Sigue el anexo]</w:t>
      </w:r>
    </w:p>
    <w:p w:rsidR="000C339B" w:rsidRPr="000C339B" w:rsidRDefault="000C339B" w:rsidP="000C339B">
      <w:pPr>
        <w:rPr>
          <w:snapToGrid w:val="0"/>
        </w:rPr>
        <w:sectPr w:rsidR="000C339B" w:rsidRPr="000C339B" w:rsidSect="00906DDC">
          <w:headerReference w:type="default" r:id="rId9"/>
          <w:pgSz w:w="11907" w:h="16840" w:code="9"/>
          <w:pgMar w:top="510" w:right="1134" w:bottom="1134" w:left="1134" w:header="510" w:footer="680" w:gutter="0"/>
          <w:cols w:space="720"/>
          <w:titlePg/>
        </w:sectPr>
      </w:pPr>
    </w:p>
    <w:p w:rsidR="000C339B" w:rsidRPr="000C339B" w:rsidRDefault="00E36E47" w:rsidP="000C339B">
      <w:pPr>
        <w:spacing w:before="60"/>
        <w:jc w:val="center"/>
        <w:rPr>
          <w:rFonts w:eastAsia="Arial" w:cs="Arial"/>
          <w:sz w:val="32"/>
          <w:szCs w:val="32"/>
        </w:rPr>
      </w:pPr>
      <w:r>
        <w:rPr>
          <w:noProof/>
          <w:lang w:eastAsia="es-ES_tradnl"/>
        </w:rPr>
        <w:lastRenderedPageBreak/>
        <mc:AlternateContent>
          <mc:Choice Requires="wpg">
            <w:drawing>
              <wp:anchor distT="0" distB="0" distL="114300" distR="114300" simplePos="0" relativeHeight="251658240" behindDoc="1" locked="0" layoutInCell="1" allowOverlap="1" wp14:anchorId="1E437574" wp14:editId="1CFDAB86">
                <wp:simplePos x="0" y="0"/>
                <wp:positionH relativeFrom="page">
                  <wp:posOffset>454025</wp:posOffset>
                </wp:positionH>
                <wp:positionV relativeFrom="paragraph">
                  <wp:posOffset>320675</wp:posOffset>
                </wp:positionV>
                <wp:extent cx="6648450" cy="1270"/>
                <wp:effectExtent l="0" t="0" r="19050" b="1778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70"/>
                          <a:chOff x="715" y="505"/>
                          <a:chExt cx="10470" cy="2"/>
                        </a:xfrm>
                      </wpg:grpSpPr>
                      <wps:wsp>
                        <wps:cNvPr id="33" name="Freeform 3"/>
                        <wps:cNvSpPr>
                          <a:spLocks/>
                        </wps:cNvSpPr>
                        <wps:spPr bwMode="auto">
                          <a:xfrm>
                            <a:off x="715" y="505"/>
                            <a:ext cx="10470" cy="2"/>
                          </a:xfrm>
                          <a:custGeom>
                            <a:avLst/>
                            <a:gdLst>
                              <a:gd name="T0" fmla="+- 0 715 715"/>
                              <a:gd name="T1" fmla="*/ T0 w 10470"/>
                              <a:gd name="T2" fmla="+- 0 11185 715"/>
                              <a:gd name="T3" fmla="*/ T2 w 10470"/>
                            </a:gdLst>
                            <a:ahLst/>
                            <a:cxnLst>
                              <a:cxn ang="0">
                                <a:pos x="T1" y="0"/>
                              </a:cxn>
                              <a:cxn ang="0">
                                <a:pos x="T3" y="0"/>
                              </a:cxn>
                            </a:cxnLst>
                            <a:rect l="0" t="0" r="r" b="b"/>
                            <a:pathLst>
                              <a:path w="10470">
                                <a:moveTo>
                                  <a:pt x="0" y="0"/>
                                </a:moveTo>
                                <a:lnTo>
                                  <a:pt x="10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5.75pt;margin-top:25.25pt;width:523.5pt;height:.1pt;z-index:-251658240;mso-position-horizontal-relative:page" coordorigin="715,505" coordsize="1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">
                <v:shape id="Freeform 3" o:spid="_x0000_s1027" style="position:absolute;left:715;top:505;width:10470;height:2;visibility:visible;mso-wrap-style:square;v-text-anchor:top" coordsize="1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FWsQA&#10;AADbAAAADwAAAGRycy9kb3ducmV2LnhtbESPQWvCQBSE74X+h+UVvDUbK7QSXaWUCl7aEhMQb8/s&#10;cxPMvg3ZVZN/3y0UPA4z8w2zXA+2FVfqfeNYwTRJQRBXTjdsFJTF5nkOwgdkja1jUjCSh/Xq8WGJ&#10;mXY3zum6C0ZECPsMFdQhdJmUvqrJok9cRxy9k+sthih7I3WPtwi3rXxJ01dpseG4UGNHHzVV593F&#10;KvjcGzbu8HPM3wrcf9mxKKffhVKTp+F9ASLQEO7h//ZWK5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BVrEAAAA2wAAAA8AAAAAAAAAAAAAAAAAmAIAAGRycy9k&#10;b3ducmV2LnhtbFBLBQYAAAAABAAEAPUAAACJAwAAAAA=&#10;" path="m,l10470,e" filled="f" strokeweight="1.1pt">
                  <v:path arrowok="t" o:connecttype="custom" o:connectlocs="0,0;10470,0" o:connectangles="0,0"/>
                </v:shape>
                <w10:wrap anchorx="page"/>
              </v:group>
            </w:pict>
          </mc:Fallback>
        </mc:AlternateContent>
      </w:r>
      <w:r w:rsidR="000C339B">
        <w:tab/>
      </w:r>
      <w:r w:rsidR="000C339B">
        <w:rPr>
          <w:b/>
          <w:sz w:val="32"/>
        </w:rPr>
        <w:t>Informe de los comentarios</w:t>
      </w:r>
    </w:p>
    <w:p w:rsidR="000C339B" w:rsidRPr="000C339B" w:rsidRDefault="000C339B" w:rsidP="000C339B">
      <w:pPr>
        <w:spacing w:before="5" w:line="190" w:lineRule="exact"/>
        <w:rPr>
          <w:sz w:val="19"/>
          <w:szCs w:val="19"/>
        </w:rPr>
      </w:pPr>
    </w:p>
    <w:p w:rsidR="000C339B" w:rsidRPr="000C339B" w:rsidRDefault="000C339B" w:rsidP="000C339B">
      <w:pPr>
        <w:jc w:val="left"/>
        <w:rPr>
          <w:rFonts w:eastAsia="Arial" w:cs="Arial"/>
          <w:i/>
        </w:rPr>
      </w:pPr>
      <w:r>
        <w:rPr>
          <w:i/>
        </w:rPr>
        <w:t>Se enumeran todas las preguntas de la encuesta y se presentan todas las respuestas de texto libre a todas estas preguntas, si procede</w:t>
      </w:r>
    </w:p>
    <w:p w:rsidR="000C339B" w:rsidRPr="000C339B" w:rsidRDefault="000C339B" w:rsidP="000C339B">
      <w:pPr>
        <w:jc w:val="left"/>
        <w:rPr>
          <w:rFonts w:eastAsia="Arial" w:cs="Arial"/>
          <w:i/>
        </w:rPr>
      </w:pPr>
    </w:p>
    <w:p w:rsidR="000C339B" w:rsidRPr="000C339B" w:rsidRDefault="000C339B" w:rsidP="000C339B">
      <w:pPr>
        <w:jc w:val="left"/>
        <w:rPr>
          <w:rFonts w:eastAsia="Arial" w:cs="Arial"/>
          <w:i/>
        </w:rPr>
      </w:pPr>
    </w:p>
    <w:p w:rsidR="000C339B" w:rsidRPr="000C339B" w:rsidRDefault="000C339B" w:rsidP="000C339B">
      <w:pPr>
        <w:jc w:val="center"/>
        <w:rPr>
          <w:rFonts w:eastAsia="Arial" w:cs="Arial"/>
          <w:sz w:val="28"/>
          <w:szCs w:val="28"/>
        </w:rPr>
      </w:pPr>
      <w:r>
        <w:rPr>
          <w:b/>
          <w:sz w:val="28"/>
        </w:rPr>
        <w:t>Índice</w:t>
      </w:r>
    </w:p>
    <w:p w:rsidR="000C339B" w:rsidRPr="000C339B" w:rsidRDefault="000C339B" w:rsidP="000C339B">
      <w:pPr>
        <w:spacing w:before="3" w:line="110" w:lineRule="exact"/>
        <w:rPr>
          <w:sz w:val="18"/>
          <w:szCs w:val="11"/>
        </w:rPr>
      </w:pPr>
    </w:p>
    <w:p w:rsidR="000C339B" w:rsidRPr="000C339B" w:rsidRDefault="000C339B" w:rsidP="000C339B">
      <w:pPr>
        <w:rPr>
          <w:rFonts w:eastAsia="Arial"/>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w:t>
      </w:r>
      <w:r>
        <w:t>:</w:t>
      </w:r>
      <w:r>
        <w:tab/>
        <w:t>* Miembro de la UPOV en nombre del cual responde a esta encuesta</w:t>
      </w:r>
      <w:r>
        <w:tab/>
        <w:t>2</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2</w:t>
      </w:r>
      <w:r>
        <w:t>:</w:t>
      </w:r>
      <w:r>
        <w:tab/>
      </w:r>
      <w:r>
        <w:rPr>
          <w:sz w:val="18"/>
        </w:rPr>
        <w:t>* Nombre (obligatorio)</w:t>
      </w:r>
      <w:r>
        <w:tab/>
      </w:r>
      <w:r>
        <w:rPr>
          <w:sz w:val="18"/>
        </w:rPr>
        <w:t>3</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3</w:t>
      </w:r>
      <w:r>
        <w:t>:</w:t>
      </w:r>
      <w:r>
        <w:tab/>
      </w:r>
      <w:r>
        <w:rPr>
          <w:sz w:val="18"/>
        </w:rPr>
        <w:t>* Cargo (obligatorio)</w:t>
      </w:r>
      <w:r>
        <w:tab/>
      </w:r>
      <w:r>
        <w:rPr>
          <w:sz w:val="18"/>
        </w:rPr>
        <w:t>3</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4</w:t>
      </w:r>
      <w:r>
        <w:t>:</w:t>
      </w:r>
      <w:r>
        <w:tab/>
      </w:r>
      <w:r>
        <w:rPr>
          <w:sz w:val="18"/>
        </w:rPr>
        <w:t>* Organización (obligatorio)</w:t>
      </w:r>
      <w:r>
        <w:tab/>
      </w:r>
      <w:r>
        <w:rPr>
          <w:sz w:val="18"/>
        </w:rPr>
        <w:t>3</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5</w:t>
      </w:r>
      <w:r>
        <w:t>:</w:t>
      </w:r>
      <w:r>
        <w:tab/>
      </w:r>
      <w:r>
        <w:rPr>
          <w:sz w:val="18"/>
        </w:rPr>
        <w:t>* Correo electrónico (obligatorio)</w:t>
      </w:r>
      <w:r>
        <w:tab/>
      </w:r>
      <w:r>
        <w:rPr>
          <w:sz w:val="18"/>
        </w:rPr>
        <w:t>3</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6</w:t>
      </w:r>
      <w:r>
        <w:t>:</w:t>
      </w:r>
      <w:r>
        <w:tab/>
        <w:t>* Aceptación: Soy consciente de que, a los efectos de la presente encuesta, se aplican las siguientes definiciones</w:t>
      </w:r>
      <w:r>
        <w:tab/>
      </w:r>
      <w:r>
        <w:rPr>
          <w:sz w:val="18"/>
        </w:rPr>
        <w:t>3</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7</w:t>
      </w:r>
      <w:r>
        <w:t>:</w:t>
      </w:r>
      <w:r>
        <w:tab/>
      </w:r>
      <w:r>
        <w:rPr>
          <w:sz w:val="18"/>
        </w:rPr>
        <w:t>La autoridad de su país/organización acepta informes DHE existentes de:</w:t>
      </w:r>
      <w:r>
        <w:tab/>
      </w:r>
      <w:r>
        <w:rPr>
          <w:sz w:val="18"/>
        </w:rPr>
        <w:t>4</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8</w:t>
      </w:r>
      <w:r>
        <w:t>:</w:t>
      </w:r>
      <w:r>
        <w:tab/>
        <w:t>Si la autoridad de su país/organización acepta informes DHE existentes de otros mi</w:t>
      </w:r>
      <w:r w:rsidR="00E67D88">
        <w:t>embros de la </w:t>
      </w:r>
      <w:r>
        <w:t>UPOV, ¿el informe DHE sirve de base para la decisión relativa al examen DHE, sin necesidad de más información?</w:t>
      </w:r>
      <w:r>
        <w:tab/>
      </w:r>
      <w:r>
        <w:rPr>
          <w:sz w:val="18"/>
        </w:rPr>
        <w:t xml:space="preserve"> 6</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9</w:t>
      </w:r>
      <w:r>
        <w:t>:</w:t>
      </w:r>
      <w:r>
        <w:tab/>
        <w:t>Si la autoridad de su país/organización acepta informes DHE exi</w:t>
      </w:r>
      <w:r w:rsidR="00E67D88">
        <w:t>stentes de otros miembros de la </w:t>
      </w:r>
      <w:r>
        <w:t>UPOV, ¿las directrices de examen de la UPOV deben servir de base para el examen DHE?</w:t>
      </w:r>
      <w:r>
        <w:tab/>
      </w:r>
      <w:r>
        <w:rPr>
          <w:sz w:val="18"/>
        </w:rPr>
        <w:t>7</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10</w:t>
      </w:r>
      <w:r>
        <w:t>:</w:t>
      </w:r>
      <w:r>
        <w:tab/>
      </w:r>
      <w:r>
        <w:rPr>
          <w:sz w:val="18"/>
        </w:rPr>
        <w:t>La autoridad de su país/organización suministra informes DHE existentes a:</w:t>
      </w:r>
      <w:r>
        <w:tab/>
      </w:r>
      <w:r>
        <w:rPr>
          <w:sz w:val="18"/>
        </w:rPr>
        <w:t>8</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11</w:t>
      </w:r>
      <w:r>
        <w:t>:</w:t>
      </w:r>
      <w:r>
        <w:rPr>
          <w:sz w:val="18"/>
        </w:rPr>
        <w:t xml:space="preserve"> </w:t>
      </w:r>
      <w:r>
        <w:tab/>
        <w:t xml:space="preserve">Si la autoridad de su país/organización suministra informes DHE existentes de otros </w:t>
      </w:r>
      <w:r w:rsidR="00E67D88">
        <w:t>miembros de la </w:t>
      </w:r>
      <w:r>
        <w:t>UPOV, ¿qué importe percibe por el informe DHE?</w:t>
      </w:r>
      <w:r>
        <w:tab/>
        <w:t>9</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12</w:t>
      </w:r>
      <w:r>
        <w:t>:</w:t>
      </w:r>
      <w:r>
        <w:rPr>
          <w:sz w:val="18"/>
        </w:rPr>
        <w:t xml:space="preserve"> </w:t>
      </w:r>
      <w:r>
        <w:tab/>
        <w:t>¿La autoridad de su país/organización coopera con otros miembros de la UPOV para evitar que se efectúen exámenes DHE de la misma variedad por duplicado o en paralelo?</w:t>
      </w:r>
      <w:r>
        <w:tab/>
      </w:r>
      <w:r>
        <w:rPr>
          <w:sz w:val="18"/>
        </w:rPr>
        <w:t>11</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13</w:t>
      </w:r>
      <w:r>
        <w:t>:</w:t>
      </w:r>
      <w:r>
        <w:rPr>
          <w:sz w:val="18"/>
        </w:rPr>
        <w:t xml:space="preserve"> </w:t>
      </w:r>
      <w:r>
        <w:tab/>
      </w:r>
      <w:r>
        <w:rPr>
          <w:sz w:val="18"/>
        </w:rPr>
        <w:t>Si la autoridad de su país/organización coopera con otros miembros de la UPOV para evitar que se efectúen exámenes DHE de la misma variedad por duplicado o en paralelo, ¿las directrices de examen de la UPOV deben servir de base para el examen DHE?</w:t>
      </w:r>
      <w:r>
        <w:tab/>
      </w:r>
      <w:r>
        <w:rPr>
          <w:sz w:val="18"/>
        </w:rPr>
        <w:t>13</w:t>
      </w:r>
    </w:p>
    <w:p w:rsidR="000C339B" w:rsidRPr="000C339B" w:rsidRDefault="000C339B" w:rsidP="000C339B">
      <w:pPr>
        <w:widowControl w:val="0"/>
        <w:tabs>
          <w:tab w:val="left" w:pos="1260"/>
          <w:tab w:val="right" w:leader="dot" w:pos="10440"/>
        </w:tabs>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14</w:t>
      </w:r>
      <w:r>
        <w:t>:</w:t>
      </w:r>
      <w:r>
        <w:rPr>
          <w:sz w:val="18"/>
        </w:rPr>
        <w:t xml:space="preserve"> </w:t>
      </w:r>
      <w:r>
        <w:tab/>
      </w:r>
      <w:r>
        <w:rPr>
          <w:sz w:val="18"/>
        </w:rPr>
        <w:t>Conforme a su experiencia, ¿resulta fácil organizar la cooperación en materia de examen DHE con otros miembros de la UPOV?</w:t>
      </w:r>
      <w:r>
        <w:tab/>
      </w:r>
      <w:r>
        <w:rPr>
          <w:sz w:val="18"/>
        </w:rPr>
        <w:t>14</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15</w:t>
      </w:r>
      <w:r>
        <w:t>:</w:t>
      </w:r>
      <w:r>
        <w:rPr>
          <w:sz w:val="18"/>
        </w:rPr>
        <w:t xml:space="preserve"> </w:t>
      </w:r>
      <w:r>
        <w:tab/>
      </w:r>
      <w:r>
        <w:rPr>
          <w:sz w:val="18"/>
        </w:rPr>
        <w:t>¿Cuál(es) es (son) la(s) causa(s) principal(es) de la dificultad para organizar la cooperación en materia de examen</w:t>
      </w:r>
      <w:r w:rsidR="00E67D88">
        <w:rPr>
          <w:sz w:val="18"/>
        </w:rPr>
        <w:t> </w:t>
      </w:r>
      <w:r>
        <w:rPr>
          <w:sz w:val="18"/>
        </w:rPr>
        <w:t>DHE con otros miembros de la UPOV?</w:t>
      </w:r>
      <w:r>
        <w:tab/>
      </w:r>
      <w:r>
        <w:rPr>
          <w:sz w:val="18"/>
        </w:rPr>
        <w:t>15</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16</w:t>
      </w:r>
      <w:r>
        <w:t>:</w:t>
      </w:r>
      <w:r>
        <w:rPr>
          <w:sz w:val="18"/>
        </w:rPr>
        <w:t xml:space="preserve"> </w:t>
      </w:r>
      <w:r>
        <w:tab/>
      </w:r>
      <w:r>
        <w:rPr>
          <w:sz w:val="18"/>
        </w:rPr>
        <w:t>En lo que respecta a la autoridad de su país/organización, ¿es exhaustiva y exacta la información sobre cooperación en materia de examen DHE que figura en la base de datos GENIE?</w:t>
      </w:r>
      <w:r>
        <w:rPr>
          <w:rFonts w:eastAsia="Arial" w:cs="Arial"/>
          <w:sz w:val="18"/>
          <w:szCs w:val="18"/>
        </w:rPr>
        <w:br/>
      </w:r>
      <w:r>
        <w:rPr>
          <w:sz w:val="18"/>
        </w:rPr>
        <w:t>a) taxones de los cuales la autoridad se ofrece a efectuar exámenes DHE en nombre de otras autoridades</w:t>
      </w:r>
      <w:r>
        <w:tab/>
      </w:r>
      <w:r>
        <w:rPr>
          <w:sz w:val="18"/>
        </w:rPr>
        <w:t>17</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17</w:t>
      </w:r>
      <w:r>
        <w:t>:</w:t>
      </w:r>
      <w:r>
        <w:rPr>
          <w:sz w:val="18"/>
        </w:rPr>
        <w:t xml:space="preserve"> </w:t>
      </w:r>
      <w:r>
        <w:tab/>
      </w:r>
      <w:r>
        <w:rPr>
          <w:sz w:val="18"/>
        </w:rPr>
        <w:t xml:space="preserve">En lo que respecta a la autoridad de su país/organización, ¿es exhaustiva y exacta la información sobre cooperación en materia de examen DHE que figura en la base de datos GENIE? </w:t>
      </w:r>
      <w:r>
        <w:rPr>
          <w:rFonts w:eastAsia="Arial" w:cs="Arial"/>
          <w:sz w:val="18"/>
          <w:szCs w:val="18"/>
        </w:rPr>
        <w:br/>
      </w:r>
      <w:r>
        <w:rPr>
          <w:sz w:val="18"/>
        </w:rPr>
        <w:t>b) taxones de los cuales otras autoridades efectúan el examen DHE en nombre de la autoridad</w:t>
      </w:r>
      <w:r>
        <w:tab/>
      </w:r>
      <w:r>
        <w:rPr>
          <w:sz w:val="18"/>
        </w:rPr>
        <w:t>18</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18</w:t>
      </w:r>
      <w:r>
        <w:t>:</w:t>
      </w:r>
      <w:r>
        <w:rPr>
          <w:sz w:val="18"/>
        </w:rPr>
        <w:t xml:space="preserve"> </w:t>
      </w:r>
      <w:r>
        <w:tab/>
      </w:r>
      <w:r>
        <w:rPr>
          <w:sz w:val="18"/>
        </w:rPr>
        <w:t xml:space="preserve">En lo que respecta a la autoridad de su país/organización, ¿es exhaustiva y exacta la información sobre cooperación en materia de examen DHE que figura en la base de datos GENIE? </w:t>
      </w:r>
      <w:r>
        <w:rPr>
          <w:rFonts w:eastAsia="Arial" w:cs="Arial"/>
          <w:sz w:val="18"/>
          <w:szCs w:val="18"/>
        </w:rPr>
        <w:br/>
      </w:r>
      <w:r>
        <w:rPr>
          <w:sz w:val="18"/>
        </w:rPr>
        <w:t>c)</w:t>
      </w:r>
      <w:r w:rsidR="0058413A">
        <w:rPr>
          <w:sz w:val="18"/>
        </w:rPr>
        <w:t xml:space="preserve"> </w:t>
      </w:r>
      <w:r>
        <w:rPr>
          <w:sz w:val="18"/>
        </w:rPr>
        <w:t xml:space="preserve">taxones de los cuales la autoridad suministra informes DHE existentes a otras autoridades </w:t>
      </w:r>
      <w:r>
        <w:tab/>
      </w:r>
      <w:r>
        <w:rPr>
          <w:sz w:val="18"/>
        </w:rPr>
        <w:t>19</w:t>
      </w:r>
    </w:p>
    <w:p w:rsidR="000C339B" w:rsidRPr="000C339B" w:rsidRDefault="000C339B" w:rsidP="000C339B">
      <w:pPr>
        <w:widowControl w:val="0"/>
        <w:tabs>
          <w:tab w:val="left" w:pos="1260"/>
          <w:tab w:val="right" w:leader="dot" w:pos="10440"/>
        </w:tabs>
        <w:spacing w:before="3" w:line="110" w:lineRule="exact"/>
        <w:ind w:left="1260" w:right="320" w:hanging="1260"/>
        <w:jc w:val="left"/>
        <w:rPr>
          <w:rFonts w:eastAsia="Calibri" w:cs="Arial"/>
          <w:sz w:val="11"/>
          <w:szCs w:val="11"/>
        </w:rPr>
      </w:pPr>
    </w:p>
    <w:p w:rsidR="000C339B" w:rsidRPr="000C339B" w:rsidRDefault="000C339B" w:rsidP="000C339B">
      <w:pPr>
        <w:widowControl w:val="0"/>
        <w:tabs>
          <w:tab w:val="left" w:pos="1260"/>
          <w:tab w:val="right" w:leader="dot" w:pos="10440"/>
        </w:tabs>
        <w:ind w:left="1260" w:right="320" w:hanging="1260"/>
        <w:jc w:val="left"/>
        <w:rPr>
          <w:rFonts w:eastAsia="Arial" w:cs="Arial"/>
          <w:sz w:val="18"/>
          <w:szCs w:val="18"/>
        </w:rPr>
      </w:pPr>
      <w:r>
        <w:rPr>
          <w:b/>
        </w:rPr>
        <w:t>Pregunta 19</w:t>
      </w:r>
      <w:r>
        <w:t>:</w:t>
      </w:r>
      <w:r>
        <w:rPr>
          <w:sz w:val="18"/>
        </w:rPr>
        <w:t xml:space="preserve"> </w:t>
      </w:r>
      <w:r>
        <w:tab/>
      </w:r>
      <w:r>
        <w:rPr>
          <w:sz w:val="18"/>
        </w:rPr>
        <w:t xml:space="preserve">En lo que respecta a la autoridad de su país/organización, ¿es exhaustiva y exacta la información sobre cooperación en materia de examen DHE que figura en la base de datos GENIE? </w:t>
      </w:r>
      <w:r>
        <w:rPr>
          <w:rFonts w:eastAsia="Arial" w:cs="Arial"/>
          <w:sz w:val="18"/>
          <w:szCs w:val="18"/>
        </w:rPr>
        <w:br/>
      </w:r>
      <w:r>
        <w:rPr>
          <w:sz w:val="18"/>
        </w:rPr>
        <w:t>d)</w:t>
      </w:r>
      <w:r w:rsidR="0058413A">
        <w:rPr>
          <w:sz w:val="18"/>
        </w:rPr>
        <w:t xml:space="preserve"> </w:t>
      </w:r>
      <w:r>
        <w:rPr>
          <w:sz w:val="18"/>
        </w:rPr>
        <w:t xml:space="preserve">taxones de los cuales la autoridad utiliza informes DHE existentes de otras autoridades </w:t>
      </w:r>
      <w:r>
        <w:tab/>
      </w:r>
      <w:r>
        <w:rPr>
          <w:sz w:val="18"/>
        </w:rPr>
        <w:t>20</w:t>
      </w:r>
    </w:p>
    <w:p w:rsidR="000C339B" w:rsidRPr="000C339B" w:rsidRDefault="000C339B" w:rsidP="000C339B">
      <w:pPr>
        <w:widowControl w:val="0"/>
        <w:tabs>
          <w:tab w:val="left" w:pos="10710"/>
        </w:tabs>
        <w:spacing w:line="276" w:lineRule="auto"/>
        <w:ind w:right="50"/>
        <w:jc w:val="left"/>
        <w:rPr>
          <w:rFonts w:eastAsia="Calibri" w:cs="Arial"/>
          <w:sz w:val="22"/>
          <w:szCs w:val="22"/>
        </w:rPr>
        <w:sectPr w:rsidR="000C339B" w:rsidRPr="000C339B" w:rsidSect="00616CFA">
          <w:headerReference w:type="default" r:id="rId10"/>
          <w:footerReference w:type="default" r:id="rId11"/>
          <w:pgSz w:w="11900" w:h="16840"/>
          <w:pgMar w:top="840" w:right="520" w:bottom="440" w:left="620" w:header="720" w:footer="253" w:gutter="0"/>
          <w:pgNumType w:start="1"/>
          <w:cols w:space="720"/>
        </w:sectPr>
      </w:pPr>
    </w:p>
    <w:p w:rsidR="000C339B" w:rsidRPr="000C339B" w:rsidRDefault="000C339B" w:rsidP="000C339B">
      <w:pPr>
        <w:autoSpaceDE w:val="0"/>
        <w:autoSpaceDN w:val="0"/>
        <w:adjustRightInd w:val="0"/>
        <w:spacing w:line="360" w:lineRule="auto"/>
        <w:jc w:val="left"/>
        <w:rPr>
          <w:rFonts w:cs="Arial"/>
          <w:bCs/>
          <w:sz w:val="18"/>
          <w:szCs w:val="28"/>
        </w:rPr>
      </w:pPr>
      <w:bookmarkStart w:id="3" w:name="_Toc476301253"/>
      <w:r w:rsidRPr="007A30AE">
        <w:rPr>
          <w:b/>
          <w:sz w:val="28"/>
          <w:szCs w:val="28"/>
        </w:rPr>
        <w:lastRenderedPageBreak/>
        <w:t>Pregunta 1</w:t>
      </w:r>
      <w:r w:rsidRPr="007A30AE">
        <w:rPr>
          <w:sz w:val="28"/>
          <w:szCs w:val="28"/>
        </w:rPr>
        <w:t>:</w:t>
      </w:r>
      <w:r w:rsidRPr="007A30AE">
        <w:rPr>
          <w:rFonts w:cs="Arial"/>
          <w:bCs/>
          <w:sz w:val="28"/>
          <w:szCs w:val="28"/>
        </w:rPr>
        <w:br/>
      </w:r>
      <w:r>
        <w:rPr>
          <w:sz w:val="18"/>
        </w:rPr>
        <w:t xml:space="preserve">* Miembro de la UPOV en nombre del cual responde a esta encuesta </w:t>
      </w:r>
    </w:p>
    <w:p w:rsidR="000C339B" w:rsidRPr="000C339B" w:rsidRDefault="000C339B" w:rsidP="000C339B">
      <w:pPr>
        <w:rPr>
          <w:rFonts w:cs="Arial"/>
          <w:sz w:val="18"/>
        </w:rPr>
      </w:pPr>
      <w:r>
        <w:rPr>
          <w:sz w:val="18"/>
        </w:rPr>
        <w:t>(por orden alfabético de los nombres de los miembros en inglés)</w:t>
      </w:r>
    </w:p>
    <w:p w:rsidR="000C339B" w:rsidRPr="000C339B" w:rsidRDefault="000C339B" w:rsidP="000C339B">
      <w:pPr>
        <w:rPr>
          <w:rFonts w:cs="Arial"/>
          <w:sz w:val="18"/>
          <w:szCs w:val="18"/>
        </w:rPr>
      </w:pPr>
    </w:p>
    <w:p w:rsidR="000C339B" w:rsidRPr="00E678B8" w:rsidRDefault="000C339B" w:rsidP="000C339B">
      <w:pPr>
        <w:tabs>
          <w:tab w:val="left" w:pos="4200"/>
        </w:tabs>
        <w:jc w:val="center"/>
        <w:rPr>
          <w:rFonts w:cs="Arial"/>
        </w:rPr>
      </w:pPr>
      <w:r>
        <w:rPr>
          <w:b/>
          <w:sz w:val="22"/>
        </w:rPr>
        <w:t>Tabla de frecuencias</w:t>
      </w: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0C339B" w:rsidRPr="00E678B8" w:rsidTr="00616CFA">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49"/>
              <w:ind w:left="29" w:right="-20"/>
              <w:jc w:val="left"/>
              <w:rPr>
                <w:rFonts w:eastAsia="Arial" w:cs="Arial"/>
                <w:sz w:val="18"/>
                <w:szCs w:val="18"/>
              </w:rPr>
            </w:pPr>
            <w:r>
              <w:rPr>
                <w:b/>
                <w:w w:val="106"/>
                <w:sz w:val="18"/>
              </w:rPr>
              <w:t>Miembros</w:t>
            </w:r>
            <w:r>
              <w:tab/>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ind w:right="-20"/>
              <w:jc w:val="left"/>
              <w:rPr>
                <w:rFonts w:eastAsia="Arial" w:cs="Arial"/>
                <w:b/>
                <w:bCs/>
                <w:color w:val="111111"/>
                <w:w w:val="107"/>
                <w:sz w:val="18"/>
                <w:szCs w:val="18"/>
              </w:rPr>
            </w:pPr>
            <w:r>
              <w:rPr>
                <w:b/>
                <w:color w:val="111111"/>
                <w:w w:val="107"/>
                <w:sz w:val="18"/>
              </w:rPr>
              <w:t>Frecuencia absoluta</w:t>
            </w:r>
          </w:p>
          <w:p w:rsidR="000C339B" w:rsidRPr="00E678B8" w:rsidRDefault="000C339B" w:rsidP="00616CFA">
            <w:pPr>
              <w:ind w:right="-20"/>
              <w:jc w:val="left"/>
              <w:rPr>
                <w:rFonts w:eastAsia="Arial" w:cs="Arial"/>
                <w:sz w:val="18"/>
                <w:szCs w:val="18"/>
              </w:rPr>
            </w:pP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ind w:right="-20"/>
              <w:jc w:val="left"/>
              <w:rPr>
                <w:rFonts w:eastAsia="Arial" w:cs="Arial"/>
                <w:b/>
                <w:bCs/>
                <w:w w:val="107"/>
                <w:sz w:val="18"/>
                <w:szCs w:val="18"/>
              </w:rPr>
            </w:pPr>
            <w:r>
              <w:rPr>
                <w:b/>
                <w:w w:val="107"/>
                <w:sz w:val="18"/>
              </w:rPr>
              <w:t>Frecuencia relativa</w:t>
            </w:r>
          </w:p>
          <w:p w:rsidR="000C339B" w:rsidRPr="00E678B8" w:rsidRDefault="000C339B" w:rsidP="00616CFA">
            <w:pPr>
              <w:ind w:right="-20"/>
              <w:jc w:val="left"/>
              <w:rPr>
                <w:rFonts w:eastAsia="Arial" w:cs="Arial"/>
                <w:b/>
                <w:bCs/>
                <w:w w:val="107"/>
                <w:sz w:val="18"/>
                <w:szCs w:val="18"/>
              </w:rPr>
            </w:pP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8"/>
                <w:szCs w:val="18"/>
              </w:rPr>
            </w:pPr>
            <w:r>
              <w:rPr>
                <w:b/>
                <w:w w:val="106"/>
                <w:sz w:val="18"/>
              </w:rPr>
              <w:t>Frecuencia relativa</w:t>
            </w:r>
            <w:r>
              <w:rPr>
                <w:rFonts w:eastAsia="Arial" w:cs="Arial"/>
                <w:b/>
                <w:bCs/>
                <w:w w:val="106"/>
                <w:sz w:val="18"/>
                <w:szCs w:val="18"/>
              </w:rPr>
              <w:br/>
            </w:r>
            <w:r>
              <w:rPr>
                <w:b/>
                <w:w w:val="106"/>
                <w:sz w:val="18"/>
              </w:rPr>
              <w:t>ajustada</w:t>
            </w:r>
          </w:p>
        </w:tc>
      </w:tr>
      <w:tr w:rsidR="000C339B" w:rsidRPr="00E678B8" w:rsidTr="00616CFA">
        <w:trPr>
          <w:trHeight w:hRule="exact" w:val="282"/>
        </w:trPr>
        <w:tc>
          <w:tcPr>
            <w:tcW w:w="5245" w:type="dxa"/>
            <w:tcBorders>
              <w:top w:val="single" w:sz="12" w:space="0" w:color="auto"/>
              <w:left w:val="nil"/>
              <w:bottom w:val="nil"/>
              <w:right w:val="nil"/>
            </w:tcBorders>
          </w:tcPr>
          <w:p w:rsidR="000C339B" w:rsidRPr="000C339B" w:rsidRDefault="000C339B" w:rsidP="00616CFA">
            <w:pPr>
              <w:spacing w:before="49"/>
              <w:ind w:left="40" w:right="-20"/>
              <w:rPr>
                <w:rFonts w:eastAsia="Arial" w:cs="Arial"/>
                <w:sz w:val="17"/>
                <w:szCs w:val="17"/>
              </w:rPr>
            </w:pPr>
            <w:r>
              <w:rPr>
                <w:sz w:val="17"/>
              </w:rPr>
              <w:t>Organización Africana de la Propiedad Intelectual (OAPI)</w:t>
            </w:r>
          </w:p>
        </w:tc>
        <w:tc>
          <w:tcPr>
            <w:tcW w:w="1418"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1</w:t>
            </w:r>
          </w:p>
        </w:tc>
        <w:tc>
          <w:tcPr>
            <w:tcW w:w="1559" w:type="dxa"/>
            <w:tcBorders>
              <w:top w:val="single" w:sz="12" w:space="0" w:color="auto"/>
              <w:left w:val="nil"/>
              <w:bottom w:val="nil"/>
              <w:right w:val="nil"/>
            </w:tcBorders>
          </w:tcPr>
          <w:p w:rsidR="000C339B" w:rsidRPr="00E678B8" w:rsidRDefault="000C339B" w:rsidP="00616CFA">
            <w:pPr>
              <w:spacing w:before="49"/>
              <w:ind w:left="109" w:right="-20"/>
              <w:rPr>
                <w:rFonts w:eastAsia="Arial" w:cs="Arial"/>
                <w:sz w:val="18"/>
                <w:szCs w:val="18"/>
              </w:rPr>
            </w:pPr>
            <w:r>
              <w:rPr>
                <w:w w:val="106"/>
                <w:sz w:val="18"/>
              </w:rPr>
              <w:t>1,79%</w:t>
            </w:r>
          </w:p>
        </w:tc>
        <w:tc>
          <w:tcPr>
            <w:tcW w:w="1417" w:type="dxa"/>
            <w:tcBorders>
              <w:top w:val="single" w:sz="12" w:space="0" w:color="auto"/>
              <w:left w:val="nil"/>
              <w:bottom w:val="nil"/>
              <w:right w:val="nil"/>
            </w:tcBorders>
          </w:tcPr>
          <w:p w:rsidR="000C339B" w:rsidRPr="00E678B8" w:rsidRDefault="000C339B" w:rsidP="00616CFA">
            <w:pPr>
              <w:spacing w:before="49"/>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sz w:val="17"/>
                <w:szCs w:val="17"/>
              </w:rPr>
            </w:pPr>
            <w:r>
              <w:rPr>
                <w:w w:val="105"/>
                <w:sz w:val="17"/>
              </w:rPr>
              <w:t>Argentina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w w:val="107"/>
                <w:sz w:val="18"/>
              </w:rPr>
              <w:t>1,79%</w:t>
            </w:r>
          </w:p>
        </w:tc>
      </w:tr>
      <w:tr w:rsidR="000C339B" w:rsidRPr="00E678B8" w:rsidTr="00616CFA">
        <w:trPr>
          <w:trHeight w:hRule="exact" w:val="274"/>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w w:val="105"/>
                <w:sz w:val="17"/>
              </w:rPr>
              <w:t>Australia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w w:val="104"/>
                <w:sz w:val="17"/>
              </w:rPr>
              <w:t>Austria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5"/>
                <w:sz w:val="17"/>
              </w:rPr>
              <w:t>Belarús</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sz w:val="17"/>
              </w:rPr>
              <w:t>Bolivia (Estado Plurinacional de)</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5"/>
                <w:sz w:val="17"/>
              </w:rPr>
              <w:t>Brasil</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4"/>
                <w:sz w:val="17"/>
              </w:rPr>
              <w:t>Bulgaria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sz w:val="17"/>
                <w:szCs w:val="17"/>
              </w:rPr>
            </w:pPr>
            <w:r>
              <w:rPr>
                <w:w w:val="107"/>
                <w:sz w:val="17"/>
              </w:rPr>
              <w:t>Canadá</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w w:val="108"/>
                <w:sz w:val="17"/>
              </w:rPr>
              <w:t>Chile</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45"/>
              <w:ind w:left="40" w:right="-20"/>
              <w:rPr>
                <w:rFonts w:eastAsia="Arial" w:cs="Arial"/>
                <w:sz w:val="17"/>
                <w:szCs w:val="17"/>
              </w:rPr>
            </w:pPr>
            <w:r>
              <w:rPr>
                <w:w w:val="108"/>
                <w:sz w:val="17"/>
              </w:rPr>
              <w:t>China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2</w:t>
            </w:r>
            <w:r w:rsidRPr="00E56749">
              <w:rPr>
                <w:rStyle w:val="FootnoteReference"/>
                <w:rFonts w:cs="Arial"/>
                <w:sz w:val="18"/>
                <w:szCs w:val="18"/>
              </w:rPr>
              <w:sym w:font="Symbol" w:char="F02A"/>
            </w:r>
          </w:p>
        </w:tc>
        <w:tc>
          <w:tcPr>
            <w:tcW w:w="1559" w:type="dxa"/>
            <w:tcBorders>
              <w:top w:val="nil"/>
              <w:left w:val="nil"/>
              <w:bottom w:val="nil"/>
              <w:right w:val="nil"/>
            </w:tcBorders>
          </w:tcPr>
          <w:p w:rsidR="000C339B" w:rsidRPr="00E678B8" w:rsidRDefault="000C339B" w:rsidP="00616CFA">
            <w:pPr>
              <w:spacing w:before="45"/>
              <w:ind w:left="95" w:right="-20"/>
              <w:rPr>
                <w:rFonts w:eastAsia="Arial" w:cs="Arial"/>
                <w:sz w:val="18"/>
                <w:szCs w:val="18"/>
              </w:rPr>
            </w:pPr>
            <w:r>
              <w:rPr>
                <w:color w:val="131313"/>
                <w:w w:val="106"/>
                <w:sz w:val="18"/>
              </w:rPr>
              <w:footnoteReference w:customMarkFollows="1" w:id="2"/>
              <w:t>3,57%</w:t>
            </w:r>
          </w:p>
        </w:tc>
        <w:tc>
          <w:tcPr>
            <w:tcW w:w="1417" w:type="dxa"/>
            <w:tcBorders>
              <w:top w:val="nil"/>
              <w:left w:val="nil"/>
              <w:bottom w:val="nil"/>
              <w:right w:val="nil"/>
            </w:tcBorders>
          </w:tcPr>
          <w:p w:rsidR="000C339B" w:rsidRPr="00E678B8" w:rsidRDefault="000C339B" w:rsidP="00616CFA">
            <w:pPr>
              <w:spacing w:before="45"/>
              <w:ind w:left="98" w:right="-20"/>
              <w:rPr>
                <w:rFonts w:eastAsia="Arial" w:cs="Arial"/>
                <w:sz w:val="18"/>
                <w:szCs w:val="18"/>
              </w:rPr>
            </w:pPr>
            <w:r>
              <w:rPr>
                <w:color w:val="131313"/>
                <w:w w:val="104"/>
                <w:sz w:val="18"/>
              </w:rPr>
              <w:t>3,57%</w:t>
            </w:r>
          </w:p>
        </w:tc>
      </w:tr>
      <w:tr w:rsidR="000C339B" w:rsidRPr="00E678B8" w:rsidTr="00616CFA">
        <w:trPr>
          <w:trHeight w:hRule="exact" w:val="283"/>
        </w:trPr>
        <w:tc>
          <w:tcPr>
            <w:tcW w:w="5245" w:type="dxa"/>
            <w:tcBorders>
              <w:top w:val="nil"/>
              <w:left w:val="nil"/>
              <w:bottom w:val="nil"/>
              <w:right w:val="nil"/>
            </w:tcBorders>
          </w:tcPr>
          <w:p w:rsidR="000C339B" w:rsidRPr="00E678B8" w:rsidRDefault="000C339B" w:rsidP="00616CFA">
            <w:pPr>
              <w:spacing w:before="27"/>
              <w:ind w:left="40" w:right="-20"/>
              <w:rPr>
                <w:rFonts w:eastAsia="Arial" w:cs="Arial"/>
                <w:sz w:val="17"/>
                <w:szCs w:val="17"/>
              </w:rPr>
            </w:pPr>
            <w:r>
              <w:rPr>
                <w:w w:val="107"/>
                <w:sz w:val="17"/>
              </w:rPr>
              <w:t>Colombia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2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2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sz w:val="17"/>
              </w:rPr>
              <w:t>Costa Rica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5"/>
                <w:sz w:val="17"/>
              </w:rPr>
              <w:t>Dinamarca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3"/>
                <w:sz w:val="17"/>
              </w:rPr>
              <w:t>Ecuador</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4"/>
                <w:sz w:val="17"/>
              </w:rPr>
              <w:t>Estonia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sz w:val="17"/>
              </w:rPr>
              <w:t>Unión Europea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5"/>
                <w:sz w:val="17"/>
              </w:rPr>
              <w:t>Finlandia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4"/>
                <w:sz w:val="17"/>
              </w:rPr>
              <w:t>Francia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sz w:val="17"/>
                <w:szCs w:val="17"/>
              </w:rPr>
            </w:pPr>
            <w:r>
              <w:rPr>
                <w:w w:val="106"/>
                <w:sz w:val="17"/>
              </w:rPr>
              <w:t>Alemania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3"/>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6"/>
                <w:sz w:val="17"/>
              </w:rPr>
              <w:t>Hungría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5"/>
                <w:sz w:val="17"/>
              </w:rPr>
              <w:t>Israel</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4"/>
                <w:sz w:val="17"/>
              </w:rPr>
              <w:t>Italia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74"/>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w w:val="106"/>
                <w:sz w:val="17"/>
              </w:rPr>
              <w:t>Japón</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sz w:val="17"/>
                <w:szCs w:val="17"/>
              </w:rPr>
            </w:pPr>
            <w:r>
              <w:rPr>
                <w:w w:val="106"/>
                <w:sz w:val="17"/>
              </w:rPr>
              <w:t>Jordania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color w:val="131313"/>
                <w:w w:val="105"/>
                <w:sz w:val="17"/>
              </w:rPr>
              <w:t>Kenya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900255" w:rsidP="00616CFA">
            <w:pPr>
              <w:spacing w:before="37"/>
              <w:ind w:left="54" w:right="-20"/>
              <w:rPr>
                <w:rFonts w:eastAsia="Arial" w:cs="Arial"/>
                <w:sz w:val="17"/>
                <w:szCs w:val="17"/>
              </w:rPr>
            </w:pPr>
            <w:r>
              <w:rPr>
                <w:rFonts w:eastAsia="Arial" w:cs="Arial"/>
                <w:sz w:val="17"/>
                <w:szCs w:val="17"/>
              </w:rPr>
              <w:t>Letonia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900255" w:rsidP="00616CFA">
            <w:pPr>
              <w:spacing w:before="37"/>
              <w:ind w:left="109" w:right="-20"/>
              <w:rPr>
                <w:rFonts w:eastAsia="Arial" w:cs="Arial"/>
                <w:sz w:val="18"/>
                <w:szCs w:val="18"/>
              </w:rPr>
            </w:pPr>
            <w:r>
              <w:rPr>
                <w:rFonts w:eastAsia="Arial" w:cs="Arial"/>
                <w:sz w:val="18"/>
                <w:szCs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4"/>
                <w:sz w:val="17"/>
              </w:rPr>
              <w:t>Lituania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900255" w:rsidP="00616CFA">
            <w:pPr>
              <w:spacing w:before="37"/>
              <w:ind w:left="54" w:right="-20"/>
              <w:rPr>
                <w:rFonts w:eastAsia="Arial" w:cs="Arial"/>
                <w:sz w:val="17"/>
                <w:szCs w:val="17"/>
              </w:rPr>
            </w:pPr>
            <w:r>
              <w:rPr>
                <w:rFonts w:eastAsia="Arial" w:cs="Arial"/>
                <w:sz w:val="17"/>
                <w:szCs w:val="17"/>
              </w:rPr>
              <w:t>México</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6"/>
                <w:sz w:val="17"/>
              </w:rPr>
              <w:t>Marruecos</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color w:val="131313"/>
                <w:w w:val="105"/>
                <w:sz w:val="17"/>
              </w:rPr>
              <w:t>Países Bajos</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sz w:val="17"/>
              </w:rPr>
              <w:t>Nueva Zelandia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3"/>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color w:val="131313"/>
                <w:w w:val="105"/>
                <w:sz w:val="17"/>
              </w:rPr>
              <w:t>Noruega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5"/>
                <w:sz w:val="17"/>
              </w:rPr>
              <w:t>Panamá</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color w:val="131313"/>
                <w:w w:val="103"/>
                <w:sz w:val="17"/>
              </w:rPr>
              <w:t>Perú</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w w:val="105"/>
                <w:sz w:val="17"/>
              </w:rPr>
              <w:t>Polonia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color w:val="131313"/>
                <w:w w:val="104"/>
                <w:sz w:val="17"/>
              </w:rPr>
              <w:t>Portugal</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54" w:right="-20"/>
              <w:rPr>
                <w:rFonts w:eastAsia="Arial" w:cs="Arial"/>
                <w:sz w:val="17"/>
                <w:szCs w:val="17"/>
              </w:rPr>
            </w:pPr>
            <w:r>
              <w:rPr>
                <w:color w:val="131313"/>
                <w:sz w:val="17"/>
              </w:rPr>
              <w:t>República de Corea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sz w:val="17"/>
              </w:rPr>
              <w:t>República de Moldova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54" w:right="-20"/>
              <w:rPr>
                <w:rFonts w:eastAsia="Arial" w:cs="Arial"/>
                <w:sz w:val="17"/>
                <w:szCs w:val="17"/>
              </w:rPr>
            </w:pPr>
            <w:r>
              <w:rPr>
                <w:w w:val="106"/>
                <w:sz w:val="17"/>
              </w:rPr>
              <w:t>Rumania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sz w:val="17"/>
                <w:szCs w:val="17"/>
              </w:rPr>
            </w:pPr>
            <w:r>
              <w:rPr>
                <w:color w:val="131313"/>
                <w:w w:val="106"/>
                <w:sz w:val="17"/>
              </w:rPr>
              <w:t>Serbia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3"/>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color w:val="131313"/>
                <w:w w:val="106"/>
                <w:sz w:val="17"/>
              </w:rPr>
              <w:lastRenderedPageBreak/>
              <w:t>Eslovaquia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3"/>
              <w:ind w:left="40" w:right="-20"/>
              <w:rPr>
                <w:rFonts w:eastAsia="Arial" w:cs="Arial"/>
                <w:sz w:val="17"/>
                <w:szCs w:val="17"/>
              </w:rPr>
            </w:pPr>
            <w:r>
              <w:rPr>
                <w:color w:val="131313"/>
                <w:w w:val="106"/>
                <w:sz w:val="17"/>
              </w:rPr>
              <w:t>Eslovenia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41"/>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41"/>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color w:val="131313"/>
                <w:sz w:val="17"/>
              </w:rPr>
              <w:t>Sudáfrica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E678B8" w:rsidRDefault="000C339B" w:rsidP="00616CFA">
            <w:pPr>
              <w:spacing w:before="30"/>
              <w:ind w:left="98" w:right="-20"/>
              <w:rPr>
                <w:rFonts w:eastAsia="Arial" w:cs="Arial"/>
                <w:sz w:val="18"/>
                <w:szCs w:val="18"/>
              </w:rPr>
            </w:pPr>
            <w:r>
              <w:rPr>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sz w:val="17"/>
                <w:szCs w:val="17"/>
              </w:rPr>
            </w:pPr>
            <w:r>
              <w:rPr>
                <w:color w:val="131313"/>
                <w:w w:val="107"/>
                <w:sz w:val="17"/>
              </w:rPr>
              <w:t>España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7"/>
              <w:ind w:left="109" w:right="-20"/>
              <w:rPr>
                <w:rFonts w:eastAsia="Arial" w:cs="Arial"/>
                <w:sz w:val="18"/>
                <w:szCs w:val="18"/>
              </w:rPr>
            </w:pPr>
            <w:r>
              <w:rPr>
                <w:color w:val="131313"/>
                <w:w w:val="106"/>
                <w:sz w:val="18"/>
              </w:rPr>
              <w:t>1,79%</w:t>
            </w:r>
          </w:p>
        </w:tc>
        <w:tc>
          <w:tcPr>
            <w:tcW w:w="1417" w:type="dxa"/>
            <w:tcBorders>
              <w:top w:val="nil"/>
              <w:left w:val="nil"/>
              <w:bottom w:val="nil"/>
              <w:right w:val="nil"/>
            </w:tcBorders>
          </w:tcPr>
          <w:p w:rsidR="000C339B" w:rsidRPr="00E678B8" w:rsidRDefault="000C339B" w:rsidP="00616CFA">
            <w:pPr>
              <w:spacing w:before="37"/>
              <w:ind w:left="98" w:right="-20"/>
              <w:rPr>
                <w:rFonts w:eastAsia="Arial" w:cs="Arial"/>
                <w:sz w:val="18"/>
                <w:szCs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0"/>
              <w:ind w:left="40" w:right="-20"/>
              <w:rPr>
                <w:rFonts w:eastAsia="Arial" w:cs="Arial"/>
                <w:sz w:val="17"/>
                <w:szCs w:val="17"/>
              </w:rPr>
            </w:pPr>
            <w:r>
              <w:rPr>
                <w:color w:val="131313"/>
                <w:w w:val="106"/>
                <w:sz w:val="17"/>
              </w:rPr>
              <w:t>Suecia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E678B8" w:rsidRDefault="000C339B" w:rsidP="00616CFA">
            <w:pPr>
              <w:spacing w:before="30"/>
              <w:ind w:left="109" w:right="-20"/>
              <w:rPr>
                <w:rFonts w:eastAsia="Arial" w:cs="Arial"/>
                <w:sz w:val="18"/>
                <w:szCs w:val="18"/>
              </w:rPr>
            </w:pPr>
            <w:r>
              <w:rPr>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sidRPr="00900255">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sz w:val="17"/>
                <w:szCs w:val="17"/>
              </w:rPr>
            </w:pPr>
            <w:r>
              <w:rPr>
                <w:color w:val="131313"/>
                <w:w w:val="106"/>
                <w:sz w:val="17"/>
              </w:rPr>
              <w:t>Suiza</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900255" w:rsidRDefault="000C339B" w:rsidP="00616CFA">
            <w:pPr>
              <w:spacing w:before="37"/>
              <w:ind w:left="109" w:right="-20"/>
              <w:rPr>
                <w:color w:val="131313"/>
                <w:w w:val="106"/>
                <w:sz w:val="18"/>
              </w:rPr>
            </w:pPr>
            <w:r>
              <w:rPr>
                <w:color w:val="131313"/>
                <w:w w:val="106"/>
                <w:sz w:val="18"/>
              </w:rPr>
              <w:t>1,79%</w:t>
            </w:r>
          </w:p>
        </w:tc>
        <w:tc>
          <w:tcPr>
            <w:tcW w:w="1417" w:type="dxa"/>
            <w:tcBorders>
              <w:top w:val="nil"/>
              <w:left w:val="nil"/>
              <w:bottom w:val="nil"/>
              <w:right w:val="nil"/>
            </w:tcBorders>
          </w:tcPr>
          <w:p w:rsidR="000C339B" w:rsidRPr="00900255" w:rsidRDefault="000C339B" w:rsidP="00616CFA">
            <w:pPr>
              <w:spacing w:before="37"/>
              <w:ind w:left="98" w:right="-20"/>
              <w:rPr>
                <w:color w:val="131313"/>
                <w:w w:val="107"/>
                <w:sz w:val="18"/>
              </w:rPr>
            </w:pPr>
            <w:r>
              <w:rPr>
                <w:color w:val="131313"/>
                <w:w w:val="107"/>
                <w:sz w:val="18"/>
              </w:rPr>
              <w:t>1,79%</w:t>
            </w:r>
          </w:p>
        </w:tc>
      </w:tr>
      <w:tr w:rsidR="000C339B" w:rsidRPr="00E678B8" w:rsidTr="00616CFA">
        <w:trPr>
          <w:trHeight w:hRule="exact" w:val="281"/>
        </w:trPr>
        <w:tc>
          <w:tcPr>
            <w:tcW w:w="5245" w:type="dxa"/>
            <w:tcBorders>
              <w:top w:val="nil"/>
              <w:left w:val="nil"/>
              <w:bottom w:val="nil"/>
              <w:right w:val="nil"/>
            </w:tcBorders>
          </w:tcPr>
          <w:p w:rsidR="000C339B" w:rsidRPr="00E678B8" w:rsidRDefault="000C339B" w:rsidP="006C77BC">
            <w:pPr>
              <w:spacing w:before="37"/>
              <w:ind w:left="40" w:right="-20"/>
              <w:rPr>
                <w:rFonts w:eastAsia="Arial" w:cs="Arial"/>
                <w:sz w:val="17"/>
                <w:szCs w:val="17"/>
              </w:rPr>
            </w:pPr>
            <w:r w:rsidRPr="006C77BC">
              <w:rPr>
                <w:color w:val="131313"/>
                <w:w w:val="106"/>
                <w:sz w:val="17"/>
              </w:rPr>
              <w:t>Trinidad y Tabago</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w:t>
            </w:r>
          </w:p>
        </w:tc>
        <w:tc>
          <w:tcPr>
            <w:tcW w:w="1559" w:type="dxa"/>
            <w:tcBorders>
              <w:top w:val="nil"/>
              <w:left w:val="nil"/>
              <w:bottom w:val="nil"/>
              <w:right w:val="nil"/>
            </w:tcBorders>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sidRPr="00900255">
              <w:rPr>
                <w:color w:val="131313"/>
                <w:w w:val="107"/>
                <w:sz w:val="18"/>
              </w:rPr>
              <w:t>1,79%</w:t>
            </w:r>
          </w:p>
        </w:tc>
      </w:tr>
      <w:tr w:rsidR="000C339B" w:rsidRPr="00E678B8" w:rsidTr="00616CFA">
        <w:trPr>
          <w:trHeight w:hRule="exact" w:val="283"/>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7"/>
                <w:szCs w:val="17"/>
              </w:rPr>
            </w:pPr>
            <w:r>
              <w:rPr>
                <w:color w:val="131313"/>
                <w:w w:val="107"/>
                <w:sz w:val="17"/>
              </w:rPr>
              <w:t>Túnez</w:t>
            </w:r>
          </w:p>
        </w:tc>
        <w:tc>
          <w:tcPr>
            <w:tcW w:w="1418" w:type="dxa"/>
            <w:tcBorders>
              <w:top w:val="nil"/>
              <w:left w:val="nil"/>
              <w:bottom w:val="nil"/>
              <w:right w:val="nil"/>
            </w:tcBorders>
            <w:vAlign w:val="center"/>
          </w:tcPr>
          <w:p w:rsidR="000C339B" w:rsidRPr="00E678B8" w:rsidRDefault="000C339B" w:rsidP="00616CFA">
            <w:pPr>
              <w:spacing w:before="37"/>
              <w:ind w:left="40" w:right="-20"/>
              <w:rPr>
                <w:rFonts w:eastAsia="Arial" w:cs="Arial"/>
                <w:color w:val="131313"/>
                <w:w w:val="107"/>
                <w:sz w:val="18"/>
                <w:szCs w:val="18"/>
              </w:rPr>
            </w:pPr>
            <w:r>
              <w:rPr>
                <w:color w:val="131313"/>
                <w:w w:val="107"/>
                <w:sz w:val="18"/>
              </w:rPr>
              <w:t>1</w:t>
            </w:r>
          </w:p>
        </w:tc>
        <w:tc>
          <w:tcPr>
            <w:tcW w:w="1559" w:type="dxa"/>
            <w:tcBorders>
              <w:top w:val="nil"/>
              <w:left w:val="nil"/>
              <w:bottom w:val="nil"/>
              <w:right w:val="nil"/>
            </w:tcBorders>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Pr>
                <w:color w:val="131313"/>
                <w:w w:val="107"/>
                <w:sz w:val="18"/>
              </w:rPr>
              <w:t>1,79%</w:t>
            </w:r>
          </w:p>
        </w:tc>
      </w:tr>
      <w:tr w:rsidR="000C339B" w:rsidRPr="00E678B8" w:rsidTr="00616CFA">
        <w:trPr>
          <w:trHeight w:val="283"/>
        </w:trPr>
        <w:tc>
          <w:tcPr>
            <w:tcW w:w="5245" w:type="dxa"/>
            <w:tcBorders>
              <w:top w:val="nil"/>
              <w:left w:val="nil"/>
              <w:bottom w:val="nil"/>
              <w:right w:val="nil"/>
            </w:tcBorders>
            <w:shd w:val="clear" w:color="auto" w:fill="FFFFFF" w:themeFill="background1"/>
          </w:tcPr>
          <w:p w:rsidR="000C339B" w:rsidRPr="00E678B8" w:rsidRDefault="000C339B" w:rsidP="00616CFA">
            <w:pPr>
              <w:spacing w:before="37"/>
              <w:ind w:left="40" w:right="-20"/>
              <w:rPr>
                <w:rFonts w:eastAsia="Arial" w:cs="Arial"/>
                <w:color w:val="131313"/>
                <w:w w:val="107"/>
                <w:sz w:val="17"/>
                <w:szCs w:val="17"/>
              </w:rPr>
            </w:pPr>
            <w:r>
              <w:rPr>
                <w:color w:val="131313"/>
                <w:w w:val="107"/>
                <w:sz w:val="17"/>
              </w:rPr>
              <w:t>Turquía</w:t>
            </w:r>
          </w:p>
        </w:tc>
        <w:tc>
          <w:tcPr>
            <w:tcW w:w="1418" w:type="dxa"/>
            <w:tcBorders>
              <w:top w:val="nil"/>
              <w:left w:val="nil"/>
              <w:bottom w:val="nil"/>
              <w:right w:val="nil"/>
            </w:tcBorders>
            <w:shd w:val="clear" w:color="auto" w:fill="FFFFFF" w:themeFill="background1"/>
            <w:vAlign w:val="center"/>
          </w:tcPr>
          <w:p w:rsidR="000C339B" w:rsidRPr="00E678B8" w:rsidRDefault="000C339B" w:rsidP="00616CFA">
            <w:pPr>
              <w:spacing w:before="37"/>
              <w:ind w:left="40" w:right="-20"/>
              <w:rPr>
                <w:rFonts w:eastAsia="Arial" w:cs="Arial"/>
                <w:color w:val="131313"/>
                <w:w w:val="107"/>
                <w:sz w:val="18"/>
                <w:szCs w:val="18"/>
              </w:rPr>
            </w:pPr>
            <w:r>
              <w:rPr>
                <w:color w:val="131313"/>
                <w:w w:val="107"/>
                <w:sz w:val="18"/>
              </w:rPr>
              <w:t>1</w:t>
            </w:r>
          </w:p>
        </w:tc>
        <w:tc>
          <w:tcPr>
            <w:tcW w:w="1559" w:type="dxa"/>
            <w:tcBorders>
              <w:top w:val="nil"/>
              <w:left w:val="nil"/>
              <w:bottom w:val="nil"/>
              <w:right w:val="nil"/>
            </w:tcBorders>
            <w:shd w:val="clear" w:color="auto" w:fill="FFFFFF" w:themeFill="background1"/>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shd w:val="clear" w:color="auto" w:fill="FFFFFF" w:themeFill="background1"/>
          </w:tcPr>
          <w:p w:rsidR="000C339B" w:rsidRPr="00900255" w:rsidRDefault="000C339B" w:rsidP="00900255">
            <w:pPr>
              <w:spacing w:before="37"/>
              <w:ind w:left="98" w:right="-20"/>
              <w:rPr>
                <w:color w:val="131313"/>
                <w:w w:val="107"/>
                <w:sz w:val="18"/>
              </w:rPr>
            </w:pPr>
            <w:r>
              <w:rPr>
                <w:color w:val="131313"/>
                <w:w w:val="107"/>
                <w:sz w:val="18"/>
              </w:rPr>
              <w:t>1,79%</w:t>
            </w:r>
          </w:p>
        </w:tc>
      </w:tr>
      <w:tr w:rsidR="000C339B" w:rsidRPr="00E678B8" w:rsidTr="00616CFA">
        <w:trPr>
          <w:trHeight w:val="283"/>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7"/>
                <w:szCs w:val="17"/>
              </w:rPr>
            </w:pPr>
            <w:r>
              <w:rPr>
                <w:color w:val="131313"/>
                <w:w w:val="107"/>
                <w:sz w:val="17"/>
              </w:rPr>
              <w:t>Reino Unido</w:t>
            </w:r>
          </w:p>
        </w:tc>
        <w:tc>
          <w:tcPr>
            <w:tcW w:w="1418" w:type="dxa"/>
            <w:tcBorders>
              <w:top w:val="nil"/>
              <w:left w:val="nil"/>
              <w:bottom w:val="nil"/>
              <w:right w:val="nil"/>
            </w:tcBorders>
            <w:vAlign w:val="center"/>
          </w:tcPr>
          <w:p w:rsidR="000C339B" w:rsidRPr="00E678B8" w:rsidRDefault="000C339B" w:rsidP="00616CFA">
            <w:pPr>
              <w:spacing w:before="37"/>
              <w:ind w:left="40" w:right="-20"/>
              <w:rPr>
                <w:rFonts w:eastAsia="Arial" w:cs="Arial"/>
                <w:color w:val="131313"/>
                <w:w w:val="107"/>
                <w:sz w:val="18"/>
                <w:szCs w:val="18"/>
              </w:rPr>
            </w:pPr>
            <w:r>
              <w:rPr>
                <w:color w:val="131313"/>
                <w:w w:val="107"/>
                <w:sz w:val="18"/>
              </w:rPr>
              <w:t>1</w:t>
            </w:r>
          </w:p>
        </w:tc>
        <w:tc>
          <w:tcPr>
            <w:tcW w:w="1559" w:type="dxa"/>
            <w:tcBorders>
              <w:top w:val="nil"/>
              <w:left w:val="nil"/>
              <w:bottom w:val="nil"/>
              <w:right w:val="nil"/>
            </w:tcBorders>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Pr>
                <w:color w:val="131313"/>
                <w:w w:val="107"/>
                <w:sz w:val="18"/>
              </w:rPr>
              <w:t>1,79%</w:t>
            </w:r>
          </w:p>
        </w:tc>
      </w:tr>
      <w:tr w:rsidR="000C339B" w:rsidRPr="00E678B8" w:rsidTr="00616CFA">
        <w:trPr>
          <w:trHeight w:val="283"/>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7"/>
                <w:szCs w:val="17"/>
              </w:rPr>
            </w:pPr>
            <w:r>
              <w:rPr>
                <w:color w:val="131313"/>
                <w:w w:val="107"/>
                <w:sz w:val="17"/>
              </w:rPr>
              <w:t xml:space="preserve">República Unida de </w:t>
            </w:r>
            <w:r w:rsidRPr="007A30AE">
              <w:rPr>
                <w:color w:val="131313"/>
                <w:w w:val="107"/>
                <w:sz w:val="17"/>
              </w:rPr>
              <w:t>Tanzanía</w:t>
            </w:r>
          </w:p>
        </w:tc>
        <w:tc>
          <w:tcPr>
            <w:tcW w:w="1418"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8"/>
                <w:szCs w:val="18"/>
              </w:rPr>
            </w:pPr>
            <w:r>
              <w:rPr>
                <w:color w:val="131313"/>
                <w:w w:val="107"/>
                <w:sz w:val="18"/>
              </w:rPr>
              <w:t>1</w:t>
            </w:r>
          </w:p>
        </w:tc>
        <w:tc>
          <w:tcPr>
            <w:tcW w:w="1559" w:type="dxa"/>
            <w:tcBorders>
              <w:top w:val="nil"/>
              <w:left w:val="nil"/>
              <w:bottom w:val="nil"/>
              <w:right w:val="nil"/>
            </w:tcBorders>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Pr>
                <w:color w:val="131313"/>
                <w:w w:val="107"/>
                <w:sz w:val="18"/>
              </w:rPr>
              <w:t>1,79%</w:t>
            </w:r>
          </w:p>
        </w:tc>
      </w:tr>
      <w:tr w:rsidR="000C339B" w:rsidRPr="00E678B8" w:rsidTr="00616CFA">
        <w:trPr>
          <w:trHeight w:val="283"/>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7"/>
                <w:szCs w:val="17"/>
              </w:rPr>
            </w:pPr>
            <w:r>
              <w:rPr>
                <w:color w:val="131313"/>
                <w:w w:val="107"/>
                <w:sz w:val="17"/>
              </w:rPr>
              <w:t>Estados Unidos de América</w:t>
            </w:r>
          </w:p>
        </w:tc>
        <w:tc>
          <w:tcPr>
            <w:tcW w:w="1418"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8"/>
                <w:szCs w:val="18"/>
              </w:rPr>
            </w:pPr>
            <w:r>
              <w:rPr>
                <w:color w:val="131313"/>
                <w:w w:val="107"/>
                <w:sz w:val="18"/>
              </w:rPr>
              <w:t>1</w:t>
            </w:r>
          </w:p>
        </w:tc>
        <w:tc>
          <w:tcPr>
            <w:tcW w:w="1559" w:type="dxa"/>
            <w:tcBorders>
              <w:top w:val="nil"/>
              <w:left w:val="nil"/>
              <w:bottom w:val="nil"/>
              <w:right w:val="nil"/>
            </w:tcBorders>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Pr>
                <w:color w:val="131313"/>
                <w:w w:val="107"/>
                <w:sz w:val="18"/>
              </w:rPr>
              <w:t>1,79%</w:t>
            </w:r>
          </w:p>
        </w:tc>
      </w:tr>
      <w:tr w:rsidR="000C339B" w:rsidRPr="00E678B8" w:rsidTr="00616CFA">
        <w:trPr>
          <w:trHeight w:val="283"/>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7"/>
                <w:szCs w:val="17"/>
              </w:rPr>
            </w:pPr>
            <w:r>
              <w:rPr>
                <w:color w:val="131313"/>
                <w:w w:val="107"/>
                <w:sz w:val="17"/>
              </w:rPr>
              <w:t>Uruguay</w:t>
            </w:r>
          </w:p>
        </w:tc>
        <w:tc>
          <w:tcPr>
            <w:tcW w:w="1418"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8"/>
                <w:szCs w:val="18"/>
              </w:rPr>
            </w:pPr>
            <w:r>
              <w:rPr>
                <w:color w:val="131313"/>
                <w:w w:val="107"/>
                <w:sz w:val="18"/>
              </w:rPr>
              <w:t>1</w:t>
            </w:r>
          </w:p>
        </w:tc>
        <w:tc>
          <w:tcPr>
            <w:tcW w:w="1559" w:type="dxa"/>
            <w:tcBorders>
              <w:top w:val="nil"/>
              <w:left w:val="nil"/>
              <w:bottom w:val="nil"/>
              <w:right w:val="nil"/>
            </w:tcBorders>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Pr>
                <w:color w:val="131313"/>
                <w:w w:val="107"/>
                <w:sz w:val="18"/>
              </w:rPr>
              <w:t>1,79%</w:t>
            </w:r>
          </w:p>
        </w:tc>
      </w:tr>
      <w:tr w:rsidR="000C339B" w:rsidRPr="00E678B8" w:rsidTr="00616CFA">
        <w:trPr>
          <w:trHeight w:val="283"/>
        </w:trPr>
        <w:tc>
          <w:tcPr>
            <w:tcW w:w="5245"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7"/>
                <w:szCs w:val="17"/>
              </w:rPr>
            </w:pPr>
            <w:r>
              <w:rPr>
                <w:color w:val="131313"/>
                <w:w w:val="107"/>
                <w:sz w:val="17"/>
              </w:rPr>
              <w:t>Viet Nam</w:t>
            </w:r>
          </w:p>
        </w:tc>
        <w:tc>
          <w:tcPr>
            <w:tcW w:w="1418" w:type="dxa"/>
            <w:tcBorders>
              <w:top w:val="nil"/>
              <w:left w:val="nil"/>
              <w:bottom w:val="nil"/>
              <w:right w:val="nil"/>
            </w:tcBorders>
          </w:tcPr>
          <w:p w:rsidR="000C339B" w:rsidRPr="00E678B8" w:rsidRDefault="000C339B" w:rsidP="00616CFA">
            <w:pPr>
              <w:spacing w:before="37"/>
              <w:ind w:left="40" w:right="-20"/>
              <w:rPr>
                <w:rFonts w:eastAsia="Arial" w:cs="Arial"/>
                <w:color w:val="131313"/>
                <w:w w:val="107"/>
                <w:sz w:val="18"/>
                <w:szCs w:val="18"/>
              </w:rPr>
            </w:pPr>
            <w:r>
              <w:rPr>
                <w:color w:val="131313"/>
                <w:w w:val="107"/>
                <w:sz w:val="18"/>
              </w:rPr>
              <w:t>1</w:t>
            </w:r>
          </w:p>
        </w:tc>
        <w:tc>
          <w:tcPr>
            <w:tcW w:w="1559" w:type="dxa"/>
            <w:tcBorders>
              <w:top w:val="nil"/>
              <w:left w:val="nil"/>
              <w:bottom w:val="nil"/>
              <w:right w:val="nil"/>
            </w:tcBorders>
          </w:tcPr>
          <w:p w:rsidR="000C339B" w:rsidRPr="00900255" w:rsidRDefault="000C339B" w:rsidP="00900255">
            <w:pPr>
              <w:spacing w:before="37"/>
              <w:ind w:left="109" w:right="-20"/>
              <w:rPr>
                <w:color w:val="131313"/>
                <w:w w:val="106"/>
                <w:sz w:val="18"/>
              </w:rPr>
            </w:pPr>
            <w:r w:rsidRPr="00900255">
              <w:rPr>
                <w:color w:val="131313"/>
                <w:w w:val="106"/>
                <w:sz w:val="18"/>
              </w:rPr>
              <w:t>1,79%</w:t>
            </w:r>
          </w:p>
        </w:tc>
        <w:tc>
          <w:tcPr>
            <w:tcW w:w="1417" w:type="dxa"/>
            <w:tcBorders>
              <w:top w:val="nil"/>
              <w:left w:val="nil"/>
              <w:bottom w:val="nil"/>
              <w:right w:val="nil"/>
            </w:tcBorders>
          </w:tcPr>
          <w:p w:rsidR="000C339B" w:rsidRPr="00900255" w:rsidRDefault="000C339B" w:rsidP="00900255">
            <w:pPr>
              <w:spacing w:before="37"/>
              <w:ind w:left="98" w:right="-20"/>
              <w:rPr>
                <w:color w:val="131313"/>
                <w:w w:val="107"/>
                <w:sz w:val="18"/>
              </w:rPr>
            </w:pPr>
            <w:r>
              <w:rPr>
                <w:color w:val="131313"/>
                <w:w w:val="107"/>
                <w:sz w:val="18"/>
              </w:rPr>
              <w:t>1,79%</w:t>
            </w:r>
          </w:p>
        </w:tc>
      </w:tr>
      <w:tr w:rsidR="000C339B" w:rsidRPr="00E678B8" w:rsidTr="00616CFA">
        <w:trPr>
          <w:trHeight w:val="283"/>
        </w:trPr>
        <w:tc>
          <w:tcPr>
            <w:tcW w:w="5245" w:type="dxa"/>
            <w:tcBorders>
              <w:top w:val="nil"/>
              <w:left w:val="nil"/>
              <w:bottom w:val="nil"/>
              <w:right w:val="nil"/>
            </w:tcBorders>
            <w:vAlign w:val="bottom"/>
          </w:tcPr>
          <w:p w:rsidR="000C339B" w:rsidRPr="00E678B8" w:rsidRDefault="000C339B" w:rsidP="00616CFA">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0C339B" w:rsidRPr="00E678B8" w:rsidRDefault="000C339B" w:rsidP="00616CFA">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0C339B" w:rsidRPr="00E678B8" w:rsidRDefault="000C339B" w:rsidP="00616CFA">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0C339B" w:rsidRPr="00E678B8" w:rsidRDefault="000C339B" w:rsidP="00616CFA">
            <w:pPr>
              <w:spacing w:before="37"/>
              <w:ind w:left="40" w:right="-20"/>
              <w:rPr>
                <w:rFonts w:eastAsia="Arial" w:cs="Arial"/>
                <w:color w:val="131313"/>
                <w:w w:val="106"/>
                <w:sz w:val="18"/>
                <w:szCs w:val="18"/>
              </w:rPr>
            </w:pPr>
          </w:p>
        </w:tc>
      </w:tr>
      <w:tr w:rsidR="000C339B" w:rsidRPr="00E678B8" w:rsidTr="00616CFA">
        <w:trPr>
          <w:trHeight w:val="283"/>
        </w:trPr>
        <w:tc>
          <w:tcPr>
            <w:tcW w:w="5245" w:type="dxa"/>
            <w:tcBorders>
              <w:top w:val="nil"/>
              <w:left w:val="nil"/>
              <w:bottom w:val="nil"/>
              <w:right w:val="nil"/>
            </w:tcBorders>
            <w:vAlign w:val="bottom"/>
          </w:tcPr>
          <w:p w:rsidR="000C339B" w:rsidRPr="00E678B8" w:rsidRDefault="000C339B" w:rsidP="00616CFA">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0C339B" w:rsidRPr="00E678B8" w:rsidRDefault="000C339B" w:rsidP="00616CFA">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0C339B" w:rsidRPr="00E678B8" w:rsidRDefault="000C339B" w:rsidP="00616CFA">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0C339B" w:rsidRPr="00E678B8" w:rsidRDefault="000C339B" w:rsidP="00616CFA">
            <w:pPr>
              <w:spacing w:before="37"/>
              <w:ind w:left="40" w:right="-20"/>
              <w:rPr>
                <w:rFonts w:eastAsia="Arial" w:cs="Arial"/>
                <w:color w:val="131313"/>
                <w:w w:val="106"/>
                <w:sz w:val="18"/>
                <w:szCs w:val="18"/>
              </w:rPr>
            </w:pPr>
          </w:p>
        </w:tc>
      </w:tr>
      <w:tr w:rsidR="000C339B" w:rsidRPr="00E678B8" w:rsidTr="00616CFA">
        <w:trPr>
          <w:trHeight w:val="283"/>
        </w:trPr>
        <w:tc>
          <w:tcPr>
            <w:tcW w:w="5245" w:type="dxa"/>
            <w:tcBorders>
              <w:top w:val="nil"/>
              <w:left w:val="nil"/>
              <w:bottom w:val="nil"/>
              <w:right w:val="nil"/>
            </w:tcBorders>
            <w:vAlign w:val="bottom"/>
          </w:tcPr>
          <w:p w:rsidR="000C339B" w:rsidRPr="00E678B8" w:rsidRDefault="000C339B" w:rsidP="00616CFA">
            <w:pPr>
              <w:spacing w:before="37"/>
              <w:ind w:left="40" w:right="-20"/>
              <w:rPr>
                <w:rFonts w:eastAsia="Arial" w:cs="Arial"/>
                <w:b/>
                <w:sz w:val="18"/>
                <w:szCs w:val="18"/>
              </w:rPr>
            </w:pPr>
            <w:r>
              <w:rPr>
                <w:b/>
                <w:sz w:val="18"/>
              </w:rPr>
              <w:t>Respondieron en total: 56</w:t>
            </w:r>
          </w:p>
        </w:tc>
        <w:tc>
          <w:tcPr>
            <w:tcW w:w="1418" w:type="dxa"/>
            <w:tcBorders>
              <w:top w:val="nil"/>
              <w:left w:val="nil"/>
              <w:bottom w:val="nil"/>
              <w:right w:val="nil"/>
            </w:tcBorders>
          </w:tcPr>
          <w:p w:rsidR="000C339B" w:rsidRPr="00E678B8" w:rsidRDefault="000C339B" w:rsidP="00616CFA">
            <w:pPr>
              <w:spacing w:before="37"/>
              <w:ind w:left="40" w:right="-20"/>
              <w:rPr>
                <w:rFonts w:eastAsia="Arial" w:cs="Arial"/>
                <w:sz w:val="18"/>
                <w:szCs w:val="18"/>
              </w:rPr>
            </w:pPr>
          </w:p>
        </w:tc>
        <w:tc>
          <w:tcPr>
            <w:tcW w:w="1559" w:type="dxa"/>
            <w:tcBorders>
              <w:top w:val="nil"/>
              <w:left w:val="nil"/>
              <w:bottom w:val="nil"/>
              <w:right w:val="nil"/>
            </w:tcBorders>
          </w:tcPr>
          <w:p w:rsidR="000C339B" w:rsidRPr="00E678B8" w:rsidRDefault="000C339B" w:rsidP="00616CFA">
            <w:pPr>
              <w:spacing w:before="37"/>
              <w:ind w:left="40" w:right="-20"/>
              <w:rPr>
                <w:rFonts w:eastAsia="Arial" w:cs="Arial"/>
                <w:sz w:val="18"/>
                <w:szCs w:val="18"/>
              </w:rPr>
            </w:pPr>
          </w:p>
        </w:tc>
        <w:tc>
          <w:tcPr>
            <w:tcW w:w="1417" w:type="dxa"/>
            <w:tcBorders>
              <w:top w:val="nil"/>
              <w:left w:val="nil"/>
              <w:bottom w:val="nil"/>
              <w:right w:val="nil"/>
            </w:tcBorders>
          </w:tcPr>
          <w:p w:rsidR="000C339B" w:rsidRPr="00E678B8" w:rsidRDefault="000C339B" w:rsidP="00616CFA">
            <w:pPr>
              <w:spacing w:before="37"/>
              <w:ind w:left="40" w:right="-20"/>
              <w:rPr>
                <w:rFonts w:eastAsia="Arial" w:cs="Arial"/>
                <w:sz w:val="18"/>
                <w:szCs w:val="18"/>
              </w:rPr>
            </w:pPr>
          </w:p>
        </w:tc>
      </w:tr>
    </w:tbl>
    <w:p w:rsidR="000C339B" w:rsidRPr="00E678B8" w:rsidRDefault="000C339B" w:rsidP="000C339B">
      <w:pPr>
        <w:autoSpaceDE w:val="0"/>
        <w:autoSpaceDN w:val="0"/>
        <w:adjustRightInd w:val="0"/>
        <w:jc w:val="left"/>
        <w:rPr>
          <w:rFonts w:cs="Arial"/>
        </w:rPr>
      </w:pPr>
    </w:p>
    <w:p w:rsidR="000C339B" w:rsidRPr="00E678B8" w:rsidRDefault="000C339B" w:rsidP="000C339B">
      <w:pPr>
        <w:autoSpaceDE w:val="0"/>
        <w:autoSpaceDN w:val="0"/>
        <w:adjustRightInd w:val="0"/>
        <w:jc w:val="left"/>
        <w:rPr>
          <w:rFonts w:cs="Arial"/>
          <w:b/>
          <w:bCs/>
          <w:sz w:val="18"/>
          <w:szCs w:val="18"/>
        </w:rPr>
      </w:pPr>
    </w:p>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autoSpaceDE w:val="0"/>
        <w:autoSpaceDN w:val="0"/>
        <w:adjustRightInd w:val="0"/>
        <w:spacing w:line="360" w:lineRule="auto"/>
        <w:jc w:val="left"/>
        <w:rPr>
          <w:rFonts w:cs="Arial"/>
          <w:bCs/>
          <w:sz w:val="18"/>
          <w:szCs w:val="18"/>
        </w:rPr>
      </w:pPr>
      <w:r>
        <w:rPr>
          <w:b/>
          <w:sz w:val="28"/>
        </w:rPr>
        <w:t>Pregunta 2:</w:t>
      </w:r>
      <w:r>
        <w:rPr>
          <w:rFonts w:cs="Arial"/>
          <w:bCs/>
          <w:sz w:val="18"/>
          <w:szCs w:val="28"/>
        </w:rPr>
        <w:br/>
      </w:r>
      <w:r>
        <w:rPr>
          <w:sz w:val="18"/>
        </w:rPr>
        <w:t>* Nombre</w:t>
      </w:r>
    </w:p>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autoSpaceDE w:val="0"/>
        <w:autoSpaceDN w:val="0"/>
        <w:adjustRightInd w:val="0"/>
        <w:spacing w:line="360" w:lineRule="auto"/>
        <w:jc w:val="left"/>
        <w:rPr>
          <w:rFonts w:cs="Arial"/>
          <w:bCs/>
          <w:sz w:val="18"/>
          <w:szCs w:val="18"/>
        </w:rPr>
      </w:pPr>
      <w:r>
        <w:rPr>
          <w:b/>
          <w:sz w:val="28"/>
        </w:rPr>
        <w:t>Pregunta 3:</w:t>
      </w:r>
      <w:r>
        <w:rPr>
          <w:rFonts w:cs="Arial"/>
          <w:b/>
          <w:bCs/>
          <w:sz w:val="18"/>
          <w:szCs w:val="28"/>
        </w:rPr>
        <w:br/>
      </w:r>
      <w:r>
        <w:rPr>
          <w:sz w:val="18"/>
        </w:rPr>
        <w:t>* Cargo</w:t>
      </w:r>
    </w:p>
    <w:p w:rsidR="000C339B" w:rsidRPr="00E678B8" w:rsidRDefault="000C339B" w:rsidP="000C339B">
      <w:pPr>
        <w:autoSpaceDE w:val="0"/>
        <w:autoSpaceDN w:val="0"/>
        <w:adjustRightInd w:val="0"/>
        <w:jc w:val="left"/>
        <w:rPr>
          <w:rFonts w:cs="Arial"/>
          <w:bCs/>
          <w:sz w:val="18"/>
          <w:szCs w:val="28"/>
        </w:rPr>
      </w:pPr>
    </w:p>
    <w:p w:rsidR="000C339B" w:rsidRPr="00E678B8" w:rsidRDefault="000C339B" w:rsidP="000C339B">
      <w:pPr>
        <w:autoSpaceDE w:val="0"/>
        <w:autoSpaceDN w:val="0"/>
        <w:adjustRightInd w:val="0"/>
        <w:spacing w:line="360" w:lineRule="auto"/>
        <w:jc w:val="left"/>
        <w:rPr>
          <w:rFonts w:cs="Arial"/>
          <w:bCs/>
          <w:sz w:val="18"/>
          <w:szCs w:val="18"/>
        </w:rPr>
      </w:pPr>
      <w:r>
        <w:rPr>
          <w:b/>
          <w:sz w:val="28"/>
        </w:rPr>
        <w:t>Pregunta 4:</w:t>
      </w:r>
      <w:r>
        <w:rPr>
          <w:rFonts w:cs="Arial"/>
          <w:b/>
          <w:bCs/>
          <w:sz w:val="18"/>
          <w:szCs w:val="28"/>
        </w:rPr>
        <w:br/>
      </w:r>
      <w:r>
        <w:rPr>
          <w:sz w:val="18"/>
        </w:rPr>
        <w:t>* Organización</w:t>
      </w:r>
    </w:p>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autoSpaceDE w:val="0"/>
        <w:autoSpaceDN w:val="0"/>
        <w:adjustRightInd w:val="0"/>
        <w:spacing w:line="360" w:lineRule="auto"/>
        <w:jc w:val="left"/>
        <w:rPr>
          <w:rFonts w:cs="Arial"/>
          <w:b/>
          <w:sz w:val="18"/>
          <w:szCs w:val="18"/>
        </w:rPr>
      </w:pPr>
      <w:r>
        <w:rPr>
          <w:b/>
          <w:sz w:val="28"/>
        </w:rPr>
        <w:t>Pregunta 5:</w:t>
      </w:r>
      <w:r>
        <w:rPr>
          <w:rFonts w:cs="Arial"/>
          <w:b/>
          <w:bCs/>
          <w:sz w:val="18"/>
          <w:szCs w:val="18"/>
        </w:rPr>
        <w:br/>
      </w:r>
      <w:r>
        <w:rPr>
          <w:sz w:val="18"/>
        </w:rPr>
        <w:t>* Correo electrónico</w:t>
      </w:r>
    </w:p>
    <w:p w:rsidR="000C339B" w:rsidRPr="00E678B8" w:rsidRDefault="000C339B" w:rsidP="000C339B">
      <w:pPr>
        <w:autoSpaceDE w:val="0"/>
        <w:autoSpaceDN w:val="0"/>
        <w:adjustRightInd w:val="0"/>
        <w:jc w:val="left"/>
        <w:rPr>
          <w:rFonts w:cs="Arial"/>
          <w:b/>
          <w:bCs/>
          <w:sz w:val="18"/>
          <w:szCs w:val="18"/>
        </w:rPr>
      </w:pPr>
    </w:p>
    <w:p w:rsidR="000C339B" w:rsidRPr="00E678B8" w:rsidRDefault="000C339B" w:rsidP="000C339B">
      <w:pPr>
        <w:autoSpaceDE w:val="0"/>
        <w:autoSpaceDN w:val="0"/>
        <w:adjustRightInd w:val="0"/>
        <w:spacing w:line="360" w:lineRule="auto"/>
        <w:jc w:val="left"/>
        <w:rPr>
          <w:rFonts w:cs="Arial"/>
          <w:bCs/>
          <w:sz w:val="18"/>
          <w:szCs w:val="28"/>
        </w:rPr>
      </w:pPr>
      <w:r>
        <w:rPr>
          <w:b/>
          <w:sz w:val="28"/>
        </w:rPr>
        <w:t>Pregunta 6:</w:t>
      </w:r>
      <w:r>
        <w:rPr>
          <w:rFonts w:cs="Arial"/>
          <w:b/>
          <w:bCs/>
          <w:sz w:val="18"/>
          <w:szCs w:val="28"/>
        </w:rPr>
        <w:br/>
      </w:r>
      <w:r>
        <w:rPr>
          <w:sz w:val="18"/>
        </w:rPr>
        <w:t xml:space="preserve">* Aceptación </w:t>
      </w:r>
    </w:p>
    <w:p w:rsidR="000C339B" w:rsidRPr="000C339B" w:rsidRDefault="000C339B" w:rsidP="000C339B">
      <w:pPr>
        <w:spacing w:line="360" w:lineRule="auto"/>
        <w:jc w:val="left"/>
        <w:rPr>
          <w:rFonts w:cs="Arial"/>
          <w:sz w:val="18"/>
        </w:rPr>
      </w:pPr>
      <w:r>
        <w:rPr>
          <w:sz w:val="18"/>
        </w:rPr>
        <w:t>Soy consciente de que, a los efectos de la presente encuesta, se aplican las siguientes definiciones: • Se entenderá por “informe DHE” la información contenida en la sección 6 “Informe de la UPOV sobre</w:t>
      </w:r>
      <w:r w:rsidR="00E67D88">
        <w:rPr>
          <w:sz w:val="18"/>
        </w:rPr>
        <w:t xml:space="preserve"> el examen técnico y formulario </w:t>
      </w:r>
      <w:r>
        <w:rPr>
          <w:sz w:val="18"/>
        </w:rPr>
        <w:t>UPOV para la descripción de variedades” del documento TGP/5 “Experie</w:t>
      </w:r>
      <w:r w:rsidR="00E67D88">
        <w:rPr>
          <w:sz w:val="18"/>
        </w:rPr>
        <w:t>ncia y cooperación en el examen </w:t>
      </w:r>
      <w:r>
        <w:rPr>
          <w:sz w:val="18"/>
        </w:rPr>
        <w:t>DHE” (véase http://www.upov.int/edocs/tgpdocs/es/tgp_5_section_6.pdf). • Se entenderá por “informe DHE existente” aquel informe DHE resultante de un examen DHE efectuado con anterioridad por un miembro de la UPOV.</w:t>
      </w:r>
    </w:p>
    <w:p w:rsidR="000C339B" w:rsidRPr="000C339B" w:rsidRDefault="000C339B" w:rsidP="000C339B">
      <w:pPr>
        <w:spacing w:line="360" w:lineRule="auto"/>
        <w:jc w:val="left"/>
        <w:rPr>
          <w:rFonts w:cs="Arial"/>
        </w:rPr>
      </w:pPr>
      <w:r>
        <w:br w:type="page"/>
      </w:r>
    </w:p>
    <w:p w:rsidR="000C339B" w:rsidRPr="000C339B" w:rsidRDefault="000C339B" w:rsidP="000C339B">
      <w:pPr>
        <w:autoSpaceDE w:val="0"/>
        <w:autoSpaceDN w:val="0"/>
        <w:adjustRightInd w:val="0"/>
        <w:spacing w:line="360" w:lineRule="auto"/>
        <w:jc w:val="left"/>
        <w:rPr>
          <w:rFonts w:cs="Arial"/>
          <w:bCs/>
          <w:sz w:val="18"/>
          <w:szCs w:val="28"/>
        </w:rPr>
      </w:pPr>
      <w:r w:rsidRPr="007A7081">
        <w:rPr>
          <w:b/>
          <w:sz w:val="28"/>
          <w:szCs w:val="28"/>
        </w:rPr>
        <w:lastRenderedPageBreak/>
        <w:t>Pregunta 7</w:t>
      </w:r>
      <w:r w:rsidRPr="007A7081">
        <w:rPr>
          <w:sz w:val="28"/>
          <w:szCs w:val="28"/>
        </w:rPr>
        <w:t>:</w:t>
      </w:r>
      <w:r w:rsidRPr="007A7081">
        <w:rPr>
          <w:rFonts w:cs="Arial"/>
          <w:bCs/>
          <w:sz w:val="28"/>
          <w:szCs w:val="28"/>
        </w:rPr>
        <w:br/>
      </w:r>
      <w:r>
        <w:rPr>
          <w:sz w:val="18"/>
        </w:rPr>
        <w:t>La autoridad de su país/organización acepta informes DHE existentes de:</w:t>
      </w:r>
    </w:p>
    <w:tbl>
      <w:tblPr>
        <w:tblStyle w:val="TableGrid"/>
        <w:tblpPr w:leftFromText="180" w:rightFromText="180" w:vertAnchor="text" w:horzAnchor="page" w:tblpX="1329" w:tblpY="479"/>
        <w:tblW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8"/>
      </w:tblGrid>
      <w:tr w:rsidR="000C339B" w:rsidRPr="00E678B8" w:rsidTr="00D47516">
        <w:trPr>
          <w:trHeight w:hRule="exact" w:val="1136"/>
        </w:trPr>
        <w:tc>
          <w:tcPr>
            <w:tcW w:w="2948" w:type="dxa"/>
            <w:vAlign w:val="center"/>
          </w:tcPr>
          <w:p w:rsidR="000C339B" w:rsidRPr="00E678B8" w:rsidRDefault="000C339B" w:rsidP="00616CFA">
            <w:pPr>
              <w:autoSpaceDE w:val="0"/>
              <w:autoSpaceDN w:val="0"/>
              <w:adjustRightInd w:val="0"/>
              <w:jc w:val="right"/>
              <w:rPr>
                <w:rFonts w:cs="Arial"/>
                <w:sz w:val="16"/>
                <w:szCs w:val="18"/>
              </w:rPr>
            </w:pPr>
            <w:r>
              <w:rPr>
                <w:sz w:val="16"/>
              </w:rPr>
              <w:t>Cualquier miembro de la UPOV</w:t>
            </w:r>
          </w:p>
        </w:tc>
      </w:tr>
      <w:tr w:rsidR="000C339B" w:rsidRPr="00E678B8" w:rsidTr="00D47516">
        <w:trPr>
          <w:trHeight w:hRule="exact" w:val="557"/>
        </w:trPr>
        <w:tc>
          <w:tcPr>
            <w:tcW w:w="2948" w:type="dxa"/>
            <w:vAlign w:val="center"/>
          </w:tcPr>
          <w:p w:rsidR="000C339B" w:rsidRPr="00E678B8" w:rsidRDefault="000C339B" w:rsidP="00616CFA">
            <w:pPr>
              <w:autoSpaceDE w:val="0"/>
              <w:autoSpaceDN w:val="0"/>
              <w:adjustRightInd w:val="0"/>
              <w:jc w:val="right"/>
              <w:rPr>
                <w:rFonts w:cs="Arial"/>
                <w:sz w:val="16"/>
                <w:szCs w:val="18"/>
              </w:rPr>
            </w:pPr>
            <w:r>
              <w:rPr>
                <w:sz w:val="16"/>
              </w:rPr>
              <w:t>Algunos miembros de la UPOV</w:t>
            </w:r>
          </w:p>
        </w:tc>
      </w:tr>
      <w:tr w:rsidR="000C339B" w:rsidRPr="00E678B8" w:rsidTr="00616CFA">
        <w:trPr>
          <w:trHeight w:hRule="exact" w:val="928"/>
        </w:trPr>
        <w:tc>
          <w:tcPr>
            <w:tcW w:w="2948" w:type="dxa"/>
            <w:vAlign w:val="center"/>
          </w:tcPr>
          <w:p w:rsidR="000C339B" w:rsidRPr="00E678B8" w:rsidRDefault="000C339B" w:rsidP="00616CFA">
            <w:pPr>
              <w:autoSpaceDE w:val="0"/>
              <w:autoSpaceDN w:val="0"/>
              <w:adjustRightInd w:val="0"/>
              <w:jc w:val="right"/>
              <w:rPr>
                <w:rFonts w:cs="Arial"/>
                <w:sz w:val="16"/>
                <w:szCs w:val="18"/>
              </w:rPr>
            </w:pPr>
            <w:r>
              <w:rPr>
                <w:sz w:val="16"/>
              </w:rPr>
              <w:t>Ningún miembro de la UPOV</w:t>
            </w:r>
          </w:p>
        </w:tc>
      </w:tr>
    </w:tbl>
    <w:p w:rsidR="000C339B" w:rsidRPr="00E678B8" w:rsidRDefault="000C339B" w:rsidP="000C339B">
      <w:pPr>
        <w:autoSpaceDE w:val="0"/>
        <w:autoSpaceDN w:val="0"/>
        <w:adjustRightInd w:val="0"/>
        <w:jc w:val="left"/>
        <w:rPr>
          <w:rFonts w:cs="Arial"/>
          <w:b/>
          <w:bCs/>
          <w:sz w:val="18"/>
          <w:szCs w:val="28"/>
        </w:rPr>
      </w:pPr>
      <w:r>
        <w:rPr>
          <w:rFonts w:cs="Arial"/>
          <w:noProof/>
          <w:lang w:eastAsia="es-ES_tradnl"/>
        </w:rPr>
        <w:drawing>
          <wp:anchor distT="0" distB="0" distL="114300" distR="114300" simplePos="0" relativeHeight="251661312" behindDoc="0" locked="0" layoutInCell="1" allowOverlap="1" wp14:anchorId="4AA9F8FD" wp14:editId="75C1DC6C">
            <wp:simplePos x="0" y="0"/>
            <wp:positionH relativeFrom="column">
              <wp:posOffset>1931670</wp:posOffset>
            </wp:positionH>
            <wp:positionV relativeFrom="paragraph">
              <wp:posOffset>241300</wp:posOffset>
            </wp:positionV>
            <wp:extent cx="4404360" cy="18669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04360" cy="1866900"/>
                    </a:xfrm>
                    <a:prstGeom prst="rect">
                      <a:avLst/>
                    </a:prstGeom>
                  </pic:spPr>
                </pic:pic>
              </a:graphicData>
            </a:graphic>
          </wp:anchor>
        </w:drawing>
      </w:r>
      <w:r>
        <w:br/>
      </w:r>
    </w:p>
    <w:p w:rsidR="000C339B" w:rsidRPr="00E678B8" w:rsidRDefault="000C339B" w:rsidP="000C339B">
      <w:pPr>
        <w:rPr>
          <w:rFonts w:cs="Arial"/>
          <w:sz w:val="18"/>
        </w:rPr>
      </w:pPr>
    </w:p>
    <w:p w:rsidR="000C339B" w:rsidRPr="00E678B8" w:rsidRDefault="000C339B" w:rsidP="000C339B">
      <w:pPr>
        <w:jc w:val="center"/>
        <w:rPr>
          <w:rFonts w:cs="Arial"/>
        </w:rPr>
      </w:pPr>
      <w:r>
        <w:rPr>
          <w:b/>
          <w:sz w:val="22"/>
        </w:rPr>
        <w:t>Tabla de frecuencias</w:t>
      </w:r>
    </w:p>
    <w:tbl>
      <w:tblPr>
        <w:tblStyle w:val="TableGrid"/>
        <w:tblpPr w:leftFromText="180" w:rightFromText="180" w:vertAnchor="text" w:horzAnchor="margin" w:tblpXSpec="center" w:tblpY="87"/>
        <w:tblW w:w="8928" w:type="dxa"/>
        <w:tblLayout w:type="fixed"/>
        <w:tblLook w:val="01E0" w:firstRow="1" w:lastRow="1" w:firstColumn="1" w:lastColumn="1" w:noHBand="0" w:noVBand="0"/>
      </w:tblPr>
      <w:tblGrid>
        <w:gridCol w:w="5279"/>
        <w:gridCol w:w="1134"/>
        <w:gridCol w:w="1275"/>
        <w:gridCol w:w="1240"/>
      </w:tblGrid>
      <w:tr w:rsidR="000C339B" w:rsidRPr="00E678B8" w:rsidTr="00616CFA">
        <w:trPr>
          <w:trHeight w:hRule="exact" w:val="820"/>
        </w:trPr>
        <w:tc>
          <w:tcPr>
            <w:tcW w:w="5279"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b/>
                <w:sz w:val="17"/>
                <w:szCs w:val="17"/>
              </w:rPr>
            </w:pPr>
          </w:p>
          <w:p w:rsidR="000C339B" w:rsidRPr="00E678B8" w:rsidRDefault="000C339B" w:rsidP="00616CFA">
            <w:pPr>
              <w:jc w:val="left"/>
              <w:rPr>
                <w:rFonts w:eastAsia="Arial" w:cs="Arial"/>
                <w:b/>
                <w:sz w:val="17"/>
                <w:szCs w:val="17"/>
              </w:rPr>
            </w:pPr>
          </w:p>
          <w:p w:rsidR="000C339B" w:rsidRPr="00E678B8" w:rsidRDefault="000C339B" w:rsidP="00616CFA">
            <w:pPr>
              <w:tabs>
                <w:tab w:val="left" w:pos="1620"/>
              </w:tabs>
              <w:jc w:val="left"/>
              <w:rPr>
                <w:rFonts w:eastAsia="Arial" w:cs="Arial"/>
                <w:b/>
                <w:sz w:val="17"/>
                <w:szCs w:val="17"/>
              </w:rPr>
            </w:pPr>
            <w:r>
              <w:rPr>
                <w:b/>
                <w:sz w:val="17"/>
              </w:rPr>
              <w:t>Opciones</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D47516">
            <w:pPr>
              <w:ind w:right="-20"/>
              <w:jc w:val="left"/>
              <w:rPr>
                <w:rFonts w:eastAsia="Arial" w:cs="Arial"/>
                <w:b/>
                <w:sz w:val="17"/>
                <w:szCs w:val="17"/>
              </w:rPr>
            </w:pPr>
            <w:r>
              <w:rPr>
                <w:b/>
                <w:sz w:val="17"/>
              </w:rPr>
              <w:t>Frecuencia absoluta</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sz w:val="17"/>
                <w:szCs w:val="17"/>
              </w:rPr>
            </w:pPr>
            <w:r>
              <w:rPr>
                <w:b/>
                <w:sz w:val="17"/>
              </w:rPr>
              <w:t>Frecuencia relativa</w:t>
            </w:r>
            <w:r>
              <w:rPr>
                <w:rFonts w:eastAsia="Arial" w:cs="Arial"/>
                <w:b/>
                <w:sz w:val="17"/>
                <w:szCs w:val="17"/>
              </w:rPr>
              <w:br/>
            </w:r>
            <w:r>
              <w:rPr>
                <w:b/>
                <w:sz w:val="17"/>
              </w:rPr>
              <w:t>ajustada</w:t>
            </w:r>
          </w:p>
        </w:tc>
        <w:tc>
          <w:tcPr>
            <w:tcW w:w="1240"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D47516">
            <w:pPr>
              <w:ind w:right="-20"/>
              <w:jc w:val="left"/>
              <w:rPr>
                <w:rFonts w:eastAsia="Arial" w:cs="Arial"/>
                <w:b/>
                <w:sz w:val="17"/>
                <w:szCs w:val="17"/>
              </w:rPr>
            </w:pPr>
            <w:r>
              <w:rPr>
                <w:b/>
                <w:w w:val="107"/>
                <w:sz w:val="17"/>
              </w:rPr>
              <w:t>Frecuencia relativa ajustada</w:t>
            </w:r>
          </w:p>
        </w:tc>
      </w:tr>
      <w:tr w:rsidR="000C339B" w:rsidRPr="00E678B8" w:rsidTr="00616CFA">
        <w:trPr>
          <w:trHeight w:hRule="exact" w:val="471"/>
        </w:trPr>
        <w:tc>
          <w:tcPr>
            <w:tcW w:w="5279"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6"/>
              </w:rPr>
              <w:t>Cualquier miembro de la UPOV</w:t>
            </w:r>
          </w:p>
        </w:tc>
        <w:tc>
          <w:tcPr>
            <w:tcW w:w="1134"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7"/>
                <w:szCs w:val="17"/>
              </w:rPr>
            </w:pPr>
            <w:r>
              <w:rPr>
                <w:sz w:val="17"/>
              </w:rPr>
              <w:t>29</w:t>
            </w:r>
          </w:p>
        </w:tc>
        <w:tc>
          <w:tcPr>
            <w:tcW w:w="1275"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51,79%</w:t>
            </w:r>
          </w:p>
        </w:tc>
        <w:tc>
          <w:tcPr>
            <w:tcW w:w="1240"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51,79%</w:t>
            </w:r>
          </w:p>
        </w:tc>
      </w:tr>
      <w:tr w:rsidR="000C339B" w:rsidRPr="00E678B8" w:rsidTr="00616CFA">
        <w:trPr>
          <w:trHeight w:hRule="exact" w:val="513"/>
        </w:trPr>
        <w:tc>
          <w:tcPr>
            <w:tcW w:w="5279"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6"/>
              </w:rPr>
              <w:t>Algunos miembros de la UPOV</w:t>
            </w:r>
          </w:p>
        </w:tc>
        <w:tc>
          <w:tcPr>
            <w:tcW w:w="1134" w:type="dxa"/>
            <w:tcBorders>
              <w:top w:val="nil"/>
              <w:left w:val="nil"/>
              <w:bottom w:val="nil"/>
              <w:right w:val="nil"/>
            </w:tcBorders>
            <w:vAlign w:val="center"/>
          </w:tcPr>
          <w:p w:rsidR="000C339B" w:rsidRPr="00E678B8" w:rsidRDefault="000C339B" w:rsidP="00616CFA">
            <w:pPr>
              <w:jc w:val="left"/>
              <w:rPr>
                <w:rFonts w:cs="Arial"/>
              </w:rPr>
            </w:pPr>
            <w:r>
              <w:rPr>
                <w:sz w:val="17"/>
              </w:rPr>
              <w:t>21</w:t>
            </w:r>
          </w:p>
        </w:tc>
        <w:tc>
          <w:tcPr>
            <w:tcW w:w="1275"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sz w:val="17"/>
                <w:szCs w:val="17"/>
              </w:rPr>
            </w:pPr>
            <w:r>
              <w:rPr>
                <w:sz w:val="18"/>
              </w:rPr>
              <w:t>37,50%</w:t>
            </w:r>
          </w:p>
        </w:tc>
        <w:tc>
          <w:tcPr>
            <w:tcW w:w="1240"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color w:val="111111"/>
                <w:w w:val="104"/>
                <w:sz w:val="17"/>
                <w:szCs w:val="17"/>
              </w:rPr>
            </w:pPr>
            <w:r>
              <w:rPr>
                <w:sz w:val="18"/>
              </w:rPr>
              <w:t>37,50%</w:t>
            </w:r>
          </w:p>
        </w:tc>
      </w:tr>
      <w:tr w:rsidR="000C339B" w:rsidRPr="00E678B8" w:rsidTr="00616CFA">
        <w:trPr>
          <w:trHeight w:hRule="exact" w:val="468"/>
        </w:trPr>
        <w:tc>
          <w:tcPr>
            <w:tcW w:w="5279"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6"/>
              </w:rPr>
              <w:t>Ningún miembro de la UPOV</w:t>
            </w:r>
          </w:p>
        </w:tc>
        <w:tc>
          <w:tcPr>
            <w:tcW w:w="1134" w:type="dxa"/>
            <w:tcBorders>
              <w:top w:val="nil"/>
              <w:left w:val="nil"/>
              <w:bottom w:val="nil"/>
              <w:right w:val="nil"/>
            </w:tcBorders>
            <w:vAlign w:val="center"/>
          </w:tcPr>
          <w:p w:rsidR="000C339B" w:rsidRPr="00E678B8" w:rsidRDefault="000C339B" w:rsidP="00616CFA">
            <w:pPr>
              <w:jc w:val="left"/>
              <w:rPr>
                <w:rFonts w:cs="Arial"/>
              </w:rPr>
            </w:pPr>
            <w:r>
              <w:rPr>
                <w:sz w:val="17"/>
              </w:rPr>
              <w:t>6</w:t>
            </w:r>
          </w:p>
        </w:tc>
        <w:tc>
          <w:tcPr>
            <w:tcW w:w="1275" w:type="dxa"/>
            <w:tcBorders>
              <w:top w:val="nil"/>
              <w:left w:val="nil"/>
              <w:bottom w:val="nil"/>
              <w:right w:val="nil"/>
            </w:tcBorders>
            <w:vAlign w:val="center"/>
          </w:tcPr>
          <w:p w:rsidR="000C339B" w:rsidRPr="00E678B8" w:rsidRDefault="000C339B" w:rsidP="00616CFA">
            <w:pPr>
              <w:spacing w:before="30"/>
              <w:ind w:left="98" w:right="-20"/>
              <w:jc w:val="left"/>
              <w:rPr>
                <w:rFonts w:eastAsia="Arial" w:cs="Arial"/>
                <w:sz w:val="17"/>
                <w:szCs w:val="17"/>
              </w:rPr>
            </w:pPr>
            <w:r>
              <w:rPr>
                <w:sz w:val="18"/>
              </w:rPr>
              <w:t>10,71%</w:t>
            </w:r>
          </w:p>
        </w:tc>
        <w:tc>
          <w:tcPr>
            <w:tcW w:w="1240" w:type="dxa"/>
            <w:tcBorders>
              <w:top w:val="nil"/>
              <w:left w:val="nil"/>
              <w:bottom w:val="nil"/>
              <w:right w:val="nil"/>
            </w:tcBorders>
            <w:vAlign w:val="center"/>
          </w:tcPr>
          <w:p w:rsidR="000C339B" w:rsidRPr="00E678B8" w:rsidRDefault="000C339B" w:rsidP="00616CFA">
            <w:pPr>
              <w:spacing w:before="30"/>
              <w:ind w:left="98" w:right="-20"/>
              <w:jc w:val="left"/>
              <w:rPr>
                <w:rFonts w:eastAsia="Arial" w:cs="Arial"/>
                <w:color w:val="111111"/>
                <w:w w:val="104"/>
                <w:sz w:val="17"/>
                <w:szCs w:val="17"/>
              </w:rPr>
            </w:pPr>
            <w:r>
              <w:rPr>
                <w:sz w:val="18"/>
              </w:rPr>
              <w:t>10,71%</w:t>
            </w:r>
          </w:p>
        </w:tc>
      </w:tr>
      <w:tr w:rsidR="000C339B" w:rsidRPr="00E678B8" w:rsidTr="00616CFA">
        <w:trPr>
          <w:trHeight w:hRule="exact" w:val="462"/>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szCs w:val="18"/>
              </w:rPr>
            </w:pPr>
            <w:r>
              <w:rPr>
                <w:sz w:val="18"/>
              </w:rPr>
              <w:t>Suma</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rPr>
            </w:pPr>
            <w:r>
              <w:rPr>
                <w:sz w:val="17"/>
              </w:rPr>
              <w:t>56</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sz w:val="17"/>
                <w:szCs w:val="17"/>
              </w:rPr>
            </w:pPr>
            <w:r>
              <w:rPr>
                <w:sz w:val="18"/>
              </w:rPr>
              <w:t>100%</w:t>
            </w:r>
          </w:p>
        </w:tc>
        <w:tc>
          <w:tcPr>
            <w:tcW w:w="124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color w:val="111111"/>
                <w:w w:val="104"/>
                <w:sz w:val="17"/>
                <w:szCs w:val="17"/>
              </w:rPr>
            </w:pPr>
            <w:r>
              <w:rPr>
                <w:sz w:val="18"/>
              </w:rPr>
              <w:t>100%</w:t>
            </w:r>
          </w:p>
        </w:tc>
      </w:tr>
      <w:tr w:rsidR="000C339B" w:rsidRPr="00E678B8" w:rsidTr="00616CFA">
        <w:trPr>
          <w:trHeight w:hRule="exact" w:val="281"/>
        </w:trPr>
        <w:tc>
          <w:tcPr>
            <w:tcW w:w="5279" w:type="dxa"/>
            <w:tcBorders>
              <w:top w:val="single" w:sz="12" w:space="0" w:color="A6A6A6" w:themeColor="background1" w:themeShade="A6"/>
              <w:left w:val="nil"/>
              <w:bottom w:val="single" w:sz="12" w:space="0" w:color="BFBFBF" w:themeColor="background1" w:themeShade="BF"/>
              <w:right w:val="nil"/>
            </w:tcBorders>
            <w:vAlign w:val="center"/>
          </w:tcPr>
          <w:p w:rsidR="000C339B" w:rsidRPr="00E678B8" w:rsidRDefault="000C339B" w:rsidP="00616CFA">
            <w:pPr>
              <w:spacing w:before="37"/>
              <w:ind w:left="29" w:right="-20"/>
              <w:jc w:val="left"/>
              <w:rPr>
                <w:rFonts w:eastAsia="Arial" w:cs="Arial"/>
                <w:sz w:val="17"/>
                <w:szCs w:val="17"/>
              </w:rPr>
            </w:pPr>
            <w:r>
              <w:rPr>
                <w:sz w:val="18"/>
              </w:rPr>
              <w:t>Sin respuesta</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0C339B" w:rsidRPr="00E678B8" w:rsidRDefault="000C339B" w:rsidP="00616CFA">
            <w:pPr>
              <w:jc w:val="left"/>
              <w:rPr>
                <w:rFonts w:cs="Arial"/>
              </w:rPr>
            </w:pPr>
            <w:r>
              <w:rPr>
                <w:sz w:val="17"/>
              </w:rPr>
              <w:t>0</w:t>
            </w:r>
          </w:p>
        </w:tc>
        <w:tc>
          <w:tcPr>
            <w:tcW w:w="1275" w:type="dxa"/>
            <w:tcBorders>
              <w:top w:val="single" w:sz="12" w:space="0" w:color="A6A6A6" w:themeColor="background1" w:themeShade="A6"/>
              <w:left w:val="nil"/>
              <w:bottom w:val="single" w:sz="12" w:space="0" w:color="BFBFBF" w:themeColor="background1" w:themeShade="BF"/>
              <w:right w:val="nil"/>
            </w:tcBorders>
            <w:vAlign w:val="center"/>
          </w:tcPr>
          <w:p w:rsidR="000C339B" w:rsidRPr="00E678B8" w:rsidRDefault="000C339B" w:rsidP="00616CFA">
            <w:pPr>
              <w:spacing w:before="37"/>
              <w:ind w:left="98" w:right="-20"/>
              <w:jc w:val="left"/>
              <w:rPr>
                <w:rFonts w:eastAsia="Arial" w:cs="Arial"/>
                <w:sz w:val="17"/>
                <w:szCs w:val="17"/>
              </w:rPr>
            </w:pPr>
            <w:r>
              <w:rPr>
                <w:sz w:val="18"/>
              </w:rPr>
              <w:t>0%</w:t>
            </w:r>
          </w:p>
        </w:tc>
        <w:tc>
          <w:tcPr>
            <w:tcW w:w="1240" w:type="dxa"/>
            <w:tcBorders>
              <w:top w:val="single" w:sz="12" w:space="0" w:color="A6A6A6" w:themeColor="background1" w:themeShade="A6"/>
              <w:left w:val="nil"/>
              <w:bottom w:val="single" w:sz="12" w:space="0" w:color="BFBFBF" w:themeColor="background1" w:themeShade="BF"/>
              <w:right w:val="nil"/>
            </w:tcBorders>
            <w:vAlign w:val="center"/>
          </w:tcPr>
          <w:p w:rsidR="000C339B" w:rsidRPr="00E678B8" w:rsidRDefault="000C339B" w:rsidP="00616CFA">
            <w:pPr>
              <w:spacing w:before="30"/>
              <w:ind w:left="98" w:right="-20"/>
              <w:jc w:val="left"/>
              <w:rPr>
                <w:rFonts w:eastAsia="Arial" w:cs="Arial"/>
                <w:color w:val="111111"/>
                <w:w w:val="104"/>
                <w:sz w:val="17"/>
                <w:szCs w:val="17"/>
              </w:rPr>
            </w:pPr>
            <w:r>
              <w:rPr>
                <w:sz w:val="18"/>
              </w:rPr>
              <w:t>-</w:t>
            </w:r>
          </w:p>
          <w:p w:rsidR="000C339B" w:rsidRPr="00E678B8" w:rsidRDefault="000C339B" w:rsidP="00616CFA">
            <w:pPr>
              <w:spacing w:before="30"/>
              <w:ind w:left="98" w:right="-20"/>
              <w:jc w:val="left"/>
              <w:rPr>
                <w:rFonts w:eastAsia="Arial" w:cs="Arial"/>
                <w:color w:val="111111"/>
                <w:w w:val="104"/>
                <w:sz w:val="17"/>
                <w:szCs w:val="17"/>
              </w:rPr>
            </w:pPr>
          </w:p>
          <w:p w:rsidR="000C339B" w:rsidRPr="00E678B8" w:rsidRDefault="000C339B" w:rsidP="00616CFA">
            <w:pPr>
              <w:spacing w:before="37"/>
              <w:ind w:left="98" w:right="-20"/>
              <w:jc w:val="left"/>
              <w:rPr>
                <w:rFonts w:eastAsia="Arial" w:cs="Arial"/>
                <w:color w:val="111111"/>
                <w:w w:val="104"/>
                <w:sz w:val="17"/>
                <w:szCs w:val="17"/>
              </w:rPr>
            </w:pPr>
          </w:p>
        </w:tc>
      </w:tr>
      <w:tr w:rsidR="000C339B" w:rsidRPr="00E678B8" w:rsidTr="00616CFA">
        <w:trPr>
          <w:trHeight w:hRule="exact" w:val="281"/>
        </w:trPr>
        <w:tc>
          <w:tcPr>
            <w:tcW w:w="5279" w:type="dxa"/>
            <w:tcBorders>
              <w:top w:val="single" w:sz="12" w:space="0" w:color="BFBFBF" w:themeColor="background1" w:themeShade="BF"/>
              <w:left w:val="nil"/>
              <w:bottom w:val="nil"/>
              <w:right w:val="nil"/>
            </w:tcBorders>
            <w:vAlign w:val="center"/>
          </w:tcPr>
          <w:p w:rsidR="000C339B" w:rsidRPr="00E678B8" w:rsidRDefault="000C339B" w:rsidP="00616CFA">
            <w:pPr>
              <w:spacing w:before="30"/>
              <w:ind w:left="43" w:right="-20"/>
              <w:jc w:val="left"/>
              <w:rPr>
                <w:rFonts w:cs="Arial"/>
                <w:b/>
                <w:bCs/>
                <w:sz w:val="18"/>
                <w:szCs w:val="18"/>
              </w:rPr>
            </w:pPr>
            <w:r>
              <w:rPr>
                <w:b/>
                <w:sz w:val="18"/>
              </w:rPr>
              <w:t>Respondieron en total: 56</w:t>
            </w:r>
          </w:p>
          <w:p w:rsidR="000C339B" w:rsidRPr="00E678B8" w:rsidRDefault="000C339B" w:rsidP="00616CFA">
            <w:pPr>
              <w:spacing w:before="30"/>
              <w:ind w:left="43" w:right="-20"/>
              <w:jc w:val="left"/>
              <w:rPr>
                <w:rFonts w:eastAsia="Arial" w:cs="Arial"/>
                <w:sz w:val="17"/>
                <w:szCs w:val="17"/>
              </w:rPr>
            </w:pPr>
          </w:p>
        </w:tc>
        <w:tc>
          <w:tcPr>
            <w:tcW w:w="1134" w:type="dxa"/>
            <w:tcBorders>
              <w:top w:val="single" w:sz="12" w:space="0" w:color="BFBFBF" w:themeColor="background1" w:themeShade="BF"/>
              <w:left w:val="nil"/>
              <w:bottom w:val="nil"/>
              <w:right w:val="nil"/>
            </w:tcBorders>
            <w:vAlign w:val="center"/>
          </w:tcPr>
          <w:p w:rsidR="000C339B" w:rsidRPr="00E678B8" w:rsidRDefault="000C339B" w:rsidP="00616CFA">
            <w:pPr>
              <w:jc w:val="left"/>
              <w:rPr>
                <w:rFonts w:cs="Arial"/>
              </w:rPr>
            </w:pPr>
          </w:p>
        </w:tc>
        <w:tc>
          <w:tcPr>
            <w:tcW w:w="1275" w:type="dxa"/>
            <w:tcBorders>
              <w:top w:val="single" w:sz="12" w:space="0" w:color="BFBFBF" w:themeColor="background1" w:themeShade="BF"/>
              <w:left w:val="nil"/>
              <w:bottom w:val="nil"/>
              <w:right w:val="nil"/>
            </w:tcBorders>
          </w:tcPr>
          <w:p w:rsidR="000C339B" w:rsidRPr="00E678B8" w:rsidRDefault="000C339B" w:rsidP="00616CFA">
            <w:pPr>
              <w:spacing w:before="30"/>
              <w:ind w:left="98" w:right="-20"/>
              <w:jc w:val="left"/>
              <w:rPr>
                <w:rFonts w:eastAsia="Arial" w:cs="Arial"/>
                <w:sz w:val="17"/>
                <w:szCs w:val="17"/>
              </w:rPr>
            </w:pPr>
          </w:p>
        </w:tc>
        <w:tc>
          <w:tcPr>
            <w:tcW w:w="1240" w:type="dxa"/>
            <w:tcBorders>
              <w:top w:val="single" w:sz="12" w:space="0" w:color="BFBFBF" w:themeColor="background1" w:themeShade="BF"/>
              <w:left w:val="nil"/>
              <w:bottom w:val="nil"/>
              <w:right w:val="nil"/>
            </w:tcBorders>
          </w:tcPr>
          <w:p w:rsidR="000C339B" w:rsidRPr="00E678B8" w:rsidRDefault="000C339B" w:rsidP="00616CFA">
            <w:pPr>
              <w:spacing w:before="30"/>
              <w:ind w:left="98" w:right="-20"/>
              <w:jc w:val="left"/>
              <w:rPr>
                <w:rFonts w:eastAsia="Arial" w:cs="Arial"/>
                <w:color w:val="111111"/>
                <w:w w:val="104"/>
                <w:sz w:val="17"/>
                <w:szCs w:val="17"/>
              </w:rPr>
            </w:pPr>
          </w:p>
        </w:tc>
      </w:tr>
      <w:tr w:rsidR="000C339B" w:rsidRPr="00E678B8" w:rsidTr="00616CFA">
        <w:trPr>
          <w:trHeight w:hRule="exact" w:val="281"/>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sz w:val="17"/>
                <w:szCs w:val="17"/>
              </w:rPr>
            </w:pPr>
          </w:p>
        </w:tc>
        <w:tc>
          <w:tcPr>
            <w:tcW w:w="124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color w:val="111111"/>
                <w:w w:val="104"/>
                <w:sz w:val="17"/>
                <w:szCs w:val="17"/>
              </w:rPr>
            </w:pPr>
          </w:p>
        </w:tc>
      </w:tr>
    </w:tbl>
    <w:p w:rsidR="000C339B" w:rsidRPr="00E678B8" w:rsidRDefault="000C339B" w:rsidP="000C339B">
      <w:pPr>
        <w:jc w:val="left"/>
        <w:rPr>
          <w:rFonts w:cs="Arial"/>
          <w:u w:val="single"/>
        </w:rPr>
      </w:pPr>
    </w:p>
    <w:p w:rsidR="000C339B" w:rsidRPr="00E678B8" w:rsidRDefault="000C339B" w:rsidP="000C339B">
      <w:pPr>
        <w:jc w:val="left"/>
        <w:rPr>
          <w:rFonts w:cs="Arial"/>
          <w:u w:val="single"/>
        </w:rPr>
      </w:pPr>
    </w:p>
    <w:p w:rsidR="000C339B" w:rsidRPr="00E678B8" w:rsidRDefault="000C339B" w:rsidP="000C339B">
      <w:pPr>
        <w:jc w:val="left"/>
        <w:rPr>
          <w:rFonts w:cs="Arial"/>
          <w:sz w:val="18"/>
          <w:u w:val="single"/>
        </w:rPr>
      </w:pPr>
      <w:r>
        <w:rPr>
          <w:sz w:val="18"/>
          <w:u w:val="single"/>
        </w:rPr>
        <w:t>Comentarios</w:t>
      </w:r>
    </w:p>
    <w:p w:rsidR="000C339B" w:rsidRPr="00E678B8" w:rsidRDefault="000C339B" w:rsidP="000C339B">
      <w:pPr>
        <w:jc w:val="left"/>
        <w:rPr>
          <w:rFonts w:cs="Arial"/>
          <w:sz w:val="18"/>
          <w:u w:val="single"/>
        </w:rPr>
      </w:pPr>
    </w:p>
    <w:tbl>
      <w:tblPr>
        <w:tblW w:w="9390" w:type="dxa"/>
        <w:tblInd w:w="93" w:type="dxa"/>
        <w:tblBorders>
          <w:top w:val="single" w:sz="4" w:space="0" w:color="auto"/>
          <w:bottom w:val="single" w:sz="4" w:space="0" w:color="auto"/>
        </w:tblBorders>
        <w:tblLook w:val="04A0" w:firstRow="1" w:lastRow="0" w:firstColumn="1" w:lastColumn="0" w:noHBand="0" w:noVBand="1"/>
      </w:tblPr>
      <w:tblGrid>
        <w:gridCol w:w="9390"/>
      </w:tblGrid>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highlight w:val="yellow"/>
              </w:rPr>
            </w:pPr>
            <w:r>
              <w:rPr>
                <w:color w:val="000000"/>
                <w:sz w:val="18"/>
              </w:rPr>
              <w:t>Suiza acepta los informes DHE de donde estén disponibles.</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9445E6">
            <w:pPr>
              <w:jc w:val="left"/>
              <w:rPr>
                <w:rFonts w:cs="Arial"/>
                <w:color w:val="000000"/>
                <w:sz w:val="18"/>
                <w:highlight w:val="yellow"/>
              </w:rPr>
            </w:pPr>
            <w:r>
              <w:rPr>
                <w:color w:val="000000"/>
                <w:sz w:val="18"/>
              </w:rPr>
              <w:t>La OAPI compra informes aun cuando no tenga un acuerdo formal de cooperación con el centro en cuestión en el que se lleva a cabo el examen.</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El informe DHE debe ser compatible con las directrices nacionales</w:t>
            </w:r>
            <w:r w:rsidR="006C77BC">
              <w:rPr>
                <w:color w:val="000000"/>
                <w:sz w:val="18"/>
              </w:rPr>
              <w:t>.</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Por el momento no compramos informes DHE de otros miembros de la UPOV, pero es posible hacerlo según nuestra legislación nacional.</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DE5C28">
            <w:pPr>
              <w:jc w:val="left"/>
              <w:rPr>
                <w:rFonts w:cs="Arial"/>
                <w:color w:val="000000"/>
                <w:sz w:val="18"/>
              </w:rPr>
            </w:pPr>
            <w:r>
              <w:rPr>
                <w:color w:val="000000"/>
                <w:sz w:val="18"/>
              </w:rPr>
              <w:t xml:space="preserve">Solo de cultivos </w:t>
            </w:r>
            <w:r w:rsidR="00DE5C28">
              <w:rPr>
                <w:color w:val="000000"/>
                <w:sz w:val="18"/>
              </w:rPr>
              <w:t>para</w:t>
            </w:r>
            <w:r>
              <w:rPr>
                <w:color w:val="000000"/>
                <w:sz w:val="18"/>
              </w:rPr>
              <w:t xml:space="preserve"> los que </w:t>
            </w:r>
            <w:r w:rsidR="00DE5C28">
              <w:rPr>
                <w:color w:val="000000"/>
                <w:sz w:val="18"/>
              </w:rPr>
              <w:t>tenemos</w:t>
            </w:r>
            <w:r>
              <w:rPr>
                <w:color w:val="000000"/>
                <w:sz w:val="18"/>
              </w:rPr>
              <w:t xml:space="preserve"> </w:t>
            </w:r>
            <w:r w:rsidR="00DE5C28">
              <w:rPr>
                <w:color w:val="000000"/>
                <w:sz w:val="18"/>
              </w:rPr>
              <w:t xml:space="preserve">escasos </w:t>
            </w:r>
            <w:r>
              <w:rPr>
                <w:color w:val="000000"/>
                <w:sz w:val="18"/>
              </w:rPr>
              <w:t xml:space="preserve">conocimientos técnicos especializados o infraestructura inadecuada. </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Las condiciones medioambientales en las que se ha llevado a cabo el exame</w:t>
            </w:r>
            <w:r w:rsidR="00E67D88">
              <w:rPr>
                <w:color w:val="000000"/>
                <w:sz w:val="18"/>
              </w:rPr>
              <w:t>n deben ser semejantes a las de </w:t>
            </w:r>
            <w:r>
              <w:rPr>
                <w:color w:val="000000"/>
                <w:sz w:val="18"/>
              </w:rPr>
              <w:t>Noruega.</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DE5C28">
            <w:pPr>
              <w:jc w:val="left"/>
              <w:rPr>
                <w:rFonts w:cs="Arial"/>
                <w:color w:val="000000"/>
                <w:sz w:val="18"/>
              </w:rPr>
            </w:pPr>
            <w:r>
              <w:rPr>
                <w:color w:val="000000"/>
                <w:sz w:val="18"/>
              </w:rPr>
              <w:t xml:space="preserve">Los informes se aceptan de manera casi automática en el contexto del control de calidad de las oficinas de examen de la Unión Europea (UE), llevado a cabo por la Oficina Comunitaria de Variedades Vegetales (OCVV). Fuera de este contexto, es posible aceptar informes </w:t>
            </w:r>
            <w:r w:rsidR="00E67D88">
              <w:rPr>
                <w:color w:val="000000"/>
                <w:sz w:val="18"/>
              </w:rPr>
              <w:t>de otros Estados miembros de la </w:t>
            </w:r>
            <w:r>
              <w:rPr>
                <w:color w:val="000000"/>
                <w:sz w:val="18"/>
              </w:rPr>
              <w:t>UPOV</w:t>
            </w:r>
            <w:r w:rsidR="00DE5C28">
              <w:rPr>
                <w:color w:val="000000"/>
                <w:sz w:val="18"/>
              </w:rPr>
              <w:t>, aunque más complejo</w:t>
            </w:r>
            <w:r>
              <w:rPr>
                <w:color w:val="000000"/>
                <w:sz w:val="18"/>
              </w:rPr>
              <w:t>.</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El Canadá acepta los informes del examen DHE de especies ornamentales y hortícolas de otros Estados miembros de la UPOV, cuando estos siguen las directrices de examen y los procedimientos o protocolos de examen de la UPOV.</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DE5C28" w:rsidP="00616CFA">
            <w:pPr>
              <w:jc w:val="left"/>
              <w:rPr>
                <w:rFonts w:cs="Arial"/>
                <w:color w:val="000000"/>
                <w:sz w:val="18"/>
              </w:rPr>
            </w:pPr>
            <w:r>
              <w:rPr>
                <w:color w:val="000000"/>
                <w:sz w:val="18"/>
              </w:rPr>
              <w:t>L</w:t>
            </w:r>
            <w:r w:rsidR="000C339B">
              <w:rPr>
                <w:color w:val="000000"/>
                <w:sz w:val="18"/>
              </w:rPr>
              <w:t>os informes proporcionados por países de la UE.</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 xml:space="preserve">A la fecha se realizan todos los exámenes, principalmente porque se aplican para otros registros, como de certificación o </w:t>
            </w:r>
            <w:r w:rsidR="009445E6">
              <w:rPr>
                <w:color w:val="000000"/>
                <w:sz w:val="18"/>
              </w:rPr>
              <w:t xml:space="preserve">de </w:t>
            </w:r>
            <w:r>
              <w:rPr>
                <w:color w:val="000000"/>
                <w:sz w:val="18"/>
              </w:rPr>
              <w:t>comerciales.</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Lituania acepta informes DHE de los países de la UE.</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Solo si el examen DHE proviene de una oficina facultada por la OCVV.</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lastRenderedPageBreak/>
              <w:t>Preferiblemente del hemisferio norte (cultivos agrícolas).</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9445E6">
            <w:pPr>
              <w:jc w:val="left"/>
              <w:rPr>
                <w:rFonts w:cs="Arial"/>
                <w:color w:val="000000"/>
                <w:sz w:val="18"/>
              </w:rPr>
            </w:pPr>
            <w:r>
              <w:rPr>
                <w:color w:val="000000"/>
                <w:sz w:val="18"/>
              </w:rPr>
              <w:t>A los efectos de incluir variedades en la lista, solo de los miembros incluidos en el</w:t>
            </w:r>
            <w:r w:rsidR="00DE5C28">
              <w:rPr>
                <w:color w:val="000000"/>
                <w:sz w:val="18"/>
              </w:rPr>
              <w:t xml:space="preserve"> régimen de equivalentes de la </w:t>
            </w:r>
            <w:r>
              <w:rPr>
                <w:color w:val="000000"/>
                <w:sz w:val="18"/>
              </w:rPr>
              <w:t xml:space="preserve">UE para conservadores. </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En la actualidad, Sudáfrica acepta informes DHE existentes de alfalfa, papa/patata y crisantemo.</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Hemos aceptado informes de examen DHE de: Japón, Francia, OCVV, Países Bajos y República de Corea</w:t>
            </w:r>
            <w:r w:rsidR="00DE5C28">
              <w:rPr>
                <w:color w:val="000000"/>
                <w:sz w:val="18"/>
              </w:rPr>
              <w:t>.</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Solo de especies de las que no realizamos nuestro propio examen DHE.</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La OCVV encarga informes DHE a las oficinas de examen facultadas de su red. Si no es posible generar un informe DHE en su red, el artículo 27 del Reglamento N.º 874/2009 de la Comisión rige las condiciones del encargo de informes a países que no pertenecen a la UE.</w:t>
            </w:r>
          </w:p>
        </w:tc>
      </w:tr>
      <w:tr w:rsidR="000C339B" w:rsidRPr="000C339B" w:rsidTr="00616CFA">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0C339B" w:rsidRPr="000C339B" w:rsidRDefault="000C339B" w:rsidP="00616CFA">
            <w:pPr>
              <w:jc w:val="left"/>
              <w:rPr>
                <w:rFonts w:cs="Arial"/>
                <w:color w:val="000000"/>
                <w:sz w:val="18"/>
              </w:rPr>
            </w:pPr>
            <w:r>
              <w:rPr>
                <w:color w:val="000000"/>
                <w:sz w:val="18"/>
              </w:rPr>
              <w:t>OEVV acepta informes DHE de oficinas acreditadas por la Oficina Comunitaria de Variedades Vegetales (OCVV) y de la propia OCVV.</w:t>
            </w:r>
          </w:p>
        </w:tc>
      </w:tr>
    </w:tbl>
    <w:p w:rsidR="000C339B" w:rsidRPr="000C339B" w:rsidRDefault="000C339B" w:rsidP="000C339B">
      <w:pPr>
        <w:rPr>
          <w:rFonts w:cs="Arial"/>
          <w:sz w:val="18"/>
        </w:rPr>
      </w:pPr>
    </w:p>
    <w:p w:rsidR="000C339B" w:rsidRPr="000C339B" w:rsidRDefault="000C339B" w:rsidP="000C339B">
      <w:pPr>
        <w:rPr>
          <w:rFonts w:cs="Arial"/>
          <w:sz w:val="18"/>
        </w:rPr>
      </w:pPr>
    </w:p>
    <w:p w:rsidR="000C339B" w:rsidRPr="000C339B" w:rsidRDefault="000C339B" w:rsidP="000C339B">
      <w:pPr>
        <w:jc w:val="left"/>
        <w:rPr>
          <w:rFonts w:cs="Arial"/>
          <w:b/>
          <w:bCs/>
          <w:sz w:val="24"/>
          <w:szCs w:val="28"/>
        </w:rPr>
      </w:pPr>
      <w:r>
        <w:br w:type="page"/>
      </w:r>
    </w:p>
    <w:p w:rsidR="000C339B" w:rsidRDefault="000C339B" w:rsidP="000C339B">
      <w:pPr>
        <w:autoSpaceDE w:val="0"/>
        <w:autoSpaceDN w:val="0"/>
        <w:adjustRightInd w:val="0"/>
        <w:spacing w:line="360" w:lineRule="auto"/>
        <w:jc w:val="left"/>
        <w:rPr>
          <w:sz w:val="18"/>
        </w:rPr>
      </w:pPr>
      <w:r w:rsidRPr="007A7081">
        <w:rPr>
          <w:b/>
          <w:sz w:val="28"/>
          <w:szCs w:val="28"/>
        </w:rPr>
        <w:lastRenderedPageBreak/>
        <w:t>Pregunta 8</w:t>
      </w:r>
      <w:r w:rsidRPr="007A7081">
        <w:rPr>
          <w:sz w:val="28"/>
          <w:szCs w:val="28"/>
        </w:rPr>
        <w:t>:</w:t>
      </w:r>
      <w:r w:rsidRPr="007A7081">
        <w:rPr>
          <w:rFonts w:cs="Arial"/>
          <w:bCs/>
          <w:sz w:val="28"/>
          <w:szCs w:val="28"/>
        </w:rPr>
        <w:br/>
      </w:r>
      <w:r>
        <w:rPr>
          <w:sz w:val="18"/>
        </w:rPr>
        <w:t>Si la autoridad de su país/organización acepta informes DHE existentes de otros m</w:t>
      </w:r>
      <w:r w:rsidR="0050317A">
        <w:rPr>
          <w:sz w:val="18"/>
        </w:rPr>
        <w:t>iembros de la UPOV, ¿el informe </w:t>
      </w:r>
      <w:r>
        <w:rPr>
          <w:sz w:val="18"/>
        </w:rPr>
        <w:t>DHE sirve de base para la decisión relativa al examen DHE, sin necesidad de más información?</w:t>
      </w:r>
    </w:p>
    <w:p w:rsidR="001D47B2" w:rsidRDefault="001D47B2" w:rsidP="000C339B">
      <w:pPr>
        <w:autoSpaceDE w:val="0"/>
        <w:autoSpaceDN w:val="0"/>
        <w:adjustRightInd w:val="0"/>
        <w:spacing w:line="360" w:lineRule="auto"/>
        <w:jc w:val="left"/>
        <w:rPr>
          <w:sz w:val="18"/>
        </w:rPr>
      </w:pPr>
      <w:r>
        <w:rPr>
          <w:noProof/>
          <w:sz w:val="18"/>
          <w:lang w:eastAsia="es-ES_tradnl"/>
        </w:rPr>
        <w:drawing>
          <wp:anchor distT="0" distB="0" distL="114300" distR="114300" simplePos="0" relativeHeight="251662336" behindDoc="0" locked="0" layoutInCell="1" allowOverlap="1" wp14:anchorId="29320542" wp14:editId="7F008FB6">
            <wp:simplePos x="0" y="0"/>
            <wp:positionH relativeFrom="column">
              <wp:posOffset>1899920</wp:posOffset>
            </wp:positionH>
            <wp:positionV relativeFrom="paragraph">
              <wp:posOffset>86360</wp:posOffset>
            </wp:positionV>
            <wp:extent cx="4288790" cy="1447165"/>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88790" cy="1447165"/>
                    </a:xfrm>
                    <a:prstGeom prst="rect">
                      <a:avLst/>
                    </a:prstGeom>
                  </pic:spPr>
                </pic:pic>
              </a:graphicData>
            </a:graphic>
          </wp:anchor>
        </w:drawing>
      </w:r>
    </w:p>
    <w:tbl>
      <w:tblPr>
        <w:tblStyle w:val="TableGrid"/>
        <w:tblpPr w:leftFromText="180" w:rightFromText="180" w:vertAnchor="text" w:horzAnchor="margin" w:tblpY="128"/>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1D47B2" w:rsidRPr="00E678B8" w:rsidTr="001D47B2">
        <w:trPr>
          <w:trHeight w:hRule="exact" w:val="855"/>
        </w:trPr>
        <w:tc>
          <w:tcPr>
            <w:tcW w:w="2902" w:type="dxa"/>
            <w:vAlign w:val="center"/>
          </w:tcPr>
          <w:p w:rsidR="001D47B2" w:rsidRPr="00E678B8" w:rsidRDefault="001D47B2" w:rsidP="001D47B2">
            <w:pPr>
              <w:autoSpaceDE w:val="0"/>
              <w:autoSpaceDN w:val="0"/>
              <w:adjustRightInd w:val="0"/>
              <w:jc w:val="right"/>
              <w:rPr>
                <w:rFonts w:cs="Arial"/>
                <w:sz w:val="16"/>
                <w:szCs w:val="18"/>
              </w:rPr>
            </w:pPr>
            <w:r>
              <w:rPr>
                <w:sz w:val="16"/>
              </w:rPr>
              <w:t>Sí</w:t>
            </w:r>
          </w:p>
        </w:tc>
      </w:tr>
      <w:tr w:rsidR="001D47B2" w:rsidRPr="00E678B8" w:rsidTr="001D47B2">
        <w:trPr>
          <w:trHeight w:hRule="exact" w:val="695"/>
        </w:trPr>
        <w:tc>
          <w:tcPr>
            <w:tcW w:w="2902" w:type="dxa"/>
            <w:vAlign w:val="center"/>
          </w:tcPr>
          <w:p w:rsidR="001D47B2" w:rsidRPr="00E678B8" w:rsidRDefault="001D47B2" w:rsidP="001D47B2">
            <w:pPr>
              <w:autoSpaceDE w:val="0"/>
              <w:autoSpaceDN w:val="0"/>
              <w:adjustRightInd w:val="0"/>
              <w:jc w:val="right"/>
              <w:rPr>
                <w:rFonts w:cs="Arial"/>
                <w:sz w:val="16"/>
                <w:szCs w:val="18"/>
              </w:rPr>
            </w:pPr>
            <w:r>
              <w:rPr>
                <w:sz w:val="16"/>
              </w:rPr>
              <w:t>No</w:t>
            </w:r>
          </w:p>
        </w:tc>
      </w:tr>
    </w:tbl>
    <w:p w:rsidR="001D47B2" w:rsidRDefault="001D47B2" w:rsidP="000C339B">
      <w:pPr>
        <w:autoSpaceDE w:val="0"/>
        <w:autoSpaceDN w:val="0"/>
        <w:adjustRightInd w:val="0"/>
        <w:spacing w:line="360" w:lineRule="auto"/>
        <w:jc w:val="left"/>
        <w:rPr>
          <w:sz w:val="18"/>
        </w:rPr>
      </w:pPr>
    </w:p>
    <w:p w:rsidR="001D47B2" w:rsidRDefault="001D47B2" w:rsidP="000C339B">
      <w:pPr>
        <w:autoSpaceDE w:val="0"/>
        <w:autoSpaceDN w:val="0"/>
        <w:adjustRightInd w:val="0"/>
        <w:spacing w:line="360" w:lineRule="auto"/>
        <w:jc w:val="left"/>
        <w:rPr>
          <w:sz w:val="18"/>
        </w:rPr>
      </w:pPr>
    </w:p>
    <w:p w:rsidR="001D47B2" w:rsidRDefault="001D47B2" w:rsidP="000C339B">
      <w:pPr>
        <w:autoSpaceDE w:val="0"/>
        <w:autoSpaceDN w:val="0"/>
        <w:adjustRightInd w:val="0"/>
        <w:spacing w:line="360" w:lineRule="auto"/>
        <w:jc w:val="left"/>
        <w:rPr>
          <w:sz w:val="18"/>
        </w:rPr>
      </w:pPr>
    </w:p>
    <w:p w:rsidR="001D47B2" w:rsidRPr="000C339B" w:rsidRDefault="001D47B2" w:rsidP="000C339B">
      <w:pPr>
        <w:autoSpaceDE w:val="0"/>
        <w:autoSpaceDN w:val="0"/>
        <w:adjustRightInd w:val="0"/>
        <w:spacing w:line="360" w:lineRule="auto"/>
        <w:jc w:val="left"/>
        <w:rPr>
          <w:rFonts w:cs="Arial"/>
          <w:bCs/>
          <w:sz w:val="18"/>
          <w:szCs w:val="18"/>
        </w:rPr>
      </w:pPr>
    </w:p>
    <w:p w:rsidR="000C339B" w:rsidRPr="000C339B" w:rsidRDefault="000C339B" w:rsidP="000C339B">
      <w:pPr>
        <w:autoSpaceDE w:val="0"/>
        <w:autoSpaceDN w:val="0"/>
        <w:adjustRightInd w:val="0"/>
        <w:spacing w:line="360" w:lineRule="auto"/>
        <w:jc w:val="left"/>
        <w:rPr>
          <w:rFonts w:cs="Arial"/>
          <w:bCs/>
          <w:sz w:val="18"/>
          <w:szCs w:val="28"/>
        </w:rPr>
      </w:pPr>
    </w:p>
    <w:p w:rsidR="000C339B" w:rsidRPr="00E678B8" w:rsidRDefault="000C339B" w:rsidP="000C339B">
      <w:pPr>
        <w:jc w:val="left"/>
        <w:rPr>
          <w:rFonts w:cs="Arial"/>
          <w:sz w:val="18"/>
        </w:rPr>
      </w:pPr>
      <w:r>
        <w:br/>
      </w:r>
    </w:p>
    <w:p w:rsidR="000C339B" w:rsidRPr="00E678B8" w:rsidRDefault="000C339B" w:rsidP="000C339B">
      <w:pPr>
        <w:rPr>
          <w:rFonts w:cs="Arial"/>
          <w:sz w:val="18"/>
        </w:rPr>
      </w:pPr>
    </w:p>
    <w:p w:rsidR="000C339B" w:rsidRPr="00E678B8" w:rsidRDefault="000C339B" w:rsidP="000C339B">
      <w:pPr>
        <w:tabs>
          <w:tab w:val="left" w:pos="1455"/>
        </w:tabs>
        <w:rPr>
          <w:rFonts w:cs="Arial"/>
          <w:sz w:val="18"/>
        </w:rPr>
      </w:pPr>
    </w:p>
    <w:p w:rsidR="000C339B" w:rsidRPr="00E678B8" w:rsidRDefault="000C339B" w:rsidP="000C339B">
      <w:pPr>
        <w:tabs>
          <w:tab w:val="left" w:pos="1455"/>
        </w:tabs>
        <w:jc w:val="center"/>
        <w:rPr>
          <w:rFonts w:cs="Arial"/>
        </w:rPr>
      </w:pPr>
      <w:r>
        <w:rPr>
          <w:b/>
          <w:sz w:val="22"/>
        </w:rPr>
        <w:t>Tabla de frecuencias</w:t>
      </w: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353"/>
        <w:gridCol w:w="1418"/>
        <w:gridCol w:w="1275"/>
        <w:gridCol w:w="1167"/>
      </w:tblGrid>
      <w:tr w:rsidR="000C339B" w:rsidRPr="00E678B8" w:rsidTr="001D47B2">
        <w:trPr>
          <w:trHeight w:hRule="exact" w:val="820"/>
        </w:trPr>
        <w:tc>
          <w:tcPr>
            <w:tcW w:w="5353"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7"/>
                <w:szCs w:val="17"/>
              </w:rPr>
            </w:pPr>
          </w:p>
          <w:p w:rsidR="000C339B" w:rsidRPr="00E678B8" w:rsidRDefault="000C339B" w:rsidP="00616CFA">
            <w:pPr>
              <w:jc w:val="left"/>
              <w:rPr>
                <w:rFonts w:eastAsia="Arial" w:cs="Arial"/>
                <w:sz w:val="17"/>
                <w:szCs w:val="17"/>
              </w:rPr>
            </w:pPr>
          </w:p>
          <w:p w:rsidR="000C339B" w:rsidRPr="00E678B8" w:rsidRDefault="000C339B" w:rsidP="00616CFA">
            <w:pPr>
              <w:jc w:val="left"/>
              <w:rPr>
                <w:rFonts w:eastAsia="Arial" w:cs="Arial"/>
                <w:sz w:val="17"/>
                <w:szCs w:val="17"/>
              </w:rPr>
            </w:pPr>
            <w:r>
              <w:rPr>
                <w:b/>
                <w:sz w:val="18"/>
              </w:rPr>
              <w:t>Opciones</w:t>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color w:val="111111"/>
                <w:w w:val="107"/>
                <w:sz w:val="17"/>
                <w:szCs w:val="17"/>
              </w:rPr>
            </w:pPr>
            <w:r>
              <w:rPr>
                <w:b/>
                <w:color w:val="111111"/>
                <w:w w:val="107"/>
                <w:sz w:val="17"/>
              </w:rPr>
              <w:t>Frecuencia absoluta</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D47516">
            <w:pPr>
              <w:ind w:right="-20"/>
              <w:jc w:val="left"/>
              <w:rPr>
                <w:rFonts w:eastAsia="Arial" w:cs="Arial"/>
                <w:b/>
                <w:bCs/>
                <w:w w:val="107"/>
                <w:sz w:val="17"/>
                <w:szCs w:val="17"/>
              </w:rPr>
            </w:pPr>
            <w:r>
              <w:rPr>
                <w:b/>
                <w:w w:val="107"/>
                <w:sz w:val="17"/>
              </w:rPr>
              <w:t>Frecuencia relativa</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w w:val="107"/>
                <w:sz w:val="17"/>
                <w:szCs w:val="17"/>
              </w:rPr>
            </w:pPr>
            <w:r>
              <w:rPr>
                <w:b/>
                <w:w w:val="107"/>
                <w:sz w:val="17"/>
              </w:rPr>
              <w:t>Frecuencia relativa ajustada</w:t>
            </w:r>
          </w:p>
        </w:tc>
      </w:tr>
      <w:tr w:rsidR="000C339B" w:rsidRPr="00E678B8" w:rsidTr="001D47B2">
        <w:trPr>
          <w:trHeight w:val="399"/>
        </w:trPr>
        <w:tc>
          <w:tcPr>
            <w:tcW w:w="5353"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Sí</w:t>
            </w:r>
          </w:p>
        </w:tc>
        <w:tc>
          <w:tcPr>
            <w:tcW w:w="1418"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37</w:t>
            </w:r>
          </w:p>
        </w:tc>
        <w:tc>
          <w:tcPr>
            <w:tcW w:w="1275"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66,07%</w:t>
            </w:r>
          </w:p>
        </w:tc>
        <w:tc>
          <w:tcPr>
            <w:tcW w:w="1167"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78,72%</w:t>
            </w:r>
          </w:p>
        </w:tc>
      </w:tr>
      <w:tr w:rsidR="000C339B" w:rsidRPr="00E678B8" w:rsidTr="001D47B2">
        <w:trPr>
          <w:trHeight w:val="384"/>
        </w:trPr>
        <w:tc>
          <w:tcPr>
            <w:tcW w:w="5353"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No</w:t>
            </w:r>
          </w:p>
        </w:tc>
        <w:tc>
          <w:tcPr>
            <w:tcW w:w="1418"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10</w:t>
            </w:r>
          </w:p>
        </w:tc>
        <w:tc>
          <w:tcPr>
            <w:tcW w:w="1275"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sz w:val="17"/>
                <w:szCs w:val="17"/>
              </w:rPr>
            </w:pPr>
            <w:r>
              <w:rPr>
                <w:sz w:val="18"/>
              </w:rPr>
              <w:t>17,86%</w:t>
            </w:r>
          </w:p>
        </w:tc>
        <w:tc>
          <w:tcPr>
            <w:tcW w:w="1167"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color w:val="111111"/>
                <w:w w:val="104"/>
                <w:sz w:val="17"/>
                <w:szCs w:val="17"/>
              </w:rPr>
            </w:pPr>
            <w:r>
              <w:rPr>
                <w:sz w:val="18"/>
              </w:rPr>
              <w:t>21,28%</w:t>
            </w:r>
          </w:p>
        </w:tc>
      </w:tr>
      <w:tr w:rsidR="000C339B" w:rsidRPr="00E678B8" w:rsidTr="001D47B2">
        <w:trPr>
          <w:trHeight w:val="408"/>
        </w:trPr>
        <w:tc>
          <w:tcPr>
            <w:tcW w:w="535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szCs w:val="18"/>
              </w:rPr>
            </w:pPr>
            <w:r>
              <w:rPr>
                <w:sz w:val="18"/>
              </w:rPr>
              <w:t>Suma</w:t>
            </w: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47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sz w:val="17"/>
                <w:szCs w:val="17"/>
              </w:rPr>
            </w:pPr>
            <w:r>
              <w:rPr>
                <w:sz w:val="18"/>
              </w:rPr>
              <w:t>83,93%</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color w:val="111111"/>
                <w:w w:val="104"/>
                <w:sz w:val="17"/>
                <w:szCs w:val="17"/>
              </w:rPr>
            </w:pPr>
            <w:r>
              <w:rPr>
                <w:sz w:val="18"/>
              </w:rPr>
              <w:t>100%</w:t>
            </w:r>
          </w:p>
        </w:tc>
      </w:tr>
      <w:tr w:rsidR="000C339B" w:rsidRPr="00E678B8" w:rsidTr="001D47B2">
        <w:trPr>
          <w:trHeight w:val="363"/>
        </w:trPr>
        <w:tc>
          <w:tcPr>
            <w:tcW w:w="5353"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Sin respuesta</w:t>
            </w:r>
          </w:p>
        </w:tc>
        <w:tc>
          <w:tcPr>
            <w:tcW w:w="1418"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9</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jc w:val="left"/>
              <w:rPr>
                <w:rFonts w:eastAsia="Arial" w:cs="Arial"/>
                <w:sz w:val="17"/>
                <w:szCs w:val="17"/>
              </w:rPr>
            </w:pPr>
            <w:r>
              <w:rPr>
                <w:sz w:val="18"/>
              </w:rPr>
              <w:t>16,07%</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jc w:val="left"/>
              <w:rPr>
                <w:rFonts w:eastAsia="Arial" w:cs="Arial"/>
                <w:color w:val="111111"/>
                <w:w w:val="104"/>
                <w:sz w:val="17"/>
                <w:szCs w:val="17"/>
              </w:rPr>
            </w:pPr>
          </w:p>
        </w:tc>
      </w:tr>
      <w:tr w:rsidR="000C339B" w:rsidRPr="00E678B8" w:rsidTr="001D47B2">
        <w:trPr>
          <w:trHeight w:hRule="exact" w:val="281"/>
        </w:trPr>
        <w:tc>
          <w:tcPr>
            <w:tcW w:w="5353" w:type="dxa"/>
            <w:tcBorders>
              <w:top w:val="single" w:sz="12" w:space="0" w:color="A6A6A6" w:themeColor="background1" w:themeShade="A6"/>
              <w:left w:val="nil"/>
              <w:bottom w:val="nil"/>
              <w:right w:val="nil"/>
            </w:tcBorders>
            <w:vAlign w:val="center"/>
          </w:tcPr>
          <w:p w:rsidR="000C339B" w:rsidRPr="00E678B8" w:rsidRDefault="000C339B" w:rsidP="00616CFA">
            <w:pPr>
              <w:spacing w:before="30"/>
              <w:ind w:left="43" w:right="-20"/>
              <w:jc w:val="left"/>
              <w:rPr>
                <w:rFonts w:cs="Arial"/>
                <w:b/>
                <w:bCs/>
                <w:sz w:val="18"/>
                <w:szCs w:val="18"/>
              </w:rPr>
            </w:pPr>
            <w:r>
              <w:rPr>
                <w:b/>
                <w:sz w:val="18"/>
              </w:rPr>
              <w:t>Respondieron en total</w:t>
            </w:r>
            <w:r w:rsidR="001D47B2">
              <w:rPr>
                <w:b/>
                <w:sz w:val="18"/>
              </w:rPr>
              <w:t>:</w:t>
            </w:r>
            <w:r>
              <w:rPr>
                <w:b/>
                <w:sz w:val="18"/>
              </w:rPr>
              <w:t xml:space="preserve"> 47</w:t>
            </w:r>
          </w:p>
          <w:p w:rsidR="000C339B" w:rsidRPr="00E678B8" w:rsidRDefault="000C339B" w:rsidP="00616CFA">
            <w:pPr>
              <w:spacing w:before="37"/>
              <w:ind w:left="29" w:right="-20"/>
              <w:jc w:val="left"/>
              <w:rPr>
                <w:rFonts w:eastAsia="Arial" w:cs="Arial"/>
                <w:sz w:val="17"/>
                <w:szCs w:val="17"/>
              </w:rPr>
            </w:pPr>
          </w:p>
        </w:tc>
        <w:tc>
          <w:tcPr>
            <w:tcW w:w="1418"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cs="Arial"/>
                <w:sz w:val="18"/>
                <w:szCs w:val="18"/>
              </w:rPr>
            </w:pPr>
          </w:p>
        </w:tc>
        <w:tc>
          <w:tcPr>
            <w:tcW w:w="1275" w:type="dxa"/>
            <w:tcBorders>
              <w:top w:val="single" w:sz="12" w:space="0" w:color="A6A6A6" w:themeColor="background1" w:themeShade="A6"/>
              <w:left w:val="nil"/>
              <w:bottom w:val="nil"/>
              <w:right w:val="nil"/>
            </w:tcBorders>
          </w:tcPr>
          <w:p w:rsidR="000C339B" w:rsidRPr="00E678B8" w:rsidRDefault="000C339B" w:rsidP="00616CFA">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0C339B" w:rsidRPr="00E678B8" w:rsidRDefault="000C339B" w:rsidP="00616CFA">
            <w:pPr>
              <w:spacing w:before="37"/>
              <w:ind w:left="98" w:right="-20"/>
              <w:jc w:val="left"/>
              <w:rPr>
                <w:rFonts w:eastAsia="Arial" w:cs="Arial"/>
                <w:color w:val="111111"/>
                <w:w w:val="104"/>
                <w:sz w:val="17"/>
                <w:szCs w:val="17"/>
              </w:rPr>
            </w:pPr>
          </w:p>
        </w:tc>
      </w:tr>
      <w:tr w:rsidR="000C339B" w:rsidRPr="00E678B8" w:rsidTr="001D47B2">
        <w:trPr>
          <w:trHeight w:hRule="exact" w:val="281"/>
        </w:trPr>
        <w:tc>
          <w:tcPr>
            <w:tcW w:w="5353"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7"/>
                <w:szCs w:val="17"/>
              </w:rPr>
            </w:pP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color w:val="111111"/>
                <w:w w:val="104"/>
                <w:sz w:val="17"/>
                <w:szCs w:val="17"/>
              </w:rPr>
            </w:pPr>
          </w:p>
        </w:tc>
      </w:tr>
    </w:tbl>
    <w:p w:rsidR="000C339B" w:rsidRPr="00E678B8" w:rsidRDefault="000C339B" w:rsidP="000C339B">
      <w:pPr>
        <w:autoSpaceDE w:val="0"/>
        <w:autoSpaceDN w:val="0"/>
        <w:adjustRightInd w:val="0"/>
        <w:jc w:val="left"/>
        <w:rPr>
          <w:rFonts w:cs="Arial"/>
          <w:bCs/>
          <w:sz w:val="18"/>
          <w:szCs w:val="28"/>
        </w:rPr>
      </w:pPr>
    </w:p>
    <w:p w:rsidR="000C339B" w:rsidRPr="00E678B8" w:rsidRDefault="000C339B" w:rsidP="000C339B">
      <w:pPr>
        <w:keepNext/>
        <w:jc w:val="left"/>
        <w:rPr>
          <w:rFonts w:cs="Arial"/>
          <w:sz w:val="18"/>
          <w:u w:val="single"/>
        </w:rPr>
      </w:pPr>
      <w:r>
        <w:rPr>
          <w:sz w:val="18"/>
          <w:u w:val="single"/>
        </w:rPr>
        <w:lastRenderedPageBreak/>
        <w:t>Comentarios</w:t>
      </w:r>
    </w:p>
    <w:p w:rsidR="000C339B" w:rsidRPr="00E678B8" w:rsidRDefault="000C339B" w:rsidP="000C339B">
      <w:pPr>
        <w:keepNext/>
        <w:jc w:val="left"/>
        <w:rPr>
          <w:rFonts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0C339B" w:rsidRPr="000C339B" w:rsidTr="00616CFA">
        <w:trPr>
          <w:trHeight w:val="264"/>
        </w:trPr>
        <w:tc>
          <w:tcPr>
            <w:tcW w:w="9390" w:type="dxa"/>
            <w:noWrap/>
            <w:hideMark/>
          </w:tcPr>
          <w:p w:rsidR="000C339B" w:rsidRPr="000C339B" w:rsidRDefault="00DE5C28" w:rsidP="00DE5C28">
            <w:pPr>
              <w:keepNext/>
              <w:jc w:val="left"/>
              <w:rPr>
                <w:rFonts w:cs="Arial"/>
                <w:sz w:val="18"/>
                <w:highlight w:val="yellow"/>
              </w:rPr>
            </w:pPr>
            <w:r>
              <w:rPr>
                <w:sz w:val="18"/>
              </w:rPr>
              <w:t>Se utiliza de base únicamente e</w:t>
            </w:r>
            <w:r w:rsidR="000C339B">
              <w:rPr>
                <w:sz w:val="18"/>
              </w:rPr>
              <w:t xml:space="preserve">l informe. </w:t>
            </w:r>
            <w:r>
              <w:rPr>
                <w:sz w:val="18"/>
              </w:rPr>
              <w:t>Es</w:t>
            </w:r>
            <w:r w:rsidR="000C339B">
              <w:rPr>
                <w:sz w:val="18"/>
              </w:rPr>
              <w:t xml:space="preserve"> suficiente para tomar una decisión fundada.</w:t>
            </w:r>
          </w:p>
        </w:tc>
      </w:tr>
      <w:tr w:rsidR="000C339B" w:rsidRPr="000C339B" w:rsidTr="00616CFA">
        <w:trPr>
          <w:trHeight w:val="264"/>
        </w:trPr>
        <w:tc>
          <w:tcPr>
            <w:tcW w:w="9390" w:type="dxa"/>
            <w:noWrap/>
            <w:hideMark/>
          </w:tcPr>
          <w:p w:rsidR="000C339B" w:rsidRPr="000C339B" w:rsidRDefault="000C339B" w:rsidP="002829D4">
            <w:pPr>
              <w:keepNext/>
              <w:jc w:val="left"/>
              <w:rPr>
                <w:rFonts w:cs="Arial"/>
                <w:sz w:val="18"/>
                <w:highlight w:val="yellow"/>
              </w:rPr>
            </w:pPr>
            <w:r>
              <w:rPr>
                <w:sz w:val="18"/>
              </w:rPr>
              <w:t xml:space="preserve">Solo en una ocasión consultamos a la autoridad nos emitió </w:t>
            </w:r>
            <w:r w:rsidR="008D6631">
              <w:rPr>
                <w:sz w:val="18"/>
              </w:rPr>
              <w:t xml:space="preserve">[...] </w:t>
            </w:r>
            <w:r>
              <w:rPr>
                <w:sz w:val="18"/>
              </w:rPr>
              <w:t xml:space="preserve">examen (CPVO) </w:t>
            </w:r>
            <w:r w:rsidR="0050317A">
              <w:rPr>
                <w:sz w:val="18"/>
              </w:rPr>
              <w:t xml:space="preserve">[...] </w:t>
            </w:r>
            <w:r>
              <w:rPr>
                <w:sz w:val="18"/>
              </w:rPr>
              <w:t>la falta de la comparación entre la variedad propuesta y las variedades comúnmente conocidas. Sin embargo se nos informó que la comparación no se realizó por cuanto a ojos del experto la variedad candidata no era parecida a ninguna de la colección de referencia. Con esa respuesta explicando la situación se tom</w:t>
            </w:r>
            <w:r w:rsidR="00E2520B">
              <w:rPr>
                <w:sz w:val="18"/>
              </w:rPr>
              <w:t>ó</w:t>
            </w:r>
            <w:r>
              <w:rPr>
                <w:sz w:val="18"/>
              </w:rPr>
              <w:t xml:space="preserve"> la decisión.</w:t>
            </w:r>
          </w:p>
        </w:tc>
      </w:tr>
      <w:tr w:rsidR="000C339B" w:rsidRPr="000C339B" w:rsidTr="00616CFA">
        <w:trPr>
          <w:trHeight w:val="264"/>
        </w:trPr>
        <w:tc>
          <w:tcPr>
            <w:tcW w:w="9390" w:type="dxa"/>
            <w:noWrap/>
            <w:hideMark/>
          </w:tcPr>
          <w:p w:rsidR="000C339B" w:rsidRPr="000C339B" w:rsidRDefault="000C339B" w:rsidP="00E2520B">
            <w:pPr>
              <w:keepNext/>
              <w:jc w:val="left"/>
              <w:rPr>
                <w:rFonts w:cs="Arial"/>
                <w:sz w:val="18"/>
              </w:rPr>
            </w:pPr>
            <w:r>
              <w:rPr>
                <w:sz w:val="18"/>
              </w:rPr>
              <w:t>En ciertos casos, además del informe del examen DHE, solicitamos igualmente una muestra de material vegetal para nuestra colección de referencia.</w:t>
            </w:r>
            <w:r w:rsidR="0058413A">
              <w:rPr>
                <w:sz w:val="18"/>
              </w:rPr>
              <w:t xml:space="preserve"> </w:t>
            </w:r>
            <w:r>
              <w:rPr>
                <w:sz w:val="18"/>
              </w:rPr>
              <w:t xml:space="preserve">En </w:t>
            </w:r>
            <w:r w:rsidR="00E2520B">
              <w:rPr>
                <w:sz w:val="18"/>
              </w:rPr>
              <w:t>algunos</w:t>
            </w:r>
            <w:r>
              <w:rPr>
                <w:sz w:val="18"/>
              </w:rPr>
              <w:t xml:space="preserve"> casos excepcionales, es posible que se solicite información adicional (variedades de comparación empleadas, resultados brutos y observaciones y mediciones...).</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 xml:space="preserve">Solo de cultivos para los que no se exige la certificación de la semilla y están en un sistema en que la cadena de valor es cerrada. </w:t>
            </w:r>
          </w:p>
        </w:tc>
      </w:tr>
      <w:tr w:rsidR="000C339B" w:rsidRPr="000C339B" w:rsidTr="00616CFA">
        <w:trPr>
          <w:trHeight w:val="264"/>
        </w:trPr>
        <w:tc>
          <w:tcPr>
            <w:tcW w:w="9390" w:type="dxa"/>
            <w:noWrap/>
            <w:hideMark/>
          </w:tcPr>
          <w:p w:rsidR="000C339B" w:rsidRPr="000C339B" w:rsidRDefault="000C339B" w:rsidP="00E2520B">
            <w:pPr>
              <w:keepNext/>
              <w:jc w:val="left"/>
              <w:rPr>
                <w:rFonts w:cs="Arial"/>
                <w:sz w:val="18"/>
              </w:rPr>
            </w:pPr>
            <w:r>
              <w:rPr>
                <w:sz w:val="18"/>
              </w:rPr>
              <w:t>El informe DHE sirve de base para la decisión relativa pero se solicita m</w:t>
            </w:r>
            <w:r w:rsidR="00E2520B">
              <w:rPr>
                <w:sz w:val="18"/>
              </w:rPr>
              <w:t>á</w:t>
            </w:r>
            <w:r>
              <w:rPr>
                <w:sz w:val="18"/>
              </w:rPr>
              <w:t>s información, la cual es analizada detalladamente.</w:t>
            </w:r>
            <w:r w:rsidR="0058413A">
              <w:rPr>
                <w:sz w:val="18"/>
              </w:rPr>
              <w:t xml:space="preserve"> </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Con frecuencia es necesario formular más preguntas sobre las variedades de referencia empleadas para evaluar la distinción.</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Se acuerdan los elementos técnicos y administrativos por adelantado.</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El informe DHE debe ser el documento auténtico (original), firmado y el sellado por la autoridad oficial que lo expidió.</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Los informes DHE de otros miembros de la UE se utilizan para tomar la decisión sobre la DHE.</w:t>
            </w:r>
          </w:p>
        </w:tc>
      </w:tr>
      <w:tr w:rsidR="000C339B" w:rsidRPr="000C339B" w:rsidTr="00616CFA">
        <w:trPr>
          <w:trHeight w:val="264"/>
        </w:trPr>
        <w:tc>
          <w:tcPr>
            <w:tcW w:w="9390" w:type="dxa"/>
            <w:noWrap/>
            <w:hideMark/>
          </w:tcPr>
          <w:p w:rsidR="000C339B" w:rsidRPr="000C339B" w:rsidRDefault="000C339B" w:rsidP="00E2520B">
            <w:pPr>
              <w:keepNext/>
              <w:jc w:val="left"/>
              <w:rPr>
                <w:rFonts w:cs="Arial"/>
                <w:sz w:val="18"/>
              </w:rPr>
            </w:pPr>
            <w:r>
              <w:rPr>
                <w:sz w:val="18"/>
              </w:rPr>
              <w:t>Es posible que se hagan preguntas sobre factores ambientales que pued</w:t>
            </w:r>
            <w:r w:rsidR="00E2520B">
              <w:rPr>
                <w:sz w:val="18"/>
              </w:rPr>
              <w:t>e</w:t>
            </w:r>
            <w:r>
              <w:rPr>
                <w:sz w:val="18"/>
              </w:rPr>
              <w:t xml:space="preserve">n tener efecto en la expresión, tales como la temperatura y la cantidad de luz solar, para ver si es necesario repetir el estudio en nuestras condiciones. Por ejemplo, ciertas condiciones de algunas directrices de examen no se corresponden con las que imperan </w:t>
            </w:r>
            <w:r w:rsidR="00E2520B">
              <w:rPr>
                <w:sz w:val="18"/>
              </w:rPr>
              <w:t>en nuestro ámbito</w:t>
            </w:r>
            <w:r>
              <w:rPr>
                <w:sz w:val="18"/>
              </w:rPr>
              <w:t>.</w:t>
            </w:r>
          </w:p>
        </w:tc>
      </w:tr>
      <w:tr w:rsidR="000C339B" w:rsidRPr="00E678B8" w:rsidTr="00616CFA">
        <w:trPr>
          <w:trHeight w:val="264"/>
        </w:trPr>
        <w:tc>
          <w:tcPr>
            <w:tcW w:w="9390" w:type="dxa"/>
            <w:noWrap/>
            <w:hideMark/>
          </w:tcPr>
          <w:p w:rsidR="000C339B" w:rsidRPr="00E678B8" w:rsidRDefault="000C339B" w:rsidP="00E2520B">
            <w:pPr>
              <w:keepNext/>
              <w:jc w:val="left"/>
              <w:rPr>
                <w:rFonts w:cs="Arial"/>
                <w:sz w:val="18"/>
              </w:rPr>
            </w:pPr>
            <w:r>
              <w:rPr>
                <w:sz w:val="18"/>
              </w:rPr>
              <w:t xml:space="preserve">Algunas veces no se necesita más información, pero </w:t>
            </w:r>
            <w:r w:rsidR="00E2520B">
              <w:rPr>
                <w:sz w:val="18"/>
              </w:rPr>
              <w:t xml:space="preserve">debe poder hacerse </w:t>
            </w:r>
            <w:r>
              <w:rPr>
                <w:sz w:val="18"/>
              </w:rPr>
              <w:t>una descripción de la variedad que cumpla los requisitos para la publicación. En consecuencia, en la mayoría de los casos, se necesita más información.</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En la mayoría de los casos.</w:t>
            </w:r>
            <w:r w:rsidR="0058413A">
              <w:rPr>
                <w:sz w:val="18"/>
              </w:rPr>
              <w:t xml:space="preserve"> </w:t>
            </w:r>
            <w:r>
              <w:rPr>
                <w:sz w:val="18"/>
              </w:rPr>
              <w:t>Si un informe es el primero de esa autoridad o el primero de esa especie, es posible que solicitemos más información a la autoridad o que se realice un pequeño ensayo nacional de cultivo.</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Aceptamos los informes DHE de las oficinas de examen facultadas por la OCVV.</w:t>
            </w:r>
          </w:p>
        </w:tc>
      </w:tr>
      <w:tr w:rsidR="000C339B" w:rsidRPr="000C339B" w:rsidTr="00616CFA">
        <w:trPr>
          <w:trHeight w:val="264"/>
        </w:trPr>
        <w:tc>
          <w:tcPr>
            <w:tcW w:w="9390" w:type="dxa"/>
            <w:noWrap/>
            <w:hideMark/>
          </w:tcPr>
          <w:p w:rsidR="000C339B" w:rsidRPr="000C339B" w:rsidRDefault="000C339B" w:rsidP="000804D2">
            <w:pPr>
              <w:keepNext/>
              <w:jc w:val="left"/>
              <w:rPr>
                <w:rFonts w:cs="Arial"/>
                <w:sz w:val="18"/>
              </w:rPr>
            </w:pPr>
            <w:r>
              <w:rPr>
                <w:sz w:val="18"/>
              </w:rPr>
              <w:t xml:space="preserve">Solo puede ser </w:t>
            </w:r>
            <w:r w:rsidR="000804D2">
              <w:rPr>
                <w:sz w:val="18"/>
              </w:rPr>
              <w:t>la base</w:t>
            </w:r>
            <w:r>
              <w:rPr>
                <w:sz w:val="18"/>
              </w:rPr>
              <w:t xml:space="preserve"> de una decisión sobre la protección comunitaria de una obtención vegetal si el examen técnico lo ha llevado a cabo una autoridad que satisface los denominados “requisitos que ha de satisfacer una oficina encargada del examen”. Toda oficina que desee adquirir la condición de facultada para el examen de una determinada especie debe cumplir estos requisitos.</w:t>
            </w:r>
          </w:p>
        </w:tc>
      </w:tr>
      <w:tr w:rsidR="000C339B" w:rsidRPr="000C339B" w:rsidTr="00616CFA">
        <w:trPr>
          <w:trHeight w:val="264"/>
        </w:trPr>
        <w:tc>
          <w:tcPr>
            <w:tcW w:w="9390" w:type="dxa"/>
            <w:noWrap/>
            <w:hideMark/>
          </w:tcPr>
          <w:p w:rsidR="000C339B" w:rsidRPr="000C339B" w:rsidRDefault="000C339B" w:rsidP="00616CFA">
            <w:pPr>
              <w:keepNext/>
              <w:jc w:val="left"/>
              <w:rPr>
                <w:rFonts w:cs="Arial"/>
                <w:sz w:val="18"/>
              </w:rPr>
            </w:pPr>
            <w:r>
              <w:rPr>
                <w:sz w:val="18"/>
              </w:rPr>
              <w:t>También se solicita muestra de material vegetal de la variedad.</w:t>
            </w:r>
          </w:p>
        </w:tc>
      </w:tr>
    </w:tbl>
    <w:p w:rsidR="000C339B" w:rsidRPr="000C339B" w:rsidRDefault="000C339B" w:rsidP="000C339B">
      <w:pPr>
        <w:jc w:val="left"/>
        <w:rPr>
          <w:rFonts w:cs="Arial"/>
          <w:b/>
          <w:bCs/>
          <w:sz w:val="28"/>
          <w:szCs w:val="28"/>
        </w:rPr>
      </w:pPr>
      <w:r>
        <w:br w:type="page"/>
      </w:r>
    </w:p>
    <w:p w:rsidR="000C339B" w:rsidRDefault="000C339B" w:rsidP="000C339B">
      <w:pPr>
        <w:autoSpaceDE w:val="0"/>
        <w:autoSpaceDN w:val="0"/>
        <w:adjustRightInd w:val="0"/>
        <w:spacing w:line="360" w:lineRule="auto"/>
        <w:jc w:val="left"/>
        <w:rPr>
          <w:sz w:val="18"/>
        </w:rPr>
      </w:pPr>
      <w:r w:rsidRPr="007A7081">
        <w:rPr>
          <w:b/>
          <w:sz w:val="28"/>
          <w:szCs w:val="28"/>
        </w:rPr>
        <w:lastRenderedPageBreak/>
        <w:t>Pregunta 9</w:t>
      </w:r>
      <w:r w:rsidRPr="007A7081">
        <w:rPr>
          <w:sz w:val="28"/>
          <w:szCs w:val="28"/>
        </w:rPr>
        <w:t>:</w:t>
      </w:r>
      <w:r w:rsidRPr="007A7081">
        <w:rPr>
          <w:sz w:val="18"/>
        </w:rPr>
        <w:br/>
      </w:r>
      <w:r>
        <w:rPr>
          <w:sz w:val="18"/>
        </w:rPr>
        <w:t>Si la autoridad de su país/organización acepta informes DHE existentes de otros miembros de la UPOV, ¿las directrices de examen de la UPOV deben servir de base para el examen DHE?</w:t>
      </w:r>
    </w:p>
    <w:tbl>
      <w:tblPr>
        <w:tblStyle w:val="TableGrid"/>
        <w:tblpPr w:leftFromText="180" w:rightFromText="180" w:vertAnchor="text" w:horzAnchor="margin" w:tblpY="153"/>
        <w:tblW w:w="2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37"/>
      </w:tblGrid>
      <w:tr w:rsidR="001D47B2" w:rsidRPr="00E678B8" w:rsidTr="001D47B2">
        <w:trPr>
          <w:trHeight w:hRule="exact" w:val="1017"/>
        </w:trPr>
        <w:tc>
          <w:tcPr>
            <w:tcW w:w="2637" w:type="dxa"/>
            <w:vAlign w:val="center"/>
          </w:tcPr>
          <w:p w:rsidR="001D47B2" w:rsidRPr="00E678B8" w:rsidRDefault="001D47B2" w:rsidP="001D47B2">
            <w:pPr>
              <w:autoSpaceDE w:val="0"/>
              <w:autoSpaceDN w:val="0"/>
              <w:adjustRightInd w:val="0"/>
              <w:ind w:left="-392"/>
              <w:jc w:val="right"/>
              <w:rPr>
                <w:rFonts w:cs="Arial"/>
                <w:sz w:val="16"/>
                <w:szCs w:val="18"/>
              </w:rPr>
            </w:pPr>
            <w:r>
              <w:rPr>
                <w:sz w:val="16"/>
              </w:rPr>
              <w:t>Sí</w:t>
            </w:r>
          </w:p>
        </w:tc>
      </w:tr>
      <w:tr w:rsidR="001D47B2" w:rsidRPr="00E678B8" w:rsidTr="001D47B2">
        <w:trPr>
          <w:trHeight w:hRule="exact" w:val="827"/>
        </w:trPr>
        <w:tc>
          <w:tcPr>
            <w:tcW w:w="2637" w:type="dxa"/>
            <w:vAlign w:val="center"/>
          </w:tcPr>
          <w:p w:rsidR="001D47B2" w:rsidRPr="00E678B8" w:rsidRDefault="001D47B2" w:rsidP="001D47B2">
            <w:pPr>
              <w:autoSpaceDE w:val="0"/>
              <w:autoSpaceDN w:val="0"/>
              <w:adjustRightInd w:val="0"/>
              <w:ind w:left="-392"/>
              <w:jc w:val="right"/>
              <w:rPr>
                <w:rFonts w:cs="Arial"/>
                <w:sz w:val="16"/>
                <w:szCs w:val="18"/>
              </w:rPr>
            </w:pPr>
            <w:r>
              <w:rPr>
                <w:sz w:val="16"/>
              </w:rPr>
              <w:t>No</w:t>
            </w:r>
          </w:p>
        </w:tc>
      </w:tr>
    </w:tbl>
    <w:p w:rsidR="001D47B2" w:rsidRPr="000C339B" w:rsidRDefault="001D47B2" w:rsidP="000C339B">
      <w:pPr>
        <w:autoSpaceDE w:val="0"/>
        <w:autoSpaceDN w:val="0"/>
        <w:adjustRightInd w:val="0"/>
        <w:spacing w:line="360" w:lineRule="auto"/>
        <w:jc w:val="left"/>
        <w:rPr>
          <w:rFonts w:cs="Arial"/>
          <w:bCs/>
          <w:sz w:val="18"/>
          <w:szCs w:val="18"/>
        </w:rPr>
      </w:pPr>
      <w:r>
        <w:rPr>
          <w:rFonts w:cs="Arial"/>
          <w:bCs/>
          <w:noProof/>
          <w:sz w:val="18"/>
          <w:szCs w:val="18"/>
          <w:lang w:eastAsia="es-ES_tradnl"/>
        </w:rPr>
        <w:drawing>
          <wp:anchor distT="0" distB="0" distL="114300" distR="114300" simplePos="0" relativeHeight="251663360" behindDoc="0" locked="0" layoutInCell="1" allowOverlap="1" wp14:anchorId="5396380B" wp14:editId="44F0F2A9">
            <wp:simplePos x="0" y="0"/>
            <wp:positionH relativeFrom="column">
              <wp:posOffset>-45085</wp:posOffset>
            </wp:positionH>
            <wp:positionV relativeFrom="paragraph">
              <wp:posOffset>12700</wp:posOffset>
            </wp:positionV>
            <wp:extent cx="3931920" cy="133921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rcRect t="3679" b="4651"/>
                    <a:stretch>
                      <a:fillRect/>
                    </a:stretch>
                  </pic:blipFill>
                  <pic:spPr>
                    <a:xfrm>
                      <a:off x="0" y="0"/>
                      <a:ext cx="3931920" cy="1339215"/>
                    </a:xfrm>
                    <a:prstGeom prst="rect">
                      <a:avLst/>
                    </a:prstGeom>
                  </pic:spPr>
                </pic:pic>
              </a:graphicData>
            </a:graphic>
          </wp:anchor>
        </w:drawing>
      </w:r>
    </w:p>
    <w:p w:rsidR="000C339B" w:rsidRPr="000C339B" w:rsidRDefault="000C339B" w:rsidP="000C339B">
      <w:pPr>
        <w:autoSpaceDE w:val="0"/>
        <w:autoSpaceDN w:val="0"/>
        <w:adjustRightInd w:val="0"/>
        <w:spacing w:line="360" w:lineRule="auto"/>
        <w:jc w:val="left"/>
        <w:rPr>
          <w:rFonts w:cs="Arial"/>
          <w:sz w:val="18"/>
          <w:szCs w:val="18"/>
        </w:rPr>
      </w:pPr>
    </w:p>
    <w:p w:rsidR="000C339B" w:rsidRPr="00E678B8" w:rsidRDefault="000C339B" w:rsidP="000C339B">
      <w:pPr>
        <w:autoSpaceDE w:val="0"/>
        <w:autoSpaceDN w:val="0"/>
        <w:adjustRightInd w:val="0"/>
        <w:spacing w:line="360" w:lineRule="auto"/>
        <w:jc w:val="left"/>
        <w:rPr>
          <w:rFonts w:cs="Arial"/>
          <w:sz w:val="18"/>
          <w:szCs w:val="18"/>
        </w:rPr>
      </w:pPr>
    </w:p>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jc w:val="left"/>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jc w:val="right"/>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tabs>
          <w:tab w:val="left" w:pos="4103"/>
        </w:tabs>
        <w:jc w:val="center"/>
        <w:rPr>
          <w:rFonts w:cs="Arial"/>
          <w:b/>
          <w:bCs/>
          <w:sz w:val="22"/>
          <w:szCs w:val="22"/>
        </w:rPr>
      </w:pPr>
      <w:r>
        <w:rPr>
          <w:b/>
          <w:sz w:val="22"/>
        </w:rPr>
        <w:t>Tabla de frecuencias</w:t>
      </w: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495"/>
        <w:gridCol w:w="1276"/>
        <w:gridCol w:w="1275"/>
        <w:gridCol w:w="1167"/>
      </w:tblGrid>
      <w:tr w:rsidR="000C339B" w:rsidRPr="00E678B8" w:rsidTr="001D47B2">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7"/>
                <w:szCs w:val="17"/>
              </w:rPr>
            </w:pPr>
          </w:p>
          <w:p w:rsidR="000C339B" w:rsidRPr="00E678B8" w:rsidRDefault="000C339B" w:rsidP="00616CFA">
            <w:pPr>
              <w:jc w:val="left"/>
              <w:rPr>
                <w:rFonts w:eastAsia="Arial" w:cs="Arial"/>
                <w:sz w:val="17"/>
                <w:szCs w:val="17"/>
              </w:rPr>
            </w:pPr>
          </w:p>
          <w:p w:rsidR="000C339B" w:rsidRPr="00E678B8" w:rsidRDefault="000C339B" w:rsidP="00616CFA">
            <w:pPr>
              <w:jc w:val="left"/>
              <w:rPr>
                <w:rFonts w:eastAsia="Arial" w:cs="Arial"/>
                <w:sz w:val="17"/>
                <w:szCs w:val="17"/>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color w:val="111111"/>
                <w:w w:val="107"/>
                <w:sz w:val="17"/>
                <w:szCs w:val="17"/>
              </w:rPr>
            </w:pPr>
            <w:r>
              <w:rPr>
                <w:b/>
                <w:color w:val="111111"/>
                <w:w w:val="107"/>
                <w:sz w:val="17"/>
              </w:rPr>
              <w:t>Frecuencia absoluta</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D47516">
            <w:pPr>
              <w:ind w:right="-20"/>
              <w:jc w:val="left"/>
              <w:rPr>
                <w:rFonts w:eastAsia="Arial" w:cs="Arial"/>
                <w:b/>
                <w:bCs/>
                <w:w w:val="107"/>
                <w:sz w:val="17"/>
                <w:szCs w:val="17"/>
              </w:rPr>
            </w:pPr>
            <w:r>
              <w:rPr>
                <w:b/>
                <w:w w:val="107"/>
                <w:sz w:val="17"/>
              </w:rPr>
              <w:t>Frecuencia relativa</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w w:val="107"/>
                <w:sz w:val="17"/>
                <w:szCs w:val="17"/>
              </w:rPr>
            </w:pPr>
            <w:r>
              <w:rPr>
                <w:b/>
                <w:w w:val="107"/>
                <w:sz w:val="17"/>
              </w:rPr>
              <w:t>Frecuencia relativa ajustada</w:t>
            </w:r>
          </w:p>
        </w:tc>
      </w:tr>
      <w:tr w:rsidR="000C339B" w:rsidRPr="00E678B8" w:rsidTr="001D47B2">
        <w:trPr>
          <w:trHeight w:val="399"/>
        </w:trPr>
        <w:tc>
          <w:tcPr>
            <w:tcW w:w="5495"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Sí</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39</w:t>
            </w:r>
          </w:p>
        </w:tc>
        <w:tc>
          <w:tcPr>
            <w:tcW w:w="1275"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69,64%</w:t>
            </w:r>
          </w:p>
        </w:tc>
        <w:tc>
          <w:tcPr>
            <w:tcW w:w="1167"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82,98%</w:t>
            </w:r>
          </w:p>
        </w:tc>
      </w:tr>
      <w:tr w:rsidR="000C339B" w:rsidRPr="00E678B8" w:rsidTr="001D47B2">
        <w:trPr>
          <w:trHeight w:val="384"/>
        </w:trPr>
        <w:tc>
          <w:tcPr>
            <w:tcW w:w="5495"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No</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8</w:t>
            </w:r>
          </w:p>
        </w:tc>
        <w:tc>
          <w:tcPr>
            <w:tcW w:w="1275"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sz w:val="17"/>
                <w:szCs w:val="17"/>
              </w:rPr>
            </w:pPr>
            <w:r>
              <w:rPr>
                <w:sz w:val="18"/>
              </w:rPr>
              <w:t>14,29%</w:t>
            </w:r>
          </w:p>
        </w:tc>
        <w:tc>
          <w:tcPr>
            <w:tcW w:w="1167"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color w:val="111111"/>
                <w:w w:val="104"/>
                <w:sz w:val="17"/>
                <w:szCs w:val="17"/>
              </w:rPr>
            </w:pPr>
            <w:r>
              <w:rPr>
                <w:sz w:val="18"/>
              </w:rPr>
              <w:t>17,02%</w:t>
            </w:r>
          </w:p>
        </w:tc>
      </w:tr>
      <w:tr w:rsidR="000C339B" w:rsidRPr="00E678B8" w:rsidTr="001D47B2">
        <w:trPr>
          <w:trHeight w:val="408"/>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47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sz w:val="17"/>
                <w:szCs w:val="17"/>
              </w:rPr>
            </w:pPr>
            <w:r>
              <w:rPr>
                <w:sz w:val="18"/>
              </w:rPr>
              <w:t>83,93%</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color w:val="111111"/>
                <w:w w:val="104"/>
                <w:sz w:val="17"/>
                <w:szCs w:val="17"/>
              </w:rPr>
            </w:pPr>
            <w:r>
              <w:rPr>
                <w:sz w:val="18"/>
              </w:rPr>
              <w:t>100%</w:t>
            </w:r>
          </w:p>
        </w:tc>
      </w:tr>
      <w:tr w:rsidR="000C339B" w:rsidRPr="00E678B8" w:rsidTr="001D47B2">
        <w:trPr>
          <w:trHeight w:val="45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9</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jc w:val="left"/>
              <w:rPr>
                <w:rFonts w:eastAsia="Arial" w:cs="Arial"/>
                <w:sz w:val="17"/>
                <w:szCs w:val="17"/>
              </w:rPr>
            </w:pPr>
            <w:r>
              <w:rPr>
                <w:sz w:val="18"/>
              </w:rPr>
              <w:t>16,07%</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right="-20"/>
              <w:jc w:val="left"/>
              <w:rPr>
                <w:rFonts w:eastAsia="Arial" w:cs="Arial"/>
                <w:color w:val="111111"/>
                <w:w w:val="104"/>
                <w:sz w:val="17"/>
                <w:szCs w:val="17"/>
              </w:rPr>
            </w:pPr>
          </w:p>
        </w:tc>
      </w:tr>
      <w:tr w:rsidR="000C339B" w:rsidRPr="00E678B8" w:rsidTr="001D47B2">
        <w:trPr>
          <w:trHeight w:hRule="exact" w:val="281"/>
        </w:trPr>
        <w:tc>
          <w:tcPr>
            <w:tcW w:w="5495" w:type="dxa"/>
            <w:tcBorders>
              <w:top w:val="single" w:sz="12" w:space="0" w:color="A6A6A6" w:themeColor="background1" w:themeShade="A6"/>
              <w:left w:val="nil"/>
              <w:bottom w:val="nil"/>
              <w:right w:val="nil"/>
            </w:tcBorders>
            <w:vAlign w:val="center"/>
          </w:tcPr>
          <w:p w:rsidR="000C339B" w:rsidRPr="00E678B8" w:rsidRDefault="000C339B" w:rsidP="00616CFA">
            <w:pPr>
              <w:spacing w:before="30"/>
              <w:ind w:left="43" w:right="-20"/>
              <w:jc w:val="left"/>
              <w:rPr>
                <w:rFonts w:cs="Arial"/>
                <w:b/>
                <w:bCs/>
                <w:sz w:val="18"/>
                <w:szCs w:val="18"/>
              </w:rPr>
            </w:pPr>
            <w:r>
              <w:rPr>
                <w:b/>
                <w:sz w:val="18"/>
              </w:rPr>
              <w:t>Respondieron en total</w:t>
            </w:r>
            <w:r w:rsidR="001D47B2">
              <w:rPr>
                <w:b/>
                <w:sz w:val="18"/>
              </w:rPr>
              <w:t>:</w:t>
            </w:r>
            <w:r>
              <w:rPr>
                <w:b/>
                <w:sz w:val="18"/>
              </w:rPr>
              <w:t xml:space="preserve"> 47</w:t>
            </w:r>
          </w:p>
          <w:p w:rsidR="000C339B" w:rsidRPr="00E678B8" w:rsidRDefault="000C339B" w:rsidP="00616CFA">
            <w:pPr>
              <w:spacing w:before="37"/>
              <w:ind w:left="29" w:right="-20"/>
              <w:jc w:val="left"/>
              <w:rPr>
                <w:rFonts w:eastAsia="Arial" w:cs="Arial"/>
                <w:sz w:val="17"/>
                <w:szCs w:val="17"/>
              </w:rPr>
            </w:pP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cs="Arial"/>
                <w:sz w:val="18"/>
                <w:szCs w:val="18"/>
              </w:rPr>
            </w:pPr>
          </w:p>
        </w:tc>
        <w:tc>
          <w:tcPr>
            <w:tcW w:w="1275" w:type="dxa"/>
            <w:tcBorders>
              <w:top w:val="single" w:sz="12" w:space="0" w:color="A6A6A6" w:themeColor="background1" w:themeShade="A6"/>
              <w:left w:val="nil"/>
              <w:bottom w:val="nil"/>
              <w:right w:val="nil"/>
            </w:tcBorders>
          </w:tcPr>
          <w:p w:rsidR="000C339B" w:rsidRPr="00E678B8" w:rsidRDefault="000C339B" w:rsidP="00616CFA">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0C339B" w:rsidRPr="00E678B8" w:rsidRDefault="000C339B" w:rsidP="00616CFA">
            <w:pPr>
              <w:spacing w:before="37"/>
              <w:ind w:left="98" w:right="-20"/>
              <w:jc w:val="left"/>
              <w:rPr>
                <w:rFonts w:eastAsia="Arial" w:cs="Arial"/>
                <w:color w:val="111111"/>
                <w:w w:val="104"/>
                <w:sz w:val="17"/>
                <w:szCs w:val="17"/>
              </w:rPr>
            </w:pPr>
          </w:p>
        </w:tc>
      </w:tr>
      <w:tr w:rsidR="000C339B" w:rsidRPr="00E678B8" w:rsidTr="001D47B2">
        <w:trPr>
          <w:trHeight w:hRule="exact" w:val="281"/>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7"/>
                <w:szCs w:val="17"/>
              </w:rPr>
            </w:pP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color w:val="111111"/>
                <w:w w:val="104"/>
                <w:sz w:val="17"/>
                <w:szCs w:val="17"/>
              </w:rPr>
            </w:pPr>
          </w:p>
        </w:tc>
      </w:tr>
    </w:tbl>
    <w:p w:rsidR="000C339B" w:rsidRPr="00E678B8" w:rsidRDefault="000C339B" w:rsidP="000C339B">
      <w:pPr>
        <w:tabs>
          <w:tab w:val="left" w:pos="4103"/>
        </w:tabs>
        <w:jc w:val="center"/>
        <w:rPr>
          <w:rFonts w:cs="Arial"/>
          <w:sz w:val="18"/>
          <w:szCs w:val="18"/>
        </w:rPr>
      </w:pPr>
    </w:p>
    <w:p w:rsidR="000C339B" w:rsidRPr="006F752D" w:rsidRDefault="000C339B" w:rsidP="000C339B">
      <w:pPr>
        <w:autoSpaceDE w:val="0"/>
        <w:autoSpaceDN w:val="0"/>
        <w:adjustRightInd w:val="0"/>
        <w:jc w:val="left"/>
        <w:rPr>
          <w:rFonts w:cs="Arial"/>
          <w:sz w:val="12"/>
          <w:szCs w:val="18"/>
        </w:rPr>
      </w:pPr>
    </w:p>
    <w:p w:rsidR="000C339B" w:rsidRPr="00E678B8" w:rsidRDefault="000C339B" w:rsidP="000C339B">
      <w:pPr>
        <w:jc w:val="left"/>
        <w:rPr>
          <w:rFonts w:cs="Arial"/>
          <w:sz w:val="18"/>
          <w:u w:val="single"/>
        </w:rPr>
      </w:pPr>
      <w:r>
        <w:rPr>
          <w:sz w:val="18"/>
          <w:u w:val="single"/>
        </w:rPr>
        <w:t>Comentarios</w:t>
      </w:r>
    </w:p>
    <w:p w:rsidR="000C339B" w:rsidRPr="006F752D" w:rsidRDefault="000C339B" w:rsidP="000C339B">
      <w:pPr>
        <w:jc w:val="left"/>
        <w:rPr>
          <w:rFonts w:cs="Arial"/>
          <w:sz w:val="16"/>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0C339B" w:rsidRPr="000C339B" w:rsidTr="00616CFA">
        <w:trPr>
          <w:trHeight w:val="264"/>
        </w:trPr>
        <w:tc>
          <w:tcPr>
            <w:tcW w:w="9390" w:type="dxa"/>
            <w:noWrap/>
            <w:hideMark/>
          </w:tcPr>
          <w:p w:rsidR="000C339B" w:rsidRPr="000C339B" w:rsidRDefault="000C339B" w:rsidP="000C2446">
            <w:pPr>
              <w:jc w:val="left"/>
              <w:rPr>
                <w:rFonts w:cs="Arial"/>
                <w:sz w:val="18"/>
                <w:highlight w:val="yellow"/>
              </w:rPr>
            </w:pPr>
            <w:r>
              <w:rPr>
                <w:sz w:val="18"/>
              </w:rPr>
              <w:t>Por lo general, se cumple el requisito de [</w:t>
            </w:r>
            <w:r w:rsidR="000C2446">
              <w:rPr>
                <w:sz w:val="18"/>
              </w:rPr>
              <w:t xml:space="preserve">que el examen DHE se </w:t>
            </w:r>
            <w:r>
              <w:rPr>
                <w:sz w:val="18"/>
              </w:rPr>
              <w:t>bas</w:t>
            </w:r>
            <w:r w:rsidR="000C2446">
              <w:rPr>
                <w:sz w:val="18"/>
              </w:rPr>
              <w:t>e</w:t>
            </w:r>
            <w:r>
              <w:rPr>
                <w:sz w:val="18"/>
              </w:rPr>
              <w:t xml:space="preserve"> en] las directrices de examen de la UPOV.</w:t>
            </w:r>
          </w:p>
        </w:tc>
      </w:tr>
      <w:tr w:rsidR="000C339B" w:rsidRPr="000C339B" w:rsidTr="00616CFA">
        <w:trPr>
          <w:trHeight w:val="264"/>
        </w:trPr>
        <w:tc>
          <w:tcPr>
            <w:tcW w:w="9390" w:type="dxa"/>
            <w:noWrap/>
            <w:hideMark/>
          </w:tcPr>
          <w:p w:rsidR="000C339B" w:rsidRPr="000C339B" w:rsidRDefault="000C339B" w:rsidP="00616CFA">
            <w:pPr>
              <w:jc w:val="left"/>
              <w:rPr>
                <w:rFonts w:cs="Arial"/>
                <w:sz w:val="18"/>
                <w:highlight w:val="yellow"/>
              </w:rPr>
            </w:pPr>
            <w:r>
              <w:rPr>
                <w:sz w:val="18"/>
              </w:rPr>
              <w:t>Pero es posible que no existan directrices de examen para todas las especies.</w:t>
            </w:r>
          </w:p>
        </w:tc>
      </w:tr>
      <w:tr w:rsidR="000C339B" w:rsidRPr="000C339B" w:rsidTr="00616CFA">
        <w:trPr>
          <w:trHeight w:val="264"/>
        </w:trPr>
        <w:tc>
          <w:tcPr>
            <w:tcW w:w="9390" w:type="dxa"/>
            <w:noWrap/>
            <w:hideMark/>
          </w:tcPr>
          <w:p w:rsidR="000C339B" w:rsidRPr="000C339B" w:rsidRDefault="000C339B" w:rsidP="00616CFA">
            <w:pPr>
              <w:jc w:val="left"/>
              <w:rPr>
                <w:rFonts w:cs="Arial"/>
                <w:sz w:val="18"/>
                <w:highlight w:val="yellow"/>
              </w:rPr>
            </w:pPr>
            <w:r>
              <w:rPr>
                <w:sz w:val="18"/>
              </w:rPr>
              <w:t>Consideramos que las directrices de UPOV permiten mantener armonizado el análisis a realizar, simplificando el entendimiento de la autoridad que recibe el examen.</w:t>
            </w:r>
          </w:p>
        </w:tc>
      </w:tr>
      <w:tr w:rsidR="000C339B" w:rsidRPr="000C339B" w:rsidTr="00616CFA">
        <w:trPr>
          <w:trHeight w:val="264"/>
        </w:trPr>
        <w:tc>
          <w:tcPr>
            <w:tcW w:w="9390" w:type="dxa"/>
            <w:noWrap/>
            <w:hideMark/>
          </w:tcPr>
          <w:p w:rsidR="000C339B" w:rsidRPr="000C339B" w:rsidRDefault="000C339B" w:rsidP="00616CFA">
            <w:pPr>
              <w:jc w:val="left"/>
              <w:rPr>
                <w:rFonts w:cs="Arial"/>
                <w:sz w:val="18"/>
                <w:highlight w:val="yellow"/>
              </w:rPr>
            </w:pPr>
            <w:r>
              <w:rPr>
                <w:sz w:val="18"/>
              </w:rPr>
              <w:t>Pero no es lo único: como miembro de la UE, otro fundamento para aceptar informes es el sistema de acreditación de la OCVV</w:t>
            </w:r>
            <w:r w:rsidR="006F752D">
              <w:rPr>
                <w:sz w:val="18"/>
              </w:rPr>
              <w:t>.</w:t>
            </w:r>
          </w:p>
        </w:tc>
      </w:tr>
      <w:tr w:rsidR="000C339B" w:rsidRPr="000C339B" w:rsidTr="00616CFA">
        <w:trPr>
          <w:trHeight w:val="264"/>
        </w:trPr>
        <w:tc>
          <w:tcPr>
            <w:tcW w:w="9390" w:type="dxa"/>
            <w:noWrap/>
            <w:hideMark/>
          </w:tcPr>
          <w:p w:rsidR="000C339B" w:rsidRPr="000C339B" w:rsidRDefault="006F752D" w:rsidP="00616CFA">
            <w:pPr>
              <w:jc w:val="left"/>
              <w:rPr>
                <w:rFonts w:cs="Arial"/>
                <w:sz w:val="18"/>
              </w:rPr>
            </w:pPr>
            <w:r>
              <w:rPr>
                <w:sz w:val="18"/>
              </w:rPr>
              <w:t>H</w:t>
            </w:r>
            <w:r w:rsidR="000C339B">
              <w:rPr>
                <w:sz w:val="18"/>
              </w:rPr>
              <w:t>abida cuenta de que nuestras directrices nacionales también se basan en las directrices de la UPOV.</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 xml:space="preserve">Las directrices de examen de la UPOV armonizan el examen DHE entre sus Estados miembros. </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También se aceptan las directrices de examen de la OCVV.</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En ocasiones aceptamos informes de examen sin directrices de examen.</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 xml:space="preserve">El requisito normal es que se cumplan los protocolos de la OCVV, que siguen muy estrechamente las directrices de examen de la UPOV. </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Si no hay directrices de examen de la UPOV.</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En el caso de la Oficina Comunitaria de Variedades Vegetales (OCVV) aceptamos los informes DHE basados en las directrices de los protocolos técnicos de la OCVV.</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En el caso de especies para las que no hay protocolos de la OCVV.</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También nos interesan los informes que van más allá de las directrices de examen de la UPOV. Algunas de las directrices de examen no recogen todas las formas de expresión y es posible que sea necesario reforzarlas mediante las directrices nacionales.</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También de aquellos que no son miembros de la UPOV.</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En general sí, pero no siempre. La legislación exige, por ejemplo, que el informe DHE sea “equivalente” a</w:t>
            </w:r>
            <w:r w:rsidR="000C2446">
              <w:rPr>
                <w:sz w:val="18"/>
              </w:rPr>
              <w:t>[</w:t>
            </w:r>
            <w:r>
              <w:rPr>
                <w:sz w:val="18"/>
              </w:rPr>
              <w:t>l de</w:t>
            </w:r>
            <w:r w:rsidR="000C2446">
              <w:rPr>
                <w:sz w:val="18"/>
              </w:rPr>
              <w:t>]</w:t>
            </w:r>
            <w:r>
              <w:rPr>
                <w:sz w:val="18"/>
              </w:rPr>
              <w:t xml:space="preserve"> un examen llevado a cabo en Australia</w:t>
            </w:r>
            <w:r w:rsidR="006F752D">
              <w:rPr>
                <w:sz w:val="18"/>
              </w:rPr>
              <w:t>.</w:t>
            </w:r>
            <w:r>
              <w:rPr>
                <w:sz w:val="18"/>
              </w:rPr>
              <w:t xml:space="preserve"> Aunque no es frecuente, si no hay directrices de examen del cultivo, puede admitirse el examen si se determina que se realizó conforme a </w:t>
            </w:r>
            <w:r w:rsidR="000C2446">
              <w:rPr>
                <w:sz w:val="18"/>
              </w:rPr>
              <w:t xml:space="preserve">los </w:t>
            </w:r>
            <w:r>
              <w:rPr>
                <w:sz w:val="18"/>
              </w:rPr>
              <w:t>principios TGP.</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Si no existen directrices de examen de la UPOV, pueden admitirse directrices de examen nacionales.</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Cuando existen protocolos de la OCVV, los informes deben realizarse conforme a ellos.</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 xml:space="preserve">En caso de que no existan directrices de examen de la UPOV, también aceptamos informes DHE llevados a cabo según las directrices de examen nacionales. </w:t>
            </w:r>
          </w:p>
        </w:tc>
      </w:tr>
      <w:tr w:rsidR="000C339B" w:rsidRPr="000C339B" w:rsidTr="00616CFA">
        <w:trPr>
          <w:trHeight w:val="264"/>
        </w:trPr>
        <w:tc>
          <w:tcPr>
            <w:tcW w:w="9390" w:type="dxa"/>
            <w:noWrap/>
            <w:hideMark/>
          </w:tcPr>
          <w:p w:rsidR="000C339B" w:rsidRPr="000C339B" w:rsidRDefault="000C339B" w:rsidP="007A7081">
            <w:pPr>
              <w:keepNext/>
              <w:jc w:val="left"/>
              <w:rPr>
                <w:rFonts w:cs="Arial"/>
                <w:sz w:val="18"/>
              </w:rPr>
            </w:pPr>
            <w:r>
              <w:rPr>
                <w:sz w:val="18"/>
              </w:rPr>
              <w:lastRenderedPageBreak/>
              <w:t>La OCVV exige que el examen DHE se base en su protocolo técnico y, solo si no se dispone de ese protocolo, se acepta que se base en las directrices de examen de la UPOV; no obstante, el protocolo técnico de la OCVV deriva de las directrices de examen de la UPOV.</w:t>
            </w:r>
          </w:p>
        </w:tc>
      </w:tr>
    </w:tbl>
    <w:p w:rsidR="007A7081" w:rsidRPr="007A7081" w:rsidRDefault="007A7081" w:rsidP="000C339B">
      <w:pPr>
        <w:autoSpaceDE w:val="0"/>
        <w:autoSpaceDN w:val="0"/>
        <w:adjustRightInd w:val="0"/>
        <w:spacing w:line="360" w:lineRule="auto"/>
        <w:jc w:val="left"/>
        <w:rPr>
          <w:b/>
          <w:sz w:val="16"/>
          <w:szCs w:val="16"/>
        </w:rPr>
      </w:pPr>
    </w:p>
    <w:p w:rsidR="007A7081" w:rsidRDefault="007A7081" w:rsidP="000C339B">
      <w:pPr>
        <w:autoSpaceDE w:val="0"/>
        <w:autoSpaceDN w:val="0"/>
        <w:adjustRightInd w:val="0"/>
        <w:spacing w:line="360" w:lineRule="auto"/>
        <w:jc w:val="left"/>
        <w:rPr>
          <w:b/>
        </w:rPr>
      </w:pPr>
    </w:p>
    <w:p w:rsidR="000C339B" w:rsidRPr="000C339B" w:rsidRDefault="000C339B" w:rsidP="000C339B">
      <w:pPr>
        <w:autoSpaceDE w:val="0"/>
        <w:autoSpaceDN w:val="0"/>
        <w:adjustRightInd w:val="0"/>
        <w:spacing w:line="360" w:lineRule="auto"/>
        <w:jc w:val="left"/>
        <w:rPr>
          <w:rFonts w:cs="Arial"/>
          <w:bCs/>
          <w:sz w:val="18"/>
          <w:szCs w:val="18"/>
        </w:rPr>
      </w:pPr>
      <w:r w:rsidRPr="007A7081">
        <w:rPr>
          <w:b/>
          <w:sz w:val="28"/>
          <w:szCs w:val="28"/>
        </w:rPr>
        <w:t>Pregunta 10</w:t>
      </w:r>
      <w:r w:rsidRPr="007A7081">
        <w:rPr>
          <w:sz w:val="28"/>
          <w:szCs w:val="28"/>
        </w:rPr>
        <w:t>:</w:t>
      </w:r>
      <w:r w:rsidRPr="007A7081">
        <w:rPr>
          <w:rFonts w:cs="Arial"/>
          <w:bCs/>
          <w:sz w:val="28"/>
          <w:szCs w:val="28"/>
        </w:rPr>
        <w:br/>
      </w:r>
      <w:r>
        <w:rPr>
          <w:sz w:val="18"/>
        </w:rPr>
        <w:t xml:space="preserve">La autoridad de su país/organización suministra informes DHE existentes a: </w:t>
      </w:r>
    </w:p>
    <w:p w:rsidR="000C339B" w:rsidRPr="000C339B" w:rsidRDefault="000C339B" w:rsidP="000C339B">
      <w:pPr>
        <w:rPr>
          <w:rFonts w:cs="Arial"/>
          <w:sz w:val="18"/>
          <w:szCs w:val="18"/>
        </w:rPr>
      </w:pPr>
      <w:r>
        <w:rPr>
          <w:rFonts w:cs="Arial"/>
          <w:noProof/>
          <w:lang w:eastAsia="es-ES_tradnl"/>
        </w:rPr>
        <w:drawing>
          <wp:anchor distT="0" distB="0" distL="114300" distR="114300" simplePos="0" relativeHeight="251664384" behindDoc="0" locked="0" layoutInCell="1" allowOverlap="1" wp14:anchorId="6A9A101D" wp14:editId="336916C1">
            <wp:simplePos x="0" y="0"/>
            <wp:positionH relativeFrom="column">
              <wp:posOffset>1861820</wp:posOffset>
            </wp:positionH>
            <wp:positionV relativeFrom="paragraph">
              <wp:posOffset>70485</wp:posOffset>
            </wp:positionV>
            <wp:extent cx="4457700" cy="19735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57700" cy="1973580"/>
                    </a:xfrm>
                    <a:prstGeom prst="rect">
                      <a:avLst/>
                    </a:prstGeom>
                  </pic:spPr>
                </pic:pic>
              </a:graphicData>
            </a:graphic>
          </wp:anchor>
        </w:drawing>
      </w:r>
    </w:p>
    <w:p w:rsidR="000C339B" w:rsidRPr="000C339B" w:rsidRDefault="000C339B" w:rsidP="000C339B">
      <w:pPr>
        <w:jc w:val="right"/>
        <w:rPr>
          <w:rFonts w:cs="Arial"/>
          <w:sz w:val="18"/>
          <w:szCs w:val="18"/>
        </w:rPr>
      </w:pPr>
    </w:p>
    <w:tbl>
      <w:tblPr>
        <w:tblStyle w:val="TableGrid"/>
        <w:tblpPr w:leftFromText="180" w:rightFromText="180" w:vertAnchor="text" w:horzAnchor="margin" w:tblpY="-5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0C339B" w:rsidRPr="00E678B8" w:rsidTr="00D47516">
        <w:trPr>
          <w:trHeight w:hRule="exact" w:val="992"/>
        </w:trPr>
        <w:tc>
          <w:tcPr>
            <w:tcW w:w="3010" w:type="dxa"/>
            <w:vAlign w:val="center"/>
          </w:tcPr>
          <w:p w:rsidR="000C339B" w:rsidRPr="000C2446" w:rsidRDefault="000C339B" w:rsidP="00616CFA">
            <w:pPr>
              <w:spacing w:before="37"/>
              <w:ind w:left="29" w:right="-20"/>
              <w:jc w:val="right"/>
              <w:rPr>
                <w:rFonts w:eastAsia="Arial" w:cs="Arial"/>
                <w:sz w:val="18"/>
                <w:szCs w:val="18"/>
              </w:rPr>
            </w:pPr>
            <w:r w:rsidRPr="000C2446">
              <w:rPr>
                <w:sz w:val="18"/>
                <w:szCs w:val="18"/>
              </w:rPr>
              <w:t>Cualquier miembro de la UPOV</w:t>
            </w:r>
          </w:p>
        </w:tc>
      </w:tr>
      <w:tr w:rsidR="000C339B" w:rsidRPr="00E678B8" w:rsidTr="00D47516">
        <w:trPr>
          <w:trHeight w:hRule="exact" w:val="709"/>
        </w:trPr>
        <w:tc>
          <w:tcPr>
            <w:tcW w:w="3010" w:type="dxa"/>
            <w:vAlign w:val="center"/>
          </w:tcPr>
          <w:p w:rsidR="000C339B" w:rsidRPr="00E678B8" w:rsidRDefault="000C339B" w:rsidP="00616CFA">
            <w:pPr>
              <w:spacing w:before="30"/>
              <w:ind w:left="43" w:right="-20"/>
              <w:jc w:val="right"/>
              <w:rPr>
                <w:rFonts w:cs="Arial"/>
                <w:sz w:val="18"/>
                <w:szCs w:val="18"/>
              </w:rPr>
            </w:pPr>
            <w:r>
              <w:rPr>
                <w:sz w:val="18"/>
              </w:rPr>
              <w:t>Algunos miembros de la UPOV</w:t>
            </w:r>
          </w:p>
        </w:tc>
      </w:tr>
      <w:tr w:rsidR="000C339B" w:rsidRPr="00E678B8" w:rsidTr="00616CFA">
        <w:trPr>
          <w:trHeight w:hRule="exact" w:val="871"/>
        </w:trPr>
        <w:tc>
          <w:tcPr>
            <w:tcW w:w="3010" w:type="dxa"/>
            <w:vAlign w:val="center"/>
          </w:tcPr>
          <w:p w:rsidR="000C339B" w:rsidRPr="00E678B8" w:rsidRDefault="000C339B" w:rsidP="00616CFA">
            <w:pPr>
              <w:spacing w:before="30"/>
              <w:ind w:left="43" w:right="-20"/>
              <w:jc w:val="right"/>
              <w:rPr>
                <w:rFonts w:cs="Arial"/>
                <w:sz w:val="18"/>
                <w:szCs w:val="18"/>
              </w:rPr>
            </w:pPr>
            <w:r>
              <w:rPr>
                <w:sz w:val="18"/>
              </w:rPr>
              <w:t>Ningún miembro de la UPOV</w:t>
            </w:r>
          </w:p>
        </w:tc>
      </w:tr>
    </w:tbl>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ind w:firstLine="567"/>
        <w:rPr>
          <w:rFonts w:cs="Arial"/>
          <w:sz w:val="18"/>
          <w:szCs w:val="18"/>
        </w:rPr>
      </w:pPr>
    </w:p>
    <w:p w:rsidR="000C339B" w:rsidRPr="00E678B8" w:rsidRDefault="000C339B" w:rsidP="000C339B">
      <w:pPr>
        <w:jc w:val="center"/>
        <w:rPr>
          <w:rFonts w:cs="Arial"/>
          <w:sz w:val="18"/>
          <w:szCs w:val="18"/>
        </w:rPr>
      </w:pPr>
      <w:r>
        <w:rPr>
          <w:b/>
          <w:sz w:val="22"/>
        </w:rPr>
        <w:t>Tabla de frecuencias</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070"/>
        <w:gridCol w:w="1417"/>
        <w:gridCol w:w="1276"/>
        <w:gridCol w:w="1417"/>
      </w:tblGrid>
      <w:tr w:rsidR="000C339B" w:rsidRPr="00E678B8" w:rsidTr="005D5B8A">
        <w:trPr>
          <w:trHeight w:hRule="exact" w:val="820"/>
        </w:trPr>
        <w:tc>
          <w:tcPr>
            <w:tcW w:w="5070"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8"/>
                <w:szCs w:val="18"/>
              </w:rPr>
            </w:pPr>
          </w:p>
          <w:p w:rsidR="000C339B" w:rsidRPr="00E678B8" w:rsidRDefault="000C339B" w:rsidP="00616CFA">
            <w:pPr>
              <w:jc w:val="left"/>
              <w:rPr>
                <w:rFonts w:eastAsia="Arial" w:cs="Arial"/>
                <w:sz w:val="18"/>
                <w:szCs w:val="18"/>
              </w:rPr>
            </w:pPr>
          </w:p>
          <w:p w:rsidR="000C339B" w:rsidRPr="00E678B8" w:rsidRDefault="000C339B" w:rsidP="00616CFA">
            <w:pPr>
              <w:jc w:val="left"/>
              <w:rPr>
                <w:rFonts w:eastAsia="Arial" w:cs="Arial"/>
                <w:sz w:val="18"/>
                <w:szCs w:val="18"/>
              </w:rPr>
            </w:pPr>
            <w:r>
              <w:rPr>
                <w:b/>
                <w:sz w:val="18"/>
              </w:rPr>
              <w:t>Opciones</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color w:val="111111"/>
                <w:w w:val="107"/>
                <w:sz w:val="18"/>
                <w:szCs w:val="18"/>
              </w:rPr>
            </w:pPr>
            <w:r>
              <w:rPr>
                <w:b/>
                <w:color w:val="111111"/>
                <w:w w:val="107"/>
                <w:sz w:val="18"/>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w w:val="107"/>
                <w:sz w:val="18"/>
                <w:szCs w:val="18"/>
              </w:rPr>
            </w:pPr>
            <w:r>
              <w:rPr>
                <w:b/>
                <w:w w:val="107"/>
                <w:sz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8"/>
                <w:szCs w:val="18"/>
              </w:rPr>
            </w:pPr>
            <w:r>
              <w:rPr>
                <w:b/>
                <w:w w:val="106"/>
                <w:sz w:val="18"/>
              </w:rPr>
              <w:t>Frecuencia relativa</w:t>
            </w:r>
            <w:r>
              <w:rPr>
                <w:rFonts w:eastAsia="Arial" w:cs="Arial"/>
                <w:b/>
                <w:bCs/>
                <w:w w:val="106"/>
                <w:sz w:val="18"/>
                <w:szCs w:val="18"/>
              </w:rPr>
              <w:br/>
            </w:r>
            <w:r>
              <w:rPr>
                <w:b/>
                <w:w w:val="106"/>
                <w:sz w:val="18"/>
              </w:rPr>
              <w:t>ajustada</w:t>
            </w:r>
          </w:p>
        </w:tc>
      </w:tr>
      <w:tr w:rsidR="000C339B" w:rsidRPr="00E678B8" w:rsidTr="005D5B8A">
        <w:trPr>
          <w:trHeight w:val="283"/>
        </w:trPr>
        <w:tc>
          <w:tcPr>
            <w:tcW w:w="5070" w:type="dxa"/>
            <w:tcBorders>
              <w:top w:val="single" w:sz="12" w:space="0" w:color="auto"/>
              <w:left w:val="nil"/>
              <w:bottom w:val="nil"/>
              <w:right w:val="nil"/>
            </w:tcBorders>
            <w:vAlign w:val="center"/>
          </w:tcPr>
          <w:p w:rsidR="000C339B" w:rsidRPr="000C2446" w:rsidRDefault="000C339B" w:rsidP="00616CFA">
            <w:pPr>
              <w:autoSpaceDE w:val="0"/>
              <w:autoSpaceDN w:val="0"/>
              <w:adjustRightInd w:val="0"/>
              <w:jc w:val="left"/>
              <w:rPr>
                <w:rFonts w:cs="Arial"/>
                <w:sz w:val="18"/>
                <w:szCs w:val="18"/>
              </w:rPr>
            </w:pPr>
            <w:r w:rsidRPr="000C2446">
              <w:rPr>
                <w:sz w:val="18"/>
                <w:szCs w:val="18"/>
              </w:rPr>
              <w:t>Cualquier miembro de la UPOV</w:t>
            </w:r>
          </w:p>
        </w:tc>
        <w:tc>
          <w:tcPr>
            <w:tcW w:w="1417"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39</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right"/>
              <w:rPr>
                <w:rFonts w:cs="Arial"/>
                <w:sz w:val="18"/>
                <w:szCs w:val="18"/>
              </w:rPr>
            </w:pPr>
            <w:r>
              <w:rPr>
                <w:sz w:val="18"/>
              </w:rPr>
              <w:t>69,64%</w:t>
            </w:r>
          </w:p>
        </w:tc>
        <w:tc>
          <w:tcPr>
            <w:tcW w:w="1417" w:type="dxa"/>
            <w:tcBorders>
              <w:top w:val="single" w:sz="12" w:space="0" w:color="auto"/>
              <w:left w:val="nil"/>
              <w:bottom w:val="nil"/>
              <w:right w:val="nil"/>
            </w:tcBorders>
            <w:vAlign w:val="center"/>
          </w:tcPr>
          <w:p w:rsidR="000C339B" w:rsidRPr="00E678B8" w:rsidRDefault="000C339B" w:rsidP="00616CFA">
            <w:pPr>
              <w:spacing w:line="179" w:lineRule="exact"/>
              <w:ind w:left="83" w:right="144"/>
              <w:jc w:val="right"/>
              <w:rPr>
                <w:rFonts w:cs="Arial"/>
                <w:sz w:val="18"/>
                <w:szCs w:val="18"/>
              </w:rPr>
            </w:pPr>
            <w:r>
              <w:rPr>
                <w:sz w:val="18"/>
              </w:rPr>
              <w:t>73,58%</w:t>
            </w:r>
          </w:p>
        </w:tc>
      </w:tr>
      <w:tr w:rsidR="000C339B" w:rsidRPr="00E678B8" w:rsidTr="005D5B8A">
        <w:trPr>
          <w:trHeight w:val="283"/>
        </w:trPr>
        <w:tc>
          <w:tcPr>
            <w:tcW w:w="5070"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Algunos miembros de la UPOV</w:t>
            </w:r>
          </w:p>
        </w:tc>
        <w:tc>
          <w:tcPr>
            <w:tcW w:w="1417" w:type="dxa"/>
            <w:tcBorders>
              <w:top w:val="nil"/>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5</w:t>
            </w:r>
          </w:p>
        </w:tc>
        <w:tc>
          <w:tcPr>
            <w:tcW w:w="1276" w:type="dxa"/>
            <w:tcBorders>
              <w:top w:val="nil"/>
              <w:left w:val="nil"/>
              <w:bottom w:val="nil"/>
              <w:right w:val="nil"/>
            </w:tcBorders>
            <w:vAlign w:val="center"/>
          </w:tcPr>
          <w:p w:rsidR="000C339B" w:rsidRPr="00E678B8" w:rsidRDefault="000C339B" w:rsidP="00616CFA">
            <w:pPr>
              <w:spacing w:line="179" w:lineRule="exact"/>
              <w:ind w:right="-20"/>
              <w:jc w:val="right"/>
              <w:rPr>
                <w:rFonts w:eastAsia="Arial" w:cs="Arial"/>
                <w:sz w:val="18"/>
                <w:szCs w:val="18"/>
              </w:rPr>
            </w:pPr>
            <w:r>
              <w:rPr>
                <w:sz w:val="18"/>
              </w:rPr>
              <w:t>8,93%</w:t>
            </w:r>
          </w:p>
        </w:tc>
        <w:tc>
          <w:tcPr>
            <w:tcW w:w="1417" w:type="dxa"/>
            <w:tcBorders>
              <w:top w:val="nil"/>
              <w:left w:val="nil"/>
              <w:bottom w:val="nil"/>
              <w:right w:val="nil"/>
            </w:tcBorders>
            <w:vAlign w:val="center"/>
          </w:tcPr>
          <w:p w:rsidR="000C339B" w:rsidRPr="00E678B8" w:rsidRDefault="000C339B" w:rsidP="00616CFA">
            <w:pPr>
              <w:spacing w:line="179" w:lineRule="exact"/>
              <w:ind w:left="83" w:right="144"/>
              <w:jc w:val="right"/>
              <w:rPr>
                <w:rFonts w:eastAsia="Arial" w:cs="Arial"/>
                <w:sz w:val="18"/>
                <w:szCs w:val="18"/>
              </w:rPr>
            </w:pPr>
            <w:r>
              <w:rPr>
                <w:sz w:val="18"/>
              </w:rPr>
              <w:t>9,43%</w:t>
            </w:r>
          </w:p>
        </w:tc>
      </w:tr>
      <w:tr w:rsidR="000C339B" w:rsidRPr="00E678B8" w:rsidTr="005D5B8A">
        <w:trPr>
          <w:trHeight w:val="283"/>
        </w:trPr>
        <w:tc>
          <w:tcPr>
            <w:tcW w:w="5070"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Ningún miembro de la UPOV</w:t>
            </w:r>
          </w:p>
        </w:tc>
        <w:tc>
          <w:tcPr>
            <w:tcW w:w="1417"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9</w:t>
            </w:r>
          </w:p>
        </w:tc>
        <w:tc>
          <w:tcPr>
            <w:tcW w:w="1276" w:type="dxa"/>
            <w:tcBorders>
              <w:top w:val="nil"/>
              <w:left w:val="nil"/>
              <w:bottom w:val="nil"/>
              <w:right w:val="nil"/>
            </w:tcBorders>
            <w:vAlign w:val="center"/>
          </w:tcPr>
          <w:p w:rsidR="000C339B" w:rsidRPr="00E678B8" w:rsidRDefault="000C339B" w:rsidP="00616CFA">
            <w:pPr>
              <w:spacing w:line="179" w:lineRule="exact"/>
              <w:ind w:right="-20"/>
              <w:jc w:val="right"/>
              <w:rPr>
                <w:rFonts w:eastAsia="Arial" w:cs="Arial"/>
                <w:sz w:val="18"/>
                <w:szCs w:val="18"/>
              </w:rPr>
            </w:pPr>
            <w:r>
              <w:rPr>
                <w:sz w:val="18"/>
              </w:rPr>
              <w:t>10,07%</w:t>
            </w:r>
          </w:p>
        </w:tc>
        <w:tc>
          <w:tcPr>
            <w:tcW w:w="1417" w:type="dxa"/>
            <w:tcBorders>
              <w:top w:val="nil"/>
              <w:left w:val="nil"/>
              <w:bottom w:val="nil"/>
              <w:right w:val="nil"/>
            </w:tcBorders>
            <w:vAlign w:val="center"/>
          </w:tcPr>
          <w:p w:rsidR="000C339B" w:rsidRPr="00E678B8" w:rsidRDefault="000C339B" w:rsidP="00616CFA">
            <w:pPr>
              <w:spacing w:before="37"/>
              <w:ind w:left="98" w:right="144"/>
              <w:jc w:val="right"/>
              <w:rPr>
                <w:rFonts w:eastAsia="Arial" w:cs="Arial"/>
                <w:sz w:val="18"/>
                <w:szCs w:val="18"/>
              </w:rPr>
            </w:pPr>
            <w:r>
              <w:rPr>
                <w:sz w:val="18"/>
              </w:rPr>
              <w:t>16,98%</w:t>
            </w:r>
          </w:p>
        </w:tc>
      </w:tr>
      <w:tr w:rsidR="000C339B" w:rsidRPr="00E678B8" w:rsidTr="005D5B8A">
        <w:trPr>
          <w:trHeight w:val="283"/>
        </w:trPr>
        <w:tc>
          <w:tcPr>
            <w:tcW w:w="5070"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8"/>
                <w:szCs w:val="18"/>
              </w:rPr>
            </w:pPr>
            <w:r>
              <w:rPr>
                <w:sz w:val="18"/>
              </w:rPr>
              <w:t>Suma</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53</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5" w:right="-20"/>
              <w:jc w:val="right"/>
              <w:rPr>
                <w:rFonts w:eastAsia="Arial" w:cs="Arial"/>
                <w:sz w:val="18"/>
                <w:szCs w:val="18"/>
              </w:rPr>
            </w:pPr>
            <w:r>
              <w:rPr>
                <w:sz w:val="18"/>
              </w:rPr>
              <w:t>94,64%</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144"/>
              <w:jc w:val="right"/>
              <w:rPr>
                <w:rFonts w:eastAsia="Arial" w:cs="Arial"/>
                <w:sz w:val="18"/>
                <w:szCs w:val="18"/>
              </w:rPr>
            </w:pPr>
            <w:r>
              <w:rPr>
                <w:sz w:val="18"/>
              </w:rPr>
              <w:t>100%</w:t>
            </w:r>
          </w:p>
        </w:tc>
      </w:tr>
      <w:tr w:rsidR="000C339B" w:rsidRPr="00E678B8" w:rsidTr="005D5B8A">
        <w:trPr>
          <w:trHeight w:val="283"/>
        </w:trPr>
        <w:tc>
          <w:tcPr>
            <w:tcW w:w="5070"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43" w:right="-20"/>
              <w:jc w:val="left"/>
              <w:rPr>
                <w:rFonts w:eastAsia="Arial" w:cs="Arial"/>
                <w:sz w:val="18"/>
                <w:szCs w:val="18"/>
              </w:rPr>
            </w:pPr>
            <w:r>
              <w:rPr>
                <w:sz w:val="18"/>
              </w:rPr>
              <w:t>Sin respuesta</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3</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5" w:right="-20"/>
              <w:jc w:val="right"/>
              <w:rPr>
                <w:rFonts w:eastAsia="Arial" w:cs="Arial"/>
                <w:sz w:val="18"/>
                <w:szCs w:val="18"/>
              </w:rPr>
            </w:pPr>
            <w:r>
              <w:rPr>
                <w:sz w:val="18"/>
              </w:rPr>
              <w:t>5,36%</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144"/>
              <w:jc w:val="right"/>
              <w:rPr>
                <w:rFonts w:eastAsia="Arial" w:cs="Arial"/>
                <w:sz w:val="18"/>
                <w:szCs w:val="18"/>
              </w:rPr>
            </w:pPr>
            <w:r>
              <w:rPr>
                <w:sz w:val="18"/>
              </w:rPr>
              <w:t>-</w:t>
            </w:r>
          </w:p>
        </w:tc>
      </w:tr>
      <w:tr w:rsidR="000C339B" w:rsidRPr="00E678B8" w:rsidTr="005D5B8A">
        <w:trPr>
          <w:trHeight w:val="283"/>
        </w:trPr>
        <w:tc>
          <w:tcPr>
            <w:tcW w:w="5070" w:type="dxa"/>
            <w:tcBorders>
              <w:top w:val="single" w:sz="12" w:space="0" w:color="A6A6A6" w:themeColor="background1" w:themeShade="A6"/>
              <w:left w:val="nil"/>
              <w:bottom w:val="nil"/>
              <w:right w:val="nil"/>
            </w:tcBorders>
            <w:vAlign w:val="center"/>
          </w:tcPr>
          <w:p w:rsidR="000C339B" w:rsidRPr="00E678B8" w:rsidRDefault="000C339B" w:rsidP="00616CFA">
            <w:pPr>
              <w:spacing w:before="30"/>
              <w:ind w:left="43" w:right="-20"/>
              <w:jc w:val="left"/>
              <w:rPr>
                <w:rFonts w:cs="Arial"/>
                <w:b/>
                <w:bCs/>
                <w:sz w:val="18"/>
                <w:szCs w:val="18"/>
              </w:rPr>
            </w:pPr>
            <w:r>
              <w:rPr>
                <w:b/>
                <w:sz w:val="18"/>
              </w:rPr>
              <w:t>Respondieron en total</w:t>
            </w:r>
            <w:r w:rsidR="000F6F8B">
              <w:rPr>
                <w:b/>
                <w:sz w:val="18"/>
              </w:rPr>
              <w:t>:</w:t>
            </w:r>
            <w:r>
              <w:rPr>
                <w:b/>
                <w:sz w:val="18"/>
              </w:rPr>
              <w:t xml:space="preserve"> 53</w:t>
            </w:r>
          </w:p>
          <w:p w:rsidR="000C339B" w:rsidRPr="00E678B8" w:rsidRDefault="000C339B" w:rsidP="00616CFA">
            <w:pPr>
              <w:spacing w:before="30"/>
              <w:ind w:left="43" w:right="-20"/>
              <w:jc w:val="left"/>
              <w:rPr>
                <w:rFonts w:cs="Arial"/>
                <w:sz w:val="18"/>
                <w:szCs w:val="18"/>
              </w:rPr>
            </w:pPr>
          </w:p>
        </w:tc>
        <w:tc>
          <w:tcPr>
            <w:tcW w:w="1417"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eastAsia="Arial" w:cs="Arial"/>
                <w:sz w:val="17"/>
                <w:szCs w:val="17"/>
              </w:rPr>
            </w:pPr>
          </w:p>
        </w:tc>
        <w:tc>
          <w:tcPr>
            <w:tcW w:w="1276" w:type="dxa"/>
            <w:tcBorders>
              <w:top w:val="single" w:sz="12" w:space="0" w:color="A6A6A6" w:themeColor="background1" w:themeShade="A6"/>
              <w:left w:val="nil"/>
              <w:bottom w:val="nil"/>
              <w:right w:val="nil"/>
            </w:tcBorders>
          </w:tcPr>
          <w:p w:rsidR="000C339B" w:rsidRPr="00E678B8" w:rsidRDefault="000C339B" w:rsidP="00616CFA">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0C339B" w:rsidRPr="00E678B8" w:rsidRDefault="000C339B" w:rsidP="00616CFA">
            <w:pPr>
              <w:spacing w:before="30"/>
              <w:ind w:left="98" w:right="-20"/>
              <w:rPr>
                <w:rFonts w:eastAsia="Arial" w:cs="Arial"/>
                <w:sz w:val="17"/>
                <w:szCs w:val="17"/>
              </w:rPr>
            </w:pPr>
          </w:p>
        </w:tc>
      </w:tr>
    </w:tbl>
    <w:p w:rsidR="000C339B" w:rsidRPr="00E678B8" w:rsidRDefault="000C339B" w:rsidP="000C339B">
      <w:pPr>
        <w:rPr>
          <w:rFonts w:cs="Arial"/>
          <w:sz w:val="16"/>
          <w:szCs w:val="18"/>
        </w:rPr>
      </w:pPr>
    </w:p>
    <w:p w:rsidR="000C339B" w:rsidRPr="00E678B8" w:rsidRDefault="000C339B" w:rsidP="000C339B">
      <w:pPr>
        <w:jc w:val="left"/>
        <w:rPr>
          <w:rFonts w:cs="Arial"/>
          <w:sz w:val="18"/>
          <w:szCs w:val="18"/>
          <w:u w:val="single"/>
        </w:rPr>
      </w:pPr>
      <w:r>
        <w:rPr>
          <w:sz w:val="18"/>
          <w:u w:val="single"/>
        </w:rPr>
        <w:t>Comentarios</w:t>
      </w:r>
    </w:p>
    <w:p w:rsidR="000C339B" w:rsidRPr="00E678B8" w:rsidRDefault="000C339B" w:rsidP="000C339B">
      <w:pPr>
        <w:jc w:val="left"/>
        <w:rPr>
          <w:rFonts w:cs="Arial"/>
          <w:sz w:val="18"/>
          <w:szCs w:val="18"/>
        </w:rPr>
      </w:pPr>
    </w:p>
    <w:tbl>
      <w:tblPr>
        <w:tblW w:w="98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9"/>
      </w:tblGrid>
      <w:tr w:rsidR="000C339B" w:rsidRPr="000C339B" w:rsidTr="00616CFA">
        <w:trPr>
          <w:trHeight w:val="264"/>
        </w:trPr>
        <w:tc>
          <w:tcPr>
            <w:tcW w:w="980" w:type="dxa"/>
            <w:shd w:val="clear" w:color="000000" w:fill="FFFFFF"/>
            <w:noWrap/>
            <w:tcMar>
              <w:top w:w="15" w:type="dxa"/>
              <w:left w:w="15" w:type="dxa"/>
              <w:bottom w:w="0" w:type="dxa"/>
              <w:right w:w="15" w:type="dxa"/>
            </w:tcMar>
            <w:vAlign w:val="bottom"/>
            <w:hideMark/>
          </w:tcPr>
          <w:p w:rsidR="000C339B" w:rsidRPr="000C339B" w:rsidRDefault="000C339B" w:rsidP="000C2446">
            <w:pPr>
              <w:jc w:val="left"/>
              <w:rPr>
                <w:rFonts w:cs="Arial"/>
                <w:sz w:val="18"/>
                <w:highlight w:val="yellow"/>
              </w:rPr>
            </w:pPr>
            <w:r>
              <w:rPr>
                <w:sz w:val="18"/>
              </w:rPr>
              <w:t>Lo dejamos a criterio de la autoridad que ha realizado el examen.</w:t>
            </w:r>
          </w:p>
        </w:tc>
      </w:tr>
      <w:tr w:rsidR="000C339B" w:rsidRPr="000C339B"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0C339B" w:rsidRDefault="000C339B" w:rsidP="00616CFA">
            <w:pPr>
              <w:jc w:val="left"/>
              <w:rPr>
                <w:rFonts w:cs="Arial"/>
                <w:sz w:val="18"/>
                <w:highlight w:val="yellow"/>
              </w:rPr>
            </w:pPr>
            <w:r>
              <w:rPr>
                <w:sz w:val="18"/>
              </w:rPr>
              <w:t>No hay limitaciones. La autoridad responde a todas las solicitudes.</w:t>
            </w:r>
          </w:p>
        </w:tc>
      </w:tr>
      <w:tr w:rsidR="000C339B" w:rsidRPr="000C339B"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No poseemos mucha experiencia realizando exámenes de DHE, pero si en este momento alguna autoridad nos solicita un informe de DHE realizado por nosotros, así como recibimos los informes de cualquier institución, no tendríamos inconvenientes en suministrarlos a cualquier miembro de la UPOV.</w:t>
            </w:r>
          </w:p>
        </w:tc>
      </w:tr>
      <w:tr w:rsidR="000C339B" w:rsidRPr="000C339B"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0C339B" w:rsidRDefault="00CB4338" w:rsidP="00CB4338">
            <w:pPr>
              <w:jc w:val="left"/>
              <w:rPr>
                <w:rFonts w:cs="Arial"/>
                <w:sz w:val="18"/>
              </w:rPr>
            </w:pPr>
            <w:r>
              <w:rPr>
                <w:sz w:val="18"/>
              </w:rPr>
              <w:t>I</w:t>
            </w:r>
            <w:r w:rsidR="000C339B">
              <w:rPr>
                <w:sz w:val="18"/>
              </w:rPr>
              <w:t xml:space="preserve">nformes DHE de cultivos agrícolas. </w:t>
            </w:r>
          </w:p>
        </w:tc>
      </w:tr>
      <w:tr w:rsidR="000C339B" w:rsidRPr="000C339B"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Nuestra oficina carece de una cuenta bancaria para aceptar pagos desde fuera. Podemos proporcionar nuestros informes del examen DHE sin cargo de 11 países en virtud del memorando de cooperación.</w:t>
            </w:r>
          </w:p>
        </w:tc>
      </w:tr>
      <w:tr w:rsidR="000C339B" w:rsidRPr="000C339B"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Los informes se facilitan a cualquier miembro de la UPOV que esté preparado para aceptarlos.</w:t>
            </w:r>
          </w:p>
        </w:tc>
      </w:tr>
      <w:tr w:rsidR="000C339B" w:rsidRPr="00E678B8" w:rsidTr="00616CFA">
        <w:trPr>
          <w:trHeight w:val="264"/>
        </w:trPr>
        <w:tc>
          <w:tcPr>
            <w:tcW w:w="0" w:type="auto"/>
            <w:shd w:val="clear" w:color="auto" w:fill="FFFFFF" w:themeFill="background1"/>
            <w:noWrap/>
            <w:tcMar>
              <w:top w:w="15" w:type="dxa"/>
              <w:left w:w="15" w:type="dxa"/>
              <w:bottom w:w="0" w:type="dxa"/>
              <w:right w:w="15" w:type="dxa"/>
            </w:tcMar>
            <w:vAlign w:val="bottom"/>
            <w:hideMark/>
          </w:tcPr>
          <w:p w:rsidR="000C339B" w:rsidRPr="00E678B8" w:rsidRDefault="000C339B" w:rsidP="00616CFA">
            <w:pPr>
              <w:jc w:val="left"/>
              <w:rPr>
                <w:rFonts w:cs="Arial"/>
                <w:sz w:val="18"/>
              </w:rPr>
            </w:pPr>
            <w:r>
              <w:rPr>
                <w:sz w:val="18"/>
              </w:rPr>
              <w:t>El sistema de registro de variedades en México se basa en los informes técnicos que presentan los solicitantes, por lo que solo se puede suministrar aquellos que se hayan realizado por la autoridad.</w:t>
            </w:r>
            <w:r w:rsidR="0058413A">
              <w:rPr>
                <w:sz w:val="18"/>
              </w:rPr>
              <w:t xml:space="preserve"> </w:t>
            </w:r>
            <w:r>
              <w:rPr>
                <w:sz w:val="18"/>
              </w:rPr>
              <w:t xml:space="preserve">A la fecha solo se han realizado para </w:t>
            </w:r>
            <w:r>
              <w:rPr>
                <w:i/>
                <w:sz w:val="18"/>
              </w:rPr>
              <w:t>Jatropha curcas</w:t>
            </w:r>
            <w:r>
              <w:rPr>
                <w:sz w:val="18"/>
              </w:rPr>
              <w:t xml:space="preserve"> l.</w:t>
            </w:r>
          </w:p>
        </w:tc>
      </w:tr>
      <w:tr w:rsidR="000C339B" w:rsidRPr="000C339B" w:rsidTr="00616CFA">
        <w:trPr>
          <w:trHeight w:val="264"/>
        </w:trPr>
        <w:tc>
          <w:tcPr>
            <w:tcW w:w="0" w:type="auto"/>
            <w:shd w:val="clear" w:color="auto" w:fill="FFFFFF" w:themeFill="background1"/>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Es responsabilidad de los otros miembros decidir si quieren utilizar nuestros resultados.</w:t>
            </w:r>
          </w:p>
        </w:tc>
      </w:tr>
      <w:tr w:rsidR="000C339B" w:rsidRPr="000C339B" w:rsidTr="00616CFA">
        <w:trPr>
          <w:trHeight w:val="264"/>
        </w:trPr>
        <w:tc>
          <w:tcPr>
            <w:tcW w:w="0" w:type="auto"/>
            <w:shd w:val="clear" w:color="auto" w:fill="FFFFFF" w:themeFill="background1"/>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Como autoridad no realizamos DHE en ningún cultivo, sin embargo podemos solicitar a alguna universidad local que realice el examen DHE.</w:t>
            </w:r>
          </w:p>
        </w:tc>
      </w:tr>
      <w:tr w:rsidR="000C339B" w:rsidRPr="000C339B"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Estamos dispuestos a hacerlo, aunque hasta ahora nunca hemos tenido la oportunidad.</w:t>
            </w:r>
          </w:p>
        </w:tc>
      </w:tr>
      <w:tr w:rsidR="000C339B" w:rsidRPr="00E678B8"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E678B8" w:rsidRDefault="000C339B" w:rsidP="00616CFA">
            <w:pPr>
              <w:jc w:val="left"/>
              <w:rPr>
                <w:rFonts w:cs="Arial"/>
                <w:sz w:val="18"/>
              </w:rPr>
            </w:pPr>
            <w:r>
              <w:rPr>
                <w:sz w:val="18"/>
              </w:rPr>
              <w:t>Gratuitamente.</w:t>
            </w:r>
          </w:p>
        </w:tc>
      </w:tr>
      <w:tr w:rsidR="000C339B" w:rsidRPr="000C339B" w:rsidTr="00616CFA">
        <w:trPr>
          <w:trHeight w:val="264"/>
        </w:trPr>
        <w:tc>
          <w:tcPr>
            <w:tcW w:w="0" w:type="auto"/>
            <w:shd w:val="clear" w:color="auto" w:fill="FFFFFF" w:themeFill="background1"/>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También los proporcionamos a países que no son miembros de la UPOV.</w:t>
            </w:r>
          </w:p>
        </w:tc>
      </w:tr>
      <w:tr w:rsidR="000C339B" w:rsidRPr="000C339B" w:rsidTr="00616CFA">
        <w:trPr>
          <w:trHeight w:val="264"/>
        </w:trPr>
        <w:tc>
          <w:tcPr>
            <w:tcW w:w="0" w:type="auto"/>
            <w:shd w:val="clear" w:color="000000" w:fill="FFFFFF"/>
            <w:noWrap/>
            <w:tcMar>
              <w:top w:w="15" w:type="dxa"/>
              <w:left w:w="15" w:type="dxa"/>
              <w:bottom w:w="0" w:type="dxa"/>
              <w:right w:w="15" w:type="dxa"/>
            </w:tcMar>
            <w:vAlign w:val="bottom"/>
            <w:hideMark/>
          </w:tcPr>
          <w:p w:rsidR="000C339B" w:rsidRPr="000C339B" w:rsidRDefault="000C339B" w:rsidP="00616CFA">
            <w:pPr>
              <w:jc w:val="left"/>
              <w:rPr>
                <w:rFonts w:cs="Arial"/>
                <w:sz w:val="18"/>
              </w:rPr>
            </w:pPr>
            <w:r>
              <w:rPr>
                <w:sz w:val="18"/>
              </w:rPr>
              <w:t>Sí, tanto si son miembros de la UPOV como si no lo son.</w:t>
            </w:r>
          </w:p>
        </w:tc>
      </w:tr>
    </w:tbl>
    <w:p w:rsidR="000C339B" w:rsidRPr="000C339B" w:rsidRDefault="000C339B" w:rsidP="000C339B">
      <w:pPr>
        <w:jc w:val="left"/>
        <w:rPr>
          <w:rFonts w:cs="Arial"/>
          <w:b/>
          <w:bCs/>
          <w:sz w:val="28"/>
          <w:szCs w:val="28"/>
        </w:rPr>
      </w:pPr>
      <w:r>
        <w:t xml:space="preserve"> </w:t>
      </w:r>
      <w:r>
        <w:br w:type="page"/>
      </w:r>
    </w:p>
    <w:p w:rsidR="000C339B" w:rsidRDefault="00EE31C1" w:rsidP="000C339B">
      <w:pPr>
        <w:autoSpaceDE w:val="0"/>
        <w:autoSpaceDN w:val="0"/>
        <w:adjustRightInd w:val="0"/>
        <w:spacing w:line="360" w:lineRule="auto"/>
        <w:jc w:val="left"/>
        <w:rPr>
          <w:sz w:val="18"/>
        </w:rPr>
      </w:pPr>
      <w:r w:rsidRPr="007A7081">
        <w:rPr>
          <w:b/>
          <w:noProof/>
          <w:sz w:val="28"/>
          <w:szCs w:val="28"/>
          <w:lang w:eastAsia="es-ES_tradnl"/>
        </w:rPr>
        <w:lastRenderedPageBreak/>
        <w:drawing>
          <wp:anchor distT="0" distB="0" distL="114300" distR="114300" simplePos="0" relativeHeight="251665408" behindDoc="0" locked="0" layoutInCell="1" allowOverlap="1" wp14:anchorId="07D7A73D" wp14:editId="77379703">
            <wp:simplePos x="0" y="0"/>
            <wp:positionH relativeFrom="column">
              <wp:posOffset>1797685</wp:posOffset>
            </wp:positionH>
            <wp:positionV relativeFrom="paragraph">
              <wp:posOffset>430530</wp:posOffset>
            </wp:positionV>
            <wp:extent cx="4817110" cy="2035175"/>
            <wp:effectExtent l="1905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17110" cy="2035175"/>
                    </a:xfrm>
                    <a:prstGeom prst="rect">
                      <a:avLst/>
                    </a:prstGeom>
                  </pic:spPr>
                </pic:pic>
              </a:graphicData>
            </a:graphic>
          </wp:anchor>
        </w:drawing>
      </w:r>
      <w:r w:rsidR="000C339B" w:rsidRPr="007A7081">
        <w:rPr>
          <w:b/>
          <w:sz w:val="28"/>
          <w:szCs w:val="28"/>
        </w:rPr>
        <w:t>Pregunta 11</w:t>
      </w:r>
      <w:r w:rsidR="000C339B" w:rsidRPr="007A7081">
        <w:rPr>
          <w:sz w:val="28"/>
          <w:szCs w:val="28"/>
        </w:rPr>
        <w:t>:</w:t>
      </w:r>
      <w:r w:rsidR="000C339B" w:rsidRPr="007A7081">
        <w:rPr>
          <w:rFonts w:cs="Arial"/>
          <w:bCs/>
          <w:sz w:val="28"/>
          <w:szCs w:val="28"/>
        </w:rPr>
        <w:br/>
      </w:r>
      <w:r w:rsidR="000C339B">
        <w:rPr>
          <w:sz w:val="18"/>
        </w:rPr>
        <w:t>Si la autoridad de su país/organización suministra informes DHE existentes a otros miembros de la UPOV, ¿qué importe percibe por el informe DHE?</w:t>
      </w:r>
    </w:p>
    <w:tbl>
      <w:tblPr>
        <w:tblStyle w:val="TableGrid"/>
        <w:tblpPr w:leftFromText="180" w:rightFromText="180" w:vertAnchor="text" w:horzAnchor="margin" w:tblpY="61"/>
        <w:tblW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tblGrid>
      <w:tr w:rsidR="00EE31C1" w:rsidRPr="00E678B8" w:rsidTr="00C032EB">
        <w:trPr>
          <w:trHeight w:hRule="exact" w:val="844"/>
        </w:trPr>
        <w:tc>
          <w:tcPr>
            <w:tcW w:w="2943" w:type="dxa"/>
            <w:vAlign w:val="center"/>
          </w:tcPr>
          <w:p w:rsidR="00EE31C1" w:rsidRPr="00EE31C1" w:rsidRDefault="00EE31C1" w:rsidP="000F6F8B">
            <w:pPr>
              <w:spacing w:before="30"/>
              <w:ind w:left="-33" w:right="-20"/>
              <w:jc w:val="right"/>
              <w:rPr>
                <w:sz w:val="18"/>
              </w:rPr>
            </w:pPr>
            <w:r w:rsidRPr="00EE31C1">
              <w:rPr>
                <w:sz w:val="18"/>
              </w:rPr>
              <w:t>Ninguno (gratuito)</w:t>
            </w:r>
          </w:p>
        </w:tc>
      </w:tr>
      <w:tr w:rsidR="00EE31C1" w:rsidRPr="00E678B8" w:rsidTr="00C032EB">
        <w:trPr>
          <w:trHeight w:hRule="exact" w:val="871"/>
        </w:trPr>
        <w:tc>
          <w:tcPr>
            <w:tcW w:w="2943" w:type="dxa"/>
            <w:vAlign w:val="center"/>
          </w:tcPr>
          <w:p w:rsidR="00EE31C1" w:rsidRPr="00E678B8" w:rsidRDefault="00EE31C1" w:rsidP="000F6F8B">
            <w:pPr>
              <w:spacing w:before="30"/>
              <w:ind w:left="-33" w:right="-20"/>
              <w:jc w:val="right"/>
              <w:rPr>
                <w:rFonts w:cs="Arial"/>
                <w:sz w:val="18"/>
                <w:szCs w:val="18"/>
              </w:rPr>
            </w:pPr>
            <w:r>
              <w:rPr>
                <w:sz w:val="18"/>
              </w:rPr>
              <w:t>350 francos suizos</w:t>
            </w:r>
          </w:p>
        </w:tc>
      </w:tr>
      <w:tr w:rsidR="00EE31C1" w:rsidRPr="00E678B8" w:rsidTr="00C032EB">
        <w:trPr>
          <w:trHeight w:hRule="exact" w:val="871"/>
        </w:trPr>
        <w:tc>
          <w:tcPr>
            <w:tcW w:w="2943" w:type="dxa"/>
            <w:vAlign w:val="center"/>
          </w:tcPr>
          <w:p w:rsidR="00EE31C1" w:rsidRPr="00E678B8" w:rsidRDefault="00EE31C1" w:rsidP="000F6F8B">
            <w:pPr>
              <w:spacing w:before="30"/>
              <w:ind w:left="-33" w:right="-20"/>
              <w:jc w:val="right"/>
              <w:rPr>
                <w:rFonts w:cs="Arial"/>
                <w:sz w:val="18"/>
                <w:szCs w:val="18"/>
              </w:rPr>
            </w:pPr>
            <w:r>
              <w:rPr>
                <w:sz w:val="18"/>
              </w:rPr>
              <w:t>Otro importe (sírvase especificar)</w:t>
            </w:r>
          </w:p>
        </w:tc>
      </w:tr>
    </w:tbl>
    <w:p w:rsidR="00EE31C1" w:rsidRDefault="00EE31C1" w:rsidP="000C339B">
      <w:pPr>
        <w:autoSpaceDE w:val="0"/>
        <w:autoSpaceDN w:val="0"/>
        <w:adjustRightInd w:val="0"/>
        <w:spacing w:line="360" w:lineRule="auto"/>
        <w:jc w:val="left"/>
        <w:rPr>
          <w:sz w:val="18"/>
        </w:rPr>
      </w:pPr>
    </w:p>
    <w:p w:rsidR="00EE31C1" w:rsidRDefault="00EE31C1" w:rsidP="000C339B">
      <w:pPr>
        <w:autoSpaceDE w:val="0"/>
        <w:autoSpaceDN w:val="0"/>
        <w:adjustRightInd w:val="0"/>
        <w:spacing w:line="360" w:lineRule="auto"/>
        <w:jc w:val="left"/>
        <w:rPr>
          <w:sz w:val="18"/>
        </w:rPr>
      </w:pPr>
    </w:p>
    <w:p w:rsidR="00EE31C1" w:rsidRDefault="00EE31C1" w:rsidP="000C339B">
      <w:pPr>
        <w:autoSpaceDE w:val="0"/>
        <w:autoSpaceDN w:val="0"/>
        <w:adjustRightInd w:val="0"/>
        <w:spacing w:line="360" w:lineRule="auto"/>
        <w:jc w:val="left"/>
        <w:rPr>
          <w:sz w:val="18"/>
        </w:rPr>
      </w:pPr>
    </w:p>
    <w:p w:rsidR="00EE31C1" w:rsidRDefault="00EE31C1" w:rsidP="000C339B">
      <w:pPr>
        <w:autoSpaceDE w:val="0"/>
        <w:autoSpaceDN w:val="0"/>
        <w:adjustRightInd w:val="0"/>
        <w:spacing w:line="360" w:lineRule="auto"/>
        <w:jc w:val="left"/>
        <w:rPr>
          <w:sz w:val="18"/>
        </w:rPr>
      </w:pPr>
    </w:p>
    <w:p w:rsidR="00EE31C1" w:rsidRDefault="00EE31C1" w:rsidP="000C339B">
      <w:pPr>
        <w:autoSpaceDE w:val="0"/>
        <w:autoSpaceDN w:val="0"/>
        <w:adjustRightInd w:val="0"/>
        <w:spacing w:line="360" w:lineRule="auto"/>
        <w:jc w:val="left"/>
        <w:rPr>
          <w:sz w:val="18"/>
        </w:rPr>
      </w:pPr>
    </w:p>
    <w:p w:rsidR="00EE31C1" w:rsidRDefault="00EE31C1" w:rsidP="000C339B">
      <w:pPr>
        <w:autoSpaceDE w:val="0"/>
        <w:autoSpaceDN w:val="0"/>
        <w:adjustRightInd w:val="0"/>
        <w:spacing w:line="360" w:lineRule="auto"/>
        <w:jc w:val="left"/>
        <w:rPr>
          <w:sz w:val="18"/>
        </w:rPr>
      </w:pPr>
    </w:p>
    <w:p w:rsidR="00EE31C1" w:rsidRPr="000C339B" w:rsidRDefault="00EE31C1" w:rsidP="000C339B">
      <w:pPr>
        <w:autoSpaceDE w:val="0"/>
        <w:autoSpaceDN w:val="0"/>
        <w:adjustRightInd w:val="0"/>
        <w:spacing w:line="360" w:lineRule="auto"/>
        <w:jc w:val="left"/>
        <w:rPr>
          <w:rFonts w:cs="Arial"/>
          <w:bCs/>
          <w:sz w:val="18"/>
          <w:szCs w:val="18"/>
        </w:rPr>
      </w:pPr>
    </w:p>
    <w:p w:rsidR="000C339B" w:rsidRPr="000C339B"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jc w:val="left"/>
        <w:rPr>
          <w:rFonts w:cs="Arial"/>
          <w:sz w:val="18"/>
          <w:szCs w:val="18"/>
        </w:rPr>
      </w:pPr>
      <w:r>
        <w:br/>
      </w:r>
    </w:p>
    <w:p w:rsidR="000C339B" w:rsidRPr="00E678B8" w:rsidRDefault="000C339B" w:rsidP="000C339B">
      <w:pPr>
        <w:jc w:val="left"/>
        <w:rPr>
          <w:rFonts w:cs="Arial"/>
          <w:sz w:val="18"/>
          <w:szCs w:val="18"/>
        </w:rPr>
      </w:pPr>
    </w:p>
    <w:p w:rsidR="000C339B" w:rsidRPr="00E678B8" w:rsidRDefault="000C339B" w:rsidP="000C339B">
      <w:pPr>
        <w:jc w:val="center"/>
        <w:rPr>
          <w:rFonts w:cs="Arial"/>
          <w:sz w:val="18"/>
          <w:szCs w:val="18"/>
        </w:rPr>
      </w:pPr>
      <w:r>
        <w:rPr>
          <w:b/>
          <w:sz w:val="22"/>
        </w:rPr>
        <w:t>Tabla de frecuencias</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211"/>
        <w:gridCol w:w="1276"/>
        <w:gridCol w:w="1276"/>
        <w:gridCol w:w="1417"/>
      </w:tblGrid>
      <w:tr w:rsidR="000C339B" w:rsidRPr="00E678B8" w:rsidTr="005D5B8A">
        <w:trPr>
          <w:trHeight w:hRule="exact" w:val="820"/>
        </w:trPr>
        <w:tc>
          <w:tcPr>
            <w:tcW w:w="5211"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7"/>
                <w:szCs w:val="17"/>
              </w:rPr>
            </w:pPr>
          </w:p>
          <w:p w:rsidR="000C339B" w:rsidRPr="00E678B8" w:rsidRDefault="000C339B" w:rsidP="00616CFA">
            <w:pPr>
              <w:jc w:val="left"/>
              <w:rPr>
                <w:rFonts w:eastAsia="Arial" w:cs="Arial"/>
                <w:sz w:val="17"/>
                <w:szCs w:val="17"/>
              </w:rPr>
            </w:pPr>
          </w:p>
          <w:p w:rsidR="000C339B" w:rsidRPr="00E678B8" w:rsidRDefault="000C339B" w:rsidP="00616CFA">
            <w:pPr>
              <w:jc w:val="left"/>
              <w:rPr>
                <w:rFonts w:eastAsia="Arial" w:cs="Arial"/>
                <w:sz w:val="17"/>
                <w:szCs w:val="17"/>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color w:val="111111"/>
                <w:w w:val="107"/>
                <w:sz w:val="17"/>
                <w:szCs w:val="17"/>
              </w:rPr>
            </w:pPr>
            <w:r>
              <w:rPr>
                <w:b/>
                <w:color w:val="111111"/>
                <w:w w:val="107"/>
                <w:sz w:val="17"/>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D47516" w:rsidRDefault="000C339B" w:rsidP="00616CFA">
            <w:pPr>
              <w:ind w:right="-20"/>
              <w:jc w:val="left"/>
              <w:rPr>
                <w:rFonts w:eastAsia="Arial" w:cs="Arial"/>
                <w:b/>
                <w:bCs/>
                <w:w w:val="107"/>
                <w:sz w:val="17"/>
                <w:szCs w:val="17"/>
              </w:rPr>
            </w:pPr>
            <w:r>
              <w:rPr>
                <w:b/>
                <w:w w:val="107"/>
                <w:sz w:val="17"/>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7"/>
                <w:szCs w:val="17"/>
              </w:rPr>
            </w:pPr>
            <w:r>
              <w:rPr>
                <w:b/>
                <w:w w:val="106"/>
                <w:sz w:val="17"/>
              </w:rPr>
              <w:t>Frecuencia relativa</w:t>
            </w:r>
            <w:r>
              <w:rPr>
                <w:rFonts w:eastAsia="Arial" w:cs="Arial"/>
                <w:b/>
                <w:bCs/>
                <w:w w:val="106"/>
                <w:sz w:val="17"/>
                <w:szCs w:val="17"/>
              </w:rPr>
              <w:br/>
            </w:r>
            <w:r>
              <w:rPr>
                <w:b/>
                <w:w w:val="106"/>
                <w:sz w:val="17"/>
              </w:rPr>
              <w:t>ajustada</w:t>
            </w:r>
          </w:p>
        </w:tc>
      </w:tr>
      <w:tr w:rsidR="000C339B" w:rsidRPr="00E678B8" w:rsidTr="005D5B8A">
        <w:trPr>
          <w:trHeight w:val="283"/>
        </w:trPr>
        <w:tc>
          <w:tcPr>
            <w:tcW w:w="5211" w:type="dxa"/>
            <w:tcBorders>
              <w:top w:val="single" w:sz="12" w:space="0" w:color="auto"/>
              <w:left w:val="nil"/>
              <w:bottom w:val="nil"/>
              <w:right w:val="nil"/>
            </w:tcBorders>
            <w:vAlign w:val="center"/>
          </w:tcPr>
          <w:p w:rsidR="000C339B" w:rsidRPr="000F6F8B" w:rsidRDefault="000C339B" w:rsidP="00616CFA">
            <w:pPr>
              <w:autoSpaceDE w:val="0"/>
              <w:autoSpaceDN w:val="0"/>
              <w:adjustRightInd w:val="0"/>
              <w:jc w:val="left"/>
              <w:rPr>
                <w:sz w:val="18"/>
              </w:rPr>
            </w:pPr>
            <w:r w:rsidRPr="000F6F8B">
              <w:rPr>
                <w:sz w:val="18"/>
              </w:rPr>
              <w:t>Ninguno (gratuito)</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6</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10,71%</w:t>
            </w:r>
          </w:p>
        </w:tc>
        <w:tc>
          <w:tcPr>
            <w:tcW w:w="1417" w:type="dxa"/>
            <w:tcBorders>
              <w:top w:val="single" w:sz="12" w:space="0" w:color="auto"/>
              <w:left w:val="nil"/>
              <w:bottom w:val="nil"/>
              <w:right w:val="nil"/>
            </w:tcBorders>
            <w:vAlign w:val="center"/>
          </w:tcPr>
          <w:p w:rsidR="000C339B" w:rsidRPr="00E678B8" w:rsidRDefault="000C339B" w:rsidP="00616CFA">
            <w:pPr>
              <w:spacing w:line="179" w:lineRule="exact"/>
              <w:ind w:left="83" w:right="-20"/>
              <w:rPr>
                <w:rFonts w:eastAsia="Arial" w:cs="Arial"/>
                <w:sz w:val="18"/>
                <w:szCs w:val="18"/>
              </w:rPr>
            </w:pPr>
            <w:r>
              <w:rPr>
                <w:sz w:val="18"/>
              </w:rPr>
              <w:t>13,64%</w:t>
            </w:r>
          </w:p>
        </w:tc>
      </w:tr>
      <w:tr w:rsidR="000C339B" w:rsidRPr="00E678B8" w:rsidTr="005D5B8A">
        <w:trPr>
          <w:trHeight w:val="283"/>
        </w:trPr>
        <w:tc>
          <w:tcPr>
            <w:tcW w:w="5211"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350 francos suizos</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18</w:t>
            </w:r>
          </w:p>
        </w:tc>
        <w:tc>
          <w:tcPr>
            <w:tcW w:w="1276" w:type="dxa"/>
            <w:tcBorders>
              <w:top w:val="nil"/>
              <w:left w:val="nil"/>
              <w:bottom w:val="nil"/>
              <w:right w:val="nil"/>
            </w:tcBorders>
            <w:vAlign w:val="center"/>
          </w:tcPr>
          <w:p w:rsidR="000C339B" w:rsidRPr="00E678B8" w:rsidRDefault="000C339B" w:rsidP="00616CFA">
            <w:pPr>
              <w:spacing w:line="179" w:lineRule="exact"/>
              <w:ind w:right="-20"/>
              <w:jc w:val="left"/>
              <w:rPr>
                <w:rFonts w:cs="Arial"/>
                <w:sz w:val="18"/>
                <w:szCs w:val="18"/>
              </w:rPr>
            </w:pPr>
            <w:r>
              <w:rPr>
                <w:sz w:val="18"/>
              </w:rPr>
              <w:t>32,14%</w:t>
            </w:r>
          </w:p>
        </w:tc>
        <w:tc>
          <w:tcPr>
            <w:tcW w:w="1417" w:type="dxa"/>
            <w:tcBorders>
              <w:top w:val="nil"/>
              <w:left w:val="nil"/>
              <w:bottom w:val="nil"/>
              <w:right w:val="nil"/>
            </w:tcBorders>
            <w:vAlign w:val="center"/>
          </w:tcPr>
          <w:p w:rsidR="000C339B" w:rsidRPr="00E678B8" w:rsidRDefault="000C339B" w:rsidP="00616CFA">
            <w:pPr>
              <w:spacing w:before="37"/>
              <w:ind w:left="98" w:right="-20"/>
              <w:rPr>
                <w:rFonts w:cs="Arial"/>
                <w:sz w:val="18"/>
                <w:szCs w:val="18"/>
              </w:rPr>
            </w:pPr>
            <w:r>
              <w:rPr>
                <w:sz w:val="18"/>
              </w:rPr>
              <w:t>40,91%</w:t>
            </w:r>
          </w:p>
        </w:tc>
      </w:tr>
      <w:tr w:rsidR="000C339B" w:rsidRPr="00E678B8" w:rsidTr="005D5B8A">
        <w:trPr>
          <w:trHeight w:val="283"/>
        </w:trPr>
        <w:tc>
          <w:tcPr>
            <w:tcW w:w="5211"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Otro importe (sírvase especificar)</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20</w:t>
            </w:r>
          </w:p>
        </w:tc>
        <w:tc>
          <w:tcPr>
            <w:tcW w:w="1276" w:type="dxa"/>
            <w:tcBorders>
              <w:top w:val="nil"/>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25,71%</w:t>
            </w:r>
          </w:p>
        </w:tc>
        <w:tc>
          <w:tcPr>
            <w:tcW w:w="1417" w:type="dxa"/>
            <w:tcBorders>
              <w:top w:val="nil"/>
              <w:left w:val="nil"/>
              <w:bottom w:val="nil"/>
              <w:right w:val="nil"/>
            </w:tcBorders>
            <w:vAlign w:val="center"/>
          </w:tcPr>
          <w:p w:rsidR="000C339B" w:rsidRPr="00E678B8" w:rsidRDefault="000C339B" w:rsidP="00616CFA">
            <w:pPr>
              <w:spacing w:before="37"/>
              <w:ind w:left="98" w:right="-20"/>
              <w:rPr>
                <w:rFonts w:eastAsia="Arial" w:cs="Arial"/>
                <w:sz w:val="18"/>
                <w:szCs w:val="18"/>
              </w:rPr>
            </w:pPr>
            <w:r>
              <w:rPr>
                <w:sz w:val="18"/>
              </w:rPr>
              <w:t>45,45%</w:t>
            </w:r>
          </w:p>
        </w:tc>
      </w:tr>
      <w:tr w:rsidR="000C339B" w:rsidRPr="00E678B8" w:rsidTr="005D5B8A">
        <w:trPr>
          <w:trHeight w:val="283"/>
        </w:trPr>
        <w:tc>
          <w:tcPr>
            <w:tcW w:w="521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44</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5" w:right="-20"/>
              <w:jc w:val="left"/>
              <w:rPr>
                <w:rFonts w:eastAsia="Arial" w:cs="Arial"/>
                <w:sz w:val="18"/>
                <w:szCs w:val="18"/>
              </w:rPr>
            </w:pPr>
            <w:r>
              <w:rPr>
                <w:sz w:val="18"/>
              </w:rPr>
              <w:t>78,57%</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rPr>
                <w:rFonts w:eastAsia="Arial" w:cs="Arial"/>
                <w:sz w:val="18"/>
                <w:szCs w:val="18"/>
              </w:rPr>
            </w:pPr>
            <w:r>
              <w:rPr>
                <w:sz w:val="18"/>
              </w:rPr>
              <w:t>100%</w:t>
            </w:r>
          </w:p>
        </w:tc>
      </w:tr>
      <w:tr w:rsidR="000C339B" w:rsidRPr="00E678B8" w:rsidTr="005D5B8A">
        <w:trPr>
          <w:trHeight w:val="283"/>
        </w:trPr>
        <w:tc>
          <w:tcPr>
            <w:tcW w:w="5211"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43" w:right="-20"/>
              <w:jc w:val="left"/>
              <w:rPr>
                <w:rFonts w:eastAsia="Arial"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12</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5" w:right="-20"/>
              <w:jc w:val="left"/>
              <w:rPr>
                <w:rFonts w:eastAsia="Arial" w:cs="Arial"/>
                <w:sz w:val="18"/>
                <w:szCs w:val="18"/>
              </w:rPr>
            </w:pPr>
            <w:r>
              <w:rPr>
                <w:sz w:val="18"/>
              </w:rPr>
              <w:t>21,43%</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rPr>
                <w:rFonts w:eastAsia="Arial" w:cs="Arial"/>
                <w:sz w:val="18"/>
                <w:szCs w:val="18"/>
              </w:rPr>
            </w:pPr>
            <w:r>
              <w:rPr>
                <w:sz w:val="18"/>
              </w:rPr>
              <w:t>-</w:t>
            </w:r>
          </w:p>
        </w:tc>
      </w:tr>
      <w:tr w:rsidR="000C339B" w:rsidRPr="00E678B8" w:rsidTr="005D5B8A">
        <w:trPr>
          <w:trHeight w:val="283"/>
        </w:trPr>
        <w:tc>
          <w:tcPr>
            <w:tcW w:w="5211"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szCs w:val="18"/>
              </w:rPr>
            </w:pPr>
            <w:r>
              <w:rPr>
                <w:b/>
                <w:sz w:val="18"/>
              </w:rPr>
              <w:t>Respondieron en total:</w:t>
            </w:r>
            <w:r w:rsidR="000C339B">
              <w:rPr>
                <w:b/>
                <w:sz w:val="18"/>
              </w:rPr>
              <w:t xml:space="preserve"> 44</w:t>
            </w:r>
          </w:p>
          <w:p w:rsidR="000C339B" w:rsidRPr="00E678B8" w:rsidRDefault="000C339B" w:rsidP="00616CFA">
            <w:pPr>
              <w:spacing w:before="30"/>
              <w:ind w:left="43" w:right="-20"/>
              <w:jc w:val="left"/>
              <w:rPr>
                <w:rFonts w:cs="Arial"/>
                <w:sz w:val="18"/>
                <w:szCs w:val="18"/>
              </w:rPr>
            </w:pP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eastAsia="Arial" w:cs="Arial"/>
                <w:sz w:val="17"/>
                <w:szCs w:val="17"/>
              </w:rPr>
            </w:pPr>
          </w:p>
        </w:tc>
        <w:tc>
          <w:tcPr>
            <w:tcW w:w="1276" w:type="dxa"/>
            <w:tcBorders>
              <w:top w:val="single" w:sz="12" w:space="0" w:color="A6A6A6" w:themeColor="background1" w:themeShade="A6"/>
              <w:left w:val="nil"/>
              <w:bottom w:val="nil"/>
              <w:right w:val="nil"/>
            </w:tcBorders>
          </w:tcPr>
          <w:p w:rsidR="000C339B" w:rsidRPr="00E678B8" w:rsidRDefault="000C339B" w:rsidP="00616CFA">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0C339B" w:rsidRPr="00E678B8" w:rsidRDefault="000C339B" w:rsidP="00616CFA">
            <w:pPr>
              <w:spacing w:before="30"/>
              <w:ind w:left="98" w:right="-20"/>
              <w:rPr>
                <w:rFonts w:eastAsia="Arial" w:cs="Arial"/>
                <w:sz w:val="17"/>
                <w:szCs w:val="17"/>
              </w:rPr>
            </w:pPr>
          </w:p>
        </w:tc>
      </w:tr>
    </w:tbl>
    <w:p w:rsidR="000C339B" w:rsidRPr="00E678B8" w:rsidRDefault="000C339B" w:rsidP="000C339B">
      <w:pPr>
        <w:rPr>
          <w:rFonts w:cs="Arial"/>
          <w:sz w:val="18"/>
          <w:szCs w:val="18"/>
        </w:rPr>
      </w:pPr>
    </w:p>
    <w:p w:rsidR="000C339B" w:rsidRPr="00E678B8" w:rsidRDefault="000C339B" w:rsidP="000C339B">
      <w:pPr>
        <w:jc w:val="left"/>
        <w:rPr>
          <w:rFonts w:cs="Arial"/>
          <w:sz w:val="18"/>
          <w:u w:val="single"/>
        </w:rPr>
      </w:pPr>
      <w:r>
        <w:rPr>
          <w:sz w:val="18"/>
          <w:u w:val="single"/>
        </w:rPr>
        <w:t xml:space="preserve">Otro importe (especificado) </w:t>
      </w:r>
    </w:p>
    <w:p w:rsidR="000C339B" w:rsidRPr="00E678B8" w:rsidRDefault="000C339B" w:rsidP="000C339B">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250 dólares de EE. UU.</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320 euros</w:t>
            </w:r>
          </w:p>
        </w:tc>
      </w:tr>
      <w:tr w:rsidR="000C339B" w:rsidRPr="000C339B" w:rsidTr="00616CFA">
        <w:trPr>
          <w:trHeight w:val="264"/>
        </w:trPr>
        <w:tc>
          <w:tcPr>
            <w:tcW w:w="9390" w:type="dxa"/>
            <w:noWrap/>
          </w:tcPr>
          <w:p w:rsidR="000C339B" w:rsidRPr="000C339B" w:rsidRDefault="000C339B" w:rsidP="00616CFA">
            <w:pPr>
              <w:jc w:val="left"/>
              <w:rPr>
                <w:rFonts w:cs="Arial"/>
                <w:sz w:val="18"/>
              </w:rPr>
            </w:pPr>
            <w:r>
              <w:rPr>
                <w:sz w:val="18"/>
              </w:rPr>
              <w:t>El equivalente a 350 francos suizos, también lo utiliza la OCVV</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240 euros</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3,60 dólares de EE. UU. por página</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240 euros</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 xml:space="preserve">540 levas búlgaras </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240 euros</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250 dólares de EE. UU.</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800,00 dólares de Trinidad y Tabago</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 xml:space="preserve">Previo pago de 350 francos suizos por el solicitante, en el marco del memorando de entendimiento, o simplemente sin cargo. </w:t>
            </w:r>
          </w:p>
        </w:tc>
      </w:tr>
      <w:tr w:rsidR="000C339B" w:rsidRPr="000C339B" w:rsidTr="00616CFA">
        <w:trPr>
          <w:trHeight w:val="264"/>
        </w:trPr>
        <w:tc>
          <w:tcPr>
            <w:tcW w:w="9390" w:type="dxa"/>
            <w:noWrap/>
            <w:hideMark/>
          </w:tcPr>
          <w:p w:rsidR="000C339B" w:rsidRPr="000C339B" w:rsidRDefault="000C339B" w:rsidP="00616CFA">
            <w:pPr>
              <w:jc w:val="left"/>
              <w:rPr>
                <w:rFonts w:cs="Arial"/>
                <w:sz w:val="18"/>
              </w:rPr>
            </w:pPr>
            <w:r>
              <w:rPr>
                <w:sz w:val="18"/>
              </w:rPr>
              <w:t xml:space="preserve">Los gastos administrativos están incluidos en las tasas establecidas por la autoridad. </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150 euros</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220 euros</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247,50 euros</w:t>
            </w:r>
          </w:p>
        </w:tc>
      </w:tr>
      <w:tr w:rsidR="000C339B" w:rsidRPr="00E678B8" w:rsidTr="00616CFA">
        <w:trPr>
          <w:trHeight w:val="264"/>
        </w:trPr>
        <w:tc>
          <w:tcPr>
            <w:tcW w:w="9390" w:type="dxa"/>
            <w:noWrap/>
            <w:hideMark/>
          </w:tcPr>
          <w:p w:rsidR="000C339B" w:rsidRPr="00E678B8" w:rsidRDefault="000C339B" w:rsidP="00616CFA">
            <w:pPr>
              <w:jc w:val="left"/>
              <w:rPr>
                <w:rFonts w:cs="Arial"/>
                <w:sz w:val="18"/>
              </w:rPr>
            </w:pPr>
            <w:r>
              <w:rPr>
                <w:sz w:val="18"/>
              </w:rPr>
              <w:t>320 euros</w:t>
            </w:r>
          </w:p>
        </w:tc>
      </w:tr>
    </w:tbl>
    <w:p w:rsidR="000C339B" w:rsidRPr="00E678B8" w:rsidRDefault="000C339B" w:rsidP="000C339B">
      <w:pPr>
        <w:jc w:val="left"/>
        <w:rPr>
          <w:rFonts w:cs="Arial"/>
          <w:sz w:val="18"/>
        </w:rPr>
      </w:pPr>
    </w:p>
    <w:p w:rsidR="000C339B" w:rsidRPr="00E678B8" w:rsidRDefault="000C339B" w:rsidP="000C339B">
      <w:pPr>
        <w:jc w:val="left"/>
        <w:rPr>
          <w:rFonts w:cs="Arial"/>
          <w:sz w:val="18"/>
          <w:u w:val="single"/>
        </w:rPr>
      </w:pPr>
      <w:r>
        <w:br w:type="page"/>
      </w:r>
    </w:p>
    <w:p w:rsidR="000C339B" w:rsidRPr="00E678B8" w:rsidRDefault="000C339B" w:rsidP="000C339B">
      <w:pPr>
        <w:jc w:val="left"/>
        <w:rPr>
          <w:rFonts w:cs="Arial"/>
          <w:sz w:val="18"/>
          <w:u w:val="single"/>
        </w:rPr>
      </w:pPr>
      <w:r>
        <w:rPr>
          <w:sz w:val="18"/>
          <w:u w:val="single"/>
        </w:rPr>
        <w:lastRenderedPageBreak/>
        <w:t>Comentarios</w:t>
      </w:r>
    </w:p>
    <w:p w:rsidR="000C339B" w:rsidRPr="00E678B8" w:rsidRDefault="000C339B" w:rsidP="000C339B">
      <w:pPr>
        <w:rPr>
          <w:rFonts w:cs="Arial"/>
          <w:sz w:val="18"/>
          <w:szCs w:val="18"/>
        </w:rPr>
      </w:pPr>
    </w:p>
    <w:p w:rsidR="000C339B" w:rsidRPr="00E678B8" w:rsidRDefault="000C339B" w:rsidP="000C339B">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0C339B" w:rsidRPr="000C339B" w:rsidTr="00616CFA">
        <w:trPr>
          <w:trHeight w:val="209"/>
        </w:trPr>
        <w:tc>
          <w:tcPr>
            <w:tcW w:w="9390" w:type="dxa"/>
            <w:noWrap/>
            <w:hideMark/>
          </w:tcPr>
          <w:p w:rsidR="000C339B" w:rsidRPr="000C339B" w:rsidRDefault="000C339B" w:rsidP="00616CFA">
            <w:pPr>
              <w:rPr>
                <w:rFonts w:cs="Arial"/>
                <w:sz w:val="18"/>
                <w:szCs w:val="18"/>
                <w:highlight w:val="yellow"/>
              </w:rPr>
            </w:pPr>
            <w:r>
              <w:rPr>
                <w:sz w:val="18"/>
              </w:rPr>
              <w:t>Según los documentos de la UPOV aprobados por los propios miembros.</w:t>
            </w:r>
          </w:p>
        </w:tc>
      </w:tr>
      <w:tr w:rsidR="000C339B" w:rsidRPr="00E678B8" w:rsidTr="00616CFA">
        <w:trPr>
          <w:trHeight w:val="264"/>
        </w:trPr>
        <w:tc>
          <w:tcPr>
            <w:tcW w:w="9390" w:type="dxa"/>
            <w:noWrap/>
            <w:hideMark/>
          </w:tcPr>
          <w:p w:rsidR="000C339B" w:rsidRPr="00E678B8" w:rsidRDefault="000C339B" w:rsidP="00616CFA">
            <w:pPr>
              <w:rPr>
                <w:rFonts w:cs="Arial"/>
                <w:sz w:val="18"/>
                <w:szCs w:val="18"/>
                <w:highlight w:val="yellow"/>
              </w:rPr>
            </w:pPr>
            <w:r>
              <w:rPr>
                <w:sz w:val="18"/>
              </w:rPr>
              <w:t>Las tasas fijadas por la IEPI.</w:t>
            </w:r>
          </w:p>
        </w:tc>
      </w:tr>
      <w:tr w:rsidR="000C339B" w:rsidRPr="000C339B" w:rsidTr="00616CFA">
        <w:trPr>
          <w:trHeight w:val="264"/>
        </w:trPr>
        <w:tc>
          <w:tcPr>
            <w:tcW w:w="9390" w:type="dxa"/>
            <w:noWrap/>
            <w:hideMark/>
          </w:tcPr>
          <w:p w:rsidR="000C339B" w:rsidRPr="000C339B" w:rsidRDefault="000C339B" w:rsidP="00616CFA">
            <w:pPr>
              <w:rPr>
                <w:rFonts w:cs="Arial"/>
                <w:sz w:val="18"/>
                <w:szCs w:val="18"/>
                <w:highlight w:val="yellow"/>
              </w:rPr>
            </w:pPr>
            <w:r>
              <w:rPr>
                <w:sz w:val="18"/>
              </w:rPr>
              <w:t>Si en este momento nos pidieran algún informe de DHE realizados por la autoridad competente peruana, no podríamos cobrar ninguna tasa por cuanto no está considerada en ninguna de nuestras normas.</w:t>
            </w:r>
            <w:r w:rsidR="0058413A">
              <w:rPr>
                <w:sz w:val="18"/>
              </w:rPr>
              <w:t xml:space="preserve"> </w:t>
            </w:r>
          </w:p>
        </w:tc>
      </w:tr>
      <w:tr w:rsidR="000C339B" w:rsidRPr="000C339B" w:rsidTr="00616CFA">
        <w:trPr>
          <w:trHeight w:val="264"/>
        </w:trPr>
        <w:tc>
          <w:tcPr>
            <w:tcW w:w="9390" w:type="dxa"/>
            <w:noWrap/>
            <w:hideMark/>
          </w:tcPr>
          <w:p w:rsidR="000C339B" w:rsidRPr="000C339B" w:rsidRDefault="000C339B" w:rsidP="00616CFA">
            <w:pPr>
              <w:rPr>
                <w:rFonts w:cs="Arial"/>
                <w:sz w:val="18"/>
                <w:szCs w:val="18"/>
                <w:highlight w:val="yellow"/>
              </w:rPr>
            </w:pPr>
            <w:r>
              <w:rPr>
                <w:sz w:val="18"/>
              </w:rPr>
              <w:t>El importe en euros se basa en 350 francos suizos.</w:t>
            </w:r>
          </w:p>
        </w:tc>
      </w:tr>
      <w:tr w:rsidR="000C339B" w:rsidRPr="00E678B8" w:rsidTr="00616CFA">
        <w:trPr>
          <w:trHeight w:val="264"/>
        </w:trPr>
        <w:tc>
          <w:tcPr>
            <w:tcW w:w="9390" w:type="dxa"/>
            <w:noWrap/>
            <w:hideMark/>
          </w:tcPr>
          <w:p w:rsidR="000C339B" w:rsidRPr="00E678B8" w:rsidRDefault="000C339B" w:rsidP="00616CFA">
            <w:pPr>
              <w:rPr>
                <w:rFonts w:cs="Arial"/>
                <w:sz w:val="18"/>
                <w:szCs w:val="18"/>
              </w:rPr>
            </w:pPr>
            <w:r>
              <w:rPr>
                <w:sz w:val="18"/>
              </w:rPr>
              <w:t>El equivalente a 320 euros.</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Proporcionamos gratuitamente informes DHE a los miembros de la UPOV que nos proporcionan informes DHE gratuitamente.</w:t>
            </w:r>
          </w:p>
        </w:tc>
      </w:tr>
      <w:tr w:rsidR="000C339B" w:rsidRPr="00E678B8" w:rsidTr="00616CFA">
        <w:trPr>
          <w:trHeight w:val="264"/>
        </w:trPr>
        <w:tc>
          <w:tcPr>
            <w:tcW w:w="9390" w:type="dxa"/>
            <w:noWrap/>
            <w:hideMark/>
          </w:tcPr>
          <w:p w:rsidR="000C339B" w:rsidRPr="00E678B8" w:rsidRDefault="000C339B" w:rsidP="00616CFA">
            <w:pPr>
              <w:rPr>
                <w:rFonts w:cs="Arial"/>
                <w:sz w:val="18"/>
                <w:szCs w:val="18"/>
              </w:rPr>
            </w:pPr>
            <w:r>
              <w:rPr>
                <w:sz w:val="18"/>
              </w:rPr>
              <w:t>En virtud del MOC [memorando de cooperación]</w:t>
            </w:r>
            <w:r w:rsidR="00847085">
              <w:rPr>
                <w:sz w:val="18"/>
              </w:rPr>
              <w:t>.</w:t>
            </w:r>
          </w:p>
        </w:tc>
      </w:tr>
      <w:tr w:rsidR="000C339B" w:rsidRPr="000C339B" w:rsidTr="00616CFA">
        <w:trPr>
          <w:trHeight w:val="264"/>
        </w:trPr>
        <w:tc>
          <w:tcPr>
            <w:tcW w:w="9390" w:type="dxa"/>
            <w:noWrap/>
            <w:hideMark/>
          </w:tcPr>
          <w:p w:rsidR="000C339B" w:rsidRPr="000C339B" w:rsidRDefault="000C339B" w:rsidP="00616CFA">
            <w:pPr>
              <w:rPr>
                <w:rFonts w:cs="Arial"/>
                <w:sz w:val="18"/>
                <w:szCs w:val="18"/>
                <w:highlight w:val="yellow"/>
              </w:rPr>
            </w:pPr>
            <w:r>
              <w:rPr>
                <w:sz w:val="18"/>
              </w:rPr>
              <w:t>El importe corresponde a 6</w:t>
            </w:r>
            <w:r w:rsidR="00062855">
              <w:rPr>
                <w:sz w:val="18"/>
              </w:rPr>
              <w:t>.</w:t>
            </w:r>
            <w:r>
              <w:rPr>
                <w:sz w:val="18"/>
              </w:rPr>
              <w:t>000 pesos argentinos, lo cual equivale a 350 francos suizos.</w:t>
            </w:r>
          </w:p>
        </w:tc>
      </w:tr>
      <w:tr w:rsidR="000C339B" w:rsidRPr="000C339B" w:rsidTr="00616CFA">
        <w:trPr>
          <w:trHeight w:val="264"/>
        </w:trPr>
        <w:tc>
          <w:tcPr>
            <w:tcW w:w="9390" w:type="dxa"/>
            <w:noWrap/>
            <w:hideMark/>
          </w:tcPr>
          <w:p w:rsidR="000C339B" w:rsidRPr="000C339B" w:rsidRDefault="000C339B" w:rsidP="00616CFA">
            <w:pPr>
              <w:rPr>
                <w:rFonts w:cs="Arial"/>
                <w:sz w:val="18"/>
                <w:szCs w:val="18"/>
                <w:highlight w:val="yellow"/>
              </w:rPr>
            </w:pPr>
            <w:r>
              <w:rPr>
                <w:sz w:val="18"/>
              </w:rPr>
              <w:t>Existe un memorandum de cooperación entre la autoridad mexicana y la autoridad de Japón, para el intercambio de informes DHE sin costo.</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Proporcionamos informes a otros miembros. Los informes de otros miembros no se facilitan a terceros miembros. Es probable que haya un error en la pregunta.</w:t>
            </w:r>
            <w:r w:rsidR="0058413A">
              <w:rPr>
                <w:sz w:val="18"/>
              </w:rPr>
              <w:t xml:space="preserve"> </w:t>
            </w:r>
            <w:r>
              <w:rPr>
                <w:sz w:val="18"/>
              </w:rPr>
              <w:t xml:space="preserve">La tasa de encargo puede variar </w:t>
            </w:r>
            <w:r w:rsidR="00E67D88">
              <w:rPr>
                <w:sz w:val="18"/>
              </w:rPr>
              <w:t>debido al tipo de cambio con el </w:t>
            </w:r>
            <w:r>
              <w:rPr>
                <w:sz w:val="18"/>
              </w:rPr>
              <w:t xml:space="preserve">euro. </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 xml:space="preserve">El cálculo de la tasa del informe DHE se basa en 350 francos suizos al determinar la tarifa nacional. </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El costo de examen DHE lo paga el bufete de abogados que representa a</w:t>
            </w:r>
            <w:r w:rsidR="00956803">
              <w:rPr>
                <w:sz w:val="18"/>
              </w:rPr>
              <w:t>[</w:t>
            </w:r>
            <w:r w:rsidR="00847085">
              <w:rPr>
                <w:sz w:val="18"/>
              </w:rPr>
              <w:t>l]</w:t>
            </w:r>
            <w:r>
              <w:rPr>
                <w:sz w:val="18"/>
              </w:rPr>
              <w:t xml:space="preserve"> obtentor y/o su representante en el país</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 xml:space="preserve">No proporcionamos a otros países los informes DUS existentes que provienen </w:t>
            </w:r>
            <w:r w:rsidR="00E67D88">
              <w:rPr>
                <w:sz w:val="18"/>
              </w:rPr>
              <w:t>de otros estados miembros de la </w:t>
            </w:r>
            <w:r>
              <w:rPr>
                <w:sz w:val="18"/>
              </w:rPr>
              <w:t xml:space="preserve">UPOV. </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El equivalente a los 350 francos suizos es pagado por el propietario de la variedad o su representante.</w:t>
            </w:r>
          </w:p>
        </w:tc>
      </w:tr>
      <w:tr w:rsidR="000C339B" w:rsidRPr="000C339B" w:rsidTr="00616CFA">
        <w:trPr>
          <w:trHeight w:val="264"/>
        </w:trPr>
        <w:tc>
          <w:tcPr>
            <w:tcW w:w="9390" w:type="dxa"/>
            <w:noWrap/>
            <w:hideMark/>
          </w:tcPr>
          <w:p w:rsidR="000C339B" w:rsidRPr="000C339B" w:rsidRDefault="000C339B" w:rsidP="002B6B23">
            <w:pPr>
              <w:rPr>
                <w:rFonts w:cs="Arial"/>
                <w:sz w:val="18"/>
                <w:szCs w:val="18"/>
              </w:rPr>
            </w:pPr>
            <w:r>
              <w:rPr>
                <w:sz w:val="18"/>
              </w:rPr>
              <w:t xml:space="preserve">La tasa es una estimación basada en </w:t>
            </w:r>
            <w:r w:rsidR="00847085">
              <w:rPr>
                <w:sz w:val="18"/>
              </w:rPr>
              <w:t xml:space="preserve">los </w:t>
            </w:r>
            <w:r>
              <w:rPr>
                <w:sz w:val="18"/>
              </w:rPr>
              <w:t xml:space="preserve">debates </w:t>
            </w:r>
            <w:r w:rsidR="002B6B23">
              <w:rPr>
                <w:sz w:val="18"/>
              </w:rPr>
              <w:t>preliminares</w:t>
            </w:r>
            <w:r>
              <w:rPr>
                <w:sz w:val="18"/>
              </w:rPr>
              <w:t xml:space="preserve"> y aún no se ha establecido. Es posible que se establezca una escala de tasas en función de la duración del examen.</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El importe es equivalente a 350 francos suizos.</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No proporcionamos los informes DUS existentes de otros estados miembros de la UPOV. Solo proporcionamos informes DHE que nos pertenecen y en ese caso cobramos el equivalente a 350 francos suizos.</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Según las tasas de la OCVV para los cultivos agrícolas.</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Cobramos el equivalente a 350 francos suizos (en rands sudafricanos)</w:t>
            </w:r>
            <w:r w:rsidR="00847085">
              <w:rPr>
                <w:sz w:val="18"/>
              </w:rPr>
              <w:t>,</w:t>
            </w:r>
          </w:p>
        </w:tc>
      </w:tr>
      <w:tr w:rsidR="000C339B" w:rsidRPr="000C339B" w:rsidTr="00616CFA">
        <w:trPr>
          <w:trHeight w:val="264"/>
        </w:trPr>
        <w:tc>
          <w:tcPr>
            <w:tcW w:w="9390" w:type="dxa"/>
            <w:noWrap/>
            <w:hideMark/>
          </w:tcPr>
          <w:p w:rsidR="000C339B" w:rsidRPr="000C339B" w:rsidRDefault="000C339B" w:rsidP="00E67D88">
            <w:pPr>
              <w:rPr>
                <w:rFonts w:cs="Arial"/>
                <w:sz w:val="18"/>
                <w:szCs w:val="18"/>
              </w:rPr>
            </w:pPr>
            <w:r>
              <w:rPr>
                <w:sz w:val="18"/>
              </w:rPr>
              <w:t>La OCVV solo proporciona informes DHE de los que es titular (elaborados por una oficina de examen facultada por encargo de la OCVV). Vende sus propios informes DHE por un importe de 320 euros. En el caso de que la</w:t>
            </w:r>
            <w:r w:rsidR="00E67D88">
              <w:rPr>
                <w:sz w:val="18"/>
              </w:rPr>
              <w:t> </w:t>
            </w:r>
            <w:r>
              <w:rPr>
                <w:sz w:val="18"/>
              </w:rPr>
              <w:t>OCVV reciba solicitudes de informes de los que no es titular, procede a indicar al solicitante a quién debe enviar la solicitud.</w:t>
            </w:r>
          </w:p>
        </w:tc>
      </w:tr>
    </w:tbl>
    <w:p w:rsidR="000C339B" w:rsidRPr="000C339B" w:rsidRDefault="000C339B" w:rsidP="000C339B">
      <w:pPr>
        <w:rPr>
          <w:rFonts w:cs="Arial"/>
          <w:sz w:val="18"/>
          <w:szCs w:val="18"/>
        </w:rPr>
      </w:pPr>
    </w:p>
    <w:p w:rsidR="000C339B" w:rsidRPr="000C339B" w:rsidRDefault="000C339B" w:rsidP="000C339B">
      <w:pPr>
        <w:jc w:val="left"/>
        <w:rPr>
          <w:rFonts w:cs="Arial"/>
          <w:sz w:val="18"/>
          <w:szCs w:val="18"/>
        </w:rPr>
      </w:pPr>
      <w:r>
        <w:br w:type="page"/>
      </w:r>
    </w:p>
    <w:p w:rsidR="000C339B" w:rsidRPr="000C339B" w:rsidRDefault="000C339B" w:rsidP="000C339B">
      <w:pPr>
        <w:autoSpaceDE w:val="0"/>
        <w:autoSpaceDN w:val="0"/>
        <w:adjustRightInd w:val="0"/>
        <w:spacing w:line="360" w:lineRule="auto"/>
        <w:jc w:val="left"/>
        <w:rPr>
          <w:rFonts w:cs="Arial"/>
          <w:bCs/>
          <w:sz w:val="18"/>
          <w:szCs w:val="18"/>
        </w:rPr>
      </w:pPr>
      <w:r>
        <w:rPr>
          <w:rFonts w:cs="Arial"/>
          <w:bCs/>
          <w:noProof/>
          <w:sz w:val="18"/>
          <w:szCs w:val="28"/>
          <w:lang w:eastAsia="es-ES_tradnl"/>
        </w:rPr>
        <w:lastRenderedPageBreak/>
        <w:drawing>
          <wp:anchor distT="0" distB="0" distL="114300" distR="114300" simplePos="0" relativeHeight="251666432" behindDoc="0" locked="0" layoutInCell="1" allowOverlap="1" wp14:anchorId="574A7EA0" wp14:editId="5FE8B370">
            <wp:simplePos x="0" y="0"/>
            <wp:positionH relativeFrom="column">
              <wp:posOffset>2305050</wp:posOffset>
            </wp:positionH>
            <wp:positionV relativeFrom="paragraph">
              <wp:posOffset>626745</wp:posOffset>
            </wp:positionV>
            <wp:extent cx="3333115" cy="1463040"/>
            <wp:effectExtent l="0" t="0" r="63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33115" cy="1463040"/>
                    </a:xfrm>
                    <a:prstGeom prst="rect">
                      <a:avLst/>
                    </a:prstGeom>
                  </pic:spPr>
                </pic:pic>
              </a:graphicData>
            </a:graphic>
          </wp:anchor>
        </w:drawing>
      </w:r>
      <w:r>
        <w:rPr>
          <w:b/>
          <w:sz w:val="28"/>
        </w:rPr>
        <w:t>Pregunta 12:</w:t>
      </w:r>
      <w:r>
        <w:rPr>
          <w:rFonts w:cs="Arial"/>
          <w:bCs/>
          <w:sz w:val="18"/>
          <w:szCs w:val="28"/>
        </w:rPr>
        <w:br/>
      </w:r>
      <w:r>
        <w:rPr>
          <w:sz w:val="18"/>
        </w:rPr>
        <w:t xml:space="preserve">¿La autoridad de su país/organización coopera con otros miembros de la UPOV para </w:t>
      </w:r>
      <w:r w:rsidR="000E28C1">
        <w:rPr>
          <w:sz w:val="18"/>
        </w:rPr>
        <w:t>evitar que se efectúen exámenes </w:t>
      </w:r>
      <w:r>
        <w:rPr>
          <w:sz w:val="18"/>
        </w:rPr>
        <w:t>DHE de la misma variedad por duplicado o en paralelo?</w:t>
      </w:r>
    </w:p>
    <w:p w:rsidR="000C339B" w:rsidRPr="000C339B" w:rsidRDefault="000C339B" w:rsidP="000C339B">
      <w:pPr>
        <w:tabs>
          <w:tab w:val="left" w:pos="788"/>
        </w:tabs>
        <w:jc w:val="right"/>
        <w:rPr>
          <w:rFonts w:cs="Arial"/>
          <w:sz w:val="18"/>
          <w:szCs w:val="18"/>
        </w:rPr>
      </w:pPr>
    </w:p>
    <w:tbl>
      <w:tblPr>
        <w:tblStyle w:val="TableGrid"/>
        <w:tblpPr w:leftFromText="180" w:rightFromText="180" w:vertAnchor="text" w:horzAnchor="margin" w:tblpY="-52"/>
        <w:tblW w:w="3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5"/>
      </w:tblGrid>
      <w:tr w:rsidR="000C339B" w:rsidRPr="000C339B" w:rsidTr="00871FA3">
        <w:trPr>
          <w:trHeight w:val="571"/>
        </w:trPr>
        <w:tc>
          <w:tcPr>
            <w:tcW w:w="3705" w:type="dxa"/>
            <w:vAlign w:val="center"/>
          </w:tcPr>
          <w:p w:rsidR="000C339B" w:rsidRPr="000C339B" w:rsidRDefault="000C339B" w:rsidP="00616CFA">
            <w:pPr>
              <w:autoSpaceDE w:val="0"/>
              <w:autoSpaceDN w:val="0"/>
              <w:adjustRightInd w:val="0"/>
              <w:jc w:val="right"/>
              <w:rPr>
                <w:rFonts w:cs="Arial"/>
                <w:sz w:val="16"/>
                <w:szCs w:val="14"/>
              </w:rPr>
            </w:pPr>
            <w:r>
              <w:rPr>
                <w:sz w:val="16"/>
              </w:rPr>
              <w:t>Sí, con cualquier miembro de la UPOV</w:t>
            </w:r>
          </w:p>
        </w:tc>
      </w:tr>
      <w:tr w:rsidR="000C339B" w:rsidRPr="000C339B" w:rsidTr="00871FA3">
        <w:trPr>
          <w:trHeight w:val="566"/>
        </w:trPr>
        <w:tc>
          <w:tcPr>
            <w:tcW w:w="3705" w:type="dxa"/>
            <w:vAlign w:val="center"/>
          </w:tcPr>
          <w:p w:rsidR="000C339B" w:rsidRPr="000C339B" w:rsidRDefault="000C339B" w:rsidP="00616CFA">
            <w:pPr>
              <w:autoSpaceDE w:val="0"/>
              <w:autoSpaceDN w:val="0"/>
              <w:adjustRightInd w:val="0"/>
              <w:jc w:val="right"/>
              <w:rPr>
                <w:rFonts w:cs="Arial"/>
                <w:sz w:val="16"/>
                <w:szCs w:val="14"/>
              </w:rPr>
            </w:pPr>
            <w:r>
              <w:rPr>
                <w:sz w:val="16"/>
              </w:rPr>
              <w:t>Sí, con algunos miembros de la UPOV</w:t>
            </w:r>
          </w:p>
        </w:tc>
      </w:tr>
      <w:tr w:rsidR="000C339B" w:rsidRPr="00E678B8" w:rsidTr="00871FA3">
        <w:trPr>
          <w:trHeight w:val="857"/>
        </w:trPr>
        <w:tc>
          <w:tcPr>
            <w:tcW w:w="3705" w:type="dxa"/>
            <w:vAlign w:val="center"/>
          </w:tcPr>
          <w:p w:rsidR="000C339B" w:rsidRPr="00E678B8" w:rsidRDefault="000C339B" w:rsidP="00616CFA">
            <w:pPr>
              <w:autoSpaceDE w:val="0"/>
              <w:autoSpaceDN w:val="0"/>
              <w:adjustRightInd w:val="0"/>
              <w:jc w:val="right"/>
              <w:rPr>
                <w:rFonts w:cs="Arial"/>
                <w:sz w:val="16"/>
                <w:szCs w:val="14"/>
              </w:rPr>
            </w:pPr>
            <w:r>
              <w:rPr>
                <w:sz w:val="16"/>
              </w:rPr>
              <w:t>No</w:t>
            </w:r>
          </w:p>
        </w:tc>
      </w:tr>
    </w:tbl>
    <w:p w:rsidR="000C339B" w:rsidRPr="00E678B8" w:rsidRDefault="000C339B" w:rsidP="000C339B">
      <w:pPr>
        <w:tabs>
          <w:tab w:val="left" w:pos="788"/>
        </w:tabs>
        <w:jc w:val="right"/>
        <w:rPr>
          <w:rFonts w:cs="Arial"/>
          <w:sz w:val="18"/>
          <w:szCs w:val="18"/>
        </w:rPr>
      </w:pPr>
    </w:p>
    <w:p w:rsidR="000C339B" w:rsidRPr="00E678B8" w:rsidRDefault="000C339B" w:rsidP="000C339B">
      <w:pPr>
        <w:tabs>
          <w:tab w:val="left" w:pos="788"/>
        </w:tabs>
        <w:jc w:val="right"/>
        <w:rPr>
          <w:rFonts w:cs="Arial"/>
          <w:sz w:val="18"/>
          <w:szCs w:val="18"/>
        </w:rPr>
      </w:pPr>
    </w:p>
    <w:p w:rsidR="000C339B" w:rsidRPr="00E678B8" w:rsidRDefault="000C339B" w:rsidP="000C339B">
      <w:pPr>
        <w:tabs>
          <w:tab w:val="left" w:pos="788"/>
        </w:tabs>
        <w:jc w:val="right"/>
        <w:rPr>
          <w:rFonts w:cs="Arial"/>
          <w:sz w:val="18"/>
          <w:szCs w:val="18"/>
        </w:rPr>
      </w:pPr>
    </w:p>
    <w:p w:rsidR="000C339B" w:rsidRPr="00E678B8" w:rsidRDefault="000C339B" w:rsidP="000C339B">
      <w:pPr>
        <w:tabs>
          <w:tab w:val="left" w:pos="788"/>
        </w:tabs>
        <w:jc w:val="right"/>
        <w:rPr>
          <w:rFonts w:cs="Arial"/>
          <w:sz w:val="18"/>
          <w:szCs w:val="18"/>
        </w:rPr>
      </w:pPr>
    </w:p>
    <w:p w:rsidR="000C339B" w:rsidRPr="00E678B8" w:rsidRDefault="000C339B" w:rsidP="000C339B">
      <w:pPr>
        <w:tabs>
          <w:tab w:val="left" w:pos="788"/>
        </w:tabs>
        <w:jc w:val="right"/>
        <w:rPr>
          <w:rFonts w:cs="Arial"/>
          <w:sz w:val="18"/>
          <w:szCs w:val="18"/>
        </w:rPr>
      </w:pPr>
    </w:p>
    <w:p w:rsidR="000C339B" w:rsidRPr="00E678B8" w:rsidRDefault="000C339B" w:rsidP="000C339B">
      <w:pPr>
        <w:tabs>
          <w:tab w:val="left" w:pos="788"/>
        </w:tabs>
        <w:jc w:val="right"/>
        <w:rPr>
          <w:rFonts w:cs="Arial"/>
          <w:sz w:val="18"/>
          <w:szCs w:val="18"/>
        </w:rPr>
      </w:pPr>
      <w:r>
        <w:tab/>
      </w: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r>
        <w:rPr>
          <w:b/>
          <w:sz w:val="22"/>
        </w:rPr>
        <w:t>Tabla de frecuencias</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211"/>
        <w:gridCol w:w="1276"/>
        <w:gridCol w:w="1276"/>
        <w:gridCol w:w="1417"/>
      </w:tblGrid>
      <w:tr w:rsidR="000C339B" w:rsidRPr="00E678B8" w:rsidTr="005D5B8A">
        <w:trPr>
          <w:trHeight w:hRule="exact" w:val="820"/>
        </w:trPr>
        <w:tc>
          <w:tcPr>
            <w:tcW w:w="5211"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7"/>
                <w:szCs w:val="17"/>
              </w:rPr>
            </w:pPr>
          </w:p>
          <w:p w:rsidR="000C339B" w:rsidRPr="00E678B8" w:rsidRDefault="000C339B" w:rsidP="00616CFA">
            <w:pPr>
              <w:jc w:val="left"/>
              <w:rPr>
                <w:rFonts w:eastAsia="Arial" w:cs="Arial"/>
                <w:sz w:val="17"/>
                <w:szCs w:val="17"/>
              </w:rPr>
            </w:pPr>
          </w:p>
          <w:p w:rsidR="000C339B" w:rsidRPr="00E678B8" w:rsidRDefault="000C339B" w:rsidP="00616CFA">
            <w:pPr>
              <w:jc w:val="left"/>
              <w:rPr>
                <w:rFonts w:eastAsia="Arial" w:cs="Arial"/>
                <w:sz w:val="17"/>
                <w:szCs w:val="17"/>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7"/>
                <w:szCs w:val="17"/>
              </w:rPr>
            </w:pPr>
            <w:r>
              <w:rPr>
                <w:b/>
                <w:color w:val="111111"/>
                <w:w w:val="107"/>
                <w:sz w:val="17"/>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w w:val="107"/>
                <w:sz w:val="17"/>
                <w:szCs w:val="17"/>
              </w:rPr>
            </w:pPr>
            <w:r>
              <w:rPr>
                <w:b/>
                <w:w w:val="107"/>
                <w:sz w:val="17"/>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7"/>
                <w:szCs w:val="17"/>
              </w:rPr>
            </w:pPr>
            <w:r>
              <w:rPr>
                <w:b/>
                <w:w w:val="106"/>
                <w:sz w:val="17"/>
              </w:rPr>
              <w:t>Frecuencia relativa</w:t>
            </w:r>
            <w:r>
              <w:rPr>
                <w:rFonts w:eastAsia="Arial" w:cs="Arial"/>
                <w:b/>
                <w:bCs/>
                <w:w w:val="106"/>
                <w:sz w:val="17"/>
                <w:szCs w:val="17"/>
              </w:rPr>
              <w:br/>
            </w:r>
            <w:r>
              <w:rPr>
                <w:b/>
                <w:w w:val="106"/>
                <w:sz w:val="17"/>
              </w:rPr>
              <w:t>ajustada</w:t>
            </w:r>
          </w:p>
        </w:tc>
      </w:tr>
      <w:tr w:rsidR="000C339B" w:rsidRPr="00E678B8" w:rsidTr="005D5B8A">
        <w:trPr>
          <w:trHeight w:val="283"/>
        </w:trPr>
        <w:tc>
          <w:tcPr>
            <w:tcW w:w="5211" w:type="dxa"/>
            <w:tcBorders>
              <w:top w:val="single" w:sz="12" w:space="0" w:color="auto"/>
              <w:left w:val="nil"/>
              <w:bottom w:val="nil"/>
              <w:right w:val="nil"/>
            </w:tcBorders>
            <w:vAlign w:val="center"/>
          </w:tcPr>
          <w:p w:rsidR="000C339B" w:rsidRPr="000C339B" w:rsidRDefault="000C339B" w:rsidP="00616CFA">
            <w:pPr>
              <w:autoSpaceDE w:val="0"/>
              <w:autoSpaceDN w:val="0"/>
              <w:adjustRightInd w:val="0"/>
              <w:jc w:val="left"/>
              <w:rPr>
                <w:rFonts w:cs="Arial"/>
                <w:sz w:val="18"/>
                <w:szCs w:val="18"/>
              </w:rPr>
            </w:pPr>
            <w:r>
              <w:rPr>
                <w:sz w:val="16"/>
              </w:rPr>
              <w:t>Sí, con cualquier miembro de la UPOV</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13</w:t>
            </w:r>
          </w:p>
        </w:tc>
        <w:tc>
          <w:tcPr>
            <w:tcW w:w="1276" w:type="dxa"/>
            <w:tcBorders>
              <w:top w:val="single" w:sz="12" w:space="0" w:color="auto"/>
              <w:left w:val="nil"/>
              <w:bottom w:val="nil"/>
              <w:right w:val="nil"/>
            </w:tcBorders>
            <w:vAlign w:val="center"/>
          </w:tcPr>
          <w:p w:rsidR="000C339B" w:rsidRPr="00E678B8" w:rsidRDefault="000C339B" w:rsidP="00616CFA">
            <w:pPr>
              <w:jc w:val="left"/>
              <w:rPr>
                <w:rFonts w:eastAsia="Arial" w:cs="Arial"/>
                <w:sz w:val="17"/>
                <w:szCs w:val="17"/>
              </w:rPr>
            </w:pPr>
            <w:r>
              <w:rPr>
                <w:sz w:val="17"/>
              </w:rPr>
              <w:t>23,21%</w:t>
            </w:r>
          </w:p>
        </w:tc>
        <w:tc>
          <w:tcPr>
            <w:tcW w:w="1417" w:type="dxa"/>
            <w:tcBorders>
              <w:top w:val="single" w:sz="12" w:space="0" w:color="auto"/>
              <w:left w:val="nil"/>
              <w:bottom w:val="nil"/>
              <w:right w:val="nil"/>
            </w:tcBorders>
            <w:vAlign w:val="center"/>
          </w:tcPr>
          <w:p w:rsidR="000C339B" w:rsidRPr="00E678B8" w:rsidRDefault="000C339B" w:rsidP="00616CFA">
            <w:pPr>
              <w:jc w:val="left"/>
              <w:rPr>
                <w:rFonts w:cs="Arial"/>
              </w:rPr>
            </w:pPr>
            <w:r>
              <w:rPr>
                <w:w w:val="104"/>
                <w:sz w:val="17"/>
              </w:rPr>
              <w:t>24,53%</w:t>
            </w:r>
          </w:p>
        </w:tc>
      </w:tr>
      <w:tr w:rsidR="000C339B" w:rsidRPr="00E678B8" w:rsidTr="005D5B8A">
        <w:trPr>
          <w:trHeight w:val="283"/>
        </w:trPr>
        <w:tc>
          <w:tcPr>
            <w:tcW w:w="5211" w:type="dxa"/>
            <w:tcBorders>
              <w:top w:val="nil"/>
              <w:left w:val="nil"/>
              <w:bottom w:val="nil"/>
              <w:right w:val="nil"/>
            </w:tcBorders>
            <w:vAlign w:val="center"/>
          </w:tcPr>
          <w:p w:rsidR="000C339B" w:rsidRPr="000C339B" w:rsidRDefault="000C339B" w:rsidP="00616CFA">
            <w:pPr>
              <w:autoSpaceDE w:val="0"/>
              <w:autoSpaceDN w:val="0"/>
              <w:adjustRightInd w:val="0"/>
              <w:jc w:val="left"/>
              <w:rPr>
                <w:rFonts w:cs="Arial"/>
                <w:sz w:val="18"/>
                <w:szCs w:val="18"/>
              </w:rPr>
            </w:pPr>
            <w:r>
              <w:rPr>
                <w:sz w:val="16"/>
              </w:rPr>
              <w:t>Sí, con algunos miembros de la UPOV</w:t>
            </w:r>
          </w:p>
        </w:tc>
        <w:tc>
          <w:tcPr>
            <w:tcW w:w="1276" w:type="dxa"/>
            <w:tcBorders>
              <w:top w:val="nil"/>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16</w:t>
            </w:r>
          </w:p>
        </w:tc>
        <w:tc>
          <w:tcPr>
            <w:tcW w:w="1276" w:type="dxa"/>
            <w:tcBorders>
              <w:top w:val="nil"/>
              <w:left w:val="nil"/>
              <w:bottom w:val="nil"/>
              <w:right w:val="nil"/>
            </w:tcBorders>
            <w:vAlign w:val="center"/>
          </w:tcPr>
          <w:p w:rsidR="000C339B" w:rsidRPr="00E678B8" w:rsidRDefault="000C339B" w:rsidP="00616CFA">
            <w:pPr>
              <w:jc w:val="left"/>
              <w:rPr>
                <w:rFonts w:eastAsia="Arial" w:cs="Arial"/>
                <w:sz w:val="17"/>
                <w:szCs w:val="17"/>
              </w:rPr>
            </w:pPr>
            <w:r>
              <w:rPr>
                <w:sz w:val="17"/>
              </w:rPr>
              <w:t>28,57%</w:t>
            </w:r>
          </w:p>
        </w:tc>
        <w:tc>
          <w:tcPr>
            <w:tcW w:w="1417" w:type="dxa"/>
            <w:tcBorders>
              <w:top w:val="nil"/>
              <w:left w:val="nil"/>
              <w:bottom w:val="nil"/>
              <w:right w:val="nil"/>
            </w:tcBorders>
            <w:vAlign w:val="center"/>
          </w:tcPr>
          <w:p w:rsidR="000C339B" w:rsidRPr="00E678B8" w:rsidRDefault="000C339B" w:rsidP="00616CFA">
            <w:pPr>
              <w:jc w:val="left"/>
              <w:rPr>
                <w:rFonts w:cs="Arial"/>
              </w:rPr>
            </w:pPr>
            <w:r>
              <w:rPr>
                <w:w w:val="104"/>
                <w:sz w:val="17"/>
              </w:rPr>
              <w:t>30,19%</w:t>
            </w:r>
          </w:p>
        </w:tc>
      </w:tr>
      <w:tr w:rsidR="000C339B" w:rsidRPr="00E678B8" w:rsidTr="005D5B8A">
        <w:trPr>
          <w:trHeight w:val="283"/>
        </w:trPr>
        <w:tc>
          <w:tcPr>
            <w:tcW w:w="5211"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6"/>
              </w:rPr>
              <w:t>No</w:t>
            </w:r>
          </w:p>
        </w:tc>
        <w:tc>
          <w:tcPr>
            <w:tcW w:w="1276" w:type="dxa"/>
            <w:tcBorders>
              <w:top w:val="nil"/>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24</w:t>
            </w:r>
          </w:p>
        </w:tc>
        <w:tc>
          <w:tcPr>
            <w:tcW w:w="1276" w:type="dxa"/>
            <w:tcBorders>
              <w:top w:val="nil"/>
              <w:left w:val="nil"/>
              <w:bottom w:val="nil"/>
              <w:right w:val="nil"/>
            </w:tcBorders>
            <w:vAlign w:val="center"/>
          </w:tcPr>
          <w:p w:rsidR="000C339B" w:rsidRPr="00E678B8" w:rsidRDefault="000C339B" w:rsidP="00616CFA">
            <w:pPr>
              <w:spacing w:before="69"/>
              <w:ind w:right="-20"/>
              <w:jc w:val="left"/>
              <w:rPr>
                <w:rFonts w:eastAsia="Arial" w:cs="Arial"/>
                <w:position w:val="1"/>
                <w:sz w:val="17"/>
                <w:szCs w:val="17"/>
              </w:rPr>
            </w:pPr>
            <w:r>
              <w:rPr>
                <w:position w:val="1"/>
                <w:sz w:val="17"/>
              </w:rPr>
              <w:t>42,86%</w:t>
            </w:r>
          </w:p>
        </w:tc>
        <w:tc>
          <w:tcPr>
            <w:tcW w:w="1417" w:type="dxa"/>
            <w:tcBorders>
              <w:top w:val="nil"/>
              <w:left w:val="nil"/>
              <w:bottom w:val="nil"/>
              <w:right w:val="nil"/>
            </w:tcBorders>
            <w:vAlign w:val="center"/>
          </w:tcPr>
          <w:p w:rsidR="000C339B" w:rsidRPr="00E678B8" w:rsidRDefault="000C339B" w:rsidP="00616CFA">
            <w:pPr>
              <w:spacing w:before="69"/>
              <w:ind w:right="-20"/>
              <w:jc w:val="left"/>
              <w:rPr>
                <w:rFonts w:eastAsia="Arial" w:cs="Arial"/>
                <w:sz w:val="17"/>
                <w:szCs w:val="17"/>
              </w:rPr>
            </w:pPr>
            <w:r>
              <w:rPr>
                <w:w w:val="106"/>
                <w:position w:val="1"/>
                <w:sz w:val="17"/>
              </w:rPr>
              <w:t>45,28%</w:t>
            </w:r>
          </w:p>
        </w:tc>
      </w:tr>
      <w:tr w:rsidR="000C339B" w:rsidRPr="00E678B8" w:rsidTr="005D5B8A">
        <w:trPr>
          <w:trHeight w:val="283"/>
        </w:trPr>
        <w:tc>
          <w:tcPr>
            <w:tcW w:w="521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53</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line="179" w:lineRule="exact"/>
              <w:ind w:right="-20"/>
              <w:jc w:val="left"/>
              <w:rPr>
                <w:rFonts w:eastAsia="Arial" w:cs="Arial"/>
                <w:sz w:val="18"/>
                <w:szCs w:val="18"/>
              </w:rPr>
            </w:pPr>
            <w:r>
              <w:rPr>
                <w:sz w:val="18"/>
              </w:rPr>
              <w:t>94,64%</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rPr>
                <w:rFonts w:eastAsia="Arial" w:cs="Arial"/>
                <w:sz w:val="18"/>
                <w:szCs w:val="18"/>
              </w:rPr>
            </w:pPr>
            <w:r>
              <w:rPr>
                <w:sz w:val="18"/>
              </w:rPr>
              <w:t>100%</w:t>
            </w:r>
          </w:p>
        </w:tc>
      </w:tr>
      <w:tr w:rsidR="000C339B" w:rsidRPr="00E678B8" w:rsidTr="005D5B8A">
        <w:trPr>
          <w:trHeight w:val="283"/>
        </w:trPr>
        <w:tc>
          <w:tcPr>
            <w:tcW w:w="5211"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7"/>
              <w:ind w:left="43" w:right="-20"/>
              <w:jc w:val="left"/>
              <w:rPr>
                <w:rFonts w:eastAsia="Arial"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3</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7"/>
              <w:ind w:left="95" w:right="-20"/>
              <w:jc w:val="left"/>
              <w:rPr>
                <w:rFonts w:eastAsia="Arial" w:cs="Arial"/>
                <w:sz w:val="18"/>
                <w:szCs w:val="18"/>
              </w:rPr>
            </w:pPr>
            <w:r>
              <w:rPr>
                <w:sz w:val="18"/>
              </w:rPr>
              <w:t>5,36%</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7"/>
              <w:ind w:left="98" w:right="-20"/>
              <w:rPr>
                <w:rFonts w:eastAsia="Arial" w:cs="Arial"/>
                <w:sz w:val="18"/>
                <w:szCs w:val="18"/>
              </w:rPr>
            </w:pPr>
            <w:r>
              <w:rPr>
                <w:sz w:val="18"/>
              </w:rPr>
              <w:t>-</w:t>
            </w:r>
          </w:p>
        </w:tc>
      </w:tr>
      <w:tr w:rsidR="000C339B" w:rsidRPr="00E678B8" w:rsidTr="005D5B8A">
        <w:trPr>
          <w:trHeight w:val="283"/>
        </w:trPr>
        <w:tc>
          <w:tcPr>
            <w:tcW w:w="5211"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szCs w:val="18"/>
              </w:rPr>
            </w:pPr>
            <w:r>
              <w:rPr>
                <w:b/>
                <w:sz w:val="18"/>
              </w:rPr>
              <w:t>Respondieron en total:</w:t>
            </w:r>
            <w:r w:rsidR="000C339B">
              <w:rPr>
                <w:b/>
                <w:sz w:val="18"/>
              </w:rPr>
              <w:t xml:space="preserve"> 53</w:t>
            </w: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cs="Arial"/>
                <w:sz w:val="18"/>
                <w:szCs w:val="18"/>
              </w:rPr>
            </w:pPr>
          </w:p>
        </w:tc>
        <w:tc>
          <w:tcPr>
            <w:tcW w:w="1276" w:type="dxa"/>
            <w:tcBorders>
              <w:top w:val="single" w:sz="12" w:space="0" w:color="A6A6A6" w:themeColor="background1" w:themeShade="A6"/>
              <w:left w:val="nil"/>
              <w:bottom w:val="nil"/>
              <w:right w:val="nil"/>
            </w:tcBorders>
          </w:tcPr>
          <w:p w:rsidR="000C339B" w:rsidRPr="00E678B8" w:rsidRDefault="000C339B" w:rsidP="00616CFA">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0C339B" w:rsidRPr="00E678B8" w:rsidRDefault="000C339B" w:rsidP="00616CFA">
            <w:pPr>
              <w:spacing w:before="30"/>
              <w:ind w:left="98" w:right="-20"/>
              <w:rPr>
                <w:rFonts w:eastAsia="Arial" w:cs="Arial"/>
                <w:sz w:val="18"/>
                <w:szCs w:val="18"/>
              </w:rPr>
            </w:pPr>
          </w:p>
        </w:tc>
      </w:tr>
    </w:tbl>
    <w:p w:rsidR="000C339B" w:rsidRPr="00E678B8" w:rsidRDefault="000C339B" w:rsidP="000C339B">
      <w:pPr>
        <w:autoSpaceDE w:val="0"/>
        <w:autoSpaceDN w:val="0"/>
        <w:adjustRightInd w:val="0"/>
        <w:jc w:val="left"/>
        <w:rPr>
          <w:rFonts w:cs="Arial"/>
          <w:bCs/>
          <w:sz w:val="18"/>
          <w:szCs w:val="18"/>
        </w:rPr>
      </w:pPr>
    </w:p>
    <w:p w:rsidR="000C339B" w:rsidRPr="00E678B8" w:rsidRDefault="000C339B" w:rsidP="000C339B">
      <w:pPr>
        <w:jc w:val="left"/>
        <w:rPr>
          <w:rFonts w:cs="Arial"/>
          <w:sz w:val="18"/>
          <w:szCs w:val="18"/>
        </w:rPr>
      </w:pPr>
      <w:r>
        <w:rPr>
          <w:sz w:val="18"/>
          <w:u w:val="single"/>
        </w:rPr>
        <w:t>Comentarios</w:t>
      </w:r>
      <w:r>
        <w:rPr>
          <w:sz w:val="18"/>
        </w:rPr>
        <w:t xml:space="preserve"> </w:t>
      </w:r>
    </w:p>
    <w:p w:rsidR="000C339B" w:rsidRPr="00E678B8" w:rsidRDefault="000C339B" w:rsidP="000C339B">
      <w:pPr>
        <w:jc w:val="left"/>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highlight w:val="yellow"/>
              </w:rPr>
            </w:pPr>
            <w:r>
              <w:rPr>
                <w:sz w:val="18"/>
              </w:rPr>
              <w:t>La cooperación debe ser abierta y diversificada. Ahorra tiempo y mejora la eficiencia.</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highlight w:val="yellow"/>
              </w:rPr>
            </w:pPr>
            <w:r>
              <w:rPr>
                <w:sz w:val="18"/>
              </w:rPr>
              <w:t>No organizamos ni cooperamos con otros miembros propiamente,</w:t>
            </w:r>
            <w:r w:rsidR="0058413A">
              <w:rPr>
                <w:sz w:val="18"/>
              </w:rPr>
              <w:t xml:space="preserve"> </w:t>
            </w:r>
            <w:r>
              <w:rPr>
                <w:sz w:val="18"/>
              </w:rPr>
              <w:t>simplemente nuestra legislación permite que podamos utilizar el examen de DHE que está disponible (realizado por el obtentor, una institución o autoridad competente), o incluso esperar la culminación de aquellos exámenes que están en curso (realizado por el obtentor, una institución o autoridad competent</w:t>
            </w:r>
            <w:r w:rsidR="000E28C1">
              <w:rPr>
                <w:sz w:val="18"/>
              </w:rPr>
              <w:t>e)</w:t>
            </w:r>
            <w:r>
              <w:rPr>
                <w:sz w:val="18"/>
              </w:rPr>
              <w:t>.</w:t>
            </w:r>
            <w:r w:rsidR="0058413A">
              <w:rPr>
                <w:sz w:val="18"/>
              </w:rPr>
              <w:t xml:space="preserve"> </w:t>
            </w:r>
            <w:r>
              <w:rPr>
                <w:sz w:val="18"/>
              </w:rPr>
              <w:t>No obligamos al solicitante a r</w:t>
            </w:r>
            <w:r w:rsidR="000E28C1">
              <w:rPr>
                <w:sz w:val="18"/>
              </w:rPr>
              <w:t>ealizar nuevamente su examen de </w:t>
            </w:r>
            <w:r>
              <w:rPr>
                <w:sz w:val="18"/>
              </w:rPr>
              <w:t>DHE en nuestro país, a menos que el mismo solicitante lo requiera.</w:t>
            </w:r>
          </w:p>
        </w:tc>
      </w:tr>
      <w:tr w:rsidR="000C339B" w:rsidRPr="000C339B" w:rsidTr="00616CFA">
        <w:trPr>
          <w:trHeight w:val="264"/>
        </w:trPr>
        <w:tc>
          <w:tcPr>
            <w:tcW w:w="9390" w:type="dxa"/>
            <w:noWrap/>
            <w:vAlign w:val="center"/>
            <w:hideMark/>
          </w:tcPr>
          <w:p w:rsidR="000C339B" w:rsidRPr="000C339B" w:rsidRDefault="000C339B" w:rsidP="00FC4753">
            <w:pPr>
              <w:jc w:val="left"/>
              <w:rPr>
                <w:rFonts w:cs="Arial"/>
                <w:sz w:val="18"/>
                <w:szCs w:val="18"/>
              </w:rPr>
            </w:pPr>
            <w:r>
              <w:rPr>
                <w:sz w:val="18"/>
              </w:rPr>
              <w:t>No sé si lo correcto es contestar afirmativamente.</w:t>
            </w:r>
            <w:r w:rsidR="0058413A">
              <w:rPr>
                <w:sz w:val="18"/>
              </w:rPr>
              <w:t xml:space="preserve"> </w:t>
            </w:r>
            <w:r>
              <w:rPr>
                <w:sz w:val="18"/>
              </w:rPr>
              <w:t xml:space="preserve">No </w:t>
            </w:r>
            <w:r w:rsidR="00FC4753">
              <w:rPr>
                <w:sz w:val="18"/>
              </w:rPr>
              <w:t>disponemos de</w:t>
            </w:r>
            <w:r>
              <w:rPr>
                <w:sz w:val="18"/>
              </w:rPr>
              <w:t xml:space="preserve"> un tipo de acuerdo formal que establezca que, por ejemplo, nosotros realizamos los exámenes DHE de la especie X para otro miembro y ellos realizan el examen DHE de la especie Y para nosotros.</w:t>
            </w:r>
            <w:r w:rsidR="0058413A">
              <w:rPr>
                <w:sz w:val="18"/>
              </w:rPr>
              <w:t xml:space="preserve"> </w:t>
            </w:r>
            <w:r>
              <w:rPr>
                <w:sz w:val="18"/>
              </w:rPr>
              <w:t>En el Brasil, los resultados de los exámenes DHE son responsabilidad de los obtentores. Para la mayoría de las especies (principalmente especies ornamentales, especies frutales y hortalizas), ellos deciden si desean realizar sus propios exámenes o si prefieren que nosotros solicitemos a otra autoridad que lo lleve a cabo.</w:t>
            </w:r>
            <w:r w:rsidR="0058413A">
              <w:rPr>
                <w:sz w:val="18"/>
              </w:rPr>
              <w:t xml:space="preserve"> </w:t>
            </w:r>
            <w:r>
              <w:rPr>
                <w:sz w:val="18"/>
              </w:rPr>
              <w:t>En estos casos, tenemos acuerdos meramente informales (para comprar informes existentes y pedir a determinadas autoridades que realicen exámenes DHE en nuestro nombre).</w:t>
            </w:r>
            <w:r w:rsidR="0058413A">
              <w:rPr>
                <w:sz w:val="18"/>
              </w:rPr>
              <w:t xml:space="preserve"> </w:t>
            </w:r>
            <w:r>
              <w:rPr>
                <w:sz w:val="18"/>
              </w:rPr>
              <w:t>Solo tenemos un acuerdo formal con el Japón, pero es para intercambiar informes DHE existentes.</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Tratamos de examinar con los resultados de nuestros propios exámenes DHE, porque tenemos directrices de examen nacionales, que difieren de las directrices de examen de la UPOV.</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Cooperamos con la OCVV y con los Estados miembros de la UE para evitar la duplicación.</w:t>
            </w:r>
          </w:p>
        </w:tc>
      </w:tr>
      <w:tr w:rsidR="000C339B" w:rsidRPr="000C339B" w:rsidTr="00616CFA">
        <w:trPr>
          <w:trHeight w:val="264"/>
        </w:trPr>
        <w:tc>
          <w:tcPr>
            <w:tcW w:w="9390" w:type="dxa"/>
            <w:noWrap/>
            <w:vAlign w:val="center"/>
            <w:hideMark/>
          </w:tcPr>
          <w:p w:rsidR="000C339B" w:rsidRPr="000C339B" w:rsidRDefault="000C339B" w:rsidP="00FC4753">
            <w:pPr>
              <w:jc w:val="left"/>
              <w:rPr>
                <w:rFonts w:cs="Arial"/>
                <w:sz w:val="18"/>
                <w:szCs w:val="18"/>
              </w:rPr>
            </w:pPr>
            <w:r>
              <w:rPr>
                <w:sz w:val="18"/>
              </w:rPr>
              <w:t xml:space="preserve">El Canadá ofrece las siguientes opciones al solicitante (para los cultivos ornamentales y hortícolas): 1) realizar los exámenes DHE en el Canadá o 2) emplear los exámenes DHE de otro miembro de la UPOV (con estipulaciones). Sin embargo, es posible que muchos solicitantes deseen que se realice el examen DHE en el Canadá </w:t>
            </w:r>
            <w:r w:rsidR="00FC4753">
              <w:rPr>
                <w:sz w:val="18"/>
              </w:rPr>
              <w:t xml:space="preserve">(esto es, que se observe el fenotipo en las condiciones de crecimiento nacionales) </w:t>
            </w:r>
            <w:r>
              <w:rPr>
                <w:sz w:val="18"/>
              </w:rPr>
              <w:t xml:space="preserve">aun cuando se disponga del informe de </w:t>
            </w:r>
            <w:r w:rsidR="00FC4753">
              <w:rPr>
                <w:sz w:val="18"/>
              </w:rPr>
              <w:t>o</w:t>
            </w:r>
            <w:r>
              <w:rPr>
                <w:sz w:val="18"/>
              </w:rPr>
              <w:t>tro miembro de la UPOV.</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En el caso de que otra autoridad ya haya iniciado el examen DHE, esperamos hasta que lo finalice y aceptamos los resultados o el informe DHE expedido por esa autoridad.</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Estamos dispuestos a hacerlo, aunque nunca se ha presentado la ocasión.</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Hasta ahora no hemos tenido ningún caso.</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Si sabemos que otro estado miembro está examinando una variedad, le pedi</w:t>
            </w:r>
            <w:r w:rsidR="00E67D88">
              <w:rPr>
                <w:sz w:val="18"/>
              </w:rPr>
              <w:t>mos que se encargue del informe </w:t>
            </w:r>
            <w:r>
              <w:rPr>
                <w:sz w:val="18"/>
              </w:rPr>
              <w:t>DHE.</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Existen acuerdos informales en ciertos casos concretos.</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En el contexto de la OCVV.</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En cierta medida, según la especie. En el caso de determinados cultivos frutales, es posible reducir la duración de los exámenes nacionales mediante un informe de examen como examen complementario.</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La cooperación</w:t>
            </w:r>
            <w:r w:rsidR="007A7081">
              <w:rPr>
                <w:sz w:val="18"/>
              </w:rPr>
              <w:t xml:space="preserve"> se efectúa si nos la solicitan.</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lastRenderedPageBreak/>
              <w:t>En la red de oficinas de examen facultadas (algunas veces con una excepción como la expuesta en el artículo 27 (véase supra)), la OCVV encarga informes DHE existentes a fin de evitar que se realicen por duplicado.</w:t>
            </w:r>
          </w:p>
        </w:tc>
      </w:tr>
      <w:tr w:rsidR="000C339B" w:rsidRPr="000C339B" w:rsidTr="00616CFA">
        <w:trPr>
          <w:trHeight w:val="264"/>
        </w:trPr>
        <w:tc>
          <w:tcPr>
            <w:tcW w:w="9390" w:type="dxa"/>
            <w:noWrap/>
            <w:vAlign w:val="center"/>
            <w:hideMark/>
          </w:tcPr>
          <w:p w:rsidR="000C339B" w:rsidRPr="000C339B" w:rsidRDefault="000C339B" w:rsidP="00616CFA">
            <w:pPr>
              <w:jc w:val="left"/>
              <w:rPr>
                <w:rFonts w:cs="Arial"/>
                <w:sz w:val="18"/>
                <w:szCs w:val="18"/>
              </w:rPr>
            </w:pPr>
            <w:r>
              <w:rPr>
                <w:sz w:val="18"/>
              </w:rPr>
              <w:t>En el ámbito de la OCVV y su sistema de acreditación de oficinas de examen para especies vegetales.</w:t>
            </w:r>
          </w:p>
        </w:tc>
      </w:tr>
    </w:tbl>
    <w:p w:rsidR="000E28C1" w:rsidRDefault="000E28C1" w:rsidP="000C339B">
      <w:pPr>
        <w:autoSpaceDE w:val="0"/>
        <w:autoSpaceDN w:val="0"/>
        <w:adjustRightInd w:val="0"/>
        <w:spacing w:line="360" w:lineRule="auto"/>
        <w:jc w:val="left"/>
        <w:rPr>
          <w:b/>
        </w:rPr>
      </w:pPr>
    </w:p>
    <w:p w:rsidR="007A7081" w:rsidRDefault="007A7081" w:rsidP="000C339B">
      <w:pPr>
        <w:autoSpaceDE w:val="0"/>
        <w:autoSpaceDN w:val="0"/>
        <w:adjustRightInd w:val="0"/>
        <w:spacing w:line="360" w:lineRule="auto"/>
        <w:jc w:val="left"/>
        <w:rPr>
          <w:b/>
        </w:rPr>
      </w:pPr>
    </w:p>
    <w:p w:rsidR="000C339B" w:rsidRPr="000C339B" w:rsidRDefault="000C339B" w:rsidP="000C339B">
      <w:pPr>
        <w:autoSpaceDE w:val="0"/>
        <w:autoSpaceDN w:val="0"/>
        <w:adjustRightInd w:val="0"/>
        <w:spacing w:line="360" w:lineRule="auto"/>
        <w:jc w:val="left"/>
        <w:rPr>
          <w:rFonts w:cs="Arial"/>
          <w:bCs/>
          <w:sz w:val="18"/>
          <w:szCs w:val="28"/>
        </w:rPr>
      </w:pPr>
      <w:r w:rsidRPr="007A7081">
        <w:rPr>
          <w:b/>
          <w:sz w:val="28"/>
          <w:szCs w:val="28"/>
        </w:rPr>
        <w:t>Pregunta 13</w:t>
      </w:r>
      <w:r w:rsidRPr="007A7081">
        <w:rPr>
          <w:sz w:val="28"/>
          <w:szCs w:val="28"/>
        </w:rPr>
        <w:t xml:space="preserve">: </w:t>
      </w:r>
      <w:r w:rsidRPr="007A7081">
        <w:rPr>
          <w:rFonts w:cs="Arial"/>
          <w:bCs/>
          <w:sz w:val="28"/>
          <w:szCs w:val="28"/>
        </w:rPr>
        <w:br/>
      </w:r>
      <w:r>
        <w:rPr>
          <w:sz w:val="18"/>
        </w:rPr>
        <w:t xml:space="preserve">Si la autoridad de su país/organización coopera con otros miembros de la UPOV para </w:t>
      </w:r>
      <w:r w:rsidR="00E67D88">
        <w:rPr>
          <w:sz w:val="18"/>
        </w:rPr>
        <w:t>evitar que se efectúen exámenes </w:t>
      </w:r>
      <w:r>
        <w:rPr>
          <w:sz w:val="18"/>
        </w:rPr>
        <w:t>DHE de la misma variedad por duplicado o en paralelo, ¿las directrices de examen de la UPOV deben servir de base para el examen DHE?</w:t>
      </w:r>
    </w:p>
    <w:tbl>
      <w:tblPr>
        <w:tblStyle w:val="TableGrid"/>
        <w:tblpPr w:leftFromText="180" w:rightFromText="180" w:vertAnchor="text" w:horzAnchor="page" w:tblpX="1310" w:tblpY="172"/>
        <w:tblW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46"/>
      </w:tblGrid>
      <w:tr w:rsidR="000C339B" w:rsidRPr="00E678B8" w:rsidTr="00616CFA">
        <w:trPr>
          <w:trHeight w:hRule="exact" w:val="849"/>
        </w:trPr>
        <w:tc>
          <w:tcPr>
            <w:tcW w:w="3446" w:type="dxa"/>
            <w:vAlign w:val="center"/>
          </w:tcPr>
          <w:p w:rsidR="000C339B" w:rsidRPr="00E678B8" w:rsidRDefault="000C339B" w:rsidP="00616CFA">
            <w:pPr>
              <w:autoSpaceDE w:val="0"/>
              <w:autoSpaceDN w:val="0"/>
              <w:adjustRightInd w:val="0"/>
              <w:contextualSpacing/>
              <w:jc w:val="right"/>
              <w:rPr>
                <w:rFonts w:cs="Arial"/>
                <w:sz w:val="16"/>
                <w:szCs w:val="18"/>
              </w:rPr>
            </w:pPr>
            <w:r>
              <w:rPr>
                <w:sz w:val="16"/>
              </w:rPr>
              <w:t>Sí</w:t>
            </w:r>
          </w:p>
        </w:tc>
      </w:tr>
      <w:tr w:rsidR="000C339B" w:rsidRPr="00E678B8" w:rsidTr="00616CFA">
        <w:trPr>
          <w:trHeight w:hRule="exact" w:val="718"/>
        </w:trPr>
        <w:tc>
          <w:tcPr>
            <w:tcW w:w="3446" w:type="dxa"/>
            <w:vAlign w:val="center"/>
          </w:tcPr>
          <w:p w:rsidR="000C339B" w:rsidRPr="00E678B8" w:rsidRDefault="000C339B" w:rsidP="00616CFA">
            <w:pPr>
              <w:autoSpaceDE w:val="0"/>
              <w:autoSpaceDN w:val="0"/>
              <w:adjustRightInd w:val="0"/>
              <w:contextualSpacing/>
              <w:jc w:val="right"/>
              <w:rPr>
                <w:rFonts w:cs="Arial"/>
                <w:sz w:val="16"/>
                <w:szCs w:val="18"/>
              </w:rPr>
            </w:pPr>
            <w:r>
              <w:rPr>
                <w:sz w:val="16"/>
              </w:rPr>
              <w:t>No</w:t>
            </w:r>
          </w:p>
        </w:tc>
      </w:tr>
    </w:tbl>
    <w:p w:rsidR="000C339B" w:rsidRPr="00E678B8" w:rsidRDefault="000C339B" w:rsidP="000C339B">
      <w:pPr>
        <w:ind w:firstLine="567"/>
        <w:jc w:val="center"/>
        <w:rPr>
          <w:rFonts w:cs="Arial"/>
          <w:sz w:val="18"/>
          <w:szCs w:val="18"/>
        </w:rPr>
      </w:pPr>
      <w:r>
        <w:rPr>
          <w:rFonts w:cs="Arial"/>
          <w:noProof/>
          <w:lang w:eastAsia="es-ES_tradnl"/>
        </w:rPr>
        <w:drawing>
          <wp:anchor distT="0" distB="0" distL="114300" distR="114300" simplePos="0" relativeHeight="251667456" behindDoc="0" locked="0" layoutInCell="1" allowOverlap="1" wp14:anchorId="7D38BE6E" wp14:editId="04EE6DA3">
            <wp:simplePos x="0" y="0"/>
            <wp:positionH relativeFrom="column">
              <wp:posOffset>-102870</wp:posOffset>
            </wp:positionH>
            <wp:positionV relativeFrom="paragraph">
              <wp:posOffset>-1905</wp:posOffset>
            </wp:positionV>
            <wp:extent cx="3597607" cy="1327977"/>
            <wp:effectExtent l="0" t="0" r="317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597607" cy="1327977"/>
                    </a:xfrm>
                    <a:prstGeom prst="rect">
                      <a:avLst/>
                    </a:prstGeom>
                  </pic:spPr>
                </pic:pic>
              </a:graphicData>
            </a:graphic>
          </wp:anchor>
        </w:drawing>
      </w:r>
    </w:p>
    <w:p w:rsidR="000C339B" w:rsidRPr="00E678B8" w:rsidRDefault="000C339B" w:rsidP="000C339B">
      <w:pPr>
        <w:ind w:firstLine="567"/>
        <w:jc w:val="center"/>
        <w:rPr>
          <w:rFonts w:cs="Arial"/>
          <w:sz w:val="18"/>
          <w:szCs w:val="18"/>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p>
    <w:p w:rsidR="000C339B" w:rsidRPr="00E678B8" w:rsidRDefault="000C339B" w:rsidP="000C339B">
      <w:pPr>
        <w:jc w:val="center"/>
        <w:rPr>
          <w:rFonts w:cs="Arial"/>
          <w:b/>
          <w:bCs/>
          <w:sz w:val="22"/>
          <w:szCs w:val="22"/>
        </w:rPr>
      </w:pPr>
      <w:r>
        <w:rPr>
          <w:b/>
          <w:sz w:val="22"/>
        </w:rPr>
        <w:t>Tabla de frecuencias</w:t>
      </w:r>
    </w:p>
    <w:p w:rsidR="000C339B" w:rsidRPr="00E678B8" w:rsidRDefault="000C339B" w:rsidP="000C339B">
      <w:pPr>
        <w:jc w:val="center"/>
        <w:rPr>
          <w:rFonts w:cs="Arial"/>
          <w:b/>
          <w:bCs/>
          <w:sz w:val="22"/>
          <w:szCs w:val="22"/>
        </w:rPr>
      </w:pP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495"/>
        <w:gridCol w:w="1276"/>
        <w:gridCol w:w="1275"/>
        <w:gridCol w:w="1167"/>
      </w:tblGrid>
      <w:tr w:rsidR="000C339B" w:rsidRPr="00E678B8" w:rsidTr="00FC4753">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7"/>
                <w:szCs w:val="17"/>
              </w:rPr>
            </w:pPr>
          </w:p>
          <w:p w:rsidR="000C339B" w:rsidRPr="00E678B8" w:rsidRDefault="000C339B" w:rsidP="00616CFA">
            <w:pPr>
              <w:jc w:val="left"/>
              <w:rPr>
                <w:rFonts w:eastAsia="Arial" w:cs="Arial"/>
                <w:sz w:val="17"/>
                <w:szCs w:val="17"/>
              </w:rPr>
            </w:pPr>
          </w:p>
          <w:p w:rsidR="000C339B" w:rsidRPr="00E678B8" w:rsidRDefault="000C339B" w:rsidP="00616CFA">
            <w:pPr>
              <w:jc w:val="left"/>
              <w:rPr>
                <w:rFonts w:eastAsia="Arial" w:cs="Arial"/>
                <w:sz w:val="17"/>
                <w:szCs w:val="17"/>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7"/>
                <w:szCs w:val="17"/>
              </w:rPr>
            </w:pPr>
            <w:r>
              <w:rPr>
                <w:b/>
                <w:color w:val="111111"/>
                <w:w w:val="107"/>
                <w:sz w:val="17"/>
              </w:rPr>
              <w:t>Frecuencia absoluta</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871FA3">
            <w:pPr>
              <w:ind w:right="-20"/>
              <w:jc w:val="left"/>
              <w:rPr>
                <w:rFonts w:eastAsia="Arial" w:cs="Arial"/>
                <w:b/>
                <w:bCs/>
                <w:w w:val="107"/>
                <w:sz w:val="17"/>
                <w:szCs w:val="17"/>
              </w:rPr>
            </w:pPr>
            <w:r>
              <w:rPr>
                <w:b/>
                <w:w w:val="107"/>
                <w:sz w:val="17"/>
              </w:rPr>
              <w:t>Frecuencia relativa</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w w:val="107"/>
                <w:sz w:val="17"/>
                <w:szCs w:val="17"/>
              </w:rPr>
            </w:pPr>
            <w:r>
              <w:rPr>
                <w:b/>
                <w:w w:val="107"/>
                <w:sz w:val="17"/>
              </w:rPr>
              <w:t>Frecuencia relativa ajustada</w:t>
            </w:r>
          </w:p>
        </w:tc>
      </w:tr>
      <w:tr w:rsidR="000C339B" w:rsidRPr="00E678B8" w:rsidTr="00FC4753">
        <w:trPr>
          <w:trHeight w:val="411"/>
        </w:trPr>
        <w:tc>
          <w:tcPr>
            <w:tcW w:w="5495"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Sí</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26</w:t>
            </w:r>
          </w:p>
        </w:tc>
        <w:tc>
          <w:tcPr>
            <w:tcW w:w="1275"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46,43%</w:t>
            </w:r>
          </w:p>
        </w:tc>
        <w:tc>
          <w:tcPr>
            <w:tcW w:w="1167" w:type="dxa"/>
            <w:tcBorders>
              <w:top w:val="single" w:sz="12" w:space="0" w:color="auto"/>
              <w:left w:val="nil"/>
              <w:bottom w:val="nil"/>
              <w:right w:val="nil"/>
            </w:tcBorders>
            <w:vAlign w:val="center"/>
          </w:tcPr>
          <w:p w:rsidR="000C339B" w:rsidRPr="00E678B8" w:rsidRDefault="000C339B" w:rsidP="00616CFA">
            <w:pPr>
              <w:spacing w:line="179" w:lineRule="exact"/>
              <w:ind w:left="83" w:right="-20"/>
              <w:jc w:val="left"/>
              <w:rPr>
                <w:rFonts w:eastAsia="Arial" w:cs="Arial"/>
                <w:sz w:val="17"/>
                <w:szCs w:val="17"/>
              </w:rPr>
            </w:pPr>
            <w:r>
              <w:rPr>
                <w:sz w:val="18"/>
              </w:rPr>
              <w:t>89,6%</w:t>
            </w:r>
          </w:p>
        </w:tc>
      </w:tr>
      <w:tr w:rsidR="000C339B" w:rsidRPr="00E678B8" w:rsidTr="00FC4753">
        <w:trPr>
          <w:trHeight w:val="477"/>
        </w:trPr>
        <w:tc>
          <w:tcPr>
            <w:tcW w:w="5495"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No</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3</w:t>
            </w:r>
          </w:p>
        </w:tc>
        <w:tc>
          <w:tcPr>
            <w:tcW w:w="1275"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sz w:val="17"/>
                <w:szCs w:val="17"/>
              </w:rPr>
            </w:pPr>
            <w:r>
              <w:rPr>
                <w:sz w:val="18"/>
              </w:rPr>
              <w:t>5,36%</w:t>
            </w:r>
          </w:p>
        </w:tc>
        <w:tc>
          <w:tcPr>
            <w:tcW w:w="1167"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color w:val="111111"/>
                <w:w w:val="104"/>
                <w:sz w:val="17"/>
                <w:szCs w:val="17"/>
              </w:rPr>
            </w:pPr>
            <w:r>
              <w:rPr>
                <w:sz w:val="18"/>
              </w:rPr>
              <w:t>10,34%</w:t>
            </w:r>
          </w:p>
        </w:tc>
      </w:tr>
      <w:tr w:rsidR="000C339B" w:rsidRPr="00E678B8" w:rsidTr="00FC4753">
        <w:trPr>
          <w:trHeight w:val="420"/>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29</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sz w:val="17"/>
                <w:szCs w:val="17"/>
              </w:rPr>
            </w:pPr>
            <w:r>
              <w:rPr>
                <w:sz w:val="18"/>
              </w:rPr>
              <w:t>51,79%</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0"/>
              <w:ind w:left="98" w:right="-20"/>
              <w:jc w:val="left"/>
              <w:rPr>
                <w:rFonts w:eastAsia="Arial" w:cs="Arial"/>
                <w:color w:val="111111"/>
                <w:w w:val="104"/>
                <w:sz w:val="17"/>
                <w:szCs w:val="17"/>
              </w:rPr>
            </w:pPr>
            <w:r>
              <w:rPr>
                <w:sz w:val="18"/>
              </w:rPr>
              <w:t>100%</w:t>
            </w:r>
          </w:p>
        </w:tc>
      </w:tr>
      <w:tr w:rsidR="000C339B" w:rsidRPr="00E678B8" w:rsidTr="00FC4753">
        <w:trPr>
          <w:trHeight w:val="447"/>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27</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jc w:val="left"/>
              <w:rPr>
                <w:rFonts w:eastAsia="Arial" w:cs="Arial"/>
                <w:sz w:val="17"/>
                <w:szCs w:val="17"/>
              </w:rPr>
            </w:pPr>
            <w:r>
              <w:rPr>
                <w:sz w:val="18"/>
              </w:rPr>
              <w:t>48,21%</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jc w:val="left"/>
              <w:rPr>
                <w:rFonts w:eastAsia="Arial" w:cs="Arial"/>
                <w:color w:val="111111"/>
                <w:w w:val="104"/>
                <w:sz w:val="17"/>
                <w:szCs w:val="17"/>
              </w:rPr>
            </w:pPr>
          </w:p>
          <w:p w:rsidR="000C339B" w:rsidRPr="00E678B8" w:rsidRDefault="000C339B" w:rsidP="00616CFA">
            <w:pPr>
              <w:spacing w:before="30"/>
              <w:ind w:left="98" w:right="-20"/>
              <w:jc w:val="left"/>
              <w:rPr>
                <w:rFonts w:eastAsia="Arial" w:cs="Arial"/>
                <w:color w:val="111111"/>
                <w:w w:val="104"/>
                <w:sz w:val="17"/>
                <w:szCs w:val="17"/>
              </w:rPr>
            </w:pPr>
          </w:p>
        </w:tc>
      </w:tr>
      <w:tr w:rsidR="000C339B" w:rsidRPr="00E678B8" w:rsidTr="00FC4753">
        <w:trPr>
          <w:trHeight w:hRule="exact" w:val="281"/>
        </w:trPr>
        <w:tc>
          <w:tcPr>
            <w:tcW w:w="5495"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szCs w:val="18"/>
              </w:rPr>
            </w:pPr>
            <w:r>
              <w:rPr>
                <w:b/>
                <w:sz w:val="18"/>
              </w:rPr>
              <w:t>Respondieron en total:</w:t>
            </w:r>
            <w:r w:rsidR="000C339B">
              <w:rPr>
                <w:b/>
                <w:sz w:val="18"/>
              </w:rPr>
              <w:t xml:space="preserve"> 29</w:t>
            </w:r>
          </w:p>
          <w:p w:rsidR="000C339B" w:rsidRPr="00E678B8" w:rsidRDefault="000C339B" w:rsidP="00616CFA">
            <w:pPr>
              <w:spacing w:before="37"/>
              <w:ind w:left="29" w:right="-20"/>
              <w:jc w:val="left"/>
              <w:rPr>
                <w:rFonts w:eastAsia="Arial" w:cs="Arial"/>
                <w:sz w:val="17"/>
                <w:szCs w:val="17"/>
              </w:rPr>
            </w:pP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cs="Arial"/>
                <w:sz w:val="18"/>
                <w:szCs w:val="18"/>
              </w:rPr>
            </w:pPr>
          </w:p>
        </w:tc>
        <w:tc>
          <w:tcPr>
            <w:tcW w:w="1275" w:type="dxa"/>
            <w:tcBorders>
              <w:top w:val="single" w:sz="12" w:space="0" w:color="A6A6A6" w:themeColor="background1" w:themeShade="A6"/>
              <w:left w:val="nil"/>
              <w:bottom w:val="nil"/>
              <w:right w:val="nil"/>
            </w:tcBorders>
          </w:tcPr>
          <w:p w:rsidR="000C339B" w:rsidRPr="00E678B8" w:rsidRDefault="000C339B" w:rsidP="00616CFA">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0C339B" w:rsidRPr="00E678B8" w:rsidRDefault="000C339B" w:rsidP="00616CFA">
            <w:pPr>
              <w:spacing w:before="37"/>
              <w:ind w:left="98" w:right="-20"/>
              <w:jc w:val="left"/>
              <w:rPr>
                <w:rFonts w:eastAsia="Arial" w:cs="Arial"/>
                <w:color w:val="111111"/>
                <w:w w:val="104"/>
                <w:sz w:val="17"/>
                <w:szCs w:val="17"/>
              </w:rPr>
            </w:pPr>
          </w:p>
        </w:tc>
      </w:tr>
      <w:tr w:rsidR="000C339B" w:rsidRPr="00E678B8" w:rsidTr="00FC4753">
        <w:trPr>
          <w:trHeight w:hRule="exact" w:val="281"/>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7"/>
                <w:szCs w:val="17"/>
              </w:rPr>
            </w:pP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98" w:right="-20"/>
              <w:jc w:val="left"/>
              <w:rPr>
                <w:rFonts w:eastAsia="Arial" w:cs="Arial"/>
                <w:color w:val="111111"/>
                <w:w w:val="104"/>
                <w:sz w:val="17"/>
                <w:szCs w:val="17"/>
              </w:rPr>
            </w:pPr>
          </w:p>
        </w:tc>
      </w:tr>
    </w:tbl>
    <w:p w:rsidR="000C339B" w:rsidRPr="00E678B8" w:rsidRDefault="000C339B" w:rsidP="000C339B">
      <w:pPr>
        <w:jc w:val="center"/>
        <w:rPr>
          <w:rFonts w:cs="Arial"/>
          <w:sz w:val="18"/>
          <w:szCs w:val="18"/>
        </w:rPr>
      </w:pPr>
    </w:p>
    <w:p w:rsidR="000C339B" w:rsidRPr="00E678B8" w:rsidRDefault="000C339B" w:rsidP="000C339B">
      <w:pPr>
        <w:jc w:val="left"/>
        <w:rPr>
          <w:rFonts w:cs="Arial"/>
          <w:sz w:val="18"/>
          <w:szCs w:val="18"/>
        </w:rPr>
      </w:pPr>
    </w:p>
    <w:p w:rsidR="000C339B" w:rsidRPr="00E678B8" w:rsidRDefault="000C339B" w:rsidP="000C339B">
      <w:pPr>
        <w:jc w:val="left"/>
        <w:rPr>
          <w:rFonts w:cs="Arial"/>
          <w:sz w:val="18"/>
          <w:u w:val="single"/>
        </w:rPr>
      </w:pPr>
      <w:r>
        <w:rPr>
          <w:sz w:val="18"/>
          <w:u w:val="single"/>
        </w:rPr>
        <w:t>Comentarios</w:t>
      </w:r>
    </w:p>
    <w:p w:rsidR="000C339B" w:rsidRPr="00E678B8" w:rsidRDefault="000C339B" w:rsidP="000C339B">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0C339B" w:rsidRPr="000C339B" w:rsidTr="00616CFA">
        <w:trPr>
          <w:trHeight w:val="264"/>
        </w:trPr>
        <w:tc>
          <w:tcPr>
            <w:tcW w:w="9390" w:type="dxa"/>
            <w:noWrap/>
            <w:hideMark/>
          </w:tcPr>
          <w:p w:rsidR="000C339B" w:rsidRPr="000C339B" w:rsidRDefault="000C339B" w:rsidP="00616CFA">
            <w:pPr>
              <w:rPr>
                <w:rFonts w:cs="Arial"/>
                <w:sz w:val="18"/>
                <w:szCs w:val="18"/>
                <w:highlight w:val="yellow"/>
              </w:rPr>
            </w:pPr>
            <w:r>
              <w:rPr>
                <w:sz w:val="18"/>
              </w:rPr>
              <w:t>Por lo general, se cumple este requisito.</w:t>
            </w:r>
          </w:p>
        </w:tc>
      </w:tr>
      <w:tr w:rsidR="000C339B" w:rsidRPr="000C339B" w:rsidTr="00616CFA">
        <w:trPr>
          <w:trHeight w:val="264"/>
        </w:trPr>
        <w:tc>
          <w:tcPr>
            <w:tcW w:w="9390" w:type="dxa"/>
            <w:noWrap/>
            <w:hideMark/>
          </w:tcPr>
          <w:p w:rsidR="000C339B" w:rsidRPr="000C339B" w:rsidRDefault="000C339B" w:rsidP="00616CFA">
            <w:pPr>
              <w:rPr>
                <w:rFonts w:cs="Arial"/>
                <w:sz w:val="18"/>
                <w:szCs w:val="18"/>
                <w:highlight w:val="yellow"/>
              </w:rPr>
            </w:pPr>
            <w:r>
              <w:rPr>
                <w:sz w:val="18"/>
              </w:rPr>
              <w:t>Un examen basado en estos principios debe dar resultados satisfactorios.</w:t>
            </w:r>
          </w:p>
        </w:tc>
      </w:tr>
      <w:tr w:rsidR="000C339B" w:rsidRPr="000C339B" w:rsidTr="00616CFA">
        <w:trPr>
          <w:trHeight w:val="264"/>
        </w:trPr>
        <w:tc>
          <w:tcPr>
            <w:tcW w:w="9390" w:type="dxa"/>
            <w:noWrap/>
            <w:hideMark/>
          </w:tcPr>
          <w:p w:rsidR="000C339B" w:rsidRPr="000C339B" w:rsidRDefault="00B9493E" w:rsidP="00616CFA">
            <w:pPr>
              <w:rPr>
                <w:rFonts w:cs="Arial"/>
                <w:sz w:val="18"/>
                <w:szCs w:val="18"/>
                <w:highlight w:val="yellow"/>
              </w:rPr>
            </w:pPr>
            <w:r>
              <w:rPr>
                <w:sz w:val="18"/>
              </w:rPr>
              <w:t>P</w:t>
            </w:r>
            <w:r w:rsidR="000C339B">
              <w:rPr>
                <w:sz w:val="18"/>
              </w:rPr>
              <w:t>ero también el sistema de acreditación de la OCVV.</w:t>
            </w:r>
          </w:p>
        </w:tc>
      </w:tr>
      <w:tr w:rsidR="000C339B" w:rsidRPr="00E678B8" w:rsidTr="00616CFA">
        <w:trPr>
          <w:trHeight w:val="264"/>
        </w:trPr>
        <w:tc>
          <w:tcPr>
            <w:tcW w:w="9390" w:type="dxa"/>
            <w:noWrap/>
            <w:hideMark/>
          </w:tcPr>
          <w:p w:rsidR="000C339B" w:rsidRPr="00E678B8" w:rsidRDefault="000C339B" w:rsidP="00616CFA">
            <w:pPr>
              <w:rPr>
                <w:rFonts w:cs="Arial"/>
                <w:sz w:val="18"/>
                <w:szCs w:val="18"/>
              </w:rPr>
            </w:pPr>
            <w:r>
              <w:rPr>
                <w:sz w:val="18"/>
              </w:rPr>
              <w:t>Si nuestras directrices nacionales se basan en la UPOV.</w:t>
            </w:r>
            <w:r w:rsidR="0058413A">
              <w:rPr>
                <w:sz w:val="18"/>
              </w:rPr>
              <w:t xml:space="preserve"> </w:t>
            </w:r>
            <w:r>
              <w:rPr>
                <w:sz w:val="18"/>
              </w:rPr>
              <w:t>Posdata: ténganse en cuenta las consideraciones sobre la pregunta 12</w:t>
            </w:r>
          </w:p>
        </w:tc>
      </w:tr>
      <w:tr w:rsidR="000C339B" w:rsidRPr="00E678B8" w:rsidTr="00616CFA">
        <w:trPr>
          <w:trHeight w:val="264"/>
        </w:trPr>
        <w:tc>
          <w:tcPr>
            <w:tcW w:w="9390" w:type="dxa"/>
            <w:noWrap/>
            <w:hideMark/>
          </w:tcPr>
          <w:p w:rsidR="000C339B" w:rsidRPr="00E678B8" w:rsidRDefault="000C339B" w:rsidP="00616CFA">
            <w:pPr>
              <w:rPr>
                <w:rFonts w:cs="Arial"/>
                <w:sz w:val="18"/>
                <w:szCs w:val="18"/>
              </w:rPr>
            </w:pPr>
            <w:r>
              <w:rPr>
                <w:sz w:val="18"/>
              </w:rPr>
              <w:t>O las directrices de la OCVV.</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 xml:space="preserve">El requisito normal es que se cumplan los protocolos de la OCVV, que siguen muy estrechamente las directrices de examen de la UPOV. </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Cuando no existe una directriz de examen de la UPOV, aceptamos la directriz de examen o el protocolo nacional acordado.</w:t>
            </w:r>
          </w:p>
        </w:tc>
      </w:tr>
      <w:tr w:rsidR="000C339B" w:rsidRPr="00E678B8" w:rsidTr="00616CFA">
        <w:trPr>
          <w:trHeight w:val="264"/>
        </w:trPr>
        <w:tc>
          <w:tcPr>
            <w:tcW w:w="9390" w:type="dxa"/>
            <w:noWrap/>
            <w:hideMark/>
          </w:tcPr>
          <w:p w:rsidR="000C339B" w:rsidRPr="00E678B8" w:rsidRDefault="000C339B" w:rsidP="00616CFA">
            <w:pPr>
              <w:rPr>
                <w:rFonts w:cs="Arial"/>
                <w:sz w:val="18"/>
                <w:szCs w:val="18"/>
              </w:rPr>
            </w:pPr>
            <w:r>
              <w:rPr>
                <w:sz w:val="18"/>
              </w:rPr>
              <w:t>En general, sí.</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Si no se dispone de protocolos de la OCVV.</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Véase supra. [El examen] debe basarse en el protocolo técnico de la OCVV; si no está disponible para la especie, puede basarse en el protocolo técnico de la UPOV y, en ausencia de ambos, puede basarse en protocolos nacionales.</w:t>
            </w:r>
          </w:p>
        </w:tc>
      </w:tr>
      <w:tr w:rsidR="000C339B" w:rsidRPr="000C339B" w:rsidTr="00616CFA">
        <w:trPr>
          <w:trHeight w:val="264"/>
        </w:trPr>
        <w:tc>
          <w:tcPr>
            <w:tcW w:w="9390" w:type="dxa"/>
            <w:noWrap/>
            <w:hideMark/>
          </w:tcPr>
          <w:p w:rsidR="000C339B" w:rsidRPr="000C339B" w:rsidRDefault="000C339B" w:rsidP="00616CFA">
            <w:pPr>
              <w:rPr>
                <w:rFonts w:cs="Arial"/>
                <w:sz w:val="18"/>
                <w:szCs w:val="18"/>
              </w:rPr>
            </w:pPr>
            <w:r>
              <w:rPr>
                <w:sz w:val="18"/>
              </w:rPr>
              <w:t>Se emplean preferentemente las directrices de la OCVV, basadas en las de la UPOV. En caso de no existir directrices de la OCVV se emplean las de la UPOV.</w:t>
            </w:r>
          </w:p>
        </w:tc>
      </w:tr>
    </w:tbl>
    <w:p w:rsidR="000C339B" w:rsidRPr="000C339B" w:rsidRDefault="000C339B" w:rsidP="000C339B">
      <w:pPr>
        <w:rPr>
          <w:rFonts w:cs="Arial"/>
          <w:sz w:val="18"/>
          <w:szCs w:val="18"/>
        </w:rPr>
      </w:pPr>
    </w:p>
    <w:p w:rsidR="000C339B" w:rsidRPr="000C339B" w:rsidRDefault="000C339B" w:rsidP="000C339B">
      <w:pPr>
        <w:jc w:val="left"/>
        <w:rPr>
          <w:rFonts w:cs="Arial"/>
          <w:b/>
          <w:bCs/>
          <w:sz w:val="18"/>
          <w:szCs w:val="28"/>
        </w:rPr>
      </w:pPr>
      <w:r>
        <w:br w:type="page"/>
      </w:r>
    </w:p>
    <w:p w:rsidR="000C339B" w:rsidRPr="000C339B" w:rsidRDefault="000C339B" w:rsidP="000C339B">
      <w:pPr>
        <w:autoSpaceDE w:val="0"/>
        <w:autoSpaceDN w:val="0"/>
        <w:adjustRightInd w:val="0"/>
        <w:spacing w:line="360" w:lineRule="auto"/>
        <w:jc w:val="left"/>
        <w:rPr>
          <w:rFonts w:cs="Arial"/>
          <w:bCs/>
          <w:sz w:val="18"/>
          <w:szCs w:val="18"/>
        </w:rPr>
      </w:pPr>
      <w:r w:rsidRPr="007A7081">
        <w:rPr>
          <w:b/>
          <w:sz w:val="28"/>
          <w:szCs w:val="28"/>
        </w:rPr>
        <w:lastRenderedPageBreak/>
        <w:t>Pregunta 14</w:t>
      </w:r>
      <w:r w:rsidRPr="007A7081">
        <w:rPr>
          <w:sz w:val="28"/>
          <w:szCs w:val="28"/>
        </w:rPr>
        <w:t>:</w:t>
      </w:r>
      <w:r w:rsidRPr="007A7081">
        <w:rPr>
          <w:rFonts w:cs="Arial"/>
          <w:bCs/>
          <w:sz w:val="28"/>
          <w:szCs w:val="28"/>
        </w:rPr>
        <w:br/>
      </w:r>
      <w:r>
        <w:rPr>
          <w:sz w:val="18"/>
        </w:rPr>
        <w:t>Conforme a su experiencia, ¿resulta fácil organizar la cooperación en materia de exam</w:t>
      </w:r>
      <w:r w:rsidR="00E67D88">
        <w:rPr>
          <w:sz w:val="18"/>
        </w:rPr>
        <w:t>en DHE con otros miembros de la </w:t>
      </w:r>
      <w:r>
        <w:rPr>
          <w:sz w:val="18"/>
        </w:rPr>
        <w:t>UPOV?</w:t>
      </w:r>
    </w:p>
    <w:p w:rsidR="000C339B" w:rsidRPr="000C339B" w:rsidRDefault="000C339B" w:rsidP="000C339B">
      <w:pPr>
        <w:autoSpaceDE w:val="0"/>
        <w:autoSpaceDN w:val="0"/>
        <w:adjustRightInd w:val="0"/>
        <w:jc w:val="left"/>
        <w:rPr>
          <w:rFonts w:cs="Arial"/>
          <w:sz w:val="18"/>
          <w:szCs w:val="18"/>
        </w:rPr>
      </w:pPr>
    </w:p>
    <w:p w:rsidR="000C339B" w:rsidRPr="000C339B" w:rsidRDefault="000C339B" w:rsidP="000C339B">
      <w:pPr>
        <w:rPr>
          <w:rFonts w:cs="Arial"/>
          <w:sz w:val="18"/>
          <w:szCs w:val="18"/>
        </w:rPr>
      </w:pPr>
      <w:r>
        <w:rPr>
          <w:rFonts w:cs="Arial"/>
          <w:noProof/>
          <w:lang w:eastAsia="es-ES_tradnl"/>
        </w:rPr>
        <w:drawing>
          <wp:anchor distT="0" distB="0" distL="114300" distR="114300" simplePos="0" relativeHeight="251668480" behindDoc="0" locked="0" layoutInCell="1" allowOverlap="1" wp14:anchorId="49F0BA71" wp14:editId="332D4BAE">
            <wp:simplePos x="0" y="0"/>
            <wp:positionH relativeFrom="column">
              <wp:posOffset>1992630</wp:posOffset>
            </wp:positionH>
            <wp:positionV relativeFrom="paragraph">
              <wp:posOffset>12700</wp:posOffset>
            </wp:positionV>
            <wp:extent cx="3794760" cy="15481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94760" cy="1548130"/>
                    </a:xfrm>
                    <a:prstGeom prst="rect">
                      <a:avLst/>
                    </a:prstGeom>
                  </pic:spPr>
                </pic:pic>
              </a:graphicData>
            </a:graphic>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0C339B" w:rsidRPr="00E678B8" w:rsidTr="00616CFA">
        <w:trPr>
          <w:trHeight w:hRule="exact" w:val="567"/>
        </w:trPr>
        <w:tc>
          <w:tcPr>
            <w:tcW w:w="3068" w:type="dxa"/>
            <w:vAlign w:val="center"/>
          </w:tcPr>
          <w:p w:rsidR="000C339B" w:rsidRPr="00E678B8" w:rsidRDefault="000C339B" w:rsidP="00616CFA">
            <w:pPr>
              <w:autoSpaceDE w:val="0"/>
              <w:autoSpaceDN w:val="0"/>
              <w:adjustRightInd w:val="0"/>
              <w:jc w:val="right"/>
              <w:rPr>
                <w:rFonts w:cs="Arial"/>
                <w:sz w:val="16"/>
                <w:szCs w:val="18"/>
              </w:rPr>
            </w:pPr>
            <w:r>
              <w:rPr>
                <w:sz w:val="16"/>
              </w:rPr>
              <w:t>Nada fácil</w:t>
            </w:r>
          </w:p>
        </w:tc>
      </w:tr>
      <w:tr w:rsidR="000C339B" w:rsidRPr="00E678B8" w:rsidTr="00616CFA">
        <w:trPr>
          <w:trHeight w:hRule="exact" w:val="835"/>
        </w:trPr>
        <w:tc>
          <w:tcPr>
            <w:tcW w:w="3068" w:type="dxa"/>
            <w:vAlign w:val="center"/>
          </w:tcPr>
          <w:p w:rsidR="000C339B" w:rsidRPr="00E678B8" w:rsidRDefault="000C339B" w:rsidP="00616CFA">
            <w:pPr>
              <w:autoSpaceDE w:val="0"/>
              <w:autoSpaceDN w:val="0"/>
              <w:adjustRightInd w:val="0"/>
              <w:jc w:val="right"/>
              <w:rPr>
                <w:rFonts w:cs="Arial"/>
                <w:sz w:val="16"/>
                <w:szCs w:val="18"/>
              </w:rPr>
            </w:pPr>
            <w:r>
              <w:rPr>
                <w:sz w:val="16"/>
              </w:rPr>
              <w:t>Bastante fácil</w:t>
            </w:r>
          </w:p>
        </w:tc>
      </w:tr>
      <w:tr w:rsidR="000C339B" w:rsidRPr="00E678B8" w:rsidTr="00616CFA">
        <w:trPr>
          <w:trHeight w:hRule="exact" w:val="567"/>
        </w:trPr>
        <w:tc>
          <w:tcPr>
            <w:tcW w:w="3068" w:type="dxa"/>
            <w:vAlign w:val="center"/>
          </w:tcPr>
          <w:p w:rsidR="000C339B" w:rsidRPr="00E678B8" w:rsidRDefault="000C339B" w:rsidP="00616CFA">
            <w:pPr>
              <w:autoSpaceDE w:val="0"/>
              <w:autoSpaceDN w:val="0"/>
              <w:adjustRightInd w:val="0"/>
              <w:jc w:val="right"/>
              <w:rPr>
                <w:rFonts w:cs="Arial"/>
                <w:sz w:val="16"/>
                <w:szCs w:val="18"/>
              </w:rPr>
            </w:pPr>
            <w:r>
              <w:rPr>
                <w:sz w:val="16"/>
              </w:rPr>
              <w:t>Muy fácil</w:t>
            </w:r>
          </w:p>
        </w:tc>
      </w:tr>
    </w:tbl>
    <w:p w:rsidR="000C339B" w:rsidRPr="00E678B8" w:rsidRDefault="000C339B" w:rsidP="000C339B">
      <w:pPr>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rPr>
          <w:rFonts w:cs="Arial"/>
          <w:sz w:val="18"/>
          <w:szCs w:val="18"/>
        </w:rPr>
      </w:pPr>
    </w:p>
    <w:p w:rsidR="000C339B" w:rsidRPr="00E678B8" w:rsidRDefault="000C339B" w:rsidP="000C339B">
      <w:pPr>
        <w:tabs>
          <w:tab w:val="left" w:pos="8853"/>
        </w:tabs>
        <w:jc w:val="center"/>
        <w:rPr>
          <w:rFonts w:cs="Arial"/>
          <w:b/>
          <w:bCs/>
          <w:sz w:val="22"/>
          <w:szCs w:val="22"/>
        </w:rPr>
      </w:pPr>
    </w:p>
    <w:p w:rsidR="000C339B" w:rsidRPr="00E678B8" w:rsidRDefault="000C339B" w:rsidP="000C339B">
      <w:pPr>
        <w:tabs>
          <w:tab w:val="left" w:pos="8853"/>
        </w:tabs>
        <w:jc w:val="center"/>
        <w:rPr>
          <w:rFonts w:cs="Arial"/>
          <w:sz w:val="18"/>
          <w:szCs w:val="18"/>
        </w:rPr>
      </w:pPr>
      <w:r>
        <w:rPr>
          <w:b/>
          <w:sz w:val="22"/>
        </w:rPr>
        <w:t>Tabla de frecuencias</w:t>
      </w:r>
    </w:p>
    <w:p w:rsidR="000C339B" w:rsidRPr="00E678B8" w:rsidRDefault="000C339B" w:rsidP="000C339B">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204"/>
        <w:gridCol w:w="1275"/>
        <w:gridCol w:w="1276"/>
        <w:gridCol w:w="284"/>
        <w:gridCol w:w="1134"/>
      </w:tblGrid>
      <w:tr w:rsidR="000C339B" w:rsidRPr="00E678B8" w:rsidTr="00B9493E">
        <w:trPr>
          <w:trHeight w:hRule="exact" w:val="820"/>
        </w:trPr>
        <w:tc>
          <w:tcPr>
            <w:tcW w:w="6204"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7"/>
                <w:szCs w:val="17"/>
              </w:rPr>
            </w:pPr>
          </w:p>
          <w:p w:rsidR="000C339B" w:rsidRPr="00E678B8" w:rsidRDefault="000C339B" w:rsidP="00616CFA">
            <w:pPr>
              <w:jc w:val="left"/>
              <w:rPr>
                <w:rFonts w:eastAsia="Arial" w:cs="Arial"/>
                <w:sz w:val="17"/>
                <w:szCs w:val="17"/>
              </w:rPr>
            </w:pPr>
          </w:p>
          <w:p w:rsidR="000C339B" w:rsidRPr="00E678B8" w:rsidRDefault="000C339B" w:rsidP="00616CFA">
            <w:pPr>
              <w:jc w:val="left"/>
              <w:rPr>
                <w:rFonts w:eastAsia="Arial" w:cs="Arial"/>
                <w:sz w:val="17"/>
                <w:szCs w:val="17"/>
              </w:rPr>
            </w:pPr>
            <w:r>
              <w:rPr>
                <w:b/>
                <w:sz w:val="18"/>
              </w:rPr>
              <w:t>Opciones</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7"/>
                <w:szCs w:val="17"/>
              </w:rPr>
            </w:pPr>
            <w:r>
              <w:rPr>
                <w:b/>
                <w:color w:val="111111"/>
                <w:w w:val="107"/>
                <w:sz w:val="17"/>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w w:val="107"/>
                <w:sz w:val="17"/>
                <w:szCs w:val="17"/>
              </w:rPr>
            </w:pPr>
            <w:r>
              <w:rPr>
                <w:b/>
                <w:w w:val="107"/>
                <w:sz w:val="17"/>
              </w:rPr>
              <w:t>Frecuencia relativa</w:t>
            </w:r>
          </w:p>
        </w:tc>
        <w:tc>
          <w:tcPr>
            <w:tcW w:w="1418" w:type="dxa"/>
            <w:gridSpan w:val="2"/>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7"/>
                <w:szCs w:val="17"/>
              </w:rPr>
            </w:pPr>
            <w:r>
              <w:rPr>
                <w:b/>
                <w:w w:val="106"/>
                <w:sz w:val="17"/>
              </w:rPr>
              <w:t>Frecuencia relativa</w:t>
            </w:r>
            <w:r>
              <w:rPr>
                <w:rFonts w:eastAsia="Arial" w:cs="Arial"/>
                <w:b/>
                <w:bCs/>
                <w:w w:val="106"/>
                <w:sz w:val="17"/>
                <w:szCs w:val="17"/>
              </w:rPr>
              <w:br/>
            </w:r>
            <w:r>
              <w:rPr>
                <w:b/>
                <w:w w:val="106"/>
                <w:sz w:val="17"/>
              </w:rPr>
              <w:t>ajustada</w:t>
            </w:r>
          </w:p>
        </w:tc>
      </w:tr>
      <w:tr w:rsidR="000C339B" w:rsidRPr="00E678B8" w:rsidTr="00B9493E">
        <w:trPr>
          <w:trHeight w:hRule="exact" w:val="283"/>
        </w:trPr>
        <w:tc>
          <w:tcPr>
            <w:tcW w:w="6204"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rPr>
            </w:pPr>
            <w:r>
              <w:rPr>
                <w:sz w:val="18"/>
              </w:rPr>
              <w:t>Nada fácil</w:t>
            </w:r>
          </w:p>
        </w:tc>
        <w:tc>
          <w:tcPr>
            <w:tcW w:w="1275"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rPr>
            </w:pPr>
            <w:r>
              <w:rPr>
                <w:sz w:val="18"/>
              </w:rPr>
              <w:t>10</w:t>
            </w:r>
          </w:p>
        </w:tc>
        <w:tc>
          <w:tcPr>
            <w:tcW w:w="1560" w:type="dxa"/>
            <w:gridSpan w:val="2"/>
            <w:tcBorders>
              <w:top w:val="single" w:sz="12" w:space="0" w:color="auto"/>
              <w:left w:val="nil"/>
              <w:bottom w:val="nil"/>
              <w:right w:val="nil"/>
            </w:tcBorders>
            <w:vAlign w:val="center"/>
          </w:tcPr>
          <w:p w:rsidR="000C339B" w:rsidRPr="00E678B8" w:rsidRDefault="000C339B" w:rsidP="00616CFA">
            <w:pPr>
              <w:jc w:val="left"/>
              <w:rPr>
                <w:rFonts w:eastAsia="Arial" w:cs="Arial"/>
                <w:sz w:val="18"/>
              </w:rPr>
            </w:pPr>
            <w:r>
              <w:rPr>
                <w:sz w:val="18"/>
              </w:rPr>
              <w:t>17,86%</w:t>
            </w:r>
          </w:p>
        </w:tc>
        <w:tc>
          <w:tcPr>
            <w:tcW w:w="1134" w:type="dxa"/>
            <w:tcBorders>
              <w:top w:val="single" w:sz="12" w:space="0" w:color="auto"/>
              <w:left w:val="nil"/>
              <w:bottom w:val="nil"/>
              <w:right w:val="nil"/>
            </w:tcBorders>
            <w:vAlign w:val="center"/>
          </w:tcPr>
          <w:p w:rsidR="000C339B" w:rsidRPr="00E678B8" w:rsidRDefault="000C339B" w:rsidP="00616CFA">
            <w:pPr>
              <w:jc w:val="left"/>
              <w:rPr>
                <w:rFonts w:cs="Arial"/>
                <w:sz w:val="18"/>
              </w:rPr>
            </w:pPr>
            <w:r>
              <w:rPr>
                <w:w w:val="104"/>
                <w:sz w:val="18"/>
              </w:rPr>
              <w:t>19,23%</w:t>
            </w:r>
          </w:p>
        </w:tc>
      </w:tr>
      <w:tr w:rsidR="000C339B" w:rsidRPr="00E678B8" w:rsidTr="00B9493E">
        <w:trPr>
          <w:trHeight w:val="397"/>
        </w:trPr>
        <w:tc>
          <w:tcPr>
            <w:tcW w:w="6204"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rPr>
            </w:pPr>
            <w:r>
              <w:rPr>
                <w:sz w:val="18"/>
              </w:rPr>
              <w:t>Bastante fácil</w:t>
            </w:r>
          </w:p>
        </w:tc>
        <w:tc>
          <w:tcPr>
            <w:tcW w:w="1275" w:type="dxa"/>
            <w:tcBorders>
              <w:top w:val="nil"/>
              <w:left w:val="nil"/>
              <w:bottom w:val="nil"/>
              <w:right w:val="nil"/>
            </w:tcBorders>
            <w:vAlign w:val="center"/>
          </w:tcPr>
          <w:p w:rsidR="000C339B" w:rsidRPr="00E678B8" w:rsidRDefault="000C339B" w:rsidP="00616CFA">
            <w:pPr>
              <w:spacing w:line="179" w:lineRule="exact"/>
              <w:ind w:right="-20"/>
              <w:jc w:val="left"/>
              <w:rPr>
                <w:rFonts w:eastAsia="Arial" w:cs="Arial"/>
                <w:sz w:val="18"/>
              </w:rPr>
            </w:pPr>
            <w:r>
              <w:rPr>
                <w:sz w:val="18"/>
              </w:rPr>
              <w:t>35</w:t>
            </w:r>
          </w:p>
        </w:tc>
        <w:tc>
          <w:tcPr>
            <w:tcW w:w="1560" w:type="dxa"/>
            <w:gridSpan w:val="2"/>
            <w:tcBorders>
              <w:top w:val="nil"/>
              <w:left w:val="nil"/>
              <w:bottom w:val="nil"/>
              <w:right w:val="nil"/>
            </w:tcBorders>
            <w:vAlign w:val="center"/>
          </w:tcPr>
          <w:p w:rsidR="000C339B" w:rsidRPr="00E678B8" w:rsidRDefault="000C339B" w:rsidP="00616CFA">
            <w:pPr>
              <w:jc w:val="left"/>
              <w:rPr>
                <w:rFonts w:eastAsia="Arial" w:cs="Arial"/>
                <w:position w:val="1"/>
                <w:sz w:val="18"/>
              </w:rPr>
            </w:pPr>
            <w:r>
              <w:rPr>
                <w:position w:val="1"/>
                <w:sz w:val="18"/>
              </w:rPr>
              <w:t>62,5%</w:t>
            </w:r>
          </w:p>
        </w:tc>
        <w:tc>
          <w:tcPr>
            <w:tcW w:w="1134" w:type="dxa"/>
            <w:tcBorders>
              <w:top w:val="nil"/>
              <w:left w:val="nil"/>
              <w:bottom w:val="nil"/>
              <w:right w:val="nil"/>
            </w:tcBorders>
            <w:vAlign w:val="center"/>
          </w:tcPr>
          <w:p w:rsidR="000C339B" w:rsidRPr="00E678B8" w:rsidRDefault="000C339B" w:rsidP="00616CFA">
            <w:pPr>
              <w:jc w:val="left"/>
              <w:rPr>
                <w:rFonts w:cs="Arial"/>
                <w:sz w:val="18"/>
              </w:rPr>
            </w:pPr>
            <w:r>
              <w:rPr>
                <w:w w:val="104"/>
                <w:position w:val="1"/>
                <w:sz w:val="18"/>
              </w:rPr>
              <w:t>67,31%</w:t>
            </w:r>
          </w:p>
        </w:tc>
      </w:tr>
      <w:tr w:rsidR="000C339B" w:rsidRPr="00E678B8" w:rsidTr="00B9493E">
        <w:trPr>
          <w:trHeight w:val="283"/>
        </w:trPr>
        <w:tc>
          <w:tcPr>
            <w:tcW w:w="6204"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rPr>
            </w:pPr>
            <w:r>
              <w:rPr>
                <w:sz w:val="18"/>
              </w:rPr>
              <w:t>Muy fácil</w:t>
            </w:r>
          </w:p>
        </w:tc>
        <w:tc>
          <w:tcPr>
            <w:tcW w:w="1275" w:type="dxa"/>
            <w:tcBorders>
              <w:top w:val="nil"/>
              <w:left w:val="nil"/>
              <w:bottom w:val="nil"/>
              <w:right w:val="nil"/>
            </w:tcBorders>
            <w:vAlign w:val="center"/>
          </w:tcPr>
          <w:p w:rsidR="000C339B" w:rsidRPr="00E678B8" w:rsidRDefault="000C339B" w:rsidP="00616CFA">
            <w:pPr>
              <w:spacing w:line="179" w:lineRule="exact"/>
              <w:ind w:right="-20"/>
              <w:jc w:val="left"/>
              <w:rPr>
                <w:rFonts w:eastAsia="Arial" w:cs="Arial"/>
                <w:sz w:val="18"/>
              </w:rPr>
            </w:pPr>
            <w:r>
              <w:rPr>
                <w:sz w:val="18"/>
              </w:rPr>
              <w:t>7</w:t>
            </w:r>
          </w:p>
        </w:tc>
        <w:tc>
          <w:tcPr>
            <w:tcW w:w="1560" w:type="dxa"/>
            <w:gridSpan w:val="2"/>
            <w:tcBorders>
              <w:top w:val="nil"/>
              <w:left w:val="nil"/>
              <w:bottom w:val="nil"/>
              <w:right w:val="nil"/>
            </w:tcBorders>
            <w:vAlign w:val="center"/>
          </w:tcPr>
          <w:p w:rsidR="000C339B" w:rsidRPr="00E678B8" w:rsidRDefault="000C339B" w:rsidP="00616CFA">
            <w:pPr>
              <w:ind w:right="-20"/>
              <w:jc w:val="left"/>
              <w:rPr>
                <w:rFonts w:eastAsia="Arial" w:cs="Arial"/>
                <w:sz w:val="18"/>
              </w:rPr>
            </w:pPr>
            <w:r>
              <w:rPr>
                <w:sz w:val="18"/>
              </w:rPr>
              <w:t>12,5%</w:t>
            </w:r>
          </w:p>
        </w:tc>
        <w:tc>
          <w:tcPr>
            <w:tcW w:w="1134" w:type="dxa"/>
            <w:tcBorders>
              <w:top w:val="nil"/>
              <w:left w:val="nil"/>
              <w:bottom w:val="nil"/>
              <w:right w:val="nil"/>
            </w:tcBorders>
            <w:vAlign w:val="center"/>
          </w:tcPr>
          <w:p w:rsidR="000C339B" w:rsidRPr="00E678B8" w:rsidRDefault="000C339B" w:rsidP="00616CFA">
            <w:pPr>
              <w:ind w:right="-20"/>
              <w:jc w:val="left"/>
              <w:rPr>
                <w:rFonts w:eastAsia="Arial" w:cs="Arial"/>
                <w:sz w:val="18"/>
              </w:rPr>
            </w:pPr>
            <w:r>
              <w:rPr>
                <w:w w:val="106"/>
                <w:sz w:val="18"/>
              </w:rPr>
              <w:t>13,46%</w:t>
            </w:r>
          </w:p>
        </w:tc>
      </w:tr>
      <w:tr w:rsidR="000C339B" w:rsidRPr="00E678B8" w:rsidTr="00B9493E">
        <w:trPr>
          <w:trHeight w:val="283"/>
        </w:trPr>
        <w:tc>
          <w:tcPr>
            <w:tcW w:w="620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rPr>
            </w:pPr>
            <w:r>
              <w:rPr>
                <w:sz w:val="18"/>
              </w:rPr>
              <w:t>Suma</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rPr>
            </w:pPr>
            <w:r>
              <w:rPr>
                <w:sz w:val="18"/>
              </w:rPr>
              <w:t>52</w:t>
            </w:r>
          </w:p>
        </w:tc>
        <w:tc>
          <w:tcPr>
            <w:tcW w:w="1560"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line="179" w:lineRule="exact"/>
              <w:ind w:right="-20"/>
              <w:jc w:val="left"/>
              <w:rPr>
                <w:rFonts w:eastAsia="Arial" w:cs="Arial"/>
                <w:sz w:val="18"/>
              </w:rPr>
            </w:pPr>
            <w:r>
              <w:rPr>
                <w:sz w:val="18"/>
              </w:rPr>
              <w:t>92,86%</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line="179" w:lineRule="exact"/>
              <w:ind w:right="-20"/>
              <w:jc w:val="left"/>
              <w:rPr>
                <w:rFonts w:cs="Arial"/>
                <w:sz w:val="18"/>
              </w:rPr>
            </w:pPr>
            <w:r>
              <w:rPr>
                <w:sz w:val="18"/>
              </w:rPr>
              <w:t>100%</w:t>
            </w:r>
          </w:p>
        </w:tc>
      </w:tr>
      <w:tr w:rsidR="000C339B" w:rsidRPr="00E678B8" w:rsidTr="00B9493E">
        <w:trPr>
          <w:trHeight w:val="283"/>
        </w:trPr>
        <w:tc>
          <w:tcPr>
            <w:tcW w:w="6204"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7"/>
              <w:ind w:left="43" w:right="-20"/>
              <w:jc w:val="left"/>
              <w:rPr>
                <w:rFonts w:eastAsia="Arial" w:cs="Arial"/>
                <w:sz w:val="18"/>
              </w:rPr>
            </w:pPr>
            <w:r>
              <w:rPr>
                <w:sz w:val="18"/>
              </w:rPr>
              <w:t>Sin respuesta</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rPr>
            </w:pPr>
            <w:r>
              <w:rPr>
                <w:sz w:val="18"/>
              </w:rPr>
              <w:t>4</w:t>
            </w:r>
          </w:p>
        </w:tc>
        <w:tc>
          <w:tcPr>
            <w:tcW w:w="1560" w:type="dxa"/>
            <w:gridSpan w:val="2"/>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7"/>
              <w:ind w:left="95" w:right="-20"/>
              <w:jc w:val="left"/>
              <w:rPr>
                <w:rFonts w:eastAsia="Arial" w:cs="Arial"/>
                <w:sz w:val="18"/>
              </w:rPr>
            </w:pPr>
            <w:r>
              <w:rPr>
                <w:sz w:val="18"/>
              </w:rPr>
              <w:t>7,14%</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line="179" w:lineRule="exact"/>
              <w:ind w:right="-20"/>
              <w:jc w:val="left"/>
              <w:rPr>
                <w:rFonts w:cs="Arial"/>
                <w:sz w:val="18"/>
              </w:rPr>
            </w:pPr>
            <w:r>
              <w:rPr>
                <w:sz w:val="18"/>
              </w:rPr>
              <w:t>-</w:t>
            </w:r>
          </w:p>
        </w:tc>
      </w:tr>
      <w:tr w:rsidR="000C339B" w:rsidRPr="00E678B8" w:rsidTr="00B9493E">
        <w:trPr>
          <w:trHeight w:hRule="exact" w:val="407"/>
        </w:trPr>
        <w:tc>
          <w:tcPr>
            <w:tcW w:w="6204"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rPr>
            </w:pPr>
            <w:r>
              <w:rPr>
                <w:b/>
                <w:sz w:val="18"/>
              </w:rPr>
              <w:t>Respondieron en total:</w:t>
            </w:r>
            <w:r w:rsidR="000C339B">
              <w:rPr>
                <w:b/>
                <w:sz w:val="18"/>
              </w:rPr>
              <w:t xml:space="preserve"> 52</w:t>
            </w:r>
          </w:p>
          <w:p w:rsidR="000C339B" w:rsidRPr="00E678B8" w:rsidRDefault="000C339B" w:rsidP="00616CFA">
            <w:pPr>
              <w:spacing w:before="30"/>
              <w:ind w:left="43" w:right="-20"/>
              <w:jc w:val="left"/>
              <w:rPr>
                <w:rFonts w:eastAsia="Arial" w:cs="Arial"/>
                <w:sz w:val="18"/>
              </w:rPr>
            </w:pPr>
          </w:p>
        </w:tc>
        <w:tc>
          <w:tcPr>
            <w:tcW w:w="1275"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cs="Arial"/>
                <w:sz w:val="18"/>
              </w:rPr>
            </w:pPr>
          </w:p>
        </w:tc>
        <w:tc>
          <w:tcPr>
            <w:tcW w:w="1560" w:type="dxa"/>
            <w:gridSpan w:val="2"/>
            <w:tcBorders>
              <w:top w:val="single" w:sz="12" w:space="0" w:color="A6A6A6" w:themeColor="background1" w:themeShade="A6"/>
              <w:left w:val="nil"/>
              <w:bottom w:val="nil"/>
              <w:right w:val="nil"/>
            </w:tcBorders>
            <w:vAlign w:val="center"/>
          </w:tcPr>
          <w:p w:rsidR="000C339B" w:rsidRPr="00E678B8" w:rsidRDefault="000C339B" w:rsidP="00616CFA">
            <w:pPr>
              <w:spacing w:before="30"/>
              <w:ind w:left="95" w:right="-20"/>
              <w:jc w:val="left"/>
              <w:rPr>
                <w:rFonts w:eastAsia="Arial" w:cs="Arial"/>
                <w:sz w:val="18"/>
              </w:rPr>
            </w:pPr>
          </w:p>
        </w:tc>
        <w:tc>
          <w:tcPr>
            <w:tcW w:w="1134" w:type="dxa"/>
            <w:tcBorders>
              <w:top w:val="single" w:sz="12" w:space="0" w:color="A6A6A6" w:themeColor="background1" w:themeShade="A6"/>
              <w:left w:val="nil"/>
              <w:bottom w:val="nil"/>
              <w:right w:val="nil"/>
            </w:tcBorders>
            <w:vAlign w:val="center"/>
          </w:tcPr>
          <w:p w:rsidR="000C339B" w:rsidRPr="00E678B8" w:rsidRDefault="000C339B" w:rsidP="00616CFA">
            <w:pPr>
              <w:spacing w:before="30"/>
              <w:ind w:left="98" w:right="-20"/>
              <w:jc w:val="left"/>
              <w:rPr>
                <w:rFonts w:eastAsia="Arial" w:cs="Arial"/>
                <w:sz w:val="18"/>
              </w:rPr>
            </w:pPr>
          </w:p>
        </w:tc>
      </w:tr>
    </w:tbl>
    <w:p w:rsidR="000C339B" w:rsidRPr="00E678B8" w:rsidRDefault="000C339B" w:rsidP="000C339B">
      <w:pPr>
        <w:jc w:val="left"/>
        <w:rPr>
          <w:rFonts w:cs="Arial"/>
          <w:sz w:val="18"/>
          <w:u w:val="single"/>
        </w:rPr>
      </w:pPr>
      <w:r>
        <w:rPr>
          <w:sz w:val="18"/>
          <w:u w:val="single"/>
        </w:rPr>
        <w:t>Comentarios</w:t>
      </w:r>
    </w:p>
    <w:p w:rsidR="000C339B" w:rsidRPr="00E678B8" w:rsidRDefault="000C339B" w:rsidP="000C339B">
      <w:pPr>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0C339B" w:rsidRPr="00E678B8" w:rsidTr="00616CFA">
        <w:trPr>
          <w:trHeight w:val="264"/>
        </w:trPr>
        <w:tc>
          <w:tcPr>
            <w:tcW w:w="9390" w:type="dxa"/>
            <w:shd w:val="clear" w:color="000000" w:fill="FFFFFF"/>
            <w:noWrap/>
            <w:vAlign w:val="bottom"/>
            <w:hideMark/>
          </w:tcPr>
          <w:p w:rsidR="000C339B" w:rsidRPr="00E678B8" w:rsidRDefault="000C339B" w:rsidP="00616CFA">
            <w:pPr>
              <w:jc w:val="left"/>
              <w:rPr>
                <w:rFonts w:cs="Arial"/>
                <w:color w:val="000000"/>
                <w:sz w:val="18"/>
                <w:highlight w:val="yellow"/>
              </w:rPr>
            </w:pPr>
            <w:r>
              <w:rPr>
                <w:color w:val="000000"/>
                <w:sz w:val="18"/>
              </w:rPr>
              <w:t>Muy fácil.</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highlight w:val="yellow"/>
              </w:rPr>
            </w:pPr>
            <w:r>
              <w:rPr>
                <w:color w:val="000000"/>
                <w:sz w:val="18"/>
              </w:rPr>
              <w:t>Desde el punto de vista administrativo es relativamente fácil.</w:t>
            </w:r>
            <w:r w:rsidR="0058413A">
              <w:rPr>
                <w:color w:val="000000"/>
                <w:sz w:val="18"/>
              </w:rPr>
              <w:t xml:space="preserve"> </w:t>
            </w:r>
            <w:r>
              <w:rPr>
                <w:color w:val="000000"/>
                <w:sz w:val="18"/>
              </w:rPr>
              <w:t>Desde el punto de vista técnico, no es nada fácil (zonas geográficas, interacción con el medio ambiente, colecciones de referencia diferentes entre los miembros, etc.).</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En la mayoría de los casos es bastante fácil. Depende del país.</w:t>
            </w:r>
            <w:r w:rsidR="0058413A">
              <w:rPr>
                <w:color w:val="000000"/>
                <w:sz w:val="18"/>
              </w:rPr>
              <w:t xml:space="preserve"> </w:t>
            </w:r>
          </w:p>
        </w:tc>
      </w:tr>
      <w:tr w:rsidR="000C339B" w:rsidRPr="000C339B" w:rsidTr="00616CFA">
        <w:trPr>
          <w:trHeight w:val="264"/>
        </w:trPr>
        <w:tc>
          <w:tcPr>
            <w:tcW w:w="9390" w:type="dxa"/>
            <w:shd w:val="clear" w:color="000000" w:fill="FFFFFF"/>
            <w:noWrap/>
            <w:vAlign w:val="bottom"/>
            <w:hideMark/>
          </w:tcPr>
          <w:p w:rsidR="000C339B" w:rsidRPr="000C339B" w:rsidRDefault="000C339B" w:rsidP="00E67D88">
            <w:pPr>
              <w:jc w:val="left"/>
              <w:rPr>
                <w:rFonts w:cs="Arial"/>
                <w:color w:val="000000"/>
                <w:sz w:val="18"/>
              </w:rPr>
            </w:pPr>
            <w:r>
              <w:rPr>
                <w:color w:val="000000"/>
                <w:sz w:val="18"/>
              </w:rPr>
              <w:t>Todavía el MOA [Ministerio de Agricultura] de China no ha aceptado ningún informe DHE de otros miembros de la</w:t>
            </w:r>
            <w:r w:rsidR="00E67D88">
              <w:rPr>
                <w:color w:val="000000"/>
                <w:sz w:val="18"/>
              </w:rPr>
              <w:t> </w:t>
            </w:r>
            <w:r>
              <w:rPr>
                <w:color w:val="000000"/>
                <w:sz w:val="18"/>
              </w:rPr>
              <w:t>UPOV.</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Muy fácil dentro de la UE, pero el planteamiento y los reglamentos de protección de las obtenciones vegetales de la UE dificultan la cooperación fuera de sus fronteras.</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 xml:space="preserve">Hemos tenido todo tipo de experiencias, desde aquellas en las que ha sido muy fácil hasta aquellas en las que ha sido muy difícil o imposible (por ejemplo, no se siguen las directrices de examen de la UPOV ni protocolos de examen). </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La cooperación en el examen DHE basada en acuerdos bilaterales.</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Creo que hay desconocimiento de algunos miembros y otros nos vemos limitados a acceder a la cooperación por la interpretación que algunos abogados le dan a la legislación nacional.</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Depende poco de las instituciones concretas que cooperan y más de la legislación nacional en materia de negociación de cualquier tipo de acuerdo o cooperación formal con una institución extranjera.</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Es bastante fácil cooperar con otros miembros de la UPOV cuando se demuestra que alcanzan ciertos niveles de calidad en el examen DHE.</w:t>
            </w:r>
          </w:p>
        </w:tc>
      </w:tr>
      <w:tr w:rsidR="000C339B" w:rsidRPr="00E678B8" w:rsidTr="00616CFA">
        <w:trPr>
          <w:trHeight w:val="264"/>
        </w:trPr>
        <w:tc>
          <w:tcPr>
            <w:tcW w:w="9390" w:type="dxa"/>
            <w:shd w:val="clear" w:color="000000" w:fill="FFFFFF"/>
            <w:noWrap/>
            <w:vAlign w:val="bottom"/>
            <w:hideMark/>
          </w:tcPr>
          <w:p w:rsidR="000C339B" w:rsidRPr="00E678B8" w:rsidRDefault="000C339B" w:rsidP="00616CFA">
            <w:pPr>
              <w:jc w:val="left"/>
              <w:rPr>
                <w:rFonts w:cs="Arial"/>
                <w:color w:val="000000"/>
                <w:sz w:val="18"/>
              </w:rPr>
            </w:pPr>
            <w:r>
              <w:rPr>
                <w:color w:val="000000"/>
                <w:sz w:val="18"/>
              </w:rPr>
              <w:t>Restricciones fitosanitarias.</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 xml:space="preserve">Algunas autoridades tienen requisitos que van más allá de la disposición básica para el intercambio de informes en el Convenio y desde un punto de vista nacional son difíciles de comprender. </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Dependiendo la especie que se solicite.</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Si es necesario, podemos organizar la cooperación.</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Es fácil organizarla con algunos miembros, pero no lo es tanto con otros.</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Los requisitos que debe cumplir la oficina encargada del examen facilitan la cooperación. Aparte de eso, la cooperación con países que se encuentran fuera de la UE exige más trabajo.</w:t>
            </w:r>
          </w:p>
        </w:tc>
      </w:tr>
    </w:tbl>
    <w:p w:rsidR="000C339B" w:rsidRPr="000C339B" w:rsidRDefault="000C339B" w:rsidP="000C339B">
      <w:pPr>
        <w:autoSpaceDE w:val="0"/>
        <w:autoSpaceDN w:val="0"/>
        <w:adjustRightInd w:val="0"/>
        <w:spacing w:line="360" w:lineRule="auto"/>
        <w:jc w:val="left"/>
        <w:rPr>
          <w:rFonts w:cs="Arial"/>
          <w:b/>
          <w:bCs/>
          <w:sz w:val="28"/>
          <w:szCs w:val="28"/>
        </w:rPr>
      </w:pPr>
    </w:p>
    <w:p w:rsidR="000C339B" w:rsidRPr="000C339B" w:rsidRDefault="000C339B" w:rsidP="000C339B">
      <w:pPr>
        <w:autoSpaceDE w:val="0"/>
        <w:autoSpaceDN w:val="0"/>
        <w:adjustRightInd w:val="0"/>
        <w:spacing w:line="360" w:lineRule="auto"/>
        <w:jc w:val="left"/>
        <w:rPr>
          <w:rFonts w:cs="Arial"/>
          <w:bCs/>
          <w:sz w:val="18"/>
          <w:szCs w:val="18"/>
        </w:rPr>
      </w:pPr>
      <w:r w:rsidRPr="00A250C9">
        <w:rPr>
          <w:b/>
          <w:sz w:val="28"/>
          <w:szCs w:val="28"/>
        </w:rPr>
        <w:lastRenderedPageBreak/>
        <w:t>Pregunta 15</w:t>
      </w:r>
      <w:r w:rsidRPr="00A250C9">
        <w:rPr>
          <w:sz w:val="28"/>
          <w:szCs w:val="28"/>
        </w:rPr>
        <w:t>:</w:t>
      </w:r>
      <w:r w:rsidRPr="00A250C9">
        <w:rPr>
          <w:rFonts w:cs="Arial"/>
          <w:bCs/>
          <w:sz w:val="28"/>
          <w:szCs w:val="28"/>
        </w:rPr>
        <w:br/>
      </w:r>
      <w:r>
        <w:rPr>
          <w:sz w:val="18"/>
        </w:rPr>
        <w:t>¿Cuál(es) es (son) la(s) causa(s) principal(es) de la dificultad para organizar la cooperación en materia de examen DHE con otros miembros de la UPOV?</w:t>
      </w:r>
    </w:p>
    <w:p w:rsidR="000C339B" w:rsidRPr="000C339B" w:rsidRDefault="000C339B" w:rsidP="000C339B">
      <w:pPr>
        <w:autoSpaceDE w:val="0"/>
        <w:autoSpaceDN w:val="0"/>
        <w:adjustRightInd w:val="0"/>
        <w:spacing w:line="360" w:lineRule="auto"/>
        <w:jc w:val="left"/>
        <w:rPr>
          <w:rFonts w:cs="Arial"/>
          <w:bCs/>
          <w:sz w:val="18"/>
          <w:szCs w:val="18"/>
        </w:rPr>
      </w:pPr>
      <w:r>
        <w:rPr>
          <w:sz w:val="18"/>
        </w:rPr>
        <w:t>(puede seleccionar más de una)</w:t>
      </w:r>
    </w:p>
    <w:p w:rsidR="000C339B" w:rsidRPr="000C339B" w:rsidRDefault="000C339B" w:rsidP="000C339B">
      <w:pPr>
        <w:autoSpaceDE w:val="0"/>
        <w:autoSpaceDN w:val="0"/>
        <w:adjustRightInd w:val="0"/>
        <w:spacing w:line="360" w:lineRule="auto"/>
        <w:jc w:val="left"/>
        <w:rPr>
          <w:rFonts w:cs="Arial"/>
          <w:bCs/>
          <w:sz w:val="18"/>
          <w:szCs w:val="18"/>
        </w:rPr>
      </w:pPr>
    </w:p>
    <w:p w:rsidR="000C339B" w:rsidRPr="000C339B" w:rsidRDefault="000C339B" w:rsidP="000C339B">
      <w:pPr>
        <w:autoSpaceDE w:val="0"/>
        <w:autoSpaceDN w:val="0"/>
        <w:adjustRightInd w:val="0"/>
        <w:spacing w:line="360" w:lineRule="auto"/>
        <w:jc w:val="left"/>
        <w:rPr>
          <w:rFonts w:cs="Arial"/>
          <w:bCs/>
          <w:sz w:val="18"/>
          <w:szCs w:val="18"/>
        </w:rPr>
      </w:pPr>
      <w:r>
        <w:rPr>
          <w:rFonts w:cs="Arial"/>
          <w:bCs/>
          <w:noProof/>
          <w:sz w:val="18"/>
          <w:szCs w:val="28"/>
          <w:lang w:eastAsia="es-ES_tradnl"/>
        </w:rPr>
        <w:drawing>
          <wp:anchor distT="0" distB="0" distL="114300" distR="114300" simplePos="0" relativeHeight="251669504" behindDoc="0" locked="0" layoutInCell="1" allowOverlap="1" wp14:anchorId="6BBD28C0" wp14:editId="52D14616">
            <wp:simplePos x="0" y="0"/>
            <wp:positionH relativeFrom="column">
              <wp:posOffset>1870710</wp:posOffset>
            </wp:positionH>
            <wp:positionV relativeFrom="paragraph">
              <wp:posOffset>7620</wp:posOffset>
            </wp:positionV>
            <wp:extent cx="4740910" cy="2529840"/>
            <wp:effectExtent l="1905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40910" cy="2529840"/>
                    </a:xfrm>
                    <a:prstGeom prst="rect">
                      <a:avLst/>
                    </a:prstGeom>
                  </pic:spPr>
                </pic:pic>
              </a:graphicData>
            </a:graphic>
          </wp:anchor>
        </w:drawing>
      </w:r>
    </w:p>
    <w:tbl>
      <w:tblPr>
        <w:tblStyle w:val="TableGrid"/>
        <w:tblW w:w="3102" w:type="dxa"/>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102"/>
      </w:tblGrid>
      <w:tr w:rsidR="000C339B" w:rsidRPr="000C339B" w:rsidTr="00E7477A">
        <w:trPr>
          <w:trHeight w:val="668"/>
        </w:trPr>
        <w:tc>
          <w:tcPr>
            <w:tcW w:w="3102" w:type="dxa"/>
            <w:tcMar>
              <w:left w:w="28" w:type="dxa"/>
              <w:right w:w="28" w:type="dxa"/>
            </w:tcMar>
            <w:vAlign w:val="center"/>
          </w:tcPr>
          <w:p w:rsidR="000C339B" w:rsidRPr="000C339B" w:rsidRDefault="000C339B" w:rsidP="00616CFA">
            <w:pPr>
              <w:autoSpaceDE w:val="0"/>
              <w:autoSpaceDN w:val="0"/>
              <w:adjustRightInd w:val="0"/>
              <w:contextualSpacing/>
              <w:jc w:val="right"/>
              <w:rPr>
                <w:rFonts w:cs="Arial"/>
                <w:sz w:val="16"/>
                <w:szCs w:val="14"/>
              </w:rPr>
            </w:pPr>
            <w:r>
              <w:rPr>
                <w:sz w:val="16"/>
              </w:rPr>
              <w:t>Determinar la persona de contacto correcta</w:t>
            </w:r>
          </w:p>
        </w:tc>
      </w:tr>
      <w:tr w:rsidR="000C339B" w:rsidRPr="00E678B8" w:rsidTr="00E7477A">
        <w:trPr>
          <w:trHeight w:val="294"/>
        </w:trPr>
        <w:tc>
          <w:tcPr>
            <w:tcW w:w="3102" w:type="dxa"/>
            <w:tcMar>
              <w:left w:w="28" w:type="dxa"/>
              <w:right w:w="28" w:type="dxa"/>
            </w:tcMar>
            <w:vAlign w:val="center"/>
          </w:tcPr>
          <w:p w:rsidR="000C339B" w:rsidRPr="00E678B8" w:rsidRDefault="000C339B" w:rsidP="00616CFA">
            <w:pPr>
              <w:autoSpaceDE w:val="0"/>
              <w:autoSpaceDN w:val="0"/>
              <w:adjustRightInd w:val="0"/>
              <w:contextualSpacing/>
              <w:jc w:val="right"/>
              <w:rPr>
                <w:rFonts w:cs="Arial"/>
                <w:sz w:val="16"/>
                <w:szCs w:val="14"/>
              </w:rPr>
            </w:pPr>
            <w:r>
              <w:rPr>
                <w:sz w:val="16"/>
              </w:rPr>
              <w:t>Las dificultades con el idioma</w:t>
            </w:r>
          </w:p>
        </w:tc>
      </w:tr>
      <w:tr w:rsidR="000C339B" w:rsidRPr="000C339B" w:rsidTr="00E7477A">
        <w:trPr>
          <w:trHeight w:val="568"/>
        </w:trPr>
        <w:tc>
          <w:tcPr>
            <w:tcW w:w="3102" w:type="dxa"/>
            <w:tcMar>
              <w:left w:w="28" w:type="dxa"/>
              <w:right w:w="28" w:type="dxa"/>
            </w:tcMar>
            <w:vAlign w:val="center"/>
          </w:tcPr>
          <w:p w:rsidR="000C339B" w:rsidRPr="000C339B" w:rsidRDefault="000C339B" w:rsidP="00616CFA">
            <w:pPr>
              <w:autoSpaceDE w:val="0"/>
              <w:autoSpaceDN w:val="0"/>
              <w:adjustRightInd w:val="0"/>
              <w:contextualSpacing/>
              <w:jc w:val="right"/>
              <w:rPr>
                <w:rFonts w:cs="Arial"/>
                <w:sz w:val="16"/>
                <w:szCs w:val="14"/>
              </w:rPr>
            </w:pPr>
            <w:r>
              <w:rPr>
                <w:sz w:val="16"/>
              </w:rPr>
              <w:t>El conocimiento de las posibilidades de cooperación</w:t>
            </w:r>
          </w:p>
        </w:tc>
      </w:tr>
      <w:tr w:rsidR="000C339B" w:rsidRPr="000C339B" w:rsidTr="00E7477A">
        <w:trPr>
          <w:trHeight w:val="279"/>
        </w:trPr>
        <w:tc>
          <w:tcPr>
            <w:tcW w:w="3102" w:type="dxa"/>
            <w:tcMar>
              <w:left w:w="28" w:type="dxa"/>
              <w:right w:w="28" w:type="dxa"/>
            </w:tcMar>
            <w:vAlign w:val="center"/>
          </w:tcPr>
          <w:p w:rsidR="000C339B" w:rsidRPr="000C339B" w:rsidRDefault="000C339B" w:rsidP="00616CFA">
            <w:pPr>
              <w:autoSpaceDE w:val="0"/>
              <w:autoSpaceDN w:val="0"/>
              <w:adjustRightInd w:val="0"/>
              <w:contextualSpacing/>
              <w:jc w:val="right"/>
              <w:rPr>
                <w:rFonts w:cs="Arial"/>
                <w:sz w:val="16"/>
                <w:szCs w:val="14"/>
              </w:rPr>
            </w:pPr>
            <w:r>
              <w:rPr>
                <w:sz w:val="16"/>
              </w:rPr>
              <w:t>Los trámites legales o administrativos</w:t>
            </w:r>
          </w:p>
        </w:tc>
      </w:tr>
      <w:tr w:rsidR="000C339B" w:rsidRPr="00E678B8" w:rsidTr="00E7477A">
        <w:trPr>
          <w:trHeight w:val="424"/>
        </w:trPr>
        <w:tc>
          <w:tcPr>
            <w:tcW w:w="3102" w:type="dxa"/>
            <w:tcMar>
              <w:left w:w="28" w:type="dxa"/>
              <w:right w:w="28" w:type="dxa"/>
            </w:tcMar>
            <w:vAlign w:val="center"/>
          </w:tcPr>
          <w:p w:rsidR="000C339B" w:rsidRPr="00E678B8" w:rsidRDefault="000C339B" w:rsidP="00616CFA">
            <w:pPr>
              <w:autoSpaceDE w:val="0"/>
              <w:autoSpaceDN w:val="0"/>
              <w:adjustRightInd w:val="0"/>
              <w:contextualSpacing/>
              <w:jc w:val="right"/>
              <w:rPr>
                <w:rFonts w:cs="Arial"/>
                <w:sz w:val="16"/>
                <w:szCs w:val="14"/>
              </w:rPr>
            </w:pPr>
            <w:r>
              <w:rPr>
                <w:sz w:val="16"/>
              </w:rPr>
              <w:t>Las cuestiones técnicas</w:t>
            </w:r>
          </w:p>
        </w:tc>
      </w:tr>
      <w:tr w:rsidR="000C339B" w:rsidRPr="00E678B8" w:rsidTr="00E7477A">
        <w:trPr>
          <w:trHeight w:val="572"/>
        </w:trPr>
        <w:tc>
          <w:tcPr>
            <w:tcW w:w="3102" w:type="dxa"/>
            <w:tcMar>
              <w:left w:w="28" w:type="dxa"/>
              <w:right w:w="28" w:type="dxa"/>
            </w:tcMar>
            <w:vAlign w:val="center"/>
          </w:tcPr>
          <w:p w:rsidR="000C339B" w:rsidRPr="00E678B8" w:rsidRDefault="000C339B" w:rsidP="00616CFA">
            <w:pPr>
              <w:autoSpaceDE w:val="0"/>
              <w:autoSpaceDN w:val="0"/>
              <w:adjustRightInd w:val="0"/>
              <w:contextualSpacing/>
              <w:jc w:val="right"/>
              <w:rPr>
                <w:rFonts w:cs="Arial"/>
                <w:sz w:val="16"/>
                <w:szCs w:val="14"/>
              </w:rPr>
            </w:pPr>
            <w:r>
              <w:rPr>
                <w:sz w:val="16"/>
              </w:rPr>
              <w:t>No es una política aceptada</w:t>
            </w:r>
          </w:p>
        </w:tc>
      </w:tr>
      <w:tr w:rsidR="000C339B" w:rsidRPr="00E678B8" w:rsidTr="00E7477A">
        <w:trPr>
          <w:trHeight w:val="143"/>
        </w:trPr>
        <w:tc>
          <w:tcPr>
            <w:tcW w:w="3102" w:type="dxa"/>
            <w:tcMar>
              <w:left w:w="28" w:type="dxa"/>
              <w:right w:w="28" w:type="dxa"/>
            </w:tcMar>
            <w:vAlign w:val="center"/>
          </w:tcPr>
          <w:p w:rsidR="000C339B" w:rsidRPr="00E678B8" w:rsidRDefault="000C339B" w:rsidP="00616CFA">
            <w:pPr>
              <w:autoSpaceDE w:val="0"/>
              <w:autoSpaceDN w:val="0"/>
              <w:adjustRightInd w:val="0"/>
              <w:jc w:val="right"/>
              <w:rPr>
                <w:rFonts w:cs="Arial"/>
                <w:sz w:val="16"/>
                <w:szCs w:val="14"/>
              </w:rPr>
            </w:pPr>
            <w:r>
              <w:rPr>
                <w:sz w:val="16"/>
              </w:rPr>
              <w:t>Otras (sírvase especificar)</w:t>
            </w:r>
          </w:p>
        </w:tc>
      </w:tr>
    </w:tbl>
    <w:p w:rsidR="000C339B" w:rsidRPr="00E678B8" w:rsidRDefault="000C339B" w:rsidP="000C339B">
      <w:pPr>
        <w:rPr>
          <w:rFonts w:cs="Arial"/>
          <w:sz w:val="18"/>
          <w:szCs w:val="18"/>
        </w:rPr>
      </w:pPr>
    </w:p>
    <w:p w:rsidR="000C339B" w:rsidRDefault="000C339B" w:rsidP="000C339B">
      <w:pPr>
        <w:tabs>
          <w:tab w:val="left" w:pos="1978"/>
        </w:tabs>
        <w:jc w:val="center"/>
        <w:rPr>
          <w:rFonts w:cs="Arial"/>
          <w:sz w:val="18"/>
          <w:szCs w:val="18"/>
        </w:rPr>
      </w:pPr>
    </w:p>
    <w:p w:rsidR="000C339B" w:rsidRDefault="000C339B" w:rsidP="000C339B">
      <w:pPr>
        <w:tabs>
          <w:tab w:val="left" w:pos="1978"/>
        </w:tabs>
        <w:jc w:val="center"/>
        <w:rPr>
          <w:rFonts w:cs="Arial"/>
          <w:sz w:val="18"/>
          <w:szCs w:val="18"/>
        </w:rPr>
      </w:pPr>
    </w:p>
    <w:p w:rsidR="000C339B" w:rsidRDefault="000C339B" w:rsidP="000C339B">
      <w:pPr>
        <w:tabs>
          <w:tab w:val="left" w:pos="1978"/>
        </w:tabs>
        <w:jc w:val="center"/>
        <w:rPr>
          <w:rFonts w:cs="Arial"/>
          <w:sz w:val="18"/>
          <w:szCs w:val="18"/>
        </w:rPr>
      </w:pPr>
    </w:p>
    <w:p w:rsidR="000C339B" w:rsidRDefault="000C339B" w:rsidP="000C339B">
      <w:pPr>
        <w:tabs>
          <w:tab w:val="left" w:pos="1978"/>
        </w:tabs>
        <w:jc w:val="center"/>
        <w:rPr>
          <w:rFonts w:cs="Arial"/>
          <w:b/>
          <w:bCs/>
          <w:sz w:val="22"/>
          <w:szCs w:val="22"/>
        </w:rPr>
      </w:pPr>
      <w:r>
        <w:rPr>
          <w:b/>
          <w:sz w:val="22"/>
        </w:rPr>
        <w:t>Tabla de frecuencias</w:t>
      </w:r>
    </w:p>
    <w:p w:rsidR="000C339B" w:rsidRDefault="000C339B" w:rsidP="000C339B">
      <w:pPr>
        <w:tabs>
          <w:tab w:val="left" w:pos="1978"/>
        </w:tabs>
        <w:jc w:val="center"/>
        <w:rPr>
          <w:rFonts w:cs="Arial"/>
          <w:sz w:val="18"/>
          <w:szCs w:val="18"/>
        </w:rPr>
      </w:pPr>
    </w:p>
    <w:p w:rsidR="000C339B" w:rsidRPr="00E678B8" w:rsidRDefault="000C339B" w:rsidP="000C339B">
      <w:pPr>
        <w:tabs>
          <w:tab w:val="left" w:pos="1978"/>
        </w:tabs>
        <w:jc w:val="center"/>
        <w:rPr>
          <w:rFonts w:cs="Arial"/>
          <w:sz w:val="18"/>
          <w:szCs w:val="18"/>
        </w:rPr>
      </w:pP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4928"/>
        <w:gridCol w:w="1559"/>
        <w:gridCol w:w="1276"/>
        <w:gridCol w:w="1276"/>
        <w:gridCol w:w="1308"/>
      </w:tblGrid>
      <w:tr w:rsidR="000C339B" w:rsidRPr="00E678B8" w:rsidTr="006D5FF0">
        <w:trPr>
          <w:trHeight w:hRule="exact" w:val="820"/>
        </w:trPr>
        <w:tc>
          <w:tcPr>
            <w:tcW w:w="4928"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8"/>
                <w:szCs w:val="18"/>
              </w:rPr>
            </w:pPr>
          </w:p>
          <w:p w:rsidR="000C339B" w:rsidRPr="00E678B8" w:rsidRDefault="000C339B" w:rsidP="00616CFA">
            <w:pPr>
              <w:jc w:val="left"/>
              <w:rPr>
                <w:rFonts w:eastAsia="Arial" w:cs="Arial"/>
                <w:sz w:val="18"/>
                <w:szCs w:val="18"/>
              </w:rPr>
            </w:pPr>
          </w:p>
          <w:p w:rsidR="000C339B" w:rsidRPr="00E678B8" w:rsidRDefault="000C339B" w:rsidP="00616CFA">
            <w:pPr>
              <w:jc w:val="left"/>
              <w:rPr>
                <w:rFonts w:eastAsia="Arial" w:cs="Arial"/>
                <w:sz w:val="18"/>
                <w:szCs w:val="18"/>
              </w:rPr>
            </w:pPr>
            <w:r>
              <w:rPr>
                <w:b/>
                <w:sz w:val="18"/>
              </w:rPr>
              <w:t>Opciones</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8"/>
                <w:szCs w:val="18"/>
              </w:rPr>
            </w:pPr>
            <w:r>
              <w:rPr>
                <w:b/>
                <w:color w:val="111111"/>
                <w:w w:val="107"/>
                <w:sz w:val="18"/>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ind w:right="-20"/>
              <w:jc w:val="left"/>
              <w:rPr>
                <w:rFonts w:eastAsia="Arial" w:cs="Arial"/>
                <w:b/>
                <w:bCs/>
                <w:w w:val="107"/>
                <w:sz w:val="18"/>
                <w:szCs w:val="18"/>
              </w:rPr>
            </w:pPr>
            <w:r>
              <w:rPr>
                <w:b/>
                <w:w w:val="107"/>
                <w:sz w:val="18"/>
              </w:rPr>
              <w:t>Frecuencia relativa</w:t>
            </w:r>
          </w:p>
          <w:p w:rsidR="000C339B" w:rsidRPr="00E678B8" w:rsidRDefault="000C339B" w:rsidP="00616CFA">
            <w:pPr>
              <w:ind w:right="-20"/>
              <w:jc w:val="left"/>
              <w:rPr>
                <w:rFonts w:eastAsia="Arial" w:cs="Arial"/>
                <w:b/>
                <w:bCs/>
                <w:w w:val="107"/>
                <w:sz w:val="18"/>
                <w:szCs w:val="18"/>
              </w:rPr>
            </w:pPr>
            <w:r>
              <w:rPr>
                <w:b/>
                <w:w w:val="106"/>
                <w:sz w:val="18"/>
              </w:rPr>
              <w:t>por opción</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871FA3">
            <w:pPr>
              <w:autoSpaceDE w:val="0"/>
              <w:autoSpaceDN w:val="0"/>
              <w:adjustRightInd w:val="0"/>
              <w:contextualSpacing/>
              <w:jc w:val="left"/>
              <w:rPr>
                <w:rFonts w:cs="Arial"/>
                <w:b/>
                <w:bCs/>
                <w:sz w:val="18"/>
                <w:szCs w:val="18"/>
              </w:rPr>
            </w:pPr>
            <w:r>
              <w:rPr>
                <w:b/>
                <w:sz w:val="18"/>
              </w:rPr>
              <w:t>Frecuencia relativa</w:t>
            </w:r>
          </w:p>
        </w:tc>
        <w:tc>
          <w:tcPr>
            <w:tcW w:w="1308"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ind w:right="-20"/>
              <w:jc w:val="left"/>
              <w:rPr>
                <w:rFonts w:eastAsia="Arial" w:cs="Arial"/>
                <w:b/>
                <w:bCs/>
                <w:w w:val="106"/>
                <w:sz w:val="18"/>
                <w:szCs w:val="18"/>
              </w:rPr>
            </w:pPr>
            <w:r>
              <w:rPr>
                <w:b/>
                <w:w w:val="106"/>
                <w:sz w:val="18"/>
              </w:rPr>
              <w:t>Frecuencia relativa</w:t>
            </w:r>
            <w:r>
              <w:rPr>
                <w:rFonts w:eastAsia="Arial" w:cs="Arial"/>
                <w:b/>
                <w:bCs/>
                <w:w w:val="106"/>
                <w:sz w:val="18"/>
                <w:szCs w:val="18"/>
              </w:rPr>
              <w:br/>
            </w:r>
            <w:r>
              <w:rPr>
                <w:b/>
                <w:w w:val="106"/>
                <w:sz w:val="18"/>
              </w:rPr>
              <w:t>ajustada</w:t>
            </w:r>
          </w:p>
        </w:tc>
      </w:tr>
      <w:tr w:rsidR="000C339B" w:rsidRPr="00E678B8" w:rsidTr="006D5FF0">
        <w:trPr>
          <w:trHeight w:hRule="exact" w:val="283"/>
        </w:trPr>
        <w:tc>
          <w:tcPr>
            <w:tcW w:w="4928" w:type="dxa"/>
            <w:tcBorders>
              <w:top w:val="single" w:sz="12" w:space="0" w:color="auto"/>
              <w:left w:val="nil"/>
              <w:bottom w:val="nil"/>
              <w:right w:val="nil"/>
            </w:tcBorders>
            <w:vAlign w:val="center"/>
          </w:tcPr>
          <w:p w:rsidR="000C339B" w:rsidRPr="000C339B" w:rsidRDefault="000C339B" w:rsidP="00616CFA">
            <w:pPr>
              <w:autoSpaceDE w:val="0"/>
              <w:autoSpaceDN w:val="0"/>
              <w:adjustRightInd w:val="0"/>
              <w:contextualSpacing/>
              <w:jc w:val="left"/>
              <w:rPr>
                <w:rFonts w:cs="Arial"/>
                <w:sz w:val="18"/>
                <w:szCs w:val="18"/>
              </w:rPr>
            </w:pPr>
            <w:r>
              <w:rPr>
                <w:sz w:val="18"/>
              </w:rPr>
              <w:t>Determinar la persona de contacto correcta</w:t>
            </w:r>
          </w:p>
        </w:tc>
        <w:tc>
          <w:tcPr>
            <w:tcW w:w="1559" w:type="dxa"/>
            <w:tcBorders>
              <w:top w:val="single" w:sz="12" w:space="0" w:color="auto"/>
              <w:left w:val="nil"/>
              <w:bottom w:val="nil"/>
              <w:right w:val="nil"/>
            </w:tcBorders>
            <w:vAlign w:val="center"/>
          </w:tcPr>
          <w:p w:rsidR="000C339B" w:rsidRPr="00E678B8" w:rsidRDefault="000C339B" w:rsidP="00616CFA">
            <w:pPr>
              <w:jc w:val="left"/>
              <w:rPr>
                <w:rFonts w:eastAsia="Arial" w:cs="Arial"/>
                <w:sz w:val="18"/>
                <w:szCs w:val="18"/>
              </w:rPr>
            </w:pPr>
            <w:r>
              <w:rPr>
                <w:sz w:val="18"/>
              </w:rPr>
              <w:t>14</w:t>
            </w:r>
          </w:p>
        </w:tc>
        <w:tc>
          <w:tcPr>
            <w:tcW w:w="1276" w:type="dxa"/>
            <w:tcBorders>
              <w:top w:val="single" w:sz="12" w:space="0" w:color="auto"/>
              <w:left w:val="nil"/>
              <w:bottom w:val="nil"/>
              <w:right w:val="nil"/>
            </w:tcBorders>
            <w:vAlign w:val="center"/>
          </w:tcPr>
          <w:p w:rsidR="000C339B" w:rsidRPr="00E678B8" w:rsidRDefault="000C339B" w:rsidP="00616CFA">
            <w:pPr>
              <w:spacing w:before="49"/>
              <w:ind w:left="106" w:right="-20"/>
              <w:jc w:val="left"/>
              <w:rPr>
                <w:rFonts w:eastAsia="Arial" w:cs="Arial"/>
                <w:sz w:val="18"/>
                <w:szCs w:val="18"/>
              </w:rPr>
            </w:pPr>
            <w:r>
              <w:rPr>
                <w:color w:val="030303"/>
                <w:w w:val="103"/>
                <w:sz w:val="18"/>
              </w:rPr>
              <w:t>15,56%</w:t>
            </w:r>
          </w:p>
        </w:tc>
        <w:tc>
          <w:tcPr>
            <w:tcW w:w="1276" w:type="dxa"/>
            <w:tcBorders>
              <w:top w:val="single" w:sz="12" w:space="0" w:color="auto"/>
              <w:left w:val="nil"/>
              <w:bottom w:val="nil"/>
              <w:right w:val="nil"/>
            </w:tcBorders>
            <w:vAlign w:val="center"/>
          </w:tcPr>
          <w:p w:rsidR="000C339B" w:rsidRPr="00E678B8" w:rsidRDefault="000C339B" w:rsidP="00616CFA">
            <w:pPr>
              <w:spacing w:before="49"/>
              <w:ind w:left="95" w:right="-20"/>
              <w:jc w:val="left"/>
              <w:rPr>
                <w:rFonts w:eastAsia="Arial" w:cs="Arial"/>
                <w:sz w:val="18"/>
                <w:szCs w:val="18"/>
              </w:rPr>
            </w:pPr>
            <w:r>
              <w:rPr>
                <w:color w:val="030303"/>
                <w:w w:val="106"/>
                <w:sz w:val="18"/>
              </w:rPr>
              <w:t>25%</w:t>
            </w:r>
          </w:p>
        </w:tc>
        <w:tc>
          <w:tcPr>
            <w:tcW w:w="1308" w:type="dxa"/>
            <w:tcBorders>
              <w:top w:val="single" w:sz="12" w:space="0" w:color="auto"/>
              <w:left w:val="nil"/>
              <w:bottom w:val="nil"/>
              <w:right w:val="nil"/>
            </w:tcBorders>
            <w:vAlign w:val="center"/>
          </w:tcPr>
          <w:p w:rsidR="000C339B" w:rsidRPr="00E678B8" w:rsidRDefault="000C339B" w:rsidP="00616CFA">
            <w:pPr>
              <w:spacing w:before="49"/>
              <w:ind w:left="98" w:right="-20"/>
              <w:jc w:val="left"/>
              <w:rPr>
                <w:rFonts w:eastAsia="Arial" w:cs="Arial"/>
                <w:sz w:val="18"/>
                <w:szCs w:val="18"/>
              </w:rPr>
            </w:pPr>
            <w:r>
              <w:rPr>
                <w:color w:val="181818"/>
                <w:w w:val="105"/>
                <w:sz w:val="18"/>
              </w:rPr>
              <w:t>31,82%</w:t>
            </w:r>
          </w:p>
        </w:tc>
      </w:tr>
      <w:tr w:rsidR="000C339B" w:rsidRPr="00E678B8" w:rsidTr="006D5FF0">
        <w:trPr>
          <w:trHeight w:val="283"/>
        </w:trPr>
        <w:tc>
          <w:tcPr>
            <w:tcW w:w="4928" w:type="dxa"/>
            <w:tcBorders>
              <w:top w:val="nil"/>
              <w:left w:val="nil"/>
              <w:bottom w:val="nil"/>
              <w:right w:val="nil"/>
            </w:tcBorders>
            <w:vAlign w:val="center"/>
          </w:tcPr>
          <w:p w:rsidR="000C339B" w:rsidRPr="00E678B8" w:rsidRDefault="000C339B" w:rsidP="00616CFA">
            <w:pPr>
              <w:autoSpaceDE w:val="0"/>
              <w:autoSpaceDN w:val="0"/>
              <w:adjustRightInd w:val="0"/>
              <w:contextualSpacing/>
              <w:jc w:val="left"/>
              <w:rPr>
                <w:rFonts w:cs="Arial"/>
                <w:sz w:val="18"/>
                <w:szCs w:val="18"/>
              </w:rPr>
            </w:pPr>
            <w:r>
              <w:rPr>
                <w:sz w:val="18"/>
              </w:rPr>
              <w:t>Las dificultades con el idioma</w:t>
            </w:r>
          </w:p>
        </w:tc>
        <w:tc>
          <w:tcPr>
            <w:tcW w:w="1559"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10</w:t>
            </w:r>
          </w:p>
        </w:tc>
        <w:tc>
          <w:tcPr>
            <w:tcW w:w="1276" w:type="dxa"/>
            <w:tcBorders>
              <w:top w:val="nil"/>
              <w:left w:val="nil"/>
              <w:bottom w:val="nil"/>
              <w:right w:val="nil"/>
            </w:tcBorders>
            <w:vAlign w:val="center"/>
          </w:tcPr>
          <w:p w:rsidR="000C339B" w:rsidRPr="00E678B8" w:rsidRDefault="000C339B" w:rsidP="00616CFA">
            <w:pPr>
              <w:spacing w:before="33"/>
              <w:ind w:left="106" w:right="-20"/>
              <w:jc w:val="left"/>
              <w:rPr>
                <w:rFonts w:eastAsia="Arial" w:cs="Arial"/>
                <w:sz w:val="18"/>
                <w:szCs w:val="18"/>
              </w:rPr>
            </w:pPr>
            <w:r>
              <w:rPr>
                <w:color w:val="030303"/>
                <w:w w:val="106"/>
                <w:sz w:val="18"/>
              </w:rPr>
              <w:t>11,11%</w:t>
            </w:r>
          </w:p>
        </w:tc>
        <w:tc>
          <w:tcPr>
            <w:tcW w:w="1276" w:type="dxa"/>
            <w:tcBorders>
              <w:top w:val="nil"/>
              <w:left w:val="nil"/>
              <w:bottom w:val="nil"/>
              <w:right w:val="nil"/>
            </w:tcBorders>
            <w:vAlign w:val="center"/>
          </w:tcPr>
          <w:p w:rsidR="000C339B" w:rsidRPr="00E678B8" w:rsidRDefault="000C339B" w:rsidP="00616CFA">
            <w:pPr>
              <w:spacing w:before="33"/>
              <w:ind w:left="95" w:right="-20"/>
              <w:jc w:val="left"/>
              <w:rPr>
                <w:rFonts w:eastAsia="Arial" w:cs="Arial"/>
                <w:sz w:val="18"/>
                <w:szCs w:val="18"/>
              </w:rPr>
            </w:pPr>
            <w:r>
              <w:rPr>
                <w:color w:val="181818"/>
                <w:w w:val="106"/>
                <w:sz w:val="18"/>
              </w:rPr>
              <w:t>17,86%</w:t>
            </w:r>
          </w:p>
        </w:tc>
        <w:tc>
          <w:tcPr>
            <w:tcW w:w="1308" w:type="dxa"/>
            <w:tcBorders>
              <w:top w:val="nil"/>
              <w:left w:val="nil"/>
              <w:bottom w:val="nil"/>
              <w:right w:val="nil"/>
            </w:tcBorders>
            <w:vAlign w:val="center"/>
          </w:tcPr>
          <w:p w:rsidR="000C339B" w:rsidRPr="00E678B8" w:rsidRDefault="000C339B" w:rsidP="00616CFA">
            <w:pPr>
              <w:spacing w:before="33"/>
              <w:ind w:left="98" w:right="-20"/>
              <w:jc w:val="left"/>
              <w:rPr>
                <w:rFonts w:eastAsia="Arial" w:cs="Arial"/>
                <w:sz w:val="18"/>
                <w:szCs w:val="18"/>
              </w:rPr>
            </w:pPr>
            <w:r>
              <w:rPr>
                <w:color w:val="030303"/>
                <w:w w:val="104"/>
                <w:sz w:val="18"/>
              </w:rPr>
              <w:t>22,73%</w:t>
            </w:r>
          </w:p>
        </w:tc>
      </w:tr>
      <w:tr w:rsidR="000C339B" w:rsidRPr="00E678B8" w:rsidTr="006D5FF0">
        <w:trPr>
          <w:trHeight w:val="283"/>
        </w:trPr>
        <w:tc>
          <w:tcPr>
            <w:tcW w:w="4928" w:type="dxa"/>
            <w:tcBorders>
              <w:top w:val="nil"/>
              <w:left w:val="nil"/>
              <w:bottom w:val="nil"/>
              <w:right w:val="nil"/>
            </w:tcBorders>
            <w:vAlign w:val="center"/>
          </w:tcPr>
          <w:p w:rsidR="000C339B" w:rsidRPr="000C339B" w:rsidRDefault="000C339B" w:rsidP="00616CFA">
            <w:pPr>
              <w:autoSpaceDE w:val="0"/>
              <w:autoSpaceDN w:val="0"/>
              <w:adjustRightInd w:val="0"/>
              <w:contextualSpacing/>
              <w:jc w:val="left"/>
              <w:rPr>
                <w:rFonts w:cs="Arial"/>
                <w:sz w:val="18"/>
                <w:szCs w:val="18"/>
              </w:rPr>
            </w:pPr>
            <w:r>
              <w:rPr>
                <w:sz w:val="18"/>
              </w:rPr>
              <w:t>El conocimiento de las posibilidades de cooperación</w:t>
            </w:r>
          </w:p>
        </w:tc>
        <w:tc>
          <w:tcPr>
            <w:tcW w:w="1559"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11</w:t>
            </w:r>
          </w:p>
        </w:tc>
        <w:tc>
          <w:tcPr>
            <w:tcW w:w="1276" w:type="dxa"/>
            <w:tcBorders>
              <w:top w:val="nil"/>
              <w:left w:val="nil"/>
              <w:bottom w:val="nil"/>
              <w:right w:val="nil"/>
            </w:tcBorders>
            <w:vAlign w:val="center"/>
          </w:tcPr>
          <w:p w:rsidR="000C339B" w:rsidRPr="00E678B8" w:rsidRDefault="000C339B" w:rsidP="00616CFA">
            <w:pPr>
              <w:spacing w:before="30"/>
              <w:ind w:left="106" w:right="-20"/>
              <w:jc w:val="left"/>
              <w:rPr>
                <w:rFonts w:eastAsia="Arial" w:cs="Arial"/>
                <w:sz w:val="18"/>
                <w:szCs w:val="18"/>
              </w:rPr>
            </w:pPr>
            <w:r>
              <w:rPr>
                <w:color w:val="030303"/>
                <w:w w:val="106"/>
                <w:sz w:val="18"/>
              </w:rPr>
              <w:t>12,22%</w:t>
            </w:r>
          </w:p>
        </w:tc>
        <w:tc>
          <w:tcPr>
            <w:tcW w:w="1276" w:type="dxa"/>
            <w:tcBorders>
              <w:top w:val="nil"/>
              <w:left w:val="nil"/>
              <w:bottom w:val="nil"/>
              <w:right w:val="nil"/>
            </w:tcBorders>
            <w:vAlign w:val="center"/>
          </w:tcPr>
          <w:p w:rsidR="000C339B" w:rsidRPr="00E678B8" w:rsidRDefault="000C339B" w:rsidP="00616CFA">
            <w:pPr>
              <w:spacing w:before="30"/>
              <w:ind w:left="95" w:right="-20"/>
              <w:jc w:val="left"/>
              <w:rPr>
                <w:rFonts w:eastAsia="Arial" w:cs="Arial"/>
                <w:sz w:val="18"/>
                <w:szCs w:val="18"/>
              </w:rPr>
            </w:pPr>
            <w:r>
              <w:rPr>
                <w:color w:val="181818"/>
                <w:w w:val="106"/>
                <w:sz w:val="18"/>
              </w:rPr>
              <w:t>19,64%</w:t>
            </w:r>
          </w:p>
        </w:tc>
        <w:tc>
          <w:tcPr>
            <w:tcW w:w="1308" w:type="dxa"/>
            <w:tcBorders>
              <w:top w:val="nil"/>
              <w:left w:val="nil"/>
              <w:bottom w:val="nil"/>
              <w:right w:val="nil"/>
            </w:tcBorders>
            <w:vAlign w:val="center"/>
          </w:tcPr>
          <w:p w:rsidR="000C339B" w:rsidRPr="00E678B8" w:rsidRDefault="000C339B" w:rsidP="00616CFA">
            <w:pPr>
              <w:spacing w:before="30"/>
              <w:ind w:left="98" w:right="-20"/>
              <w:jc w:val="left"/>
              <w:rPr>
                <w:rFonts w:eastAsia="Arial" w:cs="Arial"/>
                <w:sz w:val="18"/>
                <w:szCs w:val="18"/>
              </w:rPr>
            </w:pPr>
            <w:r>
              <w:rPr>
                <w:color w:val="030303"/>
                <w:w w:val="105"/>
                <w:sz w:val="18"/>
              </w:rPr>
              <w:t>25,00%</w:t>
            </w:r>
          </w:p>
        </w:tc>
      </w:tr>
      <w:tr w:rsidR="000C339B" w:rsidRPr="00E678B8" w:rsidTr="006D5FF0">
        <w:trPr>
          <w:trHeight w:hRule="exact" w:val="387"/>
        </w:trPr>
        <w:tc>
          <w:tcPr>
            <w:tcW w:w="4928" w:type="dxa"/>
            <w:tcBorders>
              <w:top w:val="nil"/>
              <w:left w:val="nil"/>
              <w:bottom w:val="nil"/>
              <w:right w:val="nil"/>
            </w:tcBorders>
            <w:vAlign w:val="center"/>
          </w:tcPr>
          <w:p w:rsidR="000C339B" w:rsidRPr="000C339B" w:rsidRDefault="000C339B" w:rsidP="00616CFA">
            <w:pPr>
              <w:autoSpaceDE w:val="0"/>
              <w:autoSpaceDN w:val="0"/>
              <w:adjustRightInd w:val="0"/>
              <w:contextualSpacing/>
              <w:jc w:val="left"/>
              <w:rPr>
                <w:rFonts w:cs="Arial"/>
                <w:sz w:val="18"/>
                <w:szCs w:val="18"/>
              </w:rPr>
            </w:pPr>
            <w:r>
              <w:rPr>
                <w:sz w:val="18"/>
              </w:rPr>
              <w:t>Los trámites legales o administrativos</w:t>
            </w:r>
          </w:p>
        </w:tc>
        <w:tc>
          <w:tcPr>
            <w:tcW w:w="1559"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24</w:t>
            </w:r>
          </w:p>
        </w:tc>
        <w:tc>
          <w:tcPr>
            <w:tcW w:w="1276" w:type="dxa"/>
            <w:tcBorders>
              <w:top w:val="nil"/>
              <w:left w:val="nil"/>
              <w:bottom w:val="nil"/>
              <w:right w:val="nil"/>
            </w:tcBorders>
            <w:vAlign w:val="center"/>
          </w:tcPr>
          <w:p w:rsidR="000C339B" w:rsidRPr="00E678B8" w:rsidRDefault="000C339B" w:rsidP="00616CFA">
            <w:pPr>
              <w:spacing w:before="41"/>
              <w:ind w:left="106" w:right="-20"/>
              <w:jc w:val="left"/>
              <w:rPr>
                <w:rFonts w:eastAsia="Arial" w:cs="Arial"/>
                <w:sz w:val="18"/>
                <w:szCs w:val="18"/>
              </w:rPr>
            </w:pPr>
            <w:r>
              <w:rPr>
                <w:color w:val="030303"/>
                <w:w w:val="106"/>
                <w:sz w:val="18"/>
              </w:rPr>
              <w:t>26,67%</w:t>
            </w:r>
          </w:p>
        </w:tc>
        <w:tc>
          <w:tcPr>
            <w:tcW w:w="1276" w:type="dxa"/>
            <w:tcBorders>
              <w:top w:val="nil"/>
              <w:left w:val="nil"/>
              <w:bottom w:val="nil"/>
              <w:right w:val="nil"/>
            </w:tcBorders>
            <w:vAlign w:val="center"/>
          </w:tcPr>
          <w:p w:rsidR="000C339B" w:rsidRPr="00E678B8" w:rsidRDefault="000C339B" w:rsidP="00616CFA">
            <w:pPr>
              <w:spacing w:before="41"/>
              <w:ind w:left="95" w:right="-20"/>
              <w:jc w:val="left"/>
              <w:rPr>
                <w:rFonts w:eastAsia="Arial" w:cs="Arial"/>
                <w:sz w:val="18"/>
                <w:szCs w:val="18"/>
              </w:rPr>
            </w:pPr>
            <w:r>
              <w:rPr>
                <w:color w:val="030303"/>
                <w:w w:val="106"/>
                <w:sz w:val="18"/>
              </w:rPr>
              <w:t>42,86%</w:t>
            </w:r>
          </w:p>
        </w:tc>
        <w:tc>
          <w:tcPr>
            <w:tcW w:w="1308" w:type="dxa"/>
            <w:tcBorders>
              <w:top w:val="nil"/>
              <w:left w:val="nil"/>
              <w:bottom w:val="nil"/>
              <w:right w:val="nil"/>
            </w:tcBorders>
            <w:vAlign w:val="center"/>
          </w:tcPr>
          <w:p w:rsidR="000C339B" w:rsidRPr="00E678B8" w:rsidRDefault="000C339B" w:rsidP="00616CFA">
            <w:pPr>
              <w:spacing w:before="41"/>
              <w:ind w:left="98" w:right="-20"/>
              <w:jc w:val="left"/>
              <w:rPr>
                <w:rFonts w:eastAsia="Arial" w:cs="Arial"/>
                <w:sz w:val="18"/>
                <w:szCs w:val="18"/>
              </w:rPr>
            </w:pPr>
            <w:r>
              <w:rPr>
                <w:color w:val="030303"/>
                <w:w w:val="104"/>
                <w:sz w:val="18"/>
              </w:rPr>
              <w:t>54,55%</w:t>
            </w:r>
          </w:p>
        </w:tc>
      </w:tr>
      <w:tr w:rsidR="000C339B" w:rsidRPr="00E678B8" w:rsidTr="006D5FF0">
        <w:trPr>
          <w:trHeight w:val="283"/>
        </w:trPr>
        <w:tc>
          <w:tcPr>
            <w:tcW w:w="4928" w:type="dxa"/>
            <w:tcBorders>
              <w:top w:val="nil"/>
              <w:left w:val="nil"/>
              <w:bottom w:val="nil"/>
              <w:right w:val="nil"/>
            </w:tcBorders>
            <w:vAlign w:val="center"/>
          </w:tcPr>
          <w:p w:rsidR="000C339B" w:rsidRPr="00E678B8" w:rsidRDefault="000C339B" w:rsidP="00616CFA">
            <w:pPr>
              <w:autoSpaceDE w:val="0"/>
              <w:autoSpaceDN w:val="0"/>
              <w:adjustRightInd w:val="0"/>
              <w:contextualSpacing/>
              <w:jc w:val="left"/>
              <w:rPr>
                <w:rFonts w:cs="Arial"/>
                <w:sz w:val="18"/>
                <w:szCs w:val="18"/>
              </w:rPr>
            </w:pPr>
            <w:r>
              <w:rPr>
                <w:sz w:val="18"/>
              </w:rPr>
              <w:t>Las cuestiones técnicas</w:t>
            </w:r>
          </w:p>
        </w:tc>
        <w:tc>
          <w:tcPr>
            <w:tcW w:w="1559"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20</w:t>
            </w:r>
          </w:p>
        </w:tc>
        <w:tc>
          <w:tcPr>
            <w:tcW w:w="1276" w:type="dxa"/>
            <w:tcBorders>
              <w:top w:val="nil"/>
              <w:left w:val="nil"/>
              <w:bottom w:val="nil"/>
              <w:right w:val="nil"/>
            </w:tcBorders>
            <w:vAlign w:val="center"/>
          </w:tcPr>
          <w:p w:rsidR="000C339B" w:rsidRPr="00E678B8" w:rsidRDefault="000C339B" w:rsidP="00616CFA">
            <w:pPr>
              <w:spacing w:before="37"/>
              <w:ind w:left="106" w:right="-20"/>
              <w:jc w:val="left"/>
              <w:rPr>
                <w:rFonts w:eastAsia="Arial" w:cs="Arial"/>
                <w:sz w:val="18"/>
                <w:szCs w:val="18"/>
              </w:rPr>
            </w:pPr>
            <w:r>
              <w:rPr>
                <w:color w:val="030303"/>
                <w:w w:val="102"/>
                <w:sz w:val="18"/>
              </w:rPr>
              <w:t>22,22%</w:t>
            </w:r>
          </w:p>
        </w:tc>
        <w:tc>
          <w:tcPr>
            <w:tcW w:w="1276" w:type="dxa"/>
            <w:tcBorders>
              <w:top w:val="nil"/>
              <w:left w:val="nil"/>
              <w:bottom w:val="nil"/>
              <w:right w:val="nil"/>
            </w:tcBorders>
            <w:vAlign w:val="center"/>
          </w:tcPr>
          <w:p w:rsidR="000C339B" w:rsidRPr="00E678B8" w:rsidRDefault="000C339B" w:rsidP="00616CFA">
            <w:pPr>
              <w:spacing w:before="37"/>
              <w:ind w:left="109" w:right="-20"/>
              <w:jc w:val="left"/>
              <w:rPr>
                <w:rFonts w:eastAsia="Arial" w:cs="Arial"/>
                <w:sz w:val="18"/>
                <w:szCs w:val="18"/>
              </w:rPr>
            </w:pPr>
            <w:r>
              <w:rPr>
                <w:color w:val="030303"/>
                <w:w w:val="106"/>
                <w:sz w:val="18"/>
              </w:rPr>
              <w:t>35,71%</w:t>
            </w:r>
          </w:p>
        </w:tc>
        <w:tc>
          <w:tcPr>
            <w:tcW w:w="1308" w:type="dxa"/>
            <w:tcBorders>
              <w:top w:val="nil"/>
              <w:left w:val="nil"/>
              <w:bottom w:val="nil"/>
              <w:right w:val="nil"/>
            </w:tcBorders>
            <w:vAlign w:val="center"/>
          </w:tcPr>
          <w:p w:rsidR="000C339B" w:rsidRPr="00E678B8" w:rsidRDefault="000C339B" w:rsidP="00616CFA">
            <w:pPr>
              <w:spacing w:before="37"/>
              <w:ind w:left="98" w:right="-20"/>
              <w:jc w:val="left"/>
              <w:rPr>
                <w:rFonts w:eastAsia="Arial" w:cs="Arial"/>
                <w:sz w:val="18"/>
                <w:szCs w:val="18"/>
              </w:rPr>
            </w:pPr>
            <w:r>
              <w:rPr>
                <w:color w:val="030303"/>
                <w:w w:val="107"/>
                <w:sz w:val="18"/>
              </w:rPr>
              <w:t>45,45%</w:t>
            </w:r>
          </w:p>
        </w:tc>
      </w:tr>
      <w:tr w:rsidR="000C339B" w:rsidRPr="00E678B8" w:rsidTr="006D5FF0">
        <w:trPr>
          <w:trHeight w:val="283"/>
        </w:trPr>
        <w:tc>
          <w:tcPr>
            <w:tcW w:w="4928" w:type="dxa"/>
            <w:tcBorders>
              <w:top w:val="nil"/>
              <w:left w:val="nil"/>
              <w:bottom w:val="nil"/>
              <w:right w:val="nil"/>
            </w:tcBorders>
            <w:vAlign w:val="center"/>
          </w:tcPr>
          <w:p w:rsidR="000C339B" w:rsidRPr="00E678B8" w:rsidRDefault="000C339B" w:rsidP="00616CFA">
            <w:pPr>
              <w:autoSpaceDE w:val="0"/>
              <w:autoSpaceDN w:val="0"/>
              <w:adjustRightInd w:val="0"/>
              <w:contextualSpacing/>
              <w:jc w:val="left"/>
              <w:rPr>
                <w:rFonts w:cs="Arial"/>
                <w:sz w:val="18"/>
                <w:szCs w:val="18"/>
              </w:rPr>
            </w:pPr>
            <w:r>
              <w:rPr>
                <w:sz w:val="18"/>
              </w:rPr>
              <w:t>No es una política aceptada</w:t>
            </w:r>
          </w:p>
        </w:tc>
        <w:tc>
          <w:tcPr>
            <w:tcW w:w="1559"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5</w:t>
            </w:r>
          </w:p>
        </w:tc>
        <w:tc>
          <w:tcPr>
            <w:tcW w:w="1276" w:type="dxa"/>
            <w:tcBorders>
              <w:top w:val="nil"/>
              <w:left w:val="nil"/>
              <w:bottom w:val="nil"/>
              <w:right w:val="nil"/>
            </w:tcBorders>
            <w:vAlign w:val="center"/>
          </w:tcPr>
          <w:p w:rsidR="000C339B" w:rsidRPr="00E678B8" w:rsidRDefault="000C339B" w:rsidP="00616CFA">
            <w:pPr>
              <w:spacing w:before="30"/>
              <w:ind w:left="106" w:right="-20"/>
              <w:jc w:val="left"/>
              <w:rPr>
                <w:rFonts w:eastAsia="Arial" w:cs="Arial"/>
                <w:color w:val="030303"/>
                <w:w w:val="106"/>
                <w:sz w:val="18"/>
                <w:szCs w:val="18"/>
              </w:rPr>
            </w:pPr>
            <w:r>
              <w:rPr>
                <w:color w:val="030303"/>
                <w:w w:val="106"/>
                <w:sz w:val="18"/>
              </w:rPr>
              <w:t>5,56%</w:t>
            </w:r>
          </w:p>
        </w:tc>
        <w:tc>
          <w:tcPr>
            <w:tcW w:w="1276" w:type="dxa"/>
            <w:tcBorders>
              <w:top w:val="nil"/>
              <w:left w:val="nil"/>
              <w:bottom w:val="nil"/>
              <w:right w:val="nil"/>
            </w:tcBorders>
            <w:vAlign w:val="center"/>
          </w:tcPr>
          <w:p w:rsidR="000C339B" w:rsidRPr="00E678B8" w:rsidRDefault="000C339B" w:rsidP="00616CFA">
            <w:pPr>
              <w:spacing w:before="30"/>
              <w:ind w:left="95" w:right="-20"/>
              <w:jc w:val="left"/>
              <w:rPr>
                <w:rFonts w:eastAsia="Arial" w:cs="Arial"/>
                <w:color w:val="030303"/>
                <w:w w:val="106"/>
                <w:sz w:val="18"/>
                <w:szCs w:val="18"/>
              </w:rPr>
            </w:pPr>
            <w:r>
              <w:rPr>
                <w:color w:val="030303"/>
                <w:w w:val="106"/>
                <w:sz w:val="18"/>
              </w:rPr>
              <w:t>8,93%</w:t>
            </w:r>
          </w:p>
        </w:tc>
        <w:tc>
          <w:tcPr>
            <w:tcW w:w="1308" w:type="dxa"/>
            <w:tcBorders>
              <w:top w:val="nil"/>
              <w:left w:val="nil"/>
              <w:bottom w:val="nil"/>
              <w:right w:val="nil"/>
            </w:tcBorders>
            <w:vAlign w:val="center"/>
          </w:tcPr>
          <w:p w:rsidR="000C339B" w:rsidRPr="00E678B8" w:rsidRDefault="000C339B" w:rsidP="00616CFA">
            <w:pPr>
              <w:spacing w:before="30"/>
              <w:ind w:left="98" w:right="-20"/>
              <w:jc w:val="left"/>
              <w:rPr>
                <w:rFonts w:eastAsia="Arial" w:cs="Arial"/>
                <w:color w:val="181818"/>
                <w:w w:val="104"/>
                <w:sz w:val="18"/>
                <w:szCs w:val="18"/>
              </w:rPr>
            </w:pPr>
            <w:r>
              <w:rPr>
                <w:color w:val="181818"/>
                <w:w w:val="104"/>
                <w:sz w:val="18"/>
              </w:rPr>
              <w:t>11,36%</w:t>
            </w:r>
          </w:p>
        </w:tc>
      </w:tr>
      <w:tr w:rsidR="000C339B" w:rsidRPr="00E678B8" w:rsidTr="006D5FF0">
        <w:trPr>
          <w:trHeight w:val="283"/>
        </w:trPr>
        <w:tc>
          <w:tcPr>
            <w:tcW w:w="4928" w:type="dxa"/>
            <w:tcBorders>
              <w:top w:val="nil"/>
              <w:left w:val="nil"/>
              <w:bottom w:val="nil"/>
              <w:right w:val="nil"/>
            </w:tcBorders>
            <w:vAlign w:val="center"/>
          </w:tcPr>
          <w:p w:rsidR="000C339B" w:rsidRPr="00E678B8" w:rsidRDefault="000C339B" w:rsidP="00616CFA">
            <w:pPr>
              <w:autoSpaceDE w:val="0"/>
              <w:autoSpaceDN w:val="0"/>
              <w:adjustRightInd w:val="0"/>
              <w:contextualSpacing/>
              <w:jc w:val="left"/>
              <w:rPr>
                <w:rFonts w:cs="Arial"/>
                <w:sz w:val="18"/>
                <w:szCs w:val="18"/>
              </w:rPr>
            </w:pPr>
            <w:r>
              <w:rPr>
                <w:sz w:val="18"/>
              </w:rPr>
              <w:t>Otras (sírvase especificar)</w:t>
            </w:r>
          </w:p>
        </w:tc>
        <w:tc>
          <w:tcPr>
            <w:tcW w:w="1559"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6</w:t>
            </w:r>
          </w:p>
        </w:tc>
        <w:tc>
          <w:tcPr>
            <w:tcW w:w="1276" w:type="dxa"/>
            <w:tcBorders>
              <w:top w:val="nil"/>
              <w:left w:val="nil"/>
              <w:bottom w:val="nil"/>
              <w:right w:val="nil"/>
            </w:tcBorders>
            <w:vAlign w:val="center"/>
          </w:tcPr>
          <w:p w:rsidR="000C339B" w:rsidRPr="00E678B8" w:rsidRDefault="000C339B" w:rsidP="00616CFA">
            <w:pPr>
              <w:spacing w:before="30"/>
              <w:ind w:left="106" w:right="-20"/>
              <w:jc w:val="left"/>
              <w:rPr>
                <w:rFonts w:eastAsia="Arial" w:cs="Arial"/>
                <w:sz w:val="18"/>
                <w:szCs w:val="18"/>
              </w:rPr>
            </w:pPr>
            <w:r>
              <w:rPr>
                <w:color w:val="030303"/>
                <w:w w:val="106"/>
                <w:sz w:val="18"/>
              </w:rPr>
              <w:t>6,67%</w:t>
            </w:r>
          </w:p>
        </w:tc>
        <w:tc>
          <w:tcPr>
            <w:tcW w:w="1276" w:type="dxa"/>
            <w:tcBorders>
              <w:top w:val="nil"/>
              <w:left w:val="nil"/>
              <w:bottom w:val="nil"/>
              <w:right w:val="nil"/>
            </w:tcBorders>
            <w:vAlign w:val="center"/>
          </w:tcPr>
          <w:p w:rsidR="000C339B" w:rsidRPr="00E678B8" w:rsidRDefault="000C339B" w:rsidP="00616CFA">
            <w:pPr>
              <w:spacing w:before="30"/>
              <w:ind w:left="95" w:right="-20"/>
              <w:jc w:val="left"/>
              <w:rPr>
                <w:rFonts w:eastAsia="Arial" w:cs="Arial"/>
                <w:sz w:val="18"/>
                <w:szCs w:val="18"/>
              </w:rPr>
            </w:pPr>
            <w:r>
              <w:rPr>
                <w:color w:val="030303"/>
                <w:w w:val="106"/>
                <w:sz w:val="18"/>
              </w:rPr>
              <w:t>10,71%</w:t>
            </w:r>
          </w:p>
        </w:tc>
        <w:tc>
          <w:tcPr>
            <w:tcW w:w="1308" w:type="dxa"/>
            <w:tcBorders>
              <w:top w:val="nil"/>
              <w:left w:val="nil"/>
              <w:bottom w:val="nil"/>
              <w:right w:val="nil"/>
            </w:tcBorders>
            <w:vAlign w:val="center"/>
          </w:tcPr>
          <w:p w:rsidR="000C339B" w:rsidRPr="00E678B8" w:rsidRDefault="000C339B" w:rsidP="00616CFA">
            <w:pPr>
              <w:spacing w:before="30"/>
              <w:ind w:left="98" w:right="-20"/>
              <w:jc w:val="left"/>
              <w:rPr>
                <w:rFonts w:eastAsia="Arial" w:cs="Arial"/>
                <w:sz w:val="18"/>
                <w:szCs w:val="18"/>
              </w:rPr>
            </w:pPr>
            <w:r>
              <w:rPr>
                <w:color w:val="181818"/>
                <w:w w:val="104"/>
                <w:sz w:val="18"/>
              </w:rPr>
              <w:t>13,64%</w:t>
            </w:r>
          </w:p>
        </w:tc>
      </w:tr>
      <w:tr w:rsidR="000C339B" w:rsidRPr="00E678B8" w:rsidTr="006D5FF0">
        <w:trPr>
          <w:trHeight w:hRule="exact" w:val="283"/>
        </w:trPr>
        <w:tc>
          <w:tcPr>
            <w:tcW w:w="492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szCs w:val="18"/>
              </w:rPr>
            </w:pPr>
            <w:r>
              <w:rPr>
                <w:sz w:val="18"/>
              </w:rPr>
              <w:t>Suma</w:t>
            </w:r>
          </w:p>
        </w:tc>
        <w:tc>
          <w:tcPr>
            <w:tcW w:w="155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90</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ind w:left="33"/>
              <w:jc w:val="left"/>
              <w:rPr>
                <w:rFonts w:eastAsia="Arial" w:cs="Arial"/>
                <w:color w:val="030303"/>
                <w:sz w:val="18"/>
                <w:szCs w:val="18"/>
              </w:rPr>
            </w:pPr>
            <w:r>
              <w:rPr>
                <w:sz w:val="18"/>
              </w:rPr>
              <w:t>100%</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eastAsia="Arial" w:cs="Arial"/>
                <w:color w:val="030303"/>
                <w:sz w:val="18"/>
                <w:szCs w:val="18"/>
              </w:rPr>
            </w:pPr>
            <w:r>
              <w:rPr>
                <w:sz w:val="18"/>
              </w:rPr>
              <w:t>-</w:t>
            </w:r>
          </w:p>
        </w:tc>
        <w:tc>
          <w:tcPr>
            <w:tcW w:w="130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eastAsia="Arial" w:cs="Arial"/>
                <w:color w:val="030303"/>
                <w:w w:val="106"/>
                <w:sz w:val="18"/>
                <w:szCs w:val="18"/>
              </w:rPr>
            </w:pPr>
            <w:r>
              <w:rPr>
                <w:sz w:val="18"/>
              </w:rPr>
              <w:t>-</w:t>
            </w:r>
          </w:p>
        </w:tc>
      </w:tr>
      <w:tr w:rsidR="000C339B" w:rsidRPr="00E678B8" w:rsidTr="006D5FF0">
        <w:trPr>
          <w:trHeight w:hRule="exact" w:val="283"/>
        </w:trPr>
        <w:tc>
          <w:tcPr>
            <w:tcW w:w="4928" w:type="dxa"/>
            <w:tcBorders>
              <w:top w:val="single" w:sz="12" w:space="0" w:color="A6A6A6" w:themeColor="background1" w:themeShade="A6"/>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Sin respuesta</w:t>
            </w:r>
          </w:p>
        </w:tc>
        <w:tc>
          <w:tcPr>
            <w:tcW w:w="1559"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cs="Arial"/>
                <w:sz w:val="18"/>
                <w:szCs w:val="18"/>
              </w:rPr>
            </w:pPr>
            <w:r>
              <w:rPr>
                <w:sz w:val="18"/>
              </w:rPr>
              <w:t>12</w:t>
            </w: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ind w:right="-20"/>
              <w:jc w:val="left"/>
              <w:rPr>
                <w:rFonts w:eastAsia="Arial" w:cs="Arial"/>
                <w:color w:val="050505"/>
                <w:sz w:val="18"/>
                <w:szCs w:val="18"/>
              </w:rPr>
            </w:pPr>
            <w:r>
              <w:rPr>
                <w:sz w:val="18"/>
              </w:rPr>
              <w:t>-</w:t>
            </w: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ind w:right="-20"/>
              <w:jc w:val="left"/>
              <w:rPr>
                <w:rFonts w:eastAsia="Arial" w:cs="Arial"/>
                <w:color w:val="050505"/>
                <w:sz w:val="18"/>
                <w:szCs w:val="18"/>
              </w:rPr>
            </w:pPr>
            <w:r>
              <w:rPr>
                <w:sz w:val="18"/>
              </w:rPr>
              <w:t>21,43%</w:t>
            </w:r>
          </w:p>
        </w:tc>
        <w:tc>
          <w:tcPr>
            <w:tcW w:w="1308" w:type="dxa"/>
            <w:tcBorders>
              <w:top w:val="single" w:sz="12" w:space="0" w:color="A6A6A6" w:themeColor="background1" w:themeShade="A6"/>
              <w:left w:val="nil"/>
              <w:bottom w:val="nil"/>
              <w:right w:val="nil"/>
            </w:tcBorders>
            <w:vAlign w:val="center"/>
          </w:tcPr>
          <w:p w:rsidR="000C339B" w:rsidRPr="00E678B8" w:rsidRDefault="000C339B" w:rsidP="00616CFA">
            <w:pPr>
              <w:spacing w:before="30"/>
              <w:ind w:left="98" w:right="-20"/>
              <w:jc w:val="left"/>
              <w:rPr>
                <w:rFonts w:eastAsia="Arial" w:cs="Arial"/>
                <w:color w:val="111111"/>
                <w:w w:val="104"/>
                <w:sz w:val="18"/>
                <w:szCs w:val="18"/>
              </w:rPr>
            </w:pPr>
            <w:r>
              <w:rPr>
                <w:sz w:val="18"/>
              </w:rPr>
              <w:t>-</w:t>
            </w:r>
          </w:p>
          <w:p w:rsidR="000C339B" w:rsidRPr="00E678B8" w:rsidRDefault="000C339B" w:rsidP="00616CFA">
            <w:pPr>
              <w:spacing w:before="30"/>
              <w:ind w:left="98" w:right="-20"/>
              <w:jc w:val="left"/>
              <w:rPr>
                <w:rFonts w:eastAsia="Arial" w:cs="Arial"/>
                <w:color w:val="111111"/>
                <w:w w:val="104"/>
                <w:sz w:val="18"/>
                <w:szCs w:val="18"/>
              </w:rPr>
            </w:pPr>
          </w:p>
          <w:p w:rsidR="000C339B" w:rsidRPr="00E678B8" w:rsidRDefault="000C339B" w:rsidP="00616CFA">
            <w:pPr>
              <w:ind w:right="-20"/>
              <w:jc w:val="left"/>
              <w:rPr>
                <w:rFonts w:eastAsia="Arial" w:cs="Arial"/>
                <w:color w:val="050505"/>
                <w:w w:val="105"/>
                <w:sz w:val="18"/>
                <w:szCs w:val="18"/>
              </w:rPr>
            </w:pPr>
          </w:p>
        </w:tc>
      </w:tr>
      <w:tr w:rsidR="000C339B" w:rsidRPr="00E678B8" w:rsidTr="006D5FF0">
        <w:trPr>
          <w:trHeight w:hRule="exact" w:val="281"/>
        </w:trPr>
        <w:tc>
          <w:tcPr>
            <w:tcW w:w="4928" w:type="dxa"/>
            <w:tcBorders>
              <w:top w:val="nil"/>
              <w:left w:val="nil"/>
              <w:bottom w:val="nil"/>
              <w:right w:val="nil"/>
            </w:tcBorders>
            <w:vAlign w:val="center"/>
          </w:tcPr>
          <w:p w:rsidR="000C339B" w:rsidRPr="00E678B8" w:rsidRDefault="000F6F8B" w:rsidP="00616CFA">
            <w:pPr>
              <w:spacing w:before="30"/>
              <w:ind w:right="-20"/>
              <w:jc w:val="left"/>
              <w:rPr>
                <w:rFonts w:cs="Arial"/>
                <w:b/>
                <w:bCs/>
                <w:sz w:val="18"/>
                <w:szCs w:val="18"/>
              </w:rPr>
            </w:pPr>
            <w:r>
              <w:rPr>
                <w:b/>
                <w:sz w:val="18"/>
              </w:rPr>
              <w:t>Respondieron en total:</w:t>
            </w:r>
            <w:r w:rsidR="000C339B">
              <w:rPr>
                <w:b/>
                <w:sz w:val="18"/>
              </w:rPr>
              <w:t xml:space="preserve"> 44</w:t>
            </w:r>
          </w:p>
          <w:p w:rsidR="000C339B" w:rsidRPr="00E678B8" w:rsidRDefault="000C339B" w:rsidP="00616CFA">
            <w:pPr>
              <w:spacing w:before="37"/>
              <w:ind w:left="43" w:right="-20"/>
              <w:jc w:val="left"/>
              <w:rPr>
                <w:rFonts w:eastAsia="Arial" w:cs="Arial"/>
                <w:sz w:val="18"/>
                <w:szCs w:val="18"/>
              </w:rPr>
            </w:pPr>
          </w:p>
        </w:tc>
        <w:tc>
          <w:tcPr>
            <w:tcW w:w="1559" w:type="dxa"/>
            <w:tcBorders>
              <w:top w:val="nil"/>
              <w:left w:val="nil"/>
              <w:bottom w:val="nil"/>
              <w:right w:val="nil"/>
            </w:tcBorders>
            <w:vAlign w:val="center"/>
          </w:tcPr>
          <w:p w:rsidR="000C339B" w:rsidRPr="00E678B8" w:rsidRDefault="000C339B" w:rsidP="00616CFA">
            <w:pPr>
              <w:jc w:val="left"/>
              <w:rPr>
                <w:rFonts w:cs="Arial"/>
                <w:sz w:val="18"/>
                <w:szCs w:val="18"/>
              </w:rPr>
            </w:pPr>
          </w:p>
        </w:tc>
        <w:tc>
          <w:tcPr>
            <w:tcW w:w="1276" w:type="dxa"/>
            <w:tcBorders>
              <w:top w:val="nil"/>
              <w:left w:val="nil"/>
              <w:bottom w:val="nil"/>
              <w:right w:val="nil"/>
            </w:tcBorders>
          </w:tcPr>
          <w:p w:rsidR="000C339B" w:rsidRPr="00E678B8" w:rsidRDefault="000C339B" w:rsidP="00616CFA">
            <w:pPr>
              <w:spacing w:before="37"/>
              <w:ind w:left="95" w:right="-20"/>
              <w:jc w:val="left"/>
              <w:rPr>
                <w:rFonts w:eastAsia="Arial" w:cs="Arial"/>
                <w:sz w:val="18"/>
                <w:szCs w:val="18"/>
              </w:rPr>
            </w:pPr>
          </w:p>
        </w:tc>
        <w:tc>
          <w:tcPr>
            <w:tcW w:w="1276" w:type="dxa"/>
            <w:tcBorders>
              <w:top w:val="nil"/>
              <w:left w:val="nil"/>
              <w:bottom w:val="nil"/>
              <w:right w:val="nil"/>
            </w:tcBorders>
          </w:tcPr>
          <w:p w:rsidR="000C339B" w:rsidRPr="00E678B8" w:rsidRDefault="000C339B" w:rsidP="00616CFA">
            <w:pPr>
              <w:spacing w:before="37"/>
              <w:ind w:left="98" w:right="-20"/>
              <w:jc w:val="left"/>
              <w:rPr>
                <w:rFonts w:eastAsia="Arial" w:cs="Arial"/>
                <w:sz w:val="18"/>
                <w:szCs w:val="18"/>
              </w:rPr>
            </w:pPr>
          </w:p>
        </w:tc>
        <w:tc>
          <w:tcPr>
            <w:tcW w:w="1308" w:type="dxa"/>
            <w:tcBorders>
              <w:top w:val="nil"/>
              <w:left w:val="nil"/>
              <w:bottom w:val="nil"/>
              <w:right w:val="nil"/>
            </w:tcBorders>
          </w:tcPr>
          <w:p w:rsidR="000C339B" w:rsidRPr="00E678B8" w:rsidRDefault="000C339B" w:rsidP="00616CFA">
            <w:pPr>
              <w:spacing w:before="37"/>
              <w:ind w:left="98" w:right="-20"/>
              <w:jc w:val="left"/>
              <w:rPr>
                <w:rFonts w:eastAsia="Arial" w:cs="Arial"/>
                <w:color w:val="111111"/>
                <w:w w:val="104"/>
                <w:sz w:val="18"/>
                <w:szCs w:val="18"/>
              </w:rPr>
            </w:pPr>
          </w:p>
        </w:tc>
      </w:tr>
    </w:tbl>
    <w:p w:rsidR="000C339B" w:rsidRDefault="000C339B" w:rsidP="000C339B">
      <w:pPr>
        <w:autoSpaceDE w:val="0"/>
        <w:autoSpaceDN w:val="0"/>
        <w:adjustRightInd w:val="0"/>
        <w:jc w:val="left"/>
        <w:rPr>
          <w:rFonts w:cs="Arial"/>
          <w:sz w:val="18"/>
          <w:szCs w:val="18"/>
        </w:rPr>
      </w:pPr>
    </w:p>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autoSpaceDE w:val="0"/>
        <w:autoSpaceDN w:val="0"/>
        <w:adjustRightInd w:val="0"/>
        <w:jc w:val="left"/>
        <w:rPr>
          <w:rFonts w:cs="Arial"/>
          <w:sz w:val="18"/>
          <w:szCs w:val="18"/>
          <w:u w:val="single"/>
        </w:rPr>
      </w:pPr>
      <w:r>
        <w:rPr>
          <w:sz w:val="18"/>
          <w:u w:val="single"/>
        </w:rPr>
        <w:t>Otra</w:t>
      </w:r>
    </w:p>
    <w:p w:rsidR="000C339B" w:rsidRPr="00E678B8" w:rsidRDefault="000C339B" w:rsidP="000C339B">
      <w:pPr>
        <w:autoSpaceDE w:val="0"/>
        <w:autoSpaceDN w:val="0"/>
        <w:adjustRightInd w:val="0"/>
        <w:jc w:val="left"/>
        <w:rPr>
          <w:rFonts w:cs="Arial"/>
          <w:sz w:val="18"/>
          <w:szCs w:val="18"/>
        </w:rPr>
      </w:pPr>
    </w:p>
    <w:tbl>
      <w:tblPr>
        <w:tblW w:w="10005" w:type="dxa"/>
        <w:tblInd w:w="93" w:type="dxa"/>
        <w:tblLook w:val="04A0" w:firstRow="1" w:lastRow="0" w:firstColumn="1" w:lastColumn="0" w:noHBand="0" w:noVBand="1"/>
      </w:tblPr>
      <w:tblGrid>
        <w:gridCol w:w="10005"/>
      </w:tblGrid>
      <w:tr w:rsidR="000C339B" w:rsidRPr="00E678B8" w:rsidTr="00616CFA">
        <w:trPr>
          <w:trHeight w:val="264"/>
        </w:trPr>
        <w:tc>
          <w:tcPr>
            <w:tcW w:w="10005" w:type="dxa"/>
            <w:tcBorders>
              <w:top w:val="nil"/>
              <w:left w:val="nil"/>
              <w:bottom w:val="nil"/>
              <w:right w:val="nil"/>
            </w:tcBorders>
            <w:shd w:val="clear" w:color="auto" w:fill="auto"/>
            <w:noWrap/>
            <w:vAlign w:val="bottom"/>
            <w:hideMark/>
          </w:tcPr>
          <w:p w:rsidR="000C339B" w:rsidRPr="00E678B8" w:rsidRDefault="000C339B" w:rsidP="00616CFA">
            <w:pPr>
              <w:jc w:val="left"/>
              <w:rPr>
                <w:rFonts w:cs="Arial"/>
                <w:color w:val="000000"/>
                <w:sz w:val="18"/>
              </w:rPr>
            </w:pPr>
            <w:r>
              <w:rPr>
                <w:color w:val="000000"/>
                <w:sz w:val="18"/>
              </w:rPr>
              <w:t xml:space="preserve">Otro acuerdo administrativo </w:t>
            </w:r>
          </w:p>
        </w:tc>
      </w:tr>
      <w:tr w:rsidR="000C339B" w:rsidRPr="000C339B" w:rsidTr="00616CFA">
        <w:trPr>
          <w:trHeight w:val="264"/>
        </w:trPr>
        <w:tc>
          <w:tcPr>
            <w:tcW w:w="10005" w:type="dxa"/>
            <w:tcBorders>
              <w:top w:val="nil"/>
              <w:left w:val="nil"/>
              <w:bottom w:val="nil"/>
              <w:right w:val="nil"/>
            </w:tcBorders>
            <w:shd w:val="clear" w:color="auto" w:fill="auto"/>
            <w:noWrap/>
            <w:vAlign w:val="bottom"/>
            <w:hideMark/>
          </w:tcPr>
          <w:p w:rsidR="000C339B" w:rsidRPr="000C339B" w:rsidRDefault="000C339B" w:rsidP="00616CFA">
            <w:pPr>
              <w:jc w:val="left"/>
              <w:rPr>
                <w:rFonts w:cs="Arial"/>
                <w:color w:val="000000"/>
                <w:sz w:val="18"/>
              </w:rPr>
            </w:pPr>
            <w:r>
              <w:rPr>
                <w:color w:val="000000"/>
                <w:sz w:val="18"/>
              </w:rPr>
              <w:t>Que no se permite al obtentor pagar directamente a la autoridad</w:t>
            </w:r>
          </w:p>
        </w:tc>
      </w:tr>
      <w:tr w:rsidR="000C339B" w:rsidRPr="00E678B8" w:rsidTr="00616CFA">
        <w:trPr>
          <w:trHeight w:val="264"/>
        </w:trPr>
        <w:tc>
          <w:tcPr>
            <w:tcW w:w="10005" w:type="dxa"/>
            <w:tcBorders>
              <w:top w:val="nil"/>
              <w:left w:val="nil"/>
              <w:bottom w:val="nil"/>
              <w:right w:val="nil"/>
            </w:tcBorders>
            <w:shd w:val="clear" w:color="auto" w:fill="auto"/>
            <w:noWrap/>
            <w:vAlign w:val="bottom"/>
            <w:hideMark/>
          </w:tcPr>
          <w:p w:rsidR="000C339B" w:rsidRPr="00E678B8" w:rsidRDefault="000C339B" w:rsidP="00616CFA">
            <w:pPr>
              <w:jc w:val="left"/>
              <w:rPr>
                <w:rFonts w:cs="Arial"/>
                <w:color w:val="000000"/>
                <w:sz w:val="18"/>
              </w:rPr>
            </w:pPr>
            <w:r>
              <w:rPr>
                <w:color w:val="000000"/>
                <w:sz w:val="18"/>
              </w:rPr>
              <w:t>Los ensayos comparativos</w:t>
            </w:r>
          </w:p>
        </w:tc>
      </w:tr>
    </w:tbl>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autoSpaceDE w:val="0"/>
        <w:autoSpaceDN w:val="0"/>
        <w:adjustRightInd w:val="0"/>
        <w:jc w:val="left"/>
        <w:rPr>
          <w:rFonts w:cs="Arial"/>
          <w:sz w:val="18"/>
          <w:szCs w:val="18"/>
        </w:rPr>
      </w:pPr>
    </w:p>
    <w:p w:rsidR="000C339B" w:rsidRPr="00E678B8" w:rsidRDefault="000C339B" w:rsidP="000C339B">
      <w:pPr>
        <w:jc w:val="left"/>
        <w:rPr>
          <w:rFonts w:cs="Arial"/>
          <w:sz w:val="18"/>
          <w:u w:val="single"/>
        </w:rPr>
      </w:pPr>
      <w:r>
        <w:rPr>
          <w:sz w:val="18"/>
          <w:u w:val="single"/>
        </w:rPr>
        <w:t>Comentarios</w:t>
      </w:r>
    </w:p>
    <w:p w:rsidR="000C339B" w:rsidRPr="00E678B8" w:rsidRDefault="000C339B" w:rsidP="000C339B">
      <w:pPr>
        <w:autoSpaceDE w:val="0"/>
        <w:autoSpaceDN w:val="0"/>
        <w:adjustRightInd w:val="0"/>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No tenemos claridad en algunos aspectos del procedimientos de cada oficina a la que solicitamos los resultados de examen, por ejemplo: - No sabemos cuál es el plazo que tienen para tramitar nuestra solicitud, desde que mandamos (vía email) el formato UPOV de requerimiento de examen, tanto para emitir la orden de pago de la tasa (en los casos que es requerido), como para emitir el Informe final de Examen DHE cuando este pago ya se ha realizado.</w:t>
            </w:r>
            <w:r w:rsidR="0058413A">
              <w:rPr>
                <w:color w:val="000000"/>
                <w:sz w:val="18"/>
              </w:rPr>
              <w:t xml:space="preserve"> </w:t>
            </w:r>
            <w:r>
              <w:rPr>
                <w:color w:val="000000"/>
                <w:sz w:val="18"/>
              </w:rPr>
              <w:t>- No sabemos cuál es el plazo que tiene la persona o institución encargada de realizar el pago, desde que recibe la orden de pago, y tampoco sabemos el momento en que se le ha notificado.</w:t>
            </w:r>
            <w:r w:rsidR="0058413A">
              <w:rPr>
                <w:color w:val="000000"/>
                <w:sz w:val="18"/>
              </w:rPr>
              <w:t xml:space="preserve"> </w:t>
            </w:r>
            <w:r>
              <w:rPr>
                <w:color w:val="000000"/>
                <w:sz w:val="18"/>
              </w:rPr>
              <w:t xml:space="preserve">- En contadas ocasiones hemos tenido dificultad para tener respuesta de alguna oficina, ante alguna consulta realizada, a pesar de utilizar </w:t>
            </w:r>
            <w:r>
              <w:rPr>
                <w:color w:val="000000"/>
                <w:sz w:val="18"/>
              </w:rPr>
              <w:lastRenderedPageBreak/>
              <w:t>el contacto que aparece en la página de la UPOV,</w:t>
            </w:r>
            <w:r w:rsidR="0058413A">
              <w:rPr>
                <w:color w:val="000000"/>
                <w:sz w:val="18"/>
              </w:rPr>
              <w:t xml:space="preserve"> </w:t>
            </w:r>
            <w:r>
              <w:rPr>
                <w:color w:val="000000"/>
                <w:sz w:val="18"/>
              </w:rPr>
              <w:t>tal vez sería necesario elaborar un directorio de personas de contacto de cada oficina, solo en materia de cooperación de examen DHE.</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lastRenderedPageBreak/>
              <w:t>Los requisitos de certificados fitosanitarios de las plantas de multiplicación vegetativa</w:t>
            </w:r>
            <w:r w:rsidR="00DC6F35">
              <w:rPr>
                <w:color w:val="000000"/>
                <w:sz w:val="18"/>
              </w:rPr>
              <w:t>.</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Nos suele preocupar la diferencia en la expresión de los caracteres observados en otras zonas. En especial, la expresión del color pueden verse afectada por el clima o el lugar.</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Hay un argumento muy interesante en contra de acordar la cooperación en el examen DHE con algunos miembros europeos de la UPOV: para llevar a cabo el examen de la distinción se necesita la colección europea completa de variedades notoriamente conocidas, etc.</w:t>
            </w:r>
          </w:p>
        </w:tc>
      </w:tr>
      <w:tr w:rsidR="000C339B" w:rsidRPr="00E678B8" w:rsidTr="00616CFA">
        <w:trPr>
          <w:trHeight w:val="264"/>
        </w:trPr>
        <w:tc>
          <w:tcPr>
            <w:tcW w:w="9390" w:type="dxa"/>
            <w:shd w:val="clear" w:color="000000" w:fill="FFFFFF"/>
            <w:noWrap/>
            <w:vAlign w:val="bottom"/>
            <w:hideMark/>
          </w:tcPr>
          <w:p w:rsidR="000C339B" w:rsidRPr="00E678B8" w:rsidRDefault="000C339B" w:rsidP="00616CFA">
            <w:pPr>
              <w:jc w:val="left"/>
              <w:rPr>
                <w:rFonts w:cs="Arial"/>
                <w:color w:val="000000"/>
                <w:sz w:val="18"/>
              </w:rPr>
            </w:pPr>
            <w:r>
              <w:rPr>
                <w:color w:val="000000"/>
                <w:sz w:val="18"/>
              </w:rPr>
              <w:t>En algunos países no conocen las alternativas de cooperación, sobretodo aquellos que no participan de las reuniones de UPOV, otros tenemos problemas con la interpretación de nuestra legislación. En algunos países tienen una alta rotación de personas a cargo de las oficinas.</w:t>
            </w:r>
          </w:p>
        </w:tc>
      </w:tr>
      <w:tr w:rsidR="000C339B" w:rsidRPr="00E678B8" w:rsidTr="00616CFA">
        <w:trPr>
          <w:trHeight w:val="264"/>
        </w:trPr>
        <w:tc>
          <w:tcPr>
            <w:tcW w:w="9390" w:type="dxa"/>
            <w:shd w:val="clear" w:color="000000" w:fill="FFFFFF"/>
            <w:noWrap/>
            <w:vAlign w:val="bottom"/>
            <w:hideMark/>
          </w:tcPr>
          <w:p w:rsidR="000C339B" w:rsidRPr="00E678B8" w:rsidRDefault="000C339B" w:rsidP="00616CFA">
            <w:pPr>
              <w:jc w:val="left"/>
              <w:rPr>
                <w:rFonts w:cs="Arial"/>
                <w:color w:val="000000"/>
                <w:sz w:val="18"/>
              </w:rPr>
            </w:pPr>
            <w:r>
              <w:rPr>
                <w:color w:val="000000"/>
                <w:sz w:val="18"/>
              </w:rPr>
              <w:t>Antes se realizaban ensayos comparativos; sin embargo, ya no se realizan. Este hecho se considera una deficiencia.</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 xml:space="preserve">El Convenio proporciona el fundamento para el intercambio de informes y puede ser frustrante que las autoridades añadan otros requisitos, como otros acuerdos de cooperación. </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Es necesario saber si el miembro de la UPOV</w:t>
            </w:r>
            <w:r w:rsidR="0058413A">
              <w:rPr>
                <w:color w:val="000000"/>
                <w:sz w:val="18"/>
              </w:rPr>
              <w:t xml:space="preserve"> </w:t>
            </w:r>
            <w:r>
              <w:rPr>
                <w:color w:val="000000"/>
                <w:sz w:val="18"/>
              </w:rPr>
              <w:t>puede tener cooperación con otros miembros</w:t>
            </w:r>
            <w:r w:rsidR="0058413A">
              <w:rPr>
                <w:color w:val="000000"/>
                <w:sz w:val="18"/>
              </w:rPr>
              <w:t xml:space="preserve"> </w:t>
            </w:r>
            <w:r>
              <w:rPr>
                <w:color w:val="000000"/>
                <w:sz w:val="18"/>
              </w:rPr>
              <w:t>y la experiencia en la especie.</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Hasta ahora no necesitamos ningún requisito técnico.</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“No es una política aceptada” a no ser que se cumplan los requisitos del artículo 27.</w:t>
            </w:r>
          </w:p>
        </w:tc>
      </w:tr>
    </w:tbl>
    <w:p w:rsidR="000C339B" w:rsidRPr="000C339B" w:rsidRDefault="000C339B" w:rsidP="000C339B">
      <w:pPr>
        <w:autoSpaceDE w:val="0"/>
        <w:autoSpaceDN w:val="0"/>
        <w:adjustRightInd w:val="0"/>
        <w:jc w:val="left"/>
        <w:rPr>
          <w:rFonts w:cs="Arial"/>
          <w:sz w:val="18"/>
          <w:szCs w:val="18"/>
        </w:rPr>
      </w:pPr>
    </w:p>
    <w:p w:rsidR="000C339B" w:rsidRPr="000C339B" w:rsidRDefault="000C339B" w:rsidP="000C339B">
      <w:pPr>
        <w:jc w:val="left"/>
        <w:rPr>
          <w:rFonts w:cs="Arial"/>
          <w:b/>
          <w:bCs/>
          <w:sz w:val="28"/>
          <w:szCs w:val="28"/>
        </w:rPr>
      </w:pPr>
      <w:r>
        <w:br w:type="page"/>
      </w:r>
    </w:p>
    <w:p w:rsidR="000C339B" w:rsidRPr="000C339B" w:rsidRDefault="000C339B" w:rsidP="000C339B">
      <w:pPr>
        <w:autoSpaceDE w:val="0"/>
        <w:autoSpaceDN w:val="0"/>
        <w:adjustRightInd w:val="0"/>
        <w:spacing w:line="360" w:lineRule="auto"/>
        <w:jc w:val="left"/>
        <w:rPr>
          <w:rFonts w:cs="Arial"/>
          <w:bCs/>
          <w:sz w:val="18"/>
          <w:szCs w:val="28"/>
        </w:rPr>
      </w:pPr>
      <w:r w:rsidRPr="00073AAD">
        <w:rPr>
          <w:b/>
          <w:sz w:val="28"/>
          <w:szCs w:val="28"/>
        </w:rPr>
        <w:lastRenderedPageBreak/>
        <w:t>Pregunta 16</w:t>
      </w:r>
      <w:r w:rsidRPr="00073AAD">
        <w:rPr>
          <w:sz w:val="28"/>
          <w:szCs w:val="28"/>
        </w:rPr>
        <w:t>:</w:t>
      </w:r>
      <w:r w:rsidRPr="00073AAD">
        <w:rPr>
          <w:rFonts w:cs="Arial"/>
          <w:bCs/>
          <w:sz w:val="28"/>
          <w:szCs w:val="28"/>
        </w:rPr>
        <w:br/>
      </w:r>
      <w:r>
        <w:rPr>
          <w:sz w:val="18"/>
        </w:rPr>
        <w:t>En lo que respecta a la autoridad de su país/organización, ¿es exhaustiva y exacta la información sobre cooperación en materia de examen DHE que figura en la base de datos GENIE?</w:t>
      </w:r>
    </w:p>
    <w:p w:rsidR="000C339B" w:rsidRPr="000C339B" w:rsidRDefault="000C339B" w:rsidP="000C339B">
      <w:pPr>
        <w:autoSpaceDE w:val="0"/>
        <w:autoSpaceDN w:val="0"/>
        <w:adjustRightInd w:val="0"/>
        <w:spacing w:line="360" w:lineRule="auto"/>
        <w:jc w:val="left"/>
        <w:rPr>
          <w:rFonts w:cs="Arial"/>
          <w:bCs/>
          <w:sz w:val="18"/>
          <w:szCs w:val="28"/>
        </w:rPr>
      </w:pPr>
    </w:p>
    <w:p w:rsidR="000C339B" w:rsidRPr="000C339B" w:rsidRDefault="000C339B" w:rsidP="000C339B">
      <w:pPr>
        <w:autoSpaceDE w:val="0"/>
        <w:autoSpaceDN w:val="0"/>
        <w:adjustRightInd w:val="0"/>
        <w:spacing w:line="360" w:lineRule="auto"/>
        <w:jc w:val="left"/>
        <w:rPr>
          <w:rFonts w:cs="Arial"/>
          <w:bCs/>
          <w:sz w:val="18"/>
          <w:szCs w:val="28"/>
        </w:rPr>
      </w:pPr>
      <w:r>
        <w:rPr>
          <w:sz w:val="18"/>
        </w:rPr>
        <w:t>a)</w:t>
      </w:r>
      <w:r w:rsidR="0058413A">
        <w:rPr>
          <w:sz w:val="18"/>
        </w:rPr>
        <w:t xml:space="preserve"> </w:t>
      </w:r>
      <w:r>
        <w:rPr>
          <w:sz w:val="18"/>
        </w:rPr>
        <w:t>taxones de los cuales la autoridad se ofrece a efectuar exámenes DHE en nombre de otras autoridades</w:t>
      </w:r>
    </w:p>
    <w:p w:rsidR="000C339B" w:rsidRPr="000C339B" w:rsidRDefault="000C339B" w:rsidP="000C339B">
      <w:pPr>
        <w:autoSpaceDE w:val="0"/>
        <w:autoSpaceDN w:val="0"/>
        <w:adjustRightInd w:val="0"/>
        <w:spacing w:line="360" w:lineRule="auto"/>
        <w:jc w:val="left"/>
        <w:rPr>
          <w:rFonts w:cs="Arial"/>
          <w:bCs/>
          <w:sz w:val="18"/>
          <w:szCs w:val="28"/>
        </w:rPr>
      </w:pPr>
    </w:p>
    <w:p w:rsidR="000C339B" w:rsidRPr="000C339B" w:rsidRDefault="000C339B" w:rsidP="000C339B">
      <w:pPr>
        <w:rPr>
          <w:rFonts w:cs="Arial"/>
          <w:sz w:val="18"/>
          <w:szCs w:val="18"/>
        </w:rPr>
      </w:pPr>
      <w:r>
        <w:rPr>
          <w:rFonts w:cs="Arial"/>
          <w:noProof/>
          <w:lang w:eastAsia="es-ES_tradnl"/>
        </w:rPr>
        <w:drawing>
          <wp:anchor distT="0" distB="0" distL="114300" distR="114300" simplePos="0" relativeHeight="251670528" behindDoc="0" locked="0" layoutInCell="1" allowOverlap="1" wp14:anchorId="417A88E4" wp14:editId="14E276EF">
            <wp:simplePos x="0" y="0"/>
            <wp:positionH relativeFrom="column">
              <wp:posOffset>2495550</wp:posOffset>
            </wp:positionH>
            <wp:positionV relativeFrom="paragraph">
              <wp:posOffset>24765</wp:posOffset>
            </wp:positionV>
            <wp:extent cx="3765550" cy="142494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65550" cy="1424940"/>
                    </a:xfrm>
                    <a:prstGeom prst="rect">
                      <a:avLst/>
                    </a:prstGeom>
                  </pic:spPr>
                </pic:pic>
              </a:graphicData>
            </a:graphic>
          </wp:anchor>
        </w:drawing>
      </w: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0C339B" w:rsidRPr="00E678B8" w:rsidTr="00616CFA">
        <w:trPr>
          <w:trHeight w:hRule="exact" w:val="844"/>
        </w:trPr>
        <w:tc>
          <w:tcPr>
            <w:tcW w:w="3010" w:type="dxa"/>
            <w:vAlign w:val="center"/>
          </w:tcPr>
          <w:p w:rsidR="000C339B" w:rsidRPr="00073AAD" w:rsidRDefault="000C339B" w:rsidP="00616CFA">
            <w:pPr>
              <w:spacing w:before="37"/>
              <w:ind w:left="29" w:right="-20"/>
              <w:jc w:val="right"/>
              <w:rPr>
                <w:rFonts w:eastAsia="Arial" w:cs="Arial"/>
                <w:sz w:val="18"/>
                <w:szCs w:val="18"/>
              </w:rPr>
            </w:pPr>
            <w:r w:rsidRPr="00073AAD">
              <w:rPr>
                <w:sz w:val="18"/>
                <w:szCs w:val="18"/>
              </w:rPr>
              <w:t>Sí</w:t>
            </w:r>
          </w:p>
        </w:tc>
      </w:tr>
      <w:tr w:rsidR="000C339B" w:rsidRPr="00E678B8" w:rsidTr="00616CFA">
        <w:trPr>
          <w:trHeight w:hRule="exact" w:val="871"/>
        </w:trPr>
        <w:tc>
          <w:tcPr>
            <w:tcW w:w="3010" w:type="dxa"/>
            <w:vAlign w:val="center"/>
          </w:tcPr>
          <w:p w:rsidR="000C339B" w:rsidRPr="00E678B8" w:rsidRDefault="000C339B" w:rsidP="00616CFA">
            <w:pPr>
              <w:spacing w:before="30"/>
              <w:ind w:left="43" w:right="-20"/>
              <w:jc w:val="right"/>
              <w:rPr>
                <w:rFonts w:cs="Arial"/>
                <w:sz w:val="18"/>
                <w:szCs w:val="18"/>
              </w:rPr>
            </w:pPr>
            <w:r>
              <w:rPr>
                <w:sz w:val="18"/>
              </w:rPr>
              <w:t xml:space="preserve">No </w:t>
            </w:r>
          </w:p>
        </w:tc>
      </w:tr>
    </w:tbl>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tabs>
          <w:tab w:val="left" w:pos="1152"/>
        </w:tabs>
        <w:jc w:val="center"/>
        <w:rPr>
          <w:rFonts w:cs="Arial"/>
          <w:b/>
          <w:bCs/>
          <w:sz w:val="22"/>
          <w:szCs w:val="22"/>
        </w:rPr>
      </w:pPr>
      <w:r>
        <w:rPr>
          <w:b/>
          <w:sz w:val="22"/>
        </w:rPr>
        <w:t>Tabla de frecuencias</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211"/>
        <w:gridCol w:w="1276"/>
        <w:gridCol w:w="1276"/>
        <w:gridCol w:w="1417"/>
      </w:tblGrid>
      <w:tr w:rsidR="000C339B" w:rsidRPr="00E678B8" w:rsidTr="00DC6F35">
        <w:trPr>
          <w:trHeight w:hRule="exact" w:val="820"/>
        </w:trPr>
        <w:tc>
          <w:tcPr>
            <w:tcW w:w="5211"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8"/>
                <w:szCs w:val="18"/>
              </w:rPr>
            </w:pPr>
          </w:p>
          <w:p w:rsidR="000C339B" w:rsidRPr="00E678B8" w:rsidRDefault="000C339B" w:rsidP="00616CFA">
            <w:pPr>
              <w:jc w:val="left"/>
              <w:rPr>
                <w:rFonts w:eastAsia="Arial" w:cs="Arial"/>
                <w:sz w:val="18"/>
                <w:szCs w:val="18"/>
              </w:rPr>
            </w:pPr>
          </w:p>
          <w:p w:rsidR="000C339B" w:rsidRPr="00E678B8" w:rsidRDefault="000C339B" w:rsidP="00616CFA">
            <w:pPr>
              <w:jc w:val="left"/>
              <w:rPr>
                <w:rFonts w:eastAsia="Arial" w:cs="Arial"/>
                <w:sz w:val="18"/>
                <w:szCs w:val="18"/>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8"/>
                <w:szCs w:val="18"/>
              </w:rPr>
            </w:pPr>
            <w:r>
              <w:rPr>
                <w:b/>
                <w:color w:val="111111"/>
                <w:w w:val="107"/>
                <w:sz w:val="18"/>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w w:val="107"/>
                <w:sz w:val="18"/>
                <w:szCs w:val="18"/>
              </w:rPr>
            </w:pPr>
            <w:r>
              <w:rPr>
                <w:b/>
                <w:w w:val="107"/>
                <w:sz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8"/>
                <w:szCs w:val="18"/>
              </w:rPr>
            </w:pPr>
            <w:r>
              <w:rPr>
                <w:b/>
                <w:w w:val="106"/>
                <w:sz w:val="18"/>
              </w:rPr>
              <w:t>Frecuencia relativa</w:t>
            </w:r>
            <w:r>
              <w:rPr>
                <w:rFonts w:eastAsia="Arial" w:cs="Arial"/>
                <w:b/>
                <w:bCs/>
                <w:w w:val="106"/>
                <w:sz w:val="18"/>
                <w:szCs w:val="18"/>
              </w:rPr>
              <w:br/>
            </w:r>
            <w:r>
              <w:rPr>
                <w:b/>
                <w:w w:val="106"/>
                <w:sz w:val="18"/>
              </w:rPr>
              <w:t>ajustada</w:t>
            </w:r>
          </w:p>
        </w:tc>
      </w:tr>
      <w:tr w:rsidR="000C339B" w:rsidRPr="00E678B8" w:rsidTr="00DC6F35">
        <w:trPr>
          <w:trHeight w:val="283"/>
        </w:trPr>
        <w:tc>
          <w:tcPr>
            <w:tcW w:w="5211"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Sí</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41</w:t>
            </w:r>
          </w:p>
        </w:tc>
        <w:tc>
          <w:tcPr>
            <w:tcW w:w="1276" w:type="dxa"/>
            <w:tcBorders>
              <w:top w:val="single" w:sz="12" w:space="0" w:color="auto"/>
              <w:left w:val="nil"/>
              <w:bottom w:val="nil"/>
              <w:right w:val="nil"/>
            </w:tcBorders>
            <w:vAlign w:val="center"/>
          </w:tcPr>
          <w:p w:rsidR="000C339B" w:rsidRPr="00E678B8" w:rsidRDefault="000C339B" w:rsidP="00616CFA">
            <w:pPr>
              <w:jc w:val="left"/>
              <w:rPr>
                <w:rFonts w:eastAsia="Arial" w:cs="Arial"/>
                <w:sz w:val="18"/>
                <w:szCs w:val="18"/>
              </w:rPr>
            </w:pPr>
            <w:r>
              <w:rPr>
                <w:sz w:val="18"/>
              </w:rPr>
              <w:t>73,21%</w:t>
            </w:r>
          </w:p>
        </w:tc>
        <w:tc>
          <w:tcPr>
            <w:tcW w:w="1417" w:type="dxa"/>
            <w:tcBorders>
              <w:top w:val="single" w:sz="12" w:space="0" w:color="auto"/>
              <w:left w:val="nil"/>
              <w:bottom w:val="nil"/>
              <w:right w:val="nil"/>
            </w:tcBorders>
            <w:vAlign w:val="center"/>
          </w:tcPr>
          <w:p w:rsidR="000C339B" w:rsidRPr="00E678B8" w:rsidRDefault="000C339B" w:rsidP="00616CFA">
            <w:pPr>
              <w:jc w:val="left"/>
              <w:rPr>
                <w:rFonts w:cs="Arial"/>
                <w:sz w:val="18"/>
                <w:szCs w:val="18"/>
              </w:rPr>
            </w:pPr>
            <w:r>
              <w:rPr>
                <w:sz w:val="18"/>
              </w:rPr>
              <w:t>80,39%</w:t>
            </w:r>
          </w:p>
        </w:tc>
      </w:tr>
      <w:tr w:rsidR="000C339B" w:rsidRPr="00E678B8" w:rsidTr="00DC6F35">
        <w:trPr>
          <w:trHeight w:val="283"/>
        </w:trPr>
        <w:tc>
          <w:tcPr>
            <w:tcW w:w="5211"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 xml:space="preserve">No </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10</w:t>
            </w:r>
          </w:p>
        </w:tc>
        <w:tc>
          <w:tcPr>
            <w:tcW w:w="1276" w:type="dxa"/>
            <w:tcBorders>
              <w:top w:val="nil"/>
              <w:left w:val="nil"/>
              <w:bottom w:val="nil"/>
              <w:right w:val="nil"/>
            </w:tcBorders>
            <w:vAlign w:val="center"/>
          </w:tcPr>
          <w:p w:rsidR="000C339B" w:rsidRPr="00E678B8" w:rsidRDefault="000C339B" w:rsidP="00616CFA">
            <w:pPr>
              <w:jc w:val="left"/>
              <w:rPr>
                <w:rFonts w:eastAsia="Arial" w:cs="Arial"/>
                <w:sz w:val="18"/>
                <w:szCs w:val="18"/>
              </w:rPr>
            </w:pPr>
            <w:r>
              <w:rPr>
                <w:sz w:val="18"/>
              </w:rPr>
              <w:t>17,86%</w:t>
            </w:r>
          </w:p>
        </w:tc>
        <w:tc>
          <w:tcPr>
            <w:tcW w:w="1417"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19,61%</w:t>
            </w:r>
          </w:p>
        </w:tc>
      </w:tr>
      <w:tr w:rsidR="000C339B" w:rsidRPr="00E678B8" w:rsidTr="00DC6F35">
        <w:trPr>
          <w:trHeight w:val="283"/>
        </w:trPr>
        <w:tc>
          <w:tcPr>
            <w:tcW w:w="521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51</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eastAsia="Arial" w:cs="Arial"/>
                <w:position w:val="1"/>
                <w:sz w:val="18"/>
                <w:szCs w:val="18"/>
              </w:rPr>
            </w:pPr>
            <w:r>
              <w:rPr>
                <w:position w:val="1"/>
                <w:sz w:val="18"/>
              </w:rPr>
              <w:t>91,07%</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position w:val="1"/>
                <w:sz w:val="18"/>
              </w:rPr>
              <w:t>100%</w:t>
            </w:r>
          </w:p>
        </w:tc>
      </w:tr>
      <w:tr w:rsidR="000C339B" w:rsidRPr="00E678B8" w:rsidTr="00DC6F35">
        <w:trPr>
          <w:trHeight w:val="283"/>
        </w:trPr>
        <w:tc>
          <w:tcPr>
            <w:tcW w:w="5211"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43" w:right="-20"/>
              <w:jc w:val="left"/>
              <w:rPr>
                <w:rFonts w:eastAsia="Arial"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5</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5" w:right="-20"/>
              <w:jc w:val="left"/>
              <w:rPr>
                <w:rFonts w:eastAsia="Arial" w:cs="Arial"/>
                <w:sz w:val="18"/>
                <w:szCs w:val="18"/>
              </w:rPr>
            </w:pPr>
            <w:r>
              <w:rPr>
                <w:sz w:val="18"/>
              </w:rPr>
              <w:t>8,93%</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jc w:val="left"/>
              <w:rPr>
                <w:rFonts w:eastAsia="Arial" w:cs="Arial"/>
                <w:sz w:val="18"/>
                <w:szCs w:val="18"/>
              </w:rPr>
            </w:pPr>
            <w:r>
              <w:rPr>
                <w:sz w:val="18"/>
              </w:rPr>
              <w:t>-</w:t>
            </w:r>
          </w:p>
        </w:tc>
      </w:tr>
      <w:tr w:rsidR="000C339B" w:rsidRPr="00E678B8" w:rsidTr="00DC6F35">
        <w:trPr>
          <w:trHeight w:val="283"/>
        </w:trPr>
        <w:tc>
          <w:tcPr>
            <w:tcW w:w="5211"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szCs w:val="18"/>
              </w:rPr>
            </w:pPr>
            <w:r>
              <w:rPr>
                <w:b/>
                <w:sz w:val="18"/>
              </w:rPr>
              <w:t>Respondieron en total:</w:t>
            </w:r>
            <w:r w:rsidR="000C339B">
              <w:rPr>
                <w:b/>
                <w:sz w:val="18"/>
              </w:rPr>
              <w:t xml:space="preserve"> 51</w:t>
            </w: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eastAsia="Arial" w:cs="Arial"/>
                <w:sz w:val="17"/>
                <w:szCs w:val="17"/>
              </w:rPr>
            </w:pPr>
          </w:p>
        </w:tc>
        <w:tc>
          <w:tcPr>
            <w:tcW w:w="1276" w:type="dxa"/>
            <w:tcBorders>
              <w:top w:val="single" w:sz="12" w:space="0" w:color="A6A6A6" w:themeColor="background1" w:themeShade="A6"/>
              <w:left w:val="nil"/>
              <w:bottom w:val="nil"/>
              <w:right w:val="nil"/>
            </w:tcBorders>
          </w:tcPr>
          <w:p w:rsidR="000C339B" w:rsidRPr="00E678B8" w:rsidRDefault="000C339B" w:rsidP="00616CFA">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0C339B" w:rsidRPr="00E678B8" w:rsidRDefault="000C339B" w:rsidP="00616CFA">
            <w:pPr>
              <w:spacing w:before="30"/>
              <w:ind w:left="98" w:right="-20"/>
              <w:rPr>
                <w:rFonts w:eastAsia="Arial" w:cs="Arial"/>
                <w:sz w:val="17"/>
                <w:szCs w:val="17"/>
              </w:rPr>
            </w:pPr>
          </w:p>
        </w:tc>
      </w:tr>
    </w:tbl>
    <w:p w:rsidR="000C339B" w:rsidRPr="00E678B8" w:rsidRDefault="000C339B" w:rsidP="000C339B">
      <w:pPr>
        <w:tabs>
          <w:tab w:val="left" w:pos="1152"/>
        </w:tabs>
        <w:jc w:val="left"/>
        <w:rPr>
          <w:rFonts w:cs="Arial"/>
          <w:sz w:val="18"/>
          <w:szCs w:val="18"/>
        </w:rPr>
      </w:pPr>
    </w:p>
    <w:p w:rsidR="000C339B" w:rsidRPr="00E678B8" w:rsidRDefault="000C339B" w:rsidP="000C339B">
      <w:pPr>
        <w:jc w:val="left"/>
        <w:rPr>
          <w:rFonts w:cs="Arial"/>
          <w:sz w:val="18"/>
          <w:u w:val="single"/>
        </w:rPr>
      </w:pPr>
      <w:r>
        <w:rPr>
          <w:sz w:val="18"/>
          <w:u w:val="single"/>
        </w:rPr>
        <w:t>Comentarios</w:t>
      </w:r>
    </w:p>
    <w:p w:rsidR="000C339B" w:rsidRPr="00E678B8" w:rsidRDefault="000C339B" w:rsidP="000C339B">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0C339B" w:rsidRPr="000C339B" w:rsidTr="00616CFA">
        <w:trPr>
          <w:trHeight w:val="264"/>
        </w:trPr>
        <w:tc>
          <w:tcPr>
            <w:tcW w:w="9390" w:type="dxa"/>
            <w:shd w:val="clear" w:color="000000" w:fill="FFFFFF"/>
            <w:noWrap/>
            <w:vAlign w:val="bottom"/>
            <w:hideMark/>
          </w:tcPr>
          <w:p w:rsidR="000C339B" w:rsidRPr="000C339B" w:rsidRDefault="000C339B" w:rsidP="00103679">
            <w:pPr>
              <w:jc w:val="left"/>
              <w:rPr>
                <w:rFonts w:cs="Arial"/>
                <w:color w:val="000000"/>
                <w:sz w:val="18"/>
              </w:rPr>
            </w:pPr>
            <w:r>
              <w:rPr>
                <w:color w:val="000000"/>
                <w:sz w:val="18"/>
              </w:rPr>
              <w:t>Sí y no: la información no es muy clara. También sería útil poder extraer la dirección de la autoridad competente y que se pu</w:t>
            </w:r>
            <w:r w:rsidR="00103679">
              <w:rPr>
                <w:color w:val="000000"/>
                <w:sz w:val="18"/>
              </w:rPr>
              <w:t>diera</w:t>
            </w:r>
            <w:r>
              <w:rPr>
                <w:color w:val="000000"/>
                <w:sz w:val="18"/>
              </w:rPr>
              <w:t xml:space="preserve"> ver el plazo (fecha) de solicitud de la variedad en cuestión.</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Sí, se actualizará sistemáticamente.</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Sí, pero el Canadá todavía no ha ofrecido ni ningún otro miembro de la UPOV ha solicitado que realicemos exámenes DHE en su nombre. Puede ser una posibilidad en el futuro, si hubiese una demanda suficiente.</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No teníamos experiencia en realizar el examen DHE en nombre de otras autoridades; en cambio, ofrecemos algunos informes a otros países.</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Los taxones [para los que se ofrece realizar] el examen DHE no son muchos.</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No hemos podido enviar toda la información.</w:t>
            </w:r>
          </w:p>
        </w:tc>
      </w:tr>
      <w:tr w:rsidR="000C339B" w:rsidRPr="000C339B" w:rsidTr="00616CFA">
        <w:trPr>
          <w:trHeight w:val="264"/>
        </w:trPr>
        <w:tc>
          <w:tcPr>
            <w:tcW w:w="9390" w:type="dxa"/>
            <w:shd w:val="clear" w:color="000000" w:fill="FFFFFF"/>
            <w:noWrap/>
            <w:vAlign w:val="bottom"/>
            <w:hideMark/>
          </w:tcPr>
          <w:p w:rsidR="000C339B" w:rsidRPr="000C339B" w:rsidRDefault="000C339B" w:rsidP="00103679">
            <w:pPr>
              <w:jc w:val="left"/>
              <w:rPr>
                <w:rFonts w:cs="Arial"/>
                <w:color w:val="000000"/>
                <w:sz w:val="18"/>
              </w:rPr>
            </w:pPr>
            <w:r>
              <w:rPr>
                <w:color w:val="000000"/>
                <w:sz w:val="18"/>
              </w:rPr>
              <w:t xml:space="preserve">No </w:t>
            </w:r>
            <w:r w:rsidR="00103679">
              <w:rPr>
                <w:color w:val="000000"/>
                <w:sz w:val="18"/>
              </w:rPr>
              <w:t>se aplica</w:t>
            </w:r>
            <w:r>
              <w:rPr>
                <w:color w:val="000000"/>
                <w:sz w:val="18"/>
              </w:rPr>
              <w:t>. Todas las especies que Finlandia ha tenido que examinar se han examinado en Europa y la OCVV pone a disposición la información sobre las oficinas de examen.</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Sudáfrica no lleva a cabo exámenes DHE en nombre de otras autoridades (en la base de datos GENIE se indica lo contrario).</w:t>
            </w:r>
          </w:p>
        </w:tc>
      </w:tr>
    </w:tbl>
    <w:p w:rsidR="000C339B" w:rsidRPr="000C339B" w:rsidRDefault="000C339B" w:rsidP="000C339B">
      <w:pPr>
        <w:rPr>
          <w:rFonts w:cs="Arial"/>
          <w:sz w:val="18"/>
          <w:szCs w:val="18"/>
        </w:rPr>
      </w:pPr>
    </w:p>
    <w:p w:rsidR="000C339B" w:rsidRPr="000C339B" w:rsidRDefault="000C339B" w:rsidP="000C339B">
      <w:pPr>
        <w:jc w:val="left"/>
        <w:rPr>
          <w:rFonts w:cs="Arial"/>
          <w:b/>
          <w:bCs/>
          <w:sz w:val="28"/>
          <w:szCs w:val="28"/>
        </w:rPr>
      </w:pPr>
      <w:r>
        <w:br w:type="page"/>
      </w:r>
    </w:p>
    <w:p w:rsidR="000C339B" w:rsidRPr="000C339B" w:rsidRDefault="000C339B" w:rsidP="000C339B">
      <w:pPr>
        <w:autoSpaceDE w:val="0"/>
        <w:autoSpaceDN w:val="0"/>
        <w:adjustRightInd w:val="0"/>
        <w:spacing w:line="360" w:lineRule="auto"/>
        <w:jc w:val="left"/>
        <w:rPr>
          <w:rFonts w:cs="Arial"/>
          <w:bCs/>
          <w:sz w:val="18"/>
          <w:szCs w:val="18"/>
        </w:rPr>
      </w:pPr>
      <w:r w:rsidRPr="00073AAD">
        <w:rPr>
          <w:b/>
          <w:sz w:val="28"/>
          <w:szCs w:val="28"/>
        </w:rPr>
        <w:lastRenderedPageBreak/>
        <w:t>Pregunta 17</w:t>
      </w:r>
      <w:r w:rsidRPr="00073AAD">
        <w:rPr>
          <w:sz w:val="28"/>
          <w:szCs w:val="28"/>
        </w:rPr>
        <w:t>:</w:t>
      </w:r>
      <w:r w:rsidRPr="00073AAD">
        <w:rPr>
          <w:rFonts w:cs="Arial"/>
          <w:bCs/>
          <w:sz w:val="28"/>
          <w:szCs w:val="28"/>
        </w:rPr>
        <w:br/>
      </w:r>
      <w:r>
        <w:rPr>
          <w:sz w:val="18"/>
        </w:rPr>
        <w:t>b)</w:t>
      </w:r>
      <w:r w:rsidR="0058413A">
        <w:rPr>
          <w:sz w:val="18"/>
        </w:rPr>
        <w:t xml:space="preserve"> </w:t>
      </w:r>
      <w:r>
        <w:rPr>
          <w:sz w:val="18"/>
        </w:rPr>
        <w:t>taxones de los cuales otras autoridades efectúan el examen DHE en nombre de la autoridad</w:t>
      </w:r>
    </w:p>
    <w:p w:rsidR="000C339B" w:rsidRPr="000C339B" w:rsidRDefault="000C339B" w:rsidP="000C339B">
      <w:pPr>
        <w:rPr>
          <w:rFonts w:cs="Arial"/>
          <w:sz w:val="18"/>
          <w:szCs w:val="18"/>
        </w:rPr>
      </w:pPr>
      <w:r>
        <w:rPr>
          <w:rFonts w:cs="Arial"/>
          <w:noProof/>
          <w:lang w:eastAsia="es-ES_tradnl"/>
        </w:rPr>
        <w:drawing>
          <wp:anchor distT="0" distB="0" distL="114300" distR="114300" simplePos="0" relativeHeight="251671552" behindDoc="0" locked="0" layoutInCell="1" allowOverlap="1" wp14:anchorId="4EF97C13" wp14:editId="5419C928">
            <wp:simplePos x="0" y="0"/>
            <wp:positionH relativeFrom="column">
              <wp:posOffset>1520190</wp:posOffset>
            </wp:positionH>
            <wp:positionV relativeFrom="paragraph">
              <wp:posOffset>104140</wp:posOffset>
            </wp:positionV>
            <wp:extent cx="4229100" cy="15722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229100" cy="1572260"/>
                    </a:xfrm>
                    <a:prstGeom prst="rect">
                      <a:avLst/>
                    </a:prstGeom>
                  </pic:spPr>
                </pic:pic>
              </a:graphicData>
            </a:graphic>
          </wp:anchor>
        </w:drawing>
      </w: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0C339B" w:rsidRPr="00E678B8" w:rsidTr="00616CFA">
        <w:trPr>
          <w:trHeight w:hRule="exact" w:val="844"/>
        </w:trPr>
        <w:tc>
          <w:tcPr>
            <w:tcW w:w="2476" w:type="dxa"/>
            <w:vAlign w:val="center"/>
          </w:tcPr>
          <w:p w:rsidR="000C339B" w:rsidRPr="00E678B8" w:rsidRDefault="000C339B" w:rsidP="00616CFA">
            <w:pPr>
              <w:spacing w:before="37"/>
              <w:ind w:left="29" w:right="-20"/>
              <w:jc w:val="right"/>
              <w:rPr>
                <w:rFonts w:eastAsia="Arial" w:cs="Arial"/>
                <w:sz w:val="16"/>
                <w:szCs w:val="17"/>
              </w:rPr>
            </w:pPr>
            <w:r>
              <w:rPr>
                <w:sz w:val="16"/>
              </w:rPr>
              <w:t>Sí</w:t>
            </w:r>
          </w:p>
        </w:tc>
      </w:tr>
      <w:tr w:rsidR="000C339B" w:rsidRPr="00E678B8" w:rsidTr="00616CFA">
        <w:trPr>
          <w:trHeight w:hRule="exact" w:val="871"/>
        </w:trPr>
        <w:tc>
          <w:tcPr>
            <w:tcW w:w="2476" w:type="dxa"/>
            <w:vAlign w:val="center"/>
          </w:tcPr>
          <w:p w:rsidR="000C339B" w:rsidRPr="00E678B8" w:rsidRDefault="000C339B" w:rsidP="00616CFA">
            <w:pPr>
              <w:spacing w:before="30"/>
              <w:ind w:left="43" w:right="-20"/>
              <w:jc w:val="right"/>
              <w:rPr>
                <w:rFonts w:cs="Arial"/>
                <w:sz w:val="18"/>
                <w:szCs w:val="18"/>
              </w:rPr>
            </w:pPr>
            <w:r>
              <w:rPr>
                <w:sz w:val="16"/>
              </w:rPr>
              <w:t xml:space="preserve">No </w:t>
            </w:r>
          </w:p>
        </w:tc>
      </w:tr>
    </w:tbl>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tabs>
          <w:tab w:val="left" w:pos="3857"/>
        </w:tabs>
        <w:jc w:val="center"/>
        <w:rPr>
          <w:rFonts w:cs="Arial"/>
          <w:sz w:val="18"/>
          <w:szCs w:val="18"/>
        </w:rPr>
      </w:pPr>
      <w:r>
        <w:rPr>
          <w:b/>
          <w:sz w:val="22"/>
        </w:rPr>
        <w:t>Tabla de frecuencias</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211"/>
        <w:gridCol w:w="1276"/>
        <w:gridCol w:w="1276"/>
        <w:gridCol w:w="1417"/>
      </w:tblGrid>
      <w:tr w:rsidR="000C339B" w:rsidRPr="00E678B8" w:rsidTr="00103679">
        <w:trPr>
          <w:trHeight w:hRule="exact" w:val="820"/>
        </w:trPr>
        <w:tc>
          <w:tcPr>
            <w:tcW w:w="5211"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8"/>
                <w:szCs w:val="18"/>
              </w:rPr>
            </w:pPr>
          </w:p>
          <w:p w:rsidR="000C339B" w:rsidRPr="00E678B8" w:rsidRDefault="000C339B" w:rsidP="00616CFA">
            <w:pPr>
              <w:jc w:val="left"/>
              <w:rPr>
                <w:rFonts w:eastAsia="Arial" w:cs="Arial"/>
                <w:sz w:val="18"/>
                <w:szCs w:val="18"/>
              </w:rPr>
            </w:pPr>
          </w:p>
          <w:p w:rsidR="000C339B" w:rsidRPr="00E678B8" w:rsidRDefault="000C339B" w:rsidP="00616CFA">
            <w:pPr>
              <w:jc w:val="left"/>
              <w:rPr>
                <w:rFonts w:eastAsia="Arial" w:cs="Arial"/>
                <w:sz w:val="18"/>
                <w:szCs w:val="18"/>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8"/>
                <w:szCs w:val="18"/>
              </w:rPr>
            </w:pPr>
            <w:r>
              <w:rPr>
                <w:b/>
                <w:color w:val="111111"/>
                <w:w w:val="107"/>
                <w:sz w:val="18"/>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w w:val="107"/>
                <w:sz w:val="18"/>
                <w:szCs w:val="18"/>
              </w:rPr>
            </w:pPr>
            <w:r>
              <w:rPr>
                <w:b/>
                <w:w w:val="107"/>
                <w:sz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8"/>
                <w:szCs w:val="18"/>
              </w:rPr>
            </w:pPr>
            <w:r>
              <w:rPr>
                <w:b/>
                <w:w w:val="106"/>
                <w:sz w:val="18"/>
              </w:rPr>
              <w:t>Frecuencia relativa</w:t>
            </w:r>
            <w:r>
              <w:rPr>
                <w:rFonts w:eastAsia="Arial" w:cs="Arial"/>
                <w:b/>
                <w:bCs/>
                <w:w w:val="106"/>
                <w:sz w:val="18"/>
                <w:szCs w:val="18"/>
              </w:rPr>
              <w:br/>
            </w:r>
            <w:r>
              <w:rPr>
                <w:b/>
                <w:w w:val="106"/>
                <w:sz w:val="18"/>
              </w:rPr>
              <w:t>ajustada</w:t>
            </w:r>
          </w:p>
        </w:tc>
      </w:tr>
      <w:tr w:rsidR="000C339B" w:rsidRPr="00E678B8" w:rsidTr="00103679">
        <w:trPr>
          <w:trHeight w:val="283"/>
        </w:trPr>
        <w:tc>
          <w:tcPr>
            <w:tcW w:w="5211"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ind w:left="90" w:hanging="90"/>
              <w:jc w:val="left"/>
              <w:rPr>
                <w:rFonts w:cs="Arial"/>
                <w:sz w:val="18"/>
                <w:szCs w:val="18"/>
              </w:rPr>
            </w:pPr>
            <w:r>
              <w:rPr>
                <w:sz w:val="18"/>
              </w:rPr>
              <w:t>Sí</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41</w:t>
            </w:r>
          </w:p>
        </w:tc>
        <w:tc>
          <w:tcPr>
            <w:tcW w:w="1276" w:type="dxa"/>
            <w:tcBorders>
              <w:top w:val="single" w:sz="12" w:space="0" w:color="auto"/>
              <w:left w:val="nil"/>
              <w:bottom w:val="nil"/>
              <w:right w:val="nil"/>
            </w:tcBorders>
            <w:vAlign w:val="center"/>
          </w:tcPr>
          <w:p w:rsidR="000C339B" w:rsidRPr="00E678B8" w:rsidRDefault="000C339B" w:rsidP="00616CFA">
            <w:pPr>
              <w:jc w:val="left"/>
              <w:rPr>
                <w:rFonts w:eastAsia="Arial" w:cs="Arial"/>
                <w:sz w:val="18"/>
                <w:szCs w:val="18"/>
              </w:rPr>
            </w:pPr>
            <w:r>
              <w:rPr>
                <w:sz w:val="18"/>
              </w:rPr>
              <w:t>73,21%</w:t>
            </w:r>
          </w:p>
        </w:tc>
        <w:tc>
          <w:tcPr>
            <w:tcW w:w="1417" w:type="dxa"/>
            <w:tcBorders>
              <w:top w:val="single" w:sz="12" w:space="0" w:color="auto"/>
              <w:left w:val="nil"/>
              <w:bottom w:val="nil"/>
              <w:right w:val="nil"/>
            </w:tcBorders>
            <w:vAlign w:val="center"/>
          </w:tcPr>
          <w:p w:rsidR="000C339B" w:rsidRPr="00E678B8" w:rsidRDefault="000C339B" w:rsidP="00616CFA">
            <w:pPr>
              <w:jc w:val="left"/>
              <w:rPr>
                <w:rFonts w:cs="Arial"/>
                <w:sz w:val="18"/>
                <w:szCs w:val="18"/>
              </w:rPr>
            </w:pPr>
            <w:r>
              <w:rPr>
                <w:sz w:val="18"/>
              </w:rPr>
              <w:t>82%</w:t>
            </w:r>
          </w:p>
        </w:tc>
      </w:tr>
      <w:tr w:rsidR="000C339B" w:rsidRPr="00E678B8" w:rsidTr="00103679">
        <w:trPr>
          <w:trHeight w:val="283"/>
        </w:trPr>
        <w:tc>
          <w:tcPr>
            <w:tcW w:w="5211" w:type="dxa"/>
            <w:tcBorders>
              <w:top w:val="nil"/>
              <w:left w:val="nil"/>
              <w:bottom w:val="nil"/>
              <w:right w:val="nil"/>
            </w:tcBorders>
            <w:vAlign w:val="center"/>
          </w:tcPr>
          <w:p w:rsidR="000C339B" w:rsidRPr="00E678B8" w:rsidRDefault="000C339B" w:rsidP="00616CFA">
            <w:pPr>
              <w:autoSpaceDE w:val="0"/>
              <w:autoSpaceDN w:val="0"/>
              <w:adjustRightInd w:val="0"/>
              <w:ind w:left="90" w:hanging="90"/>
              <w:jc w:val="left"/>
              <w:rPr>
                <w:rFonts w:cs="Arial"/>
                <w:sz w:val="18"/>
                <w:szCs w:val="18"/>
              </w:rPr>
            </w:pPr>
            <w:r>
              <w:rPr>
                <w:sz w:val="18"/>
              </w:rPr>
              <w:t>No</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9</w:t>
            </w:r>
          </w:p>
        </w:tc>
        <w:tc>
          <w:tcPr>
            <w:tcW w:w="1276" w:type="dxa"/>
            <w:tcBorders>
              <w:top w:val="nil"/>
              <w:left w:val="nil"/>
              <w:bottom w:val="nil"/>
              <w:right w:val="nil"/>
            </w:tcBorders>
            <w:vAlign w:val="center"/>
          </w:tcPr>
          <w:p w:rsidR="000C339B" w:rsidRPr="00E678B8" w:rsidRDefault="000C339B" w:rsidP="00616CFA">
            <w:pPr>
              <w:jc w:val="left"/>
              <w:rPr>
                <w:rFonts w:eastAsia="Arial" w:cs="Arial"/>
                <w:sz w:val="18"/>
                <w:szCs w:val="18"/>
              </w:rPr>
            </w:pPr>
            <w:r>
              <w:rPr>
                <w:sz w:val="18"/>
              </w:rPr>
              <w:t>16,07%</w:t>
            </w:r>
          </w:p>
        </w:tc>
        <w:tc>
          <w:tcPr>
            <w:tcW w:w="1417"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18%</w:t>
            </w:r>
          </w:p>
        </w:tc>
      </w:tr>
      <w:tr w:rsidR="000C339B" w:rsidRPr="00E678B8" w:rsidTr="00103679">
        <w:trPr>
          <w:trHeight w:val="283"/>
        </w:trPr>
        <w:tc>
          <w:tcPr>
            <w:tcW w:w="521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50</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eastAsia="Arial" w:cs="Arial"/>
                <w:position w:val="1"/>
                <w:sz w:val="18"/>
                <w:szCs w:val="18"/>
              </w:rPr>
            </w:pPr>
            <w:r>
              <w:rPr>
                <w:position w:val="1"/>
                <w:sz w:val="18"/>
              </w:rPr>
              <w:t>89,29%</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position w:val="1"/>
                <w:sz w:val="18"/>
              </w:rPr>
              <w:t>100%</w:t>
            </w:r>
          </w:p>
        </w:tc>
      </w:tr>
      <w:tr w:rsidR="000C339B" w:rsidRPr="00E678B8" w:rsidTr="00103679">
        <w:trPr>
          <w:trHeight w:val="283"/>
        </w:trPr>
        <w:tc>
          <w:tcPr>
            <w:tcW w:w="5211"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43" w:right="-20"/>
              <w:jc w:val="left"/>
              <w:rPr>
                <w:rFonts w:eastAsia="Arial"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6</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5" w:right="-20"/>
              <w:jc w:val="left"/>
              <w:rPr>
                <w:rFonts w:eastAsia="Arial" w:cs="Arial"/>
                <w:sz w:val="18"/>
                <w:szCs w:val="18"/>
              </w:rPr>
            </w:pPr>
            <w:r>
              <w:rPr>
                <w:sz w:val="18"/>
              </w:rPr>
              <w:t>10,71%</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rPr>
                <w:rFonts w:eastAsia="Arial" w:cs="Arial"/>
                <w:sz w:val="18"/>
                <w:szCs w:val="18"/>
              </w:rPr>
            </w:pPr>
            <w:r>
              <w:rPr>
                <w:sz w:val="18"/>
              </w:rPr>
              <w:t>-</w:t>
            </w:r>
          </w:p>
        </w:tc>
      </w:tr>
      <w:tr w:rsidR="000C339B" w:rsidRPr="00E678B8" w:rsidTr="00103679">
        <w:trPr>
          <w:trHeight w:val="283"/>
        </w:trPr>
        <w:tc>
          <w:tcPr>
            <w:tcW w:w="5211"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szCs w:val="18"/>
              </w:rPr>
            </w:pPr>
            <w:r>
              <w:rPr>
                <w:b/>
                <w:sz w:val="18"/>
              </w:rPr>
              <w:t>Respondieron en total:</w:t>
            </w:r>
            <w:r w:rsidR="000C339B">
              <w:rPr>
                <w:b/>
                <w:sz w:val="18"/>
              </w:rPr>
              <w:t xml:space="preserve"> 50</w:t>
            </w: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eastAsia="Arial" w:cs="Arial"/>
                <w:sz w:val="17"/>
                <w:szCs w:val="17"/>
              </w:rPr>
            </w:pPr>
          </w:p>
        </w:tc>
        <w:tc>
          <w:tcPr>
            <w:tcW w:w="1276" w:type="dxa"/>
            <w:tcBorders>
              <w:top w:val="single" w:sz="12" w:space="0" w:color="A6A6A6" w:themeColor="background1" w:themeShade="A6"/>
              <w:left w:val="nil"/>
              <w:bottom w:val="nil"/>
              <w:right w:val="nil"/>
            </w:tcBorders>
          </w:tcPr>
          <w:p w:rsidR="000C339B" w:rsidRPr="00E678B8" w:rsidRDefault="000C339B" w:rsidP="00616CFA">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0C339B" w:rsidRPr="00E678B8" w:rsidRDefault="000C339B" w:rsidP="00616CFA">
            <w:pPr>
              <w:spacing w:before="30"/>
              <w:ind w:left="98" w:right="-20"/>
              <w:rPr>
                <w:rFonts w:eastAsia="Arial" w:cs="Arial"/>
                <w:sz w:val="17"/>
                <w:szCs w:val="17"/>
              </w:rPr>
            </w:pPr>
          </w:p>
        </w:tc>
      </w:tr>
    </w:tbl>
    <w:p w:rsidR="000C339B" w:rsidRPr="00E678B8" w:rsidRDefault="000C339B" w:rsidP="000C339B">
      <w:pPr>
        <w:rPr>
          <w:rFonts w:cs="Arial"/>
          <w:sz w:val="18"/>
          <w:szCs w:val="18"/>
        </w:rPr>
      </w:pPr>
    </w:p>
    <w:p w:rsidR="000C339B" w:rsidRPr="00E678B8" w:rsidRDefault="000C339B" w:rsidP="000C339B">
      <w:pPr>
        <w:rPr>
          <w:rFonts w:cs="Arial"/>
          <w:sz w:val="18"/>
          <w:u w:val="single"/>
        </w:rPr>
      </w:pPr>
      <w:r>
        <w:rPr>
          <w:sz w:val="18"/>
          <w:u w:val="single"/>
        </w:rPr>
        <w:t>Comentarios</w:t>
      </w:r>
    </w:p>
    <w:p w:rsidR="000C339B" w:rsidRPr="00E678B8" w:rsidRDefault="000C339B" w:rsidP="000C339B">
      <w:pPr>
        <w:rPr>
          <w:rFonts w:cs="Arial"/>
          <w:sz w:val="18"/>
          <w:u w:val="single"/>
        </w:rPr>
      </w:pPr>
    </w:p>
    <w:p w:rsidR="000C339B" w:rsidRPr="00E678B8" w:rsidRDefault="000C339B" w:rsidP="000C339B">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0C339B" w:rsidRPr="000C339B" w:rsidTr="00616CFA">
        <w:trPr>
          <w:trHeight w:val="264"/>
        </w:trPr>
        <w:tc>
          <w:tcPr>
            <w:tcW w:w="9390" w:type="dxa"/>
            <w:shd w:val="clear" w:color="000000" w:fill="FFFFFF"/>
            <w:noWrap/>
            <w:vAlign w:val="bottom"/>
            <w:hideMark/>
          </w:tcPr>
          <w:p w:rsidR="000C339B" w:rsidRPr="000C339B" w:rsidRDefault="000C339B" w:rsidP="002E70E9">
            <w:pPr>
              <w:jc w:val="left"/>
              <w:rPr>
                <w:rFonts w:cs="Arial"/>
                <w:color w:val="000000"/>
                <w:sz w:val="18"/>
              </w:rPr>
            </w:pPr>
            <w:r>
              <w:rPr>
                <w:color w:val="000000"/>
                <w:sz w:val="18"/>
              </w:rPr>
              <w:t>Sí y no: la información no es muy clara. También sería útil poder extraer la dirección de la autoridad competente y que se pu</w:t>
            </w:r>
            <w:r w:rsidR="002E70E9">
              <w:rPr>
                <w:color w:val="000000"/>
                <w:sz w:val="18"/>
              </w:rPr>
              <w:t xml:space="preserve">diera </w:t>
            </w:r>
            <w:r>
              <w:rPr>
                <w:color w:val="000000"/>
                <w:sz w:val="18"/>
              </w:rPr>
              <w:t>ver el plazo (fecha) de solicitud de la variedad en cuestión.</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Sí, se actualizará sistemáticamente.</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 xml:space="preserve">Sí, pero no se aplica realmente en nuestra situación. El Canadá siempre ofrece las siguientes opciones al solicitante u obtentor: a) realizar el examen DHE en el ámbito nacional o, en el caso de los cultivos ornamentales u hortícolas, b) usar un informe DHE de otro miembro de la UPOV. Como es evidente, en los casos en que una variedad no esté adaptada a las condiciones agroclimáticas de crecimiento del Canadá, el solicitante tendrá que utilizar un informe DHE existente de otro miembro de la UPOV. </w:t>
            </w:r>
          </w:p>
        </w:tc>
      </w:tr>
      <w:tr w:rsidR="000C339B" w:rsidRPr="00E678B8" w:rsidTr="00616CFA">
        <w:trPr>
          <w:trHeight w:val="264"/>
        </w:trPr>
        <w:tc>
          <w:tcPr>
            <w:tcW w:w="9390" w:type="dxa"/>
            <w:shd w:val="clear" w:color="000000" w:fill="FFFFFF"/>
            <w:noWrap/>
            <w:vAlign w:val="bottom"/>
            <w:hideMark/>
          </w:tcPr>
          <w:p w:rsidR="000C339B" w:rsidRPr="00E678B8" w:rsidRDefault="000C339B" w:rsidP="00616CFA">
            <w:pPr>
              <w:jc w:val="left"/>
              <w:rPr>
                <w:rFonts w:cs="Arial"/>
                <w:color w:val="000000"/>
                <w:sz w:val="18"/>
              </w:rPr>
            </w:pPr>
            <w:r>
              <w:rPr>
                <w:color w:val="000000"/>
                <w:sz w:val="18"/>
              </w:rPr>
              <w:t>Suecia colabora con la OCVV.</w:t>
            </w:r>
          </w:p>
        </w:tc>
      </w:tr>
      <w:tr w:rsidR="000C339B" w:rsidRPr="000C339B" w:rsidTr="00616CFA">
        <w:trPr>
          <w:trHeight w:val="264"/>
        </w:trPr>
        <w:tc>
          <w:tcPr>
            <w:tcW w:w="9390" w:type="dxa"/>
            <w:shd w:val="clear" w:color="000000" w:fill="FFFFFF"/>
            <w:noWrap/>
            <w:vAlign w:val="bottom"/>
            <w:hideMark/>
          </w:tcPr>
          <w:p w:rsidR="000C339B" w:rsidRPr="000C339B" w:rsidRDefault="000C339B" w:rsidP="002E70E9">
            <w:pPr>
              <w:jc w:val="left"/>
              <w:rPr>
                <w:rFonts w:cs="Arial"/>
                <w:color w:val="000000"/>
                <w:sz w:val="18"/>
              </w:rPr>
            </w:pPr>
            <w:r>
              <w:rPr>
                <w:color w:val="000000"/>
                <w:sz w:val="18"/>
              </w:rPr>
              <w:t xml:space="preserve">No </w:t>
            </w:r>
            <w:r w:rsidR="002E70E9">
              <w:rPr>
                <w:color w:val="000000"/>
                <w:sz w:val="18"/>
              </w:rPr>
              <w:t>se aplica</w:t>
            </w:r>
            <w:r>
              <w:rPr>
                <w:color w:val="000000"/>
                <w:sz w:val="18"/>
              </w:rPr>
              <w:t>. Todas las especies que Finlandia ha tenido que examinar se han examinado en Europa y la OCVV pone a disposición la información sobre las oficinas de examen.</w:t>
            </w:r>
          </w:p>
        </w:tc>
      </w:tr>
      <w:tr w:rsidR="000C339B" w:rsidRPr="000C339B" w:rsidTr="00616CFA">
        <w:trPr>
          <w:trHeight w:val="264"/>
        </w:trPr>
        <w:tc>
          <w:tcPr>
            <w:tcW w:w="9390" w:type="dxa"/>
            <w:shd w:val="clear" w:color="000000" w:fill="FFFFFF"/>
            <w:noWrap/>
            <w:vAlign w:val="bottom"/>
            <w:hideMark/>
          </w:tcPr>
          <w:p w:rsidR="000C339B" w:rsidRPr="000C339B" w:rsidRDefault="000C339B" w:rsidP="00616CFA">
            <w:pPr>
              <w:jc w:val="left"/>
              <w:rPr>
                <w:rFonts w:cs="Arial"/>
                <w:color w:val="000000"/>
                <w:sz w:val="18"/>
              </w:rPr>
            </w:pPr>
            <w:r>
              <w:rPr>
                <w:color w:val="000000"/>
                <w:sz w:val="18"/>
              </w:rPr>
              <w:t>No hay otras autoridades que lleven a cabo exámenes DHE en nombre de Sudáfrica (en la base de datos GENIE se indica lo contrario).</w:t>
            </w:r>
          </w:p>
        </w:tc>
      </w:tr>
    </w:tbl>
    <w:p w:rsidR="000C339B" w:rsidRPr="000C339B" w:rsidRDefault="000C339B" w:rsidP="000C339B">
      <w:pPr>
        <w:jc w:val="left"/>
        <w:rPr>
          <w:rFonts w:cs="Arial"/>
          <w:b/>
          <w:bCs/>
          <w:sz w:val="28"/>
          <w:szCs w:val="28"/>
        </w:rPr>
      </w:pPr>
      <w:r>
        <w:br w:type="page"/>
      </w:r>
    </w:p>
    <w:p w:rsidR="000C339B" w:rsidRPr="000C339B" w:rsidRDefault="000C339B" w:rsidP="000C339B">
      <w:pPr>
        <w:autoSpaceDE w:val="0"/>
        <w:autoSpaceDN w:val="0"/>
        <w:adjustRightInd w:val="0"/>
        <w:spacing w:line="360" w:lineRule="auto"/>
        <w:jc w:val="left"/>
        <w:rPr>
          <w:rFonts w:cs="Arial"/>
          <w:bCs/>
          <w:sz w:val="18"/>
          <w:szCs w:val="18"/>
        </w:rPr>
      </w:pPr>
      <w:r w:rsidRPr="00073AAD">
        <w:rPr>
          <w:b/>
          <w:sz w:val="28"/>
          <w:szCs w:val="28"/>
        </w:rPr>
        <w:lastRenderedPageBreak/>
        <w:t>Pregunta 18</w:t>
      </w:r>
      <w:r w:rsidRPr="00073AAD">
        <w:rPr>
          <w:sz w:val="28"/>
          <w:szCs w:val="28"/>
        </w:rPr>
        <w:t>:</w:t>
      </w:r>
      <w:r w:rsidRPr="00073AAD">
        <w:rPr>
          <w:rFonts w:cs="Arial"/>
          <w:bCs/>
          <w:sz w:val="28"/>
          <w:szCs w:val="28"/>
        </w:rPr>
        <w:br/>
      </w:r>
      <w:r>
        <w:rPr>
          <w:sz w:val="18"/>
        </w:rPr>
        <w:t>c)</w:t>
      </w:r>
      <w:r w:rsidR="0058413A">
        <w:rPr>
          <w:sz w:val="18"/>
        </w:rPr>
        <w:t xml:space="preserve"> </w:t>
      </w:r>
      <w:r>
        <w:rPr>
          <w:sz w:val="18"/>
        </w:rPr>
        <w:t xml:space="preserve">taxones de los cuales la autoridad suministra informes DHE existentes a otras autoridades </w:t>
      </w:r>
    </w:p>
    <w:p w:rsidR="000C339B" w:rsidRPr="000C339B" w:rsidRDefault="000C339B" w:rsidP="000C339B">
      <w:pPr>
        <w:rPr>
          <w:rFonts w:cs="Arial"/>
          <w:sz w:val="18"/>
          <w:szCs w:val="18"/>
        </w:rPr>
      </w:pPr>
    </w:p>
    <w:tbl>
      <w:tblPr>
        <w:tblStyle w:val="TableGrid"/>
        <w:tblpPr w:leftFromText="180" w:rightFromText="180" w:vertAnchor="text" w:horzAnchor="margin" w:tblpY="255"/>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0C339B" w:rsidRPr="00E678B8" w:rsidTr="00616CFA">
        <w:trPr>
          <w:trHeight w:hRule="exact" w:val="844"/>
        </w:trPr>
        <w:tc>
          <w:tcPr>
            <w:tcW w:w="2476" w:type="dxa"/>
            <w:vAlign w:val="center"/>
          </w:tcPr>
          <w:p w:rsidR="000C339B" w:rsidRPr="00E678B8" w:rsidRDefault="000C339B" w:rsidP="00616CFA">
            <w:pPr>
              <w:spacing w:before="37"/>
              <w:ind w:left="29" w:right="-20"/>
              <w:jc w:val="right"/>
              <w:rPr>
                <w:rFonts w:eastAsia="Arial" w:cs="Arial"/>
                <w:sz w:val="16"/>
                <w:szCs w:val="17"/>
              </w:rPr>
            </w:pPr>
            <w:r>
              <w:rPr>
                <w:sz w:val="16"/>
              </w:rPr>
              <w:t>Sí</w:t>
            </w:r>
          </w:p>
        </w:tc>
      </w:tr>
      <w:tr w:rsidR="000C339B" w:rsidRPr="00E678B8" w:rsidTr="00616CFA">
        <w:trPr>
          <w:trHeight w:hRule="exact" w:val="871"/>
        </w:trPr>
        <w:tc>
          <w:tcPr>
            <w:tcW w:w="2476" w:type="dxa"/>
            <w:vAlign w:val="center"/>
          </w:tcPr>
          <w:p w:rsidR="000C339B" w:rsidRPr="00E678B8" w:rsidRDefault="000C339B" w:rsidP="00616CFA">
            <w:pPr>
              <w:spacing w:before="30"/>
              <w:ind w:left="43" w:right="-20"/>
              <w:jc w:val="right"/>
              <w:rPr>
                <w:rFonts w:cs="Arial"/>
                <w:sz w:val="18"/>
                <w:szCs w:val="18"/>
              </w:rPr>
            </w:pPr>
            <w:r>
              <w:rPr>
                <w:sz w:val="16"/>
              </w:rPr>
              <w:t xml:space="preserve">No </w:t>
            </w:r>
          </w:p>
        </w:tc>
      </w:tr>
    </w:tbl>
    <w:p w:rsidR="000C339B" w:rsidRPr="00E678B8" w:rsidRDefault="000C339B" w:rsidP="000C339B">
      <w:pPr>
        <w:rPr>
          <w:rFonts w:cs="Arial"/>
          <w:sz w:val="18"/>
          <w:szCs w:val="18"/>
        </w:rPr>
      </w:pPr>
      <w:r>
        <w:rPr>
          <w:rFonts w:cs="Arial"/>
          <w:noProof/>
          <w:lang w:eastAsia="es-ES_tradnl"/>
        </w:rPr>
        <w:drawing>
          <wp:inline distT="0" distB="0" distL="0" distR="0" wp14:anchorId="7C46DEB7" wp14:editId="45DB14DB">
            <wp:extent cx="4343399" cy="153125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4343399" cy="1531252"/>
                    </a:xfrm>
                    <a:prstGeom prst="rect">
                      <a:avLst/>
                    </a:prstGeom>
                  </pic:spPr>
                </pic:pic>
              </a:graphicData>
            </a:graphic>
          </wp:inline>
        </w:drawing>
      </w: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tabs>
          <w:tab w:val="left" w:pos="2379"/>
        </w:tabs>
        <w:jc w:val="center"/>
        <w:rPr>
          <w:rFonts w:cs="Arial"/>
          <w:b/>
          <w:bCs/>
          <w:sz w:val="22"/>
          <w:szCs w:val="22"/>
        </w:rPr>
      </w:pPr>
      <w:r>
        <w:rPr>
          <w:b/>
          <w:sz w:val="22"/>
        </w:rPr>
        <w:t>Tabla de frecuencias</w:t>
      </w:r>
    </w:p>
    <w:p w:rsidR="000C339B" w:rsidRPr="00E678B8" w:rsidRDefault="000C339B" w:rsidP="000C339B">
      <w:pPr>
        <w:tabs>
          <w:tab w:val="left" w:pos="2379"/>
        </w:tabs>
        <w:jc w:val="center"/>
        <w:rPr>
          <w:rFonts w:cs="Arial"/>
          <w:b/>
          <w:bCs/>
          <w:sz w:val="22"/>
          <w:szCs w:val="22"/>
        </w:rPr>
      </w:pP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211"/>
        <w:gridCol w:w="1276"/>
        <w:gridCol w:w="1276"/>
        <w:gridCol w:w="1417"/>
      </w:tblGrid>
      <w:tr w:rsidR="000C339B" w:rsidRPr="00E678B8" w:rsidTr="002E70E9">
        <w:trPr>
          <w:trHeight w:hRule="exact" w:val="820"/>
        </w:trPr>
        <w:tc>
          <w:tcPr>
            <w:tcW w:w="5211"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8"/>
                <w:szCs w:val="18"/>
              </w:rPr>
            </w:pPr>
          </w:p>
          <w:p w:rsidR="000C339B" w:rsidRPr="00E678B8" w:rsidRDefault="000C339B" w:rsidP="00616CFA">
            <w:pPr>
              <w:jc w:val="left"/>
              <w:rPr>
                <w:rFonts w:eastAsia="Arial" w:cs="Arial"/>
                <w:sz w:val="18"/>
                <w:szCs w:val="18"/>
              </w:rPr>
            </w:pPr>
          </w:p>
          <w:p w:rsidR="000C339B" w:rsidRPr="00E678B8" w:rsidRDefault="000C339B" w:rsidP="00616CFA">
            <w:pPr>
              <w:jc w:val="left"/>
              <w:rPr>
                <w:rFonts w:eastAsia="Arial" w:cs="Arial"/>
                <w:sz w:val="18"/>
                <w:szCs w:val="18"/>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8"/>
                <w:szCs w:val="18"/>
              </w:rPr>
            </w:pPr>
            <w:r>
              <w:rPr>
                <w:b/>
                <w:color w:val="111111"/>
                <w:w w:val="107"/>
                <w:sz w:val="18"/>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w w:val="107"/>
                <w:sz w:val="18"/>
                <w:szCs w:val="18"/>
              </w:rPr>
            </w:pPr>
            <w:r>
              <w:rPr>
                <w:b/>
                <w:w w:val="107"/>
                <w:sz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8"/>
                <w:szCs w:val="18"/>
              </w:rPr>
            </w:pPr>
            <w:r>
              <w:rPr>
                <w:b/>
                <w:w w:val="106"/>
                <w:sz w:val="18"/>
              </w:rPr>
              <w:t>Frecuencia relativa</w:t>
            </w:r>
            <w:r>
              <w:rPr>
                <w:rFonts w:eastAsia="Arial" w:cs="Arial"/>
                <w:b/>
                <w:bCs/>
                <w:w w:val="106"/>
                <w:sz w:val="18"/>
                <w:szCs w:val="18"/>
              </w:rPr>
              <w:br/>
            </w:r>
            <w:r>
              <w:rPr>
                <w:b/>
                <w:w w:val="106"/>
                <w:sz w:val="18"/>
              </w:rPr>
              <w:t>ajustada</w:t>
            </w:r>
          </w:p>
        </w:tc>
      </w:tr>
      <w:tr w:rsidR="000C339B" w:rsidRPr="00E678B8" w:rsidTr="002E70E9">
        <w:trPr>
          <w:trHeight w:val="283"/>
        </w:trPr>
        <w:tc>
          <w:tcPr>
            <w:tcW w:w="5211"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Sí</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37</w:t>
            </w:r>
          </w:p>
        </w:tc>
        <w:tc>
          <w:tcPr>
            <w:tcW w:w="1276" w:type="dxa"/>
            <w:tcBorders>
              <w:top w:val="single" w:sz="12" w:space="0" w:color="auto"/>
              <w:left w:val="nil"/>
              <w:bottom w:val="nil"/>
              <w:right w:val="nil"/>
            </w:tcBorders>
            <w:vAlign w:val="center"/>
          </w:tcPr>
          <w:p w:rsidR="000C339B" w:rsidRPr="00E678B8" w:rsidRDefault="000C339B" w:rsidP="00616CFA">
            <w:pPr>
              <w:jc w:val="left"/>
              <w:rPr>
                <w:rFonts w:eastAsia="Arial" w:cs="Arial"/>
                <w:sz w:val="18"/>
                <w:szCs w:val="18"/>
              </w:rPr>
            </w:pPr>
            <w:r>
              <w:rPr>
                <w:sz w:val="18"/>
              </w:rPr>
              <w:t>66,07%</w:t>
            </w:r>
          </w:p>
        </w:tc>
        <w:tc>
          <w:tcPr>
            <w:tcW w:w="1417" w:type="dxa"/>
            <w:tcBorders>
              <w:top w:val="single" w:sz="12" w:space="0" w:color="auto"/>
              <w:left w:val="nil"/>
              <w:bottom w:val="nil"/>
              <w:right w:val="nil"/>
            </w:tcBorders>
            <w:vAlign w:val="center"/>
          </w:tcPr>
          <w:p w:rsidR="000C339B" w:rsidRPr="00E678B8" w:rsidRDefault="000C339B" w:rsidP="00616CFA">
            <w:pPr>
              <w:jc w:val="left"/>
              <w:rPr>
                <w:rFonts w:cs="Arial"/>
                <w:sz w:val="18"/>
                <w:szCs w:val="18"/>
              </w:rPr>
            </w:pPr>
            <w:r>
              <w:rPr>
                <w:sz w:val="18"/>
              </w:rPr>
              <w:t>75,51%</w:t>
            </w:r>
          </w:p>
        </w:tc>
      </w:tr>
      <w:tr w:rsidR="000C339B" w:rsidRPr="00E678B8" w:rsidTr="002E70E9">
        <w:trPr>
          <w:trHeight w:val="283"/>
        </w:trPr>
        <w:tc>
          <w:tcPr>
            <w:tcW w:w="5211"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No</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12</w:t>
            </w:r>
          </w:p>
        </w:tc>
        <w:tc>
          <w:tcPr>
            <w:tcW w:w="1276" w:type="dxa"/>
            <w:tcBorders>
              <w:top w:val="nil"/>
              <w:left w:val="nil"/>
              <w:bottom w:val="nil"/>
              <w:right w:val="nil"/>
            </w:tcBorders>
            <w:vAlign w:val="center"/>
          </w:tcPr>
          <w:p w:rsidR="000C339B" w:rsidRPr="00E678B8" w:rsidRDefault="000C339B" w:rsidP="00616CFA">
            <w:pPr>
              <w:jc w:val="left"/>
              <w:rPr>
                <w:rFonts w:eastAsia="Arial" w:cs="Arial"/>
                <w:sz w:val="18"/>
                <w:szCs w:val="18"/>
              </w:rPr>
            </w:pPr>
            <w:r>
              <w:rPr>
                <w:sz w:val="18"/>
              </w:rPr>
              <w:t>21,43%</w:t>
            </w:r>
          </w:p>
        </w:tc>
        <w:tc>
          <w:tcPr>
            <w:tcW w:w="1417"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24,49%</w:t>
            </w:r>
          </w:p>
        </w:tc>
      </w:tr>
      <w:tr w:rsidR="000C339B" w:rsidRPr="00E678B8" w:rsidTr="002E70E9">
        <w:trPr>
          <w:trHeight w:val="283"/>
        </w:trPr>
        <w:tc>
          <w:tcPr>
            <w:tcW w:w="521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spacing w:before="37"/>
              <w:ind w:left="43" w:right="-20"/>
              <w:jc w:val="left"/>
              <w:rPr>
                <w:rFonts w:eastAsia="Arial"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49</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eastAsia="Arial" w:cs="Arial"/>
                <w:position w:val="1"/>
                <w:sz w:val="18"/>
                <w:szCs w:val="18"/>
              </w:rPr>
            </w:pPr>
            <w:r>
              <w:rPr>
                <w:position w:val="1"/>
                <w:sz w:val="18"/>
              </w:rPr>
              <w:t>87,5%</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position w:val="1"/>
                <w:sz w:val="18"/>
              </w:rPr>
              <w:t>100%</w:t>
            </w:r>
          </w:p>
        </w:tc>
      </w:tr>
      <w:tr w:rsidR="000C339B" w:rsidRPr="00E678B8" w:rsidTr="002E70E9">
        <w:trPr>
          <w:trHeight w:val="283"/>
        </w:trPr>
        <w:tc>
          <w:tcPr>
            <w:tcW w:w="5211"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43" w:right="-20"/>
              <w:jc w:val="left"/>
              <w:rPr>
                <w:rFonts w:eastAsia="Arial"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7</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5" w:right="-20"/>
              <w:jc w:val="left"/>
              <w:rPr>
                <w:rFonts w:eastAsia="Arial" w:cs="Arial"/>
                <w:sz w:val="18"/>
                <w:szCs w:val="18"/>
              </w:rPr>
            </w:pPr>
            <w:r>
              <w:rPr>
                <w:sz w:val="18"/>
              </w:rPr>
              <w:t>12,5%</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0"/>
              <w:ind w:left="98" w:right="-20"/>
              <w:rPr>
                <w:rFonts w:eastAsia="Arial" w:cs="Arial"/>
                <w:sz w:val="18"/>
                <w:szCs w:val="18"/>
              </w:rPr>
            </w:pPr>
            <w:r>
              <w:rPr>
                <w:sz w:val="18"/>
              </w:rPr>
              <w:t>-</w:t>
            </w:r>
          </w:p>
        </w:tc>
      </w:tr>
      <w:tr w:rsidR="000C339B" w:rsidRPr="00E678B8" w:rsidTr="002E70E9">
        <w:trPr>
          <w:trHeight w:val="283"/>
        </w:trPr>
        <w:tc>
          <w:tcPr>
            <w:tcW w:w="5211"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szCs w:val="18"/>
              </w:rPr>
            </w:pPr>
            <w:r>
              <w:rPr>
                <w:b/>
                <w:sz w:val="18"/>
              </w:rPr>
              <w:t>Respondieron en total:</w:t>
            </w:r>
            <w:r w:rsidR="000C339B">
              <w:rPr>
                <w:b/>
                <w:sz w:val="18"/>
              </w:rPr>
              <w:t xml:space="preserve"> 49</w:t>
            </w: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eastAsia="Arial" w:cs="Arial"/>
                <w:sz w:val="17"/>
                <w:szCs w:val="17"/>
              </w:rPr>
            </w:pPr>
          </w:p>
        </w:tc>
        <w:tc>
          <w:tcPr>
            <w:tcW w:w="1276" w:type="dxa"/>
            <w:tcBorders>
              <w:top w:val="single" w:sz="12" w:space="0" w:color="A6A6A6" w:themeColor="background1" w:themeShade="A6"/>
              <w:left w:val="nil"/>
              <w:bottom w:val="nil"/>
              <w:right w:val="nil"/>
            </w:tcBorders>
          </w:tcPr>
          <w:p w:rsidR="000C339B" w:rsidRPr="00E678B8" w:rsidRDefault="000C339B" w:rsidP="00616CFA">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0C339B" w:rsidRPr="00E678B8" w:rsidRDefault="000C339B" w:rsidP="00616CFA">
            <w:pPr>
              <w:spacing w:before="30"/>
              <w:ind w:left="98" w:right="-20"/>
              <w:rPr>
                <w:rFonts w:eastAsia="Arial" w:cs="Arial"/>
                <w:sz w:val="17"/>
                <w:szCs w:val="17"/>
              </w:rPr>
            </w:pPr>
          </w:p>
        </w:tc>
      </w:tr>
    </w:tbl>
    <w:p w:rsidR="000C339B" w:rsidRPr="00E678B8" w:rsidRDefault="000C339B" w:rsidP="000C339B">
      <w:pPr>
        <w:tabs>
          <w:tab w:val="left" w:pos="2379"/>
        </w:tabs>
        <w:jc w:val="center"/>
        <w:rPr>
          <w:rFonts w:cs="Arial"/>
          <w:sz w:val="18"/>
          <w:szCs w:val="18"/>
        </w:rPr>
      </w:pPr>
    </w:p>
    <w:p w:rsidR="000C339B" w:rsidRPr="00E678B8" w:rsidRDefault="000C339B" w:rsidP="000C339B">
      <w:pPr>
        <w:tabs>
          <w:tab w:val="left" w:pos="1252"/>
        </w:tabs>
        <w:rPr>
          <w:rFonts w:cs="Arial"/>
          <w:sz w:val="18"/>
          <w:szCs w:val="18"/>
        </w:rPr>
      </w:pPr>
    </w:p>
    <w:p w:rsidR="000C339B" w:rsidRPr="00E678B8" w:rsidRDefault="000C339B" w:rsidP="000C339B">
      <w:pPr>
        <w:jc w:val="left"/>
        <w:rPr>
          <w:rFonts w:cs="Arial"/>
          <w:sz w:val="18"/>
          <w:u w:val="single"/>
        </w:rPr>
      </w:pPr>
      <w:r>
        <w:rPr>
          <w:sz w:val="18"/>
          <w:u w:val="single"/>
        </w:rPr>
        <w:t>Comentarios</w:t>
      </w:r>
    </w:p>
    <w:p w:rsidR="000C339B" w:rsidRPr="00E678B8" w:rsidRDefault="000C339B" w:rsidP="000C339B">
      <w:pPr>
        <w:jc w:val="left"/>
        <w:rPr>
          <w:rFonts w:cs="Arial"/>
          <w:sz w:val="18"/>
          <w:u w:val="single"/>
        </w:rPr>
      </w:pPr>
    </w:p>
    <w:tbl>
      <w:tblPr>
        <w:tblW w:w="9285"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0C339B" w:rsidRPr="000C339B" w:rsidTr="00616CFA">
        <w:trPr>
          <w:trHeight w:val="507"/>
        </w:trPr>
        <w:tc>
          <w:tcPr>
            <w:tcW w:w="9285" w:type="dxa"/>
            <w:shd w:val="clear" w:color="000000" w:fill="FFFFFF"/>
            <w:hideMark/>
          </w:tcPr>
          <w:p w:rsidR="000C339B" w:rsidRPr="000C339B" w:rsidRDefault="000C339B" w:rsidP="002E70E9">
            <w:pPr>
              <w:jc w:val="left"/>
              <w:rPr>
                <w:rFonts w:cs="Arial"/>
                <w:color w:val="000000"/>
                <w:sz w:val="18"/>
                <w:highlight w:val="yellow"/>
              </w:rPr>
            </w:pPr>
            <w:r>
              <w:rPr>
                <w:color w:val="000000"/>
                <w:sz w:val="18"/>
              </w:rPr>
              <w:t>Sí y no: la información no es muy clara. También sería útil poder extraer la dirección de la autoridad competente y que se pu</w:t>
            </w:r>
            <w:r w:rsidR="002E70E9">
              <w:rPr>
                <w:color w:val="000000"/>
                <w:sz w:val="18"/>
              </w:rPr>
              <w:t>diera</w:t>
            </w:r>
            <w:r>
              <w:rPr>
                <w:color w:val="000000"/>
                <w:sz w:val="18"/>
              </w:rPr>
              <w:t xml:space="preserve"> ver el plazo (fecha) de solicitud de la variedad en cuestión.</w:t>
            </w:r>
          </w:p>
        </w:tc>
      </w:tr>
      <w:tr w:rsidR="000C339B" w:rsidRPr="000C339B" w:rsidTr="00616CFA">
        <w:trPr>
          <w:trHeight w:val="363"/>
        </w:trPr>
        <w:tc>
          <w:tcPr>
            <w:tcW w:w="9285" w:type="dxa"/>
            <w:shd w:val="clear" w:color="000000" w:fill="FFFFFF"/>
            <w:hideMark/>
          </w:tcPr>
          <w:p w:rsidR="000C339B" w:rsidRPr="000C339B" w:rsidRDefault="000C339B" w:rsidP="00616CFA">
            <w:pPr>
              <w:jc w:val="left"/>
              <w:rPr>
                <w:rFonts w:cs="Arial"/>
                <w:color w:val="000000"/>
                <w:sz w:val="18"/>
              </w:rPr>
            </w:pPr>
            <w:r>
              <w:rPr>
                <w:color w:val="000000"/>
                <w:sz w:val="18"/>
              </w:rPr>
              <w:t>Sí, se actualizará sistemáticamente.</w:t>
            </w:r>
          </w:p>
        </w:tc>
      </w:tr>
      <w:tr w:rsidR="000C339B" w:rsidRPr="000C339B" w:rsidTr="00616CFA">
        <w:trPr>
          <w:trHeight w:val="363"/>
        </w:trPr>
        <w:tc>
          <w:tcPr>
            <w:tcW w:w="9285" w:type="dxa"/>
            <w:shd w:val="clear" w:color="000000" w:fill="FFFFFF"/>
            <w:hideMark/>
          </w:tcPr>
          <w:p w:rsidR="000C339B" w:rsidRPr="000C339B" w:rsidRDefault="000C339B" w:rsidP="00616CFA">
            <w:pPr>
              <w:jc w:val="left"/>
              <w:rPr>
                <w:rFonts w:cs="Arial"/>
                <w:color w:val="000000"/>
                <w:sz w:val="18"/>
              </w:rPr>
            </w:pPr>
            <w:r>
              <w:rPr>
                <w:i/>
                <w:color w:val="000000"/>
                <w:sz w:val="18"/>
              </w:rPr>
              <w:t>Phalaris arundinacea</w:t>
            </w:r>
            <w:r>
              <w:rPr>
                <w:color w:val="000000"/>
                <w:sz w:val="18"/>
              </w:rPr>
              <w:t xml:space="preserve"> debe eliminarse de la lista.</w:t>
            </w:r>
          </w:p>
        </w:tc>
      </w:tr>
      <w:tr w:rsidR="000C339B" w:rsidRPr="000C339B" w:rsidTr="00616CFA">
        <w:trPr>
          <w:trHeight w:val="354"/>
        </w:trPr>
        <w:tc>
          <w:tcPr>
            <w:tcW w:w="9285" w:type="dxa"/>
            <w:shd w:val="clear" w:color="000000" w:fill="FFFFFF"/>
            <w:hideMark/>
          </w:tcPr>
          <w:p w:rsidR="000C339B" w:rsidRPr="000C339B" w:rsidRDefault="000C339B" w:rsidP="00616CFA">
            <w:pPr>
              <w:jc w:val="left"/>
              <w:rPr>
                <w:rFonts w:cs="Arial"/>
                <w:color w:val="000000"/>
                <w:sz w:val="18"/>
              </w:rPr>
            </w:pPr>
            <w:r>
              <w:rPr>
                <w:color w:val="000000"/>
                <w:sz w:val="18"/>
              </w:rPr>
              <w:t>Podemos ofrecer informes DHE para la especie soja.</w:t>
            </w:r>
          </w:p>
        </w:tc>
      </w:tr>
      <w:tr w:rsidR="000C339B" w:rsidRPr="000C339B" w:rsidTr="00616CFA">
        <w:trPr>
          <w:trHeight w:val="363"/>
        </w:trPr>
        <w:tc>
          <w:tcPr>
            <w:tcW w:w="9285" w:type="dxa"/>
            <w:shd w:val="clear" w:color="000000" w:fill="FFFFFF"/>
            <w:hideMark/>
          </w:tcPr>
          <w:p w:rsidR="000C339B" w:rsidRPr="000C339B" w:rsidRDefault="000C339B" w:rsidP="00616CFA">
            <w:pPr>
              <w:jc w:val="left"/>
              <w:rPr>
                <w:rFonts w:cs="Arial"/>
                <w:color w:val="000000"/>
                <w:sz w:val="18"/>
              </w:rPr>
            </w:pPr>
            <w:r>
              <w:rPr>
                <w:color w:val="000000"/>
                <w:sz w:val="18"/>
              </w:rPr>
              <w:t>Es improbable que esté actualizado en lo que se refiere a especies que ya no se examinan en el Reino Unido.</w:t>
            </w:r>
          </w:p>
        </w:tc>
      </w:tr>
      <w:tr w:rsidR="000C339B" w:rsidRPr="000C339B" w:rsidTr="00616CFA">
        <w:trPr>
          <w:trHeight w:val="723"/>
        </w:trPr>
        <w:tc>
          <w:tcPr>
            <w:tcW w:w="9285" w:type="dxa"/>
            <w:shd w:val="clear" w:color="000000" w:fill="FFFFFF"/>
            <w:hideMark/>
          </w:tcPr>
          <w:p w:rsidR="000C339B" w:rsidRPr="000C339B" w:rsidRDefault="000C339B" w:rsidP="00616CFA">
            <w:pPr>
              <w:jc w:val="left"/>
              <w:rPr>
                <w:rFonts w:cs="Arial"/>
                <w:color w:val="000000"/>
                <w:sz w:val="18"/>
              </w:rPr>
            </w:pPr>
            <w:r>
              <w:rPr>
                <w:color w:val="000000"/>
                <w:sz w:val="18"/>
              </w:rPr>
              <w:t>Se realizan además de los detallados en la base Genie, tenemos la capacidad para efectuar los exámenes DHE de los siguientes especies: Trigo, Cebada, Colza, Avena, Dactylis, Bromus catharticus, Trébol rojo, Trébol blanco, Alfalfa, Lotus, Moha, Sudangras, Arroz, Soja, Papa, Frutilla, Boniato y Achicoria.</w:t>
            </w:r>
          </w:p>
        </w:tc>
      </w:tr>
      <w:tr w:rsidR="000C339B" w:rsidRPr="00E678B8" w:rsidTr="00616CFA">
        <w:trPr>
          <w:trHeight w:val="417"/>
        </w:trPr>
        <w:tc>
          <w:tcPr>
            <w:tcW w:w="9285" w:type="dxa"/>
            <w:shd w:val="clear" w:color="000000" w:fill="FFFFFF"/>
            <w:hideMark/>
          </w:tcPr>
          <w:p w:rsidR="000C339B" w:rsidRPr="00E678B8" w:rsidRDefault="000C339B" w:rsidP="00616CFA">
            <w:pPr>
              <w:jc w:val="left"/>
              <w:rPr>
                <w:rFonts w:cs="Arial"/>
                <w:color w:val="000000"/>
                <w:sz w:val="18"/>
              </w:rPr>
            </w:pPr>
            <w:r>
              <w:rPr>
                <w:color w:val="000000"/>
                <w:sz w:val="18"/>
              </w:rPr>
              <w:t>Suecia colabora con la OCVV.</w:t>
            </w:r>
          </w:p>
        </w:tc>
      </w:tr>
      <w:tr w:rsidR="000C339B" w:rsidRPr="000C339B" w:rsidTr="00616CFA">
        <w:trPr>
          <w:trHeight w:val="660"/>
        </w:trPr>
        <w:tc>
          <w:tcPr>
            <w:tcW w:w="9285" w:type="dxa"/>
            <w:shd w:val="clear" w:color="000000" w:fill="FFFFFF"/>
            <w:hideMark/>
          </w:tcPr>
          <w:p w:rsidR="000C339B" w:rsidRPr="000C339B" w:rsidRDefault="000C339B" w:rsidP="00616CFA">
            <w:pPr>
              <w:jc w:val="left"/>
              <w:rPr>
                <w:rFonts w:cs="Arial"/>
                <w:color w:val="000000"/>
                <w:sz w:val="18"/>
              </w:rPr>
            </w:pPr>
            <w:r>
              <w:rPr>
                <w:color w:val="000000"/>
                <w:sz w:val="18"/>
              </w:rPr>
              <w:t>Sudáfrica ofrece proporcionar los informes DHE existentes a otras autoridades para todos los taxones que examina (en GENIE se indican determinados taxones).</w:t>
            </w:r>
          </w:p>
        </w:tc>
      </w:tr>
      <w:tr w:rsidR="000C339B" w:rsidRPr="000C339B" w:rsidTr="00616CFA">
        <w:trPr>
          <w:trHeight w:val="237"/>
        </w:trPr>
        <w:tc>
          <w:tcPr>
            <w:tcW w:w="9285" w:type="dxa"/>
            <w:shd w:val="clear" w:color="000000" w:fill="FFFFFF"/>
            <w:hideMark/>
          </w:tcPr>
          <w:p w:rsidR="000C339B" w:rsidRPr="000C339B" w:rsidRDefault="000C339B" w:rsidP="00616CFA">
            <w:pPr>
              <w:jc w:val="left"/>
              <w:rPr>
                <w:rFonts w:cs="Arial"/>
                <w:color w:val="000000"/>
                <w:sz w:val="18"/>
              </w:rPr>
            </w:pPr>
            <w:r>
              <w:rPr>
                <w:color w:val="000000"/>
                <w:sz w:val="18"/>
              </w:rPr>
              <w:t>No está actualizado.</w:t>
            </w:r>
            <w:r w:rsidR="0058413A">
              <w:rPr>
                <w:color w:val="000000"/>
                <w:sz w:val="18"/>
              </w:rPr>
              <w:t xml:space="preserve"> </w:t>
            </w:r>
            <w:r>
              <w:rPr>
                <w:color w:val="000000"/>
                <w:sz w:val="18"/>
              </w:rPr>
              <w:t>La oficina proporciona los informes DHE existentes a las siguientes autoridades: AT, BE, BIH, BG, HR, IR, MOL, CZ, RO, RS, HU, SK, SI, TR, RU y UA.</w:t>
            </w:r>
          </w:p>
        </w:tc>
      </w:tr>
    </w:tbl>
    <w:p w:rsidR="000C339B" w:rsidRPr="000C339B" w:rsidRDefault="000C339B" w:rsidP="000C339B">
      <w:pPr>
        <w:rPr>
          <w:rFonts w:cs="Arial"/>
          <w:sz w:val="18"/>
          <w:szCs w:val="18"/>
        </w:rPr>
      </w:pPr>
    </w:p>
    <w:p w:rsidR="000C339B" w:rsidRPr="000C339B" w:rsidRDefault="000C339B" w:rsidP="000C339B">
      <w:pPr>
        <w:jc w:val="left"/>
        <w:rPr>
          <w:rFonts w:cs="Arial"/>
          <w:b/>
          <w:bCs/>
          <w:sz w:val="28"/>
          <w:szCs w:val="28"/>
        </w:rPr>
      </w:pPr>
      <w:r>
        <w:br w:type="page"/>
      </w:r>
    </w:p>
    <w:p w:rsidR="000C339B" w:rsidRPr="000C339B" w:rsidRDefault="000C339B" w:rsidP="000C339B">
      <w:pPr>
        <w:autoSpaceDE w:val="0"/>
        <w:autoSpaceDN w:val="0"/>
        <w:adjustRightInd w:val="0"/>
        <w:spacing w:line="360" w:lineRule="auto"/>
        <w:jc w:val="left"/>
        <w:rPr>
          <w:rFonts w:cs="Arial"/>
          <w:bCs/>
          <w:sz w:val="18"/>
          <w:szCs w:val="18"/>
        </w:rPr>
      </w:pPr>
      <w:r w:rsidRPr="00073AAD">
        <w:rPr>
          <w:b/>
          <w:sz w:val="28"/>
          <w:szCs w:val="28"/>
        </w:rPr>
        <w:lastRenderedPageBreak/>
        <w:t>Pregunta 19</w:t>
      </w:r>
      <w:r w:rsidRPr="00073AAD">
        <w:rPr>
          <w:sz w:val="28"/>
          <w:szCs w:val="28"/>
        </w:rPr>
        <w:t>:</w:t>
      </w:r>
      <w:r w:rsidRPr="00073AAD">
        <w:rPr>
          <w:rFonts w:cs="Arial"/>
          <w:bCs/>
          <w:sz w:val="28"/>
          <w:szCs w:val="28"/>
        </w:rPr>
        <w:br/>
      </w:r>
      <w:r>
        <w:rPr>
          <w:sz w:val="18"/>
        </w:rPr>
        <w:t>d)</w:t>
      </w:r>
      <w:r w:rsidR="0058413A">
        <w:rPr>
          <w:sz w:val="18"/>
        </w:rPr>
        <w:t xml:space="preserve"> </w:t>
      </w:r>
      <w:r>
        <w:rPr>
          <w:sz w:val="18"/>
        </w:rPr>
        <w:t>taxones de los cuales la autoridad utiliza informes DHE existentes de otras autoridades</w:t>
      </w:r>
    </w:p>
    <w:p w:rsidR="000C339B" w:rsidRPr="000C339B" w:rsidRDefault="000C339B" w:rsidP="000C339B">
      <w:pPr>
        <w:rPr>
          <w:rFonts w:cs="Arial"/>
          <w:sz w:val="18"/>
          <w:szCs w:val="18"/>
        </w:rPr>
      </w:pPr>
    </w:p>
    <w:p w:rsidR="000C339B" w:rsidRPr="000C339B" w:rsidRDefault="000C339B" w:rsidP="000C339B">
      <w:pPr>
        <w:rPr>
          <w:rFonts w:cs="Arial"/>
          <w:sz w:val="18"/>
          <w:szCs w:val="18"/>
        </w:rPr>
      </w:pP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0C339B" w:rsidRPr="00E678B8" w:rsidTr="00616CFA">
        <w:trPr>
          <w:trHeight w:hRule="exact" w:val="854"/>
        </w:trPr>
        <w:tc>
          <w:tcPr>
            <w:tcW w:w="3010" w:type="dxa"/>
            <w:vAlign w:val="center"/>
          </w:tcPr>
          <w:p w:rsidR="000C339B" w:rsidRPr="00E678B8" w:rsidRDefault="000C339B" w:rsidP="00616CFA">
            <w:pPr>
              <w:spacing w:before="37"/>
              <w:ind w:left="29" w:right="-20"/>
              <w:jc w:val="right"/>
              <w:rPr>
                <w:rFonts w:eastAsia="Arial" w:cs="Arial"/>
                <w:sz w:val="16"/>
                <w:szCs w:val="17"/>
              </w:rPr>
            </w:pPr>
            <w:r>
              <w:rPr>
                <w:sz w:val="16"/>
              </w:rPr>
              <w:t>Sí</w:t>
            </w:r>
          </w:p>
        </w:tc>
      </w:tr>
      <w:tr w:rsidR="000C339B" w:rsidRPr="00E678B8" w:rsidTr="00616CFA">
        <w:trPr>
          <w:trHeight w:hRule="exact" w:val="871"/>
        </w:trPr>
        <w:tc>
          <w:tcPr>
            <w:tcW w:w="3010" w:type="dxa"/>
            <w:vAlign w:val="center"/>
          </w:tcPr>
          <w:p w:rsidR="000C339B" w:rsidRPr="00E678B8" w:rsidRDefault="000C339B" w:rsidP="00616CFA">
            <w:pPr>
              <w:spacing w:before="30"/>
              <w:ind w:left="43" w:right="-20"/>
              <w:jc w:val="right"/>
              <w:rPr>
                <w:rFonts w:cs="Arial"/>
                <w:sz w:val="16"/>
                <w:szCs w:val="18"/>
              </w:rPr>
            </w:pPr>
            <w:r>
              <w:rPr>
                <w:sz w:val="16"/>
              </w:rPr>
              <w:t>No</w:t>
            </w:r>
          </w:p>
        </w:tc>
      </w:tr>
    </w:tbl>
    <w:p w:rsidR="000C339B" w:rsidRPr="00E678B8" w:rsidRDefault="000C339B" w:rsidP="000C339B">
      <w:pPr>
        <w:tabs>
          <w:tab w:val="left" w:pos="3494"/>
        </w:tabs>
        <w:rPr>
          <w:rFonts w:cs="Arial"/>
          <w:sz w:val="18"/>
          <w:szCs w:val="18"/>
        </w:rPr>
      </w:pPr>
      <w:r>
        <w:rPr>
          <w:rFonts w:cs="Arial"/>
          <w:noProof/>
          <w:lang w:eastAsia="es-ES_tradnl"/>
        </w:rPr>
        <w:drawing>
          <wp:anchor distT="0" distB="0" distL="114300" distR="114300" simplePos="0" relativeHeight="251660288" behindDoc="1" locked="0" layoutInCell="1" allowOverlap="1" wp14:anchorId="00BBF180" wp14:editId="452C6A1B">
            <wp:simplePos x="0" y="0"/>
            <wp:positionH relativeFrom="column">
              <wp:posOffset>2129790</wp:posOffset>
            </wp:positionH>
            <wp:positionV relativeFrom="paragraph">
              <wp:posOffset>18415</wp:posOffset>
            </wp:positionV>
            <wp:extent cx="3611880" cy="1470660"/>
            <wp:effectExtent l="0" t="0" r="7620" b="0"/>
            <wp:wrapThrough wrapText="bothSides">
              <wp:wrapPolygon edited="0">
                <wp:start x="0" y="0"/>
                <wp:lineTo x="0" y="21264"/>
                <wp:lineTo x="21532" y="21264"/>
                <wp:lineTo x="2153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611880" cy="1470660"/>
                    </a:xfrm>
                    <a:prstGeom prst="rect">
                      <a:avLst/>
                    </a:prstGeom>
                  </pic:spPr>
                </pic:pic>
              </a:graphicData>
            </a:graphic>
          </wp:anchor>
        </w:drawing>
      </w:r>
      <w:r>
        <w:tab/>
      </w: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rPr>
          <w:rFonts w:cs="Arial"/>
          <w:sz w:val="18"/>
          <w:szCs w:val="18"/>
        </w:rPr>
      </w:pPr>
    </w:p>
    <w:p w:rsidR="000C339B" w:rsidRPr="00E678B8" w:rsidRDefault="000C339B" w:rsidP="000C339B">
      <w:pPr>
        <w:tabs>
          <w:tab w:val="left" w:pos="5647"/>
        </w:tabs>
        <w:rPr>
          <w:rFonts w:cs="Arial"/>
          <w:sz w:val="18"/>
          <w:szCs w:val="18"/>
        </w:rPr>
      </w:pPr>
    </w:p>
    <w:p w:rsidR="000C339B" w:rsidRPr="00E678B8" w:rsidRDefault="000C339B" w:rsidP="000C339B">
      <w:pPr>
        <w:tabs>
          <w:tab w:val="left" w:pos="5647"/>
        </w:tabs>
        <w:rPr>
          <w:rFonts w:cs="Arial"/>
          <w:sz w:val="18"/>
          <w:szCs w:val="18"/>
        </w:rPr>
      </w:pPr>
    </w:p>
    <w:p w:rsidR="000C339B" w:rsidRPr="00E678B8" w:rsidRDefault="000C339B" w:rsidP="000C339B">
      <w:pPr>
        <w:tabs>
          <w:tab w:val="left" w:pos="5647"/>
        </w:tabs>
        <w:rPr>
          <w:rFonts w:cs="Arial"/>
          <w:sz w:val="18"/>
          <w:szCs w:val="18"/>
        </w:rPr>
      </w:pPr>
    </w:p>
    <w:p w:rsidR="000C339B" w:rsidRPr="00E678B8" w:rsidRDefault="000C339B" w:rsidP="000C339B">
      <w:pPr>
        <w:tabs>
          <w:tab w:val="left" w:pos="4295"/>
        </w:tabs>
        <w:jc w:val="center"/>
        <w:rPr>
          <w:rFonts w:cs="Arial"/>
          <w:sz w:val="18"/>
          <w:szCs w:val="18"/>
        </w:rPr>
      </w:pPr>
      <w:r>
        <w:rPr>
          <w:b/>
          <w:sz w:val="22"/>
        </w:rPr>
        <w:t>Tabla de frecuencias</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211"/>
        <w:gridCol w:w="1276"/>
        <w:gridCol w:w="1276"/>
        <w:gridCol w:w="1417"/>
      </w:tblGrid>
      <w:tr w:rsidR="000C339B" w:rsidRPr="00E678B8" w:rsidTr="002E70E9">
        <w:trPr>
          <w:trHeight w:hRule="exact" w:val="820"/>
        </w:trPr>
        <w:tc>
          <w:tcPr>
            <w:tcW w:w="5211"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tabs>
                <w:tab w:val="left" w:pos="1620"/>
              </w:tabs>
              <w:jc w:val="left"/>
              <w:rPr>
                <w:rFonts w:eastAsia="Arial" w:cs="Arial"/>
                <w:sz w:val="18"/>
                <w:szCs w:val="18"/>
              </w:rPr>
            </w:pPr>
          </w:p>
          <w:p w:rsidR="000C339B" w:rsidRPr="00E678B8" w:rsidRDefault="000C339B" w:rsidP="00616CFA">
            <w:pPr>
              <w:jc w:val="left"/>
              <w:rPr>
                <w:rFonts w:eastAsia="Arial" w:cs="Arial"/>
                <w:sz w:val="18"/>
                <w:szCs w:val="18"/>
              </w:rPr>
            </w:pPr>
          </w:p>
          <w:p w:rsidR="000C339B" w:rsidRPr="00E678B8" w:rsidRDefault="000C339B" w:rsidP="00616CFA">
            <w:pPr>
              <w:jc w:val="left"/>
              <w:rPr>
                <w:rFonts w:eastAsia="Arial" w:cs="Arial"/>
                <w:sz w:val="18"/>
                <w:szCs w:val="18"/>
              </w:rPr>
            </w:pPr>
            <w:r>
              <w:rPr>
                <w:b/>
                <w:sz w:val="18"/>
              </w:rPr>
              <w:t>Opciones</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color w:val="111111"/>
                <w:w w:val="107"/>
                <w:sz w:val="18"/>
                <w:szCs w:val="18"/>
              </w:rPr>
            </w:pPr>
            <w:r>
              <w:rPr>
                <w:b/>
                <w:color w:val="111111"/>
                <w:w w:val="107"/>
                <w:sz w:val="18"/>
              </w:rPr>
              <w:t>Frecuencia absoluta</w:t>
            </w:r>
          </w:p>
        </w:tc>
        <w:tc>
          <w:tcPr>
            <w:tcW w:w="1276" w:type="dxa"/>
            <w:tcBorders>
              <w:top w:val="single" w:sz="12" w:space="0" w:color="auto"/>
              <w:left w:val="nil"/>
              <w:bottom w:val="single" w:sz="12" w:space="0" w:color="auto"/>
              <w:right w:val="nil"/>
            </w:tcBorders>
            <w:shd w:val="clear" w:color="auto" w:fill="BFBFBF" w:themeFill="background1" w:themeFillShade="BF"/>
            <w:vAlign w:val="bottom"/>
          </w:tcPr>
          <w:p w:rsidR="000C339B" w:rsidRPr="00871FA3" w:rsidRDefault="000C339B" w:rsidP="00616CFA">
            <w:pPr>
              <w:ind w:right="-20"/>
              <w:jc w:val="left"/>
              <w:rPr>
                <w:rFonts w:eastAsia="Arial" w:cs="Arial"/>
                <w:b/>
                <w:bCs/>
                <w:w w:val="107"/>
                <w:sz w:val="18"/>
                <w:szCs w:val="18"/>
              </w:rPr>
            </w:pPr>
            <w:r>
              <w:rPr>
                <w:b/>
                <w:w w:val="107"/>
                <w:sz w:val="18"/>
              </w:rPr>
              <w:t>Frecuencia relativa</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0C339B" w:rsidRPr="00E678B8" w:rsidRDefault="000C339B" w:rsidP="00616CFA">
            <w:pPr>
              <w:spacing w:before="72" w:line="180" w:lineRule="exact"/>
              <w:ind w:right="156"/>
              <w:jc w:val="left"/>
              <w:rPr>
                <w:rFonts w:eastAsia="Arial" w:cs="Arial"/>
                <w:b/>
                <w:bCs/>
                <w:color w:val="111111"/>
                <w:w w:val="106"/>
                <w:sz w:val="18"/>
                <w:szCs w:val="18"/>
              </w:rPr>
            </w:pPr>
            <w:r>
              <w:rPr>
                <w:b/>
                <w:w w:val="106"/>
                <w:sz w:val="18"/>
              </w:rPr>
              <w:t>Frecuencia relativa</w:t>
            </w:r>
            <w:r>
              <w:rPr>
                <w:rFonts w:eastAsia="Arial" w:cs="Arial"/>
                <w:b/>
                <w:bCs/>
                <w:w w:val="106"/>
                <w:sz w:val="18"/>
                <w:szCs w:val="18"/>
              </w:rPr>
              <w:br/>
            </w:r>
            <w:r>
              <w:rPr>
                <w:b/>
                <w:w w:val="106"/>
                <w:sz w:val="18"/>
              </w:rPr>
              <w:t>ajustada</w:t>
            </w:r>
          </w:p>
        </w:tc>
      </w:tr>
      <w:tr w:rsidR="000C339B" w:rsidRPr="00E678B8" w:rsidTr="002E70E9">
        <w:trPr>
          <w:trHeight w:val="283"/>
        </w:trPr>
        <w:tc>
          <w:tcPr>
            <w:tcW w:w="5211" w:type="dxa"/>
            <w:tcBorders>
              <w:top w:val="single" w:sz="12" w:space="0" w:color="auto"/>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Sí</w:t>
            </w:r>
          </w:p>
        </w:tc>
        <w:tc>
          <w:tcPr>
            <w:tcW w:w="1276" w:type="dxa"/>
            <w:tcBorders>
              <w:top w:val="single" w:sz="12" w:space="0" w:color="auto"/>
              <w:left w:val="nil"/>
              <w:bottom w:val="nil"/>
              <w:right w:val="nil"/>
            </w:tcBorders>
            <w:vAlign w:val="center"/>
          </w:tcPr>
          <w:p w:rsidR="000C339B" w:rsidRPr="00E678B8" w:rsidRDefault="000C339B" w:rsidP="00616CFA">
            <w:pPr>
              <w:spacing w:line="179" w:lineRule="exact"/>
              <w:ind w:right="-20"/>
              <w:jc w:val="left"/>
              <w:rPr>
                <w:rFonts w:eastAsia="Arial" w:cs="Arial"/>
                <w:sz w:val="18"/>
                <w:szCs w:val="18"/>
              </w:rPr>
            </w:pPr>
            <w:r>
              <w:rPr>
                <w:sz w:val="18"/>
              </w:rPr>
              <w:t>37</w:t>
            </w:r>
          </w:p>
        </w:tc>
        <w:tc>
          <w:tcPr>
            <w:tcW w:w="1276" w:type="dxa"/>
            <w:tcBorders>
              <w:top w:val="single" w:sz="12" w:space="0" w:color="auto"/>
              <w:left w:val="nil"/>
              <w:bottom w:val="nil"/>
              <w:right w:val="nil"/>
            </w:tcBorders>
            <w:vAlign w:val="center"/>
          </w:tcPr>
          <w:p w:rsidR="000C339B" w:rsidRPr="00E678B8" w:rsidRDefault="000C339B" w:rsidP="00616CFA">
            <w:pPr>
              <w:jc w:val="left"/>
              <w:rPr>
                <w:rFonts w:eastAsia="Arial" w:cs="Arial"/>
                <w:sz w:val="18"/>
                <w:szCs w:val="18"/>
              </w:rPr>
            </w:pPr>
            <w:r>
              <w:rPr>
                <w:sz w:val="18"/>
              </w:rPr>
              <w:t>66,07%</w:t>
            </w:r>
          </w:p>
        </w:tc>
        <w:tc>
          <w:tcPr>
            <w:tcW w:w="1417" w:type="dxa"/>
            <w:tcBorders>
              <w:top w:val="single" w:sz="12" w:space="0" w:color="auto"/>
              <w:left w:val="nil"/>
              <w:bottom w:val="nil"/>
              <w:right w:val="nil"/>
            </w:tcBorders>
            <w:vAlign w:val="center"/>
          </w:tcPr>
          <w:p w:rsidR="000C339B" w:rsidRPr="00E678B8" w:rsidRDefault="000C339B" w:rsidP="00616CFA">
            <w:pPr>
              <w:jc w:val="left"/>
              <w:rPr>
                <w:rFonts w:cs="Arial"/>
                <w:sz w:val="18"/>
                <w:szCs w:val="18"/>
              </w:rPr>
            </w:pPr>
            <w:r>
              <w:rPr>
                <w:sz w:val="18"/>
              </w:rPr>
              <w:t>77,08%</w:t>
            </w:r>
          </w:p>
        </w:tc>
      </w:tr>
      <w:tr w:rsidR="000C339B" w:rsidRPr="00E678B8" w:rsidTr="002E70E9">
        <w:trPr>
          <w:trHeight w:val="283"/>
        </w:trPr>
        <w:tc>
          <w:tcPr>
            <w:tcW w:w="5211" w:type="dxa"/>
            <w:tcBorders>
              <w:top w:val="nil"/>
              <w:left w:val="nil"/>
              <w:bottom w:val="nil"/>
              <w:right w:val="nil"/>
            </w:tcBorders>
            <w:vAlign w:val="center"/>
          </w:tcPr>
          <w:p w:rsidR="000C339B" w:rsidRPr="00E678B8" w:rsidRDefault="000C339B" w:rsidP="00616CFA">
            <w:pPr>
              <w:autoSpaceDE w:val="0"/>
              <w:autoSpaceDN w:val="0"/>
              <w:adjustRightInd w:val="0"/>
              <w:jc w:val="left"/>
              <w:rPr>
                <w:rFonts w:cs="Arial"/>
                <w:sz w:val="18"/>
                <w:szCs w:val="18"/>
              </w:rPr>
            </w:pPr>
            <w:r>
              <w:rPr>
                <w:sz w:val="18"/>
              </w:rPr>
              <w:t>No</w:t>
            </w:r>
          </w:p>
        </w:tc>
        <w:tc>
          <w:tcPr>
            <w:tcW w:w="1276"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11</w:t>
            </w:r>
          </w:p>
        </w:tc>
        <w:tc>
          <w:tcPr>
            <w:tcW w:w="1276" w:type="dxa"/>
            <w:tcBorders>
              <w:top w:val="nil"/>
              <w:left w:val="nil"/>
              <w:bottom w:val="nil"/>
              <w:right w:val="nil"/>
            </w:tcBorders>
            <w:vAlign w:val="center"/>
          </w:tcPr>
          <w:p w:rsidR="000C339B" w:rsidRPr="00E678B8" w:rsidRDefault="000C339B" w:rsidP="00616CFA">
            <w:pPr>
              <w:jc w:val="left"/>
              <w:rPr>
                <w:rFonts w:eastAsia="Arial" w:cs="Arial"/>
                <w:sz w:val="18"/>
                <w:szCs w:val="18"/>
              </w:rPr>
            </w:pPr>
            <w:r>
              <w:rPr>
                <w:sz w:val="18"/>
              </w:rPr>
              <w:t>19,64%</w:t>
            </w:r>
          </w:p>
        </w:tc>
        <w:tc>
          <w:tcPr>
            <w:tcW w:w="1417" w:type="dxa"/>
            <w:tcBorders>
              <w:top w:val="nil"/>
              <w:left w:val="nil"/>
              <w:bottom w:val="nil"/>
              <w:right w:val="nil"/>
            </w:tcBorders>
            <w:vAlign w:val="center"/>
          </w:tcPr>
          <w:p w:rsidR="000C339B" w:rsidRPr="00E678B8" w:rsidRDefault="000C339B" w:rsidP="00616CFA">
            <w:pPr>
              <w:jc w:val="left"/>
              <w:rPr>
                <w:rFonts w:cs="Arial"/>
                <w:sz w:val="18"/>
                <w:szCs w:val="18"/>
              </w:rPr>
            </w:pPr>
            <w:r>
              <w:rPr>
                <w:sz w:val="18"/>
              </w:rPr>
              <w:t>22,92%</w:t>
            </w:r>
          </w:p>
        </w:tc>
      </w:tr>
      <w:tr w:rsidR="000C339B" w:rsidRPr="00E678B8" w:rsidTr="002E70E9">
        <w:trPr>
          <w:trHeight w:val="283"/>
        </w:trPr>
        <w:tc>
          <w:tcPr>
            <w:tcW w:w="5211"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autoSpaceDE w:val="0"/>
              <w:autoSpaceDN w:val="0"/>
              <w:adjustRightInd w:val="0"/>
              <w:jc w:val="left"/>
              <w:rPr>
                <w:rFonts w:cs="Arial"/>
                <w:sz w:val="18"/>
                <w:szCs w:val="18"/>
              </w:rPr>
            </w:pPr>
            <w:r>
              <w:rPr>
                <w:sz w:val="18"/>
              </w:rPr>
              <w:t>Suma</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sz w:val="18"/>
              </w:rPr>
              <w:t>48</w:t>
            </w:r>
          </w:p>
        </w:tc>
        <w:tc>
          <w:tcPr>
            <w:tcW w:w="1276"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position w:val="1"/>
                <w:sz w:val="18"/>
              </w:rPr>
              <w:t>85,71%</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0C339B" w:rsidRPr="00E678B8" w:rsidRDefault="000C339B" w:rsidP="00616CFA">
            <w:pPr>
              <w:jc w:val="left"/>
              <w:rPr>
                <w:rFonts w:cs="Arial"/>
                <w:sz w:val="18"/>
                <w:szCs w:val="18"/>
              </w:rPr>
            </w:pPr>
            <w:r>
              <w:rPr>
                <w:position w:val="1"/>
                <w:sz w:val="18"/>
              </w:rPr>
              <w:t>100%</w:t>
            </w:r>
          </w:p>
        </w:tc>
      </w:tr>
      <w:tr w:rsidR="000C339B" w:rsidRPr="00E678B8" w:rsidTr="002E70E9">
        <w:trPr>
          <w:trHeight w:val="283"/>
        </w:trPr>
        <w:tc>
          <w:tcPr>
            <w:tcW w:w="5211"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spacing w:before="37"/>
              <w:ind w:left="43" w:right="-20"/>
              <w:jc w:val="left"/>
              <w:rPr>
                <w:rFonts w:eastAsia="Arial" w:cs="Arial"/>
                <w:sz w:val="18"/>
                <w:szCs w:val="18"/>
              </w:rPr>
            </w:pPr>
            <w:r>
              <w:rPr>
                <w:sz w:val="18"/>
              </w:rPr>
              <w:t>Sin respuesta</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8</w:t>
            </w:r>
          </w:p>
        </w:tc>
        <w:tc>
          <w:tcPr>
            <w:tcW w:w="1276"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eastAsia="Arial" w:cs="Arial"/>
                <w:position w:val="1"/>
                <w:sz w:val="18"/>
                <w:szCs w:val="18"/>
              </w:rPr>
            </w:pPr>
            <w:r>
              <w:rPr>
                <w:sz w:val="18"/>
              </w:rPr>
              <w:t>14,29%</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0C339B" w:rsidRPr="00E678B8" w:rsidRDefault="000C339B" w:rsidP="00616CFA">
            <w:pPr>
              <w:jc w:val="left"/>
              <w:rPr>
                <w:rFonts w:cs="Arial"/>
                <w:sz w:val="18"/>
                <w:szCs w:val="18"/>
              </w:rPr>
            </w:pPr>
            <w:r>
              <w:rPr>
                <w:sz w:val="18"/>
              </w:rPr>
              <w:t>-</w:t>
            </w:r>
          </w:p>
        </w:tc>
      </w:tr>
      <w:tr w:rsidR="000C339B" w:rsidRPr="00E678B8" w:rsidTr="002E70E9">
        <w:trPr>
          <w:trHeight w:val="283"/>
        </w:trPr>
        <w:tc>
          <w:tcPr>
            <w:tcW w:w="5211" w:type="dxa"/>
            <w:tcBorders>
              <w:top w:val="single" w:sz="12" w:space="0" w:color="A6A6A6" w:themeColor="background1" w:themeShade="A6"/>
              <w:left w:val="nil"/>
              <w:bottom w:val="nil"/>
              <w:right w:val="nil"/>
            </w:tcBorders>
            <w:vAlign w:val="center"/>
          </w:tcPr>
          <w:p w:rsidR="000C339B" w:rsidRPr="00E678B8" w:rsidRDefault="000F6F8B" w:rsidP="00616CFA">
            <w:pPr>
              <w:spacing w:before="30"/>
              <w:ind w:left="43" w:right="-20"/>
              <w:jc w:val="left"/>
              <w:rPr>
                <w:rFonts w:cs="Arial"/>
                <w:b/>
                <w:bCs/>
                <w:sz w:val="18"/>
                <w:szCs w:val="18"/>
              </w:rPr>
            </w:pPr>
            <w:r>
              <w:rPr>
                <w:b/>
                <w:sz w:val="18"/>
              </w:rPr>
              <w:t>Respondieron en total:</w:t>
            </w:r>
            <w:r w:rsidR="000C339B">
              <w:rPr>
                <w:b/>
                <w:sz w:val="18"/>
              </w:rPr>
              <w:t xml:space="preserve"> 48</w:t>
            </w:r>
          </w:p>
        </w:tc>
        <w:tc>
          <w:tcPr>
            <w:tcW w:w="1276" w:type="dxa"/>
            <w:tcBorders>
              <w:top w:val="single" w:sz="12" w:space="0" w:color="A6A6A6" w:themeColor="background1" w:themeShade="A6"/>
              <w:left w:val="nil"/>
              <w:bottom w:val="nil"/>
              <w:right w:val="nil"/>
            </w:tcBorders>
            <w:vAlign w:val="center"/>
          </w:tcPr>
          <w:p w:rsidR="000C339B" w:rsidRPr="00E678B8" w:rsidRDefault="000C339B" w:rsidP="00616CFA">
            <w:pPr>
              <w:jc w:val="left"/>
              <w:rPr>
                <w:rFonts w:cs="Arial"/>
                <w:sz w:val="18"/>
                <w:szCs w:val="18"/>
              </w:rPr>
            </w:pPr>
          </w:p>
        </w:tc>
        <w:tc>
          <w:tcPr>
            <w:tcW w:w="1276" w:type="dxa"/>
            <w:tcBorders>
              <w:top w:val="single" w:sz="12" w:space="0" w:color="A6A6A6" w:themeColor="background1" w:themeShade="A6"/>
              <w:left w:val="nil"/>
              <w:bottom w:val="nil"/>
              <w:right w:val="nil"/>
            </w:tcBorders>
          </w:tcPr>
          <w:p w:rsidR="000C339B" w:rsidRPr="00E678B8" w:rsidRDefault="000C339B" w:rsidP="00616CFA">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0C339B" w:rsidRPr="00E678B8" w:rsidRDefault="000C339B" w:rsidP="00616CFA">
            <w:pPr>
              <w:spacing w:before="30"/>
              <w:ind w:left="98" w:right="-20"/>
              <w:rPr>
                <w:rFonts w:eastAsia="Arial" w:cs="Arial"/>
                <w:sz w:val="18"/>
                <w:szCs w:val="18"/>
              </w:rPr>
            </w:pPr>
          </w:p>
        </w:tc>
      </w:tr>
    </w:tbl>
    <w:p w:rsidR="000C339B" w:rsidRPr="00E678B8" w:rsidRDefault="000C339B" w:rsidP="000C339B">
      <w:pPr>
        <w:tabs>
          <w:tab w:val="left" w:pos="5647"/>
        </w:tabs>
        <w:rPr>
          <w:rFonts w:cs="Arial"/>
          <w:sz w:val="18"/>
          <w:szCs w:val="18"/>
        </w:rPr>
      </w:pPr>
    </w:p>
    <w:p w:rsidR="000C339B" w:rsidRPr="00E678B8" w:rsidRDefault="000C339B" w:rsidP="000C339B">
      <w:pPr>
        <w:jc w:val="left"/>
        <w:rPr>
          <w:rFonts w:cs="Arial"/>
          <w:sz w:val="18"/>
          <w:u w:val="single"/>
        </w:rPr>
      </w:pPr>
    </w:p>
    <w:p w:rsidR="000C339B" w:rsidRPr="00E678B8" w:rsidRDefault="000C339B" w:rsidP="000C339B">
      <w:pPr>
        <w:jc w:val="left"/>
        <w:rPr>
          <w:rFonts w:cs="Arial"/>
          <w:sz w:val="18"/>
          <w:u w:val="single"/>
        </w:rPr>
      </w:pPr>
      <w:r>
        <w:rPr>
          <w:sz w:val="18"/>
          <w:u w:val="single"/>
        </w:rPr>
        <w:t>Comentarios</w:t>
      </w:r>
    </w:p>
    <w:p w:rsidR="000C339B" w:rsidRPr="00E678B8" w:rsidRDefault="000C339B" w:rsidP="000C339B">
      <w:pPr>
        <w:jc w:val="left"/>
        <w:rPr>
          <w:rFonts w:cs="Arial"/>
          <w:sz w:val="18"/>
          <w:u w:val="single"/>
        </w:rPr>
      </w:pPr>
    </w:p>
    <w:p w:rsidR="000C339B" w:rsidRPr="00E678B8" w:rsidRDefault="000C339B" w:rsidP="000C339B">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828"/>
      </w:tblGrid>
      <w:tr w:rsidR="000C339B" w:rsidRPr="000C339B" w:rsidTr="00616CFA">
        <w:trPr>
          <w:trHeight w:val="570"/>
        </w:trPr>
        <w:tc>
          <w:tcPr>
            <w:tcW w:w="9828" w:type="dxa"/>
            <w:hideMark/>
          </w:tcPr>
          <w:p w:rsidR="000C339B" w:rsidRPr="000C339B" w:rsidRDefault="000C339B" w:rsidP="002E70E9">
            <w:pPr>
              <w:jc w:val="left"/>
              <w:rPr>
                <w:rFonts w:cs="Arial"/>
                <w:sz w:val="18"/>
              </w:rPr>
            </w:pPr>
            <w:r>
              <w:rPr>
                <w:sz w:val="18"/>
              </w:rPr>
              <w:t xml:space="preserve">Sí y no: la información no es muy clara. También sería útil poder extraer la dirección de la autoridad competente y que se </w:t>
            </w:r>
            <w:r w:rsidR="002E70E9">
              <w:rPr>
                <w:sz w:val="18"/>
              </w:rPr>
              <w:t>pudiera</w:t>
            </w:r>
            <w:r>
              <w:rPr>
                <w:sz w:val="18"/>
              </w:rPr>
              <w:t xml:space="preserve"> ver el plazo (fecha) de solicitud de la variedad en cuestión.</w:t>
            </w:r>
          </w:p>
        </w:tc>
      </w:tr>
      <w:tr w:rsidR="000C339B" w:rsidRPr="000C339B" w:rsidTr="00616CFA">
        <w:trPr>
          <w:trHeight w:val="273"/>
        </w:trPr>
        <w:tc>
          <w:tcPr>
            <w:tcW w:w="9828" w:type="dxa"/>
            <w:hideMark/>
          </w:tcPr>
          <w:p w:rsidR="000C339B" w:rsidRPr="000C339B" w:rsidRDefault="000C339B" w:rsidP="00616CFA">
            <w:pPr>
              <w:jc w:val="left"/>
              <w:rPr>
                <w:rFonts w:cs="Arial"/>
                <w:sz w:val="18"/>
              </w:rPr>
            </w:pPr>
            <w:r>
              <w:rPr>
                <w:sz w:val="18"/>
              </w:rPr>
              <w:t>Sí, se actualizará sistemáticamente.</w:t>
            </w:r>
          </w:p>
        </w:tc>
      </w:tr>
      <w:tr w:rsidR="000C339B" w:rsidRPr="000C339B" w:rsidTr="00616CFA">
        <w:trPr>
          <w:trHeight w:val="534"/>
        </w:trPr>
        <w:tc>
          <w:tcPr>
            <w:tcW w:w="9828" w:type="dxa"/>
            <w:hideMark/>
          </w:tcPr>
          <w:p w:rsidR="000C339B" w:rsidRPr="000C339B" w:rsidRDefault="000C339B" w:rsidP="00E67D88">
            <w:pPr>
              <w:jc w:val="left"/>
              <w:rPr>
                <w:rFonts w:cs="Arial"/>
                <w:sz w:val="18"/>
              </w:rPr>
            </w:pPr>
            <w:r>
              <w:rPr>
                <w:sz w:val="18"/>
              </w:rPr>
              <w:t>También hemos solicitado informes DHE correspondientes a las especies: vid, manzano, peral, frutilla, frambuesa, cerezo, tangor, naranjo, kiwi, tomate, zanahoria, mel</w:t>
            </w:r>
            <w:r w:rsidR="00E67D88">
              <w:rPr>
                <w:sz w:val="18"/>
              </w:rPr>
              <w:t>ó</w:t>
            </w:r>
            <w:r>
              <w:rPr>
                <w:sz w:val="18"/>
              </w:rPr>
              <w:t>n, cebolla, sandia.</w:t>
            </w:r>
          </w:p>
        </w:tc>
      </w:tr>
      <w:tr w:rsidR="000C339B" w:rsidRPr="000C339B" w:rsidTr="00616CFA">
        <w:trPr>
          <w:trHeight w:val="273"/>
        </w:trPr>
        <w:tc>
          <w:tcPr>
            <w:tcW w:w="9828" w:type="dxa"/>
            <w:hideMark/>
          </w:tcPr>
          <w:p w:rsidR="000C339B" w:rsidRPr="000C339B" w:rsidRDefault="000C339B" w:rsidP="00616CFA">
            <w:pPr>
              <w:jc w:val="left"/>
              <w:rPr>
                <w:rFonts w:cs="Arial"/>
                <w:sz w:val="18"/>
              </w:rPr>
            </w:pPr>
            <w:r>
              <w:rPr>
                <w:sz w:val="18"/>
              </w:rPr>
              <w:t>El sistema de la UE hace difícil responder. En principio, aceptaríamos cualquier informe de la OCVV, pero en raras ocasiones necesitamos hacerlo.</w:t>
            </w:r>
          </w:p>
        </w:tc>
      </w:tr>
      <w:tr w:rsidR="000C339B" w:rsidRPr="000C339B" w:rsidTr="00616CFA">
        <w:trPr>
          <w:trHeight w:val="300"/>
        </w:trPr>
        <w:tc>
          <w:tcPr>
            <w:tcW w:w="9828" w:type="dxa"/>
            <w:hideMark/>
          </w:tcPr>
          <w:p w:rsidR="000C339B" w:rsidRPr="000C339B" w:rsidRDefault="000C339B" w:rsidP="00616CFA">
            <w:pPr>
              <w:jc w:val="left"/>
              <w:rPr>
                <w:rFonts w:cs="Arial"/>
                <w:sz w:val="18"/>
              </w:rPr>
            </w:pPr>
            <w:r>
              <w:rPr>
                <w:sz w:val="18"/>
              </w:rPr>
              <w:t>Es necesario introducir pequeñas modificaciones en la información que se presenta, como consecuencia de una expansión reciente de la política del Canadá en materia de DHE.</w:t>
            </w:r>
          </w:p>
        </w:tc>
      </w:tr>
      <w:tr w:rsidR="000C339B" w:rsidRPr="000C339B" w:rsidTr="00616CFA">
        <w:trPr>
          <w:trHeight w:val="327"/>
        </w:trPr>
        <w:tc>
          <w:tcPr>
            <w:tcW w:w="9828" w:type="dxa"/>
            <w:hideMark/>
          </w:tcPr>
          <w:p w:rsidR="000C339B" w:rsidRPr="000C339B" w:rsidRDefault="000C339B" w:rsidP="00616CFA">
            <w:pPr>
              <w:jc w:val="left"/>
              <w:rPr>
                <w:rFonts w:cs="Arial"/>
                <w:sz w:val="18"/>
              </w:rPr>
            </w:pPr>
            <w:r>
              <w:rPr>
                <w:sz w:val="18"/>
              </w:rPr>
              <w:t>No teníamos experiencia en el empleo de informes DHE de otras autoridades.</w:t>
            </w:r>
          </w:p>
        </w:tc>
      </w:tr>
      <w:tr w:rsidR="000C339B" w:rsidRPr="00E678B8" w:rsidTr="00616CFA">
        <w:trPr>
          <w:trHeight w:val="300"/>
        </w:trPr>
        <w:tc>
          <w:tcPr>
            <w:tcW w:w="9828" w:type="dxa"/>
            <w:hideMark/>
          </w:tcPr>
          <w:p w:rsidR="000C339B" w:rsidRPr="00E678B8" w:rsidRDefault="000C339B" w:rsidP="00616CFA">
            <w:pPr>
              <w:jc w:val="left"/>
              <w:rPr>
                <w:rFonts w:cs="Arial"/>
                <w:sz w:val="18"/>
              </w:rPr>
            </w:pPr>
            <w:r>
              <w:rPr>
                <w:sz w:val="18"/>
              </w:rPr>
              <w:t>Citrus</w:t>
            </w:r>
          </w:p>
        </w:tc>
      </w:tr>
      <w:tr w:rsidR="000C339B" w:rsidRPr="00E678B8" w:rsidTr="00616CFA">
        <w:trPr>
          <w:trHeight w:val="300"/>
        </w:trPr>
        <w:tc>
          <w:tcPr>
            <w:tcW w:w="9828" w:type="dxa"/>
            <w:hideMark/>
          </w:tcPr>
          <w:p w:rsidR="000C339B" w:rsidRPr="00E678B8" w:rsidRDefault="000C339B" w:rsidP="00616CFA">
            <w:pPr>
              <w:jc w:val="left"/>
              <w:rPr>
                <w:rFonts w:cs="Arial"/>
                <w:sz w:val="18"/>
              </w:rPr>
            </w:pPr>
            <w:r>
              <w:rPr>
                <w:sz w:val="18"/>
              </w:rPr>
              <w:t>Suecia colabora con la OCVV.</w:t>
            </w:r>
          </w:p>
        </w:tc>
      </w:tr>
      <w:tr w:rsidR="000C339B" w:rsidRPr="00E678B8" w:rsidTr="00616CFA">
        <w:trPr>
          <w:trHeight w:val="390"/>
        </w:trPr>
        <w:tc>
          <w:tcPr>
            <w:tcW w:w="9828" w:type="dxa"/>
            <w:hideMark/>
          </w:tcPr>
          <w:p w:rsidR="000C339B" w:rsidRPr="00E678B8" w:rsidRDefault="000C339B" w:rsidP="00616CFA">
            <w:pPr>
              <w:jc w:val="left"/>
              <w:rPr>
                <w:rFonts w:cs="Arial"/>
                <w:sz w:val="18"/>
              </w:rPr>
            </w:pPr>
            <w:r>
              <w:rPr>
                <w:i/>
                <w:sz w:val="18"/>
              </w:rPr>
              <w:t>Chrysanthemum</w:t>
            </w:r>
            <w:r>
              <w:rPr>
                <w:sz w:val="18"/>
              </w:rPr>
              <w:t xml:space="preserve"> no figura en la lista</w:t>
            </w:r>
          </w:p>
        </w:tc>
      </w:tr>
    </w:tbl>
    <w:p w:rsidR="000C339B" w:rsidRPr="00E678B8" w:rsidRDefault="000C339B" w:rsidP="000C339B">
      <w:pPr>
        <w:jc w:val="left"/>
        <w:rPr>
          <w:rFonts w:cs="Arial"/>
          <w:sz w:val="18"/>
          <w:u w:val="single"/>
        </w:rPr>
      </w:pPr>
    </w:p>
    <w:bookmarkEnd w:id="3"/>
    <w:p w:rsidR="000C339B" w:rsidRDefault="000C339B" w:rsidP="000C339B">
      <w:pPr>
        <w:jc w:val="left"/>
      </w:pPr>
    </w:p>
    <w:p w:rsidR="000C339B" w:rsidRPr="00E678B8" w:rsidRDefault="000C339B" w:rsidP="000C339B">
      <w:pPr>
        <w:jc w:val="left"/>
      </w:pPr>
    </w:p>
    <w:p w:rsidR="00050E16" w:rsidRPr="000C339B" w:rsidRDefault="000C339B" w:rsidP="000C339B">
      <w:pPr>
        <w:jc w:val="right"/>
      </w:pPr>
      <w:r>
        <w:t>[Fin del Anexo y del documento]</w:t>
      </w:r>
    </w:p>
    <w:sectPr w:rsidR="00050E16" w:rsidRPr="000C339B" w:rsidSect="000C339B">
      <w:headerReference w:type="default" r:id="rId25"/>
      <w:headerReference w:type="first" r:id="rId26"/>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0AE" w:rsidRDefault="007A30AE" w:rsidP="006655D3">
      <w:r>
        <w:separator/>
      </w:r>
    </w:p>
    <w:p w:rsidR="007A30AE" w:rsidRDefault="007A30AE" w:rsidP="006655D3"/>
    <w:p w:rsidR="007A30AE" w:rsidRDefault="007A30AE" w:rsidP="006655D3"/>
  </w:endnote>
  <w:endnote w:type="continuationSeparator" w:id="0">
    <w:p w:rsidR="007A30AE" w:rsidRDefault="007A30AE" w:rsidP="006655D3">
      <w:r>
        <w:separator/>
      </w:r>
    </w:p>
    <w:p w:rsidR="007A30AE" w:rsidRPr="00294751" w:rsidRDefault="007A30AE">
      <w:pPr>
        <w:pStyle w:val="Footer"/>
        <w:spacing w:after="60"/>
        <w:rPr>
          <w:sz w:val="18"/>
          <w:lang w:val="fr-FR"/>
        </w:rPr>
      </w:pPr>
      <w:r w:rsidRPr="00294751">
        <w:rPr>
          <w:sz w:val="18"/>
          <w:lang w:val="fr-FR"/>
        </w:rPr>
        <w:t>[Suite de la note de la page précédente]</w:t>
      </w:r>
    </w:p>
    <w:p w:rsidR="007A30AE" w:rsidRPr="00294751" w:rsidRDefault="007A30AE" w:rsidP="006655D3">
      <w:pPr>
        <w:rPr>
          <w:lang w:val="fr-FR"/>
        </w:rPr>
      </w:pPr>
    </w:p>
    <w:p w:rsidR="007A30AE" w:rsidRPr="00294751" w:rsidRDefault="007A30AE" w:rsidP="006655D3">
      <w:pPr>
        <w:rPr>
          <w:lang w:val="fr-FR"/>
        </w:rPr>
      </w:pPr>
    </w:p>
  </w:endnote>
  <w:endnote w:type="continuationNotice" w:id="1">
    <w:p w:rsidR="007A30AE" w:rsidRPr="00294751" w:rsidRDefault="007A30AE" w:rsidP="006655D3">
      <w:pPr>
        <w:rPr>
          <w:lang w:val="fr-FR"/>
        </w:rPr>
      </w:pPr>
      <w:r w:rsidRPr="00294751">
        <w:rPr>
          <w:lang w:val="fr-FR"/>
        </w:rPr>
        <w:t>[Suite de la note page suivante]</w:t>
      </w:r>
    </w:p>
    <w:p w:rsidR="007A30AE" w:rsidRPr="00294751" w:rsidRDefault="007A30AE" w:rsidP="006655D3">
      <w:pPr>
        <w:rPr>
          <w:lang w:val="fr-FR"/>
        </w:rPr>
      </w:pPr>
    </w:p>
    <w:p w:rsidR="007A30AE" w:rsidRPr="00294751" w:rsidRDefault="007A30A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AE" w:rsidRDefault="007A30AE">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0AE" w:rsidRDefault="007A30AE" w:rsidP="006655D3">
      <w:r>
        <w:separator/>
      </w:r>
    </w:p>
  </w:footnote>
  <w:footnote w:type="continuationSeparator" w:id="0">
    <w:p w:rsidR="007A30AE" w:rsidRDefault="007A30AE" w:rsidP="006655D3">
      <w:r>
        <w:separator/>
      </w:r>
    </w:p>
  </w:footnote>
  <w:footnote w:type="continuationNotice" w:id="1">
    <w:p w:rsidR="007A30AE" w:rsidRPr="00AB530F" w:rsidRDefault="007A30AE" w:rsidP="00AB530F">
      <w:pPr>
        <w:pStyle w:val="Footer"/>
      </w:pPr>
    </w:p>
  </w:footnote>
  <w:footnote w:id="2">
    <w:p w:rsidR="007A30AE" w:rsidRPr="00E67D88" w:rsidRDefault="007A30AE" w:rsidP="000C339B">
      <w:pPr>
        <w:pStyle w:val="FootnoteText"/>
      </w:pPr>
      <w:r w:rsidRPr="00E56749">
        <w:rPr>
          <w:rStyle w:val="FootnoteReference"/>
        </w:rPr>
        <w:sym w:font="Symbol" w:char="F02A"/>
      </w:r>
      <w:r>
        <w:t xml:space="preserve"> Ministerio de Agricultura y la Administración Estatal de Silvicultura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AE" w:rsidRPr="00C5280D" w:rsidRDefault="007A30AE" w:rsidP="00EB048E">
    <w:pPr>
      <w:pStyle w:val="Header"/>
      <w:rPr>
        <w:rStyle w:val="PageNumber"/>
      </w:rPr>
    </w:pPr>
    <w:r>
      <w:rPr>
        <w:rStyle w:val="PageNumber"/>
      </w:rPr>
      <w:t>TC/54/25</w:t>
    </w:r>
  </w:p>
  <w:p w:rsidR="007A30AE" w:rsidRPr="00C5280D" w:rsidRDefault="007A30AE" w:rsidP="00EB048E">
    <w:pPr>
      <w:pStyle w:val="Header"/>
    </w:pPr>
    <w:r>
      <w:t xml:space="preserve">página </w:t>
    </w:r>
    <w:r>
      <w:fldChar w:fldCharType="begin"/>
    </w:r>
    <w:r>
      <w:instrText xml:space="preserve"> PAGE   \* MERGEFORMAT </w:instrText>
    </w:r>
    <w:r>
      <w:fldChar w:fldCharType="separate"/>
    </w:r>
    <w:r w:rsidR="00463379">
      <w:rPr>
        <w:noProof/>
      </w:rPr>
      <w:t>2</w:t>
    </w:r>
    <w:r>
      <w:rPr>
        <w:noProof/>
      </w:rPr>
      <w:fldChar w:fldCharType="end"/>
    </w:r>
  </w:p>
  <w:p w:rsidR="007A30AE" w:rsidRPr="00C5280D" w:rsidRDefault="007A30A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AE" w:rsidRPr="00C5280D" w:rsidRDefault="007A30AE" w:rsidP="00EB048E">
    <w:pPr>
      <w:pStyle w:val="Header"/>
      <w:rPr>
        <w:rStyle w:val="PageNumber"/>
      </w:rPr>
    </w:pPr>
    <w:r>
      <w:rPr>
        <w:rStyle w:val="PageNumber"/>
      </w:rPr>
      <w:t>TC/54/25</w:t>
    </w:r>
  </w:p>
  <w:p w:rsidR="007A30AE" w:rsidRDefault="007A30AE" w:rsidP="00EB048E">
    <w:pPr>
      <w:pStyle w:val="Header"/>
    </w:pPr>
  </w:p>
  <w:p w:rsidR="007A30AE" w:rsidRPr="00C5280D" w:rsidRDefault="007A30AE" w:rsidP="00EB048E">
    <w:pPr>
      <w:pStyle w:val="Header"/>
    </w:pPr>
    <w:r>
      <w:t>ANEXO</w:t>
    </w:r>
  </w:p>
  <w:p w:rsidR="007A30AE" w:rsidRPr="00C5280D" w:rsidRDefault="007A30A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AE" w:rsidRPr="000A23DC" w:rsidRDefault="007A30AE" w:rsidP="000A23DC">
    <w:pPr>
      <w:pStyle w:val="Header"/>
      <w:rPr>
        <w:rStyle w:val="PageNumber"/>
      </w:rPr>
    </w:pPr>
    <w:r>
      <w:rPr>
        <w:rStyle w:val="PageNumber"/>
      </w:rPr>
      <w:t>TC/54/25</w:t>
    </w:r>
  </w:p>
  <w:p w:rsidR="007A30AE" w:rsidRPr="00202E38" w:rsidRDefault="007A30AE" w:rsidP="008B3D8D">
    <w:pPr>
      <w:pStyle w:val="Header"/>
    </w:pPr>
    <w:r>
      <w:t xml:space="preserve">Anexo,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463379">
      <w:rPr>
        <w:rStyle w:val="PageNumber"/>
        <w:noProof/>
      </w:rPr>
      <w:t>11</w:t>
    </w:r>
    <w:r w:rsidRPr="00202E38">
      <w:rPr>
        <w:rStyle w:val="PageNumber"/>
      </w:rPr>
      <w:fldChar w:fldCharType="end"/>
    </w:r>
  </w:p>
  <w:p w:rsidR="007A30AE" w:rsidRPr="00202E38" w:rsidRDefault="007A30AE"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0AE" w:rsidRPr="000A23DC" w:rsidRDefault="007A30AE" w:rsidP="000C339B">
    <w:pPr>
      <w:pStyle w:val="Header"/>
      <w:rPr>
        <w:rStyle w:val="PageNumber"/>
      </w:rPr>
    </w:pPr>
    <w:r>
      <w:rPr>
        <w:rStyle w:val="PageNumber"/>
      </w:rPr>
      <w:t>TC/54/25</w:t>
    </w:r>
  </w:p>
  <w:p w:rsidR="007A30AE" w:rsidRPr="00202E38" w:rsidRDefault="007A30AE" w:rsidP="000C339B">
    <w:pPr>
      <w:pStyle w:val="Header"/>
    </w:pPr>
    <w:r>
      <w:t xml:space="preserve">Anexo, 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463379">
      <w:rPr>
        <w:rStyle w:val="PageNumber"/>
        <w:noProof/>
      </w:rPr>
      <w:t>2</w:t>
    </w:r>
    <w:r w:rsidRPr="00202E38">
      <w:rPr>
        <w:rStyle w:val="PageNumber"/>
      </w:rPr>
      <w:fldChar w:fldCharType="end"/>
    </w:r>
  </w:p>
  <w:p w:rsidR="007A30AE" w:rsidRDefault="007A30AE" w:rsidP="000C339B">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6A34A"/>
    <w:lvl w:ilvl="0">
      <w:start w:val="1"/>
      <w:numFmt w:val="decimal"/>
      <w:lvlText w:val="%1."/>
      <w:lvlJc w:val="left"/>
      <w:pPr>
        <w:tabs>
          <w:tab w:val="num" w:pos="1492"/>
        </w:tabs>
        <w:ind w:left="1492" w:hanging="360"/>
      </w:pPr>
    </w:lvl>
  </w:abstractNum>
  <w:abstractNum w:abstractNumId="1">
    <w:nsid w:val="FFFFFF7D"/>
    <w:multiLevelType w:val="singleLevel"/>
    <w:tmpl w:val="6A8E519A"/>
    <w:lvl w:ilvl="0">
      <w:start w:val="1"/>
      <w:numFmt w:val="decimal"/>
      <w:lvlText w:val="%1."/>
      <w:lvlJc w:val="left"/>
      <w:pPr>
        <w:tabs>
          <w:tab w:val="num" w:pos="1209"/>
        </w:tabs>
        <w:ind w:left="1209" w:hanging="360"/>
      </w:pPr>
    </w:lvl>
  </w:abstractNum>
  <w:abstractNum w:abstractNumId="2">
    <w:nsid w:val="FFFFFF7E"/>
    <w:multiLevelType w:val="singleLevel"/>
    <w:tmpl w:val="F9500980"/>
    <w:lvl w:ilvl="0">
      <w:start w:val="1"/>
      <w:numFmt w:val="decimal"/>
      <w:lvlText w:val="%1."/>
      <w:lvlJc w:val="left"/>
      <w:pPr>
        <w:tabs>
          <w:tab w:val="num" w:pos="926"/>
        </w:tabs>
        <w:ind w:left="926" w:hanging="360"/>
      </w:pPr>
    </w:lvl>
  </w:abstractNum>
  <w:abstractNum w:abstractNumId="3">
    <w:nsid w:val="FFFFFF7F"/>
    <w:multiLevelType w:val="singleLevel"/>
    <w:tmpl w:val="70F85C96"/>
    <w:lvl w:ilvl="0">
      <w:start w:val="1"/>
      <w:numFmt w:val="decimal"/>
      <w:lvlText w:val="%1."/>
      <w:lvlJc w:val="left"/>
      <w:pPr>
        <w:tabs>
          <w:tab w:val="num" w:pos="643"/>
        </w:tabs>
        <w:ind w:left="643" w:hanging="360"/>
      </w:pPr>
    </w:lvl>
  </w:abstractNum>
  <w:abstractNum w:abstractNumId="4">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C04E"/>
    <w:lvl w:ilvl="0">
      <w:start w:val="1"/>
      <w:numFmt w:val="decimal"/>
      <w:lvlText w:val="%1."/>
      <w:lvlJc w:val="left"/>
      <w:pPr>
        <w:tabs>
          <w:tab w:val="num" w:pos="360"/>
        </w:tabs>
        <w:ind w:left="360" w:hanging="360"/>
      </w:pPr>
    </w:lvl>
  </w:abstractNum>
  <w:abstractNum w:abstractNumId="9">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abstractNum w:abstractNumId="10">
    <w:nsid w:val="51FE4289"/>
    <w:multiLevelType w:val="hybridMultilevel"/>
    <w:tmpl w:val="6A5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12">
    <w:nsid w:val="71C73B89"/>
    <w:multiLevelType w:val="hybridMultilevel"/>
    <w:tmpl w:val="85EA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39B"/>
    <w:rsid w:val="000000B8"/>
    <w:rsid w:val="00010CF3"/>
    <w:rsid w:val="00011E27"/>
    <w:rsid w:val="000148BC"/>
    <w:rsid w:val="00024AB8"/>
    <w:rsid w:val="00030854"/>
    <w:rsid w:val="00036028"/>
    <w:rsid w:val="00044642"/>
    <w:rsid w:val="000446B9"/>
    <w:rsid w:val="00047E21"/>
    <w:rsid w:val="00050E16"/>
    <w:rsid w:val="00062855"/>
    <w:rsid w:val="000638A9"/>
    <w:rsid w:val="00073AAD"/>
    <w:rsid w:val="000804D2"/>
    <w:rsid w:val="00085505"/>
    <w:rsid w:val="000A23DC"/>
    <w:rsid w:val="000C2446"/>
    <w:rsid w:val="000C339B"/>
    <w:rsid w:val="000C4E25"/>
    <w:rsid w:val="000C7021"/>
    <w:rsid w:val="000D6BBC"/>
    <w:rsid w:val="000D7780"/>
    <w:rsid w:val="000E28C1"/>
    <w:rsid w:val="000E636A"/>
    <w:rsid w:val="000F21D1"/>
    <w:rsid w:val="000F2F11"/>
    <w:rsid w:val="000F6F8B"/>
    <w:rsid w:val="00103679"/>
    <w:rsid w:val="00105929"/>
    <w:rsid w:val="00110C36"/>
    <w:rsid w:val="001131D5"/>
    <w:rsid w:val="00114B91"/>
    <w:rsid w:val="00141DB8"/>
    <w:rsid w:val="00172084"/>
    <w:rsid w:val="0017474A"/>
    <w:rsid w:val="001758C6"/>
    <w:rsid w:val="00182B99"/>
    <w:rsid w:val="001D47B2"/>
    <w:rsid w:val="001F64BF"/>
    <w:rsid w:val="00202E38"/>
    <w:rsid w:val="0021332C"/>
    <w:rsid w:val="00213982"/>
    <w:rsid w:val="00240718"/>
    <w:rsid w:val="0024416D"/>
    <w:rsid w:val="002464A3"/>
    <w:rsid w:val="00271911"/>
    <w:rsid w:val="002800A0"/>
    <w:rsid w:val="002801B3"/>
    <w:rsid w:val="00281060"/>
    <w:rsid w:val="002829D4"/>
    <w:rsid w:val="002940E8"/>
    <w:rsid w:val="00294751"/>
    <w:rsid w:val="002A6E50"/>
    <w:rsid w:val="002B4298"/>
    <w:rsid w:val="002B6B23"/>
    <w:rsid w:val="002C256A"/>
    <w:rsid w:val="002E5944"/>
    <w:rsid w:val="002E70E9"/>
    <w:rsid w:val="002E7DC5"/>
    <w:rsid w:val="00305A7F"/>
    <w:rsid w:val="003152FE"/>
    <w:rsid w:val="00327436"/>
    <w:rsid w:val="00344BD6"/>
    <w:rsid w:val="0035528D"/>
    <w:rsid w:val="00361821"/>
    <w:rsid w:val="00361E9E"/>
    <w:rsid w:val="003A6A57"/>
    <w:rsid w:val="003B031A"/>
    <w:rsid w:val="003C5E74"/>
    <w:rsid w:val="003C7FBE"/>
    <w:rsid w:val="003D227C"/>
    <w:rsid w:val="003D2B4D"/>
    <w:rsid w:val="0040557F"/>
    <w:rsid w:val="00444A88"/>
    <w:rsid w:val="0045486F"/>
    <w:rsid w:val="00463379"/>
    <w:rsid w:val="00474DA4"/>
    <w:rsid w:val="00476B4D"/>
    <w:rsid w:val="004805FA"/>
    <w:rsid w:val="004845A2"/>
    <w:rsid w:val="004935D2"/>
    <w:rsid w:val="004B1215"/>
    <w:rsid w:val="004D047D"/>
    <w:rsid w:val="004F1E9E"/>
    <w:rsid w:val="004F305A"/>
    <w:rsid w:val="0050317A"/>
    <w:rsid w:val="00512164"/>
    <w:rsid w:val="00520297"/>
    <w:rsid w:val="005338F9"/>
    <w:rsid w:val="0054281C"/>
    <w:rsid w:val="00544581"/>
    <w:rsid w:val="00545E42"/>
    <w:rsid w:val="0055268D"/>
    <w:rsid w:val="00576BE4"/>
    <w:rsid w:val="005831EC"/>
    <w:rsid w:val="0058413A"/>
    <w:rsid w:val="005A1EC1"/>
    <w:rsid w:val="005A400A"/>
    <w:rsid w:val="005D5B8A"/>
    <w:rsid w:val="005F7B92"/>
    <w:rsid w:val="00612379"/>
    <w:rsid w:val="006153B6"/>
    <w:rsid w:val="0061555F"/>
    <w:rsid w:val="00616CFA"/>
    <w:rsid w:val="00636CA6"/>
    <w:rsid w:val="00637EDD"/>
    <w:rsid w:val="00641200"/>
    <w:rsid w:val="00645CA8"/>
    <w:rsid w:val="00661C39"/>
    <w:rsid w:val="006655D3"/>
    <w:rsid w:val="00667404"/>
    <w:rsid w:val="00687EB4"/>
    <w:rsid w:val="00695C56"/>
    <w:rsid w:val="006A5CDE"/>
    <w:rsid w:val="006A644A"/>
    <w:rsid w:val="006B17D2"/>
    <w:rsid w:val="006C224E"/>
    <w:rsid w:val="006C77BC"/>
    <w:rsid w:val="006D5FF0"/>
    <w:rsid w:val="006D780A"/>
    <w:rsid w:val="006F752D"/>
    <w:rsid w:val="0071271E"/>
    <w:rsid w:val="00732DEC"/>
    <w:rsid w:val="007353C1"/>
    <w:rsid w:val="00735BD5"/>
    <w:rsid w:val="00751613"/>
    <w:rsid w:val="007556F6"/>
    <w:rsid w:val="00760EEF"/>
    <w:rsid w:val="00777EE5"/>
    <w:rsid w:val="00783722"/>
    <w:rsid w:val="00784836"/>
    <w:rsid w:val="0078781A"/>
    <w:rsid w:val="0079023E"/>
    <w:rsid w:val="00796CC2"/>
    <w:rsid w:val="007A2854"/>
    <w:rsid w:val="007A30AE"/>
    <w:rsid w:val="007A7081"/>
    <w:rsid w:val="007C1D92"/>
    <w:rsid w:val="007C30F9"/>
    <w:rsid w:val="007C4CB9"/>
    <w:rsid w:val="007D0B9D"/>
    <w:rsid w:val="007D19B0"/>
    <w:rsid w:val="007F498F"/>
    <w:rsid w:val="0080679D"/>
    <w:rsid w:val="008108B0"/>
    <w:rsid w:val="00811B20"/>
    <w:rsid w:val="008211B5"/>
    <w:rsid w:val="0082296E"/>
    <w:rsid w:val="00824099"/>
    <w:rsid w:val="00846D7C"/>
    <w:rsid w:val="00847085"/>
    <w:rsid w:val="00864C55"/>
    <w:rsid w:val="00867AC1"/>
    <w:rsid w:val="00871FA3"/>
    <w:rsid w:val="00890DF8"/>
    <w:rsid w:val="008A4154"/>
    <w:rsid w:val="008A743F"/>
    <w:rsid w:val="008B23C2"/>
    <w:rsid w:val="008B3D8D"/>
    <w:rsid w:val="008C0970"/>
    <w:rsid w:val="008D0BC5"/>
    <w:rsid w:val="008D2CF7"/>
    <w:rsid w:val="008D6631"/>
    <w:rsid w:val="00900255"/>
    <w:rsid w:val="00900C26"/>
    <w:rsid w:val="0090197F"/>
    <w:rsid w:val="00906DDC"/>
    <w:rsid w:val="00934E09"/>
    <w:rsid w:val="00936253"/>
    <w:rsid w:val="00940D46"/>
    <w:rsid w:val="009445E6"/>
    <w:rsid w:val="00952B06"/>
    <w:rsid w:val="00952DD4"/>
    <w:rsid w:val="00956803"/>
    <w:rsid w:val="0096175D"/>
    <w:rsid w:val="00965AE7"/>
    <w:rsid w:val="00970FED"/>
    <w:rsid w:val="00992D82"/>
    <w:rsid w:val="00997029"/>
    <w:rsid w:val="009A7339"/>
    <w:rsid w:val="009B440E"/>
    <w:rsid w:val="009D690D"/>
    <w:rsid w:val="009E65B6"/>
    <w:rsid w:val="00A24C10"/>
    <w:rsid w:val="00A250C9"/>
    <w:rsid w:val="00A42AC3"/>
    <w:rsid w:val="00A430CF"/>
    <w:rsid w:val="00A54309"/>
    <w:rsid w:val="00A670F3"/>
    <w:rsid w:val="00A706D3"/>
    <w:rsid w:val="00A81205"/>
    <w:rsid w:val="00AA19F8"/>
    <w:rsid w:val="00AB2B93"/>
    <w:rsid w:val="00AB530F"/>
    <w:rsid w:val="00AB7E5B"/>
    <w:rsid w:val="00AC2883"/>
    <w:rsid w:val="00AE0EF1"/>
    <w:rsid w:val="00AE2937"/>
    <w:rsid w:val="00B07301"/>
    <w:rsid w:val="00B11F3E"/>
    <w:rsid w:val="00B224DE"/>
    <w:rsid w:val="00B324D4"/>
    <w:rsid w:val="00B46575"/>
    <w:rsid w:val="00B61777"/>
    <w:rsid w:val="00B84BBD"/>
    <w:rsid w:val="00B9493E"/>
    <w:rsid w:val="00BA43FB"/>
    <w:rsid w:val="00BC0BD4"/>
    <w:rsid w:val="00BC127D"/>
    <w:rsid w:val="00BC1FE6"/>
    <w:rsid w:val="00BF2E4C"/>
    <w:rsid w:val="00C032EB"/>
    <w:rsid w:val="00C061B6"/>
    <w:rsid w:val="00C2446C"/>
    <w:rsid w:val="00C30808"/>
    <w:rsid w:val="00C36AE5"/>
    <w:rsid w:val="00C41F17"/>
    <w:rsid w:val="00C527FA"/>
    <w:rsid w:val="00C5280D"/>
    <w:rsid w:val="00C53EB3"/>
    <w:rsid w:val="00C5791C"/>
    <w:rsid w:val="00C6314E"/>
    <w:rsid w:val="00C66290"/>
    <w:rsid w:val="00C72B7A"/>
    <w:rsid w:val="00C973F2"/>
    <w:rsid w:val="00CA304C"/>
    <w:rsid w:val="00CA774A"/>
    <w:rsid w:val="00CB4338"/>
    <w:rsid w:val="00CC11B0"/>
    <w:rsid w:val="00CC2841"/>
    <w:rsid w:val="00CE49AB"/>
    <w:rsid w:val="00CF1330"/>
    <w:rsid w:val="00CF7E36"/>
    <w:rsid w:val="00D3708D"/>
    <w:rsid w:val="00D40426"/>
    <w:rsid w:val="00D47516"/>
    <w:rsid w:val="00D57C96"/>
    <w:rsid w:val="00D57D18"/>
    <w:rsid w:val="00D91203"/>
    <w:rsid w:val="00D95174"/>
    <w:rsid w:val="00DA4973"/>
    <w:rsid w:val="00DA6F36"/>
    <w:rsid w:val="00DB1DE8"/>
    <w:rsid w:val="00DB596E"/>
    <w:rsid w:val="00DB7773"/>
    <w:rsid w:val="00DC00EA"/>
    <w:rsid w:val="00DC3802"/>
    <w:rsid w:val="00DC6F35"/>
    <w:rsid w:val="00DE5C28"/>
    <w:rsid w:val="00E07D87"/>
    <w:rsid w:val="00E2520B"/>
    <w:rsid w:val="00E32F7E"/>
    <w:rsid w:val="00E36E47"/>
    <w:rsid w:val="00E5267B"/>
    <w:rsid w:val="00E63C0E"/>
    <w:rsid w:val="00E67D88"/>
    <w:rsid w:val="00E72D49"/>
    <w:rsid w:val="00E7477A"/>
    <w:rsid w:val="00E7593C"/>
    <w:rsid w:val="00E7678A"/>
    <w:rsid w:val="00E935F1"/>
    <w:rsid w:val="00E94A81"/>
    <w:rsid w:val="00EA1FFB"/>
    <w:rsid w:val="00EB048E"/>
    <w:rsid w:val="00EB4E9C"/>
    <w:rsid w:val="00EC2265"/>
    <w:rsid w:val="00EE31C1"/>
    <w:rsid w:val="00EE34DF"/>
    <w:rsid w:val="00EF2F89"/>
    <w:rsid w:val="00F03E98"/>
    <w:rsid w:val="00F1237A"/>
    <w:rsid w:val="00F22CBD"/>
    <w:rsid w:val="00F272F1"/>
    <w:rsid w:val="00F45372"/>
    <w:rsid w:val="00F560F7"/>
    <w:rsid w:val="00F6334D"/>
    <w:rsid w:val="00FA49AB"/>
    <w:rsid w:val="00FC4753"/>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0C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9B"/>
    <w:pPr>
      <w:ind w:left="720"/>
      <w:contextualSpacing/>
    </w:pPr>
    <w:rPr>
      <w:lang w:val="en-US"/>
    </w:rPr>
  </w:style>
  <w:style w:type="character" w:customStyle="1" w:styleId="HeaderChar">
    <w:name w:val="Header Char"/>
    <w:basedOn w:val="DefaultParagraphFont"/>
    <w:link w:val="Header"/>
    <w:rsid w:val="000C339B"/>
    <w:rPr>
      <w:rFonts w:ascii="Arial" w:hAnsi="Arial"/>
      <w:lang w:val="es-ES_tradnl"/>
    </w:rPr>
  </w:style>
  <w:style w:type="paragraph" w:customStyle="1" w:styleId="StyleDocoriginalNotBold">
    <w:name w:val="Style Doc_original + Not Bold"/>
    <w:basedOn w:val="Docoriginal"/>
    <w:link w:val="StyleDocoriginalNotBoldChar"/>
    <w:autoRedefine/>
    <w:rsid w:val="000C339B"/>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0C339B"/>
    <w:rPr>
      <w:rFonts w:ascii="Arial" w:hAnsi="Arial"/>
      <w:b/>
      <w:bCs/>
      <w:spacing w:val="10"/>
      <w:sz w:val="18"/>
      <w:lang w:val="fr-FR" w:eastAsia="en-US" w:bidi="ar-SA"/>
    </w:rPr>
  </w:style>
  <w:style w:type="paragraph" w:customStyle="1" w:styleId="StyleDocnumber">
    <w:name w:val="Style Doc_number"/>
    <w:basedOn w:val="Docoriginal"/>
    <w:rsid w:val="000C339B"/>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0C339B"/>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0C339B"/>
    <w:rPr>
      <w:rFonts w:ascii="Arial" w:hAnsi="Arial"/>
      <w:b/>
      <w:bCs/>
      <w:spacing w:val="10"/>
      <w:sz w:val="18"/>
      <w:lang w:val="fr-FR" w:eastAsia="en-US" w:bidi="ar-SA"/>
    </w:rPr>
  </w:style>
  <w:style w:type="character" w:customStyle="1" w:styleId="StyleDocoriginalNotBold1">
    <w:name w:val="Style Doc_original + Not Bold1"/>
    <w:basedOn w:val="DefaultParagraphFont"/>
    <w:rsid w:val="000C339B"/>
    <w:rPr>
      <w:rFonts w:ascii="Arial" w:hAnsi="Arial"/>
      <w:b/>
      <w:bCs/>
      <w:spacing w:val="10"/>
      <w:lang w:val="en-US" w:eastAsia="en-US" w:bidi="ar-SA"/>
    </w:rPr>
  </w:style>
  <w:style w:type="character" w:customStyle="1" w:styleId="StyleDoclangBold">
    <w:name w:val="Style Doc_lang + Bold"/>
    <w:basedOn w:val="Doclang"/>
    <w:rsid w:val="000C339B"/>
    <w:rPr>
      <w:rFonts w:ascii="Arial" w:hAnsi="Arial"/>
      <w:b/>
      <w:bCs/>
      <w:sz w:val="20"/>
      <w:lang w:val="en-US"/>
    </w:rPr>
  </w:style>
  <w:style w:type="character" w:customStyle="1" w:styleId="BodyTextChar">
    <w:name w:val="Body Text Char"/>
    <w:basedOn w:val="DefaultParagraphFont"/>
    <w:link w:val="BodyText"/>
    <w:rsid w:val="000C339B"/>
    <w:rPr>
      <w:rFonts w:ascii="Arial" w:hAnsi="Arial"/>
      <w:lang w:val="es-ES_tradnl"/>
    </w:rPr>
  </w:style>
  <w:style w:type="paragraph" w:customStyle="1" w:styleId="Titre">
    <w:name w:val="Titre"/>
    <w:basedOn w:val="Normal"/>
    <w:qFormat/>
    <w:rsid w:val="000C339B"/>
    <w:pPr>
      <w:autoSpaceDE w:val="0"/>
      <w:autoSpaceDN w:val="0"/>
      <w:adjustRightInd w:val="0"/>
      <w:spacing w:line="360" w:lineRule="auto"/>
      <w:jc w:val="left"/>
    </w:pPr>
    <w:rPr>
      <w:rFonts w:cs="Arial"/>
      <w:bCs/>
      <w:sz w:val="18"/>
      <w:szCs w:val="28"/>
      <w:lang w:val="en-US"/>
    </w:rPr>
  </w:style>
  <w:style w:type="paragraph" w:styleId="TOC6">
    <w:name w:val="toc 6"/>
    <w:basedOn w:val="Normal"/>
    <w:next w:val="Normal"/>
    <w:autoRedefine/>
    <w:rsid w:val="000C339B"/>
    <w:pPr>
      <w:ind w:left="1000"/>
      <w:jc w:val="left"/>
    </w:pPr>
    <w:rPr>
      <w:rFonts w:asciiTheme="minorHAnsi" w:hAnsiTheme="minorHAnsi"/>
      <w:lang w:val="en-US"/>
    </w:rPr>
  </w:style>
  <w:style w:type="paragraph" w:styleId="TOC7">
    <w:name w:val="toc 7"/>
    <w:basedOn w:val="Normal"/>
    <w:next w:val="Normal"/>
    <w:autoRedefine/>
    <w:rsid w:val="000C339B"/>
    <w:pPr>
      <w:ind w:left="1200"/>
      <w:jc w:val="left"/>
    </w:pPr>
    <w:rPr>
      <w:rFonts w:asciiTheme="minorHAnsi" w:hAnsiTheme="minorHAnsi"/>
      <w:lang w:val="en-US"/>
    </w:rPr>
  </w:style>
  <w:style w:type="paragraph" w:styleId="TOC8">
    <w:name w:val="toc 8"/>
    <w:basedOn w:val="Normal"/>
    <w:next w:val="Normal"/>
    <w:autoRedefine/>
    <w:rsid w:val="000C339B"/>
    <w:pPr>
      <w:ind w:left="1400"/>
      <w:jc w:val="left"/>
    </w:pPr>
    <w:rPr>
      <w:rFonts w:asciiTheme="minorHAnsi" w:hAnsiTheme="minorHAnsi"/>
      <w:lang w:val="en-US"/>
    </w:rPr>
  </w:style>
  <w:style w:type="paragraph" w:styleId="TOC9">
    <w:name w:val="toc 9"/>
    <w:basedOn w:val="Normal"/>
    <w:next w:val="Normal"/>
    <w:autoRedefine/>
    <w:rsid w:val="000C339B"/>
    <w:pPr>
      <w:ind w:left="1600"/>
      <w:jc w:val="left"/>
    </w:pPr>
    <w:rPr>
      <w:rFonts w:asciiTheme="minorHAnsi" w:hAnsiTheme="minorHAnsi"/>
      <w:lang w:val="en-US"/>
    </w:rPr>
  </w:style>
  <w:style w:type="paragraph" w:styleId="TOCHeading">
    <w:name w:val="TOC Heading"/>
    <w:basedOn w:val="Heading1"/>
    <w:next w:val="Normal"/>
    <w:uiPriority w:val="39"/>
    <w:unhideWhenUsed/>
    <w:qFormat/>
    <w:rsid w:val="000C339B"/>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0C339B"/>
    <w:rPr>
      <w:rFonts w:ascii="Arial" w:hAnsi="Arial"/>
      <w:sz w:val="14"/>
    </w:rPr>
  </w:style>
  <w:style w:type="character" w:styleId="CommentReference">
    <w:name w:val="annotation reference"/>
    <w:basedOn w:val="DefaultParagraphFont"/>
    <w:rsid w:val="000C339B"/>
    <w:rPr>
      <w:sz w:val="16"/>
      <w:szCs w:val="16"/>
    </w:rPr>
  </w:style>
  <w:style w:type="paragraph" w:styleId="CommentText">
    <w:name w:val="annotation text"/>
    <w:basedOn w:val="Normal"/>
    <w:link w:val="CommentTextChar"/>
    <w:rsid w:val="000C339B"/>
    <w:rPr>
      <w:lang w:val="en-US"/>
    </w:rPr>
  </w:style>
  <w:style w:type="character" w:customStyle="1" w:styleId="CommentTextChar">
    <w:name w:val="Comment Text Char"/>
    <w:basedOn w:val="DefaultParagraphFont"/>
    <w:link w:val="CommentText"/>
    <w:rsid w:val="000C339B"/>
    <w:rPr>
      <w:rFonts w:ascii="Arial" w:hAnsi="Arial"/>
    </w:rPr>
  </w:style>
  <w:style w:type="paragraph" w:styleId="CommentSubject">
    <w:name w:val="annotation subject"/>
    <w:basedOn w:val="CommentText"/>
    <w:next w:val="CommentText"/>
    <w:link w:val="CommentSubjectChar"/>
    <w:rsid w:val="000C339B"/>
    <w:rPr>
      <w:b/>
      <w:bCs/>
    </w:rPr>
  </w:style>
  <w:style w:type="character" w:customStyle="1" w:styleId="CommentSubjectChar">
    <w:name w:val="Comment Subject Char"/>
    <w:basedOn w:val="CommentTextChar"/>
    <w:link w:val="CommentSubject"/>
    <w:rsid w:val="000C339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0C3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339B"/>
    <w:pPr>
      <w:ind w:left="720"/>
      <w:contextualSpacing/>
    </w:pPr>
    <w:rPr>
      <w:lang w:val="en-US"/>
    </w:rPr>
  </w:style>
  <w:style w:type="character" w:customStyle="1" w:styleId="HeaderChar">
    <w:name w:val="Header Char"/>
    <w:basedOn w:val="DefaultParagraphFont"/>
    <w:link w:val="Header"/>
    <w:rsid w:val="000C339B"/>
    <w:rPr>
      <w:rFonts w:ascii="Arial" w:hAnsi="Arial"/>
      <w:lang w:val="es-ES_tradnl"/>
    </w:rPr>
  </w:style>
  <w:style w:type="paragraph" w:customStyle="1" w:styleId="StyleDocoriginalNotBold">
    <w:name w:val="Style Doc_original + Not Bold"/>
    <w:basedOn w:val="Docoriginal"/>
    <w:link w:val="StyleDocoriginalNotBoldChar"/>
    <w:autoRedefine/>
    <w:rsid w:val="000C339B"/>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0C339B"/>
    <w:rPr>
      <w:rFonts w:ascii="Arial" w:hAnsi="Arial"/>
      <w:b/>
      <w:bCs/>
      <w:spacing w:val="10"/>
      <w:sz w:val="18"/>
      <w:lang w:val="fr-FR" w:eastAsia="en-US" w:bidi="ar-SA"/>
    </w:rPr>
  </w:style>
  <w:style w:type="paragraph" w:customStyle="1" w:styleId="StyleDocnumber">
    <w:name w:val="Style Doc_number"/>
    <w:basedOn w:val="Docoriginal"/>
    <w:rsid w:val="000C339B"/>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0C339B"/>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0C339B"/>
    <w:rPr>
      <w:rFonts w:ascii="Arial" w:hAnsi="Arial"/>
      <w:b/>
      <w:bCs/>
      <w:spacing w:val="10"/>
      <w:sz w:val="18"/>
      <w:lang w:val="fr-FR" w:eastAsia="en-US" w:bidi="ar-SA"/>
    </w:rPr>
  </w:style>
  <w:style w:type="character" w:customStyle="1" w:styleId="StyleDocoriginalNotBold1">
    <w:name w:val="Style Doc_original + Not Bold1"/>
    <w:basedOn w:val="DefaultParagraphFont"/>
    <w:rsid w:val="000C339B"/>
    <w:rPr>
      <w:rFonts w:ascii="Arial" w:hAnsi="Arial"/>
      <w:b/>
      <w:bCs/>
      <w:spacing w:val="10"/>
      <w:lang w:val="en-US" w:eastAsia="en-US" w:bidi="ar-SA"/>
    </w:rPr>
  </w:style>
  <w:style w:type="character" w:customStyle="1" w:styleId="StyleDoclangBold">
    <w:name w:val="Style Doc_lang + Bold"/>
    <w:basedOn w:val="Doclang"/>
    <w:rsid w:val="000C339B"/>
    <w:rPr>
      <w:rFonts w:ascii="Arial" w:hAnsi="Arial"/>
      <w:b/>
      <w:bCs/>
      <w:sz w:val="20"/>
      <w:lang w:val="en-US"/>
    </w:rPr>
  </w:style>
  <w:style w:type="character" w:customStyle="1" w:styleId="BodyTextChar">
    <w:name w:val="Body Text Char"/>
    <w:basedOn w:val="DefaultParagraphFont"/>
    <w:link w:val="BodyText"/>
    <w:rsid w:val="000C339B"/>
    <w:rPr>
      <w:rFonts w:ascii="Arial" w:hAnsi="Arial"/>
      <w:lang w:val="es-ES_tradnl"/>
    </w:rPr>
  </w:style>
  <w:style w:type="paragraph" w:customStyle="1" w:styleId="Titre">
    <w:name w:val="Titre"/>
    <w:basedOn w:val="Normal"/>
    <w:qFormat/>
    <w:rsid w:val="000C339B"/>
    <w:pPr>
      <w:autoSpaceDE w:val="0"/>
      <w:autoSpaceDN w:val="0"/>
      <w:adjustRightInd w:val="0"/>
      <w:spacing w:line="360" w:lineRule="auto"/>
      <w:jc w:val="left"/>
    </w:pPr>
    <w:rPr>
      <w:rFonts w:cs="Arial"/>
      <w:bCs/>
      <w:sz w:val="18"/>
      <w:szCs w:val="28"/>
      <w:lang w:val="en-US"/>
    </w:rPr>
  </w:style>
  <w:style w:type="paragraph" w:styleId="TOC6">
    <w:name w:val="toc 6"/>
    <w:basedOn w:val="Normal"/>
    <w:next w:val="Normal"/>
    <w:autoRedefine/>
    <w:rsid w:val="000C339B"/>
    <w:pPr>
      <w:ind w:left="1000"/>
      <w:jc w:val="left"/>
    </w:pPr>
    <w:rPr>
      <w:rFonts w:asciiTheme="minorHAnsi" w:hAnsiTheme="minorHAnsi"/>
      <w:lang w:val="en-US"/>
    </w:rPr>
  </w:style>
  <w:style w:type="paragraph" w:styleId="TOC7">
    <w:name w:val="toc 7"/>
    <w:basedOn w:val="Normal"/>
    <w:next w:val="Normal"/>
    <w:autoRedefine/>
    <w:rsid w:val="000C339B"/>
    <w:pPr>
      <w:ind w:left="1200"/>
      <w:jc w:val="left"/>
    </w:pPr>
    <w:rPr>
      <w:rFonts w:asciiTheme="minorHAnsi" w:hAnsiTheme="minorHAnsi"/>
      <w:lang w:val="en-US"/>
    </w:rPr>
  </w:style>
  <w:style w:type="paragraph" w:styleId="TOC8">
    <w:name w:val="toc 8"/>
    <w:basedOn w:val="Normal"/>
    <w:next w:val="Normal"/>
    <w:autoRedefine/>
    <w:rsid w:val="000C339B"/>
    <w:pPr>
      <w:ind w:left="1400"/>
      <w:jc w:val="left"/>
    </w:pPr>
    <w:rPr>
      <w:rFonts w:asciiTheme="minorHAnsi" w:hAnsiTheme="minorHAnsi"/>
      <w:lang w:val="en-US"/>
    </w:rPr>
  </w:style>
  <w:style w:type="paragraph" w:styleId="TOC9">
    <w:name w:val="toc 9"/>
    <w:basedOn w:val="Normal"/>
    <w:next w:val="Normal"/>
    <w:autoRedefine/>
    <w:rsid w:val="000C339B"/>
    <w:pPr>
      <w:ind w:left="1600"/>
      <w:jc w:val="left"/>
    </w:pPr>
    <w:rPr>
      <w:rFonts w:asciiTheme="minorHAnsi" w:hAnsiTheme="minorHAnsi"/>
      <w:lang w:val="en-US"/>
    </w:rPr>
  </w:style>
  <w:style w:type="paragraph" w:styleId="TOCHeading">
    <w:name w:val="TOC Heading"/>
    <w:basedOn w:val="Heading1"/>
    <w:next w:val="Normal"/>
    <w:uiPriority w:val="39"/>
    <w:unhideWhenUsed/>
    <w:qFormat/>
    <w:rsid w:val="000C339B"/>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0C339B"/>
    <w:rPr>
      <w:rFonts w:ascii="Arial" w:hAnsi="Arial"/>
      <w:sz w:val="14"/>
    </w:rPr>
  </w:style>
  <w:style w:type="character" w:styleId="CommentReference">
    <w:name w:val="annotation reference"/>
    <w:basedOn w:val="DefaultParagraphFont"/>
    <w:rsid w:val="000C339B"/>
    <w:rPr>
      <w:sz w:val="16"/>
      <w:szCs w:val="16"/>
    </w:rPr>
  </w:style>
  <w:style w:type="paragraph" w:styleId="CommentText">
    <w:name w:val="annotation text"/>
    <w:basedOn w:val="Normal"/>
    <w:link w:val="CommentTextChar"/>
    <w:rsid w:val="000C339B"/>
    <w:rPr>
      <w:lang w:val="en-US"/>
    </w:rPr>
  </w:style>
  <w:style w:type="character" w:customStyle="1" w:styleId="CommentTextChar">
    <w:name w:val="Comment Text Char"/>
    <w:basedOn w:val="DefaultParagraphFont"/>
    <w:link w:val="CommentText"/>
    <w:rsid w:val="000C339B"/>
    <w:rPr>
      <w:rFonts w:ascii="Arial" w:hAnsi="Arial"/>
    </w:rPr>
  </w:style>
  <w:style w:type="paragraph" w:styleId="CommentSubject">
    <w:name w:val="annotation subject"/>
    <w:basedOn w:val="CommentText"/>
    <w:next w:val="CommentText"/>
    <w:link w:val="CommentSubjectChar"/>
    <w:rsid w:val="000C339B"/>
    <w:rPr>
      <w:b/>
      <w:bCs/>
    </w:rPr>
  </w:style>
  <w:style w:type="character" w:customStyle="1" w:styleId="CommentSubjectChar">
    <w:name w:val="Comment Subject Char"/>
    <w:basedOn w:val="CommentTextChar"/>
    <w:link w:val="CommentSubject"/>
    <w:rsid w:val="000C339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22</Pages>
  <Words>6938</Words>
  <Characters>36346</Characters>
  <Application>Microsoft Office Word</Application>
  <DocSecurity>0</DocSecurity>
  <Lines>1912</Lines>
  <Paragraphs>1352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vt:lpstr>
      <vt:lpstr>TC/53</vt:lpstr>
    </vt:vector>
  </TitlesOfParts>
  <Company>UPOV</Company>
  <LinksUpToDate>false</LinksUpToDate>
  <CharactersWithSpaces>41932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TC/54/25</dc:title>
  <dc:creator>BOU LLORET Amparo</dc:creator>
  <cp:lastModifiedBy>MAY Jessica</cp:lastModifiedBy>
  <cp:revision>8</cp:revision>
  <cp:lastPrinted>2016-11-22T15:41:00Z</cp:lastPrinted>
  <dcterms:created xsi:type="dcterms:W3CDTF">2018-08-01T13:51:00Z</dcterms:created>
  <dcterms:modified xsi:type="dcterms:W3CDTF">2018-08-02T09:45:00Z</dcterms:modified>
</cp:coreProperties>
</file>