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Pr>
                <w:noProof/>
                <w:lang w:val="en-US" w:eastAsia="en-US" w:bidi="ar-SA"/>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2E5944" w:rsidP="00AC2883">
            <w:pPr>
              <w:pStyle w:val="Lettrine"/>
            </w:pPr>
            <w:r>
              <w:t>S</w:t>
            </w:r>
          </w:p>
        </w:tc>
      </w:tr>
      <w:tr w:rsidR="00DC3802" w:rsidRPr="00DA4973" w:rsidTr="00645CA8">
        <w:trPr>
          <w:trHeight w:val="219"/>
        </w:trPr>
        <w:tc>
          <w:tcPr>
            <w:tcW w:w="6522" w:type="dxa"/>
          </w:tcPr>
          <w:p w:rsidR="00DC3802" w:rsidRPr="00AC2883" w:rsidRDefault="002E5944" w:rsidP="00BC0BD4">
            <w:pPr>
              <w:pStyle w:val="upove"/>
            </w:pPr>
            <w:r>
              <w:t>Unión Internacional para la Protección de las Obtenciones Vegetales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2E5944" w:rsidP="00AC2883">
            <w:pPr>
              <w:pStyle w:val="Sessiontc"/>
              <w:spacing w:line="240" w:lineRule="auto"/>
            </w:pPr>
            <w:r>
              <w:t>Comité Técnico</w:t>
            </w:r>
          </w:p>
          <w:p w:rsidR="00EB4E9C" w:rsidRPr="00DC3802" w:rsidRDefault="002E5944" w:rsidP="005A1EC1">
            <w:pPr>
              <w:pStyle w:val="Sessiontcplacedate"/>
              <w:rPr>
                <w:sz w:val="22"/>
              </w:rPr>
            </w:pPr>
            <w:r>
              <w:t>Quincuagésima cuarta sesión</w:t>
            </w:r>
            <w:r>
              <w:br/>
              <w:t>Ginebra, 29 y 30 de octubre de 2018</w:t>
            </w:r>
          </w:p>
        </w:tc>
        <w:tc>
          <w:tcPr>
            <w:tcW w:w="3127" w:type="dxa"/>
          </w:tcPr>
          <w:p w:rsidR="00EB4E9C" w:rsidRPr="00F838D9" w:rsidRDefault="005A1EC1" w:rsidP="003C7FBE">
            <w:pPr>
              <w:pStyle w:val="Doccode"/>
            </w:pPr>
            <w:r>
              <w:t>TC/54/20</w:t>
            </w:r>
          </w:p>
          <w:p w:rsidR="00EB4E9C" w:rsidRPr="003C7FBE" w:rsidRDefault="00EB4E9C" w:rsidP="003C7FBE">
            <w:pPr>
              <w:pStyle w:val="Docoriginal"/>
            </w:pPr>
            <w:r>
              <w:t>Original:</w:t>
            </w:r>
            <w:r>
              <w:rPr>
                <w:b w:val="0"/>
                <w:spacing w:val="0"/>
              </w:rPr>
              <w:t xml:space="preserve"> Inglés</w:t>
            </w:r>
          </w:p>
          <w:p w:rsidR="00EB4E9C" w:rsidRPr="007C1D92" w:rsidRDefault="002E5944" w:rsidP="00F03503">
            <w:pPr>
              <w:pStyle w:val="Docoriginal"/>
            </w:pPr>
            <w:r>
              <w:t>Fecha</w:t>
            </w:r>
            <w:r w:rsidRPr="00F03503">
              <w:t>:</w:t>
            </w:r>
            <w:r w:rsidRPr="00F03503">
              <w:rPr>
                <w:b w:val="0"/>
                <w:spacing w:val="0"/>
              </w:rPr>
              <w:t xml:space="preserve"> 2</w:t>
            </w:r>
            <w:r w:rsidR="00F03503" w:rsidRPr="00F03503">
              <w:rPr>
                <w:b w:val="0"/>
                <w:spacing w:val="0"/>
              </w:rPr>
              <w:t>3</w:t>
            </w:r>
            <w:r w:rsidRPr="00F03503">
              <w:rPr>
                <w:b w:val="0"/>
                <w:spacing w:val="0"/>
              </w:rPr>
              <w:t xml:space="preserve"> de agosto</w:t>
            </w:r>
            <w:r>
              <w:rPr>
                <w:b w:val="0"/>
                <w:spacing w:val="0"/>
              </w:rPr>
              <w:t xml:space="preserve"> de 2018</w:t>
            </w:r>
          </w:p>
        </w:tc>
      </w:tr>
    </w:tbl>
    <w:p w:rsidR="002005CD" w:rsidRPr="002005CD" w:rsidRDefault="002005CD" w:rsidP="002005CD">
      <w:pPr>
        <w:pStyle w:val="Titleofdoc0"/>
        <w:tabs>
          <w:tab w:val="left" w:pos="5760"/>
        </w:tabs>
      </w:pPr>
      <w:bookmarkStart w:id="0" w:name="TitleOfDoc"/>
      <w:bookmarkStart w:id="1" w:name="Prepared"/>
      <w:bookmarkEnd w:id="0"/>
      <w:bookmarkEnd w:id="1"/>
      <w:r>
        <w:t>Evaluación de la homogeneidad sobre la base de las plantas fuera de tipo mediante la observación de más de un ciclo de cultivo o mediante la observación de submuestras</w:t>
      </w:r>
    </w:p>
    <w:p w:rsidR="006A644A" w:rsidRPr="006A644A" w:rsidRDefault="000638A9" w:rsidP="006A644A">
      <w:pPr>
        <w:pStyle w:val="preparedby1"/>
        <w:jc w:val="left"/>
      </w:pPr>
      <w:r>
        <w:t>Documento preparado por la Oficina de la Unión</w:t>
      </w:r>
    </w:p>
    <w:p w:rsidR="00050E16" w:rsidRPr="006A644A" w:rsidRDefault="000638A9" w:rsidP="006A644A">
      <w:pPr>
        <w:pStyle w:val="Disclaimer"/>
      </w:pPr>
      <w:r>
        <w:t>Descargo de responsabilidad: el presente documento no constituye un documento de política u orientación de la UPOV</w:t>
      </w:r>
    </w:p>
    <w:p w:rsidR="00143140" w:rsidRPr="0021251E" w:rsidRDefault="00143140" w:rsidP="00143140">
      <w:pPr>
        <w:pStyle w:val="Heading1"/>
      </w:pPr>
      <w:bookmarkStart w:id="2" w:name="_Toc523758728"/>
      <w:r>
        <w:t>RESUMEN</w:t>
      </w:r>
      <w:bookmarkEnd w:id="2"/>
    </w:p>
    <w:p w:rsidR="00143140" w:rsidRPr="00143140" w:rsidRDefault="00143140" w:rsidP="00143140">
      <w:pPr>
        <w:autoSpaceDE w:val="0"/>
        <w:autoSpaceDN w:val="0"/>
        <w:adjustRightInd w:val="0"/>
        <w:rPr>
          <w:szCs w:val="24"/>
        </w:rPr>
      </w:pPr>
    </w:p>
    <w:p w:rsidR="00143140" w:rsidRPr="00143140" w:rsidRDefault="00BE399B" w:rsidP="00143140">
      <w:pPr>
        <w:autoSpaceDE w:val="0"/>
        <w:autoSpaceDN w:val="0"/>
        <w:adjustRightInd w:val="0"/>
        <w:rPr>
          <w:rFonts w:eastAsia="MS Mincho"/>
          <w:color w:val="000000"/>
          <w:szCs w:val="24"/>
        </w:rPr>
      </w:pPr>
      <w:r w:rsidRPr="0021251E">
        <w:rPr>
          <w:szCs w:val="24"/>
        </w:rPr>
        <w:fldChar w:fldCharType="begin"/>
      </w:r>
      <w:r w:rsidR="00143140" w:rsidRPr="00143140">
        <w:rPr>
          <w:szCs w:val="24"/>
        </w:rPr>
        <w:instrText xml:space="preserve"> AUTONUM  </w:instrText>
      </w:r>
      <w:r w:rsidRPr="0021251E">
        <w:rPr>
          <w:szCs w:val="24"/>
        </w:rPr>
        <w:fldChar w:fldCharType="end"/>
      </w:r>
      <w:r w:rsidR="00143140">
        <w:tab/>
        <w:t xml:space="preserve">El presente documento tiene por objeto presentar una propuesta de revisión del documento TGP/10 “Examen de la homogeneidad” para </w:t>
      </w:r>
      <w:r w:rsidR="002D39A1">
        <w:t>proporcionar</w:t>
      </w:r>
      <w:r w:rsidR="00143140">
        <w:t xml:space="preserve"> orientaci</w:t>
      </w:r>
      <w:r w:rsidR="002D39A1">
        <w:t>ones</w:t>
      </w:r>
      <w:r w:rsidR="00143140">
        <w:t xml:space="preserve"> </w:t>
      </w:r>
      <w:r w:rsidR="00AF4951">
        <w:t>acerca de</w:t>
      </w:r>
      <w:r w:rsidR="00143140">
        <w:t xml:space="preserve"> la evaluación de la homogeneidad sobre la base de las plantas fuera de tipo mediante la observación de más de un ciclo de cultivo o mediante la observación de </w:t>
      </w:r>
      <w:proofErr w:type="spellStart"/>
      <w:r w:rsidR="00143140">
        <w:t>submuestras</w:t>
      </w:r>
      <w:proofErr w:type="spellEnd"/>
      <w:r w:rsidR="00143140">
        <w:t>.</w:t>
      </w:r>
      <w:r w:rsidR="00421253">
        <w:rPr>
          <w:color w:val="000000"/>
        </w:rPr>
        <w:t xml:space="preserve"> </w:t>
      </w:r>
    </w:p>
    <w:p w:rsidR="00143140" w:rsidRPr="00143140" w:rsidRDefault="00143140" w:rsidP="00143140">
      <w:pPr>
        <w:autoSpaceDE w:val="0"/>
        <w:autoSpaceDN w:val="0"/>
        <w:adjustRightInd w:val="0"/>
        <w:rPr>
          <w:rFonts w:eastAsia="MS Mincho"/>
          <w:color w:val="000000"/>
          <w:szCs w:val="24"/>
        </w:rPr>
      </w:pPr>
    </w:p>
    <w:p w:rsidR="00143140" w:rsidRPr="00143140" w:rsidRDefault="00BE399B" w:rsidP="00143140">
      <w:pPr>
        <w:pStyle w:val="DecisionParagraphs"/>
        <w:keepNext/>
        <w:tabs>
          <w:tab w:val="left" w:pos="567"/>
          <w:tab w:val="left" w:pos="1134"/>
        </w:tabs>
        <w:ind w:left="0"/>
        <w:rPr>
          <w:i w:val="0"/>
        </w:rPr>
      </w:pPr>
      <w:r w:rsidRPr="004B36EC">
        <w:rPr>
          <w:i w:val="0"/>
        </w:rPr>
        <w:fldChar w:fldCharType="begin"/>
      </w:r>
      <w:r w:rsidR="00143140" w:rsidRPr="00143140">
        <w:rPr>
          <w:i w:val="0"/>
        </w:rPr>
        <w:instrText xml:space="preserve"> AUTONUM  </w:instrText>
      </w:r>
      <w:r w:rsidRPr="004B36EC">
        <w:rPr>
          <w:i w:val="0"/>
        </w:rPr>
        <w:fldChar w:fldCharType="end"/>
      </w:r>
      <w:r w:rsidR="00143140">
        <w:tab/>
      </w:r>
      <w:r w:rsidR="00143140">
        <w:rPr>
          <w:i w:val="0"/>
        </w:rPr>
        <w:t xml:space="preserve">Se invita al TC a: </w:t>
      </w:r>
    </w:p>
    <w:p w:rsidR="00143140" w:rsidRPr="00143140" w:rsidRDefault="00143140" w:rsidP="00143140">
      <w:pPr>
        <w:pStyle w:val="DecisionParagraphs"/>
        <w:keepLines/>
        <w:tabs>
          <w:tab w:val="left" w:pos="567"/>
          <w:tab w:val="left" w:pos="1134"/>
        </w:tabs>
        <w:ind w:left="0" w:firstLine="567"/>
        <w:rPr>
          <w:i w:val="0"/>
          <w:highlight w:val="cyan"/>
        </w:rPr>
      </w:pPr>
    </w:p>
    <w:p w:rsidR="00143140" w:rsidRPr="00143140" w:rsidRDefault="00143140" w:rsidP="00143140">
      <w:pPr>
        <w:pStyle w:val="DecisionParagraphs"/>
        <w:keepLines/>
        <w:tabs>
          <w:tab w:val="left" w:pos="567"/>
          <w:tab w:val="left" w:pos="1134"/>
          <w:tab w:val="left" w:pos="5954"/>
        </w:tabs>
        <w:ind w:left="0" w:firstLine="567"/>
        <w:rPr>
          <w:i w:val="0"/>
        </w:rPr>
      </w:pPr>
      <w:r>
        <w:rPr>
          <w:i w:val="0"/>
        </w:rPr>
        <w:t>a)</w:t>
      </w:r>
      <w:r>
        <w:tab/>
      </w:r>
      <w:r>
        <w:rPr>
          <w:i w:val="0"/>
        </w:rPr>
        <w:t>examinar el proyecto de orientación que figura en los anexos I y II de este documento con miras a incluirlo en una futura revisión del documento TGP/10 “Examen de la homogeneidad”, con arreglo a lo propuesto por el TC-EDC;</w:t>
      </w:r>
    </w:p>
    <w:p w:rsidR="00143140" w:rsidRPr="00143140" w:rsidRDefault="00143140" w:rsidP="00143140">
      <w:pPr>
        <w:pStyle w:val="DecisionParagraphs"/>
        <w:keepLines/>
        <w:tabs>
          <w:tab w:val="left" w:pos="567"/>
          <w:tab w:val="left" w:pos="1134"/>
        </w:tabs>
        <w:ind w:left="0" w:firstLine="567"/>
        <w:rPr>
          <w:i w:val="0"/>
          <w:highlight w:val="cyan"/>
        </w:rPr>
      </w:pPr>
    </w:p>
    <w:p w:rsidR="00143140" w:rsidRPr="00AF4951" w:rsidRDefault="00143140" w:rsidP="00143140">
      <w:pPr>
        <w:pStyle w:val="DecisionParagraphs"/>
        <w:keepLines/>
        <w:tabs>
          <w:tab w:val="left" w:pos="567"/>
          <w:tab w:val="left" w:pos="1134"/>
          <w:tab w:val="left" w:pos="5954"/>
        </w:tabs>
        <w:ind w:left="0" w:firstLine="567"/>
        <w:rPr>
          <w:i w:val="0"/>
          <w:highlight w:val="cyan"/>
        </w:rPr>
      </w:pPr>
      <w:r w:rsidRPr="00AF4951">
        <w:rPr>
          <w:i w:val="0"/>
        </w:rPr>
        <w:t>b)</w:t>
      </w:r>
      <w:r w:rsidRPr="00AF4951">
        <w:rPr>
          <w:i w:val="0"/>
        </w:rPr>
        <w:tab/>
        <w:t>tom</w:t>
      </w:r>
      <w:r w:rsidR="00BF73CB">
        <w:rPr>
          <w:i w:val="0"/>
        </w:rPr>
        <w:t>ar</w:t>
      </w:r>
      <w:r w:rsidRPr="00AF4951">
        <w:rPr>
          <w:i w:val="0"/>
        </w:rPr>
        <w:t xml:space="preserve"> nota de que el TWC convino en que los diferentes métodos dan resultados distintos en algunos casos y </w:t>
      </w:r>
      <w:r w:rsidR="0026435F">
        <w:rPr>
          <w:i w:val="0"/>
        </w:rPr>
        <w:t>de</w:t>
      </w:r>
      <w:r w:rsidRPr="00AF4951">
        <w:rPr>
          <w:i w:val="0"/>
        </w:rPr>
        <w:t xml:space="preserve"> que es posible que </w:t>
      </w:r>
      <w:r w:rsidR="0026435F">
        <w:rPr>
          <w:i w:val="0"/>
        </w:rPr>
        <w:t xml:space="preserve">los </w:t>
      </w:r>
      <w:r w:rsidR="0065061E">
        <w:rPr>
          <w:i w:val="0"/>
        </w:rPr>
        <w:t>menores tamaños de muestra y número</w:t>
      </w:r>
      <w:r w:rsidRPr="00AF4951">
        <w:rPr>
          <w:i w:val="0"/>
        </w:rPr>
        <w:t xml:space="preserve"> de plantas fuera de tipo (p. ej. en cultivos hortícolas) destaquen los casos inciertos en los que se pueden obtener resultados distintos cuando se emplean métodos diferentes; y</w:t>
      </w:r>
    </w:p>
    <w:p w:rsidR="00143140" w:rsidRPr="00AF4951" w:rsidRDefault="00143140" w:rsidP="00143140">
      <w:pPr>
        <w:pStyle w:val="DecisionParagraphs"/>
        <w:keepLines/>
        <w:tabs>
          <w:tab w:val="left" w:pos="567"/>
          <w:tab w:val="left" w:pos="1134"/>
          <w:tab w:val="left" w:pos="5954"/>
        </w:tabs>
        <w:ind w:left="0" w:firstLine="567"/>
        <w:rPr>
          <w:i w:val="0"/>
        </w:rPr>
      </w:pPr>
    </w:p>
    <w:p w:rsidR="00143140" w:rsidRPr="00AF4951" w:rsidRDefault="00143140" w:rsidP="00143140">
      <w:pPr>
        <w:pStyle w:val="DecisionParagraphs"/>
        <w:keepLines/>
        <w:tabs>
          <w:tab w:val="left" w:pos="567"/>
          <w:tab w:val="left" w:pos="1134"/>
          <w:tab w:val="left" w:pos="5954"/>
        </w:tabs>
        <w:ind w:left="0" w:firstLine="567"/>
        <w:rPr>
          <w:i w:val="0"/>
        </w:rPr>
      </w:pPr>
      <w:r w:rsidRPr="00AF4951">
        <w:rPr>
          <w:i w:val="0"/>
        </w:rPr>
        <w:t>c)</w:t>
      </w:r>
      <w:r w:rsidRPr="00AF4951">
        <w:rPr>
          <w:i w:val="0"/>
        </w:rPr>
        <w:tab/>
        <w:t>tom</w:t>
      </w:r>
      <w:r w:rsidR="00BF73CB">
        <w:rPr>
          <w:i w:val="0"/>
        </w:rPr>
        <w:t>ar</w:t>
      </w:r>
      <w:r w:rsidRPr="00AF4951">
        <w:rPr>
          <w:i w:val="0"/>
        </w:rPr>
        <w:t xml:space="preserve"> nota de que el TWC convino en que no sería práctico</w:t>
      </w:r>
      <w:r w:rsidR="00AF4951">
        <w:rPr>
          <w:i w:val="0"/>
        </w:rPr>
        <w:t xml:space="preserve"> </w:t>
      </w:r>
      <w:r w:rsidRPr="00AF4951">
        <w:rPr>
          <w:i w:val="0"/>
        </w:rPr>
        <w:t xml:space="preserve">elaborar cuadros con el número permitido de plantas fuera de tipo para el examen global de evaluación de la homogeneidad sobre la base de las plantas fuera de tipo mediante la observación de más de un ciclo de cultivo y que, en el futuro, es posible que se necesiten programas informáticos para </w:t>
      </w:r>
      <w:r w:rsidR="0080390A">
        <w:rPr>
          <w:i w:val="0"/>
        </w:rPr>
        <w:t>calcular esos riesgos</w:t>
      </w:r>
      <w:r w:rsidRPr="00AF4951">
        <w:rPr>
          <w:i w:val="0"/>
        </w:rPr>
        <w:t>.</w:t>
      </w:r>
    </w:p>
    <w:p w:rsidR="00143140" w:rsidRPr="00143140" w:rsidRDefault="00143140" w:rsidP="00143140">
      <w:pPr>
        <w:pStyle w:val="DecisionParagraphs"/>
        <w:keepLines/>
        <w:tabs>
          <w:tab w:val="left" w:pos="567"/>
          <w:tab w:val="left" w:pos="1134"/>
        </w:tabs>
        <w:ind w:left="0"/>
        <w:rPr>
          <w:rFonts w:cs="Arial"/>
          <w:i w:val="0"/>
        </w:rPr>
      </w:pPr>
    </w:p>
    <w:p w:rsidR="00143140" w:rsidRPr="00143140" w:rsidRDefault="00BE399B" w:rsidP="00143140">
      <w:pPr>
        <w:keepNext/>
        <w:rPr>
          <w:rFonts w:eastAsia="MS Mincho"/>
        </w:rPr>
      </w:pPr>
      <w:r w:rsidRPr="00EF493C">
        <w:rPr>
          <w:rFonts w:eastAsia="MS Mincho"/>
        </w:rPr>
        <w:fldChar w:fldCharType="begin"/>
      </w:r>
      <w:r w:rsidR="00143140" w:rsidRPr="00143140">
        <w:rPr>
          <w:rFonts w:eastAsia="MS Mincho"/>
        </w:rPr>
        <w:instrText xml:space="preserve"> AUTONUM  </w:instrText>
      </w:r>
      <w:r w:rsidRPr="00EF493C">
        <w:rPr>
          <w:rFonts w:eastAsia="MS Mincho"/>
        </w:rPr>
        <w:fldChar w:fldCharType="end"/>
      </w:r>
      <w:r w:rsidR="00143140">
        <w:tab/>
        <w:t>El presente documento se estructura del modo siguiente:</w:t>
      </w:r>
    </w:p>
    <w:p w:rsidR="00C7057E" w:rsidRPr="00802227" w:rsidRDefault="00C7057E" w:rsidP="00C7057E">
      <w:pPr>
        <w:keepNext/>
        <w:autoSpaceDE w:val="0"/>
        <w:autoSpaceDN w:val="0"/>
        <w:adjustRightInd w:val="0"/>
        <w:rPr>
          <w:rFonts w:eastAsia="MS Mincho"/>
          <w:color w:val="000000"/>
          <w:sz w:val="18"/>
          <w:szCs w:val="24"/>
          <w:lang w:eastAsia="ja-JP"/>
        </w:rPr>
      </w:pPr>
    </w:p>
    <w:p w:rsidR="00C7057E" w:rsidRDefault="00BE399B" w:rsidP="00620C04">
      <w:pPr>
        <w:pStyle w:val="TOC1"/>
        <w:rPr>
          <w:rFonts w:asciiTheme="minorHAnsi" w:eastAsiaTheme="minorEastAsia" w:hAnsiTheme="minorHAnsi" w:cstheme="minorBidi"/>
          <w:sz w:val="22"/>
          <w:szCs w:val="22"/>
          <w:lang w:bidi="ar-SA"/>
        </w:rPr>
      </w:pPr>
      <w:r w:rsidRPr="00EF493C">
        <w:rPr>
          <w:snapToGrid w:val="0"/>
          <w:lang w:val="en-US"/>
        </w:rPr>
        <w:fldChar w:fldCharType="begin"/>
      </w:r>
      <w:r w:rsidR="00C7057E" w:rsidRPr="00EF493C">
        <w:rPr>
          <w:snapToGrid w:val="0"/>
        </w:rPr>
        <w:instrText xml:space="preserve"> TOC \o "1-3" \h \z \u </w:instrText>
      </w:r>
      <w:r w:rsidRPr="00EF493C">
        <w:rPr>
          <w:snapToGrid w:val="0"/>
          <w:lang w:val="en-US"/>
        </w:rPr>
        <w:fldChar w:fldCharType="separate"/>
      </w:r>
      <w:hyperlink w:anchor="_Toc523758728" w:history="1">
        <w:r w:rsidR="00C7057E" w:rsidRPr="00FB57DE">
          <w:rPr>
            <w:rStyle w:val="Hyperlink"/>
          </w:rPr>
          <w:t>RESUMEN</w:t>
        </w:r>
        <w:r w:rsidR="00C7057E">
          <w:rPr>
            <w:webHidden/>
          </w:rPr>
          <w:tab/>
        </w:r>
        <w:r>
          <w:rPr>
            <w:webHidden/>
          </w:rPr>
          <w:fldChar w:fldCharType="begin"/>
        </w:r>
        <w:r w:rsidR="00C7057E">
          <w:rPr>
            <w:webHidden/>
          </w:rPr>
          <w:instrText xml:space="preserve"> PAGEREF _Toc523758728 \h </w:instrText>
        </w:r>
        <w:r>
          <w:rPr>
            <w:webHidden/>
          </w:rPr>
        </w:r>
        <w:r>
          <w:rPr>
            <w:webHidden/>
          </w:rPr>
          <w:fldChar w:fldCharType="separate"/>
        </w:r>
        <w:r w:rsidR="00802227">
          <w:rPr>
            <w:webHidden/>
          </w:rPr>
          <w:t>1</w:t>
        </w:r>
        <w:r>
          <w:rPr>
            <w:webHidden/>
          </w:rPr>
          <w:fldChar w:fldCharType="end"/>
        </w:r>
      </w:hyperlink>
    </w:p>
    <w:p w:rsidR="00C7057E" w:rsidRDefault="00FE636C" w:rsidP="00620C04">
      <w:pPr>
        <w:pStyle w:val="TOC1"/>
        <w:rPr>
          <w:rFonts w:asciiTheme="minorHAnsi" w:eastAsiaTheme="minorEastAsia" w:hAnsiTheme="minorHAnsi" w:cstheme="minorBidi"/>
          <w:sz w:val="22"/>
          <w:szCs w:val="22"/>
          <w:lang w:bidi="ar-SA"/>
        </w:rPr>
      </w:pPr>
      <w:hyperlink w:anchor="_Toc523758729" w:history="1">
        <w:r w:rsidR="00C7057E" w:rsidRPr="00620C04">
          <w:rPr>
            <w:rStyle w:val="Hyperlink"/>
            <w:color w:val="auto"/>
            <w:u w:val="none"/>
          </w:rPr>
          <w:t>ANTECEDENTES</w:t>
        </w:r>
        <w:r w:rsidR="00C7057E">
          <w:rPr>
            <w:webHidden/>
          </w:rPr>
          <w:tab/>
        </w:r>
        <w:r w:rsidR="00BE399B">
          <w:rPr>
            <w:webHidden/>
          </w:rPr>
          <w:fldChar w:fldCharType="begin"/>
        </w:r>
        <w:r w:rsidR="00C7057E">
          <w:rPr>
            <w:webHidden/>
          </w:rPr>
          <w:instrText xml:space="preserve"> PAGEREF _Toc523758729 \h </w:instrText>
        </w:r>
        <w:r w:rsidR="00BE399B">
          <w:rPr>
            <w:webHidden/>
          </w:rPr>
        </w:r>
        <w:r w:rsidR="00BE399B">
          <w:rPr>
            <w:webHidden/>
          </w:rPr>
          <w:fldChar w:fldCharType="separate"/>
        </w:r>
        <w:r w:rsidR="00802227">
          <w:rPr>
            <w:webHidden/>
          </w:rPr>
          <w:t>2</w:t>
        </w:r>
        <w:r w:rsidR="00BE399B">
          <w:rPr>
            <w:webHidden/>
          </w:rPr>
          <w:fldChar w:fldCharType="end"/>
        </w:r>
      </w:hyperlink>
    </w:p>
    <w:p w:rsidR="00C7057E" w:rsidRDefault="00FE636C" w:rsidP="00620C04">
      <w:pPr>
        <w:pStyle w:val="TOC1"/>
        <w:rPr>
          <w:rFonts w:asciiTheme="minorHAnsi" w:eastAsiaTheme="minorEastAsia" w:hAnsiTheme="minorHAnsi" w:cstheme="minorBidi"/>
          <w:sz w:val="22"/>
          <w:szCs w:val="22"/>
          <w:lang w:bidi="ar-SA"/>
        </w:rPr>
      </w:pPr>
      <w:hyperlink w:anchor="_Toc523758730" w:history="1">
        <w:r w:rsidR="00C7057E" w:rsidRPr="00FB57DE">
          <w:rPr>
            <w:rStyle w:val="Hyperlink"/>
          </w:rPr>
          <w:t>NOVEDADES ACAECIDAS EN 2017</w:t>
        </w:r>
        <w:r w:rsidR="00C7057E">
          <w:rPr>
            <w:webHidden/>
          </w:rPr>
          <w:tab/>
        </w:r>
        <w:r w:rsidR="00BE399B">
          <w:rPr>
            <w:webHidden/>
          </w:rPr>
          <w:fldChar w:fldCharType="begin"/>
        </w:r>
        <w:r w:rsidR="00C7057E">
          <w:rPr>
            <w:webHidden/>
          </w:rPr>
          <w:instrText xml:space="preserve"> PAGEREF _Toc523758730 \h </w:instrText>
        </w:r>
        <w:r w:rsidR="00BE399B">
          <w:rPr>
            <w:webHidden/>
          </w:rPr>
        </w:r>
        <w:r w:rsidR="00BE399B">
          <w:rPr>
            <w:webHidden/>
          </w:rPr>
          <w:fldChar w:fldCharType="separate"/>
        </w:r>
        <w:r w:rsidR="00802227">
          <w:rPr>
            <w:webHidden/>
          </w:rPr>
          <w:t>2</w:t>
        </w:r>
        <w:r w:rsidR="00BE399B">
          <w:rPr>
            <w:webHidden/>
          </w:rPr>
          <w:fldChar w:fldCharType="end"/>
        </w:r>
      </w:hyperlink>
    </w:p>
    <w:p w:rsidR="00C7057E" w:rsidRDefault="00FE636C" w:rsidP="00620C04">
      <w:pPr>
        <w:pStyle w:val="TOC2"/>
        <w:rPr>
          <w:rFonts w:asciiTheme="minorHAnsi" w:eastAsiaTheme="minorEastAsia" w:hAnsiTheme="minorHAnsi" w:cstheme="minorBidi"/>
          <w:smallCaps/>
          <w:noProof/>
          <w:sz w:val="22"/>
          <w:szCs w:val="22"/>
          <w:lang w:bidi="ar-SA"/>
        </w:rPr>
      </w:pPr>
      <w:hyperlink w:anchor="_Toc523758731" w:history="1">
        <w:r w:rsidR="00C7057E" w:rsidRPr="000F61A0">
          <w:t>O</w:t>
        </w:r>
        <w:r w:rsidR="00C7057E" w:rsidRPr="00FB57DE">
          <w:rPr>
            <w:rStyle w:val="Hyperlink"/>
            <w:noProof/>
          </w:rPr>
          <w:t>bservaciones formuladas por los Grupos de Trabajo Técnico</w:t>
        </w:r>
        <w:r w:rsidR="00C7057E">
          <w:rPr>
            <w:noProof/>
            <w:webHidden/>
          </w:rPr>
          <w:tab/>
        </w:r>
        <w:r w:rsidR="00BE399B">
          <w:rPr>
            <w:noProof/>
            <w:webHidden/>
          </w:rPr>
          <w:fldChar w:fldCharType="begin"/>
        </w:r>
        <w:r w:rsidR="00C7057E">
          <w:rPr>
            <w:noProof/>
            <w:webHidden/>
          </w:rPr>
          <w:instrText xml:space="preserve"> PAGEREF _Toc523758731 \h </w:instrText>
        </w:r>
        <w:r w:rsidR="00BE399B">
          <w:rPr>
            <w:noProof/>
            <w:webHidden/>
          </w:rPr>
        </w:r>
        <w:r w:rsidR="00BE399B">
          <w:rPr>
            <w:noProof/>
            <w:webHidden/>
          </w:rPr>
          <w:fldChar w:fldCharType="separate"/>
        </w:r>
        <w:r w:rsidR="00802227">
          <w:rPr>
            <w:noProof/>
            <w:webHidden/>
          </w:rPr>
          <w:t>2</w:t>
        </w:r>
        <w:r w:rsidR="00BE399B">
          <w:rPr>
            <w:noProof/>
            <w:webHidden/>
          </w:rPr>
          <w:fldChar w:fldCharType="end"/>
        </w:r>
      </w:hyperlink>
    </w:p>
    <w:p w:rsidR="00C7057E" w:rsidRDefault="00FE636C" w:rsidP="000F61A0">
      <w:pPr>
        <w:pStyle w:val="TOC3"/>
        <w:rPr>
          <w:rFonts w:asciiTheme="minorHAnsi" w:eastAsiaTheme="minorEastAsia" w:hAnsiTheme="minorHAnsi" w:cstheme="minorBidi"/>
          <w:noProof/>
          <w:sz w:val="22"/>
          <w:szCs w:val="22"/>
          <w:lang w:bidi="ar-SA"/>
        </w:rPr>
      </w:pPr>
      <w:hyperlink w:anchor="_Toc523758732" w:history="1">
        <w:r w:rsidR="00C7057E" w:rsidRPr="00FB57DE">
          <w:rPr>
            <w:rStyle w:val="Hyperlink"/>
            <w:noProof/>
          </w:rPr>
          <w:t>Variación medioambiental</w:t>
        </w:r>
        <w:r w:rsidR="00C7057E">
          <w:rPr>
            <w:noProof/>
            <w:webHidden/>
          </w:rPr>
          <w:tab/>
        </w:r>
        <w:r w:rsidR="00BE399B">
          <w:rPr>
            <w:noProof/>
            <w:webHidden/>
          </w:rPr>
          <w:fldChar w:fldCharType="begin"/>
        </w:r>
        <w:r w:rsidR="00C7057E">
          <w:rPr>
            <w:noProof/>
            <w:webHidden/>
          </w:rPr>
          <w:instrText xml:space="preserve"> PAGEREF _Toc523758732 \h </w:instrText>
        </w:r>
        <w:r w:rsidR="00BE399B">
          <w:rPr>
            <w:noProof/>
            <w:webHidden/>
          </w:rPr>
        </w:r>
        <w:r w:rsidR="00BE399B">
          <w:rPr>
            <w:noProof/>
            <w:webHidden/>
          </w:rPr>
          <w:fldChar w:fldCharType="separate"/>
        </w:r>
        <w:r w:rsidR="00802227">
          <w:rPr>
            <w:noProof/>
            <w:webHidden/>
          </w:rPr>
          <w:t>2</w:t>
        </w:r>
        <w:r w:rsidR="00BE399B">
          <w:rPr>
            <w:noProof/>
            <w:webHidden/>
          </w:rPr>
          <w:fldChar w:fldCharType="end"/>
        </w:r>
      </w:hyperlink>
    </w:p>
    <w:p w:rsidR="00C7057E" w:rsidRDefault="00FE636C" w:rsidP="000F61A0">
      <w:pPr>
        <w:pStyle w:val="TOC3"/>
        <w:rPr>
          <w:rFonts w:asciiTheme="minorHAnsi" w:eastAsiaTheme="minorEastAsia" w:hAnsiTheme="minorHAnsi" w:cstheme="minorBidi"/>
          <w:noProof/>
          <w:sz w:val="22"/>
          <w:szCs w:val="22"/>
          <w:lang w:bidi="ar-SA"/>
        </w:rPr>
      </w:pPr>
      <w:hyperlink w:anchor="_Toc523758733" w:history="1">
        <w:r w:rsidR="00C7057E" w:rsidRPr="00FB57DE">
          <w:rPr>
            <w:rStyle w:val="Hyperlink"/>
            <w:noProof/>
          </w:rPr>
          <w:t>Criterios para rechazar una variedad tras un único ciclo de cultivo</w:t>
        </w:r>
        <w:r w:rsidR="00C7057E">
          <w:rPr>
            <w:noProof/>
            <w:webHidden/>
          </w:rPr>
          <w:tab/>
        </w:r>
        <w:r w:rsidR="00BE399B">
          <w:rPr>
            <w:noProof/>
            <w:webHidden/>
          </w:rPr>
          <w:fldChar w:fldCharType="begin"/>
        </w:r>
        <w:r w:rsidR="00C7057E">
          <w:rPr>
            <w:noProof/>
            <w:webHidden/>
          </w:rPr>
          <w:instrText xml:space="preserve"> PAGEREF _Toc523758733 \h </w:instrText>
        </w:r>
        <w:r w:rsidR="00BE399B">
          <w:rPr>
            <w:noProof/>
            <w:webHidden/>
          </w:rPr>
        </w:r>
        <w:r w:rsidR="00BE399B">
          <w:rPr>
            <w:noProof/>
            <w:webHidden/>
          </w:rPr>
          <w:fldChar w:fldCharType="separate"/>
        </w:r>
        <w:r w:rsidR="00802227">
          <w:rPr>
            <w:noProof/>
            <w:webHidden/>
          </w:rPr>
          <w:t>2</w:t>
        </w:r>
        <w:r w:rsidR="00BE399B">
          <w:rPr>
            <w:noProof/>
            <w:webHidden/>
          </w:rPr>
          <w:fldChar w:fldCharType="end"/>
        </w:r>
      </w:hyperlink>
    </w:p>
    <w:p w:rsidR="00C7057E" w:rsidRDefault="00FE636C" w:rsidP="000F61A0">
      <w:pPr>
        <w:pStyle w:val="TOC3"/>
        <w:rPr>
          <w:rFonts w:asciiTheme="minorHAnsi" w:eastAsiaTheme="minorEastAsia" w:hAnsiTheme="minorHAnsi" w:cstheme="minorBidi"/>
          <w:noProof/>
          <w:sz w:val="22"/>
          <w:szCs w:val="22"/>
          <w:lang w:bidi="ar-SA"/>
        </w:rPr>
      </w:pPr>
      <w:hyperlink w:anchor="_Toc523758734" w:history="1">
        <w:r w:rsidR="00C7057E" w:rsidRPr="00FB57DE">
          <w:rPr>
            <w:rStyle w:val="Hyperlink"/>
            <w:noProof/>
          </w:rPr>
          <w:t>Información sobre los criterios de elección del método más adecuado</w:t>
        </w:r>
        <w:r w:rsidR="00C7057E">
          <w:rPr>
            <w:noProof/>
            <w:webHidden/>
          </w:rPr>
          <w:tab/>
        </w:r>
        <w:r w:rsidR="00BE399B">
          <w:rPr>
            <w:noProof/>
            <w:webHidden/>
          </w:rPr>
          <w:fldChar w:fldCharType="begin"/>
        </w:r>
        <w:r w:rsidR="00C7057E">
          <w:rPr>
            <w:noProof/>
            <w:webHidden/>
          </w:rPr>
          <w:instrText xml:space="preserve"> PAGEREF _Toc523758734 \h </w:instrText>
        </w:r>
        <w:r w:rsidR="00BE399B">
          <w:rPr>
            <w:noProof/>
            <w:webHidden/>
          </w:rPr>
        </w:r>
        <w:r w:rsidR="00BE399B">
          <w:rPr>
            <w:noProof/>
            <w:webHidden/>
          </w:rPr>
          <w:fldChar w:fldCharType="separate"/>
        </w:r>
        <w:r w:rsidR="00802227">
          <w:rPr>
            <w:noProof/>
            <w:webHidden/>
          </w:rPr>
          <w:t>3</w:t>
        </w:r>
        <w:r w:rsidR="00BE399B">
          <w:rPr>
            <w:noProof/>
            <w:webHidden/>
          </w:rPr>
          <w:fldChar w:fldCharType="end"/>
        </w:r>
      </w:hyperlink>
    </w:p>
    <w:p w:rsidR="00C7057E" w:rsidRDefault="00FE636C" w:rsidP="00620C04">
      <w:pPr>
        <w:pStyle w:val="TOC1"/>
        <w:rPr>
          <w:rFonts w:asciiTheme="minorHAnsi" w:eastAsiaTheme="minorEastAsia" w:hAnsiTheme="minorHAnsi" w:cstheme="minorBidi"/>
          <w:sz w:val="22"/>
          <w:szCs w:val="22"/>
          <w:lang w:bidi="ar-SA"/>
        </w:rPr>
      </w:pPr>
      <w:hyperlink w:anchor="_Toc523758735" w:history="1">
        <w:r w:rsidR="00C7057E" w:rsidRPr="00FB57DE">
          <w:rPr>
            <w:rStyle w:val="Hyperlink"/>
          </w:rPr>
          <w:t>NOVEDADES ACAECIDAS EN 2018</w:t>
        </w:r>
        <w:r w:rsidR="00C7057E">
          <w:rPr>
            <w:webHidden/>
          </w:rPr>
          <w:tab/>
        </w:r>
        <w:r w:rsidR="00BE399B">
          <w:rPr>
            <w:webHidden/>
          </w:rPr>
          <w:fldChar w:fldCharType="begin"/>
        </w:r>
        <w:r w:rsidR="00C7057E">
          <w:rPr>
            <w:webHidden/>
          </w:rPr>
          <w:instrText xml:space="preserve"> PAGEREF _Toc523758735 \h </w:instrText>
        </w:r>
        <w:r w:rsidR="00BE399B">
          <w:rPr>
            <w:webHidden/>
          </w:rPr>
        </w:r>
        <w:r w:rsidR="00BE399B">
          <w:rPr>
            <w:webHidden/>
          </w:rPr>
          <w:fldChar w:fldCharType="separate"/>
        </w:r>
        <w:r w:rsidR="00802227">
          <w:rPr>
            <w:webHidden/>
          </w:rPr>
          <w:t>4</w:t>
        </w:r>
        <w:r w:rsidR="00BE399B">
          <w:rPr>
            <w:webHidden/>
          </w:rPr>
          <w:fldChar w:fldCharType="end"/>
        </w:r>
      </w:hyperlink>
    </w:p>
    <w:p w:rsidR="00C7057E" w:rsidRDefault="00FE636C" w:rsidP="00620C04">
      <w:pPr>
        <w:pStyle w:val="TOC2"/>
        <w:rPr>
          <w:rFonts w:asciiTheme="minorHAnsi" w:eastAsiaTheme="minorEastAsia" w:hAnsiTheme="minorHAnsi" w:cstheme="minorBidi"/>
          <w:smallCaps/>
          <w:noProof/>
          <w:sz w:val="22"/>
          <w:szCs w:val="22"/>
          <w:lang w:bidi="ar-SA"/>
        </w:rPr>
      </w:pPr>
      <w:hyperlink w:anchor="_Toc523758736" w:history="1">
        <w:r w:rsidR="00C7057E" w:rsidRPr="00FB57DE">
          <w:rPr>
            <w:rStyle w:val="Hyperlink"/>
            <w:noProof/>
          </w:rPr>
          <w:t>Comité de Redacción Ampliado</w:t>
        </w:r>
        <w:r w:rsidR="00C7057E">
          <w:rPr>
            <w:noProof/>
            <w:webHidden/>
          </w:rPr>
          <w:tab/>
        </w:r>
        <w:r w:rsidR="00BE399B">
          <w:rPr>
            <w:noProof/>
            <w:webHidden/>
          </w:rPr>
          <w:fldChar w:fldCharType="begin"/>
        </w:r>
        <w:r w:rsidR="00C7057E">
          <w:rPr>
            <w:noProof/>
            <w:webHidden/>
          </w:rPr>
          <w:instrText xml:space="preserve"> PAGEREF _Toc523758736 \h </w:instrText>
        </w:r>
        <w:r w:rsidR="00BE399B">
          <w:rPr>
            <w:noProof/>
            <w:webHidden/>
          </w:rPr>
        </w:r>
        <w:r w:rsidR="00BE399B">
          <w:rPr>
            <w:noProof/>
            <w:webHidden/>
          </w:rPr>
          <w:fldChar w:fldCharType="separate"/>
        </w:r>
        <w:r w:rsidR="00802227">
          <w:rPr>
            <w:noProof/>
            <w:webHidden/>
          </w:rPr>
          <w:t>4</w:t>
        </w:r>
        <w:r w:rsidR="00BE399B">
          <w:rPr>
            <w:noProof/>
            <w:webHidden/>
          </w:rPr>
          <w:fldChar w:fldCharType="end"/>
        </w:r>
      </w:hyperlink>
    </w:p>
    <w:p w:rsidR="00C7057E" w:rsidRDefault="00FE636C" w:rsidP="00620C04">
      <w:pPr>
        <w:pStyle w:val="TOC2"/>
        <w:rPr>
          <w:rFonts w:asciiTheme="minorHAnsi" w:eastAsiaTheme="minorEastAsia" w:hAnsiTheme="minorHAnsi" w:cstheme="minorBidi"/>
          <w:smallCaps/>
          <w:noProof/>
          <w:sz w:val="22"/>
          <w:szCs w:val="22"/>
          <w:lang w:bidi="ar-SA"/>
        </w:rPr>
      </w:pPr>
      <w:hyperlink w:anchor="_Toc523758737" w:history="1">
        <w:r w:rsidR="00C7057E" w:rsidRPr="00FB57DE">
          <w:rPr>
            <w:rStyle w:val="Hyperlink"/>
            <w:noProof/>
          </w:rPr>
          <w:t>Grupo de Trabajo Técnico sobre Automatización y Programas Informáticos</w:t>
        </w:r>
        <w:r w:rsidR="00C7057E">
          <w:rPr>
            <w:noProof/>
            <w:webHidden/>
          </w:rPr>
          <w:tab/>
        </w:r>
        <w:r w:rsidR="00BE399B">
          <w:rPr>
            <w:noProof/>
            <w:webHidden/>
          </w:rPr>
          <w:fldChar w:fldCharType="begin"/>
        </w:r>
        <w:r w:rsidR="00C7057E">
          <w:rPr>
            <w:noProof/>
            <w:webHidden/>
          </w:rPr>
          <w:instrText xml:space="preserve"> PAGEREF _Toc523758737 \h </w:instrText>
        </w:r>
        <w:r w:rsidR="00BE399B">
          <w:rPr>
            <w:noProof/>
            <w:webHidden/>
          </w:rPr>
        </w:r>
        <w:r w:rsidR="00BE399B">
          <w:rPr>
            <w:noProof/>
            <w:webHidden/>
          </w:rPr>
          <w:fldChar w:fldCharType="separate"/>
        </w:r>
        <w:r w:rsidR="00802227">
          <w:rPr>
            <w:noProof/>
            <w:webHidden/>
          </w:rPr>
          <w:t>4</w:t>
        </w:r>
        <w:r w:rsidR="00BE399B">
          <w:rPr>
            <w:noProof/>
            <w:webHidden/>
          </w:rPr>
          <w:fldChar w:fldCharType="end"/>
        </w:r>
      </w:hyperlink>
    </w:p>
    <w:p w:rsidR="00C7057E" w:rsidRDefault="00FE636C" w:rsidP="00620C04">
      <w:pPr>
        <w:pStyle w:val="TOC1"/>
        <w:rPr>
          <w:rFonts w:asciiTheme="minorHAnsi" w:eastAsiaTheme="minorEastAsia" w:hAnsiTheme="minorHAnsi" w:cstheme="minorBidi"/>
          <w:sz w:val="22"/>
          <w:szCs w:val="22"/>
          <w:lang w:bidi="ar-SA"/>
        </w:rPr>
      </w:pPr>
      <w:hyperlink w:anchor="_Toc523758738" w:history="1">
        <w:r w:rsidR="00C7057E" w:rsidRPr="00FB57DE">
          <w:rPr>
            <w:rStyle w:val="Hyperlink"/>
          </w:rPr>
          <w:t>Resumen de los métodos</w:t>
        </w:r>
        <w:r w:rsidR="00C7057E">
          <w:rPr>
            <w:webHidden/>
          </w:rPr>
          <w:tab/>
        </w:r>
        <w:r w:rsidR="00BE399B">
          <w:rPr>
            <w:webHidden/>
          </w:rPr>
          <w:fldChar w:fldCharType="begin"/>
        </w:r>
        <w:r w:rsidR="00C7057E">
          <w:rPr>
            <w:webHidden/>
          </w:rPr>
          <w:instrText xml:space="preserve"> PAGEREF _Toc523758738 \h </w:instrText>
        </w:r>
        <w:r w:rsidR="00BE399B">
          <w:rPr>
            <w:webHidden/>
          </w:rPr>
        </w:r>
        <w:r w:rsidR="00BE399B">
          <w:rPr>
            <w:webHidden/>
          </w:rPr>
          <w:fldChar w:fldCharType="separate"/>
        </w:r>
        <w:r w:rsidR="00802227">
          <w:rPr>
            <w:webHidden/>
          </w:rPr>
          <w:t>5</w:t>
        </w:r>
        <w:r w:rsidR="00BE399B">
          <w:rPr>
            <w:webHidden/>
          </w:rPr>
          <w:fldChar w:fldCharType="end"/>
        </w:r>
      </w:hyperlink>
    </w:p>
    <w:p w:rsidR="00143140" w:rsidRPr="000F61A0" w:rsidRDefault="00BE399B" w:rsidP="00C7057E">
      <w:pPr>
        <w:spacing w:before="120" w:after="120"/>
        <w:ind w:left="1276" w:hanging="1276"/>
        <w:rPr>
          <w:rFonts w:asciiTheme="minorHAnsi" w:eastAsiaTheme="minorEastAsia" w:hAnsiTheme="minorHAnsi" w:cstheme="minorBidi"/>
          <w:caps/>
          <w:noProof/>
          <w:szCs w:val="22"/>
        </w:rPr>
      </w:pPr>
      <w:r w:rsidRPr="00EF493C">
        <w:rPr>
          <w:snapToGrid w:val="0"/>
        </w:rPr>
        <w:fldChar w:fldCharType="end"/>
      </w:r>
      <w:r w:rsidR="00143140" w:rsidRPr="000F61A0">
        <w:rPr>
          <w:sz w:val="18"/>
        </w:rPr>
        <w:t>ANEXO I:</w:t>
      </w:r>
      <w:r w:rsidR="00143140" w:rsidRPr="000F61A0">
        <w:rPr>
          <w:color w:val="000000"/>
          <w:sz w:val="18"/>
        </w:rPr>
        <w:t xml:space="preserve"> </w:t>
      </w:r>
      <w:r w:rsidR="00143140" w:rsidRPr="000F61A0">
        <w:rPr>
          <w:sz w:val="18"/>
        </w:rPr>
        <w:tab/>
      </w:r>
      <w:r w:rsidR="00143140" w:rsidRPr="000F61A0">
        <w:rPr>
          <w:color w:val="000000"/>
          <w:sz w:val="18"/>
        </w:rPr>
        <w:t>Evaluación de la homogeneidad de las plantas fuera de tipo mediante la observación de más de un ciclo de cultivo</w:t>
      </w:r>
    </w:p>
    <w:p w:rsidR="00143140" w:rsidRPr="000F61A0" w:rsidRDefault="00143140" w:rsidP="00C7057E">
      <w:pPr>
        <w:spacing w:before="120" w:after="120"/>
        <w:ind w:left="1276" w:hanging="1276"/>
        <w:rPr>
          <w:rFonts w:eastAsia="MS Mincho"/>
          <w:color w:val="000000"/>
          <w:sz w:val="18"/>
          <w:szCs w:val="24"/>
        </w:rPr>
      </w:pPr>
      <w:r w:rsidRPr="000F61A0">
        <w:rPr>
          <w:color w:val="000000"/>
          <w:sz w:val="18"/>
        </w:rPr>
        <w:t>ANEXO II:</w:t>
      </w:r>
      <w:r w:rsidRPr="000F61A0">
        <w:rPr>
          <w:sz w:val="18"/>
        </w:rPr>
        <w:tab/>
      </w:r>
      <w:r w:rsidRPr="000F61A0">
        <w:rPr>
          <w:color w:val="000000"/>
          <w:sz w:val="18"/>
        </w:rPr>
        <w:t xml:space="preserve">Evaluación de la homogeneidad de las plantas fuera de tipo mediante la observación de </w:t>
      </w:r>
      <w:proofErr w:type="spellStart"/>
      <w:r w:rsidRPr="000F61A0">
        <w:rPr>
          <w:color w:val="000000"/>
          <w:sz w:val="18"/>
        </w:rPr>
        <w:t>submuestras</w:t>
      </w:r>
      <w:proofErr w:type="spellEnd"/>
      <w:r w:rsidRPr="000F61A0">
        <w:rPr>
          <w:color w:val="000000"/>
          <w:sz w:val="18"/>
        </w:rPr>
        <w:t xml:space="preserve"> en un único examen o ensayo</w:t>
      </w:r>
    </w:p>
    <w:p w:rsidR="00143140" w:rsidRPr="00143140" w:rsidRDefault="00143140" w:rsidP="00143140">
      <w:pPr>
        <w:tabs>
          <w:tab w:val="left" w:pos="1701"/>
        </w:tabs>
        <w:autoSpaceDE w:val="0"/>
        <w:autoSpaceDN w:val="0"/>
        <w:adjustRightInd w:val="0"/>
        <w:ind w:left="1276" w:hanging="1276"/>
        <w:rPr>
          <w:rFonts w:eastAsia="MS Mincho"/>
          <w:color w:val="000000"/>
          <w:szCs w:val="24"/>
        </w:rPr>
      </w:pPr>
    </w:p>
    <w:bookmarkStart w:id="3" w:name="_Toc380150989"/>
    <w:p w:rsidR="00143140" w:rsidRPr="00143140" w:rsidRDefault="00BE399B" w:rsidP="00143140">
      <w:pPr>
        <w:autoSpaceDE w:val="0"/>
        <w:autoSpaceDN w:val="0"/>
        <w:adjustRightInd w:val="0"/>
        <w:ind w:left="567" w:hanging="567"/>
        <w:rPr>
          <w:rFonts w:cs="Arial"/>
          <w:color w:val="000000"/>
        </w:rPr>
      </w:pPr>
      <w:r w:rsidRPr="0021251E">
        <w:lastRenderedPageBreak/>
        <w:fldChar w:fldCharType="begin"/>
      </w:r>
      <w:r w:rsidR="00143140" w:rsidRPr="00143140">
        <w:instrText xml:space="preserve"> AUTONUM  </w:instrText>
      </w:r>
      <w:r w:rsidRPr="0021251E">
        <w:fldChar w:fldCharType="end"/>
      </w:r>
      <w:r w:rsidR="00143140">
        <w:tab/>
        <w:t>En el presente documento se utilizan las siguientes abreviaturas:</w:t>
      </w:r>
    </w:p>
    <w:p w:rsidR="00143140" w:rsidRPr="00143140" w:rsidRDefault="00143140" w:rsidP="00143140">
      <w:pPr>
        <w:keepNext/>
        <w:rPr>
          <w:rFonts w:cs="Arial"/>
          <w:color w:val="000000"/>
        </w:rPr>
      </w:pPr>
    </w:p>
    <w:p w:rsidR="00143140" w:rsidRPr="00143140" w:rsidRDefault="00143140" w:rsidP="00143140">
      <w:pPr>
        <w:keepNext/>
        <w:rPr>
          <w:rFonts w:cs="Arial"/>
        </w:rPr>
      </w:pPr>
      <w:r>
        <w:tab/>
        <w:t>TC:</w:t>
      </w:r>
      <w:r>
        <w:tab/>
      </w:r>
      <w:r>
        <w:tab/>
        <w:t>Comité Técnico</w:t>
      </w:r>
    </w:p>
    <w:p w:rsidR="00143140" w:rsidRPr="00143140" w:rsidRDefault="00143140" w:rsidP="00143140">
      <w:pPr>
        <w:rPr>
          <w:rFonts w:eastAsia="PMingLiU" w:cs="Arial"/>
          <w:szCs w:val="24"/>
        </w:rPr>
      </w:pPr>
      <w:r>
        <w:tab/>
        <w:t>TC-EDC:</w:t>
      </w:r>
      <w:r>
        <w:tab/>
        <w:t>Comité de Redacción Ampliado</w:t>
      </w:r>
    </w:p>
    <w:p w:rsidR="00143140" w:rsidRPr="00143140" w:rsidRDefault="00143140" w:rsidP="00143140">
      <w:pPr>
        <w:rPr>
          <w:rFonts w:eastAsia="PMingLiU" w:cs="Arial"/>
          <w:szCs w:val="24"/>
        </w:rPr>
      </w:pPr>
      <w:r>
        <w:tab/>
        <w:t>TWA:</w:t>
      </w:r>
      <w:r>
        <w:tab/>
      </w:r>
      <w:r>
        <w:tab/>
        <w:t>Grupo de Trabajo Técnico sobre Plantas Agrícolas</w:t>
      </w:r>
    </w:p>
    <w:p w:rsidR="00143140" w:rsidRPr="00143140" w:rsidRDefault="00143140" w:rsidP="00143140">
      <w:pPr>
        <w:rPr>
          <w:rFonts w:eastAsia="PMingLiU" w:cs="Arial"/>
          <w:szCs w:val="24"/>
        </w:rPr>
      </w:pPr>
      <w:r>
        <w:tab/>
        <w:t>TWC:</w:t>
      </w:r>
      <w:r>
        <w:tab/>
      </w:r>
      <w:r>
        <w:tab/>
        <w:t>Grupo de Trabajo Técnico sobre Automatización y Programas Informáticos</w:t>
      </w:r>
    </w:p>
    <w:p w:rsidR="00143140" w:rsidRPr="00143140" w:rsidRDefault="00143140" w:rsidP="00143140">
      <w:pPr>
        <w:rPr>
          <w:rFonts w:eastAsia="PMingLiU" w:cs="Arial"/>
          <w:szCs w:val="24"/>
        </w:rPr>
      </w:pPr>
      <w:r>
        <w:tab/>
        <w:t xml:space="preserve">TWF: </w:t>
      </w:r>
      <w:r>
        <w:tab/>
      </w:r>
      <w:r>
        <w:tab/>
        <w:t>Grupo de Trabajo Técnico sobre Plantas Frutales</w:t>
      </w:r>
    </w:p>
    <w:p w:rsidR="00143140" w:rsidRPr="00143140" w:rsidRDefault="00143140" w:rsidP="00143140">
      <w:pPr>
        <w:rPr>
          <w:rFonts w:eastAsia="PMingLiU" w:cs="Arial"/>
          <w:szCs w:val="24"/>
        </w:rPr>
      </w:pPr>
      <w:r>
        <w:tab/>
        <w:t>TWO:</w:t>
      </w:r>
      <w:r>
        <w:tab/>
      </w:r>
      <w:r>
        <w:tab/>
        <w:t>Grupo de Trabajo Técnico sobre Plantas Ornamentales y Árboles Forestales</w:t>
      </w:r>
    </w:p>
    <w:p w:rsidR="00143140" w:rsidRPr="00143140" w:rsidRDefault="00143140" w:rsidP="00143140">
      <w:pPr>
        <w:rPr>
          <w:rFonts w:eastAsia="PMingLiU" w:cs="Arial"/>
          <w:szCs w:val="24"/>
        </w:rPr>
      </w:pPr>
      <w:r>
        <w:tab/>
        <w:t>TWP:</w:t>
      </w:r>
      <w:r w:rsidR="00921C0D">
        <w:tab/>
      </w:r>
      <w:r w:rsidR="00921C0D">
        <w:tab/>
      </w:r>
      <w:r>
        <w:t>Grupos de Trabajo Técnico</w:t>
      </w:r>
    </w:p>
    <w:p w:rsidR="00143140" w:rsidRPr="00143140" w:rsidRDefault="00143140" w:rsidP="00143140">
      <w:pPr>
        <w:rPr>
          <w:rFonts w:eastAsia="PMingLiU" w:cs="Arial"/>
          <w:szCs w:val="24"/>
        </w:rPr>
      </w:pPr>
      <w:r>
        <w:tab/>
        <w:t>TWV:</w:t>
      </w:r>
      <w:r>
        <w:tab/>
      </w:r>
      <w:r>
        <w:tab/>
        <w:t>Grupo de Trabajo Técnico sobre Hortalizas</w:t>
      </w:r>
    </w:p>
    <w:p w:rsidR="00143140" w:rsidRDefault="00143140" w:rsidP="00143140">
      <w:pPr>
        <w:autoSpaceDE w:val="0"/>
        <w:autoSpaceDN w:val="0"/>
        <w:adjustRightInd w:val="0"/>
      </w:pPr>
    </w:p>
    <w:p w:rsidR="002D3E50" w:rsidRPr="00143140" w:rsidRDefault="002D3E50" w:rsidP="00143140">
      <w:pPr>
        <w:autoSpaceDE w:val="0"/>
        <w:autoSpaceDN w:val="0"/>
        <w:adjustRightInd w:val="0"/>
      </w:pPr>
    </w:p>
    <w:p w:rsidR="00143140" w:rsidRPr="0021251E" w:rsidRDefault="00143140" w:rsidP="00143140">
      <w:pPr>
        <w:pStyle w:val="Heading1"/>
        <w:rPr>
          <w:rFonts w:eastAsia="MS Mincho"/>
        </w:rPr>
      </w:pPr>
      <w:bookmarkStart w:id="4" w:name="_Toc523758729"/>
      <w:r>
        <w:t>ANTECEDENTES</w:t>
      </w:r>
      <w:bookmarkEnd w:id="3"/>
      <w:bookmarkEnd w:id="4"/>
    </w:p>
    <w:p w:rsidR="00143140" w:rsidRPr="00143140" w:rsidRDefault="00143140" w:rsidP="00143140">
      <w:pPr>
        <w:rPr>
          <w:rFonts w:eastAsia="MS Mincho"/>
        </w:rPr>
      </w:pPr>
    </w:p>
    <w:p w:rsidR="00143140" w:rsidRPr="00143140" w:rsidRDefault="00BE399B" w:rsidP="00143140">
      <w:r w:rsidRPr="0021251E">
        <w:fldChar w:fldCharType="begin"/>
      </w:r>
      <w:r w:rsidR="00143140" w:rsidRPr="00143140">
        <w:instrText xml:space="preserve"> AUTONUM  </w:instrText>
      </w:r>
      <w:r w:rsidRPr="0021251E">
        <w:fldChar w:fldCharType="end"/>
      </w:r>
      <w:r w:rsidR="00143140">
        <w:tab/>
        <w:t>Los antecedentes de esta cuestión figuran en el documento TC/53/19, en “Revisión del documento</w:t>
      </w:r>
      <w:r w:rsidR="0080390A">
        <w:t> </w:t>
      </w:r>
      <w:r w:rsidR="00143140">
        <w:t xml:space="preserve">TGP/10: nueva sección: Evaluación de la homogeneidad de las plantas fuera de tipo mediante la observación de más de un ciclo de cultivo o mediante la observación de </w:t>
      </w:r>
      <w:proofErr w:type="spellStart"/>
      <w:r w:rsidR="00143140">
        <w:t>submuestras</w:t>
      </w:r>
      <w:proofErr w:type="spellEnd"/>
      <w:r w:rsidR="00143140">
        <w:t>”.</w:t>
      </w:r>
    </w:p>
    <w:p w:rsidR="00143140" w:rsidRPr="00143140" w:rsidRDefault="00143140" w:rsidP="00143140">
      <w:bookmarkStart w:id="5" w:name="_Toc380151005"/>
    </w:p>
    <w:p w:rsidR="00143140" w:rsidRPr="00143140" w:rsidRDefault="00143140" w:rsidP="00143140"/>
    <w:p w:rsidR="00143140" w:rsidRPr="0021251E" w:rsidRDefault="00143140" w:rsidP="00143140">
      <w:pPr>
        <w:pStyle w:val="Heading1"/>
      </w:pPr>
      <w:bookmarkStart w:id="6" w:name="_Toc523758730"/>
      <w:r>
        <w:t>NOVEDADES ACAECIDAS EN 2017</w:t>
      </w:r>
      <w:bookmarkEnd w:id="6"/>
    </w:p>
    <w:p w:rsidR="00143140" w:rsidRPr="00143140" w:rsidRDefault="00143140" w:rsidP="00143140">
      <w:pPr>
        <w:keepNext/>
      </w:pPr>
    </w:p>
    <w:p w:rsidR="00143140" w:rsidRDefault="00143140" w:rsidP="00143140">
      <w:pPr>
        <w:pStyle w:val="Heading2"/>
      </w:pPr>
      <w:bookmarkStart w:id="7" w:name="_Toc523758731"/>
      <w:r>
        <w:t>Observaciones formuladas por los Grupos de Trabajo Técnico</w:t>
      </w:r>
      <w:bookmarkEnd w:id="7"/>
    </w:p>
    <w:p w:rsidR="00143140" w:rsidRPr="00143140" w:rsidRDefault="00143140" w:rsidP="00143140"/>
    <w:p w:rsidR="00143140" w:rsidRPr="00143140" w:rsidRDefault="00BE399B" w:rsidP="00143140">
      <w:r w:rsidRPr="000E5BB2">
        <w:fldChar w:fldCharType="begin"/>
      </w:r>
      <w:r w:rsidR="00143140" w:rsidRPr="00143140">
        <w:instrText xml:space="preserve"> AUTONUM  </w:instrText>
      </w:r>
      <w:r w:rsidRPr="000E5BB2">
        <w:fldChar w:fldCharType="end"/>
      </w:r>
      <w:r w:rsidR="00143140">
        <w:tab/>
        <w:t>En sus sesiones de 2017, el TWA, el TWV, el TWO, el TWF y el TWC examinaron el documento</w:t>
      </w:r>
      <w:r w:rsidR="0080390A">
        <w:t> </w:t>
      </w:r>
      <w:r w:rsidR="00143140">
        <w:t>TWP/1/17 Rev. “</w:t>
      </w:r>
      <w:proofErr w:type="spellStart"/>
      <w:r w:rsidR="00143140" w:rsidRPr="00802227">
        <w:rPr>
          <w:i/>
        </w:rPr>
        <w:t>Assessing</w:t>
      </w:r>
      <w:proofErr w:type="spellEnd"/>
      <w:r w:rsidR="00143140" w:rsidRPr="00802227">
        <w:rPr>
          <w:i/>
        </w:rPr>
        <w:t xml:space="preserve"> </w:t>
      </w:r>
      <w:proofErr w:type="spellStart"/>
      <w:r w:rsidR="00143140" w:rsidRPr="00802227">
        <w:rPr>
          <w:i/>
        </w:rPr>
        <w:t>Uniformity</w:t>
      </w:r>
      <w:proofErr w:type="spellEnd"/>
      <w:r w:rsidR="00143140" w:rsidRPr="00802227">
        <w:rPr>
          <w:i/>
        </w:rPr>
        <w:t xml:space="preserve"> </w:t>
      </w:r>
      <w:proofErr w:type="spellStart"/>
      <w:r w:rsidR="00143140" w:rsidRPr="00802227">
        <w:rPr>
          <w:i/>
        </w:rPr>
        <w:t>by</w:t>
      </w:r>
      <w:proofErr w:type="spellEnd"/>
      <w:r w:rsidR="00143140" w:rsidRPr="00802227">
        <w:rPr>
          <w:i/>
        </w:rPr>
        <w:t xml:space="preserve"> Off-</w:t>
      </w:r>
      <w:proofErr w:type="spellStart"/>
      <w:r w:rsidR="00143140" w:rsidRPr="00802227">
        <w:rPr>
          <w:i/>
        </w:rPr>
        <w:t>Types</w:t>
      </w:r>
      <w:proofErr w:type="spellEnd"/>
      <w:r w:rsidR="00143140" w:rsidRPr="00802227">
        <w:rPr>
          <w:i/>
        </w:rPr>
        <w:t xml:space="preserve"> </w:t>
      </w:r>
      <w:proofErr w:type="spellStart"/>
      <w:r w:rsidR="00143140" w:rsidRPr="00802227">
        <w:rPr>
          <w:i/>
        </w:rPr>
        <w:t>on</w:t>
      </w:r>
      <w:proofErr w:type="spellEnd"/>
      <w:r w:rsidR="00143140" w:rsidRPr="00802227">
        <w:rPr>
          <w:i/>
        </w:rPr>
        <w:t xml:space="preserve"> </w:t>
      </w:r>
      <w:proofErr w:type="spellStart"/>
      <w:r w:rsidR="00143140" w:rsidRPr="00802227">
        <w:rPr>
          <w:i/>
        </w:rPr>
        <w:t>the</w:t>
      </w:r>
      <w:proofErr w:type="spellEnd"/>
      <w:r w:rsidR="00143140" w:rsidRPr="00802227">
        <w:rPr>
          <w:i/>
        </w:rPr>
        <w:t xml:space="preserve"> </w:t>
      </w:r>
      <w:proofErr w:type="spellStart"/>
      <w:r w:rsidR="00143140" w:rsidRPr="00802227">
        <w:rPr>
          <w:i/>
        </w:rPr>
        <w:t>Basis</w:t>
      </w:r>
      <w:proofErr w:type="spellEnd"/>
      <w:r w:rsidR="00143140" w:rsidRPr="00802227">
        <w:rPr>
          <w:i/>
        </w:rPr>
        <w:t xml:space="preserve"> of More </w:t>
      </w:r>
      <w:proofErr w:type="spellStart"/>
      <w:r w:rsidR="00143140" w:rsidRPr="00802227">
        <w:rPr>
          <w:i/>
        </w:rPr>
        <w:t>than</w:t>
      </w:r>
      <w:proofErr w:type="spellEnd"/>
      <w:r w:rsidR="00143140" w:rsidRPr="00802227">
        <w:rPr>
          <w:i/>
        </w:rPr>
        <w:t xml:space="preserve"> </w:t>
      </w:r>
      <w:proofErr w:type="spellStart"/>
      <w:r w:rsidR="00143140" w:rsidRPr="00802227">
        <w:rPr>
          <w:i/>
        </w:rPr>
        <w:t>One</w:t>
      </w:r>
      <w:proofErr w:type="spellEnd"/>
      <w:r w:rsidR="00143140" w:rsidRPr="00802227">
        <w:rPr>
          <w:i/>
        </w:rPr>
        <w:t xml:space="preserve"> </w:t>
      </w:r>
      <w:proofErr w:type="spellStart"/>
      <w:r w:rsidR="00143140" w:rsidRPr="00802227">
        <w:rPr>
          <w:i/>
        </w:rPr>
        <w:t>Growing</w:t>
      </w:r>
      <w:proofErr w:type="spellEnd"/>
      <w:r w:rsidR="00143140" w:rsidRPr="00802227">
        <w:rPr>
          <w:i/>
        </w:rPr>
        <w:t xml:space="preserve"> </w:t>
      </w:r>
      <w:proofErr w:type="spellStart"/>
      <w:r w:rsidR="00143140" w:rsidRPr="00802227">
        <w:rPr>
          <w:i/>
        </w:rPr>
        <w:t>Cycle</w:t>
      </w:r>
      <w:proofErr w:type="spellEnd"/>
      <w:r w:rsidR="00143140" w:rsidRPr="00802227">
        <w:rPr>
          <w:i/>
        </w:rPr>
        <w:t xml:space="preserve"> </w:t>
      </w:r>
      <w:proofErr w:type="spellStart"/>
      <w:r w:rsidR="00143140" w:rsidRPr="00802227">
        <w:rPr>
          <w:i/>
        </w:rPr>
        <w:t>or</w:t>
      </w:r>
      <w:proofErr w:type="spellEnd"/>
      <w:r w:rsidR="00143140" w:rsidRPr="00802227">
        <w:rPr>
          <w:i/>
        </w:rPr>
        <w:t xml:space="preserve"> </w:t>
      </w:r>
      <w:proofErr w:type="spellStart"/>
      <w:r w:rsidR="00143140" w:rsidRPr="00802227">
        <w:rPr>
          <w:i/>
        </w:rPr>
        <w:t>on</w:t>
      </w:r>
      <w:proofErr w:type="spellEnd"/>
      <w:r w:rsidR="00143140" w:rsidRPr="00802227">
        <w:rPr>
          <w:i/>
        </w:rPr>
        <w:t xml:space="preserve"> </w:t>
      </w:r>
      <w:proofErr w:type="spellStart"/>
      <w:r w:rsidR="00143140" w:rsidRPr="00802227">
        <w:rPr>
          <w:i/>
        </w:rPr>
        <w:t>the</w:t>
      </w:r>
      <w:proofErr w:type="spellEnd"/>
      <w:r w:rsidR="00143140" w:rsidRPr="00802227">
        <w:rPr>
          <w:i/>
        </w:rPr>
        <w:t xml:space="preserve"> </w:t>
      </w:r>
      <w:proofErr w:type="spellStart"/>
      <w:r w:rsidR="00143140" w:rsidRPr="00802227">
        <w:rPr>
          <w:i/>
        </w:rPr>
        <w:t>Basis</w:t>
      </w:r>
      <w:proofErr w:type="spellEnd"/>
      <w:r w:rsidR="00143140" w:rsidRPr="00802227">
        <w:rPr>
          <w:i/>
        </w:rPr>
        <w:t xml:space="preserve"> of Sub-</w:t>
      </w:r>
      <w:proofErr w:type="spellStart"/>
      <w:r w:rsidR="00143140" w:rsidRPr="00802227">
        <w:rPr>
          <w:i/>
        </w:rPr>
        <w:t>Samples</w:t>
      </w:r>
      <w:proofErr w:type="spellEnd"/>
      <w:r w:rsidR="00143140">
        <w:t>” (Evaluación de la homogeneidad</w:t>
      </w:r>
      <w:r w:rsidR="00421253">
        <w:t xml:space="preserve"> </w:t>
      </w:r>
      <w:r w:rsidR="00143140">
        <w:t xml:space="preserve">sobre la base de las plantas fuera de tipo mediante la observación de más de un ciclo de cultivo o mediante la observación de </w:t>
      </w:r>
      <w:proofErr w:type="spellStart"/>
      <w:r w:rsidR="00143140">
        <w:t>submuestras</w:t>
      </w:r>
      <w:proofErr w:type="spellEnd"/>
      <w:r w:rsidR="00143140">
        <w:t>) (véanse los documentos TWA/46/10 “</w:t>
      </w:r>
      <w:proofErr w:type="spellStart"/>
      <w:r w:rsidR="00143140">
        <w:rPr>
          <w:i/>
        </w:rPr>
        <w:t>Report</w:t>
      </w:r>
      <w:proofErr w:type="spellEnd"/>
      <w:r w:rsidR="00143140">
        <w:t>”, párrafos 28 a 35; TWV/51/16 “</w:t>
      </w:r>
      <w:proofErr w:type="spellStart"/>
      <w:r w:rsidR="00143140">
        <w:rPr>
          <w:i/>
        </w:rPr>
        <w:t>Report</w:t>
      </w:r>
      <w:proofErr w:type="spellEnd"/>
      <w:r w:rsidR="00143140">
        <w:t>”, párrafos 39 a 47; TWO/50/14 “</w:t>
      </w:r>
      <w:proofErr w:type="spellStart"/>
      <w:r w:rsidR="00143140">
        <w:rPr>
          <w:i/>
        </w:rPr>
        <w:t>Report</w:t>
      </w:r>
      <w:proofErr w:type="spellEnd"/>
      <w:r w:rsidR="00143140">
        <w:t>”, párrafos 19 a 21; TWF/48/13 “</w:t>
      </w:r>
      <w:proofErr w:type="spellStart"/>
      <w:r w:rsidR="00143140">
        <w:rPr>
          <w:i/>
        </w:rPr>
        <w:t>Report</w:t>
      </w:r>
      <w:proofErr w:type="spellEnd"/>
      <w:r w:rsidR="00143140">
        <w:t>”, párrafos 22 a 25; y TWC/35/21 “</w:t>
      </w:r>
      <w:proofErr w:type="spellStart"/>
      <w:r w:rsidR="00143140">
        <w:rPr>
          <w:i/>
        </w:rPr>
        <w:t>Report</w:t>
      </w:r>
      <w:proofErr w:type="spellEnd"/>
      <w:r w:rsidR="00143140">
        <w:t>”, párrafos 32 a 35).</w:t>
      </w:r>
    </w:p>
    <w:p w:rsidR="00143140" w:rsidRPr="00143140" w:rsidRDefault="00143140" w:rsidP="00143140"/>
    <w:p w:rsidR="00143140" w:rsidRPr="00143140" w:rsidRDefault="00BE399B" w:rsidP="00143140">
      <w:r w:rsidRPr="001061FC">
        <w:fldChar w:fldCharType="begin"/>
      </w:r>
      <w:r w:rsidR="00143140" w:rsidRPr="00143140">
        <w:instrText xml:space="preserve"> AUTONUM  </w:instrText>
      </w:r>
      <w:r w:rsidRPr="001061FC">
        <w:fldChar w:fldCharType="end"/>
      </w:r>
      <w:r w:rsidR="00143140">
        <w:tab/>
        <w:t>Los TWP examinaron el proyecto de orientación que figura en el documento TWP/1/17 Rev. con miras a incluirlo en una futura revisión del documento TGP/10 “Examen de la homogeneidad” y formularon las siguientes observaciones:</w:t>
      </w:r>
    </w:p>
    <w:p w:rsidR="00143140" w:rsidRPr="00143140" w:rsidRDefault="00143140" w:rsidP="00143140"/>
    <w:p w:rsidR="00143140" w:rsidRDefault="00143140" w:rsidP="00143140">
      <w:pPr>
        <w:pStyle w:val="Heading3"/>
      </w:pPr>
      <w:bookmarkStart w:id="8" w:name="_Toc523758732"/>
      <w:r>
        <w:rPr>
          <w:color w:val="000000"/>
        </w:rPr>
        <w:t>Variación medioambiental</w:t>
      </w:r>
      <w:bookmarkEnd w:id="8"/>
    </w:p>
    <w:p w:rsidR="00143140" w:rsidRPr="00143140" w:rsidRDefault="00143140" w:rsidP="00143140"/>
    <w:p w:rsidR="00143140" w:rsidRPr="00143140" w:rsidRDefault="00BE399B" w:rsidP="00143140">
      <w:r w:rsidRPr="00C76469">
        <w:fldChar w:fldCharType="begin"/>
      </w:r>
      <w:r w:rsidR="00143140" w:rsidRPr="00143140">
        <w:instrText xml:space="preserve"> AUTONUM  </w:instrText>
      </w:r>
      <w:r w:rsidRPr="00C76469">
        <w:fldChar w:fldCharType="end"/>
      </w:r>
      <w:r w:rsidR="00143140">
        <w:tab/>
        <w:t>El TWV, el TWF y el TWC convinieron con el TWA en proponer que la nueva frase introducida en el anexo I del proyecto de orientación se modifique de la manera siguiente:</w:t>
      </w:r>
    </w:p>
    <w:p w:rsidR="00143140" w:rsidRPr="00143140" w:rsidRDefault="00143140" w:rsidP="00143140"/>
    <w:p w:rsidR="00143140" w:rsidRPr="00143140" w:rsidRDefault="00143140" w:rsidP="00143140">
      <w:pPr>
        <w:ind w:left="567" w:right="567"/>
        <w:rPr>
          <w:sz w:val="18"/>
          <w:u w:val="single"/>
        </w:rPr>
      </w:pPr>
      <w:r>
        <w:rPr>
          <w:sz w:val="18"/>
        </w:rPr>
        <w:t xml:space="preserve">“Es importante determinar si las diferencias entre ciclos en cuanto al número de plantas fuera de tipo se deben a motivos </w:t>
      </w:r>
      <w:r>
        <w:rPr>
          <w:strike/>
          <w:sz w:val="18"/>
          <w:highlight w:val="lightGray"/>
        </w:rPr>
        <w:t>biológicos</w:t>
      </w:r>
      <w:r>
        <w:rPr>
          <w:sz w:val="18"/>
        </w:rPr>
        <w:t xml:space="preserve"> </w:t>
      </w:r>
      <w:r>
        <w:rPr>
          <w:sz w:val="18"/>
          <w:highlight w:val="lightGray"/>
          <w:u w:val="single"/>
        </w:rPr>
        <w:t>medioambientales</w:t>
      </w:r>
      <w:r>
        <w:rPr>
          <w:sz w:val="18"/>
        </w:rPr>
        <w:t xml:space="preserve"> o a las variaciones en la toma de muestras.”</w:t>
      </w:r>
      <w:r>
        <w:rPr>
          <w:sz w:val="18"/>
          <w:u w:val="single"/>
        </w:rPr>
        <w:t xml:space="preserve"> </w:t>
      </w:r>
    </w:p>
    <w:p w:rsidR="00143140" w:rsidRPr="00143140" w:rsidRDefault="00143140" w:rsidP="00143140"/>
    <w:p w:rsidR="00143140" w:rsidRPr="00143140" w:rsidRDefault="00BE399B" w:rsidP="00143140">
      <w:r w:rsidRPr="001061FC">
        <w:fldChar w:fldCharType="begin"/>
      </w:r>
      <w:r w:rsidR="00143140" w:rsidRPr="00143140">
        <w:instrText xml:space="preserve"> AUTONUM  </w:instrText>
      </w:r>
      <w:r w:rsidRPr="001061FC">
        <w:fldChar w:fldCharType="end"/>
      </w:r>
      <w:r w:rsidR="00143140">
        <w:tab/>
        <w:t>El TWF y el TW</w:t>
      </w:r>
      <w:r w:rsidR="002D3E50">
        <w:t>V</w:t>
      </w:r>
      <w:r w:rsidR="00143140">
        <w:t xml:space="preserve"> convinieron en proponer que se añada una precisión en la nueva frase introducida en el anexo I del proyecto de orientación, </w:t>
      </w:r>
      <w:r w:rsidR="00C51A0D">
        <w:t>para</w:t>
      </w:r>
      <w:r w:rsidR="00143140">
        <w:t xml:space="preserve"> que en todos los métodos el texto sea el siguiente:</w:t>
      </w:r>
    </w:p>
    <w:p w:rsidR="00143140" w:rsidRPr="00143140" w:rsidRDefault="00143140" w:rsidP="00143140"/>
    <w:p w:rsidR="00143140" w:rsidRPr="00143140" w:rsidRDefault="00143140" w:rsidP="00143140">
      <w:pPr>
        <w:ind w:left="567" w:right="567"/>
        <w:rPr>
          <w:sz w:val="18"/>
          <w:u w:val="single"/>
        </w:rPr>
      </w:pPr>
      <w:r>
        <w:rPr>
          <w:sz w:val="18"/>
        </w:rPr>
        <w:t xml:space="preserve">“Es importante determinar si las diferencias entre ciclos en cuanto al número de plantas fuera de tipo </w:t>
      </w:r>
      <w:r>
        <w:rPr>
          <w:sz w:val="18"/>
          <w:highlight w:val="lightGray"/>
          <w:u w:val="single"/>
        </w:rPr>
        <w:t>no</w:t>
      </w:r>
      <w:r>
        <w:rPr>
          <w:sz w:val="18"/>
        </w:rPr>
        <w:t xml:space="preserve"> se deben a motivos </w:t>
      </w:r>
      <w:r>
        <w:rPr>
          <w:strike/>
          <w:sz w:val="18"/>
          <w:highlight w:val="lightGray"/>
        </w:rPr>
        <w:t>biológicos</w:t>
      </w:r>
      <w:r>
        <w:rPr>
          <w:sz w:val="18"/>
        </w:rPr>
        <w:t xml:space="preserve"> </w:t>
      </w:r>
      <w:r>
        <w:rPr>
          <w:sz w:val="18"/>
          <w:highlight w:val="lightGray"/>
          <w:u w:val="single"/>
        </w:rPr>
        <w:t>medioambientales</w:t>
      </w:r>
      <w:r>
        <w:rPr>
          <w:sz w:val="18"/>
        </w:rPr>
        <w:t xml:space="preserve"> o a las variaciones en la toma de muestras.”</w:t>
      </w:r>
      <w:r>
        <w:rPr>
          <w:sz w:val="18"/>
          <w:u w:val="single"/>
        </w:rPr>
        <w:t xml:space="preserve"> </w:t>
      </w:r>
    </w:p>
    <w:p w:rsidR="00143140" w:rsidRPr="00143140" w:rsidRDefault="00143140" w:rsidP="00143140">
      <w:pPr>
        <w:keepNext/>
        <w:keepLines/>
      </w:pPr>
    </w:p>
    <w:p w:rsidR="00143140" w:rsidRDefault="00143140" w:rsidP="00143140">
      <w:pPr>
        <w:pStyle w:val="Heading3"/>
        <w:keepLines/>
      </w:pPr>
      <w:bookmarkStart w:id="9" w:name="_Toc523758733"/>
      <w:r>
        <w:rPr>
          <w:color w:val="000000"/>
        </w:rPr>
        <w:t>Criterios para rechazar una variedad tras un único ciclo de cultivo</w:t>
      </w:r>
      <w:bookmarkEnd w:id="9"/>
    </w:p>
    <w:p w:rsidR="00143140" w:rsidRPr="00143140" w:rsidRDefault="00143140" w:rsidP="00143140">
      <w:pPr>
        <w:keepNext/>
        <w:keepLines/>
      </w:pPr>
    </w:p>
    <w:p w:rsidR="00143140" w:rsidRPr="00143140" w:rsidRDefault="00BE399B" w:rsidP="00143140">
      <w:pPr>
        <w:keepNext/>
        <w:keepLines/>
      </w:pPr>
      <w:r>
        <w:fldChar w:fldCharType="begin"/>
      </w:r>
      <w:r w:rsidR="00143140" w:rsidRPr="00143140">
        <w:instrText xml:space="preserve"> AUTONUM  </w:instrText>
      </w:r>
      <w:r>
        <w:fldChar w:fldCharType="end"/>
      </w:r>
      <w:r w:rsidR="00143140">
        <w:tab/>
        <w:t>Los TWP contemplaron la posibilidad de utilizar criterios más generales en el anexo I para rechazar una variedad tras un único ciclo de cultivo, en lugar del caso particular de haber superado el número de plantas fuera de tipo permitido para dos ciclos de cultivo.</w:t>
      </w:r>
      <w:r w:rsidR="00421253">
        <w:t xml:space="preserve"> </w:t>
      </w:r>
      <w:r w:rsidR="00143140">
        <w:t xml:space="preserve">El texto actual propuesto es el siguiente: </w:t>
      </w:r>
    </w:p>
    <w:p w:rsidR="00143140" w:rsidRPr="00143140" w:rsidRDefault="00143140" w:rsidP="00143140">
      <w:pPr>
        <w:keepNext/>
        <w:keepLines/>
      </w:pPr>
    </w:p>
    <w:p w:rsidR="00143140" w:rsidRPr="00143140" w:rsidRDefault="00143140" w:rsidP="00143140">
      <w:pPr>
        <w:keepNext/>
        <w:keepLines/>
        <w:ind w:left="567" w:right="567"/>
        <w:rPr>
          <w:sz w:val="18"/>
        </w:rPr>
      </w:pPr>
      <w:r>
        <w:rPr>
          <w:sz w:val="18"/>
        </w:rPr>
        <w:t>“[…] Además, si una variedad supera en el primer ciclo de cultivo el número de plantas fuera de tipo permitido en dos ciclos de cultivo, podrá rechazarse la variedad tras un único ciclo de cultivo.”</w:t>
      </w:r>
    </w:p>
    <w:p w:rsidR="00143140" w:rsidRPr="00143140" w:rsidRDefault="00143140" w:rsidP="00143140"/>
    <w:p w:rsidR="00143140" w:rsidRPr="00143140" w:rsidRDefault="00BE399B" w:rsidP="00143140">
      <w:pPr>
        <w:rPr>
          <w:rFonts w:cs="Arial"/>
        </w:rPr>
      </w:pPr>
      <w:r w:rsidRPr="00FA1664">
        <w:rPr>
          <w:snapToGrid w:val="0"/>
        </w:rPr>
        <w:fldChar w:fldCharType="begin"/>
      </w:r>
      <w:r w:rsidR="00143140" w:rsidRPr="00143140">
        <w:rPr>
          <w:snapToGrid w:val="0"/>
        </w:rPr>
        <w:instrText xml:space="preserve"> AUTONUM  </w:instrText>
      </w:r>
      <w:r w:rsidRPr="00FA1664">
        <w:rPr>
          <w:snapToGrid w:val="0"/>
        </w:rPr>
        <w:fldChar w:fldCharType="end"/>
      </w:r>
      <w:r w:rsidR="00143140">
        <w:tab/>
        <w:t xml:space="preserve">El TWA convino en proponer un criterio más general para rechazar una variedad tras un único ciclo de cultivo, </w:t>
      </w:r>
      <w:r w:rsidR="002606A1">
        <w:t>para</w:t>
      </w:r>
      <w:r w:rsidR="00143140">
        <w:t xml:space="preserve"> que se incluya en los diferentes métodos del proyecto de orientación, con el siguiente texto:</w:t>
      </w:r>
    </w:p>
    <w:p w:rsidR="00143140" w:rsidRPr="00143140" w:rsidRDefault="00143140" w:rsidP="00143140"/>
    <w:p w:rsidR="00143140" w:rsidRPr="00F67A26" w:rsidRDefault="00143140" w:rsidP="00143140">
      <w:pPr>
        <w:ind w:left="567" w:right="567"/>
        <w:rPr>
          <w:sz w:val="18"/>
          <w:szCs w:val="18"/>
          <w:u w:val="single"/>
        </w:rPr>
      </w:pPr>
      <w:r>
        <w:rPr>
          <w:sz w:val="18"/>
          <w:highlight w:val="lightGray"/>
          <w:u w:val="single"/>
        </w:rPr>
        <w:t>“Si una variedad supera en el primer ciclo de cultivo el límite superior predefinido del número de plantas fuera de tipo</w:t>
      </w:r>
      <w:r w:rsidRPr="00F67A26">
        <w:rPr>
          <w:sz w:val="18"/>
          <w:szCs w:val="18"/>
        </w:rPr>
        <w:t xml:space="preserve">, </w:t>
      </w:r>
      <w:r w:rsidR="009A2948">
        <w:rPr>
          <w:sz w:val="18"/>
          <w:szCs w:val="18"/>
        </w:rPr>
        <w:t>podrá rechazar</w:t>
      </w:r>
      <w:r w:rsidR="009A2948" w:rsidRPr="00F67A26">
        <w:rPr>
          <w:sz w:val="18"/>
          <w:szCs w:val="18"/>
        </w:rPr>
        <w:t>se la</w:t>
      </w:r>
      <w:r w:rsidR="009A2948">
        <w:rPr>
          <w:sz w:val="18"/>
          <w:szCs w:val="18"/>
        </w:rPr>
        <w:t xml:space="preserve"> variedad</w:t>
      </w:r>
      <w:r w:rsidR="009A2948" w:rsidRPr="00F67A26">
        <w:rPr>
          <w:sz w:val="18"/>
          <w:szCs w:val="18"/>
        </w:rPr>
        <w:t xml:space="preserve"> </w:t>
      </w:r>
      <w:r w:rsidRPr="00F67A26">
        <w:rPr>
          <w:sz w:val="18"/>
          <w:szCs w:val="18"/>
        </w:rPr>
        <w:t>tras un único ciclo de cultivo.”</w:t>
      </w:r>
    </w:p>
    <w:p w:rsidR="00143140" w:rsidRPr="00143140" w:rsidRDefault="00143140" w:rsidP="00143140"/>
    <w:p w:rsidR="00143140" w:rsidRPr="00143140" w:rsidRDefault="00BE399B" w:rsidP="00143140">
      <w:r w:rsidRPr="00FA1664">
        <w:rPr>
          <w:snapToGrid w:val="0"/>
        </w:rPr>
        <w:lastRenderedPageBreak/>
        <w:fldChar w:fldCharType="begin"/>
      </w:r>
      <w:r w:rsidR="00143140" w:rsidRPr="00143140">
        <w:rPr>
          <w:snapToGrid w:val="0"/>
        </w:rPr>
        <w:instrText xml:space="preserve"> AUTONUM  </w:instrText>
      </w:r>
      <w:r w:rsidRPr="00FA1664">
        <w:rPr>
          <w:snapToGrid w:val="0"/>
        </w:rPr>
        <w:fldChar w:fldCharType="end"/>
      </w:r>
      <w:r w:rsidR="00143140">
        <w:tab/>
        <w:t>El TWA convino en que cada autoridad puede definir el límite superior del número de plantas fuera de tipo conforme a los métodos utilizados para evaluar la homogeneidad sobre la base de las plantas fuera de tipo.</w:t>
      </w:r>
    </w:p>
    <w:p w:rsidR="00143140" w:rsidRPr="00143140" w:rsidRDefault="00143140" w:rsidP="00143140"/>
    <w:p w:rsidR="00143140" w:rsidRPr="00143140" w:rsidRDefault="00BE399B" w:rsidP="00143140">
      <w:r w:rsidRPr="001061FC">
        <w:fldChar w:fldCharType="begin"/>
      </w:r>
      <w:r w:rsidR="00143140" w:rsidRPr="00143140">
        <w:instrText xml:space="preserve"> AUTONUM  </w:instrText>
      </w:r>
      <w:r w:rsidRPr="001061FC">
        <w:fldChar w:fldCharType="end"/>
      </w:r>
      <w:r w:rsidR="00143140">
        <w:tab/>
        <w:t>El TWF acordó con el TWV proponer que para el método 1 la frase se modifique de la siguiente manera:</w:t>
      </w:r>
    </w:p>
    <w:p w:rsidR="00143140" w:rsidRPr="00143140" w:rsidRDefault="00143140" w:rsidP="00143140">
      <w:pPr>
        <w:keepNext/>
        <w:keepLines/>
        <w:rPr>
          <w:rFonts w:eastAsia="SimSun"/>
          <w:szCs w:val="24"/>
        </w:rPr>
      </w:pPr>
    </w:p>
    <w:p w:rsidR="00143140" w:rsidRPr="00143140" w:rsidRDefault="00143140" w:rsidP="00143140">
      <w:pPr>
        <w:keepNext/>
        <w:keepLines/>
        <w:ind w:left="567" w:right="567"/>
        <w:rPr>
          <w:rFonts w:eastAsia="SimSun"/>
          <w:sz w:val="18"/>
          <w:szCs w:val="24"/>
        </w:rPr>
      </w:pPr>
      <w:r>
        <w:rPr>
          <w:sz w:val="18"/>
        </w:rPr>
        <w:t xml:space="preserve">“Además, si una variedad supera </w:t>
      </w:r>
      <w:r>
        <w:rPr>
          <w:sz w:val="18"/>
          <w:highlight w:val="lightGray"/>
          <w:u w:val="single"/>
        </w:rPr>
        <w:t>claramente</w:t>
      </w:r>
      <w:r>
        <w:rPr>
          <w:sz w:val="18"/>
        </w:rPr>
        <w:t xml:space="preserve"> en el primer ciclo de cultivo el número de plantas fuera de tipo permitido en dos ciclos de cultivo, podrá rechazarse la variedad tras un único ciclo de cultivo”.</w:t>
      </w:r>
    </w:p>
    <w:p w:rsidR="00143140" w:rsidRPr="00143140" w:rsidRDefault="00143140" w:rsidP="00143140"/>
    <w:p w:rsidR="00143140" w:rsidRPr="00143140" w:rsidRDefault="00BE399B" w:rsidP="00143140">
      <w:pPr>
        <w:rPr>
          <w:rFonts w:eastAsia="SimSun"/>
          <w:sz w:val="18"/>
          <w:szCs w:val="24"/>
        </w:rPr>
      </w:pPr>
      <w:r>
        <w:fldChar w:fldCharType="begin"/>
      </w:r>
      <w:r w:rsidR="00143140" w:rsidRPr="00143140">
        <w:instrText xml:space="preserve"> AUTONUM  </w:instrText>
      </w:r>
      <w:r>
        <w:fldChar w:fldCharType="end"/>
      </w:r>
      <w:r w:rsidR="00143140">
        <w:tab/>
        <w:t xml:space="preserve">El TWC convino en que el límite superior predefinido del número permitido de plantas fuera de tipo en dos ciclos de cultivo era una referencia útil para muchos cultivos y acordó proponer que el texto del proyecto de orientación de los métodos 1 y 2 sea el propuesto por el TWV y el TWF. </w:t>
      </w:r>
    </w:p>
    <w:p w:rsidR="00143140" w:rsidRPr="00143140" w:rsidRDefault="00143140" w:rsidP="00143140"/>
    <w:p w:rsidR="00143140" w:rsidRDefault="00143140" w:rsidP="00143140">
      <w:pPr>
        <w:pStyle w:val="Heading3"/>
      </w:pPr>
      <w:bookmarkStart w:id="10" w:name="_Toc523758734"/>
      <w:r>
        <w:t>Información sobre los criterios de elección del método más adecuado</w:t>
      </w:r>
      <w:bookmarkEnd w:id="10"/>
      <w:r>
        <w:rPr>
          <w:color w:val="000000"/>
        </w:rPr>
        <w:t xml:space="preserve"> </w:t>
      </w:r>
    </w:p>
    <w:p w:rsidR="00143140" w:rsidRPr="00143140" w:rsidRDefault="00143140" w:rsidP="00143140">
      <w:pPr>
        <w:tabs>
          <w:tab w:val="left" w:pos="3852"/>
        </w:tabs>
      </w:pPr>
      <w:r>
        <w:tab/>
      </w:r>
    </w:p>
    <w:p w:rsidR="00143140" w:rsidRPr="001061FC" w:rsidRDefault="00BE399B" w:rsidP="00143140">
      <w:r w:rsidRPr="00EB14A4">
        <w:rPr>
          <w:snapToGrid w:val="0"/>
        </w:rPr>
        <w:fldChar w:fldCharType="begin"/>
      </w:r>
      <w:r w:rsidR="00143140" w:rsidRPr="00143140">
        <w:rPr>
          <w:snapToGrid w:val="0"/>
        </w:rPr>
        <w:instrText xml:space="preserve"> AUTONUM  </w:instrText>
      </w:r>
      <w:r w:rsidRPr="00EB14A4">
        <w:rPr>
          <w:snapToGrid w:val="0"/>
        </w:rPr>
        <w:fldChar w:fldCharType="end"/>
      </w:r>
      <w:r w:rsidR="00143140">
        <w:tab/>
        <w:t>El TWA asistió a las siguientes ponencias en las que se compara el efecto que pueden tener los métodos 1 y 3 del documento TWP/1/17 Rev.</w:t>
      </w:r>
      <w:r w:rsidR="00CC53BC" w:rsidRPr="00CC53BC">
        <w:t xml:space="preserve"> </w:t>
      </w:r>
      <w:r w:rsidR="00CC53BC">
        <w:t>en las decisiones sobre la homogeneidad</w:t>
      </w:r>
      <w:r w:rsidR="00143140">
        <w:t xml:space="preserve">, según se expone en los anexos de los documentos TWA/46/4 y TWA/46/4 </w:t>
      </w:r>
      <w:proofErr w:type="spellStart"/>
      <w:r w:rsidR="00143140">
        <w:t>Add</w:t>
      </w:r>
      <w:proofErr w:type="spellEnd"/>
      <w:r w:rsidR="00143140">
        <w:t>. (por orden alfabético)</w:t>
      </w:r>
      <w:r w:rsidR="00CC53BC">
        <w:t>.</w:t>
      </w:r>
    </w:p>
    <w:p w:rsidR="00143140" w:rsidRDefault="00143140" w:rsidP="00143140"/>
    <w:p w:rsidR="00143140" w:rsidRPr="002D3E50" w:rsidRDefault="00143140" w:rsidP="00143140">
      <w:pPr>
        <w:pStyle w:val="ListParagraph"/>
        <w:numPr>
          <w:ilvl w:val="0"/>
          <w:numId w:val="4"/>
        </w:numPr>
        <w:spacing w:after="0"/>
        <w:ind w:left="1134" w:right="567" w:hanging="567"/>
        <w:jc w:val="both"/>
        <w:rPr>
          <w:rFonts w:ascii="Arial" w:hAnsi="Arial" w:cs="Arial"/>
        </w:rPr>
      </w:pPr>
      <w:r w:rsidRPr="002D3E50">
        <w:rPr>
          <w:rFonts w:ascii="Arial" w:hAnsi="Arial" w:cs="Arial"/>
          <w:sz w:val="18"/>
        </w:rPr>
        <w:t xml:space="preserve">“Efecto de diferentes métodos de evaluación de la homogeneidad sobre la base de las plantas fuera de tipo: ejemplos </w:t>
      </w:r>
      <w:r w:rsidR="00CC53BC" w:rsidRPr="002D3E50">
        <w:rPr>
          <w:rFonts w:ascii="Arial" w:hAnsi="Arial" w:cs="Arial"/>
          <w:sz w:val="18"/>
        </w:rPr>
        <w:t>en</w:t>
      </w:r>
      <w:r w:rsidRPr="002D3E50">
        <w:rPr>
          <w:rFonts w:ascii="Arial" w:hAnsi="Arial" w:cs="Arial"/>
          <w:sz w:val="18"/>
        </w:rPr>
        <w:t xml:space="preserve"> la cebada”, elaborada por un experto de Alemania</w:t>
      </w:r>
    </w:p>
    <w:p w:rsidR="00143140" w:rsidRPr="002D3E50" w:rsidRDefault="00143140" w:rsidP="00143140">
      <w:pPr>
        <w:pStyle w:val="ListParagraph"/>
        <w:numPr>
          <w:ilvl w:val="0"/>
          <w:numId w:val="4"/>
        </w:numPr>
        <w:spacing w:after="0"/>
        <w:ind w:left="1134" w:right="567" w:hanging="567"/>
        <w:jc w:val="both"/>
        <w:rPr>
          <w:rFonts w:ascii="Arial" w:hAnsi="Arial" w:cs="Arial"/>
        </w:rPr>
      </w:pPr>
      <w:r w:rsidRPr="002D3E50">
        <w:rPr>
          <w:rFonts w:ascii="Arial" w:hAnsi="Arial" w:cs="Arial"/>
          <w:snapToGrid w:val="0"/>
          <w:sz w:val="18"/>
        </w:rPr>
        <w:t>“Evaluación de la homogeneidad sobre la base de las plantas fuera de tipo mediante la observación de más de un ciclo de cultivo: ejemplos de los Países Bajos”, elabora</w:t>
      </w:r>
      <w:r w:rsidR="002D3E50">
        <w:rPr>
          <w:rFonts w:ascii="Arial" w:hAnsi="Arial" w:cs="Arial"/>
          <w:snapToGrid w:val="0"/>
          <w:sz w:val="18"/>
        </w:rPr>
        <w:t>da por un experto de los Países </w:t>
      </w:r>
      <w:r w:rsidRPr="002D3E50">
        <w:rPr>
          <w:rFonts w:ascii="Arial" w:hAnsi="Arial" w:cs="Arial"/>
          <w:snapToGrid w:val="0"/>
          <w:sz w:val="18"/>
        </w:rPr>
        <w:t>Bajos</w:t>
      </w:r>
    </w:p>
    <w:p w:rsidR="00143140" w:rsidRPr="002D3E50" w:rsidRDefault="00143140" w:rsidP="00143140">
      <w:pPr>
        <w:pStyle w:val="ListParagraph"/>
        <w:numPr>
          <w:ilvl w:val="0"/>
          <w:numId w:val="4"/>
        </w:numPr>
        <w:spacing w:after="0"/>
        <w:ind w:left="1134" w:right="567" w:hanging="567"/>
        <w:jc w:val="both"/>
        <w:rPr>
          <w:rFonts w:ascii="Arial" w:hAnsi="Arial" w:cs="Arial"/>
        </w:rPr>
      </w:pPr>
      <w:r w:rsidRPr="002D3E50">
        <w:rPr>
          <w:rFonts w:ascii="Arial" w:hAnsi="Arial" w:cs="Arial"/>
          <w:snapToGrid w:val="0"/>
          <w:sz w:val="18"/>
        </w:rPr>
        <w:t>“Evaluación de la homogeneidad sobre la base de las plantas fuera de tipo mediante la observación de más de un ciclo de cultivo en el trigo”, elaborada por un experto de Polonia</w:t>
      </w:r>
    </w:p>
    <w:p w:rsidR="00143140" w:rsidRPr="002D3E50" w:rsidRDefault="00143140" w:rsidP="00143140">
      <w:pPr>
        <w:pStyle w:val="ListParagraph"/>
        <w:numPr>
          <w:ilvl w:val="0"/>
          <w:numId w:val="4"/>
        </w:numPr>
        <w:spacing w:after="0"/>
        <w:ind w:left="1134" w:right="567" w:hanging="567"/>
        <w:jc w:val="both"/>
        <w:rPr>
          <w:rFonts w:ascii="Arial" w:hAnsi="Arial" w:cs="Arial"/>
        </w:rPr>
      </w:pPr>
      <w:r w:rsidRPr="002D3E50">
        <w:rPr>
          <w:rFonts w:ascii="Arial" w:hAnsi="Arial" w:cs="Arial"/>
          <w:snapToGrid w:val="0"/>
          <w:sz w:val="18"/>
        </w:rPr>
        <w:t xml:space="preserve">“La experiencia del Reino Unido con </w:t>
      </w:r>
      <w:r w:rsidR="00CC53BC" w:rsidRPr="002D3E50">
        <w:rPr>
          <w:rFonts w:ascii="Arial" w:hAnsi="Arial" w:cs="Arial"/>
          <w:snapToGrid w:val="0"/>
          <w:sz w:val="18"/>
        </w:rPr>
        <w:t xml:space="preserve">colza oleaginosa de invierno”, </w:t>
      </w:r>
      <w:r w:rsidRPr="002D3E50">
        <w:rPr>
          <w:rFonts w:ascii="Arial" w:hAnsi="Arial" w:cs="Arial"/>
          <w:snapToGrid w:val="0"/>
          <w:sz w:val="18"/>
        </w:rPr>
        <w:t>ela</w:t>
      </w:r>
      <w:r w:rsidR="00CC53BC" w:rsidRPr="002D3E50">
        <w:rPr>
          <w:rFonts w:ascii="Arial" w:hAnsi="Arial" w:cs="Arial"/>
          <w:snapToGrid w:val="0"/>
          <w:sz w:val="18"/>
        </w:rPr>
        <w:t>borada por un experto del Reino </w:t>
      </w:r>
      <w:r w:rsidRPr="002D3E50">
        <w:rPr>
          <w:rFonts w:ascii="Arial" w:hAnsi="Arial" w:cs="Arial"/>
          <w:snapToGrid w:val="0"/>
          <w:sz w:val="18"/>
        </w:rPr>
        <w:t>Unido</w:t>
      </w:r>
    </w:p>
    <w:p w:rsidR="00143140" w:rsidRPr="00143140" w:rsidRDefault="00BE399B" w:rsidP="00143140">
      <w:pPr>
        <w:spacing w:before="120"/>
        <w:rPr>
          <w:snapToGrid w:val="0"/>
        </w:rPr>
      </w:pPr>
      <w:r w:rsidRPr="001061FC">
        <w:rPr>
          <w:snapToGrid w:val="0"/>
        </w:rPr>
        <w:fldChar w:fldCharType="begin"/>
      </w:r>
      <w:r w:rsidR="00143140" w:rsidRPr="00143140">
        <w:rPr>
          <w:snapToGrid w:val="0"/>
        </w:rPr>
        <w:instrText xml:space="preserve"> AUTONUM  </w:instrText>
      </w:r>
      <w:r w:rsidRPr="001061FC">
        <w:rPr>
          <w:snapToGrid w:val="0"/>
        </w:rPr>
        <w:fldChar w:fldCharType="end"/>
      </w:r>
      <w:r w:rsidR="00143140">
        <w:tab/>
        <w:t>El TWA tomó nota de los métodos de evaluación de la homogeneidad sobre la base de las plantas fuera de tipo utilizados en Alemania y Polonia para los cereales, en los País</w:t>
      </w:r>
      <w:r w:rsidR="00CC2F95">
        <w:t>es Bajos para el tomate y en el </w:t>
      </w:r>
      <w:r w:rsidR="00143140">
        <w:t>Reino Unido para la colza oleaginosa.</w:t>
      </w:r>
    </w:p>
    <w:p w:rsidR="00143140" w:rsidRPr="00143140" w:rsidRDefault="00143140" w:rsidP="00143140"/>
    <w:p w:rsidR="00143140" w:rsidRPr="00143140" w:rsidRDefault="00BE399B" w:rsidP="00143140">
      <w:pPr>
        <w:rPr>
          <w:rFonts w:cs="Arial"/>
        </w:rPr>
      </w:pPr>
      <w:r w:rsidRPr="001061FC">
        <w:fldChar w:fldCharType="begin"/>
      </w:r>
      <w:r w:rsidR="00143140" w:rsidRPr="00143140">
        <w:instrText xml:space="preserve"> AUTONUM  </w:instrText>
      </w:r>
      <w:r w:rsidRPr="001061FC">
        <w:fldChar w:fldCharType="end"/>
      </w:r>
      <w:r w:rsidR="00143140">
        <w:tab/>
        <w:t>El TWV y el TWC asistieron a la siguiente ponencia, reproducida en el anexo de los documentos TWV/51/5 y TWC/35/8:</w:t>
      </w:r>
    </w:p>
    <w:p w:rsidR="00143140" w:rsidRPr="00143140" w:rsidRDefault="00143140" w:rsidP="00143140">
      <w:pPr>
        <w:rPr>
          <w:rFonts w:cs="Arial"/>
        </w:rPr>
      </w:pPr>
    </w:p>
    <w:p w:rsidR="00143140" w:rsidRPr="002D3E50" w:rsidRDefault="00143140" w:rsidP="00143140">
      <w:pPr>
        <w:pStyle w:val="ListParagraph"/>
        <w:numPr>
          <w:ilvl w:val="0"/>
          <w:numId w:val="4"/>
        </w:numPr>
        <w:spacing w:after="0"/>
        <w:ind w:left="1134" w:right="567" w:hanging="567"/>
        <w:jc w:val="both"/>
        <w:rPr>
          <w:rFonts w:ascii="Arial" w:hAnsi="Arial" w:cs="Arial"/>
          <w:snapToGrid w:val="0"/>
          <w:sz w:val="18"/>
          <w:szCs w:val="18"/>
        </w:rPr>
      </w:pPr>
      <w:r w:rsidRPr="002D3E50">
        <w:rPr>
          <w:rFonts w:ascii="Arial" w:hAnsi="Arial" w:cs="Arial"/>
          <w:snapToGrid w:val="0"/>
          <w:sz w:val="18"/>
          <w:szCs w:val="18"/>
        </w:rPr>
        <w:t>“Evaluación de la homogeneidad sobre la base de las plantas fuera de tipo mediante la observación de más de un ciclo de cultivo: ejemplos de los Países Bajos”, a ca</w:t>
      </w:r>
      <w:r w:rsidR="002D3E50">
        <w:rPr>
          <w:rFonts w:ascii="Arial" w:hAnsi="Arial" w:cs="Arial"/>
          <w:snapToGrid w:val="0"/>
          <w:sz w:val="18"/>
          <w:szCs w:val="18"/>
        </w:rPr>
        <w:t>rgo de un experto de los Países </w:t>
      </w:r>
      <w:r w:rsidRPr="002D3E50">
        <w:rPr>
          <w:rFonts w:ascii="Arial" w:hAnsi="Arial" w:cs="Arial"/>
          <w:snapToGrid w:val="0"/>
          <w:sz w:val="18"/>
          <w:szCs w:val="18"/>
        </w:rPr>
        <w:t>Bajos.</w:t>
      </w:r>
      <w:r w:rsidR="00421253" w:rsidRPr="002D3E50">
        <w:rPr>
          <w:rFonts w:ascii="Arial" w:hAnsi="Arial" w:cs="Arial"/>
          <w:snapToGrid w:val="0"/>
          <w:sz w:val="18"/>
          <w:szCs w:val="18"/>
        </w:rPr>
        <w:t xml:space="preserve"> </w:t>
      </w:r>
    </w:p>
    <w:p w:rsidR="00143140" w:rsidRPr="00143140" w:rsidRDefault="00143140" w:rsidP="00143140">
      <w:pPr>
        <w:rPr>
          <w:rFonts w:cs="Arial"/>
        </w:rPr>
      </w:pPr>
    </w:p>
    <w:p w:rsidR="00143140" w:rsidRPr="00143140" w:rsidRDefault="00BE399B" w:rsidP="00143140">
      <w:pPr>
        <w:rPr>
          <w:snapToGrid w:val="0"/>
        </w:rPr>
      </w:pPr>
      <w:r w:rsidRPr="001061FC">
        <w:rPr>
          <w:snapToGrid w:val="0"/>
        </w:rPr>
        <w:fldChar w:fldCharType="begin"/>
      </w:r>
      <w:r w:rsidR="00143140" w:rsidRPr="00143140">
        <w:rPr>
          <w:snapToGrid w:val="0"/>
        </w:rPr>
        <w:instrText xml:space="preserve"> AUTONUM  </w:instrText>
      </w:r>
      <w:r w:rsidRPr="001061FC">
        <w:rPr>
          <w:snapToGrid w:val="0"/>
        </w:rPr>
        <w:fldChar w:fldCharType="end"/>
      </w:r>
      <w:r w:rsidR="00143140">
        <w:tab/>
        <w:t>El TWV convino en recordar que en el sector hortícola, el método 1 es el empleado con mayor frecuencia.</w:t>
      </w:r>
    </w:p>
    <w:p w:rsidR="00143140" w:rsidRPr="00143140" w:rsidRDefault="00143140" w:rsidP="00143140"/>
    <w:p w:rsidR="00143140" w:rsidRPr="00143140" w:rsidRDefault="00BE399B" w:rsidP="00143140">
      <w:r w:rsidRPr="00552ADC">
        <w:fldChar w:fldCharType="begin"/>
      </w:r>
      <w:r w:rsidR="00143140" w:rsidRPr="00143140">
        <w:instrText xml:space="preserve"> AUTONUM  </w:instrText>
      </w:r>
      <w:r w:rsidRPr="00552ADC">
        <w:fldChar w:fldCharType="end"/>
      </w:r>
      <w:r w:rsidR="00143140">
        <w:tab/>
        <w:t>El TWC convino en que los diferentes métodos empleados para evaluar las plantas fuera de tipo sobre la base de más de un ciclo de cultivo dan resultados distintos en algunos casos.</w:t>
      </w:r>
      <w:r w:rsidR="00421253">
        <w:t xml:space="preserve"> </w:t>
      </w:r>
      <w:r w:rsidR="00143140">
        <w:t xml:space="preserve">El TWC convino en que es posible que </w:t>
      </w:r>
      <w:r w:rsidR="0026435F">
        <w:t xml:space="preserve">los </w:t>
      </w:r>
      <w:r w:rsidR="0065061E">
        <w:t>menores tamaños de muestra y número</w:t>
      </w:r>
      <w:r w:rsidR="00143140">
        <w:t xml:space="preserve"> de plantas fuera de tipo (p. ej. en cultivos hortícolas) destaquen los casos inciertos en los que se pueden obtener resultados distintos cuando se emplean métodos diferentes.</w:t>
      </w:r>
      <w:r w:rsidR="00421253">
        <w:t xml:space="preserve"> </w:t>
      </w:r>
    </w:p>
    <w:p w:rsidR="00143140" w:rsidRPr="00143140" w:rsidRDefault="00143140" w:rsidP="00143140"/>
    <w:p w:rsidR="00143140" w:rsidRPr="00143140" w:rsidRDefault="00BE399B" w:rsidP="00143140">
      <w:r w:rsidRPr="00552ADC">
        <w:fldChar w:fldCharType="begin"/>
      </w:r>
      <w:r w:rsidR="00143140" w:rsidRPr="00143140">
        <w:instrText xml:space="preserve"> AUTONUM  </w:instrText>
      </w:r>
      <w:r w:rsidRPr="00552ADC">
        <w:fldChar w:fldCharType="end"/>
      </w:r>
      <w:r w:rsidR="00143140">
        <w:tab/>
        <w:t>El TWC convino en que los diferentes resultados obtenidos al emplear métodos diferentes para evaluar las plantas fuera de tipo mediante la observación de más de un ciclo de cultivo se deben en parte a los diferentes riesgos de errores de tipo I y tipo II asociados a cada método.</w:t>
      </w:r>
      <w:r w:rsidR="00421253">
        <w:t xml:space="preserve"> </w:t>
      </w:r>
    </w:p>
    <w:p w:rsidR="00143140" w:rsidRPr="00143140" w:rsidRDefault="00143140" w:rsidP="00143140"/>
    <w:p w:rsidR="00143140" w:rsidRPr="00143140" w:rsidRDefault="00BE399B" w:rsidP="00143140">
      <w:r>
        <w:fldChar w:fldCharType="begin"/>
      </w:r>
      <w:r w:rsidR="00143140" w:rsidRPr="00143140">
        <w:instrText xml:space="preserve"> AUTONUM  </w:instrText>
      </w:r>
      <w:r>
        <w:fldChar w:fldCharType="end"/>
      </w:r>
      <w:r w:rsidR="00143140">
        <w:tab/>
        <w:t>El TWC convino en invitar a los expertos de Alemania, el Reino Unido y otros miembros de la Unión a presentar documentos sobre el análisis de los riesgos asociados a cada método para que se examinen en su trigésima sexta sesión.</w:t>
      </w:r>
    </w:p>
    <w:p w:rsidR="00143140" w:rsidRPr="00143140" w:rsidRDefault="00143140" w:rsidP="00143140"/>
    <w:p w:rsidR="007B55CC" w:rsidRDefault="007B55CC" w:rsidP="00143140">
      <w:r>
        <w:br w:type="page"/>
      </w:r>
    </w:p>
    <w:p w:rsidR="00143140" w:rsidRPr="0021251E" w:rsidRDefault="00143140" w:rsidP="00143140">
      <w:pPr>
        <w:pStyle w:val="Heading1"/>
      </w:pPr>
      <w:bookmarkStart w:id="11" w:name="_Toc523758735"/>
      <w:r>
        <w:lastRenderedPageBreak/>
        <w:t>NOVEDADES ACAECIDAS EN 2018</w:t>
      </w:r>
      <w:bookmarkEnd w:id="11"/>
    </w:p>
    <w:p w:rsidR="00143140" w:rsidRPr="00143140" w:rsidRDefault="00143140" w:rsidP="00143140">
      <w:pPr>
        <w:keepNext/>
      </w:pPr>
    </w:p>
    <w:p w:rsidR="00143140" w:rsidRPr="00903098" w:rsidRDefault="00143140" w:rsidP="00143140">
      <w:pPr>
        <w:pStyle w:val="Heading2"/>
      </w:pPr>
      <w:bookmarkStart w:id="12" w:name="_Toc523758736"/>
      <w:r>
        <w:t>Comité de Redacción Ampliado</w:t>
      </w:r>
      <w:bookmarkEnd w:id="12"/>
    </w:p>
    <w:p w:rsidR="00143140" w:rsidRPr="00143140" w:rsidRDefault="00143140" w:rsidP="00143140">
      <w:pPr>
        <w:rPr>
          <w:iCs/>
        </w:rPr>
      </w:pPr>
    </w:p>
    <w:p w:rsidR="00143140" w:rsidRPr="00143140" w:rsidRDefault="00BE399B" w:rsidP="00143140">
      <w:r w:rsidRPr="003851A9">
        <w:fldChar w:fldCharType="begin"/>
      </w:r>
      <w:r w:rsidR="00143140" w:rsidRPr="00143140">
        <w:instrText xml:space="preserve"> AUTONUM  </w:instrText>
      </w:r>
      <w:r w:rsidRPr="003851A9">
        <w:fldChar w:fldCharType="end"/>
      </w:r>
      <w:r w:rsidR="00143140">
        <w:tab/>
        <w:t>En su trigésima cuarta sesión extraordinaria, celebrada en Ginebra el 6 de abril de 2017, el Consejo decidió que, a partir de 2018, se organice una única serie de sesiones, entre octubre y noviembre (véanse los párrafos 12 a 14 del documento C(</w:t>
      </w:r>
      <w:proofErr w:type="spellStart"/>
      <w:r w:rsidR="00143140">
        <w:t>Extr</w:t>
      </w:r>
      <w:proofErr w:type="spellEnd"/>
      <w:r w:rsidR="00143140">
        <w:t>.)/34/6 “Informe sobre las decisiones”). A partir de 2018, las reuniones del TC tendrán lugar entre octubre y noviembre en lugar de entre marzo y abril. El TC-EDC se reunirá dos veces al año: una vez entre marzo y abril y otra en paralelo a las sesiones del TC que tienen lugar en un período posterior del mismo año.</w:t>
      </w:r>
    </w:p>
    <w:p w:rsidR="00143140" w:rsidRPr="00143140" w:rsidRDefault="00143140" w:rsidP="00143140"/>
    <w:p w:rsidR="00143140" w:rsidRPr="00143140" w:rsidRDefault="00BE399B" w:rsidP="00143140">
      <w:pPr>
        <w:rPr>
          <w:iCs/>
        </w:rPr>
      </w:pPr>
      <w:r w:rsidRPr="003851A9">
        <w:fldChar w:fldCharType="begin"/>
      </w:r>
      <w:r w:rsidR="00143140" w:rsidRPr="00143140">
        <w:instrText xml:space="preserve"> AUTONUM  </w:instrText>
      </w:r>
      <w:r w:rsidRPr="003851A9">
        <w:fldChar w:fldCharType="end"/>
      </w:r>
      <w:r w:rsidR="00143140">
        <w:tab/>
        <w:t>Basándose en la recomendación del Comité Consultivo, el Consejo decidió aprobar las propuestas formuladas por el TC, en su quincuagésima tercera sesión, de tomar medidas de emergencia en el período de transición hasta la quincuagésima cuarta sesión del TC, que se celebrará en octubre de 2018; para los documentos TGP, se prevé que el TC-EDC agrupe los comentarios formulados por los Grupos de Trabajo Técnico en sus reuniones de 2017 y, si no existe consenso entre los TWP, formule propuestas para su ulterior examen por estos grupos en sus reuniones de 2018 (véanse los párrafos 12 a 14 del documento</w:t>
      </w:r>
      <w:r w:rsidR="00921C0D">
        <w:t> </w:t>
      </w:r>
      <w:r w:rsidR="00143140">
        <w:t>C(</w:t>
      </w:r>
      <w:proofErr w:type="spellStart"/>
      <w:r w:rsidR="00143140">
        <w:t>Extr</w:t>
      </w:r>
      <w:proofErr w:type="spellEnd"/>
      <w:r w:rsidR="00143140">
        <w:t>.)/34/6 “Informe sobre las decisiones”).</w:t>
      </w:r>
      <w:r w:rsidR="00421253">
        <w:t xml:space="preserve"> </w:t>
      </w:r>
    </w:p>
    <w:p w:rsidR="00143140" w:rsidRPr="00143140" w:rsidRDefault="00143140" w:rsidP="00143140"/>
    <w:p w:rsidR="00143140" w:rsidRPr="00143140" w:rsidRDefault="00BE399B" w:rsidP="00143140">
      <w:pPr>
        <w:rPr>
          <w:rFonts w:cs="Arial"/>
          <w:bCs/>
          <w:snapToGrid w:val="0"/>
        </w:rPr>
      </w:pPr>
      <w:r w:rsidRPr="000279A4">
        <w:rPr>
          <w:rFonts w:cs="Arial"/>
          <w:bCs/>
          <w:snapToGrid w:val="0"/>
        </w:rPr>
        <w:fldChar w:fldCharType="begin"/>
      </w:r>
      <w:r w:rsidR="00143140" w:rsidRPr="00143140">
        <w:rPr>
          <w:rFonts w:cs="Arial"/>
          <w:bCs/>
          <w:snapToGrid w:val="0"/>
        </w:rPr>
        <w:instrText xml:space="preserve"> AUTONUM  </w:instrText>
      </w:r>
      <w:r w:rsidRPr="000279A4">
        <w:rPr>
          <w:rFonts w:cs="Arial"/>
          <w:bCs/>
          <w:snapToGrid w:val="0"/>
        </w:rPr>
        <w:fldChar w:fldCharType="end"/>
      </w:r>
      <w:r w:rsidR="00143140">
        <w:tab/>
        <w:t>En su reunión celebrada en Ginebra los días 26 y 27 de marzo de 2018, el TC-EDC examinó el documento TC</w:t>
      </w:r>
      <w:r w:rsidR="00143140">
        <w:noBreakHyphen/>
        <w:t>EDC/Mar18/17 “</w:t>
      </w:r>
      <w:proofErr w:type="spellStart"/>
      <w:r w:rsidR="00143140" w:rsidRPr="00802227">
        <w:rPr>
          <w:i/>
        </w:rPr>
        <w:t>Assessing</w:t>
      </w:r>
      <w:proofErr w:type="spellEnd"/>
      <w:r w:rsidR="00143140" w:rsidRPr="00802227">
        <w:rPr>
          <w:i/>
        </w:rPr>
        <w:t xml:space="preserve"> </w:t>
      </w:r>
      <w:proofErr w:type="spellStart"/>
      <w:r w:rsidR="00143140" w:rsidRPr="00802227">
        <w:rPr>
          <w:i/>
        </w:rPr>
        <w:t>uniformity</w:t>
      </w:r>
      <w:proofErr w:type="spellEnd"/>
      <w:r w:rsidR="00143140" w:rsidRPr="00802227">
        <w:rPr>
          <w:i/>
        </w:rPr>
        <w:t xml:space="preserve"> </w:t>
      </w:r>
      <w:proofErr w:type="spellStart"/>
      <w:r w:rsidR="00143140" w:rsidRPr="00802227">
        <w:rPr>
          <w:i/>
        </w:rPr>
        <w:t>by</w:t>
      </w:r>
      <w:proofErr w:type="spellEnd"/>
      <w:r w:rsidR="00143140" w:rsidRPr="00802227">
        <w:rPr>
          <w:i/>
        </w:rPr>
        <w:t xml:space="preserve"> off-</w:t>
      </w:r>
      <w:proofErr w:type="spellStart"/>
      <w:r w:rsidR="00143140" w:rsidRPr="00802227">
        <w:rPr>
          <w:i/>
        </w:rPr>
        <w:t>types</w:t>
      </w:r>
      <w:proofErr w:type="spellEnd"/>
      <w:r w:rsidR="00143140" w:rsidRPr="00802227">
        <w:rPr>
          <w:i/>
        </w:rPr>
        <w:t xml:space="preserve"> </w:t>
      </w:r>
      <w:proofErr w:type="spellStart"/>
      <w:r w:rsidR="00143140" w:rsidRPr="00802227">
        <w:rPr>
          <w:i/>
        </w:rPr>
        <w:t>on</w:t>
      </w:r>
      <w:proofErr w:type="spellEnd"/>
      <w:r w:rsidR="00143140" w:rsidRPr="00802227">
        <w:rPr>
          <w:i/>
        </w:rPr>
        <w:t xml:space="preserve"> </w:t>
      </w:r>
      <w:proofErr w:type="spellStart"/>
      <w:r w:rsidR="00143140" w:rsidRPr="00802227">
        <w:rPr>
          <w:i/>
        </w:rPr>
        <w:t>the</w:t>
      </w:r>
      <w:proofErr w:type="spellEnd"/>
      <w:r w:rsidR="00143140" w:rsidRPr="00802227">
        <w:rPr>
          <w:i/>
        </w:rPr>
        <w:t xml:space="preserve"> </w:t>
      </w:r>
      <w:proofErr w:type="spellStart"/>
      <w:r w:rsidR="00143140" w:rsidRPr="00802227">
        <w:rPr>
          <w:i/>
        </w:rPr>
        <w:t>basis</w:t>
      </w:r>
      <w:proofErr w:type="spellEnd"/>
      <w:r w:rsidR="00143140" w:rsidRPr="00802227">
        <w:rPr>
          <w:i/>
        </w:rPr>
        <w:t xml:space="preserve"> of more </w:t>
      </w:r>
      <w:proofErr w:type="spellStart"/>
      <w:r w:rsidR="00143140" w:rsidRPr="00802227">
        <w:rPr>
          <w:i/>
        </w:rPr>
        <w:t>than</w:t>
      </w:r>
      <w:proofErr w:type="spellEnd"/>
      <w:r w:rsidR="00143140" w:rsidRPr="00802227">
        <w:rPr>
          <w:i/>
        </w:rPr>
        <w:t xml:space="preserve"> </w:t>
      </w:r>
      <w:proofErr w:type="spellStart"/>
      <w:r w:rsidR="00143140" w:rsidRPr="00802227">
        <w:rPr>
          <w:i/>
        </w:rPr>
        <w:t>one</w:t>
      </w:r>
      <w:proofErr w:type="spellEnd"/>
      <w:r w:rsidR="00143140" w:rsidRPr="00802227">
        <w:rPr>
          <w:i/>
        </w:rPr>
        <w:t xml:space="preserve"> </w:t>
      </w:r>
      <w:proofErr w:type="spellStart"/>
      <w:r w:rsidR="00143140" w:rsidRPr="00802227">
        <w:rPr>
          <w:i/>
        </w:rPr>
        <w:t>growing</w:t>
      </w:r>
      <w:proofErr w:type="spellEnd"/>
      <w:r w:rsidR="00143140" w:rsidRPr="00802227">
        <w:rPr>
          <w:i/>
        </w:rPr>
        <w:t xml:space="preserve"> </w:t>
      </w:r>
      <w:proofErr w:type="spellStart"/>
      <w:r w:rsidR="00143140" w:rsidRPr="00802227">
        <w:rPr>
          <w:i/>
        </w:rPr>
        <w:t>cycle</w:t>
      </w:r>
      <w:proofErr w:type="spellEnd"/>
      <w:r w:rsidR="00143140" w:rsidRPr="00802227">
        <w:rPr>
          <w:i/>
        </w:rPr>
        <w:t xml:space="preserve"> </w:t>
      </w:r>
      <w:proofErr w:type="spellStart"/>
      <w:r w:rsidR="00143140" w:rsidRPr="00802227">
        <w:rPr>
          <w:i/>
        </w:rPr>
        <w:t>or</w:t>
      </w:r>
      <w:proofErr w:type="spellEnd"/>
      <w:r w:rsidR="00143140" w:rsidRPr="00802227">
        <w:rPr>
          <w:i/>
        </w:rPr>
        <w:t xml:space="preserve"> </w:t>
      </w:r>
      <w:proofErr w:type="spellStart"/>
      <w:r w:rsidR="00143140" w:rsidRPr="00802227">
        <w:rPr>
          <w:i/>
        </w:rPr>
        <w:t>on</w:t>
      </w:r>
      <w:proofErr w:type="spellEnd"/>
      <w:r w:rsidR="00143140" w:rsidRPr="00802227">
        <w:rPr>
          <w:i/>
        </w:rPr>
        <w:t xml:space="preserve"> </w:t>
      </w:r>
      <w:proofErr w:type="spellStart"/>
      <w:r w:rsidR="00143140" w:rsidRPr="00802227">
        <w:rPr>
          <w:i/>
        </w:rPr>
        <w:t>the</w:t>
      </w:r>
      <w:proofErr w:type="spellEnd"/>
      <w:r w:rsidR="00143140" w:rsidRPr="00802227">
        <w:rPr>
          <w:i/>
        </w:rPr>
        <w:t xml:space="preserve"> </w:t>
      </w:r>
      <w:proofErr w:type="spellStart"/>
      <w:r w:rsidR="00143140" w:rsidRPr="00802227">
        <w:rPr>
          <w:i/>
        </w:rPr>
        <w:t>basis</w:t>
      </w:r>
      <w:proofErr w:type="spellEnd"/>
      <w:r w:rsidR="00143140" w:rsidRPr="00802227">
        <w:rPr>
          <w:i/>
        </w:rPr>
        <w:t xml:space="preserve"> of sub-</w:t>
      </w:r>
      <w:proofErr w:type="spellStart"/>
      <w:r w:rsidR="00143140" w:rsidRPr="00802227">
        <w:rPr>
          <w:i/>
        </w:rPr>
        <w:t>samples</w:t>
      </w:r>
      <w:proofErr w:type="spellEnd"/>
      <w:r w:rsidR="00143140">
        <w:t xml:space="preserve">” (Evaluación de la homogeneidad de las plantas fuera de tipo mediante la observación de más de un ciclo de cultivo o mediante la observación de </w:t>
      </w:r>
      <w:proofErr w:type="spellStart"/>
      <w:r w:rsidR="00143140">
        <w:t>submuestras</w:t>
      </w:r>
      <w:proofErr w:type="spellEnd"/>
      <w:r w:rsidR="00143140">
        <w:t>) (véanse los párrafos 31 a 35 del documento TC</w:t>
      </w:r>
      <w:r w:rsidR="00143140">
        <w:noBreakHyphen/>
        <w:t>EDC/Mar18/11 “</w:t>
      </w:r>
      <w:proofErr w:type="spellStart"/>
      <w:r w:rsidR="00143140">
        <w:rPr>
          <w:i/>
        </w:rPr>
        <w:t>Report</w:t>
      </w:r>
      <w:proofErr w:type="spellEnd"/>
      <w:r w:rsidR="00143140">
        <w:t xml:space="preserve">”). </w:t>
      </w:r>
    </w:p>
    <w:p w:rsidR="00143140" w:rsidRPr="00143140" w:rsidRDefault="00143140" w:rsidP="00143140">
      <w:pPr>
        <w:rPr>
          <w:rFonts w:cs="Arial"/>
          <w:bCs/>
          <w:snapToGrid w:val="0"/>
        </w:rPr>
      </w:pPr>
    </w:p>
    <w:p w:rsidR="00143140" w:rsidRPr="00143140" w:rsidRDefault="00BE399B" w:rsidP="00143140">
      <w:pPr>
        <w:rPr>
          <w:rFonts w:cs="Arial"/>
          <w:bCs/>
          <w:snapToGrid w:val="0"/>
        </w:rPr>
      </w:pPr>
      <w:r w:rsidRPr="000279A4">
        <w:rPr>
          <w:rFonts w:cs="Arial"/>
          <w:bCs/>
          <w:snapToGrid w:val="0"/>
        </w:rPr>
        <w:fldChar w:fldCharType="begin"/>
      </w:r>
      <w:r w:rsidR="00143140" w:rsidRPr="00143140">
        <w:rPr>
          <w:rFonts w:cs="Arial"/>
          <w:bCs/>
          <w:snapToGrid w:val="0"/>
        </w:rPr>
        <w:instrText xml:space="preserve"> AUTONUM  </w:instrText>
      </w:r>
      <w:r w:rsidRPr="000279A4">
        <w:rPr>
          <w:rFonts w:cs="Arial"/>
          <w:bCs/>
          <w:snapToGrid w:val="0"/>
        </w:rPr>
        <w:fldChar w:fldCharType="end"/>
      </w:r>
      <w:r w:rsidR="00143140">
        <w:tab/>
        <w:t xml:space="preserve">El TC-EDC tomó nota de que el TWC ha convenido en invitar a los expertos de Alemania, el Reino Unido y otros miembros de la Unión a presentar documentos sobre el análisis de los riesgos asociados a cada método para evaluar la homogeneidad sobre la base de las plantas fuera de tipo mediante la observación de más de un ciclo de cultivo, para que se examinen en su trigésima sexta sesión. </w:t>
      </w:r>
    </w:p>
    <w:p w:rsidR="00143140" w:rsidRPr="00143140" w:rsidRDefault="00143140" w:rsidP="00143140">
      <w:pPr>
        <w:rPr>
          <w:rFonts w:cs="Arial"/>
          <w:bCs/>
          <w:snapToGrid w:val="0"/>
        </w:rPr>
      </w:pPr>
    </w:p>
    <w:p w:rsidR="00143140" w:rsidRPr="00143140" w:rsidRDefault="00BE399B" w:rsidP="00143140">
      <w:pPr>
        <w:rPr>
          <w:rFonts w:cs="Arial"/>
          <w:bCs/>
          <w:snapToGrid w:val="0"/>
        </w:rPr>
      </w:pPr>
      <w:r w:rsidRPr="000279A4">
        <w:rPr>
          <w:rFonts w:cs="Arial"/>
          <w:bCs/>
          <w:snapToGrid w:val="0"/>
        </w:rPr>
        <w:fldChar w:fldCharType="begin"/>
      </w:r>
      <w:r w:rsidR="00143140" w:rsidRPr="00143140">
        <w:rPr>
          <w:rFonts w:cs="Arial"/>
          <w:bCs/>
          <w:snapToGrid w:val="0"/>
        </w:rPr>
        <w:instrText xml:space="preserve"> AUTONUM  </w:instrText>
      </w:r>
      <w:r w:rsidRPr="000279A4">
        <w:rPr>
          <w:rFonts w:cs="Arial"/>
          <w:bCs/>
          <w:snapToGrid w:val="0"/>
        </w:rPr>
        <w:fldChar w:fldCharType="end"/>
      </w:r>
      <w:r w:rsidR="00143140">
        <w:tab/>
        <w:t>El TC-EDC examinó las observaciones formuladas por los TWP, en sus sesiones de 2017, y tomándolas en consideración convino en recomendar que el proyecto de orientación se someta al examen del TC, en su quincuagésima cuarta sesión, con las siguientes modificaciones:</w:t>
      </w:r>
    </w:p>
    <w:p w:rsidR="00143140" w:rsidRPr="00143140" w:rsidRDefault="00143140" w:rsidP="00143140">
      <w:pPr>
        <w:rPr>
          <w:rFonts w:cs="Arial"/>
          <w:bCs/>
          <w:snapToGrid w:val="0"/>
        </w:rPr>
      </w:pPr>
    </w:p>
    <w:p w:rsidR="00143140" w:rsidRPr="00143140" w:rsidRDefault="00143140" w:rsidP="00143140">
      <w:pPr>
        <w:ind w:left="567" w:right="568"/>
        <w:rPr>
          <w:rFonts w:cs="Arial"/>
          <w:bCs/>
          <w:snapToGrid w:val="0"/>
          <w:sz w:val="18"/>
        </w:rPr>
      </w:pPr>
      <w:r>
        <w:rPr>
          <w:snapToGrid w:val="0"/>
          <w:sz w:val="18"/>
        </w:rPr>
        <w:t xml:space="preserve">“[…] Es importante determinar si las diferencias entre ciclos en cuanto al número de plantas fuera de tipo </w:t>
      </w:r>
      <w:r>
        <w:rPr>
          <w:strike/>
          <w:snapToGrid w:val="0"/>
          <w:sz w:val="18"/>
          <w:highlight w:val="lightGray"/>
        </w:rPr>
        <w:t>no</w:t>
      </w:r>
      <w:r>
        <w:rPr>
          <w:snapToGrid w:val="0"/>
          <w:sz w:val="18"/>
        </w:rPr>
        <w:t xml:space="preserve"> se deben a motivos </w:t>
      </w:r>
      <w:r>
        <w:rPr>
          <w:snapToGrid w:val="0"/>
          <w:sz w:val="18"/>
          <w:highlight w:val="lightGray"/>
          <w:u w:val="single"/>
        </w:rPr>
        <w:t>medioambientales</w:t>
      </w:r>
      <w:r>
        <w:rPr>
          <w:snapToGrid w:val="0"/>
          <w:sz w:val="18"/>
        </w:rPr>
        <w:t xml:space="preserve"> o a las variaciones en la toma de muestras.”</w:t>
      </w:r>
      <w:r w:rsidR="00421253">
        <w:rPr>
          <w:snapToGrid w:val="0"/>
          <w:sz w:val="18"/>
        </w:rPr>
        <w:t xml:space="preserve"> </w:t>
      </w:r>
    </w:p>
    <w:p w:rsidR="00143140" w:rsidRPr="00143140" w:rsidRDefault="00143140" w:rsidP="00143140">
      <w:pPr>
        <w:ind w:left="567" w:right="568"/>
        <w:rPr>
          <w:rFonts w:cs="Arial"/>
          <w:bCs/>
          <w:snapToGrid w:val="0"/>
          <w:sz w:val="18"/>
        </w:rPr>
      </w:pPr>
    </w:p>
    <w:p w:rsidR="00143140" w:rsidRPr="00143140" w:rsidRDefault="00BE399B" w:rsidP="00143140">
      <w:pPr>
        <w:rPr>
          <w:rFonts w:cs="Arial"/>
          <w:bCs/>
          <w:snapToGrid w:val="0"/>
        </w:rPr>
      </w:pPr>
      <w:r w:rsidRPr="000279A4">
        <w:rPr>
          <w:rFonts w:cs="Arial"/>
          <w:bCs/>
          <w:snapToGrid w:val="0"/>
        </w:rPr>
        <w:fldChar w:fldCharType="begin"/>
      </w:r>
      <w:r w:rsidR="00143140" w:rsidRPr="00143140">
        <w:rPr>
          <w:rFonts w:cs="Arial"/>
          <w:bCs/>
          <w:snapToGrid w:val="0"/>
        </w:rPr>
        <w:instrText xml:space="preserve"> AUTONUM  </w:instrText>
      </w:r>
      <w:r w:rsidRPr="000279A4">
        <w:rPr>
          <w:rFonts w:cs="Arial"/>
          <w:bCs/>
          <w:snapToGrid w:val="0"/>
        </w:rPr>
        <w:fldChar w:fldCharType="end"/>
      </w:r>
      <w:r w:rsidR="00143140">
        <w:tab/>
        <w:t>El TC-EDC tomó nota de la invitación del TC a los TWP, en sus sesiones de 2017, a analizar si para rechazar una variedad tras un único ciclo de cultivo se deben usar criterios más generales en lugar del caso particular de haber superado el número de plantas fuera de tipo permitido para dos ciclos de cultivo.</w:t>
      </w:r>
      <w:r w:rsidR="00421253">
        <w:t xml:space="preserve"> </w:t>
      </w:r>
      <w:r w:rsidR="00143140">
        <w:t>El</w:t>
      </w:r>
      <w:r w:rsidR="00921C0D">
        <w:t> </w:t>
      </w:r>
      <w:r w:rsidR="00143140">
        <w:t>TC</w:t>
      </w:r>
      <w:r w:rsidR="00143140">
        <w:noBreakHyphen/>
        <w:t>EDC tomó nota de la preferencia manifestada por los TWP, en sus sesiones de 2017, de conservar los criterios para rechazar una variedad tras un único ciclo de cultivo, examinada anteriormente por el TC, como se indica a continuación:</w:t>
      </w:r>
    </w:p>
    <w:p w:rsidR="00143140" w:rsidRPr="00143140" w:rsidRDefault="00143140" w:rsidP="00143140">
      <w:pPr>
        <w:ind w:left="567" w:right="568"/>
        <w:rPr>
          <w:rFonts w:cs="Arial"/>
          <w:bCs/>
          <w:snapToGrid w:val="0"/>
          <w:sz w:val="18"/>
        </w:rPr>
      </w:pPr>
    </w:p>
    <w:p w:rsidR="00143140" w:rsidRPr="00143140" w:rsidRDefault="00143140" w:rsidP="00143140">
      <w:pPr>
        <w:ind w:left="567" w:right="568"/>
        <w:rPr>
          <w:rFonts w:cs="Arial"/>
          <w:bCs/>
          <w:snapToGrid w:val="0"/>
          <w:sz w:val="18"/>
        </w:rPr>
      </w:pPr>
      <w:r>
        <w:rPr>
          <w:snapToGrid w:val="0"/>
          <w:sz w:val="18"/>
        </w:rPr>
        <w:t xml:space="preserve">“Además, si una variedad supera en el primer ciclo de cultivo el límite superior predefinido del número de plantas fuera de tipo, </w:t>
      </w:r>
      <w:r w:rsidR="009A2948">
        <w:rPr>
          <w:snapToGrid w:val="0"/>
          <w:sz w:val="18"/>
        </w:rPr>
        <w:t>podrá rechazarse la variedad</w:t>
      </w:r>
      <w:r>
        <w:rPr>
          <w:snapToGrid w:val="0"/>
          <w:sz w:val="18"/>
        </w:rPr>
        <w:t xml:space="preserve"> tras un único ciclo de cultivo.”</w:t>
      </w:r>
    </w:p>
    <w:p w:rsidR="00143140" w:rsidRPr="00143140" w:rsidRDefault="00143140" w:rsidP="00143140">
      <w:pPr>
        <w:tabs>
          <w:tab w:val="left" w:pos="1528"/>
        </w:tabs>
        <w:rPr>
          <w:rFonts w:cs="Arial"/>
          <w:bCs/>
          <w:snapToGrid w:val="0"/>
        </w:rPr>
      </w:pPr>
      <w:r>
        <w:tab/>
      </w:r>
    </w:p>
    <w:p w:rsidR="00143140" w:rsidRPr="00143140" w:rsidRDefault="00BE399B" w:rsidP="00143140">
      <w:pPr>
        <w:rPr>
          <w:rFonts w:cs="Arial"/>
          <w:bCs/>
          <w:snapToGrid w:val="0"/>
        </w:rPr>
      </w:pPr>
      <w:r w:rsidRPr="000279A4">
        <w:rPr>
          <w:rFonts w:cs="Arial"/>
          <w:bCs/>
          <w:snapToGrid w:val="0"/>
        </w:rPr>
        <w:fldChar w:fldCharType="begin"/>
      </w:r>
      <w:r w:rsidR="00143140" w:rsidRPr="00143140">
        <w:rPr>
          <w:rFonts w:cs="Arial"/>
          <w:bCs/>
          <w:snapToGrid w:val="0"/>
        </w:rPr>
        <w:instrText xml:space="preserve"> AUTONUM  </w:instrText>
      </w:r>
      <w:r w:rsidRPr="000279A4">
        <w:rPr>
          <w:rFonts w:cs="Arial"/>
          <w:bCs/>
          <w:snapToGrid w:val="0"/>
        </w:rPr>
        <w:fldChar w:fldCharType="end"/>
      </w:r>
      <w:r w:rsidR="00143140">
        <w:tab/>
        <w:t xml:space="preserve">El TC-EDC convino en que el TC examine la propuesta mencionada </w:t>
      </w:r>
      <w:r w:rsidR="00143140">
        <w:rPr>
          <w:i/>
        </w:rPr>
        <w:t>supra</w:t>
      </w:r>
      <w:r w:rsidR="00143140">
        <w:t>.</w:t>
      </w:r>
    </w:p>
    <w:p w:rsidR="00143140" w:rsidRPr="00143140" w:rsidRDefault="00143140" w:rsidP="00143140"/>
    <w:p w:rsidR="00143140" w:rsidRDefault="00143140" w:rsidP="00143140">
      <w:pPr>
        <w:pStyle w:val="Heading2"/>
      </w:pPr>
      <w:bookmarkStart w:id="13" w:name="_Toc523758737"/>
      <w:r>
        <w:t>Grupo de Trabajo Técnico sobre Automatización y Programas Informáticos</w:t>
      </w:r>
      <w:bookmarkEnd w:id="13"/>
    </w:p>
    <w:p w:rsidR="00143140" w:rsidRPr="00143140" w:rsidRDefault="00143140" w:rsidP="00143140"/>
    <w:p w:rsidR="00143140" w:rsidRPr="00143140" w:rsidRDefault="00BE399B" w:rsidP="00143140">
      <w:r w:rsidRPr="004C636E">
        <w:fldChar w:fldCharType="begin"/>
      </w:r>
      <w:r w:rsidR="00143140" w:rsidRPr="00143140">
        <w:instrText xml:space="preserve"> AUTONUM  </w:instrText>
      </w:r>
      <w:r w:rsidRPr="004C636E">
        <w:fldChar w:fldCharType="end"/>
      </w:r>
      <w:r w:rsidR="00143140">
        <w:tab/>
        <w:t>El TWC examinó el documento </w:t>
      </w:r>
      <w:hyperlink r:id="rId8">
        <w:r w:rsidR="00143140">
          <w:rPr>
            <w:color w:val="0000FF"/>
            <w:u w:val="single"/>
          </w:rPr>
          <w:t>TWC/36/7</w:t>
        </w:r>
      </w:hyperlink>
      <w:r w:rsidR="00143140">
        <w:t xml:space="preserve"> “</w:t>
      </w:r>
      <w:proofErr w:type="spellStart"/>
      <w:r w:rsidR="00143140" w:rsidRPr="00802227">
        <w:rPr>
          <w:i/>
        </w:rPr>
        <w:t>Risks</w:t>
      </w:r>
      <w:proofErr w:type="spellEnd"/>
      <w:r w:rsidR="00143140" w:rsidRPr="00802227">
        <w:rPr>
          <w:i/>
        </w:rPr>
        <w:t xml:space="preserve"> </w:t>
      </w:r>
      <w:proofErr w:type="spellStart"/>
      <w:r w:rsidR="00143140" w:rsidRPr="00802227">
        <w:rPr>
          <w:i/>
        </w:rPr>
        <w:t>associated</w:t>
      </w:r>
      <w:proofErr w:type="spellEnd"/>
      <w:r w:rsidR="00143140" w:rsidRPr="00802227">
        <w:rPr>
          <w:i/>
        </w:rPr>
        <w:t xml:space="preserve"> </w:t>
      </w:r>
      <w:proofErr w:type="spellStart"/>
      <w:r w:rsidR="00143140" w:rsidRPr="00802227">
        <w:rPr>
          <w:i/>
        </w:rPr>
        <w:t>with</w:t>
      </w:r>
      <w:proofErr w:type="spellEnd"/>
      <w:r w:rsidR="00143140" w:rsidRPr="00802227">
        <w:rPr>
          <w:i/>
        </w:rPr>
        <w:t xml:space="preserve"> </w:t>
      </w:r>
      <w:proofErr w:type="spellStart"/>
      <w:r w:rsidR="00143140" w:rsidRPr="00802227">
        <w:rPr>
          <w:i/>
        </w:rPr>
        <w:t>assessment</w:t>
      </w:r>
      <w:proofErr w:type="spellEnd"/>
      <w:r w:rsidR="00143140" w:rsidRPr="00802227">
        <w:rPr>
          <w:i/>
        </w:rPr>
        <w:t xml:space="preserve"> of </w:t>
      </w:r>
      <w:proofErr w:type="spellStart"/>
      <w:r w:rsidR="00143140" w:rsidRPr="00802227">
        <w:rPr>
          <w:i/>
        </w:rPr>
        <w:t>uniformity</w:t>
      </w:r>
      <w:proofErr w:type="spellEnd"/>
      <w:r w:rsidR="00143140" w:rsidRPr="00802227">
        <w:rPr>
          <w:i/>
        </w:rPr>
        <w:t xml:space="preserve"> </w:t>
      </w:r>
      <w:proofErr w:type="spellStart"/>
      <w:r w:rsidR="00143140" w:rsidRPr="00802227">
        <w:rPr>
          <w:i/>
        </w:rPr>
        <w:t>by</w:t>
      </w:r>
      <w:proofErr w:type="spellEnd"/>
      <w:r w:rsidR="00143140" w:rsidRPr="00802227">
        <w:rPr>
          <w:i/>
        </w:rPr>
        <w:t xml:space="preserve"> off-</w:t>
      </w:r>
      <w:proofErr w:type="spellStart"/>
      <w:r w:rsidR="00143140" w:rsidRPr="00802227">
        <w:rPr>
          <w:i/>
        </w:rPr>
        <w:t>types</w:t>
      </w:r>
      <w:proofErr w:type="spellEnd"/>
      <w:r w:rsidR="00143140" w:rsidRPr="00802227">
        <w:rPr>
          <w:i/>
        </w:rPr>
        <w:t xml:space="preserve"> </w:t>
      </w:r>
      <w:proofErr w:type="spellStart"/>
      <w:r w:rsidR="00143140" w:rsidRPr="00802227">
        <w:rPr>
          <w:i/>
        </w:rPr>
        <w:t>on</w:t>
      </w:r>
      <w:proofErr w:type="spellEnd"/>
      <w:r w:rsidR="00143140" w:rsidRPr="00802227">
        <w:rPr>
          <w:i/>
        </w:rPr>
        <w:t xml:space="preserve"> </w:t>
      </w:r>
      <w:proofErr w:type="spellStart"/>
      <w:r w:rsidR="00143140" w:rsidRPr="00802227">
        <w:rPr>
          <w:i/>
        </w:rPr>
        <w:t>the</w:t>
      </w:r>
      <w:proofErr w:type="spellEnd"/>
      <w:r w:rsidR="00143140" w:rsidRPr="00802227">
        <w:rPr>
          <w:i/>
        </w:rPr>
        <w:t xml:space="preserve"> </w:t>
      </w:r>
      <w:proofErr w:type="spellStart"/>
      <w:r w:rsidR="00143140" w:rsidRPr="00802227">
        <w:rPr>
          <w:i/>
        </w:rPr>
        <w:t>basis</w:t>
      </w:r>
      <w:proofErr w:type="spellEnd"/>
      <w:r w:rsidR="00143140" w:rsidRPr="00802227">
        <w:rPr>
          <w:i/>
        </w:rPr>
        <w:t xml:space="preserve"> of more </w:t>
      </w:r>
      <w:proofErr w:type="spellStart"/>
      <w:r w:rsidR="00143140" w:rsidRPr="00802227">
        <w:rPr>
          <w:i/>
        </w:rPr>
        <w:t>than</w:t>
      </w:r>
      <w:proofErr w:type="spellEnd"/>
      <w:r w:rsidR="00143140" w:rsidRPr="00802227">
        <w:rPr>
          <w:i/>
        </w:rPr>
        <w:t xml:space="preserve"> </w:t>
      </w:r>
      <w:proofErr w:type="spellStart"/>
      <w:r w:rsidR="00143140" w:rsidRPr="00802227">
        <w:rPr>
          <w:i/>
        </w:rPr>
        <w:t>one</w:t>
      </w:r>
      <w:proofErr w:type="spellEnd"/>
      <w:r w:rsidR="00143140" w:rsidRPr="00802227">
        <w:rPr>
          <w:i/>
        </w:rPr>
        <w:t xml:space="preserve"> </w:t>
      </w:r>
      <w:proofErr w:type="spellStart"/>
      <w:r w:rsidR="00143140" w:rsidRPr="00802227">
        <w:rPr>
          <w:i/>
        </w:rPr>
        <w:t>growing</w:t>
      </w:r>
      <w:proofErr w:type="spellEnd"/>
      <w:r w:rsidR="00143140" w:rsidRPr="00802227">
        <w:rPr>
          <w:i/>
        </w:rPr>
        <w:t xml:space="preserve"> </w:t>
      </w:r>
      <w:proofErr w:type="spellStart"/>
      <w:r w:rsidR="00143140" w:rsidRPr="00802227">
        <w:rPr>
          <w:i/>
        </w:rPr>
        <w:t>cycle</w:t>
      </w:r>
      <w:proofErr w:type="spellEnd"/>
      <w:r w:rsidR="00143140">
        <w:t xml:space="preserve">” (Riesgos asociados a la evaluación de la homogeneidad sobre la base de las plantas fuera de tipo mediante la observación de más de un ciclo de cultivo) y asistió a una ponencia a cargo de expertos de Alemania y el Reino Unido, que se </w:t>
      </w:r>
      <w:r w:rsidR="0000535E">
        <w:t>reproduce</w:t>
      </w:r>
      <w:r w:rsidR="00143140">
        <w:t xml:space="preserve"> en el documento TWC/36/7 </w:t>
      </w:r>
      <w:proofErr w:type="spellStart"/>
      <w:r w:rsidR="00143140">
        <w:t>Add</w:t>
      </w:r>
      <w:proofErr w:type="spellEnd"/>
      <w:r w:rsidR="00143140">
        <w:t>. (véanse los párrafos 54 a 56 del documento TWC/36/15 “</w:t>
      </w:r>
      <w:proofErr w:type="spellStart"/>
      <w:r w:rsidR="00143140">
        <w:rPr>
          <w:i/>
        </w:rPr>
        <w:t>Report</w:t>
      </w:r>
      <w:proofErr w:type="spellEnd"/>
      <w:r w:rsidR="00143140">
        <w:t>” (Informe)).</w:t>
      </w:r>
    </w:p>
    <w:p w:rsidR="00143140" w:rsidRPr="00143140" w:rsidRDefault="00143140" w:rsidP="00143140"/>
    <w:p w:rsidR="00143140" w:rsidRPr="00143140" w:rsidRDefault="00BE399B" w:rsidP="00143140">
      <w:r w:rsidRPr="004C636E">
        <w:fldChar w:fldCharType="begin"/>
      </w:r>
      <w:r w:rsidR="00143140" w:rsidRPr="00143140">
        <w:instrText xml:space="preserve"> AUTONUM  </w:instrText>
      </w:r>
      <w:r w:rsidRPr="004C636E">
        <w:fldChar w:fldCharType="end"/>
      </w:r>
      <w:r w:rsidR="00143140">
        <w:tab/>
        <w:t>El TWC convino en solicitar a los expertos de Alemania y el Reino Unido que elaboren ejemplos ilustrativos de los riesgos y consecuencias de las decisiones sobre la homogeneidad, para que se presenten en su próxima sesión.</w:t>
      </w:r>
    </w:p>
    <w:p w:rsidR="00143140" w:rsidRPr="00143140" w:rsidRDefault="00143140" w:rsidP="00143140"/>
    <w:p w:rsidR="00143140" w:rsidRPr="00143140" w:rsidRDefault="00BE399B" w:rsidP="00143140">
      <w:r w:rsidRPr="004C636E">
        <w:fldChar w:fldCharType="begin"/>
      </w:r>
      <w:r w:rsidR="00143140" w:rsidRPr="00143140">
        <w:instrText xml:space="preserve"> AUTONUM  </w:instrText>
      </w:r>
      <w:r w:rsidRPr="004C636E">
        <w:fldChar w:fldCharType="end"/>
      </w:r>
      <w:r w:rsidR="00143140">
        <w:tab/>
        <w:t xml:space="preserve">El TWC tomó nota de la importancia de examinar los riesgos asociados a la evaluación de la homogeneidad sobre la base de las plantas fuera de tipo mediante la observación de más de un ciclo de </w:t>
      </w:r>
      <w:r w:rsidR="00143140">
        <w:lastRenderedPageBreak/>
        <w:t>cultivo y convino en que no sería práctico elaborar cuadros con el número permitido de plantas fuera de tipo para esos casos.</w:t>
      </w:r>
      <w:r w:rsidR="00421253">
        <w:t xml:space="preserve"> </w:t>
      </w:r>
      <w:r w:rsidR="00143140">
        <w:t>El TWC tomó nota de que, en el futuro, es posible que se necesiten programas informáticos para calcular esos riesgos.</w:t>
      </w:r>
    </w:p>
    <w:p w:rsidR="00143140" w:rsidRPr="00143140" w:rsidRDefault="00143140" w:rsidP="00143140"/>
    <w:p w:rsidR="00143140" w:rsidRPr="00143140" w:rsidRDefault="00143140" w:rsidP="00143140"/>
    <w:p w:rsidR="00143140" w:rsidRPr="0021251E" w:rsidRDefault="00143140" w:rsidP="00143140">
      <w:pPr>
        <w:pStyle w:val="Heading1"/>
      </w:pPr>
      <w:bookmarkStart w:id="14" w:name="_Toc523758738"/>
      <w:r>
        <w:t>Resumen de los métodos</w:t>
      </w:r>
      <w:bookmarkEnd w:id="5"/>
      <w:bookmarkEnd w:id="14"/>
    </w:p>
    <w:p w:rsidR="00143140" w:rsidRPr="0021251E" w:rsidRDefault="00143140" w:rsidP="00143140">
      <w:pPr>
        <w:keepNext/>
        <w:rPr>
          <w:rFonts w:cs="Arial"/>
          <w:caps/>
          <w:snapToGrid w:val="0"/>
        </w:rPr>
      </w:pPr>
    </w:p>
    <w:p w:rsidR="00143140" w:rsidRPr="00143140" w:rsidRDefault="00BE399B" w:rsidP="00143140">
      <w:pPr>
        <w:rPr>
          <w:szCs w:val="24"/>
        </w:rPr>
      </w:pPr>
      <w:r w:rsidRPr="0021251E">
        <w:fldChar w:fldCharType="begin"/>
      </w:r>
      <w:r w:rsidR="00143140" w:rsidRPr="00143140">
        <w:instrText xml:space="preserve"> AUTONUM  </w:instrText>
      </w:r>
      <w:r w:rsidRPr="0021251E">
        <w:fldChar w:fldCharType="end"/>
      </w:r>
      <w:r w:rsidR="00143140">
        <w:tab/>
        <w:t xml:space="preserve">En los </w:t>
      </w:r>
      <w:r w:rsidR="002F33B1">
        <w:t>anexo</w:t>
      </w:r>
      <w:r w:rsidR="00143140">
        <w:t>s I y II del presente documento se resumen diferentes situaciones en las que se combinan diferentes muestras para obtener una evaluación global de la homogeneidad de una variedad de conformidad con las conclusiones del TC, en su quincuagésima tercera sesión y basadas en las propuestas formuladas por los TWP en sus sesiones de 2017 y el TC-EDC en su reunión de marzo de 2018.</w:t>
      </w:r>
    </w:p>
    <w:p w:rsidR="00143140" w:rsidRPr="00143140" w:rsidRDefault="00143140" w:rsidP="00143140">
      <w:pPr>
        <w:rPr>
          <w:rFonts w:cs="Arial"/>
          <w:sz w:val="18"/>
          <w:szCs w:val="22"/>
          <w:u w:val="single"/>
        </w:rPr>
      </w:pPr>
    </w:p>
    <w:p w:rsidR="00143140" w:rsidRPr="00143140" w:rsidRDefault="00BE399B" w:rsidP="00143140">
      <w:r w:rsidRPr="0021251E">
        <w:fldChar w:fldCharType="begin"/>
      </w:r>
      <w:r w:rsidR="00143140" w:rsidRPr="00143140">
        <w:instrText xml:space="preserve"> AUTONUM  </w:instrText>
      </w:r>
      <w:r w:rsidRPr="0021251E">
        <w:fldChar w:fldCharType="end"/>
      </w:r>
      <w:r w:rsidR="00143140">
        <w:tab/>
        <w:t xml:space="preserve">El resumen de los </w:t>
      </w:r>
      <w:r w:rsidR="002F33B1">
        <w:t>anexo</w:t>
      </w:r>
      <w:r w:rsidR="00143140">
        <w:t xml:space="preserve">s I y II atañe únicamente a situaciones en que más de una muestra, o una </w:t>
      </w:r>
      <w:proofErr w:type="spellStart"/>
      <w:r w:rsidR="00143140">
        <w:t>submuestra</w:t>
      </w:r>
      <w:proofErr w:type="spellEnd"/>
      <w:r w:rsidR="00143140">
        <w:t>, corresponden al examen del mismo carácter.</w:t>
      </w:r>
      <w:r w:rsidR="00421253">
        <w:t xml:space="preserve"> </w:t>
      </w:r>
      <w:r w:rsidR="00143140">
        <w:t xml:space="preserve">En el caso de diferentes muestras o </w:t>
      </w:r>
      <w:proofErr w:type="spellStart"/>
      <w:r w:rsidR="00143140">
        <w:t>submuestras</w:t>
      </w:r>
      <w:proofErr w:type="spellEnd"/>
      <w:r w:rsidR="00143140">
        <w:t xml:space="preserve"> (por ejemplo, un ensayo especial), para examinar un carácter diferente no se exige combinar los resultados, ya que una variedad debe ser homogénea para todos los caracteres pertinentes.</w:t>
      </w:r>
    </w:p>
    <w:p w:rsidR="00143140" w:rsidRPr="00143140" w:rsidRDefault="00143140" w:rsidP="00143140">
      <w:pPr>
        <w:jc w:val="left"/>
        <w:rPr>
          <w:szCs w:val="24"/>
        </w:rPr>
      </w:pPr>
    </w:p>
    <w:p w:rsidR="00143140" w:rsidRPr="00143140" w:rsidRDefault="00143140" w:rsidP="00143140">
      <w:pPr>
        <w:jc w:val="left"/>
        <w:rPr>
          <w:szCs w:val="24"/>
        </w:rPr>
      </w:pPr>
    </w:p>
    <w:p w:rsidR="00143140" w:rsidRPr="00143140" w:rsidRDefault="00BE399B" w:rsidP="00143140">
      <w:pPr>
        <w:pStyle w:val="DecisionParagraphs"/>
        <w:keepNext/>
        <w:tabs>
          <w:tab w:val="left" w:pos="567"/>
          <w:tab w:val="left" w:pos="1134"/>
        </w:tabs>
      </w:pPr>
      <w:r w:rsidRPr="001F6B71">
        <w:fldChar w:fldCharType="begin"/>
      </w:r>
      <w:r w:rsidR="00143140" w:rsidRPr="00143140">
        <w:instrText xml:space="preserve"> AUTONUM  </w:instrText>
      </w:r>
      <w:r w:rsidRPr="001F6B71">
        <w:fldChar w:fldCharType="end"/>
      </w:r>
      <w:r w:rsidR="00143140">
        <w:tab/>
        <w:t xml:space="preserve">Se invita al TC a: </w:t>
      </w:r>
    </w:p>
    <w:p w:rsidR="00143140" w:rsidRPr="00143140" w:rsidRDefault="00143140" w:rsidP="00143140">
      <w:pPr>
        <w:pStyle w:val="DecisionParagraphs"/>
        <w:keepLines/>
        <w:tabs>
          <w:tab w:val="left" w:pos="567"/>
          <w:tab w:val="left" w:pos="1134"/>
        </w:tabs>
        <w:ind w:firstLine="567"/>
        <w:rPr>
          <w:highlight w:val="cyan"/>
        </w:rPr>
      </w:pPr>
    </w:p>
    <w:p w:rsidR="00143140" w:rsidRPr="00143140" w:rsidRDefault="00143140" w:rsidP="00143140">
      <w:pPr>
        <w:pStyle w:val="DecisionParagraphs"/>
        <w:keepLines/>
        <w:tabs>
          <w:tab w:val="left" w:pos="567"/>
          <w:tab w:val="left" w:pos="1134"/>
          <w:tab w:val="left" w:pos="5954"/>
        </w:tabs>
        <w:ind w:firstLine="567"/>
      </w:pPr>
      <w:r>
        <w:t>a)</w:t>
      </w:r>
      <w:r>
        <w:tab/>
        <w:t>examinar el proyecto de orientación que figura en los anexos I y II del presente documento con miras a incluirlo en una futura revisión del documento TGP/10 “Examen de la homogeneidad”, con arreglo a lo propuesto por el TC-EDC;</w:t>
      </w:r>
    </w:p>
    <w:p w:rsidR="00143140" w:rsidRPr="00143140" w:rsidRDefault="00143140" w:rsidP="00143140">
      <w:pPr>
        <w:pStyle w:val="DecisionParagraphs"/>
        <w:keepLines/>
        <w:tabs>
          <w:tab w:val="left" w:pos="567"/>
          <w:tab w:val="left" w:pos="1134"/>
        </w:tabs>
        <w:ind w:firstLine="567"/>
        <w:rPr>
          <w:highlight w:val="cyan"/>
        </w:rPr>
      </w:pPr>
    </w:p>
    <w:p w:rsidR="00143140" w:rsidRPr="00143140" w:rsidRDefault="00143140" w:rsidP="00143140">
      <w:pPr>
        <w:pStyle w:val="DecisionParagraphs"/>
        <w:keepLines/>
        <w:tabs>
          <w:tab w:val="left" w:pos="567"/>
          <w:tab w:val="left" w:pos="1134"/>
          <w:tab w:val="left" w:pos="5954"/>
        </w:tabs>
        <w:ind w:firstLine="567"/>
        <w:rPr>
          <w:highlight w:val="cyan"/>
        </w:rPr>
      </w:pPr>
      <w:r>
        <w:t>b)</w:t>
      </w:r>
      <w:r>
        <w:tab/>
        <w:t>tom</w:t>
      </w:r>
      <w:r w:rsidR="00B7630E">
        <w:t>ar</w:t>
      </w:r>
      <w:r>
        <w:t xml:space="preserve"> nota de que el TWC convino en que los diferentes métodos dan resultados distintos en algunos casos y </w:t>
      </w:r>
      <w:r w:rsidR="0026435F">
        <w:t>de</w:t>
      </w:r>
      <w:r>
        <w:t xml:space="preserve"> que es posible que </w:t>
      </w:r>
      <w:r w:rsidR="0026435F">
        <w:t xml:space="preserve">los </w:t>
      </w:r>
      <w:r w:rsidR="0065061E">
        <w:t>menores tamaños de muestra y número</w:t>
      </w:r>
      <w:r>
        <w:t xml:space="preserve"> de plantas fuera de tipo (p. ej. en cultivos hortícolas) destaquen los casos inciertos en los que se pueden obtener resultados distintos cuando se emplean métodos diferentes; y</w:t>
      </w:r>
    </w:p>
    <w:p w:rsidR="00143140" w:rsidRPr="00143140" w:rsidRDefault="00143140" w:rsidP="00143140">
      <w:pPr>
        <w:pStyle w:val="DecisionParagraphs"/>
        <w:keepLines/>
        <w:tabs>
          <w:tab w:val="left" w:pos="567"/>
          <w:tab w:val="left" w:pos="1134"/>
          <w:tab w:val="left" w:pos="5954"/>
        </w:tabs>
        <w:ind w:firstLine="567"/>
      </w:pPr>
    </w:p>
    <w:p w:rsidR="00143140" w:rsidRPr="00143140" w:rsidRDefault="00143140" w:rsidP="00143140">
      <w:pPr>
        <w:pStyle w:val="DecisionParagraphs"/>
        <w:keepLines/>
        <w:tabs>
          <w:tab w:val="left" w:pos="567"/>
          <w:tab w:val="left" w:pos="1134"/>
          <w:tab w:val="left" w:pos="5954"/>
        </w:tabs>
        <w:ind w:firstLine="567"/>
      </w:pPr>
      <w:r>
        <w:t>c)</w:t>
      </w:r>
      <w:r>
        <w:tab/>
        <w:t>tom</w:t>
      </w:r>
      <w:r w:rsidR="00B7630E">
        <w:t>ar</w:t>
      </w:r>
      <w:r>
        <w:t xml:space="preserve"> nota de que el TWC convino en que no sería práctico</w:t>
      </w:r>
      <w:r w:rsidR="00921C0D">
        <w:t xml:space="preserve"> </w:t>
      </w:r>
      <w:r>
        <w:t xml:space="preserve">elaborar cuadros con el número permitido de plantas fuera de tipo para el examen global de evaluación de la homogeneidad sobre la base de las plantas fuera de tipo mediante la observación de más de un ciclo de cultivo y que, en el futuro, es posible que se necesiten programas informáticos para </w:t>
      </w:r>
      <w:r w:rsidR="0080390A">
        <w:t>calcular esos riesgos</w:t>
      </w:r>
      <w:r>
        <w:t>.</w:t>
      </w:r>
    </w:p>
    <w:p w:rsidR="00143140" w:rsidRPr="00143140" w:rsidRDefault="00143140" w:rsidP="00143140">
      <w:pPr>
        <w:pStyle w:val="DecisionParagraphs"/>
        <w:keepLines/>
        <w:tabs>
          <w:tab w:val="clear" w:pos="5387"/>
        </w:tabs>
        <w:ind w:left="4536" w:firstLine="567"/>
      </w:pPr>
    </w:p>
    <w:p w:rsidR="00143140" w:rsidRPr="00143140" w:rsidRDefault="00143140" w:rsidP="00143140">
      <w:pPr>
        <w:pStyle w:val="DecisionParagraphs"/>
        <w:keepLines/>
        <w:tabs>
          <w:tab w:val="clear" w:pos="5387"/>
        </w:tabs>
        <w:ind w:left="4536" w:firstLine="567"/>
      </w:pPr>
    </w:p>
    <w:p w:rsidR="00143140" w:rsidRPr="00143140" w:rsidRDefault="00143140" w:rsidP="00143140">
      <w:pPr>
        <w:pStyle w:val="DecisionParagraphs"/>
        <w:keepLines/>
        <w:tabs>
          <w:tab w:val="clear" w:pos="5387"/>
        </w:tabs>
        <w:ind w:left="4536" w:firstLine="567"/>
      </w:pPr>
    </w:p>
    <w:p w:rsidR="001F56DF" w:rsidRDefault="001F56DF" w:rsidP="001F56DF">
      <w:pPr>
        <w:tabs>
          <w:tab w:val="left" w:pos="5387"/>
        </w:tabs>
        <w:ind w:left="4820"/>
        <w:jc w:val="right"/>
      </w:pPr>
      <w:r>
        <w:t xml:space="preserve">[Siguen los </w:t>
      </w:r>
      <w:r w:rsidR="00922867">
        <w:t>Anexos</w:t>
      </w:r>
      <w:r>
        <w:t>]</w:t>
      </w:r>
    </w:p>
    <w:p w:rsidR="00702F28" w:rsidRPr="002B3EDC" w:rsidRDefault="00702F28" w:rsidP="001F56DF">
      <w:pPr>
        <w:tabs>
          <w:tab w:val="left" w:pos="5387"/>
        </w:tabs>
        <w:ind w:left="4820"/>
        <w:jc w:val="right"/>
        <w:rPr>
          <w:rFonts w:cs="Arial"/>
        </w:rPr>
      </w:pPr>
    </w:p>
    <w:p w:rsidR="00050E16" w:rsidRPr="002B3EDC" w:rsidRDefault="00050E16" w:rsidP="00050E16"/>
    <w:p w:rsidR="00BA1B54" w:rsidRPr="002B3EDC" w:rsidRDefault="00BA1B54">
      <w:pPr>
        <w:jc w:val="left"/>
        <w:sectPr w:rsidR="00BA1B54" w:rsidRPr="002B3EDC" w:rsidSect="00906DDC">
          <w:headerReference w:type="default" r:id="rId9"/>
          <w:pgSz w:w="11907" w:h="16840" w:code="9"/>
          <w:pgMar w:top="510" w:right="1134" w:bottom="1134" w:left="1134" w:header="510" w:footer="680" w:gutter="0"/>
          <w:cols w:space="720"/>
          <w:titlePg/>
        </w:sectPr>
      </w:pPr>
    </w:p>
    <w:tbl>
      <w:tblPr>
        <w:tblW w:w="9639" w:type="dxa"/>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9639"/>
      </w:tblGrid>
      <w:tr w:rsidR="003A50AD" w:rsidRPr="003A50AD" w:rsidTr="00375A3A">
        <w:trPr>
          <w:trHeight w:val="350"/>
        </w:trPr>
        <w:tc>
          <w:tcPr>
            <w:tcW w:w="9639" w:type="dxa"/>
          </w:tcPr>
          <w:p w:rsidR="003A50AD" w:rsidRPr="0021251E" w:rsidRDefault="003A50AD" w:rsidP="00375A3A">
            <w:pPr>
              <w:autoSpaceDE w:val="0"/>
              <w:autoSpaceDN w:val="0"/>
              <w:adjustRightInd w:val="0"/>
              <w:jc w:val="center"/>
              <w:rPr>
                <w:rFonts w:eastAsia="SimSun"/>
                <w:szCs w:val="24"/>
              </w:rPr>
            </w:pPr>
          </w:p>
          <w:p w:rsidR="003A50AD" w:rsidRPr="003A50AD" w:rsidRDefault="003A50AD" w:rsidP="00375A3A">
            <w:pPr>
              <w:autoSpaceDE w:val="0"/>
              <w:autoSpaceDN w:val="0"/>
              <w:adjustRightInd w:val="0"/>
              <w:jc w:val="center"/>
              <w:rPr>
                <w:rFonts w:eastAsia="SimSun"/>
                <w:szCs w:val="24"/>
              </w:rPr>
            </w:pPr>
            <w:r>
              <w:t xml:space="preserve">EVALUACIÓN DE LA HOMOGENEIDAD DE LAS PLANTAS FUERA DE TIPO MEDIANTE LA OBSERVACIÓN DE MÁS DE UN CICLO DE CULTIVO </w:t>
            </w:r>
          </w:p>
          <w:p w:rsidR="003A50AD" w:rsidRPr="003A50AD" w:rsidRDefault="003A50AD" w:rsidP="00375A3A">
            <w:pPr>
              <w:autoSpaceDE w:val="0"/>
              <w:autoSpaceDN w:val="0"/>
              <w:adjustRightInd w:val="0"/>
              <w:jc w:val="center"/>
              <w:rPr>
                <w:rFonts w:eastAsia="SimSun"/>
                <w:szCs w:val="24"/>
              </w:rPr>
            </w:pPr>
          </w:p>
        </w:tc>
      </w:tr>
      <w:tr w:rsidR="003A50AD" w:rsidRPr="003A50AD" w:rsidTr="00375A3A">
        <w:trPr>
          <w:trHeight w:val="5687"/>
        </w:trPr>
        <w:tc>
          <w:tcPr>
            <w:tcW w:w="9639" w:type="dxa"/>
          </w:tcPr>
          <w:p w:rsidR="003A50AD" w:rsidRPr="003A50AD" w:rsidRDefault="003A50AD" w:rsidP="00375A3A">
            <w:pPr>
              <w:rPr>
                <w:szCs w:val="24"/>
              </w:rPr>
            </w:pPr>
            <w:r>
              <w:t>Podrían desarrollarse dos ciclos de cultivo independientes en un único lugar en diferentes años o en diferentes lugares en el mismo año, según se indica en las secciones 1.2 y 1.3 de la Parte I del documento TGP/8.</w:t>
            </w:r>
          </w:p>
          <w:p w:rsidR="003A50AD" w:rsidRPr="003A50AD" w:rsidRDefault="003A50AD" w:rsidP="00375A3A">
            <w:pPr>
              <w:rPr>
                <w:szCs w:val="24"/>
              </w:rPr>
            </w:pPr>
          </w:p>
          <w:p w:rsidR="003A50AD" w:rsidRPr="003A50AD" w:rsidRDefault="003A50AD" w:rsidP="00375A3A">
            <w:pPr>
              <w:rPr>
                <w:szCs w:val="24"/>
              </w:rPr>
            </w:pPr>
            <w:r>
              <w:t>El uso previsto de la siguiente orientación no es la evaluación de la homogeneidad de las plantas fuera de tipo en las mismas plantas en dos ciclos de cultivo.</w:t>
            </w:r>
            <w:r w:rsidR="00421253">
              <w:t xml:space="preserve"> </w:t>
            </w:r>
            <w:r>
              <w:t>No se deben combinar los resultados de ciclos de cultivo en los que se utilicen diferentes lotes de material vegetal.</w:t>
            </w:r>
          </w:p>
          <w:p w:rsidR="003A50AD" w:rsidRPr="003A50AD" w:rsidRDefault="003A50AD" w:rsidP="00375A3A">
            <w:pPr>
              <w:rPr>
                <w:szCs w:val="24"/>
              </w:rPr>
            </w:pPr>
          </w:p>
          <w:p w:rsidR="003A50AD" w:rsidRPr="003A50AD" w:rsidRDefault="003A50AD" w:rsidP="00375A3A">
            <w:pPr>
              <w:rPr>
                <w:b/>
                <w:szCs w:val="24"/>
              </w:rPr>
            </w:pPr>
            <w:r>
              <w:rPr>
                <w:b/>
              </w:rPr>
              <w:t>Método 1:</w:t>
            </w:r>
            <w:r w:rsidR="00421253">
              <w:rPr>
                <w:b/>
              </w:rPr>
              <w:t xml:space="preserve"> </w:t>
            </w:r>
            <w:r>
              <w:rPr>
                <w:b/>
              </w:rPr>
              <w:t xml:space="preserve">Tercer ciclo de cultivo en el caso de resultados contradictorios </w:t>
            </w:r>
          </w:p>
          <w:p w:rsidR="003A50AD" w:rsidRPr="003A50AD" w:rsidRDefault="003A50AD" w:rsidP="009024E0"/>
          <w:p w:rsidR="003A50AD" w:rsidRPr="003A50AD" w:rsidRDefault="003A50AD" w:rsidP="00375A3A">
            <w:pPr>
              <w:rPr>
                <w:rFonts w:eastAsia="SimSun"/>
                <w:szCs w:val="24"/>
              </w:rPr>
            </w:pPr>
            <w:r>
              <w:t>Se considera que una variedad es homogénea si cumple el estándar de homogeneidad en ambos ciclos de cultivo.</w:t>
            </w:r>
          </w:p>
          <w:p w:rsidR="003A50AD" w:rsidRPr="003A50AD" w:rsidRDefault="003A50AD" w:rsidP="00375A3A">
            <w:pPr>
              <w:rPr>
                <w:rFonts w:eastAsia="SimSun"/>
                <w:szCs w:val="24"/>
              </w:rPr>
            </w:pPr>
          </w:p>
          <w:p w:rsidR="003A50AD" w:rsidRPr="003A50AD" w:rsidRDefault="003A50AD" w:rsidP="00375A3A">
            <w:pPr>
              <w:rPr>
                <w:rFonts w:eastAsia="SimSun"/>
                <w:szCs w:val="24"/>
              </w:rPr>
            </w:pPr>
            <w:r>
              <w:t>Se considera que una variedad no es homogénea si no cumple el estándar de homogeneidad en ambos ciclos de cultivo.</w:t>
            </w:r>
          </w:p>
          <w:p w:rsidR="003A50AD" w:rsidRPr="003A50AD" w:rsidRDefault="003A50AD" w:rsidP="00375A3A">
            <w:pPr>
              <w:rPr>
                <w:rFonts w:eastAsia="SimSun"/>
                <w:szCs w:val="24"/>
              </w:rPr>
            </w:pPr>
          </w:p>
          <w:p w:rsidR="003A50AD" w:rsidRPr="003A50AD" w:rsidRDefault="003A50AD" w:rsidP="00375A3A">
            <w:pPr>
              <w:keepNext/>
              <w:keepLines/>
              <w:rPr>
                <w:rFonts w:eastAsia="SimSun"/>
                <w:szCs w:val="24"/>
              </w:rPr>
            </w:pPr>
            <w:r>
              <w:t>Si al término de los dos ciclos de cultivo la variedad cumple el estándar de homogeneidad en un ciclo de cultivo pero no lo cumple en el otro ciclo de cultivo, se evalúa la homogeneidad en un tercer ciclo de cultivo.</w:t>
            </w:r>
            <w:r w:rsidR="00421253">
              <w:t xml:space="preserve"> </w:t>
            </w:r>
            <w:r>
              <w:t>Si en el tercer ciclo de cultivo la variedad cumple el estándar de homogeneidad, la variedad se considerará homogénea.</w:t>
            </w:r>
            <w:r w:rsidR="00421253">
              <w:t xml:space="preserve"> </w:t>
            </w:r>
            <w:r>
              <w:t>Si al término del tercer ciclo de cultivo la variedad no cumple el estándar de homogeneidad, la variedad se considerará no homogénea.</w:t>
            </w:r>
          </w:p>
          <w:p w:rsidR="003A50AD" w:rsidRPr="003A50AD" w:rsidRDefault="003A50AD" w:rsidP="00375A3A">
            <w:pPr>
              <w:keepNext/>
              <w:keepLines/>
              <w:rPr>
                <w:color w:val="000000"/>
                <w:szCs w:val="24"/>
              </w:rPr>
            </w:pPr>
          </w:p>
          <w:p w:rsidR="003A50AD" w:rsidRPr="003A50AD" w:rsidRDefault="003A50AD" w:rsidP="00375A3A">
            <w:pPr>
              <w:keepNext/>
              <w:keepLines/>
            </w:pPr>
            <w:r>
              <w:rPr>
                <w:color w:val="000000"/>
              </w:rPr>
              <w:t>Es preciso poner cuidado al examinar resultados que sean muy diferentes en cada uno de los ciclos de cultivo, por ejemplo cuando se observe una gran abundancia de plantas fuera de tipo en un ciclo de cultivo y su ausencia en otro ciclo.</w:t>
            </w:r>
            <w:r w:rsidR="00421253">
              <w:rPr>
                <w:color w:val="000000"/>
              </w:rPr>
              <w:t xml:space="preserve"> </w:t>
            </w:r>
            <w:r>
              <w:t>Es importante determinar si las diferencias entre ciclos en cuanto al número de plantas fuera de tipo se deben a motivos medioambientales o a las variaciones en la toma de muestras.</w:t>
            </w:r>
            <w:r w:rsidR="00421253">
              <w:t xml:space="preserve"> </w:t>
            </w:r>
          </w:p>
          <w:p w:rsidR="003A50AD" w:rsidRPr="003A50AD" w:rsidRDefault="003A50AD" w:rsidP="00375A3A">
            <w:pPr>
              <w:keepNext/>
              <w:keepLines/>
            </w:pPr>
          </w:p>
          <w:p w:rsidR="003A50AD" w:rsidRPr="003A50AD" w:rsidRDefault="003A50AD" w:rsidP="00375A3A">
            <w:pPr>
              <w:keepNext/>
              <w:keepLines/>
              <w:rPr>
                <w:rFonts w:eastAsia="SimSun"/>
                <w:szCs w:val="24"/>
              </w:rPr>
            </w:pPr>
            <w:r>
              <w:t xml:space="preserve">Además, si una variedad supera en el primer ciclo de cultivo el límite superior predefinido del número de plantas fuera de tipo, </w:t>
            </w:r>
            <w:r w:rsidR="009A2948">
              <w:t>podrá rechazarse la variedad</w:t>
            </w:r>
            <w:r>
              <w:t xml:space="preserve"> tras un único ciclo de cultivo. </w:t>
            </w:r>
          </w:p>
          <w:p w:rsidR="003A50AD" w:rsidRPr="003A50AD" w:rsidRDefault="003A50AD" w:rsidP="00375A3A">
            <w:pPr>
              <w:keepNext/>
              <w:keepLines/>
              <w:rPr>
                <w:rFonts w:eastAsia="SimSun"/>
                <w:szCs w:val="24"/>
              </w:rPr>
            </w:pPr>
          </w:p>
          <w:p w:rsidR="003A50AD" w:rsidRPr="003A50AD" w:rsidRDefault="003A50AD" w:rsidP="00375A3A">
            <w:pPr>
              <w:rPr>
                <w:b/>
                <w:szCs w:val="24"/>
              </w:rPr>
            </w:pPr>
            <w:r>
              <w:rPr>
                <w:b/>
              </w:rPr>
              <w:t>Método 2:</w:t>
            </w:r>
            <w:r w:rsidR="00421253">
              <w:rPr>
                <w:b/>
              </w:rPr>
              <w:t xml:space="preserve"> </w:t>
            </w:r>
            <w:r>
              <w:rPr>
                <w:b/>
              </w:rPr>
              <w:t>Combinar los resultados de dos ciclos de cultivo en el caso de resultados contradictorios</w:t>
            </w:r>
          </w:p>
          <w:p w:rsidR="003A50AD" w:rsidRPr="003A50AD" w:rsidRDefault="003A50AD" w:rsidP="00375A3A">
            <w:pPr>
              <w:keepNext/>
              <w:keepLines/>
              <w:rPr>
                <w:rFonts w:eastAsia="MS Mincho"/>
                <w:color w:val="000000"/>
              </w:rPr>
            </w:pPr>
          </w:p>
          <w:p w:rsidR="003A50AD" w:rsidRPr="003A50AD" w:rsidRDefault="003A50AD" w:rsidP="00375A3A">
            <w:pPr>
              <w:rPr>
                <w:rFonts w:eastAsia="SimSun"/>
              </w:rPr>
            </w:pPr>
            <w:r>
              <w:t>Se considera que una variedad es homogénea si cumple el estándar de homogeneidad en ambos ciclos de cultivo.</w:t>
            </w:r>
          </w:p>
          <w:p w:rsidR="003A50AD" w:rsidRPr="003A50AD" w:rsidRDefault="003A50AD" w:rsidP="00375A3A">
            <w:pPr>
              <w:rPr>
                <w:rFonts w:eastAsia="SimSun"/>
              </w:rPr>
            </w:pPr>
          </w:p>
          <w:p w:rsidR="003A50AD" w:rsidRPr="003A50AD" w:rsidRDefault="003A50AD" w:rsidP="00375A3A">
            <w:pPr>
              <w:rPr>
                <w:rFonts w:eastAsia="SimSun"/>
              </w:rPr>
            </w:pPr>
            <w:r>
              <w:t>Se considera que una variedad no es homogénea si no cumple el estándar de homogeneidad en ambos ciclos de cultivo.</w:t>
            </w:r>
          </w:p>
          <w:p w:rsidR="003A50AD" w:rsidRPr="003A50AD" w:rsidRDefault="003A50AD" w:rsidP="00375A3A">
            <w:pPr>
              <w:rPr>
                <w:rFonts w:eastAsia="SimSun"/>
              </w:rPr>
            </w:pPr>
          </w:p>
          <w:p w:rsidR="003A50AD" w:rsidRPr="003A50AD" w:rsidRDefault="003A50AD" w:rsidP="00375A3A">
            <w:pPr>
              <w:keepNext/>
              <w:keepLines/>
              <w:rPr>
                <w:rFonts w:eastAsia="SimSun"/>
              </w:rPr>
            </w:pPr>
            <w:r>
              <w:t>Si al término de los dos ciclos de cultivo la variedad cumple el estándar de homogeneidad en un ciclo de cultivo pero no cumple el estándar de homogeneidad en el otro ciclo de cultivo, se considera que la variedad es homogénea si el número total de plantas fuera de tipo al término de los dos ciclos de cultivo no supera el número permitido de plantas fuera de tipo en el tamaño de muestra de los ciclos de cultivo 1 y 2 combinados.</w:t>
            </w:r>
          </w:p>
          <w:p w:rsidR="003A50AD" w:rsidRPr="003A50AD" w:rsidRDefault="003A50AD" w:rsidP="00375A3A">
            <w:pPr>
              <w:keepNext/>
              <w:keepLines/>
              <w:ind w:right="459"/>
              <w:rPr>
                <w:rFonts w:eastAsia="SimSun"/>
              </w:rPr>
            </w:pPr>
          </w:p>
          <w:p w:rsidR="003A50AD" w:rsidRPr="003A50AD" w:rsidRDefault="003A50AD" w:rsidP="00375A3A">
            <w:pPr>
              <w:keepNext/>
              <w:keepLines/>
              <w:rPr>
                <w:rFonts w:eastAsia="SimSun"/>
                <w:szCs w:val="24"/>
              </w:rPr>
            </w:pPr>
            <w:r>
              <w:t>Es preciso poner cuidado al examinar resultados que sean muy diferentes en cada uno de los ciclos de cultivo, por ejemplo cuando se observe una gran abundancia de plantas fuera de tipo en un ciclo de cultivo y su ausencia en otro ciclo.</w:t>
            </w:r>
            <w:r w:rsidR="00421253">
              <w:t xml:space="preserve"> </w:t>
            </w:r>
            <w:r>
              <w:t>Cuando corresponda se debe llevar a cabo una prueba estadística para verificar la coherencia.</w:t>
            </w:r>
            <w:r w:rsidR="00421253">
              <w:t xml:space="preserve"> </w:t>
            </w:r>
            <w:r>
              <w:t>Es importante determinar si las diferencias entre ciclos en cuanto al número de plantas fuera de tipo se deben a motivos medioambientales o a las variaciones en la toma de muestras.</w:t>
            </w:r>
            <w:r w:rsidR="00421253">
              <w:t xml:space="preserve"> </w:t>
            </w:r>
          </w:p>
          <w:p w:rsidR="003A50AD" w:rsidRPr="003A50AD" w:rsidRDefault="003A50AD" w:rsidP="00375A3A">
            <w:pPr>
              <w:keepNext/>
              <w:keepLines/>
            </w:pPr>
          </w:p>
          <w:p w:rsidR="003A50AD" w:rsidRPr="003A50AD" w:rsidRDefault="003A50AD" w:rsidP="00375A3A">
            <w:pPr>
              <w:keepNext/>
              <w:keepLines/>
              <w:rPr>
                <w:rFonts w:eastAsia="SimSun"/>
                <w:szCs w:val="24"/>
                <w:u w:val="single"/>
              </w:rPr>
            </w:pPr>
            <w:r>
              <w:t xml:space="preserve">Además, si una variedad supera en el primer ciclo de cultivo el límite superior predefinido del número de plantas fuera de tipo, </w:t>
            </w:r>
            <w:r w:rsidR="009A2948">
              <w:t>podrá rechazarse la variedad</w:t>
            </w:r>
            <w:r>
              <w:t xml:space="preserve"> tras un único ciclo de cultivo.</w:t>
            </w:r>
          </w:p>
          <w:p w:rsidR="00921C0D" w:rsidRPr="003A50AD" w:rsidRDefault="00921C0D" w:rsidP="00375A3A">
            <w:pPr>
              <w:keepNext/>
              <w:keepLines/>
              <w:rPr>
                <w:rFonts w:eastAsia="SimSun"/>
                <w:szCs w:val="24"/>
              </w:rPr>
            </w:pPr>
          </w:p>
          <w:p w:rsidR="003A50AD" w:rsidRPr="003A50AD" w:rsidRDefault="003A50AD" w:rsidP="00375A3A">
            <w:pPr>
              <w:keepNext/>
              <w:ind w:left="34"/>
              <w:rPr>
                <w:b/>
                <w:bCs/>
              </w:rPr>
            </w:pPr>
            <w:r>
              <w:rPr>
                <w:b/>
              </w:rPr>
              <w:t>Método 3:</w:t>
            </w:r>
            <w:r w:rsidR="00421253">
              <w:rPr>
                <w:b/>
              </w:rPr>
              <w:t xml:space="preserve"> </w:t>
            </w:r>
            <w:r>
              <w:rPr>
                <w:b/>
              </w:rPr>
              <w:t>Combinar los resultados de dos ciclos de cultivo</w:t>
            </w:r>
          </w:p>
          <w:p w:rsidR="003A50AD" w:rsidRPr="003A50AD" w:rsidRDefault="003A50AD" w:rsidP="00375A3A">
            <w:pPr>
              <w:keepNext/>
              <w:ind w:left="34"/>
            </w:pPr>
          </w:p>
          <w:p w:rsidR="003A50AD" w:rsidRPr="003A50AD" w:rsidRDefault="003A50AD" w:rsidP="00375A3A">
            <w:pPr>
              <w:ind w:left="34"/>
            </w:pPr>
            <w:r>
              <w:t>Se considera que una variedad es homogénea si el número total de plantas fuera de tipo al término de los dos ciclos de cultivo no supera el número permitido de plantas fuera de tipo en una muestra combinada.</w:t>
            </w:r>
          </w:p>
          <w:p w:rsidR="003A50AD" w:rsidRPr="003A50AD" w:rsidRDefault="003A50AD" w:rsidP="00375A3A">
            <w:pPr>
              <w:ind w:left="34"/>
            </w:pPr>
          </w:p>
          <w:p w:rsidR="003A50AD" w:rsidRPr="003A50AD" w:rsidRDefault="003A50AD" w:rsidP="00375A3A">
            <w:pPr>
              <w:ind w:left="34"/>
            </w:pPr>
            <w:r>
              <w:t>Se considera que una variedad no es homogénea si el número total de plantas fuera de tipo al término de los dos ciclos de cultivo supera el número permitido de plantas fuera de tipo en una muestra combinada.</w:t>
            </w:r>
          </w:p>
          <w:p w:rsidR="003A50AD" w:rsidRPr="003A50AD" w:rsidRDefault="003A50AD" w:rsidP="00375A3A">
            <w:pPr>
              <w:ind w:left="34"/>
            </w:pPr>
          </w:p>
          <w:p w:rsidR="003A50AD" w:rsidRPr="003A50AD" w:rsidRDefault="003A50AD" w:rsidP="00375A3A">
            <w:pPr>
              <w:ind w:left="34"/>
            </w:pPr>
            <w:r>
              <w:t>Podrá rechazarse una variedad tras un único ciclo de cultivo, si el número de plantas fuera de tipo supera el número permitido de plantas fuera de tipo en una muestra combinada (en dos ciclos de cultivo).</w:t>
            </w:r>
          </w:p>
          <w:p w:rsidR="003A50AD" w:rsidRPr="003A50AD" w:rsidRDefault="003A50AD" w:rsidP="00375A3A">
            <w:pPr>
              <w:keepNext/>
              <w:keepLines/>
              <w:ind w:left="34"/>
            </w:pPr>
          </w:p>
          <w:p w:rsidR="003A50AD" w:rsidRPr="003A50AD" w:rsidRDefault="003A50AD" w:rsidP="00921C0D">
            <w:pPr>
              <w:keepNext/>
              <w:ind w:left="34"/>
              <w:rPr>
                <w:rFonts w:eastAsia="SimSun"/>
                <w:szCs w:val="24"/>
              </w:rPr>
            </w:pPr>
            <w:r>
              <w:t>Es preciso poner cuidado al examinar resultados que son muy diferentes en cada uno de los ciclos de cultivo, por ejemplo cuando se observa una gran abundancia de plantas fuera de tipo en un ciclo de cultivo y su ausencia en otro ciclo. Cuando corresponda se debe llevar a cabo una prueba estadística para verificar la coherencia.</w:t>
            </w:r>
            <w:r w:rsidR="00421253">
              <w:t xml:space="preserve"> </w:t>
            </w:r>
            <w:r>
              <w:t>Es importante determinar si las diferencias entre ciclos en cuanto al número de plantas fuera de tipo se deben a motivos medioambientales o a las variaciones en la toma de muestras.</w:t>
            </w:r>
            <w:r>
              <w:rPr>
                <w:highlight w:val="lightGray"/>
                <w:u w:val="single"/>
              </w:rPr>
              <w:t xml:space="preserve"> </w:t>
            </w:r>
          </w:p>
          <w:p w:rsidR="003A50AD" w:rsidRPr="003A50AD" w:rsidRDefault="003A50AD" w:rsidP="00375A3A">
            <w:pPr>
              <w:keepNext/>
              <w:keepLines/>
              <w:jc w:val="left"/>
              <w:rPr>
                <w:szCs w:val="24"/>
              </w:rPr>
            </w:pPr>
          </w:p>
          <w:p w:rsidR="003A50AD" w:rsidRPr="0021251E" w:rsidRDefault="003A50AD" w:rsidP="00375A3A">
            <w:pPr>
              <w:keepNext/>
              <w:keepLines/>
              <w:jc w:val="left"/>
              <w:rPr>
                <w:szCs w:val="24"/>
              </w:rPr>
            </w:pPr>
            <w:r>
              <w:t>Ejemplo:</w:t>
            </w:r>
          </w:p>
          <w:p w:rsidR="003A50AD" w:rsidRPr="0021251E" w:rsidRDefault="003A50AD" w:rsidP="00375A3A">
            <w:pPr>
              <w:keepNext/>
              <w:keepLines/>
              <w:jc w:val="left"/>
              <w:rPr>
                <w:szCs w:val="24"/>
              </w:rPr>
            </w:pPr>
          </w:p>
          <w:tbl>
            <w:tblPr>
              <w:tblW w:w="8701" w:type="dxa"/>
              <w:tblInd w:w="600" w:type="dxa"/>
              <w:tblLayout w:type="fixed"/>
              <w:tblLook w:val="04A0" w:firstRow="1" w:lastRow="0" w:firstColumn="1" w:lastColumn="0" w:noHBand="0" w:noVBand="1"/>
            </w:tblPr>
            <w:tblGrid>
              <w:gridCol w:w="697"/>
              <w:gridCol w:w="1134"/>
              <w:gridCol w:w="180"/>
              <w:gridCol w:w="954"/>
              <w:gridCol w:w="1807"/>
              <w:gridCol w:w="320"/>
              <w:gridCol w:w="1985"/>
              <w:gridCol w:w="1624"/>
            </w:tblGrid>
            <w:tr w:rsidR="003A50AD" w:rsidRPr="0021251E" w:rsidTr="00375A3A">
              <w:trPr>
                <w:gridAfter w:val="1"/>
                <w:wAfter w:w="1624" w:type="dxa"/>
                <w:trHeight w:val="255"/>
              </w:trPr>
              <w:tc>
                <w:tcPr>
                  <w:tcW w:w="697" w:type="dxa"/>
                  <w:tcBorders>
                    <w:top w:val="nil"/>
                    <w:left w:val="nil"/>
                    <w:bottom w:val="nil"/>
                  </w:tcBorders>
                  <w:shd w:val="clear" w:color="auto" w:fill="auto"/>
                  <w:noWrap/>
                  <w:vAlign w:val="bottom"/>
                </w:tcPr>
                <w:p w:rsidR="003A50AD" w:rsidRPr="0021251E" w:rsidRDefault="003A50AD" w:rsidP="00375A3A">
                  <w:pPr>
                    <w:jc w:val="left"/>
                    <w:rPr>
                      <w:rFonts w:cs="Arial"/>
                      <w:color w:val="000000"/>
                    </w:rPr>
                  </w:pPr>
                </w:p>
              </w:tc>
              <w:tc>
                <w:tcPr>
                  <w:tcW w:w="6380" w:type="dxa"/>
                  <w:gridSpan w:val="6"/>
                  <w:tcBorders>
                    <w:top w:val="nil"/>
                  </w:tcBorders>
                  <w:shd w:val="clear" w:color="auto" w:fill="auto"/>
                  <w:vAlign w:val="bottom"/>
                </w:tcPr>
                <w:p w:rsidR="003A50AD" w:rsidRPr="0021251E" w:rsidRDefault="003A50AD" w:rsidP="00375A3A">
                  <w:pPr>
                    <w:jc w:val="left"/>
                    <w:rPr>
                      <w:rFonts w:cs="Arial"/>
                      <w:color w:val="000000"/>
                    </w:rPr>
                  </w:pPr>
                  <w:r>
                    <w:rPr>
                      <w:color w:val="000000"/>
                    </w:rPr>
                    <w:t>Población estándar = 1%</w:t>
                  </w:r>
                  <w:r w:rsidR="00421253">
                    <w:rPr>
                      <w:color w:val="000000"/>
                    </w:rPr>
                    <w:t xml:space="preserve"> </w:t>
                  </w:r>
                </w:p>
              </w:tc>
            </w:tr>
            <w:tr w:rsidR="003A50AD" w:rsidRPr="0021251E" w:rsidTr="00375A3A">
              <w:trPr>
                <w:gridAfter w:val="1"/>
                <w:wAfter w:w="1624" w:type="dxa"/>
                <w:trHeight w:val="270"/>
              </w:trPr>
              <w:tc>
                <w:tcPr>
                  <w:tcW w:w="697" w:type="dxa"/>
                  <w:tcBorders>
                    <w:top w:val="nil"/>
                    <w:left w:val="nil"/>
                    <w:bottom w:val="nil"/>
                  </w:tcBorders>
                  <w:shd w:val="clear" w:color="auto" w:fill="auto"/>
                  <w:noWrap/>
                  <w:vAlign w:val="bottom"/>
                  <w:hideMark/>
                </w:tcPr>
                <w:p w:rsidR="003A50AD" w:rsidRPr="0021251E" w:rsidRDefault="003A50AD" w:rsidP="00375A3A">
                  <w:pPr>
                    <w:jc w:val="left"/>
                    <w:rPr>
                      <w:rFonts w:cs="Arial"/>
                      <w:color w:val="000000"/>
                    </w:rPr>
                  </w:pPr>
                </w:p>
              </w:tc>
              <w:tc>
                <w:tcPr>
                  <w:tcW w:w="6380" w:type="dxa"/>
                  <w:gridSpan w:val="6"/>
                  <w:tcBorders>
                    <w:top w:val="nil"/>
                    <w:bottom w:val="single" w:sz="4" w:space="0" w:color="auto"/>
                  </w:tcBorders>
                  <w:shd w:val="clear" w:color="auto" w:fill="auto"/>
                  <w:vAlign w:val="bottom"/>
                </w:tcPr>
                <w:p w:rsidR="003A50AD" w:rsidRPr="0021251E" w:rsidRDefault="003A50AD" w:rsidP="00375A3A">
                  <w:pPr>
                    <w:jc w:val="left"/>
                    <w:rPr>
                      <w:rFonts w:cs="Arial"/>
                      <w:color w:val="000000"/>
                    </w:rPr>
                  </w:pPr>
                  <w:r>
                    <w:rPr>
                      <w:color w:val="000000"/>
                    </w:rPr>
                    <w:t>Probabilidad de aceptación ≥ 95%</w:t>
                  </w:r>
                </w:p>
              </w:tc>
            </w:tr>
            <w:tr w:rsidR="003A50AD" w:rsidRPr="003A50AD" w:rsidTr="00375A3A">
              <w:trPr>
                <w:gridBefore w:val="1"/>
                <w:gridAfter w:val="1"/>
                <w:wBefore w:w="697" w:type="dxa"/>
                <w:wAfter w:w="1624" w:type="dxa"/>
                <w:trHeight w:val="255"/>
              </w:trPr>
              <w:tc>
                <w:tcPr>
                  <w:tcW w:w="6380" w:type="dxa"/>
                  <w:gridSpan w:val="6"/>
                  <w:tcBorders>
                    <w:top w:val="single" w:sz="4" w:space="0" w:color="auto"/>
                    <w:left w:val="single" w:sz="4" w:space="0" w:color="auto"/>
                    <w:bottom w:val="single" w:sz="6" w:space="0" w:color="auto"/>
                    <w:right w:val="single" w:sz="4" w:space="0" w:color="auto"/>
                  </w:tcBorders>
                  <w:shd w:val="clear" w:color="auto" w:fill="auto"/>
                  <w:vAlign w:val="bottom"/>
                </w:tcPr>
                <w:p w:rsidR="003A50AD" w:rsidRPr="003A50AD" w:rsidRDefault="003A50AD" w:rsidP="00375A3A">
                  <w:pPr>
                    <w:jc w:val="left"/>
                    <w:rPr>
                      <w:rFonts w:cs="Arial"/>
                      <w:color w:val="000000"/>
                    </w:rPr>
                  </w:pPr>
                  <w:r>
                    <w:rPr>
                      <w:color w:val="000000"/>
                    </w:rPr>
                    <w:t>Tamaño de la muestra en cada uno de los ciclos de cultivo 1 y 2 = 50</w:t>
                  </w:r>
                </w:p>
              </w:tc>
            </w:tr>
            <w:tr w:rsidR="003A50AD" w:rsidRPr="003A50AD" w:rsidTr="00375A3A">
              <w:trPr>
                <w:gridBefore w:val="1"/>
                <w:gridAfter w:val="1"/>
                <w:wBefore w:w="697" w:type="dxa"/>
                <w:wAfter w:w="1624" w:type="dxa"/>
                <w:trHeight w:val="270"/>
              </w:trPr>
              <w:tc>
                <w:tcPr>
                  <w:tcW w:w="6380" w:type="dxa"/>
                  <w:gridSpan w:val="6"/>
                  <w:tcBorders>
                    <w:top w:val="single" w:sz="6" w:space="0" w:color="auto"/>
                    <w:left w:val="single" w:sz="4" w:space="0" w:color="auto"/>
                    <w:bottom w:val="single" w:sz="4" w:space="0" w:color="auto"/>
                    <w:right w:val="single" w:sz="4" w:space="0" w:color="auto"/>
                  </w:tcBorders>
                  <w:shd w:val="clear" w:color="auto" w:fill="auto"/>
                  <w:vAlign w:val="bottom"/>
                </w:tcPr>
                <w:p w:rsidR="003A50AD" w:rsidRPr="003A50AD" w:rsidRDefault="003A50AD" w:rsidP="00375A3A">
                  <w:pPr>
                    <w:jc w:val="left"/>
                    <w:rPr>
                      <w:rFonts w:cs="Arial"/>
                      <w:color w:val="000000"/>
                    </w:rPr>
                  </w:pPr>
                  <w:r>
                    <w:rPr>
                      <w:color w:val="000000"/>
                    </w:rPr>
                    <w:t>Número máximo de plantas fuera de tipo = 2</w:t>
                  </w:r>
                </w:p>
              </w:tc>
            </w:tr>
            <w:tr w:rsidR="003A50AD" w:rsidRPr="003A50AD" w:rsidTr="00375A3A">
              <w:trPr>
                <w:gridBefore w:val="1"/>
                <w:gridAfter w:val="1"/>
                <w:wBefore w:w="697" w:type="dxa"/>
                <w:wAfter w:w="1624" w:type="dxa"/>
                <w:trHeight w:val="270"/>
              </w:trPr>
              <w:tc>
                <w:tcPr>
                  <w:tcW w:w="6380" w:type="dxa"/>
                  <w:gridSpan w:val="6"/>
                  <w:tcBorders>
                    <w:top w:val="single" w:sz="4" w:space="0" w:color="auto"/>
                    <w:left w:val="single" w:sz="4" w:space="0" w:color="auto"/>
                    <w:bottom w:val="nil"/>
                    <w:right w:val="single" w:sz="4" w:space="0" w:color="auto"/>
                  </w:tcBorders>
                  <w:shd w:val="clear" w:color="auto" w:fill="auto"/>
                  <w:vAlign w:val="bottom"/>
                </w:tcPr>
                <w:p w:rsidR="003A50AD" w:rsidRPr="003A50AD" w:rsidRDefault="003A50AD" w:rsidP="00375A3A">
                  <w:pPr>
                    <w:jc w:val="left"/>
                    <w:rPr>
                      <w:rFonts w:cs="Arial"/>
                      <w:color w:val="000000"/>
                    </w:rPr>
                  </w:pPr>
                  <w:r>
                    <w:rPr>
                      <w:color w:val="000000"/>
                    </w:rPr>
                    <w:t>Tamaño de la muestra en los ciclos de cultivo 1 y 2 combinados = 100</w:t>
                  </w:r>
                </w:p>
              </w:tc>
            </w:tr>
            <w:tr w:rsidR="003A50AD" w:rsidRPr="003A50AD" w:rsidTr="00375A3A">
              <w:trPr>
                <w:gridBefore w:val="1"/>
                <w:gridAfter w:val="1"/>
                <w:wBefore w:w="697" w:type="dxa"/>
                <w:wAfter w:w="1624" w:type="dxa"/>
                <w:trHeight w:val="270"/>
              </w:trPr>
              <w:tc>
                <w:tcPr>
                  <w:tcW w:w="6380" w:type="dxa"/>
                  <w:gridSpan w:val="6"/>
                  <w:tcBorders>
                    <w:top w:val="nil"/>
                    <w:left w:val="single" w:sz="4" w:space="0" w:color="auto"/>
                    <w:bottom w:val="single" w:sz="4" w:space="0" w:color="auto"/>
                    <w:right w:val="single" w:sz="4" w:space="0" w:color="auto"/>
                  </w:tcBorders>
                  <w:shd w:val="clear" w:color="auto" w:fill="auto"/>
                  <w:vAlign w:val="bottom"/>
                </w:tcPr>
                <w:p w:rsidR="003A50AD" w:rsidRPr="003A50AD" w:rsidRDefault="003A50AD" w:rsidP="00375A3A">
                  <w:pPr>
                    <w:jc w:val="left"/>
                    <w:rPr>
                      <w:rFonts w:cs="Arial"/>
                      <w:color w:val="000000"/>
                    </w:rPr>
                  </w:pPr>
                  <w:r>
                    <w:rPr>
                      <w:color w:val="000000"/>
                    </w:rPr>
                    <w:t>Número máximo de plantas fuera de tipo = 3</w:t>
                  </w:r>
                </w:p>
              </w:tc>
            </w:tr>
            <w:tr w:rsidR="003A50AD" w:rsidRPr="003A50AD" w:rsidTr="00375A3A">
              <w:trPr>
                <w:gridBefore w:val="1"/>
                <w:gridAfter w:val="1"/>
                <w:wBefore w:w="697" w:type="dxa"/>
                <w:wAfter w:w="1624" w:type="dxa"/>
                <w:trHeight w:val="239"/>
              </w:trPr>
              <w:tc>
                <w:tcPr>
                  <w:tcW w:w="1314" w:type="dxa"/>
                  <w:gridSpan w:val="2"/>
                  <w:tcBorders>
                    <w:top w:val="nil"/>
                    <w:left w:val="nil"/>
                    <w:bottom w:val="single" w:sz="4" w:space="0" w:color="auto"/>
                    <w:right w:val="nil"/>
                  </w:tcBorders>
                  <w:shd w:val="clear" w:color="auto" w:fill="auto"/>
                  <w:noWrap/>
                  <w:vAlign w:val="bottom"/>
                  <w:hideMark/>
                </w:tcPr>
                <w:p w:rsidR="003A50AD" w:rsidRPr="003A50AD" w:rsidRDefault="003A50AD" w:rsidP="00375A3A">
                  <w:pPr>
                    <w:jc w:val="left"/>
                    <w:rPr>
                      <w:rFonts w:cs="Arial"/>
                      <w:color w:val="000000"/>
                    </w:rPr>
                  </w:pPr>
                  <w:r>
                    <w:rPr>
                      <w:color w:val="000000"/>
                    </w:rPr>
                    <w:t> </w:t>
                  </w:r>
                </w:p>
              </w:tc>
              <w:tc>
                <w:tcPr>
                  <w:tcW w:w="954" w:type="dxa"/>
                  <w:tcBorders>
                    <w:top w:val="nil"/>
                    <w:left w:val="nil"/>
                    <w:bottom w:val="single" w:sz="4" w:space="0" w:color="auto"/>
                    <w:right w:val="nil"/>
                  </w:tcBorders>
                  <w:shd w:val="clear" w:color="auto" w:fill="auto"/>
                  <w:noWrap/>
                  <w:vAlign w:val="bottom"/>
                  <w:hideMark/>
                </w:tcPr>
                <w:p w:rsidR="003A50AD" w:rsidRPr="003A50AD" w:rsidRDefault="003A50AD" w:rsidP="00375A3A">
                  <w:pPr>
                    <w:jc w:val="left"/>
                    <w:rPr>
                      <w:rFonts w:cs="Arial"/>
                      <w:color w:val="000000"/>
                    </w:rPr>
                  </w:pPr>
                  <w:r>
                    <w:rPr>
                      <w:color w:val="000000"/>
                    </w:rPr>
                    <w:t> </w:t>
                  </w:r>
                </w:p>
              </w:tc>
              <w:tc>
                <w:tcPr>
                  <w:tcW w:w="1807" w:type="dxa"/>
                  <w:tcBorders>
                    <w:top w:val="nil"/>
                    <w:left w:val="nil"/>
                    <w:bottom w:val="single" w:sz="4" w:space="0" w:color="auto"/>
                    <w:right w:val="nil"/>
                  </w:tcBorders>
                  <w:shd w:val="clear" w:color="auto" w:fill="auto"/>
                  <w:noWrap/>
                  <w:vAlign w:val="bottom"/>
                  <w:hideMark/>
                </w:tcPr>
                <w:p w:rsidR="003A50AD" w:rsidRPr="003A50AD" w:rsidRDefault="003A50AD" w:rsidP="00375A3A">
                  <w:pPr>
                    <w:jc w:val="left"/>
                    <w:rPr>
                      <w:rFonts w:cs="Arial"/>
                      <w:color w:val="000000"/>
                    </w:rPr>
                  </w:pPr>
                  <w:r>
                    <w:rPr>
                      <w:color w:val="000000"/>
                    </w:rPr>
                    <w:t> </w:t>
                  </w:r>
                </w:p>
              </w:tc>
              <w:tc>
                <w:tcPr>
                  <w:tcW w:w="2305" w:type="dxa"/>
                  <w:gridSpan w:val="2"/>
                  <w:tcBorders>
                    <w:top w:val="nil"/>
                    <w:left w:val="nil"/>
                    <w:bottom w:val="single" w:sz="4" w:space="0" w:color="auto"/>
                  </w:tcBorders>
                  <w:shd w:val="clear" w:color="auto" w:fill="auto"/>
                  <w:noWrap/>
                  <w:vAlign w:val="bottom"/>
                  <w:hideMark/>
                </w:tcPr>
                <w:p w:rsidR="003A50AD" w:rsidRPr="003A50AD" w:rsidRDefault="003A50AD" w:rsidP="00375A3A">
                  <w:pPr>
                    <w:jc w:val="left"/>
                    <w:rPr>
                      <w:rFonts w:cs="Arial"/>
                      <w:color w:val="000000"/>
                    </w:rPr>
                  </w:pPr>
                  <w:r>
                    <w:rPr>
                      <w:color w:val="000000"/>
                    </w:rPr>
                    <w:t> </w:t>
                  </w:r>
                </w:p>
              </w:tc>
            </w:tr>
            <w:tr w:rsidR="003A50AD" w:rsidRPr="003A50AD" w:rsidTr="00375A3A">
              <w:trPr>
                <w:trHeight w:val="380"/>
              </w:trPr>
              <w:tc>
                <w:tcPr>
                  <w:tcW w:w="696" w:type="dxa"/>
                  <w:tcBorders>
                    <w:top w:val="nil"/>
                    <w:left w:val="nil"/>
                    <w:bottom w:val="nil"/>
                    <w:right w:val="single" w:sz="4" w:space="0" w:color="auto"/>
                  </w:tcBorders>
                  <w:shd w:val="clear" w:color="auto" w:fill="auto"/>
                  <w:noWrap/>
                  <w:vAlign w:val="bottom"/>
                  <w:hideMark/>
                </w:tcPr>
                <w:p w:rsidR="003A50AD" w:rsidRPr="003A50AD" w:rsidRDefault="003A50AD" w:rsidP="00375A3A">
                  <w:pPr>
                    <w:jc w:val="left"/>
                    <w:rPr>
                      <w:rFonts w:cs="Arial"/>
                      <w:color w:val="000000"/>
                    </w:rPr>
                  </w:pPr>
                  <w:r>
                    <w:rPr>
                      <w:color w:val="000000"/>
                    </w:rPr>
                    <w:t> </w:t>
                  </w:r>
                </w:p>
              </w:tc>
              <w:tc>
                <w:tcPr>
                  <w:tcW w:w="2268" w:type="dxa"/>
                  <w:gridSpan w:val="3"/>
                  <w:tcBorders>
                    <w:top w:val="nil"/>
                    <w:left w:val="nil"/>
                    <w:bottom w:val="single" w:sz="4" w:space="0" w:color="auto"/>
                    <w:right w:val="single" w:sz="4" w:space="0" w:color="000000"/>
                  </w:tcBorders>
                  <w:shd w:val="clear" w:color="auto" w:fill="auto"/>
                  <w:noWrap/>
                  <w:vAlign w:val="center"/>
                  <w:hideMark/>
                </w:tcPr>
                <w:p w:rsidR="003A50AD" w:rsidRPr="003A50AD" w:rsidRDefault="003A50AD" w:rsidP="00375A3A">
                  <w:pPr>
                    <w:jc w:val="center"/>
                    <w:rPr>
                      <w:rFonts w:cs="Arial"/>
                      <w:color w:val="000000"/>
                    </w:rPr>
                  </w:pPr>
                  <w:r>
                    <w:rPr>
                      <w:color w:val="000000"/>
                    </w:rPr>
                    <w:t>Ciclo de cultivo</w:t>
                  </w:r>
                </w:p>
              </w:tc>
              <w:tc>
                <w:tcPr>
                  <w:tcW w:w="5736" w:type="dxa"/>
                  <w:gridSpan w:val="4"/>
                  <w:tcBorders>
                    <w:top w:val="single" w:sz="4" w:space="0" w:color="auto"/>
                    <w:left w:val="nil"/>
                    <w:bottom w:val="single" w:sz="4" w:space="0" w:color="auto"/>
                    <w:right w:val="single" w:sz="4" w:space="0" w:color="auto"/>
                  </w:tcBorders>
                  <w:shd w:val="clear" w:color="auto" w:fill="auto"/>
                  <w:noWrap/>
                  <w:vAlign w:val="center"/>
                  <w:hideMark/>
                </w:tcPr>
                <w:p w:rsidR="003A50AD" w:rsidRPr="003A50AD" w:rsidRDefault="003A50AD" w:rsidP="00375A3A">
                  <w:pPr>
                    <w:jc w:val="center"/>
                  </w:pPr>
                  <w:r>
                    <w:rPr>
                      <w:color w:val="000000"/>
                    </w:rPr>
                    <w:t>Decisión</w:t>
                  </w:r>
                </w:p>
              </w:tc>
            </w:tr>
            <w:tr w:rsidR="003A50AD" w:rsidRPr="003A50AD" w:rsidTr="00375A3A">
              <w:trPr>
                <w:trHeight w:val="236"/>
              </w:trPr>
              <w:tc>
                <w:tcPr>
                  <w:tcW w:w="696" w:type="dxa"/>
                  <w:tcBorders>
                    <w:top w:val="nil"/>
                    <w:left w:val="nil"/>
                    <w:bottom w:val="single" w:sz="4" w:space="0" w:color="auto"/>
                    <w:right w:val="single" w:sz="4" w:space="0" w:color="auto"/>
                  </w:tcBorders>
                  <w:shd w:val="clear" w:color="auto" w:fill="auto"/>
                  <w:noWrap/>
                  <w:vAlign w:val="bottom"/>
                  <w:hideMark/>
                </w:tcPr>
                <w:p w:rsidR="003A50AD" w:rsidRPr="003A50AD" w:rsidRDefault="003A50AD" w:rsidP="00375A3A">
                  <w:pPr>
                    <w:jc w:val="left"/>
                    <w:rPr>
                      <w:rFonts w:cs="Arial"/>
                      <w:color w:val="000000"/>
                    </w:rPr>
                  </w:pPr>
                  <w:r>
                    <w:rPr>
                      <w:color w:val="000000"/>
                    </w:rPr>
                    <w:t> </w:t>
                  </w:r>
                </w:p>
              </w:tc>
              <w:tc>
                <w:tcPr>
                  <w:tcW w:w="1134" w:type="dxa"/>
                  <w:tcBorders>
                    <w:top w:val="nil"/>
                    <w:left w:val="nil"/>
                    <w:bottom w:val="single" w:sz="4" w:space="0" w:color="auto"/>
                    <w:right w:val="single" w:sz="4" w:space="0" w:color="auto"/>
                  </w:tcBorders>
                  <w:shd w:val="clear" w:color="auto" w:fill="auto"/>
                  <w:noWrap/>
                  <w:vAlign w:val="bottom"/>
                  <w:hideMark/>
                </w:tcPr>
                <w:p w:rsidR="003A50AD" w:rsidRPr="003A50AD" w:rsidRDefault="003A50AD" w:rsidP="00375A3A">
                  <w:pPr>
                    <w:spacing w:after="100" w:afterAutospacing="1"/>
                    <w:jc w:val="center"/>
                    <w:rPr>
                      <w:rFonts w:cs="Arial"/>
                      <w:color w:val="000000"/>
                    </w:rPr>
                  </w:pPr>
                  <w:r>
                    <w:rPr>
                      <w:color w:val="000000"/>
                    </w:rPr>
                    <w:t>Primero</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3A50AD" w:rsidRPr="003A50AD" w:rsidRDefault="003A50AD" w:rsidP="00375A3A">
                  <w:pPr>
                    <w:jc w:val="center"/>
                    <w:rPr>
                      <w:rFonts w:cs="Arial"/>
                      <w:color w:val="000000"/>
                    </w:rPr>
                  </w:pPr>
                  <w:r>
                    <w:rPr>
                      <w:color w:val="000000"/>
                    </w:rPr>
                    <w:t>Segundo</w:t>
                  </w:r>
                </w:p>
              </w:tc>
              <w:tc>
                <w:tcPr>
                  <w:tcW w:w="2127" w:type="dxa"/>
                  <w:gridSpan w:val="2"/>
                  <w:tcBorders>
                    <w:top w:val="nil"/>
                    <w:left w:val="nil"/>
                    <w:bottom w:val="single" w:sz="4" w:space="0" w:color="auto"/>
                    <w:right w:val="single" w:sz="4" w:space="0" w:color="auto"/>
                  </w:tcBorders>
                  <w:shd w:val="clear" w:color="auto" w:fill="auto"/>
                  <w:noWrap/>
                  <w:vAlign w:val="center"/>
                  <w:hideMark/>
                </w:tcPr>
                <w:p w:rsidR="003A50AD" w:rsidRPr="003A50AD" w:rsidRDefault="003A50AD" w:rsidP="00375A3A">
                  <w:pPr>
                    <w:jc w:val="center"/>
                    <w:rPr>
                      <w:rFonts w:cs="Arial"/>
                      <w:color w:val="000000"/>
                    </w:rPr>
                  </w:pPr>
                  <w:r>
                    <w:rPr>
                      <w:color w:val="000000"/>
                    </w:rPr>
                    <w:t>Método 1</w:t>
                  </w:r>
                </w:p>
              </w:tc>
              <w:tc>
                <w:tcPr>
                  <w:tcW w:w="1985" w:type="dxa"/>
                  <w:tcBorders>
                    <w:top w:val="nil"/>
                    <w:left w:val="nil"/>
                    <w:bottom w:val="single" w:sz="4" w:space="0" w:color="auto"/>
                    <w:right w:val="single" w:sz="4" w:space="0" w:color="auto"/>
                  </w:tcBorders>
                  <w:shd w:val="clear" w:color="auto" w:fill="auto"/>
                  <w:noWrap/>
                  <w:vAlign w:val="center"/>
                  <w:hideMark/>
                </w:tcPr>
                <w:p w:rsidR="003A50AD" w:rsidRPr="003A50AD" w:rsidRDefault="003A50AD" w:rsidP="00375A3A">
                  <w:pPr>
                    <w:jc w:val="center"/>
                    <w:rPr>
                      <w:rFonts w:cs="Arial"/>
                      <w:color w:val="000000"/>
                    </w:rPr>
                  </w:pPr>
                  <w:r>
                    <w:rPr>
                      <w:color w:val="000000"/>
                    </w:rPr>
                    <w:t>Método 2</w:t>
                  </w:r>
                </w:p>
              </w:tc>
              <w:tc>
                <w:tcPr>
                  <w:tcW w:w="1624" w:type="dxa"/>
                  <w:tcBorders>
                    <w:top w:val="single" w:sz="4" w:space="0" w:color="auto"/>
                    <w:bottom w:val="single" w:sz="4" w:space="0" w:color="auto"/>
                    <w:right w:val="single" w:sz="4" w:space="0" w:color="auto"/>
                  </w:tcBorders>
                  <w:shd w:val="clear" w:color="auto" w:fill="auto"/>
                </w:tcPr>
                <w:p w:rsidR="003A50AD" w:rsidRPr="003A50AD" w:rsidRDefault="003A50AD" w:rsidP="00375A3A">
                  <w:pPr>
                    <w:jc w:val="center"/>
                  </w:pPr>
                  <w:r>
                    <w:t>Método 3</w:t>
                  </w:r>
                </w:p>
              </w:tc>
            </w:tr>
            <w:tr w:rsidR="003A50AD" w:rsidRPr="003A50AD" w:rsidTr="00375A3A">
              <w:trPr>
                <w:trHeight w:val="240"/>
              </w:trPr>
              <w:tc>
                <w:tcPr>
                  <w:tcW w:w="696" w:type="dxa"/>
                  <w:vMerge w:val="restart"/>
                  <w:tcBorders>
                    <w:top w:val="nil"/>
                    <w:left w:val="single" w:sz="4" w:space="0" w:color="auto"/>
                    <w:right w:val="single" w:sz="4" w:space="0" w:color="auto"/>
                  </w:tcBorders>
                  <w:shd w:val="clear" w:color="auto" w:fill="auto"/>
                  <w:textDirection w:val="btLr"/>
                  <w:vAlign w:val="center"/>
                </w:tcPr>
                <w:p w:rsidR="003A50AD" w:rsidRPr="003A50AD" w:rsidRDefault="003A50AD" w:rsidP="00921C0D">
                  <w:pPr>
                    <w:jc w:val="center"/>
                    <w:rPr>
                      <w:rFonts w:cs="Arial"/>
                      <w:color w:val="000000"/>
                    </w:rPr>
                  </w:pPr>
                  <w:r>
                    <w:rPr>
                      <w:color w:val="000000"/>
                    </w:rPr>
                    <w:t xml:space="preserve">Número de plantas </w:t>
                  </w:r>
                  <w:r w:rsidR="00921C0D">
                    <w:rPr>
                      <w:color w:val="000000"/>
                    </w:rPr>
                    <w:br/>
                  </w:r>
                  <w:r>
                    <w:rPr>
                      <w:color w:val="000000"/>
                    </w:rPr>
                    <w:t>fuera de tipo</w:t>
                  </w:r>
                </w:p>
              </w:tc>
              <w:tc>
                <w:tcPr>
                  <w:tcW w:w="1134" w:type="dxa"/>
                  <w:tcBorders>
                    <w:top w:val="single" w:sz="4" w:space="0" w:color="auto"/>
                    <w:left w:val="single" w:sz="4" w:space="0" w:color="auto"/>
                    <w:bottom w:val="single" w:sz="6" w:space="0" w:color="auto"/>
                    <w:right w:val="single" w:sz="6" w:space="0" w:color="auto"/>
                  </w:tcBorders>
                  <w:shd w:val="clear" w:color="auto" w:fill="auto"/>
                  <w:noWrap/>
                  <w:vAlign w:val="center"/>
                </w:tcPr>
                <w:p w:rsidR="003A50AD" w:rsidRPr="003A50AD" w:rsidRDefault="003A50AD" w:rsidP="00375A3A">
                  <w:pPr>
                    <w:jc w:val="center"/>
                    <w:rPr>
                      <w:rFonts w:cs="Arial"/>
                      <w:color w:val="000000"/>
                    </w:rPr>
                  </w:pPr>
                  <w:r>
                    <w:rPr>
                      <w:color w:val="000000"/>
                    </w:rPr>
                    <w:t>1</w:t>
                  </w:r>
                </w:p>
              </w:tc>
              <w:tc>
                <w:tcPr>
                  <w:tcW w:w="1134" w:type="dxa"/>
                  <w:gridSpan w:val="2"/>
                  <w:tcBorders>
                    <w:top w:val="single" w:sz="4" w:space="0" w:color="auto"/>
                    <w:left w:val="single" w:sz="6" w:space="0" w:color="auto"/>
                    <w:bottom w:val="single" w:sz="6" w:space="0" w:color="auto"/>
                    <w:right w:val="single" w:sz="6" w:space="0" w:color="auto"/>
                  </w:tcBorders>
                  <w:shd w:val="clear" w:color="auto" w:fill="auto"/>
                  <w:noWrap/>
                  <w:vAlign w:val="center"/>
                </w:tcPr>
                <w:p w:rsidR="003A50AD" w:rsidRPr="003A50AD" w:rsidRDefault="003A50AD" w:rsidP="00375A3A">
                  <w:pPr>
                    <w:jc w:val="center"/>
                    <w:rPr>
                      <w:rFonts w:cs="Arial"/>
                      <w:color w:val="000000"/>
                    </w:rPr>
                  </w:pPr>
                  <w:r>
                    <w:rPr>
                      <w:color w:val="000000"/>
                    </w:rPr>
                    <w:t>1</w:t>
                  </w:r>
                </w:p>
              </w:tc>
              <w:tc>
                <w:tcPr>
                  <w:tcW w:w="2127" w:type="dxa"/>
                  <w:gridSpan w:val="2"/>
                  <w:tcBorders>
                    <w:top w:val="single" w:sz="4" w:space="0" w:color="auto"/>
                    <w:left w:val="single" w:sz="6" w:space="0" w:color="auto"/>
                    <w:bottom w:val="single" w:sz="6" w:space="0" w:color="auto"/>
                    <w:right w:val="single" w:sz="6" w:space="0" w:color="auto"/>
                  </w:tcBorders>
                  <w:shd w:val="clear" w:color="auto" w:fill="auto"/>
                  <w:noWrap/>
                  <w:vAlign w:val="center"/>
                </w:tcPr>
                <w:p w:rsidR="003A50AD" w:rsidRPr="003A50AD" w:rsidRDefault="003A50AD" w:rsidP="00375A3A">
                  <w:pPr>
                    <w:jc w:val="center"/>
                    <w:rPr>
                      <w:rFonts w:cs="Arial"/>
                      <w:color w:val="000000"/>
                    </w:rPr>
                  </w:pPr>
                  <w:r>
                    <w:rPr>
                      <w:color w:val="000000"/>
                    </w:rPr>
                    <w:t>homogénea</w:t>
                  </w:r>
                </w:p>
              </w:tc>
              <w:tc>
                <w:tcPr>
                  <w:tcW w:w="1985" w:type="dxa"/>
                  <w:tcBorders>
                    <w:top w:val="single" w:sz="4" w:space="0" w:color="auto"/>
                    <w:left w:val="single" w:sz="6" w:space="0" w:color="auto"/>
                    <w:bottom w:val="single" w:sz="6" w:space="0" w:color="auto"/>
                    <w:right w:val="single" w:sz="4" w:space="0" w:color="auto"/>
                  </w:tcBorders>
                  <w:shd w:val="clear" w:color="auto" w:fill="auto"/>
                  <w:vAlign w:val="center"/>
                </w:tcPr>
                <w:p w:rsidR="003A50AD" w:rsidRPr="003A50AD" w:rsidRDefault="003A50AD" w:rsidP="00375A3A">
                  <w:pPr>
                    <w:jc w:val="center"/>
                    <w:rPr>
                      <w:rFonts w:cs="Arial"/>
                      <w:color w:val="000000"/>
                    </w:rPr>
                  </w:pPr>
                  <w:r>
                    <w:rPr>
                      <w:color w:val="000000"/>
                    </w:rPr>
                    <w:t>homogénea</w:t>
                  </w:r>
                </w:p>
              </w:tc>
              <w:tc>
                <w:tcPr>
                  <w:tcW w:w="1624" w:type="dxa"/>
                  <w:tcBorders>
                    <w:top w:val="single" w:sz="4" w:space="0" w:color="auto"/>
                    <w:left w:val="single" w:sz="4" w:space="0" w:color="auto"/>
                    <w:bottom w:val="single" w:sz="4" w:space="0" w:color="auto"/>
                    <w:right w:val="single" w:sz="4" w:space="0" w:color="auto"/>
                  </w:tcBorders>
                  <w:shd w:val="clear" w:color="auto" w:fill="auto"/>
                </w:tcPr>
                <w:p w:rsidR="003A50AD" w:rsidRPr="003A50AD" w:rsidRDefault="003A50AD" w:rsidP="00375A3A">
                  <w:pPr>
                    <w:jc w:val="center"/>
                  </w:pPr>
                  <w:r>
                    <w:rPr>
                      <w:color w:val="000000"/>
                    </w:rPr>
                    <w:t>homogénea</w:t>
                  </w:r>
                </w:p>
              </w:tc>
            </w:tr>
            <w:tr w:rsidR="003A50AD" w:rsidRPr="003A50AD" w:rsidTr="00375A3A">
              <w:trPr>
                <w:trHeight w:val="240"/>
              </w:trPr>
              <w:tc>
                <w:tcPr>
                  <w:tcW w:w="696" w:type="dxa"/>
                  <w:vMerge/>
                  <w:tcBorders>
                    <w:left w:val="single" w:sz="4" w:space="0" w:color="auto"/>
                    <w:right w:val="single" w:sz="4" w:space="0" w:color="auto"/>
                  </w:tcBorders>
                  <w:shd w:val="clear" w:color="auto" w:fill="auto"/>
                  <w:textDirection w:val="btLr"/>
                  <w:vAlign w:val="center"/>
                  <w:hideMark/>
                </w:tcPr>
                <w:p w:rsidR="003A50AD" w:rsidRPr="003A50AD" w:rsidRDefault="003A50AD" w:rsidP="00375A3A">
                  <w:pPr>
                    <w:jc w:val="center"/>
                    <w:rPr>
                      <w:rFonts w:cs="Arial"/>
                      <w:color w:val="000000"/>
                    </w:rPr>
                  </w:pPr>
                </w:p>
              </w:tc>
              <w:tc>
                <w:tcPr>
                  <w:tcW w:w="1134" w:type="dxa"/>
                  <w:tcBorders>
                    <w:top w:val="single" w:sz="6" w:space="0" w:color="auto"/>
                    <w:left w:val="single" w:sz="4" w:space="0" w:color="auto"/>
                    <w:bottom w:val="single" w:sz="4" w:space="0" w:color="auto"/>
                    <w:right w:val="single" w:sz="6" w:space="0" w:color="auto"/>
                  </w:tcBorders>
                  <w:shd w:val="clear" w:color="auto" w:fill="auto"/>
                  <w:noWrap/>
                  <w:vAlign w:val="center"/>
                  <w:hideMark/>
                </w:tcPr>
                <w:p w:rsidR="003A50AD" w:rsidRPr="003A50AD" w:rsidRDefault="003A50AD" w:rsidP="00375A3A">
                  <w:pPr>
                    <w:jc w:val="center"/>
                    <w:rPr>
                      <w:rFonts w:cs="Arial"/>
                      <w:color w:val="000000"/>
                    </w:rPr>
                  </w:pPr>
                  <w:r>
                    <w:rPr>
                      <w:color w:val="000000"/>
                    </w:rPr>
                    <w:t>2</w:t>
                  </w:r>
                </w:p>
              </w:tc>
              <w:tc>
                <w:tcPr>
                  <w:tcW w:w="1134" w:type="dxa"/>
                  <w:gridSpan w:val="2"/>
                  <w:tcBorders>
                    <w:top w:val="single" w:sz="6" w:space="0" w:color="auto"/>
                    <w:left w:val="single" w:sz="6" w:space="0" w:color="auto"/>
                    <w:bottom w:val="single" w:sz="4" w:space="0" w:color="auto"/>
                    <w:right w:val="single" w:sz="6" w:space="0" w:color="auto"/>
                  </w:tcBorders>
                  <w:shd w:val="clear" w:color="auto" w:fill="auto"/>
                  <w:noWrap/>
                  <w:vAlign w:val="center"/>
                  <w:hideMark/>
                </w:tcPr>
                <w:p w:rsidR="003A50AD" w:rsidRPr="003A50AD" w:rsidRDefault="003A50AD" w:rsidP="00375A3A">
                  <w:pPr>
                    <w:jc w:val="center"/>
                    <w:rPr>
                      <w:rFonts w:cs="Arial"/>
                      <w:color w:val="000000"/>
                    </w:rPr>
                  </w:pPr>
                  <w:r>
                    <w:rPr>
                      <w:color w:val="000000"/>
                    </w:rPr>
                    <w:t>2</w:t>
                  </w:r>
                </w:p>
              </w:tc>
              <w:tc>
                <w:tcPr>
                  <w:tcW w:w="2127" w:type="dxa"/>
                  <w:gridSpan w:val="2"/>
                  <w:tcBorders>
                    <w:top w:val="single" w:sz="6" w:space="0" w:color="auto"/>
                    <w:left w:val="single" w:sz="6" w:space="0" w:color="auto"/>
                    <w:bottom w:val="single" w:sz="4" w:space="0" w:color="auto"/>
                    <w:right w:val="single" w:sz="6" w:space="0" w:color="auto"/>
                  </w:tcBorders>
                  <w:shd w:val="clear" w:color="auto" w:fill="auto"/>
                  <w:noWrap/>
                  <w:vAlign w:val="center"/>
                  <w:hideMark/>
                </w:tcPr>
                <w:p w:rsidR="003A50AD" w:rsidRPr="003A50AD" w:rsidRDefault="003A50AD" w:rsidP="00375A3A">
                  <w:pPr>
                    <w:jc w:val="center"/>
                    <w:rPr>
                      <w:rFonts w:cs="Arial"/>
                      <w:color w:val="000000"/>
                    </w:rPr>
                  </w:pPr>
                  <w:r>
                    <w:rPr>
                      <w:color w:val="000000"/>
                    </w:rPr>
                    <w:t>homogénea</w:t>
                  </w:r>
                </w:p>
              </w:tc>
              <w:tc>
                <w:tcPr>
                  <w:tcW w:w="1985" w:type="dxa"/>
                  <w:tcBorders>
                    <w:top w:val="single" w:sz="6" w:space="0" w:color="auto"/>
                    <w:left w:val="single" w:sz="6" w:space="0" w:color="auto"/>
                    <w:bottom w:val="single" w:sz="4" w:space="0" w:color="auto"/>
                    <w:right w:val="single" w:sz="4" w:space="0" w:color="auto"/>
                  </w:tcBorders>
                  <w:shd w:val="clear" w:color="auto" w:fill="auto"/>
                  <w:vAlign w:val="center"/>
                  <w:hideMark/>
                </w:tcPr>
                <w:p w:rsidR="003A50AD" w:rsidRPr="003A50AD" w:rsidRDefault="003A50AD" w:rsidP="00375A3A">
                  <w:pPr>
                    <w:jc w:val="center"/>
                    <w:rPr>
                      <w:rFonts w:cs="Arial"/>
                      <w:color w:val="000000"/>
                    </w:rPr>
                  </w:pPr>
                  <w:r>
                    <w:rPr>
                      <w:color w:val="000000"/>
                    </w:rPr>
                    <w:t>homogénea</w:t>
                  </w:r>
                </w:p>
              </w:tc>
              <w:tc>
                <w:tcPr>
                  <w:tcW w:w="1624" w:type="dxa"/>
                  <w:tcBorders>
                    <w:top w:val="single" w:sz="4" w:space="0" w:color="auto"/>
                    <w:left w:val="single" w:sz="4" w:space="0" w:color="auto"/>
                    <w:bottom w:val="single" w:sz="4" w:space="0" w:color="auto"/>
                    <w:right w:val="single" w:sz="4" w:space="0" w:color="auto"/>
                  </w:tcBorders>
                  <w:shd w:val="clear" w:color="auto" w:fill="auto"/>
                </w:tcPr>
                <w:p w:rsidR="003A50AD" w:rsidRPr="003A50AD" w:rsidRDefault="003A50AD" w:rsidP="00375A3A">
                  <w:pPr>
                    <w:jc w:val="center"/>
                  </w:pPr>
                  <w:r>
                    <w:t>no homogénea</w:t>
                  </w:r>
                </w:p>
              </w:tc>
            </w:tr>
            <w:tr w:rsidR="003A50AD" w:rsidRPr="003A50AD" w:rsidTr="00375A3A">
              <w:trPr>
                <w:trHeight w:val="273"/>
              </w:trPr>
              <w:tc>
                <w:tcPr>
                  <w:tcW w:w="696" w:type="dxa"/>
                  <w:vMerge/>
                  <w:tcBorders>
                    <w:left w:val="single" w:sz="4" w:space="0" w:color="auto"/>
                    <w:right w:val="single" w:sz="4" w:space="0" w:color="000000"/>
                  </w:tcBorders>
                  <w:vAlign w:val="center"/>
                  <w:hideMark/>
                </w:tcPr>
                <w:p w:rsidR="003A50AD" w:rsidRPr="003A50AD" w:rsidRDefault="003A50AD" w:rsidP="00375A3A">
                  <w:pPr>
                    <w:jc w:val="left"/>
                    <w:rPr>
                      <w:rFonts w:cs="Arial"/>
                      <w:color w:val="00000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A50AD" w:rsidRPr="003A50AD" w:rsidRDefault="003A50AD" w:rsidP="00375A3A">
                  <w:pPr>
                    <w:jc w:val="center"/>
                    <w:rPr>
                      <w:rFonts w:cs="Arial"/>
                      <w:color w:val="000000"/>
                    </w:rPr>
                  </w:pPr>
                  <w:r>
                    <w:rPr>
                      <w:color w:val="000000"/>
                    </w:rPr>
                    <w:t>0</w:t>
                  </w:r>
                </w:p>
              </w:tc>
              <w:tc>
                <w:tcPr>
                  <w:tcW w:w="1134" w:type="dxa"/>
                  <w:gridSpan w:val="2"/>
                  <w:tcBorders>
                    <w:top w:val="single" w:sz="4" w:space="0" w:color="auto"/>
                    <w:left w:val="nil"/>
                    <w:bottom w:val="single" w:sz="4" w:space="0" w:color="auto"/>
                    <w:right w:val="single" w:sz="4" w:space="0" w:color="auto"/>
                  </w:tcBorders>
                  <w:shd w:val="clear" w:color="auto" w:fill="auto"/>
                  <w:vAlign w:val="center"/>
                  <w:hideMark/>
                </w:tcPr>
                <w:p w:rsidR="003A50AD" w:rsidRPr="003A50AD" w:rsidRDefault="003A50AD" w:rsidP="00375A3A">
                  <w:pPr>
                    <w:jc w:val="center"/>
                    <w:rPr>
                      <w:rFonts w:cs="Arial"/>
                      <w:color w:val="000000"/>
                    </w:rPr>
                  </w:pPr>
                  <w:r>
                    <w:rPr>
                      <w:color w:val="000000"/>
                    </w:rPr>
                    <w:t>3*</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3A50AD" w:rsidRPr="003A50AD" w:rsidRDefault="003A50AD" w:rsidP="00375A3A">
                  <w:pPr>
                    <w:rPr>
                      <w:rFonts w:cs="Arial"/>
                      <w:color w:val="000000"/>
                    </w:rPr>
                  </w:pPr>
                  <w:r>
                    <w:rPr>
                      <w:color w:val="000000"/>
                    </w:rPr>
                    <w:t>tercer ciclo de cultivo*</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A50AD" w:rsidRPr="003A50AD" w:rsidRDefault="003A50AD" w:rsidP="00375A3A">
                  <w:pPr>
                    <w:jc w:val="center"/>
                    <w:rPr>
                      <w:rFonts w:cs="Arial"/>
                      <w:color w:val="000000"/>
                    </w:rPr>
                  </w:pPr>
                  <w:r>
                    <w:rPr>
                      <w:color w:val="000000"/>
                    </w:rPr>
                    <w:t>homogénea*</w:t>
                  </w:r>
                </w:p>
              </w:tc>
              <w:tc>
                <w:tcPr>
                  <w:tcW w:w="1624" w:type="dxa"/>
                  <w:tcBorders>
                    <w:top w:val="single" w:sz="4" w:space="0" w:color="auto"/>
                    <w:bottom w:val="single" w:sz="4" w:space="0" w:color="auto"/>
                    <w:right w:val="single" w:sz="4" w:space="0" w:color="auto"/>
                  </w:tcBorders>
                  <w:shd w:val="clear" w:color="auto" w:fill="auto"/>
                </w:tcPr>
                <w:p w:rsidR="003A50AD" w:rsidRPr="003A50AD" w:rsidRDefault="003A50AD" w:rsidP="00375A3A">
                  <w:pPr>
                    <w:jc w:val="center"/>
                  </w:pPr>
                  <w:r>
                    <w:t>homogénea*</w:t>
                  </w:r>
                </w:p>
              </w:tc>
            </w:tr>
            <w:tr w:rsidR="003A50AD" w:rsidRPr="003A50AD" w:rsidTr="00375A3A">
              <w:trPr>
                <w:trHeight w:val="248"/>
              </w:trPr>
              <w:tc>
                <w:tcPr>
                  <w:tcW w:w="696" w:type="dxa"/>
                  <w:vMerge/>
                  <w:tcBorders>
                    <w:left w:val="single" w:sz="4" w:space="0" w:color="auto"/>
                    <w:right w:val="single" w:sz="4" w:space="0" w:color="auto"/>
                  </w:tcBorders>
                  <w:vAlign w:val="center"/>
                  <w:hideMark/>
                </w:tcPr>
                <w:p w:rsidR="003A50AD" w:rsidRPr="003A50AD" w:rsidRDefault="003A50AD" w:rsidP="00375A3A">
                  <w:pPr>
                    <w:jc w:val="left"/>
                    <w:rPr>
                      <w:rFonts w:cs="Arial"/>
                      <w:color w:val="000000"/>
                    </w:rPr>
                  </w:pPr>
                </w:p>
              </w:tc>
              <w:tc>
                <w:tcPr>
                  <w:tcW w:w="1134" w:type="dxa"/>
                  <w:tcBorders>
                    <w:top w:val="single" w:sz="4" w:space="0" w:color="auto"/>
                    <w:left w:val="single" w:sz="4" w:space="0" w:color="auto"/>
                    <w:bottom w:val="single" w:sz="4" w:space="0" w:color="auto"/>
                    <w:right w:val="single" w:sz="6" w:space="0" w:color="auto"/>
                  </w:tcBorders>
                  <w:shd w:val="clear" w:color="auto" w:fill="auto"/>
                  <w:vAlign w:val="center"/>
                  <w:hideMark/>
                </w:tcPr>
                <w:p w:rsidR="003A50AD" w:rsidRPr="003A50AD" w:rsidRDefault="003A50AD" w:rsidP="00375A3A">
                  <w:pPr>
                    <w:jc w:val="center"/>
                    <w:rPr>
                      <w:rFonts w:cs="Arial"/>
                      <w:color w:val="000000"/>
                    </w:rPr>
                  </w:pPr>
                  <w:r>
                    <w:rPr>
                      <w:color w:val="000000"/>
                    </w:rPr>
                    <w:t>1</w:t>
                  </w:r>
                </w:p>
              </w:tc>
              <w:tc>
                <w:tcPr>
                  <w:tcW w:w="1134" w:type="dxa"/>
                  <w:gridSpan w:val="2"/>
                  <w:tcBorders>
                    <w:top w:val="single" w:sz="4" w:space="0" w:color="auto"/>
                    <w:left w:val="single" w:sz="6" w:space="0" w:color="auto"/>
                    <w:bottom w:val="single" w:sz="4" w:space="0" w:color="auto"/>
                    <w:right w:val="single" w:sz="6" w:space="0" w:color="auto"/>
                  </w:tcBorders>
                  <w:shd w:val="clear" w:color="auto" w:fill="auto"/>
                  <w:vAlign w:val="center"/>
                  <w:hideMark/>
                </w:tcPr>
                <w:p w:rsidR="003A50AD" w:rsidRPr="003A50AD" w:rsidRDefault="003A50AD" w:rsidP="00375A3A">
                  <w:pPr>
                    <w:jc w:val="center"/>
                    <w:rPr>
                      <w:rFonts w:cs="Arial"/>
                      <w:color w:val="000000"/>
                    </w:rPr>
                  </w:pPr>
                  <w:r>
                    <w:rPr>
                      <w:color w:val="000000"/>
                    </w:rPr>
                    <w:t>3*</w:t>
                  </w:r>
                </w:p>
              </w:tc>
              <w:tc>
                <w:tcPr>
                  <w:tcW w:w="2127" w:type="dxa"/>
                  <w:gridSpan w:val="2"/>
                  <w:tcBorders>
                    <w:top w:val="single" w:sz="4" w:space="0" w:color="auto"/>
                    <w:left w:val="single" w:sz="6" w:space="0" w:color="auto"/>
                    <w:bottom w:val="single" w:sz="4" w:space="0" w:color="auto"/>
                    <w:right w:val="single" w:sz="6" w:space="0" w:color="auto"/>
                  </w:tcBorders>
                  <w:shd w:val="clear" w:color="auto" w:fill="auto"/>
                  <w:vAlign w:val="center"/>
                  <w:hideMark/>
                </w:tcPr>
                <w:p w:rsidR="003A50AD" w:rsidRPr="003A50AD" w:rsidRDefault="003A50AD" w:rsidP="00375A3A">
                  <w:pPr>
                    <w:rPr>
                      <w:rFonts w:cs="Arial"/>
                      <w:color w:val="000000"/>
                    </w:rPr>
                  </w:pPr>
                  <w:r>
                    <w:rPr>
                      <w:color w:val="000000"/>
                    </w:rPr>
                    <w:t>tercer ciclo de cultivo*</w:t>
                  </w:r>
                </w:p>
              </w:tc>
              <w:tc>
                <w:tcPr>
                  <w:tcW w:w="1985" w:type="dxa"/>
                  <w:tcBorders>
                    <w:top w:val="single" w:sz="4" w:space="0" w:color="auto"/>
                    <w:left w:val="single" w:sz="6" w:space="0" w:color="auto"/>
                    <w:bottom w:val="single" w:sz="4" w:space="0" w:color="auto"/>
                    <w:right w:val="single" w:sz="4" w:space="0" w:color="auto"/>
                  </w:tcBorders>
                  <w:shd w:val="clear" w:color="auto" w:fill="auto"/>
                  <w:vAlign w:val="center"/>
                  <w:hideMark/>
                </w:tcPr>
                <w:p w:rsidR="003A50AD" w:rsidRPr="003A50AD" w:rsidRDefault="003A50AD" w:rsidP="00375A3A">
                  <w:pPr>
                    <w:jc w:val="center"/>
                    <w:rPr>
                      <w:rFonts w:cs="Arial"/>
                      <w:color w:val="000000"/>
                    </w:rPr>
                  </w:pPr>
                  <w:r>
                    <w:rPr>
                      <w:color w:val="000000"/>
                    </w:rPr>
                    <w:t>no homogénea*</w:t>
                  </w:r>
                </w:p>
              </w:tc>
              <w:tc>
                <w:tcPr>
                  <w:tcW w:w="1624" w:type="dxa"/>
                  <w:tcBorders>
                    <w:top w:val="single" w:sz="4" w:space="0" w:color="auto"/>
                    <w:left w:val="single" w:sz="4" w:space="0" w:color="auto"/>
                    <w:bottom w:val="single" w:sz="4" w:space="0" w:color="auto"/>
                    <w:right w:val="single" w:sz="4" w:space="0" w:color="auto"/>
                  </w:tcBorders>
                  <w:shd w:val="clear" w:color="auto" w:fill="auto"/>
                </w:tcPr>
                <w:p w:rsidR="003A50AD" w:rsidRPr="003A50AD" w:rsidRDefault="003A50AD" w:rsidP="00375A3A">
                  <w:pPr>
                    <w:jc w:val="center"/>
                  </w:pPr>
                  <w:r>
                    <w:t>no homogénea*</w:t>
                  </w:r>
                </w:p>
              </w:tc>
            </w:tr>
            <w:tr w:rsidR="003A50AD" w:rsidRPr="003A50AD" w:rsidTr="00375A3A">
              <w:trPr>
                <w:trHeight w:val="267"/>
              </w:trPr>
              <w:tc>
                <w:tcPr>
                  <w:tcW w:w="696" w:type="dxa"/>
                  <w:vMerge/>
                  <w:tcBorders>
                    <w:left w:val="single" w:sz="4" w:space="0" w:color="auto"/>
                    <w:right w:val="single" w:sz="4" w:space="0" w:color="000000"/>
                  </w:tcBorders>
                  <w:vAlign w:val="center"/>
                  <w:hideMark/>
                </w:tcPr>
                <w:p w:rsidR="003A50AD" w:rsidRPr="003A50AD" w:rsidRDefault="003A50AD" w:rsidP="00375A3A">
                  <w:pPr>
                    <w:jc w:val="left"/>
                    <w:rPr>
                      <w:rFonts w:cs="Arial"/>
                      <w:color w:val="000000"/>
                    </w:rPr>
                  </w:pP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A50AD" w:rsidRPr="003A50AD" w:rsidRDefault="003A50AD" w:rsidP="00375A3A">
                  <w:pPr>
                    <w:jc w:val="center"/>
                    <w:rPr>
                      <w:rFonts w:cs="Arial"/>
                      <w:color w:val="000000"/>
                    </w:rPr>
                  </w:pPr>
                  <w:r>
                    <w:rPr>
                      <w:color w:val="000000"/>
                    </w:rPr>
                    <w:t>1</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rsidR="003A50AD" w:rsidRPr="003A50AD" w:rsidRDefault="003A50AD" w:rsidP="00375A3A">
                  <w:pPr>
                    <w:ind w:left="49"/>
                    <w:jc w:val="center"/>
                    <w:rPr>
                      <w:rFonts w:cs="Arial"/>
                      <w:color w:val="000000"/>
                    </w:rPr>
                  </w:pPr>
                  <w:r>
                    <w:rPr>
                      <w:color w:val="000000"/>
                    </w:rPr>
                    <w:t>4*</w:t>
                  </w:r>
                </w:p>
              </w:tc>
              <w:tc>
                <w:tcPr>
                  <w:tcW w:w="2127" w:type="dxa"/>
                  <w:gridSpan w:val="2"/>
                  <w:tcBorders>
                    <w:top w:val="single" w:sz="4" w:space="0" w:color="auto"/>
                    <w:left w:val="nil"/>
                    <w:bottom w:val="single" w:sz="4" w:space="0" w:color="auto"/>
                    <w:right w:val="single" w:sz="4" w:space="0" w:color="auto"/>
                  </w:tcBorders>
                  <w:shd w:val="clear" w:color="auto" w:fill="auto"/>
                  <w:vAlign w:val="center"/>
                  <w:hideMark/>
                </w:tcPr>
                <w:p w:rsidR="003A50AD" w:rsidRPr="003A50AD" w:rsidRDefault="003A50AD" w:rsidP="00375A3A">
                  <w:pPr>
                    <w:rPr>
                      <w:rFonts w:cs="Arial"/>
                      <w:color w:val="000000"/>
                    </w:rPr>
                  </w:pPr>
                  <w:r>
                    <w:rPr>
                      <w:color w:val="000000"/>
                    </w:rPr>
                    <w:t>tercer ciclo de cultivo*</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rsidR="003A50AD" w:rsidRPr="003A50AD" w:rsidRDefault="003A50AD" w:rsidP="00375A3A">
                  <w:pPr>
                    <w:jc w:val="center"/>
                    <w:rPr>
                      <w:rFonts w:cs="Arial"/>
                      <w:color w:val="000000"/>
                    </w:rPr>
                  </w:pPr>
                  <w:r>
                    <w:rPr>
                      <w:color w:val="000000"/>
                    </w:rPr>
                    <w:t>no homogénea*</w:t>
                  </w:r>
                </w:p>
              </w:tc>
              <w:tc>
                <w:tcPr>
                  <w:tcW w:w="1624" w:type="dxa"/>
                  <w:tcBorders>
                    <w:top w:val="single" w:sz="4" w:space="0" w:color="auto"/>
                    <w:bottom w:val="single" w:sz="4" w:space="0" w:color="auto"/>
                    <w:right w:val="single" w:sz="4" w:space="0" w:color="auto"/>
                  </w:tcBorders>
                  <w:shd w:val="clear" w:color="auto" w:fill="auto"/>
                </w:tcPr>
                <w:p w:rsidR="003A50AD" w:rsidRPr="003A50AD" w:rsidRDefault="003A50AD" w:rsidP="00375A3A">
                  <w:pPr>
                    <w:jc w:val="center"/>
                  </w:pPr>
                  <w:r>
                    <w:t>no homogénea*</w:t>
                  </w:r>
                </w:p>
              </w:tc>
            </w:tr>
            <w:tr w:rsidR="003A50AD" w:rsidRPr="003A50AD" w:rsidTr="00375A3A">
              <w:trPr>
                <w:trHeight w:val="266"/>
              </w:trPr>
              <w:tc>
                <w:tcPr>
                  <w:tcW w:w="696" w:type="dxa"/>
                  <w:vMerge/>
                  <w:tcBorders>
                    <w:left w:val="single" w:sz="4" w:space="0" w:color="auto"/>
                    <w:bottom w:val="single" w:sz="4" w:space="0" w:color="auto"/>
                    <w:right w:val="single" w:sz="4" w:space="0" w:color="000000"/>
                  </w:tcBorders>
                  <w:shd w:val="clear" w:color="auto" w:fill="auto"/>
                  <w:noWrap/>
                  <w:vAlign w:val="bottom"/>
                  <w:hideMark/>
                </w:tcPr>
                <w:p w:rsidR="003A50AD" w:rsidRPr="003A50AD" w:rsidRDefault="003A50AD" w:rsidP="00375A3A">
                  <w:pPr>
                    <w:jc w:val="left"/>
                    <w:rPr>
                      <w:rFonts w:cs="Arial"/>
                      <w:color w:val="000000"/>
                    </w:rPr>
                  </w:pPr>
                </w:p>
              </w:tc>
              <w:tc>
                <w:tcPr>
                  <w:tcW w:w="1134" w:type="dxa"/>
                  <w:tcBorders>
                    <w:top w:val="nil"/>
                    <w:left w:val="single" w:sz="4" w:space="0" w:color="000000"/>
                    <w:bottom w:val="single" w:sz="4" w:space="0" w:color="auto"/>
                    <w:right w:val="single" w:sz="4" w:space="0" w:color="auto"/>
                  </w:tcBorders>
                  <w:shd w:val="clear" w:color="auto" w:fill="auto"/>
                  <w:noWrap/>
                  <w:vAlign w:val="center"/>
                  <w:hideMark/>
                </w:tcPr>
                <w:p w:rsidR="003A50AD" w:rsidRPr="003A50AD" w:rsidRDefault="003A50AD" w:rsidP="00375A3A">
                  <w:pPr>
                    <w:ind w:left="49"/>
                    <w:jc w:val="center"/>
                    <w:rPr>
                      <w:rFonts w:cs="Arial"/>
                      <w:color w:val="000000"/>
                    </w:rPr>
                  </w:pPr>
                  <w:r>
                    <w:rPr>
                      <w:color w:val="000000"/>
                    </w:rPr>
                    <w:t>4**</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3A50AD" w:rsidRPr="003A50AD" w:rsidRDefault="003A50AD" w:rsidP="00375A3A">
                  <w:pPr>
                    <w:ind w:right="-123"/>
                    <w:jc w:val="center"/>
                    <w:rPr>
                      <w:rFonts w:cs="Arial"/>
                      <w:color w:val="000000"/>
                    </w:rPr>
                  </w:pPr>
                  <w:r>
                    <w:rPr>
                      <w:color w:val="000000"/>
                    </w:rPr>
                    <w:t>1*</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3A50AD" w:rsidRPr="003A50AD" w:rsidRDefault="003A50AD" w:rsidP="00375A3A">
                  <w:pPr>
                    <w:ind w:right="-122"/>
                    <w:rPr>
                      <w:rFonts w:cs="Arial"/>
                      <w:color w:val="000000"/>
                    </w:rPr>
                  </w:pPr>
                  <w:r>
                    <w:rPr>
                      <w:color w:val="000000"/>
                    </w:rPr>
                    <w:t>tercer ciclo de cultivo*</w:t>
                  </w:r>
                  <w:r w:rsidR="00421253">
                    <w:rPr>
                      <w:color w:val="000000"/>
                    </w:rPr>
                    <w:t xml:space="preserve">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3A50AD" w:rsidRPr="003A50AD" w:rsidRDefault="003A50AD" w:rsidP="00375A3A">
                  <w:pPr>
                    <w:jc w:val="center"/>
                    <w:rPr>
                      <w:rFonts w:cs="Arial"/>
                      <w:color w:val="000000"/>
                    </w:rPr>
                  </w:pPr>
                  <w:r>
                    <w:rPr>
                      <w:color w:val="000000"/>
                    </w:rPr>
                    <w:t>no homogénea*</w:t>
                  </w:r>
                </w:p>
              </w:tc>
              <w:tc>
                <w:tcPr>
                  <w:tcW w:w="1624" w:type="dxa"/>
                  <w:tcBorders>
                    <w:top w:val="single" w:sz="4" w:space="0" w:color="auto"/>
                    <w:bottom w:val="single" w:sz="4" w:space="0" w:color="auto"/>
                    <w:right w:val="single" w:sz="4" w:space="0" w:color="auto"/>
                  </w:tcBorders>
                  <w:shd w:val="clear" w:color="auto" w:fill="auto"/>
                </w:tcPr>
                <w:p w:rsidR="003A50AD" w:rsidRPr="003A50AD" w:rsidRDefault="003A50AD" w:rsidP="00375A3A">
                  <w:pPr>
                    <w:jc w:val="center"/>
                  </w:pPr>
                  <w:r>
                    <w:t>no homogénea*</w:t>
                  </w:r>
                </w:p>
              </w:tc>
            </w:tr>
          </w:tbl>
          <w:p w:rsidR="003A50AD" w:rsidRPr="003A50AD" w:rsidRDefault="003A50AD" w:rsidP="00375A3A">
            <w:pPr>
              <w:pStyle w:val="Titleofdoc0"/>
              <w:spacing w:before="0"/>
              <w:jc w:val="both"/>
              <w:rPr>
                <w:sz w:val="12"/>
                <w:szCs w:val="24"/>
              </w:rPr>
            </w:pPr>
          </w:p>
          <w:p w:rsidR="003A50AD" w:rsidRPr="003A50AD" w:rsidRDefault="003A50AD" w:rsidP="00375A3A">
            <w:pPr>
              <w:keepNext/>
              <w:keepLines/>
              <w:ind w:left="34"/>
              <w:rPr>
                <w:sz w:val="16"/>
                <w:u w:val="single"/>
              </w:rPr>
            </w:pPr>
            <w:r>
              <w:rPr>
                <w:sz w:val="18"/>
              </w:rPr>
              <w:t>* Es preciso poner cuidado al examinar resultados que sean muy diferentes en cada uno de los ciclos de cultivo, por ejemplo cuando se observe una gran abundancia de plantas fuera de tipo en un ciclo de cultivo y su ausencia en otro ciclo.</w:t>
            </w:r>
            <w:r w:rsidR="00421253">
              <w:rPr>
                <w:sz w:val="18"/>
              </w:rPr>
              <w:t xml:space="preserve"> </w:t>
            </w:r>
            <w:r>
              <w:rPr>
                <w:sz w:val="18"/>
              </w:rPr>
              <w:t>Cuando corresponda se debe llevar a cabo una prueba estadística para verificar la coherencia.</w:t>
            </w:r>
            <w:r w:rsidR="00421253">
              <w:rPr>
                <w:sz w:val="18"/>
              </w:rPr>
              <w:t xml:space="preserve"> </w:t>
            </w:r>
            <w:r>
              <w:rPr>
                <w:sz w:val="18"/>
              </w:rPr>
              <w:t>Es importante determinar si las diferencias entre ciclos en cuanto al número de plantas fuera de tipo se deben a motivos medioambientales o a las variaciones en la toma de muestras.</w:t>
            </w:r>
          </w:p>
          <w:p w:rsidR="003A50AD" w:rsidRPr="003A50AD" w:rsidRDefault="003A50AD" w:rsidP="00375A3A">
            <w:pPr>
              <w:keepNext/>
              <w:keepLines/>
              <w:ind w:left="34"/>
              <w:rPr>
                <w:sz w:val="18"/>
              </w:rPr>
            </w:pPr>
          </w:p>
          <w:p w:rsidR="003A50AD" w:rsidRPr="003A50AD" w:rsidRDefault="003A50AD" w:rsidP="00375A3A">
            <w:pPr>
              <w:keepNext/>
              <w:keepLines/>
              <w:ind w:left="34"/>
              <w:rPr>
                <w:rFonts w:eastAsia="SimSun"/>
                <w:sz w:val="18"/>
              </w:rPr>
            </w:pPr>
            <w:r>
              <w:rPr>
                <w:sz w:val="18"/>
              </w:rPr>
              <w:t xml:space="preserve">** Si una variedad supera en el primer ciclo de cultivo el límite superior predefinido del número de plantas fuera de tipo, </w:t>
            </w:r>
            <w:r w:rsidR="009A2948">
              <w:rPr>
                <w:sz w:val="18"/>
              </w:rPr>
              <w:t>podrá rechazarse la variedad</w:t>
            </w:r>
            <w:r>
              <w:rPr>
                <w:sz w:val="18"/>
              </w:rPr>
              <w:t xml:space="preserve"> tras un único ciclo de cultivo.”</w:t>
            </w:r>
          </w:p>
        </w:tc>
      </w:tr>
    </w:tbl>
    <w:p w:rsidR="003A50AD" w:rsidRPr="003A50AD" w:rsidRDefault="003A50AD" w:rsidP="003A50AD">
      <w:pPr>
        <w:jc w:val="left"/>
      </w:pPr>
    </w:p>
    <w:p w:rsidR="00DD33F8" w:rsidRPr="003A50AD" w:rsidRDefault="00DD33F8" w:rsidP="00DD33F8">
      <w:pPr>
        <w:rPr>
          <w:rFonts w:cs="Tahoma"/>
          <w:szCs w:val="18"/>
        </w:rPr>
      </w:pPr>
    </w:p>
    <w:p w:rsidR="00DD33F8" w:rsidRPr="004F5247" w:rsidRDefault="00DD33F8" w:rsidP="00DD33F8">
      <w:pPr>
        <w:rPr>
          <w:rFonts w:cs="Tahoma"/>
          <w:szCs w:val="18"/>
        </w:rPr>
      </w:pPr>
    </w:p>
    <w:p w:rsidR="00DD33F8" w:rsidRPr="00DD33F8" w:rsidRDefault="00DD33F8" w:rsidP="00DD33F8"/>
    <w:p w:rsidR="00DD33F8" w:rsidRDefault="00DD33F8" w:rsidP="00DD33F8">
      <w:pPr>
        <w:jc w:val="right"/>
      </w:pPr>
      <w:r>
        <w:t xml:space="preserve">[Sigue el </w:t>
      </w:r>
      <w:r w:rsidR="00922867">
        <w:t xml:space="preserve">Anexo </w:t>
      </w:r>
      <w:r>
        <w:t>II]</w:t>
      </w:r>
    </w:p>
    <w:p w:rsidR="00740EAB" w:rsidRDefault="00740EAB" w:rsidP="00DD33F8">
      <w:pPr>
        <w:jc w:val="right"/>
      </w:pPr>
    </w:p>
    <w:p w:rsidR="00740EAB" w:rsidRPr="002B3EDC" w:rsidRDefault="00740EAB" w:rsidP="00740EAB"/>
    <w:p w:rsidR="003A50AD" w:rsidRDefault="003A50AD" w:rsidP="009B440E">
      <w:pPr>
        <w:jc w:val="left"/>
        <w:sectPr w:rsidR="003A50AD" w:rsidSect="00BA1B54">
          <w:headerReference w:type="default" r:id="rId10"/>
          <w:headerReference w:type="first" r:id="rId11"/>
          <w:pgSz w:w="11907" w:h="16840" w:code="9"/>
          <w:pgMar w:top="510" w:right="1134" w:bottom="1134" w:left="1134" w:header="510" w:footer="680" w:gutter="0"/>
          <w:pgNumType w:start="1"/>
          <w:cols w:space="720"/>
          <w:titlePg/>
        </w:sect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DF0BF9" w:rsidRPr="0021251E" w:rsidTr="00375A3A">
        <w:trPr>
          <w:trHeight w:val="350"/>
        </w:trPr>
        <w:tc>
          <w:tcPr>
            <w:tcW w:w="9639" w:type="dxa"/>
          </w:tcPr>
          <w:p w:rsidR="00DF0BF9" w:rsidRPr="0021251E" w:rsidRDefault="00DF0BF9" w:rsidP="00375A3A">
            <w:pPr>
              <w:autoSpaceDE w:val="0"/>
              <w:autoSpaceDN w:val="0"/>
              <w:adjustRightInd w:val="0"/>
              <w:jc w:val="center"/>
              <w:rPr>
                <w:rFonts w:eastAsia="SimSun"/>
                <w:szCs w:val="24"/>
              </w:rPr>
            </w:pPr>
          </w:p>
          <w:p w:rsidR="00DF0BF9" w:rsidRPr="00DF0BF9" w:rsidRDefault="00DF0BF9" w:rsidP="00375A3A">
            <w:pPr>
              <w:autoSpaceDE w:val="0"/>
              <w:autoSpaceDN w:val="0"/>
              <w:adjustRightInd w:val="0"/>
              <w:jc w:val="center"/>
              <w:rPr>
                <w:szCs w:val="24"/>
              </w:rPr>
            </w:pPr>
            <w:r>
              <w:t>SITUACIÓN:</w:t>
            </w:r>
            <w:r w:rsidR="00421253">
              <w:t xml:space="preserve"> </w:t>
            </w:r>
            <w:r>
              <w:t xml:space="preserve">EVALUACIÓN DE LA HOMOGENEIDAD DE LAS PLANTAS FUERA DE TIPO MEDIANTE LA OBSERVACIÓN DE SUBMUESTRAS </w:t>
            </w:r>
          </w:p>
          <w:p w:rsidR="00DF0BF9" w:rsidRPr="0021251E" w:rsidRDefault="00DF0BF9" w:rsidP="00375A3A">
            <w:pPr>
              <w:autoSpaceDE w:val="0"/>
              <w:autoSpaceDN w:val="0"/>
              <w:adjustRightInd w:val="0"/>
              <w:jc w:val="center"/>
              <w:rPr>
                <w:szCs w:val="24"/>
              </w:rPr>
            </w:pPr>
            <w:r>
              <w:t>EN UN ÚNICO EXAMEN O ENSAYO</w:t>
            </w:r>
          </w:p>
          <w:p w:rsidR="00DF0BF9" w:rsidRPr="0021251E" w:rsidRDefault="00DF0BF9" w:rsidP="00375A3A">
            <w:pPr>
              <w:autoSpaceDE w:val="0"/>
              <w:autoSpaceDN w:val="0"/>
              <w:adjustRightInd w:val="0"/>
              <w:jc w:val="center"/>
              <w:rPr>
                <w:rFonts w:eastAsia="SimSun"/>
                <w:szCs w:val="24"/>
              </w:rPr>
            </w:pPr>
          </w:p>
        </w:tc>
      </w:tr>
      <w:tr w:rsidR="00DF0BF9" w:rsidRPr="00DF0BF9" w:rsidTr="00375A3A">
        <w:trPr>
          <w:trHeight w:val="6949"/>
        </w:trPr>
        <w:tc>
          <w:tcPr>
            <w:tcW w:w="9639" w:type="dxa"/>
          </w:tcPr>
          <w:p w:rsidR="00DF0BF9" w:rsidRPr="00DF0BF9" w:rsidRDefault="00DF0BF9" w:rsidP="00375A3A"/>
          <w:p w:rsidR="00DF0BF9" w:rsidRPr="00DF0BF9" w:rsidRDefault="00DF0BF9" w:rsidP="00375A3A">
            <w:pPr>
              <w:rPr>
                <w:b/>
              </w:rPr>
            </w:pPr>
            <w:r>
              <w:rPr>
                <w:b/>
              </w:rPr>
              <w:t>Método:</w:t>
            </w:r>
            <w:r w:rsidR="00421253">
              <w:rPr>
                <w:b/>
              </w:rPr>
              <w:t xml:space="preserve"> </w:t>
            </w:r>
            <w:r>
              <w:rPr>
                <w:b/>
              </w:rPr>
              <w:t xml:space="preserve">Utilización de una </w:t>
            </w:r>
            <w:proofErr w:type="spellStart"/>
            <w:r>
              <w:rPr>
                <w:b/>
              </w:rPr>
              <w:t>submuestra</w:t>
            </w:r>
            <w:proofErr w:type="spellEnd"/>
            <w:r>
              <w:rPr>
                <w:b/>
              </w:rPr>
              <w:t xml:space="preserve"> como primera etapa de la evaluación</w:t>
            </w:r>
          </w:p>
          <w:p w:rsidR="00DF0BF9" w:rsidRPr="00DF0BF9" w:rsidRDefault="00DF0BF9" w:rsidP="00375A3A">
            <w:pPr>
              <w:rPr>
                <w:b/>
              </w:rPr>
            </w:pPr>
          </w:p>
          <w:p w:rsidR="00DF0BF9" w:rsidRPr="00DF0BF9" w:rsidRDefault="00DF0BF9" w:rsidP="00375A3A">
            <w:r>
              <w:t xml:space="preserve">Una variedad se considera homogénea si el número de plantas fuera de tipo en la </w:t>
            </w:r>
            <w:proofErr w:type="spellStart"/>
            <w:r>
              <w:t>submuestra</w:t>
            </w:r>
            <w:proofErr w:type="spellEnd"/>
            <w:r>
              <w:t xml:space="preserve"> no supera un límite inferior predefinido.</w:t>
            </w:r>
          </w:p>
          <w:p w:rsidR="00DF0BF9" w:rsidRPr="00DF0BF9" w:rsidRDefault="00DF0BF9" w:rsidP="00375A3A"/>
          <w:p w:rsidR="00DF0BF9" w:rsidRPr="00DF0BF9" w:rsidRDefault="00DF0BF9" w:rsidP="00375A3A">
            <w:r>
              <w:t xml:space="preserve">Una variedad se considera no homogénea si el número de plantas fuera de tipo en la </w:t>
            </w:r>
            <w:proofErr w:type="spellStart"/>
            <w:r>
              <w:t>submuestra</w:t>
            </w:r>
            <w:proofErr w:type="spellEnd"/>
            <w:r>
              <w:t xml:space="preserve"> supera un límite superior predefinido.</w:t>
            </w:r>
          </w:p>
          <w:p w:rsidR="00DF0BF9" w:rsidRPr="00DF0BF9" w:rsidRDefault="00DF0BF9" w:rsidP="00375A3A"/>
          <w:p w:rsidR="00DF0BF9" w:rsidRPr="00DF0BF9" w:rsidRDefault="00DF0BF9" w:rsidP="00375A3A">
            <w:r>
              <w:t xml:space="preserve">Si el número de plantas fuera de tipo está entre el límite inferior y el límite superior predefinidos, se evalúa toda la muestra. Los límites inferior y superior deben fijarse teniendo en cuenta errores de tipo I y de tipo II similares en la </w:t>
            </w:r>
            <w:proofErr w:type="spellStart"/>
            <w:r>
              <w:t>submuestra</w:t>
            </w:r>
            <w:proofErr w:type="spellEnd"/>
            <w:r>
              <w:t xml:space="preserve"> y en toda la muestra.</w:t>
            </w:r>
          </w:p>
          <w:p w:rsidR="00DF0BF9" w:rsidRPr="0021251E" w:rsidRDefault="00FE636C" w:rsidP="00375A3A">
            <w:r>
              <w:rPr>
                <w:rFonts w:eastAsia="SimSun"/>
                <w:szCs w:val="24"/>
              </w:rPr>
              <w:pict>
                <v:rect id="_x0000_i1025" style="width:0;height:1.5pt" o:hralign="center" o:hrstd="t" o:hr="t" fillcolor="#a0a0a0" stroked="f"/>
              </w:pict>
            </w:r>
          </w:p>
          <w:p w:rsidR="00DF0BF9" w:rsidRPr="0021251E" w:rsidRDefault="00DF0BF9" w:rsidP="00375A3A">
            <w:pPr>
              <w:rPr>
                <w:szCs w:val="24"/>
              </w:rPr>
            </w:pPr>
          </w:p>
          <w:p w:rsidR="00DF0BF9" w:rsidRPr="00DF0BF9" w:rsidRDefault="00DF0BF9" w:rsidP="00375A3A">
            <w:pPr>
              <w:rPr>
                <w:szCs w:val="24"/>
              </w:rPr>
            </w:pPr>
            <w:r>
              <w:t>Ejemplo:</w:t>
            </w:r>
          </w:p>
          <w:p w:rsidR="00DF0BF9" w:rsidRPr="00DF0BF9" w:rsidRDefault="00DF0BF9" w:rsidP="00375A3A">
            <w:pPr>
              <w:rPr>
                <w:szCs w:val="24"/>
              </w:rPr>
            </w:pPr>
          </w:p>
          <w:p w:rsidR="00DF0BF9" w:rsidRPr="00DF0BF9" w:rsidRDefault="00DF0BF9" w:rsidP="00375A3A">
            <w:pPr>
              <w:autoSpaceDE w:val="0"/>
              <w:autoSpaceDN w:val="0"/>
              <w:adjustRightInd w:val="0"/>
              <w:rPr>
                <w:color w:val="000000"/>
                <w:szCs w:val="24"/>
              </w:rPr>
            </w:pPr>
            <w:r>
              <w:rPr>
                <w:color w:val="000000"/>
              </w:rPr>
              <w:t>En el caso de una muestra de 100 plantas, el número aceptable de plantas fuera de tipo es 3 (aplicando una población estándar del 1% y una probabilidad de aceptación del 95% como mínimo).</w:t>
            </w:r>
          </w:p>
          <w:p w:rsidR="00DF0BF9" w:rsidRPr="00DF0BF9" w:rsidRDefault="00DF0BF9" w:rsidP="00375A3A">
            <w:pPr>
              <w:autoSpaceDE w:val="0"/>
              <w:autoSpaceDN w:val="0"/>
              <w:adjustRightInd w:val="0"/>
              <w:rPr>
                <w:color w:val="000000"/>
                <w:szCs w:val="24"/>
              </w:rPr>
            </w:pPr>
          </w:p>
          <w:p w:rsidR="00DF0BF9" w:rsidRPr="00DF0BF9" w:rsidRDefault="00DF0BF9" w:rsidP="00375A3A">
            <w:pPr>
              <w:autoSpaceDE w:val="0"/>
              <w:autoSpaceDN w:val="0"/>
              <w:adjustRightInd w:val="0"/>
              <w:rPr>
                <w:color w:val="000000"/>
                <w:szCs w:val="24"/>
              </w:rPr>
            </w:pPr>
            <w:r>
              <w:rPr>
                <w:color w:val="000000"/>
              </w:rPr>
              <w:t>En una submuestra de 20 plantas utilizada en el contexto de la antedicha muestra de 100 plantas:</w:t>
            </w:r>
          </w:p>
          <w:p w:rsidR="00DF0BF9" w:rsidRPr="00DF0BF9" w:rsidRDefault="00DF0BF9" w:rsidP="00375A3A">
            <w:pPr>
              <w:autoSpaceDE w:val="0"/>
              <w:autoSpaceDN w:val="0"/>
              <w:adjustRightInd w:val="0"/>
              <w:rPr>
                <w:color w:val="000000"/>
                <w:szCs w:val="24"/>
              </w:rPr>
            </w:pPr>
          </w:p>
          <w:p w:rsidR="00DF0BF9" w:rsidRPr="00DF0BF9" w:rsidRDefault="00DF0BF9" w:rsidP="00375A3A">
            <w:pPr>
              <w:ind w:left="567"/>
            </w:pPr>
            <w:r>
              <w:t>Se considera que una variedad es homogénea si no se observan plantas fuera de tipo en la submuestra.</w:t>
            </w:r>
          </w:p>
          <w:p w:rsidR="00DF0BF9" w:rsidRPr="00DF0BF9" w:rsidRDefault="00DF0BF9" w:rsidP="00375A3A"/>
          <w:p w:rsidR="00DF0BF9" w:rsidRPr="00DF0BF9" w:rsidRDefault="00DF0BF9" w:rsidP="00375A3A">
            <w:pPr>
              <w:ind w:left="567"/>
            </w:pPr>
            <w:r>
              <w:t>Se considera que una variedad no es homogénea si el número de plantas fuera de tipo en la submuestra es mayor de 3.</w:t>
            </w:r>
          </w:p>
          <w:p w:rsidR="00DF0BF9" w:rsidRPr="00DF0BF9" w:rsidRDefault="00DF0BF9" w:rsidP="00375A3A"/>
          <w:p w:rsidR="00DF0BF9" w:rsidRPr="00DF0BF9" w:rsidRDefault="00DF0BF9" w:rsidP="00375A3A">
            <w:pPr>
              <w:ind w:left="567"/>
            </w:pPr>
            <w:r>
              <w:t>Si el número de plantas fuera de tipo está entre 1 y 3, se evalúa toda la muestra de 100 plantas.</w:t>
            </w:r>
          </w:p>
          <w:p w:rsidR="00DF0BF9" w:rsidRPr="00DF0BF9" w:rsidRDefault="00DF0BF9" w:rsidP="00375A3A">
            <w:pPr>
              <w:ind w:left="567"/>
            </w:pPr>
          </w:p>
          <w:p w:rsidR="00DF0BF9" w:rsidRPr="00DF0BF9" w:rsidRDefault="00DF0BF9" w:rsidP="00375A3A">
            <w:pPr>
              <w:ind w:left="567"/>
            </w:pPr>
            <w:r>
              <w:t>Si el número de plantas fuera de tipo de la muestra de 100 plantas es mayor que 3, se considera que la variedad no es homogénea.</w:t>
            </w:r>
          </w:p>
          <w:p w:rsidR="00DF0BF9" w:rsidRPr="00DF0BF9" w:rsidRDefault="00DF0BF9" w:rsidP="00375A3A">
            <w:pPr>
              <w:ind w:left="34" w:right="600"/>
              <w:rPr>
                <w:szCs w:val="24"/>
              </w:rPr>
            </w:pPr>
          </w:p>
          <w:p w:rsidR="00DF0BF9" w:rsidRPr="00DF0BF9" w:rsidRDefault="00DF0BF9" w:rsidP="00375A3A">
            <w:pPr>
              <w:ind w:left="34" w:right="600"/>
              <w:rPr>
                <w:szCs w:val="24"/>
              </w:rPr>
            </w:pPr>
          </w:p>
        </w:tc>
      </w:tr>
    </w:tbl>
    <w:p w:rsidR="00DF0BF9" w:rsidRPr="00DF0BF9" w:rsidRDefault="00DF0BF9" w:rsidP="00DF0BF9"/>
    <w:p w:rsidR="00DF0BF9" w:rsidRPr="00DF0BF9" w:rsidRDefault="00DF0BF9" w:rsidP="00DF0BF9"/>
    <w:p w:rsidR="00DF0BF9" w:rsidRPr="00DF0BF9" w:rsidRDefault="00DF0BF9" w:rsidP="00DF0BF9"/>
    <w:p w:rsidR="00DF0BF9" w:rsidRPr="00DF0BF9" w:rsidRDefault="00DF0BF9" w:rsidP="00DF0BF9">
      <w:pPr>
        <w:jc w:val="right"/>
      </w:pPr>
      <w:r>
        <w:t xml:space="preserve">[Fin del </w:t>
      </w:r>
      <w:r w:rsidR="00922867">
        <w:t xml:space="preserve">Anexo </w:t>
      </w:r>
      <w:r>
        <w:t>II y del documento]</w:t>
      </w:r>
      <w:bookmarkStart w:id="15" w:name="_GoBack"/>
      <w:bookmarkEnd w:id="15"/>
    </w:p>
    <w:sectPr w:rsidR="00DF0BF9" w:rsidRPr="00DF0BF9" w:rsidSect="00906DDC">
      <w:headerReference w:type="default" r:id="rId12"/>
      <w:headerReference w:type="first" r:id="rId13"/>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FAC" w:rsidRDefault="00B32FAC" w:rsidP="006655D3">
      <w:r>
        <w:separator/>
      </w:r>
    </w:p>
    <w:p w:rsidR="00B32FAC" w:rsidRDefault="00B32FAC" w:rsidP="006655D3"/>
    <w:p w:rsidR="00B32FAC" w:rsidRDefault="00B32FAC" w:rsidP="006655D3"/>
  </w:endnote>
  <w:endnote w:type="continuationSeparator" w:id="0">
    <w:p w:rsidR="00B32FAC" w:rsidRDefault="00B32FAC" w:rsidP="006655D3">
      <w:r>
        <w:separator/>
      </w:r>
    </w:p>
    <w:p w:rsidR="00B32FAC" w:rsidRPr="00294751" w:rsidRDefault="00B32FAC">
      <w:pPr>
        <w:pStyle w:val="Footer"/>
        <w:spacing w:after="60"/>
        <w:rPr>
          <w:sz w:val="18"/>
          <w:lang w:val="fr-FR"/>
        </w:rPr>
      </w:pPr>
      <w:r w:rsidRPr="00294751">
        <w:rPr>
          <w:sz w:val="18"/>
          <w:lang w:val="fr-FR"/>
        </w:rPr>
        <w:t>[Suite de la note de la page précédente]</w:t>
      </w:r>
    </w:p>
    <w:p w:rsidR="00B32FAC" w:rsidRPr="00294751" w:rsidRDefault="00B32FAC" w:rsidP="006655D3">
      <w:pPr>
        <w:rPr>
          <w:lang w:val="fr-FR"/>
        </w:rPr>
      </w:pPr>
    </w:p>
    <w:p w:rsidR="00B32FAC" w:rsidRPr="00294751" w:rsidRDefault="00B32FAC" w:rsidP="006655D3">
      <w:pPr>
        <w:rPr>
          <w:lang w:val="fr-FR"/>
        </w:rPr>
      </w:pPr>
    </w:p>
  </w:endnote>
  <w:endnote w:type="continuationNotice" w:id="1">
    <w:p w:rsidR="00B32FAC" w:rsidRPr="00294751" w:rsidRDefault="00B32FAC" w:rsidP="006655D3">
      <w:pPr>
        <w:rPr>
          <w:lang w:val="fr-FR"/>
        </w:rPr>
      </w:pPr>
      <w:r w:rsidRPr="00294751">
        <w:rPr>
          <w:lang w:val="fr-FR"/>
        </w:rPr>
        <w:t>[Suite de la note page suivante]</w:t>
      </w:r>
    </w:p>
    <w:p w:rsidR="00B32FAC" w:rsidRPr="00294751" w:rsidRDefault="00B32FAC" w:rsidP="006655D3">
      <w:pPr>
        <w:rPr>
          <w:lang w:val="fr-FR"/>
        </w:rPr>
      </w:pPr>
    </w:p>
    <w:p w:rsidR="00B32FAC" w:rsidRPr="00294751" w:rsidRDefault="00B32FA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FAC" w:rsidRDefault="00B32FAC" w:rsidP="006655D3">
      <w:r>
        <w:separator/>
      </w:r>
    </w:p>
  </w:footnote>
  <w:footnote w:type="continuationSeparator" w:id="0">
    <w:p w:rsidR="00B32FAC" w:rsidRDefault="00B32FAC" w:rsidP="006655D3">
      <w:r>
        <w:separator/>
      </w:r>
    </w:p>
  </w:footnote>
  <w:footnote w:type="continuationNotice" w:id="1">
    <w:p w:rsidR="00B32FAC" w:rsidRPr="00AB530F" w:rsidRDefault="00B32FAC"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0A23DC" w:rsidRDefault="005A1EC1" w:rsidP="000A23DC">
    <w:pPr>
      <w:pStyle w:val="Header"/>
      <w:rPr>
        <w:rStyle w:val="PageNumber"/>
      </w:rPr>
    </w:pPr>
    <w:r>
      <w:rPr>
        <w:rStyle w:val="PageNumber"/>
      </w:rPr>
      <w:t>TC/54/20</w:t>
    </w:r>
  </w:p>
  <w:p w:rsidR="00182B99" w:rsidRPr="00202E38" w:rsidRDefault="008B3D8D" w:rsidP="008B3D8D">
    <w:pPr>
      <w:pStyle w:val="Header"/>
    </w:pPr>
    <w:r>
      <w:t xml:space="preserve">página </w:t>
    </w:r>
    <w:r w:rsidR="00BE399B" w:rsidRPr="00202E38">
      <w:rPr>
        <w:rStyle w:val="PageNumber"/>
      </w:rPr>
      <w:fldChar w:fldCharType="begin"/>
    </w:r>
    <w:r w:rsidR="00182B99" w:rsidRPr="00202E38">
      <w:rPr>
        <w:rStyle w:val="PageNumber"/>
      </w:rPr>
      <w:instrText xml:space="preserve"> PAGE </w:instrText>
    </w:r>
    <w:r w:rsidR="00BE399B" w:rsidRPr="00202E38">
      <w:rPr>
        <w:rStyle w:val="PageNumber"/>
      </w:rPr>
      <w:fldChar w:fldCharType="separate"/>
    </w:r>
    <w:r w:rsidR="00FE636C">
      <w:rPr>
        <w:rStyle w:val="PageNumber"/>
        <w:noProof/>
      </w:rPr>
      <w:t>5</w:t>
    </w:r>
    <w:r w:rsidR="00BE399B" w:rsidRPr="00202E38">
      <w:rPr>
        <w:rStyle w:val="PageNumber"/>
      </w:rPr>
      <w:fldChar w:fldCharType="end"/>
    </w:r>
  </w:p>
  <w:p w:rsidR="00182B99" w:rsidRPr="00202E38"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B54" w:rsidRPr="000A23DC" w:rsidRDefault="00BA1B54" w:rsidP="000A23DC">
    <w:pPr>
      <w:pStyle w:val="Header"/>
      <w:rPr>
        <w:rStyle w:val="PageNumber"/>
      </w:rPr>
    </w:pPr>
    <w:r>
      <w:rPr>
        <w:rStyle w:val="PageNumber"/>
      </w:rPr>
      <w:t>TC/54/20</w:t>
    </w:r>
  </w:p>
  <w:p w:rsidR="00BA1B54" w:rsidRPr="00202E38" w:rsidRDefault="00BA1B54" w:rsidP="008B3D8D">
    <w:pPr>
      <w:pStyle w:val="Header"/>
    </w:pPr>
    <w:r>
      <w:t xml:space="preserve">Anexo I, página </w:t>
    </w:r>
    <w:r w:rsidR="00BE399B" w:rsidRPr="00202E38">
      <w:rPr>
        <w:rStyle w:val="PageNumber"/>
      </w:rPr>
      <w:fldChar w:fldCharType="begin"/>
    </w:r>
    <w:r w:rsidRPr="00202E38">
      <w:rPr>
        <w:rStyle w:val="PageNumber"/>
      </w:rPr>
      <w:instrText xml:space="preserve"> PAGE </w:instrText>
    </w:r>
    <w:r w:rsidR="00BE399B" w:rsidRPr="00202E38">
      <w:rPr>
        <w:rStyle w:val="PageNumber"/>
      </w:rPr>
      <w:fldChar w:fldCharType="separate"/>
    </w:r>
    <w:r w:rsidR="00FE636C">
      <w:rPr>
        <w:rStyle w:val="PageNumber"/>
        <w:noProof/>
      </w:rPr>
      <w:t>2</w:t>
    </w:r>
    <w:r w:rsidR="00BE399B" w:rsidRPr="00202E38">
      <w:rPr>
        <w:rStyle w:val="PageNumber"/>
      </w:rPr>
      <w:fldChar w:fldCharType="end"/>
    </w:r>
  </w:p>
  <w:p w:rsidR="00BA1B54" w:rsidRPr="00202E38" w:rsidRDefault="00BA1B54"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B54" w:rsidRPr="000A23DC" w:rsidRDefault="00BA1B54" w:rsidP="00BA1B54">
    <w:pPr>
      <w:pStyle w:val="Header"/>
      <w:rPr>
        <w:rStyle w:val="PageNumber"/>
      </w:rPr>
    </w:pPr>
    <w:r>
      <w:rPr>
        <w:rStyle w:val="PageNumber"/>
      </w:rPr>
      <w:t>TC/54/20</w:t>
    </w:r>
  </w:p>
  <w:p w:rsidR="00BA1B54" w:rsidRDefault="00BA1B54">
    <w:pPr>
      <w:pStyle w:val="Header"/>
    </w:pPr>
  </w:p>
  <w:p w:rsidR="00BA1B54" w:rsidRDefault="00BA1B54">
    <w:pPr>
      <w:pStyle w:val="Header"/>
    </w:pPr>
    <w:r>
      <w:t>ANEXO I</w:t>
    </w:r>
  </w:p>
  <w:p w:rsidR="00BA1B54" w:rsidRDefault="00BA1B5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DF0BF9" w:rsidP="00EB048E">
    <w:pPr>
      <w:pStyle w:val="Header"/>
      <w:rPr>
        <w:rStyle w:val="PageNumber"/>
      </w:rPr>
    </w:pPr>
    <w:r>
      <w:rPr>
        <w:rStyle w:val="PageNumber"/>
      </w:rPr>
      <w:t>TC/54/</w:t>
    </w:r>
  </w:p>
  <w:p w:rsidR="00182B99" w:rsidRPr="00C5280D" w:rsidRDefault="00182B99" w:rsidP="00EB048E">
    <w:pPr>
      <w:pStyle w:val="Header"/>
    </w:pPr>
    <w:r>
      <w:t xml:space="preserve">page </w:t>
    </w:r>
    <w:r w:rsidR="00BE399B" w:rsidRPr="00C5280D">
      <w:rPr>
        <w:rStyle w:val="PageNumber"/>
      </w:rPr>
      <w:fldChar w:fldCharType="begin"/>
    </w:r>
    <w:r w:rsidRPr="00C5280D">
      <w:rPr>
        <w:rStyle w:val="PageNumber"/>
      </w:rPr>
      <w:instrText xml:space="preserve"> PAGE </w:instrText>
    </w:r>
    <w:r w:rsidR="00BE399B" w:rsidRPr="00C5280D">
      <w:rPr>
        <w:rStyle w:val="PageNumber"/>
      </w:rPr>
      <w:fldChar w:fldCharType="separate"/>
    </w:r>
    <w:r w:rsidR="00DF0BF9">
      <w:rPr>
        <w:rStyle w:val="PageNumber"/>
        <w:noProof/>
      </w:rPr>
      <w:t>2</w:t>
    </w:r>
    <w:r w:rsidR="00BE399B" w:rsidRPr="00C5280D">
      <w:rPr>
        <w:rStyle w:val="PageNumber"/>
      </w:rPr>
      <w:fldChar w:fldCharType="end"/>
    </w:r>
  </w:p>
  <w:p w:rsidR="00182B99" w:rsidRPr="00C5280D" w:rsidRDefault="00182B99" w:rsidP="006655D3"/>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5517" w:rsidRDefault="00DF0BF9">
    <w:pPr>
      <w:pStyle w:val="Header"/>
    </w:pPr>
    <w:r>
      <w:t>TC/54/20</w:t>
    </w:r>
  </w:p>
  <w:p w:rsidR="002A5517" w:rsidRPr="00C906FF" w:rsidRDefault="00FE636C">
    <w:pPr>
      <w:pStyle w:val="Header"/>
    </w:pPr>
  </w:p>
  <w:p w:rsidR="002A5517" w:rsidRPr="00C906FF" w:rsidRDefault="00DF0BF9">
    <w:pPr>
      <w:pStyle w:val="Header"/>
    </w:pPr>
    <w:r>
      <w:t>ANEX</w:t>
    </w:r>
    <w:r w:rsidR="00921C0D">
      <w:t>O</w:t>
    </w:r>
    <w:r>
      <w:t xml:space="preserve"> II</w:t>
    </w:r>
  </w:p>
  <w:p w:rsidR="002A5517" w:rsidRPr="00C906FF" w:rsidRDefault="00FE63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638F6"/>
    <w:multiLevelType w:val="hybridMultilevel"/>
    <w:tmpl w:val="0194E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8B7878"/>
    <w:multiLevelType w:val="hybridMultilevel"/>
    <w:tmpl w:val="B652F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DE66ED6"/>
    <w:multiLevelType w:val="hybridMultilevel"/>
    <w:tmpl w:val="E5AC7AB2"/>
    <w:lvl w:ilvl="0" w:tplc="224AF9DA">
      <w:start w:val="1"/>
      <w:numFmt w:val="lowerRoman"/>
      <w:lvlText w:val="(%1)"/>
      <w:lvlJc w:val="left"/>
      <w:pPr>
        <w:ind w:left="1080" w:hanging="72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B5C4B81"/>
    <w:multiLevelType w:val="hybridMultilevel"/>
    <w:tmpl w:val="EB4C88FC"/>
    <w:lvl w:ilvl="0" w:tplc="01C2BD9E">
      <w:start w:val="1"/>
      <w:numFmt w:val="bullet"/>
      <w:lvlText w:val=""/>
      <w:lvlJc w:val="left"/>
      <w:pPr>
        <w:ind w:left="1854"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8D9"/>
    <w:rsid w:val="0000535E"/>
    <w:rsid w:val="00010CF3"/>
    <w:rsid w:val="00011E27"/>
    <w:rsid w:val="000148BC"/>
    <w:rsid w:val="00020288"/>
    <w:rsid w:val="00024AB8"/>
    <w:rsid w:val="00030854"/>
    <w:rsid w:val="00036028"/>
    <w:rsid w:val="00044642"/>
    <w:rsid w:val="000446B9"/>
    <w:rsid w:val="00047E21"/>
    <w:rsid w:val="00050E16"/>
    <w:rsid w:val="00051D54"/>
    <w:rsid w:val="000638A9"/>
    <w:rsid w:val="0008170E"/>
    <w:rsid w:val="00085505"/>
    <w:rsid w:val="000A23DC"/>
    <w:rsid w:val="000C4E25"/>
    <w:rsid w:val="000C7021"/>
    <w:rsid w:val="000D6BBC"/>
    <w:rsid w:val="000D7780"/>
    <w:rsid w:val="000E636A"/>
    <w:rsid w:val="000F2F11"/>
    <w:rsid w:val="000F61A0"/>
    <w:rsid w:val="00105929"/>
    <w:rsid w:val="00110C36"/>
    <w:rsid w:val="001131D5"/>
    <w:rsid w:val="00141DB8"/>
    <w:rsid w:val="00143140"/>
    <w:rsid w:val="00153B6C"/>
    <w:rsid w:val="00172084"/>
    <w:rsid w:val="0017474A"/>
    <w:rsid w:val="001758C6"/>
    <w:rsid w:val="00182B99"/>
    <w:rsid w:val="001A66EA"/>
    <w:rsid w:val="001F56DF"/>
    <w:rsid w:val="001F64BF"/>
    <w:rsid w:val="002005CD"/>
    <w:rsid w:val="00202E38"/>
    <w:rsid w:val="0021332C"/>
    <w:rsid w:val="00213982"/>
    <w:rsid w:val="00215C75"/>
    <w:rsid w:val="0024416D"/>
    <w:rsid w:val="002464A3"/>
    <w:rsid w:val="002606A1"/>
    <w:rsid w:val="0026435F"/>
    <w:rsid w:val="00271911"/>
    <w:rsid w:val="002800A0"/>
    <w:rsid w:val="002801B3"/>
    <w:rsid w:val="00281060"/>
    <w:rsid w:val="002940E8"/>
    <w:rsid w:val="00294751"/>
    <w:rsid w:val="002A6E50"/>
    <w:rsid w:val="002B3EDC"/>
    <w:rsid w:val="002B4298"/>
    <w:rsid w:val="002C256A"/>
    <w:rsid w:val="002D39A1"/>
    <w:rsid w:val="002D3E50"/>
    <w:rsid w:val="002E5944"/>
    <w:rsid w:val="002F33B1"/>
    <w:rsid w:val="00305A7F"/>
    <w:rsid w:val="003152FE"/>
    <w:rsid w:val="00326426"/>
    <w:rsid w:val="00327436"/>
    <w:rsid w:val="00344BD6"/>
    <w:rsid w:val="0035528D"/>
    <w:rsid w:val="00361821"/>
    <w:rsid w:val="00361E9E"/>
    <w:rsid w:val="003A50AD"/>
    <w:rsid w:val="003B031A"/>
    <w:rsid w:val="003C7FBE"/>
    <w:rsid w:val="003D227C"/>
    <w:rsid w:val="003D2B4D"/>
    <w:rsid w:val="0040557F"/>
    <w:rsid w:val="00411DF1"/>
    <w:rsid w:val="00421253"/>
    <w:rsid w:val="00444A88"/>
    <w:rsid w:val="00474DA4"/>
    <w:rsid w:val="00476B4D"/>
    <w:rsid w:val="004805FA"/>
    <w:rsid w:val="004935D2"/>
    <w:rsid w:val="00495204"/>
    <w:rsid w:val="004B1215"/>
    <w:rsid w:val="004D047D"/>
    <w:rsid w:val="004F1E9E"/>
    <w:rsid w:val="004F305A"/>
    <w:rsid w:val="00512164"/>
    <w:rsid w:val="00520297"/>
    <w:rsid w:val="005338F9"/>
    <w:rsid w:val="0054281C"/>
    <w:rsid w:val="00544581"/>
    <w:rsid w:val="00545E42"/>
    <w:rsid w:val="0055268D"/>
    <w:rsid w:val="00576BE4"/>
    <w:rsid w:val="005A1EC1"/>
    <w:rsid w:val="005A400A"/>
    <w:rsid w:val="005C7547"/>
    <w:rsid w:val="005F7B92"/>
    <w:rsid w:val="00612379"/>
    <w:rsid w:val="006153B6"/>
    <w:rsid w:val="0061555F"/>
    <w:rsid w:val="00620C04"/>
    <w:rsid w:val="00636CA6"/>
    <w:rsid w:val="00637EDD"/>
    <w:rsid w:val="00641200"/>
    <w:rsid w:val="00645CA8"/>
    <w:rsid w:val="0065061E"/>
    <w:rsid w:val="006655D3"/>
    <w:rsid w:val="00667404"/>
    <w:rsid w:val="00687EB4"/>
    <w:rsid w:val="00695C56"/>
    <w:rsid w:val="006A5CDE"/>
    <w:rsid w:val="006A644A"/>
    <w:rsid w:val="006B17D2"/>
    <w:rsid w:val="006C224E"/>
    <w:rsid w:val="006D780A"/>
    <w:rsid w:val="00702F28"/>
    <w:rsid w:val="0071271E"/>
    <w:rsid w:val="00732DEC"/>
    <w:rsid w:val="00735BD5"/>
    <w:rsid w:val="00740EAB"/>
    <w:rsid w:val="00751613"/>
    <w:rsid w:val="007556F6"/>
    <w:rsid w:val="00760EEF"/>
    <w:rsid w:val="00777EE5"/>
    <w:rsid w:val="00783722"/>
    <w:rsid w:val="00784836"/>
    <w:rsid w:val="0079023E"/>
    <w:rsid w:val="007A2854"/>
    <w:rsid w:val="007B55CC"/>
    <w:rsid w:val="007C1D92"/>
    <w:rsid w:val="007C4CB9"/>
    <w:rsid w:val="007D0B9D"/>
    <w:rsid w:val="007D19B0"/>
    <w:rsid w:val="007F498F"/>
    <w:rsid w:val="00802227"/>
    <w:rsid w:val="0080390A"/>
    <w:rsid w:val="0080679D"/>
    <w:rsid w:val="008108B0"/>
    <w:rsid w:val="00811B20"/>
    <w:rsid w:val="008211B5"/>
    <w:rsid w:val="0082296E"/>
    <w:rsid w:val="00824099"/>
    <w:rsid w:val="00846D7C"/>
    <w:rsid w:val="00864C55"/>
    <w:rsid w:val="00867AC1"/>
    <w:rsid w:val="00890DF8"/>
    <w:rsid w:val="008A743F"/>
    <w:rsid w:val="008B3D8D"/>
    <w:rsid w:val="008C0970"/>
    <w:rsid w:val="008D0BC5"/>
    <w:rsid w:val="008D2CF7"/>
    <w:rsid w:val="008F301A"/>
    <w:rsid w:val="00900C26"/>
    <w:rsid w:val="0090197F"/>
    <w:rsid w:val="009024E0"/>
    <w:rsid w:val="00906DDC"/>
    <w:rsid w:val="00921C0D"/>
    <w:rsid w:val="00922867"/>
    <w:rsid w:val="00934E09"/>
    <w:rsid w:val="00936253"/>
    <w:rsid w:val="00940D46"/>
    <w:rsid w:val="00952DD4"/>
    <w:rsid w:val="0096175D"/>
    <w:rsid w:val="00965AE7"/>
    <w:rsid w:val="00970FED"/>
    <w:rsid w:val="009901E7"/>
    <w:rsid w:val="00992D82"/>
    <w:rsid w:val="00997029"/>
    <w:rsid w:val="009A2948"/>
    <w:rsid w:val="009A7339"/>
    <w:rsid w:val="009B440E"/>
    <w:rsid w:val="009D690D"/>
    <w:rsid w:val="009E65B6"/>
    <w:rsid w:val="00A24C10"/>
    <w:rsid w:val="00A42AC3"/>
    <w:rsid w:val="00A430CF"/>
    <w:rsid w:val="00A54309"/>
    <w:rsid w:val="00A706D3"/>
    <w:rsid w:val="00AB2B93"/>
    <w:rsid w:val="00AB530F"/>
    <w:rsid w:val="00AB7E5B"/>
    <w:rsid w:val="00AC2883"/>
    <w:rsid w:val="00AE0EF1"/>
    <w:rsid w:val="00AE2937"/>
    <w:rsid w:val="00AF4951"/>
    <w:rsid w:val="00B07301"/>
    <w:rsid w:val="00B11F3E"/>
    <w:rsid w:val="00B224DE"/>
    <w:rsid w:val="00B324D4"/>
    <w:rsid w:val="00B32FAC"/>
    <w:rsid w:val="00B46575"/>
    <w:rsid w:val="00B61777"/>
    <w:rsid w:val="00B7630E"/>
    <w:rsid w:val="00B8303B"/>
    <w:rsid w:val="00B84BBD"/>
    <w:rsid w:val="00BA1B54"/>
    <w:rsid w:val="00BA43FB"/>
    <w:rsid w:val="00BB0A94"/>
    <w:rsid w:val="00BC0BD4"/>
    <w:rsid w:val="00BC127D"/>
    <w:rsid w:val="00BC1FE6"/>
    <w:rsid w:val="00BE399B"/>
    <w:rsid w:val="00BF73CB"/>
    <w:rsid w:val="00C061B6"/>
    <w:rsid w:val="00C2446C"/>
    <w:rsid w:val="00C36AE5"/>
    <w:rsid w:val="00C41F17"/>
    <w:rsid w:val="00C44E9D"/>
    <w:rsid w:val="00C51A0D"/>
    <w:rsid w:val="00C527FA"/>
    <w:rsid w:val="00C5280D"/>
    <w:rsid w:val="00C53EB3"/>
    <w:rsid w:val="00C5791C"/>
    <w:rsid w:val="00C66290"/>
    <w:rsid w:val="00C7057E"/>
    <w:rsid w:val="00C72B7A"/>
    <w:rsid w:val="00C80ECB"/>
    <w:rsid w:val="00C973F2"/>
    <w:rsid w:val="00CA304C"/>
    <w:rsid w:val="00CA774A"/>
    <w:rsid w:val="00CB017C"/>
    <w:rsid w:val="00CC11B0"/>
    <w:rsid w:val="00CC2841"/>
    <w:rsid w:val="00CC2F95"/>
    <w:rsid w:val="00CC53BC"/>
    <w:rsid w:val="00CE49AB"/>
    <w:rsid w:val="00CF1330"/>
    <w:rsid w:val="00CF7E36"/>
    <w:rsid w:val="00D157AD"/>
    <w:rsid w:val="00D34874"/>
    <w:rsid w:val="00D3708D"/>
    <w:rsid w:val="00D40426"/>
    <w:rsid w:val="00D57C96"/>
    <w:rsid w:val="00D57D18"/>
    <w:rsid w:val="00D91203"/>
    <w:rsid w:val="00D95174"/>
    <w:rsid w:val="00DA4973"/>
    <w:rsid w:val="00DA6F36"/>
    <w:rsid w:val="00DB596E"/>
    <w:rsid w:val="00DB7773"/>
    <w:rsid w:val="00DC00EA"/>
    <w:rsid w:val="00DC3802"/>
    <w:rsid w:val="00DD33F8"/>
    <w:rsid w:val="00DF0BF9"/>
    <w:rsid w:val="00E07D87"/>
    <w:rsid w:val="00E32F7E"/>
    <w:rsid w:val="00E5267B"/>
    <w:rsid w:val="00E63C0E"/>
    <w:rsid w:val="00E72D49"/>
    <w:rsid w:val="00E7593C"/>
    <w:rsid w:val="00E7678A"/>
    <w:rsid w:val="00E935F1"/>
    <w:rsid w:val="00E94A81"/>
    <w:rsid w:val="00EA1FFB"/>
    <w:rsid w:val="00EB048E"/>
    <w:rsid w:val="00EB4E9C"/>
    <w:rsid w:val="00EC2265"/>
    <w:rsid w:val="00EC4E92"/>
    <w:rsid w:val="00EE34DF"/>
    <w:rsid w:val="00EF2F89"/>
    <w:rsid w:val="00F03503"/>
    <w:rsid w:val="00F03E98"/>
    <w:rsid w:val="00F1237A"/>
    <w:rsid w:val="00F126F6"/>
    <w:rsid w:val="00F22CBD"/>
    <w:rsid w:val="00F272F1"/>
    <w:rsid w:val="00F45372"/>
    <w:rsid w:val="00F560F7"/>
    <w:rsid w:val="00F6334D"/>
    <w:rsid w:val="00F67A26"/>
    <w:rsid w:val="00F838D9"/>
    <w:rsid w:val="00FA49AB"/>
    <w:rsid w:val="00FD3F87"/>
    <w:rsid w:val="00FE39C7"/>
    <w:rsid w:val="00FE636C"/>
    <w:rsid w:val="00FF4D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34E66FA1"/>
  <w15:docId w15:val="{DD05123A-BC11-48F1-99F7-1FE6FB25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8B3D8D"/>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783722"/>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E49A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s-ES" w:bidi="es-ES"/>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s-ES" w:bidi="es-ES"/>
    </w:rPr>
  </w:style>
  <w:style w:type="paragraph" w:styleId="TOC2">
    <w:name w:val="toc 2"/>
    <w:basedOn w:val="Normal"/>
    <w:next w:val="Normal"/>
    <w:autoRedefine/>
    <w:uiPriority w:val="39"/>
    <w:rsid w:val="00620C04"/>
    <w:pPr>
      <w:tabs>
        <w:tab w:val="right" w:leader="dot" w:pos="9639"/>
      </w:tabs>
      <w:ind w:left="568" w:right="851" w:hanging="284"/>
    </w:pPr>
    <w:rPr>
      <w:sz w:val="18"/>
    </w:rPr>
  </w:style>
  <w:style w:type="paragraph" w:styleId="TOC3">
    <w:name w:val="toc 3"/>
    <w:next w:val="Normal"/>
    <w:autoRedefine/>
    <w:uiPriority w:val="39"/>
    <w:rsid w:val="00411DF1"/>
    <w:pPr>
      <w:tabs>
        <w:tab w:val="right" w:leader="dot" w:pos="9639"/>
      </w:tabs>
      <w:spacing w:after="60"/>
      <w:ind w:left="851" w:right="1418" w:hanging="284"/>
      <w:contextualSpacing/>
    </w:pPr>
    <w:rPr>
      <w:rFonts w:ascii="Arial" w:hAnsi="Arial"/>
      <w:i/>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basedOn w:val="Normal"/>
    <w:next w:val="Normal"/>
    <w:autoRedefine/>
    <w:uiPriority w:val="39"/>
    <w:rsid w:val="00620C04"/>
    <w:pPr>
      <w:tabs>
        <w:tab w:val="right" w:leader="dot" w:pos="9639"/>
      </w:tabs>
      <w:spacing w:before="60"/>
      <w:ind w:right="1418"/>
      <w:jc w:val="center"/>
    </w:pPr>
    <w:rPr>
      <w:caps/>
      <w:noProof/>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1F56DF"/>
    <w:pPr>
      <w:spacing w:after="200" w:line="276" w:lineRule="auto"/>
      <w:ind w:left="720"/>
      <w:contextualSpacing/>
      <w:jc w:val="left"/>
    </w:pPr>
    <w:rPr>
      <w:rFonts w:asciiTheme="minorHAnsi" w:eastAsiaTheme="minorEastAsia" w:hAnsiTheme="minorHAnsi" w:cstheme="minorBidi"/>
      <w:sz w:val="22"/>
      <w:szCs w:val="22"/>
    </w:rPr>
  </w:style>
  <w:style w:type="character" w:styleId="CommentReference">
    <w:name w:val="annotation reference"/>
    <w:basedOn w:val="DefaultParagraphFont"/>
    <w:rsid w:val="00DD33F8"/>
    <w:rPr>
      <w:sz w:val="16"/>
      <w:szCs w:val="16"/>
    </w:rPr>
  </w:style>
  <w:style w:type="paragraph" w:styleId="CommentText">
    <w:name w:val="annotation text"/>
    <w:basedOn w:val="Normal"/>
    <w:link w:val="CommentTextChar"/>
    <w:rsid w:val="00DD33F8"/>
  </w:style>
  <w:style w:type="character" w:customStyle="1" w:styleId="CommentTextChar">
    <w:name w:val="Comment Text Char"/>
    <w:basedOn w:val="DefaultParagraphFont"/>
    <w:link w:val="CommentText"/>
    <w:rsid w:val="00DD33F8"/>
    <w:rPr>
      <w:rFonts w:ascii="Arial" w:hAnsi="Arial"/>
    </w:rPr>
  </w:style>
  <w:style w:type="character" w:customStyle="1" w:styleId="Heading1Char">
    <w:name w:val="Heading 1 Char"/>
    <w:basedOn w:val="DefaultParagraphFont"/>
    <w:link w:val="Heading1"/>
    <w:rsid w:val="00143140"/>
    <w:rPr>
      <w:rFonts w:ascii="Arial" w:hAnsi="Arial"/>
      <w:caps/>
    </w:rPr>
  </w:style>
  <w:style w:type="character" w:customStyle="1" w:styleId="Heading2Char">
    <w:name w:val="Heading 2 Char"/>
    <w:basedOn w:val="DefaultParagraphFont"/>
    <w:link w:val="Heading2"/>
    <w:rsid w:val="00143140"/>
    <w:rPr>
      <w:rFonts w:ascii="Arial" w:hAnsi="Arial"/>
      <w:u w:val="single"/>
    </w:rPr>
  </w:style>
  <w:style w:type="character" w:customStyle="1" w:styleId="HeaderChar">
    <w:name w:val="Header Char"/>
    <w:basedOn w:val="DefaultParagraphFont"/>
    <w:link w:val="Header"/>
    <w:rsid w:val="00DF0BF9"/>
    <w:rPr>
      <w:rFonts w:ascii="Arial" w:hAnsi="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upov.int/meetings/en/doc_details.jsp?meeting_id=47210&amp;doc_id=409249" TargetMode="External"/><Relationship Id="rId13" Type="http://schemas.openxmlformats.org/officeDocument/2006/relationships/header" Target="header5.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4062</Words>
  <Characters>20815</Characters>
  <Application>Microsoft Office Word</Application>
  <DocSecurity>0</DocSecurity>
  <Lines>173</Lines>
  <Paragraphs>49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TC/53</vt:lpstr>
      <vt:lpstr>TC/53</vt:lpstr>
    </vt:vector>
  </TitlesOfParts>
  <Company>UPOV</Company>
  <LinksUpToDate>false</LinksUpToDate>
  <CharactersWithSpaces>24828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dc:title>
  <dc:creator>CEVALLOS DUQUE Nilo</dc:creator>
  <cp:lastModifiedBy>MAY Jessica</cp:lastModifiedBy>
  <cp:revision>17</cp:revision>
  <cp:lastPrinted>2016-11-22T15:41:00Z</cp:lastPrinted>
  <dcterms:created xsi:type="dcterms:W3CDTF">2018-09-05T12:37:00Z</dcterms:created>
  <dcterms:modified xsi:type="dcterms:W3CDTF">2018-10-04T14:48:00Z</dcterms:modified>
</cp:coreProperties>
</file>